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8F7B65" w:rsidRPr="008B2CC1" w:rsidTr="00171802">
        <w:tc>
          <w:tcPr>
            <w:tcW w:w="4513" w:type="dxa"/>
            <w:tcBorders>
              <w:bottom w:val="single" w:sz="4" w:space="0" w:color="auto"/>
            </w:tcBorders>
            <w:tcMar>
              <w:bottom w:w="170" w:type="dxa"/>
            </w:tcMar>
          </w:tcPr>
          <w:p w:rsidR="008F7B65" w:rsidRPr="008B2CC1" w:rsidRDefault="008F7B65" w:rsidP="00171802">
            <w:bookmarkStart w:id="0" w:name="_Toc327875008"/>
            <w:bookmarkStart w:id="1" w:name="_GoBack"/>
            <w:bookmarkEnd w:id="1"/>
          </w:p>
        </w:tc>
        <w:tc>
          <w:tcPr>
            <w:tcW w:w="4337" w:type="dxa"/>
            <w:tcBorders>
              <w:bottom w:val="single" w:sz="4" w:space="0" w:color="auto"/>
            </w:tcBorders>
            <w:tcMar>
              <w:left w:w="0" w:type="dxa"/>
              <w:right w:w="0" w:type="dxa"/>
            </w:tcMar>
          </w:tcPr>
          <w:p w:rsidR="008F7B65" w:rsidRPr="008B2CC1" w:rsidRDefault="008F7B65" w:rsidP="00171802">
            <w:r>
              <w:rPr>
                <w:noProof/>
              </w:rPr>
              <w:drawing>
                <wp:inline distT="0" distB="0" distL="0" distR="0" wp14:anchorId="25666211" wp14:editId="63CCDF0B">
                  <wp:extent cx="1857375" cy="1323975"/>
                  <wp:effectExtent l="0" t="0" r="9525" b="9525"/>
                  <wp:docPr id="14" name="Picture 14"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8F7B65" w:rsidRPr="008B2CC1" w:rsidRDefault="008F7B65" w:rsidP="00171802">
            <w:pPr>
              <w:jc w:val="right"/>
            </w:pPr>
            <w:r w:rsidRPr="00605827">
              <w:rPr>
                <w:b/>
                <w:sz w:val="40"/>
                <w:szCs w:val="40"/>
              </w:rPr>
              <w:t>E</w:t>
            </w:r>
          </w:p>
        </w:tc>
      </w:tr>
      <w:tr w:rsidR="008F7B65" w:rsidRPr="001832A6" w:rsidTr="00171802">
        <w:trPr>
          <w:trHeight w:hRule="exact" w:val="340"/>
        </w:trPr>
        <w:tc>
          <w:tcPr>
            <w:tcW w:w="9356" w:type="dxa"/>
            <w:gridSpan w:val="3"/>
            <w:tcBorders>
              <w:top w:val="single" w:sz="4" w:space="0" w:color="auto"/>
            </w:tcBorders>
            <w:tcMar>
              <w:top w:w="170" w:type="dxa"/>
              <w:left w:w="0" w:type="dxa"/>
              <w:right w:w="0" w:type="dxa"/>
            </w:tcMar>
            <w:vAlign w:val="bottom"/>
          </w:tcPr>
          <w:p w:rsidR="008F7B65" w:rsidRPr="0090731E" w:rsidRDefault="008F7B65" w:rsidP="00171802">
            <w:pPr>
              <w:jc w:val="right"/>
              <w:rPr>
                <w:rFonts w:ascii="Arial Black" w:hAnsi="Arial Black"/>
                <w:caps/>
                <w:sz w:val="15"/>
              </w:rPr>
            </w:pPr>
            <w:r>
              <w:rPr>
                <w:rFonts w:ascii="Arial Black" w:hAnsi="Arial Black"/>
                <w:caps/>
                <w:sz w:val="15"/>
              </w:rPr>
              <w:t xml:space="preserve">A/55/6 </w:t>
            </w:r>
            <w:r w:rsidRPr="0090731E">
              <w:rPr>
                <w:rFonts w:ascii="Arial Black" w:hAnsi="Arial Black"/>
                <w:caps/>
                <w:sz w:val="15"/>
              </w:rPr>
              <w:t xml:space="preserve">   </w:t>
            </w:r>
          </w:p>
        </w:tc>
      </w:tr>
      <w:tr w:rsidR="008F7B65" w:rsidRPr="001832A6" w:rsidTr="00171802">
        <w:trPr>
          <w:trHeight w:hRule="exact" w:val="170"/>
        </w:trPr>
        <w:tc>
          <w:tcPr>
            <w:tcW w:w="9356" w:type="dxa"/>
            <w:gridSpan w:val="3"/>
            <w:noWrap/>
            <w:tcMar>
              <w:left w:w="0" w:type="dxa"/>
              <w:right w:w="0" w:type="dxa"/>
            </w:tcMar>
            <w:vAlign w:val="bottom"/>
          </w:tcPr>
          <w:p w:rsidR="008F7B65" w:rsidRPr="0090731E" w:rsidRDefault="008F7B65" w:rsidP="00171802">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ENGLISH</w:t>
            </w:r>
          </w:p>
        </w:tc>
      </w:tr>
      <w:tr w:rsidR="008F7B65" w:rsidRPr="001832A6" w:rsidTr="00171802">
        <w:trPr>
          <w:trHeight w:hRule="exact" w:val="198"/>
        </w:trPr>
        <w:tc>
          <w:tcPr>
            <w:tcW w:w="9356" w:type="dxa"/>
            <w:gridSpan w:val="3"/>
            <w:tcMar>
              <w:left w:w="0" w:type="dxa"/>
              <w:right w:w="0" w:type="dxa"/>
            </w:tcMar>
            <w:vAlign w:val="bottom"/>
          </w:tcPr>
          <w:p w:rsidR="008F7B65" w:rsidRPr="0090731E" w:rsidRDefault="008F7B65" w:rsidP="00171802">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AUGUST 4, 2015</w:t>
            </w:r>
          </w:p>
        </w:tc>
      </w:tr>
    </w:tbl>
    <w:p w:rsidR="008F7B65" w:rsidRPr="008B2CC1" w:rsidRDefault="008F7B65" w:rsidP="00171802"/>
    <w:p w:rsidR="008F7B65" w:rsidRPr="008B2CC1" w:rsidRDefault="008F7B65" w:rsidP="00171802"/>
    <w:p w:rsidR="008F7B65" w:rsidRPr="008B2CC1" w:rsidRDefault="008F7B65" w:rsidP="00171802"/>
    <w:p w:rsidR="008F7B65" w:rsidRPr="008B2CC1" w:rsidRDefault="008F7B65" w:rsidP="00171802"/>
    <w:p w:rsidR="008F7B65" w:rsidRPr="008B2CC1" w:rsidRDefault="008F7B65" w:rsidP="00171802"/>
    <w:p w:rsidR="008F7B65" w:rsidRDefault="008F7B65" w:rsidP="00171802">
      <w:r w:rsidRPr="006C5F8B">
        <w:rPr>
          <w:b/>
          <w:sz w:val="28"/>
          <w:szCs w:val="28"/>
        </w:rPr>
        <w:t>Assemblies of the Member States of WIPO</w:t>
      </w:r>
    </w:p>
    <w:p w:rsidR="008F7B65" w:rsidRDefault="008F7B65" w:rsidP="00171802"/>
    <w:p w:rsidR="008F7B65" w:rsidRDefault="008F7B65" w:rsidP="00171802"/>
    <w:p w:rsidR="008F7B65" w:rsidRPr="006C5F8B" w:rsidRDefault="008F7B65" w:rsidP="00171802">
      <w:pPr>
        <w:rPr>
          <w:b/>
          <w:sz w:val="24"/>
        </w:rPr>
      </w:pPr>
      <w:r w:rsidRPr="006C5F8B">
        <w:rPr>
          <w:b/>
          <w:sz w:val="24"/>
        </w:rPr>
        <w:t>Fifty-Fifth Series of Meetings</w:t>
      </w:r>
    </w:p>
    <w:p w:rsidR="008F7B65" w:rsidRPr="008B2CC1" w:rsidRDefault="008F7B65" w:rsidP="00171802">
      <w:r w:rsidRPr="006C5F8B">
        <w:rPr>
          <w:b/>
          <w:sz w:val="24"/>
        </w:rPr>
        <w:t>Geneva, October 5 to 14, 2015</w:t>
      </w:r>
    </w:p>
    <w:p w:rsidR="008F7B65" w:rsidRPr="008B2CC1" w:rsidRDefault="008F7B65" w:rsidP="00171802"/>
    <w:p w:rsidR="008F7B65" w:rsidRPr="008B2CC1" w:rsidRDefault="008F7B65" w:rsidP="00171802"/>
    <w:p w:rsidR="008F7B65" w:rsidRPr="003845C1" w:rsidRDefault="008F7B65" w:rsidP="00171802">
      <w:pPr>
        <w:rPr>
          <w:caps/>
          <w:sz w:val="24"/>
        </w:rPr>
      </w:pPr>
      <w:r>
        <w:rPr>
          <w:caps/>
          <w:sz w:val="24"/>
        </w:rPr>
        <w:t>PROGRAM PERFORMANCE REPORT FOR 2014</w:t>
      </w:r>
    </w:p>
    <w:p w:rsidR="008F7B65" w:rsidRPr="008F7B65" w:rsidRDefault="008F7B65" w:rsidP="00171802">
      <w:pPr>
        <w:rPr>
          <w:sz w:val="22"/>
          <w:szCs w:val="22"/>
        </w:rPr>
      </w:pPr>
    </w:p>
    <w:p w:rsidR="008F7B65" w:rsidRPr="008F7B65" w:rsidRDefault="008F7B65" w:rsidP="00171802">
      <w:pPr>
        <w:rPr>
          <w:i/>
          <w:sz w:val="22"/>
          <w:szCs w:val="22"/>
        </w:rPr>
      </w:pPr>
      <w:bookmarkStart w:id="2" w:name="Prepared"/>
      <w:bookmarkEnd w:id="2"/>
      <w:proofErr w:type="gramStart"/>
      <w:r w:rsidRPr="008F7B65">
        <w:rPr>
          <w:i/>
          <w:sz w:val="22"/>
          <w:szCs w:val="22"/>
        </w:rPr>
        <w:t>presented</w:t>
      </w:r>
      <w:proofErr w:type="gramEnd"/>
      <w:r w:rsidRPr="008F7B65">
        <w:rPr>
          <w:i/>
          <w:sz w:val="22"/>
          <w:szCs w:val="22"/>
        </w:rPr>
        <w:t xml:space="preserve"> by the Director General</w:t>
      </w:r>
    </w:p>
    <w:p w:rsidR="008F7B65" w:rsidRPr="008F7B65" w:rsidRDefault="008F7B65">
      <w:pPr>
        <w:rPr>
          <w:sz w:val="22"/>
          <w:szCs w:val="22"/>
        </w:rPr>
      </w:pPr>
    </w:p>
    <w:p w:rsidR="008F7B65" w:rsidRPr="008F7B65" w:rsidRDefault="008F7B65">
      <w:pPr>
        <w:rPr>
          <w:sz w:val="22"/>
          <w:szCs w:val="22"/>
        </w:rPr>
      </w:pPr>
    </w:p>
    <w:p w:rsidR="008F7B65" w:rsidRPr="008F7B65" w:rsidRDefault="008F7B65">
      <w:pPr>
        <w:rPr>
          <w:sz w:val="22"/>
          <w:szCs w:val="22"/>
        </w:rPr>
      </w:pPr>
    </w:p>
    <w:p w:rsidR="008F7B65" w:rsidRPr="008F7B65" w:rsidRDefault="008F7B65" w:rsidP="00171802">
      <w:pPr>
        <w:rPr>
          <w:sz w:val="22"/>
          <w:szCs w:val="22"/>
        </w:rPr>
      </w:pPr>
    </w:p>
    <w:p w:rsidR="008F7B65" w:rsidRPr="008F7B65" w:rsidRDefault="008F7B65" w:rsidP="00171802">
      <w:pPr>
        <w:rPr>
          <w:sz w:val="22"/>
          <w:szCs w:val="22"/>
        </w:rPr>
      </w:pPr>
    </w:p>
    <w:p w:rsidR="008F7B65" w:rsidRPr="008F7B65" w:rsidRDefault="008F7B65" w:rsidP="008F7B65">
      <w:pPr>
        <w:pStyle w:val="ListParagraph"/>
        <w:numPr>
          <w:ilvl w:val="0"/>
          <w:numId w:val="135"/>
        </w:numPr>
        <w:ind w:left="0" w:firstLine="0"/>
        <w:contextualSpacing/>
        <w:rPr>
          <w:rFonts w:cs="Arial"/>
          <w:sz w:val="22"/>
          <w:szCs w:val="22"/>
        </w:rPr>
      </w:pPr>
      <w:r w:rsidRPr="008F7B65">
        <w:rPr>
          <w:rFonts w:cs="Arial"/>
          <w:sz w:val="22"/>
          <w:szCs w:val="22"/>
        </w:rPr>
        <w:t xml:space="preserve">The present document contains </w:t>
      </w:r>
      <w:r w:rsidR="00307B5F">
        <w:rPr>
          <w:rFonts w:cs="Arial"/>
          <w:sz w:val="22"/>
          <w:szCs w:val="22"/>
        </w:rPr>
        <w:t xml:space="preserve">the </w:t>
      </w:r>
      <w:r w:rsidRPr="008F7B65">
        <w:rPr>
          <w:rFonts w:cs="Arial"/>
          <w:sz w:val="22"/>
          <w:szCs w:val="22"/>
        </w:rPr>
        <w:t>Program Performance Report for 2014 (document WO/PBC/23/2), which was submitted to the WIPO Program and Budget Committee</w:t>
      </w:r>
      <w:r>
        <w:rPr>
          <w:rFonts w:cs="Arial"/>
          <w:sz w:val="22"/>
          <w:szCs w:val="22"/>
        </w:rPr>
        <w:t> </w:t>
      </w:r>
      <w:r w:rsidRPr="008F7B65">
        <w:rPr>
          <w:rFonts w:cs="Arial"/>
          <w:sz w:val="22"/>
          <w:szCs w:val="22"/>
        </w:rPr>
        <w:t>(PBC) at its twenty-third session (July 13 to 17, 2014).</w:t>
      </w:r>
    </w:p>
    <w:p w:rsidR="008F7B65" w:rsidRPr="008F7B65" w:rsidRDefault="008F7B65" w:rsidP="00171802">
      <w:pPr>
        <w:pStyle w:val="ListParagraph"/>
        <w:ind w:left="0"/>
        <w:rPr>
          <w:rFonts w:cs="Arial"/>
          <w:sz w:val="22"/>
          <w:szCs w:val="22"/>
        </w:rPr>
      </w:pPr>
    </w:p>
    <w:p w:rsidR="008F7B65" w:rsidRPr="008F7B65" w:rsidRDefault="008F7B65" w:rsidP="008F7B65">
      <w:pPr>
        <w:pStyle w:val="ListParagraph"/>
        <w:numPr>
          <w:ilvl w:val="0"/>
          <w:numId w:val="135"/>
        </w:numPr>
        <w:ind w:left="0" w:firstLine="0"/>
        <w:contextualSpacing/>
        <w:rPr>
          <w:rFonts w:cs="Arial"/>
          <w:sz w:val="22"/>
          <w:szCs w:val="22"/>
        </w:rPr>
      </w:pPr>
      <w:r w:rsidRPr="008F7B65">
        <w:rPr>
          <w:rFonts w:cs="Arial"/>
          <w:sz w:val="22"/>
          <w:szCs w:val="22"/>
        </w:rPr>
        <w:t>The decisions of the PBC in respect of that document appear in the Decisions Taken by the Program and Budget Committee (document A/55/4).</w:t>
      </w:r>
    </w:p>
    <w:p w:rsidR="008F7B65" w:rsidRPr="008F7B65" w:rsidRDefault="008F7B65" w:rsidP="00171802">
      <w:pPr>
        <w:pStyle w:val="ListParagraph"/>
        <w:rPr>
          <w:rFonts w:cs="Arial"/>
          <w:sz w:val="22"/>
          <w:szCs w:val="22"/>
        </w:rPr>
      </w:pPr>
    </w:p>
    <w:p w:rsidR="008F7B65" w:rsidRPr="008F7B65" w:rsidRDefault="008F7B65" w:rsidP="00171802">
      <w:pPr>
        <w:pStyle w:val="ListParagraph"/>
        <w:rPr>
          <w:rFonts w:cs="Arial"/>
          <w:sz w:val="22"/>
          <w:szCs w:val="22"/>
        </w:rPr>
      </w:pPr>
    </w:p>
    <w:p w:rsidR="008F7B65" w:rsidRPr="008F7B65" w:rsidRDefault="008F7B65">
      <w:pPr>
        <w:rPr>
          <w:sz w:val="22"/>
          <w:szCs w:val="22"/>
          <w:lang w:val="en-IN"/>
        </w:rPr>
      </w:pPr>
    </w:p>
    <w:p w:rsidR="008F7B65" w:rsidRPr="008F7B65" w:rsidRDefault="008F7B65" w:rsidP="00171802">
      <w:pPr>
        <w:pStyle w:val="Endofdocument-Annex"/>
        <w:rPr>
          <w:szCs w:val="22"/>
          <w:lang w:val="en-IN"/>
        </w:rPr>
      </w:pPr>
      <w:r w:rsidRPr="008F7B65">
        <w:rPr>
          <w:szCs w:val="22"/>
          <w:lang w:val="en-IN"/>
        </w:rPr>
        <w:t>[Document WO/PBC/23/2 follows]</w:t>
      </w:r>
    </w:p>
    <w:p w:rsidR="008F7B65" w:rsidRPr="008F7B65" w:rsidRDefault="008F7B65" w:rsidP="007F6F24">
      <w:pPr>
        <w:pStyle w:val="ONUME"/>
        <w:rPr>
          <w:sz w:val="22"/>
          <w:szCs w:val="22"/>
        </w:rPr>
      </w:pPr>
    </w:p>
    <w:p w:rsidR="008F7B65" w:rsidRPr="008F7B65" w:rsidRDefault="008F7B65" w:rsidP="007F6F24">
      <w:pPr>
        <w:pStyle w:val="ONUME"/>
        <w:rPr>
          <w:sz w:val="22"/>
          <w:szCs w:val="22"/>
        </w:rPr>
      </w:pPr>
    </w:p>
    <w:p w:rsidR="008F7B65" w:rsidRPr="008F7B65" w:rsidRDefault="008F7B65" w:rsidP="007F6F24">
      <w:pPr>
        <w:pStyle w:val="ONUME"/>
        <w:rPr>
          <w:sz w:val="22"/>
          <w:szCs w:val="22"/>
        </w:rPr>
      </w:pPr>
    </w:p>
    <w:p w:rsidR="008F7B65" w:rsidRDefault="008F7B65" w:rsidP="007F6F24">
      <w:pPr>
        <w:pStyle w:val="ONUME"/>
      </w:pPr>
    </w:p>
    <w:p w:rsidR="008F7B65" w:rsidRDefault="008F7B65" w:rsidP="007F6F24">
      <w:pPr>
        <w:pStyle w:val="ONUME"/>
        <w:sectPr w:rsidR="008F7B65" w:rsidSect="00E31A65">
          <w:headerReference w:type="even" r:id="rId10"/>
          <w:headerReference w:type="default" r:id="rId11"/>
          <w:footerReference w:type="even" r:id="rId12"/>
          <w:footerReference w:type="default" r:id="rId13"/>
          <w:pgSz w:w="11907" w:h="16840" w:code="9"/>
          <w:pgMar w:top="426" w:right="1134" w:bottom="1418" w:left="1418" w:header="567" w:footer="1021" w:gutter="0"/>
          <w:pgNumType w:start="1"/>
          <w:cols w:space="720"/>
          <w:titlePg/>
          <w:docGrid w:linePitch="272"/>
        </w:sectPr>
      </w:pPr>
    </w:p>
    <w:p w:rsidR="007F6F24" w:rsidRPr="007F6F24" w:rsidRDefault="007F6F24" w:rsidP="007F6F24">
      <w:pPr>
        <w:pStyle w:val="ONUME"/>
      </w:pPr>
    </w:p>
    <w:tbl>
      <w:tblPr>
        <w:tblW w:w="9356" w:type="dxa"/>
        <w:tblInd w:w="108" w:type="dxa"/>
        <w:tblLayout w:type="fixed"/>
        <w:tblLook w:val="01E0" w:firstRow="1" w:lastRow="1" w:firstColumn="1" w:lastColumn="1" w:noHBand="0" w:noVBand="0"/>
      </w:tblPr>
      <w:tblGrid>
        <w:gridCol w:w="4513"/>
        <w:gridCol w:w="4337"/>
        <w:gridCol w:w="506"/>
      </w:tblGrid>
      <w:tr w:rsidR="00FE0B36" w:rsidRPr="008B2CC1" w:rsidTr="00E023E5">
        <w:tc>
          <w:tcPr>
            <w:tcW w:w="4513" w:type="dxa"/>
            <w:tcBorders>
              <w:bottom w:val="single" w:sz="4" w:space="0" w:color="auto"/>
            </w:tcBorders>
            <w:tcMar>
              <w:bottom w:w="170" w:type="dxa"/>
            </w:tcMar>
          </w:tcPr>
          <w:p w:rsidR="00FE0B36" w:rsidRPr="008B2CC1" w:rsidRDefault="00FE0B36" w:rsidP="00E023E5"/>
        </w:tc>
        <w:tc>
          <w:tcPr>
            <w:tcW w:w="4337" w:type="dxa"/>
            <w:tcBorders>
              <w:bottom w:val="single" w:sz="4" w:space="0" w:color="auto"/>
            </w:tcBorders>
            <w:tcMar>
              <w:left w:w="0" w:type="dxa"/>
              <w:right w:w="0" w:type="dxa"/>
            </w:tcMar>
          </w:tcPr>
          <w:p w:rsidR="00FE0B36" w:rsidRPr="008B2CC1" w:rsidRDefault="00FE0B36" w:rsidP="00E023E5">
            <w:r>
              <w:rPr>
                <w:noProof/>
              </w:rPr>
              <w:drawing>
                <wp:inline distT="0" distB="0" distL="0" distR="0" wp14:anchorId="4595A407" wp14:editId="18C28420">
                  <wp:extent cx="1857375" cy="1323975"/>
                  <wp:effectExtent l="0" t="0" r="9525" b="9525"/>
                  <wp:docPr id="5" name="Picture 5"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FE0B36" w:rsidRPr="008B2CC1" w:rsidRDefault="00FE0B36" w:rsidP="00E023E5">
            <w:pPr>
              <w:jc w:val="right"/>
            </w:pPr>
            <w:r w:rsidRPr="00605827">
              <w:rPr>
                <w:b/>
                <w:sz w:val="40"/>
                <w:szCs w:val="40"/>
              </w:rPr>
              <w:t>E</w:t>
            </w:r>
          </w:p>
        </w:tc>
      </w:tr>
      <w:tr w:rsidR="00FE0B36" w:rsidRPr="001832A6" w:rsidTr="00E023E5">
        <w:trPr>
          <w:trHeight w:hRule="exact" w:val="340"/>
        </w:trPr>
        <w:tc>
          <w:tcPr>
            <w:tcW w:w="9356" w:type="dxa"/>
            <w:gridSpan w:val="3"/>
            <w:tcBorders>
              <w:top w:val="single" w:sz="4" w:space="0" w:color="auto"/>
            </w:tcBorders>
            <w:tcMar>
              <w:top w:w="170" w:type="dxa"/>
              <w:left w:w="0" w:type="dxa"/>
              <w:right w:w="0" w:type="dxa"/>
            </w:tcMar>
            <w:vAlign w:val="bottom"/>
          </w:tcPr>
          <w:p w:rsidR="00FE0B36" w:rsidRPr="0090731E" w:rsidRDefault="00FE0B36" w:rsidP="00E023E5">
            <w:pPr>
              <w:jc w:val="right"/>
              <w:rPr>
                <w:rFonts w:ascii="Arial Black" w:hAnsi="Arial Black"/>
                <w:caps/>
                <w:sz w:val="15"/>
              </w:rPr>
            </w:pPr>
            <w:r>
              <w:rPr>
                <w:rFonts w:ascii="Arial Black" w:hAnsi="Arial Black"/>
                <w:caps/>
                <w:sz w:val="15"/>
              </w:rPr>
              <w:t>wo/pbc/23/</w:t>
            </w:r>
            <w:bookmarkStart w:id="3" w:name="Code"/>
            <w:bookmarkEnd w:id="3"/>
            <w:r>
              <w:rPr>
                <w:rFonts w:ascii="Arial Black" w:hAnsi="Arial Black"/>
                <w:caps/>
                <w:sz w:val="15"/>
              </w:rPr>
              <w:t>2</w:t>
            </w:r>
          </w:p>
        </w:tc>
      </w:tr>
      <w:tr w:rsidR="00FE0B36" w:rsidRPr="001832A6" w:rsidTr="00E023E5">
        <w:trPr>
          <w:trHeight w:hRule="exact" w:val="170"/>
        </w:trPr>
        <w:tc>
          <w:tcPr>
            <w:tcW w:w="9356" w:type="dxa"/>
            <w:gridSpan w:val="3"/>
            <w:noWrap/>
            <w:tcMar>
              <w:left w:w="0" w:type="dxa"/>
              <w:right w:w="0" w:type="dxa"/>
            </w:tcMar>
            <w:vAlign w:val="bottom"/>
          </w:tcPr>
          <w:p w:rsidR="00FE0B36" w:rsidRPr="0090731E" w:rsidRDefault="00FE0B36" w:rsidP="00E023E5">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bookmarkStart w:id="4" w:name="Original"/>
            <w:bookmarkEnd w:id="4"/>
            <w:r>
              <w:rPr>
                <w:rFonts w:ascii="Arial Black" w:hAnsi="Arial Black"/>
                <w:caps/>
                <w:sz w:val="15"/>
              </w:rPr>
              <w:t>ENGLISH</w:t>
            </w:r>
          </w:p>
        </w:tc>
      </w:tr>
      <w:tr w:rsidR="00FE0B36" w:rsidRPr="001832A6" w:rsidTr="00E023E5">
        <w:trPr>
          <w:trHeight w:hRule="exact" w:val="198"/>
        </w:trPr>
        <w:tc>
          <w:tcPr>
            <w:tcW w:w="9356" w:type="dxa"/>
            <w:gridSpan w:val="3"/>
            <w:tcMar>
              <w:left w:w="0" w:type="dxa"/>
              <w:right w:w="0" w:type="dxa"/>
            </w:tcMar>
            <w:vAlign w:val="bottom"/>
          </w:tcPr>
          <w:p w:rsidR="00FE0B36" w:rsidRPr="0090731E" w:rsidRDefault="00FE0B36" w:rsidP="00845557">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 xml:space="preserve"> </w:t>
            </w:r>
            <w:bookmarkStart w:id="5" w:name="Date"/>
            <w:bookmarkEnd w:id="5"/>
            <w:r w:rsidR="00845557">
              <w:rPr>
                <w:rFonts w:ascii="Arial Black" w:hAnsi="Arial Black"/>
                <w:caps/>
                <w:sz w:val="15"/>
              </w:rPr>
              <w:t>JUNE 15</w:t>
            </w:r>
            <w:r>
              <w:rPr>
                <w:rFonts w:ascii="Arial Black" w:hAnsi="Arial Black"/>
                <w:caps/>
                <w:sz w:val="15"/>
              </w:rPr>
              <w:t>, 201</w:t>
            </w:r>
            <w:r w:rsidR="00845557">
              <w:rPr>
                <w:rFonts w:ascii="Arial Black" w:hAnsi="Arial Black"/>
                <w:caps/>
                <w:sz w:val="15"/>
              </w:rPr>
              <w:t>5</w:t>
            </w:r>
          </w:p>
        </w:tc>
      </w:tr>
    </w:tbl>
    <w:p w:rsidR="00FE0B36" w:rsidRPr="008B2CC1" w:rsidRDefault="00FE0B36" w:rsidP="00E023E5"/>
    <w:p w:rsidR="00FE0B36" w:rsidRPr="008B2CC1" w:rsidRDefault="00FE0B36" w:rsidP="00E023E5"/>
    <w:p w:rsidR="00FE0B36" w:rsidRPr="008B2CC1" w:rsidRDefault="00FE0B36" w:rsidP="00E023E5"/>
    <w:p w:rsidR="00FE0B36" w:rsidRPr="008B2CC1" w:rsidRDefault="00FE0B36" w:rsidP="00E023E5"/>
    <w:p w:rsidR="00FE0B36" w:rsidRPr="008B2CC1" w:rsidRDefault="00FE0B36" w:rsidP="00E023E5"/>
    <w:p w:rsidR="00FE0B36" w:rsidRPr="00E9276B" w:rsidRDefault="00FE0B36" w:rsidP="00E023E5">
      <w:pPr>
        <w:rPr>
          <w:b/>
          <w:sz w:val="28"/>
          <w:szCs w:val="28"/>
        </w:rPr>
      </w:pPr>
      <w:r w:rsidRPr="00E9276B">
        <w:rPr>
          <w:b/>
          <w:sz w:val="28"/>
          <w:szCs w:val="28"/>
        </w:rPr>
        <w:t>Program and Budget Committee</w:t>
      </w:r>
    </w:p>
    <w:p w:rsidR="00FE0B36" w:rsidRDefault="00FE0B36" w:rsidP="00E023E5"/>
    <w:p w:rsidR="00FE0B36" w:rsidRDefault="00FE0B36" w:rsidP="00E023E5"/>
    <w:p w:rsidR="00FE0B36" w:rsidRPr="00E9276B" w:rsidRDefault="00FE0B36" w:rsidP="00E023E5">
      <w:pPr>
        <w:rPr>
          <w:b/>
          <w:sz w:val="24"/>
        </w:rPr>
      </w:pPr>
      <w:r w:rsidRPr="00E9276B">
        <w:rPr>
          <w:b/>
          <w:sz w:val="24"/>
        </w:rPr>
        <w:t xml:space="preserve">Twenty-Third </w:t>
      </w:r>
      <w:proofErr w:type="gramStart"/>
      <w:r w:rsidRPr="00E9276B">
        <w:rPr>
          <w:b/>
          <w:sz w:val="24"/>
        </w:rPr>
        <w:t>Session</w:t>
      </w:r>
      <w:proofErr w:type="gramEnd"/>
    </w:p>
    <w:p w:rsidR="00FE0B36" w:rsidRPr="00E9276B" w:rsidRDefault="00FE0B36" w:rsidP="00E023E5">
      <w:pPr>
        <w:rPr>
          <w:b/>
          <w:sz w:val="24"/>
        </w:rPr>
      </w:pPr>
      <w:r w:rsidRPr="00E9276B">
        <w:rPr>
          <w:b/>
          <w:sz w:val="24"/>
        </w:rPr>
        <w:t>Geneva, July 13 to 17, 2015</w:t>
      </w:r>
    </w:p>
    <w:p w:rsidR="00FE0B36" w:rsidRPr="008B2CC1" w:rsidRDefault="00FE0B36" w:rsidP="00E023E5"/>
    <w:p w:rsidR="00FE0B36" w:rsidRPr="008B2CC1" w:rsidRDefault="00FE0B36" w:rsidP="00E023E5"/>
    <w:p w:rsidR="00FE0B36" w:rsidRPr="008B2CC1" w:rsidRDefault="00FE0B36" w:rsidP="00E023E5"/>
    <w:p w:rsidR="00FE0B36" w:rsidRPr="003845C1" w:rsidRDefault="00FE0B36" w:rsidP="00E023E5">
      <w:pPr>
        <w:rPr>
          <w:caps/>
          <w:sz w:val="24"/>
        </w:rPr>
      </w:pPr>
      <w:bookmarkStart w:id="6" w:name="TitleOfDoc"/>
      <w:bookmarkEnd w:id="6"/>
      <w:r>
        <w:rPr>
          <w:caps/>
          <w:sz w:val="24"/>
        </w:rPr>
        <w:t>PROGRAM PERFORMANCE REPORT for 2014</w:t>
      </w:r>
    </w:p>
    <w:p w:rsidR="00FE0B36" w:rsidRPr="008B2CC1" w:rsidRDefault="00FE0B36" w:rsidP="00E023E5"/>
    <w:p w:rsidR="00FE0B36" w:rsidRPr="00FE0B36" w:rsidRDefault="00FE0B36" w:rsidP="00E023E5">
      <w:pPr>
        <w:rPr>
          <w:i/>
          <w:sz w:val="22"/>
        </w:rPr>
      </w:pPr>
      <w:proofErr w:type="gramStart"/>
      <w:r w:rsidRPr="00FE0B36">
        <w:rPr>
          <w:i/>
          <w:sz w:val="22"/>
        </w:rPr>
        <w:t>presented</w:t>
      </w:r>
      <w:proofErr w:type="gramEnd"/>
      <w:r w:rsidRPr="00FE0B36">
        <w:rPr>
          <w:i/>
          <w:sz w:val="22"/>
        </w:rPr>
        <w:t xml:space="preserve"> by the Director General</w:t>
      </w:r>
    </w:p>
    <w:p w:rsidR="00FE0B36" w:rsidRPr="00FE0B36" w:rsidRDefault="00FE0B36" w:rsidP="00E023E5">
      <w:pPr>
        <w:rPr>
          <w:sz w:val="22"/>
          <w:szCs w:val="22"/>
        </w:rPr>
      </w:pPr>
    </w:p>
    <w:p w:rsidR="00FE0B36" w:rsidRPr="00FE0B36" w:rsidRDefault="00FE0B36" w:rsidP="00E023E5">
      <w:pPr>
        <w:rPr>
          <w:sz w:val="22"/>
          <w:szCs w:val="22"/>
        </w:rPr>
      </w:pPr>
    </w:p>
    <w:p w:rsidR="00FE0B36" w:rsidRPr="00FE0B36" w:rsidRDefault="00FE0B36" w:rsidP="00E023E5">
      <w:pPr>
        <w:rPr>
          <w:sz w:val="22"/>
          <w:szCs w:val="22"/>
        </w:rPr>
      </w:pPr>
    </w:p>
    <w:p w:rsidR="00FE0B36" w:rsidRPr="00FE0B36" w:rsidRDefault="00FE0B36" w:rsidP="00E023E5">
      <w:pPr>
        <w:rPr>
          <w:sz w:val="22"/>
          <w:szCs w:val="22"/>
        </w:rPr>
      </w:pPr>
    </w:p>
    <w:p w:rsidR="00FE0B36" w:rsidRPr="00FE0B36" w:rsidRDefault="00FE0B36" w:rsidP="00E023E5">
      <w:pPr>
        <w:rPr>
          <w:sz w:val="22"/>
          <w:szCs w:val="22"/>
        </w:rPr>
      </w:pPr>
      <w:r w:rsidRPr="00FE0B36">
        <w:rPr>
          <w:sz w:val="22"/>
          <w:szCs w:val="22"/>
        </w:rPr>
        <w:t>1.</w:t>
      </w:r>
      <w:r w:rsidRPr="00FE0B36">
        <w:rPr>
          <w:sz w:val="22"/>
          <w:szCs w:val="22"/>
        </w:rPr>
        <w:tab/>
        <w:t xml:space="preserve">The Program Performance Report (PPR) for 2014 has been prepared in accordance with WIPO’s results-based </w:t>
      </w:r>
      <w:r w:rsidR="003C6933">
        <w:rPr>
          <w:sz w:val="22"/>
          <w:szCs w:val="22"/>
        </w:rPr>
        <w:t xml:space="preserve">management </w:t>
      </w:r>
      <w:r w:rsidRPr="00FE0B36">
        <w:rPr>
          <w:sz w:val="22"/>
          <w:szCs w:val="22"/>
        </w:rPr>
        <w:t>framework.  The present report is based on the performance criteria established in the 2014/15 Program and Budget, as approved by the Assemblies of the Member States of WIPO in December 2013 (publication No. 360E/PB14/15).  The Report provides an assessment of progress made in 2014 towards achieving the expected results for the biennium 2014/15.</w:t>
      </w:r>
    </w:p>
    <w:p w:rsidR="006C404A" w:rsidRPr="00FE0B36" w:rsidRDefault="006C404A" w:rsidP="00E023E5">
      <w:pPr>
        <w:rPr>
          <w:color w:val="000000"/>
          <w:sz w:val="22"/>
          <w:szCs w:val="22"/>
        </w:rPr>
      </w:pPr>
    </w:p>
    <w:p w:rsidR="00FE0B36" w:rsidRPr="00FE0B36" w:rsidRDefault="00FE0B36" w:rsidP="003C6933">
      <w:pPr>
        <w:pStyle w:val="ListParagraph"/>
        <w:tabs>
          <w:tab w:val="left" w:pos="1134"/>
          <w:tab w:val="left" w:pos="6660"/>
        </w:tabs>
        <w:ind w:left="6120"/>
        <w:contextualSpacing/>
        <w:rPr>
          <w:rFonts w:cs="Arial"/>
          <w:i/>
          <w:sz w:val="22"/>
          <w:szCs w:val="22"/>
        </w:rPr>
      </w:pPr>
      <w:r w:rsidRPr="009E5BE8">
        <w:rPr>
          <w:i/>
          <w:sz w:val="22"/>
          <w:szCs w:val="22"/>
        </w:rPr>
        <w:t>2.</w:t>
      </w:r>
      <w:r w:rsidRPr="00FE0B36">
        <w:rPr>
          <w:sz w:val="22"/>
          <w:szCs w:val="22"/>
        </w:rPr>
        <w:tab/>
      </w:r>
      <w:r w:rsidRPr="00FE0B36">
        <w:rPr>
          <w:i/>
          <w:sz w:val="22"/>
          <w:szCs w:val="22"/>
        </w:rPr>
        <w:t>The Program and Budget Committee (PBC), having reviewed the Program Performance Report (PPR) for 2014 (document WO/PBC/23/2), and recognizing its nature as a self</w:t>
      </w:r>
      <w:r w:rsidRPr="00FE0B36">
        <w:rPr>
          <w:i/>
          <w:sz w:val="22"/>
          <w:szCs w:val="22"/>
        </w:rPr>
        <w:noBreakHyphen/>
        <w:t>assessment of the Secretariat, recommended that the Assemblies of the Member States of WIPO</w:t>
      </w:r>
      <w:r w:rsidR="003C6933">
        <w:rPr>
          <w:i/>
          <w:sz w:val="22"/>
          <w:szCs w:val="22"/>
        </w:rPr>
        <w:t xml:space="preserve"> </w:t>
      </w:r>
      <w:r w:rsidRPr="00FE0B36">
        <w:rPr>
          <w:rFonts w:cs="Arial"/>
          <w:i/>
          <w:sz w:val="22"/>
          <w:szCs w:val="22"/>
        </w:rPr>
        <w:t xml:space="preserve">acknowledge Programs’ </w:t>
      </w:r>
      <w:r w:rsidR="003C6933">
        <w:rPr>
          <w:rFonts w:cs="Arial"/>
          <w:i/>
          <w:sz w:val="22"/>
          <w:szCs w:val="22"/>
        </w:rPr>
        <w:t>progress made in 2014 towards achieving</w:t>
      </w:r>
      <w:r w:rsidRPr="00FE0B36">
        <w:rPr>
          <w:rFonts w:cs="Arial"/>
          <w:i/>
          <w:sz w:val="22"/>
          <w:szCs w:val="22"/>
        </w:rPr>
        <w:t xml:space="preserve"> the expected results</w:t>
      </w:r>
      <w:r w:rsidR="00B9323D">
        <w:rPr>
          <w:rFonts w:cs="Arial"/>
          <w:i/>
          <w:sz w:val="22"/>
          <w:szCs w:val="22"/>
        </w:rPr>
        <w:t>.</w:t>
      </w:r>
      <w:r w:rsidRPr="00FE0B36">
        <w:rPr>
          <w:rFonts w:cs="Arial"/>
          <w:i/>
          <w:sz w:val="22"/>
          <w:szCs w:val="22"/>
        </w:rPr>
        <w:t xml:space="preserve"> </w:t>
      </w:r>
    </w:p>
    <w:p w:rsidR="00FE0B36" w:rsidRPr="00FE0B36" w:rsidRDefault="00FE0B36" w:rsidP="00E023E5">
      <w:pPr>
        <w:pStyle w:val="DecisionInvitingPara"/>
        <w:tabs>
          <w:tab w:val="left" w:pos="6096"/>
        </w:tabs>
        <w:ind w:left="5529" w:firstLine="5"/>
        <w:rPr>
          <w:sz w:val="22"/>
          <w:szCs w:val="22"/>
        </w:rPr>
      </w:pPr>
    </w:p>
    <w:p w:rsidR="00FE0B36" w:rsidRPr="00FE0B36" w:rsidRDefault="00FE0B36" w:rsidP="00E023E5">
      <w:pPr>
        <w:pStyle w:val="DecisionInvitingPara"/>
        <w:ind w:left="6237" w:hanging="703"/>
        <w:rPr>
          <w:sz w:val="22"/>
          <w:szCs w:val="22"/>
        </w:rPr>
      </w:pPr>
    </w:p>
    <w:p w:rsidR="00FE0B36" w:rsidRPr="00FE0B36" w:rsidRDefault="00FE0B36" w:rsidP="00E023E5">
      <w:pPr>
        <w:pStyle w:val="DecisionInvitingPara"/>
        <w:ind w:left="5529"/>
        <w:rPr>
          <w:i w:val="0"/>
          <w:iCs/>
          <w:sz w:val="22"/>
          <w:szCs w:val="22"/>
        </w:rPr>
      </w:pPr>
      <w:r w:rsidRPr="00FE0B36">
        <w:rPr>
          <w:i w:val="0"/>
          <w:iCs/>
          <w:sz w:val="22"/>
          <w:szCs w:val="22"/>
        </w:rPr>
        <w:t>[Program Performance Report for 2014 follows]</w:t>
      </w:r>
    </w:p>
    <w:p w:rsidR="007F6F24" w:rsidRDefault="007F6F24" w:rsidP="007F6F24">
      <w:pPr>
        <w:pStyle w:val="ONUME"/>
      </w:pPr>
    </w:p>
    <w:p w:rsidR="007F6F24" w:rsidRDefault="007F6F24" w:rsidP="007F6F24">
      <w:pPr>
        <w:pStyle w:val="ONUME"/>
        <w:sectPr w:rsidR="007F6F24" w:rsidSect="00E31A65">
          <w:pgSz w:w="11907" w:h="16840" w:code="9"/>
          <w:pgMar w:top="426" w:right="1134" w:bottom="1418" w:left="1418" w:header="567" w:footer="1021" w:gutter="0"/>
          <w:pgNumType w:start="1"/>
          <w:cols w:space="720"/>
          <w:titlePg/>
          <w:docGrid w:linePitch="272"/>
        </w:sectPr>
      </w:pPr>
    </w:p>
    <w:p w:rsidR="007F6F24" w:rsidRPr="00D339EC" w:rsidRDefault="00D339EC" w:rsidP="00D339EC">
      <w:pPr>
        <w:pStyle w:val="ONUME"/>
        <w:jc w:val="center"/>
        <w:rPr>
          <w:b/>
          <w:sz w:val="22"/>
        </w:rPr>
      </w:pPr>
      <w:r w:rsidRPr="00D339EC">
        <w:rPr>
          <w:b/>
          <w:sz w:val="22"/>
        </w:rPr>
        <w:lastRenderedPageBreak/>
        <w:t>PROGRAM PERFORMANCE REPORT FOR 2014</w:t>
      </w:r>
    </w:p>
    <w:p w:rsidR="007F6F24" w:rsidRPr="001E4922" w:rsidRDefault="007F6F24">
      <w:pPr>
        <w:rPr>
          <w:rFonts w:asciiTheme="majorHAnsi" w:eastAsiaTheme="majorEastAsia" w:hAnsiTheme="majorHAnsi" w:cstheme="majorBidi"/>
          <w:b/>
          <w:bCs/>
          <w:sz w:val="22"/>
          <w:szCs w:val="28"/>
          <w:lang w:eastAsia="ja-JP"/>
        </w:rPr>
      </w:pPr>
    </w:p>
    <w:p w:rsidR="007F6F24" w:rsidRPr="00D339EC" w:rsidRDefault="007F6F24" w:rsidP="00D339EC">
      <w:pPr>
        <w:jc w:val="center"/>
        <w:rPr>
          <w:rFonts w:eastAsiaTheme="majorEastAsia" w:cs="Arial"/>
          <w:bCs/>
          <w:sz w:val="22"/>
          <w:szCs w:val="28"/>
          <w:lang w:eastAsia="ja-JP"/>
        </w:rPr>
      </w:pPr>
      <w:r w:rsidRPr="00D339EC">
        <w:rPr>
          <w:rFonts w:eastAsiaTheme="majorEastAsia" w:cs="Arial"/>
          <w:bCs/>
          <w:sz w:val="22"/>
          <w:szCs w:val="28"/>
          <w:lang w:eastAsia="ja-JP"/>
        </w:rPr>
        <w:t>TABLE OF CONTENTS</w:t>
      </w:r>
    </w:p>
    <w:p w:rsidR="007F6F24" w:rsidRPr="001E4922" w:rsidRDefault="007F6F24">
      <w:pPr>
        <w:rPr>
          <w:rFonts w:asciiTheme="majorHAnsi" w:eastAsiaTheme="majorEastAsia" w:hAnsiTheme="majorHAnsi" w:cstheme="majorBidi"/>
          <w:b/>
          <w:bCs/>
          <w:sz w:val="16"/>
          <w:szCs w:val="28"/>
          <w:lang w:eastAsia="ja-JP"/>
        </w:rPr>
      </w:pPr>
    </w:p>
    <w:p w:rsidR="005432AF" w:rsidRDefault="007F6F24">
      <w:pPr>
        <w:pStyle w:val="TOC1"/>
        <w:rPr>
          <w:rFonts w:eastAsiaTheme="minorEastAsia" w:cstheme="minorBidi"/>
          <w:b w:val="0"/>
          <w:bCs w:val="0"/>
          <w:caps w:val="0"/>
          <w:noProof/>
          <w:sz w:val="22"/>
          <w:szCs w:val="22"/>
        </w:rPr>
      </w:pPr>
      <w:r>
        <w:fldChar w:fldCharType="begin"/>
      </w:r>
      <w:r>
        <w:instrText xml:space="preserve"> TOC \o "1-3" \h \z \u </w:instrText>
      </w:r>
      <w:r>
        <w:fldChar w:fldCharType="separate"/>
      </w:r>
      <w:hyperlink w:anchor="_Toc422210473" w:history="1">
        <w:r w:rsidR="005432AF" w:rsidRPr="009F0725">
          <w:rPr>
            <w:rStyle w:val="Hyperlink"/>
            <w:noProof/>
          </w:rPr>
          <w:t>I.</w:t>
        </w:r>
        <w:r w:rsidR="005432AF">
          <w:rPr>
            <w:rFonts w:eastAsiaTheme="minorEastAsia" w:cstheme="minorBidi"/>
            <w:b w:val="0"/>
            <w:bCs w:val="0"/>
            <w:caps w:val="0"/>
            <w:noProof/>
            <w:sz w:val="22"/>
            <w:szCs w:val="22"/>
          </w:rPr>
          <w:tab/>
        </w:r>
        <w:r w:rsidR="005432AF" w:rsidRPr="009F0725">
          <w:rPr>
            <w:rStyle w:val="Hyperlink"/>
            <w:noProof/>
          </w:rPr>
          <w:t>INTRODUCTION</w:t>
        </w:r>
        <w:r w:rsidR="005432AF">
          <w:rPr>
            <w:noProof/>
            <w:webHidden/>
          </w:rPr>
          <w:tab/>
        </w:r>
        <w:r w:rsidR="005432AF">
          <w:rPr>
            <w:noProof/>
            <w:webHidden/>
          </w:rPr>
          <w:fldChar w:fldCharType="begin"/>
        </w:r>
        <w:r w:rsidR="005432AF">
          <w:rPr>
            <w:noProof/>
            <w:webHidden/>
          </w:rPr>
          <w:instrText xml:space="preserve"> PAGEREF _Toc422210473 \h </w:instrText>
        </w:r>
        <w:r w:rsidR="005432AF">
          <w:rPr>
            <w:noProof/>
            <w:webHidden/>
          </w:rPr>
        </w:r>
        <w:r w:rsidR="005432AF">
          <w:rPr>
            <w:noProof/>
            <w:webHidden/>
          </w:rPr>
          <w:fldChar w:fldCharType="separate"/>
        </w:r>
        <w:r w:rsidR="000C419F">
          <w:rPr>
            <w:noProof/>
            <w:webHidden/>
          </w:rPr>
          <w:t>3</w:t>
        </w:r>
        <w:r w:rsidR="005432AF">
          <w:rPr>
            <w:noProof/>
            <w:webHidden/>
          </w:rPr>
          <w:fldChar w:fldCharType="end"/>
        </w:r>
      </w:hyperlink>
    </w:p>
    <w:p w:rsidR="005432AF" w:rsidRDefault="000C419F">
      <w:pPr>
        <w:pStyle w:val="TOC1"/>
        <w:rPr>
          <w:rFonts w:eastAsiaTheme="minorEastAsia" w:cstheme="minorBidi"/>
          <w:b w:val="0"/>
          <w:bCs w:val="0"/>
          <w:caps w:val="0"/>
          <w:noProof/>
          <w:sz w:val="22"/>
          <w:szCs w:val="22"/>
        </w:rPr>
      </w:pPr>
      <w:hyperlink w:anchor="_Toc422210474" w:history="1">
        <w:r w:rsidR="005432AF" w:rsidRPr="009F0725">
          <w:rPr>
            <w:rStyle w:val="Hyperlink"/>
            <w:noProof/>
          </w:rPr>
          <w:t>II.</w:t>
        </w:r>
        <w:r w:rsidR="005432AF">
          <w:rPr>
            <w:rFonts w:eastAsiaTheme="minorEastAsia" w:cstheme="minorBidi"/>
            <w:b w:val="0"/>
            <w:bCs w:val="0"/>
            <w:caps w:val="0"/>
            <w:noProof/>
            <w:sz w:val="22"/>
            <w:szCs w:val="22"/>
          </w:rPr>
          <w:tab/>
        </w:r>
        <w:r w:rsidR="005432AF" w:rsidRPr="009F0725">
          <w:rPr>
            <w:rStyle w:val="Hyperlink"/>
            <w:noProof/>
          </w:rPr>
          <w:t>SUMMARY OF ACHIEVEMENTS IN 2014</w:t>
        </w:r>
        <w:r w:rsidR="005432AF">
          <w:rPr>
            <w:noProof/>
            <w:webHidden/>
          </w:rPr>
          <w:tab/>
        </w:r>
        <w:r w:rsidR="005432AF">
          <w:rPr>
            <w:noProof/>
            <w:webHidden/>
          </w:rPr>
          <w:fldChar w:fldCharType="begin"/>
        </w:r>
        <w:r w:rsidR="005432AF">
          <w:rPr>
            <w:noProof/>
            <w:webHidden/>
          </w:rPr>
          <w:instrText xml:space="preserve"> PAGEREF _Toc422210474 \h </w:instrText>
        </w:r>
        <w:r w:rsidR="005432AF">
          <w:rPr>
            <w:noProof/>
            <w:webHidden/>
          </w:rPr>
        </w:r>
        <w:r w:rsidR="005432AF">
          <w:rPr>
            <w:noProof/>
            <w:webHidden/>
          </w:rPr>
          <w:fldChar w:fldCharType="separate"/>
        </w:r>
        <w:r>
          <w:rPr>
            <w:noProof/>
            <w:webHidden/>
          </w:rPr>
          <w:t>4</w:t>
        </w:r>
        <w:r w:rsidR="005432AF">
          <w:rPr>
            <w:noProof/>
            <w:webHidden/>
          </w:rPr>
          <w:fldChar w:fldCharType="end"/>
        </w:r>
      </w:hyperlink>
    </w:p>
    <w:p w:rsidR="005432AF" w:rsidRDefault="000C419F">
      <w:pPr>
        <w:pStyle w:val="TOC1"/>
        <w:rPr>
          <w:rFonts w:eastAsiaTheme="minorEastAsia" w:cstheme="minorBidi"/>
          <w:b w:val="0"/>
          <w:bCs w:val="0"/>
          <w:caps w:val="0"/>
          <w:noProof/>
          <w:sz w:val="22"/>
          <w:szCs w:val="22"/>
        </w:rPr>
      </w:pPr>
      <w:hyperlink w:anchor="_Toc422210475" w:history="1">
        <w:r w:rsidR="005432AF" w:rsidRPr="009F0725">
          <w:rPr>
            <w:rStyle w:val="Hyperlink"/>
            <w:noProof/>
          </w:rPr>
          <w:t>III.</w:t>
        </w:r>
        <w:r w:rsidR="005432AF">
          <w:rPr>
            <w:rFonts w:eastAsiaTheme="minorEastAsia" w:cstheme="minorBidi"/>
            <w:b w:val="0"/>
            <w:bCs w:val="0"/>
            <w:caps w:val="0"/>
            <w:noProof/>
            <w:sz w:val="22"/>
            <w:szCs w:val="22"/>
          </w:rPr>
          <w:tab/>
        </w:r>
        <w:r w:rsidR="005432AF" w:rsidRPr="009F0725">
          <w:rPr>
            <w:rStyle w:val="Hyperlink"/>
            <w:noProof/>
          </w:rPr>
          <w:t>OVERVIEW OF PROGRESS IN 2014 BY STRATEGIC GOAL</w:t>
        </w:r>
        <w:r w:rsidR="005432AF">
          <w:rPr>
            <w:noProof/>
            <w:webHidden/>
          </w:rPr>
          <w:tab/>
        </w:r>
        <w:r w:rsidR="005432AF">
          <w:rPr>
            <w:noProof/>
            <w:webHidden/>
          </w:rPr>
          <w:fldChar w:fldCharType="begin"/>
        </w:r>
        <w:r w:rsidR="005432AF">
          <w:rPr>
            <w:noProof/>
            <w:webHidden/>
          </w:rPr>
          <w:instrText xml:space="preserve"> PAGEREF _Toc422210475 \h </w:instrText>
        </w:r>
        <w:r w:rsidR="005432AF">
          <w:rPr>
            <w:noProof/>
            <w:webHidden/>
          </w:rPr>
        </w:r>
        <w:r w:rsidR="005432AF">
          <w:rPr>
            <w:noProof/>
            <w:webHidden/>
          </w:rPr>
          <w:fldChar w:fldCharType="separate"/>
        </w:r>
        <w:r>
          <w:rPr>
            <w:noProof/>
            <w:webHidden/>
          </w:rPr>
          <w:t>18</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476" w:history="1">
        <w:r w:rsidR="005432AF" w:rsidRPr="009F0725">
          <w:rPr>
            <w:rStyle w:val="Hyperlink"/>
            <w:rFonts w:ascii="Arial" w:hAnsi="Arial"/>
            <w:noProof/>
          </w:rPr>
          <w:t>STRATEGIC GOAL I</w:t>
        </w:r>
        <w:r w:rsidR="005432AF">
          <w:rPr>
            <w:noProof/>
            <w:webHidden/>
          </w:rPr>
          <w:tab/>
        </w:r>
        <w:r w:rsidR="005432AF">
          <w:rPr>
            <w:noProof/>
            <w:webHidden/>
          </w:rPr>
          <w:fldChar w:fldCharType="begin"/>
        </w:r>
        <w:r w:rsidR="005432AF">
          <w:rPr>
            <w:noProof/>
            <w:webHidden/>
          </w:rPr>
          <w:instrText xml:space="preserve"> PAGEREF _Toc422210476 \h </w:instrText>
        </w:r>
        <w:r w:rsidR="005432AF">
          <w:rPr>
            <w:noProof/>
            <w:webHidden/>
          </w:rPr>
        </w:r>
        <w:r w:rsidR="005432AF">
          <w:rPr>
            <w:noProof/>
            <w:webHidden/>
          </w:rPr>
          <w:fldChar w:fldCharType="separate"/>
        </w:r>
        <w:r>
          <w:rPr>
            <w:noProof/>
            <w:webHidden/>
          </w:rPr>
          <w:t>18</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477" w:history="1">
        <w:r w:rsidR="005432AF" w:rsidRPr="009F0725">
          <w:rPr>
            <w:rStyle w:val="Hyperlink"/>
            <w:noProof/>
          </w:rPr>
          <w:t>PROGRAM 1</w:t>
        </w:r>
        <w:r w:rsidR="005432AF">
          <w:rPr>
            <w:rFonts w:eastAsiaTheme="minorEastAsia" w:cstheme="minorBidi"/>
            <w:smallCaps w:val="0"/>
            <w:noProof/>
            <w:sz w:val="22"/>
            <w:szCs w:val="22"/>
          </w:rPr>
          <w:tab/>
        </w:r>
        <w:r w:rsidR="005432AF" w:rsidRPr="009F0725">
          <w:rPr>
            <w:rStyle w:val="Hyperlink"/>
            <w:noProof/>
          </w:rPr>
          <w:t>PATENT LAW</w:t>
        </w:r>
        <w:r w:rsidR="005432AF">
          <w:rPr>
            <w:noProof/>
            <w:webHidden/>
          </w:rPr>
          <w:tab/>
        </w:r>
        <w:r w:rsidR="005432AF">
          <w:rPr>
            <w:noProof/>
            <w:webHidden/>
          </w:rPr>
          <w:fldChar w:fldCharType="begin"/>
        </w:r>
        <w:r w:rsidR="005432AF">
          <w:rPr>
            <w:noProof/>
            <w:webHidden/>
          </w:rPr>
          <w:instrText xml:space="preserve"> PAGEREF _Toc422210477 \h </w:instrText>
        </w:r>
        <w:r w:rsidR="005432AF">
          <w:rPr>
            <w:noProof/>
            <w:webHidden/>
          </w:rPr>
        </w:r>
        <w:r w:rsidR="005432AF">
          <w:rPr>
            <w:noProof/>
            <w:webHidden/>
          </w:rPr>
          <w:fldChar w:fldCharType="separate"/>
        </w:r>
        <w:r>
          <w:rPr>
            <w:noProof/>
            <w:webHidden/>
          </w:rPr>
          <w:t>20</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478" w:history="1">
        <w:r w:rsidR="005432AF" w:rsidRPr="009F0725">
          <w:rPr>
            <w:rStyle w:val="Hyperlink"/>
            <w:noProof/>
          </w:rPr>
          <w:t>PROGRAM 2</w:t>
        </w:r>
        <w:r w:rsidR="005432AF">
          <w:rPr>
            <w:rFonts w:eastAsiaTheme="minorEastAsia" w:cstheme="minorBidi"/>
            <w:smallCaps w:val="0"/>
            <w:noProof/>
            <w:sz w:val="22"/>
            <w:szCs w:val="22"/>
          </w:rPr>
          <w:tab/>
        </w:r>
        <w:r w:rsidR="005432AF" w:rsidRPr="009F0725">
          <w:rPr>
            <w:rStyle w:val="Hyperlink"/>
            <w:noProof/>
          </w:rPr>
          <w:t>TRADEMARKS, INDUSTRIAL DESIGNS AND GEOGRAPHICAL INDICATIONS</w:t>
        </w:r>
        <w:r w:rsidR="005432AF">
          <w:rPr>
            <w:noProof/>
            <w:webHidden/>
          </w:rPr>
          <w:tab/>
        </w:r>
        <w:r w:rsidR="005432AF">
          <w:rPr>
            <w:noProof/>
            <w:webHidden/>
          </w:rPr>
          <w:fldChar w:fldCharType="begin"/>
        </w:r>
        <w:r w:rsidR="005432AF">
          <w:rPr>
            <w:noProof/>
            <w:webHidden/>
          </w:rPr>
          <w:instrText xml:space="preserve"> PAGEREF _Toc422210478 \h </w:instrText>
        </w:r>
        <w:r w:rsidR="005432AF">
          <w:rPr>
            <w:noProof/>
            <w:webHidden/>
          </w:rPr>
        </w:r>
        <w:r w:rsidR="005432AF">
          <w:rPr>
            <w:noProof/>
            <w:webHidden/>
          </w:rPr>
          <w:fldChar w:fldCharType="separate"/>
        </w:r>
        <w:r>
          <w:rPr>
            <w:noProof/>
            <w:webHidden/>
          </w:rPr>
          <w:t>23</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479" w:history="1">
        <w:r w:rsidR="005432AF" w:rsidRPr="009F0725">
          <w:rPr>
            <w:rStyle w:val="Hyperlink"/>
            <w:noProof/>
          </w:rPr>
          <w:t>PROGRAM 3</w:t>
        </w:r>
        <w:r w:rsidR="005432AF">
          <w:rPr>
            <w:rFonts w:eastAsiaTheme="minorEastAsia" w:cstheme="minorBidi"/>
            <w:smallCaps w:val="0"/>
            <w:noProof/>
            <w:sz w:val="22"/>
            <w:szCs w:val="22"/>
          </w:rPr>
          <w:tab/>
        </w:r>
        <w:r w:rsidR="005432AF" w:rsidRPr="009F0725">
          <w:rPr>
            <w:rStyle w:val="Hyperlink"/>
            <w:noProof/>
          </w:rPr>
          <w:t>COPYRIGHT AND RELATED RIGHTS</w:t>
        </w:r>
        <w:r w:rsidR="005432AF">
          <w:rPr>
            <w:noProof/>
            <w:webHidden/>
          </w:rPr>
          <w:tab/>
        </w:r>
        <w:r w:rsidR="005432AF">
          <w:rPr>
            <w:noProof/>
            <w:webHidden/>
          </w:rPr>
          <w:fldChar w:fldCharType="begin"/>
        </w:r>
        <w:r w:rsidR="005432AF">
          <w:rPr>
            <w:noProof/>
            <w:webHidden/>
          </w:rPr>
          <w:instrText xml:space="preserve"> PAGEREF _Toc422210479 \h </w:instrText>
        </w:r>
        <w:r w:rsidR="005432AF">
          <w:rPr>
            <w:noProof/>
            <w:webHidden/>
          </w:rPr>
        </w:r>
        <w:r w:rsidR="005432AF">
          <w:rPr>
            <w:noProof/>
            <w:webHidden/>
          </w:rPr>
          <w:fldChar w:fldCharType="separate"/>
        </w:r>
        <w:r>
          <w:rPr>
            <w:noProof/>
            <w:webHidden/>
          </w:rPr>
          <w:t>26</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480" w:history="1">
        <w:r w:rsidR="005432AF" w:rsidRPr="009F0725">
          <w:rPr>
            <w:rStyle w:val="Hyperlink"/>
            <w:noProof/>
          </w:rPr>
          <w:t>PROGRAM 4</w:t>
        </w:r>
        <w:r w:rsidR="005432AF">
          <w:rPr>
            <w:rFonts w:eastAsiaTheme="minorEastAsia" w:cstheme="minorBidi"/>
            <w:smallCaps w:val="0"/>
            <w:noProof/>
            <w:sz w:val="22"/>
            <w:szCs w:val="22"/>
          </w:rPr>
          <w:tab/>
        </w:r>
        <w:r w:rsidR="005432AF" w:rsidRPr="009F0725">
          <w:rPr>
            <w:rStyle w:val="Hyperlink"/>
            <w:noProof/>
          </w:rPr>
          <w:t>TRADITIONAL KNOWLEDGE, TRADITIONAL CULTURAL EXPRESSIONS AND GENETIC RESOURCES</w:t>
        </w:r>
        <w:r w:rsidR="005432AF">
          <w:rPr>
            <w:noProof/>
            <w:webHidden/>
          </w:rPr>
          <w:tab/>
        </w:r>
        <w:r w:rsidR="005432AF">
          <w:rPr>
            <w:noProof/>
            <w:webHidden/>
          </w:rPr>
          <w:fldChar w:fldCharType="begin"/>
        </w:r>
        <w:r w:rsidR="005432AF">
          <w:rPr>
            <w:noProof/>
            <w:webHidden/>
          </w:rPr>
          <w:instrText xml:space="preserve"> PAGEREF _Toc422210480 \h </w:instrText>
        </w:r>
        <w:r w:rsidR="005432AF">
          <w:rPr>
            <w:noProof/>
            <w:webHidden/>
          </w:rPr>
        </w:r>
        <w:r w:rsidR="005432AF">
          <w:rPr>
            <w:noProof/>
            <w:webHidden/>
          </w:rPr>
          <w:fldChar w:fldCharType="separate"/>
        </w:r>
        <w:r>
          <w:rPr>
            <w:noProof/>
            <w:webHidden/>
          </w:rPr>
          <w:t>33</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481" w:history="1">
        <w:r w:rsidR="005432AF" w:rsidRPr="009F0725">
          <w:rPr>
            <w:rStyle w:val="Hyperlink"/>
            <w:rFonts w:ascii="Arial" w:hAnsi="Arial"/>
            <w:noProof/>
          </w:rPr>
          <w:t>STRATEGIC GOAL II</w:t>
        </w:r>
        <w:r w:rsidR="005432AF">
          <w:rPr>
            <w:noProof/>
            <w:webHidden/>
          </w:rPr>
          <w:tab/>
        </w:r>
        <w:r w:rsidR="005432AF">
          <w:rPr>
            <w:noProof/>
            <w:webHidden/>
          </w:rPr>
          <w:fldChar w:fldCharType="begin"/>
        </w:r>
        <w:r w:rsidR="005432AF">
          <w:rPr>
            <w:noProof/>
            <w:webHidden/>
          </w:rPr>
          <w:instrText xml:space="preserve"> PAGEREF _Toc422210481 \h </w:instrText>
        </w:r>
        <w:r w:rsidR="005432AF">
          <w:rPr>
            <w:noProof/>
            <w:webHidden/>
          </w:rPr>
        </w:r>
        <w:r w:rsidR="005432AF">
          <w:rPr>
            <w:noProof/>
            <w:webHidden/>
          </w:rPr>
          <w:fldChar w:fldCharType="separate"/>
        </w:r>
        <w:r>
          <w:rPr>
            <w:noProof/>
            <w:webHidden/>
          </w:rPr>
          <w:t>36</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482" w:history="1">
        <w:r w:rsidR="005432AF" w:rsidRPr="009F0725">
          <w:rPr>
            <w:rStyle w:val="Hyperlink"/>
            <w:rFonts w:eastAsia="SimSun"/>
            <w:caps/>
            <w:noProof/>
            <w:lang w:eastAsia="zh-CN"/>
          </w:rPr>
          <w:t>PROGRAM 5</w:t>
        </w:r>
        <w:r w:rsidR="005432AF">
          <w:rPr>
            <w:rFonts w:eastAsiaTheme="minorEastAsia" w:cstheme="minorBidi"/>
            <w:smallCaps w:val="0"/>
            <w:noProof/>
            <w:sz w:val="22"/>
            <w:szCs w:val="22"/>
          </w:rPr>
          <w:tab/>
        </w:r>
        <w:r w:rsidR="005432AF" w:rsidRPr="009F0725">
          <w:rPr>
            <w:rStyle w:val="Hyperlink"/>
            <w:rFonts w:eastAsia="SimSun"/>
            <w:caps/>
            <w:noProof/>
            <w:lang w:eastAsia="zh-CN"/>
          </w:rPr>
          <w:t>THE PCT SYSTEM</w:t>
        </w:r>
        <w:r w:rsidR="005432AF">
          <w:rPr>
            <w:noProof/>
            <w:webHidden/>
          </w:rPr>
          <w:tab/>
        </w:r>
        <w:r w:rsidR="005432AF">
          <w:rPr>
            <w:noProof/>
            <w:webHidden/>
          </w:rPr>
          <w:fldChar w:fldCharType="begin"/>
        </w:r>
        <w:r w:rsidR="005432AF">
          <w:rPr>
            <w:noProof/>
            <w:webHidden/>
          </w:rPr>
          <w:instrText xml:space="preserve"> PAGEREF _Toc422210482 \h </w:instrText>
        </w:r>
        <w:r w:rsidR="005432AF">
          <w:rPr>
            <w:noProof/>
            <w:webHidden/>
          </w:rPr>
        </w:r>
        <w:r w:rsidR="005432AF">
          <w:rPr>
            <w:noProof/>
            <w:webHidden/>
          </w:rPr>
          <w:fldChar w:fldCharType="separate"/>
        </w:r>
        <w:r>
          <w:rPr>
            <w:noProof/>
            <w:webHidden/>
          </w:rPr>
          <w:t>39</w:t>
        </w:r>
        <w:r w:rsidR="005432AF">
          <w:rPr>
            <w:noProof/>
            <w:webHidden/>
          </w:rPr>
          <w:fldChar w:fldCharType="end"/>
        </w:r>
      </w:hyperlink>
    </w:p>
    <w:p w:rsidR="005432AF" w:rsidRPr="005432AF" w:rsidRDefault="000C419F" w:rsidP="005432AF">
      <w:pPr>
        <w:pStyle w:val="TOC3"/>
        <w:rPr>
          <w:rFonts w:eastAsiaTheme="minorEastAsia" w:cstheme="minorBidi"/>
          <w:sz w:val="22"/>
          <w:szCs w:val="22"/>
        </w:rPr>
      </w:pPr>
      <w:hyperlink w:anchor="_Toc422210483" w:history="1">
        <w:r w:rsidR="005432AF" w:rsidRPr="005432AF">
          <w:rPr>
            <w:rStyle w:val="Hyperlink"/>
          </w:rPr>
          <w:t>Program 5 Annex:    Indicators of PCT Operations</w:t>
        </w:r>
        <w:r w:rsidR="005432AF" w:rsidRPr="005432AF">
          <w:rPr>
            <w:webHidden/>
          </w:rPr>
          <w:tab/>
        </w:r>
        <w:r w:rsidR="005432AF" w:rsidRPr="005432AF">
          <w:rPr>
            <w:webHidden/>
          </w:rPr>
          <w:fldChar w:fldCharType="begin"/>
        </w:r>
        <w:r w:rsidR="005432AF" w:rsidRPr="005432AF">
          <w:rPr>
            <w:webHidden/>
          </w:rPr>
          <w:instrText xml:space="preserve"> PAGEREF _Toc422210483 \h </w:instrText>
        </w:r>
        <w:r w:rsidR="005432AF" w:rsidRPr="005432AF">
          <w:rPr>
            <w:webHidden/>
          </w:rPr>
        </w:r>
        <w:r w:rsidR="005432AF" w:rsidRPr="005432AF">
          <w:rPr>
            <w:webHidden/>
          </w:rPr>
          <w:fldChar w:fldCharType="separate"/>
        </w:r>
        <w:r>
          <w:rPr>
            <w:webHidden/>
          </w:rPr>
          <w:t>43</w:t>
        </w:r>
        <w:r w:rsidR="005432AF" w:rsidRPr="005432AF">
          <w:rPr>
            <w:webHidden/>
          </w:rPr>
          <w:fldChar w:fldCharType="end"/>
        </w:r>
      </w:hyperlink>
    </w:p>
    <w:p w:rsidR="005432AF" w:rsidRDefault="000C419F">
      <w:pPr>
        <w:pStyle w:val="TOC2"/>
        <w:rPr>
          <w:rFonts w:eastAsiaTheme="minorEastAsia" w:cstheme="minorBidi"/>
          <w:smallCaps w:val="0"/>
          <w:noProof/>
          <w:sz w:val="22"/>
          <w:szCs w:val="22"/>
        </w:rPr>
      </w:pPr>
      <w:hyperlink w:anchor="_Toc422210484" w:history="1">
        <w:r w:rsidR="005432AF" w:rsidRPr="009F0725">
          <w:rPr>
            <w:rStyle w:val="Hyperlink"/>
            <w:noProof/>
          </w:rPr>
          <w:t>PROGRAM 6</w:t>
        </w:r>
        <w:r w:rsidR="005432AF">
          <w:rPr>
            <w:rFonts w:eastAsiaTheme="minorEastAsia" w:cstheme="minorBidi"/>
            <w:smallCaps w:val="0"/>
            <w:noProof/>
            <w:sz w:val="22"/>
            <w:szCs w:val="22"/>
          </w:rPr>
          <w:tab/>
        </w:r>
        <w:r w:rsidR="005432AF" w:rsidRPr="009F0725">
          <w:rPr>
            <w:rStyle w:val="Hyperlink"/>
            <w:noProof/>
          </w:rPr>
          <w:t xml:space="preserve"> MADRID AND LISBON SYSTEMS</w:t>
        </w:r>
        <w:r w:rsidR="005432AF">
          <w:rPr>
            <w:noProof/>
            <w:webHidden/>
          </w:rPr>
          <w:tab/>
        </w:r>
        <w:r w:rsidR="005432AF">
          <w:rPr>
            <w:noProof/>
            <w:webHidden/>
          </w:rPr>
          <w:fldChar w:fldCharType="begin"/>
        </w:r>
        <w:r w:rsidR="005432AF">
          <w:rPr>
            <w:noProof/>
            <w:webHidden/>
          </w:rPr>
          <w:instrText xml:space="preserve"> PAGEREF _Toc422210484 \h </w:instrText>
        </w:r>
        <w:r w:rsidR="005432AF">
          <w:rPr>
            <w:noProof/>
            <w:webHidden/>
          </w:rPr>
        </w:r>
        <w:r w:rsidR="005432AF">
          <w:rPr>
            <w:noProof/>
            <w:webHidden/>
          </w:rPr>
          <w:fldChar w:fldCharType="separate"/>
        </w:r>
        <w:r>
          <w:rPr>
            <w:noProof/>
            <w:webHidden/>
          </w:rPr>
          <w:t>54</w:t>
        </w:r>
        <w:r w:rsidR="005432AF">
          <w:rPr>
            <w:noProof/>
            <w:webHidden/>
          </w:rPr>
          <w:fldChar w:fldCharType="end"/>
        </w:r>
      </w:hyperlink>
    </w:p>
    <w:p w:rsidR="005432AF" w:rsidRPr="005432AF" w:rsidRDefault="000C419F" w:rsidP="005432AF">
      <w:pPr>
        <w:pStyle w:val="TOC3"/>
        <w:rPr>
          <w:rFonts w:eastAsiaTheme="minorEastAsia" w:cstheme="minorBidi"/>
          <w:sz w:val="22"/>
          <w:szCs w:val="22"/>
        </w:rPr>
      </w:pPr>
      <w:hyperlink w:anchor="_Toc422210485" w:history="1">
        <w:r w:rsidR="005432AF" w:rsidRPr="005432AF">
          <w:rPr>
            <w:rStyle w:val="Hyperlink"/>
          </w:rPr>
          <w:t>Program 6 Annex:    Indicators of Madrid Operations</w:t>
        </w:r>
        <w:r w:rsidR="005432AF" w:rsidRPr="005432AF">
          <w:rPr>
            <w:webHidden/>
          </w:rPr>
          <w:tab/>
        </w:r>
        <w:r w:rsidR="005432AF" w:rsidRPr="005432AF">
          <w:rPr>
            <w:webHidden/>
          </w:rPr>
          <w:fldChar w:fldCharType="begin"/>
        </w:r>
        <w:r w:rsidR="005432AF" w:rsidRPr="005432AF">
          <w:rPr>
            <w:webHidden/>
          </w:rPr>
          <w:instrText xml:space="preserve"> PAGEREF _Toc422210485 \h </w:instrText>
        </w:r>
        <w:r w:rsidR="005432AF" w:rsidRPr="005432AF">
          <w:rPr>
            <w:webHidden/>
          </w:rPr>
        </w:r>
        <w:r w:rsidR="005432AF" w:rsidRPr="005432AF">
          <w:rPr>
            <w:webHidden/>
          </w:rPr>
          <w:fldChar w:fldCharType="separate"/>
        </w:r>
        <w:r>
          <w:rPr>
            <w:webHidden/>
          </w:rPr>
          <w:t>59</w:t>
        </w:r>
        <w:r w:rsidR="005432AF" w:rsidRPr="005432AF">
          <w:rPr>
            <w:webHidden/>
          </w:rPr>
          <w:fldChar w:fldCharType="end"/>
        </w:r>
      </w:hyperlink>
    </w:p>
    <w:p w:rsidR="005432AF" w:rsidRDefault="000C419F">
      <w:pPr>
        <w:pStyle w:val="TOC2"/>
        <w:rPr>
          <w:rFonts w:eastAsiaTheme="minorEastAsia" w:cstheme="minorBidi"/>
          <w:smallCaps w:val="0"/>
          <w:noProof/>
          <w:sz w:val="22"/>
          <w:szCs w:val="22"/>
        </w:rPr>
      </w:pPr>
      <w:hyperlink w:anchor="_Toc422210486" w:history="1">
        <w:r w:rsidR="005432AF" w:rsidRPr="009F0725">
          <w:rPr>
            <w:rStyle w:val="Hyperlink"/>
            <w:noProof/>
          </w:rPr>
          <w:t>PROGRAM 31</w:t>
        </w:r>
        <w:r w:rsidR="005432AF">
          <w:rPr>
            <w:rFonts w:eastAsiaTheme="minorEastAsia" w:cstheme="minorBidi"/>
            <w:smallCaps w:val="0"/>
            <w:noProof/>
            <w:sz w:val="22"/>
            <w:szCs w:val="22"/>
          </w:rPr>
          <w:tab/>
        </w:r>
        <w:r w:rsidR="005432AF" w:rsidRPr="009F0725">
          <w:rPr>
            <w:rStyle w:val="Hyperlink"/>
            <w:noProof/>
          </w:rPr>
          <w:t>THE HAGUE SYSTEM</w:t>
        </w:r>
        <w:r w:rsidR="005432AF">
          <w:rPr>
            <w:noProof/>
            <w:webHidden/>
          </w:rPr>
          <w:tab/>
        </w:r>
        <w:r w:rsidR="005432AF">
          <w:rPr>
            <w:noProof/>
            <w:webHidden/>
          </w:rPr>
          <w:fldChar w:fldCharType="begin"/>
        </w:r>
        <w:r w:rsidR="005432AF">
          <w:rPr>
            <w:noProof/>
            <w:webHidden/>
          </w:rPr>
          <w:instrText xml:space="preserve"> PAGEREF _Toc422210486 \h </w:instrText>
        </w:r>
        <w:r w:rsidR="005432AF">
          <w:rPr>
            <w:noProof/>
            <w:webHidden/>
          </w:rPr>
        </w:r>
        <w:r w:rsidR="005432AF">
          <w:rPr>
            <w:noProof/>
            <w:webHidden/>
          </w:rPr>
          <w:fldChar w:fldCharType="separate"/>
        </w:r>
        <w:r>
          <w:rPr>
            <w:noProof/>
            <w:webHidden/>
          </w:rPr>
          <w:t>71</w:t>
        </w:r>
        <w:r w:rsidR="005432AF">
          <w:rPr>
            <w:noProof/>
            <w:webHidden/>
          </w:rPr>
          <w:fldChar w:fldCharType="end"/>
        </w:r>
      </w:hyperlink>
    </w:p>
    <w:p w:rsidR="005432AF" w:rsidRPr="005432AF" w:rsidRDefault="000C419F" w:rsidP="005432AF">
      <w:pPr>
        <w:pStyle w:val="TOC3"/>
        <w:rPr>
          <w:rFonts w:eastAsiaTheme="minorEastAsia" w:cstheme="minorBidi"/>
          <w:sz w:val="22"/>
          <w:szCs w:val="22"/>
        </w:rPr>
      </w:pPr>
      <w:hyperlink w:anchor="_Toc422210487" w:history="1">
        <w:r w:rsidR="005432AF" w:rsidRPr="005432AF">
          <w:rPr>
            <w:rStyle w:val="Hyperlink"/>
          </w:rPr>
          <w:t>Program 31 Annex:    Indicators of the Hague System Operations</w:t>
        </w:r>
        <w:r w:rsidR="005432AF" w:rsidRPr="005432AF">
          <w:rPr>
            <w:webHidden/>
          </w:rPr>
          <w:tab/>
        </w:r>
        <w:r w:rsidR="005432AF" w:rsidRPr="005432AF">
          <w:rPr>
            <w:webHidden/>
          </w:rPr>
          <w:fldChar w:fldCharType="begin"/>
        </w:r>
        <w:r w:rsidR="005432AF" w:rsidRPr="005432AF">
          <w:rPr>
            <w:webHidden/>
          </w:rPr>
          <w:instrText xml:space="preserve"> PAGEREF _Toc422210487 \h </w:instrText>
        </w:r>
        <w:r w:rsidR="005432AF" w:rsidRPr="005432AF">
          <w:rPr>
            <w:webHidden/>
          </w:rPr>
        </w:r>
        <w:r w:rsidR="005432AF" w:rsidRPr="005432AF">
          <w:rPr>
            <w:webHidden/>
          </w:rPr>
          <w:fldChar w:fldCharType="separate"/>
        </w:r>
        <w:r>
          <w:rPr>
            <w:webHidden/>
          </w:rPr>
          <w:t>74</w:t>
        </w:r>
        <w:r w:rsidR="005432AF" w:rsidRPr="005432AF">
          <w:rPr>
            <w:webHidden/>
          </w:rPr>
          <w:fldChar w:fldCharType="end"/>
        </w:r>
      </w:hyperlink>
    </w:p>
    <w:p w:rsidR="005432AF" w:rsidRDefault="000C419F">
      <w:pPr>
        <w:pStyle w:val="TOC2"/>
        <w:rPr>
          <w:rFonts w:eastAsiaTheme="minorEastAsia" w:cstheme="minorBidi"/>
          <w:smallCaps w:val="0"/>
          <w:noProof/>
          <w:sz w:val="22"/>
          <w:szCs w:val="22"/>
        </w:rPr>
      </w:pPr>
      <w:hyperlink w:anchor="_Toc422210488" w:history="1">
        <w:r w:rsidR="005432AF" w:rsidRPr="009F0725">
          <w:rPr>
            <w:rStyle w:val="Hyperlink"/>
            <w:noProof/>
          </w:rPr>
          <w:t>PROGRAM 7</w:t>
        </w:r>
        <w:r w:rsidR="005432AF">
          <w:rPr>
            <w:rFonts w:eastAsiaTheme="minorEastAsia" w:cstheme="minorBidi"/>
            <w:smallCaps w:val="0"/>
            <w:noProof/>
            <w:sz w:val="22"/>
            <w:szCs w:val="22"/>
          </w:rPr>
          <w:tab/>
        </w:r>
        <w:r w:rsidR="005432AF" w:rsidRPr="009F0725">
          <w:rPr>
            <w:rStyle w:val="Hyperlink"/>
            <w:noProof/>
          </w:rPr>
          <w:t xml:space="preserve"> ARBITRATION, MEDIATION AND DOMAIN NAMES</w:t>
        </w:r>
        <w:r w:rsidR="005432AF">
          <w:rPr>
            <w:noProof/>
            <w:webHidden/>
          </w:rPr>
          <w:tab/>
        </w:r>
        <w:r w:rsidR="005432AF">
          <w:rPr>
            <w:noProof/>
            <w:webHidden/>
          </w:rPr>
          <w:fldChar w:fldCharType="begin"/>
        </w:r>
        <w:r w:rsidR="005432AF">
          <w:rPr>
            <w:noProof/>
            <w:webHidden/>
          </w:rPr>
          <w:instrText xml:space="preserve"> PAGEREF _Toc422210488 \h </w:instrText>
        </w:r>
        <w:r w:rsidR="005432AF">
          <w:rPr>
            <w:noProof/>
            <w:webHidden/>
          </w:rPr>
        </w:r>
        <w:r w:rsidR="005432AF">
          <w:rPr>
            <w:noProof/>
            <w:webHidden/>
          </w:rPr>
          <w:fldChar w:fldCharType="separate"/>
        </w:r>
        <w:r>
          <w:rPr>
            <w:noProof/>
            <w:webHidden/>
          </w:rPr>
          <w:t>82</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489" w:history="1">
        <w:r w:rsidR="005432AF" w:rsidRPr="009F0725">
          <w:rPr>
            <w:rStyle w:val="Hyperlink"/>
            <w:rFonts w:ascii="Arial" w:hAnsi="Arial"/>
            <w:noProof/>
          </w:rPr>
          <w:t>STRATEGIC GOAL III</w:t>
        </w:r>
        <w:r w:rsidR="005432AF">
          <w:rPr>
            <w:noProof/>
            <w:webHidden/>
          </w:rPr>
          <w:tab/>
        </w:r>
        <w:r w:rsidR="005432AF">
          <w:rPr>
            <w:noProof/>
            <w:webHidden/>
          </w:rPr>
          <w:fldChar w:fldCharType="begin"/>
        </w:r>
        <w:r w:rsidR="005432AF">
          <w:rPr>
            <w:noProof/>
            <w:webHidden/>
          </w:rPr>
          <w:instrText xml:space="preserve"> PAGEREF _Toc422210489 \h </w:instrText>
        </w:r>
        <w:r w:rsidR="005432AF">
          <w:rPr>
            <w:noProof/>
            <w:webHidden/>
          </w:rPr>
        </w:r>
        <w:r w:rsidR="005432AF">
          <w:rPr>
            <w:noProof/>
            <w:webHidden/>
          </w:rPr>
          <w:fldChar w:fldCharType="separate"/>
        </w:r>
        <w:r>
          <w:rPr>
            <w:noProof/>
            <w:webHidden/>
          </w:rPr>
          <w:t>86</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490" w:history="1">
        <w:r w:rsidR="005432AF" w:rsidRPr="009F0725">
          <w:rPr>
            <w:rStyle w:val="Hyperlink"/>
            <w:noProof/>
          </w:rPr>
          <w:t>PROGRAM 8</w:t>
        </w:r>
        <w:r w:rsidR="005432AF">
          <w:rPr>
            <w:rFonts w:eastAsiaTheme="minorEastAsia" w:cstheme="minorBidi"/>
            <w:smallCaps w:val="0"/>
            <w:noProof/>
            <w:sz w:val="22"/>
            <w:szCs w:val="22"/>
          </w:rPr>
          <w:tab/>
        </w:r>
        <w:r w:rsidR="005432AF" w:rsidRPr="009F0725">
          <w:rPr>
            <w:rStyle w:val="Hyperlink"/>
            <w:noProof/>
          </w:rPr>
          <w:t xml:space="preserve"> DEVELOPMENT AGENDA COORDINATION</w:t>
        </w:r>
        <w:r w:rsidR="005432AF">
          <w:rPr>
            <w:noProof/>
            <w:webHidden/>
          </w:rPr>
          <w:tab/>
        </w:r>
        <w:r w:rsidR="005432AF">
          <w:rPr>
            <w:noProof/>
            <w:webHidden/>
          </w:rPr>
          <w:fldChar w:fldCharType="begin"/>
        </w:r>
        <w:r w:rsidR="005432AF">
          <w:rPr>
            <w:noProof/>
            <w:webHidden/>
          </w:rPr>
          <w:instrText xml:space="preserve"> PAGEREF _Toc422210490 \h </w:instrText>
        </w:r>
        <w:r w:rsidR="005432AF">
          <w:rPr>
            <w:noProof/>
            <w:webHidden/>
          </w:rPr>
        </w:r>
        <w:r w:rsidR="005432AF">
          <w:rPr>
            <w:noProof/>
            <w:webHidden/>
          </w:rPr>
          <w:fldChar w:fldCharType="separate"/>
        </w:r>
        <w:r>
          <w:rPr>
            <w:noProof/>
            <w:webHidden/>
          </w:rPr>
          <w:t>90</w:t>
        </w:r>
        <w:r w:rsidR="005432AF">
          <w:rPr>
            <w:noProof/>
            <w:webHidden/>
          </w:rPr>
          <w:fldChar w:fldCharType="end"/>
        </w:r>
      </w:hyperlink>
    </w:p>
    <w:p w:rsidR="005432AF" w:rsidRDefault="000C419F" w:rsidP="005432AF">
      <w:pPr>
        <w:pStyle w:val="TOC2"/>
        <w:ind w:left="1600" w:hanging="1400"/>
        <w:rPr>
          <w:rFonts w:eastAsiaTheme="minorEastAsia" w:cstheme="minorBidi"/>
          <w:smallCaps w:val="0"/>
          <w:noProof/>
          <w:sz w:val="22"/>
          <w:szCs w:val="22"/>
        </w:rPr>
      </w:pPr>
      <w:hyperlink w:anchor="_Toc422210491" w:history="1">
        <w:r w:rsidR="005432AF" w:rsidRPr="009F0725">
          <w:rPr>
            <w:rStyle w:val="Hyperlink"/>
            <w:noProof/>
          </w:rPr>
          <w:t>PROGRAM 9</w:t>
        </w:r>
        <w:r w:rsidR="005432AF">
          <w:rPr>
            <w:rFonts w:eastAsiaTheme="minorEastAsia" w:cstheme="minorBidi"/>
            <w:smallCaps w:val="0"/>
            <w:noProof/>
            <w:sz w:val="22"/>
            <w:szCs w:val="22"/>
          </w:rPr>
          <w:tab/>
        </w:r>
        <w:r w:rsidR="005432AF" w:rsidRPr="009F0725">
          <w:rPr>
            <w:rStyle w:val="Hyperlink"/>
            <w:noProof/>
          </w:rPr>
          <w:t>AFRICA, ARAB, ASIA AND THE PACIFIC, LATIN AMERICA AND THE CARIBBEAN COUNTRIES, LEAST DEVELOPED COUNTRIES</w:t>
        </w:r>
        <w:r w:rsidR="005432AF">
          <w:rPr>
            <w:noProof/>
            <w:webHidden/>
          </w:rPr>
          <w:tab/>
        </w:r>
        <w:r w:rsidR="005432AF">
          <w:rPr>
            <w:noProof/>
            <w:webHidden/>
          </w:rPr>
          <w:fldChar w:fldCharType="begin"/>
        </w:r>
        <w:r w:rsidR="005432AF">
          <w:rPr>
            <w:noProof/>
            <w:webHidden/>
          </w:rPr>
          <w:instrText xml:space="preserve"> PAGEREF _Toc422210491 \h </w:instrText>
        </w:r>
        <w:r w:rsidR="005432AF">
          <w:rPr>
            <w:noProof/>
            <w:webHidden/>
          </w:rPr>
        </w:r>
        <w:r w:rsidR="005432AF">
          <w:rPr>
            <w:noProof/>
            <w:webHidden/>
          </w:rPr>
          <w:fldChar w:fldCharType="separate"/>
        </w:r>
        <w:r>
          <w:rPr>
            <w:noProof/>
            <w:webHidden/>
          </w:rPr>
          <w:t>94</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492" w:history="1">
        <w:r w:rsidR="005432AF" w:rsidRPr="009F0725">
          <w:rPr>
            <w:rStyle w:val="Hyperlink"/>
            <w:noProof/>
          </w:rPr>
          <w:t>PROGRAM 10</w:t>
        </w:r>
        <w:r w:rsidR="005432AF">
          <w:rPr>
            <w:rFonts w:eastAsiaTheme="minorEastAsia" w:cstheme="minorBidi"/>
            <w:smallCaps w:val="0"/>
            <w:noProof/>
            <w:sz w:val="22"/>
            <w:szCs w:val="22"/>
          </w:rPr>
          <w:tab/>
        </w:r>
        <w:r w:rsidR="005432AF" w:rsidRPr="009F0725">
          <w:rPr>
            <w:rStyle w:val="Hyperlink"/>
            <w:noProof/>
          </w:rPr>
          <w:t>COOPERATIONS WITH CERTAIN COUNTRIES IN EUROPE AND ASIA</w:t>
        </w:r>
        <w:r w:rsidR="005432AF">
          <w:rPr>
            <w:noProof/>
            <w:webHidden/>
          </w:rPr>
          <w:tab/>
        </w:r>
        <w:r w:rsidR="005432AF">
          <w:rPr>
            <w:noProof/>
            <w:webHidden/>
          </w:rPr>
          <w:fldChar w:fldCharType="begin"/>
        </w:r>
        <w:r w:rsidR="005432AF">
          <w:rPr>
            <w:noProof/>
            <w:webHidden/>
          </w:rPr>
          <w:instrText xml:space="preserve"> PAGEREF _Toc422210492 \h </w:instrText>
        </w:r>
        <w:r w:rsidR="005432AF">
          <w:rPr>
            <w:noProof/>
            <w:webHidden/>
          </w:rPr>
        </w:r>
        <w:r w:rsidR="005432AF">
          <w:rPr>
            <w:noProof/>
            <w:webHidden/>
          </w:rPr>
          <w:fldChar w:fldCharType="separate"/>
        </w:r>
        <w:r>
          <w:rPr>
            <w:noProof/>
            <w:webHidden/>
          </w:rPr>
          <w:t>103</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493" w:history="1">
        <w:r w:rsidR="005432AF" w:rsidRPr="009F0725">
          <w:rPr>
            <w:rStyle w:val="Hyperlink"/>
            <w:noProof/>
          </w:rPr>
          <w:t>PROGRAM 11</w:t>
        </w:r>
        <w:r w:rsidR="005432AF">
          <w:rPr>
            <w:rFonts w:eastAsiaTheme="minorEastAsia" w:cstheme="minorBidi"/>
            <w:smallCaps w:val="0"/>
            <w:noProof/>
            <w:sz w:val="22"/>
            <w:szCs w:val="22"/>
          </w:rPr>
          <w:tab/>
        </w:r>
        <w:r w:rsidR="005432AF" w:rsidRPr="009F0725">
          <w:rPr>
            <w:rStyle w:val="Hyperlink"/>
            <w:noProof/>
          </w:rPr>
          <w:t>THE WIPO ACADEMY</w:t>
        </w:r>
        <w:r w:rsidR="005432AF">
          <w:rPr>
            <w:noProof/>
            <w:webHidden/>
          </w:rPr>
          <w:tab/>
        </w:r>
        <w:r w:rsidR="005432AF">
          <w:rPr>
            <w:noProof/>
            <w:webHidden/>
          </w:rPr>
          <w:fldChar w:fldCharType="begin"/>
        </w:r>
        <w:r w:rsidR="005432AF">
          <w:rPr>
            <w:noProof/>
            <w:webHidden/>
          </w:rPr>
          <w:instrText xml:space="preserve"> PAGEREF _Toc422210493 \h </w:instrText>
        </w:r>
        <w:r w:rsidR="005432AF">
          <w:rPr>
            <w:noProof/>
            <w:webHidden/>
          </w:rPr>
        </w:r>
        <w:r w:rsidR="005432AF">
          <w:rPr>
            <w:noProof/>
            <w:webHidden/>
          </w:rPr>
          <w:fldChar w:fldCharType="separate"/>
        </w:r>
        <w:r>
          <w:rPr>
            <w:noProof/>
            <w:webHidden/>
          </w:rPr>
          <w:t>110</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494" w:history="1">
        <w:r w:rsidR="005432AF" w:rsidRPr="009F0725">
          <w:rPr>
            <w:rStyle w:val="Hyperlink"/>
            <w:noProof/>
          </w:rPr>
          <w:t>PROGRAM 30</w:t>
        </w:r>
        <w:r w:rsidR="005432AF">
          <w:rPr>
            <w:rFonts w:eastAsiaTheme="minorEastAsia" w:cstheme="minorBidi"/>
            <w:smallCaps w:val="0"/>
            <w:noProof/>
            <w:sz w:val="22"/>
            <w:szCs w:val="22"/>
          </w:rPr>
          <w:tab/>
        </w:r>
        <w:r w:rsidR="005432AF" w:rsidRPr="009F0725">
          <w:rPr>
            <w:rStyle w:val="Hyperlink"/>
            <w:noProof/>
          </w:rPr>
          <w:t>SMALL AND MEDIUM-SIZED ENTERPRISES (SMES) AND INNOVATION</w:t>
        </w:r>
        <w:r w:rsidR="005432AF">
          <w:rPr>
            <w:noProof/>
            <w:webHidden/>
          </w:rPr>
          <w:tab/>
        </w:r>
        <w:r w:rsidR="005432AF">
          <w:rPr>
            <w:noProof/>
            <w:webHidden/>
          </w:rPr>
          <w:fldChar w:fldCharType="begin"/>
        </w:r>
        <w:r w:rsidR="005432AF">
          <w:rPr>
            <w:noProof/>
            <w:webHidden/>
          </w:rPr>
          <w:instrText xml:space="preserve"> PAGEREF _Toc422210494 \h </w:instrText>
        </w:r>
        <w:r w:rsidR="005432AF">
          <w:rPr>
            <w:noProof/>
            <w:webHidden/>
          </w:rPr>
        </w:r>
        <w:r w:rsidR="005432AF">
          <w:rPr>
            <w:noProof/>
            <w:webHidden/>
          </w:rPr>
          <w:fldChar w:fldCharType="separate"/>
        </w:r>
        <w:r>
          <w:rPr>
            <w:noProof/>
            <w:webHidden/>
          </w:rPr>
          <w:t>115</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495" w:history="1">
        <w:r w:rsidR="005432AF" w:rsidRPr="009F0725">
          <w:rPr>
            <w:rStyle w:val="Hyperlink"/>
            <w:rFonts w:ascii="Arial" w:hAnsi="Arial" w:cs="Arial"/>
            <w:noProof/>
          </w:rPr>
          <w:t>STRATEGIC GOAL IV</w:t>
        </w:r>
        <w:r w:rsidR="005432AF">
          <w:rPr>
            <w:noProof/>
            <w:webHidden/>
          </w:rPr>
          <w:tab/>
        </w:r>
        <w:r w:rsidR="005432AF">
          <w:rPr>
            <w:noProof/>
            <w:webHidden/>
          </w:rPr>
          <w:fldChar w:fldCharType="begin"/>
        </w:r>
        <w:r w:rsidR="005432AF">
          <w:rPr>
            <w:noProof/>
            <w:webHidden/>
          </w:rPr>
          <w:instrText xml:space="preserve"> PAGEREF _Toc422210495 \h </w:instrText>
        </w:r>
        <w:r w:rsidR="005432AF">
          <w:rPr>
            <w:noProof/>
            <w:webHidden/>
          </w:rPr>
        </w:r>
        <w:r w:rsidR="005432AF">
          <w:rPr>
            <w:noProof/>
            <w:webHidden/>
          </w:rPr>
          <w:fldChar w:fldCharType="separate"/>
        </w:r>
        <w:r>
          <w:rPr>
            <w:noProof/>
            <w:webHidden/>
          </w:rPr>
          <w:t>120</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496" w:history="1">
        <w:r w:rsidR="005432AF" w:rsidRPr="009F0725">
          <w:rPr>
            <w:rStyle w:val="Hyperlink"/>
            <w:noProof/>
          </w:rPr>
          <w:t>PROGRAM 12</w:t>
        </w:r>
        <w:r w:rsidR="005432AF">
          <w:rPr>
            <w:rFonts w:eastAsiaTheme="minorEastAsia" w:cstheme="minorBidi"/>
            <w:smallCaps w:val="0"/>
            <w:noProof/>
            <w:sz w:val="22"/>
            <w:szCs w:val="22"/>
          </w:rPr>
          <w:tab/>
        </w:r>
        <w:r w:rsidR="005432AF" w:rsidRPr="009F0725">
          <w:rPr>
            <w:rStyle w:val="Hyperlink"/>
            <w:noProof/>
          </w:rPr>
          <w:t xml:space="preserve"> INTERNATIONAL CLASSIFICATIONS AND STANDARDS</w:t>
        </w:r>
        <w:r w:rsidR="005432AF">
          <w:rPr>
            <w:noProof/>
            <w:webHidden/>
          </w:rPr>
          <w:tab/>
        </w:r>
        <w:r w:rsidR="005432AF">
          <w:rPr>
            <w:noProof/>
            <w:webHidden/>
          </w:rPr>
          <w:fldChar w:fldCharType="begin"/>
        </w:r>
        <w:r w:rsidR="005432AF">
          <w:rPr>
            <w:noProof/>
            <w:webHidden/>
          </w:rPr>
          <w:instrText xml:space="preserve"> PAGEREF _Toc422210496 \h </w:instrText>
        </w:r>
        <w:r w:rsidR="005432AF">
          <w:rPr>
            <w:noProof/>
            <w:webHidden/>
          </w:rPr>
        </w:r>
        <w:r w:rsidR="005432AF">
          <w:rPr>
            <w:noProof/>
            <w:webHidden/>
          </w:rPr>
          <w:fldChar w:fldCharType="separate"/>
        </w:r>
        <w:r>
          <w:rPr>
            <w:noProof/>
            <w:webHidden/>
          </w:rPr>
          <w:t>123</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497" w:history="1">
        <w:r w:rsidR="005432AF" w:rsidRPr="009F0725">
          <w:rPr>
            <w:rStyle w:val="Hyperlink"/>
            <w:noProof/>
          </w:rPr>
          <w:t>PROGRAM 13</w:t>
        </w:r>
        <w:r w:rsidR="005432AF">
          <w:rPr>
            <w:rFonts w:eastAsiaTheme="minorEastAsia" w:cstheme="minorBidi"/>
            <w:smallCaps w:val="0"/>
            <w:noProof/>
            <w:sz w:val="22"/>
            <w:szCs w:val="22"/>
          </w:rPr>
          <w:tab/>
        </w:r>
        <w:r w:rsidR="005432AF" w:rsidRPr="009F0725">
          <w:rPr>
            <w:rStyle w:val="Hyperlink"/>
            <w:noProof/>
          </w:rPr>
          <w:t xml:space="preserve"> GLOBAL DATABASES</w:t>
        </w:r>
        <w:r w:rsidR="005432AF">
          <w:rPr>
            <w:noProof/>
            <w:webHidden/>
          </w:rPr>
          <w:tab/>
        </w:r>
        <w:r w:rsidR="005432AF">
          <w:rPr>
            <w:noProof/>
            <w:webHidden/>
          </w:rPr>
          <w:fldChar w:fldCharType="begin"/>
        </w:r>
        <w:r w:rsidR="005432AF">
          <w:rPr>
            <w:noProof/>
            <w:webHidden/>
          </w:rPr>
          <w:instrText xml:space="preserve"> PAGEREF _Toc422210497 \h </w:instrText>
        </w:r>
        <w:r w:rsidR="005432AF">
          <w:rPr>
            <w:noProof/>
            <w:webHidden/>
          </w:rPr>
        </w:r>
        <w:r w:rsidR="005432AF">
          <w:rPr>
            <w:noProof/>
            <w:webHidden/>
          </w:rPr>
          <w:fldChar w:fldCharType="separate"/>
        </w:r>
        <w:r>
          <w:rPr>
            <w:noProof/>
            <w:webHidden/>
          </w:rPr>
          <w:t>126</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498" w:history="1">
        <w:r w:rsidR="005432AF" w:rsidRPr="009F0725">
          <w:rPr>
            <w:rStyle w:val="Hyperlink"/>
            <w:noProof/>
          </w:rPr>
          <w:t>PROGRAM 14</w:t>
        </w:r>
        <w:r w:rsidR="005432AF">
          <w:rPr>
            <w:rFonts w:eastAsiaTheme="minorEastAsia" w:cstheme="minorBidi"/>
            <w:smallCaps w:val="0"/>
            <w:noProof/>
            <w:sz w:val="22"/>
            <w:szCs w:val="22"/>
          </w:rPr>
          <w:tab/>
        </w:r>
        <w:r w:rsidR="005432AF" w:rsidRPr="009F0725">
          <w:rPr>
            <w:rStyle w:val="Hyperlink"/>
            <w:noProof/>
          </w:rPr>
          <w:t xml:space="preserve"> SERVICES FOR ACCESS TO INFORMATION AND KNOWLEDGE</w:t>
        </w:r>
        <w:r w:rsidR="005432AF">
          <w:rPr>
            <w:noProof/>
            <w:webHidden/>
          </w:rPr>
          <w:tab/>
        </w:r>
        <w:r w:rsidR="005432AF">
          <w:rPr>
            <w:noProof/>
            <w:webHidden/>
          </w:rPr>
          <w:fldChar w:fldCharType="begin"/>
        </w:r>
        <w:r w:rsidR="005432AF">
          <w:rPr>
            <w:noProof/>
            <w:webHidden/>
          </w:rPr>
          <w:instrText xml:space="preserve"> PAGEREF _Toc422210498 \h </w:instrText>
        </w:r>
        <w:r w:rsidR="005432AF">
          <w:rPr>
            <w:noProof/>
            <w:webHidden/>
          </w:rPr>
        </w:r>
        <w:r w:rsidR="005432AF">
          <w:rPr>
            <w:noProof/>
            <w:webHidden/>
          </w:rPr>
          <w:fldChar w:fldCharType="separate"/>
        </w:r>
        <w:r>
          <w:rPr>
            <w:noProof/>
            <w:webHidden/>
          </w:rPr>
          <w:t>129</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499" w:history="1">
        <w:r w:rsidR="005432AF" w:rsidRPr="009F0725">
          <w:rPr>
            <w:rStyle w:val="Hyperlink"/>
            <w:noProof/>
          </w:rPr>
          <w:t>PROGRAM 15</w:t>
        </w:r>
        <w:r w:rsidR="005432AF">
          <w:rPr>
            <w:rFonts w:eastAsiaTheme="minorEastAsia" w:cstheme="minorBidi"/>
            <w:smallCaps w:val="0"/>
            <w:noProof/>
            <w:sz w:val="22"/>
            <w:szCs w:val="22"/>
          </w:rPr>
          <w:tab/>
        </w:r>
        <w:r w:rsidR="005432AF" w:rsidRPr="009F0725">
          <w:rPr>
            <w:rStyle w:val="Hyperlink"/>
            <w:noProof/>
          </w:rPr>
          <w:t xml:space="preserve"> BUSINESS SOLUTIONS FOR IP OFFICES</w:t>
        </w:r>
        <w:r w:rsidR="005432AF">
          <w:rPr>
            <w:noProof/>
            <w:webHidden/>
          </w:rPr>
          <w:tab/>
        </w:r>
        <w:r w:rsidR="005432AF">
          <w:rPr>
            <w:noProof/>
            <w:webHidden/>
          </w:rPr>
          <w:fldChar w:fldCharType="begin"/>
        </w:r>
        <w:r w:rsidR="005432AF">
          <w:rPr>
            <w:noProof/>
            <w:webHidden/>
          </w:rPr>
          <w:instrText xml:space="preserve"> PAGEREF _Toc422210499 \h </w:instrText>
        </w:r>
        <w:r w:rsidR="005432AF">
          <w:rPr>
            <w:noProof/>
            <w:webHidden/>
          </w:rPr>
        </w:r>
        <w:r w:rsidR="005432AF">
          <w:rPr>
            <w:noProof/>
            <w:webHidden/>
          </w:rPr>
          <w:fldChar w:fldCharType="separate"/>
        </w:r>
        <w:r>
          <w:rPr>
            <w:noProof/>
            <w:webHidden/>
          </w:rPr>
          <w:t>132</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00" w:history="1">
        <w:r w:rsidR="005432AF" w:rsidRPr="009F0725">
          <w:rPr>
            <w:rStyle w:val="Hyperlink"/>
            <w:rFonts w:ascii="Arial" w:hAnsi="Arial" w:cs="Arial"/>
            <w:noProof/>
          </w:rPr>
          <w:t>STRATEGIC GOAL V</w:t>
        </w:r>
        <w:r w:rsidR="005432AF">
          <w:rPr>
            <w:noProof/>
            <w:webHidden/>
          </w:rPr>
          <w:tab/>
        </w:r>
        <w:r w:rsidR="005432AF">
          <w:rPr>
            <w:noProof/>
            <w:webHidden/>
          </w:rPr>
          <w:fldChar w:fldCharType="begin"/>
        </w:r>
        <w:r w:rsidR="005432AF">
          <w:rPr>
            <w:noProof/>
            <w:webHidden/>
          </w:rPr>
          <w:instrText xml:space="preserve"> PAGEREF _Toc422210500 \h </w:instrText>
        </w:r>
        <w:r w:rsidR="005432AF">
          <w:rPr>
            <w:noProof/>
            <w:webHidden/>
          </w:rPr>
        </w:r>
        <w:r w:rsidR="005432AF">
          <w:rPr>
            <w:noProof/>
            <w:webHidden/>
          </w:rPr>
          <w:fldChar w:fldCharType="separate"/>
        </w:r>
        <w:r>
          <w:rPr>
            <w:noProof/>
            <w:webHidden/>
          </w:rPr>
          <w:t>135</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01" w:history="1">
        <w:r w:rsidR="005432AF" w:rsidRPr="009F0725">
          <w:rPr>
            <w:rStyle w:val="Hyperlink"/>
            <w:rFonts w:eastAsia="SimSun"/>
            <w:caps/>
            <w:noProof/>
            <w:lang w:eastAsia="zh-CN"/>
          </w:rPr>
          <w:t>PROGRAM 16</w:t>
        </w:r>
        <w:r w:rsidR="005432AF">
          <w:rPr>
            <w:rFonts w:eastAsiaTheme="minorEastAsia" w:cstheme="minorBidi"/>
            <w:smallCaps w:val="0"/>
            <w:noProof/>
            <w:sz w:val="22"/>
            <w:szCs w:val="22"/>
          </w:rPr>
          <w:tab/>
        </w:r>
        <w:r w:rsidR="005432AF" w:rsidRPr="009F0725">
          <w:rPr>
            <w:rStyle w:val="Hyperlink"/>
            <w:rFonts w:eastAsia="SimSun"/>
            <w:caps/>
            <w:noProof/>
            <w:lang w:eastAsia="zh-CN"/>
          </w:rPr>
          <w:t>ECONOMICS AND STATISTICS</w:t>
        </w:r>
        <w:r w:rsidR="005432AF">
          <w:rPr>
            <w:noProof/>
            <w:webHidden/>
          </w:rPr>
          <w:tab/>
        </w:r>
        <w:r w:rsidR="005432AF">
          <w:rPr>
            <w:noProof/>
            <w:webHidden/>
          </w:rPr>
          <w:fldChar w:fldCharType="begin"/>
        </w:r>
        <w:r w:rsidR="005432AF">
          <w:rPr>
            <w:noProof/>
            <w:webHidden/>
          </w:rPr>
          <w:instrText xml:space="preserve"> PAGEREF _Toc422210501 \h </w:instrText>
        </w:r>
        <w:r w:rsidR="005432AF">
          <w:rPr>
            <w:noProof/>
            <w:webHidden/>
          </w:rPr>
        </w:r>
        <w:r w:rsidR="005432AF">
          <w:rPr>
            <w:noProof/>
            <w:webHidden/>
          </w:rPr>
          <w:fldChar w:fldCharType="separate"/>
        </w:r>
        <w:r>
          <w:rPr>
            <w:noProof/>
            <w:webHidden/>
          </w:rPr>
          <w:t>136</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02" w:history="1">
        <w:r w:rsidR="005432AF" w:rsidRPr="009F0725">
          <w:rPr>
            <w:rStyle w:val="Hyperlink"/>
            <w:rFonts w:ascii="Arial" w:hAnsi="Arial" w:cs="Arial"/>
            <w:noProof/>
          </w:rPr>
          <w:t>STRATEGIC GOAL VI</w:t>
        </w:r>
        <w:r w:rsidR="005432AF">
          <w:rPr>
            <w:noProof/>
            <w:webHidden/>
          </w:rPr>
          <w:tab/>
        </w:r>
        <w:r w:rsidR="005432AF">
          <w:rPr>
            <w:noProof/>
            <w:webHidden/>
          </w:rPr>
          <w:fldChar w:fldCharType="begin"/>
        </w:r>
        <w:r w:rsidR="005432AF">
          <w:rPr>
            <w:noProof/>
            <w:webHidden/>
          </w:rPr>
          <w:instrText xml:space="preserve"> PAGEREF _Toc422210502 \h </w:instrText>
        </w:r>
        <w:r w:rsidR="005432AF">
          <w:rPr>
            <w:noProof/>
            <w:webHidden/>
          </w:rPr>
        </w:r>
        <w:r w:rsidR="005432AF">
          <w:rPr>
            <w:noProof/>
            <w:webHidden/>
          </w:rPr>
          <w:fldChar w:fldCharType="separate"/>
        </w:r>
        <w:r>
          <w:rPr>
            <w:noProof/>
            <w:webHidden/>
          </w:rPr>
          <w:t>139</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03" w:history="1">
        <w:r w:rsidR="005432AF" w:rsidRPr="009F0725">
          <w:rPr>
            <w:rStyle w:val="Hyperlink"/>
            <w:noProof/>
          </w:rPr>
          <w:t>PROGRAM 17</w:t>
        </w:r>
        <w:r w:rsidR="005432AF">
          <w:rPr>
            <w:rFonts w:eastAsiaTheme="minorEastAsia" w:cstheme="minorBidi"/>
            <w:smallCaps w:val="0"/>
            <w:noProof/>
            <w:sz w:val="22"/>
            <w:szCs w:val="22"/>
          </w:rPr>
          <w:tab/>
        </w:r>
        <w:r w:rsidR="005432AF" w:rsidRPr="009F0725">
          <w:rPr>
            <w:rStyle w:val="Hyperlink"/>
            <w:noProof/>
          </w:rPr>
          <w:t xml:space="preserve"> BUILDING RESPECT FOR IP</w:t>
        </w:r>
        <w:r w:rsidR="005432AF">
          <w:rPr>
            <w:noProof/>
            <w:webHidden/>
          </w:rPr>
          <w:tab/>
        </w:r>
        <w:r w:rsidR="005432AF">
          <w:rPr>
            <w:noProof/>
            <w:webHidden/>
          </w:rPr>
          <w:fldChar w:fldCharType="begin"/>
        </w:r>
        <w:r w:rsidR="005432AF">
          <w:rPr>
            <w:noProof/>
            <w:webHidden/>
          </w:rPr>
          <w:instrText xml:space="preserve"> PAGEREF _Toc422210503 \h </w:instrText>
        </w:r>
        <w:r w:rsidR="005432AF">
          <w:rPr>
            <w:noProof/>
            <w:webHidden/>
          </w:rPr>
        </w:r>
        <w:r w:rsidR="005432AF">
          <w:rPr>
            <w:noProof/>
            <w:webHidden/>
          </w:rPr>
          <w:fldChar w:fldCharType="separate"/>
        </w:r>
        <w:r>
          <w:rPr>
            <w:noProof/>
            <w:webHidden/>
          </w:rPr>
          <w:t>140</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04" w:history="1">
        <w:r w:rsidR="005432AF" w:rsidRPr="009F0725">
          <w:rPr>
            <w:rStyle w:val="Hyperlink"/>
            <w:rFonts w:ascii="Arial" w:hAnsi="Arial" w:cs="Arial"/>
            <w:noProof/>
          </w:rPr>
          <w:t>STRATEGIC GOAL VII</w:t>
        </w:r>
        <w:r w:rsidR="005432AF">
          <w:rPr>
            <w:noProof/>
            <w:webHidden/>
          </w:rPr>
          <w:tab/>
        </w:r>
        <w:r w:rsidR="005432AF">
          <w:rPr>
            <w:noProof/>
            <w:webHidden/>
          </w:rPr>
          <w:fldChar w:fldCharType="begin"/>
        </w:r>
        <w:r w:rsidR="005432AF">
          <w:rPr>
            <w:noProof/>
            <w:webHidden/>
          </w:rPr>
          <w:instrText xml:space="preserve"> PAGEREF _Toc422210504 \h </w:instrText>
        </w:r>
        <w:r w:rsidR="005432AF">
          <w:rPr>
            <w:noProof/>
            <w:webHidden/>
          </w:rPr>
        </w:r>
        <w:r w:rsidR="005432AF">
          <w:rPr>
            <w:noProof/>
            <w:webHidden/>
          </w:rPr>
          <w:fldChar w:fldCharType="separate"/>
        </w:r>
        <w:r>
          <w:rPr>
            <w:noProof/>
            <w:webHidden/>
          </w:rPr>
          <w:t>143</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05" w:history="1">
        <w:r w:rsidR="005432AF" w:rsidRPr="009F0725">
          <w:rPr>
            <w:rStyle w:val="Hyperlink"/>
            <w:noProof/>
          </w:rPr>
          <w:t>PROGRAM 18</w:t>
        </w:r>
        <w:r w:rsidR="005432AF">
          <w:rPr>
            <w:rFonts w:eastAsiaTheme="minorEastAsia" w:cstheme="minorBidi"/>
            <w:smallCaps w:val="0"/>
            <w:noProof/>
            <w:sz w:val="22"/>
            <w:szCs w:val="22"/>
          </w:rPr>
          <w:tab/>
        </w:r>
        <w:r w:rsidR="005432AF" w:rsidRPr="009F0725">
          <w:rPr>
            <w:rStyle w:val="Hyperlink"/>
            <w:noProof/>
          </w:rPr>
          <w:t xml:space="preserve"> IP AND GLOBAL CHALLENGES</w:t>
        </w:r>
        <w:r w:rsidR="005432AF">
          <w:rPr>
            <w:noProof/>
            <w:webHidden/>
          </w:rPr>
          <w:tab/>
        </w:r>
        <w:r w:rsidR="005432AF">
          <w:rPr>
            <w:noProof/>
            <w:webHidden/>
          </w:rPr>
          <w:fldChar w:fldCharType="begin"/>
        </w:r>
        <w:r w:rsidR="005432AF">
          <w:rPr>
            <w:noProof/>
            <w:webHidden/>
          </w:rPr>
          <w:instrText xml:space="preserve"> PAGEREF _Toc422210505 \h </w:instrText>
        </w:r>
        <w:r w:rsidR="005432AF">
          <w:rPr>
            <w:noProof/>
            <w:webHidden/>
          </w:rPr>
        </w:r>
        <w:r w:rsidR="005432AF">
          <w:rPr>
            <w:noProof/>
            <w:webHidden/>
          </w:rPr>
          <w:fldChar w:fldCharType="separate"/>
        </w:r>
        <w:r>
          <w:rPr>
            <w:noProof/>
            <w:webHidden/>
          </w:rPr>
          <w:t>144</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06" w:history="1">
        <w:r w:rsidR="005432AF" w:rsidRPr="009F0725">
          <w:rPr>
            <w:rStyle w:val="Hyperlink"/>
            <w:rFonts w:ascii="Arial" w:hAnsi="Arial" w:cs="Arial"/>
            <w:noProof/>
          </w:rPr>
          <w:t>STRATEGIC GOAL VIII</w:t>
        </w:r>
        <w:r w:rsidR="005432AF">
          <w:rPr>
            <w:noProof/>
            <w:webHidden/>
          </w:rPr>
          <w:tab/>
        </w:r>
        <w:r w:rsidR="005432AF">
          <w:rPr>
            <w:noProof/>
            <w:webHidden/>
          </w:rPr>
          <w:fldChar w:fldCharType="begin"/>
        </w:r>
        <w:r w:rsidR="005432AF">
          <w:rPr>
            <w:noProof/>
            <w:webHidden/>
          </w:rPr>
          <w:instrText xml:space="preserve"> PAGEREF _Toc422210506 \h </w:instrText>
        </w:r>
        <w:r w:rsidR="005432AF">
          <w:rPr>
            <w:noProof/>
            <w:webHidden/>
          </w:rPr>
        </w:r>
        <w:r w:rsidR="005432AF">
          <w:rPr>
            <w:noProof/>
            <w:webHidden/>
          </w:rPr>
          <w:fldChar w:fldCharType="separate"/>
        </w:r>
        <w:r>
          <w:rPr>
            <w:noProof/>
            <w:webHidden/>
          </w:rPr>
          <w:t>149</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07" w:history="1">
        <w:r w:rsidR="005432AF" w:rsidRPr="009F0725">
          <w:rPr>
            <w:rStyle w:val="Hyperlink"/>
            <w:noProof/>
          </w:rPr>
          <w:t>PROGRAM 19</w:t>
        </w:r>
        <w:r w:rsidR="005432AF">
          <w:rPr>
            <w:rFonts w:eastAsiaTheme="minorEastAsia" w:cstheme="minorBidi"/>
            <w:smallCaps w:val="0"/>
            <w:noProof/>
            <w:sz w:val="22"/>
            <w:szCs w:val="22"/>
          </w:rPr>
          <w:tab/>
        </w:r>
        <w:r w:rsidR="005432AF" w:rsidRPr="009F0725">
          <w:rPr>
            <w:rStyle w:val="Hyperlink"/>
            <w:noProof/>
          </w:rPr>
          <w:t>COMMUNICATIONS</w:t>
        </w:r>
        <w:r w:rsidR="005432AF">
          <w:rPr>
            <w:noProof/>
            <w:webHidden/>
          </w:rPr>
          <w:tab/>
        </w:r>
        <w:r w:rsidR="005432AF">
          <w:rPr>
            <w:noProof/>
            <w:webHidden/>
          </w:rPr>
          <w:fldChar w:fldCharType="begin"/>
        </w:r>
        <w:r w:rsidR="005432AF">
          <w:rPr>
            <w:noProof/>
            <w:webHidden/>
          </w:rPr>
          <w:instrText xml:space="preserve"> PAGEREF _Toc422210507 \h </w:instrText>
        </w:r>
        <w:r w:rsidR="005432AF">
          <w:rPr>
            <w:noProof/>
            <w:webHidden/>
          </w:rPr>
        </w:r>
        <w:r w:rsidR="005432AF">
          <w:rPr>
            <w:noProof/>
            <w:webHidden/>
          </w:rPr>
          <w:fldChar w:fldCharType="separate"/>
        </w:r>
        <w:r>
          <w:rPr>
            <w:noProof/>
            <w:webHidden/>
          </w:rPr>
          <w:t>151</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08" w:history="1">
        <w:r w:rsidR="005432AF" w:rsidRPr="009F0725">
          <w:rPr>
            <w:rStyle w:val="Hyperlink"/>
            <w:noProof/>
          </w:rPr>
          <w:t>PROGRAM 20</w:t>
        </w:r>
        <w:r w:rsidR="005432AF">
          <w:rPr>
            <w:rFonts w:eastAsiaTheme="minorEastAsia" w:cstheme="minorBidi"/>
            <w:smallCaps w:val="0"/>
            <w:noProof/>
            <w:sz w:val="22"/>
            <w:szCs w:val="22"/>
          </w:rPr>
          <w:tab/>
        </w:r>
        <w:r w:rsidR="005432AF" w:rsidRPr="009F0725">
          <w:rPr>
            <w:rStyle w:val="Hyperlink"/>
            <w:noProof/>
          </w:rPr>
          <w:t>EXTERNAL RELATIONS, PARTNERSHIPS AND EXTERNAL OFFICES</w:t>
        </w:r>
        <w:r w:rsidR="005432AF">
          <w:rPr>
            <w:noProof/>
            <w:webHidden/>
          </w:rPr>
          <w:tab/>
        </w:r>
        <w:r w:rsidR="005432AF">
          <w:rPr>
            <w:noProof/>
            <w:webHidden/>
          </w:rPr>
          <w:fldChar w:fldCharType="begin"/>
        </w:r>
        <w:r w:rsidR="005432AF">
          <w:rPr>
            <w:noProof/>
            <w:webHidden/>
          </w:rPr>
          <w:instrText xml:space="preserve"> PAGEREF _Toc422210508 \h </w:instrText>
        </w:r>
        <w:r w:rsidR="005432AF">
          <w:rPr>
            <w:noProof/>
            <w:webHidden/>
          </w:rPr>
        </w:r>
        <w:r w:rsidR="005432AF">
          <w:rPr>
            <w:noProof/>
            <w:webHidden/>
          </w:rPr>
          <w:fldChar w:fldCharType="separate"/>
        </w:r>
        <w:r>
          <w:rPr>
            <w:noProof/>
            <w:webHidden/>
          </w:rPr>
          <w:t>156</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09" w:history="1">
        <w:r w:rsidR="005432AF" w:rsidRPr="009F0725">
          <w:rPr>
            <w:rStyle w:val="Hyperlink"/>
            <w:rFonts w:ascii="Arial" w:hAnsi="Arial" w:cs="Arial"/>
            <w:noProof/>
          </w:rPr>
          <w:t>STRATEGIC GOAL IX</w:t>
        </w:r>
        <w:r w:rsidR="005432AF">
          <w:rPr>
            <w:noProof/>
            <w:webHidden/>
          </w:rPr>
          <w:tab/>
        </w:r>
        <w:r w:rsidR="005432AF">
          <w:rPr>
            <w:noProof/>
            <w:webHidden/>
          </w:rPr>
          <w:fldChar w:fldCharType="begin"/>
        </w:r>
        <w:r w:rsidR="005432AF">
          <w:rPr>
            <w:noProof/>
            <w:webHidden/>
          </w:rPr>
          <w:instrText xml:space="preserve"> PAGEREF _Toc422210509 \h </w:instrText>
        </w:r>
        <w:r w:rsidR="005432AF">
          <w:rPr>
            <w:noProof/>
            <w:webHidden/>
          </w:rPr>
        </w:r>
        <w:r w:rsidR="005432AF">
          <w:rPr>
            <w:noProof/>
            <w:webHidden/>
          </w:rPr>
          <w:fldChar w:fldCharType="separate"/>
        </w:r>
        <w:r>
          <w:rPr>
            <w:noProof/>
            <w:webHidden/>
          </w:rPr>
          <w:t>167</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10" w:history="1">
        <w:r w:rsidR="005432AF" w:rsidRPr="009F0725">
          <w:rPr>
            <w:rStyle w:val="Hyperlink"/>
            <w:noProof/>
          </w:rPr>
          <w:t>PROGRAM 21</w:t>
        </w:r>
        <w:r w:rsidR="005432AF">
          <w:rPr>
            <w:rFonts w:eastAsiaTheme="minorEastAsia" w:cstheme="minorBidi"/>
            <w:smallCaps w:val="0"/>
            <w:noProof/>
            <w:sz w:val="22"/>
            <w:szCs w:val="22"/>
          </w:rPr>
          <w:tab/>
        </w:r>
        <w:r w:rsidR="005432AF" w:rsidRPr="009F0725">
          <w:rPr>
            <w:rStyle w:val="Hyperlink"/>
            <w:noProof/>
          </w:rPr>
          <w:t xml:space="preserve"> EXECUTIVE MANAGEMENT</w:t>
        </w:r>
        <w:r w:rsidR="005432AF">
          <w:rPr>
            <w:noProof/>
            <w:webHidden/>
          </w:rPr>
          <w:tab/>
        </w:r>
        <w:r w:rsidR="005432AF">
          <w:rPr>
            <w:noProof/>
            <w:webHidden/>
          </w:rPr>
          <w:fldChar w:fldCharType="begin"/>
        </w:r>
        <w:r w:rsidR="005432AF">
          <w:rPr>
            <w:noProof/>
            <w:webHidden/>
          </w:rPr>
          <w:instrText xml:space="preserve"> PAGEREF _Toc422210510 \h </w:instrText>
        </w:r>
        <w:r w:rsidR="005432AF">
          <w:rPr>
            <w:noProof/>
            <w:webHidden/>
          </w:rPr>
        </w:r>
        <w:r w:rsidR="005432AF">
          <w:rPr>
            <w:noProof/>
            <w:webHidden/>
          </w:rPr>
          <w:fldChar w:fldCharType="separate"/>
        </w:r>
        <w:r>
          <w:rPr>
            <w:noProof/>
            <w:webHidden/>
          </w:rPr>
          <w:t>171</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11" w:history="1">
        <w:r w:rsidR="005432AF" w:rsidRPr="009F0725">
          <w:rPr>
            <w:rStyle w:val="Hyperlink"/>
            <w:noProof/>
          </w:rPr>
          <w:t>PROGRAM 22</w:t>
        </w:r>
        <w:r w:rsidR="005432AF">
          <w:rPr>
            <w:rFonts w:eastAsiaTheme="minorEastAsia" w:cstheme="minorBidi"/>
            <w:smallCaps w:val="0"/>
            <w:noProof/>
            <w:sz w:val="22"/>
            <w:szCs w:val="22"/>
          </w:rPr>
          <w:tab/>
        </w:r>
        <w:r w:rsidR="005432AF" w:rsidRPr="009F0725">
          <w:rPr>
            <w:rStyle w:val="Hyperlink"/>
            <w:noProof/>
          </w:rPr>
          <w:t xml:space="preserve"> PROGRAM AND RESOURCE MANAGEMENT</w:t>
        </w:r>
        <w:r w:rsidR="005432AF">
          <w:rPr>
            <w:noProof/>
            <w:webHidden/>
          </w:rPr>
          <w:tab/>
        </w:r>
        <w:r w:rsidR="005432AF">
          <w:rPr>
            <w:noProof/>
            <w:webHidden/>
          </w:rPr>
          <w:fldChar w:fldCharType="begin"/>
        </w:r>
        <w:r w:rsidR="005432AF">
          <w:rPr>
            <w:noProof/>
            <w:webHidden/>
          </w:rPr>
          <w:instrText xml:space="preserve"> PAGEREF _Toc422210511 \h </w:instrText>
        </w:r>
        <w:r w:rsidR="005432AF">
          <w:rPr>
            <w:noProof/>
            <w:webHidden/>
          </w:rPr>
        </w:r>
        <w:r w:rsidR="005432AF">
          <w:rPr>
            <w:noProof/>
            <w:webHidden/>
          </w:rPr>
          <w:fldChar w:fldCharType="separate"/>
        </w:r>
        <w:r>
          <w:rPr>
            <w:noProof/>
            <w:webHidden/>
          </w:rPr>
          <w:t>176</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12" w:history="1">
        <w:r w:rsidR="005432AF" w:rsidRPr="009F0725">
          <w:rPr>
            <w:rStyle w:val="Hyperlink"/>
            <w:noProof/>
          </w:rPr>
          <w:t>PROGRAM 23</w:t>
        </w:r>
        <w:r w:rsidR="005432AF">
          <w:rPr>
            <w:rFonts w:eastAsiaTheme="minorEastAsia" w:cstheme="minorBidi"/>
            <w:smallCaps w:val="0"/>
            <w:noProof/>
            <w:sz w:val="22"/>
            <w:szCs w:val="22"/>
          </w:rPr>
          <w:tab/>
        </w:r>
        <w:r w:rsidR="005432AF" w:rsidRPr="009F0725">
          <w:rPr>
            <w:rStyle w:val="Hyperlink"/>
            <w:noProof/>
          </w:rPr>
          <w:t xml:space="preserve"> HUMAN RESOURCES MANAGEMENT AND DEVELOPMENT</w:t>
        </w:r>
        <w:r w:rsidR="005432AF">
          <w:rPr>
            <w:noProof/>
            <w:webHidden/>
          </w:rPr>
          <w:tab/>
        </w:r>
        <w:r w:rsidR="005432AF">
          <w:rPr>
            <w:noProof/>
            <w:webHidden/>
          </w:rPr>
          <w:fldChar w:fldCharType="begin"/>
        </w:r>
        <w:r w:rsidR="005432AF">
          <w:rPr>
            <w:noProof/>
            <w:webHidden/>
          </w:rPr>
          <w:instrText xml:space="preserve"> PAGEREF _Toc422210512 \h </w:instrText>
        </w:r>
        <w:r w:rsidR="005432AF">
          <w:rPr>
            <w:noProof/>
            <w:webHidden/>
          </w:rPr>
        </w:r>
        <w:r w:rsidR="005432AF">
          <w:rPr>
            <w:noProof/>
            <w:webHidden/>
          </w:rPr>
          <w:fldChar w:fldCharType="separate"/>
        </w:r>
        <w:r>
          <w:rPr>
            <w:noProof/>
            <w:webHidden/>
          </w:rPr>
          <w:t>182</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13" w:history="1">
        <w:r w:rsidR="005432AF" w:rsidRPr="009F0725">
          <w:rPr>
            <w:rStyle w:val="Hyperlink"/>
            <w:noProof/>
          </w:rPr>
          <w:t>PROGRAM 24</w:t>
        </w:r>
        <w:r w:rsidR="005432AF">
          <w:rPr>
            <w:rFonts w:eastAsiaTheme="minorEastAsia" w:cstheme="minorBidi"/>
            <w:smallCaps w:val="0"/>
            <w:noProof/>
            <w:sz w:val="22"/>
            <w:szCs w:val="22"/>
          </w:rPr>
          <w:tab/>
        </w:r>
        <w:r w:rsidR="005432AF" w:rsidRPr="009F0725">
          <w:rPr>
            <w:rStyle w:val="Hyperlink"/>
            <w:noProof/>
          </w:rPr>
          <w:t>GENERAL SUPPORT SERVICES</w:t>
        </w:r>
        <w:r w:rsidR="005432AF">
          <w:rPr>
            <w:noProof/>
            <w:webHidden/>
          </w:rPr>
          <w:tab/>
        </w:r>
        <w:r w:rsidR="005432AF">
          <w:rPr>
            <w:noProof/>
            <w:webHidden/>
          </w:rPr>
          <w:fldChar w:fldCharType="begin"/>
        </w:r>
        <w:r w:rsidR="005432AF">
          <w:rPr>
            <w:noProof/>
            <w:webHidden/>
          </w:rPr>
          <w:instrText xml:space="preserve"> PAGEREF _Toc422210513 \h </w:instrText>
        </w:r>
        <w:r w:rsidR="005432AF">
          <w:rPr>
            <w:noProof/>
            <w:webHidden/>
          </w:rPr>
        </w:r>
        <w:r w:rsidR="005432AF">
          <w:rPr>
            <w:noProof/>
            <w:webHidden/>
          </w:rPr>
          <w:fldChar w:fldCharType="separate"/>
        </w:r>
        <w:r>
          <w:rPr>
            <w:noProof/>
            <w:webHidden/>
          </w:rPr>
          <w:t>187</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14" w:history="1">
        <w:r w:rsidR="005432AF" w:rsidRPr="009F0725">
          <w:rPr>
            <w:rStyle w:val="Hyperlink"/>
            <w:noProof/>
          </w:rPr>
          <w:t>PROGRAM 25</w:t>
        </w:r>
        <w:r w:rsidR="005432AF">
          <w:rPr>
            <w:rFonts w:eastAsiaTheme="minorEastAsia" w:cstheme="minorBidi"/>
            <w:smallCaps w:val="0"/>
            <w:noProof/>
            <w:sz w:val="22"/>
            <w:szCs w:val="22"/>
          </w:rPr>
          <w:tab/>
        </w:r>
        <w:r w:rsidR="005432AF" w:rsidRPr="009F0725">
          <w:rPr>
            <w:rStyle w:val="Hyperlink"/>
            <w:noProof/>
          </w:rPr>
          <w:t>INFORMATION AND COMMUNICATION TECHNOLOGY</w:t>
        </w:r>
        <w:r w:rsidR="005432AF">
          <w:rPr>
            <w:noProof/>
            <w:webHidden/>
          </w:rPr>
          <w:tab/>
        </w:r>
        <w:r w:rsidR="005432AF">
          <w:rPr>
            <w:noProof/>
            <w:webHidden/>
          </w:rPr>
          <w:fldChar w:fldCharType="begin"/>
        </w:r>
        <w:r w:rsidR="005432AF">
          <w:rPr>
            <w:noProof/>
            <w:webHidden/>
          </w:rPr>
          <w:instrText xml:space="preserve"> PAGEREF _Toc422210514 \h </w:instrText>
        </w:r>
        <w:r w:rsidR="005432AF">
          <w:rPr>
            <w:noProof/>
            <w:webHidden/>
          </w:rPr>
        </w:r>
        <w:r w:rsidR="005432AF">
          <w:rPr>
            <w:noProof/>
            <w:webHidden/>
          </w:rPr>
          <w:fldChar w:fldCharType="separate"/>
        </w:r>
        <w:r>
          <w:rPr>
            <w:noProof/>
            <w:webHidden/>
          </w:rPr>
          <w:t>194</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15" w:history="1">
        <w:r w:rsidR="005432AF" w:rsidRPr="009F0725">
          <w:rPr>
            <w:rStyle w:val="Hyperlink"/>
            <w:rFonts w:eastAsia="SimSun"/>
            <w:caps/>
            <w:noProof/>
            <w:lang w:eastAsia="zh-CN"/>
          </w:rPr>
          <w:t>PROGRAM 26</w:t>
        </w:r>
        <w:r w:rsidR="005432AF">
          <w:rPr>
            <w:rFonts w:eastAsiaTheme="minorEastAsia" w:cstheme="minorBidi"/>
            <w:smallCaps w:val="0"/>
            <w:noProof/>
            <w:sz w:val="22"/>
            <w:szCs w:val="22"/>
          </w:rPr>
          <w:tab/>
        </w:r>
        <w:r w:rsidR="005432AF" w:rsidRPr="009F0725">
          <w:rPr>
            <w:rStyle w:val="Hyperlink"/>
            <w:rFonts w:eastAsia="SimSun"/>
            <w:caps/>
            <w:noProof/>
            <w:lang w:eastAsia="zh-CN"/>
          </w:rPr>
          <w:t>INTERNAL OVERSIGHT</w:t>
        </w:r>
        <w:r w:rsidR="005432AF">
          <w:rPr>
            <w:noProof/>
            <w:webHidden/>
          </w:rPr>
          <w:tab/>
        </w:r>
        <w:r w:rsidR="005432AF">
          <w:rPr>
            <w:noProof/>
            <w:webHidden/>
          </w:rPr>
          <w:fldChar w:fldCharType="begin"/>
        </w:r>
        <w:r w:rsidR="005432AF">
          <w:rPr>
            <w:noProof/>
            <w:webHidden/>
          </w:rPr>
          <w:instrText xml:space="preserve"> PAGEREF _Toc422210515 \h </w:instrText>
        </w:r>
        <w:r w:rsidR="005432AF">
          <w:rPr>
            <w:noProof/>
            <w:webHidden/>
          </w:rPr>
        </w:r>
        <w:r w:rsidR="005432AF">
          <w:rPr>
            <w:noProof/>
            <w:webHidden/>
          </w:rPr>
          <w:fldChar w:fldCharType="separate"/>
        </w:r>
        <w:r>
          <w:rPr>
            <w:noProof/>
            <w:webHidden/>
          </w:rPr>
          <w:t>198</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16" w:history="1">
        <w:r w:rsidR="005432AF" w:rsidRPr="009F0725">
          <w:rPr>
            <w:rStyle w:val="Hyperlink"/>
            <w:noProof/>
          </w:rPr>
          <w:t>PROGRAM 27</w:t>
        </w:r>
        <w:r w:rsidR="005432AF">
          <w:rPr>
            <w:rFonts w:eastAsiaTheme="minorEastAsia" w:cstheme="minorBidi"/>
            <w:smallCaps w:val="0"/>
            <w:noProof/>
            <w:sz w:val="22"/>
            <w:szCs w:val="22"/>
          </w:rPr>
          <w:tab/>
        </w:r>
        <w:r w:rsidR="005432AF" w:rsidRPr="009F0725">
          <w:rPr>
            <w:rStyle w:val="Hyperlink"/>
            <w:noProof/>
          </w:rPr>
          <w:t>CONFERENCE AND LANGUAGE SERVICES</w:t>
        </w:r>
        <w:r w:rsidR="005432AF">
          <w:rPr>
            <w:noProof/>
            <w:webHidden/>
          </w:rPr>
          <w:tab/>
        </w:r>
        <w:r w:rsidR="005432AF">
          <w:rPr>
            <w:noProof/>
            <w:webHidden/>
          </w:rPr>
          <w:fldChar w:fldCharType="begin"/>
        </w:r>
        <w:r w:rsidR="005432AF">
          <w:rPr>
            <w:noProof/>
            <w:webHidden/>
          </w:rPr>
          <w:instrText xml:space="preserve"> PAGEREF _Toc422210516 \h </w:instrText>
        </w:r>
        <w:r w:rsidR="005432AF">
          <w:rPr>
            <w:noProof/>
            <w:webHidden/>
          </w:rPr>
        </w:r>
        <w:r w:rsidR="005432AF">
          <w:rPr>
            <w:noProof/>
            <w:webHidden/>
          </w:rPr>
          <w:fldChar w:fldCharType="separate"/>
        </w:r>
        <w:r>
          <w:rPr>
            <w:noProof/>
            <w:webHidden/>
          </w:rPr>
          <w:t>201</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17" w:history="1">
        <w:r w:rsidR="005432AF" w:rsidRPr="009F0725">
          <w:rPr>
            <w:rStyle w:val="Hyperlink"/>
            <w:noProof/>
          </w:rPr>
          <w:t>PROGRAM 28</w:t>
        </w:r>
        <w:r w:rsidR="005432AF">
          <w:rPr>
            <w:rFonts w:eastAsiaTheme="minorEastAsia" w:cstheme="minorBidi"/>
            <w:smallCaps w:val="0"/>
            <w:noProof/>
            <w:sz w:val="22"/>
            <w:szCs w:val="22"/>
          </w:rPr>
          <w:tab/>
        </w:r>
        <w:r w:rsidR="005432AF" w:rsidRPr="009F0725">
          <w:rPr>
            <w:rStyle w:val="Hyperlink"/>
            <w:noProof/>
          </w:rPr>
          <w:t>SAFETY AND SECURITY</w:t>
        </w:r>
        <w:r w:rsidR="005432AF">
          <w:rPr>
            <w:noProof/>
            <w:webHidden/>
          </w:rPr>
          <w:tab/>
        </w:r>
        <w:r w:rsidR="005432AF">
          <w:rPr>
            <w:noProof/>
            <w:webHidden/>
          </w:rPr>
          <w:fldChar w:fldCharType="begin"/>
        </w:r>
        <w:r w:rsidR="005432AF">
          <w:rPr>
            <w:noProof/>
            <w:webHidden/>
          </w:rPr>
          <w:instrText xml:space="preserve"> PAGEREF _Toc422210517 \h </w:instrText>
        </w:r>
        <w:r w:rsidR="005432AF">
          <w:rPr>
            <w:noProof/>
            <w:webHidden/>
          </w:rPr>
        </w:r>
        <w:r w:rsidR="005432AF">
          <w:rPr>
            <w:noProof/>
            <w:webHidden/>
          </w:rPr>
          <w:fldChar w:fldCharType="separate"/>
        </w:r>
        <w:r>
          <w:rPr>
            <w:noProof/>
            <w:webHidden/>
          </w:rPr>
          <w:t>205</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18" w:history="1">
        <w:r w:rsidR="005432AF" w:rsidRPr="009F0725">
          <w:rPr>
            <w:rStyle w:val="Hyperlink"/>
            <w:noProof/>
          </w:rPr>
          <w:t>PROGRAM 29</w:t>
        </w:r>
        <w:r w:rsidR="005432AF">
          <w:rPr>
            <w:rFonts w:eastAsiaTheme="minorEastAsia" w:cstheme="minorBidi"/>
            <w:smallCaps w:val="0"/>
            <w:noProof/>
            <w:sz w:val="22"/>
            <w:szCs w:val="22"/>
          </w:rPr>
          <w:tab/>
        </w:r>
        <w:r w:rsidR="005432AF" w:rsidRPr="009F0725">
          <w:rPr>
            <w:rStyle w:val="Hyperlink"/>
            <w:noProof/>
          </w:rPr>
          <w:t>CONSTRUCTIONS PROJECTS</w:t>
        </w:r>
        <w:r w:rsidR="005432AF">
          <w:rPr>
            <w:noProof/>
            <w:webHidden/>
          </w:rPr>
          <w:tab/>
        </w:r>
        <w:r w:rsidR="005432AF">
          <w:rPr>
            <w:noProof/>
            <w:webHidden/>
          </w:rPr>
          <w:fldChar w:fldCharType="begin"/>
        </w:r>
        <w:r w:rsidR="005432AF">
          <w:rPr>
            <w:noProof/>
            <w:webHidden/>
          </w:rPr>
          <w:instrText xml:space="preserve"> PAGEREF _Toc422210518 \h </w:instrText>
        </w:r>
        <w:r w:rsidR="005432AF">
          <w:rPr>
            <w:noProof/>
            <w:webHidden/>
          </w:rPr>
        </w:r>
        <w:r w:rsidR="005432AF">
          <w:rPr>
            <w:noProof/>
            <w:webHidden/>
          </w:rPr>
          <w:fldChar w:fldCharType="separate"/>
        </w:r>
        <w:r>
          <w:rPr>
            <w:noProof/>
            <w:webHidden/>
          </w:rPr>
          <w:t>208</w:t>
        </w:r>
        <w:r w:rsidR="005432AF">
          <w:rPr>
            <w:noProof/>
            <w:webHidden/>
          </w:rPr>
          <w:fldChar w:fldCharType="end"/>
        </w:r>
      </w:hyperlink>
    </w:p>
    <w:p w:rsidR="005432AF" w:rsidRDefault="000C419F">
      <w:pPr>
        <w:pStyle w:val="TOC1"/>
        <w:rPr>
          <w:rFonts w:eastAsiaTheme="minorEastAsia" w:cstheme="minorBidi"/>
          <w:b w:val="0"/>
          <w:bCs w:val="0"/>
          <w:caps w:val="0"/>
          <w:noProof/>
          <w:sz w:val="22"/>
          <w:szCs w:val="22"/>
        </w:rPr>
      </w:pPr>
      <w:hyperlink w:anchor="_Toc422210519" w:history="1">
        <w:r w:rsidR="005432AF" w:rsidRPr="009F0725">
          <w:rPr>
            <w:rStyle w:val="Hyperlink"/>
            <w:noProof/>
          </w:rPr>
          <w:t>IV.</w:t>
        </w:r>
        <w:r w:rsidR="005432AF">
          <w:rPr>
            <w:rFonts w:eastAsiaTheme="minorEastAsia" w:cstheme="minorBidi"/>
            <w:b w:val="0"/>
            <w:bCs w:val="0"/>
            <w:caps w:val="0"/>
            <w:noProof/>
            <w:sz w:val="22"/>
            <w:szCs w:val="22"/>
          </w:rPr>
          <w:tab/>
        </w:r>
        <w:r w:rsidR="005432AF" w:rsidRPr="009F0725">
          <w:rPr>
            <w:rStyle w:val="Hyperlink"/>
            <w:noProof/>
          </w:rPr>
          <w:t>APPENDICES</w:t>
        </w:r>
        <w:r w:rsidR="005432AF">
          <w:rPr>
            <w:noProof/>
            <w:webHidden/>
          </w:rPr>
          <w:tab/>
        </w:r>
        <w:r w:rsidR="005432AF">
          <w:rPr>
            <w:noProof/>
            <w:webHidden/>
          </w:rPr>
          <w:fldChar w:fldCharType="begin"/>
        </w:r>
        <w:r w:rsidR="005432AF">
          <w:rPr>
            <w:noProof/>
            <w:webHidden/>
          </w:rPr>
          <w:instrText xml:space="preserve"> PAGEREF _Toc422210519 \h </w:instrText>
        </w:r>
        <w:r w:rsidR="005432AF">
          <w:rPr>
            <w:noProof/>
            <w:webHidden/>
          </w:rPr>
        </w:r>
        <w:r w:rsidR="005432AF">
          <w:rPr>
            <w:noProof/>
            <w:webHidden/>
          </w:rPr>
          <w:fldChar w:fldCharType="separate"/>
        </w:r>
        <w:r>
          <w:rPr>
            <w:noProof/>
            <w:webHidden/>
          </w:rPr>
          <w:t>212</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20" w:history="1">
        <w:r w:rsidR="005432AF" w:rsidRPr="009F0725">
          <w:rPr>
            <w:rStyle w:val="Hyperlink"/>
            <w:noProof/>
          </w:rPr>
          <w:t>APPENDIX I       BREAKDOWN OF THE PERFORMANCE ASSESSMENTS BY PROGRAM</w:t>
        </w:r>
        <w:r w:rsidR="005432AF">
          <w:rPr>
            <w:noProof/>
            <w:webHidden/>
          </w:rPr>
          <w:tab/>
        </w:r>
        <w:r w:rsidR="005432AF">
          <w:rPr>
            <w:noProof/>
            <w:webHidden/>
          </w:rPr>
          <w:fldChar w:fldCharType="begin"/>
        </w:r>
        <w:r w:rsidR="005432AF">
          <w:rPr>
            <w:noProof/>
            <w:webHidden/>
          </w:rPr>
          <w:instrText xml:space="preserve"> PAGEREF _Toc422210520 \h </w:instrText>
        </w:r>
        <w:r w:rsidR="005432AF">
          <w:rPr>
            <w:noProof/>
            <w:webHidden/>
          </w:rPr>
        </w:r>
        <w:r w:rsidR="005432AF">
          <w:rPr>
            <w:noProof/>
            <w:webHidden/>
          </w:rPr>
          <w:fldChar w:fldCharType="separate"/>
        </w:r>
        <w:r>
          <w:rPr>
            <w:noProof/>
            <w:webHidden/>
          </w:rPr>
          <w:t>212</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21" w:history="1">
        <w:r w:rsidR="005432AF" w:rsidRPr="009F0725">
          <w:rPr>
            <w:rStyle w:val="Hyperlink"/>
            <w:noProof/>
            <w:lang w:eastAsia="zh-CN"/>
          </w:rPr>
          <w:t xml:space="preserve">APPENDIX II     </w:t>
        </w:r>
        <w:r w:rsidR="005432AF" w:rsidRPr="009F0725">
          <w:rPr>
            <w:rStyle w:val="Hyperlink"/>
            <w:noProof/>
          </w:rPr>
          <w:t xml:space="preserve"> IMPLEMENTATION OF FUNDS-IN-TRUST 2014</w:t>
        </w:r>
        <w:r w:rsidR="005432AF">
          <w:rPr>
            <w:noProof/>
            <w:webHidden/>
          </w:rPr>
          <w:tab/>
        </w:r>
        <w:r w:rsidR="005432AF">
          <w:rPr>
            <w:noProof/>
            <w:webHidden/>
          </w:rPr>
          <w:fldChar w:fldCharType="begin"/>
        </w:r>
        <w:r w:rsidR="005432AF">
          <w:rPr>
            <w:noProof/>
            <w:webHidden/>
          </w:rPr>
          <w:instrText xml:space="preserve"> PAGEREF _Toc422210521 \h </w:instrText>
        </w:r>
        <w:r w:rsidR="005432AF">
          <w:rPr>
            <w:noProof/>
            <w:webHidden/>
          </w:rPr>
        </w:r>
        <w:r w:rsidR="005432AF">
          <w:rPr>
            <w:noProof/>
            <w:webHidden/>
          </w:rPr>
          <w:fldChar w:fldCharType="separate"/>
        </w:r>
        <w:r>
          <w:rPr>
            <w:noProof/>
            <w:webHidden/>
          </w:rPr>
          <w:t>213</w:t>
        </w:r>
        <w:r w:rsidR="005432AF">
          <w:rPr>
            <w:noProof/>
            <w:webHidden/>
          </w:rPr>
          <w:fldChar w:fldCharType="end"/>
        </w:r>
      </w:hyperlink>
    </w:p>
    <w:p w:rsidR="005432AF" w:rsidRDefault="000C419F">
      <w:pPr>
        <w:pStyle w:val="TOC2"/>
        <w:rPr>
          <w:rFonts w:eastAsiaTheme="minorEastAsia" w:cstheme="minorBidi"/>
          <w:smallCaps w:val="0"/>
          <w:noProof/>
          <w:sz w:val="22"/>
          <w:szCs w:val="22"/>
        </w:rPr>
      </w:pPr>
      <w:hyperlink w:anchor="_Toc422210522" w:history="1">
        <w:r w:rsidR="005432AF" w:rsidRPr="009F0725">
          <w:rPr>
            <w:rStyle w:val="Hyperlink"/>
            <w:noProof/>
          </w:rPr>
          <w:t>APPENDIX III     CAPITAL MASTER PLAN (CMP) PROGRESS REPORT 2014</w:t>
        </w:r>
        <w:r w:rsidR="005432AF">
          <w:rPr>
            <w:noProof/>
            <w:webHidden/>
          </w:rPr>
          <w:tab/>
        </w:r>
        <w:r w:rsidR="005432AF">
          <w:rPr>
            <w:noProof/>
            <w:webHidden/>
          </w:rPr>
          <w:fldChar w:fldCharType="begin"/>
        </w:r>
        <w:r w:rsidR="005432AF">
          <w:rPr>
            <w:noProof/>
            <w:webHidden/>
          </w:rPr>
          <w:instrText xml:space="preserve"> PAGEREF _Toc422210522 \h </w:instrText>
        </w:r>
        <w:r w:rsidR="005432AF">
          <w:rPr>
            <w:noProof/>
            <w:webHidden/>
          </w:rPr>
        </w:r>
        <w:r w:rsidR="005432AF">
          <w:rPr>
            <w:noProof/>
            <w:webHidden/>
          </w:rPr>
          <w:fldChar w:fldCharType="separate"/>
        </w:r>
        <w:r>
          <w:rPr>
            <w:noProof/>
            <w:webHidden/>
          </w:rPr>
          <w:t>243</w:t>
        </w:r>
        <w:r w:rsidR="005432AF">
          <w:rPr>
            <w:noProof/>
            <w:webHidden/>
          </w:rPr>
          <w:fldChar w:fldCharType="end"/>
        </w:r>
      </w:hyperlink>
    </w:p>
    <w:p w:rsidR="005432AF" w:rsidRPr="005432AF" w:rsidRDefault="000C419F" w:rsidP="005432AF">
      <w:pPr>
        <w:pStyle w:val="TOC3"/>
        <w:rPr>
          <w:rFonts w:eastAsiaTheme="minorEastAsia" w:cstheme="minorBidi"/>
          <w:sz w:val="22"/>
          <w:szCs w:val="22"/>
        </w:rPr>
      </w:pPr>
      <w:hyperlink w:anchor="_Toc422210523" w:history="1">
        <w:r w:rsidR="005432AF" w:rsidRPr="005432AF">
          <w:rPr>
            <w:rStyle w:val="Hyperlink"/>
          </w:rPr>
          <w:t>PROJECT:  SECURITY ENHANCEMENT:  DATA ENCRYPTION AND USER MANAGEMENT</w:t>
        </w:r>
        <w:r w:rsidR="003E2F16">
          <w:rPr>
            <w:rStyle w:val="Hyperlink"/>
          </w:rPr>
          <w:t xml:space="preserve"> (CMP 1)</w:t>
        </w:r>
        <w:r w:rsidR="005432AF" w:rsidRPr="005432AF">
          <w:rPr>
            <w:webHidden/>
          </w:rPr>
          <w:tab/>
        </w:r>
        <w:r w:rsidR="005432AF" w:rsidRPr="005432AF">
          <w:rPr>
            <w:webHidden/>
          </w:rPr>
          <w:fldChar w:fldCharType="begin"/>
        </w:r>
        <w:r w:rsidR="005432AF" w:rsidRPr="005432AF">
          <w:rPr>
            <w:webHidden/>
          </w:rPr>
          <w:instrText xml:space="preserve"> PAGEREF _Toc422210523 \h </w:instrText>
        </w:r>
        <w:r w:rsidR="005432AF" w:rsidRPr="005432AF">
          <w:rPr>
            <w:webHidden/>
          </w:rPr>
        </w:r>
        <w:r w:rsidR="005432AF" w:rsidRPr="005432AF">
          <w:rPr>
            <w:webHidden/>
          </w:rPr>
          <w:fldChar w:fldCharType="separate"/>
        </w:r>
        <w:r>
          <w:rPr>
            <w:webHidden/>
          </w:rPr>
          <w:t>244</w:t>
        </w:r>
        <w:r w:rsidR="005432AF" w:rsidRPr="005432AF">
          <w:rPr>
            <w:webHidden/>
          </w:rPr>
          <w:fldChar w:fldCharType="end"/>
        </w:r>
      </w:hyperlink>
    </w:p>
    <w:p w:rsidR="005432AF" w:rsidRPr="005432AF" w:rsidRDefault="000C419F" w:rsidP="005432AF">
      <w:pPr>
        <w:pStyle w:val="TOC3"/>
        <w:rPr>
          <w:rFonts w:eastAsiaTheme="minorEastAsia" w:cstheme="minorBidi"/>
          <w:sz w:val="22"/>
          <w:szCs w:val="22"/>
        </w:rPr>
      </w:pPr>
      <w:hyperlink w:anchor="_Toc422210524" w:history="1">
        <w:r w:rsidR="005432AF" w:rsidRPr="005432AF">
          <w:rPr>
            <w:rStyle w:val="Hyperlink"/>
          </w:rPr>
          <w:t>PROJECT:  ENTERPRISE CONTENT MANAGEMENT (ECM) IMPLEMENTATION (CMP 2)</w:t>
        </w:r>
        <w:r w:rsidR="005432AF" w:rsidRPr="005432AF">
          <w:rPr>
            <w:webHidden/>
          </w:rPr>
          <w:tab/>
        </w:r>
        <w:r w:rsidR="005432AF" w:rsidRPr="005432AF">
          <w:rPr>
            <w:webHidden/>
          </w:rPr>
          <w:fldChar w:fldCharType="begin"/>
        </w:r>
        <w:r w:rsidR="005432AF" w:rsidRPr="005432AF">
          <w:rPr>
            <w:webHidden/>
          </w:rPr>
          <w:instrText xml:space="preserve"> PAGEREF _Toc422210524 \h </w:instrText>
        </w:r>
        <w:r w:rsidR="005432AF" w:rsidRPr="005432AF">
          <w:rPr>
            <w:webHidden/>
          </w:rPr>
        </w:r>
        <w:r w:rsidR="005432AF" w:rsidRPr="005432AF">
          <w:rPr>
            <w:webHidden/>
          </w:rPr>
          <w:fldChar w:fldCharType="separate"/>
        </w:r>
        <w:r>
          <w:rPr>
            <w:webHidden/>
          </w:rPr>
          <w:t>246</w:t>
        </w:r>
        <w:r w:rsidR="005432AF" w:rsidRPr="005432AF">
          <w:rPr>
            <w:webHidden/>
          </w:rPr>
          <w:fldChar w:fldCharType="end"/>
        </w:r>
      </w:hyperlink>
    </w:p>
    <w:p w:rsidR="005432AF" w:rsidRPr="005432AF" w:rsidRDefault="000C419F" w:rsidP="005432AF">
      <w:pPr>
        <w:pStyle w:val="TOC3"/>
        <w:rPr>
          <w:rFonts w:eastAsiaTheme="minorEastAsia" w:cstheme="minorBidi"/>
          <w:sz w:val="22"/>
          <w:szCs w:val="22"/>
        </w:rPr>
      </w:pPr>
      <w:hyperlink w:anchor="_Toc422210525" w:history="1">
        <w:r w:rsidR="005432AF" w:rsidRPr="005432AF">
          <w:rPr>
            <w:rStyle w:val="Hyperlink"/>
          </w:rPr>
          <w:t>PROJECT:  RENOVATION OF THE FACADES AND COOLING/HEATING INSTALLATION IN PCT BUILDING (CMP 3)</w:t>
        </w:r>
        <w:r w:rsidR="005432AF" w:rsidRPr="005432AF">
          <w:rPr>
            <w:webHidden/>
          </w:rPr>
          <w:tab/>
        </w:r>
        <w:r w:rsidR="005432AF" w:rsidRPr="005432AF">
          <w:rPr>
            <w:webHidden/>
          </w:rPr>
          <w:fldChar w:fldCharType="begin"/>
        </w:r>
        <w:r w:rsidR="005432AF" w:rsidRPr="005432AF">
          <w:rPr>
            <w:webHidden/>
          </w:rPr>
          <w:instrText xml:space="preserve"> PAGEREF _Toc422210525 \h </w:instrText>
        </w:r>
        <w:r w:rsidR="005432AF" w:rsidRPr="005432AF">
          <w:rPr>
            <w:webHidden/>
          </w:rPr>
        </w:r>
        <w:r w:rsidR="005432AF" w:rsidRPr="005432AF">
          <w:rPr>
            <w:webHidden/>
          </w:rPr>
          <w:fldChar w:fldCharType="separate"/>
        </w:r>
        <w:r>
          <w:rPr>
            <w:webHidden/>
          </w:rPr>
          <w:t>250</w:t>
        </w:r>
        <w:r w:rsidR="005432AF" w:rsidRPr="005432AF">
          <w:rPr>
            <w:webHidden/>
          </w:rPr>
          <w:fldChar w:fldCharType="end"/>
        </w:r>
      </w:hyperlink>
    </w:p>
    <w:p w:rsidR="005432AF" w:rsidRDefault="000C419F" w:rsidP="005432AF">
      <w:pPr>
        <w:pStyle w:val="TOC3"/>
        <w:rPr>
          <w:rFonts w:eastAsiaTheme="minorEastAsia" w:cstheme="minorBidi"/>
          <w:sz w:val="22"/>
          <w:szCs w:val="22"/>
        </w:rPr>
      </w:pPr>
      <w:hyperlink w:anchor="_Toc422210526" w:history="1">
        <w:r w:rsidR="005432AF" w:rsidRPr="005432AF">
          <w:rPr>
            <w:rStyle w:val="Hyperlink"/>
          </w:rPr>
          <w:t>PROJECT:  DEPLOYMENT OF GENEVA LAKE WATER COOLING SYSTEM TO AB AND PCT BUILDINGS (CMP 4)</w:t>
        </w:r>
        <w:r w:rsidR="005432AF" w:rsidRPr="005432AF">
          <w:rPr>
            <w:webHidden/>
          </w:rPr>
          <w:tab/>
        </w:r>
        <w:r w:rsidR="005432AF">
          <w:rPr>
            <w:webHidden/>
          </w:rPr>
          <w:fldChar w:fldCharType="begin"/>
        </w:r>
        <w:r w:rsidR="005432AF">
          <w:rPr>
            <w:webHidden/>
          </w:rPr>
          <w:instrText xml:space="preserve"> PAGEREF _Toc422210526 \h </w:instrText>
        </w:r>
        <w:r w:rsidR="005432AF">
          <w:rPr>
            <w:webHidden/>
          </w:rPr>
        </w:r>
        <w:r w:rsidR="005432AF">
          <w:rPr>
            <w:webHidden/>
          </w:rPr>
          <w:fldChar w:fldCharType="separate"/>
        </w:r>
        <w:r>
          <w:rPr>
            <w:webHidden/>
          </w:rPr>
          <w:t>254</w:t>
        </w:r>
        <w:r w:rsidR="005432AF">
          <w:rPr>
            <w:webHidden/>
          </w:rPr>
          <w:fldChar w:fldCharType="end"/>
        </w:r>
      </w:hyperlink>
    </w:p>
    <w:p w:rsidR="005432AF" w:rsidRPr="005432AF" w:rsidRDefault="000C419F" w:rsidP="005432AF">
      <w:pPr>
        <w:pStyle w:val="TOC3"/>
        <w:rPr>
          <w:rFonts w:eastAsiaTheme="minorEastAsia" w:cstheme="minorBidi"/>
          <w:sz w:val="22"/>
          <w:szCs w:val="22"/>
        </w:rPr>
      </w:pPr>
      <w:hyperlink w:anchor="_Toc422210527" w:history="1">
        <w:r w:rsidR="005432AF" w:rsidRPr="005432AF">
          <w:rPr>
            <w:rStyle w:val="Hyperlink"/>
          </w:rPr>
          <w:t>PROJECT:  ARPAD BOGSCH BUILDING - PHASE 1 OF BASEMENT RENOVATION (RESIZING OF DATA CENTER AND</w:t>
        </w:r>
        <w:r w:rsidR="005432AF">
          <w:rPr>
            <w:rStyle w:val="Hyperlink"/>
          </w:rPr>
          <w:br/>
          <w:t xml:space="preserve">                 </w:t>
        </w:r>
        <w:r w:rsidR="005432AF" w:rsidRPr="005432AF">
          <w:rPr>
            <w:rStyle w:val="Hyperlink"/>
          </w:rPr>
          <w:t xml:space="preserve"> RENOVATION OF THE PRINTSHOP) (CMP 5)</w:t>
        </w:r>
        <w:r w:rsidR="005432AF" w:rsidRPr="005432AF">
          <w:rPr>
            <w:webHidden/>
          </w:rPr>
          <w:tab/>
        </w:r>
        <w:r w:rsidR="005432AF" w:rsidRPr="005432AF">
          <w:rPr>
            <w:webHidden/>
          </w:rPr>
          <w:fldChar w:fldCharType="begin"/>
        </w:r>
        <w:r w:rsidR="005432AF" w:rsidRPr="005432AF">
          <w:rPr>
            <w:webHidden/>
          </w:rPr>
          <w:instrText xml:space="preserve"> PAGEREF _Toc422210527 \h </w:instrText>
        </w:r>
        <w:r w:rsidR="005432AF" w:rsidRPr="005432AF">
          <w:rPr>
            <w:webHidden/>
          </w:rPr>
        </w:r>
        <w:r w:rsidR="005432AF" w:rsidRPr="005432AF">
          <w:rPr>
            <w:webHidden/>
          </w:rPr>
          <w:fldChar w:fldCharType="separate"/>
        </w:r>
        <w:r>
          <w:rPr>
            <w:webHidden/>
          </w:rPr>
          <w:t>258</w:t>
        </w:r>
        <w:r w:rsidR="005432AF" w:rsidRPr="005432AF">
          <w:rPr>
            <w:webHidden/>
          </w:rPr>
          <w:fldChar w:fldCharType="end"/>
        </w:r>
      </w:hyperlink>
    </w:p>
    <w:p w:rsidR="005432AF" w:rsidRPr="005432AF" w:rsidRDefault="000C419F" w:rsidP="005432AF">
      <w:pPr>
        <w:pStyle w:val="TOC3"/>
        <w:rPr>
          <w:rFonts w:eastAsiaTheme="minorEastAsia" w:cstheme="minorBidi"/>
          <w:sz w:val="22"/>
          <w:szCs w:val="22"/>
        </w:rPr>
      </w:pPr>
      <w:hyperlink w:anchor="_Toc422210528" w:history="1">
        <w:r w:rsidR="005432AF" w:rsidRPr="005432AF">
          <w:rPr>
            <w:rStyle w:val="Hyperlink"/>
          </w:rPr>
          <w:t>PROJECT:  ARPAD BOGSCH BUILDING - REPLACEMENT OF CERTAIN WINDOWS (CMP 6)</w:t>
        </w:r>
        <w:r w:rsidR="005432AF" w:rsidRPr="005432AF">
          <w:rPr>
            <w:webHidden/>
          </w:rPr>
          <w:tab/>
        </w:r>
        <w:r w:rsidR="005432AF" w:rsidRPr="005432AF">
          <w:rPr>
            <w:webHidden/>
          </w:rPr>
          <w:fldChar w:fldCharType="begin"/>
        </w:r>
        <w:r w:rsidR="005432AF" w:rsidRPr="005432AF">
          <w:rPr>
            <w:webHidden/>
          </w:rPr>
          <w:instrText xml:space="preserve"> PAGEREF _Toc422210528 \h </w:instrText>
        </w:r>
        <w:r w:rsidR="005432AF" w:rsidRPr="005432AF">
          <w:rPr>
            <w:webHidden/>
          </w:rPr>
        </w:r>
        <w:r w:rsidR="005432AF" w:rsidRPr="005432AF">
          <w:rPr>
            <w:webHidden/>
          </w:rPr>
          <w:fldChar w:fldCharType="separate"/>
        </w:r>
        <w:r>
          <w:rPr>
            <w:webHidden/>
          </w:rPr>
          <w:t>261</w:t>
        </w:r>
        <w:r w:rsidR="005432AF" w:rsidRPr="005432AF">
          <w:rPr>
            <w:webHidden/>
          </w:rPr>
          <w:fldChar w:fldCharType="end"/>
        </w:r>
      </w:hyperlink>
    </w:p>
    <w:p w:rsidR="005432AF" w:rsidRPr="005432AF" w:rsidRDefault="000C419F" w:rsidP="005432AF">
      <w:pPr>
        <w:pStyle w:val="TOC3"/>
        <w:rPr>
          <w:rFonts w:eastAsiaTheme="minorEastAsia" w:cstheme="minorBidi"/>
          <w:sz w:val="22"/>
          <w:szCs w:val="22"/>
        </w:rPr>
      </w:pPr>
      <w:hyperlink w:anchor="_Toc422210529" w:history="1">
        <w:r w:rsidR="005432AF" w:rsidRPr="005432AF">
          <w:rPr>
            <w:rStyle w:val="Hyperlink"/>
          </w:rPr>
          <w:t>PROJECT:  SAFETY AND FIREPROTECTION MEASURES (CMP 7)</w:t>
        </w:r>
        <w:r w:rsidR="005432AF" w:rsidRPr="005432AF">
          <w:rPr>
            <w:webHidden/>
          </w:rPr>
          <w:tab/>
        </w:r>
        <w:r w:rsidR="005432AF" w:rsidRPr="005432AF">
          <w:rPr>
            <w:webHidden/>
          </w:rPr>
          <w:fldChar w:fldCharType="begin"/>
        </w:r>
        <w:r w:rsidR="005432AF" w:rsidRPr="005432AF">
          <w:rPr>
            <w:webHidden/>
          </w:rPr>
          <w:instrText xml:space="preserve"> PAGEREF _Toc422210529 \h </w:instrText>
        </w:r>
        <w:r w:rsidR="005432AF" w:rsidRPr="005432AF">
          <w:rPr>
            <w:webHidden/>
          </w:rPr>
        </w:r>
        <w:r w:rsidR="005432AF" w:rsidRPr="005432AF">
          <w:rPr>
            <w:webHidden/>
          </w:rPr>
          <w:fldChar w:fldCharType="separate"/>
        </w:r>
        <w:r>
          <w:rPr>
            <w:webHidden/>
          </w:rPr>
          <w:t>264</w:t>
        </w:r>
        <w:r w:rsidR="005432AF" w:rsidRPr="005432AF">
          <w:rPr>
            <w:webHidden/>
          </w:rPr>
          <w:fldChar w:fldCharType="end"/>
        </w:r>
      </w:hyperlink>
    </w:p>
    <w:p w:rsidR="005432AF" w:rsidRDefault="000C419F">
      <w:pPr>
        <w:pStyle w:val="TOC2"/>
        <w:rPr>
          <w:rFonts w:eastAsiaTheme="minorEastAsia" w:cstheme="minorBidi"/>
          <w:smallCaps w:val="0"/>
          <w:noProof/>
          <w:sz w:val="22"/>
          <w:szCs w:val="22"/>
        </w:rPr>
      </w:pPr>
      <w:hyperlink w:anchor="_Toc422210530" w:history="1">
        <w:r w:rsidR="005432AF" w:rsidRPr="009F0725">
          <w:rPr>
            <w:rStyle w:val="Hyperlink"/>
            <w:noProof/>
            <w:lang w:eastAsia="zh-CN"/>
          </w:rPr>
          <w:t xml:space="preserve">APPENDIX IV    </w:t>
        </w:r>
        <w:r w:rsidR="005432AF" w:rsidRPr="009F0725">
          <w:rPr>
            <w:rStyle w:val="Hyperlink"/>
            <w:noProof/>
          </w:rPr>
          <w:t xml:space="preserve"> ACRONYMS AND ABBREVIATIONS USED IN THE PRESENT DOCUMENT</w:t>
        </w:r>
        <w:r w:rsidR="005432AF">
          <w:rPr>
            <w:noProof/>
            <w:webHidden/>
          </w:rPr>
          <w:tab/>
        </w:r>
        <w:r w:rsidR="005432AF">
          <w:rPr>
            <w:noProof/>
            <w:webHidden/>
          </w:rPr>
          <w:fldChar w:fldCharType="begin"/>
        </w:r>
        <w:r w:rsidR="005432AF">
          <w:rPr>
            <w:noProof/>
            <w:webHidden/>
          </w:rPr>
          <w:instrText xml:space="preserve"> PAGEREF _Toc422210530 \h </w:instrText>
        </w:r>
        <w:r w:rsidR="005432AF">
          <w:rPr>
            <w:noProof/>
            <w:webHidden/>
          </w:rPr>
        </w:r>
        <w:r w:rsidR="005432AF">
          <w:rPr>
            <w:noProof/>
            <w:webHidden/>
          </w:rPr>
          <w:fldChar w:fldCharType="separate"/>
        </w:r>
        <w:r>
          <w:rPr>
            <w:noProof/>
            <w:webHidden/>
          </w:rPr>
          <w:t>267</w:t>
        </w:r>
        <w:r w:rsidR="005432AF">
          <w:rPr>
            <w:noProof/>
            <w:webHidden/>
          </w:rPr>
          <w:fldChar w:fldCharType="end"/>
        </w:r>
      </w:hyperlink>
    </w:p>
    <w:p w:rsidR="007F6F24" w:rsidRDefault="007F6F24">
      <w:r>
        <w:fldChar w:fldCharType="end"/>
      </w:r>
    </w:p>
    <w:p w:rsidR="007F6F24" w:rsidRDefault="007F6F24"/>
    <w:p w:rsidR="007F6F24" w:rsidRDefault="007F6F24"/>
    <w:p w:rsidR="007F6F24" w:rsidRDefault="007F6F24"/>
    <w:p w:rsidR="007F6F24" w:rsidRDefault="007F6F24">
      <w:r>
        <w:br w:type="page"/>
      </w:r>
    </w:p>
    <w:p w:rsidR="007F6F24" w:rsidRPr="00685779" w:rsidRDefault="007F6F24" w:rsidP="00845557">
      <w:pPr>
        <w:pStyle w:val="Heading1"/>
        <w:tabs>
          <w:tab w:val="clear" w:pos="284"/>
        </w:tabs>
        <w:ind w:hanging="578"/>
        <w:jc w:val="left"/>
        <w:rPr>
          <w:szCs w:val="22"/>
        </w:rPr>
      </w:pPr>
      <w:bookmarkStart w:id="7" w:name="_Toc327875005"/>
      <w:bookmarkStart w:id="8" w:name="_Toc358366917"/>
      <w:bookmarkStart w:id="9" w:name="_Toc422210473"/>
      <w:r w:rsidRPr="00685779">
        <w:lastRenderedPageBreak/>
        <w:t>INTRODUCTION</w:t>
      </w:r>
      <w:bookmarkEnd w:id="7"/>
      <w:bookmarkEnd w:id="8"/>
      <w:bookmarkEnd w:id="9"/>
    </w:p>
    <w:p w:rsidR="007F6F24" w:rsidRDefault="007F6F24"/>
    <w:p w:rsidR="00874089" w:rsidRDefault="00874089"/>
    <w:p w:rsidR="00CE4C9D" w:rsidRDefault="00CE4C9D" w:rsidP="00845557">
      <w:pPr>
        <w:pStyle w:val="ListParagraph"/>
        <w:numPr>
          <w:ilvl w:val="0"/>
          <w:numId w:val="105"/>
        </w:numPr>
        <w:tabs>
          <w:tab w:val="left" w:pos="567"/>
        </w:tabs>
        <w:ind w:left="0" w:firstLine="0"/>
        <w:jc w:val="both"/>
      </w:pPr>
      <w:r w:rsidRPr="00812B04">
        <w:t xml:space="preserve">The Program Performance Report (PPR) is the principal accountability tool for reporting on organizational performance to Member States and an integral part of WIPO’s Results Based Management (RBM) framework.  The Report also serves as an important learning tool ensuring that lessons from past performance are learned and duly incorporated into the future implementation of WIPO’s activities. </w:t>
      </w:r>
      <w:r>
        <w:t xml:space="preserve"> </w:t>
      </w:r>
      <w:r w:rsidRPr="00812B04">
        <w:t xml:space="preserve">The PPR is </w:t>
      </w:r>
      <w:r>
        <w:t xml:space="preserve">a </w:t>
      </w:r>
      <w:r w:rsidRPr="00812B04">
        <w:t xml:space="preserve">self-assessment by Program Managers based on </w:t>
      </w:r>
      <w:r>
        <w:t>the</w:t>
      </w:r>
      <w:r w:rsidRPr="00812B04">
        <w:t xml:space="preserve"> </w:t>
      </w:r>
      <w:r>
        <w:t>results framework approved by Member States.</w:t>
      </w:r>
      <w:r w:rsidRPr="00812B04">
        <w:t xml:space="preserve"> </w:t>
      </w:r>
      <w:r>
        <w:t xml:space="preserve"> </w:t>
      </w:r>
      <w:r w:rsidRPr="0018262D">
        <w:t xml:space="preserve">To strengthen the validity of the information in the PPR, the Internal </w:t>
      </w:r>
      <w:r>
        <w:t>Oversight Division (I</w:t>
      </w:r>
      <w:r w:rsidRPr="0018262D">
        <w:t>OD) carries out a validation of the performance data on a biennial basis.  The next validation exercise will be conducted for the PPR 2014/15.</w:t>
      </w:r>
      <w:r>
        <w:t xml:space="preserve">  For the first time in 2014, the assessment of the implementation of the Development Agenda (DA) has been mainstreamed and therefore integrated into the </w:t>
      </w:r>
      <w:r w:rsidRPr="00BB2CC0">
        <w:rPr>
          <w:i/>
        </w:rPr>
        <w:t>Overview of Progress</w:t>
      </w:r>
      <w:r>
        <w:t>, as opposed to addressed in a separate section</w:t>
      </w:r>
      <w:r w:rsidRPr="00BB2CC0">
        <w:rPr>
          <w:i/>
        </w:rPr>
        <w:t>.</w:t>
      </w:r>
    </w:p>
    <w:p w:rsidR="00CE4C9D" w:rsidRPr="00812B04" w:rsidRDefault="00CE4C9D" w:rsidP="00CE4C9D">
      <w:pPr>
        <w:tabs>
          <w:tab w:val="left" w:pos="567"/>
        </w:tabs>
        <w:jc w:val="both"/>
        <w:rPr>
          <w:highlight w:val="lightGray"/>
        </w:rPr>
      </w:pPr>
    </w:p>
    <w:p w:rsidR="00CE4C9D" w:rsidRPr="00812B04" w:rsidRDefault="00CE4C9D" w:rsidP="00845557">
      <w:pPr>
        <w:pStyle w:val="ListParagraph"/>
        <w:numPr>
          <w:ilvl w:val="0"/>
          <w:numId w:val="105"/>
        </w:numPr>
        <w:tabs>
          <w:tab w:val="left" w:pos="567"/>
        </w:tabs>
        <w:ind w:left="0" w:firstLine="0"/>
        <w:jc w:val="both"/>
      </w:pPr>
      <w:r w:rsidRPr="00812B04">
        <w:t xml:space="preserve">The PPR </w:t>
      </w:r>
      <w:r>
        <w:t>2014</w:t>
      </w:r>
      <w:r w:rsidRPr="00812B04">
        <w:t xml:space="preserve"> is </w:t>
      </w:r>
      <w:r>
        <w:t>a mid-biennium report, focusing on the progress made towards achieving the Expected Results (as opposed to the end-biennium report which focuses on the extent to which Expected Results were achieved)</w:t>
      </w:r>
      <w:r w:rsidRPr="00812B04">
        <w:t>, measured by the Performance Indicators and with the resources approved in the Program and Budget 201</w:t>
      </w:r>
      <w:r>
        <w:t>4</w:t>
      </w:r>
      <w:r w:rsidRPr="00812B04">
        <w:t>/1</w:t>
      </w:r>
      <w:r>
        <w:t>5</w:t>
      </w:r>
      <w:r w:rsidRPr="00812B04">
        <w:t>.</w:t>
      </w:r>
      <w:r>
        <w:t xml:space="preserve">  A performance indicator could be measured by more than one target.  In such cases, the rating for each target is provided, resulting in multiple ratings.  </w:t>
      </w:r>
      <w:r w:rsidRPr="00812B04">
        <w:t xml:space="preserve">The following assessment criteria have been used for the PPR </w:t>
      </w:r>
      <w:r>
        <w:t>2014</w:t>
      </w:r>
      <w:r w:rsidRPr="00812B04">
        <w:t>:</w:t>
      </w:r>
    </w:p>
    <w:p w:rsidR="00CE4C9D" w:rsidRPr="00812B04" w:rsidRDefault="00CE4C9D" w:rsidP="00CE4C9D">
      <w:pPr>
        <w:tabs>
          <w:tab w:val="left" w:pos="567"/>
        </w:tabs>
        <w:jc w:val="both"/>
      </w:pPr>
    </w:p>
    <w:p w:rsidR="00CE4C9D" w:rsidRPr="009D6000" w:rsidRDefault="00CE4C9D" w:rsidP="00845557">
      <w:pPr>
        <w:pStyle w:val="BodyText"/>
        <w:widowControl w:val="0"/>
        <w:numPr>
          <w:ilvl w:val="0"/>
          <w:numId w:val="105"/>
        </w:numPr>
        <w:tabs>
          <w:tab w:val="left" w:pos="567"/>
        </w:tabs>
        <w:autoSpaceDE w:val="0"/>
        <w:autoSpaceDN w:val="0"/>
        <w:adjustRightInd w:val="0"/>
        <w:ind w:left="0" w:firstLine="0"/>
        <w:jc w:val="both"/>
      </w:pPr>
      <w:r w:rsidRPr="009D6000">
        <w:t>Key to Traffic Light System (TLS):</w:t>
      </w:r>
    </w:p>
    <w:p w:rsidR="00CE4C9D" w:rsidRPr="009D6000" w:rsidRDefault="00CE4C9D" w:rsidP="00CE4C9D">
      <w:pPr>
        <w:pStyle w:val="BodyText"/>
        <w:widowControl w:val="0"/>
        <w:autoSpaceDE w:val="0"/>
        <w:autoSpaceDN w:val="0"/>
        <w:adjustRightInd w:val="0"/>
        <w:jc w:val="both"/>
      </w:pPr>
    </w:p>
    <w:p w:rsidR="00CE4C9D" w:rsidRPr="009D6000" w:rsidRDefault="00CE4C9D" w:rsidP="00845557">
      <w:pPr>
        <w:numPr>
          <w:ilvl w:val="0"/>
          <w:numId w:val="104"/>
        </w:numPr>
        <w:spacing w:before="120"/>
        <w:jc w:val="both"/>
        <w:rPr>
          <w:szCs w:val="20"/>
        </w:rPr>
      </w:pPr>
      <w:r w:rsidRPr="009D6000">
        <w:rPr>
          <w:rFonts w:cs="Arial"/>
          <w:b/>
          <w:bCs/>
          <w:color w:val="008000"/>
          <w:szCs w:val="20"/>
        </w:rPr>
        <w:t>On track</w:t>
      </w:r>
      <w:r w:rsidRPr="009D6000">
        <w:rPr>
          <w:rFonts w:cs="Arial"/>
          <w:szCs w:val="20"/>
        </w:rPr>
        <w:t xml:space="preserve"> is </w:t>
      </w:r>
      <w:r w:rsidRPr="009D6000">
        <w:rPr>
          <w:szCs w:val="20"/>
        </w:rPr>
        <w:t>applied when progress towards achievement of the target is 40 per cent or more;</w:t>
      </w:r>
    </w:p>
    <w:p w:rsidR="00CE4C9D" w:rsidRPr="009D6000" w:rsidRDefault="00CE4C9D" w:rsidP="00845557">
      <w:pPr>
        <w:numPr>
          <w:ilvl w:val="0"/>
          <w:numId w:val="104"/>
        </w:numPr>
        <w:spacing w:before="120"/>
        <w:jc w:val="both"/>
        <w:rPr>
          <w:szCs w:val="20"/>
        </w:rPr>
      </w:pPr>
      <w:r w:rsidRPr="009D6000">
        <w:rPr>
          <w:rFonts w:cs="Arial"/>
          <w:b/>
          <w:bCs/>
          <w:color w:val="FF0000"/>
          <w:szCs w:val="20"/>
        </w:rPr>
        <w:t xml:space="preserve">Not on track </w:t>
      </w:r>
      <w:r w:rsidRPr="009D6000">
        <w:rPr>
          <w:rFonts w:cs="Arial"/>
          <w:szCs w:val="20"/>
        </w:rPr>
        <w:t xml:space="preserve">is </w:t>
      </w:r>
      <w:r w:rsidRPr="009D6000">
        <w:rPr>
          <w:szCs w:val="20"/>
        </w:rPr>
        <w:t>applied when progress towards achievement of the target is less than 40 per cent</w:t>
      </w:r>
      <w:r w:rsidRPr="009D6000">
        <w:rPr>
          <w:rFonts w:cs="Arial"/>
          <w:i/>
          <w:szCs w:val="20"/>
        </w:rPr>
        <w:t xml:space="preserve">; </w:t>
      </w:r>
    </w:p>
    <w:p w:rsidR="00CE4C9D" w:rsidRPr="009D6000" w:rsidRDefault="00CE4C9D" w:rsidP="00845557">
      <w:pPr>
        <w:numPr>
          <w:ilvl w:val="0"/>
          <w:numId w:val="104"/>
        </w:numPr>
        <w:spacing w:before="120"/>
        <w:jc w:val="both"/>
        <w:rPr>
          <w:szCs w:val="20"/>
        </w:rPr>
      </w:pPr>
      <w:r w:rsidRPr="009D6000">
        <w:rPr>
          <w:b/>
          <w:bCs/>
          <w:color w:val="0070C0"/>
          <w:szCs w:val="20"/>
        </w:rPr>
        <w:t>N/A 2014</w:t>
      </w:r>
      <w:r w:rsidRPr="009D6000">
        <w:rPr>
          <w:szCs w:val="20"/>
        </w:rPr>
        <w:t xml:space="preserve"> is applied when performance data is not available for 2014 but is expected to be available at the end of the biennium;</w:t>
      </w:r>
      <w:r w:rsidRPr="009D6000">
        <w:rPr>
          <w:rFonts w:cs="Arial"/>
          <w:b/>
          <w:bCs/>
          <w:szCs w:val="20"/>
        </w:rPr>
        <w:t xml:space="preserve"> </w:t>
      </w:r>
    </w:p>
    <w:p w:rsidR="00CE4C9D" w:rsidRPr="009D6000" w:rsidRDefault="00CE4C9D" w:rsidP="00845557">
      <w:pPr>
        <w:numPr>
          <w:ilvl w:val="0"/>
          <w:numId w:val="104"/>
        </w:numPr>
        <w:spacing w:before="120"/>
        <w:jc w:val="both"/>
        <w:rPr>
          <w:color w:val="A6A6A6" w:themeColor="background1" w:themeShade="A6"/>
          <w:szCs w:val="20"/>
        </w:rPr>
      </w:pPr>
      <w:r w:rsidRPr="009D6000">
        <w:rPr>
          <w:b/>
          <w:bCs/>
          <w:color w:val="7F7F7F" w:themeColor="text1" w:themeTint="80"/>
          <w:szCs w:val="20"/>
        </w:rPr>
        <w:t>Not Assessable</w:t>
      </w:r>
      <w:r w:rsidRPr="009D6000">
        <w:rPr>
          <w:rStyle w:val="FootnoteReference"/>
          <w:b/>
          <w:bCs/>
          <w:color w:val="7F7F7F" w:themeColor="text1" w:themeTint="80"/>
          <w:szCs w:val="20"/>
        </w:rPr>
        <w:footnoteReference w:id="1"/>
      </w:r>
      <w:r w:rsidRPr="009D6000">
        <w:rPr>
          <w:b/>
          <w:bCs/>
          <w:color w:val="A6A6A6" w:themeColor="background1" w:themeShade="A6"/>
          <w:szCs w:val="20"/>
        </w:rPr>
        <w:t xml:space="preserve"> </w:t>
      </w:r>
      <w:r w:rsidRPr="009D6000">
        <w:rPr>
          <w:szCs w:val="20"/>
        </w:rPr>
        <w:t>is applied when assessment of the performance is not feasible due to target data not having been adequately defined, when a baseline is not av</w:t>
      </w:r>
      <w:r>
        <w:rPr>
          <w:szCs w:val="20"/>
        </w:rPr>
        <w:t>a</w:t>
      </w:r>
      <w:r w:rsidRPr="009D6000">
        <w:rPr>
          <w:szCs w:val="20"/>
        </w:rPr>
        <w:t>ilable or when the performance data is insufficient to determine the TLS, and;</w:t>
      </w:r>
    </w:p>
    <w:p w:rsidR="00CE4C9D" w:rsidRPr="009D6000" w:rsidRDefault="00CE4C9D" w:rsidP="00845557">
      <w:pPr>
        <w:numPr>
          <w:ilvl w:val="0"/>
          <w:numId w:val="104"/>
        </w:numPr>
        <w:spacing w:before="120"/>
        <w:jc w:val="both"/>
        <w:rPr>
          <w:szCs w:val="20"/>
        </w:rPr>
      </w:pPr>
      <w:r w:rsidRPr="009D6000">
        <w:rPr>
          <w:rFonts w:cs="Arial"/>
          <w:b/>
          <w:bCs/>
          <w:szCs w:val="20"/>
        </w:rPr>
        <w:t>Discontinued</w:t>
      </w:r>
      <w:r w:rsidRPr="009D6000">
        <w:rPr>
          <w:rFonts w:cs="Arial"/>
          <w:b/>
          <w:bCs/>
          <w:color w:val="808080"/>
          <w:szCs w:val="20"/>
        </w:rPr>
        <w:t xml:space="preserve"> </w:t>
      </w:r>
      <w:r w:rsidRPr="009D6000">
        <w:rPr>
          <w:rFonts w:cs="Arial"/>
          <w:szCs w:val="20"/>
        </w:rPr>
        <w:t xml:space="preserve">is </w:t>
      </w:r>
      <w:r w:rsidRPr="009D6000">
        <w:rPr>
          <w:szCs w:val="20"/>
        </w:rPr>
        <w:t xml:space="preserve">applied when a performance indicator is no longer used to measure the performance of the Program.  </w:t>
      </w:r>
    </w:p>
    <w:p w:rsidR="00CE4C9D" w:rsidRPr="00812B04" w:rsidRDefault="00CE4C9D" w:rsidP="00CE4C9D">
      <w:pPr>
        <w:jc w:val="both"/>
      </w:pPr>
    </w:p>
    <w:p w:rsidR="00CE4C9D" w:rsidRPr="00812B04" w:rsidRDefault="00CE4C9D" w:rsidP="00845557">
      <w:pPr>
        <w:pStyle w:val="ListParagraph"/>
        <w:numPr>
          <w:ilvl w:val="0"/>
          <w:numId w:val="105"/>
        </w:numPr>
        <w:tabs>
          <w:tab w:val="left" w:pos="567"/>
        </w:tabs>
        <w:ind w:left="0" w:firstLine="0"/>
        <w:jc w:val="both"/>
      </w:pPr>
      <w:r w:rsidRPr="002B2D82">
        <w:t xml:space="preserve">Of a total of </w:t>
      </w:r>
      <w:r w:rsidR="007C20B6" w:rsidRPr="002B2D82">
        <w:t>35</w:t>
      </w:r>
      <w:r w:rsidR="007C20B6">
        <w:t>8</w:t>
      </w:r>
      <w:r w:rsidR="007C20B6" w:rsidRPr="002B2D82">
        <w:t xml:space="preserve"> </w:t>
      </w:r>
      <w:r w:rsidRPr="002B2D82">
        <w:t>performance indicator ratings in the Program and Budget 2014/15, 25</w:t>
      </w:r>
      <w:r w:rsidR="00B45A34">
        <w:t>4</w:t>
      </w:r>
      <w:r w:rsidRPr="002B2D82">
        <w:t xml:space="preserve"> have been assessed as “On track”, or 71 per cent.  Performance on a total of 56 indicator ratings, or 16 per cent, were assessed to be “Not on track”, and 27 indicator ratings, or about eight per cent, were assessed to be “N/A 2014”.  Some 17 indicator ratings, or five per cent, were “Not Assessable”, and four indicator ratings, or one per cent, were “Discontinued”.</w:t>
      </w:r>
      <w:r w:rsidRPr="00812B04">
        <w:t xml:space="preserve"> </w:t>
      </w:r>
      <w:r>
        <w:t xml:space="preserve">  </w:t>
      </w:r>
    </w:p>
    <w:p w:rsidR="00CE4C9D" w:rsidRPr="00812B04" w:rsidRDefault="00CE4C9D" w:rsidP="00845557">
      <w:pPr>
        <w:jc w:val="center"/>
      </w:pPr>
    </w:p>
    <w:p w:rsidR="00CE4C9D" w:rsidRDefault="00F84D6B" w:rsidP="00CE4C9D">
      <w:pPr>
        <w:jc w:val="both"/>
      </w:pPr>
      <w:r>
        <w:rPr>
          <w:noProof/>
        </w:rPr>
        <w:lastRenderedPageBreak/>
        <w:drawing>
          <wp:inline distT="0" distB="0" distL="0" distR="0" wp14:anchorId="79538275" wp14:editId="13C0C39C">
            <wp:extent cx="5944235" cy="2889885"/>
            <wp:effectExtent l="0" t="0" r="0" b="5715"/>
            <wp:docPr id="862" name="Pictur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4235" cy="2889885"/>
                    </a:xfrm>
                    <a:prstGeom prst="rect">
                      <a:avLst/>
                    </a:prstGeom>
                    <a:noFill/>
                  </pic:spPr>
                </pic:pic>
              </a:graphicData>
            </a:graphic>
          </wp:inline>
        </w:drawing>
      </w:r>
    </w:p>
    <w:p w:rsidR="00874089" w:rsidRDefault="00874089" w:rsidP="00CE4C9D">
      <w:pPr>
        <w:jc w:val="both"/>
      </w:pPr>
    </w:p>
    <w:p w:rsidR="00CE4C9D" w:rsidRPr="00812B04" w:rsidRDefault="00CE4C9D" w:rsidP="00845557">
      <w:pPr>
        <w:pStyle w:val="Heading1"/>
        <w:tabs>
          <w:tab w:val="clear" w:pos="284"/>
          <w:tab w:val="left" w:pos="709"/>
        </w:tabs>
        <w:spacing w:before="0" w:after="0"/>
        <w:ind w:left="142" w:firstLine="0"/>
        <w:jc w:val="left"/>
      </w:pPr>
      <w:bookmarkStart w:id="10" w:name="_Toc382905012"/>
      <w:bookmarkStart w:id="11" w:name="_Toc420582484"/>
      <w:bookmarkStart w:id="12" w:name="_Toc422210474"/>
      <w:r w:rsidRPr="00812B04">
        <w:t xml:space="preserve">SUMMARY OF ACHIEVEMENTS IN </w:t>
      </w:r>
      <w:bookmarkEnd w:id="10"/>
      <w:r>
        <w:t>2014</w:t>
      </w:r>
      <w:bookmarkEnd w:id="11"/>
      <w:bookmarkEnd w:id="12"/>
    </w:p>
    <w:p w:rsidR="00CE4C9D" w:rsidRPr="00812B04" w:rsidRDefault="00CE4C9D" w:rsidP="00CE4C9D"/>
    <w:p w:rsidR="00CE4C9D" w:rsidRPr="00812B04" w:rsidRDefault="00CE4C9D" w:rsidP="00845557">
      <w:pPr>
        <w:pStyle w:val="ListParagraph"/>
        <w:numPr>
          <w:ilvl w:val="0"/>
          <w:numId w:val="105"/>
        </w:numPr>
        <w:tabs>
          <w:tab w:val="left" w:pos="567"/>
        </w:tabs>
        <w:ind w:left="0" w:firstLine="0"/>
        <w:jc w:val="both"/>
      </w:pPr>
      <w:r>
        <w:t>In line with Member States’ requests and enhancements made in the last reporting period, the</w:t>
      </w:r>
      <w:r w:rsidRPr="00812B04">
        <w:t xml:space="preserve"> PPR </w:t>
      </w:r>
      <w:r>
        <w:t>2014 includes</w:t>
      </w:r>
      <w:r w:rsidRPr="00812B04">
        <w:t xml:space="preserve"> views of actual expenditure by Expected Result</w:t>
      </w:r>
      <w:r>
        <w:t xml:space="preserve"> at the end of 2014 and Mid-term</w:t>
      </w:r>
      <w:r w:rsidRPr="00CC5349">
        <w:t xml:space="preserve"> Performance Dashboards</w:t>
      </w:r>
      <w:r>
        <w:t xml:space="preserve"> </w:t>
      </w:r>
      <w:r w:rsidRPr="00CC5349">
        <w:t>for each of the nine Strategic Goals</w:t>
      </w:r>
      <w:r>
        <w:t xml:space="preserve"> (SGs), providing </w:t>
      </w:r>
      <w:r w:rsidRPr="00CC5349">
        <w:t xml:space="preserve">a graphic summary of the </w:t>
      </w:r>
      <w:r>
        <w:t xml:space="preserve">progress towards the </w:t>
      </w:r>
      <w:r w:rsidRPr="00CC5349">
        <w:t xml:space="preserve">achievement of the Expected Results in </w:t>
      </w:r>
      <w:r>
        <w:t>2014</w:t>
      </w:r>
      <w:r w:rsidRPr="00CC5349">
        <w:t xml:space="preserve"> as measured by the Performance Indicators under the Programs contributing to the respective Strategic Goals.</w:t>
      </w:r>
      <w:r>
        <w:t xml:space="preserve"> In assessing performance, the impact of risks identified in the Program and Budget 2014/15 was duly taken into consideration.  An overview of WIPO’s strengthened risk management processes can be found under SG IX and Program 22.  A more in-depth risk analysis and impact on the delivery of expected results will be provided in the PPR 2014/15.</w:t>
      </w:r>
      <w:r w:rsidRPr="00812B04">
        <w:t xml:space="preserve">  </w:t>
      </w:r>
      <w:r>
        <w:t xml:space="preserve">  </w:t>
      </w:r>
      <w:r w:rsidRPr="00812B04">
        <w:t xml:space="preserve">  </w:t>
      </w:r>
    </w:p>
    <w:p w:rsidR="00CE4C9D" w:rsidRDefault="00CE4C9D" w:rsidP="00CE4C9D">
      <w:pPr>
        <w:jc w:val="both"/>
      </w:pPr>
    </w:p>
    <w:p w:rsidR="00CE4C9D" w:rsidRDefault="00CE4C9D" w:rsidP="00845557">
      <w:pPr>
        <w:pStyle w:val="ListParagraph"/>
        <w:numPr>
          <w:ilvl w:val="0"/>
          <w:numId w:val="105"/>
        </w:numPr>
        <w:tabs>
          <w:tab w:val="left" w:pos="567"/>
        </w:tabs>
        <w:ind w:left="0" w:firstLine="0"/>
        <w:jc w:val="both"/>
      </w:pPr>
      <w:r w:rsidRPr="00812B04">
        <w:t xml:space="preserve">Highlights of achievements in </w:t>
      </w:r>
      <w:r>
        <w:t>2014</w:t>
      </w:r>
      <w:r w:rsidRPr="00812B04">
        <w:t xml:space="preserve"> towards the nine Strategic Goals are summarized below.</w:t>
      </w:r>
    </w:p>
    <w:p w:rsidR="00CE4C9D" w:rsidRPr="00CC5349" w:rsidRDefault="00CE4C9D" w:rsidP="00CE4C9D">
      <w:pPr>
        <w:jc w:val="both"/>
      </w:pPr>
      <w:r w:rsidRPr="00812B04">
        <w:t xml:space="preserve"> </w:t>
      </w:r>
    </w:p>
    <w:p w:rsidR="00CE4C9D" w:rsidRDefault="00CE4C9D" w:rsidP="00CE4C9D">
      <w:pPr>
        <w:jc w:val="center"/>
        <w:rPr>
          <w:b/>
          <w:sz w:val="18"/>
          <w:szCs w:val="18"/>
        </w:rPr>
      </w:pPr>
    </w:p>
    <w:p w:rsidR="00CE4C9D" w:rsidRDefault="00CE4C9D" w:rsidP="00CE4C9D">
      <w:pPr>
        <w:jc w:val="center"/>
        <w:rPr>
          <w:b/>
          <w:sz w:val="18"/>
          <w:szCs w:val="18"/>
        </w:rPr>
      </w:pPr>
      <w:r w:rsidRPr="00CC5349">
        <w:rPr>
          <w:b/>
          <w:sz w:val="18"/>
          <w:szCs w:val="18"/>
        </w:rPr>
        <w:t xml:space="preserve">Consolidated view of </w:t>
      </w:r>
      <w:r>
        <w:rPr>
          <w:b/>
          <w:sz w:val="18"/>
          <w:szCs w:val="18"/>
        </w:rPr>
        <w:t>progress</w:t>
      </w:r>
      <w:r w:rsidRPr="00CC5349">
        <w:rPr>
          <w:b/>
          <w:sz w:val="18"/>
          <w:szCs w:val="18"/>
        </w:rPr>
        <w:t xml:space="preserve"> </w:t>
      </w:r>
      <w:r>
        <w:rPr>
          <w:b/>
          <w:sz w:val="18"/>
          <w:szCs w:val="18"/>
        </w:rPr>
        <w:t xml:space="preserve">in 2014 towards the achievement of </w:t>
      </w:r>
    </w:p>
    <w:p w:rsidR="00CE4C9D" w:rsidRPr="002B2D82" w:rsidRDefault="00CE4C9D" w:rsidP="00CE4C9D">
      <w:pPr>
        <w:jc w:val="center"/>
        <w:rPr>
          <w:b/>
          <w:sz w:val="18"/>
          <w:szCs w:val="18"/>
        </w:rPr>
      </w:pPr>
      <w:proofErr w:type="gramStart"/>
      <w:r>
        <w:rPr>
          <w:b/>
          <w:sz w:val="18"/>
          <w:szCs w:val="18"/>
        </w:rPr>
        <w:t>the</w:t>
      </w:r>
      <w:proofErr w:type="gramEnd"/>
      <w:r>
        <w:rPr>
          <w:b/>
          <w:sz w:val="18"/>
          <w:szCs w:val="18"/>
        </w:rPr>
        <w:t xml:space="preserve"> Expected Results </w:t>
      </w:r>
      <w:r w:rsidRPr="00CC5349">
        <w:rPr>
          <w:b/>
          <w:sz w:val="18"/>
          <w:szCs w:val="18"/>
        </w:rPr>
        <w:t>by Strategic Goal</w:t>
      </w:r>
    </w:p>
    <w:p w:rsidR="00CE4C9D" w:rsidRDefault="00CE4C9D">
      <w:pPr>
        <w:rPr>
          <w:b/>
          <w:iCs/>
        </w:rPr>
      </w:pPr>
    </w:p>
    <w:p w:rsidR="00CE4C9D" w:rsidRDefault="000B6001" w:rsidP="00845557">
      <w:pPr>
        <w:jc w:val="center"/>
        <w:rPr>
          <w:b/>
          <w:iCs/>
        </w:rPr>
      </w:pPr>
      <w:r>
        <w:rPr>
          <w:b/>
          <w:iCs/>
          <w:noProof/>
        </w:rPr>
        <w:drawing>
          <wp:inline distT="0" distB="0" distL="0" distR="0" wp14:anchorId="651CE9F2" wp14:editId="2147E48C">
            <wp:extent cx="5907405" cy="3054350"/>
            <wp:effectExtent l="0" t="0" r="0" b="0"/>
            <wp:docPr id="878" name="Picture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7405" cy="3054350"/>
                    </a:xfrm>
                    <a:prstGeom prst="rect">
                      <a:avLst/>
                    </a:prstGeom>
                    <a:noFill/>
                  </pic:spPr>
                </pic:pic>
              </a:graphicData>
            </a:graphic>
          </wp:inline>
        </w:drawing>
      </w:r>
    </w:p>
    <w:p w:rsidR="00CE4C9D" w:rsidRDefault="00CE4C9D">
      <w:pPr>
        <w:rPr>
          <w:b/>
          <w:iCs/>
        </w:rPr>
      </w:pPr>
    </w:p>
    <w:p w:rsidR="00CE4C9D" w:rsidRDefault="00CE4C9D" w:rsidP="00CE4C9D">
      <w:pPr>
        <w:rPr>
          <w:b/>
          <w:iCs/>
        </w:rPr>
      </w:pPr>
    </w:p>
    <w:p w:rsidR="00CE4C9D" w:rsidRDefault="00CE4C9D" w:rsidP="00CE4C9D">
      <w:pPr>
        <w:jc w:val="center"/>
        <w:rPr>
          <w:b/>
          <w:iCs/>
        </w:rPr>
      </w:pPr>
    </w:p>
    <w:p w:rsidR="00CE4C9D" w:rsidRPr="00AE0F7A" w:rsidRDefault="00CE4C9D" w:rsidP="00845557">
      <w:pPr>
        <w:keepNext/>
        <w:keepLines/>
        <w:jc w:val="center"/>
        <w:rPr>
          <w:b/>
          <w:iCs/>
        </w:rPr>
      </w:pPr>
      <w:r w:rsidRPr="008869AE">
        <w:rPr>
          <w:b/>
          <w:iCs/>
        </w:rPr>
        <w:t>Strategic Goal I:  Balanced Evolution of the International Normative Framework for IP</w:t>
      </w:r>
    </w:p>
    <w:p w:rsidR="00CE4C9D" w:rsidRDefault="00CE4C9D" w:rsidP="00845557">
      <w:pPr>
        <w:keepNext/>
        <w:keepLines/>
        <w:jc w:val="center"/>
        <w:rPr>
          <w:i/>
          <w:iCs/>
        </w:rPr>
      </w:pPr>
    </w:p>
    <w:p w:rsidR="00CE4C9D" w:rsidRDefault="00F84D6B" w:rsidP="00F84D6B">
      <w:pPr>
        <w:jc w:val="center"/>
      </w:pPr>
      <w:r>
        <w:rPr>
          <w:noProof/>
        </w:rPr>
        <w:drawing>
          <wp:inline distT="0" distB="0" distL="0" distR="0" wp14:anchorId="5E179D75" wp14:editId="4B008019">
            <wp:extent cx="4572635" cy="2743200"/>
            <wp:effectExtent l="0" t="0" r="0" b="0"/>
            <wp:docPr id="863" name="Pictur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CE4C9D" w:rsidRDefault="00CE4C9D" w:rsidP="00845557">
      <w:pPr>
        <w:pStyle w:val="ListParagraph"/>
        <w:numPr>
          <w:ilvl w:val="0"/>
          <w:numId w:val="105"/>
        </w:numPr>
        <w:tabs>
          <w:tab w:val="left" w:pos="567"/>
        </w:tabs>
        <w:ind w:left="0" w:firstLine="0"/>
        <w:jc w:val="both"/>
        <w:rPr>
          <w:rFonts w:cs="Arial"/>
          <w:color w:val="000000"/>
          <w:lang w:eastAsia="zh-CN"/>
        </w:rPr>
      </w:pPr>
      <w:r w:rsidRPr="00F27549">
        <w:rPr>
          <w:rFonts w:cs="Arial"/>
          <w:color w:val="000000"/>
          <w:lang w:eastAsia="zh-CN"/>
        </w:rPr>
        <w:t>Progress continued to be made in 2014 under this Strategic Goal, albeit at a slightly slower pace than anticipated.  At the end of 2014, several outstanding issues still remained in the Standing Committees.</w:t>
      </w:r>
    </w:p>
    <w:p w:rsidR="00CE4C9D" w:rsidRDefault="00CE4C9D" w:rsidP="00CE4C9D">
      <w:pPr>
        <w:pStyle w:val="ListParagraph"/>
        <w:tabs>
          <w:tab w:val="left" w:pos="709"/>
        </w:tabs>
        <w:autoSpaceDE w:val="0"/>
        <w:autoSpaceDN w:val="0"/>
        <w:ind w:left="0"/>
        <w:jc w:val="both"/>
        <w:rPr>
          <w:rFonts w:cs="Arial"/>
          <w:color w:val="000000"/>
          <w:lang w:eastAsia="zh-CN"/>
        </w:rPr>
      </w:pPr>
    </w:p>
    <w:p w:rsidR="00CE4C9D" w:rsidRDefault="00CE4C9D" w:rsidP="00845557">
      <w:pPr>
        <w:pStyle w:val="ListParagraph"/>
        <w:numPr>
          <w:ilvl w:val="0"/>
          <w:numId w:val="105"/>
        </w:numPr>
        <w:tabs>
          <w:tab w:val="left" w:pos="567"/>
        </w:tabs>
        <w:ind w:left="0" w:firstLine="0"/>
        <w:jc w:val="both"/>
        <w:rPr>
          <w:rFonts w:eastAsia="SimSun" w:cs="Arial"/>
          <w:bCs/>
          <w:lang w:eastAsia="zh-CN"/>
        </w:rPr>
      </w:pPr>
      <w:r w:rsidRPr="00F46671">
        <w:rPr>
          <w:rFonts w:eastAsia="SimSun" w:cs="Arial"/>
          <w:bCs/>
          <w:lang w:eastAsia="zh-CN"/>
        </w:rPr>
        <w:t xml:space="preserve">The progress of the </w:t>
      </w:r>
      <w:r w:rsidRPr="00CF2880">
        <w:rPr>
          <w:rFonts w:eastAsia="SimSun" w:cs="Arial"/>
          <w:bCs/>
          <w:lang w:eastAsia="zh-CN"/>
        </w:rPr>
        <w:t xml:space="preserve">two new copyright treaties toward entry into force continued in 2014.  The Beijing Treaty on Audiovisual Performances (Beijing Treaty) obtained four additional ratifications and accessions (China, Japan, Slovakia, United Arab Emirates) for a total of six of the thirty needed to bring it into force.  The Marrakesh Treaty to Facilitate Access to Published Works for Persons Who Are Blind, Visually Impaired or Otherwise Print Disabled (Marrakesh VIP Treaty) obtained a total of 80 signatures by the June deadline, as well as its first five ratifications and accessions (El Salvador, India, Mali, United Arab Emirates, Uruguay) toward the twenty needed to bring it into force.  </w:t>
      </w:r>
      <w:r>
        <w:rPr>
          <w:rFonts w:eastAsia="SimSun" w:cs="Arial"/>
          <w:bCs/>
          <w:lang w:eastAsia="zh-CN"/>
        </w:rPr>
        <w:t xml:space="preserve">Considering the ambitious targets for </w:t>
      </w:r>
      <w:r w:rsidRPr="00CF2880">
        <w:rPr>
          <w:rFonts w:eastAsia="SimSun" w:cs="Arial"/>
          <w:bCs/>
          <w:lang w:eastAsia="zh-CN"/>
        </w:rPr>
        <w:t xml:space="preserve">ratification/accession </w:t>
      </w:r>
      <w:r>
        <w:rPr>
          <w:rFonts w:eastAsia="SimSun" w:cs="Arial"/>
          <w:bCs/>
          <w:lang w:eastAsia="zh-CN"/>
        </w:rPr>
        <w:t>in</w:t>
      </w:r>
      <w:r w:rsidRPr="00CF2880">
        <w:rPr>
          <w:rFonts w:eastAsia="SimSun" w:cs="Arial"/>
          <w:bCs/>
          <w:lang w:eastAsia="zh-CN"/>
        </w:rPr>
        <w:t xml:space="preserve"> the 2014/15 biennium for these treaties </w:t>
      </w:r>
      <w:r w:rsidR="007C20B6">
        <w:rPr>
          <w:rFonts w:eastAsia="SimSun" w:cs="Arial"/>
          <w:bCs/>
          <w:lang w:eastAsia="zh-CN"/>
        </w:rPr>
        <w:t>set</w:t>
      </w:r>
      <w:r w:rsidR="007C20B6" w:rsidRPr="00CF2880">
        <w:rPr>
          <w:rFonts w:eastAsia="SimSun" w:cs="Arial"/>
          <w:bCs/>
          <w:lang w:eastAsia="zh-CN"/>
        </w:rPr>
        <w:t xml:space="preserve"> </w:t>
      </w:r>
      <w:r w:rsidRPr="00CF2880">
        <w:rPr>
          <w:rFonts w:eastAsia="SimSun" w:cs="Arial"/>
          <w:bCs/>
          <w:lang w:eastAsia="zh-CN"/>
        </w:rPr>
        <w:t>at the twentieth session of t</w:t>
      </w:r>
      <w:r>
        <w:rPr>
          <w:rFonts w:eastAsia="SimSun" w:cs="Arial"/>
          <w:bCs/>
          <w:lang w:eastAsia="zh-CN"/>
        </w:rPr>
        <w:t xml:space="preserve">he Program and Budget Committee, </w:t>
      </w:r>
      <w:r w:rsidRPr="00CF2880">
        <w:rPr>
          <w:rFonts w:eastAsia="SimSun" w:cs="Arial"/>
          <w:bCs/>
          <w:lang w:eastAsia="zh-CN"/>
        </w:rPr>
        <w:t xml:space="preserve">assisting Member States with treaty ratification was and remains a priority, with </w:t>
      </w:r>
      <w:proofErr w:type="gramStart"/>
      <w:r w:rsidRPr="00CF2880">
        <w:rPr>
          <w:rFonts w:eastAsia="SimSun" w:cs="Arial"/>
          <w:bCs/>
          <w:lang w:eastAsia="zh-CN"/>
        </w:rPr>
        <w:t>a likelihood</w:t>
      </w:r>
      <w:proofErr w:type="gramEnd"/>
      <w:r w:rsidRPr="00CF2880">
        <w:rPr>
          <w:rFonts w:eastAsia="SimSun" w:cs="Arial"/>
          <w:bCs/>
          <w:lang w:eastAsia="zh-CN"/>
        </w:rPr>
        <w:t xml:space="preserve"> that the Marrakesh VIP Treaty target may be met by the end of the biennium.  </w:t>
      </w:r>
    </w:p>
    <w:p w:rsidR="00CE4C9D" w:rsidRDefault="00CE4C9D" w:rsidP="00CE4C9D">
      <w:pPr>
        <w:jc w:val="both"/>
        <w:rPr>
          <w:rFonts w:eastAsia="SimSun" w:cs="Arial"/>
          <w:bCs/>
          <w:lang w:eastAsia="zh-CN"/>
        </w:rPr>
      </w:pPr>
    </w:p>
    <w:p w:rsidR="00CE4C9D" w:rsidRDefault="00CE4C9D" w:rsidP="00845557">
      <w:pPr>
        <w:pStyle w:val="ListParagraph"/>
        <w:numPr>
          <w:ilvl w:val="0"/>
          <w:numId w:val="105"/>
        </w:numPr>
        <w:tabs>
          <w:tab w:val="left" w:pos="567"/>
        </w:tabs>
        <w:ind w:left="0" w:firstLine="0"/>
        <w:jc w:val="both"/>
        <w:rPr>
          <w:rFonts w:eastAsia="SimSun" w:cs="Arial"/>
          <w:bCs/>
          <w:lang w:eastAsia="zh-CN"/>
        </w:rPr>
      </w:pPr>
      <w:r w:rsidRPr="00CF2880">
        <w:rPr>
          <w:rFonts w:eastAsia="SimSun" w:cs="Arial"/>
          <w:bCs/>
          <w:lang w:eastAsia="zh-CN"/>
        </w:rPr>
        <w:t>Further discussions were held on the other items on the agenda of the S</w:t>
      </w:r>
      <w:r>
        <w:rPr>
          <w:rFonts w:eastAsia="SimSun" w:cs="Arial"/>
          <w:bCs/>
          <w:lang w:eastAsia="zh-CN"/>
        </w:rPr>
        <w:t xml:space="preserve">tanding </w:t>
      </w:r>
      <w:r w:rsidRPr="00CF2880">
        <w:rPr>
          <w:rFonts w:eastAsia="SimSun" w:cs="Arial"/>
          <w:bCs/>
          <w:lang w:eastAsia="zh-CN"/>
        </w:rPr>
        <w:t>C</w:t>
      </w:r>
      <w:r>
        <w:rPr>
          <w:rFonts w:eastAsia="SimSun" w:cs="Arial"/>
          <w:bCs/>
          <w:lang w:eastAsia="zh-CN"/>
        </w:rPr>
        <w:t xml:space="preserve">ommittee on </w:t>
      </w:r>
      <w:r w:rsidRPr="00CF2880">
        <w:rPr>
          <w:rFonts w:eastAsia="SimSun" w:cs="Arial"/>
          <w:bCs/>
          <w:lang w:eastAsia="zh-CN"/>
        </w:rPr>
        <w:t>C</w:t>
      </w:r>
      <w:r>
        <w:rPr>
          <w:rFonts w:eastAsia="SimSun" w:cs="Arial"/>
          <w:bCs/>
          <w:lang w:eastAsia="zh-CN"/>
        </w:rPr>
        <w:t>opyright and Related Rights (SCC</w:t>
      </w:r>
      <w:r w:rsidRPr="00CF2880">
        <w:rPr>
          <w:rFonts w:eastAsia="SimSun" w:cs="Arial"/>
          <w:bCs/>
          <w:lang w:eastAsia="zh-CN"/>
        </w:rPr>
        <w:t>R</w:t>
      </w:r>
      <w:r>
        <w:rPr>
          <w:rFonts w:eastAsia="SimSun" w:cs="Arial"/>
          <w:bCs/>
          <w:lang w:eastAsia="zh-CN"/>
        </w:rPr>
        <w:t>)</w:t>
      </w:r>
      <w:r w:rsidRPr="00CF2880">
        <w:rPr>
          <w:rFonts w:eastAsia="SimSun" w:cs="Arial"/>
          <w:bCs/>
          <w:lang w:eastAsia="zh-CN"/>
        </w:rPr>
        <w:t xml:space="preserve"> during the three meetings held in April/May 2014, June/July 2014, and December 2014.  The SCCR discussions addressed a proposed treaty for broadcasting organizations and limitations and exceptions related to libraries and archives, educational and research institutions, and persons with other disabilities. </w:t>
      </w:r>
    </w:p>
    <w:p w:rsidR="00CE4C9D" w:rsidRDefault="00CE4C9D" w:rsidP="00CE4C9D">
      <w:pPr>
        <w:jc w:val="both"/>
        <w:rPr>
          <w:rFonts w:eastAsia="SimSun" w:cs="Arial"/>
          <w:bCs/>
          <w:lang w:eastAsia="zh-CN"/>
        </w:rPr>
      </w:pPr>
    </w:p>
    <w:p w:rsidR="00CE4C9D" w:rsidRDefault="00CE4C9D" w:rsidP="00845557">
      <w:pPr>
        <w:pStyle w:val="ListParagraph"/>
        <w:numPr>
          <w:ilvl w:val="0"/>
          <w:numId w:val="105"/>
        </w:numPr>
        <w:tabs>
          <w:tab w:val="left" w:pos="567"/>
        </w:tabs>
        <w:ind w:left="0" w:firstLine="0"/>
        <w:jc w:val="both"/>
        <w:rPr>
          <w:rFonts w:cs="Arial"/>
          <w:color w:val="000000"/>
          <w:lang w:eastAsia="zh-CN"/>
        </w:rPr>
      </w:pPr>
      <w:r>
        <w:rPr>
          <w:rFonts w:cs="Arial"/>
          <w:color w:val="000000"/>
          <w:lang w:eastAsia="zh-CN"/>
        </w:rPr>
        <w:t>The</w:t>
      </w:r>
      <w:r w:rsidRPr="00D92815">
        <w:rPr>
          <w:rFonts w:cs="Arial"/>
          <w:color w:val="000000"/>
          <w:lang w:eastAsia="zh-CN"/>
        </w:rPr>
        <w:t xml:space="preserve"> Standing Committee on the Law of Trademarks, Industrial Designs and Geographical Indications (SCT) continued at its thirty-first and thirty-second sessions work on a draft Design Law Treaty to be adopted at a </w:t>
      </w:r>
      <w:r>
        <w:rPr>
          <w:rFonts w:cs="Arial"/>
          <w:color w:val="000000"/>
          <w:lang w:eastAsia="zh-CN"/>
        </w:rPr>
        <w:t xml:space="preserve">possible </w:t>
      </w:r>
      <w:r w:rsidRPr="00D92815">
        <w:rPr>
          <w:rFonts w:cs="Arial"/>
          <w:color w:val="000000"/>
          <w:lang w:eastAsia="zh-CN"/>
        </w:rPr>
        <w:t>Diplomatic Conference.</w:t>
      </w:r>
      <w:r>
        <w:rPr>
          <w:rFonts w:cs="Arial"/>
          <w:color w:val="000000"/>
          <w:lang w:eastAsia="zh-CN"/>
        </w:rPr>
        <w:t xml:space="preserve"> </w:t>
      </w:r>
      <w:r w:rsidRPr="00D92815">
        <w:rPr>
          <w:rFonts w:cs="Arial"/>
          <w:color w:val="000000"/>
          <w:lang w:eastAsia="zh-CN"/>
        </w:rPr>
        <w:t xml:space="preserve"> The question of convening such a Diplomatic Conference was dealt with by the WIPO General Assembly at its forty-fifth (24</w:t>
      </w:r>
      <w:r w:rsidRPr="00D92815">
        <w:rPr>
          <w:rFonts w:cs="Arial"/>
          <w:color w:val="000000"/>
          <w:vertAlign w:val="superscript"/>
          <w:lang w:eastAsia="zh-CN"/>
        </w:rPr>
        <w:t>th</w:t>
      </w:r>
      <w:r>
        <w:rPr>
          <w:rFonts w:cs="Arial"/>
          <w:color w:val="000000"/>
          <w:lang w:eastAsia="zh-CN"/>
        </w:rPr>
        <w:t> extraordinary) session in May </w:t>
      </w:r>
      <w:r w:rsidRPr="00D92815">
        <w:rPr>
          <w:rFonts w:cs="Arial"/>
          <w:color w:val="000000"/>
          <w:lang w:eastAsia="zh-CN"/>
        </w:rPr>
        <w:t xml:space="preserve">2014, and at its forty-sixth (25th extraordinary) session in September 2014, without a decision on that matter being taken. </w:t>
      </w:r>
      <w:r>
        <w:rPr>
          <w:rFonts w:cs="Arial"/>
          <w:color w:val="000000"/>
          <w:lang w:eastAsia="zh-CN"/>
        </w:rPr>
        <w:t xml:space="preserve"> </w:t>
      </w:r>
      <w:r w:rsidRPr="00D92815">
        <w:rPr>
          <w:rFonts w:cs="Arial"/>
          <w:color w:val="000000"/>
          <w:lang w:eastAsia="zh-CN"/>
        </w:rPr>
        <w:t xml:space="preserve">The SCT continued its work on the protection of country names and considered a study prepared by the Secretariat, as well as a proposal by the Delegation of Jamaica. </w:t>
      </w:r>
    </w:p>
    <w:p w:rsidR="00CE4C9D" w:rsidRDefault="00CE4C9D" w:rsidP="00CE4C9D">
      <w:pPr>
        <w:pStyle w:val="ListParagraph"/>
        <w:tabs>
          <w:tab w:val="left" w:pos="709"/>
        </w:tabs>
        <w:autoSpaceDE w:val="0"/>
        <w:autoSpaceDN w:val="0"/>
        <w:ind w:left="0"/>
        <w:jc w:val="both"/>
        <w:rPr>
          <w:rFonts w:cs="Arial"/>
          <w:color w:val="000000"/>
          <w:lang w:eastAsia="zh-CN"/>
        </w:rPr>
      </w:pPr>
    </w:p>
    <w:p w:rsidR="00CE4C9D" w:rsidRPr="006C7CF5" w:rsidRDefault="00CE4C9D" w:rsidP="00845557">
      <w:pPr>
        <w:pStyle w:val="ListParagraph"/>
        <w:numPr>
          <w:ilvl w:val="0"/>
          <w:numId w:val="105"/>
        </w:numPr>
        <w:tabs>
          <w:tab w:val="left" w:pos="567"/>
        </w:tabs>
        <w:ind w:left="0" w:firstLine="0"/>
        <w:jc w:val="both"/>
      </w:pPr>
      <w:r>
        <w:rPr>
          <w:bCs/>
        </w:rPr>
        <w:t xml:space="preserve">The year under review saw continued progress </w:t>
      </w:r>
      <w:r>
        <w:t xml:space="preserve">in the negotiations of the WIPO Intergovernmental Committee on Intellectual Property and Genetic Resources, Traditional Knowledge and Folklore (the IGC).  Under its new mandate for the current biennium established in 2013, the IGC met three times (IGCs 26, 27 and 28).  The IGC followed a clearly defined work program and sound working methods.  Member States continued to organize consultations and preparatory meetings before IGC sessions.  The IGC made progress in “text-based negotiations” pursuant to its mandate.  By the end of the third and final session for the year (IGC 28), the IGC had further streamlined a consolidated text on genetic resources (GRs) and made further progress on the texts on traditional knowledge (TK) and traditional cultural expressions (TCEs).  The Secretariat continued to endeavor to play a neutral, professional and efficient </w:t>
      </w:r>
      <w:proofErr w:type="spellStart"/>
      <w:r>
        <w:t>facilitatory</w:t>
      </w:r>
      <w:proofErr w:type="spellEnd"/>
      <w:r>
        <w:t xml:space="preserve"> role in support of the IGC process and to further improve the services provided to IGC </w:t>
      </w:r>
      <w:r>
        <w:lastRenderedPageBreak/>
        <w:t>participants as a</w:t>
      </w:r>
      <w:r w:rsidRPr="00D82A96">
        <w:t xml:space="preserve"> </w:t>
      </w:r>
      <w:r>
        <w:t xml:space="preserve">follow up to the evaluation conducted by WIPO’s Internal Oversight Division (IOD) in 2013, which found a high rate (96 per cent) of satisfaction among IGC participants.  Although the Secretariat continued to facilitate the participation in the IGC process of indigenous peoples and local communities as far as possible, the Voluntary Fund for Accredited Indigenous and Local Communities remained depleted.  The WIPO General Assembly in October 2014, while taking stock and considering the texts and the progress made, was not in a position at that particular juncture to agree on an IGC work program for 2015. </w:t>
      </w:r>
      <w:r w:rsidRPr="00BB2CC0">
        <w:t xml:space="preserve"> </w:t>
      </w:r>
    </w:p>
    <w:p w:rsidR="00CE4C9D" w:rsidRPr="00C31123" w:rsidRDefault="00CE4C9D" w:rsidP="00CE4C9D">
      <w:pPr>
        <w:rPr>
          <w:rFonts w:eastAsia="SimSun" w:cs="Arial"/>
          <w:bCs/>
          <w:lang w:eastAsia="zh-CN"/>
        </w:rPr>
      </w:pPr>
      <w:r w:rsidRPr="00CF2880">
        <w:rPr>
          <w:rFonts w:eastAsia="SimSun" w:cs="Arial"/>
          <w:bCs/>
          <w:lang w:eastAsia="zh-CN"/>
        </w:rPr>
        <w:t xml:space="preserve"> </w:t>
      </w:r>
    </w:p>
    <w:p w:rsidR="00CE4C9D" w:rsidRDefault="00CE4C9D" w:rsidP="00845557">
      <w:pPr>
        <w:pStyle w:val="ListParagraph"/>
        <w:numPr>
          <w:ilvl w:val="0"/>
          <w:numId w:val="105"/>
        </w:numPr>
        <w:tabs>
          <w:tab w:val="left" w:pos="567"/>
        </w:tabs>
        <w:ind w:left="0" w:firstLine="0"/>
        <w:jc w:val="both"/>
        <w:rPr>
          <w:rFonts w:cs="Arial"/>
          <w:color w:val="000000"/>
          <w:lang w:eastAsia="zh-CN"/>
        </w:rPr>
      </w:pPr>
      <w:r w:rsidRPr="00BB2CC0">
        <w:t>In</w:t>
      </w:r>
      <w:r w:rsidRPr="00DD4B4E">
        <w:rPr>
          <w:rFonts w:cs="Arial"/>
          <w:color w:val="000000"/>
          <w:lang w:eastAsia="zh-CN"/>
        </w:rPr>
        <w:t xml:space="preserve"> view of enhancing cooperation among Member States on further developing balanced policy and normative frameworks for the international patent system, the twentieth and twenty first sessions of the Standing Committee on the Law of Patents (SCP) we</w:t>
      </w:r>
      <w:r>
        <w:rPr>
          <w:rFonts w:cs="Arial"/>
          <w:color w:val="000000"/>
          <w:lang w:eastAsia="zh-CN"/>
        </w:rPr>
        <w:t>re held in January and November </w:t>
      </w:r>
      <w:r w:rsidRPr="00DD4B4E">
        <w:rPr>
          <w:rFonts w:cs="Arial"/>
          <w:color w:val="000000"/>
          <w:lang w:eastAsia="zh-CN"/>
        </w:rPr>
        <w:t>2014, respectively.  The SCP continued to examine five topics on its agenda, namely:  (</w:t>
      </w:r>
      <w:proofErr w:type="spellStart"/>
      <w:r w:rsidRPr="00DD4B4E">
        <w:rPr>
          <w:rFonts w:cs="Arial"/>
          <w:color w:val="000000"/>
          <w:lang w:eastAsia="zh-CN"/>
        </w:rPr>
        <w:t>i</w:t>
      </w:r>
      <w:proofErr w:type="spellEnd"/>
      <w:r w:rsidRPr="00DD4B4E">
        <w:rPr>
          <w:rFonts w:cs="Arial"/>
          <w:color w:val="000000"/>
          <w:lang w:eastAsia="zh-CN"/>
        </w:rPr>
        <w:t>) exceptions and limitations to patent rights;  (ii) quality of patents, including opposition systems;  (iii) patents and health;  (iv) confidentiality of communication between clie</w:t>
      </w:r>
      <w:r>
        <w:rPr>
          <w:rFonts w:cs="Arial"/>
          <w:color w:val="000000"/>
          <w:lang w:eastAsia="zh-CN"/>
        </w:rPr>
        <w:t>nts and their patent advisors; </w:t>
      </w:r>
      <w:r w:rsidRPr="00DD4B4E">
        <w:rPr>
          <w:rFonts w:cs="Arial"/>
          <w:color w:val="000000"/>
          <w:lang w:eastAsia="zh-CN"/>
        </w:rPr>
        <w:t>and (v) transfer of technology.</w:t>
      </w:r>
    </w:p>
    <w:p w:rsidR="00CE4C9D" w:rsidRDefault="00CE4C9D">
      <w:pPr>
        <w:rPr>
          <w:rFonts w:eastAsia="SimSun" w:cs="Arial"/>
          <w:bCs/>
          <w:lang w:eastAsia="zh-CN"/>
        </w:rPr>
      </w:pPr>
    </w:p>
    <w:p w:rsidR="00CE4C9D" w:rsidRPr="00AE0F7A" w:rsidRDefault="00CE4C9D" w:rsidP="00CE4C9D">
      <w:pPr>
        <w:jc w:val="center"/>
        <w:rPr>
          <w:i/>
          <w:iCs/>
        </w:rPr>
      </w:pPr>
      <w:r w:rsidRPr="008869AE">
        <w:rPr>
          <w:b/>
          <w:iCs/>
        </w:rPr>
        <w:t>Strategic Goal II:  Provision of Premier Global IP Services</w:t>
      </w:r>
    </w:p>
    <w:p w:rsidR="00CE4C9D" w:rsidRDefault="00F84D6B" w:rsidP="00CE4C9D">
      <w:pPr>
        <w:jc w:val="center"/>
        <w:rPr>
          <w:rFonts w:cs="Arial"/>
        </w:rPr>
      </w:pPr>
      <w:r>
        <w:rPr>
          <w:rFonts w:cs="Arial"/>
          <w:noProof/>
        </w:rPr>
        <w:drawing>
          <wp:inline distT="0" distB="0" distL="0" distR="0" wp14:anchorId="6D3F1CD1" wp14:editId="294160AF">
            <wp:extent cx="4572635" cy="2743200"/>
            <wp:effectExtent l="0" t="0" r="0" b="0"/>
            <wp:docPr id="879" name="Picture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CE4C9D" w:rsidRDefault="00CE4C9D" w:rsidP="00CE4C9D">
      <w:pPr>
        <w:rPr>
          <w:b/>
          <w:sz w:val="18"/>
          <w:szCs w:val="18"/>
        </w:rPr>
      </w:pPr>
    </w:p>
    <w:p w:rsidR="00CE4C9D" w:rsidRPr="00B62C5C" w:rsidRDefault="00CE4C9D" w:rsidP="00845557">
      <w:pPr>
        <w:pStyle w:val="ListParagraph"/>
        <w:numPr>
          <w:ilvl w:val="0"/>
          <w:numId w:val="105"/>
        </w:numPr>
        <w:tabs>
          <w:tab w:val="left" w:pos="567"/>
        </w:tabs>
        <w:ind w:left="0" w:firstLine="0"/>
        <w:jc w:val="both"/>
        <w:rPr>
          <w:b/>
          <w:sz w:val="18"/>
          <w:szCs w:val="18"/>
        </w:rPr>
      </w:pPr>
      <w:r w:rsidRPr="00812B04">
        <w:t xml:space="preserve">The </w:t>
      </w:r>
      <w:r>
        <w:t>year 2014</w:t>
      </w:r>
      <w:r w:rsidRPr="00812B04">
        <w:t xml:space="preserve"> saw considerable growth in the international registration systems</w:t>
      </w:r>
      <w:r>
        <w:t xml:space="preserve"> for the fifth consecutive year</w:t>
      </w:r>
      <w:r w:rsidRPr="00812B04">
        <w:t xml:space="preserve"> despite a continuing fragile global economy.  The Organization successfully managed to deliver quality services and enhance the customer experience on the one hand</w:t>
      </w:r>
      <w:r w:rsidR="007C20B6">
        <w:t>,</w:t>
      </w:r>
      <w:r w:rsidRPr="00812B04">
        <w:t xml:space="preserve"> while improving productivity through well</w:t>
      </w:r>
      <w:r>
        <w:noBreakHyphen/>
      </w:r>
      <w:r w:rsidRPr="00812B04">
        <w:t>designed ICT initiatives on the other hand.</w:t>
      </w:r>
    </w:p>
    <w:p w:rsidR="00CE4C9D" w:rsidRPr="00812B04" w:rsidRDefault="00CE4C9D" w:rsidP="00CE4C9D">
      <w:pPr>
        <w:jc w:val="both"/>
      </w:pPr>
    </w:p>
    <w:p w:rsidR="00CE4C9D" w:rsidRDefault="00CE4C9D" w:rsidP="00845557">
      <w:pPr>
        <w:pStyle w:val="ListParagraph"/>
        <w:numPr>
          <w:ilvl w:val="0"/>
          <w:numId w:val="105"/>
        </w:numPr>
        <w:tabs>
          <w:tab w:val="left" w:pos="567"/>
        </w:tabs>
        <w:ind w:left="0" w:firstLine="0"/>
        <w:jc w:val="both"/>
      </w:pPr>
      <w:r w:rsidRPr="00812B04">
        <w:t xml:space="preserve">International patent filings under the Patent Cooperation Treaty (PCT) showed robust growth in </w:t>
      </w:r>
      <w:r>
        <w:t xml:space="preserve">2014, with a total of 214,500 </w:t>
      </w:r>
      <w:r w:rsidRPr="00812B04">
        <w:t xml:space="preserve">applications, representing an increase of </w:t>
      </w:r>
      <w:r>
        <w:t>4.5</w:t>
      </w:r>
      <w:r w:rsidRPr="00812B04">
        <w:t xml:space="preserve"> per cent over </w:t>
      </w:r>
      <w:r>
        <w:t>2013</w:t>
      </w:r>
      <w:r w:rsidRPr="00812B04">
        <w:t xml:space="preserve">. </w:t>
      </w:r>
      <w:r>
        <w:t xml:space="preserve"> Three telecom giants from China and the United States of America led the international patent filing activity in 2014.</w:t>
      </w:r>
    </w:p>
    <w:p w:rsidR="00CE4C9D" w:rsidRDefault="00CE4C9D" w:rsidP="00CE4C9D">
      <w:pPr>
        <w:shd w:val="clear" w:color="auto" w:fill="FFFFFF"/>
        <w:jc w:val="both"/>
      </w:pPr>
    </w:p>
    <w:p w:rsidR="00CE4C9D" w:rsidRPr="00FF5E60" w:rsidRDefault="00CE4C9D" w:rsidP="00845557">
      <w:pPr>
        <w:pStyle w:val="ListParagraph"/>
        <w:numPr>
          <w:ilvl w:val="0"/>
          <w:numId w:val="105"/>
        </w:numPr>
        <w:tabs>
          <w:tab w:val="left" w:pos="567"/>
        </w:tabs>
        <w:ind w:left="0" w:firstLine="0"/>
        <w:jc w:val="both"/>
      </w:pPr>
      <w:r w:rsidRPr="00F27549">
        <w:t>At its seventh session, held in June 2014, the PCT Working Group continued its discussions on a number of proposals aimed at improving the functioning of the PCT system, in line with the recommendations, endorsed by the Working</w:t>
      </w:r>
      <w:r>
        <w:t xml:space="preserve"> Group at its third session.  Particular achievements in </w:t>
      </w:r>
      <w:r w:rsidRPr="00F27549">
        <w:t>2014 included agreement on new eligibility criteria for fee reductions for applicants from certain countries, which expanded the number of developing countries and LDCs benefitting from such fee reductions.  Member States further concluded their discussions on possible fee reductions for small and medium-sized enterprises (SMEs), agreeing that there was no clear way forward and that no further work on this issue would thus take place until a Member State would make a concrete proposal.  It was agreed that Discussions among Member States on possible fee reductions for universities and not-for-profit research institutes, especially but not limited to those from developing countries and LDCs, would continue in 2015.</w:t>
      </w:r>
      <w:r>
        <w:t xml:space="preserve">  </w:t>
      </w:r>
      <w:r>
        <w:rPr>
          <w:rFonts w:cs="Arial"/>
        </w:rPr>
        <w:t xml:space="preserve">In addition, </w:t>
      </w:r>
      <w:r w:rsidRPr="00FF5E60">
        <w:t>Member States agreed on a revised procedure for the appointment of new International Searching and Preliminary Examining Authorities</w:t>
      </w:r>
      <w:r>
        <w:t xml:space="preserve"> and </w:t>
      </w:r>
      <w:r w:rsidRPr="00FF5E60">
        <w:t>advanced discussions on how to improve quality and timeliness of PCT work</w:t>
      </w:r>
      <w:r>
        <w:t xml:space="preserve"> </w:t>
      </w:r>
      <w:r w:rsidRPr="00FF5E60">
        <w:t>products (international search and preliminary examination reports)</w:t>
      </w:r>
      <w:r>
        <w:t xml:space="preserve">.  They </w:t>
      </w:r>
      <w:r>
        <w:lastRenderedPageBreak/>
        <w:t xml:space="preserve">also noted </w:t>
      </w:r>
      <w:r w:rsidRPr="00FF5E60">
        <w:t xml:space="preserve">progress towards </w:t>
      </w:r>
      <w:r w:rsidRPr="004C5D97">
        <w:rPr>
          <w:rFonts w:cs="Arial"/>
        </w:rPr>
        <w:t xml:space="preserve">acceptance of metrics </w:t>
      </w:r>
      <w:r>
        <w:rPr>
          <w:rFonts w:cs="Arial"/>
        </w:rPr>
        <w:t xml:space="preserve">for measuring the overall performance of the PCT system, and in particular, as to the quality of PCT work products. </w:t>
      </w:r>
    </w:p>
    <w:p w:rsidR="00CE4C9D" w:rsidRDefault="00CE4C9D" w:rsidP="00CE4C9D">
      <w:pPr>
        <w:pStyle w:val="ListParagraph"/>
        <w:tabs>
          <w:tab w:val="left" w:pos="709"/>
        </w:tabs>
        <w:ind w:left="0"/>
        <w:jc w:val="both"/>
        <w:rPr>
          <w:szCs w:val="24"/>
        </w:rPr>
      </w:pPr>
    </w:p>
    <w:p w:rsidR="00CE4C9D" w:rsidRDefault="00CE4C9D" w:rsidP="00845557">
      <w:pPr>
        <w:pStyle w:val="ListParagraph"/>
        <w:numPr>
          <w:ilvl w:val="0"/>
          <w:numId w:val="105"/>
        </w:numPr>
        <w:tabs>
          <w:tab w:val="left" w:pos="567"/>
        </w:tabs>
        <w:ind w:left="0" w:firstLine="0"/>
        <w:jc w:val="both"/>
        <w:rPr>
          <w:rFonts w:cs="Arial"/>
        </w:rPr>
      </w:pPr>
      <w:r w:rsidRPr="002A7D4D">
        <w:rPr>
          <w:rFonts w:cs="Arial"/>
        </w:rPr>
        <w:t>Use of the Madrid System also increased in 2014, although at a slower rate than originally anticipated.  A record 47,885 applications were received in 2014, representing a 2.3 per cent growth over</w:t>
      </w:r>
      <w:r>
        <w:rPr>
          <w:rFonts w:cs="Arial"/>
        </w:rPr>
        <w:t> </w:t>
      </w:r>
      <w:r w:rsidRPr="002A7D4D">
        <w:rPr>
          <w:rFonts w:cs="Arial"/>
        </w:rPr>
        <w:t xml:space="preserve">2013.  </w:t>
      </w:r>
      <w:r>
        <w:t>The United States</w:t>
      </w:r>
      <w:r w:rsidR="007C20B6">
        <w:t xml:space="preserve"> of America </w:t>
      </w:r>
      <w:r>
        <w:t xml:space="preserve">accounted for more than half of the total growth, overtaking Germany as the largest user of the System, marking a </w:t>
      </w:r>
      <w:r>
        <w:rPr>
          <w:rFonts w:cs="Arial"/>
        </w:rPr>
        <w:t xml:space="preserve">significant development in 2014 and illustrating the </w:t>
      </w:r>
      <w:r w:rsidRPr="002A7D4D">
        <w:rPr>
          <w:rFonts w:cs="Arial"/>
        </w:rPr>
        <w:t>transformation of the System into a truly global system.</w:t>
      </w:r>
      <w:r>
        <w:rPr>
          <w:rFonts w:cs="Arial"/>
        </w:rPr>
        <w:t xml:space="preserve">  </w:t>
      </w:r>
      <w:r w:rsidRPr="002A7D4D">
        <w:rPr>
          <w:rFonts w:cs="Arial"/>
        </w:rPr>
        <w:t xml:space="preserve">The geographical expansion of the System </w:t>
      </w:r>
      <w:r>
        <w:rPr>
          <w:rFonts w:cs="Arial"/>
        </w:rPr>
        <w:t xml:space="preserve">also </w:t>
      </w:r>
      <w:r w:rsidRPr="002A7D4D">
        <w:rPr>
          <w:rFonts w:cs="Arial"/>
        </w:rPr>
        <w:t xml:space="preserve">saw important positive developments. </w:t>
      </w:r>
      <w:r>
        <w:rPr>
          <w:rFonts w:cs="Arial"/>
        </w:rPr>
        <w:t xml:space="preserve"> </w:t>
      </w:r>
      <w:r w:rsidRPr="002A7D4D">
        <w:rPr>
          <w:rFonts w:cs="Arial"/>
        </w:rPr>
        <w:t xml:space="preserve">In December, Zimbabwe and the </w:t>
      </w:r>
      <w:proofErr w:type="spellStart"/>
      <w:r w:rsidRPr="002A7D4D">
        <w:rPr>
          <w:rFonts w:cs="Arial"/>
          <w:i/>
        </w:rPr>
        <w:t>Organisation</w:t>
      </w:r>
      <w:proofErr w:type="spellEnd"/>
      <w:r w:rsidRPr="002A7D4D">
        <w:rPr>
          <w:rFonts w:cs="Arial"/>
          <w:i/>
        </w:rPr>
        <w:t xml:space="preserve"> </w:t>
      </w:r>
      <w:proofErr w:type="spellStart"/>
      <w:r w:rsidRPr="002A7D4D">
        <w:rPr>
          <w:rFonts w:cs="Arial"/>
          <w:i/>
        </w:rPr>
        <w:t>Africaine</w:t>
      </w:r>
      <w:proofErr w:type="spellEnd"/>
      <w:r w:rsidRPr="002A7D4D">
        <w:rPr>
          <w:rFonts w:cs="Arial"/>
          <w:i/>
        </w:rPr>
        <w:t xml:space="preserve"> de la </w:t>
      </w:r>
      <w:proofErr w:type="spellStart"/>
      <w:r w:rsidRPr="002A7D4D">
        <w:rPr>
          <w:rFonts w:cs="Arial"/>
          <w:i/>
        </w:rPr>
        <w:t>Propriété</w:t>
      </w:r>
      <w:proofErr w:type="spellEnd"/>
      <w:r w:rsidRPr="002A7D4D">
        <w:rPr>
          <w:rFonts w:cs="Arial"/>
          <w:i/>
        </w:rPr>
        <w:t xml:space="preserve"> </w:t>
      </w:r>
      <w:proofErr w:type="spellStart"/>
      <w:r w:rsidRPr="002A7D4D">
        <w:rPr>
          <w:rFonts w:cs="Arial"/>
          <w:i/>
        </w:rPr>
        <w:t>Intellectuelle</w:t>
      </w:r>
      <w:proofErr w:type="spellEnd"/>
      <w:r w:rsidRPr="002A7D4D">
        <w:rPr>
          <w:rFonts w:cs="Arial"/>
        </w:rPr>
        <w:t xml:space="preserve"> (OAPI) acceded to the Madrid Protocol.  With OAPI being a 17-country intergovernmental organization, these two accessions alone increased the number of countries in which users can protect and manage their trademarks centrally through the Madrid System from 94 to 110</w:t>
      </w:r>
      <w:r>
        <w:rPr>
          <w:rFonts w:cs="Arial"/>
        </w:rPr>
        <w:t xml:space="preserve">, also significantly contributing to its transformation. </w:t>
      </w:r>
    </w:p>
    <w:p w:rsidR="00CE4C9D" w:rsidRDefault="00CE4C9D" w:rsidP="00CE4C9D">
      <w:pPr>
        <w:pStyle w:val="ListParagraph"/>
        <w:tabs>
          <w:tab w:val="left" w:pos="709"/>
        </w:tabs>
        <w:ind w:left="0"/>
        <w:jc w:val="both"/>
        <w:rPr>
          <w:rFonts w:cs="Arial"/>
        </w:rPr>
      </w:pPr>
    </w:p>
    <w:p w:rsidR="00CE4C9D" w:rsidRPr="000C1926" w:rsidRDefault="00CE4C9D" w:rsidP="00845557">
      <w:pPr>
        <w:pStyle w:val="ListParagraph"/>
        <w:numPr>
          <w:ilvl w:val="0"/>
          <w:numId w:val="105"/>
        </w:numPr>
        <w:tabs>
          <w:tab w:val="left" w:pos="567"/>
        </w:tabs>
        <w:ind w:left="0" w:firstLine="0"/>
        <w:jc w:val="both"/>
      </w:pPr>
      <w:r>
        <w:t xml:space="preserve">Designs contained in international industrial design applications filed under the </w:t>
      </w:r>
      <w:r w:rsidRPr="00447FAF">
        <w:t>Hague System</w:t>
      </w:r>
      <w:r>
        <w:t xml:space="preserve"> increased to 14,441 designs in 2014, representing a growth of 9.6 per cent over 2013, although overall growth was slower than anticipated.  </w:t>
      </w:r>
      <w:r w:rsidRPr="00E641BB">
        <w:t xml:space="preserve">Significant progress towards the enhancement of the legal framework of the Hague </w:t>
      </w:r>
      <w:r w:rsidRPr="000C1926">
        <w:t xml:space="preserve">System was achieved in 2014. </w:t>
      </w:r>
      <w:r>
        <w:t xml:space="preserve"> </w:t>
      </w:r>
      <w:r w:rsidRPr="000C1926">
        <w:t xml:space="preserve">Notably, following the fourth session of the </w:t>
      </w:r>
      <w:r w:rsidRPr="000C1926">
        <w:rPr>
          <w:lang w:val="en"/>
        </w:rPr>
        <w:t>Working Group on the Legal Development of the Hague System for the International Registration of Industrial Designs</w:t>
      </w:r>
      <w:r w:rsidRPr="000C1926">
        <w:t xml:space="preserve">, </w:t>
      </w:r>
      <w:proofErr w:type="gramStart"/>
      <w:r w:rsidRPr="000C1926">
        <w:t>the</w:t>
      </w:r>
      <w:proofErr w:type="gramEnd"/>
      <w:r w:rsidRPr="000C1926">
        <w:t xml:space="preserve"> Hague Union Assembly adopted provisions that introduced a “feedback mechanism”.  In addition, changes to the Administrative Instructions were introduced with a view to giving users more flexibility in respect of the formal disclosure of their designs</w:t>
      </w:r>
      <w:r>
        <w:t xml:space="preserve">.  </w:t>
      </w:r>
      <w:r w:rsidRPr="00E641BB">
        <w:t xml:space="preserve">In 2014, </w:t>
      </w:r>
      <w:r w:rsidRPr="000C1926">
        <w:t>the Republic of Korea became party to the Geneva (1999) Act of the Hague Agreement Concerning the International Registration of Industrial Designs (hereinafter referred to as “the 1999 Act</w:t>
      </w:r>
      <w:r>
        <w:t>”</w:t>
      </w:r>
      <w:r w:rsidRPr="000C1926">
        <w:t xml:space="preserve">).  The accessions of other prospective members, notably Japan and the United States of America, </w:t>
      </w:r>
      <w:r w:rsidRPr="00E641BB">
        <w:t>were postponed to 2015</w:t>
      </w:r>
      <w:r w:rsidRPr="000C1926">
        <w:t>, resulting in a lower than anticipated growth rate in membership in 2014.  Furthermore, by the end of 2014, three consents were still required for the termination of the 1934 Act, and four Contracting Parties outside the E</w:t>
      </w:r>
      <w:r>
        <w:t xml:space="preserve">uropean </w:t>
      </w:r>
      <w:r w:rsidRPr="000C1926">
        <w:t>U</w:t>
      </w:r>
      <w:r>
        <w:t>nion (EU)</w:t>
      </w:r>
      <w:r w:rsidRPr="000C1926">
        <w:t xml:space="preserve"> and OAPI remained bound by the 1960 Act.    </w:t>
      </w:r>
    </w:p>
    <w:p w:rsidR="00CE4C9D" w:rsidRPr="00812B04" w:rsidRDefault="00CE4C9D" w:rsidP="00CE4C9D">
      <w:pPr>
        <w:jc w:val="both"/>
      </w:pPr>
    </w:p>
    <w:p w:rsidR="00CE4C9D" w:rsidRDefault="00CE4C9D" w:rsidP="00845557">
      <w:pPr>
        <w:pStyle w:val="ListParagraph"/>
        <w:numPr>
          <w:ilvl w:val="0"/>
          <w:numId w:val="105"/>
        </w:numPr>
        <w:tabs>
          <w:tab w:val="left" w:pos="567"/>
        </w:tabs>
        <w:ind w:left="0" w:firstLine="0"/>
        <w:jc w:val="both"/>
        <w:rPr>
          <w:rFonts w:cs="Arial"/>
          <w:bCs/>
        </w:rPr>
      </w:pPr>
      <w:r w:rsidRPr="002A7D4D">
        <w:rPr>
          <w:rFonts w:cs="Arial"/>
        </w:rPr>
        <w:t>The</w:t>
      </w:r>
      <w:r w:rsidRPr="00987447">
        <w:rPr>
          <w:rFonts w:cs="Arial"/>
          <w:bCs/>
        </w:rPr>
        <w:t xml:space="preserve"> Assembly of the Lisbon Union mandated the Working Group on the Development of the Lisbon System, in 2009, to engage in a full review of the Lisbon System aimed at making the system more attractive for users and prospective new Members, while preserving its principles and objectives.  In view of the progress made </w:t>
      </w:r>
      <w:r>
        <w:rPr>
          <w:rFonts w:cs="Arial"/>
          <w:bCs/>
        </w:rPr>
        <w:t xml:space="preserve">by </w:t>
      </w:r>
      <w:r w:rsidRPr="00987447">
        <w:rPr>
          <w:rFonts w:cs="Arial"/>
          <w:bCs/>
        </w:rPr>
        <w:t>the Working Group</w:t>
      </w:r>
      <w:r>
        <w:rPr>
          <w:rFonts w:cs="Arial"/>
          <w:bCs/>
        </w:rPr>
        <w:t xml:space="preserve">, </w:t>
      </w:r>
      <w:r w:rsidRPr="00987447">
        <w:rPr>
          <w:rFonts w:cs="Arial"/>
          <w:bCs/>
        </w:rPr>
        <w:t>the</w:t>
      </w:r>
      <w:r>
        <w:rPr>
          <w:rFonts w:cs="Arial"/>
          <w:bCs/>
        </w:rPr>
        <w:t xml:space="preserve"> Lisbon Union</w:t>
      </w:r>
      <w:r w:rsidRPr="00987447">
        <w:rPr>
          <w:rFonts w:cs="Arial"/>
          <w:bCs/>
        </w:rPr>
        <w:t xml:space="preserve"> Assembly approved</w:t>
      </w:r>
      <w:r>
        <w:rPr>
          <w:rFonts w:cs="Arial"/>
          <w:bCs/>
        </w:rPr>
        <w:t xml:space="preserve"> in 2013</w:t>
      </w:r>
      <w:r w:rsidRPr="00987447">
        <w:rPr>
          <w:rFonts w:cs="Arial"/>
          <w:bCs/>
        </w:rPr>
        <w:t xml:space="preserve"> the convening of a Diplomatic Conference </w:t>
      </w:r>
      <w:r w:rsidRPr="0027745B">
        <w:rPr>
          <w:rFonts w:cs="Arial"/>
          <w:bCs/>
        </w:rPr>
        <w:t>for the Adoption of a Revised Lisbon Agreement on Appellations of Origin and Geographical Indications</w:t>
      </w:r>
      <w:r>
        <w:rPr>
          <w:rFonts w:cs="Arial"/>
          <w:bCs/>
        </w:rPr>
        <w:t xml:space="preserve"> in 2015.  In October 2014, the Working Group finished its preparatory work for a New Act of the Lisbon Agreement on Appellations of Origin and Geographical Indications, and the Preparatory Committee decided that the Diplomatic Conference be convened in Geneva from May 11 to 21, 2015</w:t>
      </w:r>
      <w:r w:rsidRPr="00987447">
        <w:rPr>
          <w:rFonts w:cs="Arial"/>
          <w:bCs/>
        </w:rPr>
        <w:t xml:space="preserve">.  </w:t>
      </w:r>
    </w:p>
    <w:p w:rsidR="00CE4C9D" w:rsidRPr="00812B04" w:rsidRDefault="00CE4C9D" w:rsidP="00CE4C9D">
      <w:pPr>
        <w:tabs>
          <w:tab w:val="left" w:pos="5309"/>
        </w:tabs>
        <w:jc w:val="both"/>
      </w:pPr>
    </w:p>
    <w:p w:rsidR="00CE4C9D" w:rsidRPr="00DF2C9B" w:rsidRDefault="00CE4C9D" w:rsidP="00845557">
      <w:pPr>
        <w:pStyle w:val="ListParagraph"/>
        <w:numPr>
          <w:ilvl w:val="0"/>
          <w:numId w:val="105"/>
        </w:numPr>
        <w:tabs>
          <w:tab w:val="left" w:pos="567"/>
        </w:tabs>
        <w:ind w:left="0" w:firstLine="0"/>
        <w:jc w:val="both"/>
        <w:rPr>
          <w:rFonts w:cs="Arial"/>
        </w:rPr>
      </w:pPr>
      <w:r w:rsidRPr="00813B88">
        <w:rPr>
          <w:rFonts w:cs="Arial"/>
        </w:rPr>
        <w:t xml:space="preserve">Building on the findings of the WIPO Center’s 2013 International Survey on Dispute Resolution in International Technology Transactions, the WIPO Center in 2014 worked to optimize the potential of its procedures to meet the needs of IP right holders and users.  </w:t>
      </w:r>
      <w:r w:rsidRPr="002A57F8">
        <w:rPr>
          <w:rFonts w:cs="Arial"/>
        </w:rPr>
        <w:t>In 2014, cybersquatting case f</w:t>
      </w:r>
      <w:r>
        <w:rPr>
          <w:rFonts w:cs="Arial"/>
        </w:rPr>
        <w:t>ilings with WIPO increased by two per cent</w:t>
      </w:r>
      <w:r w:rsidRPr="002A57F8">
        <w:rPr>
          <w:rFonts w:cs="Arial"/>
        </w:rPr>
        <w:t xml:space="preserve">, with 2,634 cases concerning 5,591 domain names lodged by trademark owners alleging abuse of their mark. </w:t>
      </w:r>
      <w:r>
        <w:rPr>
          <w:noProof/>
        </w:rPr>
        <w:t xml:space="preserve"> </w:t>
      </w:r>
      <w:r>
        <w:t>Country code Top-Level Domains (</w:t>
      </w:r>
      <w:proofErr w:type="spellStart"/>
      <w:r>
        <w:t>ccTLDs</w:t>
      </w:r>
      <w:proofErr w:type="spellEnd"/>
      <w:r>
        <w:t>) accounted for 13 per cent of all filings, with 72 national domain registries now designating this WIPO service.  WIPO UDRP cases in 2014 involved parties from 108 countries.  Among the top five users, the United States of America saw the highest growth in cases filed, 14.3 per cent. The top three sectors of complainant activity were retail (13 per cent of all cases), banking and finance (11 per cent) and fashion (10 per cent).  Cases were decided by 297 WIPO panelists from 43 countries, with 16 different languages of proceedings.</w:t>
      </w:r>
    </w:p>
    <w:p w:rsidR="00CE4C9D" w:rsidRDefault="00CE4C9D">
      <w:pPr>
        <w:rPr>
          <w:b/>
          <w:iCs/>
        </w:rPr>
      </w:pPr>
    </w:p>
    <w:p w:rsidR="00CE4C9D" w:rsidRPr="00AE0F7A" w:rsidRDefault="00CE4C9D" w:rsidP="00845557">
      <w:pPr>
        <w:keepNext/>
        <w:keepLines/>
        <w:jc w:val="center"/>
        <w:rPr>
          <w:b/>
          <w:iCs/>
        </w:rPr>
      </w:pPr>
      <w:r w:rsidRPr="004A7442">
        <w:rPr>
          <w:b/>
          <w:iCs/>
        </w:rPr>
        <w:lastRenderedPageBreak/>
        <w:t>Strategic Goal III:  Facilitating the Use of IP for Development</w:t>
      </w:r>
    </w:p>
    <w:p w:rsidR="00CE4C9D" w:rsidRDefault="00F84D6B" w:rsidP="00845557">
      <w:pPr>
        <w:keepNext/>
        <w:keepLines/>
        <w:jc w:val="center"/>
      </w:pPr>
      <w:r>
        <w:rPr>
          <w:noProof/>
        </w:rPr>
        <w:drawing>
          <wp:inline distT="0" distB="0" distL="0" distR="0" wp14:anchorId="4C26DC7C" wp14:editId="09E562C2">
            <wp:extent cx="4572635" cy="2743200"/>
            <wp:effectExtent l="0" t="0" r="0" b="0"/>
            <wp:docPr id="880" name="Picture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CE4C9D" w:rsidRDefault="00CE4C9D" w:rsidP="00CE4C9D">
      <w:pPr>
        <w:jc w:val="both"/>
      </w:pPr>
    </w:p>
    <w:p w:rsidR="00CE4C9D" w:rsidRPr="00812B04" w:rsidRDefault="00CE4C9D" w:rsidP="00845557">
      <w:pPr>
        <w:pStyle w:val="ListParagraph"/>
        <w:numPr>
          <w:ilvl w:val="0"/>
          <w:numId w:val="105"/>
        </w:numPr>
        <w:tabs>
          <w:tab w:val="left" w:pos="567"/>
        </w:tabs>
        <w:ind w:left="0" w:firstLine="0"/>
        <w:jc w:val="both"/>
      </w:pPr>
      <w:r w:rsidRPr="00812B04">
        <w:t>Facilitating the use of IP for development and empowering developing countries, LDCs and countries in transition</w:t>
      </w:r>
      <w:r>
        <w:t>,</w:t>
      </w:r>
      <w:r w:rsidRPr="00812B04">
        <w:t xml:space="preserve"> to harness IP for enhancing national innovation potential and capacities continued to be a priority in </w:t>
      </w:r>
      <w:r>
        <w:t>2014</w:t>
      </w:r>
      <w:r w:rsidRPr="00812B04">
        <w:t xml:space="preserve">.  </w:t>
      </w:r>
    </w:p>
    <w:p w:rsidR="00CE4C9D" w:rsidRPr="00812B04" w:rsidRDefault="00CE4C9D" w:rsidP="00CE4C9D">
      <w:pPr>
        <w:jc w:val="both"/>
      </w:pPr>
    </w:p>
    <w:p w:rsidR="00CE4C9D" w:rsidRDefault="00CE4C9D" w:rsidP="00845557">
      <w:pPr>
        <w:pStyle w:val="ListParagraph"/>
        <w:numPr>
          <w:ilvl w:val="0"/>
          <w:numId w:val="105"/>
        </w:numPr>
        <w:tabs>
          <w:tab w:val="left" w:pos="567"/>
        </w:tabs>
        <w:ind w:left="0" w:firstLine="0"/>
        <w:jc w:val="both"/>
        <w:rPr>
          <w:rFonts w:eastAsia="SimSun"/>
          <w:bCs/>
          <w:lang w:eastAsia="zh-CN"/>
        </w:rPr>
      </w:pPr>
      <w:r>
        <w:rPr>
          <w:rFonts w:eastAsia="SimSun"/>
          <w:bCs/>
          <w:lang w:eastAsia="zh-CN"/>
        </w:rPr>
        <w:t>WIPO continued to assist developing countries and LDCs in 2014 in the design, development and implementation of National IP Strategies that are both consistent with their overall development plans and able to foster innovation and creativity.  The application of the standardized, yet flexible, methodology and set of practical tools for the formulation of national IP strategies and plans, developed as part of the DA project on Improvement of National, Sub-regional and Regional IP Institutional and User Capacity in 2012, continued to guide the process.  As a result, nine</w:t>
      </w:r>
      <w:r w:rsidRPr="003978F9">
        <w:rPr>
          <w:rFonts w:eastAsia="SimSun"/>
          <w:bCs/>
          <w:lang w:eastAsia="zh-CN"/>
        </w:rPr>
        <w:t xml:space="preserve"> countries (</w:t>
      </w:r>
      <w:r>
        <w:rPr>
          <w:rFonts w:eastAsia="SimSun"/>
          <w:bCs/>
          <w:lang w:eastAsia="zh-CN"/>
        </w:rPr>
        <w:t>six</w:t>
      </w:r>
      <w:r w:rsidRPr="003978F9">
        <w:rPr>
          <w:rFonts w:eastAsia="SimSun"/>
          <w:bCs/>
          <w:lang w:eastAsia="zh-CN"/>
        </w:rPr>
        <w:t xml:space="preserve"> in Africa, two in Asia and the Pacific and </w:t>
      </w:r>
      <w:r>
        <w:rPr>
          <w:rFonts w:eastAsia="SimSun"/>
          <w:bCs/>
          <w:lang w:eastAsia="zh-CN"/>
        </w:rPr>
        <w:t>one</w:t>
      </w:r>
      <w:r w:rsidRPr="003978F9">
        <w:rPr>
          <w:rFonts w:eastAsia="SimSun"/>
          <w:bCs/>
          <w:lang w:eastAsia="zh-CN"/>
        </w:rPr>
        <w:t xml:space="preserve"> in Latin America and the Caribbean</w:t>
      </w:r>
      <w:r>
        <w:rPr>
          <w:rFonts w:eastAsia="SimSun"/>
          <w:bCs/>
          <w:lang w:eastAsia="zh-CN"/>
        </w:rPr>
        <w:t xml:space="preserve">), </w:t>
      </w:r>
      <w:r w:rsidRPr="003978F9">
        <w:rPr>
          <w:rFonts w:eastAsia="SimSun"/>
          <w:bCs/>
          <w:lang w:eastAsia="zh-CN"/>
        </w:rPr>
        <w:t xml:space="preserve">initiated </w:t>
      </w:r>
      <w:r>
        <w:rPr>
          <w:rFonts w:eastAsia="SimSun"/>
          <w:bCs/>
          <w:lang w:eastAsia="zh-CN"/>
        </w:rPr>
        <w:t>t</w:t>
      </w:r>
      <w:r w:rsidRPr="003978F9">
        <w:rPr>
          <w:rFonts w:eastAsia="SimSun"/>
          <w:bCs/>
          <w:lang w:eastAsia="zh-CN"/>
        </w:rPr>
        <w:t xml:space="preserve">he process of </w:t>
      </w:r>
      <w:r>
        <w:rPr>
          <w:rFonts w:eastAsia="SimSun"/>
          <w:bCs/>
          <w:lang w:eastAsia="zh-CN"/>
        </w:rPr>
        <w:t xml:space="preserve">formulating </w:t>
      </w:r>
      <w:r w:rsidRPr="003978F9">
        <w:rPr>
          <w:rFonts w:eastAsia="SimSun"/>
          <w:bCs/>
          <w:lang w:eastAsia="zh-CN"/>
        </w:rPr>
        <w:t>national IP strategies/development plans</w:t>
      </w:r>
      <w:r>
        <w:rPr>
          <w:rFonts w:eastAsia="SimSun"/>
          <w:bCs/>
          <w:lang w:eastAsia="zh-CN"/>
        </w:rPr>
        <w:t>, and 18 countries (six</w:t>
      </w:r>
      <w:r w:rsidRPr="003978F9">
        <w:rPr>
          <w:rFonts w:eastAsia="SimSun"/>
          <w:bCs/>
          <w:lang w:eastAsia="zh-CN"/>
        </w:rPr>
        <w:t xml:space="preserve"> in Africa, </w:t>
      </w:r>
      <w:r>
        <w:rPr>
          <w:rFonts w:eastAsia="SimSun"/>
          <w:bCs/>
          <w:lang w:eastAsia="zh-CN"/>
        </w:rPr>
        <w:t>three</w:t>
      </w:r>
      <w:r w:rsidRPr="003978F9">
        <w:rPr>
          <w:rFonts w:eastAsia="SimSun"/>
          <w:bCs/>
          <w:lang w:eastAsia="zh-CN"/>
        </w:rPr>
        <w:t xml:space="preserve"> in the Arab region</w:t>
      </w:r>
      <w:r>
        <w:rPr>
          <w:rFonts w:eastAsia="SimSun"/>
          <w:bCs/>
          <w:lang w:eastAsia="zh-CN"/>
        </w:rPr>
        <w:t>, four</w:t>
      </w:r>
      <w:r w:rsidRPr="003978F9">
        <w:rPr>
          <w:rFonts w:eastAsia="SimSun"/>
          <w:bCs/>
          <w:lang w:eastAsia="zh-CN"/>
        </w:rPr>
        <w:t xml:space="preserve"> in Asia and the Pacific</w:t>
      </w:r>
      <w:r>
        <w:rPr>
          <w:rFonts w:eastAsia="SimSun"/>
          <w:bCs/>
          <w:lang w:eastAsia="zh-CN"/>
        </w:rPr>
        <w:t>, and five in Latin America and the Caribbean) were still in the process of formulation and/or adoption at the end of 2014</w:t>
      </w:r>
      <w:r w:rsidRPr="003978F9">
        <w:rPr>
          <w:rFonts w:eastAsia="SimSun"/>
          <w:bCs/>
          <w:lang w:eastAsia="zh-CN"/>
        </w:rPr>
        <w:t xml:space="preserve">. </w:t>
      </w:r>
      <w:r>
        <w:rPr>
          <w:rFonts w:eastAsia="SimSun"/>
          <w:bCs/>
          <w:lang w:eastAsia="zh-CN"/>
        </w:rPr>
        <w:t xml:space="preserve"> Moreover, N</w:t>
      </w:r>
      <w:r w:rsidRPr="003978F9">
        <w:rPr>
          <w:rFonts w:eastAsia="SimSun"/>
          <w:bCs/>
          <w:lang w:eastAsia="zh-CN"/>
        </w:rPr>
        <w:t xml:space="preserve">ational IP strategies/development plans </w:t>
      </w:r>
      <w:r>
        <w:rPr>
          <w:rFonts w:eastAsia="SimSun"/>
          <w:bCs/>
          <w:lang w:eastAsia="zh-CN"/>
        </w:rPr>
        <w:t>had been</w:t>
      </w:r>
      <w:r w:rsidRPr="003978F9">
        <w:rPr>
          <w:rFonts w:eastAsia="SimSun"/>
          <w:bCs/>
          <w:lang w:eastAsia="zh-CN"/>
        </w:rPr>
        <w:t xml:space="preserve"> adopted and/or </w:t>
      </w:r>
      <w:r>
        <w:rPr>
          <w:rFonts w:eastAsia="SimSun"/>
          <w:bCs/>
          <w:lang w:eastAsia="zh-CN"/>
        </w:rPr>
        <w:t xml:space="preserve">were </w:t>
      </w:r>
      <w:r w:rsidRPr="003978F9">
        <w:rPr>
          <w:rFonts w:eastAsia="SimSun"/>
          <w:bCs/>
          <w:lang w:eastAsia="zh-CN"/>
        </w:rPr>
        <w:t>under implementation</w:t>
      </w:r>
      <w:r>
        <w:rPr>
          <w:rFonts w:eastAsia="SimSun"/>
          <w:bCs/>
          <w:lang w:eastAsia="zh-CN"/>
        </w:rPr>
        <w:t xml:space="preserve"> in a total of 37 countries (21 </w:t>
      </w:r>
      <w:r w:rsidRPr="003978F9">
        <w:rPr>
          <w:rFonts w:eastAsia="SimSun"/>
          <w:bCs/>
          <w:lang w:eastAsia="zh-CN"/>
        </w:rPr>
        <w:t xml:space="preserve">in Africa, </w:t>
      </w:r>
      <w:r>
        <w:rPr>
          <w:rFonts w:eastAsia="SimSun"/>
          <w:bCs/>
          <w:lang w:eastAsia="zh-CN"/>
        </w:rPr>
        <w:t>two</w:t>
      </w:r>
      <w:r w:rsidRPr="003978F9">
        <w:rPr>
          <w:rFonts w:eastAsia="SimSun"/>
          <w:bCs/>
          <w:lang w:eastAsia="zh-CN"/>
        </w:rPr>
        <w:t xml:space="preserve"> in </w:t>
      </w:r>
      <w:r>
        <w:rPr>
          <w:rFonts w:eastAsia="SimSun"/>
          <w:bCs/>
          <w:lang w:eastAsia="zh-CN"/>
        </w:rPr>
        <w:t xml:space="preserve">the </w:t>
      </w:r>
      <w:r w:rsidRPr="003978F9">
        <w:rPr>
          <w:rFonts w:eastAsia="SimSun"/>
          <w:bCs/>
          <w:lang w:eastAsia="zh-CN"/>
        </w:rPr>
        <w:t xml:space="preserve">Arab region, </w:t>
      </w:r>
      <w:r>
        <w:rPr>
          <w:rFonts w:eastAsia="SimSun"/>
          <w:bCs/>
          <w:lang w:eastAsia="zh-CN"/>
        </w:rPr>
        <w:t>eight</w:t>
      </w:r>
      <w:r w:rsidRPr="003978F9">
        <w:rPr>
          <w:rFonts w:eastAsia="SimSun"/>
          <w:bCs/>
          <w:lang w:eastAsia="zh-CN"/>
        </w:rPr>
        <w:t xml:space="preserve"> in Asia and the Pacific and six in</w:t>
      </w:r>
      <w:r>
        <w:rPr>
          <w:rFonts w:eastAsia="SimSun"/>
          <w:bCs/>
          <w:lang w:eastAsia="zh-CN"/>
        </w:rPr>
        <w:t xml:space="preserve"> </w:t>
      </w:r>
      <w:r w:rsidRPr="003978F9">
        <w:rPr>
          <w:rFonts w:eastAsia="SimSun"/>
          <w:bCs/>
          <w:lang w:eastAsia="zh-CN"/>
        </w:rPr>
        <w:t xml:space="preserve">Latin America and </w:t>
      </w:r>
      <w:r>
        <w:rPr>
          <w:rFonts w:eastAsia="SimSun"/>
          <w:bCs/>
          <w:lang w:eastAsia="zh-CN"/>
        </w:rPr>
        <w:t xml:space="preserve">the </w:t>
      </w:r>
      <w:r w:rsidRPr="003978F9">
        <w:rPr>
          <w:rFonts w:eastAsia="SimSun"/>
          <w:bCs/>
          <w:lang w:eastAsia="zh-CN"/>
        </w:rPr>
        <w:t>Caribbean</w:t>
      </w:r>
      <w:r>
        <w:rPr>
          <w:rFonts w:eastAsia="SimSun"/>
          <w:bCs/>
          <w:lang w:eastAsia="zh-CN"/>
        </w:rPr>
        <w:t>), of which 17 in LDCs</w:t>
      </w:r>
      <w:r w:rsidRPr="003978F9">
        <w:rPr>
          <w:rFonts w:eastAsia="SimSun"/>
          <w:bCs/>
          <w:lang w:eastAsia="zh-CN"/>
        </w:rPr>
        <w:t>.</w:t>
      </w:r>
    </w:p>
    <w:p w:rsidR="00CE4C9D" w:rsidRPr="00845557" w:rsidRDefault="00CE4C9D" w:rsidP="00CE4C9D">
      <w:pPr>
        <w:jc w:val="both"/>
      </w:pPr>
    </w:p>
    <w:p w:rsidR="00CE4C9D" w:rsidRPr="00845557" w:rsidRDefault="00CE4C9D" w:rsidP="00845557">
      <w:pPr>
        <w:pStyle w:val="ListParagraph"/>
        <w:numPr>
          <w:ilvl w:val="0"/>
          <w:numId w:val="105"/>
        </w:numPr>
        <w:tabs>
          <w:tab w:val="left" w:pos="567"/>
        </w:tabs>
        <w:ind w:left="0" w:firstLine="0"/>
        <w:jc w:val="both"/>
      </w:pPr>
      <w:r w:rsidRPr="00CE4C9D">
        <w:t xml:space="preserve">The following Central European and Baltic States, Central Asian, Eastern European and Caucasian countries, as well as some Mediterranean countries, amended their national IP legislation in line with their national IP strategies:  Kazakhstan, Lithuania, Montenegro, Republic of Moldova and Tajikistan.  </w:t>
      </w:r>
      <w:r w:rsidRPr="00CE4C9D">
        <w:rPr>
          <w:color w:val="000000"/>
        </w:rPr>
        <w:t xml:space="preserve">Promotion of the importance of and/or assistance in the development and implementation of long-term and comprehensive national IP strategies to meet the needs of Member States remained a priority in 2014, resulting in three countries (Slovenia, Tajikistan and Turkey) having adopted IP related national strategies and four countries (Bulgaria, Poland, Turkmenistan and Ukraine) having initiated the development of a new strategy.  </w:t>
      </w:r>
    </w:p>
    <w:p w:rsidR="00CE4C9D" w:rsidRPr="00E93C14" w:rsidRDefault="00CE4C9D" w:rsidP="00CE4C9D">
      <w:pPr>
        <w:autoSpaceDE w:val="0"/>
        <w:autoSpaceDN w:val="0"/>
        <w:adjustRightInd w:val="0"/>
        <w:jc w:val="both"/>
        <w:rPr>
          <w:rFonts w:eastAsia="MS Mincho"/>
          <w:highlight w:val="yellow"/>
          <w:lang w:eastAsia="ja-JP"/>
        </w:rPr>
      </w:pPr>
    </w:p>
    <w:p w:rsidR="00CE4C9D" w:rsidRDefault="00CE4C9D" w:rsidP="00845557">
      <w:pPr>
        <w:pStyle w:val="ListParagraph"/>
        <w:numPr>
          <w:ilvl w:val="0"/>
          <w:numId w:val="105"/>
        </w:numPr>
        <w:tabs>
          <w:tab w:val="left" w:pos="567"/>
        </w:tabs>
        <w:ind w:left="0" w:firstLine="0"/>
        <w:jc w:val="both"/>
        <w:rPr>
          <w:rFonts w:cs="Arial"/>
        </w:rPr>
      </w:pPr>
      <w:r w:rsidRPr="00B92955">
        <w:rPr>
          <w:rFonts w:eastAsiaTheme="minorHAnsi" w:cs="Arial"/>
          <w:color w:val="000000"/>
        </w:rPr>
        <w:t>In 2014, the WIPO Academy initiated the implementation of a reform process and its repositioning as the core entity in WIPO for IP training and capacity</w:t>
      </w:r>
      <w:r>
        <w:rPr>
          <w:rFonts w:eastAsiaTheme="minorHAnsi" w:cs="Arial"/>
          <w:color w:val="000000"/>
        </w:rPr>
        <w:t xml:space="preserve"> </w:t>
      </w:r>
      <w:r w:rsidRPr="00B92955">
        <w:rPr>
          <w:rFonts w:eastAsiaTheme="minorHAnsi" w:cs="Arial"/>
          <w:color w:val="000000"/>
        </w:rPr>
        <w:t>building activities for government officials and other stakeholders</w:t>
      </w:r>
      <w:r>
        <w:rPr>
          <w:rFonts w:eastAsiaTheme="minorHAnsi" w:cs="Arial"/>
          <w:color w:val="000000"/>
        </w:rPr>
        <w:t>.  A</w:t>
      </w:r>
      <w:r w:rsidRPr="00847106">
        <w:rPr>
          <w:rFonts w:eastAsia="MS Mincho"/>
          <w:lang w:eastAsia="ja-JP"/>
        </w:rPr>
        <w:t>s part of continued efforts to enhance national and regional capacities for the effec</w:t>
      </w:r>
      <w:r>
        <w:rPr>
          <w:rFonts w:eastAsia="MS Mincho"/>
          <w:lang w:eastAsia="ja-JP"/>
        </w:rPr>
        <w:t xml:space="preserve">tive use of IP for development, </w:t>
      </w:r>
      <w:r>
        <w:rPr>
          <w:rFonts w:eastAsiaTheme="minorHAnsi" w:cs="Arial"/>
          <w:color w:val="000000"/>
        </w:rPr>
        <w:t>a major achievement in 2014 was the roll-out of the WIPO e-</w:t>
      </w:r>
      <w:r w:rsidRPr="00847106">
        <w:rPr>
          <w:rFonts w:eastAsiaTheme="minorHAnsi" w:cs="Arial"/>
          <w:color w:val="000000"/>
        </w:rPr>
        <w:t>Learning Center (</w:t>
      </w:r>
      <w:proofErr w:type="spellStart"/>
      <w:r w:rsidRPr="00847106">
        <w:rPr>
          <w:rFonts w:eastAsiaTheme="minorHAnsi" w:cs="Arial"/>
          <w:color w:val="000000"/>
        </w:rPr>
        <w:t>WeLC</w:t>
      </w:r>
      <w:proofErr w:type="spellEnd"/>
      <w:r w:rsidRPr="00847106">
        <w:rPr>
          <w:rFonts w:eastAsiaTheme="minorHAnsi" w:cs="Arial"/>
          <w:color w:val="000000"/>
        </w:rPr>
        <w:t>) platform, developed by the DL Program in 2011, to the other Academy Programs in order to facilitate the registration, selection and enr</w:t>
      </w:r>
      <w:r>
        <w:rPr>
          <w:rFonts w:eastAsiaTheme="minorHAnsi" w:cs="Arial"/>
          <w:color w:val="000000"/>
        </w:rPr>
        <w:t xml:space="preserve">ollment processes of candidates.  </w:t>
      </w:r>
      <w:r w:rsidRPr="00B92955">
        <w:rPr>
          <w:rFonts w:eastAsiaTheme="minorHAnsi" w:cs="Arial"/>
          <w:color w:val="000000"/>
        </w:rPr>
        <w:t>In 2014, some 34,935</w:t>
      </w:r>
      <w:r>
        <w:rPr>
          <w:rFonts w:eastAsiaTheme="minorHAnsi" w:cs="Arial"/>
          <w:color w:val="000000"/>
        </w:rPr>
        <w:t> </w:t>
      </w:r>
      <w:r w:rsidRPr="00B92955">
        <w:rPr>
          <w:rFonts w:eastAsiaTheme="minorHAnsi" w:cs="Arial"/>
          <w:color w:val="000000"/>
        </w:rPr>
        <w:t>persons (30,552 under its general courses</w:t>
      </w:r>
      <w:r>
        <w:rPr>
          <w:rFonts w:eastAsiaTheme="minorHAnsi" w:cs="Arial"/>
          <w:color w:val="000000"/>
        </w:rPr>
        <w:t xml:space="preserve"> and </w:t>
      </w:r>
      <w:r w:rsidRPr="00B92955">
        <w:rPr>
          <w:rFonts w:eastAsiaTheme="minorHAnsi" w:cs="Arial"/>
          <w:color w:val="000000"/>
        </w:rPr>
        <w:t>4,383 under its advanced courses)</w:t>
      </w:r>
      <w:r>
        <w:rPr>
          <w:rFonts w:eastAsiaTheme="minorHAnsi" w:cs="Arial"/>
          <w:color w:val="000000"/>
        </w:rPr>
        <w:t xml:space="preserve"> </w:t>
      </w:r>
      <w:r w:rsidRPr="00B92955">
        <w:rPr>
          <w:rFonts w:eastAsiaTheme="minorHAnsi" w:cs="Arial"/>
          <w:color w:val="000000"/>
        </w:rPr>
        <w:t xml:space="preserve">from </w:t>
      </w:r>
      <w:r>
        <w:rPr>
          <w:rFonts w:eastAsiaTheme="minorHAnsi" w:cs="Arial"/>
          <w:color w:val="000000"/>
        </w:rPr>
        <w:t xml:space="preserve">more than </w:t>
      </w:r>
      <w:r w:rsidRPr="00B92955">
        <w:rPr>
          <w:rFonts w:eastAsiaTheme="minorHAnsi" w:cs="Arial"/>
          <w:color w:val="000000"/>
        </w:rPr>
        <w:t>19</w:t>
      </w:r>
      <w:r>
        <w:rPr>
          <w:rFonts w:eastAsiaTheme="minorHAnsi" w:cs="Arial"/>
          <w:color w:val="000000"/>
        </w:rPr>
        <w:t>2 </w:t>
      </w:r>
      <w:r w:rsidRPr="00B92955">
        <w:rPr>
          <w:rFonts w:eastAsiaTheme="minorHAnsi" w:cs="Arial"/>
          <w:color w:val="000000"/>
        </w:rPr>
        <w:t xml:space="preserve">countries benefited from </w:t>
      </w:r>
      <w:r>
        <w:rPr>
          <w:rFonts w:eastAsiaTheme="minorHAnsi" w:cs="Arial"/>
          <w:color w:val="000000"/>
        </w:rPr>
        <w:t>the enhanced</w:t>
      </w:r>
      <w:r w:rsidRPr="00B92955">
        <w:rPr>
          <w:rFonts w:eastAsiaTheme="minorHAnsi" w:cs="Arial"/>
          <w:color w:val="000000"/>
        </w:rPr>
        <w:t xml:space="preserve"> e-learning Centre (</w:t>
      </w:r>
      <w:proofErr w:type="spellStart"/>
      <w:r w:rsidRPr="00B92955">
        <w:rPr>
          <w:rFonts w:eastAsiaTheme="minorHAnsi" w:cs="Arial"/>
          <w:color w:val="000000"/>
        </w:rPr>
        <w:t>WeLC</w:t>
      </w:r>
      <w:proofErr w:type="spellEnd"/>
      <w:r w:rsidRPr="00B92955">
        <w:rPr>
          <w:rFonts w:eastAsiaTheme="minorHAnsi" w:cs="Arial"/>
          <w:color w:val="000000"/>
        </w:rPr>
        <w:t>) platform</w:t>
      </w:r>
      <w:r>
        <w:rPr>
          <w:rFonts w:eastAsiaTheme="minorHAnsi" w:cs="Arial"/>
          <w:color w:val="000000"/>
        </w:rPr>
        <w:t>.  Two new DL pilot courses were launched in 2014:  (</w:t>
      </w:r>
      <w:proofErr w:type="spellStart"/>
      <w:r>
        <w:rPr>
          <w:rFonts w:eastAsiaTheme="minorHAnsi" w:cs="Arial"/>
          <w:color w:val="000000"/>
        </w:rPr>
        <w:t>i</w:t>
      </w:r>
      <w:proofErr w:type="spellEnd"/>
      <w:r>
        <w:rPr>
          <w:rFonts w:eastAsiaTheme="minorHAnsi" w:cs="Arial"/>
          <w:color w:val="000000"/>
        </w:rPr>
        <w:t xml:space="preserve">) </w:t>
      </w:r>
      <w:r w:rsidRPr="006B729F">
        <w:rPr>
          <w:rFonts w:eastAsiaTheme="minorHAnsi" w:cs="Arial"/>
          <w:i/>
          <w:color w:val="000000"/>
        </w:rPr>
        <w:t>Intellectual Property, Traditional Knowledge and Traditional Cultural Expressions</w:t>
      </w:r>
      <w:r>
        <w:rPr>
          <w:rFonts w:eastAsiaTheme="minorHAnsi" w:cs="Arial"/>
          <w:i/>
          <w:color w:val="000000"/>
        </w:rPr>
        <w:t xml:space="preserve"> (</w:t>
      </w:r>
      <w:r w:rsidRPr="000E472B">
        <w:rPr>
          <w:rFonts w:eastAsiaTheme="minorHAnsi" w:cs="Arial"/>
          <w:i/>
          <w:color w:val="000000"/>
        </w:rPr>
        <w:t>DL-203</w:t>
      </w:r>
      <w:r>
        <w:rPr>
          <w:rFonts w:eastAsiaTheme="minorHAnsi" w:cs="Arial"/>
          <w:i/>
          <w:color w:val="000000"/>
        </w:rPr>
        <w:t>)</w:t>
      </w:r>
      <w:r>
        <w:rPr>
          <w:rFonts w:eastAsiaTheme="minorHAnsi" w:cs="Arial"/>
          <w:color w:val="000000"/>
        </w:rPr>
        <w:t xml:space="preserve"> and (ii) </w:t>
      </w:r>
      <w:r w:rsidRPr="006B729F">
        <w:rPr>
          <w:rFonts w:eastAsiaTheme="minorHAnsi" w:cs="Arial"/>
          <w:i/>
          <w:color w:val="000000"/>
        </w:rPr>
        <w:t>Collective Management of Copyright and Related Rights</w:t>
      </w:r>
      <w:r>
        <w:rPr>
          <w:rFonts w:eastAsiaTheme="minorHAnsi" w:cs="Arial"/>
          <w:i/>
          <w:color w:val="000000"/>
        </w:rPr>
        <w:t xml:space="preserve"> (DL-501)</w:t>
      </w:r>
      <w:r>
        <w:rPr>
          <w:rFonts w:eastAsiaTheme="minorHAnsi" w:cs="Arial"/>
          <w:color w:val="000000"/>
        </w:rPr>
        <w:t xml:space="preserve">. </w:t>
      </w:r>
      <w:r w:rsidRPr="00847106">
        <w:rPr>
          <w:rFonts w:eastAsiaTheme="minorHAnsi" w:cs="Arial"/>
          <w:color w:val="000000"/>
        </w:rPr>
        <w:t xml:space="preserve"> </w:t>
      </w:r>
      <w:r>
        <w:rPr>
          <w:rFonts w:eastAsiaTheme="minorHAnsi" w:cs="Arial"/>
        </w:rPr>
        <w:t xml:space="preserve">The second phase of the Start-up Academies Project, started in May 2012, was fully completed in 2014.  An external independent evaluation report (CDIP/14/4) was presented to the CDIP at its fourteenth session.  </w:t>
      </w:r>
      <w:r w:rsidRPr="00B92955">
        <w:rPr>
          <w:rFonts w:eastAsiaTheme="minorHAnsi" w:cs="Arial"/>
        </w:rPr>
        <w:t xml:space="preserve">In 2014, </w:t>
      </w:r>
      <w:r>
        <w:rPr>
          <w:rFonts w:eastAsiaTheme="minorHAnsi" w:cs="Arial"/>
        </w:rPr>
        <w:t xml:space="preserve">two new agreements were signed with the Governments of Cambodia and Ecuador for the </w:t>
      </w:r>
      <w:r>
        <w:rPr>
          <w:rFonts w:eastAsiaTheme="minorHAnsi" w:cs="Arial"/>
        </w:rPr>
        <w:lastRenderedPageBreak/>
        <w:t xml:space="preserve">establishment of start-up academies.  </w:t>
      </w:r>
      <w:r w:rsidRPr="00A16BB9">
        <w:rPr>
          <w:rFonts w:cs="Arial"/>
        </w:rPr>
        <w:t>Cooperation was formally init</w:t>
      </w:r>
      <w:r>
        <w:rPr>
          <w:rFonts w:cs="Arial"/>
        </w:rPr>
        <w:t>iated with Ecuador in September </w:t>
      </w:r>
      <w:r w:rsidRPr="00A16BB9">
        <w:rPr>
          <w:rFonts w:cs="Arial"/>
        </w:rPr>
        <w:t>2014.</w:t>
      </w:r>
    </w:p>
    <w:p w:rsidR="00CE4C9D" w:rsidRDefault="00CE4C9D" w:rsidP="00CE4C9D">
      <w:pPr>
        <w:autoSpaceDE w:val="0"/>
        <w:autoSpaceDN w:val="0"/>
        <w:adjustRightInd w:val="0"/>
        <w:jc w:val="both"/>
        <w:rPr>
          <w:rFonts w:cs="Arial"/>
          <w:szCs w:val="20"/>
        </w:rPr>
      </w:pPr>
    </w:p>
    <w:p w:rsidR="00CE4C9D" w:rsidRDefault="00CE4C9D" w:rsidP="00845557">
      <w:pPr>
        <w:pStyle w:val="ListParagraph"/>
        <w:numPr>
          <w:ilvl w:val="0"/>
          <w:numId w:val="105"/>
        </w:numPr>
        <w:tabs>
          <w:tab w:val="left" w:pos="567"/>
        </w:tabs>
        <w:ind w:left="0" w:firstLine="0"/>
        <w:jc w:val="both"/>
        <w:rPr>
          <w:rFonts w:eastAsiaTheme="minorHAnsi" w:cs="Arial"/>
        </w:rPr>
      </w:pPr>
      <w:r w:rsidRPr="0023662D">
        <w:rPr>
          <w:rFonts w:eastAsia="SimSun"/>
          <w:bCs/>
          <w:lang w:eastAsia="zh-CN"/>
        </w:rPr>
        <w:t>Enhancing human resource capabilities to deal with the broad range of requirements for the effective use of IP for development and fostering innovation and creativity remained a priority in 2014.  Focused capacity building and skills development programs were delivered to specific target groups such as government officials, policy-makers, IP professionals, enforcement officials, researchers and academics, entrepreneurs and industrialists, as well as SMEs, at the national, sub-regional and regional levels.</w:t>
      </w:r>
    </w:p>
    <w:p w:rsidR="00CE4C9D" w:rsidRDefault="00CE4C9D" w:rsidP="00CE4C9D">
      <w:pPr>
        <w:autoSpaceDE w:val="0"/>
        <w:autoSpaceDN w:val="0"/>
        <w:adjustRightInd w:val="0"/>
        <w:jc w:val="both"/>
        <w:rPr>
          <w:rFonts w:eastAsiaTheme="minorHAnsi" w:cs="Arial"/>
          <w:szCs w:val="20"/>
        </w:rPr>
      </w:pPr>
    </w:p>
    <w:p w:rsidR="00CE4C9D" w:rsidRPr="0023662D" w:rsidRDefault="00CE4C9D" w:rsidP="00845557">
      <w:pPr>
        <w:pStyle w:val="ListParagraph"/>
        <w:numPr>
          <w:ilvl w:val="0"/>
          <w:numId w:val="105"/>
        </w:numPr>
        <w:tabs>
          <w:tab w:val="left" w:pos="567"/>
        </w:tabs>
        <w:ind w:left="0" w:firstLine="0"/>
        <w:jc w:val="both"/>
        <w:rPr>
          <w:rFonts w:eastAsia="SimSun"/>
          <w:bCs/>
          <w:lang w:eastAsia="zh-CN"/>
        </w:rPr>
      </w:pPr>
      <w:r w:rsidRPr="0023662D">
        <w:rPr>
          <w:rFonts w:eastAsia="SimSun"/>
          <w:bCs/>
          <w:lang w:eastAsia="zh-CN"/>
        </w:rPr>
        <w:t>With a view to instilling a cohesive, development-oriented and innovation enabling architecture in LDCs, greater focus was given in 2014 to the implementation of the WIPO Deliverables, a set of priority thematic areas for cooperation with LDCs as identified by LDC ministers on the occasion of the Fourth United Nations Conference on the Least Developed Countries (UN LDC IV).</w:t>
      </w:r>
      <w:r>
        <w:rPr>
          <w:rFonts w:eastAsia="SimSun"/>
          <w:bCs/>
          <w:lang w:eastAsia="zh-CN"/>
        </w:rPr>
        <w:t xml:space="preserve">  </w:t>
      </w:r>
      <w:r w:rsidRPr="0023662D">
        <w:rPr>
          <w:rFonts w:eastAsia="SimSun"/>
          <w:bCs/>
          <w:lang w:eastAsia="zh-CN"/>
        </w:rPr>
        <w:t>Following the successful completion of Phase I of the DA Project on Capacity</w:t>
      </w:r>
      <w:r w:rsidR="00304D88">
        <w:rPr>
          <w:rFonts w:eastAsia="SimSun"/>
          <w:bCs/>
          <w:lang w:eastAsia="zh-CN"/>
        </w:rPr>
        <w:t xml:space="preserve"> </w:t>
      </w:r>
      <w:r w:rsidRPr="0023662D">
        <w:rPr>
          <w:rFonts w:eastAsia="SimSun"/>
          <w:bCs/>
          <w:lang w:eastAsia="zh-CN"/>
        </w:rPr>
        <w:t xml:space="preserve">Building in the Use of Appropriate Technology-Specific Technical and Scientific Information as a Solution for Identified Development Challenges, Phase II (CDIP/13/9) was approved at the thirteenth session of this CDIP in May, 2014.  Important progress was made during the remainder of the year with regard to establishing </w:t>
      </w:r>
      <w:proofErr w:type="spellStart"/>
      <w:r w:rsidRPr="0023662D">
        <w:rPr>
          <w:rFonts w:eastAsia="SimSun"/>
          <w:bCs/>
          <w:lang w:eastAsia="zh-CN"/>
        </w:rPr>
        <w:t>MoUs</w:t>
      </w:r>
      <w:proofErr w:type="spellEnd"/>
      <w:r w:rsidR="007C20B6">
        <w:rPr>
          <w:rFonts w:eastAsia="SimSun"/>
          <w:bCs/>
          <w:lang w:eastAsia="zh-CN"/>
        </w:rPr>
        <w:t>,</w:t>
      </w:r>
      <w:r w:rsidRPr="0023662D">
        <w:rPr>
          <w:rFonts w:eastAsia="SimSun"/>
          <w:bCs/>
          <w:lang w:eastAsia="zh-CN"/>
        </w:rPr>
        <w:t xml:space="preserve"> clearly identifying the responsibilities of the partners, i.e. WIPO and the beneficiary country (an LDC), in the overall implementation process of the project.  Consultations with the Ministries of Foreign Affairs, Justice, and Science and Technology, Permanent Missions in Geneva, and the IP focal points were held with the four beneficiary countries.  The </w:t>
      </w:r>
      <w:proofErr w:type="spellStart"/>
      <w:r w:rsidRPr="0023662D">
        <w:rPr>
          <w:rFonts w:eastAsia="SimSun"/>
          <w:bCs/>
          <w:lang w:eastAsia="zh-CN"/>
        </w:rPr>
        <w:t>MoUs</w:t>
      </w:r>
      <w:proofErr w:type="spellEnd"/>
      <w:r w:rsidRPr="0023662D">
        <w:rPr>
          <w:rFonts w:eastAsia="SimSun"/>
          <w:bCs/>
          <w:lang w:eastAsia="zh-CN"/>
        </w:rPr>
        <w:t xml:space="preserve"> are expected to be signed in 2015.</w:t>
      </w:r>
    </w:p>
    <w:p w:rsidR="00CE4C9D" w:rsidRPr="00812B04" w:rsidRDefault="00CE4C9D" w:rsidP="00CE4C9D">
      <w:pPr>
        <w:autoSpaceDE w:val="0"/>
        <w:autoSpaceDN w:val="0"/>
        <w:adjustRightInd w:val="0"/>
        <w:jc w:val="both"/>
        <w:rPr>
          <w:rFonts w:cs="Tahoma"/>
        </w:rPr>
      </w:pPr>
    </w:p>
    <w:p w:rsidR="00CE4C9D" w:rsidRDefault="00CE4C9D" w:rsidP="00845557">
      <w:pPr>
        <w:pStyle w:val="ListParagraph"/>
        <w:numPr>
          <w:ilvl w:val="0"/>
          <w:numId w:val="105"/>
        </w:numPr>
        <w:tabs>
          <w:tab w:val="left" w:pos="567"/>
        </w:tabs>
        <w:ind w:left="0" w:firstLine="0"/>
        <w:jc w:val="both"/>
        <w:rPr>
          <w:bCs/>
        </w:rPr>
      </w:pPr>
      <w:r w:rsidRPr="00812B04">
        <w:rPr>
          <w:bCs/>
        </w:rPr>
        <w:t xml:space="preserve">During its </w:t>
      </w:r>
      <w:r>
        <w:rPr>
          <w:bCs/>
        </w:rPr>
        <w:t>thirteenth and fourteenth</w:t>
      </w:r>
      <w:r w:rsidRPr="00812B04">
        <w:rPr>
          <w:bCs/>
        </w:rPr>
        <w:t xml:space="preserve"> sessions held in </w:t>
      </w:r>
      <w:r>
        <w:rPr>
          <w:bCs/>
        </w:rPr>
        <w:t>2014</w:t>
      </w:r>
      <w:r w:rsidRPr="00812B04">
        <w:rPr>
          <w:bCs/>
        </w:rPr>
        <w:t xml:space="preserve">, </w:t>
      </w:r>
      <w:r w:rsidRPr="003254F5">
        <w:rPr>
          <w:rFonts w:cs="Arial"/>
        </w:rPr>
        <w:t>the CDIP considered: (</w:t>
      </w:r>
      <w:proofErr w:type="spellStart"/>
      <w:r w:rsidRPr="003254F5">
        <w:rPr>
          <w:rFonts w:cs="Arial"/>
        </w:rPr>
        <w:t>i</w:t>
      </w:r>
      <w:proofErr w:type="spellEnd"/>
      <w:r w:rsidRPr="003254F5">
        <w:rPr>
          <w:rFonts w:cs="Arial"/>
        </w:rPr>
        <w:t>) the annual Director General’s Report on Implementation of the Development Agenda; (ii) a Progress Report on the Implementation of Recommendations for Immediate Implementation and DA Projects; (iii) eight independent</w:t>
      </w:r>
      <w:r w:rsidR="007C20B6">
        <w:rPr>
          <w:rFonts w:cs="Arial"/>
        </w:rPr>
        <w:t xml:space="preserve"> reports</w:t>
      </w:r>
      <w:r w:rsidRPr="003254F5">
        <w:rPr>
          <w:rFonts w:cs="Arial"/>
        </w:rPr>
        <w:t xml:space="preserve"> and one self-evaluation report of DA projects; and (iv) a document on WIPO General Assembly Decision on CDIP related matters.</w:t>
      </w:r>
      <w:r>
        <w:rPr>
          <w:rFonts w:cs="Arial"/>
        </w:rPr>
        <w:t xml:space="preserve"> </w:t>
      </w:r>
      <w:r w:rsidRPr="003254F5">
        <w:rPr>
          <w:rFonts w:cs="Arial"/>
        </w:rPr>
        <w:t xml:space="preserve"> In addition, the Committee approved second phases for two completed and evaluated projects, approved new activities Related to Using Copyright to Promote Access to Information and Creative content, and considered a project proposal by the Arab Republic of Egypt on IP and Tourism. </w:t>
      </w:r>
      <w:r>
        <w:rPr>
          <w:rFonts w:cs="Arial"/>
        </w:rPr>
        <w:t xml:space="preserve"> </w:t>
      </w:r>
      <w:r w:rsidRPr="003254F5">
        <w:rPr>
          <w:rFonts w:cs="Arial"/>
        </w:rPr>
        <w:t xml:space="preserve">The Committee </w:t>
      </w:r>
      <w:r>
        <w:rPr>
          <w:rFonts w:cs="Arial"/>
        </w:rPr>
        <w:t xml:space="preserve">also </w:t>
      </w:r>
      <w:r w:rsidRPr="003254F5">
        <w:rPr>
          <w:rFonts w:cs="Arial"/>
        </w:rPr>
        <w:t>discussed: (</w:t>
      </w:r>
      <w:proofErr w:type="spellStart"/>
      <w:r w:rsidRPr="003254F5">
        <w:rPr>
          <w:rFonts w:cs="Arial"/>
        </w:rPr>
        <w:t>i</w:t>
      </w:r>
      <w:proofErr w:type="spellEnd"/>
      <w:r w:rsidRPr="003254F5">
        <w:rPr>
          <w:rFonts w:cs="Arial"/>
        </w:rPr>
        <w:t>)</w:t>
      </w:r>
      <w:r>
        <w:rPr>
          <w:rFonts w:cs="Arial"/>
        </w:rPr>
        <w:t> </w:t>
      </w:r>
      <w:r w:rsidRPr="003254F5">
        <w:rPr>
          <w:rFonts w:cs="Arial"/>
        </w:rPr>
        <w:t>a</w:t>
      </w:r>
      <w:r>
        <w:rPr>
          <w:rFonts w:cs="Arial"/>
        </w:rPr>
        <w:t> </w:t>
      </w:r>
      <w:r w:rsidRPr="003254F5">
        <w:rPr>
          <w:rFonts w:cs="Arial"/>
        </w:rPr>
        <w:t>document forwarded by the General Assembly on the Description of the Contribution of the Relevant WIPO Bodies on the Implementation of respective Development Agenda Recommendations and (ii) a Revised Report on the Measurement of the Millennium Development Goals (MDGs) in Other United Nations Agencies and Specialized Agencies, and on the Contribution of WIPO to the Implementation of the MDGs.</w:t>
      </w:r>
      <w:r>
        <w:rPr>
          <w:bCs/>
        </w:rPr>
        <w:t xml:space="preserve">  </w:t>
      </w:r>
      <w:r w:rsidRPr="003254F5">
        <w:rPr>
          <w:rFonts w:cs="Arial"/>
        </w:rPr>
        <w:t xml:space="preserve">Furthermore, the Committee approved the Terms of Reference (TORs) for the Independent Review of the Implementation of the DA Recommendations and the convening of the International Conference on Intellectual Property and Development. </w:t>
      </w:r>
    </w:p>
    <w:p w:rsidR="00CE4C9D" w:rsidRPr="00812B04" w:rsidRDefault="00CE4C9D" w:rsidP="00CE4C9D">
      <w:pPr>
        <w:jc w:val="both"/>
        <w:rPr>
          <w:iCs/>
        </w:rPr>
      </w:pPr>
    </w:p>
    <w:p w:rsidR="00CE4C9D" w:rsidRDefault="00CE4C9D">
      <w:pPr>
        <w:rPr>
          <w:b/>
          <w:iCs/>
        </w:rPr>
      </w:pPr>
    </w:p>
    <w:p w:rsidR="00CE4C9D" w:rsidRPr="00AE0F7A" w:rsidRDefault="00CE4C9D" w:rsidP="00CE4C9D">
      <w:pPr>
        <w:jc w:val="center"/>
        <w:rPr>
          <w:b/>
          <w:iCs/>
        </w:rPr>
      </w:pPr>
      <w:r w:rsidRPr="008869AE">
        <w:rPr>
          <w:b/>
          <w:iCs/>
        </w:rPr>
        <w:t>Strategic Goal IV:  Coordination and Development of Global IP Infrastructure</w:t>
      </w:r>
    </w:p>
    <w:p w:rsidR="00CE4C9D" w:rsidRDefault="00F84D6B" w:rsidP="00CE4C9D">
      <w:pPr>
        <w:jc w:val="center"/>
        <w:rPr>
          <w:b/>
          <w:sz w:val="18"/>
          <w:szCs w:val="18"/>
        </w:rPr>
      </w:pPr>
      <w:r>
        <w:rPr>
          <w:b/>
          <w:noProof/>
          <w:sz w:val="18"/>
          <w:szCs w:val="18"/>
        </w:rPr>
        <w:drawing>
          <wp:inline distT="0" distB="0" distL="0" distR="0" wp14:anchorId="400A5A8F" wp14:editId="6840EE9F">
            <wp:extent cx="4572635" cy="2743200"/>
            <wp:effectExtent l="0" t="0" r="0" b="0"/>
            <wp:docPr id="881" name="Picture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CE4C9D" w:rsidRPr="00812B04" w:rsidRDefault="00CE4C9D" w:rsidP="00CE4C9D">
      <w:pPr>
        <w:jc w:val="both"/>
      </w:pPr>
    </w:p>
    <w:p w:rsidR="00CE4C9D" w:rsidRPr="00812B04" w:rsidRDefault="00CE4C9D" w:rsidP="00845557">
      <w:pPr>
        <w:pStyle w:val="ListParagraph"/>
        <w:numPr>
          <w:ilvl w:val="0"/>
          <w:numId w:val="105"/>
        </w:numPr>
        <w:tabs>
          <w:tab w:val="left" w:pos="567"/>
        </w:tabs>
        <w:ind w:left="0" w:firstLine="0"/>
        <w:jc w:val="both"/>
        <w:rPr>
          <w:bCs/>
        </w:rPr>
      </w:pPr>
      <w:r w:rsidRPr="00812B04">
        <w:lastRenderedPageBreak/>
        <w:t xml:space="preserve">With a focus on enhancing the global IP infrastructure to help meet the growing global demand on the IP system and facilitating the participation of developing countries and LDCs in the system, good progress was made in the areas of global IP databases, classifications, IP office modernization, and </w:t>
      </w:r>
      <w:r w:rsidR="007C20B6">
        <w:t>Technology Innovation Support Centers (</w:t>
      </w:r>
      <w:r w:rsidRPr="00812B04">
        <w:rPr>
          <w:bCs/>
        </w:rPr>
        <w:t>TISCs</w:t>
      </w:r>
      <w:r w:rsidR="007C20B6">
        <w:rPr>
          <w:bCs/>
        </w:rPr>
        <w:t>)</w:t>
      </w:r>
      <w:r w:rsidRPr="00812B04">
        <w:rPr>
          <w:bCs/>
        </w:rPr>
        <w:t xml:space="preserve"> in </w:t>
      </w:r>
      <w:r>
        <w:rPr>
          <w:bCs/>
        </w:rPr>
        <w:t>2014</w:t>
      </w:r>
      <w:r w:rsidRPr="00812B04">
        <w:rPr>
          <w:bCs/>
        </w:rPr>
        <w:t xml:space="preserve">. </w:t>
      </w:r>
    </w:p>
    <w:p w:rsidR="00CE4C9D" w:rsidRPr="00812B04" w:rsidRDefault="00CE4C9D" w:rsidP="00CE4C9D">
      <w:pPr>
        <w:autoSpaceDE w:val="0"/>
        <w:autoSpaceDN w:val="0"/>
        <w:adjustRightInd w:val="0"/>
        <w:jc w:val="both"/>
        <w:rPr>
          <w:bCs/>
        </w:rPr>
      </w:pPr>
    </w:p>
    <w:p w:rsidR="00CE4C9D" w:rsidRDefault="00CE4C9D" w:rsidP="00845557">
      <w:pPr>
        <w:pStyle w:val="ListParagraph"/>
        <w:numPr>
          <w:ilvl w:val="0"/>
          <w:numId w:val="105"/>
        </w:numPr>
        <w:tabs>
          <w:tab w:val="left" w:pos="567"/>
        </w:tabs>
        <w:ind w:left="0" w:firstLine="0"/>
        <w:jc w:val="both"/>
      </w:pPr>
      <w:r w:rsidRPr="00480AE9">
        <w:t>The PATENTSCOPE system was further strengthened in 2014, with a significant focus on improving access to the system in regio</w:t>
      </w:r>
      <w:r>
        <w:t xml:space="preserve">ns experiencing poor latency.  </w:t>
      </w:r>
      <w:r w:rsidRPr="00480AE9">
        <w:t xml:space="preserve">Two additional languages were developed for inclusion in the Cross Lingual Information Retrieval (CLIR) multilingual searching system, to be added to the existing 12 languages by the end of the biennium, pending the finalization of the interface. </w:t>
      </w:r>
      <w:r>
        <w:t xml:space="preserve"> </w:t>
      </w:r>
      <w:r w:rsidRPr="00480AE9">
        <w:t>The Translation Assistant for Patent Titles and Abstracts (TAPTA)</w:t>
      </w:r>
      <w:r>
        <w:rPr>
          <w:rStyle w:val="FootnoteReference"/>
        </w:rPr>
        <w:footnoteReference w:id="2"/>
      </w:r>
      <w:r w:rsidRPr="00480AE9">
        <w:t>, a statistical machine translation system developed in-house, was extended to include one additional and difficult language pair, English and Chinese, bringing the total number to five</w:t>
      </w:r>
      <w:r>
        <w:t xml:space="preserve">. </w:t>
      </w:r>
    </w:p>
    <w:p w:rsidR="00CE4C9D" w:rsidRDefault="00CE4C9D" w:rsidP="00CE4C9D">
      <w:pPr>
        <w:autoSpaceDE w:val="0"/>
        <w:autoSpaceDN w:val="0"/>
        <w:adjustRightInd w:val="0"/>
        <w:jc w:val="both"/>
      </w:pPr>
    </w:p>
    <w:p w:rsidR="00CE4C9D" w:rsidRPr="00480AE9" w:rsidRDefault="00CE4C9D" w:rsidP="00845557">
      <w:pPr>
        <w:pStyle w:val="ListParagraph"/>
        <w:numPr>
          <w:ilvl w:val="0"/>
          <w:numId w:val="105"/>
        </w:numPr>
        <w:tabs>
          <w:tab w:val="left" w:pos="567"/>
        </w:tabs>
        <w:ind w:left="0" w:firstLine="0"/>
        <w:jc w:val="both"/>
      </w:pPr>
      <w:r w:rsidRPr="00480AE9">
        <w:t xml:space="preserve">Use of PATENTSCOPE increased by </w:t>
      </w:r>
      <w:r>
        <w:t>3.5</w:t>
      </w:r>
      <w:r w:rsidRPr="00480AE9">
        <w:t xml:space="preserve"> per cent from 237,446 </w:t>
      </w:r>
      <w:r>
        <w:t xml:space="preserve">unique </w:t>
      </w:r>
      <w:r w:rsidRPr="00480AE9">
        <w:t xml:space="preserve">users per quarter in 2013 to </w:t>
      </w:r>
      <w:r>
        <w:t>245,769</w:t>
      </w:r>
      <w:r w:rsidRPr="00480AE9">
        <w:t xml:space="preserve"> </w:t>
      </w:r>
      <w:r>
        <w:t xml:space="preserve">unique </w:t>
      </w:r>
      <w:r w:rsidRPr="00480AE9">
        <w:t>users per quarter in 2014</w:t>
      </w:r>
      <w:r>
        <w:t xml:space="preserve"> from 169 countries, and t</w:t>
      </w:r>
      <w:r w:rsidRPr="00480AE9">
        <w:t>he number of collections held in PATEN</w:t>
      </w:r>
      <w:r w:rsidR="007C20B6">
        <w:t>T</w:t>
      </w:r>
      <w:r w:rsidRPr="00480AE9">
        <w:t>SCOPE also saw a 12 per cent increase over 2014, bringing the total number of national and regional collections to 41 and the total number of records contained to 43 milli</w:t>
      </w:r>
      <w:r>
        <w:t xml:space="preserve">on, a 26 per cent increase over </w:t>
      </w:r>
      <w:r w:rsidRPr="00480AE9">
        <w:t>2013.</w:t>
      </w:r>
    </w:p>
    <w:p w:rsidR="00CE4C9D" w:rsidRPr="003A25F5" w:rsidRDefault="00CE4C9D" w:rsidP="00CE4C9D">
      <w:pPr>
        <w:autoSpaceDE w:val="0"/>
        <w:autoSpaceDN w:val="0"/>
        <w:adjustRightInd w:val="0"/>
        <w:jc w:val="both"/>
        <w:rPr>
          <w:highlight w:val="yellow"/>
        </w:rPr>
      </w:pPr>
    </w:p>
    <w:p w:rsidR="00CE4C9D" w:rsidRDefault="00CE4C9D" w:rsidP="00845557">
      <w:pPr>
        <w:pStyle w:val="ListParagraph"/>
        <w:numPr>
          <w:ilvl w:val="0"/>
          <w:numId w:val="105"/>
        </w:numPr>
        <w:tabs>
          <w:tab w:val="left" w:pos="567"/>
        </w:tabs>
        <w:ind w:left="0" w:firstLine="0"/>
        <w:jc w:val="both"/>
        <w:rPr>
          <w:bCs/>
        </w:rPr>
      </w:pPr>
      <w:r>
        <w:rPr>
          <w:bCs/>
        </w:rPr>
        <w:t>W</w:t>
      </w:r>
      <w:r w:rsidRPr="00B93294">
        <w:rPr>
          <w:bCs/>
        </w:rPr>
        <w:t>ith the introduction of a powerful image similarity search func</w:t>
      </w:r>
      <w:r>
        <w:rPr>
          <w:bCs/>
        </w:rPr>
        <w:t xml:space="preserve">tion, use of the </w:t>
      </w:r>
      <w:r w:rsidRPr="005A6DA1">
        <w:rPr>
          <w:bCs/>
        </w:rPr>
        <w:t xml:space="preserve">Global Brand Database </w:t>
      </w:r>
      <w:r>
        <w:rPr>
          <w:bCs/>
        </w:rPr>
        <w:t xml:space="preserve">exceeded expectations in 2014, more than doubling the number of users per quarter from 23,000 in 2013 to 49,977 in 2014.  The number of national collections increased significantly (50 per cent), bringing the total number to 18 in 2014.  Likewise, the total number of records contained in the system increased 28 per cent, from 12 million in 2013 to 15.4 million in 2014. </w:t>
      </w:r>
    </w:p>
    <w:p w:rsidR="00CE4C9D" w:rsidRDefault="00CE4C9D" w:rsidP="00CE4C9D">
      <w:pPr>
        <w:jc w:val="both"/>
        <w:rPr>
          <w:bCs/>
        </w:rPr>
      </w:pPr>
    </w:p>
    <w:p w:rsidR="00CE4C9D" w:rsidRDefault="00CE4C9D" w:rsidP="00845557">
      <w:pPr>
        <w:pStyle w:val="ListParagraph"/>
        <w:numPr>
          <w:ilvl w:val="0"/>
          <w:numId w:val="105"/>
        </w:numPr>
        <w:tabs>
          <w:tab w:val="left" w:pos="567"/>
        </w:tabs>
        <w:ind w:left="0" w:firstLine="0"/>
        <w:jc w:val="both"/>
        <w:rPr>
          <w:bCs/>
        </w:rPr>
      </w:pPr>
      <w:r w:rsidRPr="00CE4C9D">
        <w:rPr>
          <w:rFonts w:cs="Arial"/>
        </w:rPr>
        <w:t>Progress was uneven as regards International Classifications and WIPO IP Standards in 2014, exceeding expectations in certain areas and trailing behind in others.</w:t>
      </w:r>
      <w:r w:rsidR="007C20B6">
        <w:rPr>
          <w:rFonts w:cs="Arial"/>
        </w:rPr>
        <w:t xml:space="preserve"> </w:t>
      </w:r>
      <w:r w:rsidRPr="00CE4C9D">
        <w:rPr>
          <w:b/>
        </w:rPr>
        <w:t xml:space="preserve"> </w:t>
      </w:r>
      <w:r w:rsidRPr="00CE4C9D">
        <w:rPr>
          <w:rFonts w:cs="Arial"/>
        </w:rPr>
        <w:t xml:space="preserve">As regards the Nice Classification, a total of 570 new amendments and 20 new information files were introduced in 2014.  The number of amendments represented a 32 per cent increase over 2013.  </w:t>
      </w:r>
      <w:r w:rsidRPr="00CE4C9D">
        <w:rPr>
          <w:bCs/>
        </w:rPr>
        <w:t xml:space="preserve">In addition, the official Spanish version of the NCL 10-2015 was made available in XLS format in November 2014.  </w:t>
      </w:r>
      <w:r w:rsidRPr="00CE4C9D">
        <w:t xml:space="preserve">In the IPC, the modified publication platform to facilitate the use of the system, including a new search tool and the </w:t>
      </w:r>
      <w:r w:rsidR="00487690">
        <w:t>International Patent Classification / Cooperative Patent Classification/ File Index</w:t>
      </w:r>
      <w:r w:rsidR="00487690" w:rsidRPr="00CE4C9D">
        <w:t xml:space="preserve"> </w:t>
      </w:r>
      <w:r w:rsidR="00487690">
        <w:t>(</w:t>
      </w:r>
      <w:r w:rsidRPr="00CE4C9D">
        <w:t>IPC/CPC/FI</w:t>
      </w:r>
      <w:r w:rsidR="00487690">
        <w:t>)</w:t>
      </w:r>
      <w:r w:rsidRPr="00CE4C9D">
        <w:t xml:space="preserve"> parallel viewer, was launched in April 2014.</w:t>
      </w:r>
      <w:r w:rsidR="007C20B6">
        <w:t xml:space="preserve"> </w:t>
      </w:r>
      <w:r w:rsidRPr="00CE4C9D">
        <w:t xml:space="preserve"> </w:t>
      </w:r>
      <w:r w:rsidRPr="00CE4C9D">
        <w:rPr>
          <w:bCs/>
        </w:rPr>
        <w:t xml:space="preserve">At its fourth session, the Committee on WIPO Standards (CWS) was unable to adopt an agenda, resulting in informal decisions not being formalized.  Despite this set-back, there was one new standard adopted and one standard revised informally in 2014.  The use of internet tools for accessing classifications and standards publications showed stable growth with visits to the IPC Publications substantially higher (a 61 per cent increase over 2013), due to the inclusion of revised classifications and new tools.  </w:t>
      </w:r>
      <w:r w:rsidRPr="00CE4C9D">
        <w:t xml:space="preserve"> </w:t>
      </w:r>
    </w:p>
    <w:p w:rsidR="00CE4C9D" w:rsidRPr="005C01F3" w:rsidRDefault="00CE4C9D" w:rsidP="00845557">
      <w:pPr>
        <w:pStyle w:val="ListParagraph"/>
        <w:tabs>
          <w:tab w:val="left" w:pos="567"/>
        </w:tabs>
        <w:ind w:left="0"/>
        <w:jc w:val="both"/>
        <w:rPr>
          <w:bCs/>
        </w:rPr>
      </w:pPr>
    </w:p>
    <w:p w:rsidR="00CE4C9D" w:rsidRPr="00CE4C9D" w:rsidRDefault="00CE4C9D" w:rsidP="00845557">
      <w:pPr>
        <w:pStyle w:val="ListParagraph"/>
        <w:numPr>
          <w:ilvl w:val="0"/>
          <w:numId w:val="105"/>
        </w:numPr>
        <w:tabs>
          <w:tab w:val="left" w:pos="567"/>
        </w:tabs>
        <w:ind w:left="0" w:firstLine="0"/>
        <w:jc w:val="both"/>
        <w:rPr>
          <w:bCs/>
        </w:rPr>
      </w:pPr>
      <w:r w:rsidRPr="007729C1">
        <w:rPr>
          <w:iCs/>
        </w:rPr>
        <w:t xml:space="preserve">The year 2014 brought the total number of Member States that had established TISCs in their countries to 45.  The focus remained on reinforcing the long-term sustainability of the networks, and by the end of 2014, 20 TISC networks were considered sustainable.  </w:t>
      </w:r>
      <w:r w:rsidRPr="007729C1">
        <w:rPr>
          <w:rFonts w:cs="Arial"/>
        </w:rPr>
        <w:t xml:space="preserve">The </w:t>
      </w:r>
      <w:proofErr w:type="spellStart"/>
      <w:r w:rsidRPr="007729C1">
        <w:rPr>
          <w:rFonts w:cs="Arial"/>
        </w:rPr>
        <w:t>eTISC</w:t>
      </w:r>
      <w:proofErr w:type="spellEnd"/>
      <w:r w:rsidRPr="007729C1">
        <w:rPr>
          <w:rFonts w:cs="Arial"/>
        </w:rPr>
        <w:t xml:space="preserve"> knowledge management platform continued to experience strong growth with a 57</w:t>
      </w:r>
      <w:r>
        <w:rPr>
          <w:rFonts w:cs="Arial"/>
        </w:rPr>
        <w:t> </w:t>
      </w:r>
      <w:r w:rsidRPr="007826B2">
        <w:rPr>
          <w:rFonts w:cs="Arial"/>
        </w:rPr>
        <w:t xml:space="preserve">per cent increase in the number of registered members from </w:t>
      </w:r>
      <w:r w:rsidRPr="00BD71FF">
        <w:rPr>
          <w:rFonts w:cs="Arial"/>
        </w:rPr>
        <w:t>700 at the end of 2013 to over 1,100</w:t>
      </w:r>
      <w:r>
        <w:rPr>
          <w:rFonts w:cs="Arial"/>
        </w:rPr>
        <w:t> </w:t>
      </w:r>
      <w:r w:rsidRPr="007826B2">
        <w:rPr>
          <w:rFonts w:cs="Arial"/>
        </w:rPr>
        <w:t xml:space="preserve">members from more than </w:t>
      </w:r>
      <w:r w:rsidRPr="00BD71FF">
        <w:rPr>
          <w:rFonts w:cs="Arial"/>
        </w:rPr>
        <w:t xml:space="preserve">90 countries by the end of 2014. </w:t>
      </w:r>
      <w:r>
        <w:rPr>
          <w:rFonts w:cs="Arial"/>
        </w:rPr>
        <w:t xml:space="preserve"> </w:t>
      </w:r>
      <w:r w:rsidRPr="007826B2">
        <w:rPr>
          <w:rFonts w:cs="Arial"/>
        </w:rPr>
        <w:t xml:space="preserve">The </w:t>
      </w:r>
      <w:proofErr w:type="spellStart"/>
      <w:r w:rsidRPr="007826B2">
        <w:rPr>
          <w:rFonts w:cs="Arial"/>
        </w:rPr>
        <w:t>eTISC</w:t>
      </w:r>
      <w:proofErr w:type="spellEnd"/>
      <w:r w:rsidRPr="007826B2">
        <w:rPr>
          <w:rFonts w:cs="Arial"/>
        </w:rPr>
        <w:t xml:space="preserve"> platform added 14 training webinars in 2014 </w:t>
      </w:r>
      <w:r w:rsidRPr="00BD71FF">
        <w:rPr>
          <w:rFonts w:cs="Arial"/>
        </w:rPr>
        <w:t>and hosted six live question-and-answer sessions with innovation support experts</w:t>
      </w:r>
      <w:r>
        <w:t xml:space="preserve">   </w:t>
      </w:r>
    </w:p>
    <w:p w:rsidR="00CE4C9D" w:rsidRPr="003A25F5" w:rsidRDefault="00CE4C9D" w:rsidP="00CE4C9D">
      <w:pPr>
        <w:jc w:val="both"/>
        <w:rPr>
          <w:highlight w:val="yellow"/>
        </w:rPr>
      </w:pPr>
    </w:p>
    <w:p w:rsidR="00CE4C9D" w:rsidRPr="001630A8" w:rsidRDefault="00CE4C9D" w:rsidP="00845557">
      <w:pPr>
        <w:pStyle w:val="ListParagraph"/>
        <w:numPr>
          <w:ilvl w:val="0"/>
          <w:numId w:val="105"/>
        </w:numPr>
        <w:tabs>
          <w:tab w:val="left" w:pos="567"/>
        </w:tabs>
        <w:ind w:left="0" w:firstLine="0"/>
        <w:jc w:val="both"/>
        <w:rPr>
          <w:bCs/>
        </w:rPr>
      </w:pPr>
      <w:r>
        <w:rPr>
          <w:rFonts w:cs="Arial"/>
          <w:lang w:val="en-SG"/>
        </w:rPr>
        <w:t>WIPO</w:t>
      </w:r>
      <w:r w:rsidRPr="00671186">
        <w:rPr>
          <w:rFonts w:cs="Arial"/>
          <w:lang w:val="en-SG"/>
        </w:rPr>
        <w:t xml:space="preserve"> continued to develop products to support IP Offices’ business processes, in particular the Industrial Property Administration System (IPAS).  </w:t>
      </w:r>
      <w:r w:rsidRPr="00D342F4">
        <w:rPr>
          <w:bCs/>
        </w:rPr>
        <w:t>Some 6</w:t>
      </w:r>
      <w:r>
        <w:rPr>
          <w:bCs/>
        </w:rPr>
        <w:t>8</w:t>
      </w:r>
      <w:r w:rsidRPr="00D342F4">
        <w:rPr>
          <w:bCs/>
        </w:rPr>
        <w:t xml:space="preserve"> IP Off</w:t>
      </w:r>
      <w:r>
        <w:rPr>
          <w:bCs/>
        </w:rPr>
        <w:t>ices were using WIPO IP Office S</w:t>
      </w:r>
      <w:r w:rsidRPr="00D342F4">
        <w:rPr>
          <w:bCs/>
        </w:rPr>
        <w:t xml:space="preserve">ystems (comprising IPAS, the WIPO Arab Industrial Property Management System (AIPMS), EDMS, </w:t>
      </w:r>
      <w:proofErr w:type="spellStart"/>
      <w:r w:rsidRPr="00D342F4">
        <w:rPr>
          <w:bCs/>
        </w:rPr>
        <w:t>WIPOScan</w:t>
      </w:r>
      <w:proofErr w:type="spellEnd"/>
      <w:r w:rsidRPr="00D342F4">
        <w:rPr>
          <w:bCs/>
        </w:rPr>
        <w:t xml:space="preserve"> and the WIPO Madrid Module)</w:t>
      </w:r>
      <w:r>
        <w:rPr>
          <w:bCs/>
        </w:rPr>
        <w:t xml:space="preserve"> </w:t>
      </w:r>
      <w:r w:rsidRPr="00D342F4">
        <w:rPr>
          <w:bCs/>
        </w:rPr>
        <w:t xml:space="preserve">at the end of </w:t>
      </w:r>
      <w:r>
        <w:rPr>
          <w:bCs/>
        </w:rPr>
        <w:t>2014</w:t>
      </w:r>
      <w:r w:rsidRPr="00D342F4">
        <w:rPr>
          <w:bCs/>
        </w:rPr>
        <w:t>.</w:t>
      </w:r>
      <w:r>
        <w:rPr>
          <w:bCs/>
        </w:rPr>
        <w:t xml:space="preserve">  </w:t>
      </w:r>
      <w:r w:rsidRPr="00F47B71">
        <w:rPr>
          <w:rFonts w:cs="Arial"/>
          <w:lang w:val="en-SG"/>
        </w:rPr>
        <w:t xml:space="preserve">Two new modules </w:t>
      </w:r>
      <w:r w:rsidRPr="00671186">
        <w:rPr>
          <w:rFonts w:cs="Arial"/>
          <w:lang w:val="en-SG"/>
        </w:rPr>
        <w:t xml:space="preserve">were </w:t>
      </w:r>
      <w:r>
        <w:rPr>
          <w:rFonts w:cs="Arial"/>
          <w:lang w:val="en-SG"/>
        </w:rPr>
        <w:t xml:space="preserve">also </w:t>
      </w:r>
      <w:r w:rsidRPr="00671186">
        <w:rPr>
          <w:rFonts w:cs="Arial"/>
          <w:lang w:val="en-SG"/>
        </w:rPr>
        <w:t xml:space="preserve">developed and are now being tested and piloted in several IP </w:t>
      </w:r>
      <w:r>
        <w:rPr>
          <w:rFonts w:cs="Arial"/>
          <w:lang w:val="en-SG"/>
        </w:rPr>
        <w:t>O</w:t>
      </w:r>
      <w:r w:rsidRPr="00671186">
        <w:rPr>
          <w:rFonts w:cs="Arial"/>
          <w:lang w:val="en-SG"/>
        </w:rPr>
        <w:t xml:space="preserve">ffices: </w:t>
      </w:r>
    </w:p>
    <w:p w:rsidR="00CE4C9D" w:rsidRPr="00CE1FA2" w:rsidRDefault="00CE4C9D" w:rsidP="00CE4C9D">
      <w:pPr>
        <w:jc w:val="both"/>
        <w:rPr>
          <w:rFonts w:cs="Arial"/>
          <w:szCs w:val="20"/>
          <w:lang w:val="en-SG"/>
        </w:rPr>
      </w:pPr>
    </w:p>
    <w:p w:rsidR="00CE4C9D" w:rsidRDefault="00CE4C9D" w:rsidP="00845557">
      <w:pPr>
        <w:pStyle w:val="ListParagraph"/>
        <w:numPr>
          <w:ilvl w:val="0"/>
          <w:numId w:val="75"/>
        </w:numPr>
        <w:ind w:left="993" w:hanging="426"/>
        <w:jc w:val="both"/>
        <w:rPr>
          <w:rFonts w:cs="Arial"/>
        </w:rPr>
      </w:pPr>
      <w:r w:rsidRPr="00CE1FA2">
        <w:rPr>
          <w:rFonts w:cs="Arial"/>
          <w:lang w:val="en-SG"/>
        </w:rPr>
        <w:t xml:space="preserve">WIPO Publish </w:t>
      </w:r>
      <w:r>
        <w:rPr>
          <w:rFonts w:cs="Arial"/>
          <w:lang w:val="en-SG"/>
        </w:rPr>
        <w:t>was</w:t>
      </w:r>
      <w:r w:rsidRPr="00CE1FA2">
        <w:rPr>
          <w:rFonts w:cs="Arial"/>
          <w:lang w:val="en-SG"/>
        </w:rPr>
        <w:t xml:space="preserve"> </w:t>
      </w:r>
      <w:r w:rsidRPr="00CE1FA2">
        <w:rPr>
          <w:rFonts w:cs="Arial"/>
        </w:rPr>
        <w:t xml:space="preserve">designed to meet </w:t>
      </w:r>
      <w:r>
        <w:rPr>
          <w:rFonts w:cs="Arial"/>
        </w:rPr>
        <w:t>O</w:t>
      </w:r>
      <w:r w:rsidRPr="00CE1FA2">
        <w:rPr>
          <w:rFonts w:cs="Arial"/>
        </w:rPr>
        <w:t xml:space="preserve">ffices’ needs for online publication of IP data, documents, legal status and dossier information, as well as data exchange needs (including data exchange for WIPO global databases). </w:t>
      </w:r>
    </w:p>
    <w:p w:rsidR="00CE4C9D" w:rsidRPr="00CE1FA2" w:rsidRDefault="00CE4C9D" w:rsidP="00CE4C9D">
      <w:pPr>
        <w:pStyle w:val="ListParagraph"/>
        <w:jc w:val="both"/>
        <w:rPr>
          <w:rFonts w:cs="Arial"/>
        </w:rPr>
      </w:pPr>
    </w:p>
    <w:p w:rsidR="00CE4C9D" w:rsidRPr="00CE1FA2" w:rsidRDefault="00CE4C9D" w:rsidP="00845557">
      <w:pPr>
        <w:pStyle w:val="ListParagraph"/>
        <w:numPr>
          <w:ilvl w:val="0"/>
          <w:numId w:val="75"/>
        </w:numPr>
        <w:ind w:left="993" w:hanging="426"/>
        <w:jc w:val="both"/>
        <w:rPr>
          <w:rFonts w:cs="Arial"/>
        </w:rPr>
      </w:pPr>
      <w:r w:rsidRPr="00CE1FA2">
        <w:rPr>
          <w:rFonts w:cs="Arial"/>
          <w:lang w:val="en-SG"/>
        </w:rPr>
        <w:lastRenderedPageBreak/>
        <w:t xml:space="preserve">WIPO File </w:t>
      </w:r>
      <w:r>
        <w:rPr>
          <w:rFonts w:cs="Arial"/>
          <w:lang w:val="en-SG"/>
        </w:rPr>
        <w:t>was</w:t>
      </w:r>
      <w:r w:rsidRPr="00CE1FA2">
        <w:rPr>
          <w:rFonts w:cs="Arial"/>
          <w:lang w:val="en-SG"/>
        </w:rPr>
        <w:t xml:space="preserve"> </w:t>
      </w:r>
      <w:r w:rsidRPr="00CE1FA2">
        <w:rPr>
          <w:rFonts w:cs="Arial"/>
        </w:rPr>
        <w:t>designed to provide an online filing solution for small</w:t>
      </w:r>
      <w:r>
        <w:rPr>
          <w:rFonts w:cs="Arial"/>
        </w:rPr>
        <w:t xml:space="preserve"> and </w:t>
      </w:r>
      <w:r w:rsidRPr="00CE1FA2">
        <w:rPr>
          <w:rFonts w:cs="Arial"/>
        </w:rPr>
        <w:t>medium offices</w:t>
      </w:r>
      <w:r>
        <w:rPr>
          <w:rFonts w:cs="Arial"/>
        </w:rPr>
        <w:t xml:space="preserve">, including the flexibility to </w:t>
      </w:r>
      <w:r w:rsidRPr="00CE1FA2">
        <w:rPr>
          <w:rFonts w:cs="Arial"/>
        </w:rPr>
        <w:t>be extensively customized for local conditions (e.g. for local payment systems).</w:t>
      </w:r>
    </w:p>
    <w:p w:rsidR="00CE4C9D" w:rsidRDefault="00CE4C9D" w:rsidP="00CE4C9D">
      <w:pPr>
        <w:shd w:val="clear" w:color="auto" w:fill="FFFFFF"/>
        <w:jc w:val="both"/>
        <w:rPr>
          <w:bCs/>
        </w:rPr>
      </w:pPr>
    </w:p>
    <w:p w:rsidR="00CE4C9D" w:rsidRDefault="00CE4C9D" w:rsidP="00845557">
      <w:pPr>
        <w:pStyle w:val="ListParagraph"/>
        <w:numPr>
          <w:ilvl w:val="0"/>
          <w:numId w:val="105"/>
        </w:numPr>
        <w:tabs>
          <w:tab w:val="left" w:pos="567"/>
        </w:tabs>
        <w:ind w:left="0" w:firstLine="0"/>
        <w:jc w:val="both"/>
        <w:rPr>
          <w:rFonts w:cs="Arial"/>
        </w:rPr>
      </w:pPr>
      <w:r>
        <w:rPr>
          <w:rFonts w:cs="Arial"/>
          <w:color w:val="282828"/>
        </w:rPr>
        <w:t xml:space="preserve">Based on a specification and review process with participating Offices, a new version of the Digital Access Service (DAS) portal to support the revised framework of DAS 2.0 </w:t>
      </w:r>
      <w:r w:rsidRPr="00CE1FA2">
        <w:rPr>
          <w:rFonts w:cs="Arial"/>
          <w:lang w:val="en-SG"/>
        </w:rPr>
        <w:t xml:space="preserve">was </w:t>
      </w:r>
      <w:r>
        <w:rPr>
          <w:rFonts w:cs="Arial"/>
          <w:lang w:val="en-SG"/>
        </w:rPr>
        <w:t>launched</w:t>
      </w:r>
      <w:r w:rsidRPr="00CE1FA2">
        <w:rPr>
          <w:rFonts w:cs="Arial"/>
          <w:lang w:val="en-SG"/>
        </w:rPr>
        <w:t xml:space="preserve"> in December 2014</w:t>
      </w:r>
      <w:r>
        <w:rPr>
          <w:rFonts w:cs="Arial"/>
          <w:lang w:val="en-SG"/>
        </w:rPr>
        <w:t xml:space="preserve">.  The number of participating Offices remained steady in 2014 at </w:t>
      </w:r>
      <w:r w:rsidRPr="00CE1FA2">
        <w:rPr>
          <w:rFonts w:cs="Arial"/>
          <w:lang w:val="en-SG"/>
        </w:rPr>
        <w:t>11</w:t>
      </w:r>
      <w:r>
        <w:rPr>
          <w:rFonts w:cs="Arial"/>
          <w:lang w:val="en-SG"/>
        </w:rPr>
        <w:t xml:space="preserve">.  </w:t>
      </w:r>
      <w:r>
        <w:rPr>
          <w:rFonts w:cs="Arial"/>
        </w:rPr>
        <w:t>In</w:t>
      </w:r>
      <w:r w:rsidRPr="00277BF1">
        <w:rPr>
          <w:rFonts w:cs="Arial"/>
        </w:rPr>
        <w:t xml:space="preserve"> April 2014, the WIPO </w:t>
      </w:r>
      <w:r>
        <w:rPr>
          <w:rFonts w:cs="Arial"/>
        </w:rPr>
        <w:t>Centralized Access to Search and Examination (</w:t>
      </w:r>
      <w:r w:rsidRPr="00277BF1">
        <w:rPr>
          <w:rFonts w:cs="Arial"/>
        </w:rPr>
        <w:t>CASE</w:t>
      </w:r>
      <w:r>
        <w:rPr>
          <w:rFonts w:cs="Arial"/>
        </w:rPr>
        <w:t>)</w:t>
      </w:r>
      <w:r w:rsidRPr="00277BF1">
        <w:rPr>
          <w:rFonts w:cs="Arial"/>
        </w:rPr>
        <w:t xml:space="preserve"> </w:t>
      </w:r>
      <w:r>
        <w:rPr>
          <w:rFonts w:cs="Arial"/>
        </w:rPr>
        <w:t>was</w:t>
      </w:r>
      <w:r w:rsidRPr="00277BF1">
        <w:rPr>
          <w:rFonts w:cs="Arial"/>
        </w:rPr>
        <w:t xml:space="preserve"> linked to the IP5 One Dossier Portal system</w:t>
      </w:r>
      <w:r>
        <w:rPr>
          <w:rFonts w:cs="Arial"/>
        </w:rPr>
        <w:t>,</w:t>
      </w:r>
      <w:r w:rsidRPr="00277BF1">
        <w:rPr>
          <w:rFonts w:cs="Arial"/>
        </w:rPr>
        <w:t xml:space="preserve"> allowing full two way exchange of dossier information between CASE and IP5 </w:t>
      </w:r>
      <w:r>
        <w:rPr>
          <w:rFonts w:cs="Arial"/>
        </w:rPr>
        <w:t>O</w:t>
      </w:r>
      <w:r w:rsidRPr="00277BF1">
        <w:rPr>
          <w:rFonts w:cs="Arial"/>
        </w:rPr>
        <w:t>ffices.</w:t>
      </w:r>
      <w:r>
        <w:rPr>
          <w:rFonts w:cs="Arial"/>
        </w:rPr>
        <w:t xml:space="preserve">  By mid-2014, the system was being utilized by several Offices as part of a pilot project.  Five</w:t>
      </w:r>
      <w:r w:rsidRPr="00CE1FA2">
        <w:rPr>
          <w:rFonts w:cs="Arial"/>
        </w:rPr>
        <w:t xml:space="preserve"> new </w:t>
      </w:r>
      <w:r>
        <w:rPr>
          <w:rFonts w:cs="Arial"/>
        </w:rPr>
        <w:t>O</w:t>
      </w:r>
      <w:r w:rsidRPr="00CE1FA2">
        <w:rPr>
          <w:rFonts w:cs="Arial"/>
        </w:rPr>
        <w:t xml:space="preserve">ffices </w:t>
      </w:r>
      <w:r>
        <w:rPr>
          <w:rFonts w:cs="Arial"/>
        </w:rPr>
        <w:t>registered</w:t>
      </w:r>
      <w:r w:rsidRPr="00CE1FA2">
        <w:rPr>
          <w:rFonts w:cs="Arial"/>
        </w:rPr>
        <w:t xml:space="preserve"> to use</w:t>
      </w:r>
      <w:r>
        <w:rPr>
          <w:rFonts w:cs="Arial"/>
        </w:rPr>
        <w:t xml:space="preserve"> </w:t>
      </w:r>
      <w:r w:rsidRPr="009022DD">
        <w:rPr>
          <w:rFonts w:cs="Arial"/>
        </w:rPr>
        <w:t xml:space="preserve">the </w:t>
      </w:r>
      <w:r>
        <w:rPr>
          <w:rFonts w:cs="Arial"/>
        </w:rPr>
        <w:t>WIPO</w:t>
      </w:r>
      <w:r w:rsidRPr="00CE1FA2">
        <w:rPr>
          <w:rFonts w:cs="Arial"/>
        </w:rPr>
        <w:t xml:space="preserve"> CASE</w:t>
      </w:r>
      <w:r>
        <w:rPr>
          <w:rFonts w:cs="Arial"/>
        </w:rPr>
        <w:t xml:space="preserve">, bringing the total number of </w:t>
      </w:r>
      <w:r w:rsidRPr="00CE1FA2">
        <w:rPr>
          <w:rFonts w:cs="Arial"/>
        </w:rPr>
        <w:t xml:space="preserve">participating </w:t>
      </w:r>
      <w:r>
        <w:rPr>
          <w:rFonts w:cs="Arial"/>
        </w:rPr>
        <w:t>O</w:t>
      </w:r>
      <w:r w:rsidRPr="00CE1FA2">
        <w:rPr>
          <w:rFonts w:cs="Arial"/>
        </w:rPr>
        <w:t>ffices</w:t>
      </w:r>
      <w:r>
        <w:rPr>
          <w:rFonts w:cs="Arial"/>
        </w:rPr>
        <w:t xml:space="preserve"> to 14.</w:t>
      </w:r>
    </w:p>
    <w:p w:rsidR="00CE4C9D" w:rsidRDefault="00CE4C9D" w:rsidP="00CE4C9D">
      <w:pPr>
        <w:shd w:val="clear" w:color="auto" w:fill="FFFFFF"/>
        <w:jc w:val="both"/>
        <w:rPr>
          <w:rFonts w:cs="Arial"/>
          <w:szCs w:val="20"/>
        </w:rPr>
      </w:pPr>
    </w:p>
    <w:p w:rsidR="00CE4C9D" w:rsidRPr="00CF2880" w:rsidRDefault="00CE4C9D" w:rsidP="00845557">
      <w:pPr>
        <w:pStyle w:val="ListParagraph"/>
        <w:numPr>
          <w:ilvl w:val="0"/>
          <w:numId w:val="105"/>
        </w:numPr>
        <w:tabs>
          <w:tab w:val="left" w:pos="567"/>
        </w:tabs>
        <w:ind w:left="0" w:firstLine="0"/>
        <w:jc w:val="both"/>
        <w:rPr>
          <w:rFonts w:eastAsia="SimSun" w:cs="Arial"/>
          <w:bCs/>
          <w:lang w:eastAsia="zh-CN"/>
        </w:rPr>
      </w:pPr>
      <w:r>
        <w:rPr>
          <w:rFonts w:eastAsia="SimSun" w:cs="Arial"/>
          <w:bCs/>
          <w:lang w:eastAsia="zh-CN"/>
        </w:rPr>
        <w:t>A</w:t>
      </w:r>
      <w:r w:rsidRPr="00CF2880">
        <w:rPr>
          <w:rFonts w:eastAsia="SimSun" w:cs="Arial"/>
          <w:bCs/>
          <w:lang w:eastAsia="zh-CN"/>
        </w:rPr>
        <w:t xml:space="preserve"> new multi-stakeholder entity was established to increase the number of books worldwide in accessible formats - such as braille, audio and large print - and to make them available to people who are print disabled. </w:t>
      </w:r>
      <w:r w:rsidR="007C20B6">
        <w:rPr>
          <w:rFonts w:eastAsia="SimSun" w:cs="Arial"/>
          <w:bCs/>
          <w:lang w:eastAsia="zh-CN"/>
        </w:rPr>
        <w:t xml:space="preserve"> </w:t>
      </w:r>
      <w:r w:rsidRPr="00CF2880">
        <w:rPr>
          <w:rFonts w:eastAsia="SimSun" w:cs="Arial"/>
          <w:bCs/>
          <w:lang w:eastAsia="zh-CN"/>
        </w:rPr>
        <w:t>The Accessible Books Consortium (ABC) is composed of WIPO, organizations that serve persons with print disabilities, libraries for the print disabled and organizations that represent authors and publishers.  The ABC carried out three main activities: capacity</w:t>
      </w:r>
      <w:r>
        <w:rPr>
          <w:rFonts w:eastAsia="SimSun" w:cs="Arial"/>
          <w:bCs/>
          <w:lang w:eastAsia="zh-CN"/>
        </w:rPr>
        <w:t xml:space="preserve"> </w:t>
      </w:r>
      <w:r w:rsidRPr="00CF2880">
        <w:rPr>
          <w:rFonts w:eastAsia="SimSun" w:cs="Arial"/>
          <w:bCs/>
          <w:lang w:eastAsia="zh-CN"/>
        </w:rPr>
        <w:t xml:space="preserve">building (funded by the Governments of Australia and the Republic of Korea) in Bangladesh, India, Nepal and Sri Lanka; inclusive publishing, which promotes technologies that allow for “born accessible” publishing so that new books are usable from the start by both sighted people and people with print disabilities; and the ABC International Book Exchange (known as the TIGAR Service), an international database of some 286,000 accessible titles in 55 languages.  </w:t>
      </w:r>
      <w:r w:rsidRPr="009742DE">
        <w:rPr>
          <w:rFonts w:eastAsia="SimSun" w:cs="Arial"/>
          <w:bCs/>
          <w:lang w:eastAsia="zh-CN"/>
        </w:rPr>
        <w:t>There were 2,500 downloaded audio books by participating</w:t>
      </w:r>
      <w:r>
        <w:rPr>
          <w:rFonts w:eastAsia="SimSun" w:cs="Arial"/>
          <w:bCs/>
          <w:lang w:eastAsia="zh-CN"/>
        </w:rPr>
        <w:t xml:space="preserve"> libraries at the end of 2014, with s</w:t>
      </w:r>
      <w:r w:rsidRPr="009742DE">
        <w:rPr>
          <w:rFonts w:eastAsia="SimSun" w:cs="Arial"/>
          <w:bCs/>
          <w:lang w:eastAsia="zh-CN"/>
        </w:rPr>
        <w:t xml:space="preserve">ome 16,000 persons with print disabilities </w:t>
      </w:r>
      <w:r>
        <w:rPr>
          <w:rFonts w:eastAsia="SimSun" w:cs="Arial"/>
          <w:bCs/>
          <w:lang w:eastAsia="zh-CN"/>
        </w:rPr>
        <w:t xml:space="preserve">having </w:t>
      </w:r>
      <w:r w:rsidRPr="009742DE">
        <w:rPr>
          <w:rFonts w:eastAsia="SimSun" w:cs="Arial"/>
          <w:bCs/>
          <w:lang w:eastAsia="zh-CN"/>
        </w:rPr>
        <w:t>benefitted.</w:t>
      </w:r>
    </w:p>
    <w:p w:rsidR="00CE4C9D" w:rsidRDefault="00CE4C9D">
      <w:pPr>
        <w:rPr>
          <w:b/>
          <w:iCs/>
        </w:rPr>
      </w:pPr>
    </w:p>
    <w:p w:rsidR="00CE4C9D" w:rsidRDefault="00CE4C9D">
      <w:pPr>
        <w:rPr>
          <w:b/>
          <w:iCs/>
        </w:rPr>
      </w:pPr>
    </w:p>
    <w:p w:rsidR="00CE4C9D" w:rsidRDefault="00CE4C9D" w:rsidP="00CE4C9D">
      <w:pPr>
        <w:jc w:val="center"/>
        <w:rPr>
          <w:b/>
          <w:iCs/>
        </w:rPr>
      </w:pPr>
      <w:r w:rsidRPr="008869AE">
        <w:rPr>
          <w:b/>
          <w:iCs/>
        </w:rPr>
        <w:t>Strategic Goal V:  World Reference Source for IP Information and Analysis</w:t>
      </w:r>
    </w:p>
    <w:p w:rsidR="00CC138D" w:rsidRPr="00845557" w:rsidRDefault="00CC138D" w:rsidP="00CE4C9D">
      <w:pPr>
        <w:jc w:val="center"/>
        <w:rPr>
          <w:b/>
          <w:iCs/>
          <w:sz w:val="16"/>
        </w:rPr>
      </w:pPr>
    </w:p>
    <w:p w:rsidR="00CE4C9D" w:rsidRDefault="00F84D6B" w:rsidP="00CE4C9D">
      <w:pPr>
        <w:jc w:val="center"/>
        <w:rPr>
          <w:rFonts w:cs="Arial"/>
        </w:rPr>
      </w:pPr>
      <w:r>
        <w:rPr>
          <w:rFonts w:cs="Arial"/>
          <w:noProof/>
        </w:rPr>
        <w:drawing>
          <wp:inline distT="0" distB="0" distL="0" distR="0" wp14:anchorId="1E0F3F54" wp14:editId="49FD2CC4">
            <wp:extent cx="4572635" cy="2743200"/>
            <wp:effectExtent l="0" t="0" r="0" b="0"/>
            <wp:docPr id="882" name="Picture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CE4C9D" w:rsidRPr="00812B04" w:rsidRDefault="00CE4C9D" w:rsidP="00CE4C9D">
      <w:pPr>
        <w:jc w:val="both"/>
        <w:rPr>
          <w:i/>
          <w:iCs/>
        </w:rPr>
      </w:pPr>
    </w:p>
    <w:p w:rsidR="00CE4C9D" w:rsidRDefault="00CE4C9D" w:rsidP="00845557">
      <w:pPr>
        <w:pStyle w:val="ListParagraph"/>
        <w:numPr>
          <w:ilvl w:val="0"/>
          <w:numId w:val="105"/>
        </w:numPr>
        <w:tabs>
          <w:tab w:val="left" w:pos="567"/>
        </w:tabs>
        <w:ind w:left="0" w:firstLine="0"/>
        <w:jc w:val="both"/>
      </w:pPr>
      <w:r w:rsidRPr="00812B04">
        <w:rPr>
          <w:bCs/>
        </w:rPr>
        <w:t xml:space="preserve">During the biennium, key achievements under this goal encompassed </w:t>
      </w:r>
      <w:r w:rsidRPr="00D73383">
        <w:t>the upgrade of the functionality of the Data Center, including the development of user interfaces in French and Spanish</w:t>
      </w:r>
      <w:r>
        <w:t xml:space="preserve"> and</w:t>
      </w:r>
      <w:r w:rsidRPr="00D73383">
        <w:t xml:space="preserve"> </w:t>
      </w:r>
      <w:r w:rsidRPr="0003661F">
        <w:t xml:space="preserve">the re-design </w:t>
      </w:r>
      <w:r w:rsidRPr="00361214">
        <w:t xml:space="preserve">of </w:t>
      </w:r>
      <w:r w:rsidRPr="0051060D">
        <w:t>the World Intellectual Property Indicators (WIPI)</w:t>
      </w:r>
      <w:r w:rsidRPr="00014996">
        <w:t xml:space="preserve"> rep</w:t>
      </w:r>
      <w:r w:rsidRPr="00650CAD">
        <w:t>ort</w:t>
      </w:r>
      <w:r w:rsidRPr="002919FF">
        <w:t>, with a view to making it easier for readers to find the desired information</w:t>
      </w:r>
      <w:r w:rsidRPr="00D12994">
        <w:t xml:space="preserve">.  </w:t>
      </w:r>
      <w:r>
        <w:t xml:space="preserve"> </w:t>
      </w:r>
      <w:r w:rsidRPr="00617E0D">
        <w:t xml:space="preserve">Good progress was </w:t>
      </w:r>
      <w:r>
        <w:t xml:space="preserve">also </w:t>
      </w:r>
      <w:r w:rsidRPr="00617E0D">
        <w:t xml:space="preserve">made </w:t>
      </w:r>
      <w:r w:rsidRPr="00D73383">
        <w:t>towards the development of a new World IP Report, which will be publish</w:t>
      </w:r>
      <w:r>
        <w:t xml:space="preserve">ed in the second half of 2015.  </w:t>
      </w:r>
      <w:r w:rsidRPr="00D73383">
        <w:t xml:space="preserve">As in previous years, WIPO co-published the Global Innovation Index (GII), in partnership with INSEAD and Cornell University.  The 2014 GII covered 143 economies and was launched in Sydney, Australia at a gathering of international business leaders </w:t>
      </w:r>
      <w:r w:rsidRPr="0003661F">
        <w:t>known as the B20.  It was subsequently presented at national and international conference</w:t>
      </w:r>
      <w:r w:rsidRPr="00361214">
        <w:t>s</w:t>
      </w:r>
      <w:r w:rsidRPr="0051060D">
        <w:t xml:space="preserve"> across the world.  </w:t>
      </w:r>
      <w:r w:rsidRPr="00014996">
        <w:t>T</w:t>
      </w:r>
      <w:r w:rsidRPr="00650CAD">
        <w:t xml:space="preserve">he publication of the GII </w:t>
      </w:r>
      <w:r w:rsidRPr="002919FF">
        <w:t>also continued to attract significant media attention.  In addition, national governments, international organizations and other stakeholders in the innovation system regularly employed</w:t>
      </w:r>
      <w:r w:rsidRPr="00D12994">
        <w:t xml:space="preserve"> the GII as a reference source for analyzing innovation performance, as captured by n</w:t>
      </w:r>
      <w:r w:rsidRPr="00D35BF7">
        <w:t>umerous citations, data inquiries, and requests for advisory services.</w:t>
      </w:r>
    </w:p>
    <w:p w:rsidR="00CE4C9D" w:rsidRDefault="00CE4C9D" w:rsidP="00CE4C9D">
      <w:pPr>
        <w:jc w:val="both"/>
      </w:pPr>
    </w:p>
    <w:p w:rsidR="00CE4C9D" w:rsidRPr="00D35BF7" w:rsidRDefault="00CE4C9D" w:rsidP="00845557">
      <w:pPr>
        <w:pStyle w:val="ListParagraph"/>
        <w:numPr>
          <w:ilvl w:val="0"/>
          <w:numId w:val="105"/>
        </w:numPr>
        <w:tabs>
          <w:tab w:val="left" w:pos="567"/>
        </w:tabs>
        <w:ind w:left="0" w:firstLine="0"/>
        <w:jc w:val="both"/>
      </w:pPr>
      <w:r w:rsidRPr="0051060D">
        <w:t xml:space="preserve">In addition, assisting WIPO Member States with country studies </w:t>
      </w:r>
      <w:r w:rsidRPr="00014996">
        <w:t xml:space="preserve">continued </w:t>
      </w:r>
      <w:r w:rsidRPr="00650CAD">
        <w:t>to be an important pillar of the Program’s economic analysis wo</w:t>
      </w:r>
      <w:r w:rsidRPr="002919FF">
        <w:t xml:space="preserve">rk and took place under the umbrella of the DA project on IP and </w:t>
      </w:r>
      <w:r w:rsidRPr="002919FF">
        <w:lastRenderedPageBreak/>
        <w:t>S</w:t>
      </w:r>
      <w:r w:rsidRPr="00D12994">
        <w:t xml:space="preserve">ocio-Economic </w:t>
      </w:r>
      <w:r w:rsidRPr="00D35BF7">
        <w:t xml:space="preserve">Development.  In 2014, the first phase of this project (CDIP/5/7) came to an end and underwent an external evaluation (CDIP/14/3), which was presented at the fourteenth session of the CDIP. </w:t>
      </w:r>
      <w:r>
        <w:t xml:space="preserve"> </w:t>
      </w:r>
      <w:r w:rsidRPr="00D35BF7">
        <w:t>WIPO Member States approved a second phase of the project (CDIP/14/7), which will be implemented in 2015 through 2017.</w:t>
      </w:r>
      <w:r w:rsidRPr="003A63F6">
        <w:t xml:space="preserve"> </w:t>
      </w:r>
      <w:r>
        <w:t xml:space="preserve"> </w:t>
      </w:r>
    </w:p>
    <w:p w:rsidR="00CE4C9D" w:rsidRDefault="00CE4C9D">
      <w:pPr>
        <w:rPr>
          <w:b/>
          <w:iCs/>
        </w:rPr>
      </w:pPr>
    </w:p>
    <w:p w:rsidR="00CE4C9D" w:rsidRDefault="00CE4C9D" w:rsidP="00845557">
      <w:pPr>
        <w:keepNext/>
        <w:keepLines/>
        <w:jc w:val="center"/>
        <w:rPr>
          <w:b/>
          <w:iCs/>
        </w:rPr>
      </w:pPr>
      <w:r w:rsidRPr="008869AE">
        <w:rPr>
          <w:b/>
          <w:iCs/>
        </w:rPr>
        <w:t>Strategic Goal VI:  International Cooperation on Building Respect for IP</w:t>
      </w:r>
    </w:p>
    <w:p w:rsidR="00CC138D" w:rsidRPr="00845557" w:rsidRDefault="00CC138D" w:rsidP="00845557">
      <w:pPr>
        <w:keepNext/>
        <w:keepLines/>
        <w:jc w:val="center"/>
        <w:rPr>
          <w:b/>
          <w:iCs/>
          <w:sz w:val="14"/>
        </w:rPr>
      </w:pPr>
    </w:p>
    <w:p w:rsidR="00CE4C9D" w:rsidRDefault="00F84D6B" w:rsidP="00845557">
      <w:pPr>
        <w:keepNext/>
        <w:keepLines/>
        <w:jc w:val="center"/>
        <w:rPr>
          <w:b/>
          <w:sz w:val="18"/>
          <w:szCs w:val="18"/>
        </w:rPr>
      </w:pPr>
      <w:r>
        <w:rPr>
          <w:b/>
          <w:noProof/>
          <w:sz w:val="18"/>
          <w:szCs w:val="18"/>
        </w:rPr>
        <w:drawing>
          <wp:inline distT="0" distB="0" distL="0" distR="0" wp14:anchorId="10AB3E56" wp14:editId="148328A2">
            <wp:extent cx="4572635" cy="2743200"/>
            <wp:effectExtent l="0" t="0" r="0" b="0"/>
            <wp:docPr id="883" name="Picture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CE4C9D" w:rsidRPr="00812B04" w:rsidRDefault="00CE4C9D" w:rsidP="00CE4C9D">
      <w:pPr>
        <w:jc w:val="both"/>
        <w:rPr>
          <w:i/>
          <w:iCs/>
        </w:rPr>
      </w:pPr>
    </w:p>
    <w:p w:rsidR="00CE4C9D" w:rsidRDefault="00CE4C9D" w:rsidP="00845557">
      <w:pPr>
        <w:pStyle w:val="ListParagraph"/>
        <w:numPr>
          <w:ilvl w:val="0"/>
          <w:numId w:val="105"/>
        </w:numPr>
        <w:tabs>
          <w:tab w:val="left" w:pos="567"/>
        </w:tabs>
        <w:ind w:left="0" w:firstLine="0"/>
        <w:jc w:val="both"/>
        <w:rPr>
          <w:rFonts w:cs="Arial"/>
        </w:rPr>
      </w:pPr>
      <w:r w:rsidRPr="0057012D">
        <w:rPr>
          <w:rFonts w:cs="Arial"/>
        </w:rPr>
        <w:t>With a view to achieving progress in the international policy dialogue among WIPO Member States on building respect for IP, the ninth session of the Advisory Committee on Enforcement (ACE) (March 3 to 5, 2014) served as a “marketplace of ideas”, allowing for the exchange of national practices and experiences.  The three day meeting showed growing interest in effective preventive strategies, ranging from awareness raising, new business models and supply chain security, to alternative mechanisms for resolving IP disputes.  For the first time, an audiovisual exhibition was organized with the session, presenting nine national and one regional awareness</w:t>
      </w:r>
      <w:r>
        <w:rPr>
          <w:rFonts w:cs="Arial"/>
        </w:rPr>
        <w:t xml:space="preserve"> </w:t>
      </w:r>
      <w:r w:rsidRPr="0057012D">
        <w:rPr>
          <w:rFonts w:cs="Arial"/>
        </w:rPr>
        <w:t>raising initiatives.  Member States agreed for the work program of the tenth session to remain dedicated to</w:t>
      </w:r>
      <w:r>
        <w:rPr>
          <w:rFonts w:cs="Arial"/>
        </w:rPr>
        <w:t>:</w:t>
      </w:r>
      <w:r w:rsidRPr="0057012D">
        <w:rPr>
          <w:rFonts w:cs="Arial"/>
        </w:rPr>
        <w:t xml:space="preserve"> (</w:t>
      </w:r>
      <w:proofErr w:type="spellStart"/>
      <w:r w:rsidRPr="0057012D">
        <w:rPr>
          <w:rFonts w:cs="Arial"/>
        </w:rPr>
        <w:t>i</w:t>
      </w:r>
      <w:proofErr w:type="spellEnd"/>
      <w:r w:rsidRPr="0057012D">
        <w:rPr>
          <w:rFonts w:cs="Arial"/>
        </w:rPr>
        <w:t>) alternative dispute resolution practices in the field of IP and (ii) preventive actions, measures or successful experiences to complement enforcement measures with a view to reducing the size of the market for pirated or counterfeited goods.</w:t>
      </w:r>
    </w:p>
    <w:p w:rsidR="00CE4C9D" w:rsidRDefault="00CE4C9D">
      <w:pPr>
        <w:rPr>
          <w:b/>
          <w:iCs/>
        </w:rPr>
      </w:pPr>
    </w:p>
    <w:p w:rsidR="00CC138D" w:rsidRDefault="00CC138D">
      <w:pPr>
        <w:rPr>
          <w:b/>
          <w:iCs/>
        </w:rPr>
      </w:pPr>
    </w:p>
    <w:p w:rsidR="00CE4C9D" w:rsidRDefault="00CE4C9D" w:rsidP="00CE4C9D">
      <w:pPr>
        <w:jc w:val="center"/>
        <w:rPr>
          <w:b/>
          <w:iCs/>
        </w:rPr>
      </w:pPr>
      <w:r w:rsidRPr="008869AE">
        <w:rPr>
          <w:b/>
          <w:iCs/>
        </w:rPr>
        <w:t>Strategic Goal VII:  Addressing IP in Relation to Global IP Policy Issues</w:t>
      </w:r>
    </w:p>
    <w:p w:rsidR="00CC138D" w:rsidRPr="00845557" w:rsidRDefault="00CC138D" w:rsidP="00CE4C9D">
      <w:pPr>
        <w:jc w:val="center"/>
        <w:rPr>
          <w:b/>
          <w:iCs/>
          <w:sz w:val="16"/>
        </w:rPr>
      </w:pPr>
    </w:p>
    <w:p w:rsidR="00CC138D" w:rsidRDefault="00F84D6B" w:rsidP="00845557">
      <w:pPr>
        <w:jc w:val="center"/>
        <w:rPr>
          <w:rFonts w:cs="Arial"/>
        </w:rPr>
      </w:pPr>
      <w:r>
        <w:rPr>
          <w:rFonts w:cs="Arial"/>
          <w:noProof/>
        </w:rPr>
        <w:drawing>
          <wp:inline distT="0" distB="0" distL="0" distR="0" wp14:anchorId="06BA9BF5" wp14:editId="3FFDB5F5">
            <wp:extent cx="4572635" cy="2743200"/>
            <wp:effectExtent l="0" t="0" r="0" b="0"/>
            <wp:docPr id="884" name="Picture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CC138D" w:rsidRPr="0057012D" w:rsidRDefault="00CC138D" w:rsidP="00CC138D">
      <w:pPr>
        <w:pStyle w:val="ListParagraph"/>
        <w:numPr>
          <w:ilvl w:val="0"/>
          <w:numId w:val="105"/>
        </w:numPr>
        <w:tabs>
          <w:tab w:val="left" w:pos="567"/>
        </w:tabs>
        <w:ind w:left="0" w:firstLine="0"/>
        <w:jc w:val="both"/>
        <w:rPr>
          <w:rFonts w:cs="Arial"/>
        </w:rPr>
      </w:pPr>
      <w:r w:rsidRPr="007729C1">
        <w:rPr>
          <w:bCs/>
          <w:iCs/>
        </w:rPr>
        <w:t xml:space="preserve">At the intersection of pressing global and interconnected issues, in particular global health, climate change and food security, substantive progress was made in supporting an enhanced understanding </w:t>
      </w:r>
      <w:r w:rsidRPr="007729C1">
        <w:rPr>
          <w:bCs/>
          <w:iCs/>
        </w:rPr>
        <w:lastRenderedPageBreak/>
        <w:t xml:space="preserve">among policy makers on the interface between global challenges and innovation and IP.  </w:t>
      </w:r>
      <w:r w:rsidRPr="007729C1">
        <w:rPr>
          <w:color w:val="000000" w:themeColor="text1"/>
        </w:rPr>
        <w:t>Following its launch</w:t>
      </w:r>
      <w:r w:rsidRPr="001F6CEB">
        <w:rPr>
          <w:color w:val="000000" w:themeColor="text1"/>
        </w:rPr>
        <w:t xml:space="preserve"> in November 2013, </w:t>
      </w:r>
      <w:r>
        <w:rPr>
          <w:color w:val="000000" w:themeColor="text1"/>
        </w:rPr>
        <w:t xml:space="preserve">the year </w:t>
      </w:r>
      <w:r w:rsidRPr="001F6CEB">
        <w:rPr>
          <w:color w:val="000000" w:themeColor="text1"/>
        </w:rPr>
        <w:t xml:space="preserve">2014 marked the first full year of WIPO GREEN operations.  Through a targeted awareness raising campaign, the profile of WIPO GREEN was raised significantly.  The network of </w:t>
      </w:r>
      <w:r>
        <w:rPr>
          <w:color w:val="000000" w:themeColor="text1"/>
        </w:rPr>
        <w:t>p</w:t>
      </w:r>
      <w:r w:rsidRPr="001F6CEB">
        <w:rPr>
          <w:color w:val="000000" w:themeColor="text1"/>
        </w:rPr>
        <w:t xml:space="preserve">artners grew from 36 to 54, and the number of registered users almost doubled from </w:t>
      </w:r>
      <w:r w:rsidRPr="00962B36">
        <w:rPr>
          <w:color w:val="000000" w:themeColor="text1"/>
        </w:rPr>
        <w:t>160</w:t>
      </w:r>
      <w:r w:rsidRPr="001F6CEB">
        <w:rPr>
          <w:color w:val="000000" w:themeColor="text1"/>
        </w:rPr>
        <w:t xml:space="preserve"> to </w:t>
      </w:r>
      <w:r w:rsidRPr="00962B36">
        <w:rPr>
          <w:color w:val="000000" w:themeColor="text1"/>
        </w:rPr>
        <w:t>300</w:t>
      </w:r>
      <w:r w:rsidRPr="001F6CEB">
        <w:rPr>
          <w:color w:val="000000" w:themeColor="text1"/>
        </w:rPr>
        <w:t>.  This growth reflects the success of outreach efforts encompassing a wide range of channels</w:t>
      </w:r>
      <w:r>
        <w:rPr>
          <w:color w:val="000000" w:themeColor="text1"/>
        </w:rPr>
        <w:t>,</w:t>
      </w:r>
      <w:r w:rsidRPr="001F6CEB">
        <w:rPr>
          <w:color w:val="000000" w:themeColor="text1"/>
        </w:rPr>
        <w:t xml:space="preserve"> including social and specialist media, the regular WIPO GREEN Newsletter and attendance at a range of global, regional and national fora.  The WIPO GREEN database also more than doubled from 830 to 1,773 entries resulting from a combination of database integration agreements and individual uploads</w:t>
      </w:r>
      <w:r>
        <w:rPr>
          <w:color w:val="000000" w:themeColor="text1"/>
        </w:rPr>
        <w:t>.</w:t>
      </w:r>
      <w:r>
        <w:rPr>
          <w:rFonts w:cs="Arial"/>
        </w:rPr>
        <w:t xml:space="preserve">   </w:t>
      </w:r>
    </w:p>
    <w:p w:rsidR="00CC138D" w:rsidRPr="00845557" w:rsidRDefault="00CC138D" w:rsidP="00CC138D">
      <w:pPr>
        <w:jc w:val="both"/>
        <w:rPr>
          <w:iCs/>
        </w:rPr>
      </w:pPr>
    </w:p>
    <w:p w:rsidR="00CE4C9D" w:rsidRDefault="00CE4C9D" w:rsidP="00845557">
      <w:pPr>
        <w:pStyle w:val="ListParagraph"/>
        <w:numPr>
          <w:ilvl w:val="0"/>
          <w:numId w:val="105"/>
        </w:numPr>
        <w:tabs>
          <w:tab w:val="left" w:pos="567"/>
        </w:tabs>
        <w:ind w:left="0" w:firstLine="0"/>
        <w:jc w:val="both"/>
        <w:rPr>
          <w:color w:val="000000" w:themeColor="text1"/>
        </w:rPr>
      </w:pPr>
      <w:r w:rsidRPr="00975856">
        <w:rPr>
          <w:color w:val="000000" w:themeColor="text1"/>
        </w:rPr>
        <w:t xml:space="preserve">WIPO </w:t>
      </w:r>
      <w:proofErr w:type="spellStart"/>
      <w:r w:rsidRPr="00975856">
        <w:rPr>
          <w:color w:val="000000" w:themeColor="text1"/>
        </w:rPr>
        <w:t>Re:Search</w:t>
      </w:r>
      <w:proofErr w:type="spellEnd"/>
      <w:r w:rsidRPr="00975856">
        <w:rPr>
          <w:color w:val="000000" w:themeColor="text1"/>
        </w:rPr>
        <w:t xml:space="preserve">, a consortium of a broad range of private and public sector institutions from developed and developing countries providing royalty-free access to IP assets to stimulate new R&amp;D for neglected tropical diseases, tuberculosis, and malaria, </w:t>
      </w:r>
      <w:r w:rsidRPr="001F6CEB">
        <w:rPr>
          <w:color w:val="000000" w:themeColor="text1"/>
        </w:rPr>
        <w:t xml:space="preserve">gained in recognition as a platform to support innovation and technology transfer related to research for NTDs, tuberculosis and malaria.  The year 2014 saw 38 additional collaborations and 16 new Members, bringing the totals to 82 collaborations and 96 Members, 6 </w:t>
      </w:r>
      <w:r>
        <w:rPr>
          <w:color w:val="000000" w:themeColor="text1"/>
        </w:rPr>
        <w:t xml:space="preserve">of which </w:t>
      </w:r>
      <w:r w:rsidRPr="001F6CEB">
        <w:rPr>
          <w:color w:val="000000" w:themeColor="text1"/>
        </w:rPr>
        <w:t xml:space="preserve">from developing countries.  In addition, the platform’s potential for technology transfer from developed to developing countries of IP assets, including know-how and expertise, was further demonstrated by the </w:t>
      </w:r>
      <w:r>
        <w:rPr>
          <w:color w:val="000000" w:themeColor="text1"/>
        </w:rPr>
        <w:t xml:space="preserve">continued </w:t>
      </w:r>
      <w:r w:rsidRPr="001F6CEB">
        <w:rPr>
          <w:color w:val="000000" w:themeColor="text1"/>
        </w:rPr>
        <w:t>facilitation of research sabbaticals for five African scientists in overseas research institutions</w:t>
      </w:r>
      <w:r>
        <w:rPr>
          <w:color w:val="000000" w:themeColor="text1"/>
        </w:rPr>
        <w:t>. The sabbaticals, which began in the last biennium</w:t>
      </w:r>
      <w:r w:rsidRPr="001F6CEB">
        <w:rPr>
          <w:color w:val="000000" w:themeColor="text1"/>
        </w:rPr>
        <w:t xml:space="preserve">, </w:t>
      </w:r>
      <w:r>
        <w:rPr>
          <w:color w:val="000000" w:themeColor="text1"/>
        </w:rPr>
        <w:t xml:space="preserve">were </w:t>
      </w:r>
      <w:r w:rsidRPr="001F6CEB">
        <w:rPr>
          <w:color w:val="000000" w:themeColor="text1"/>
        </w:rPr>
        <w:t>made possible by a Fund-in-Trust from the Government of Australia</w:t>
      </w:r>
      <w:r w:rsidR="007C20B6">
        <w:rPr>
          <w:color w:val="000000" w:themeColor="text1"/>
        </w:rPr>
        <w:t>.  At the end of 2014,</w:t>
      </w:r>
      <w:r>
        <w:rPr>
          <w:color w:val="000000" w:themeColor="text1"/>
        </w:rPr>
        <w:t xml:space="preserve"> four of </w:t>
      </w:r>
      <w:r w:rsidR="007C20B6">
        <w:rPr>
          <w:color w:val="000000" w:themeColor="text1"/>
        </w:rPr>
        <w:t>the sabbaticals were</w:t>
      </w:r>
      <w:r>
        <w:rPr>
          <w:color w:val="000000" w:themeColor="text1"/>
        </w:rPr>
        <w:t xml:space="preserve"> concluded.</w:t>
      </w:r>
    </w:p>
    <w:p w:rsidR="00CE4C9D" w:rsidRDefault="00CE4C9D" w:rsidP="00CE4C9D">
      <w:pPr>
        <w:pStyle w:val="Default"/>
        <w:tabs>
          <w:tab w:val="left" w:pos="567"/>
          <w:tab w:val="left" w:pos="709"/>
        </w:tabs>
        <w:jc w:val="both"/>
        <w:rPr>
          <w:color w:val="000000" w:themeColor="text1"/>
          <w:sz w:val="20"/>
          <w:szCs w:val="20"/>
        </w:rPr>
      </w:pPr>
    </w:p>
    <w:p w:rsidR="00CE4C9D" w:rsidRDefault="00CE4C9D" w:rsidP="00845557">
      <w:pPr>
        <w:pStyle w:val="ListParagraph"/>
        <w:numPr>
          <w:ilvl w:val="0"/>
          <w:numId w:val="105"/>
        </w:numPr>
        <w:tabs>
          <w:tab w:val="left" w:pos="567"/>
        </w:tabs>
        <w:ind w:left="0" w:firstLine="0"/>
        <w:jc w:val="both"/>
        <w:rPr>
          <w:color w:val="000000" w:themeColor="text1"/>
        </w:rPr>
      </w:pPr>
      <w:r w:rsidRPr="00975856">
        <w:t>P</w:t>
      </w:r>
      <w:r w:rsidRPr="00975856">
        <w:rPr>
          <w:bCs/>
          <w:iCs/>
        </w:rPr>
        <w:t xml:space="preserve">roviding </w:t>
      </w:r>
      <w:r w:rsidRPr="00975856">
        <w:rPr>
          <w:rFonts w:eastAsia="Batang"/>
          <w:lang w:eastAsia="ja-JP"/>
        </w:rPr>
        <w:t>a forum for participants to share ideas, expertise and information relating to the three core areas,</w:t>
      </w:r>
      <w:r w:rsidRPr="00975856">
        <w:t xml:space="preserve"> </w:t>
      </w:r>
      <w:r>
        <w:rPr>
          <w:color w:val="000000" w:themeColor="text1"/>
        </w:rPr>
        <w:t>a</w:t>
      </w:r>
      <w:r w:rsidRPr="001F6CEB">
        <w:rPr>
          <w:color w:val="000000" w:themeColor="text1"/>
        </w:rPr>
        <w:t xml:space="preserve"> WIPO Global Challenges Seminar </w:t>
      </w:r>
      <w:hyperlink r:id="rId23" w:history="1">
        <w:r w:rsidRPr="001F6CEB">
          <w:rPr>
            <w:rStyle w:val="Hyperlink"/>
            <w:color w:val="auto"/>
            <w:u w:val="none"/>
            <w:lang w:val="en"/>
          </w:rPr>
          <w:t xml:space="preserve"> </w:t>
        </w:r>
        <w:r>
          <w:rPr>
            <w:rStyle w:val="Hyperlink"/>
            <w:color w:val="auto"/>
            <w:u w:val="none"/>
            <w:lang w:val="en"/>
          </w:rPr>
          <w:t>“</w:t>
        </w:r>
        <w:r w:rsidRPr="001F6CEB">
          <w:rPr>
            <w:rStyle w:val="Hyperlink"/>
            <w:color w:val="auto"/>
            <w:u w:val="none"/>
            <w:lang w:val="en"/>
          </w:rPr>
          <w:t>Innovation and Access to Medicines: A Case Study for HIV/AIDS and Hepatitis C</w:t>
        </w:r>
      </w:hyperlink>
      <w:r>
        <w:rPr>
          <w:rStyle w:val="Hyperlink"/>
          <w:color w:val="auto"/>
          <w:u w:val="none"/>
          <w:lang w:val="en"/>
        </w:rPr>
        <w:t>”</w:t>
      </w:r>
      <w:r w:rsidRPr="001F6CEB">
        <w:rPr>
          <w:rStyle w:val="Hyperlink"/>
          <w:color w:val="auto"/>
          <w:u w:val="none"/>
          <w:lang w:val="en"/>
        </w:rPr>
        <w:t xml:space="preserve"> </w:t>
      </w:r>
      <w:r w:rsidRPr="001F6CEB">
        <w:rPr>
          <w:color w:val="000000" w:themeColor="text1"/>
        </w:rPr>
        <w:t>was organized</w:t>
      </w:r>
      <w:r>
        <w:rPr>
          <w:color w:val="000000" w:themeColor="text1"/>
        </w:rPr>
        <w:t xml:space="preserve"> in 2014, and two Global Challenges Briefs were published.</w:t>
      </w:r>
    </w:p>
    <w:p w:rsidR="00CE4C9D" w:rsidRDefault="00CE4C9D" w:rsidP="00CE4C9D">
      <w:pPr>
        <w:pStyle w:val="ListParagraph"/>
        <w:tabs>
          <w:tab w:val="left" w:pos="709"/>
        </w:tabs>
        <w:ind w:left="0"/>
        <w:jc w:val="both"/>
        <w:rPr>
          <w:rFonts w:eastAsia="Batang" w:cs="Arial"/>
          <w:color w:val="000000" w:themeColor="text1"/>
          <w:lang w:eastAsia="ja-JP"/>
        </w:rPr>
      </w:pPr>
    </w:p>
    <w:p w:rsidR="00CE4C9D" w:rsidRPr="009D1164" w:rsidRDefault="00CE4C9D" w:rsidP="00845557">
      <w:pPr>
        <w:pStyle w:val="ListParagraph"/>
        <w:numPr>
          <w:ilvl w:val="0"/>
          <w:numId w:val="105"/>
        </w:numPr>
        <w:tabs>
          <w:tab w:val="left" w:pos="567"/>
        </w:tabs>
        <w:ind w:left="0" w:firstLine="0"/>
        <w:jc w:val="both"/>
        <w:rPr>
          <w:rFonts w:cs="Arial"/>
        </w:rPr>
      </w:pPr>
      <w:r w:rsidRPr="009D1164">
        <w:rPr>
          <w:rFonts w:cs="Arial"/>
        </w:rPr>
        <w:t xml:space="preserve">The trilateral cooperation with WHO and WTO continued to focus on enhanced understanding among policymakers for the interplay between health, IP and trade.  In November 2014, the fourth Trilateral Symposium took place in Geneva, exploring the challenges and opportunities in the health innovation area of middle-income countries, and the public policies necessary to ensure that rapid economic growth contributes to access </w:t>
      </w:r>
      <w:r>
        <w:rPr>
          <w:rFonts w:cs="Arial"/>
        </w:rPr>
        <w:t>and universal health coverage.</w:t>
      </w:r>
      <w:r w:rsidRPr="009D1164">
        <w:rPr>
          <w:rFonts w:cs="Arial"/>
        </w:rPr>
        <w:t xml:space="preserve"> </w:t>
      </w:r>
    </w:p>
    <w:p w:rsidR="00CE4C9D" w:rsidRDefault="00CE4C9D" w:rsidP="00CE4C9D">
      <w:pPr>
        <w:pStyle w:val="Default"/>
        <w:tabs>
          <w:tab w:val="left" w:pos="567"/>
          <w:tab w:val="left" w:pos="709"/>
        </w:tabs>
        <w:jc w:val="both"/>
        <w:rPr>
          <w:color w:val="000000" w:themeColor="text1"/>
          <w:sz w:val="20"/>
          <w:szCs w:val="20"/>
        </w:rPr>
      </w:pPr>
    </w:p>
    <w:p w:rsidR="00CE4C9D" w:rsidRDefault="00CE4C9D">
      <w:pPr>
        <w:rPr>
          <w:b/>
          <w:iCs/>
        </w:rPr>
      </w:pPr>
    </w:p>
    <w:p w:rsidR="00CE4C9D" w:rsidRPr="00AE0F7A" w:rsidRDefault="00CE4C9D" w:rsidP="00CE4C9D">
      <w:pPr>
        <w:keepNext/>
        <w:keepLines/>
        <w:jc w:val="center"/>
        <w:rPr>
          <w:b/>
          <w:iCs/>
        </w:rPr>
      </w:pPr>
      <w:r w:rsidRPr="008869AE">
        <w:rPr>
          <w:b/>
          <w:iCs/>
        </w:rPr>
        <w:t>Strategic Goal VIII:  A Responsive Communications Interface between WIPO, its Member States and All Stakeholders</w:t>
      </w:r>
    </w:p>
    <w:p w:rsidR="00CE4C9D" w:rsidRDefault="00CE4C9D" w:rsidP="00CE4C9D">
      <w:pPr>
        <w:jc w:val="center"/>
        <w:rPr>
          <w:b/>
          <w:sz w:val="18"/>
          <w:szCs w:val="18"/>
        </w:rPr>
      </w:pPr>
    </w:p>
    <w:p w:rsidR="00CE4C9D" w:rsidRPr="00845557" w:rsidRDefault="00F84D6B" w:rsidP="00845557">
      <w:pPr>
        <w:jc w:val="center"/>
        <w:rPr>
          <w:b/>
          <w:szCs w:val="18"/>
        </w:rPr>
      </w:pPr>
      <w:r>
        <w:rPr>
          <w:b/>
          <w:noProof/>
          <w:szCs w:val="18"/>
        </w:rPr>
        <w:drawing>
          <wp:inline distT="0" distB="0" distL="0" distR="0" wp14:anchorId="033A5B70" wp14:editId="70D28C96">
            <wp:extent cx="4572635" cy="2743200"/>
            <wp:effectExtent l="0" t="0" r="0" b="0"/>
            <wp:docPr id="885" name="Picture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CC138D" w:rsidRDefault="00CE4C9D" w:rsidP="00845557">
      <w:pPr>
        <w:pStyle w:val="ListParagraph"/>
        <w:numPr>
          <w:ilvl w:val="0"/>
          <w:numId w:val="105"/>
        </w:numPr>
        <w:tabs>
          <w:tab w:val="left" w:pos="567"/>
        </w:tabs>
        <w:ind w:left="0" w:firstLine="0"/>
        <w:jc w:val="both"/>
        <w:rPr>
          <w:rFonts w:cs="Arial"/>
        </w:rPr>
      </w:pPr>
      <w:r w:rsidRPr="00CC138D">
        <w:rPr>
          <w:rFonts w:cs="Arial"/>
        </w:rPr>
        <w:t xml:space="preserve">Priorities in 2014 focused on the consolidation of the results of a number of major Organization-wide strategic projects on web communications, branding, internal communications and customer service, which were completed in 2013; the continued implementation of core strategies for improving the delivery and quality of WIPO content, increasing visibility and understanding of WIPO’s work, and strengthening the culture of service; and laying the groundwork for further initiatives to enhance the effectiveness of communications activities. </w:t>
      </w:r>
    </w:p>
    <w:p w:rsidR="00CC138D" w:rsidRPr="00CC138D" w:rsidRDefault="00CC138D" w:rsidP="00845557">
      <w:pPr>
        <w:pStyle w:val="ListParagraph"/>
        <w:tabs>
          <w:tab w:val="left" w:pos="567"/>
        </w:tabs>
        <w:ind w:left="0"/>
        <w:jc w:val="both"/>
        <w:rPr>
          <w:rFonts w:cs="Arial"/>
        </w:rPr>
      </w:pPr>
    </w:p>
    <w:p w:rsidR="00CC138D" w:rsidRPr="00CC138D" w:rsidRDefault="00CC138D" w:rsidP="00845557">
      <w:pPr>
        <w:pStyle w:val="ListParagraph"/>
        <w:numPr>
          <w:ilvl w:val="0"/>
          <w:numId w:val="105"/>
        </w:numPr>
        <w:tabs>
          <w:tab w:val="left" w:pos="567"/>
        </w:tabs>
        <w:ind w:left="0" w:firstLine="0"/>
        <w:jc w:val="both"/>
        <w:rPr>
          <w:rFonts w:cs="Arial"/>
        </w:rPr>
      </w:pPr>
      <w:r w:rsidRPr="007729C1">
        <w:rPr>
          <w:rFonts w:cs="Arial"/>
        </w:rPr>
        <w:lastRenderedPageBreak/>
        <w:t>The visibility of key WIPO events, offerings and results – from the Accessible Books Consortium (ABC) to new tools such as the WIPO Pearl terminology portal – was increased through a fully integrated approach to press, social media, video, print and online communications, delivered across multiple platforms.  High priority was given to promoting the Organization’s flagship economics and statistics reports so as to strengthen recognition of WIPO as the world reference source for authoritative IP information.  Concerted promotional efforts resulted in a 16 per cent increase in views of web content relating to the</w:t>
      </w:r>
      <w:r w:rsidRPr="00782825">
        <w:rPr>
          <w:rFonts w:cs="Arial"/>
        </w:rPr>
        <w:t xml:space="preserve"> 2014 Global Innovation Index (GII) launch compared to 2013, and an exponential increase (1,300 per cent) in views of related video content. </w:t>
      </w:r>
      <w:r>
        <w:rPr>
          <w:rFonts w:cs="Arial"/>
        </w:rPr>
        <w:t xml:space="preserve"> </w:t>
      </w:r>
      <w:r w:rsidRPr="00782825">
        <w:rPr>
          <w:rFonts w:cs="Arial"/>
        </w:rPr>
        <w:t>High profile press coverage of the 2014 World Intellectual Property Indicators (WIPI) was achieved in influential media outlets worldwide, together with an 18 per cent increase in views of the press release.</w:t>
      </w:r>
      <w:r>
        <w:rPr>
          <w:rFonts w:cs="Arial"/>
        </w:rPr>
        <w:t xml:space="preserve">  </w:t>
      </w:r>
      <w:r w:rsidRPr="00767584">
        <w:rPr>
          <w:rFonts w:cs="Arial"/>
        </w:rPr>
        <w:t xml:space="preserve">WIPO’s Twitter following grew </w:t>
      </w:r>
      <w:r w:rsidRPr="00F0074E">
        <w:rPr>
          <w:rFonts w:cs="Arial"/>
        </w:rPr>
        <w:t xml:space="preserve">by </w:t>
      </w:r>
      <w:r>
        <w:rPr>
          <w:rFonts w:cs="Arial"/>
        </w:rPr>
        <w:t xml:space="preserve">over </w:t>
      </w:r>
      <w:r w:rsidRPr="00F0074E">
        <w:rPr>
          <w:rFonts w:cs="Arial"/>
        </w:rPr>
        <w:t>60</w:t>
      </w:r>
      <w:r>
        <w:rPr>
          <w:rFonts w:cs="Arial"/>
        </w:rPr>
        <w:t xml:space="preserve"> percent</w:t>
      </w:r>
      <w:r w:rsidRPr="00F0074E">
        <w:rPr>
          <w:rFonts w:cs="Arial"/>
        </w:rPr>
        <w:t>, c</w:t>
      </w:r>
      <w:r>
        <w:rPr>
          <w:rFonts w:cs="Arial"/>
        </w:rPr>
        <w:t>oupled</w:t>
      </w:r>
      <w:r w:rsidRPr="00767584">
        <w:rPr>
          <w:rFonts w:cs="Arial"/>
        </w:rPr>
        <w:t xml:space="preserve"> with a </w:t>
      </w:r>
      <w:r>
        <w:rPr>
          <w:rFonts w:cs="Arial"/>
        </w:rPr>
        <w:t>76.8 per cent</w:t>
      </w:r>
      <w:r w:rsidRPr="00767584">
        <w:rPr>
          <w:rFonts w:cs="Arial"/>
        </w:rPr>
        <w:t xml:space="preserve"> increase in the number of retweets of WIPO content.</w:t>
      </w:r>
      <w:r>
        <w:rPr>
          <w:rFonts w:cs="Arial"/>
        </w:rPr>
        <w:t xml:space="preserve">     </w:t>
      </w:r>
    </w:p>
    <w:p w:rsidR="00CE4C9D" w:rsidRPr="00CC138D" w:rsidRDefault="00CE4C9D" w:rsidP="00CE4C9D">
      <w:pPr>
        <w:pStyle w:val="ListParagraph"/>
        <w:tabs>
          <w:tab w:val="left" w:pos="709"/>
        </w:tabs>
        <w:ind w:left="0"/>
        <w:jc w:val="both"/>
        <w:rPr>
          <w:rFonts w:cs="Arial"/>
        </w:rPr>
      </w:pPr>
    </w:p>
    <w:p w:rsidR="00CE4C9D" w:rsidRDefault="00CE4C9D" w:rsidP="00845557">
      <w:pPr>
        <w:pStyle w:val="ListParagraph"/>
        <w:numPr>
          <w:ilvl w:val="0"/>
          <w:numId w:val="105"/>
        </w:numPr>
        <w:tabs>
          <w:tab w:val="left" w:pos="567"/>
        </w:tabs>
        <w:ind w:left="0" w:firstLine="0"/>
        <w:jc w:val="both"/>
        <w:rPr>
          <w:rFonts w:cs="Arial"/>
        </w:rPr>
      </w:pPr>
      <w:r w:rsidRPr="00782825">
        <w:rPr>
          <w:rFonts w:cs="Arial"/>
        </w:rPr>
        <w:t xml:space="preserve">Engagement by Member States and the public in the annual World IP Day campaign reached a record level. </w:t>
      </w:r>
      <w:r>
        <w:rPr>
          <w:rFonts w:cs="Arial"/>
        </w:rPr>
        <w:t xml:space="preserve"> </w:t>
      </w:r>
      <w:r w:rsidRPr="00782825">
        <w:rPr>
          <w:rFonts w:cs="Arial"/>
        </w:rPr>
        <w:t xml:space="preserve">The theme </w:t>
      </w:r>
      <w:r w:rsidRPr="00782825">
        <w:rPr>
          <w:rFonts w:cs="Arial"/>
          <w:i/>
        </w:rPr>
        <w:t>Movies – A Global Passion</w:t>
      </w:r>
      <w:r w:rsidRPr="00782825">
        <w:rPr>
          <w:rFonts w:cs="Arial"/>
        </w:rPr>
        <w:t xml:space="preserve"> was the focus for over 350 events reported in 110</w:t>
      </w:r>
      <w:r>
        <w:rPr>
          <w:rFonts w:cs="Arial"/>
        </w:rPr>
        <w:t> </w:t>
      </w:r>
      <w:r w:rsidRPr="00782825">
        <w:rPr>
          <w:rFonts w:cs="Arial"/>
        </w:rPr>
        <w:t>countries (up from 236 events in 93</w:t>
      </w:r>
      <w:r>
        <w:rPr>
          <w:rStyle w:val="FootnoteReference"/>
          <w:rFonts w:cs="Arial"/>
        </w:rPr>
        <w:footnoteReference w:id="3"/>
      </w:r>
      <w:r w:rsidRPr="00782825">
        <w:rPr>
          <w:rFonts w:cs="Arial"/>
        </w:rPr>
        <w:t xml:space="preserve"> countries in 2013). </w:t>
      </w:r>
      <w:r>
        <w:rPr>
          <w:rFonts w:cs="Arial"/>
        </w:rPr>
        <w:t xml:space="preserve"> </w:t>
      </w:r>
      <w:r w:rsidRPr="00782825">
        <w:rPr>
          <w:rFonts w:cs="Arial"/>
        </w:rPr>
        <w:t>WIPO’s World IP Day tweets gained 1.67</w:t>
      </w:r>
      <w:r>
        <w:rPr>
          <w:rFonts w:cs="Arial"/>
        </w:rPr>
        <w:t> </w:t>
      </w:r>
      <w:r w:rsidRPr="00782825">
        <w:rPr>
          <w:rFonts w:cs="Arial"/>
        </w:rPr>
        <w:t xml:space="preserve">million potential impressions, as compared to 1.55 million in 2013, and promotional materials created for the campaign were downloaded from the website over 9,000 times. </w:t>
      </w:r>
      <w:r>
        <w:rPr>
          <w:rFonts w:cs="Arial"/>
        </w:rPr>
        <w:t xml:space="preserve"> </w:t>
      </w:r>
      <w:r w:rsidRPr="00782825">
        <w:rPr>
          <w:rFonts w:cs="Arial"/>
        </w:rPr>
        <w:t xml:space="preserve">Views of the World IP Day webpage in Chinese exceeded the English version for the first time, while the highest numbers of ‘likes’ of the Facebook page came from Brazil, Egypt, India, Mexico and </w:t>
      </w:r>
      <w:r>
        <w:rPr>
          <w:rFonts w:cs="Arial"/>
        </w:rPr>
        <w:t xml:space="preserve">the </w:t>
      </w:r>
      <w:r w:rsidRPr="00782825">
        <w:rPr>
          <w:rFonts w:cs="Arial"/>
        </w:rPr>
        <w:t>United States of America.  A mini-film festival held in Geneva from April 24 to 28, 2014 drew good participation from the local community, particularly for the Swiss premiere screening of the Nigerian co-production, “Half a Yellow Sun,” which played to a capacity audience.</w:t>
      </w:r>
    </w:p>
    <w:p w:rsidR="00CE4C9D" w:rsidRDefault="00CE4C9D" w:rsidP="00CE4C9D">
      <w:pPr>
        <w:pStyle w:val="ListParagraph"/>
        <w:tabs>
          <w:tab w:val="left" w:pos="709"/>
        </w:tabs>
        <w:ind w:left="0"/>
        <w:jc w:val="both"/>
        <w:rPr>
          <w:rFonts w:cs="Arial"/>
        </w:rPr>
      </w:pPr>
    </w:p>
    <w:p w:rsidR="00CE4C9D" w:rsidRDefault="00CE4C9D" w:rsidP="00845557">
      <w:pPr>
        <w:pStyle w:val="ListParagraph"/>
        <w:numPr>
          <w:ilvl w:val="0"/>
          <w:numId w:val="105"/>
        </w:numPr>
        <w:tabs>
          <w:tab w:val="left" w:pos="567"/>
        </w:tabs>
        <w:ind w:left="0" w:firstLine="0"/>
        <w:jc w:val="both"/>
        <w:rPr>
          <w:rFonts w:cs="Arial"/>
        </w:rPr>
      </w:pPr>
      <w:r>
        <w:rPr>
          <w:rFonts w:cs="Arial"/>
        </w:rPr>
        <w:t>With regard to External Relations, a</w:t>
      </w:r>
      <w:r>
        <w:t xml:space="preserve">s a specialized agency of the UN, and in line with its mandate and with WIPO DA Recommendations 30 and 40, WIPO continued to play its role in supporting key UN processes through its strategic engagement and contributions, in particular with regard to, </w:t>
      </w:r>
      <w:r w:rsidRPr="00D31EEC">
        <w:rPr>
          <w:i/>
        </w:rPr>
        <w:t>inter alia</w:t>
      </w:r>
      <w:r>
        <w:t>: (</w:t>
      </w:r>
      <w:proofErr w:type="spellStart"/>
      <w:r>
        <w:t>i</w:t>
      </w:r>
      <w:proofErr w:type="spellEnd"/>
      <w:r>
        <w:t xml:space="preserve">) the Post-2015 Development Agenda via the work of the inter-agency UN Task Team (UNTT) and the UN Technical Support Team (TST) to the Open Working Group on Sustainable Development Goals (OWG); and (ii) work on technology in the UN Framework Convention on Climate Change (UNFCCC), in particular the UNFCCC Technology Mechanism, the Technology Executive Committee (TEC) and the Climate Technology Center and Network (CTCN).  </w:t>
      </w:r>
    </w:p>
    <w:p w:rsidR="00CE4C9D" w:rsidRDefault="00CE4C9D" w:rsidP="00CE4C9D">
      <w:pPr>
        <w:pStyle w:val="ListParagraph"/>
        <w:tabs>
          <w:tab w:val="left" w:pos="709"/>
        </w:tabs>
        <w:ind w:left="0"/>
        <w:jc w:val="both"/>
        <w:rPr>
          <w:rFonts w:cs="Arial"/>
        </w:rPr>
      </w:pPr>
    </w:p>
    <w:p w:rsidR="00CE4C9D" w:rsidRDefault="00CE4C9D" w:rsidP="00845557">
      <w:pPr>
        <w:pStyle w:val="ListParagraph"/>
        <w:numPr>
          <w:ilvl w:val="0"/>
          <w:numId w:val="105"/>
        </w:numPr>
        <w:tabs>
          <w:tab w:val="left" w:pos="567"/>
        </w:tabs>
        <w:ind w:left="0" w:firstLine="0"/>
        <w:jc w:val="both"/>
      </w:pPr>
      <w:r w:rsidRPr="00D31EEC">
        <w:t>WIPO’s network of External Offices continued to form an integral part of the Organization designed to bring WIPO’s services and cooperation closer to Member States, stakeholders and partners with a view to enhancing efficiency and effectiveness of program delivery, as well as responding to the specific needs and priorities of the countries and/or regions they serve.  In 2014, the network of Offices grew to five, with the opening of the WIPO Offices in China (WCO) and in the Russian Federation (WRO).</w:t>
      </w:r>
    </w:p>
    <w:p w:rsidR="00CE4C9D" w:rsidRDefault="00CE4C9D">
      <w:pPr>
        <w:rPr>
          <w:b/>
          <w:iCs/>
        </w:rPr>
      </w:pPr>
    </w:p>
    <w:p w:rsidR="00CE4C9D" w:rsidRDefault="00CE4C9D">
      <w:pPr>
        <w:rPr>
          <w:b/>
          <w:iCs/>
        </w:rPr>
      </w:pPr>
    </w:p>
    <w:p w:rsidR="00CE4C9D" w:rsidRPr="00AE0F7A" w:rsidRDefault="00CE4C9D" w:rsidP="009544BF">
      <w:pPr>
        <w:keepNext/>
        <w:keepLines/>
        <w:jc w:val="center"/>
        <w:rPr>
          <w:b/>
          <w:iCs/>
        </w:rPr>
      </w:pPr>
      <w:r w:rsidRPr="008869AE">
        <w:rPr>
          <w:b/>
          <w:iCs/>
        </w:rPr>
        <w:lastRenderedPageBreak/>
        <w:t xml:space="preserve">Strategic Goal IX:  Efficient Administrative and Financial Support Structure to </w:t>
      </w:r>
      <w:r>
        <w:rPr>
          <w:b/>
          <w:iCs/>
        </w:rPr>
        <w:t>E</w:t>
      </w:r>
      <w:r w:rsidRPr="008869AE">
        <w:rPr>
          <w:b/>
          <w:iCs/>
        </w:rPr>
        <w:t>nable WIPO to Deliver its Programs</w:t>
      </w:r>
    </w:p>
    <w:p w:rsidR="00CE4C9D" w:rsidRDefault="00CE4C9D" w:rsidP="009544BF">
      <w:pPr>
        <w:keepNext/>
        <w:keepLines/>
        <w:jc w:val="center"/>
        <w:rPr>
          <w:b/>
          <w:sz w:val="18"/>
          <w:szCs w:val="18"/>
        </w:rPr>
      </w:pPr>
    </w:p>
    <w:p w:rsidR="00CE4C9D" w:rsidRPr="002B2D82" w:rsidRDefault="00F84D6B" w:rsidP="009544BF">
      <w:pPr>
        <w:keepNext/>
        <w:keepLines/>
        <w:jc w:val="center"/>
        <w:rPr>
          <w:b/>
          <w:sz w:val="18"/>
          <w:szCs w:val="18"/>
        </w:rPr>
      </w:pPr>
      <w:r>
        <w:rPr>
          <w:b/>
          <w:noProof/>
          <w:sz w:val="18"/>
          <w:szCs w:val="18"/>
        </w:rPr>
        <w:drawing>
          <wp:inline distT="0" distB="0" distL="0" distR="0" wp14:anchorId="58683979" wp14:editId="3171C5C7">
            <wp:extent cx="4367284" cy="2620006"/>
            <wp:effectExtent l="0" t="0" r="0" b="9525"/>
            <wp:docPr id="886" name="Picture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67891" cy="2620370"/>
                    </a:xfrm>
                    <a:prstGeom prst="rect">
                      <a:avLst/>
                    </a:prstGeom>
                    <a:noFill/>
                  </pic:spPr>
                </pic:pic>
              </a:graphicData>
            </a:graphic>
          </wp:inline>
        </w:drawing>
      </w:r>
    </w:p>
    <w:p w:rsidR="00CE4C9D" w:rsidRPr="00812B04" w:rsidRDefault="00CE4C9D" w:rsidP="00CE4C9D">
      <w:pPr>
        <w:jc w:val="both"/>
      </w:pPr>
    </w:p>
    <w:p w:rsidR="00CE4C9D" w:rsidRDefault="00CE4C9D" w:rsidP="00845557">
      <w:pPr>
        <w:pStyle w:val="ListParagraph"/>
        <w:numPr>
          <w:ilvl w:val="0"/>
          <w:numId w:val="105"/>
        </w:numPr>
        <w:tabs>
          <w:tab w:val="left" w:pos="567"/>
        </w:tabs>
        <w:ind w:left="0" w:firstLine="0"/>
        <w:jc w:val="both"/>
      </w:pPr>
      <w:r w:rsidRPr="00812B04">
        <w:t>The Administration and Management, through its Programs, enabled the Organization in delivering the results expected by Member States and stakeholders, on the one hand, while navigating through the continuing financial instability and serious uncertainties in the economic environment, on the other hand.</w:t>
      </w:r>
    </w:p>
    <w:p w:rsidR="00CE4C9D" w:rsidRPr="00812B04" w:rsidRDefault="00CE4C9D" w:rsidP="00CE4C9D">
      <w:pPr>
        <w:pStyle w:val="ListParagraph"/>
        <w:tabs>
          <w:tab w:val="left" w:pos="567"/>
        </w:tabs>
        <w:ind w:left="0"/>
        <w:jc w:val="both"/>
      </w:pPr>
    </w:p>
    <w:p w:rsidR="00CE4C9D" w:rsidRDefault="00CE4C9D" w:rsidP="00845557">
      <w:pPr>
        <w:pStyle w:val="ListParagraph"/>
        <w:numPr>
          <w:ilvl w:val="0"/>
          <w:numId w:val="105"/>
        </w:numPr>
        <w:tabs>
          <w:tab w:val="left" w:pos="567"/>
        </w:tabs>
        <w:ind w:left="0" w:firstLine="0"/>
        <w:jc w:val="both"/>
      </w:pPr>
      <w:r w:rsidRPr="00812B04">
        <w:t xml:space="preserve">Despite these uncertainties, WIPO closed the </w:t>
      </w:r>
      <w:r>
        <w:t>year</w:t>
      </w:r>
      <w:r w:rsidRPr="00812B04">
        <w:t xml:space="preserve"> with a positive overall result of </w:t>
      </w:r>
      <w:r>
        <w:t>37</w:t>
      </w:r>
      <w:r w:rsidR="00CC138D">
        <w:t> </w:t>
      </w:r>
      <w:r w:rsidRPr="00812B04">
        <w:t>million Swiss</w:t>
      </w:r>
      <w:r>
        <w:t> </w:t>
      </w:r>
      <w:r w:rsidRPr="00812B04">
        <w:t xml:space="preserve">francs on an IPSAS basis, </w:t>
      </w:r>
      <w:r w:rsidRPr="002B2D82">
        <w:t>as a result of higher than expected income</w:t>
      </w:r>
      <w:r w:rsidRPr="002D6C53">
        <w:t>,</w:t>
      </w:r>
      <w:r w:rsidRPr="00812B04">
        <w:t xml:space="preserve"> the implementation of cost efficiency measures and </w:t>
      </w:r>
      <w:r>
        <w:t>prudent</w:t>
      </w:r>
      <w:r w:rsidRPr="00812B04">
        <w:t xml:space="preserve"> management of expenditure. </w:t>
      </w:r>
    </w:p>
    <w:p w:rsidR="00CE4C9D" w:rsidRDefault="00CE4C9D" w:rsidP="00CE4C9D">
      <w:pPr>
        <w:jc w:val="both"/>
      </w:pPr>
    </w:p>
    <w:p w:rsidR="00CE4C9D" w:rsidRDefault="00CE4C9D" w:rsidP="00845557">
      <w:pPr>
        <w:pStyle w:val="ListParagraph"/>
        <w:keepNext/>
        <w:keepLines/>
        <w:numPr>
          <w:ilvl w:val="0"/>
          <w:numId w:val="105"/>
        </w:numPr>
        <w:tabs>
          <w:tab w:val="left" w:pos="567"/>
        </w:tabs>
        <w:ind w:left="0" w:firstLine="0"/>
        <w:jc w:val="both"/>
      </w:pPr>
      <w:r w:rsidRPr="00747E7E">
        <w:t>WIPO’s program and financial management continue</w:t>
      </w:r>
      <w:r>
        <w:t>d to be strengthened in 2014 i</w:t>
      </w:r>
      <w:r w:rsidRPr="00747E7E">
        <w:t>n order to utilize resources more effectively as well as to establish best practice in an area of administration</w:t>
      </w:r>
      <w:r w:rsidR="007C20B6">
        <w:t>,</w:t>
      </w:r>
      <w:r w:rsidRPr="00747E7E">
        <w:t xml:space="preserve"> which deals with planning, performance management, facilitation and support for various operational activities across the Organization</w:t>
      </w:r>
      <w:r>
        <w:t>.</w:t>
      </w:r>
    </w:p>
    <w:p w:rsidR="00CE4C9D" w:rsidRDefault="00CE4C9D" w:rsidP="00CE4C9D">
      <w:pPr>
        <w:jc w:val="both"/>
      </w:pPr>
    </w:p>
    <w:p w:rsidR="00CE4C9D" w:rsidRDefault="00CE4C9D" w:rsidP="00845557">
      <w:pPr>
        <w:pStyle w:val="ListParagraph"/>
        <w:numPr>
          <w:ilvl w:val="0"/>
          <w:numId w:val="105"/>
        </w:numPr>
        <w:tabs>
          <w:tab w:val="left" w:pos="567"/>
        </w:tabs>
        <w:ind w:left="0" w:firstLine="0"/>
        <w:jc w:val="both"/>
      </w:pPr>
      <w:r w:rsidRPr="00675D47">
        <w:rPr>
          <w:bCs/>
        </w:rPr>
        <w:t xml:space="preserve">The comprehensive study of WIPO’s treasury practices and risks, launched in 2013, was completed in the spring 2014, resulting in a series of recommendations, including with regard to the practice of hedging as a means to reduce exposure to foreign currency fluctuations in the PCT.  The Secretariat is currently in the process of reviewing the full set of recommendations and defining an implementation strategy.   </w:t>
      </w:r>
    </w:p>
    <w:p w:rsidR="00CE4C9D" w:rsidRDefault="00CE4C9D" w:rsidP="00CE4C9D">
      <w:pPr>
        <w:jc w:val="both"/>
      </w:pPr>
    </w:p>
    <w:p w:rsidR="00CE4C9D" w:rsidRPr="00675D47" w:rsidRDefault="00CE4C9D" w:rsidP="00845557">
      <w:pPr>
        <w:pStyle w:val="ListParagraph"/>
        <w:numPr>
          <w:ilvl w:val="0"/>
          <w:numId w:val="105"/>
        </w:numPr>
        <w:tabs>
          <w:tab w:val="left" w:pos="567"/>
        </w:tabs>
        <w:ind w:left="0" w:firstLine="0"/>
        <w:jc w:val="both"/>
        <w:rPr>
          <w:bCs/>
        </w:rPr>
      </w:pPr>
      <w:r w:rsidRPr="00675D47">
        <w:rPr>
          <w:bCs/>
        </w:rPr>
        <w:t xml:space="preserve">Good progress was made in 2014 with respect to further embedding a results-based culture and strengthening WIPO’s performance management cycle.  The </w:t>
      </w:r>
      <w:proofErr w:type="spellStart"/>
      <w:r w:rsidRPr="00675D47">
        <w:rPr>
          <w:bCs/>
        </w:rPr>
        <w:t>workplanning</w:t>
      </w:r>
      <w:proofErr w:type="spellEnd"/>
      <w:r w:rsidRPr="00675D47">
        <w:rPr>
          <w:bCs/>
        </w:rPr>
        <w:t xml:space="preserve"> process continued to be enhanced in 2014, with the introduction of position level planning.  To support this enhancement, new functionality was developed in the </w:t>
      </w:r>
      <w:r w:rsidR="007C20B6" w:rsidRPr="00A43A93">
        <w:rPr>
          <w:bCs/>
          <w:sz w:val="22"/>
          <w:szCs w:val="22"/>
        </w:rPr>
        <w:t>Enterprise Resource Planning (ERP) Enterprise Performance Management (EPM)</w:t>
      </w:r>
      <w:r w:rsidR="007C20B6">
        <w:rPr>
          <w:bCs/>
          <w:sz w:val="22"/>
          <w:szCs w:val="22"/>
        </w:rPr>
        <w:t xml:space="preserve"> (</w:t>
      </w:r>
      <w:r w:rsidRPr="00675D47">
        <w:rPr>
          <w:bCs/>
        </w:rPr>
        <w:t>ERP EPM</w:t>
      </w:r>
      <w:r w:rsidR="007C20B6">
        <w:rPr>
          <w:bCs/>
        </w:rPr>
        <w:t>)</w:t>
      </w:r>
      <w:r w:rsidRPr="00675D47">
        <w:rPr>
          <w:bCs/>
        </w:rPr>
        <w:t xml:space="preserve"> </w:t>
      </w:r>
      <w:proofErr w:type="spellStart"/>
      <w:r w:rsidRPr="00675D47">
        <w:rPr>
          <w:bCs/>
        </w:rPr>
        <w:t>workplanning</w:t>
      </w:r>
      <w:proofErr w:type="spellEnd"/>
      <w:r w:rsidRPr="00675D47">
        <w:rPr>
          <w:bCs/>
        </w:rPr>
        <w:t xml:space="preserve"> module to enable the allocation of individual staff members to specific program activities, driving linkages between the Programs’ expected results and individual staff objectives closer together.   This enhancement also enabled more transparency and accuracy with regard to personnel resource allocation and utilization.</w:t>
      </w:r>
    </w:p>
    <w:p w:rsidR="00CE4C9D" w:rsidRPr="00812B04" w:rsidRDefault="00CE4C9D" w:rsidP="00CE4C9D">
      <w:pPr>
        <w:jc w:val="both"/>
      </w:pPr>
    </w:p>
    <w:p w:rsidR="00CE4C9D" w:rsidRDefault="00CE4C9D" w:rsidP="00845557">
      <w:pPr>
        <w:pStyle w:val="ListParagraph"/>
        <w:numPr>
          <w:ilvl w:val="0"/>
          <w:numId w:val="105"/>
        </w:numPr>
        <w:tabs>
          <w:tab w:val="left" w:pos="567"/>
        </w:tabs>
        <w:ind w:left="0" w:firstLine="0"/>
        <w:jc w:val="both"/>
      </w:pPr>
      <w:r w:rsidRPr="00675D47">
        <w:t xml:space="preserve">The ERP portfolio of projects, approved by the WIPO General Assemblies in 2010, as part of the Administrative and Management Sector modernization, </w:t>
      </w:r>
      <w:r>
        <w:t xml:space="preserve">also </w:t>
      </w:r>
      <w:r w:rsidRPr="00675D47">
        <w:t>continued to evolve.</w:t>
      </w:r>
      <w:r>
        <w:t xml:space="preserve">  To this end, the year 2014 saw the launch of two new key modules to support WIPO’s performance cycle, namely the ‘Implementation and Monitoring’ and the ‘Performance Assessment’ modules. </w:t>
      </w:r>
      <w:r w:rsidRPr="00675D47">
        <w:t xml:space="preserve">Further integration of the ERP components in 2014 also enabled improved reporting capabilities and analytical tools.  For the first time in 2014, the </w:t>
      </w:r>
      <w:r w:rsidR="00487690" w:rsidRPr="00A43A93">
        <w:rPr>
          <w:bCs/>
          <w:sz w:val="22"/>
          <w:szCs w:val="22"/>
        </w:rPr>
        <w:t>Administrative Integrated Management System (</w:t>
      </w:r>
      <w:r w:rsidRPr="00675D47">
        <w:t>AIMS</w:t>
      </w:r>
      <w:r w:rsidR="00487690">
        <w:t>)</w:t>
      </w:r>
      <w:r w:rsidRPr="00675D47">
        <w:t xml:space="preserve"> financial and the EPM planning systems were integrated, allowing for improved reporting on budget versus actual expenditure from EPM.  In addition, the ERP Human Resources (HR)/Payroll system was operationalized in January 2014, and integration with the EPM planning system was completed in April, resulting in significantly enhanced position management capabilities.  Progress was made on the Business Intelligence module, with initial management dashboards having been developed and released to core administrative areas </w:t>
      </w:r>
      <w:r w:rsidRPr="00675D47">
        <w:lastRenderedPageBreak/>
        <w:t>(HRMD, Procurement and Travel, and Program Planning and Finance).  An Organization-wide release is planned for the second half of 2015.</w:t>
      </w:r>
    </w:p>
    <w:p w:rsidR="00CE4C9D" w:rsidRPr="00812B04" w:rsidRDefault="00CE4C9D" w:rsidP="00CE4C9D">
      <w:pPr>
        <w:tabs>
          <w:tab w:val="left" w:pos="709"/>
        </w:tabs>
        <w:autoSpaceDE w:val="0"/>
        <w:autoSpaceDN w:val="0"/>
        <w:adjustRightInd w:val="0"/>
        <w:jc w:val="both"/>
      </w:pPr>
    </w:p>
    <w:p w:rsidR="00CE4C9D" w:rsidRDefault="00CE4C9D" w:rsidP="00845557">
      <w:pPr>
        <w:pStyle w:val="ListParagraph"/>
        <w:numPr>
          <w:ilvl w:val="0"/>
          <w:numId w:val="105"/>
        </w:numPr>
        <w:tabs>
          <w:tab w:val="left" w:pos="567"/>
        </w:tabs>
        <w:ind w:left="0" w:firstLine="0"/>
        <w:jc w:val="both"/>
      </w:pPr>
      <w:r>
        <w:t>In the course of 2014 the Organization developed a number of documents that establish a formalized and coherent risk management and internal controls framework, which include WIPO’s Accountability Framework, WIPO’s Risk Appetite Statement, Office Instructions</w:t>
      </w:r>
      <w:r w:rsidR="002C2CA1">
        <w:t xml:space="preserve"> (OIs)</w:t>
      </w:r>
      <w:r>
        <w:t xml:space="preserve"> on the establishment of WIPO’s Risk Management Group (RMG) as well as its Risk Management Policy, and the Risk Management and Internal Controls Manual.</w:t>
      </w:r>
    </w:p>
    <w:p w:rsidR="00CE4C9D" w:rsidRDefault="00CE4C9D" w:rsidP="00CE4C9D">
      <w:pPr>
        <w:jc w:val="both"/>
      </w:pPr>
    </w:p>
    <w:p w:rsidR="00CE4C9D" w:rsidRDefault="00CE4C9D" w:rsidP="00845557">
      <w:pPr>
        <w:pStyle w:val="ListParagraph"/>
        <w:numPr>
          <w:ilvl w:val="0"/>
          <w:numId w:val="105"/>
        </w:numPr>
        <w:tabs>
          <w:tab w:val="left" w:pos="567"/>
        </w:tabs>
        <w:ind w:left="0" w:firstLine="0"/>
        <w:jc w:val="both"/>
      </w:pPr>
      <w:r>
        <w:t>WIPO’s Accountability Framework and WIPO’s Risk Appetite Statement were reviewed and endorsed by Member States at the end of 2014.</w:t>
      </w:r>
    </w:p>
    <w:p w:rsidR="00CE4C9D" w:rsidRDefault="00CE4C9D" w:rsidP="00CE4C9D">
      <w:pPr>
        <w:jc w:val="both"/>
      </w:pPr>
    </w:p>
    <w:p w:rsidR="00CE4C9D" w:rsidRDefault="00CE4C9D" w:rsidP="00845557">
      <w:pPr>
        <w:pStyle w:val="ListParagraph"/>
        <w:numPr>
          <w:ilvl w:val="0"/>
          <w:numId w:val="105"/>
        </w:numPr>
        <w:tabs>
          <w:tab w:val="left" w:pos="567"/>
        </w:tabs>
        <w:ind w:left="0" w:firstLine="0"/>
        <w:jc w:val="both"/>
      </w:pPr>
      <w:r>
        <w:t>Enterprise Risk Management (ERM), a new risk management application, went live in October</w:t>
      </w:r>
      <w:r w:rsidR="00CC138D">
        <w:t> </w:t>
      </w:r>
      <w:r>
        <w:t xml:space="preserve">2014, integrating in a single organizational risk register all of WIPO’s information security risks, as well as all program and organizational risks. </w:t>
      </w:r>
    </w:p>
    <w:p w:rsidR="00CE4C9D" w:rsidRDefault="00CE4C9D" w:rsidP="00CE4C9D">
      <w:pPr>
        <w:jc w:val="both"/>
      </w:pPr>
    </w:p>
    <w:p w:rsidR="00CE4C9D" w:rsidRDefault="00CE4C9D" w:rsidP="00845557">
      <w:pPr>
        <w:pStyle w:val="ListParagraph"/>
        <w:numPr>
          <w:ilvl w:val="0"/>
          <w:numId w:val="105"/>
        </w:numPr>
        <w:tabs>
          <w:tab w:val="left" w:pos="567"/>
        </w:tabs>
        <w:ind w:left="0" w:firstLine="0"/>
        <w:jc w:val="both"/>
        <w:rPr>
          <w:rFonts w:cs="Arial"/>
        </w:rPr>
      </w:pPr>
      <w:r w:rsidRPr="00C66D90">
        <w:rPr>
          <w:rFonts w:cs="Arial"/>
        </w:rPr>
        <w:t xml:space="preserve">The year 2014 was the first year of implementation of the Human Resource (HR) Strategy that was approved by Member States in 2013, providing the basis for the short- and medium-term HR plan of action for the 2014/15 biennium.  </w:t>
      </w:r>
      <w:r>
        <w:rPr>
          <w:rFonts w:cs="Arial"/>
        </w:rPr>
        <w:t>P</w:t>
      </w:r>
      <w:r w:rsidRPr="00675D47">
        <w:rPr>
          <w:rFonts w:cs="Arial"/>
        </w:rPr>
        <w:t>rogress continued to be made on mainstreaming organizational design and workforce planning as fully integrated key business activities.  Achievements in 2014 included: (</w:t>
      </w:r>
      <w:proofErr w:type="spellStart"/>
      <w:r w:rsidRPr="00675D47">
        <w:rPr>
          <w:rFonts w:cs="Arial"/>
        </w:rPr>
        <w:t>i</w:t>
      </w:r>
      <w:proofErr w:type="spellEnd"/>
      <w:r w:rsidRPr="00675D47">
        <w:rPr>
          <w:rFonts w:cs="Arial"/>
        </w:rPr>
        <w:t xml:space="preserve">) increased manager engagement through delivery of introductory workshops on workforce planning and the development of related guidelines; (ii) development of 2014/15 workforce action plans for each organizational unit to capture and record key HR-related actions to meet business needs; and (iii) closer alignment of job descriptions and annual </w:t>
      </w:r>
      <w:proofErr w:type="spellStart"/>
      <w:r w:rsidRPr="00675D47">
        <w:rPr>
          <w:rFonts w:cs="Arial"/>
        </w:rPr>
        <w:t>workplans</w:t>
      </w:r>
      <w:proofErr w:type="spellEnd"/>
      <w:r w:rsidRPr="00675D47">
        <w:rPr>
          <w:rFonts w:cs="Arial"/>
        </w:rPr>
        <w:t xml:space="preserve">. As part of the workforce planning exercise mangers were encouraged to consider the optimal mix of resources to efficiently address their business needs. </w:t>
      </w:r>
      <w:r w:rsidRPr="00C66D90">
        <w:rPr>
          <w:rFonts w:cs="Arial"/>
        </w:rPr>
        <w:t xml:space="preserve"> </w:t>
      </w:r>
    </w:p>
    <w:p w:rsidR="00CE4C9D" w:rsidRDefault="00CE4C9D" w:rsidP="00CE4C9D">
      <w:pPr>
        <w:pStyle w:val="ListParagraph"/>
        <w:tabs>
          <w:tab w:val="left" w:pos="709"/>
        </w:tabs>
        <w:ind w:left="0"/>
        <w:jc w:val="both"/>
        <w:rPr>
          <w:rFonts w:cs="Arial"/>
        </w:rPr>
      </w:pPr>
    </w:p>
    <w:p w:rsidR="00CE4C9D" w:rsidRDefault="00CE4C9D" w:rsidP="00845557">
      <w:pPr>
        <w:pStyle w:val="ListParagraph"/>
        <w:numPr>
          <w:ilvl w:val="0"/>
          <w:numId w:val="105"/>
        </w:numPr>
        <w:tabs>
          <w:tab w:val="left" w:pos="567"/>
        </w:tabs>
        <w:ind w:left="0" w:firstLine="0"/>
        <w:jc w:val="both"/>
        <w:rPr>
          <w:rFonts w:cs="Arial"/>
        </w:rPr>
      </w:pPr>
      <w:r w:rsidRPr="00C66D90">
        <w:rPr>
          <w:rFonts w:cs="Arial"/>
        </w:rPr>
        <w:t>In August 2014, WIPO issued its first Policy on Gender Equality, which included a time-specific goal to achieve gender balance in staffing.  While the percentages of women at P4 (44.4 per cent) and P5</w:t>
      </w:r>
      <w:r>
        <w:rPr>
          <w:rFonts w:cs="Arial"/>
        </w:rPr>
        <w:t> </w:t>
      </w:r>
      <w:r w:rsidRPr="00C66D90">
        <w:rPr>
          <w:rFonts w:cs="Arial"/>
        </w:rPr>
        <w:t>(34.4 per cent) levels as of December 2014 showed only a slight increase a</w:t>
      </w:r>
      <w:r w:rsidR="00CC138D">
        <w:rPr>
          <w:rFonts w:cs="Arial"/>
        </w:rPr>
        <w:t>s compared to </w:t>
      </w:r>
      <w:r w:rsidRPr="00C66D90">
        <w:rPr>
          <w:rFonts w:cs="Arial"/>
        </w:rPr>
        <w:t>2013 (43.4</w:t>
      </w:r>
      <w:r>
        <w:rPr>
          <w:rFonts w:cs="Arial"/>
        </w:rPr>
        <w:t> </w:t>
      </w:r>
      <w:r w:rsidRPr="00C66D90">
        <w:rPr>
          <w:rFonts w:cs="Arial"/>
        </w:rPr>
        <w:t xml:space="preserve">per cent and 34.3 per cent respectively), they nevertheless represented the highest ever in WIPO’s history.  To support the Policy objective related to the mainstreaming of gender perspectives in WIPO’s work Gender Focal Points were appointed in each Program. </w:t>
      </w:r>
    </w:p>
    <w:p w:rsidR="00A952CD" w:rsidRDefault="00A952CD" w:rsidP="00845557">
      <w:pPr>
        <w:pStyle w:val="ListParagraph"/>
        <w:tabs>
          <w:tab w:val="left" w:pos="567"/>
        </w:tabs>
        <w:ind w:left="0"/>
        <w:jc w:val="both"/>
        <w:rPr>
          <w:rFonts w:cs="Arial"/>
        </w:rPr>
      </w:pPr>
    </w:p>
    <w:p w:rsidR="00CC138D" w:rsidRPr="00C66D90" w:rsidRDefault="00CC138D" w:rsidP="00845557">
      <w:pPr>
        <w:pStyle w:val="ListParagraph"/>
        <w:numPr>
          <w:ilvl w:val="0"/>
          <w:numId w:val="105"/>
        </w:numPr>
        <w:tabs>
          <w:tab w:val="left" w:pos="567"/>
        </w:tabs>
        <w:ind w:left="0" w:firstLine="0"/>
        <w:jc w:val="both"/>
        <w:rPr>
          <w:rFonts w:cs="Arial"/>
        </w:rPr>
      </w:pPr>
      <w:r w:rsidRPr="00675D47">
        <w:t>The regularization process for long-serving temporary emp</w:t>
      </w:r>
      <w:r w:rsidR="00874089">
        <w:t>loyees (LSTEs) was completed in </w:t>
      </w:r>
      <w:r w:rsidRPr="00675D47">
        <w:t xml:space="preserve">2014, with 31 LSTEs on continuing functions regularized following a competition.  The regularization of the remaining 66 temporary functions of a continuing nature approved by the Member States will be completed in 2016.  In 2014, some 23 posts were published for external </w:t>
      </w:r>
      <w:r w:rsidRPr="007D7BC8">
        <w:t>competition.  The</w:t>
      </w:r>
      <w:r w:rsidRPr="00797FCA">
        <w:t xml:space="preserve"> year 2014 also witnessed significant recruitment activity</w:t>
      </w:r>
      <w:r>
        <w:t>,</w:t>
      </w:r>
      <w:r w:rsidRPr="00797FCA">
        <w:t xml:space="preserve"> with 97</w:t>
      </w:r>
      <w:r w:rsidRPr="00797FCA">
        <w:rPr>
          <w:b/>
        </w:rPr>
        <w:t xml:space="preserve"> </w:t>
      </w:r>
      <w:r w:rsidRPr="00797FCA">
        <w:t>competitions for fixed-term posts and 37</w:t>
      </w:r>
      <w:r w:rsidRPr="00797FCA">
        <w:rPr>
          <w:b/>
        </w:rPr>
        <w:t xml:space="preserve"> </w:t>
      </w:r>
      <w:r w:rsidRPr="00797FCA">
        <w:t xml:space="preserve">for temporary positions, </w:t>
      </w:r>
      <w:r>
        <w:t>representing</w:t>
      </w:r>
      <w:r w:rsidRPr="00797FCA">
        <w:t xml:space="preserve"> an increase of </w:t>
      </w:r>
      <w:r>
        <w:t>26</w:t>
      </w:r>
      <w:r w:rsidRPr="00797FCA">
        <w:t xml:space="preserve"> per cent over 2013. </w:t>
      </w:r>
      <w:r>
        <w:t xml:space="preserve"> </w:t>
      </w:r>
      <w:r w:rsidRPr="00797FCA">
        <w:t xml:space="preserve">In 2014, the recruitment </w:t>
      </w:r>
      <w:r>
        <w:t xml:space="preserve">lead time was on track to meet the target of </w:t>
      </w:r>
      <w:r w:rsidRPr="00797FCA">
        <w:t>14.7 weeks</w:t>
      </w:r>
      <w:r>
        <w:t xml:space="preserve">, however with </w:t>
      </w:r>
      <w:r w:rsidRPr="00797FCA">
        <w:t xml:space="preserve">20 of the selection processes </w:t>
      </w:r>
      <w:r>
        <w:t>still not completed.</w:t>
      </w:r>
      <w:r>
        <w:rPr>
          <w:rFonts w:cs="Arial"/>
        </w:rPr>
        <w:t xml:space="preserve">    </w:t>
      </w:r>
    </w:p>
    <w:p w:rsidR="00CE4C9D" w:rsidRPr="00747E7E" w:rsidRDefault="00CE4C9D" w:rsidP="00CE4C9D">
      <w:pPr>
        <w:jc w:val="both"/>
        <w:rPr>
          <w:rFonts w:eastAsia="Batang"/>
          <w:bCs/>
          <w:highlight w:val="yellow"/>
          <w:lang w:eastAsia="ja-JP"/>
        </w:rPr>
      </w:pPr>
    </w:p>
    <w:p w:rsidR="00CE4C9D" w:rsidRDefault="00CE4C9D" w:rsidP="00845557">
      <w:pPr>
        <w:pStyle w:val="ListParagraph"/>
        <w:numPr>
          <w:ilvl w:val="0"/>
          <w:numId w:val="105"/>
        </w:numPr>
        <w:tabs>
          <w:tab w:val="left" w:pos="567"/>
        </w:tabs>
        <w:ind w:left="0" w:firstLine="0"/>
        <w:jc w:val="both"/>
        <w:rPr>
          <w:bCs/>
          <w:color w:val="000000"/>
        </w:rPr>
      </w:pPr>
      <w:r w:rsidRPr="007D7BC8">
        <w:t xml:space="preserve">In the area of procurement and travel, </w:t>
      </w:r>
      <w:r>
        <w:t>s</w:t>
      </w:r>
      <w:r w:rsidRPr="000F1996">
        <w:rPr>
          <w:bCs/>
          <w:color w:val="000000"/>
        </w:rPr>
        <w:t xml:space="preserve">avings for procured goods and services continued to be yielded from more stringent price negotiations, which resulted in </w:t>
      </w:r>
      <w:r w:rsidR="00CC138D">
        <w:rPr>
          <w:bCs/>
          <w:color w:val="000000"/>
        </w:rPr>
        <w:t>an overall savings of 2,663,000 </w:t>
      </w:r>
      <w:r w:rsidRPr="000F1996">
        <w:rPr>
          <w:bCs/>
          <w:color w:val="000000"/>
        </w:rPr>
        <w:t>Swiss</w:t>
      </w:r>
      <w:r w:rsidR="00874089">
        <w:rPr>
          <w:bCs/>
          <w:color w:val="000000"/>
        </w:rPr>
        <w:t xml:space="preserve"> </w:t>
      </w:r>
      <w:r w:rsidRPr="000F1996">
        <w:rPr>
          <w:bCs/>
          <w:color w:val="000000"/>
        </w:rPr>
        <w:t>francs in 2014.  As regards travel expenditure, the average air ticket price was reduced by 7.5 per cent to</w:t>
      </w:r>
      <w:r w:rsidR="00874089">
        <w:rPr>
          <w:bCs/>
          <w:color w:val="000000"/>
        </w:rPr>
        <w:t> </w:t>
      </w:r>
      <w:r w:rsidRPr="000F1996">
        <w:rPr>
          <w:bCs/>
          <w:color w:val="000000"/>
        </w:rPr>
        <w:t xml:space="preserve">1,598 Swiss francs compared to 1,728 Swiss francs in 2013, thanks to the utilization of more economical fares.  It should also be noted that in 2014, a substantial effort was made to reduce travel expenditure leading to a decrease in both the number of tickets issued and the number of late travel submissions.  Finally, through close monitoring of the administrative process, the average lead time to process purchase requisitions </w:t>
      </w:r>
      <w:r w:rsidR="00A952CD">
        <w:rPr>
          <w:bCs/>
          <w:color w:val="000000"/>
        </w:rPr>
        <w:t>was</w:t>
      </w:r>
      <w:r w:rsidRPr="000F1996">
        <w:rPr>
          <w:bCs/>
          <w:color w:val="000000"/>
        </w:rPr>
        <w:t xml:space="preserve"> reduced by half in four years, resulting in greater efficiency and more agility in procuring goods and services</w:t>
      </w:r>
    </w:p>
    <w:p w:rsidR="00CE4C9D" w:rsidRPr="00747E7E" w:rsidRDefault="00CE4C9D" w:rsidP="00CE4C9D">
      <w:pPr>
        <w:pStyle w:val="Test"/>
        <w:numPr>
          <w:ilvl w:val="0"/>
          <w:numId w:val="0"/>
        </w:numPr>
        <w:jc w:val="both"/>
        <w:rPr>
          <w:sz w:val="20"/>
          <w:szCs w:val="20"/>
          <w:highlight w:val="yellow"/>
        </w:rPr>
      </w:pPr>
    </w:p>
    <w:p w:rsidR="00CE4C9D" w:rsidRPr="00962F20" w:rsidRDefault="00CE4C9D" w:rsidP="00845557">
      <w:pPr>
        <w:pStyle w:val="ListParagraph"/>
        <w:numPr>
          <w:ilvl w:val="0"/>
          <w:numId w:val="105"/>
        </w:numPr>
        <w:tabs>
          <w:tab w:val="left" w:pos="567"/>
        </w:tabs>
        <w:ind w:left="0" w:firstLine="0"/>
        <w:jc w:val="both"/>
        <w:rPr>
          <w:rFonts w:cs="Arial"/>
        </w:rPr>
      </w:pPr>
      <w:r w:rsidRPr="00962F20">
        <w:t xml:space="preserve">As regards ICT enhancements, specific accomplishments in 2014 included:  </w:t>
      </w:r>
      <w:r>
        <w:rPr>
          <w:rFonts w:cs="Arial"/>
        </w:rPr>
        <w:t>p</w:t>
      </w:r>
      <w:r w:rsidRPr="007D7BC8">
        <w:rPr>
          <w:rFonts w:cs="Arial"/>
        </w:rPr>
        <w:t>reliminary tests on enhancements of ICT infrastructure resilience, showing promising results;</w:t>
      </w:r>
      <w:r>
        <w:rPr>
          <w:rFonts w:cs="Arial"/>
        </w:rPr>
        <w:t xml:space="preserve"> completion of the </w:t>
      </w:r>
      <w:r w:rsidRPr="00962F20">
        <w:rPr>
          <w:rFonts w:cs="Arial"/>
        </w:rPr>
        <w:t xml:space="preserve">ICT infrastructure for the </w:t>
      </w:r>
      <w:r>
        <w:rPr>
          <w:rFonts w:cs="Arial"/>
        </w:rPr>
        <w:t>new WIPO Conference Hall</w:t>
      </w:r>
      <w:r w:rsidRPr="00962F20">
        <w:rPr>
          <w:rFonts w:cs="Arial"/>
        </w:rPr>
        <w:t xml:space="preserve"> in time for </w:t>
      </w:r>
      <w:r>
        <w:rPr>
          <w:rFonts w:cs="Arial"/>
        </w:rPr>
        <w:t xml:space="preserve">its </w:t>
      </w:r>
      <w:r w:rsidRPr="00962F20">
        <w:rPr>
          <w:rFonts w:cs="Arial"/>
        </w:rPr>
        <w:t xml:space="preserve">opening for </w:t>
      </w:r>
      <w:r w:rsidRPr="00962F20">
        <w:rPr>
          <w:bCs/>
        </w:rPr>
        <w:t>the twenty-second session of the PBC and the fifty-fourth series of meetings of the WIPO Assemblies</w:t>
      </w:r>
      <w:r w:rsidRPr="00962F20">
        <w:rPr>
          <w:rFonts w:cs="Arial"/>
        </w:rPr>
        <w:t>;</w:t>
      </w:r>
      <w:r>
        <w:rPr>
          <w:rFonts w:cs="Arial"/>
        </w:rPr>
        <w:t xml:space="preserve"> the establishment of </w:t>
      </w:r>
      <w:r w:rsidRPr="00962F20">
        <w:rPr>
          <w:rFonts w:cs="Arial"/>
        </w:rPr>
        <w:t>Service Delivery Agreements (SDAs) to explicitly capture the ICT needs for the specific business areas and also to enable more systematic tracking and monitoring;</w:t>
      </w:r>
      <w:r>
        <w:rPr>
          <w:rFonts w:cs="Arial"/>
        </w:rPr>
        <w:t xml:space="preserve"> enhanced m</w:t>
      </w:r>
      <w:r w:rsidRPr="00962F20">
        <w:rPr>
          <w:rFonts w:cs="Arial"/>
        </w:rPr>
        <w:t>obile telecommunications with more integrated ser</w:t>
      </w:r>
      <w:r>
        <w:rPr>
          <w:rFonts w:cs="Arial"/>
        </w:rPr>
        <w:t>vices offered at lower costs; and f</w:t>
      </w:r>
      <w:r w:rsidRPr="00962F20">
        <w:rPr>
          <w:rFonts w:cs="Arial"/>
        </w:rPr>
        <w:t>urther migration of traditional server platforms to virtual servers, consolidation of database licenses, optimizing policies in managing unused user accounts.</w:t>
      </w:r>
    </w:p>
    <w:p w:rsidR="00CE4C9D" w:rsidRDefault="00CE4C9D" w:rsidP="00CE4C9D">
      <w:pPr>
        <w:pStyle w:val="Test"/>
        <w:numPr>
          <w:ilvl w:val="0"/>
          <w:numId w:val="0"/>
        </w:numPr>
        <w:jc w:val="both"/>
        <w:rPr>
          <w:sz w:val="20"/>
          <w:szCs w:val="20"/>
          <w:highlight w:val="yellow"/>
        </w:rPr>
      </w:pPr>
    </w:p>
    <w:p w:rsidR="00CE4C9D" w:rsidRDefault="00CE4C9D" w:rsidP="00845557">
      <w:pPr>
        <w:pStyle w:val="ListParagraph"/>
        <w:numPr>
          <w:ilvl w:val="0"/>
          <w:numId w:val="105"/>
        </w:numPr>
        <w:tabs>
          <w:tab w:val="left" w:pos="567"/>
        </w:tabs>
        <w:ind w:left="0" w:firstLine="0"/>
        <w:jc w:val="both"/>
      </w:pPr>
      <w:r w:rsidRPr="007D7BC8">
        <w:lastRenderedPageBreak/>
        <w:t>In the field of information assurance, as part of the</w:t>
      </w:r>
      <w:r>
        <w:t xml:space="preserve"> continuous improvement process promoted by the ISO 27001 Standard, the PCT underwent re-certification to the updated 2013 version of the standard (ISO 27001:2013), with no major or minor non-conformities.  As part of this process, a series of third party service provider risk assessments was carried out to ensure improved supply-chain security for services.  The year 2014 also saw the launch of a solution aimed at raising user awareness around the topic of Phishing.  The first such campaign resulted in a dramatic increase in the number of phishing attempts being reported by the user community.</w:t>
      </w:r>
    </w:p>
    <w:p w:rsidR="00CE4C9D" w:rsidRDefault="00CE4C9D" w:rsidP="00CE4C9D">
      <w:pPr>
        <w:jc w:val="both"/>
      </w:pPr>
    </w:p>
    <w:p w:rsidR="00CE4C9D" w:rsidRDefault="00CE4C9D" w:rsidP="00845557">
      <w:pPr>
        <w:pStyle w:val="ListParagraph"/>
        <w:numPr>
          <w:ilvl w:val="0"/>
          <w:numId w:val="105"/>
        </w:numPr>
        <w:tabs>
          <w:tab w:val="left" w:pos="567"/>
        </w:tabs>
        <w:ind w:left="0" w:firstLine="0"/>
        <w:jc w:val="both"/>
        <w:rPr>
          <w:rFonts w:cs="Arial"/>
          <w:bCs/>
          <w:lang w:eastAsia="zh-CN"/>
        </w:rPr>
      </w:pPr>
      <w:r>
        <w:rPr>
          <w:rFonts w:cs="Arial"/>
          <w:bCs/>
          <w:lang w:eastAsia="zh-CN"/>
        </w:rPr>
        <w:t>T</w:t>
      </w:r>
      <w:r w:rsidRPr="00070896">
        <w:rPr>
          <w:rFonts w:cs="Arial"/>
          <w:bCs/>
          <w:lang w:eastAsia="zh-CN"/>
        </w:rPr>
        <w:t xml:space="preserve">he WIPO Language Policy </w:t>
      </w:r>
      <w:r>
        <w:rPr>
          <w:rFonts w:cs="Arial"/>
          <w:bCs/>
          <w:lang w:eastAsia="zh-CN"/>
        </w:rPr>
        <w:t xml:space="preserve">continued to be effectively implemented </w:t>
      </w:r>
      <w:r w:rsidRPr="00070896">
        <w:rPr>
          <w:rFonts w:cs="Arial"/>
          <w:bCs/>
          <w:lang w:eastAsia="zh-CN"/>
        </w:rPr>
        <w:t xml:space="preserve">by extending the six-language coverage to Working Groups in a phased and cost effective manner.  According to the timeline set by Member States, coverage was extended in 2014 to the PCT Working Group and the Working Group on the Legal Development of the Hague System for the International Registration of Industrial Designs. </w:t>
      </w:r>
    </w:p>
    <w:p w:rsidR="00CE4C9D" w:rsidRDefault="00CE4C9D" w:rsidP="00CE4C9D">
      <w:pPr>
        <w:jc w:val="both"/>
        <w:rPr>
          <w:rFonts w:cs="Arial"/>
          <w:bCs/>
          <w:lang w:eastAsia="zh-CN"/>
        </w:rPr>
      </w:pPr>
    </w:p>
    <w:p w:rsidR="00CE4C9D" w:rsidRDefault="00CE4C9D" w:rsidP="00845557">
      <w:pPr>
        <w:pStyle w:val="ListParagraph"/>
        <w:numPr>
          <w:ilvl w:val="0"/>
          <w:numId w:val="105"/>
        </w:numPr>
        <w:tabs>
          <w:tab w:val="left" w:pos="567"/>
        </w:tabs>
        <w:ind w:left="0" w:firstLine="0"/>
        <w:jc w:val="both"/>
        <w:rPr>
          <w:rFonts w:cs="Arial"/>
        </w:rPr>
      </w:pPr>
      <w:r>
        <w:rPr>
          <w:rFonts w:cs="Arial"/>
        </w:rPr>
        <w:t xml:space="preserve">A key achievement in 2014 was the inauguration of the new WIPO Conference Hall.  The New Conference Hall Project was delivered in several stages, with various technical and system tests carried out in parallel, area by area.  The new Access Center was delivered in July 2014; the exterior landscaping between the New Building, the new WIPO Conference Hall and the AB Building was delivered at the end of August 2014; the new WIPO Conference Hall </w:t>
      </w:r>
      <w:r w:rsidRPr="00C473F9">
        <w:rPr>
          <w:rFonts w:cs="Arial"/>
        </w:rPr>
        <w:t>per se</w:t>
      </w:r>
      <w:r>
        <w:rPr>
          <w:rFonts w:cs="Arial"/>
        </w:rPr>
        <w:t xml:space="preserve"> was delivered at the end of August and was available for the holding of the PBC session from September 1 to 5, 2014; the entirety of the new and renovated construction was completed in September 2014 in the new WIPO Conference Hall and three floors of the AB Building, and made available for the session of the</w:t>
      </w:r>
      <w:r w:rsidR="00874089">
        <w:rPr>
          <w:rFonts w:cs="Arial"/>
        </w:rPr>
        <w:t xml:space="preserve"> WIPO Assemblies from September 22 to </w:t>
      </w:r>
      <w:r>
        <w:rPr>
          <w:rFonts w:cs="Arial"/>
        </w:rPr>
        <w:t xml:space="preserve">30, 2014, which included the inauguration of the new WIPO Conference Hall on the opening day in the presence of WIPO Member States and observers, officials from the Host Country (federal, cantonal and municipal levels), representatives from other UN Agencies, and from the 70-odd companies and firms that had contributed to the construction and completion of the Project.  </w:t>
      </w:r>
    </w:p>
    <w:p w:rsidR="00CE4C9D" w:rsidRDefault="00CE4C9D" w:rsidP="00CE4C9D">
      <w:pPr>
        <w:jc w:val="both"/>
        <w:rPr>
          <w:rFonts w:cs="Arial"/>
          <w:szCs w:val="20"/>
        </w:rPr>
      </w:pPr>
    </w:p>
    <w:p w:rsidR="00CE4C9D" w:rsidRDefault="00CE4C9D" w:rsidP="00845557">
      <w:pPr>
        <w:pStyle w:val="ListParagraph"/>
        <w:numPr>
          <w:ilvl w:val="0"/>
          <w:numId w:val="105"/>
        </w:numPr>
        <w:tabs>
          <w:tab w:val="left" w:pos="567"/>
        </w:tabs>
        <w:ind w:left="0" w:firstLine="0"/>
        <w:jc w:val="both"/>
        <w:rPr>
          <w:bCs/>
        </w:rPr>
      </w:pPr>
      <w:r w:rsidRPr="007E3779">
        <w:rPr>
          <w:bCs/>
        </w:rPr>
        <w:t xml:space="preserve">The year 2014 </w:t>
      </w:r>
      <w:r>
        <w:rPr>
          <w:bCs/>
        </w:rPr>
        <w:t xml:space="preserve">also </w:t>
      </w:r>
      <w:r w:rsidRPr="007E3779">
        <w:rPr>
          <w:bCs/>
        </w:rPr>
        <w:t>saw a number of important safety and security achievements</w:t>
      </w:r>
      <w:r>
        <w:rPr>
          <w:bCs/>
        </w:rPr>
        <w:t xml:space="preserve">, notably the opening of the </w:t>
      </w:r>
      <w:r w:rsidRPr="00BD7E9A">
        <w:rPr>
          <w:bCs/>
        </w:rPr>
        <w:t xml:space="preserve">new </w:t>
      </w:r>
      <w:r>
        <w:rPr>
          <w:bCs/>
        </w:rPr>
        <w:t xml:space="preserve">WIPO </w:t>
      </w:r>
      <w:r w:rsidRPr="00BD7E9A">
        <w:rPr>
          <w:bCs/>
        </w:rPr>
        <w:t>Access Center (AB reception) and the Security Coordi</w:t>
      </w:r>
      <w:r>
        <w:rPr>
          <w:bCs/>
        </w:rPr>
        <w:t>nation Operations Center (SCOC).</w:t>
      </w:r>
      <w:r w:rsidRPr="00BD7E9A">
        <w:rPr>
          <w:bCs/>
        </w:rPr>
        <w:t xml:space="preserve"> </w:t>
      </w:r>
      <w:r>
        <w:rPr>
          <w:bCs/>
        </w:rPr>
        <w:t xml:space="preserve">In addition, </w:t>
      </w:r>
      <w:r w:rsidRPr="007E3779">
        <w:rPr>
          <w:bCs/>
        </w:rPr>
        <w:t xml:space="preserve">the H-MOSS </w:t>
      </w:r>
      <w:r>
        <w:rPr>
          <w:bCs/>
        </w:rPr>
        <w:t>p</w:t>
      </w:r>
      <w:r w:rsidRPr="007E3779">
        <w:rPr>
          <w:bCs/>
        </w:rPr>
        <w:t>roject neared completion, with 95 per cent of new systems</w:t>
      </w:r>
      <w:r>
        <w:rPr>
          <w:bCs/>
        </w:rPr>
        <w:t xml:space="preserve"> </w:t>
      </w:r>
      <w:r w:rsidRPr="007E3779">
        <w:rPr>
          <w:bCs/>
        </w:rPr>
        <w:t>fully operational by the end of 2014</w:t>
      </w:r>
      <w:r>
        <w:rPr>
          <w:bCs/>
        </w:rPr>
        <w:t>.  These enhancements</w:t>
      </w:r>
      <w:r w:rsidRPr="00FF1D60">
        <w:rPr>
          <w:bCs/>
        </w:rPr>
        <w:t xml:space="preserve"> </w:t>
      </w:r>
      <w:r>
        <w:rPr>
          <w:bCs/>
        </w:rPr>
        <w:t>significantly strengthened</w:t>
      </w:r>
      <w:r w:rsidRPr="00BD7E9A">
        <w:rPr>
          <w:bCs/>
        </w:rPr>
        <w:t xml:space="preserve"> safety and security throughout the WIPO campus</w:t>
      </w:r>
      <w:r>
        <w:rPr>
          <w:bCs/>
        </w:rPr>
        <w:t xml:space="preserve">, and in line with the project plan, enabled a gradual reduction in the level of on-site security staff in 2014, although not to the extent originally foreseen.  </w:t>
      </w:r>
    </w:p>
    <w:p w:rsidR="00CE4C9D" w:rsidRDefault="00CE4C9D" w:rsidP="00CE4C9D">
      <w:r w:rsidRPr="00070896">
        <w:rPr>
          <w:rFonts w:cs="Arial"/>
          <w:bCs/>
          <w:lang w:eastAsia="zh-CN"/>
        </w:rPr>
        <w:t xml:space="preserve"> </w:t>
      </w:r>
    </w:p>
    <w:p w:rsidR="003C6933" w:rsidRDefault="003C6933">
      <w:pPr>
        <w:rPr>
          <w:rFonts w:ascii="Arial Bold" w:hAnsi="Arial Bold"/>
          <w:b/>
          <w:bCs/>
          <w:caps/>
          <w:szCs w:val="28"/>
        </w:rPr>
      </w:pPr>
      <w:r>
        <w:rPr>
          <w:rFonts w:ascii="Arial Bold" w:hAnsi="Arial Bold"/>
          <w:b/>
          <w:bCs/>
          <w:caps/>
          <w:szCs w:val="28"/>
        </w:rPr>
        <w:br w:type="page"/>
      </w:r>
    </w:p>
    <w:p w:rsidR="00CE4C9D" w:rsidRPr="009C0DA2" w:rsidRDefault="00CE4C9D" w:rsidP="00CE4C9D">
      <w:pPr>
        <w:rPr>
          <w:rFonts w:ascii="Arial Bold" w:hAnsi="Arial Bold"/>
          <w:b/>
          <w:bCs/>
          <w:caps/>
          <w:szCs w:val="28"/>
        </w:rPr>
      </w:pPr>
    </w:p>
    <w:p w:rsidR="007F6F24" w:rsidRPr="00985C27" w:rsidRDefault="00D735A1" w:rsidP="00845557">
      <w:pPr>
        <w:pStyle w:val="Heading1"/>
        <w:tabs>
          <w:tab w:val="clear" w:pos="284"/>
        </w:tabs>
        <w:ind w:hanging="578"/>
        <w:jc w:val="left"/>
      </w:pPr>
      <w:bookmarkStart w:id="13" w:name="_Toc421867752"/>
      <w:bookmarkStart w:id="14" w:name="_Toc421868019"/>
      <w:bookmarkStart w:id="15" w:name="_Toc421868069"/>
      <w:bookmarkStart w:id="16" w:name="_Toc422127323"/>
      <w:bookmarkStart w:id="17" w:name="_Toc422134318"/>
      <w:bookmarkStart w:id="18" w:name="_Toc421867753"/>
      <w:bookmarkStart w:id="19" w:name="_Toc421868020"/>
      <w:bookmarkStart w:id="20" w:name="_Toc421868070"/>
      <w:bookmarkStart w:id="21" w:name="_Toc422127324"/>
      <w:bookmarkStart w:id="22" w:name="_Toc422134319"/>
      <w:bookmarkStart w:id="23" w:name="_Toc421867754"/>
      <w:bookmarkStart w:id="24" w:name="_Toc421868021"/>
      <w:bookmarkStart w:id="25" w:name="_Toc421868071"/>
      <w:bookmarkStart w:id="26" w:name="_Toc422127325"/>
      <w:bookmarkStart w:id="27" w:name="_Toc422134320"/>
      <w:bookmarkStart w:id="28" w:name="_Toc421867755"/>
      <w:bookmarkStart w:id="29" w:name="_Toc421868022"/>
      <w:bookmarkStart w:id="30" w:name="_Toc421868072"/>
      <w:bookmarkStart w:id="31" w:name="_Toc422127326"/>
      <w:bookmarkStart w:id="32" w:name="_Toc422134321"/>
      <w:bookmarkStart w:id="33" w:name="_Toc421867756"/>
      <w:bookmarkStart w:id="34" w:name="_Toc421868023"/>
      <w:bookmarkStart w:id="35" w:name="_Toc421868073"/>
      <w:bookmarkStart w:id="36" w:name="_Toc422127327"/>
      <w:bookmarkStart w:id="37" w:name="_Toc422134322"/>
      <w:bookmarkStart w:id="38" w:name="_Toc421867757"/>
      <w:bookmarkStart w:id="39" w:name="_Toc421868024"/>
      <w:bookmarkStart w:id="40" w:name="_Toc421868074"/>
      <w:bookmarkStart w:id="41" w:name="_Toc422127328"/>
      <w:bookmarkStart w:id="42" w:name="_Toc422134323"/>
      <w:bookmarkStart w:id="43" w:name="_Toc294535814"/>
      <w:bookmarkStart w:id="44" w:name="_Toc327875006"/>
      <w:bookmarkStart w:id="45" w:name="_Toc358366918"/>
      <w:bookmarkStart w:id="46" w:name="_Toc422210475"/>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t xml:space="preserve">OVERVIEW OF PROGRESS IN 2014 BY </w:t>
      </w:r>
      <w:r w:rsidR="003C6933">
        <w:t>STRATEGIC GOAL</w:t>
      </w:r>
      <w:bookmarkEnd w:id="43"/>
      <w:bookmarkEnd w:id="44"/>
      <w:bookmarkEnd w:id="45"/>
      <w:bookmarkEnd w:id="46"/>
    </w:p>
    <w:p w:rsidR="007F6F24" w:rsidRDefault="007F6F24" w:rsidP="007F6F24">
      <w:pPr>
        <w:jc w:val="both"/>
      </w:pPr>
    </w:p>
    <w:p w:rsidR="00A87689" w:rsidRPr="003A6CAB" w:rsidRDefault="00A87689" w:rsidP="00C1753F">
      <w:pPr>
        <w:pStyle w:val="StyleHeading214ptAuto"/>
        <w:rPr>
          <w:rFonts w:ascii="Arial" w:hAnsi="Arial"/>
          <w:bCs w:val="0"/>
          <w:caps w:val="0"/>
          <w:sz w:val="20"/>
          <w:szCs w:val="24"/>
          <w:lang w:val="en-US" w:eastAsia="en-US"/>
        </w:rPr>
      </w:pPr>
      <w:bookmarkStart w:id="47" w:name="_Toc422210476"/>
      <w:r w:rsidRPr="003A6CAB">
        <w:rPr>
          <w:rFonts w:ascii="Arial" w:hAnsi="Arial"/>
          <w:bCs w:val="0"/>
          <w:caps w:val="0"/>
          <w:sz w:val="20"/>
          <w:szCs w:val="24"/>
          <w:lang w:val="en-US" w:eastAsia="en-US"/>
        </w:rPr>
        <w:t>STRATEGIC GOAL I</w:t>
      </w:r>
      <w:bookmarkEnd w:id="47"/>
    </w:p>
    <w:p w:rsidR="00A87689" w:rsidRDefault="00A87689" w:rsidP="00845557">
      <w:pPr>
        <w:jc w:val="center"/>
      </w:pPr>
    </w:p>
    <w:p w:rsidR="00A87689" w:rsidRPr="00304D88" w:rsidRDefault="00A87689" w:rsidP="00845557">
      <w:pPr>
        <w:jc w:val="center"/>
      </w:pPr>
      <w:r w:rsidRPr="00845557">
        <w:rPr>
          <w:b/>
        </w:rPr>
        <w:t>BALANCED EVOLUTION OF THE INTERNATIONAL</w:t>
      </w:r>
    </w:p>
    <w:p w:rsidR="00A87689" w:rsidRPr="00304D88" w:rsidRDefault="00A87689" w:rsidP="00845557">
      <w:pPr>
        <w:jc w:val="center"/>
      </w:pPr>
      <w:r w:rsidRPr="00845557">
        <w:rPr>
          <w:b/>
        </w:rPr>
        <w:t>NORMATIVE FRAMEWORK FOR IP</w:t>
      </w:r>
    </w:p>
    <w:p w:rsidR="00A87689" w:rsidRPr="00AF0343" w:rsidRDefault="00A87689" w:rsidP="00C1753F">
      <w:pPr>
        <w:jc w:val="center"/>
        <w:rPr>
          <w:b/>
        </w:rPr>
      </w:pPr>
    </w:p>
    <w:p w:rsidR="00A87689" w:rsidRPr="00551736" w:rsidRDefault="00A87689" w:rsidP="00C1753F">
      <w:pPr>
        <w:jc w:val="center"/>
        <w:rPr>
          <w:b/>
        </w:rPr>
      </w:pPr>
      <w:r w:rsidRPr="00551736">
        <w:rPr>
          <w:b/>
        </w:rPr>
        <w:t>Mid-term Performance Dashboard (2014)</w:t>
      </w:r>
    </w:p>
    <w:p w:rsidR="00A87689" w:rsidRPr="00551736" w:rsidRDefault="00A87689" w:rsidP="00C1753F">
      <w:pPr>
        <w:jc w:val="both"/>
      </w:pPr>
    </w:p>
    <w:p w:rsidR="00A87689" w:rsidRDefault="00A87689" w:rsidP="00C1753F">
      <w:pPr>
        <w:jc w:val="both"/>
        <w:rPr>
          <w:rFonts w:cs="Arial"/>
        </w:rPr>
      </w:pPr>
      <w:r w:rsidRPr="00551736">
        <w:t>The dashboard below provides a summary of the progress towards the ac</w:t>
      </w:r>
      <w:r>
        <w:t>hievement of the Results in </w:t>
      </w:r>
      <w:r w:rsidRPr="00551736">
        <w:t>2014 as measured by the indicators under the Programs contributing to this Strategic Goal.</w:t>
      </w:r>
    </w:p>
    <w:p w:rsidR="00A87689" w:rsidRDefault="00A87689" w:rsidP="00C1753F">
      <w:pPr>
        <w:jc w:val="center"/>
        <w:rPr>
          <w:rFonts w:cs="Arial"/>
        </w:rPr>
      </w:pPr>
      <w:r>
        <w:rPr>
          <w:rFonts w:cs="Arial"/>
          <w:noProof/>
        </w:rPr>
        <w:drawing>
          <wp:inline distT="0" distB="0" distL="0" distR="0" wp14:anchorId="74BD2F91" wp14:editId="18D6CA6F">
            <wp:extent cx="4572635" cy="2743200"/>
            <wp:effectExtent l="0" t="0" r="0" b="0"/>
            <wp:docPr id="868" name="Picture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A87689" w:rsidRDefault="00A87689" w:rsidP="00C1753F">
      <w:pPr>
        <w:jc w:val="both"/>
        <w:rPr>
          <w:rFonts w:cs="Aria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26"/>
        <w:gridCol w:w="4250"/>
        <w:gridCol w:w="1464"/>
        <w:gridCol w:w="831"/>
      </w:tblGrid>
      <w:tr w:rsidR="00A87689" w:rsidRPr="00AF5E7C" w:rsidTr="00C1753F">
        <w:trPr>
          <w:cantSplit/>
          <w:tblHeader/>
        </w:trPr>
        <w:tc>
          <w:tcPr>
            <w:tcW w:w="1581" w:type="pct"/>
            <w:tcBorders>
              <w:top w:val="single" w:sz="4" w:space="0" w:color="auto"/>
              <w:bottom w:val="single" w:sz="4" w:space="0" w:color="auto"/>
            </w:tcBorders>
            <w:shd w:val="clear" w:color="auto" w:fill="CCFFFF"/>
            <w:tcMar>
              <w:top w:w="113" w:type="dxa"/>
              <w:bottom w:w="113" w:type="dxa"/>
            </w:tcMar>
            <w:vAlign w:val="center"/>
          </w:tcPr>
          <w:p w:rsidR="00A87689" w:rsidRPr="007B07A4" w:rsidRDefault="00A87689" w:rsidP="00C1753F">
            <w:pPr>
              <w:spacing w:after="120"/>
              <w:jc w:val="center"/>
              <w:rPr>
                <w:rFonts w:cs="Arial"/>
                <w:b/>
                <w:bCs/>
                <w:sz w:val="18"/>
                <w:szCs w:val="18"/>
              </w:rPr>
            </w:pPr>
            <w:r w:rsidRPr="007B07A4">
              <w:rPr>
                <w:rFonts w:cs="Arial"/>
                <w:b/>
                <w:bCs/>
                <w:sz w:val="18"/>
                <w:szCs w:val="18"/>
              </w:rPr>
              <w:t>Expected Results</w:t>
            </w:r>
          </w:p>
        </w:tc>
        <w:tc>
          <w:tcPr>
            <w:tcW w:w="2220" w:type="pct"/>
            <w:tcBorders>
              <w:top w:val="single" w:sz="4" w:space="0" w:color="auto"/>
              <w:bottom w:val="single" w:sz="4" w:space="0" w:color="auto"/>
            </w:tcBorders>
            <w:shd w:val="clear" w:color="auto" w:fill="CCFFFF"/>
            <w:tcMar>
              <w:top w:w="113" w:type="dxa"/>
              <w:bottom w:w="113" w:type="dxa"/>
            </w:tcMar>
            <w:vAlign w:val="center"/>
          </w:tcPr>
          <w:p w:rsidR="00A87689" w:rsidRPr="007B07A4" w:rsidRDefault="00A87689" w:rsidP="00C1753F">
            <w:pPr>
              <w:spacing w:after="120"/>
              <w:jc w:val="center"/>
              <w:rPr>
                <w:rFonts w:cs="Arial"/>
                <w:b/>
                <w:sz w:val="18"/>
                <w:szCs w:val="18"/>
              </w:rPr>
            </w:pPr>
            <w:r w:rsidRPr="007B07A4">
              <w:rPr>
                <w:rFonts w:cs="Arial"/>
                <w:b/>
                <w:sz w:val="18"/>
                <w:szCs w:val="18"/>
              </w:rPr>
              <w:t>Performance Indicators</w:t>
            </w:r>
          </w:p>
        </w:tc>
        <w:tc>
          <w:tcPr>
            <w:tcW w:w="765" w:type="pct"/>
            <w:tcBorders>
              <w:top w:val="single" w:sz="4" w:space="0" w:color="auto"/>
              <w:bottom w:val="single" w:sz="4" w:space="0" w:color="auto"/>
            </w:tcBorders>
            <w:shd w:val="clear" w:color="auto" w:fill="CCFFFF"/>
            <w:tcMar>
              <w:top w:w="113" w:type="dxa"/>
              <w:bottom w:w="113" w:type="dxa"/>
            </w:tcMar>
            <w:vAlign w:val="center"/>
          </w:tcPr>
          <w:p w:rsidR="00A87689" w:rsidRPr="007B07A4" w:rsidRDefault="00A87689" w:rsidP="00C1753F">
            <w:pPr>
              <w:spacing w:after="120"/>
              <w:ind w:left="85"/>
              <w:jc w:val="center"/>
              <w:rPr>
                <w:rFonts w:cs="Arial"/>
                <w:sz w:val="18"/>
                <w:szCs w:val="18"/>
              </w:rPr>
            </w:pPr>
            <w:r w:rsidRPr="007B07A4">
              <w:rPr>
                <w:rFonts w:cs="Arial"/>
                <w:b/>
                <w:bCs/>
                <w:sz w:val="18"/>
                <w:szCs w:val="18"/>
              </w:rPr>
              <w:t>Responsible Program(s)</w:t>
            </w:r>
          </w:p>
        </w:tc>
        <w:tc>
          <w:tcPr>
            <w:tcW w:w="434" w:type="pct"/>
            <w:tcBorders>
              <w:top w:val="single" w:sz="4" w:space="0" w:color="auto"/>
              <w:bottom w:val="single" w:sz="4" w:space="0" w:color="auto"/>
            </w:tcBorders>
            <w:shd w:val="clear" w:color="auto" w:fill="CCFFFF"/>
            <w:vAlign w:val="center"/>
          </w:tcPr>
          <w:p w:rsidR="00A87689" w:rsidRPr="007B07A4" w:rsidRDefault="00A87689" w:rsidP="00C1753F">
            <w:pPr>
              <w:spacing w:after="120"/>
              <w:ind w:left="85"/>
              <w:jc w:val="center"/>
              <w:rPr>
                <w:rFonts w:cs="Arial"/>
                <w:b/>
                <w:bCs/>
                <w:sz w:val="18"/>
                <w:szCs w:val="18"/>
              </w:rPr>
            </w:pPr>
            <w:r>
              <w:rPr>
                <w:rFonts w:cs="Arial"/>
                <w:b/>
                <w:bCs/>
                <w:sz w:val="18"/>
                <w:szCs w:val="18"/>
              </w:rPr>
              <w:t>TLS</w:t>
            </w:r>
          </w:p>
        </w:tc>
      </w:tr>
      <w:tr w:rsidR="00A87689" w:rsidRPr="00AF5E7C" w:rsidTr="00C1753F">
        <w:trPr>
          <w:cantSplit/>
        </w:trPr>
        <w:tc>
          <w:tcPr>
            <w:tcW w:w="1581" w:type="pct"/>
            <w:tcBorders>
              <w:top w:val="single" w:sz="4" w:space="0" w:color="auto"/>
            </w:tcBorders>
            <w:shd w:val="clear" w:color="auto" w:fill="auto"/>
            <w:tcMar>
              <w:top w:w="113" w:type="dxa"/>
              <w:bottom w:w="113" w:type="dxa"/>
            </w:tcMar>
          </w:tcPr>
          <w:p w:rsidR="00A87689" w:rsidRPr="00A27611" w:rsidRDefault="00A87689" w:rsidP="00C1753F">
            <w:pPr>
              <w:rPr>
                <w:rFonts w:cs="Arial"/>
                <w:sz w:val="16"/>
                <w:szCs w:val="16"/>
              </w:rPr>
            </w:pPr>
            <w:r w:rsidRPr="00A27611">
              <w:rPr>
                <w:rFonts w:cs="Arial"/>
                <w:sz w:val="16"/>
                <w:szCs w:val="16"/>
              </w:rPr>
              <w:t xml:space="preserve">I.1 </w:t>
            </w:r>
            <w:r>
              <w:rPr>
                <w:rFonts w:cs="Arial"/>
                <w:sz w:val="16"/>
                <w:szCs w:val="16"/>
              </w:rPr>
              <w:t xml:space="preserve"> </w:t>
            </w:r>
            <w:r w:rsidRPr="00D85DF9">
              <w:rPr>
                <w:rFonts w:cs="Arial"/>
                <w:sz w:val="16"/>
                <w:szCs w:val="16"/>
              </w:rPr>
              <w:t xml:space="preserve">Enhanced cooperation among Member States on development of balanced international normative frameworks for IP and </w:t>
            </w:r>
            <w:r>
              <w:rPr>
                <w:rFonts w:cs="Arial"/>
                <w:sz w:val="16"/>
                <w:szCs w:val="16"/>
              </w:rPr>
              <w:t>agreement</w:t>
            </w:r>
            <w:r w:rsidRPr="00D85DF9">
              <w:rPr>
                <w:rFonts w:cs="Arial"/>
                <w:sz w:val="16"/>
                <w:szCs w:val="16"/>
              </w:rPr>
              <w:t xml:space="preserve"> on specific topics on which international instruments are agreed</w:t>
            </w:r>
          </w:p>
        </w:tc>
        <w:tc>
          <w:tcPr>
            <w:tcW w:w="2220" w:type="pct"/>
            <w:tcBorders>
              <w:top w:val="single" w:sz="4" w:space="0" w:color="auto"/>
            </w:tcBorders>
            <w:shd w:val="clear" w:color="auto" w:fill="auto"/>
            <w:tcMar>
              <w:top w:w="113" w:type="dxa"/>
              <w:bottom w:w="113" w:type="dxa"/>
            </w:tcMar>
          </w:tcPr>
          <w:p w:rsidR="00A87689" w:rsidRPr="00A27611" w:rsidRDefault="00A87689" w:rsidP="00C1753F">
            <w:pPr>
              <w:rPr>
                <w:rFonts w:cs="Arial"/>
                <w:sz w:val="16"/>
                <w:szCs w:val="16"/>
              </w:rPr>
            </w:pPr>
            <w:r w:rsidRPr="00A27611">
              <w:rPr>
                <w:rFonts w:cs="Arial"/>
                <w:sz w:val="16"/>
                <w:szCs w:val="16"/>
              </w:rPr>
              <w:t>Progress on the implementation of SCP agreed steps/plans</w:t>
            </w:r>
          </w:p>
        </w:tc>
        <w:tc>
          <w:tcPr>
            <w:tcW w:w="765" w:type="pct"/>
            <w:tcBorders>
              <w:top w:val="single" w:sz="4" w:space="0" w:color="auto"/>
            </w:tcBorders>
            <w:shd w:val="clear" w:color="auto" w:fill="FFFFFF"/>
            <w:tcMar>
              <w:top w:w="113" w:type="dxa"/>
              <w:bottom w:w="113" w:type="dxa"/>
            </w:tcMar>
          </w:tcPr>
          <w:p w:rsidR="00A87689" w:rsidRPr="00AF5E7C" w:rsidRDefault="00A87689" w:rsidP="00C1753F">
            <w:pPr>
              <w:jc w:val="center"/>
              <w:rPr>
                <w:rFonts w:cs="Arial"/>
                <w:sz w:val="16"/>
                <w:szCs w:val="16"/>
              </w:rPr>
            </w:pPr>
            <w:r>
              <w:rPr>
                <w:rFonts w:cs="Arial"/>
                <w:sz w:val="16"/>
                <w:szCs w:val="16"/>
                <w:lang w:bidi="th-TH"/>
              </w:rPr>
              <w:t>Program 1</w:t>
            </w:r>
          </w:p>
        </w:tc>
        <w:tc>
          <w:tcPr>
            <w:tcW w:w="434" w:type="pct"/>
            <w:tcBorders>
              <w:top w:val="single" w:sz="4" w:space="0" w:color="auto"/>
            </w:tcBorders>
            <w:shd w:val="clear" w:color="auto" w:fill="FFFFFF"/>
          </w:tcPr>
          <w:p w:rsidR="00A87689" w:rsidRPr="007B54B1" w:rsidRDefault="00A87689" w:rsidP="00C1753F">
            <w:pPr>
              <w:spacing w:before="40"/>
              <w:jc w:val="center"/>
              <w:rPr>
                <w:rFonts w:cs="Arial"/>
                <w:color w:val="008000"/>
                <w:sz w:val="22"/>
                <w:szCs w:val="22"/>
              </w:rPr>
            </w:pPr>
            <w:r w:rsidRPr="007B54B1">
              <w:rPr>
                <w:rFonts w:cs="Arial"/>
                <w:color w:val="008000"/>
                <w:sz w:val="22"/>
                <w:szCs w:val="22"/>
              </w:rPr>
              <w:sym w:font="Wingdings" w:char="F06C"/>
            </w:r>
          </w:p>
        </w:tc>
      </w:tr>
      <w:tr w:rsidR="00A87689" w:rsidRPr="00AF5E7C" w:rsidTr="00C1753F">
        <w:trPr>
          <w:cantSplit/>
          <w:trHeight w:val="600"/>
        </w:trPr>
        <w:tc>
          <w:tcPr>
            <w:tcW w:w="1581" w:type="pct"/>
            <w:shd w:val="clear" w:color="auto" w:fill="auto"/>
            <w:tcMar>
              <w:top w:w="113" w:type="dxa"/>
              <w:bottom w:w="113" w:type="dxa"/>
            </w:tcMar>
          </w:tcPr>
          <w:p w:rsidR="00A87689" w:rsidRPr="00AF5E7C" w:rsidRDefault="00A87689" w:rsidP="00C1753F">
            <w:pPr>
              <w:rPr>
                <w:rFonts w:cs="Arial"/>
                <w:sz w:val="16"/>
                <w:szCs w:val="16"/>
              </w:rPr>
            </w:pPr>
          </w:p>
        </w:tc>
        <w:tc>
          <w:tcPr>
            <w:tcW w:w="2220" w:type="pct"/>
            <w:shd w:val="clear" w:color="auto" w:fill="auto"/>
            <w:tcMar>
              <w:top w:w="113" w:type="dxa"/>
              <w:bottom w:w="113" w:type="dxa"/>
            </w:tcMar>
          </w:tcPr>
          <w:p w:rsidR="00A87689" w:rsidRPr="00AF5E7C" w:rsidRDefault="00A87689" w:rsidP="00C1753F">
            <w:pPr>
              <w:rPr>
                <w:rFonts w:cs="Arial"/>
                <w:sz w:val="16"/>
                <w:szCs w:val="16"/>
              </w:rPr>
            </w:pPr>
            <w:r w:rsidRPr="00A45324">
              <w:rPr>
                <w:rFonts w:cs="Arial"/>
                <w:sz w:val="16"/>
                <w:szCs w:val="16"/>
              </w:rPr>
              <w:t>% of satisfied participants in targeted workshops/seminars/conferences held on specific patent-related topics</w:t>
            </w:r>
          </w:p>
        </w:tc>
        <w:tc>
          <w:tcPr>
            <w:tcW w:w="765" w:type="pct"/>
            <w:shd w:val="clear" w:color="auto" w:fill="FFFFFF"/>
            <w:tcMar>
              <w:top w:w="113" w:type="dxa"/>
              <w:bottom w:w="113" w:type="dxa"/>
            </w:tcMar>
          </w:tcPr>
          <w:p w:rsidR="00A87689" w:rsidRPr="00AF5E7C" w:rsidRDefault="00A87689" w:rsidP="00C1753F">
            <w:pPr>
              <w:jc w:val="center"/>
              <w:rPr>
                <w:rFonts w:cs="Arial"/>
                <w:sz w:val="16"/>
                <w:szCs w:val="16"/>
                <w:lang w:bidi="th-TH"/>
              </w:rPr>
            </w:pPr>
            <w:r>
              <w:rPr>
                <w:rFonts w:cs="Arial"/>
                <w:sz w:val="16"/>
                <w:szCs w:val="16"/>
                <w:lang w:bidi="th-TH"/>
              </w:rPr>
              <w:t>Program 1</w:t>
            </w:r>
          </w:p>
        </w:tc>
        <w:tc>
          <w:tcPr>
            <w:tcW w:w="434" w:type="pct"/>
            <w:shd w:val="clear" w:color="auto" w:fill="FFFFFF"/>
          </w:tcPr>
          <w:p w:rsidR="00A87689" w:rsidRDefault="00A87689" w:rsidP="00C1753F">
            <w:pPr>
              <w:spacing w:before="40"/>
              <w:jc w:val="center"/>
            </w:pPr>
            <w:r w:rsidRPr="007B54B1">
              <w:rPr>
                <w:rFonts w:cs="Arial"/>
                <w:color w:val="008000"/>
                <w:sz w:val="22"/>
                <w:szCs w:val="22"/>
              </w:rPr>
              <w:sym w:font="Wingdings" w:char="F06C"/>
            </w:r>
          </w:p>
        </w:tc>
      </w:tr>
      <w:tr w:rsidR="00A87689" w:rsidRPr="00AF5E7C" w:rsidTr="00C1753F">
        <w:trPr>
          <w:cantSplit/>
          <w:trHeight w:val="536"/>
        </w:trPr>
        <w:tc>
          <w:tcPr>
            <w:tcW w:w="1581" w:type="pct"/>
            <w:shd w:val="clear" w:color="auto" w:fill="auto"/>
            <w:tcMar>
              <w:top w:w="113" w:type="dxa"/>
              <w:bottom w:w="113" w:type="dxa"/>
            </w:tcMar>
          </w:tcPr>
          <w:p w:rsidR="00A87689" w:rsidRPr="00AF5E7C" w:rsidRDefault="00A87689" w:rsidP="00C1753F">
            <w:pPr>
              <w:rPr>
                <w:rFonts w:cs="Arial"/>
                <w:sz w:val="16"/>
                <w:szCs w:val="16"/>
              </w:rPr>
            </w:pPr>
          </w:p>
        </w:tc>
        <w:tc>
          <w:tcPr>
            <w:tcW w:w="2220" w:type="pct"/>
            <w:shd w:val="clear" w:color="auto" w:fill="auto"/>
            <w:tcMar>
              <w:top w:w="113" w:type="dxa"/>
              <w:bottom w:w="113" w:type="dxa"/>
            </w:tcMar>
          </w:tcPr>
          <w:p w:rsidR="00A87689" w:rsidRPr="00AF5E7C" w:rsidRDefault="00A87689" w:rsidP="00C1753F">
            <w:pPr>
              <w:rPr>
                <w:rFonts w:cs="Arial"/>
                <w:sz w:val="16"/>
                <w:szCs w:val="16"/>
              </w:rPr>
            </w:pPr>
            <w:r w:rsidRPr="00AF5E7C">
              <w:rPr>
                <w:rFonts w:cs="Arial"/>
                <w:sz w:val="16"/>
                <w:szCs w:val="16"/>
              </w:rPr>
              <w:t>Agreement on a normative framework for industrial design registration and maintenance procedures</w:t>
            </w:r>
          </w:p>
        </w:tc>
        <w:tc>
          <w:tcPr>
            <w:tcW w:w="765" w:type="pct"/>
            <w:shd w:val="clear" w:color="auto" w:fill="FFFFFF"/>
            <w:tcMar>
              <w:top w:w="113" w:type="dxa"/>
              <w:bottom w:w="113" w:type="dxa"/>
            </w:tcMar>
          </w:tcPr>
          <w:p w:rsidR="00A87689" w:rsidRPr="00AF5E7C" w:rsidRDefault="00A87689" w:rsidP="00C1753F">
            <w:pPr>
              <w:jc w:val="center"/>
              <w:rPr>
                <w:rFonts w:cs="Arial"/>
                <w:sz w:val="16"/>
                <w:szCs w:val="16"/>
                <w:lang w:bidi="th-TH"/>
              </w:rPr>
            </w:pPr>
            <w:r>
              <w:rPr>
                <w:rFonts w:cs="Arial"/>
                <w:sz w:val="16"/>
                <w:szCs w:val="16"/>
                <w:lang w:bidi="th-TH"/>
              </w:rPr>
              <w:t>Program 2</w:t>
            </w:r>
          </w:p>
        </w:tc>
        <w:tc>
          <w:tcPr>
            <w:tcW w:w="434" w:type="pct"/>
            <w:shd w:val="clear" w:color="auto" w:fill="FFFFFF"/>
          </w:tcPr>
          <w:p w:rsidR="00A87689" w:rsidRDefault="00A87689" w:rsidP="00C1753F">
            <w:pPr>
              <w:jc w:val="center"/>
            </w:pPr>
            <w:r w:rsidRPr="007B54B1">
              <w:rPr>
                <w:b/>
                <w:bCs/>
                <w:color w:val="FF0000"/>
                <w:sz w:val="22"/>
                <w:szCs w:val="22"/>
              </w:rPr>
              <w:sym w:font="Wingdings" w:char="F06C"/>
            </w:r>
          </w:p>
        </w:tc>
      </w:tr>
      <w:tr w:rsidR="00A87689" w:rsidRPr="00AF5E7C" w:rsidTr="00C1753F">
        <w:trPr>
          <w:cantSplit/>
          <w:trHeight w:val="970"/>
        </w:trPr>
        <w:tc>
          <w:tcPr>
            <w:tcW w:w="1581" w:type="pct"/>
            <w:shd w:val="clear" w:color="auto" w:fill="auto"/>
            <w:tcMar>
              <w:top w:w="113" w:type="dxa"/>
              <w:bottom w:w="113" w:type="dxa"/>
            </w:tcMar>
          </w:tcPr>
          <w:p w:rsidR="00A87689" w:rsidRPr="00AF5E7C" w:rsidRDefault="00A87689" w:rsidP="00C1753F">
            <w:pPr>
              <w:rPr>
                <w:rFonts w:cs="Arial"/>
                <w:sz w:val="16"/>
                <w:szCs w:val="16"/>
              </w:rPr>
            </w:pPr>
          </w:p>
        </w:tc>
        <w:tc>
          <w:tcPr>
            <w:tcW w:w="2220" w:type="pct"/>
            <w:shd w:val="clear" w:color="auto" w:fill="auto"/>
            <w:tcMar>
              <w:top w:w="113" w:type="dxa"/>
              <w:bottom w:w="113" w:type="dxa"/>
            </w:tcMar>
          </w:tcPr>
          <w:p w:rsidR="00A87689" w:rsidRDefault="00A87689" w:rsidP="00C1753F">
            <w:pPr>
              <w:rPr>
                <w:rFonts w:cs="Arial"/>
                <w:sz w:val="16"/>
                <w:szCs w:val="16"/>
                <w:lang w:bidi="th-TH"/>
              </w:rPr>
            </w:pPr>
            <w:r>
              <w:rPr>
                <w:rFonts w:cs="Arial"/>
                <w:sz w:val="16"/>
                <w:szCs w:val="16"/>
                <w:lang w:bidi="th-TH"/>
              </w:rPr>
              <w:t>Progress towards agreement on current issues on the SCT Agenda</w:t>
            </w:r>
          </w:p>
          <w:p w:rsidR="00A87689" w:rsidRPr="00AF5E7C" w:rsidRDefault="00A87689" w:rsidP="00C1753F">
            <w:pPr>
              <w:rPr>
                <w:rFonts w:cs="Arial"/>
                <w:i/>
                <w:sz w:val="16"/>
                <w:szCs w:val="16"/>
              </w:rPr>
            </w:pPr>
          </w:p>
        </w:tc>
        <w:tc>
          <w:tcPr>
            <w:tcW w:w="765" w:type="pct"/>
            <w:shd w:val="clear" w:color="auto" w:fill="FFFFFF"/>
            <w:tcMar>
              <w:top w:w="113" w:type="dxa"/>
              <w:bottom w:w="113" w:type="dxa"/>
            </w:tcMar>
          </w:tcPr>
          <w:p w:rsidR="00A87689" w:rsidRPr="00AF5E7C" w:rsidRDefault="00A87689" w:rsidP="00C1753F">
            <w:pPr>
              <w:jc w:val="center"/>
              <w:rPr>
                <w:rFonts w:cs="Arial"/>
                <w:sz w:val="16"/>
                <w:szCs w:val="16"/>
                <w:lang w:bidi="th-TH"/>
              </w:rPr>
            </w:pPr>
            <w:r>
              <w:rPr>
                <w:rFonts w:cs="Arial"/>
                <w:sz w:val="16"/>
                <w:szCs w:val="16"/>
                <w:lang w:bidi="th-TH"/>
              </w:rPr>
              <w:t>Program 2</w:t>
            </w:r>
          </w:p>
        </w:tc>
        <w:tc>
          <w:tcPr>
            <w:tcW w:w="434" w:type="pct"/>
            <w:shd w:val="clear" w:color="auto" w:fill="FFFFFF"/>
          </w:tcPr>
          <w:p w:rsidR="00A87689" w:rsidRDefault="00A87689" w:rsidP="00C1753F">
            <w:pPr>
              <w:spacing w:before="40"/>
              <w:jc w:val="center"/>
            </w:pPr>
            <w:r w:rsidRPr="004C0330">
              <w:rPr>
                <w:rFonts w:cs="Arial"/>
                <w:color w:val="008000"/>
                <w:sz w:val="22"/>
                <w:szCs w:val="22"/>
              </w:rPr>
              <w:sym w:font="Wingdings" w:char="F06C"/>
            </w:r>
          </w:p>
        </w:tc>
      </w:tr>
      <w:tr w:rsidR="00A87689" w:rsidRPr="00AF5E7C" w:rsidTr="00C1753F">
        <w:trPr>
          <w:cantSplit/>
          <w:trHeight w:val="432"/>
        </w:trPr>
        <w:tc>
          <w:tcPr>
            <w:tcW w:w="1581" w:type="pct"/>
            <w:shd w:val="clear" w:color="auto" w:fill="auto"/>
            <w:tcMar>
              <w:top w:w="113" w:type="dxa"/>
              <w:bottom w:w="113" w:type="dxa"/>
            </w:tcMar>
          </w:tcPr>
          <w:p w:rsidR="00A87689" w:rsidRPr="00AF5E7C" w:rsidRDefault="00A87689" w:rsidP="00C1753F">
            <w:pPr>
              <w:rPr>
                <w:rFonts w:cs="Arial"/>
                <w:sz w:val="16"/>
                <w:szCs w:val="16"/>
              </w:rPr>
            </w:pPr>
          </w:p>
        </w:tc>
        <w:tc>
          <w:tcPr>
            <w:tcW w:w="2220" w:type="pct"/>
            <w:shd w:val="clear" w:color="auto" w:fill="auto"/>
            <w:tcMar>
              <w:top w:w="113" w:type="dxa"/>
              <w:bottom w:w="113" w:type="dxa"/>
            </w:tcMar>
          </w:tcPr>
          <w:p w:rsidR="00A87689" w:rsidRPr="007E3F60" w:rsidRDefault="00A87689" w:rsidP="00C1753F">
            <w:pPr>
              <w:rPr>
                <w:rFonts w:cs="Arial"/>
                <w:sz w:val="16"/>
                <w:szCs w:val="16"/>
              </w:rPr>
            </w:pPr>
            <w:r w:rsidRPr="007E3F60">
              <w:rPr>
                <w:rFonts w:cs="Arial"/>
                <w:sz w:val="16"/>
                <w:szCs w:val="16"/>
              </w:rPr>
              <w:t>N</w:t>
            </w:r>
            <w:r>
              <w:rPr>
                <w:rFonts w:cs="Arial"/>
                <w:sz w:val="16"/>
                <w:szCs w:val="16"/>
              </w:rPr>
              <w:t>o.</w:t>
            </w:r>
            <w:r w:rsidRPr="007E3F60">
              <w:rPr>
                <w:rFonts w:cs="Arial"/>
                <w:sz w:val="16"/>
                <w:szCs w:val="16"/>
              </w:rPr>
              <w:t xml:space="preserve"> of ratifications/</w:t>
            </w:r>
            <w:r>
              <w:rPr>
                <w:rFonts w:cs="Arial"/>
                <w:sz w:val="16"/>
                <w:szCs w:val="16"/>
              </w:rPr>
              <w:t xml:space="preserve"> </w:t>
            </w:r>
            <w:r w:rsidRPr="007E3F60">
              <w:rPr>
                <w:rFonts w:cs="Arial"/>
                <w:sz w:val="16"/>
                <w:szCs w:val="16"/>
              </w:rPr>
              <w:t>accessions to the Singapore Treaty</w:t>
            </w:r>
          </w:p>
        </w:tc>
        <w:tc>
          <w:tcPr>
            <w:tcW w:w="765" w:type="pct"/>
            <w:shd w:val="clear" w:color="auto" w:fill="FFFFFF"/>
            <w:tcMar>
              <w:top w:w="113" w:type="dxa"/>
              <w:bottom w:w="113" w:type="dxa"/>
            </w:tcMar>
          </w:tcPr>
          <w:p w:rsidR="00A87689" w:rsidRPr="00AF5E7C" w:rsidRDefault="00A87689" w:rsidP="00C1753F">
            <w:pPr>
              <w:jc w:val="center"/>
              <w:rPr>
                <w:rFonts w:cs="Arial"/>
                <w:sz w:val="16"/>
                <w:szCs w:val="16"/>
                <w:lang w:bidi="th-TH"/>
              </w:rPr>
            </w:pPr>
            <w:r>
              <w:rPr>
                <w:rFonts w:cs="Arial"/>
                <w:sz w:val="16"/>
                <w:szCs w:val="16"/>
                <w:lang w:bidi="th-TH"/>
              </w:rPr>
              <w:t>Program 2</w:t>
            </w:r>
          </w:p>
        </w:tc>
        <w:tc>
          <w:tcPr>
            <w:tcW w:w="434" w:type="pct"/>
            <w:shd w:val="clear" w:color="auto" w:fill="FFFFFF"/>
          </w:tcPr>
          <w:p w:rsidR="00A87689" w:rsidRDefault="00A87689" w:rsidP="00C1753F">
            <w:pPr>
              <w:spacing w:before="40"/>
              <w:jc w:val="center"/>
            </w:pPr>
            <w:r w:rsidRPr="004C0330">
              <w:rPr>
                <w:rFonts w:cs="Arial"/>
                <w:color w:val="008000"/>
                <w:sz w:val="22"/>
                <w:szCs w:val="22"/>
              </w:rPr>
              <w:sym w:font="Wingdings" w:char="F06C"/>
            </w:r>
          </w:p>
        </w:tc>
      </w:tr>
      <w:tr w:rsidR="00A87689" w:rsidRPr="00AF5E7C" w:rsidTr="00C1753F">
        <w:trPr>
          <w:cantSplit/>
          <w:trHeight w:val="494"/>
        </w:trPr>
        <w:tc>
          <w:tcPr>
            <w:tcW w:w="1581" w:type="pct"/>
            <w:shd w:val="clear" w:color="auto" w:fill="auto"/>
            <w:tcMar>
              <w:top w:w="113" w:type="dxa"/>
              <w:bottom w:w="113" w:type="dxa"/>
            </w:tcMar>
          </w:tcPr>
          <w:p w:rsidR="00A87689" w:rsidRPr="00AF5E7C" w:rsidRDefault="00A87689" w:rsidP="00C1753F">
            <w:pPr>
              <w:rPr>
                <w:rFonts w:cs="Arial"/>
                <w:sz w:val="16"/>
                <w:szCs w:val="16"/>
              </w:rPr>
            </w:pPr>
          </w:p>
        </w:tc>
        <w:tc>
          <w:tcPr>
            <w:tcW w:w="2220" w:type="pct"/>
            <w:shd w:val="clear" w:color="auto" w:fill="auto"/>
            <w:tcMar>
              <w:top w:w="113" w:type="dxa"/>
              <w:bottom w:w="113" w:type="dxa"/>
            </w:tcMar>
          </w:tcPr>
          <w:p w:rsidR="00A87689" w:rsidRPr="007E3F60" w:rsidRDefault="00A87689" w:rsidP="00C1753F">
            <w:pPr>
              <w:rPr>
                <w:rFonts w:cs="Arial"/>
                <w:sz w:val="16"/>
                <w:szCs w:val="16"/>
              </w:rPr>
            </w:pPr>
            <w:r w:rsidRPr="003E2A85">
              <w:rPr>
                <w:rFonts w:cs="Arial"/>
                <w:sz w:val="16"/>
                <w:szCs w:val="16"/>
              </w:rPr>
              <w:t>Progress towards agreement on current issues on the SCCR agenda</w:t>
            </w:r>
          </w:p>
        </w:tc>
        <w:tc>
          <w:tcPr>
            <w:tcW w:w="765" w:type="pct"/>
            <w:shd w:val="clear" w:color="auto" w:fill="FFFFFF"/>
            <w:tcMar>
              <w:top w:w="113" w:type="dxa"/>
              <w:bottom w:w="113" w:type="dxa"/>
            </w:tcMar>
          </w:tcPr>
          <w:p w:rsidR="00A87689" w:rsidRPr="00AF5E7C" w:rsidRDefault="00A87689" w:rsidP="00C1753F">
            <w:pPr>
              <w:jc w:val="center"/>
              <w:rPr>
                <w:rFonts w:cs="Arial"/>
                <w:sz w:val="16"/>
                <w:szCs w:val="16"/>
                <w:lang w:bidi="th-TH"/>
              </w:rPr>
            </w:pPr>
            <w:r>
              <w:rPr>
                <w:rFonts w:cs="Arial"/>
                <w:sz w:val="16"/>
                <w:szCs w:val="16"/>
                <w:lang w:bidi="th-TH"/>
              </w:rPr>
              <w:t>Program 3</w:t>
            </w:r>
          </w:p>
        </w:tc>
        <w:tc>
          <w:tcPr>
            <w:tcW w:w="434" w:type="pct"/>
            <w:shd w:val="clear" w:color="auto" w:fill="FFFFFF"/>
          </w:tcPr>
          <w:p w:rsidR="00A87689" w:rsidRDefault="00A87689" w:rsidP="00C1753F">
            <w:pPr>
              <w:jc w:val="center"/>
            </w:pPr>
            <w:r w:rsidRPr="004C0330">
              <w:rPr>
                <w:b/>
                <w:bCs/>
                <w:color w:val="FF0000"/>
                <w:sz w:val="22"/>
                <w:szCs w:val="22"/>
              </w:rPr>
              <w:sym w:font="Wingdings" w:char="F06C"/>
            </w:r>
          </w:p>
        </w:tc>
      </w:tr>
      <w:tr w:rsidR="00A87689" w:rsidRPr="00AF5E7C" w:rsidTr="00C1753F">
        <w:trPr>
          <w:cantSplit/>
          <w:trHeight w:val="671"/>
        </w:trPr>
        <w:tc>
          <w:tcPr>
            <w:tcW w:w="1581" w:type="pct"/>
            <w:shd w:val="clear" w:color="auto" w:fill="auto"/>
            <w:tcMar>
              <w:top w:w="113" w:type="dxa"/>
              <w:bottom w:w="113" w:type="dxa"/>
            </w:tcMar>
          </w:tcPr>
          <w:p w:rsidR="00A87689" w:rsidRPr="00AF5E7C" w:rsidRDefault="00A87689" w:rsidP="00C1753F">
            <w:pPr>
              <w:rPr>
                <w:rFonts w:cs="Arial"/>
                <w:sz w:val="16"/>
                <w:szCs w:val="16"/>
              </w:rPr>
            </w:pPr>
          </w:p>
        </w:tc>
        <w:tc>
          <w:tcPr>
            <w:tcW w:w="2220" w:type="pct"/>
            <w:shd w:val="clear" w:color="auto" w:fill="auto"/>
            <w:tcMar>
              <w:top w:w="113" w:type="dxa"/>
              <w:bottom w:w="113" w:type="dxa"/>
            </w:tcMar>
          </w:tcPr>
          <w:p w:rsidR="00A87689" w:rsidRPr="007E3F60" w:rsidRDefault="00A87689" w:rsidP="00C1753F">
            <w:pPr>
              <w:rPr>
                <w:rFonts w:cs="Arial"/>
                <w:sz w:val="16"/>
                <w:szCs w:val="16"/>
              </w:rPr>
            </w:pPr>
            <w:r>
              <w:rPr>
                <w:rFonts w:cs="Arial"/>
                <w:sz w:val="16"/>
                <w:szCs w:val="16"/>
              </w:rPr>
              <w:t xml:space="preserve">Agreement in the IGC’s negotiations on </w:t>
            </w:r>
            <w:r w:rsidRPr="0089565B">
              <w:rPr>
                <w:rFonts w:cs="Arial"/>
                <w:sz w:val="16"/>
                <w:szCs w:val="16"/>
              </w:rPr>
              <w:t>an international legal instrument(s)</w:t>
            </w:r>
            <w:r>
              <w:rPr>
                <w:rFonts w:cs="Arial"/>
                <w:sz w:val="16"/>
                <w:szCs w:val="16"/>
              </w:rPr>
              <w:t xml:space="preserve"> on TK, TCEs and GRs</w:t>
            </w:r>
          </w:p>
        </w:tc>
        <w:tc>
          <w:tcPr>
            <w:tcW w:w="765" w:type="pct"/>
            <w:shd w:val="clear" w:color="auto" w:fill="FFFFFF"/>
            <w:tcMar>
              <w:top w:w="113" w:type="dxa"/>
              <w:bottom w:w="113" w:type="dxa"/>
            </w:tcMar>
          </w:tcPr>
          <w:p w:rsidR="00A87689" w:rsidRPr="00AF5E7C" w:rsidRDefault="00A87689" w:rsidP="00C1753F">
            <w:pPr>
              <w:jc w:val="center"/>
              <w:rPr>
                <w:rFonts w:cs="Arial"/>
                <w:sz w:val="16"/>
                <w:szCs w:val="16"/>
                <w:lang w:bidi="th-TH"/>
              </w:rPr>
            </w:pPr>
            <w:r>
              <w:rPr>
                <w:rFonts w:cs="Arial"/>
                <w:sz w:val="16"/>
                <w:szCs w:val="16"/>
                <w:lang w:bidi="th-TH"/>
              </w:rPr>
              <w:t>Program 4</w:t>
            </w:r>
          </w:p>
        </w:tc>
        <w:tc>
          <w:tcPr>
            <w:tcW w:w="434" w:type="pct"/>
            <w:shd w:val="clear" w:color="auto" w:fill="FFFFFF"/>
          </w:tcPr>
          <w:p w:rsidR="00A87689" w:rsidRDefault="00A87689" w:rsidP="00C1753F">
            <w:pPr>
              <w:jc w:val="center"/>
            </w:pPr>
            <w:r w:rsidRPr="00CC5242">
              <w:rPr>
                <w:rFonts w:cs="Arial"/>
                <w:color w:val="FF0000"/>
                <w:sz w:val="22"/>
                <w:szCs w:val="22"/>
              </w:rPr>
              <w:sym w:font="Wingdings" w:char="F06C"/>
            </w:r>
          </w:p>
        </w:tc>
      </w:tr>
      <w:tr w:rsidR="00A87689" w:rsidRPr="00AF5E7C" w:rsidTr="00C1753F">
        <w:trPr>
          <w:cantSplit/>
          <w:trHeight w:val="1300"/>
        </w:trPr>
        <w:tc>
          <w:tcPr>
            <w:tcW w:w="1581" w:type="pct"/>
            <w:shd w:val="clear" w:color="auto" w:fill="auto"/>
            <w:tcMar>
              <w:top w:w="113" w:type="dxa"/>
              <w:bottom w:w="113" w:type="dxa"/>
            </w:tcMar>
          </w:tcPr>
          <w:p w:rsidR="00A87689" w:rsidRPr="00A27611" w:rsidRDefault="00A87689" w:rsidP="00C1753F">
            <w:pPr>
              <w:rPr>
                <w:rFonts w:cs="Arial"/>
                <w:sz w:val="16"/>
                <w:szCs w:val="16"/>
              </w:rPr>
            </w:pPr>
            <w:r w:rsidRPr="00A27611">
              <w:rPr>
                <w:rFonts w:cs="Arial"/>
                <w:sz w:val="16"/>
                <w:szCs w:val="16"/>
              </w:rPr>
              <w:t>I.2</w:t>
            </w:r>
            <w:r>
              <w:rPr>
                <w:rFonts w:cs="Arial"/>
                <w:sz w:val="16"/>
                <w:szCs w:val="16"/>
              </w:rPr>
              <w:t xml:space="preserve">  </w:t>
            </w:r>
            <w:r w:rsidRPr="00A27611">
              <w:rPr>
                <w:rFonts w:cs="Arial"/>
                <w:sz w:val="16"/>
                <w:szCs w:val="16"/>
              </w:rPr>
              <w:t>Tailored and balanced IP legislative, regulatory and policy frameworks</w:t>
            </w:r>
          </w:p>
        </w:tc>
        <w:tc>
          <w:tcPr>
            <w:tcW w:w="2220" w:type="pct"/>
            <w:shd w:val="clear" w:color="auto" w:fill="auto"/>
            <w:tcMar>
              <w:top w:w="113" w:type="dxa"/>
              <w:bottom w:w="113" w:type="dxa"/>
            </w:tcMar>
          </w:tcPr>
          <w:p w:rsidR="00A87689" w:rsidRPr="00A27611" w:rsidRDefault="00A87689" w:rsidP="00C1753F">
            <w:pPr>
              <w:rPr>
                <w:rFonts w:cs="Arial"/>
                <w:sz w:val="16"/>
                <w:szCs w:val="16"/>
              </w:rPr>
            </w:pPr>
            <w:r w:rsidRPr="00A27611">
              <w:rPr>
                <w:rFonts w:cs="Arial"/>
                <w:sz w:val="16"/>
                <w:szCs w:val="16"/>
              </w:rPr>
              <w:t>N</w:t>
            </w:r>
            <w:r>
              <w:rPr>
                <w:rFonts w:cs="Arial"/>
                <w:sz w:val="16"/>
                <w:szCs w:val="16"/>
              </w:rPr>
              <w:t>o.</w:t>
            </w:r>
            <w:r w:rsidRPr="00A27611">
              <w:rPr>
                <w:rFonts w:cs="Arial"/>
                <w:sz w:val="16"/>
                <w:szCs w:val="16"/>
              </w:rPr>
              <w:t xml:space="preserve"> and % of Member States which found the provided information concerning the legal principles and practices of the patent system, including the flexibilities existing in the system and the challenges it faces, useful</w:t>
            </w:r>
          </w:p>
        </w:tc>
        <w:tc>
          <w:tcPr>
            <w:tcW w:w="765" w:type="pct"/>
            <w:shd w:val="clear" w:color="auto" w:fill="FFFFFF"/>
            <w:tcMar>
              <w:top w:w="113" w:type="dxa"/>
              <w:bottom w:w="113" w:type="dxa"/>
            </w:tcMar>
          </w:tcPr>
          <w:p w:rsidR="00A87689" w:rsidRPr="00AF5E7C" w:rsidRDefault="00A87689" w:rsidP="00C1753F">
            <w:pPr>
              <w:jc w:val="center"/>
              <w:rPr>
                <w:rFonts w:cs="Arial"/>
                <w:sz w:val="16"/>
                <w:szCs w:val="16"/>
                <w:lang w:bidi="th-TH"/>
              </w:rPr>
            </w:pPr>
            <w:r>
              <w:rPr>
                <w:rFonts w:cs="Arial"/>
                <w:sz w:val="16"/>
                <w:szCs w:val="16"/>
                <w:lang w:bidi="th-TH"/>
              </w:rPr>
              <w:t>Program 1</w:t>
            </w:r>
          </w:p>
        </w:tc>
        <w:tc>
          <w:tcPr>
            <w:tcW w:w="434" w:type="pct"/>
            <w:shd w:val="clear" w:color="auto" w:fill="FFFFFF"/>
          </w:tcPr>
          <w:p w:rsidR="00A87689" w:rsidRDefault="00A87689" w:rsidP="00C1753F">
            <w:pPr>
              <w:spacing w:before="40"/>
              <w:jc w:val="center"/>
            </w:pPr>
            <w:r w:rsidRPr="007B54B1">
              <w:rPr>
                <w:rFonts w:cs="Arial"/>
                <w:color w:val="008000"/>
                <w:sz w:val="22"/>
                <w:szCs w:val="22"/>
              </w:rPr>
              <w:sym w:font="Wingdings" w:char="F06C"/>
            </w:r>
          </w:p>
        </w:tc>
      </w:tr>
      <w:tr w:rsidR="00A87689" w:rsidRPr="00AF5E7C" w:rsidTr="00C1753F">
        <w:trPr>
          <w:cantSplit/>
          <w:trHeight w:val="378"/>
        </w:trPr>
        <w:tc>
          <w:tcPr>
            <w:tcW w:w="1581" w:type="pct"/>
            <w:vMerge w:val="restart"/>
            <w:shd w:val="clear" w:color="auto" w:fill="auto"/>
            <w:tcMar>
              <w:top w:w="113" w:type="dxa"/>
              <w:bottom w:w="113" w:type="dxa"/>
            </w:tcMar>
          </w:tcPr>
          <w:p w:rsidR="00A87689" w:rsidRPr="00AF5E7C" w:rsidRDefault="00A87689" w:rsidP="00C1753F">
            <w:pPr>
              <w:rPr>
                <w:rFonts w:cs="Arial"/>
                <w:sz w:val="16"/>
                <w:szCs w:val="16"/>
              </w:rPr>
            </w:pPr>
          </w:p>
        </w:tc>
        <w:tc>
          <w:tcPr>
            <w:tcW w:w="2220" w:type="pct"/>
            <w:vMerge w:val="restart"/>
            <w:shd w:val="clear" w:color="auto" w:fill="auto"/>
            <w:tcMar>
              <w:top w:w="113" w:type="dxa"/>
              <w:bottom w:w="113" w:type="dxa"/>
            </w:tcMar>
          </w:tcPr>
          <w:p w:rsidR="00A87689" w:rsidRPr="00A27611" w:rsidRDefault="00A87689" w:rsidP="00C1753F">
            <w:pPr>
              <w:rPr>
                <w:rFonts w:cs="Arial"/>
                <w:sz w:val="16"/>
                <w:szCs w:val="16"/>
              </w:rPr>
            </w:pPr>
            <w:r w:rsidRPr="00A27611">
              <w:rPr>
                <w:rFonts w:cs="Arial"/>
                <w:sz w:val="16"/>
                <w:szCs w:val="16"/>
              </w:rPr>
              <w:t>No</w:t>
            </w:r>
            <w:r>
              <w:rPr>
                <w:rFonts w:cs="Arial"/>
                <w:sz w:val="16"/>
                <w:szCs w:val="16"/>
              </w:rPr>
              <w:t>.</w:t>
            </w:r>
            <w:r w:rsidRPr="00A27611">
              <w:rPr>
                <w:rFonts w:cs="Arial"/>
                <w:sz w:val="16"/>
                <w:szCs w:val="16"/>
              </w:rPr>
              <w:t xml:space="preserve"> and % of Member States which were satisfied with the quality of legal advice related to patents, utility models, trade secrets and integrated circuits</w:t>
            </w:r>
          </w:p>
        </w:tc>
        <w:tc>
          <w:tcPr>
            <w:tcW w:w="765" w:type="pct"/>
            <w:shd w:val="clear" w:color="auto" w:fill="FFFFFF"/>
            <w:tcMar>
              <w:top w:w="113" w:type="dxa"/>
              <w:bottom w:w="113" w:type="dxa"/>
            </w:tcMar>
          </w:tcPr>
          <w:p w:rsidR="00A87689" w:rsidRPr="00AF5E7C" w:rsidRDefault="00A87689" w:rsidP="00C1753F">
            <w:pPr>
              <w:jc w:val="center"/>
              <w:rPr>
                <w:rFonts w:cs="Arial"/>
                <w:sz w:val="16"/>
                <w:szCs w:val="16"/>
                <w:lang w:bidi="th-TH"/>
              </w:rPr>
            </w:pPr>
            <w:r>
              <w:rPr>
                <w:rFonts w:cs="Arial"/>
                <w:sz w:val="16"/>
                <w:szCs w:val="16"/>
                <w:lang w:bidi="th-TH"/>
              </w:rPr>
              <w:t>Program 1</w:t>
            </w:r>
          </w:p>
        </w:tc>
        <w:tc>
          <w:tcPr>
            <w:tcW w:w="434" w:type="pct"/>
            <w:shd w:val="clear" w:color="auto" w:fill="FFFFFF"/>
          </w:tcPr>
          <w:p w:rsidR="00A87689" w:rsidRPr="00EA56A7" w:rsidRDefault="00A87689" w:rsidP="00C1753F">
            <w:pPr>
              <w:spacing w:before="40"/>
              <w:jc w:val="center"/>
              <w:rPr>
                <w:rFonts w:cs="Arial"/>
                <w:color w:val="008000"/>
                <w:sz w:val="22"/>
                <w:szCs w:val="22"/>
              </w:rPr>
            </w:pPr>
            <w:r w:rsidRPr="007B54B1">
              <w:rPr>
                <w:rFonts w:cs="Arial"/>
                <w:color w:val="008000"/>
                <w:sz w:val="22"/>
                <w:szCs w:val="22"/>
              </w:rPr>
              <w:sym w:font="Wingdings" w:char="F06C"/>
            </w:r>
          </w:p>
        </w:tc>
      </w:tr>
      <w:tr w:rsidR="00A87689" w:rsidRPr="00AF5E7C" w:rsidTr="00C1753F">
        <w:trPr>
          <w:cantSplit/>
          <w:trHeight w:val="303"/>
        </w:trPr>
        <w:tc>
          <w:tcPr>
            <w:tcW w:w="1581" w:type="pct"/>
            <w:vMerge/>
            <w:shd w:val="clear" w:color="auto" w:fill="auto"/>
            <w:tcMar>
              <w:top w:w="113" w:type="dxa"/>
              <w:bottom w:w="113" w:type="dxa"/>
            </w:tcMar>
          </w:tcPr>
          <w:p w:rsidR="00A87689" w:rsidRPr="00AF5E7C" w:rsidRDefault="00A87689" w:rsidP="00C1753F">
            <w:pPr>
              <w:rPr>
                <w:rFonts w:cs="Arial"/>
                <w:sz w:val="16"/>
                <w:szCs w:val="16"/>
              </w:rPr>
            </w:pPr>
          </w:p>
        </w:tc>
        <w:tc>
          <w:tcPr>
            <w:tcW w:w="2220" w:type="pct"/>
            <w:vMerge/>
            <w:shd w:val="clear" w:color="auto" w:fill="auto"/>
            <w:tcMar>
              <w:top w:w="113" w:type="dxa"/>
              <w:bottom w:w="113" w:type="dxa"/>
            </w:tcMar>
          </w:tcPr>
          <w:p w:rsidR="00A87689" w:rsidRPr="00A27611" w:rsidRDefault="00A87689" w:rsidP="00C1753F">
            <w:pPr>
              <w:rPr>
                <w:rFonts w:cs="Arial"/>
                <w:sz w:val="16"/>
                <w:szCs w:val="16"/>
              </w:rPr>
            </w:pPr>
          </w:p>
        </w:tc>
        <w:tc>
          <w:tcPr>
            <w:tcW w:w="765" w:type="pct"/>
            <w:shd w:val="clear" w:color="auto" w:fill="FFFFFF"/>
            <w:tcMar>
              <w:top w:w="113" w:type="dxa"/>
              <w:bottom w:w="113" w:type="dxa"/>
            </w:tcMar>
          </w:tcPr>
          <w:p w:rsidR="00A87689" w:rsidRDefault="00A87689" w:rsidP="00C1753F">
            <w:pPr>
              <w:jc w:val="center"/>
              <w:rPr>
                <w:rFonts w:cs="Arial"/>
                <w:sz w:val="16"/>
                <w:szCs w:val="16"/>
                <w:lang w:bidi="th-TH"/>
              </w:rPr>
            </w:pPr>
            <w:r>
              <w:rPr>
                <w:rFonts w:cs="Arial"/>
                <w:sz w:val="16"/>
                <w:szCs w:val="16"/>
                <w:lang w:bidi="th-TH"/>
              </w:rPr>
              <w:t>Program 9</w:t>
            </w:r>
          </w:p>
        </w:tc>
        <w:tc>
          <w:tcPr>
            <w:tcW w:w="434" w:type="pct"/>
            <w:shd w:val="clear" w:color="auto" w:fill="FFFFFF"/>
          </w:tcPr>
          <w:p w:rsidR="00A87689" w:rsidRPr="007B54B1" w:rsidRDefault="00A87689" w:rsidP="00C1753F">
            <w:pPr>
              <w:spacing w:before="40"/>
              <w:jc w:val="center"/>
              <w:rPr>
                <w:rFonts w:cs="Arial"/>
                <w:color w:val="008000"/>
                <w:sz w:val="22"/>
                <w:szCs w:val="22"/>
              </w:rPr>
            </w:pPr>
            <w:r w:rsidRPr="007B54B1">
              <w:rPr>
                <w:rFonts w:cs="Arial"/>
                <w:color w:val="008000"/>
                <w:sz w:val="22"/>
                <w:szCs w:val="22"/>
              </w:rPr>
              <w:sym w:font="Wingdings" w:char="F06C"/>
            </w:r>
          </w:p>
        </w:tc>
      </w:tr>
      <w:tr w:rsidR="00A87689" w:rsidRPr="00AF5E7C" w:rsidTr="00C1753F">
        <w:trPr>
          <w:cantSplit/>
          <w:trHeight w:val="650"/>
        </w:trPr>
        <w:tc>
          <w:tcPr>
            <w:tcW w:w="1581" w:type="pct"/>
            <w:shd w:val="clear" w:color="auto" w:fill="auto"/>
            <w:tcMar>
              <w:top w:w="113" w:type="dxa"/>
              <w:bottom w:w="113" w:type="dxa"/>
            </w:tcMar>
          </w:tcPr>
          <w:p w:rsidR="00A87689" w:rsidRPr="00AF5E7C" w:rsidRDefault="00A87689" w:rsidP="00C1753F">
            <w:pPr>
              <w:rPr>
                <w:rFonts w:cs="Arial"/>
                <w:sz w:val="16"/>
                <w:szCs w:val="16"/>
              </w:rPr>
            </w:pPr>
          </w:p>
        </w:tc>
        <w:tc>
          <w:tcPr>
            <w:tcW w:w="2220" w:type="pct"/>
            <w:shd w:val="clear" w:color="auto" w:fill="auto"/>
            <w:tcMar>
              <w:top w:w="113" w:type="dxa"/>
              <w:bottom w:w="113" w:type="dxa"/>
            </w:tcMar>
          </w:tcPr>
          <w:p w:rsidR="00A87689" w:rsidRDefault="00A87689" w:rsidP="00C1753F">
            <w:pPr>
              <w:rPr>
                <w:rFonts w:cs="Arial"/>
                <w:sz w:val="16"/>
                <w:szCs w:val="16"/>
              </w:rPr>
            </w:pPr>
            <w:r>
              <w:rPr>
                <w:rFonts w:cs="Arial"/>
                <w:sz w:val="16"/>
                <w:szCs w:val="16"/>
              </w:rPr>
              <w:t>Subject to approval by Member States, p</w:t>
            </w:r>
            <w:r w:rsidRPr="00A27611">
              <w:rPr>
                <w:rFonts w:cs="Arial"/>
                <w:sz w:val="16"/>
                <w:szCs w:val="16"/>
              </w:rPr>
              <w:t>rogress on the revision of the Patent Model Law for developing countries and LDCs</w:t>
            </w:r>
          </w:p>
          <w:p w:rsidR="00A87689" w:rsidRDefault="00A87689" w:rsidP="00C1753F">
            <w:pPr>
              <w:rPr>
                <w:rFonts w:cs="Arial"/>
                <w:sz w:val="16"/>
                <w:szCs w:val="16"/>
              </w:rPr>
            </w:pPr>
          </w:p>
          <w:p w:rsidR="00A87689" w:rsidRDefault="00A87689" w:rsidP="00C1753F">
            <w:pPr>
              <w:rPr>
                <w:rFonts w:cs="Arial"/>
                <w:sz w:val="16"/>
                <w:szCs w:val="16"/>
              </w:rPr>
            </w:pPr>
          </w:p>
          <w:p w:rsidR="00A87689" w:rsidRPr="00A27611" w:rsidRDefault="00A87689" w:rsidP="00C1753F">
            <w:pPr>
              <w:rPr>
                <w:rFonts w:cs="Arial"/>
                <w:sz w:val="16"/>
                <w:szCs w:val="16"/>
              </w:rPr>
            </w:pPr>
          </w:p>
        </w:tc>
        <w:tc>
          <w:tcPr>
            <w:tcW w:w="765" w:type="pct"/>
            <w:shd w:val="clear" w:color="auto" w:fill="FFFFFF"/>
            <w:tcMar>
              <w:top w:w="113" w:type="dxa"/>
              <w:bottom w:w="113" w:type="dxa"/>
            </w:tcMar>
          </w:tcPr>
          <w:p w:rsidR="00A87689" w:rsidRPr="00AF5E7C" w:rsidRDefault="00A87689" w:rsidP="00C1753F">
            <w:pPr>
              <w:jc w:val="center"/>
              <w:rPr>
                <w:rFonts w:cs="Arial"/>
                <w:sz w:val="16"/>
                <w:szCs w:val="16"/>
                <w:lang w:bidi="th-TH"/>
              </w:rPr>
            </w:pPr>
            <w:r>
              <w:rPr>
                <w:rFonts w:cs="Arial"/>
                <w:sz w:val="16"/>
                <w:szCs w:val="16"/>
                <w:lang w:bidi="th-TH"/>
              </w:rPr>
              <w:t>Program 1</w:t>
            </w:r>
          </w:p>
        </w:tc>
        <w:tc>
          <w:tcPr>
            <w:tcW w:w="434" w:type="pct"/>
            <w:shd w:val="clear" w:color="auto" w:fill="FFFFFF"/>
          </w:tcPr>
          <w:p w:rsidR="00A87689" w:rsidRPr="007B54B1" w:rsidRDefault="00A87689" w:rsidP="00C1753F">
            <w:pPr>
              <w:jc w:val="center"/>
              <w:rPr>
                <w:sz w:val="22"/>
                <w:szCs w:val="22"/>
              </w:rPr>
            </w:pPr>
            <w:r w:rsidRPr="007B54B1">
              <w:rPr>
                <w:b/>
                <w:bCs/>
                <w:color w:val="FF0000"/>
                <w:sz w:val="22"/>
                <w:szCs w:val="22"/>
              </w:rPr>
              <w:sym w:font="Wingdings" w:char="F06C"/>
            </w:r>
          </w:p>
        </w:tc>
      </w:tr>
      <w:tr w:rsidR="00A87689" w:rsidRPr="00AF5E7C" w:rsidTr="00C1753F">
        <w:trPr>
          <w:cantSplit/>
          <w:trHeight w:val="389"/>
        </w:trPr>
        <w:tc>
          <w:tcPr>
            <w:tcW w:w="1581" w:type="pct"/>
            <w:vMerge w:val="restart"/>
            <w:shd w:val="clear" w:color="auto" w:fill="auto"/>
            <w:tcMar>
              <w:top w:w="113" w:type="dxa"/>
              <w:bottom w:w="113" w:type="dxa"/>
            </w:tcMar>
          </w:tcPr>
          <w:p w:rsidR="00A87689" w:rsidRPr="00AF5E7C" w:rsidRDefault="00A87689" w:rsidP="00C1753F">
            <w:pPr>
              <w:rPr>
                <w:rFonts w:cs="Arial"/>
                <w:sz w:val="16"/>
                <w:szCs w:val="16"/>
              </w:rPr>
            </w:pPr>
          </w:p>
        </w:tc>
        <w:tc>
          <w:tcPr>
            <w:tcW w:w="2220" w:type="pct"/>
            <w:vMerge w:val="restart"/>
            <w:shd w:val="clear" w:color="auto" w:fill="auto"/>
            <w:tcMar>
              <w:top w:w="113" w:type="dxa"/>
              <w:bottom w:w="113" w:type="dxa"/>
            </w:tcMar>
          </w:tcPr>
          <w:p w:rsidR="00A87689" w:rsidRPr="00A27611" w:rsidRDefault="00A87689" w:rsidP="00C1753F">
            <w:pPr>
              <w:rPr>
                <w:rFonts w:cs="Arial"/>
                <w:sz w:val="16"/>
                <w:szCs w:val="16"/>
              </w:rPr>
            </w:pPr>
            <w:r w:rsidRPr="007E3F60">
              <w:rPr>
                <w:rFonts w:cs="Arial"/>
                <w:sz w:val="16"/>
                <w:szCs w:val="16"/>
              </w:rPr>
              <w:t>N</w:t>
            </w:r>
            <w:r>
              <w:rPr>
                <w:rFonts w:cs="Arial"/>
                <w:sz w:val="16"/>
                <w:szCs w:val="16"/>
              </w:rPr>
              <w:t>o.</w:t>
            </w:r>
            <w:r w:rsidRPr="007E3F60">
              <w:rPr>
                <w:rFonts w:cs="Arial"/>
                <w:sz w:val="16"/>
                <w:szCs w:val="16"/>
              </w:rPr>
              <w:t xml:space="preserve"> and </w:t>
            </w:r>
            <w:r>
              <w:rPr>
                <w:rFonts w:cs="Arial"/>
                <w:sz w:val="16"/>
                <w:szCs w:val="16"/>
              </w:rPr>
              <w:t>%</w:t>
            </w:r>
            <w:r w:rsidRPr="007E3F60">
              <w:rPr>
                <w:rFonts w:cs="Arial"/>
                <w:sz w:val="16"/>
                <w:szCs w:val="16"/>
              </w:rPr>
              <w:t xml:space="preserve"> of Member States/regional organizations providing positive feedback on the legislative advice offered in the area of trademarks, industrial designs and geographical indications</w:t>
            </w:r>
          </w:p>
        </w:tc>
        <w:tc>
          <w:tcPr>
            <w:tcW w:w="765" w:type="pct"/>
            <w:shd w:val="clear" w:color="auto" w:fill="FFFFFF"/>
            <w:tcMar>
              <w:top w:w="113" w:type="dxa"/>
              <w:bottom w:w="113" w:type="dxa"/>
            </w:tcMar>
          </w:tcPr>
          <w:p w:rsidR="00A87689" w:rsidRPr="00AF5E7C" w:rsidRDefault="00A87689" w:rsidP="00C1753F">
            <w:pPr>
              <w:jc w:val="center"/>
              <w:rPr>
                <w:rFonts w:cs="Arial"/>
                <w:sz w:val="16"/>
                <w:szCs w:val="16"/>
                <w:lang w:bidi="th-TH"/>
              </w:rPr>
            </w:pPr>
            <w:r>
              <w:rPr>
                <w:rFonts w:cs="Arial"/>
                <w:sz w:val="16"/>
                <w:szCs w:val="16"/>
                <w:lang w:bidi="th-TH"/>
              </w:rPr>
              <w:t>Program 2</w:t>
            </w:r>
          </w:p>
        </w:tc>
        <w:tc>
          <w:tcPr>
            <w:tcW w:w="434" w:type="pct"/>
            <w:shd w:val="clear" w:color="auto" w:fill="FFFFFF"/>
          </w:tcPr>
          <w:p w:rsidR="00A87689" w:rsidRPr="00EA56A7" w:rsidRDefault="00A87689" w:rsidP="00C1753F">
            <w:pPr>
              <w:spacing w:before="40"/>
              <w:jc w:val="center"/>
              <w:rPr>
                <w:rFonts w:cs="Arial"/>
                <w:color w:val="008000"/>
                <w:sz w:val="22"/>
                <w:szCs w:val="22"/>
              </w:rPr>
            </w:pPr>
            <w:r w:rsidRPr="004C0330">
              <w:rPr>
                <w:rFonts w:cs="Arial"/>
                <w:color w:val="008000"/>
                <w:sz w:val="22"/>
                <w:szCs w:val="22"/>
              </w:rPr>
              <w:sym w:font="Wingdings" w:char="F06C"/>
            </w:r>
          </w:p>
        </w:tc>
      </w:tr>
      <w:tr w:rsidR="00A87689" w:rsidRPr="00AF5E7C" w:rsidTr="00C1753F">
        <w:trPr>
          <w:cantSplit/>
          <w:trHeight w:val="58"/>
        </w:trPr>
        <w:tc>
          <w:tcPr>
            <w:tcW w:w="1581" w:type="pct"/>
            <w:vMerge/>
            <w:shd w:val="clear" w:color="auto" w:fill="auto"/>
            <w:tcMar>
              <w:top w:w="113" w:type="dxa"/>
              <w:bottom w:w="113" w:type="dxa"/>
            </w:tcMar>
          </w:tcPr>
          <w:p w:rsidR="00A87689" w:rsidRPr="00AF5E7C" w:rsidRDefault="00A87689" w:rsidP="00C1753F">
            <w:pPr>
              <w:rPr>
                <w:rFonts w:cs="Arial"/>
                <w:sz w:val="16"/>
                <w:szCs w:val="16"/>
              </w:rPr>
            </w:pPr>
          </w:p>
        </w:tc>
        <w:tc>
          <w:tcPr>
            <w:tcW w:w="2220" w:type="pct"/>
            <w:vMerge/>
            <w:shd w:val="clear" w:color="auto" w:fill="auto"/>
            <w:tcMar>
              <w:top w:w="113" w:type="dxa"/>
              <w:bottom w:w="113" w:type="dxa"/>
            </w:tcMar>
          </w:tcPr>
          <w:p w:rsidR="00A87689" w:rsidRPr="007E3F60" w:rsidRDefault="00A87689" w:rsidP="00C1753F">
            <w:pPr>
              <w:rPr>
                <w:rFonts w:cs="Arial"/>
                <w:sz w:val="16"/>
                <w:szCs w:val="16"/>
              </w:rPr>
            </w:pPr>
          </w:p>
        </w:tc>
        <w:tc>
          <w:tcPr>
            <w:tcW w:w="765" w:type="pct"/>
            <w:shd w:val="clear" w:color="auto" w:fill="FFFFFF"/>
            <w:tcMar>
              <w:top w:w="113" w:type="dxa"/>
              <w:bottom w:w="113" w:type="dxa"/>
            </w:tcMar>
          </w:tcPr>
          <w:p w:rsidR="00A87689" w:rsidRDefault="00A87689" w:rsidP="00C1753F">
            <w:pPr>
              <w:jc w:val="center"/>
              <w:rPr>
                <w:rFonts w:cs="Arial"/>
                <w:sz w:val="16"/>
                <w:szCs w:val="16"/>
                <w:lang w:bidi="th-TH"/>
              </w:rPr>
            </w:pPr>
            <w:r>
              <w:rPr>
                <w:rFonts w:cs="Arial"/>
                <w:sz w:val="16"/>
                <w:szCs w:val="16"/>
                <w:lang w:bidi="th-TH"/>
              </w:rPr>
              <w:t>Program 9</w:t>
            </w:r>
          </w:p>
        </w:tc>
        <w:tc>
          <w:tcPr>
            <w:tcW w:w="434" w:type="pct"/>
            <w:shd w:val="clear" w:color="auto" w:fill="FFFFFF"/>
          </w:tcPr>
          <w:p w:rsidR="00A87689" w:rsidRPr="004C0330" w:rsidRDefault="00A87689" w:rsidP="00C1753F">
            <w:pPr>
              <w:spacing w:before="40"/>
              <w:jc w:val="center"/>
              <w:rPr>
                <w:rFonts w:cs="Arial"/>
                <w:color w:val="008000"/>
                <w:sz w:val="22"/>
                <w:szCs w:val="22"/>
              </w:rPr>
            </w:pPr>
            <w:r w:rsidRPr="007B54B1">
              <w:rPr>
                <w:rFonts w:cs="Arial"/>
                <w:color w:val="008000"/>
                <w:sz w:val="22"/>
                <w:szCs w:val="22"/>
              </w:rPr>
              <w:sym w:font="Wingdings" w:char="F06C"/>
            </w:r>
          </w:p>
        </w:tc>
      </w:tr>
      <w:tr w:rsidR="00A87689" w:rsidRPr="00AF5E7C" w:rsidTr="00C1753F">
        <w:trPr>
          <w:cantSplit/>
          <w:trHeight w:val="403"/>
        </w:trPr>
        <w:tc>
          <w:tcPr>
            <w:tcW w:w="1581" w:type="pct"/>
            <w:shd w:val="clear" w:color="auto" w:fill="auto"/>
            <w:tcMar>
              <w:top w:w="113" w:type="dxa"/>
              <w:bottom w:w="113" w:type="dxa"/>
            </w:tcMar>
          </w:tcPr>
          <w:p w:rsidR="00A87689" w:rsidRPr="00AF5E7C" w:rsidRDefault="00A87689" w:rsidP="00C1753F">
            <w:pPr>
              <w:rPr>
                <w:rFonts w:cs="Arial"/>
                <w:sz w:val="16"/>
                <w:szCs w:val="16"/>
              </w:rPr>
            </w:pPr>
          </w:p>
        </w:tc>
        <w:tc>
          <w:tcPr>
            <w:tcW w:w="2220" w:type="pct"/>
            <w:shd w:val="clear" w:color="auto" w:fill="auto"/>
            <w:tcMar>
              <w:top w:w="113" w:type="dxa"/>
              <w:bottom w:w="113" w:type="dxa"/>
            </w:tcMar>
          </w:tcPr>
          <w:p w:rsidR="00A87689" w:rsidRPr="003E2A85" w:rsidRDefault="00A87689" w:rsidP="00C1753F">
            <w:pPr>
              <w:rPr>
                <w:rFonts w:cs="Arial"/>
                <w:sz w:val="16"/>
                <w:szCs w:val="16"/>
              </w:rPr>
            </w:pPr>
            <w:r w:rsidRPr="003E2A85">
              <w:rPr>
                <w:rFonts w:cs="Arial"/>
                <w:sz w:val="16"/>
                <w:szCs w:val="16"/>
              </w:rPr>
              <w:t>No. of countries that have ratified the Beijing Treaty</w:t>
            </w:r>
          </w:p>
        </w:tc>
        <w:tc>
          <w:tcPr>
            <w:tcW w:w="765" w:type="pct"/>
            <w:shd w:val="clear" w:color="auto" w:fill="FFFFFF"/>
            <w:tcMar>
              <w:top w:w="113" w:type="dxa"/>
              <w:bottom w:w="113" w:type="dxa"/>
            </w:tcMar>
          </w:tcPr>
          <w:p w:rsidR="00A87689" w:rsidRDefault="00A87689" w:rsidP="00C1753F">
            <w:pPr>
              <w:jc w:val="center"/>
              <w:rPr>
                <w:rFonts w:cs="Arial"/>
                <w:sz w:val="16"/>
                <w:szCs w:val="16"/>
                <w:lang w:bidi="th-TH"/>
              </w:rPr>
            </w:pPr>
            <w:r>
              <w:rPr>
                <w:rFonts w:cs="Arial"/>
                <w:sz w:val="16"/>
                <w:szCs w:val="16"/>
                <w:lang w:bidi="th-TH"/>
              </w:rPr>
              <w:t>Program 3</w:t>
            </w:r>
          </w:p>
          <w:p w:rsidR="00A87689" w:rsidRPr="00AF5E7C" w:rsidRDefault="00A87689" w:rsidP="00C1753F">
            <w:pPr>
              <w:jc w:val="center"/>
              <w:rPr>
                <w:rFonts w:cs="Arial"/>
                <w:sz w:val="16"/>
                <w:szCs w:val="16"/>
                <w:lang w:bidi="th-TH"/>
              </w:rPr>
            </w:pPr>
          </w:p>
        </w:tc>
        <w:tc>
          <w:tcPr>
            <w:tcW w:w="434" w:type="pct"/>
            <w:shd w:val="clear" w:color="auto" w:fill="FFFFFF"/>
          </w:tcPr>
          <w:p w:rsidR="00A87689" w:rsidRPr="004C0330" w:rsidRDefault="00A87689" w:rsidP="00C1753F">
            <w:pPr>
              <w:jc w:val="center"/>
              <w:rPr>
                <w:color w:val="0070C0"/>
              </w:rPr>
            </w:pPr>
            <w:r w:rsidRPr="007B54B1">
              <w:rPr>
                <w:b/>
                <w:bCs/>
                <w:color w:val="FF0000"/>
                <w:sz w:val="22"/>
                <w:szCs w:val="22"/>
              </w:rPr>
              <w:sym w:font="Wingdings" w:char="F06C"/>
            </w:r>
          </w:p>
        </w:tc>
      </w:tr>
      <w:tr w:rsidR="00A87689" w:rsidRPr="00AF5E7C" w:rsidTr="00C1753F">
        <w:trPr>
          <w:cantSplit/>
          <w:trHeight w:val="232"/>
        </w:trPr>
        <w:tc>
          <w:tcPr>
            <w:tcW w:w="1581" w:type="pct"/>
            <w:vMerge w:val="restart"/>
            <w:shd w:val="clear" w:color="auto" w:fill="auto"/>
            <w:tcMar>
              <w:top w:w="113" w:type="dxa"/>
              <w:bottom w:w="113" w:type="dxa"/>
            </w:tcMar>
          </w:tcPr>
          <w:p w:rsidR="00A87689" w:rsidRPr="00AF5E7C" w:rsidRDefault="00A87689" w:rsidP="00C1753F">
            <w:pPr>
              <w:rPr>
                <w:rFonts w:cs="Arial"/>
                <w:sz w:val="16"/>
                <w:szCs w:val="16"/>
              </w:rPr>
            </w:pPr>
          </w:p>
        </w:tc>
        <w:tc>
          <w:tcPr>
            <w:tcW w:w="2220" w:type="pct"/>
            <w:vMerge w:val="restart"/>
            <w:shd w:val="clear" w:color="auto" w:fill="auto"/>
            <w:tcMar>
              <w:top w:w="113" w:type="dxa"/>
              <w:bottom w:w="113" w:type="dxa"/>
            </w:tcMar>
          </w:tcPr>
          <w:p w:rsidR="00A87689" w:rsidRPr="001C4104" w:rsidRDefault="00A87689" w:rsidP="00C1753F">
            <w:pPr>
              <w:rPr>
                <w:rFonts w:cs="Arial"/>
                <w:sz w:val="16"/>
                <w:szCs w:val="16"/>
              </w:rPr>
            </w:pPr>
            <w:r w:rsidRPr="001C4104">
              <w:rPr>
                <w:rFonts w:cs="Arial"/>
                <w:sz w:val="16"/>
                <w:szCs w:val="16"/>
              </w:rPr>
              <w:t>No. and % of countries that have provided positive feedback about WIPO</w:t>
            </w:r>
            <w:r>
              <w:rPr>
                <w:rFonts w:cs="Arial"/>
                <w:sz w:val="16"/>
                <w:szCs w:val="16"/>
              </w:rPr>
              <w:t>’</w:t>
            </w:r>
            <w:r w:rsidRPr="001C4104">
              <w:rPr>
                <w:rFonts w:cs="Arial"/>
                <w:sz w:val="16"/>
                <w:szCs w:val="16"/>
              </w:rPr>
              <w:t>s legislative advice</w:t>
            </w:r>
          </w:p>
        </w:tc>
        <w:tc>
          <w:tcPr>
            <w:tcW w:w="765" w:type="pct"/>
            <w:shd w:val="clear" w:color="auto" w:fill="FFFFFF"/>
            <w:tcMar>
              <w:top w:w="113" w:type="dxa"/>
              <w:bottom w:w="113" w:type="dxa"/>
            </w:tcMar>
          </w:tcPr>
          <w:p w:rsidR="00A87689" w:rsidRPr="00AF5E7C" w:rsidRDefault="00A87689" w:rsidP="00C1753F">
            <w:pPr>
              <w:jc w:val="center"/>
              <w:rPr>
                <w:rFonts w:cs="Arial"/>
                <w:sz w:val="16"/>
                <w:szCs w:val="16"/>
                <w:lang w:bidi="th-TH"/>
              </w:rPr>
            </w:pPr>
            <w:r>
              <w:rPr>
                <w:rFonts w:cs="Arial"/>
                <w:sz w:val="16"/>
                <w:szCs w:val="16"/>
                <w:lang w:bidi="th-TH"/>
              </w:rPr>
              <w:t>Program 3</w:t>
            </w:r>
          </w:p>
        </w:tc>
        <w:tc>
          <w:tcPr>
            <w:tcW w:w="434" w:type="pct"/>
            <w:shd w:val="clear" w:color="auto" w:fill="FFFFFF"/>
          </w:tcPr>
          <w:p w:rsidR="00A87689" w:rsidRPr="00EA56A7" w:rsidRDefault="00A87689" w:rsidP="00C1753F">
            <w:pPr>
              <w:jc w:val="center"/>
              <w:rPr>
                <w:rFonts w:cs="Arial"/>
                <w:color w:val="0070C0"/>
                <w:sz w:val="22"/>
                <w:szCs w:val="22"/>
              </w:rPr>
            </w:pPr>
            <w:r w:rsidRPr="004C0330">
              <w:rPr>
                <w:rFonts w:cs="Arial"/>
                <w:color w:val="0070C0"/>
                <w:sz w:val="22"/>
                <w:szCs w:val="22"/>
              </w:rPr>
              <w:sym w:font="Wingdings" w:char="F06C"/>
            </w:r>
          </w:p>
        </w:tc>
      </w:tr>
      <w:tr w:rsidR="00A87689" w:rsidRPr="00AF5E7C" w:rsidTr="00C1753F">
        <w:trPr>
          <w:cantSplit/>
          <w:trHeight w:val="231"/>
        </w:trPr>
        <w:tc>
          <w:tcPr>
            <w:tcW w:w="1581" w:type="pct"/>
            <w:vMerge/>
            <w:shd w:val="clear" w:color="auto" w:fill="auto"/>
            <w:tcMar>
              <w:top w:w="113" w:type="dxa"/>
              <w:bottom w:w="113" w:type="dxa"/>
            </w:tcMar>
          </w:tcPr>
          <w:p w:rsidR="00A87689" w:rsidRPr="00AF5E7C" w:rsidRDefault="00A87689" w:rsidP="00C1753F">
            <w:pPr>
              <w:rPr>
                <w:rFonts w:cs="Arial"/>
                <w:sz w:val="16"/>
                <w:szCs w:val="16"/>
              </w:rPr>
            </w:pPr>
          </w:p>
        </w:tc>
        <w:tc>
          <w:tcPr>
            <w:tcW w:w="2220" w:type="pct"/>
            <w:vMerge/>
            <w:shd w:val="clear" w:color="auto" w:fill="auto"/>
            <w:tcMar>
              <w:top w:w="113" w:type="dxa"/>
              <w:bottom w:w="113" w:type="dxa"/>
            </w:tcMar>
          </w:tcPr>
          <w:p w:rsidR="00A87689" w:rsidRPr="001C4104" w:rsidRDefault="00A87689" w:rsidP="00C1753F">
            <w:pPr>
              <w:jc w:val="center"/>
              <w:rPr>
                <w:rFonts w:cs="Arial"/>
                <w:sz w:val="16"/>
                <w:szCs w:val="16"/>
              </w:rPr>
            </w:pPr>
          </w:p>
        </w:tc>
        <w:tc>
          <w:tcPr>
            <w:tcW w:w="765" w:type="pct"/>
            <w:shd w:val="clear" w:color="auto" w:fill="FFFFFF"/>
            <w:tcMar>
              <w:top w:w="113" w:type="dxa"/>
              <w:bottom w:w="113" w:type="dxa"/>
            </w:tcMar>
          </w:tcPr>
          <w:p w:rsidR="00A87689" w:rsidRDefault="00A87689" w:rsidP="00C1753F">
            <w:pPr>
              <w:jc w:val="center"/>
              <w:rPr>
                <w:rFonts w:cs="Arial"/>
                <w:sz w:val="16"/>
                <w:szCs w:val="16"/>
                <w:lang w:bidi="th-TH"/>
              </w:rPr>
            </w:pPr>
            <w:r>
              <w:rPr>
                <w:rFonts w:cs="Arial"/>
                <w:sz w:val="16"/>
                <w:szCs w:val="16"/>
                <w:lang w:bidi="th-TH"/>
              </w:rPr>
              <w:t>Program 9</w:t>
            </w:r>
          </w:p>
        </w:tc>
        <w:tc>
          <w:tcPr>
            <w:tcW w:w="434" w:type="pct"/>
            <w:shd w:val="clear" w:color="auto" w:fill="FFFFFF"/>
          </w:tcPr>
          <w:p w:rsidR="00A87689" w:rsidRPr="004C0330" w:rsidRDefault="00A87689" w:rsidP="00C1753F">
            <w:pPr>
              <w:jc w:val="center"/>
              <w:rPr>
                <w:rFonts w:cs="Arial"/>
                <w:color w:val="0070C0"/>
                <w:sz w:val="22"/>
                <w:szCs w:val="22"/>
              </w:rPr>
            </w:pPr>
            <w:r w:rsidRPr="004C0330">
              <w:rPr>
                <w:rFonts w:cs="Arial"/>
                <w:color w:val="0070C0"/>
                <w:sz w:val="22"/>
                <w:szCs w:val="22"/>
              </w:rPr>
              <w:sym w:font="Wingdings" w:char="F06C"/>
            </w:r>
          </w:p>
        </w:tc>
      </w:tr>
      <w:tr w:rsidR="00A87689" w:rsidRPr="00AF5E7C" w:rsidTr="00C1753F">
        <w:trPr>
          <w:cantSplit/>
          <w:trHeight w:val="346"/>
        </w:trPr>
        <w:tc>
          <w:tcPr>
            <w:tcW w:w="1581" w:type="pct"/>
            <w:shd w:val="clear" w:color="auto" w:fill="auto"/>
            <w:tcMar>
              <w:top w:w="113" w:type="dxa"/>
              <w:bottom w:w="113" w:type="dxa"/>
            </w:tcMar>
          </w:tcPr>
          <w:p w:rsidR="00A87689" w:rsidRPr="00AF5E7C" w:rsidRDefault="00A87689" w:rsidP="00C1753F">
            <w:pPr>
              <w:rPr>
                <w:rFonts w:cs="Arial"/>
                <w:sz w:val="16"/>
                <w:szCs w:val="16"/>
              </w:rPr>
            </w:pPr>
          </w:p>
        </w:tc>
        <w:tc>
          <w:tcPr>
            <w:tcW w:w="2220" w:type="pct"/>
            <w:shd w:val="clear" w:color="auto" w:fill="auto"/>
            <w:tcMar>
              <w:top w:w="113" w:type="dxa"/>
              <w:bottom w:w="113" w:type="dxa"/>
            </w:tcMar>
          </w:tcPr>
          <w:p w:rsidR="00A87689" w:rsidRPr="001C4104" w:rsidRDefault="00A87689" w:rsidP="00C1753F">
            <w:pPr>
              <w:rPr>
                <w:rFonts w:cs="Arial"/>
                <w:sz w:val="16"/>
                <w:szCs w:val="16"/>
              </w:rPr>
            </w:pPr>
            <w:r w:rsidRPr="001C4104">
              <w:rPr>
                <w:rFonts w:cs="Arial"/>
                <w:sz w:val="16"/>
                <w:szCs w:val="16"/>
              </w:rPr>
              <w:t>No</w:t>
            </w:r>
            <w:r>
              <w:rPr>
                <w:rFonts w:cs="Arial"/>
                <w:sz w:val="16"/>
                <w:szCs w:val="16"/>
              </w:rPr>
              <w:t>.</w:t>
            </w:r>
            <w:r w:rsidRPr="001C4104">
              <w:rPr>
                <w:rFonts w:cs="Arial"/>
                <w:sz w:val="16"/>
                <w:szCs w:val="16"/>
              </w:rPr>
              <w:t xml:space="preserve"> of ratifications to the WIPO Internet Treaties</w:t>
            </w:r>
          </w:p>
        </w:tc>
        <w:tc>
          <w:tcPr>
            <w:tcW w:w="765" w:type="pct"/>
            <w:shd w:val="clear" w:color="auto" w:fill="FFFFFF"/>
            <w:tcMar>
              <w:top w:w="113" w:type="dxa"/>
              <w:bottom w:w="113" w:type="dxa"/>
            </w:tcMar>
          </w:tcPr>
          <w:p w:rsidR="00A87689" w:rsidRDefault="00A87689" w:rsidP="00C1753F">
            <w:pPr>
              <w:jc w:val="center"/>
              <w:rPr>
                <w:rFonts w:cs="Arial"/>
                <w:sz w:val="16"/>
                <w:szCs w:val="16"/>
                <w:lang w:bidi="th-TH"/>
              </w:rPr>
            </w:pPr>
            <w:r>
              <w:rPr>
                <w:rFonts w:cs="Arial"/>
                <w:sz w:val="16"/>
                <w:szCs w:val="16"/>
                <w:lang w:bidi="th-TH"/>
              </w:rPr>
              <w:t>Program 3</w:t>
            </w:r>
          </w:p>
          <w:p w:rsidR="00A87689" w:rsidRPr="00AF5E7C" w:rsidRDefault="00A87689" w:rsidP="00C1753F">
            <w:pPr>
              <w:jc w:val="center"/>
              <w:rPr>
                <w:rFonts w:cs="Arial"/>
                <w:sz w:val="16"/>
                <w:szCs w:val="16"/>
                <w:lang w:bidi="th-TH"/>
              </w:rPr>
            </w:pPr>
          </w:p>
        </w:tc>
        <w:tc>
          <w:tcPr>
            <w:tcW w:w="434" w:type="pct"/>
            <w:shd w:val="clear" w:color="auto" w:fill="FFFFFF"/>
          </w:tcPr>
          <w:p w:rsidR="00A87689" w:rsidRDefault="00A87689" w:rsidP="00C1753F">
            <w:pPr>
              <w:spacing w:before="40"/>
              <w:jc w:val="center"/>
            </w:pPr>
            <w:r w:rsidRPr="00167066">
              <w:rPr>
                <w:rFonts w:cs="Arial"/>
                <w:color w:val="008000"/>
                <w:sz w:val="22"/>
                <w:szCs w:val="22"/>
              </w:rPr>
              <w:sym w:font="Wingdings" w:char="F06C"/>
            </w:r>
          </w:p>
        </w:tc>
      </w:tr>
      <w:tr w:rsidR="00A87689" w:rsidRPr="00AF5E7C" w:rsidTr="00C1753F">
        <w:trPr>
          <w:cantSplit/>
          <w:trHeight w:val="399"/>
        </w:trPr>
        <w:tc>
          <w:tcPr>
            <w:tcW w:w="1581" w:type="pct"/>
            <w:shd w:val="clear" w:color="auto" w:fill="auto"/>
            <w:tcMar>
              <w:top w:w="113" w:type="dxa"/>
              <w:bottom w:w="113" w:type="dxa"/>
            </w:tcMar>
          </w:tcPr>
          <w:p w:rsidR="00A87689" w:rsidRPr="00AF5E7C" w:rsidRDefault="00A87689" w:rsidP="00C1753F">
            <w:pPr>
              <w:rPr>
                <w:rFonts w:cs="Arial"/>
                <w:sz w:val="16"/>
                <w:szCs w:val="16"/>
              </w:rPr>
            </w:pPr>
          </w:p>
        </w:tc>
        <w:tc>
          <w:tcPr>
            <w:tcW w:w="2220" w:type="pct"/>
            <w:shd w:val="clear" w:color="auto" w:fill="auto"/>
            <w:tcMar>
              <w:top w:w="113" w:type="dxa"/>
              <w:bottom w:w="113" w:type="dxa"/>
            </w:tcMar>
          </w:tcPr>
          <w:p w:rsidR="00A87689" w:rsidRPr="001C4104" w:rsidRDefault="00A87689" w:rsidP="00C1753F">
            <w:pPr>
              <w:rPr>
                <w:rFonts w:cs="Arial"/>
                <w:sz w:val="16"/>
                <w:szCs w:val="16"/>
              </w:rPr>
            </w:pPr>
            <w:r w:rsidRPr="001C4104">
              <w:rPr>
                <w:rFonts w:cs="Arial"/>
                <w:sz w:val="16"/>
                <w:szCs w:val="16"/>
              </w:rPr>
              <w:t>No</w:t>
            </w:r>
            <w:r>
              <w:rPr>
                <w:rFonts w:cs="Arial"/>
                <w:sz w:val="16"/>
                <w:szCs w:val="16"/>
              </w:rPr>
              <w:t>.</w:t>
            </w:r>
            <w:r w:rsidRPr="001C4104">
              <w:rPr>
                <w:rFonts w:cs="Arial"/>
                <w:sz w:val="16"/>
                <w:szCs w:val="16"/>
              </w:rPr>
              <w:t xml:space="preserve"> of countries that have ratified the Marrakesh Treaty on the VIP</w:t>
            </w:r>
          </w:p>
        </w:tc>
        <w:tc>
          <w:tcPr>
            <w:tcW w:w="765" w:type="pct"/>
            <w:shd w:val="clear" w:color="auto" w:fill="FFFFFF"/>
            <w:tcMar>
              <w:top w:w="113" w:type="dxa"/>
              <w:bottom w:w="113" w:type="dxa"/>
            </w:tcMar>
          </w:tcPr>
          <w:p w:rsidR="00A87689" w:rsidRDefault="00A87689" w:rsidP="00C1753F">
            <w:pPr>
              <w:jc w:val="center"/>
              <w:rPr>
                <w:rFonts w:cs="Arial"/>
                <w:sz w:val="16"/>
                <w:szCs w:val="16"/>
                <w:lang w:bidi="th-TH"/>
              </w:rPr>
            </w:pPr>
            <w:r>
              <w:rPr>
                <w:rFonts w:cs="Arial"/>
                <w:sz w:val="16"/>
                <w:szCs w:val="16"/>
                <w:lang w:bidi="th-TH"/>
              </w:rPr>
              <w:t>Program 3</w:t>
            </w:r>
          </w:p>
          <w:p w:rsidR="00A87689" w:rsidRPr="00AF5E7C" w:rsidRDefault="00A87689" w:rsidP="00C1753F">
            <w:pPr>
              <w:jc w:val="center"/>
              <w:rPr>
                <w:rFonts w:cs="Arial"/>
                <w:sz w:val="16"/>
                <w:szCs w:val="16"/>
                <w:lang w:bidi="th-TH"/>
              </w:rPr>
            </w:pPr>
          </w:p>
        </w:tc>
        <w:tc>
          <w:tcPr>
            <w:tcW w:w="434" w:type="pct"/>
            <w:shd w:val="clear" w:color="auto" w:fill="FFFFFF"/>
          </w:tcPr>
          <w:p w:rsidR="00A87689" w:rsidRDefault="00A87689" w:rsidP="00C1753F">
            <w:pPr>
              <w:jc w:val="center"/>
            </w:pPr>
            <w:r w:rsidRPr="00167066">
              <w:rPr>
                <w:b/>
                <w:bCs/>
                <w:color w:val="FF0000"/>
                <w:sz w:val="22"/>
                <w:szCs w:val="22"/>
              </w:rPr>
              <w:sym w:font="Wingdings" w:char="F06C"/>
            </w:r>
          </w:p>
        </w:tc>
      </w:tr>
      <w:tr w:rsidR="00A87689" w:rsidRPr="00AF5E7C" w:rsidTr="00C1753F">
        <w:trPr>
          <w:cantSplit/>
          <w:trHeight w:val="432"/>
        </w:trPr>
        <w:tc>
          <w:tcPr>
            <w:tcW w:w="1581" w:type="pct"/>
            <w:shd w:val="clear" w:color="auto" w:fill="auto"/>
            <w:tcMar>
              <w:top w:w="113" w:type="dxa"/>
              <w:bottom w:w="113" w:type="dxa"/>
            </w:tcMar>
          </w:tcPr>
          <w:p w:rsidR="00A87689" w:rsidRPr="00AF5E7C" w:rsidRDefault="00A87689" w:rsidP="00C1753F">
            <w:pPr>
              <w:rPr>
                <w:rFonts w:cs="Arial"/>
                <w:sz w:val="16"/>
                <w:szCs w:val="16"/>
              </w:rPr>
            </w:pPr>
          </w:p>
        </w:tc>
        <w:tc>
          <w:tcPr>
            <w:tcW w:w="2220" w:type="pct"/>
            <w:shd w:val="clear" w:color="auto" w:fill="auto"/>
            <w:tcMar>
              <w:top w:w="113" w:type="dxa"/>
              <w:bottom w:w="113" w:type="dxa"/>
            </w:tcMar>
          </w:tcPr>
          <w:p w:rsidR="00A87689" w:rsidRPr="008B3B36" w:rsidRDefault="00A87689" w:rsidP="00C1753F">
            <w:pPr>
              <w:rPr>
                <w:rFonts w:cs="Arial"/>
                <w:sz w:val="16"/>
                <w:szCs w:val="16"/>
              </w:rPr>
            </w:pPr>
            <w:r w:rsidRPr="008B3B36">
              <w:rPr>
                <w:rFonts w:cs="Arial"/>
                <w:sz w:val="16"/>
                <w:szCs w:val="16"/>
              </w:rPr>
              <w:t>N</w:t>
            </w:r>
            <w:r>
              <w:rPr>
                <w:rFonts w:cs="Arial"/>
                <w:sz w:val="16"/>
                <w:szCs w:val="16"/>
              </w:rPr>
              <w:t>o.</w:t>
            </w:r>
            <w:r w:rsidRPr="008B3B36">
              <w:rPr>
                <w:rFonts w:cs="Arial"/>
                <w:sz w:val="16"/>
                <w:szCs w:val="16"/>
              </w:rPr>
              <w:t xml:space="preserve"> of countries with updated laws and/or regulations</w:t>
            </w:r>
          </w:p>
        </w:tc>
        <w:tc>
          <w:tcPr>
            <w:tcW w:w="765" w:type="pct"/>
            <w:shd w:val="clear" w:color="auto" w:fill="FFFFFF"/>
            <w:tcMar>
              <w:top w:w="113" w:type="dxa"/>
              <w:bottom w:w="113" w:type="dxa"/>
            </w:tcMar>
          </w:tcPr>
          <w:p w:rsidR="00A87689" w:rsidRPr="00AF5E7C" w:rsidRDefault="00A87689" w:rsidP="00C1753F">
            <w:pPr>
              <w:jc w:val="center"/>
              <w:rPr>
                <w:rFonts w:cs="Arial"/>
                <w:sz w:val="16"/>
                <w:szCs w:val="16"/>
                <w:lang w:bidi="th-TH"/>
              </w:rPr>
            </w:pPr>
            <w:r>
              <w:rPr>
                <w:rFonts w:cs="Arial"/>
                <w:sz w:val="16"/>
                <w:szCs w:val="16"/>
                <w:lang w:bidi="th-TH"/>
              </w:rPr>
              <w:t>Program 10</w:t>
            </w:r>
          </w:p>
        </w:tc>
        <w:tc>
          <w:tcPr>
            <w:tcW w:w="434" w:type="pct"/>
            <w:shd w:val="clear" w:color="auto" w:fill="FFFFFF"/>
          </w:tcPr>
          <w:p w:rsidR="00A87689" w:rsidRDefault="00A87689" w:rsidP="00C1753F">
            <w:pPr>
              <w:jc w:val="center"/>
            </w:pPr>
            <w:r w:rsidRPr="005F33CE">
              <w:rPr>
                <w:rFonts w:cs="Arial"/>
                <w:color w:val="008000"/>
                <w:sz w:val="22"/>
                <w:szCs w:val="22"/>
              </w:rPr>
              <w:sym w:font="Wingdings" w:char="F06C"/>
            </w:r>
          </w:p>
        </w:tc>
      </w:tr>
      <w:tr w:rsidR="00A87689" w:rsidRPr="00AF5E7C" w:rsidTr="00C1753F">
        <w:trPr>
          <w:cantSplit/>
          <w:trHeight w:val="744"/>
        </w:trPr>
        <w:tc>
          <w:tcPr>
            <w:tcW w:w="1581" w:type="pct"/>
            <w:shd w:val="clear" w:color="auto" w:fill="auto"/>
            <w:tcMar>
              <w:top w:w="113" w:type="dxa"/>
              <w:bottom w:w="113" w:type="dxa"/>
            </w:tcMar>
          </w:tcPr>
          <w:p w:rsidR="00A87689" w:rsidRPr="00AF5E7C" w:rsidRDefault="00A87689" w:rsidP="00C1753F">
            <w:pPr>
              <w:rPr>
                <w:rFonts w:cs="Arial"/>
                <w:sz w:val="16"/>
                <w:szCs w:val="16"/>
              </w:rPr>
            </w:pPr>
          </w:p>
        </w:tc>
        <w:tc>
          <w:tcPr>
            <w:tcW w:w="2220" w:type="pct"/>
            <w:shd w:val="clear" w:color="auto" w:fill="auto"/>
            <w:tcMar>
              <w:top w:w="113" w:type="dxa"/>
              <w:bottom w:w="113" w:type="dxa"/>
            </w:tcMar>
          </w:tcPr>
          <w:p w:rsidR="00A87689" w:rsidRPr="001E6152" w:rsidRDefault="00A87689" w:rsidP="00C1753F">
            <w:pPr>
              <w:rPr>
                <w:rFonts w:cs="Arial"/>
                <w:sz w:val="16"/>
                <w:szCs w:val="16"/>
              </w:rPr>
            </w:pPr>
            <w:r w:rsidRPr="00DC5B92">
              <w:rPr>
                <w:rFonts w:cs="Arial"/>
                <w:sz w:val="16"/>
                <w:szCs w:val="16"/>
              </w:rPr>
              <w:t>No. of countries that have adopted or amended relevant frameworks (or are in the process of doing so) further to WIPO assistance</w:t>
            </w:r>
          </w:p>
        </w:tc>
        <w:tc>
          <w:tcPr>
            <w:tcW w:w="765" w:type="pct"/>
            <w:shd w:val="clear" w:color="auto" w:fill="FFFFFF"/>
            <w:tcMar>
              <w:top w:w="113" w:type="dxa"/>
              <w:bottom w:w="113" w:type="dxa"/>
            </w:tcMar>
          </w:tcPr>
          <w:p w:rsidR="00A87689" w:rsidRPr="00AF5E7C" w:rsidRDefault="00A87689" w:rsidP="00C1753F">
            <w:pPr>
              <w:jc w:val="center"/>
              <w:rPr>
                <w:rFonts w:cs="Arial"/>
                <w:sz w:val="16"/>
                <w:szCs w:val="16"/>
                <w:lang w:bidi="th-TH"/>
              </w:rPr>
            </w:pPr>
            <w:r>
              <w:rPr>
                <w:rFonts w:cs="Arial"/>
                <w:sz w:val="16"/>
                <w:szCs w:val="16"/>
                <w:lang w:bidi="th-TH"/>
              </w:rPr>
              <w:t>Program 17</w:t>
            </w:r>
          </w:p>
        </w:tc>
        <w:tc>
          <w:tcPr>
            <w:tcW w:w="434" w:type="pct"/>
            <w:shd w:val="clear" w:color="auto" w:fill="FFFFFF"/>
          </w:tcPr>
          <w:p w:rsidR="00A87689" w:rsidRDefault="00A87689" w:rsidP="00C1753F">
            <w:pPr>
              <w:jc w:val="center"/>
            </w:pPr>
            <w:r w:rsidRPr="005F33CE">
              <w:rPr>
                <w:rFonts w:cs="Arial"/>
                <w:color w:val="008000"/>
                <w:sz w:val="22"/>
                <w:szCs w:val="22"/>
              </w:rPr>
              <w:sym w:font="Wingdings" w:char="F06C"/>
            </w:r>
          </w:p>
        </w:tc>
      </w:tr>
      <w:tr w:rsidR="00A87689" w:rsidRPr="00AF5E7C" w:rsidTr="00C1753F">
        <w:trPr>
          <w:cantSplit/>
          <w:trHeight w:val="560"/>
        </w:trPr>
        <w:tc>
          <w:tcPr>
            <w:tcW w:w="1581" w:type="pct"/>
            <w:shd w:val="clear" w:color="auto" w:fill="auto"/>
            <w:tcMar>
              <w:top w:w="113" w:type="dxa"/>
              <w:bottom w:w="113" w:type="dxa"/>
            </w:tcMar>
          </w:tcPr>
          <w:p w:rsidR="00A87689" w:rsidRPr="00AF5E7C" w:rsidRDefault="00A87689" w:rsidP="00C1753F">
            <w:pPr>
              <w:rPr>
                <w:rFonts w:cs="Arial"/>
                <w:sz w:val="16"/>
                <w:szCs w:val="16"/>
              </w:rPr>
            </w:pPr>
            <w:r w:rsidRPr="007E3F60">
              <w:rPr>
                <w:rFonts w:cs="Arial"/>
                <w:sz w:val="16"/>
                <w:szCs w:val="16"/>
              </w:rPr>
              <w:t xml:space="preserve">I.3 </w:t>
            </w:r>
            <w:r>
              <w:rPr>
                <w:rFonts w:cs="Arial"/>
                <w:sz w:val="16"/>
                <w:szCs w:val="16"/>
              </w:rPr>
              <w:t xml:space="preserve"> </w:t>
            </w:r>
            <w:r w:rsidRPr="007E3F60">
              <w:rPr>
                <w:rFonts w:cs="Arial"/>
                <w:sz w:val="16"/>
                <w:szCs w:val="16"/>
              </w:rPr>
              <w:t>Increased protection of State emblems and names and emblems of International Intergovernmental Organizations</w:t>
            </w:r>
          </w:p>
        </w:tc>
        <w:tc>
          <w:tcPr>
            <w:tcW w:w="2220" w:type="pct"/>
            <w:shd w:val="clear" w:color="auto" w:fill="auto"/>
            <w:tcMar>
              <w:top w:w="113" w:type="dxa"/>
              <w:bottom w:w="113" w:type="dxa"/>
            </w:tcMar>
          </w:tcPr>
          <w:p w:rsidR="00A87689" w:rsidRPr="007E3F60" w:rsidRDefault="00A87689" w:rsidP="00C1753F">
            <w:pPr>
              <w:rPr>
                <w:rFonts w:cs="Arial"/>
                <w:sz w:val="16"/>
                <w:szCs w:val="16"/>
              </w:rPr>
            </w:pPr>
            <w:r w:rsidRPr="007E3F60">
              <w:rPr>
                <w:rFonts w:cs="Arial"/>
                <w:sz w:val="16"/>
                <w:szCs w:val="16"/>
              </w:rPr>
              <w:t>N</w:t>
            </w:r>
            <w:r>
              <w:rPr>
                <w:rFonts w:cs="Arial"/>
                <w:sz w:val="16"/>
                <w:szCs w:val="16"/>
              </w:rPr>
              <w:t>o.</w:t>
            </w:r>
            <w:r w:rsidRPr="007E3F60">
              <w:rPr>
                <w:rFonts w:cs="Arial"/>
                <w:sz w:val="16"/>
                <w:szCs w:val="16"/>
              </w:rPr>
              <w:t xml:space="preserve"> of requests for communication under Article </w:t>
            </w:r>
            <w:r w:rsidRPr="00845557">
              <w:rPr>
                <w:rFonts w:cs="Arial"/>
                <w:i/>
                <w:sz w:val="16"/>
                <w:szCs w:val="16"/>
              </w:rPr>
              <w:t>6ter</w:t>
            </w:r>
            <w:r w:rsidRPr="007E3F60">
              <w:rPr>
                <w:rFonts w:cs="Arial"/>
                <w:sz w:val="16"/>
                <w:szCs w:val="16"/>
              </w:rPr>
              <w:t xml:space="preserve"> dealt with</w:t>
            </w:r>
          </w:p>
        </w:tc>
        <w:tc>
          <w:tcPr>
            <w:tcW w:w="765" w:type="pct"/>
            <w:shd w:val="clear" w:color="auto" w:fill="FFFFFF"/>
            <w:tcMar>
              <w:top w:w="113" w:type="dxa"/>
              <w:bottom w:w="113" w:type="dxa"/>
            </w:tcMar>
          </w:tcPr>
          <w:p w:rsidR="00A87689" w:rsidRPr="00AF5E7C" w:rsidRDefault="00A87689" w:rsidP="00C1753F">
            <w:pPr>
              <w:jc w:val="center"/>
              <w:rPr>
                <w:rFonts w:cs="Arial"/>
                <w:sz w:val="16"/>
                <w:szCs w:val="16"/>
                <w:lang w:bidi="th-TH"/>
              </w:rPr>
            </w:pPr>
            <w:r>
              <w:rPr>
                <w:rFonts w:cs="Arial"/>
                <w:sz w:val="16"/>
                <w:szCs w:val="16"/>
                <w:lang w:bidi="th-TH"/>
              </w:rPr>
              <w:t>Program 2</w:t>
            </w:r>
          </w:p>
        </w:tc>
        <w:tc>
          <w:tcPr>
            <w:tcW w:w="434" w:type="pct"/>
            <w:shd w:val="clear" w:color="auto" w:fill="FFFFFF"/>
          </w:tcPr>
          <w:p w:rsidR="00A87689" w:rsidRDefault="00A87689" w:rsidP="00C1753F">
            <w:pPr>
              <w:jc w:val="center"/>
            </w:pPr>
            <w:r w:rsidRPr="004C0330">
              <w:rPr>
                <w:b/>
                <w:bCs/>
                <w:color w:val="FF0000"/>
                <w:sz w:val="22"/>
                <w:szCs w:val="22"/>
              </w:rPr>
              <w:sym w:font="Wingdings" w:char="F06C"/>
            </w:r>
          </w:p>
        </w:tc>
      </w:tr>
      <w:tr w:rsidR="00A87689" w:rsidRPr="00AF5E7C" w:rsidTr="00C1753F">
        <w:trPr>
          <w:cantSplit/>
          <w:trHeight w:val="382"/>
        </w:trPr>
        <w:tc>
          <w:tcPr>
            <w:tcW w:w="1581" w:type="pct"/>
            <w:shd w:val="clear" w:color="auto" w:fill="auto"/>
            <w:tcMar>
              <w:top w:w="113" w:type="dxa"/>
              <w:bottom w:w="113" w:type="dxa"/>
            </w:tcMar>
          </w:tcPr>
          <w:p w:rsidR="00A87689" w:rsidRPr="00AF5E7C" w:rsidRDefault="00A87689" w:rsidP="00C1753F">
            <w:pPr>
              <w:rPr>
                <w:rFonts w:cs="Arial"/>
                <w:sz w:val="16"/>
                <w:szCs w:val="16"/>
              </w:rPr>
            </w:pPr>
          </w:p>
        </w:tc>
        <w:tc>
          <w:tcPr>
            <w:tcW w:w="2220" w:type="pct"/>
            <w:shd w:val="clear" w:color="auto" w:fill="auto"/>
            <w:tcMar>
              <w:top w:w="113" w:type="dxa"/>
              <w:bottom w:w="113" w:type="dxa"/>
            </w:tcMar>
          </w:tcPr>
          <w:p w:rsidR="00A87689" w:rsidRPr="007E3F60" w:rsidRDefault="00A87689" w:rsidP="00C1753F">
            <w:pPr>
              <w:rPr>
                <w:rFonts w:cs="Arial"/>
                <w:sz w:val="16"/>
                <w:szCs w:val="16"/>
              </w:rPr>
            </w:pPr>
            <w:r w:rsidRPr="007E3F60">
              <w:rPr>
                <w:rFonts w:cs="Arial"/>
                <w:sz w:val="16"/>
                <w:szCs w:val="16"/>
              </w:rPr>
              <w:t>N</w:t>
            </w:r>
            <w:r>
              <w:rPr>
                <w:rFonts w:cs="Arial"/>
                <w:sz w:val="16"/>
                <w:szCs w:val="16"/>
              </w:rPr>
              <w:t>o.</w:t>
            </w:r>
            <w:r w:rsidRPr="007E3F60">
              <w:rPr>
                <w:rFonts w:cs="Arial"/>
                <w:sz w:val="16"/>
                <w:szCs w:val="16"/>
              </w:rPr>
              <w:t xml:space="preserve"> of signs published in Article </w:t>
            </w:r>
            <w:r w:rsidRPr="00845557">
              <w:rPr>
                <w:rFonts w:cs="Arial"/>
                <w:i/>
                <w:sz w:val="16"/>
                <w:szCs w:val="16"/>
              </w:rPr>
              <w:t>6ter</w:t>
            </w:r>
            <w:r w:rsidRPr="007E3F60">
              <w:rPr>
                <w:rFonts w:cs="Arial"/>
                <w:sz w:val="16"/>
                <w:szCs w:val="16"/>
              </w:rPr>
              <w:t xml:space="preserve"> database</w:t>
            </w:r>
          </w:p>
        </w:tc>
        <w:tc>
          <w:tcPr>
            <w:tcW w:w="765" w:type="pct"/>
            <w:shd w:val="clear" w:color="auto" w:fill="FFFFFF"/>
            <w:tcMar>
              <w:top w:w="113" w:type="dxa"/>
              <w:bottom w:w="113" w:type="dxa"/>
            </w:tcMar>
          </w:tcPr>
          <w:p w:rsidR="00A87689" w:rsidRPr="00AF5E7C" w:rsidRDefault="00A87689" w:rsidP="00C1753F">
            <w:pPr>
              <w:jc w:val="center"/>
              <w:rPr>
                <w:rFonts w:cs="Arial"/>
                <w:sz w:val="16"/>
                <w:szCs w:val="16"/>
                <w:lang w:bidi="th-TH"/>
              </w:rPr>
            </w:pPr>
            <w:r>
              <w:rPr>
                <w:rFonts w:cs="Arial"/>
                <w:sz w:val="16"/>
                <w:szCs w:val="16"/>
                <w:lang w:bidi="th-TH"/>
              </w:rPr>
              <w:t>Program 2</w:t>
            </w:r>
          </w:p>
        </w:tc>
        <w:tc>
          <w:tcPr>
            <w:tcW w:w="434" w:type="pct"/>
            <w:shd w:val="clear" w:color="auto" w:fill="FFFFFF"/>
          </w:tcPr>
          <w:p w:rsidR="00A87689" w:rsidRDefault="00A87689" w:rsidP="00C1753F">
            <w:pPr>
              <w:jc w:val="center"/>
            </w:pPr>
            <w:r w:rsidRPr="004C0330">
              <w:rPr>
                <w:b/>
                <w:bCs/>
                <w:color w:val="FF0000"/>
                <w:sz w:val="22"/>
                <w:szCs w:val="22"/>
              </w:rPr>
              <w:sym w:font="Wingdings" w:char="F06C"/>
            </w:r>
          </w:p>
        </w:tc>
      </w:tr>
    </w:tbl>
    <w:p w:rsidR="00A87689" w:rsidRDefault="00A87689" w:rsidP="00C1753F">
      <w:pPr>
        <w:jc w:val="both"/>
      </w:pPr>
    </w:p>
    <w:p w:rsidR="00A87689" w:rsidRPr="00111465" w:rsidRDefault="00A87689" w:rsidP="00C1753F"/>
    <w:p w:rsidR="00A2049F" w:rsidRDefault="00A2049F"/>
    <w:p w:rsidR="003C6933" w:rsidRDefault="003C6933"/>
    <w:p w:rsidR="003C6933" w:rsidRDefault="003C6933">
      <w:r>
        <w:br w:type="page"/>
      </w:r>
    </w:p>
    <w:p w:rsidR="003C6933" w:rsidRDefault="003C6933"/>
    <w:p w:rsidR="00DB4599" w:rsidRPr="001243AF" w:rsidRDefault="00DB4599" w:rsidP="00DB4599">
      <w:pPr>
        <w:pStyle w:val="Heading2"/>
        <w:tabs>
          <w:tab w:val="clear" w:pos="567"/>
          <w:tab w:val="left" w:pos="1985"/>
        </w:tabs>
        <w:ind w:left="1985" w:hanging="1985"/>
      </w:pPr>
      <w:bookmarkStart w:id="48" w:name="_Toc422210477"/>
      <w:r w:rsidRPr="001243AF">
        <w:t>PROGRAM 1</w:t>
      </w:r>
      <w:r>
        <w:tab/>
      </w:r>
      <w:r w:rsidRPr="001243AF">
        <w:t>PATENT LAW</w:t>
      </w:r>
      <w:bookmarkEnd w:id="48"/>
    </w:p>
    <w:p w:rsidR="00DB4599" w:rsidRPr="00383D2D" w:rsidRDefault="00DB4599" w:rsidP="00DB4599">
      <w:pPr>
        <w:rPr>
          <w:szCs w:val="20"/>
        </w:rPr>
      </w:pPr>
    </w:p>
    <w:p w:rsidR="00DB4599" w:rsidRPr="009973F8" w:rsidRDefault="00DB4599" w:rsidP="00DB4599">
      <w:pPr>
        <w:tabs>
          <w:tab w:val="left" w:pos="1985"/>
        </w:tabs>
        <w:rPr>
          <w:b/>
          <w:szCs w:val="22"/>
        </w:rPr>
      </w:pPr>
      <w:r w:rsidRPr="009973F8">
        <w:rPr>
          <w:b/>
          <w:szCs w:val="22"/>
        </w:rPr>
        <w:t>Program Manager</w:t>
      </w:r>
      <w:r w:rsidRPr="009973F8">
        <w:rPr>
          <w:b/>
          <w:szCs w:val="22"/>
        </w:rPr>
        <w:tab/>
        <w:t>Mr. J. Sandage</w:t>
      </w:r>
    </w:p>
    <w:p w:rsidR="007F6F24" w:rsidRDefault="007F6F24"/>
    <w:p w:rsidR="00F15EE4" w:rsidRPr="001C6F4D" w:rsidRDefault="00F15EE4" w:rsidP="00E70E02">
      <w:pPr>
        <w:rPr>
          <w:szCs w:val="20"/>
        </w:rPr>
      </w:pPr>
    </w:p>
    <w:p w:rsidR="00F15EE4" w:rsidRPr="005E6AFC" w:rsidRDefault="00F15EE4" w:rsidP="00E70E02">
      <w:pPr>
        <w:rPr>
          <w:bCs/>
          <w:sz w:val="22"/>
          <w:szCs w:val="22"/>
        </w:rPr>
      </w:pPr>
      <w:r>
        <w:rPr>
          <w:bCs/>
          <w:sz w:val="22"/>
          <w:szCs w:val="22"/>
        </w:rPr>
        <w:t>OVERVIEW OF PROGRESS IN 2014</w:t>
      </w:r>
    </w:p>
    <w:p w:rsidR="00F15EE4" w:rsidRDefault="00F15EE4" w:rsidP="00E70E02">
      <w:pPr>
        <w:rPr>
          <w:rFonts w:cs="Arial"/>
        </w:rPr>
      </w:pPr>
    </w:p>
    <w:p w:rsidR="00F15EE4" w:rsidRPr="00DD4B4E" w:rsidRDefault="00F15EE4" w:rsidP="00F15EE4">
      <w:pPr>
        <w:pStyle w:val="ListParagraph"/>
        <w:numPr>
          <w:ilvl w:val="0"/>
          <w:numId w:val="38"/>
        </w:numPr>
        <w:tabs>
          <w:tab w:val="left" w:pos="709"/>
        </w:tabs>
        <w:autoSpaceDE w:val="0"/>
        <w:autoSpaceDN w:val="0"/>
        <w:ind w:left="0" w:firstLine="0"/>
        <w:jc w:val="both"/>
        <w:rPr>
          <w:rFonts w:cs="Arial"/>
          <w:color w:val="000000"/>
          <w:lang w:eastAsia="zh-CN"/>
        </w:rPr>
      </w:pPr>
      <w:r w:rsidRPr="00DD4B4E">
        <w:rPr>
          <w:rFonts w:cs="Arial"/>
          <w:color w:val="000000"/>
          <w:lang w:eastAsia="zh-CN"/>
        </w:rPr>
        <w:t>In view of enhancing cooperation among Member States on further developing balanced policy and normative frameworks for the international patent system, the twentieth and twenty first sessions of the Standing Committee on the Law of Patents (SCP) were held in January and November 2014, respectively.  The SCP continued to examine five topics on its agenda, namely:  (</w:t>
      </w:r>
      <w:proofErr w:type="spellStart"/>
      <w:r w:rsidRPr="00DD4B4E">
        <w:rPr>
          <w:rFonts w:cs="Arial"/>
          <w:color w:val="000000"/>
          <w:lang w:eastAsia="zh-CN"/>
        </w:rPr>
        <w:t>i</w:t>
      </w:r>
      <w:proofErr w:type="spellEnd"/>
      <w:r w:rsidRPr="00DD4B4E">
        <w:rPr>
          <w:rFonts w:cs="Arial"/>
          <w:color w:val="000000"/>
          <w:lang w:eastAsia="zh-CN"/>
        </w:rPr>
        <w:t>) exceptions and limitations to patent rights;  (ii) quality of patents, including opposition systems;  (iii) patents and health;  (iv) confidentiality of communication between clients and their patent advisors;  and (v) transfer of technology.</w:t>
      </w:r>
    </w:p>
    <w:p w:rsidR="00F15EE4" w:rsidRDefault="00F15EE4" w:rsidP="00E70E02">
      <w:pPr>
        <w:autoSpaceDE w:val="0"/>
        <w:autoSpaceDN w:val="0"/>
        <w:jc w:val="both"/>
        <w:rPr>
          <w:rFonts w:cs="Arial"/>
          <w:color w:val="000000"/>
          <w:lang w:eastAsia="zh-CN"/>
        </w:rPr>
      </w:pPr>
    </w:p>
    <w:p w:rsidR="00F15EE4" w:rsidRDefault="00F15EE4" w:rsidP="00F15EE4">
      <w:pPr>
        <w:pStyle w:val="ListParagraph"/>
        <w:numPr>
          <w:ilvl w:val="0"/>
          <w:numId w:val="38"/>
        </w:numPr>
        <w:tabs>
          <w:tab w:val="left" w:pos="709"/>
        </w:tabs>
        <w:autoSpaceDE w:val="0"/>
        <w:autoSpaceDN w:val="0"/>
        <w:ind w:left="0" w:firstLine="0"/>
        <w:jc w:val="both"/>
        <w:rPr>
          <w:rFonts w:cs="Arial"/>
          <w:color w:val="000000"/>
          <w:lang w:eastAsia="zh-CN"/>
        </w:rPr>
      </w:pPr>
      <w:r>
        <w:rPr>
          <w:rFonts w:cs="Arial"/>
          <w:color w:val="000000"/>
          <w:lang w:eastAsia="zh-CN"/>
        </w:rPr>
        <w:t>The examination of substantive studies allowed the SCP to review the current international patent system in a holistic manner that took into account different needs and interests of Member States and stakeholders.  A step-by-step approach broadened the common base from which the Committee could develop its discussions.  Further, various methodologies employed by the Committee, including preparation of background studies, seminar and sharing sessions on national implementation of patent law and national experiences and challenges, contributed to advancing discussions on issues of common interest at the SCP.  During 2014, a number of proposals were put forward by Member States on the above topics, showing commitments by Member States in the SCP process.</w:t>
      </w:r>
    </w:p>
    <w:p w:rsidR="00F15EE4" w:rsidRDefault="00F15EE4" w:rsidP="00E70E02">
      <w:pPr>
        <w:autoSpaceDE w:val="0"/>
        <w:autoSpaceDN w:val="0"/>
        <w:jc w:val="both"/>
        <w:rPr>
          <w:rFonts w:cs="Arial"/>
          <w:color w:val="000000"/>
          <w:lang w:eastAsia="zh-CN"/>
        </w:rPr>
      </w:pPr>
    </w:p>
    <w:p w:rsidR="00F15EE4" w:rsidRDefault="00F15EE4" w:rsidP="00F15EE4">
      <w:pPr>
        <w:pStyle w:val="ListParagraph"/>
        <w:numPr>
          <w:ilvl w:val="0"/>
          <w:numId w:val="38"/>
        </w:numPr>
        <w:tabs>
          <w:tab w:val="left" w:pos="709"/>
        </w:tabs>
        <w:autoSpaceDE w:val="0"/>
        <w:autoSpaceDN w:val="0"/>
        <w:ind w:left="0" w:firstLine="0"/>
        <w:jc w:val="both"/>
        <w:rPr>
          <w:rFonts w:cs="Arial"/>
          <w:color w:val="000000"/>
          <w:lang w:eastAsia="zh-CN"/>
        </w:rPr>
      </w:pPr>
      <w:r>
        <w:rPr>
          <w:rFonts w:cs="Arial"/>
          <w:color w:val="000000"/>
          <w:lang w:eastAsia="zh-CN"/>
        </w:rPr>
        <w:t xml:space="preserve">With respect to WIPO administered treaties in the field of patents, in 2014, one State (Kuwait) joined the Paris Convention. </w:t>
      </w:r>
    </w:p>
    <w:p w:rsidR="00F15EE4" w:rsidRDefault="00F15EE4" w:rsidP="00E70E02">
      <w:pPr>
        <w:autoSpaceDE w:val="0"/>
        <w:autoSpaceDN w:val="0"/>
        <w:jc w:val="both"/>
        <w:rPr>
          <w:rFonts w:cs="Arial"/>
          <w:color w:val="000000"/>
          <w:lang w:eastAsia="zh-CN"/>
        </w:rPr>
      </w:pPr>
    </w:p>
    <w:p w:rsidR="00F15EE4" w:rsidRDefault="00F15EE4" w:rsidP="00F15EE4">
      <w:pPr>
        <w:pStyle w:val="ListParagraph"/>
        <w:numPr>
          <w:ilvl w:val="0"/>
          <w:numId w:val="38"/>
        </w:numPr>
        <w:tabs>
          <w:tab w:val="left" w:pos="709"/>
        </w:tabs>
        <w:autoSpaceDE w:val="0"/>
        <w:autoSpaceDN w:val="0"/>
        <w:ind w:left="0" w:firstLine="0"/>
        <w:jc w:val="both"/>
        <w:rPr>
          <w:rFonts w:cs="Arial"/>
          <w:color w:val="000000"/>
          <w:lang w:eastAsia="zh-CN"/>
        </w:rPr>
      </w:pPr>
      <w:r>
        <w:rPr>
          <w:rFonts w:cs="Arial"/>
          <w:color w:val="000000"/>
          <w:lang w:eastAsia="zh-CN"/>
        </w:rPr>
        <w:t>WIPO’s legislative and policy assistance was consistently based on the multilateral legal framework.  Member States’ legislative activity has grown, particularly due to their participation in regional economic integration processes and preferential trade agreements.  Additionally, a number of Member States are revising their patent laws to accommodate local public policies or because of their accession to multilateral treaties on patents, namely, PCT, Budapest and PLT.  Moreover, the countries joining the WTO systematically revise their legal framework.  Therefore requests for legislative advice follow the same trend.</w:t>
      </w:r>
    </w:p>
    <w:p w:rsidR="00F15EE4" w:rsidRDefault="00F15EE4" w:rsidP="00E70E02">
      <w:pPr>
        <w:pStyle w:val="ListParagraph"/>
        <w:tabs>
          <w:tab w:val="left" w:pos="709"/>
        </w:tabs>
        <w:autoSpaceDE w:val="0"/>
        <w:autoSpaceDN w:val="0"/>
        <w:ind w:left="0"/>
        <w:jc w:val="both"/>
        <w:rPr>
          <w:rFonts w:cs="Arial"/>
          <w:color w:val="000000"/>
          <w:lang w:eastAsia="zh-CN"/>
        </w:rPr>
      </w:pPr>
    </w:p>
    <w:p w:rsidR="00F15EE4" w:rsidRPr="00DD4B4E" w:rsidRDefault="00F15EE4" w:rsidP="00F15EE4">
      <w:pPr>
        <w:pStyle w:val="ListParagraph"/>
        <w:numPr>
          <w:ilvl w:val="0"/>
          <w:numId w:val="38"/>
        </w:numPr>
        <w:tabs>
          <w:tab w:val="left" w:pos="709"/>
        </w:tabs>
        <w:autoSpaceDE w:val="0"/>
        <w:autoSpaceDN w:val="0"/>
        <w:ind w:left="0" w:firstLine="0"/>
        <w:jc w:val="both"/>
        <w:rPr>
          <w:rFonts w:cs="Arial"/>
          <w:color w:val="000000"/>
          <w:lang w:eastAsia="zh-CN"/>
        </w:rPr>
      </w:pPr>
      <w:r>
        <w:rPr>
          <w:rFonts w:cs="Arial"/>
          <w:color w:val="000000"/>
          <w:lang w:eastAsia="zh-CN"/>
        </w:rPr>
        <w:t>Furthermore, during 2014 the Secretariat continued to contribute to the promotion of a greater awareness of the legal principles and practices of the patent system through the provision of relevant information to intergovernmental organizations, United Nations bodies, non-governmental organizations and other parties on issues covered by this Program</w:t>
      </w:r>
      <w:r w:rsidRPr="00DD4B4E">
        <w:rPr>
          <w:rFonts w:cs="Arial"/>
          <w:color w:val="000000"/>
          <w:lang w:eastAsia="zh-CN"/>
        </w:rPr>
        <w:t>.</w:t>
      </w:r>
    </w:p>
    <w:p w:rsidR="00F15EE4" w:rsidRPr="00DD4B4E" w:rsidRDefault="00F15EE4" w:rsidP="00E70E02">
      <w:pPr>
        <w:pStyle w:val="ListParagraph"/>
        <w:tabs>
          <w:tab w:val="left" w:pos="709"/>
        </w:tabs>
        <w:autoSpaceDE w:val="0"/>
        <w:autoSpaceDN w:val="0"/>
        <w:ind w:left="0"/>
        <w:jc w:val="both"/>
        <w:rPr>
          <w:rFonts w:cs="Arial"/>
          <w:color w:val="000000"/>
          <w:lang w:eastAsia="zh-CN"/>
        </w:rPr>
      </w:pPr>
    </w:p>
    <w:p w:rsidR="00F15EE4" w:rsidRDefault="00F15EE4" w:rsidP="00F15EE4">
      <w:pPr>
        <w:pStyle w:val="ListParagraph"/>
        <w:numPr>
          <w:ilvl w:val="0"/>
          <w:numId w:val="38"/>
        </w:numPr>
        <w:tabs>
          <w:tab w:val="left" w:pos="709"/>
        </w:tabs>
        <w:autoSpaceDE w:val="0"/>
        <w:autoSpaceDN w:val="0"/>
        <w:ind w:left="0" w:firstLine="0"/>
        <w:jc w:val="both"/>
        <w:rPr>
          <w:rFonts w:cs="Arial"/>
        </w:rPr>
      </w:pPr>
      <w:r w:rsidRPr="00DD4B4E">
        <w:rPr>
          <w:rFonts w:cs="Arial"/>
          <w:color w:val="000000"/>
          <w:lang w:eastAsia="zh-CN"/>
        </w:rPr>
        <w:t>The design, planning and implementation of activities by Program 1 were informed and guided by the relevant DA Recommendations</w:t>
      </w:r>
      <w:r>
        <w:rPr>
          <w:rFonts w:cs="Arial"/>
        </w:rPr>
        <w:t>.  Discussions on the progressive development of the international patent system within the SCP continued to be inclusive and member-driven, taking into account different levels of development, representing a participatory process and being in line with the principle of neutrality of the WIPO Secretariat (Recommendation 15).  The discussions also took into account existing flexibilities in international IP agreements (Recommendation 17).  The activities of the SCP were based upon open and balanced consultations (Recommendations 21 and 42), while being supportive of the UN development goals (Recommendation 22).</w:t>
      </w:r>
      <w:r>
        <w:rPr>
          <w:rFonts w:cs="Arial"/>
          <w:b/>
          <w:bCs/>
        </w:rPr>
        <w:t>  </w:t>
      </w:r>
      <w:r>
        <w:rPr>
          <w:rFonts w:cs="Arial"/>
        </w:rPr>
        <w:t>In particular, in line with Recommendation 22, working documents of the SCP addressed issues such as:  (</w:t>
      </w:r>
      <w:proofErr w:type="spellStart"/>
      <w:r>
        <w:rPr>
          <w:rFonts w:cs="Arial"/>
        </w:rPr>
        <w:t>i</w:t>
      </w:r>
      <w:proofErr w:type="spellEnd"/>
      <w:r>
        <w:rPr>
          <w:rFonts w:cs="Arial"/>
        </w:rPr>
        <w:t>) patent-related transfer of technology; and (ii) potential flexibilities, exceptions and limitations for Member States.</w:t>
      </w:r>
    </w:p>
    <w:p w:rsidR="00F15EE4" w:rsidRDefault="00F15EE4" w:rsidP="00E70E02">
      <w:pPr>
        <w:autoSpaceDE w:val="0"/>
        <w:autoSpaceDN w:val="0"/>
        <w:jc w:val="both"/>
        <w:rPr>
          <w:rFonts w:cs="Arial"/>
        </w:rPr>
      </w:pPr>
    </w:p>
    <w:p w:rsidR="00F15EE4" w:rsidRPr="00DD4B4E" w:rsidRDefault="00F15EE4" w:rsidP="00F15EE4">
      <w:pPr>
        <w:pStyle w:val="ListParagraph"/>
        <w:numPr>
          <w:ilvl w:val="0"/>
          <w:numId w:val="38"/>
        </w:numPr>
        <w:tabs>
          <w:tab w:val="left" w:pos="709"/>
        </w:tabs>
        <w:autoSpaceDE w:val="0"/>
        <w:autoSpaceDN w:val="0"/>
        <w:ind w:left="0" w:firstLine="0"/>
        <w:jc w:val="both"/>
        <w:rPr>
          <w:rFonts w:cs="Arial"/>
          <w:color w:val="000000"/>
          <w:lang w:eastAsia="zh-CN"/>
        </w:rPr>
      </w:pPr>
      <w:r w:rsidRPr="00DD4B4E">
        <w:rPr>
          <w:rFonts w:cs="Arial"/>
          <w:color w:val="000000"/>
          <w:lang w:eastAsia="zh-CN"/>
        </w:rPr>
        <w:t>The Program’s capacity</w:t>
      </w:r>
      <w:r w:rsidR="00304D88">
        <w:rPr>
          <w:rFonts w:cs="Arial"/>
          <w:color w:val="000000"/>
          <w:lang w:eastAsia="zh-CN"/>
        </w:rPr>
        <w:t xml:space="preserve"> </w:t>
      </w:r>
      <w:r w:rsidRPr="00DD4B4E">
        <w:rPr>
          <w:rFonts w:cs="Arial"/>
          <w:color w:val="000000"/>
          <w:lang w:eastAsia="zh-CN"/>
        </w:rPr>
        <w:t>building and legislative and policy assistance activities were development-oriented, demand-driven and carried out within the timeframe planned (Recommendations</w:t>
      </w:r>
      <w:r>
        <w:rPr>
          <w:rFonts w:cs="Arial"/>
          <w:color w:val="000000"/>
          <w:lang w:eastAsia="zh-CN"/>
        </w:rPr>
        <w:t> </w:t>
      </w:r>
      <w:r w:rsidRPr="00DD4B4E">
        <w:rPr>
          <w:rFonts w:cs="Arial"/>
          <w:color w:val="000000"/>
          <w:lang w:eastAsia="zh-CN"/>
        </w:rPr>
        <w:t>1, 13 and 14).</w:t>
      </w:r>
    </w:p>
    <w:p w:rsidR="00F15EE4" w:rsidRPr="00DD4B4E" w:rsidRDefault="00F15EE4" w:rsidP="00E70E02">
      <w:pPr>
        <w:pStyle w:val="ListParagraph"/>
        <w:tabs>
          <w:tab w:val="left" w:pos="709"/>
        </w:tabs>
        <w:autoSpaceDE w:val="0"/>
        <w:autoSpaceDN w:val="0"/>
        <w:ind w:left="0"/>
        <w:jc w:val="both"/>
        <w:rPr>
          <w:rFonts w:cs="Arial"/>
          <w:color w:val="000000"/>
          <w:lang w:eastAsia="zh-CN"/>
        </w:rPr>
      </w:pPr>
    </w:p>
    <w:p w:rsidR="00F15EE4" w:rsidRPr="00DD4B4E" w:rsidRDefault="00F15EE4" w:rsidP="00F15EE4">
      <w:pPr>
        <w:pStyle w:val="ListParagraph"/>
        <w:numPr>
          <w:ilvl w:val="0"/>
          <w:numId w:val="38"/>
        </w:numPr>
        <w:tabs>
          <w:tab w:val="left" w:pos="709"/>
        </w:tabs>
        <w:autoSpaceDE w:val="0"/>
        <w:autoSpaceDN w:val="0"/>
        <w:ind w:left="0" w:firstLine="0"/>
        <w:jc w:val="both"/>
        <w:rPr>
          <w:rFonts w:cs="Arial"/>
          <w:color w:val="000000"/>
          <w:lang w:eastAsia="zh-CN"/>
        </w:rPr>
      </w:pPr>
      <w:r w:rsidRPr="00DD4B4E">
        <w:rPr>
          <w:rFonts w:cs="Arial"/>
          <w:color w:val="000000"/>
          <w:lang w:eastAsia="zh-CN"/>
        </w:rPr>
        <w:t>In addition, in accordance with Recommendations 16 and 20, the Program was engaged in a final assessment of the outputs of the DA Project on Patents and the Public Domain, which was presented and discussed at the thirteenth session of the Committee on Development and Intellectual Property (CDIP), which took place from May 19 to 23, 2014.</w:t>
      </w:r>
    </w:p>
    <w:p w:rsidR="00F15EE4" w:rsidRPr="00DD4B4E" w:rsidRDefault="00F15EE4" w:rsidP="00E70E02">
      <w:pPr>
        <w:pStyle w:val="ListParagraph"/>
        <w:tabs>
          <w:tab w:val="left" w:pos="709"/>
        </w:tabs>
        <w:autoSpaceDE w:val="0"/>
        <w:autoSpaceDN w:val="0"/>
        <w:ind w:left="0"/>
        <w:jc w:val="both"/>
        <w:rPr>
          <w:rFonts w:cs="Arial"/>
          <w:color w:val="000000"/>
          <w:lang w:eastAsia="zh-CN"/>
        </w:rPr>
      </w:pPr>
    </w:p>
    <w:p w:rsidR="00F15EE4" w:rsidRPr="00DD4B4E" w:rsidRDefault="00F15EE4" w:rsidP="00F15EE4">
      <w:pPr>
        <w:pStyle w:val="ListParagraph"/>
        <w:numPr>
          <w:ilvl w:val="0"/>
          <w:numId w:val="38"/>
        </w:numPr>
        <w:tabs>
          <w:tab w:val="left" w:pos="709"/>
        </w:tabs>
        <w:autoSpaceDE w:val="0"/>
        <w:autoSpaceDN w:val="0"/>
        <w:ind w:left="0" w:firstLine="0"/>
        <w:jc w:val="both"/>
        <w:rPr>
          <w:rFonts w:cs="Arial"/>
          <w:color w:val="000000"/>
          <w:lang w:eastAsia="zh-CN"/>
        </w:rPr>
      </w:pPr>
      <w:r w:rsidRPr="00536666">
        <w:rPr>
          <w:rFonts w:cs="Arial"/>
          <w:color w:val="000000"/>
          <w:lang w:eastAsia="zh-CN"/>
        </w:rPr>
        <w:lastRenderedPageBreak/>
        <w:t>The Program also prepared document CDIP/13/10, which covers two new patent-related flexibilities, which was discussed at the same session of the CDIP</w:t>
      </w:r>
      <w:r w:rsidRPr="00536666" w:rsidDel="00DE435A">
        <w:rPr>
          <w:rFonts w:cs="Arial"/>
          <w:color w:val="000000"/>
          <w:lang w:eastAsia="zh-CN"/>
        </w:rPr>
        <w:t xml:space="preserve"> </w:t>
      </w:r>
      <w:r w:rsidRPr="00536666">
        <w:rPr>
          <w:rFonts w:cs="Arial"/>
          <w:color w:val="000000"/>
          <w:lang w:eastAsia="zh-CN"/>
        </w:rPr>
        <w:t>and</w:t>
      </w:r>
      <w:r w:rsidRPr="00DD4B4E">
        <w:rPr>
          <w:rFonts w:cs="Arial"/>
          <w:color w:val="000000"/>
          <w:lang w:eastAsia="zh-CN"/>
        </w:rPr>
        <w:t xml:space="preserve"> undertook activities aimed at raising awareness on the practical implementation of flexibilities at the national level.  In this regard, a WIPO Regional Seminar on issues of Patent Protection in the pharmaceutical field in Bishkek, Kyrgyzstan and six national seminars or workshops on patent legal framework and public policy were organized.</w:t>
      </w:r>
    </w:p>
    <w:p w:rsidR="00F15EE4" w:rsidRDefault="00F15EE4" w:rsidP="00E70E02">
      <w:pPr>
        <w:rPr>
          <w:rFonts w:cs="Arial"/>
        </w:rPr>
      </w:pPr>
      <w:r>
        <w:rPr>
          <w:rFonts w:cs="Arial"/>
        </w:rPr>
        <w:t xml:space="preserve"> </w:t>
      </w:r>
    </w:p>
    <w:p w:rsidR="00F15EE4" w:rsidRDefault="00F15EE4" w:rsidP="00E70E02">
      <w:pPr>
        <w:rPr>
          <w:rFonts w:cs="Arial"/>
        </w:rPr>
      </w:pPr>
    </w:p>
    <w:p w:rsidR="00F15EE4" w:rsidRDefault="00F15EE4" w:rsidP="00E70E02">
      <w:pPr>
        <w:jc w:val="both"/>
        <w:rPr>
          <w:rFonts w:cs="Arial"/>
          <w:sz w:val="22"/>
          <w:szCs w:val="22"/>
        </w:rPr>
      </w:pPr>
      <w:r w:rsidRPr="005E6AFC">
        <w:rPr>
          <w:rFonts w:cs="Arial"/>
          <w:sz w:val="22"/>
          <w:szCs w:val="22"/>
        </w:rPr>
        <w:t>PERFORMANCE DATA</w:t>
      </w:r>
    </w:p>
    <w:p w:rsidR="00F15EE4" w:rsidRPr="00035B75" w:rsidRDefault="00F15EE4" w:rsidP="00E70E02">
      <w:pPr>
        <w:rPr>
          <w:b/>
          <w:szCs w:val="20"/>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0"/>
        <w:gridCol w:w="2268"/>
        <w:gridCol w:w="1134"/>
        <w:gridCol w:w="141"/>
        <w:gridCol w:w="2553"/>
        <w:gridCol w:w="992"/>
      </w:tblGrid>
      <w:tr w:rsidR="00F15EE4" w:rsidRPr="00B36F18" w:rsidTr="00F15EE4">
        <w:trPr>
          <w:trHeight w:val="565"/>
        </w:trPr>
        <w:tc>
          <w:tcPr>
            <w:tcW w:w="5000" w:type="pct"/>
            <w:gridSpan w:val="6"/>
            <w:tcBorders>
              <w:top w:val="single" w:sz="4" w:space="0" w:color="auto"/>
              <w:bottom w:val="single" w:sz="4" w:space="0" w:color="auto"/>
            </w:tcBorders>
            <w:shd w:val="clear" w:color="auto" w:fill="CCFFFF"/>
            <w:vAlign w:val="center"/>
          </w:tcPr>
          <w:p w:rsidR="00F15EE4" w:rsidRPr="00B36F18" w:rsidRDefault="00F15EE4" w:rsidP="00E70E02">
            <w:pPr>
              <w:keepNext/>
              <w:keepLines/>
              <w:tabs>
                <w:tab w:val="left" w:pos="1452"/>
              </w:tabs>
              <w:ind w:left="1452" w:hanging="1452"/>
              <w:rPr>
                <w:rFonts w:cs="Arial"/>
                <w:b/>
                <w:bCs/>
                <w:sz w:val="16"/>
                <w:szCs w:val="16"/>
              </w:rPr>
            </w:pPr>
            <w:r w:rsidRPr="00B36F18">
              <w:rPr>
                <w:rFonts w:cs="Arial"/>
                <w:b/>
                <w:bCs/>
                <w:sz w:val="16"/>
                <w:szCs w:val="16"/>
              </w:rPr>
              <w:t>Expected Result:</w:t>
            </w:r>
            <w:r w:rsidRPr="00B36F18">
              <w:rPr>
                <w:rFonts w:cs="Arial"/>
                <w:b/>
                <w:bCs/>
                <w:sz w:val="16"/>
                <w:szCs w:val="16"/>
              </w:rPr>
              <w:tab/>
            </w:r>
            <w:r w:rsidRPr="00C83728">
              <w:rPr>
                <w:rFonts w:cs="Arial"/>
                <w:bCs/>
                <w:sz w:val="16"/>
                <w:szCs w:val="16"/>
              </w:rPr>
              <w:t>I.1</w:t>
            </w:r>
            <w:r>
              <w:rPr>
                <w:rFonts w:cs="Arial"/>
                <w:b/>
                <w:bCs/>
                <w:sz w:val="16"/>
                <w:szCs w:val="16"/>
              </w:rPr>
              <w:t xml:space="preserve"> </w:t>
            </w:r>
            <w:r w:rsidRPr="000E46A7">
              <w:rPr>
                <w:rFonts w:cs="Arial"/>
                <w:sz w:val="16"/>
                <w:szCs w:val="16"/>
                <w:lang w:bidi="th-TH"/>
              </w:rPr>
              <w:t>Enhanced cooperation among Member States on development of balanced international normative frameworks for IP and agreement on specific topics on which international instruments are agreed</w:t>
            </w:r>
          </w:p>
        </w:tc>
      </w:tr>
      <w:tr w:rsidR="00F15EE4" w:rsidRPr="00B36F18" w:rsidTr="00F15EE4">
        <w:tc>
          <w:tcPr>
            <w:tcW w:w="1269" w:type="pct"/>
            <w:tcBorders>
              <w:top w:val="single" w:sz="4" w:space="0" w:color="auto"/>
              <w:left w:val="single" w:sz="4" w:space="0" w:color="auto"/>
              <w:bottom w:val="nil"/>
              <w:right w:val="nil"/>
            </w:tcBorders>
            <w:shd w:val="clear" w:color="auto" w:fill="auto"/>
            <w:vAlign w:val="center"/>
          </w:tcPr>
          <w:p w:rsidR="00F15EE4" w:rsidRPr="00B36F18" w:rsidRDefault="00F15EE4" w:rsidP="00E70E02">
            <w:pPr>
              <w:rPr>
                <w:rFonts w:cs="Arial"/>
                <w:sz w:val="16"/>
                <w:szCs w:val="16"/>
              </w:rPr>
            </w:pPr>
            <w:r w:rsidRPr="00B36F18">
              <w:rPr>
                <w:rFonts w:cs="Arial"/>
                <w:b/>
                <w:bCs/>
                <w:sz w:val="16"/>
                <w:szCs w:val="16"/>
              </w:rPr>
              <w:t>Performance Indicators</w:t>
            </w:r>
          </w:p>
        </w:tc>
        <w:tc>
          <w:tcPr>
            <w:tcW w:w="1194" w:type="pct"/>
            <w:tcBorders>
              <w:top w:val="single" w:sz="4" w:space="0" w:color="auto"/>
              <w:left w:val="nil"/>
              <w:bottom w:val="nil"/>
              <w:right w:val="nil"/>
            </w:tcBorders>
            <w:shd w:val="clear" w:color="auto" w:fill="auto"/>
            <w:vAlign w:val="center"/>
          </w:tcPr>
          <w:p w:rsidR="00F15EE4" w:rsidRPr="00B36F18" w:rsidRDefault="00F15EE4" w:rsidP="00E70E02">
            <w:pPr>
              <w:rPr>
                <w:rFonts w:cs="Arial"/>
                <w:b/>
                <w:bCs/>
                <w:sz w:val="16"/>
                <w:szCs w:val="16"/>
              </w:rPr>
            </w:pPr>
            <w:r w:rsidRPr="00B36F18">
              <w:rPr>
                <w:rFonts w:cs="Arial"/>
                <w:b/>
                <w:bCs/>
                <w:sz w:val="16"/>
                <w:szCs w:val="16"/>
              </w:rPr>
              <w:t>Baselines</w:t>
            </w:r>
          </w:p>
        </w:tc>
        <w:tc>
          <w:tcPr>
            <w:tcW w:w="597" w:type="pct"/>
            <w:tcBorders>
              <w:top w:val="single" w:sz="4" w:space="0" w:color="auto"/>
              <w:left w:val="nil"/>
              <w:bottom w:val="nil"/>
              <w:right w:val="nil"/>
            </w:tcBorders>
            <w:shd w:val="clear" w:color="auto" w:fill="auto"/>
            <w:tcMar>
              <w:top w:w="110" w:type="dxa"/>
            </w:tcMar>
            <w:vAlign w:val="center"/>
          </w:tcPr>
          <w:p w:rsidR="00F15EE4" w:rsidRPr="00B36F18" w:rsidRDefault="00F15EE4" w:rsidP="00E70E02">
            <w:pPr>
              <w:rPr>
                <w:rFonts w:cs="Arial"/>
                <w:b/>
                <w:sz w:val="16"/>
                <w:szCs w:val="16"/>
              </w:rPr>
            </w:pPr>
            <w:r w:rsidRPr="00B36F18">
              <w:rPr>
                <w:rFonts w:cs="Arial"/>
                <w:b/>
                <w:sz w:val="16"/>
                <w:szCs w:val="16"/>
              </w:rPr>
              <w:t>Targets</w:t>
            </w:r>
          </w:p>
        </w:tc>
        <w:tc>
          <w:tcPr>
            <w:tcW w:w="1418" w:type="pct"/>
            <w:gridSpan w:val="2"/>
            <w:tcBorders>
              <w:top w:val="single" w:sz="4" w:space="0" w:color="auto"/>
              <w:left w:val="nil"/>
              <w:bottom w:val="nil"/>
              <w:right w:val="nil"/>
            </w:tcBorders>
            <w:shd w:val="clear" w:color="auto" w:fill="FFFFFF"/>
            <w:tcMar>
              <w:top w:w="110" w:type="dxa"/>
            </w:tcMar>
            <w:vAlign w:val="center"/>
          </w:tcPr>
          <w:p w:rsidR="00F15EE4" w:rsidRPr="00B36F18" w:rsidRDefault="00F15EE4" w:rsidP="00E70E02">
            <w:pPr>
              <w:rPr>
                <w:rFonts w:cs="Arial"/>
                <w:sz w:val="16"/>
                <w:szCs w:val="16"/>
              </w:rPr>
            </w:pPr>
            <w:r w:rsidRPr="00B36F18">
              <w:rPr>
                <w:rFonts w:cs="Arial"/>
                <w:b/>
                <w:bCs/>
                <w:sz w:val="16"/>
                <w:szCs w:val="16"/>
              </w:rPr>
              <w:t>Performance Data</w:t>
            </w:r>
          </w:p>
        </w:tc>
        <w:tc>
          <w:tcPr>
            <w:tcW w:w="522" w:type="pct"/>
            <w:tcBorders>
              <w:top w:val="single" w:sz="4" w:space="0" w:color="auto"/>
              <w:left w:val="nil"/>
              <w:bottom w:val="nil"/>
              <w:right w:val="single" w:sz="4" w:space="0" w:color="auto"/>
            </w:tcBorders>
            <w:shd w:val="clear" w:color="auto" w:fill="auto"/>
            <w:tcMar>
              <w:top w:w="110" w:type="dxa"/>
            </w:tcMar>
            <w:vAlign w:val="center"/>
          </w:tcPr>
          <w:p w:rsidR="00F15EE4" w:rsidRPr="00B36F18" w:rsidRDefault="00F15EE4" w:rsidP="00E70E02">
            <w:pPr>
              <w:keepNext/>
              <w:keepLines/>
              <w:jc w:val="center"/>
              <w:rPr>
                <w:rFonts w:cs="Arial"/>
                <w:b/>
                <w:sz w:val="16"/>
                <w:szCs w:val="16"/>
              </w:rPr>
            </w:pPr>
            <w:r w:rsidRPr="00B36F18">
              <w:rPr>
                <w:rFonts w:cs="Arial"/>
                <w:b/>
                <w:bCs/>
                <w:sz w:val="16"/>
                <w:szCs w:val="16"/>
              </w:rPr>
              <w:t>TLS</w:t>
            </w:r>
          </w:p>
        </w:tc>
      </w:tr>
      <w:tr w:rsidR="00F15EE4" w:rsidRPr="00B36F18" w:rsidTr="00F15EE4">
        <w:tc>
          <w:tcPr>
            <w:tcW w:w="1269" w:type="pct"/>
            <w:tcBorders>
              <w:top w:val="nil"/>
              <w:left w:val="single" w:sz="4" w:space="0" w:color="auto"/>
              <w:bottom w:val="nil"/>
              <w:right w:val="nil"/>
            </w:tcBorders>
            <w:shd w:val="clear" w:color="auto" w:fill="auto"/>
          </w:tcPr>
          <w:p w:rsidR="00F15EE4" w:rsidRPr="00B36F18" w:rsidRDefault="00F15EE4" w:rsidP="00E70E02">
            <w:pPr>
              <w:rPr>
                <w:rFonts w:cs="Arial"/>
                <w:sz w:val="16"/>
                <w:szCs w:val="16"/>
              </w:rPr>
            </w:pPr>
            <w:r w:rsidRPr="003A49C7">
              <w:rPr>
                <w:rFonts w:cs="Arial"/>
                <w:sz w:val="16"/>
                <w:szCs w:val="16"/>
              </w:rPr>
              <w:t>Progress on the implementation of SCP agreed steps/plans</w:t>
            </w:r>
          </w:p>
        </w:tc>
        <w:tc>
          <w:tcPr>
            <w:tcW w:w="1194" w:type="pct"/>
            <w:tcBorders>
              <w:top w:val="nil"/>
              <w:left w:val="nil"/>
              <w:bottom w:val="nil"/>
              <w:right w:val="nil"/>
            </w:tcBorders>
            <w:shd w:val="clear" w:color="auto" w:fill="auto"/>
          </w:tcPr>
          <w:p w:rsidR="00F15EE4" w:rsidRPr="002D16FB" w:rsidRDefault="00F15EE4" w:rsidP="00E70E02">
            <w:pPr>
              <w:rPr>
                <w:rFonts w:cs="Arial"/>
                <w:i/>
                <w:color w:val="002060"/>
                <w:sz w:val="16"/>
                <w:szCs w:val="16"/>
              </w:rPr>
            </w:pPr>
            <w:r w:rsidRPr="002D16FB">
              <w:rPr>
                <w:rFonts w:cs="Arial"/>
                <w:i/>
                <w:color w:val="002060"/>
                <w:sz w:val="16"/>
                <w:szCs w:val="16"/>
              </w:rPr>
              <w:t>Updated Baseline</w:t>
            </w:r>
            <w:r w:rsidRPr="002D16FB">
              <w:rPr>
                <w:rFonts w:cs="Arial"/>
                <w:i/>
                <w:color w:val="002060"/>
                <w:sz w:val="16"/>
                <w:szCs w:val="16"/>
              </w:rPr>
              <w:br/>
              <w:t xml:space="preserve">end 2013:  </w:t>
            </w:r>
            <w:r w:rsidRPr="002D16FB">
              <w:rPr>
                <w:rFonts w:cs="Arial"/>
                <w:color w:val="002060"/>
                <w:sz w:val="16"/>
                <w:szCs w:val="16"/>
                <w:lang w:bidi="th-TH"/>
              </w:rPr>
              <w:t>The SCP concentrated its efforts on progressing the five topics on its agenda, and advanced its discussions through, for example, collecting information through a questionnaire, preparing studies and exchanging national practices and experiences among Member States.</w:t>
            </w:r>
          </w:p>
          <w:p w:rsidR="00F15EE4" w:rsidRPr="00F97C8F" w:rsidRDefault="00F15EE4" w:rsidP="00E70E02">
            <w:pPr>
              <w:rPr>
                <w:rFonts w:cs="Arial"/>
                <w:i/>
                <w:sz w:val="8"/>
                <w:szCs w:val="8"/>
              </w:rPr>
            </w:pPr>
          </w:p>
          <w:p w:rsidR="00F15EE4" w:rsidRPr="00F97C8F" w:rsidRDefault="00F15EE4" w:rsidP="00D735A1">
            <w:pPr>
              <w:rPr>
                <w:rFonts w:cs="Arial"/>
                <w:sz w:val="16"/>
                <w:szCs w:val="16"/>
              </w:rPr>
            </w:pPr>
            <w:r w:rsidRPr="00F97C8F">
              <w:rPr>
                <w:rFonts w:cs="Arial"/>
                <w:i/>
                <w:sz w:val="16"/>
                <w:szCs w:val="16"/>
                <w:lang w:bidi="th-TH"/>
              </w:rPr>
              <w:t xml:space="preserve">Original Baseline </w:t>
            </w:r>
            <w:r w:rsidRPr="00F97C8F">
              <w:rPr>
                <w:rFonts w:cs="Arial"/>
                <w:i/>
                <w:sz w:val="16"/>
                <w:szCs w:val="16"/>
                <w:lang w:bidi="th-TH"/>
              </w:rPr>
              <w:br/>
              <w:t xml:space="preserve">P&amp;B 2014/15: </w:t>
            </w:r>
            <w:r w:rsidRPr="00F97C8F">
              <w:rPr>
                <w:rFonts w:cs="Arial"/>
                <w:sz w:val="16"/>
                <w:szCs w:val="16"/>
                <w:lang w:bidi="th-TH"/>
              </w:rPr>
              <w:t>To be determined</w:t>
            </w:r>
          </w:p>
        </w:tc>
        <w:tc>
          <w:tcPr>
            <w:tcW w:w="597" w:type="pct"/>
            <w:tcBorders>
              <w:top w:val="nil"/>
              <w:left w:val="nil"/>
              <w:bottom w:val="nil"/>
              <w:right w:val="nil"/>
            </w:tcBorders>
            <w:shd w:val="clear" w:color="auto" w:fill="auto"/>
            <w:tcMar>
              <w:top w:w="110" w:type="dxa"/>
            </w:tcMar>
          </w:tcPr>
          <w:p w:rsidR="00F15EE4" w:rsidRPr="00F97C8F" w:rsidRDefault="00F15EE4" w:rsidP="00E70E02">
            <w:pPr>
              <w:rPr>
                <w:rFonts w:cs="Arial"/>
                <w:sz w:val="16"/>
                <w:szCs w:val="16"/>
              </w:rPr>
            </w:pPr>
            <w:r w:rsidRPr="00F97C8F">
              <w:rPr>
                <w:rFonts w:cs="Arial"/>
                <w:sz w:val="16"/>
                <w:szCs w:val="16"/>
              </w:rPr>
              <w:t>Advancement on issues of common interest at the SCP</w:t>
            </w:r>
          </w:p>
        </w:tc>
        <w:tc>
          <w:tcPr>
            <w:tcW w:w="1418" w:type="pct"/>
            <w:gridSpan w:val="2"/>
            <w:tcBorders>
              <w:top w:val="nil"/>
              <w:left w:val="nil"/>
              <w:bottom w:val="nil"/>
              <w:right w:val="nil"/>
            </w:tcBorders>
            <w:shd w:val="clear" w:color="auto" w:fill="FFFFFF"/>
            <w:tcMar>
              <w:top w:w="110" w:type="dxa"/>
            </w:tcMar>
          </w:tcPr>
          <w:p w:rsidR="00F15EE4" w:rsidRPr="00F97C8F" w:rsidRDefault="00F15EE4" w:rsidP="00E70E02">
            <w:pPr>
              <w:rPr>
                <w:rFonts w:cs="Arial"/>
                <w:sz w:val="16"/>
                <w:szCs w:val="16"/>
              </w:rPr>
            </w:pPr>
            <w:r w:rsidRPr="00F97C8F">
              <w:rPr>
                <w:rFonts w:cs="Arial"/>
                <w:sz w:val="16"/>
                <w:szCs w:val="16"/>
              </w:rPr>
              <w:t xml:space="preserve">SCP/21 (11/2014) five topics: exceptions and limitations to patents rights; quality of patents; patents and health; confidentiality of communication between clients and their patent advisors, and </w:t>
            </w:r>
            <w:r>
              <w:rPr>
                <w:rFonts w:cs="Arial"/>
                <w:sz w:val="16"/>
                <w:szCs w:val="16"/>
              </w:rPr>
              <w:t xml:space="preserve">transfer of </w:t>
            </w:r>
            <w:proofErr w:type="gramStart"/>
            <w:r>
              <w:rPr>
                <w:rFonts w:cs="Arial"/>
                <w:sz w:val="16"/>
                <w:szCs w:val="16"/>
              </w:rPr>
              <w:t xml:space="preserve">technology </w:t>
            </w:r>
            <w:r w:rsidRPr="00F97C8F">
              <w:rPr>
                <w:rFonts w:cs="Arial"/>
                <w:sz w:val="16"/>
                <w:szCs w:val="16"/>
              </w:rPr>
              <w:t>.</w:t>
            </w:r>
            <w:proofErr w:type="gramEnd"/>
            <w:r w:rsidRPr="00F97C8F">
              <w:rPr>
                <w:rFonts w:cs="Arial"/>
                <w:sz w:val="16"/>
                <w:szCs w:val="16"/>
              </w:rPr>
              <w:t xml:space="preserve">  Discussions were based on delegations’ proposals (11) and documents prepared by the Secretariat (10) (Summary by the Chair, document  SCP/21/11 Rev.)</w:t>
            </w:r>
          </w:p>
        </w:tc>
        <w:tc>
          <w:tcPr>
            <w:tcW w:w="522" w:type="pct"/>
            <w:tcBorders>
              <w:top w:val="nil"/>
              <w:left w:val="nil"/>
              <w:bottom w:val="nil"/>
              <w:right w:val="single" w:sz="4" w:space="0" w:color="auto"/>
            </w:tcBorders>
            <w:shd w:val="clear" w:color="auto" w:fill="auto"/>
            <w:tcMar>
              <w:top w:w="110" w:type="dxa"/>
            </w:tcMar>
          </w:tcPr>
          <w:p w:rsidR="00F15EE4" w:rsidRPr="00AB5747" w:rsidRDefault="00F15EE4" w:rsidP="00E70E02">
            <w:pPr>
              <w:keepNext/>
              <w:keepLines/>
              <w:jc w:val="center"/>
              <w:rPr>
                <w:rFonts w:cs="Arial"/>
                <w:color w:val="00B050"/>
                <w:sz w:val="16"/>
                <w:szCs w:val="16"/>
              </w:rPr>
            </w:pPr>
            <w:r w:rsidRPr="00AB5747">
              <w:rPr>
                <w:b/>
                <w:bCs/>
                <w:color w:val="00B050"/>
                <w:sz w:val="16"/>
                <w:szCs w:val="16"/>
              </w:rPr>
              <w:t>On track</w:t>
            </w:r>
          </w:p>
        </w:tc>
      </w:tr>
      <w:tr w:rsidR="00F15EE4" w:rsidRPr="00B36F18" w:rsidTr="00F15EE4">
        <w:tc>
          <w:tcPr>
            <w:tcW w:w="1269" w:type="pct"/>
            <w:tcBorders>
              <w:top w:val="nil"/>
              <w:left w:val="single" w:sz="4" w:space="0" w:color="auto"/>
              <w:bottom w:val="single" w:sz="4" w:space="0" w:color="auto"/>
              <w:right w:val="nil"/>
            </w:tcBorders>
            <w:shd w:val="clear" w:color="auto" w:fill="auto"/>
          </w:tcPr>
          <w:p w:rsidR="00F15EE4" w:rsidRPr="00B36F18" w:rsidRDefault="00F15EE4" w:rsidP="00E70E02">
            <w:pPr>
              <w:rPr>
                <w:rFonts w:cs="Arial"/>
                <w:sz w:val="16"/>
                <w:szCs w:val="16"/>
              </w:rPr>
            </w:pPr>
            <w:r w:rsidRPr="003A49C7">
              <w:rPr>
                <w:rFonts w:cs="Arial"/>
                <w:sz w:val="16"/>
                <w:szCs w:val="16"/>
              </w:rPr>
              <w:t>% of satisfied participants in targeted workshops/</w:t>
            </w:r>
            <w:r>
              <w:rPr>
                <w:rFonts w:cs="Arial"/>
                <w:sz w:val="16"/>
                <w:szCs w:val="16"/>
              </w:rPr>
              <w:t xml:space="preserve"> </w:t>
            </w:r>
            <w:r w:rsidRPr="003A49C7">
              <w:rPr>
                <w:rFonts w:cs="Arial"/>
                <w:sz w:val="16"/>
                <w:szCs w:val="16"/>
              </w:rPr>
              <w:t>seminars/</w:t>
            </w:r>
            <w:r>
              <w:rPr>
                <w:rFonts w:cs="Arial"/>
                <w:sz w:val="16"/>
                <w:szCs w:val="16"/>
              </w:rPr>
              <w:t xml:space="preserve"> </w:t>
            </w:r>
            <w:r w:rsidRPr="003A49C7">
              <w:rPr>
                <w:rFonts w:cs="Arial"/>
                <w:sz w:val="16"/>
                <w:szCs w:val="16"/>
              </w:rPr>
              <w:t>conferences held on specific patent-related topics</w:t>
            </w:r>
          </w:p>
        </w:tc>
        <w:tc>
          <w:tcPr>
            <w:tcW w:w="1194" w:type="pct"/>
            <w:tcBorders>
              <w:top w:val="nil"/>
              <w:left w:val="nil"/>
              <w:bottom w:val="single" w:sz="4" w:space="0" w:color="auto"/>
              <w:right w:val="nil"/>
            </w:tcBorders>
            <w:shd w:val="clear" w:color="auto" w:fill="auto"/>
          </w:tcPr>
          <w:p w:rsidR="00F15EE4" w:rsidRPr="002D16FB" w:rsidRDefault="00F15EE4" w:rsidP="00E70E02">
            <w:pPr>
              <w:rPr>
                <w:rFonts w:cs="Arial"/>
                <w:color w:val="002060"/>
                <w:sz w:val="16"/>
                <w:szCs w:val="16"/>
                <w:lang w:bidi="th-TH"/>
              </w:rPr>
            </w:pPr>
            <w:r w:rsidRPr="002D16FB">
              <w:rPr>
                <w:rFonts w:cs="Arial"/>
                <w:i/>
                <w:color w:val="002060"/>
                <w:sz w:val="16"/>
                <w:szCs w:val="16"/>
              </w:rPr>
              <w:t>Updated Baseline</w:t>
            </w:r>
            <w:r w:rsidRPr="002D16FB">
              <w:rPr>
                <w:rFonts w:cs="Arial"/>
                <w:i/>
                <w:color w:val="002060"/>
                <w:sz w:val="16"/>
                <w:szCs w:val="16"/>
              </w:rPr>
              <w:br/>
              <w:t xml:space="preserve">end 2013:  </w:t>
            </w:r>
            <w:r w:rsidRPr="002D16FB">
              <w:rPr>
                <w:rFonts w:cs="Arial"/>
                <w:color w:val="002060"/>
                <w:sz w:val="16"/>
                <w:szCs w:val="16"/>
                <w:lang w:bidi="th-TH"/>
              </w:rPr>
              <w:t>92.5%, based on 2012/13 survey</w:t>
            </w:r>
          </w:p>
          <w:p w:rsidR="00F15EE4" w:rsidRPr="00F97C8F" w:rsidRDefault="00F15EE4" w:rsidP="00E70E02">
            <w:pPr>
              <w:rPr>
                <w:rFonts w:cs="Arial"/>
                <w:i/>
                <w:sz w:val="8"/>
                <w:szCs w:val="8"/>
              </w:rPr>
            </w:pPr>
          </w:p>
          <w:p w:rsidR="00F15EE4" w:rsidRPr="00F97C8F" w:rsidRDefault="00F15EE4" w:rsidP="00E70E02">
            <w:pPr>
              <w:rPr>
                <w:rFonts w:cs="Arial"/>
                <w:i/>
                <w:sz w:val="16"/>
                <w:szCs w:val="16"/>
                <w:lang w:bidi="th-TH"/>
              </w:rPr>
            </w:pPr>
            <w:r w:rsidRPr="00F97C8F">
              <w:rPr>
                <w:rFonts w:cs="Arial"/>
                <w:i/>
                <w:sz w:val="16"/>
                <w:szCs w:val="16"/>
                <w:lang w:bidi="th-TH"/>
              </w:rPr>
              <w:t xml:space="preserve">Original Baseline </w:t>
            </w:r>
            <w:r w:rsidRPr="00F97C8F">
              <w:rPr>
                <w:rFonts w:cs="Arial"/>
                <w:i/>
                <w:sz w:val="16"/>
                <w:szCs w:val="16"/>
                <w:lang w:bidi="th-TH"/>
              </w:rPr>
              <w:br/>
              <w:t xml:space="preserve">P&amp;B 2014/15: </w:t>
            </w:r>
            <w:r w:rsidRPr="00F97C8F">
              <w:rPr>
                <w:rFonts w:cs="Arial"/>
                <w:sz w:val="16"/>
                <w:szCs w:val="16"/>
                <w:lang w:bidi="th-TH"/>
              </w:rPr>
              <w:t>Surveys 2012</w:t>
            </w:r>
          </w:p>
          <w:p w:rsidR="00F15EE4" w:rsidRPr="00F97C8F" w:rsidRDefault="00F15EE4" w:rsidP="00E70E02">
            <w:pPr>
              <w:rPr>
                <w:rFonts w:cs="Arial"/>
                <w:sz w:val="16"/>
                <w:szCs w:val="16"/>
              </w:rPr>
            </w:pPr>
          </w:p>
        </w:tc>
        <w:tc>
          <w:tcPr>
            <w:tcW w:w="597" w:type="pct"/>
            <w:tcBorders>
              <w:top w:val="nil"/>
              <w:left w:val="nil"/>
              <w:bottom w:val="single" w:sz="4" w:space="0" w:color="auto"/>
              <w:right w:val="nil"/>
            </w:tcBorders>
            <w:shd w:val="clear" w:color="auto" w:fill="auto"/>
            <w:tcMar>
              <w:top w:w="110" w:type="dxa"/>
            </w:tcMar>
          </w:tcPr>
          <w:p w:rsidR="00F15EE4" w:rsidRPr="00F97C8F" w:rsidRDefault="00F15EE4" w:rsidP="00E70E02">
            <w:pPr>
              <w:rPr>
                <w:rFonts w:cs="Arial"/>
                <w:sz w:val="16"/>
                <w:szCs w:val="16"/>
              </w:rPr>
            </w:pPr>
            <w:r w:rsidRPr="00F97C8F">
              <w:rPr>
                <w:rFonts w:cs="Arial"/>
                <w:sz w:val="16"/>
                <w:szCs w:val="16"/>
              </w:rPr>
              <w:t>90%</w:t>
            </w:r>
          </w:p>
        </w:tc>
        <w:tc>
          <w:tcPr>
            <w:tcW w:w="1418" w:type="pct"/>
            <w:gridSpan w:val="2"/>
            <w:tcBorders>
              <w:top w:val="nil"/>
              <w:left w:val="nil"/>
              <w:bottom w:val="single" w:sz="4" w:space="0" w:color="auto"/>
              <w:right w:val="nil"/>
            </w:tcBorders>
            <w:shd w:val="clear" w:color="auto" w:fill="FFFFFF"/>
            <w:tcMar>
              <w:top w:w="110" w:type="dxa"/>
            </w:tcMar>
          </w:tcPr>
          <w:p w:rsidR="00F15EE4" w:rsidRPr="00F97C8F" w:rsidRDefault="00F15EE4" w:rsidP="00E70E02">
            <w:pPr>
              <w:rPr>
                <w:rFonts w:cs="Arial"/>
                <w:sz w:val="16"/>
                <w:szCs w:val="16"/>
              </w:rPr>
            </w:pPr>
            <w:r w:rsidRPr="00F97C8F">
              <w:rPr>
                <w:rFonts w:cs="Arial"/>
                <w:sz w:val="16"/>
                <w:szCs w:val="16"/>
              </w:rPr>
              <w:t>92.75 % based on 2014 survey</w:t>
            </w:r>
          </w:p>
        </w:tc>
        <w:tc>
          <w:tcPr>
            <w:tcW w:w="522" w:type="pct"/>
            <w:tcBorders>
              <w:top w:val="nil"/>
              <w:left w:val="nil"/>
              <w:bottom w:val="single" w:sz="4" w:space="0" w:color="auto"/>
              <w:right w:val="single" w:sz="4" w:space="0" w:color="auto"/>
            </w:tcBorders>
            <w:shd w:val="clear" w:color="auto" w:fill="auto"/>
            <w:tcMar>
              <w:top w:w="110" w:type="dxa"/>
            </w:tcMar>
          </w:tcPr>
          <w:p w:rsidR="00F15EE4" w:rsidRDefault="00F15EE4" w:rsidP="00E70E02">
            <w:pPr>
              <w:keepNext/>
              <w:keepLines/>
              <w:jc w:val="center"/>
              <w:rPr>
                <w:rFonts w:cs="Arial"/>
                <w:color w:val="10862C"/>
                <w:sz w:val="16"/>
                <w:szCs w:val="16"/>
              </w:rPr>
            </w:pPr>
            <w:r w:rsidRPr="00AB5747">
              <w:rPr>
                <w:b/>
                <w:bCs/>
                <w:color w:val="00B050"/>
                <w:sz w:val="16"/>
                <w:szCs w:val="16"/>
              </w:rPr>
              <w:t>On track</w:t>
            </w:r>
          </w:p>
        </w:tc>
      </w:tr>
      <w:tr w:rsidR="00F15EE4" w:rsidRPr="00B36F18" w:rsidTr="00F15EE4">
        <w:trPr>
          <w:trHeight w:val="431"/>
        </w:trPr>
        <w:tc>
          <w:tcPr>
            <w:tcW w:w="5000" w:type="pct"/>
            <w:gridSpan w:val="6"/>
            <w:tcBorders>
              <w:top w:val="nil"/>
              <w:bottom w:val="single" w:sz="4" w:space="0" w:color="auto"/>
            </w:tcBorders>
            <w:shd w:val="clear" w:color="auto" w:fill="CCFFFF"/>
            <w:vAlign w:val="center"/>
          </w:tcPr>
          <w:p w:rsidR="00F15EE4" w:rsidRPr="00F97C8F" w:rsidRDefault="00F15EE4" w:rsidP="00E70E02">
            <w:pPr>
              <w:keepNext/>
              <w:keepLines/>
              <w:tabs>
                <w:tab w:val="left" w:pos="1452"/>
              </w:tabs>
              <w:ind w:left="1452" w:hanging="1452"/>
              <w:rPr>
                <w:rFonts w:cs="Arial"/>
                <w:b/>
                <w:bCs/>
                <w:sz w:val="16"/>
                <w:szCs w:val="16"/>
              </w:rPr>
            </w:pPr>
            <w:r w:rsidRPr="00F97C8F">
              <w:rPr>
                <w:rFonts w:cs="Arial"/>
                <w:b/>
                <w:bCs/>
                <w:sz w:val="16"/>
                <w:szCs w:val="16"/>
              </w:rPr>
              <w:t>Expected Result:</w:t>
            </w:r>
            <w:r w:rsidRPr="00F97C8F">
              <w:rPr>
                <w:rFonts w:cs="Arial"/>
                <w:b/>
                <w:bCs/>
                <w:sz w:val="16"/>
                <w:szCs w:val="16"/>
              </w:rPr>
              <w:tab/>
            </w:r>
            <w:r w:rsidRPr="00F97C8F">
              <w:rPr>
                <w:rFonts w:cs="Arial"/>
                <w:bCs/>
                <w:sz w:val="16"/>
                <w:szCs w:val="16"/>
              </w:rPr>
              <w:t>I.2</w:t>
            </w:r>
            <w:r w:rsidRPr="00F97C8F">
              <w:rPr>
                <w:rFonts w:cs="Arial"/>
                <w:b/>
                <w:bCs/>
                <w:sz w:val="16"/>
                <w:szCs w:val="16"/>
              </w:rPr>
              <w:t xml:space="preserve"> </w:t>
            </w:r>
            <w:r w:rsidRPr="00F97C8F">
              <w:rPr>
                <w:rFonts w:cs="Arial"/>
                <w:sz w:val="16"/>
                <w:szCs w:val="16"/>
                <w:lang w:bidi="th-TH"/>
              </w:rPr>
              <w:t>Tailored and balanced IP legislative, regulatory and policy frameworks</w:t>
            </w:r>
          </w:p>
        </w:tc>
      </w:tr>
      <w:tr w:rsidR="00F15EE4" w:rsidRPr="00B36F18" w:rsidTr="00F15EE4">
        <w:trPr>
          <w:trHeight w:val="280"/>
        </w:trPr>
        <w:tc>
          <w:tcPr>
            <w:tcW w:w="1269" w:type="pct"/>
            <w:tcBorders>
              <w:top w:val="single" w:sz="4" w:space="0" w:color="auto"/>
            </w:tcBorders>
            <w:shd w:val="clear" w:color="auto" w:fill="auto"/>
            <w:vAlign w:val="center"/>
          </w:tcPr>
          <w:p w:rsidR="00F15EE4" w:rsidRPr="00B36F18" w:rsidRDefault="00F15EE4" w:rsidP="00E70E02">
            <w:pPr>
              <w:rPr>
                <w:rFonts w:cs="Arial"/>
                <w:sz w:val="16"/>
                <w:szCs w:val="16"/>
              </w:rPr>
            </w:pPr>
            <w:r w:rsidRPr="00B36F18">
              <w:rPr>
                <w:rFonts w:cs="Arial"/>
                <w:b/>
                <w:bCs/>
                <w:sz w:val="16"/>
                <w:szCs w:val="16"/>
              </w:rPr>
              <w:t>Performance Indicators</w:t>
            </w:r>
          </w:p>
        </w:tc>
        <w:tc>
          <w:tcPr>
            <w:tcW w:w="1194" w:type="pct"/>
            <w:tcBorders>
              <w:top w:val="single" w:sz="4" w:space="0" w:color="auto"/>
            </w:tcBorders>
            <w:shd w:val="clear" w:color="auto" w:fill="auto"/>
            <w:vAlign w:val="center"/>
          </w:tcPr>
          <w:p w:rsidR="00F15EE4" w:rsidRPr="00F97C8F" w:rsidRDefault="00F15EE4" w:rsidP="00E70E02">
            <w:pPr>
              <w:rPr>
                <w:rFonts w:cs="Arial"/>
                <w:b/>
                <w:bCs/>
                <w:sz w:val="16"/>
                <w:szCs w:val="16"/>
              </w:rPr>
            </w:pPr>
            <w:r w:rsidRPr="00F97C8F">
              <w:rPr>
                <w:rFonts w:cs="Arial"/>
                <w:b/>
                <w:bCs/>
                <w:sz w:val="16"/>
                <w:szCs w:val="16"/>
              </w:rPr>
              <w:t>Baselines</w:t>
            </w:r>
          </w:p>
        </w:tc>
        <w:tc>
          <w:tcPr>
            <w:tcW w:w="671" w:type="pct"/>
            <w:gridSpan w:val="2"/>
            <w:tcBorders>
              <w:top w:val="single" w:sz="4" w:space="0" w:color="auto"/>
            </w:tcBorders>
            <w:shd w:val="clear" w:color="auto" w:fill="auto"/>
            <w:tcMar>
              <w:top w:w="110" w:type="dxa"/>
            </w:tcMar>
            <w:vAlign w:val="center"/>
          </w:tcPr>
          <w:p w:rsidR="00F15EE4" w:rsidRPr="00F97C8F" w:rsidRDefault="00F15EE4" w:rsidP="00E70E02">
            <w:pPr>
              <w:rPr>
                <w:rFonts w:cs="Arial"/>
                <w:b/>
                <w:sz w:val="16"/>
                <w:szCs w:val="16"/>
              </w:rPr>
            </w:pPr>
            <w:r w:rsidRPr="00F97C8F">
              <w:rPr>
                <w:rFonts w:cs="Arial"/>
                <w:b/>
                <w:sz w:val="16"/>
                <w:szCs w:val="16"/>
              </w:rPr>
              <w:t>Targets</w:t>
            </w:r>
          </w:p>
        </w:tc>
        <w:tc>
          <w:tcPr>
            <w:tcW w:w="1342" w:type="pct"/>
            <w:tcBorders>
              <w:top w:val="single" w:sz="4" w:space="0" w:color="auto"/>
            </w:tcBorders>
            <w:shd w:val="clear" w:color="auto" w:fill="auto"/>
            <w:tcMar>
              <w:top w:w="110" w:type="dxa"/>
            </w:tcMar>
            <w:vAlign w:val="center"/>
          </w:tcPr>
          <w:p w:rsidR="00F15EE4" w:rsidRPr="00F97C8F" w:rsidRDefault="00F15EE4" w:rsidP="00E70E02">
            <w:pPr>
              <w:rPr>
                <w:rFonts w:cs="Arial"/>
                <w:sz w:val="16"/>
                <w:szCs w:val="16"/>
              </w:rPr>
            </w:pPr>
            <w:r w:rsidRPr="00F97C8F">
              <w:rPr>
                <w:rFonts w:cs="Arial"/>
                <w:b/>
                <w:bCs/>
                <w:sz w:val="16"/>
                <w:szCs w:val="16"/>
              </w:rPr>
              <w:t>Performance Data</w:t>
            </w:r>
          </w:p>
        </w:tc>
        <w:tc>
          <w:tcPr>
            <w:tcW w:w="524" w:type="pct"/>
            <w:tcBorders>
              <w:top w:val="single" w:sz="4" w:space="0" w:color="auto"/>
            </w:tcBorders>
            <w:shd w:val="clear" w:color="auto" w:fill="auto"/>
            <w:tcMar>
              <w:top w:w="110" w:type="dxa"/>
            </w:tcMar>
            <w:vAlign w:val="center"/>
          </w:tcPr>
          <w:p w:rsidR="00F15EE4" w:rsidRPr="00B36F18" w:rsidRDefault="00F15EE4" w:rsidP="00E70E02">
            <w:pPr>
              <w:keepNext/>
              <w:keepLines/>
              <w:jc w:val="center"/>
              <w:rPr>
                <w:rFonts w:cs="Arial"/>
                <w:b/>
                <w:sz w:val="16"/>
                <w:szCs w:val="16"/>
              </w:rPr>
            </w:pPr>
            <w:r w:rsidRPr="00B36F18">
              <w:rPr>
                <w:rFonts w:cs="Arial"/>
                <w:b/>
                <w:bCs/>
                <w:sz w:val="16"/>
                <w:szCs w:val="16"/>
              </w:rPr>
              <w:t>TLS</w:t>
            </w:r>
          </w:p>
        </w:tc>
      </w:tr>
      <w:tr w:rsidR="00F15EE4" w:rsidRPr="00B36F18" w:rsidTr="00F15EE4">
        <w:tc>
          <w:tcPr>
            <w:tcW w:w="1269" w:type="pct"/>
            <w:shd w:val="clear" w:color="auto" w:fill="FFFFFF"/>
          </w:tcPr>
          <w:p w:rsidR="00F15EE4" w:rsidRPr="007A411D" w:rsidRDefault="00F15EE4" w:rsidP="00E70E02">
            <w:pPr>
              <w:rPr>
                <w:rFonts w:cs="Arial"/>
                <w:sz w:val="16"/>
                <w:szCs w:val="16"/>
                <w:lang w:bidi="th-TH"/>
              </w:rPr>
            </w:pPr>
            <w:r w:rsidRPr="007A411D">
              <w:rPr>
                <w:rFonts w:cs="Arial"/>
                <w:sz w:val="16"/>
                <w:szCs w:val="16"/>
                <w:lang w:bidi="th-TH"/>
              </w:rPr>
              <w:t>N</w:t>
            </w:r>
            <w:r>
              <w:rPr>
                <w:rFonts w:cs="Arial"/>
                <w:sz w:val="16"/>
                <w:szCs w:val="16"/>
                <w:lang w:bidi="th-TH"/>
              </w:rPr>
              <w:t xml:space="preserve">o. </w:t>
            </w:r>
            <w:r w:rsidRPr="007A411D">
              <w:rPr>
                <w:rFonts w:cs="Arial"/>
                <w:sz w:val="16"/>
                <w:szCs w:val="16"/>
                <w:lang w:bidi="th-TH"/>
              </w:rPr>
              <w:t>and % of Member States which found the provided information concerning the legal principles and practices of the patent system, including the flexibilities existing in the system and the challenges it faces, useful</w:t>
            </w:r>
          </w:p>
        </w:tc>
        <w:tc>
          <w:tcPr>
            <w:tcW w:w="1194" w:type="pct"/>
            <w:shd w:val="clear" w:color="auto" w:fill="auto"/>
          </w:tcPr>
          <w:p w:rsidR="00F15EE4" w:rsidRPr="002D16FB" w:rsidRDefault="00F15EE4" w:rsidP="00E70E02">
            <w:pPr>
              <w:rPr>
                <w:rFonts w:cs="Arial"/>
                <w:color w:val="002060"/>
                <w:sz w:val="16"/>
                <w:szCs w:val="16"/>
                <w:lang w:bidi="th-TH"/>
              </w:rPr>
            </w:pPr>
            <w:r w:rsidRPr="002D16FB">
              <w:rPr>
                <w:rFonts w:cs="Arial"/>
                <w:i/>
                <w:color w:val="002060"/>
                <w:sz w:val="16"/>
                <w:szCs w:val="16"/>
              </w:rPr>
              <w:t>Updated Baseline</w:t>
            </w:r>
            <w:r w:rsidRPr="002D16FB">
              <w:rPr>
                <w:rFonts w:cs="Arial"/>
                <w:i/>
                <w:color w:val="002060"/>
                <w:sz w:val="16"/>
                <w:szCs w:val="16"/>
              </w:rPr>
              <w:br/>
              <w:t xml:space="preserve">end 2013:  </w:t>
            </w:r>
            <w:r w:rsidRPr="002D16FB">
              <w:rPr>
                <w:rFonts w:cs="Arial"/>
                <w:color w:val="002060"/>
                <w:sz w:val="16"/>
                <w:szCs w:val="16"/>
                <w:lang w:bidi="th-TH"/>
              </w:rPr>
              <w:t>90% based on survey conducted by IOD in 2013 among 47 Member States</w:t>
            </w:r>
          </w:p>
          <w:p w:rsidR="00F15EE4" w:rsidRPr="00F97C8F" w:rsidRDefault="00F15EE4" w:rsidP="00E70E02">
            <w:pPr>
              <w:rPr>
                <w:rFonts w:cs="Arial"/>
                <w:i/>
                <w:sz w:val="8"/>
                <w:szCs w:val="8"/>
                <w:lang w:bidi="th-TH"/>
              </w:rPr>
            </w:pPr>
          </w:p>
          <w:p w:rsidR="00F15EE4" w:rsidRPr="00F97C8F" w:rsidRDefault="00F15EE4" w:rsidP="00E70E02">
            <w:pPr>
              <w:rPr>
                <w:rFonts w:cs="Arial"/>
                <w:i/>
                <w:sz w:val="16"/>
                <w:szCs w:val="16"/>
                <w:lang w:bidi="th-TH"/>
              </w:rPr>
            </w:pPr>
            <w:r w:rsidRPr="00F97C8F">
              <w:rPr>
                <w:rFonts w:cs="Arial"/>
                <w:i/>
                <w:sz w:val="16"/>
                <w:szCs w:val="16"/>
                <w:lang w:bidi="th-TH"/>
              </w:rPr>
              <w:t xml:space="preserve">Original Baseline </w:t>
            </w:r>
            <w:r w:rsidRPr="00F97C8F">
              <w:rPr>
                <w:rFonts w:cs="Arial"/>
                <w:i/>
                <w:sz w:val="16"/>
                <w:szCs w:val="16"/>
                <w:lang w:bidi="th-TH"/>
              </w:rPr>
              <w:br/>
              <w:t xml:space="preserve">P&amp;B 2014/15: </w:t>
            </w:r>
            <w:r w:rsidRPr="00F97C8F">
              <w:rPr>
                <w:rFonts w:cs="Arial"/>
                <w:sz w:val="16"/>
                <w:szCs w:val="16"/>
                <w:lang w:bidi="th-TH"/>
              </w:rPr>
              <w:t>To be determined</w:t>
            </w:r>
          </w:p>
          <w:p w:rsidR="00F15EE4" w:rsidRPr="00F97C8F" w:rsidRDefault="00F15EE4" w:rsidP="00E70E02">
            <w:pPr>
              <w:rPr>
                <w:rFonts w:cs="Arial"/>
                <w:i/>
                <w:sz w:val="16"/>
                <w:szCs w:val="16"/>
              </w:rPr>
            </w:pPr>
          </w:p>
        </w:tc>
        <w:tc>
          <w:tcPr>
            <w:tcW w:w="671" w:type="pct"/>
            <w:gridSpan w:val="2"/>
            <w:shd w:val="clear" w:color="auto" w:fill="auto"/>
            <w:tcMar>
              <w:top w:w="110" w:type="dxa"/>
            </w:tcMar>
          </w:tcPr>
          <w:p w:rsidR="00F15EE4" w:rsidRPr="00F97C8F" w:rsidRDefault="00F15EE4" w:rsidP="00E70E02">
            <w:pPr>
              <w:autoSpaceDE w:val="0"/>
              <w:autoSpaceDN w:val="0"/>
              <w:adjustRightInd w:val="0"/>
              <w:rPr>
                <w:rFonts w:cs="Arial"/>
                <w:sz w:val="16"/>
                <w:szCs w:val="16"/>
              </w:rPr>
            </w:pPr>
            <w:r w:rsidRPr="00F97C8F">
              <w:rPr>
                <w:rFonts w:cs="Arial"/>
                <w:sz w:val="16"/>
                <w:szCs w:val="16"/>
              </w:rPr>
              <w:t>90%</w:t>
            </w:r>
          </w:p>
        </w:tc>
        <w:tc>
          <w:tcPr>
            <w:tcW w:w="1342" w:type="pct"/>
            <w:shd w:val="clear" w:color="auto" w:fill="FFFFFF"/>
            <w:tcMar>
              <w:top w:w="110" w:type="dxa"/>
            </w:tcMar>
          </w:tcPr>
          <w:p w:rsidR="00F15EE4" w:rsidRPr="00F97C8F" w:rsidRDefault="00F15EE4" w:rsidP="00E70E02">
            <w:pPr>
              <w:rPr>
                <w:rFonts w:cs="Arial"/>
                <w:sz w:val="16"/>
                <w:szCs w:val="16"/>
                <w:lang w:bidi="th-TH"/>
              </w:rPr>
            </w:pPr>
            <w:r w:rsidRPr="00F97C8F">
              <w:rPr>
                <w:rFonts w:cs="Arial"/>
                <w:sz w:val="16"/>
                <w:szCs w:val="16"/>
                <w:lang w:bidi="th-TH"/>
              </w:rPr>
              <w:t>6 out of 7 respondents (85.7%)</w:t>
            </w:r>
          </w:p>
        </w:tc>
        <w:tc>
          <w:tcPr>
            <w:tcW w:w="524" w:type="pct"/>
            <w:shd w:val="clear" w:color="auto" w:fill="auto"/>
            <w:tcMar>
              <w:top w:w="110" w:type="dxa"/>
            </w:tcMar>
          </w:tcPr>
          <w:p w:rsidR="00F15EE4" w:rsidRPr="00DD4B4E" w:rsidRDefault="00F15EE4" w:rsidP="00E70E02">
            <w:pPr>
              <w:keepNext/>
              <w:keepLines/>
              <w:jc w:val="center"/>
              <w:rPr>
                <w:b/>
                <w:bCs/>
                <w:color w:val="00B050"/>
                <w:sz w:val="16"/>
                <w:szCs w:val="16"/>
              </w:rPr>
            </w:pPr>
            <w:r w:rsidRPr="00DD4B4E">
              <w:rPr>
                <w:b/>
                <w:bCs/>
                <w:color w:val="00B050"/>
                <w:sz w:val="16"/>
                <w:szCs w:val="16"/>
              </w:rPr>
              <w:t>On track</w:t>
            </w:r>
          </w:p>
        </w:tc>
      </w:tr>
      <w:tr w:rsidR="00F15EE4" w:rsidRPr="00B36F18" w:rsidTr="00F15EE4">
        <w:tc>
          <w:tcPr>
            <w:tcW w:w="1269" w:type="pct"/>
            <w:shd w:val="clear" w:color="auto" w:fill="FFFFFF"/>
          </w:tcPr>
          <w:p w:rsidR="00F15EE4" w:rsidRPr="00B36F18" w:rsidRDefault="00F15EE4" w:rsidP="00E70E02">
            <w:pPr>
              <w:rPr>
                <w:rFonts w:cs="Arial"/>
                <w:sz w:val="16"/>
                <w:szCs w:val="16"/>
                <w:lang w:bidi="th-TH"/>
              </w:rPr>
            </w:pPr>
            <w:r w:rsidRPr="007A411D">
              <w:rPr>
                <w:rFonts w:cs="Arial"/>
                <w:sz w:val="16"/>
                <w:szCs w:val="16"/>
                <w:lang w:bidi="th-TH"/>
              </w:rPr>
              <w:t>No and % of Member States which were satisfied with the quality of legal advice related to patents, utility models, trade secrets and integrated circuits</w:t>
            </w:r>
          </w:p>
        </w:tc>
        <w:tc>
          <w:tcPr>
            <w:tcW w:w="1194" w:type="pct"/>
            <w:shd w:val="clear" w:color="auto" w:fill="auto"/>
          </w:tcPr>
          <w:p w:rsidR="00F15EE4" w:rsidRPr="002D16FB" w:rsidRDefault="00F15EE4" w:rsidP="00E70E02">
            <w:pPr>
              <w:rPr>
                <w:rFonts w:cs="Arial"/>
                <w:color w:val="002060"/>
                <w:sz w:val="16"/>
                <w:szCs w:val="16"/>
                <w:lang w:bidi="th-TH"/>
              </w:rPr>
            </w:pPr>
            <w:r w:rsidRPr="002D16FB">
              <w:rPr>
                <w:rFonts w:cs="Arial"/>
                <w:i/>
                <w:color w:val="002060"/>
                <w:sz w:val="16"/>
                <w:szCs w:val="16"/>
              </w:rPr>
              <w:t>Updated Baseline</w:t>
            </w:r>
            <w:r w:rsidRPr="002D16FB">
              <w:rPr>
                <w:rFonts w:cs="Arial"/>
                <w:i/>
                <w:color w:val="002060"/>
                <w:sz w:val="16"/>
                <w:szCs w:val="16"/>
              </w:rPr>
              <w:br/>
              <w:t xml:space="preserve">end 2013:  </w:t>
            </w:r>
            <w:r w:rsidRPr="002D16FB">
              <w:rPr>
                <w:rFonts w:cs="Arial"/>
                <w:color w:val="002060"/>
                <w:sz w:val="16"/>
                <w:szCs w:val="16"/>
                <w:lang w:bidi="th-TH"/>
              </w:rPr>
              <w:t>9 respondents (90%), based on survey conducted by IOD in 2013</w:t>
            </w:r>
          </w:p>
          <w:p w:rsidR="00F15EE4" w:rsidRPr="00F97C8F" w:rsidRDefault="00F15EE4" w:rsidP="00E70E02">
            <w:pPr>
              <w:rPr>
                <w:rFonts w:cs="Arial"/>
                <w:i/>
                <w:sz w:val="8"/>
                <w:szCs w:val="8"/>
                <w:lang w:bidi="th-TH"/>
              </w:rPr>
            </w:pPr>
          </w:p>
          <w:p w:rsidR="00F15EE4" w:rsidRPr="00F97C8F" w:rsidRDefault="00F15EE4" w:rsidP="00E70E02">
            <w:pPr>
              <w:rPr>
                <w:rFonts w:cs="Arial"/>
                <w:i/>
                <w:sz w:val="16"/>
                <w:szCs w:val="16"/>
                <w:lang w:bidi="th-TH"/>
              </w:rPr>
            </w:pPr>
            <w:r w:rsidRPr="00F97C8F">
              <w:rPr>
                <w:rFonts w:cs="Arial"/>
                <w:i/>
                <w:sz w:val="16"/>
                <w:szCs w:val="16"/>
                <w:lang w:bidi="th-TH"/>
              </w:rPr>
              <w:t xml:space="preserve">Original Baseline </w:t>
            </w:r>
            <w:r w:rsidRPr="00F97C8F">
              <w:rPr>
                <w:rFonts w:cs="Arial"/>
                <w:i/>
                <w:sz w:val="16"/>
                <w:szCs w:val="16"/>
                <w:lang w:bidi="th-TH"/>
              </w:rPr>
              <w:br/>
              <w:t xml:space="preserve">P&amp;B 2014/15: </w:t>
            </w:r>
            <w:r w:rsidRPr="00F97C8F">
              <w:rPr>
                <w:rFonts w:cs="Arial"/>
                <w:sz w:val="16"/>
                <w:szCs w:val="16"/>
                <w:lang w:bidi="th-TH"/>
              </w:rPr>
              <w:t>Surveys 2012</w:t>
            </w:r>
          </w:p>
          <w:p w:rsidR="00F15EE4" w:rsidRPr="00F97C8F" w:rsidRDefault="00F15EE4" w:rsidP="00E70E02">
            <w:pPr>
              <w:keepNext/>
              <w:keepLines/>
              <w:rPr>
                <w:rFonts w:cs="Arial"/>
                <w:sz w:val="16"/>
                <w:szCs w:val="16"/>
                <w:lang w:bidi="th-TH"/>
              </w:rPr>
            </w:pPr>
          </w:p>
        </w:tc>
        <w:tc>
          <w:tcPr>
            <w:tcW w:w="671" w:type="pct"/>
            <w:gridSpan w:val="2"/>
            <w:shd w:val="clear" w:color="auto" w:fill="auto"/>
            <w:tcMar>
              <w:top w:w="110" w:type="dxa"/>
            </w:tcMar>
          </w:tcPr>
          <w:p w:rsidR="00F15EE4" w:rsidRPr="00F97C8F" w:rsidRDefault="00F15EE4" w:rsidP="00E70E02">
            <w:pPr>
              <w:autoSpaceDE w:val="0"/>
              <w:autoSpaceDN w:val="0"/>
              <w:adjustRightInd w:val="0"/>
              <w:rPr>
                <w:rFonts w:cs="Arial"/>
                <w:sz w:val="16"/>
                <w:szCs w:val="16"/>
              </w:rPr>
            </w:pPr>
            <w:r w:rsidRPr="00F97C8F">
              <w:rPr>
                <w:rFonts w:cs="Arial"/>
                <w:sz w:val="16"/>
                <w:szCs w:val="16"/>
              </w:rPr>
              <w:t>90%</w:t>
            </w:r>
          </w:p>
        </w:tc>
        <w:tc>
          <w:tcPr>
            <w:tcW w:w="1342" w:type="pct"/>
            <w:shd w:val="clear" w:color="auto" w:fill="FFFFFF"/>
            <w:tcMar>
              <w:top w:w="110" w:type="dxa"/>
            </w:tcMar>
          </w:tcPr>
          <w:p w:rsidR="00F15EE4" w:rsidRPr="00F97C8F" w:rsidRDefault="00F15EE4">
            <w:pPr>
              <w:rPr>
                <w:rFonts w:cs="Arial"/>
                <w:sz w:val="16"/>
                <w:szCs w:val="16"/>
                <w:lang w:bidi="th-TH"/>
              </w:rPr>
            </w:pPr>
            <w:r w:rsidRPr="00F97C8F">
              <w:rPr>
                <w:rFonts w:cs="Arial"/>
                <w:sz w:val="16"/>
                <w:szCs w:val="16"/>
                <w:lang w:bidi="th-TH"/>
              </w:rPr>
              <w:t xml:space="preserve">Eight respondents reported on average a 90% satisfaction rate (Africa-2; Arab-1; Asia and </w:t>
            </w:r>
            <w:r w:rsidR="00A17537">
              <w:rPr>
                <w:rFonts w:cs="Arial"/>
                <w:sz w:val="16"/>
                <w:szCs w:val="16"/>
                <w:lang w:bidi="th-TH"/>
              </w:rPr>
              <w:t xml:space="preserve">the </w:t>
            </w:r>
            <w:r w:rsidRPr="00F97C8F">
              <w:rPr>
                <w:rFonts w:cs="Arial"/>
                <w:sz w:val="16"/>
                <w:szCs w:val="16"/>
                <w:lang w:bidi="th-TH"/>
              </w:rPr>
              <w:t xml:space="preserve">Pacific-1; Certain Countries in Europe and Asia-2; Latin America and the Caribbean-1; Other- 1). </w:t>
            </w:r>
          </w:p>
        </w:tc>
        <w:tc>
          <w:tcPr>
            <w:tcW w:w="524" w:type="pct"/>
            <w:shd w:val="clear" w:color="auto" w:fill="auto"/>
            <w:tcMar>
              <w:top w:w="110" w:type="dxa"/>
            </w:tcMar>
          </w:tcPr>
          <w:p w:rsidR="00F15EE4" w:rsidRPr="00AB5747" w:rsidRDefault="00F15EE4" w:rsidP="00E70E02">
            <w:pPr>
              <w:keepNext/>
              <w:keepLines/>
              <w:jc w:val="center"/>
              <w:rPr>
                <w:b/>
                <w:bCs/>
                <w:color w:val="00B050"/>
                <w:sz w:val="16"/>
                <w:szCs w:val="16"/>
              </w:rPr>
            </w:pPr>
            <w:r w:rsidRPr="00AB5747">
              <w:rPr>
                <w:b/>
                <w:bCs/>
                <w:color w:val="00B050"/>
                <w:sz w:val="16"/>
                <w:szCs w:val="16"/>
              </w:rPr>
              <w:t>On track</w:t>
            </w:r>
          </w:p>
        </w:tc>
      </w:tr>
      <w:tr w:rsidR="00F15EE4" w:rsidRPr="00B36F18" w:rsidTr="00F15EE4">
        <w:tc>
          <w:tcPr>
            <w:tcW w:w="1269" w:type="pct"/>
            <w:shd w:val="clear" w:color="auto" w:fill="FFFFFF"/>
          </w:tcPr>
          <w:p w:rsidR="00F15EE4" w:rsidRPr="007A411D" w:rsidRDefault="00F15EE4" w:rsidP="00E70E02">
            <w:pPr>
              <w:rPr>
                <w:rFonts w:cs="Arial"/>
                <w:sz w:val="16"/>
                <w:szCs w:val="16"/>
                <w:lang w:bidi="th-TH"/>
              </w:rPr>
            </w:pPr>
            <w:r w:rsidRPr="007A411D">
              <w:rPr>
                <w:rFonts w:cs="Arial"/>
                <w:sz w:val="16"/>
                <w:szCs w:val="16"/>
                <w:lang w:bidi="th-TH"/>
              </w:rPr>
              <w:t>Subject to approval by Member States, progress on the revision of the Patent Model Law for developing countries and LDCs</w:t>
            </w:r>
          </w:p>
        </w:tc>
        <w:tc>
          <w:tcPr>
            <w:tcW w:w="1194" w:type="pct"/>
            <w:shd w:val="clear" w:color="auto" w:fill="auto"/>
          </w:tcPr>
          <w:p w:rsidR="00F15EE4" w:rsidRPr="002D16FB" w:rsidRDefault="00F15EE4" w:rsidP="00E70E02">
            <w:pPr>
              <w:rPr>
                <w:rFonts w:cs="Arial"/>
                <w:color w:val="002060"/>
                <w:sz w:val="16"/>
                <w:szCs w:val="16"/>
                <w:lang w:bidi="th-TH"/>
              </w:rPr>
            </w:pPr>
            <w:r w:rsidRPr="002D16FB">
              <w:rPr>
                <w:rFonts w:cs="Arial"/>
                <w:i/>
                <w:color w:val="002060"/>
                <w:sz w:val="16"/>
                <w:szCs w:val="16"/>
              </w:rPr>
              <w:t>Updated Baseline</w:t>
            </w:r>
            <w:r w:rsidRPr="002D16FB">
              <w:rPr>
                <w:rFonts w:cs="Arial"/>
                <w:i/>
                <w:color w:val="002060"/>
                <w:sz w:val="16"/>
                <w:szCs w:val="16"/>
              </w:rPr>
              <w:br/>
              <w:t xml:space="preserve">end 2013:  </w:t>
            </w:r>
            <w:r w:rsidRPr="002D16FB">
              <w:rPr>
                <w:rFonts w:cs="Arial"/>
                <w:color w:val="002060"/>
                <w:sz w:val="16"/>
                <w:szCs w:val="16"/>
                <w:lang w:bidi="th-TH"/>
              </w:rPr>
              <w:t>One meeting of experts</w:t>
            </w:r>
          </w:p>
          <w:p w:rsidR="00F15EE4" w:rsidRPr="00F97C8F" w:rsidRDefault="00F15EE4" w:rsidP="00E70E02">
            <w:pPr>
              <w:rPr>
                <w:rFonts w:cs="Arial"/>
                <w:i/>
                <w:sz w:val="8"/>
                <w:szCs w:val="8"/>
                <w:lang w:bidi="th-TH"/>
              </w:rPr>
            </w:pPr>
          </w:p>
          <w:p w:rsidR="00F15EE4" w:rsidRPr="00F97C8F" w:rsidRDefault="00F15EE4" w:rsidP="00E70E02">
            <w:pPr>
              <w:rPr>
                <w:rFonts w:cs="Arial"/>
                <w:sz w:val="16"/>
                <w:szCs w:val="16"/>
                <w:lang w:bidi="th-TH"/>
              </w:rPr>
            </w:pPr>
            <w:r w:rsidRPr="00F97C8F">
              <w:rPr>
                <w:rFonts w:cs="Arial"/>
                <w:i/>
                <w:sz w:val="16"/>
                <w:szCs w:val="16"/>
                <w:lang w:bidi="th-TH"/>
              </w:rPr>
              <w:t xml:space="preserve">Original Baseline </w:t>
            </w:r>
            <w:r w:rsidRPr="00F97C8F">
              <w:rPr>
                <w:rFonts w:cs="Arial"/>
                <w:i/>
                <w:sz w:val="16"/>
                <w:szCs w:val="16"/>
                <w:lang w:bidi="th-TH"/>
              </w:rPr>
              <w:br/>
              <w:t xml:space="preserve">P&amp;B 2014/15: </w:t>
            </w:r>
            <w:r w:rsidRPr="00F97C8F">
              <w:rPr>
                <w:rFonts w:cs="Arial"/>
                <w:sz w:val="16"/>
                <w:szCs w:val="16"/>
                <w:lang w:bidi="th-TH"/>
              </w:rPr>
              <w:t>To be determined</w:t>
            </w:r>
          </w:p>
          <w:p w:rsidR="00F15EE4" w:rsidRPr="00F97C8F" w:rsidRDefault="00F15EE4" w:rsidP="00E70E02">
            <w:pPr>
              <w:rPr>
                <w:rFonts w:cs="Arial"/>
                <w:i/>
                <w:sz w:val="16"/>
                <w:szCs w:val="16"/>
                <w:lang w:bidi="th-TH"/>
              </w:rPr>
            </w:pPr>
          </w:p>
        </w:tc>
        <w:tc>
          <w:tcPr>
            <w:tcW w:w="671" w:type="pct"/>
            <w:gridSpan w:val="2"/>
            <w:shd w:val="clear" w:color="auto" w:fill="auto"/>
            <w:tcMar>
              <w:top w:w="110" w:type="dxa"/>
            </w:tcMar>
          </w:tcPr>
          <w:p w:rsidR="00F15EE4" w:rsidRPr="00F97C8F" w:rsidRDefault="00F15EE4" w:rsidP="00E70E02">
            <w:pPr>
              <w:autoSpaceDE w:val="0"/>
              <w:autoSpaceDN w:val="0"/>
              <w:adjustRightInd w:val="0"/>
              <w:rPr>
                <w:rFonts w:cs="Arial"/>
                <w:sz w:val="16"/>
                <w:szCs w:val="16"/>
              </w:rPr>
            </w:pPr>
            <w:r w:rsidRPr="00F97C8F">
              <w:rPr>
                <w:rFonts w:cs="Arial"/>
                <w:sz w:val="16"/>
                <w:szCs w:val="16"/>
              </w:rPr>
              <w:t>Advancement in the preparatory work for updating the WIPO Patent Model Law</w:t>
            </w:r>
          </w:p>
        </w:tc>
        <w:tc>
          <w:tcPr>
            <w:tcW w:w="1342" w:type="pct"/>
            <w:shd w:val="clear" w:color="auto" w:fill="FFFFFF"/>
            <w:tcMar>
              <w:top w:w="110" w:type="dxa"/>
            </w:tcMar>
          </w:tcPr>
          <w:p w:rsidR="00F15EE4" w:rsidRPr="00F97C8F" w:rsidRDefault="00F15EE4" w:rsidP="00E70E02">
            <w:pPr>
              <w:rPr>
                <w:rFonts w:cs="Arial"/>
                <w:sz w:val="16"/>
                <w:szCs w:val="16"/>
                <w:lang w:bidi="th-TH"/>
              </w:rPr>
            </w:pPr>
            <w:r w:rsidRPr="00F97C8F">
              <w:rPr>
                <w:rFonts w:cs="Arial"/>
                <w:sz w:val="16"/>
                <w:szCs w:val="16"/>
                <w:lang w:bidi="th-TH"/>
              </w:rPr>
              <w:t>SCP Summary by the Chair document SCP/21/11 Rev.</w:t>
            </w:r>
          </w:p>
        </w:tc>
        <w:tc>
          <w:tcPr>
            <w:tcW w:w="524" w:type="pct"/>
            <w:shd w:val="clear" w:color="auto" w:fill="auto"/>
            <w:tcMar>
              <w:top w:w="110" w:type="dxa"/>
            </w:tcMar>
          </w:tcPr>
          <w:p w:rsidR="00F15EE4" w:rsidRPr="00AB5747" w:rsidRDefault="00F15EE4" w:rsidP="00E70E02">
            <w:pPr>
              <w:keepNext/>
              <w:keepLines/>
              <w:jc w:val="center"/>
              <w:rPr>
                <w:rFonts w:cs="Arial"/>
                <w:color w:val="FF0000"/>
                <w:sz w:val="16"/>
                <w:szCs w:val="16"/>
              </w:rPr>
            </w:pPr>
            <w:r w:rsidRPr="00AB5747">
              <w:rPr>
                <w:b/>
                <w:bCs/>
                <w:color w:val="FF0000"/>
                <w:sz w:val="16"/>
                <w:szCs w:val="16"/>
              </w:rPr>
              <w:t xml:space="preserve">Not </w:t>
            </w:r>
            <w:r>
              <w:rPr>
                <w:b/>
                <w:bCs/>
                <w:color w:val="FF0000"/>
                <w:sz w:val="16"/>
                <w:szCs w:val="16"/>
              </w:rPr>
              <w:br/>
            </w:r>
            <w:r w:rsidRPr="00AB5747">
              <w:rPr>
                <w:b/>
                <w:bCs/>
                <w:color w:val="FF0000"/>
                <w:sz w:val="16"/>
                <w:szCs w:val="16"/>
              </w:rPr>
              <w:t>on track</w:t>
            </w:r>
          </w:p>
        </w:tc>
      </w:tr>
    </w:tbl>
    <w:p w:rsidR="00F15EE4" w:rsidRDefault="00F15EE4" w:rsidP="00E70E02">
      <w:pPr>
        <w:rPr>
          <w:rFonts w:cs="Arial"/>
        </w:rPr>
      </w:pPr>
    </w:p>
    <w:p w:rsidR="00F15EE4" w:rsidRDefault="00F15EE4" w:rsidP="00E70E02">
      <w:pPr>
        <w:rPr>
          <w:rFonts w:cs="Arial"/>
        </w:rPr>
      </w:pPr>
    </w:p>
    <w:p w:rsidR="00F15EE4" w:rsidRDefault="00F15EE4" w:rsidP="00E70E02">
      <w:pPr>
        <w:rPr>
          <w:rFonts w:cs="Arial"/>
          <w:color w:val="000000"/>
          <w:sz w:val="22"/>
          <w:szCs w:val="22"/>
        </w:rPr>
      </w:pPr>
    </w:p>
    <w:p w:rsidR="00F15EE4" w:rsidRDefault="00F15EE4" w:rsidP="00F15EE4">
      <w:pPr>
        <w:keepNext/>
        <w:keepLines/>
        <w:rPr>
          <w:b/>
          <w:sz w:val="18"/>
          <w:szCs w:val="18"/>
        </w:rPr>
      </w:pPr>
      <w:r>
        <w:rPr>
          <w:rFonts w:cs="Arial"/>
          <w:color w:val="000000"/>
          <w:sz w:val="22"/>
          <w:szCs w:val="22"/>
        </w:rPr>
        <w:lastRenderedPageBreak/>
        <w:t>RESOURCE UTILIZATION</w:t>
      </w:r>
      <w:r>
        <w:rPr>
          <w:rFonts w:cs="Arial"/>
          <w:color w:val="000000"/>
          <w:sz w:val="22"/>
          <w:szCs w:val="22"/>
        </w:rPr>
        <w:tab/>
      </w:r>
    </w:p>
    <w:p w:rsidR="00F15EE4" w:rsidRPr="008F4A6D" w:rsidRDefault="00F15EE4" w:rsidP="00F15EE4">
      <w:pPr>
        <w:keepNext/>
        <w:keepLines/>
        <w:rPr>
          <w:szCs w:val="20"/>
        </w:rPr>
      </w:pPr>
    </w:p>
    <w:p w:rsidR="00F15EE4" w:rsidRPr="00383D2D" w:rsidRDefault="00F15EE4" w:rsidP="00F15EE4">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(by result) </w:t>
      </w:r>
    </w:p>
    <w:p w:rsidR="00F15EE4" w:rsidRDefault="00F15EE4" w:rsidP="00F15EE4">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F15EE4" w:rsidRPr="00383D2D" w:rsidRDefault="00F15EE4" w:rsidP="00F15EE4">
      <w:pPr>
        <w:pStyle w:val="NormalWeb"/>
        <w:keepNext/>
        <w:keepLines/>
        <w:spacing w:before="0" w:beforeAutospacing="0" w:after="0" w:afterAutospacing="0"/>
        <w:jc w:val="center"/>
        <w:rPr>
          <w:sz w:val="20"/>
          <w:szCs w:val="20"/>
        </w:rPr>
      </w:pPr>
    </w:p>
    <w:p w:rsidR="00F15EE4" w:rsidRDefault="00F15EE4" w:rsidP="00F15EE4">
      <w:pPr>
        <w:keepNext/>
        <w:keepLines/>
        <w:jc w:val="center"/>
      </w:pPr>
      <w:r w:rsidRPr="001D0562">
        <w:rPr>
          <w:noProof/>
        </w:rPr>
        <w:drawing>
          <wp:inline distT="0" distB="0" distL="0" distR="0" wp14:anchorId="0320C870" wp14:editId="1BB62870">
            <wp:extent cx="5215738" cy="1758695"/>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14152" cy="1758160"/>
                    </a:xfrm>
                    <a:prstGeom prst="rect">
                      <a:avLst/>
                    </a:prstGeom>
                    <a:noFill/>
                    <a:ln>
                      <a:noFill/>
                    </a:ln>
                  </pic:spPr>
                </pic:pic>
              </a:graphicData>
            </a:graphic>
          </wp:inline>
        </w:drawing>
      </w:r>
    </w:p>
    <w:p w:rsidR="00F15EE4" w:rsidRDefault="00F15EE4" w:rsidP="00E70E02"/>
    <w:p w:rsidR="00F15EE4" w:rsidRDefault="00F15EE4" w:rsidP="00E70E02"/>
    <w:p w:rsidR="00F15EE4" w:rsidRPr="00383D2D" w:rsidRDefault="00F15EE4" w:rsidP="00E70E02">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F15EE4" w:rsidRPr="00383D2D" w:rsidRDefault="00F15EE4" w:rsidP="00E70E02">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F15EE4" w:rsidRDefault="00F15EE4" w:rsidP="00E70E02">
      <w:pPr>
        <w:pStyle w:val="NormalWeb"/>
        <w:keepNext/>
        <w:keepLines/>
        <w:spacing w:before="0" w:beforeAutospacing="0" w:after="0" w:afterAutospacing="0"/>
        <w:jc w:val="center"/>
      </w:pPr>
    </w:p>
    <w:p w:rsidR="00F15EE4" w:rsidRPr="00383D2D" w:rsidRDefault="00F15EE4" w:rsidP="00E70E02">
      <w:pPr>
        <w:jc w:val="center"/>
        <w:rPr>
          <w:szCs w:val="20"/>
        </w:rPr>
      </w:pPr>
      <w:r w:rsidRPr="001D0562">
        <w:rPr>
          <w:noProof/>
        </w:rPr>
        <w:drawing>
          <wp:inline distT="0" distB="0" distL="0" distR="0" wp14:anchorId="363A0990" wp14:editId="6B8D9E9E">
            <wp:extent cx="5508346" cy="132049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16316" cy="1322405"/>
                    </a:xfrm>
                    <a:prstGeom prst="rect">
                      <a:avLst/>
                    </a:prstGeom>
                    <a:noFill/>
                    <a:ln>
                      <a:noFill/>
                    </a:ln>
                  </pic:spPr>
                </pic:pic>
              </a:graphicData>
            </a:graphic>
          </wp:inline>
        </w:drawing>
      </w:r>
    </w:p>
    <w:p w:rsidR="00F15EE4" w:rsidRPr="00DD4B4E" w:rsidRDefault="00F15EE4" w:rsidP="00E70E02">
      <w:pPr>
        <w:keepNext/>
        <w:autoSpaceDE w:val="0"/>
        <w:autoSpaceDN w:val="0"/>
        <w:rPr>
          <w:i/>
          <w:sz w:val="16"/>
          <w:szCs w:val="16"/>
        </w:rPr>
      </w:pPr>
      <w:r w:rsidRPr="00DD4B4E">
        <w:rPr>
          <w:i/>
          <w:sz w:val="16"/>
          <w:szCs w:val="16"/>
        </w:rPr>
        <w:t>NOTE: The 2014/15 Budget after Transfers reflects transfers as of March 31, 2015 to address needs during the 2014/15 biennium in line with Financial Regulation 5.5.</w:t>
      </w:r>
    </w:p>
    <w:p w:rsidR="00F15EE4" w:rsidRPr="008F4A6D" w:rsidRDefault="00F15EE4" w:rsidP="00E70E02">
      <w:pPr>
        <w:widowControl w:val="0"/>
        <w:autoSpaceDE w:val="0"/>
        <w:autoSpaceDN w:val="0"/>
        <w:adjustRightInd w:val="0"/>
        <w:rPr>
          <w:rFonts w:cs="Arial"/>
          <w:szCs w:val="20"/>
        </w:rPr>
      </w:pPr>
    </w:p>
    <w:p w:rsidR="00F15EE4" w:rsidRDefault="00F15EE4" w:rsidP="00E70E02">
      <w:pPr>
        <w:rPr>
          <w:rFonts w:cs="Arial"/>
          <w:u w:val="single"/>
        </w:rPr>
      </w:pPr>
      <w:r w:rsidRPr="00420F90">
        <w:rPr>
          <w:rFonts w:cs="Arial"/>
          <w:szCs w:val="20"/>
        </w:rPr>
        <w:t>A.</w:t>
      </w:r>
      <w:r w:rsidRPr="00420F90">
        <w:rPr>
          <w:rFonts w:cs="Arial"/>
        </w:rPr>
        <w:tab/>
      </w:r>
      <w:r w:rsidRPr="00420F90">
        <w:rPr>
          <w:rFonts w:cs="Arial"/>
          <w:u w:val="single"/>
        </w:rPr>
        <w:t>Budget after Transfers 201</w:t>
      </w:r>
      <w:r>
        <w:rPr>
          <w:rFonts w:cs="Arial"/>
          <w:u w:val="single"/>
        </w:rPr>
        <w:t>4/15</w:t>
      </w:r>
    </w:p>
    <w:p w:rsidR="00F15EE4" w:rsidRDefault="00F15EE4" w:rsidP="00E70E02">
      <w:pPr>
        <w:autoSpaceDE w:val="0"/>
        <w:autoSpaceDN w:val="0"/>
        <w:jc w:val="both"/>
        <w:rPr>
          <w:rFonts w:cs="Arial"/>
          <w:szCs w:val="20"/>
          <w:lang w:eastAsia="ko-KR"/>
        </w:rPr>
      </w:pPr>
    </w:p>
    <w:p w:rsidR="00F15EE4" w:rsidRPr="003B3E0C" w:rsidRDefault="00F15EE4" w:rsidP="00F15EE4">
      <w:pPr>
        <w:pStyle w:val="ListParagraph"/>
        <w:numPr>
          <w:ilvl w:val="0"/>
          <w:numId w:val="38"/>
        </w:numPr>
        <w:tabs>
          <w:tab w:val="left" w:pos="709"/>
        </w:tabs>
        <w:autoSpaceDE w:val="0"/>
        <w:autoSpaceDN w:val="0"/>
        <w:ind w:left="0" w:firstLine="0"/>
        <w:jc w:val="both"/>
        <w:rPr>
          <w:rFonts w:cs="Arial"/>
          <w:lang w:eastAsia="ko-KR"/>
        </w:rPr>
      </w:pPr>
      <w:r w:rsidRPr="00DD4B4E">
        <w:rPr>
          <w:rFonts w:cs="Arial"/>
          <w:color w:val="000000"/>
          <w:lang w:eastAsia="zh-CN"/>
        </w:rPr>
        <w:t>The</w:t>
      </w:r>
      <w:r w:rsidRPr="003B3E0C">
        <w:rPr>
          <w:rFonts w:cs="Arial"/>
          <w:lang w:eastAsia="ko-KR"/>
        </w:rPr>
        <w:t xml:space="preserve"> overall increase in the </w:t>
      </w:r>
      <w:r>
        <w:rPr>
          <w:rFonts w:cs="Arial"/>
          <w:lang w:eastAsia="ko-KR"/>
        </w:rPr>
        <w:t xml:space="preserve">2014/15 </w:t>
      </w:r>
      <w:r w:rsidRPr="003B3E0C">
        <w:rPr>
          <w:rFonts w:cs="Arial"/>
          <w:lang w:eastAsia="ko-KR"/>
        </w:rPr>
        <w:t xml:space="preserve">Budget after </w:t>
      </w:r>
      <w:r>
        <w:rPr>
          <w:rFonts w:cs="Arial"/>
          <w:lang w:eastAsia="ko-KR"/>
        </w:rPr>
        <w:t>T</w:t>
      </w:r>
      <w:r w:rsidRPr="003B3E0C">
        <w:rPr>
          <w:rFonts w:cs="Arial"/>
          <w:lang w:eastAsia="ko-KR"/>
        </w:rPr>
        <w:t xml:space="preserve">ransfers </w:t>
      </w:r>
      <w:r>
        <w:rPr>
          <w:rFonts w:cs="Arial"/>
          <w:lang w:eastAsia="ko-KR"/>
        </w:rPr>
        <w:t xml:space="preserve">resulted primarily from the allocation of </w:t>
      </w:r>
      <w:r w:rsidRPr="003B3E0C">
        <w:rPr>
          <w:rFonts w:cs="Arial"/>
          <w:lang w:eastAsia="ko-KR"/>
        </w:rPr>
        <w:t xml:space="preserve">additional personnel resources </w:t>
      </w:r>
      <w:r>
        <w:rPr>
          <w:rFonts w:cs="Arial"/>
          <w:lang w:eastAsia="ko-KR"/>
        </w:rPr>
        <w:t>to Result I.2 (Legislative advice)</w:t>
      </w:r>
      <w:r w:rsidRPr="003B3E0C">
        <w:rPr>
          <w:rFonts w:cs="Arial"/>
          <w:lang w:eastAsia="ko-KR"/>
        </w:rPr>
        <w:t xml:space="preserve"> </w:t>
      </w:r>
      <w:r>
        <w:rPr>
          <w:rFonts w:cs="Arial"/>
          <w:lang w:eastAsia="ko-KR"/>
        </w:rPr>
        <w:t xml:space="preserve">in order </w:t>
      </w:r>
      <w:r w:rsidRPr="003B3E0C">
        <w:rPr>
          <w:rFonts w:cs="Arial"/>
          <w:lang w:eastAsia="ko-KR"/>
        </w:rPr>
        <w:t xml:space="preserve">to </w:t>
      </w:r>
      <w:r>
        <w:rPr>
          <w:rFonts w:cs="Arial"/>
          <w:lang w:eastAsia="ko-KR"/>
        </w:rPr>
        <w:t xml:space="preserve">more </w:t>
      </w:r>
      <w:r w:rsidRPr="003B3E0C">
        <w:rPr>
          <w:rFonts w:cs="Arial"/>
          <w:lang w:eastAsia="ko-KR"/>
        </w:rPr>
        <w:t xml:space="preserve">efficiently respond to </w:t>
      </w:r>
      <w:r>
        <w:rPr>
          <w:rFonts w:cs="Arial"/>
          <w:lang w:eastAsia="ko-KR"/>
        </w:rPr>
        <w:t>an</w:t>
      </w:r>
      <w:r w:rsidRPr="003B3E0C">
        <w:rPr>
          <w:rFonts w:cs="Arial"/>
          <w:lang w:eastAsia="ko-KR"/>
        </w:rPr>
        <w:t xml:space="preserve"> </w:t>
      </w:r>
      <w:r>
        <w:rPr>
          <w:rFonts w:cs="Arial"/>
          <w:lang w:eastAsia="ko-KR"/>
        </w:rPr>
        <w:t xml:space="preserve">increase of </w:t>
      </w:r>
      <w:r w:rsidRPr="003B3E0C">
        <w:rPr>
          <w:rFonts w:cs="Arial"/>
          <w:lang w:eastAsia="ko-KR"/>
        </w:rPr>
        <w:t>requests for legislative advice.</w:t>
      </w:r>
    </w:p>
    <w:p w:rsidR="00F15EE4" w:rsidRDefault="00F15EE4" w:rsidP="00E70E02">
      <w:pPr>
        <w:autoSpaceDE w:val="0"/>
        <w:autoSpaceDN w:val="0"/>
        <w:jc w:val="both"/>
        <w:rPr>
          <w:rFonts w:cs="Arial"/>
          <w:szCs w:val="20"/>
          <w:lang w:eastAsia="ko-KR"/>
        </w:rPr>
      </w:pPr>
    </w:p>
    <w:p w:rsidR="00F15EE4" w:rsidRDefault="00F15EE4" w:rsidP="00E70E02">
      <w:pPr>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Budget utilization 2014</w:t>
      </w:r>
    </w:p>
    <w:p w:rsidR="00F15EE4" w:rsidRDefault="00F15EE4" w:rsidP="00E70E02">
      <w:pPr>
        <w:autoSpaceDE w:val="0"/>
        <w:autoSpaceDN w:val="0"/>
        <w:jc w:val="both"/>
      </w:pPr>
    </w:p>
    <w:p w:rsidR="00F15EE4" w:rsidRPr="003B3E0C" w:rsidRDefault="00F15EE4" w:rsidP="00F15EE4">
      <w:pPr>
        <w:pStyle w:val="ListParagraph"/>
        <w:numPr>
          <w:ilvl w:val="0"/>
          <w:numId w:val="38"/>
        </w:numPr>
        <w:tabs>
          <w:tab w:val="left" w:pos="709"/>
        </w:tabs>
        <w:autoSpaceDE w:val="0"/>
        <w:autoSpaceDN w:val="0"/>
        <w:ind w:left="0" w:firstLine="0"/>
        <w:jc w:val="both"/>
      </w:pPr>
      <w:r w:rsidRPr="00DD4B4E">
        <w:rPr>
          <w:rFonts w:cs="Arial"/>
          <w:color w:val="000000"/>
          <w:lang w:eastAsia="zh-CN"/>
        </w:rPr>
        <w:t>Budget</w:t>
      </w:r>
      <w:r w:rsidRPr="003B3E0C">
        <w:t xml:space="preserve"> utilization is within the expected range of 40-60 per cent for the first year of the biennium and is on track.    </w:t>
      </w:r>
    </w:p>
    <w:p w:rsidR="008E3290" w:rsidRPr="001C6F4D" w:rsidRDefault="008E3290" w:rsidP="00F54CA4">
      <w:pPr>
        <w:rPr>
          <w:szCs w:val="20"/>
        </w:rPr>
      </w:pPr>
    </w:p>
    <w:p w:rsidR="00A2049F" w:rsidRDefault="00A2049F"/>
    <w:p w:rsidR="00A2049F" w:rsidRDefault="00A2049F">
      <w:r>
        <w:br w:type="page"/>
      </w:r>
    </w:p>
    <w:p w:rsidR="00A2049F" w:rsidRPr="00A2049F" w:rsidRDefault="00A2049F" w:rsidP="00017954">
      <w:pPr>
        <w:pStyle w:val="Heading2"/>
        <w:tabs>
          <w:tab w:val="clear" w:pos="567"/>
          <w:tab w:val="left" w:pos="1985"/>
        </w:tabs>
        <w:ind w:left="1985" w:hanging="1985"/>
        <w:rPr>
          <w:szCs w:val="20"/>
        </w:rPr>
      </w:pPr>
      <w:bookmarkStart w:id="49" w:name="_Toc422210478"/>
      <w:r w:rsidRPr="00A2049F">
        <w:rPr>
          <w:szCs w:val="20"/>
        </w:rPr>
        <w:lastRenderedPageBreak/>
        <w:t>PROGRAM 2</w:t>
      </w:r>
      <w:r w:rsidRPr="00A2049F">
        <w:rPr>
          <w:szCs w:val="20"/>
        </w:rPr>
        <w:tab/>
        <w:t>TRADEMARKS, INDUSTRIAL DESIGNS AND GEOGRAPHICAL INDICATIONS</w:t>
      </w:r>
      <w:bookmarkEnd w:id="49"/>
    </w:p>
    <w:p w:rsidR="00A2049F" w:rsidRPr="00CD17D0" w:rsidRDefault="00A2049F" w:rsidP="00017954">
      <w:pPr>
        <w:rPr>
          <w:szCs w:val="20"/>
        </w:rPr>
      </w:pPr>
    </w:p>
    <w:p w:rsidR="00A2049F" w:rsidRPr="00D92815" w:rsidRDefault="00A2049F" w:rsidP="00017954">
      <w:pPr>
        <w:tabs>
          <w:tab w:val="left" w:pos="1985"/>
        </w:tabs>
        <w:rPr>
          <w:b/>
          <w:szCs w:val="20"/>
        </w:rPr>
      </w:pPr>
      <w:r w:rsidRPr="00D92815">
        <w:rPr>
          <w:b/>
          <w:szCs w:val="20"/>
        </w:rPr>
        <w:t>Program Manager</w:t>
      </w:r>
      <w:r w:rsidRPr="00D92815">
        <w:rPr>
          <w:b/>
          <w:szCs w:val="20"/>
        </w:rPr>
        <w:tab/>
        <w:t>Ms. B. Wang</w:t>
      </w:r>
    </w:p>
    <w:p w:rsidR="00A2049F" w:rsidRPr="00D92815" w:rsidRDefault="00A2049F" w:rsidP="00017954">
      <w:pPr>
        <w:tabs>
          <w:tab w:val="left" w:pos="2268"/>
        </w:tabs>
        <w:rPr>
          <w:szCs w:val="20"/>
        </w:rPr>
      </w:pPr>
    </w:p>
    <w:p w:rsidR="00A2049F" w:rsidRPr="00D92815" w:rsidRDefault="00A2049F" w:rsidP="00017954">
      <w:pPr>
        <w:tabs>
          <w:tab w:val="left" w:pos="2268"/>
        </w:tabs>
        <w:rPr>
          <w:bCs/>
          <w:szCs w:val="20"/>
        </w:rPr>
      </w:pPr>
    </w:p>
    <w:p w:rsidR="007C62B7" w:rsidRPr="007C62B7" w:rsidRDefault="007C62B7" w:rsidP="00FD7155">
      <w:pPr>
        <w:rPr>
          <w:bCs/>
          <w:sz w:val="22"/>
          <w:szCs w:val="20"/>
        </w:rPr>
      </w:pPr>
      <w:r w:rsidRPr="007C62B7">
        <w:rPr>
          <w:bCs/>
          <w:sz w:val="22"/>
          <w:szCs w:val="20"/>
        </w:rPr>
        <w:t>OVERVIEW OF PROGRESS IN 2014</w:t>
      </w:r>
    </w:p>
    <w:p w:rsidR="007C62B7" w:rsidRPr="00D92815" w:rsidRDefault="007C62B7" w:rsidP="00FD7155">
      <w:pPr>
        <w:tabs>
          <w:tab w:val="left" w:pos="2268"/>
        </w:tabs>
        <w:jc w:val="both"/>
        <w:rPr>
          <w:szCs w:val="20"/>
        </w:rPr>
      </w:pPr>
    </w:p>
    <w:p w:rsidR="007C62B7" w:rsidRPr="00D92815" w:rsidRDefault="007C62B7" w:rsidP="007C62B7">
      <w:pPr>
        <w:pStyle w:val="ListParagraph"/>
        <w:numPr>
          <w:ilvl w:val="0"/>
          <w:numId w:val="72"/>
        </w:numPr>
        <w:tabs>
          <w:tab w:val="left" w:pos="709"/>
        </w:tabs>
        <w:autoSpaceDE w:val="0"/>
        <w:autoSpaceDN w:val="0"/>
        <w:ind w:left="0" w:firstLine="0"/>
        <w:jc w:val="both"/>
        <w:rPr>
          <w:rFonts w:cs="Arial"/>
          <w:color w:val="000000"/>
          <w:lang w:eastAsia="zh-CN"/>
        </w:rPr>
      </w:pPr>
      <w:r w:rsidRPr="00D92815">
        <w:rPr>
          <w:rFonts w:cs="Arial"/>
          <w:color w:val="000000"/>
          <w:lang w:eastAsia="zh-CN"/>
        </w:rPr>
        <w:t xml:space="preserve">In 2014, the Standing Committee on the Law of Trademarks, Industrial Designs and Geographical Indications (SCT) continued at its thirty-first and thirty-second sessions work on a draft Design Law Treaty to be adopted at a </w:t>
      </w:r>
      <w:r w:rsidR="00FE3B39">
        <w:rPr>
          <w:rFonts w:cs="Arial"/>
          <w:color w:val="000000"/>
          <w:lang w:eastAsia="zh-CN"/>
        </w:rPr>
        <w:t xml:space="preserve">possible </w:t>
      </w:r>
      <w:r w:rsidRPr="00D92815">
        <w:rPr>
          <w:rFonts w:cs="Arial"/>
          <w:color w:val="000000"/>
          <w:lang w:eastAsia="zh-CN"/>
        </w:rPr>
        <w:t>Diplomatic Conference. The question of convening such a Diplomatic Conference was dealt with by the WIPO General Assembly at its forty-fifth (24</w:t>
      </w:r>
      <w:r w:rsidRPr="00D92815">
        <w:rPr>
          <w:rFonts w:cs="Arial"/>
          <w:color w:val="000000"/>
          <w:vertAlign w:val="superscript"/>
          <w:lang w:eastAsia="zh-CN"/>
        </w:rPr>
        <w:t>th</w:t>
      </w:r>
      <w:r>
        <w:rPr>
          <w:rFonts w:cs="Arial"/>
          <w:color w:val="000000"/>
          <w:lang w:eastAsia="zh-CN"/>
        </w:rPr>
        <w:t> </w:t>
      </w:r>
      <w:r w:rsidRPr="00D92815">
        <w:rPr>
          <w:rFonts w:cs="Arial"/>
          <w:color w:val="000000"/>
          <w:lang w:eastAsia="zh-CN"/>
        </w:rPr>
        <w:t xml:space="preserve">extraordinary) session in May 2014, and at its forty-sixth (25th extraordinary) session in September 2014, without a decision on that matter being taken. The SCT continued its work on the protection of country names and considered a study prepared by the Secretariat, as well as a proposal by the Delegation of Jamaica. </w:t>
      </w:r>
      <w:r>
        <w:rPr>
          <w:rFonts w:cs="Arial"/>
          <w:color w:val="000000"/>
          <w:lang w:eastAsia="zh-CN"/>
        </w:rPr>
        <w:t xml:space="preserve"> </w:t>
      </w:r>
      <w:r w:rsidRPr="00D92815">
        <w:rPr>
          <w:rFonts w:cs="Arial"/>
          <w:color w:val="000000"/>
          <w:lang w:eastAsia="zh-CN"/>
        </w:rPr>
        <w:t xml:space="preserve">Furthermore, a number of delegations presented proposals for work by the SCT on geographical indications. </w:t>
      </w:r>
      <w:r>
        <w:rPr>
          <w:rFonts w:cs="Arial"/>
          <w:color w:val="000000"/>
          <w:lang w:eastAsia="zh-CN"/>
        </w:rPr>
        <w:t xml:space="preserve"> </w:t>
      </w:r>
      <w:r w:rsidRPr="00D92815">
        <w:rPr>
          <w:rFonts w:cs="Arial"/>
          <w:color w:val="000000"/>
          <w:lang w:eastAsia="zh-CN"/>
        </w:rPr>
        <w:t xml:space="preserve">The Program’s norm-setting activities within the SCT continued to be inclusive and member-driven in line with DA Recommendation 15, and the SCT negotiations were based upon open and balanced consultations in line with DA Recommendations 21 and 42.  </w:t>
      </w:r>
    </w:p>
    <w:p w:rsidR="007C62B7" w:rsidRPr="00D92815" w:rsidRDefault="007C62B7" w:rsidP="00FD7155">
      <w:pPr>
        <w:pStyle w:val="ListParagraph"/>
        <w:tabs>
          <w:tab w:val="left" w:pos="709"/>
        </w:tabs>
        <w:autoSpaceDE w:val="0"/>
        <w:autoSpaceDN w:val="0"/>
        <w:ind w:left="0"/>
        <w:jc w:val="both"/>
        <w:rPr>
          <w:rFonts w:cs="Arial"/>
          <w:color w:val="000000"/>
          <w:lang w:eastAsia="zh-CN"/>
        </w:rPr>
      </w:pPr>
    </w:p>
    <w:p w:rsidR="007C62B7" w:rsidRPr="00D92815" w:rsidRDefault="007C62B7" w:rsidP="007C62B7">
      <w:pPr>
        <w:pStyle w:val="ListParagraph"/>
        <w:numPr>
          <w:ilvl w:val="0"/>
          <w:numId w:val="72"/>
        </w:numPr>
        <w:tabs>
          <w:tab w:val="left" w:pos="709"/>
        </w:tabs>
        <w:autoSpaceDE w:val="0"/>
        <w:autoSpaceDN w:val="0"/>
        <w:ind w:left="0" w:firstLine="0"/>
        <w:jc w:val="both"/>
        <w:rPr>
          <w:rFonts w:cs="Arial"/>
          <w:color w:val="000000"/>
          <w:lang w:eastAsia="zh-CN"/>
        </w:rPr>
      </w:pPr>
      <w:r w:rsidRPr="00D92815">
        <w:rPr>
          <w:rFonts w:cs="Arial"/>
          <w:color w:val="000000"/>
          <w:lang w:eastAsia="zh-CN"/>
        </w:rPr>
        <w:t xml:space="preserve">The year 2014 also saw ratification of and/or accession to the Singapore Treaty on the Law of Trademarks by seven new Contracting Parties (Belarus, Belgium, Benelux Organization for Intellectual Property (BOIP), Iraq, Luxembourg, Netherlands and Tajikistan), bringing the total number of Contracting Parties to 38 at the end of 2014.  </w:t>
      </w:r>
    </w:p>
    <w:p w:rsidR="007C62B7" w:rsidRPr="00D92815" w:rsidRDefault="007C62B7" w:rsidP="00FD7155">
      <w:pPr>
        <w:pStyle w:val="ListParagraph"/>
        <w:tabs>
          <w:tab w:val="left" w:pos="709"/>
        </w:tabs>
        <w:autoSpaceDE w:val="0"/>
        <w:autoSpaceDN w:val="0"/>
        <w:ind w:left="0"/>
        <w:jc w:val="both"/>
        <w:rPr>
          <w:rFonts w:cs="Arial"/>
          <w:color w:val="000000"/>
          <w:lang w:eastAsia="zh-CN"/>
        </w:rPr>
      </w:pPr>
    </w:p>
    <w:p w:rsidR="007C62B7" w:rsidRPr="00D92815" w:rsidRDefault="007C62B7" w:rsidP="007C62B7">
      <w:pPr>
        <w:pStyle w:val="ListParagraph"/>
        <w:numPr>
          <w:ilvl w:val="0"/>
          <w:numId w:val="72"/>
        </w:numPr>
        <w:tabs>
          <w:tab w:val="left" w:pos="709"/>
        </w:tabs>
        <w:autoSpaceDE w:val="0"/>
        <w:autoSpaceDN w:val="0"/>
        <w:ind w:left="0" w:firstLine="0"/>
        <w:jc w:val="both"/>
        <w:rPr>
          <w:rFonts w:cs="Arial"/>
          <w:color w:val="000000"/>
          <w:lang w:eastAsia="zh-CN"/>
        </w:rPr>
      </w:pPr>
      <w:r w:rsidRPr="00D92815">
        <w:rPr>
          <w:rFonts w:cs="Arial"/>
          <w:color w:val="000000"/>
          <w:lang w:eastAsia="zh-CN"/>
        </w:rPr>
        <w:t xml:space="preserve">As regards increased protection of State emblems and names and emblems of international intergovernmental organizations under Article </w:t>
      </w:r>
      <w:r w:rsidRPr="00845557">
        <w:rPr>
          <w:rFonts w:cs="Arial"/>
          <w:i/>
          <w:color w:val="000000"/>
          <w:lang w:eastAsia="zh-CN"/>
        </w:rPr>
        <w:t>6ter</w:t>
      </w:r>
      <w:r w:rsidRPr="00D92815">
        <w:rPr>
          <w:rFonts w:cs="Arial"/>
          <w:color w:val="000000"/>
          <w:lang w:eastAsia="zh-CN"/>
        </w:rPr>
        <w:t xml:space="preserve"> Paris Convention, communications and responses to requests were dealt with in a timely and efficient manner during the period under review. </w:t>
      </w:r>
      <w:r>
        <w:rPr>
          <w:rFonts w:cs="Arial"/>
          <w:color w:val="000000"/>
          <w:lang w:eastAsia="zh-CN"/>
        </w:rPr>
        <w:t xml:space="preserve"> </w:t>
      </w:r>
      <w:r w:rsidRPr="00D92815">
        <w:rPr>
          <w:rFonts w:cs="Arial"/>
          <w:color w:val="000000"/>
          <w:lang w:eastAsia="zh-CN"/>
        </w:rPr>
        <w:t xml:space="preserve">The discrepancy between the target for requests to be dealt with and the actual number of requests is due to the fluctuation of requests and the fact that the estimated target was based on a biennial average. The same applies for the actual number of signs published (49), which falls short of the target.  At the end of 2014, a total of 3,057 signs were contained in the Article </w:t>
      </w:r>
      <w:r w:rsidRPr="00845557">
        <w:rPr>
          <w:rFonts w:cs="Arial"/>
          <w:i/>
          <w:color w:val="000000"/>
          <w:lang w:eastAsia="zh-CN"/>
        </w:rPr>
        <w:t>6ter</w:t>
      </w:r>
      <w:r w:rsidRPr="00D92815">
        <w:rPr>
          <w:rFonts w:cs="Arial"/>
          <w:color w:val="000000"/>
          <w:lang w:eastAsia="zh-CN"/>
        </w:rPr>
        <w:t xml:space="preserve"> database.</w:t>
      </w:r>
    </w:p>
    <w:p w:rsidR="007C62B7" w:rsidRPr="00D92815" w:rsidRDefault="007C62B7" w:rsidP="00FD7155">
      <w:pPr>
        <w:pStyle w:val="ListParagraph"/>
        <w:tabs>
          <w:tab w:val="left" w:pos="709"/>
        </w:tabs>
        <w:autoSpaceDE w:val="0"/>
        <w:autoSpaceDN w:val="0"/>
        <w:ind w:left="0"/>
        <w:jc w:val="both"/>
        <w:rPr>
          <w:rFonts w:cs="Arial"/>
          <w:color w:val="000000"/>
          <w:lang w:eastAsia="zh-CN"/>
        </w:rPr>
      </w:pPr>
    </w:p>
    <w:p w:rsidR="007C62B7" w:rsidRPr="00D92815" w:rsidRDefault="007C62B7" w:rsidP="007C62B7">
      <w:pPr>
        <w:pStyle w:val="ListParagraph"/>
        <w:numPr>
          <w:ilvl w:val="0"/>
          <w:numId w:val="72"/>
        </w:numPr>
        <w:tabs>
          <w:tab w:val="left" w:pos="709"/>
        </w:tabs>
        <w:autoSpaceDE w:val="0"/>
        <w:autoSpaceDN w:val="0"/>
        <w:ind w:left="0" w:firstLine="0"/>
        <w:jc w:val="both"/>
        <w:rPr>
          <w:rFonts w:cs="Arial"/>
          <w:color w:val="000000"/>
          <w:lang w:eastAsia="zh-CN"/>
        </w:rPr>
      </w:pPr>
      <w:r w:rsidRPr="00D92815">
        <w:rPr>
          <w:rFonts w:cs="Arial"/>
          <w:color w:val="000000"/>
          <w:lang w:eastAsia="zh-CN"/>
        </w:rPr>
        <w:t>Concerning the work on tailored and balanced IP legislative, regulatory and policy frameworks, the Program provided advice to 20 Member States/intergovernmental organizations in the area of trademark, industrial design and geographical indications law. The Program’s technical assistance, capacity</w:t>
      </w:r>
      <w:r w:rsidR="00304D88">
        <w:rPr>
          <w:rFonts w:cs="Arial"/>
          <w:color w:val="000000"/>
          <w:lang w:eastAsia="zh-CN"/>
        </w:rPr>
        <w:t xml:space="preserve"> </w:t>
      </w:r>
      <w:r w:rsidRPr="00D92815">
        <w:rPr>
          <w:rFonts w:cs="Arial"/>
          <w:color w:val="000000"/>
          <w:lang w:eastAsia="zh-CN"/>
        </w:rPr>
        <w:t xml:space="preserve">building and legislative assistance activities were development-oriented, demand-driven and reported on during the year in line with DA Recommendations 1 and 13.  </w:t>
      </w:r>
    </w:p>
    <w:p w:rsidR="007C62B7" w:rsidRPr="00D92815" w:rsidRDefault="007C62B7" w:rsidP="00FD7155">
      <w:pPr>
        <w:pStyle w:val="ListParagraph"/>
        <w:tabs>
          <w:tab w:val="left" w:pos="709"/>
        </w:tabs>
        <w:autoSpaceDE w:val="0"/>
        <w:autoSpaceDN w:val="0"/>
        <w:ind w:left="0"/>
        <w:jc w:val="both"/>
        <w:rPr>
          <w:rFonts w:cs="Arial"/>
          <w:color w:val="000000"/>
          <w:lang w:eastAsia="zh-CN"/>
        </w:rPr>
      </w:pPr>
    </w:p>
    <w:p w:rsidR="007C62B7" w:rsidRPr="00D92815" w:rsidRDefault="007C62B7" w:rsidP="007C62B7">
      <w:pPr>
        <w:pStyle w:val="ListParagraph"/>
        <w:numPr>
          <w:ilvl w:val="0"/>
          <w:numId w:val="72"/>
        </w:numPr>
        <w:tabs>
          <w:tab w:val="left" w:pos="709"/>
        </w:tabs>
        <w:autoSpaceDE w:val="0"/>
        <w:autoSpaceDN w:val="0"/>
        <w:ind w:left="0" w:firstLine="0"/>
        <w:jc w:val="both"/>
        <w:rPr>
          <w:rFonts w:cs="Arial"/>
          <w:color w:val="000000"/>
          <w:lang w:eastAsia="zh-CN"/>
        </w:rPr>
      </w:pPr>
      <w:r w:rsidRPr="00D92815">
        <w:rPr>
          <w:rFonts w:cs="Arial"/>
          <w:color w:val="000000"/>
          <w:lang w:eastAsia="zh-CN"/>
        </w:rPr>
        <w:t xml:space="preserve">In addition, the Program implemented the first year of the DA Pilot Project on IP and Design Management for Business Development in Developing and Least Developed Countries (DA_4_10_02).  The two pilot countries, namely Argentina and Morocco, and the local Lead Agencies were selected in 2014.  Following a formal agreement on the project scope statement with both countries, national design protection strategies, outreach plans and exit strategies were drafted.  Feasibility studies were then carried out in both countries, and country project coordinators, national experts and an overall 70 beneficiary SMEs were selected.  The national project kick-off events were successfully implemented.  Key stakeholders, including ministries, are expected to sign project charters in both countries in 2015.  </w:t>
      </w:r>
    </w:p>
    <w:p w:rsidR="007C62B7" w:rsidRPr="007C62B7" w:rsidRDefault="007C62B7" w:rsidP="00FD7155">
      <w:pPr>
        <w:pStyle w:val="ListParagraph"/>
        <w:tabs>
          <w:tab w:val="left" w:pos="709"/>
        </w:tabs>
        <w:autoSpaceDE w:val="0"/>
        <w:autoSpaceDN w:val="0"/>
        <w:ind w:left="0"/>
        <w:jc w:val="both"/>
        <w:rPr>
          <w:rFonts w:cs="Arial"/>
          <w:color w:val="000000"/>
          <w:sz w:val="18"/>
          <w:lang w:eastAsia="zh-CN"/>
        </w:rPr>
      </w:pPr>
    </w:p>
    <w:p w:rsidR="007C62B7" w:rsidRPr="007C62B7" w:rsidRDefault="007C62B7" w:rsidP="00FD7155">
      <w:pPr>
        <w:pStyle w:val="ListParagraph"/>
        <w:tabs>
          <w:tab w:val="left" w:pos="709"/>
        </w:tabs>
        <w:autoSpaceDE w:val="0"/>
        <w:autoSpaceDN w:val="0"/>
        <w:ind w:left="0"/>
        <w:jc w:val="both"/>
        <w:rPr>
          <w:rFonts w:cs="Arial"/>
          <w:color w:val="000000"/>
          <w:sz w:val="18"/>
          <w:lang w:eastAsia="zh-CN"/>
        </w:rPr>
      </w:pPr>
    </w:p>
    <w:p w:rsidR="007C62B7" w:rsidRPr="00CF1045" w:rsidRDefault="007C62B7" w:rsidP="00FD7155">
      <w:pPr>
        <w:tabs>
          <w:tab w:val="left" w:pos="2268"/>
        </w:tabs>
        <w:rPr>
          <w:sz w:val="22"/>
          <w:szCs w:val="22"/>
        </w:rPr>
      </w:pPr>
      <w:r w:rsidRPr="00CF1045">
        <w:rPr>
          <w:sz w:val="22"/>
          <w:szCs w:val="22"/>
        </w:rPr>
        <w:t>PERFORMANCE DATA</w:t>
      </w:r>
    </w:p>
    <w:p w:rsidR="007C62B7" w:rsidRPr="007C62B7" w:rsidRDefault="007C62B7" w:rsidP="00FD7155">
      <w:pPr>
        <w:tabs>
          <w:tab w:val="left" w:pos="2268"/>
        </w:tabs>
        <w:rPr>
          <w:b/>
          <w:szCs w:val="22"/>
        </w:rPr>
      </w:pP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74"/>
        <w:gridCol w:w="2726"/>
        <w:gridCol w:w="31"/>
        <w:gridCol w:w="1307"/>
        <w:gridCol w:w="21"/>
        <w:gridCol w:w="2301"/>
        <w:gridCol w:w="88"/>
        <w:gridCol w:w="923"/>
      </w:tblGrid>
      <w:tr w:rsidR="007C62B7" w:rsidRPr="001A1334" w:rsidTr="00FD7155">
        <w:trPr>
          <w:cantSplit/>
          <w:trHeight w:val="534"/>
        </w:trPr>
        <w:tc>
          <w:tcPr>
            <w:tcW w:w="5000" w:type="pct"/>
            <w:gridSpan w:val="8"/>
            <w:tcBorders>
              <w:top w:val="single" w:sz="4" w:space="0" w:color="auto"/>
              <w:bottom w:val="single" w:sz="4" w:space="0" w:color="auto"/>
            </w:tcBorders>
            <w:shd w:val="clear" w:color="auto" w:fill="CCFFFF"/>
            <w:vAlign w:val="center"/>
          </w:tcPr>
          <w:p w:rsidR="007C62B7" w:rsidRPr="001A1334" w:rsidRDefault="007C62B7" w:rsidP="007C62B7">
            <w:pPr>
              <w:tabs>
                <w:tab w:val="left" w:pos="1452"/>
              </w:tabs>
              <w:ind w:left="1452" w:hanging="1452"/>
              <w:rPr>
                <w:rFonts w:cs="Arial"/>
                <w:b/>
                <w:bCs/>
                <w:sz w:val="16"/>
                <w:szCs w:val="16"/>
              </w:rPr>
            </w:pPr>
            <w:r w:rsidRPr="001A1334">
              <w:rPr>
                <w:rFonts w:cs="Arial"/>
                <w:b/>
                <w:bCs/>
                <w:sz w:val="16"/>
                <w:szCs w:val="16"/>
              </w:rPr>
              <w:t>Expected Result:</w:t>
            </w:r>
            <w:r w:rsidRPr="001A1334">
              <w:rPr>
                <w:rFonts w:cs="Arial"/>
                <w:b/>
                <w:bCs/>
                <w:sz w:val="16"/>
                <w:szCs w:val="16"/>
              </w:rPr>
              <w:tab/>
            </w:r>
            <w:r w:rsidRPr="00D92815">
              <w:rPr>
                <w:rFonts w:cs="Arial"/>
                <w:bCs/>
                <w:sz w:val="16"/>
                <w:szCs w:val="16"/>
              </w:rPr>
              <w:t>I.1</w:t>
            </w:r>
            <w:r>
              <w:rPr>
                <w:rFonts w:cs="Arial"/>
                <w:b/>
                <w:bCs/>
                <w:sz w:val="16"/>
                <w:szCs w:val="16"/>
              </w:rPr>
              <w:t xml:space="preserve"> </w:t>
            </w:r>
            <w:r w:rsidRPr="00170242">
              <w:rPr>
                <w:rFonts w:cs="Arial"/>
                <w:sz w:val="16"/>
                <w:szCs w:val="16"/>
                <w:lang w:bidi="th-TH"/>
              </w:rPr>
              <w:t xml:space="preserve">Enhanced cooperation among Member States on development of balanced international normative </w:t>
            </w:r>
            <w:r>
              <w:rPr>
                <w:rFonts w:cs="Arial"/>
                <w:sz w:val="16"/>
                <w:szCs w:val="16"/>
                <w:lang w:bidi="th-TH"/>
              </w:rPr>
              <w:t xml:space="preserve">  </w:t>
            </w:r>
            <w:r w:rsidRPr="00170242">
              <w:rPr>
                <w:rFonts w:cs="Arial"/>
                <w:sz w:val="16"/>
                <w:szCs w:val="16"/>
                <w:lang w:bidi="th-TH"/>
              </w:rPr>
              <w:t>frameworks for IP and agreement on specific topics on which international instruments are agreed</w:t>
            </w:r>
          </w:p>
        </w:tc>
      </w:tr>
      <w:tr w:rsidR="007C62B7" w:rsidRPr="001A1334" w:rsidTr="00FD7155">
        <w:trPr>
          <w:cantSplit/>
        </w:trPr>
        <w:tc>
          <w:tcPr>
            <w:tcW w:w="1136" w:type="pct"/>
            <w:tcBorders>
              <w:top w:val="single" w:sz="4" w:space="0" w:color="auto"/>
            </w:tcBorders>
            <w:shd w:val="clear" w:color="auto" w:fill="auto"/>
            <w:vAlign w:val="center"/>
          </w:tcPr>
          <w:p w:rsidR="007C62B7" w:rsidRPr="001A1334" w:rsidRDefault="007C62B7" w:rsidP="00FD7155">
            <w:pPr>
              <w:rPr>
                <w:rFonts w:cs="Arial"/>
                <w:sz w:val="16"/>
                <w:szCs w:val="16"/>
              </w:rPr>
            </w:pPr>
            <w:r w:rsidRPr="001A1334">
              <w:rPr>
                <w:rFonts w:cs="Arial"/>
                <w:b/>
                <w:bCs/>
                <w:sz w:val="16"/>
                <w:szCs w:val="16"/>
              </w:rPr>
              <w:t>Performance Indicators</w:t>
            </w:r>
          </w:p>
        </w:tc>
        <w:tc>
          <w:tcPr>
            <w:tcW w:w="1440" w:type="pct"/>
            <w:gridSpan w:val="2"/>
            <w:tcBorders>
              <w:top w:val="single" w:sz="4" w:space="0" w:color="auto"/>
            </w:tcBorders>
            <w:shd w:val="clear" w:color="auto" w:fill="auto"/>
            <w:vAlign w:val="center"/>
          </w:tcPr>
          <w:p w:rsidR="007C62B7" w:rsidRPr="001A1334" w:rsidRDefault="007C62B7" w:rsidP="00FD7155">
            <w:pPr>
              <w:rPr>
                <w:rFonts w:cs="Arial"/>
                <w:b/>
                <w:bCs/>
                <w:sz w:val="16"/>
                <w:szCs w:val="16"/>
              </w:rPr>
            </w:pPr>
            <w:r w:rsidRPr="001A1334">
              <w:rPr>
                <w:rFonts w:cs="Arial"/>
                <w:b/>
                <w:bCs/>
                <w:sz w:val="16"/>
                <w:szCs w:val="16"/>
              </w:rPr>
              <w:t>Baselines</w:t>
            </w:r>
          </w:p>
        </w:tc>
        <w:tc>
          <w:tcPr>
            <w:tcW w:w="694" w:type="pct"/>
            <w:gridSpan w:val="2"/>
            <w:tcBorders>
              <w:top w:val="single" w:sz="4" w:space="0" w:color="auto"/>
            </w:tcBorders>
            <w:shd w:val="clear" w:color="auto" w:fill="auto"/>
            <w:tcMar>
              <w:top w:w="110" w:type="dxa"/>
            </w:tcMar>
            <w:vAlign w:val="center"/>
          </w:tcPr>
          <w:p w:rsidR="007C62B7" w:rsidRPr="001A1334" w:rsidRDefault="007C62B7" w:rsidP="00FD7155">
            <w:pPr>
              <w:rPr>
                <w:rFonts w:cs="Arial"/>
                <w:b/>
                <w:sz w:val="16"/>
                <w:szCs w:val="16"/>
              </w:rPr>
            </w:pPr>
            <w:r w:rsidRPr="001A1334">
              <w:rPr>
                <w:rFonts w:cs="Arial"/>
                <w:b/>
                <w:sz w:val="16"/>
                <w:szCs w:val="16"/>
              </w:rPr>
              <w:t>Targets</w:t>
            </w:r>
          </w:p>
        </w:tc>
        <w:tc>
          <w:tcPr>
            <w:tcW w:w="1248" w:type="pct"/>
            <w:gridSpan w:val="2"/>
            <w:tcBorders>
              <w:top w:val="single" w:sz="4" w:space="0" w:color="auto"/>
            </w:tcBorders>
            <w:shd w:val="clear" w:color="auto" w:fill="auto"/>
            <w:tcMar>
              <w:top w:w="110" w:type="dxa"/>
            </w:tcMar>
            <w:vAlign w:val="center"/>
          </w:tcPr>
          <w:p w:rsidR="007C62B7" w:rsidRPr="001A1334" w:rsidRDefault="007C62B7" w:rsidP="00FD7155">
            <w:pPr>
              <w:rPr>
                <w:rFonts w:cs="Arial"/>
                <w:sz w:val="16"/>
                <w:szCs w:val="16"/>
              </w:rPr>
            </w:pPr>
            <w:r w:rsidRPr="001A1334">
              <w:rPr>
                <w:rFonts w:cs="Arial"/>
                <w:b/>
                <w:bCs/>
                <w:sz w:val="16"/>
                <w:szCs w:val="16"/>
              </w:rPr>
              <w:t>Performance Data</w:t>
            </w:r>
          </w:p>
        </w:tc>
        <w:tc>
          <w:tcPr>
            <w:tcW w:w="482" w:type="pct"/>
            <w:tcBorders>
              <w:top w:val="single" w:sz="4" w:space="0" w:color="auto"/>
            </w:tcBorders>
            <w:shd w:val="clear" w:color="auto" w:fill="auto"/>
            <w:tcMar>
              <w:top w:w="110" w:type="dxa"/>
            </w:tcMar>
            <w:vAlign w:val="center"/>
          </w:tcPr>
          <w:p w:rsidR="007C62B7" w:rsidRPr="001A1334" w:rsidRDefault="007C62B7" w:rsidP="00FD7155">
            <w:pPr>
              <w:keepNext/>
              <w:keepLines/>
              <w:jc w:val="center"/>
              <w:rPr>
                <w:rFonts w:cs="Arial"/>
                <w:b/>
                <w:bCs/>
                <w:sz w:val="16"/>
                <w:szCs w:val="16"/>
              </w:rPr>
            </w:pPr>
            <w:r w:rsidRPr="001A1334">
              <w:rPr>
                <w:rFonts w:cs="Arial"/>
                <w:b/>
                <w:bCs/>
                <w:sz w:val="16"/>
                <w:szCs w:val="16"/>
              </w:rPr>
              <w:t>TLS</w:t>
            </w:r>
          </w:p>
        </w:tc>
      </w:tr>
      <w:tr w:rsidR="007C62B7" w:rsidRPr="001A1334" w:rsidTr="00FD7155">
        <w:trPr>
          <w:cantSplit/>
        </w:trPr>
        <w:tc>
          <w:tcPr>
            <w:tcW w:w="1136" w:type="pct"/>
            <w:shd w:val="clear" w:color="auto" w:fill="auto"/>
          </w:tcPr>
          <w:p w:rsidR="007C62B7" w:rsidRPr="001A1334" w:rsidRDefault="007C62B7" w:rsidP="00FD7155">
            <w:pPr>
              <w:rPr>
                <w:rFonts w:cs="Arial"/>
                <w:sz w:val="16"/>
                <w:szCs w:val="16"/>
              </w:rPr>
            </w:pPr>
            <w:r w:rsidRPr="00170242">
              <w:rPr>
                <w:rFonts w:cs="Arial"/>
                <w:sz w:val="16"/>
                <w:szCs w:val="16"/>
              </w:rPr>
              <w:t>Agreement on a normative framework for industrial design registration and maintenance procedures</w:t>
            </w:r>
          </w:p>
        </w:tc>
        <w:tc>
          <w:tcPr>
            <w:tcW w:w="1440" w:type="pct"/>
            <w:gridSpan w:val="2"/>
            <w:shd w:val="clear" w:color="auto" w:fill="auto"/>
          </w:tcPr>
          <w:p w:rsidR="007C62B7" w:rsidRPr="001A1334" w:rsidRDefault="007C62B7" w:rsidP="00FD7155">
            <w:pPr>
              <w:rPr>
                <w:rFonts w:cs="Arial"/>
                <w:i/>
                <w:color w:val="002060"/>
                <w:sz w:val="16"/>
                <w:szCs w:val="16"/>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r w:rsidRPr="00170242">
              <w:rPr>
                <w:rFonts w:cs="Arial"/>
                <w:color w:val="002060"/>
                <w:sz w:val="16"/>
                <w:szCs w:val="16"/>
                <w:lang w:bidi="th-TH"/>
              </w:rPr>
              <w:t>No normative framework for industrial design registration procedures</w:t>
            </w:r>
          </w:p>
          <w:p w:rsidR="007C62B7" w:rsidRPr="001A1334" w:rsidRDefault="007C62B7" w:rsidP="00FD7155">
            <w:pPr>
              <w:rPr>
                <w:rFonts w:cs="Arial"/>
                <w:i/>
                <w:sz w:val="8"/>
                <w:szCs w:val="8"/>
              </w:rPr>
            </w:pPr>
          </w:p>
          <w:p w:rsidR="007C62B7" w:rsidRPr="001A1334" w:rsidRDefault="007C62B7" w:rsidP="00FD7155">
            <w:pPr>
              <w:rPr>
                <w:rFonts w:cs="Arial"/>
                <w:sz w:val="16"/>
                <w:szCs w:val="16"/>
              </w:rPr>
            </w:pPr>
            <w:r>
              <w:rPr>
                <w:rFonts w:cs="Arial"/>
                <w:i/>
                <w:sz w:val="16"/>
                <w:szCs w:val="16"/>
              </w:rPr>
              <w:t>Original Baseline P&amp;B 2014/15</w:t>
            </w:r>
            <w:r w:rsidRPr="001A1334">
              <w:rPr>
                <w:rFonts w:cs="Arial"/>
                <w:i/>
                <w:sz w:val="16"/>
                <w:szCs w:val="16"/>
              </w:rPr>
              <w:t>:</w:t>
            </w:r>
          </w:p>
          <w:p w:rsidR="007C62B7" w:rsidRPr="001A1334" w:rsidRDefault="007C62B7" w:rsidP="00FD7155">
            <w:pPr>
              <w:rPr>
                <w:rFonts w:cs="Arial"/>
                <w:sz w:val="16"/>
                <w:szCs w:val="16"/>
              </w:rPr>
            </w:pPr>
            <w:r w:rsidRPr="00170242">
              <w:rPr>
                <w:rFonts w:cs="Arial"/>
                <w:sz w:val="16"/>
                <w:szCs w:val="16"/>
              </w:rPr>
              <w:t>No normative framework for industrial design registration and maintenance procedures</w:t>
            </w:r>
          </w:p>
        </w:tc>
        <w:tc>
          <w:tcPr>
            <w:tcW w:w="694" w:type="pct"/>
            <w:gridSpan w:val="2"/>
            <w:shd w:val="clear" w:color="auto" w:fill="auto"/>
            <w:tcMar>
              <w:top w:w="110" w:type="dxa"/>
            </w:tcMar>
          </w:tcPr>
          <w:p w:rsidR="007C62B7" w:rsidRPr="001A1334" w:rsidRDefault="007C62B7" w:rsidP="00FD7155">
            <w:pPr>
              <w:autoSpaceDE w:val="0"/>
              <w:autoSpaceDN w:val="0"/>
              <w:adjustRightInd w:val="0"/>
              <w:rPr>
                <w:rFonts w:cs="Arial"/>
                <w:sz w:val="16"/>
                <w:szCs w:val="16"/>
              </w:rPr>
            </w:pPr>
            <w:r w:rsidRPr="00170242">
              <w:rPr>
                <w:rFonts w:cs="Arial"/>
                <w:sz w:val="16"/>
                <w:szCs w:val="16"/>
              </w:rPr>
              <w:t xml:space="preserve">Adoption of a Design Law Treaty by </w:t>
            </w:r>
            <w:r>
              <w:rPr>
                <w:rFonts w:cs="Arial"/>
                <w:sz w:val="16"/>
                <w:szCs w:val="16"/>
              </w:rPr>
              <w:t xml:space="preserve">a possible </w:t>
            </w:r>
            <w:r w:rsidRPr="00170242">
              <w:rPr>
                <w:rFonts w:cs="Arial"/>
                <w:sz w:val="16"/>
                <w:szCs w:val="16"/>
              </w:rPr>
              <w:t>Diplomatic Conference</w:t>
            </w:r>
          </w:p>
        </w:tc>
        <w:tc>
          <w:tcPr>
            <w:tcW w:w="1248" w:type="pct"/>
            <w:gridSpan w:val="2"/>
            <w:shd w:val="clear" w:color="auto" w:fill="auto"/>
            <w:tcMar>
              <w:top w:w="110" w:type="dxa"/>
            </w:tcMar>
          </w:tcPr>
          <w:p w:rsidR="007C62B7" w:rsidRPr="001A1334" w:rsidRDefault="007C62B7" w:rsidP="00FD7155">
            <w:pPr>
              <w:rPr>
                <w:rFonts w:cs="Arial"/>
                <w:sz w:val="16"/>
                <w:szCs w:val="16"/>
              </w:rPr>
            </w:pPr>
            <w:r>
              <w:rPr>
                <w:rFonts w:cs="Arial"/>
                <w:sz w:val="16"/>
                <w:szCs w:val="16"/>
              </w:rPr>
              <w:t>No decision to convene a Diplomatic Conference for the adoption of a Design law Treaty was taken.</w:t>
            </w:r>
          </w:p>
        </w:tc>
        <w:tc>
          <w:tcPr>
            <w:tcW w:w="482" w:type="pct"/>
            <w:shd w:val="clear" w:color="auto" w:fill="auto"/>
            <w:tcMar>
              <w:top w:w="110" w:type="dxa"/>
            </w:tcMar>
          </w:tcPr>
          <w:p w:rsidR="007C62B7" w:rsidRPr="001A1334" w:rsidRDefault="007C62B7" w:rsidP="00FD7155">
            <w:pPr>
              <w:keepNext/>
              <w:keepLines/>
              <w:jc w:val="center"/>
              <w:rPr>
                <w:rFonts w:cs="Arial"/>
                <w:bCs/>
                <w:color w:val="808080"/>
                <w:sz w:val="16"/>
                <w:szCs w:val="16"/>
              </w:rPr>
            </w:pPr>
            <w:r w:rsidRPr="00D92815">
              <w:rPr>
                <w:rFonts w:cs="Arial"/>
                <w:b/>
                <w:bCs/>
                <w:color w:val="FF0000"/>
                <w:sz w:val="16"/>
                <w:szCs w:val="16"/>
              </w:rPr>
              <w:t xml:space="preserve">Not </w:t>
            </w:r>
            <w:r>
              <w:rPr>
                <w:rFonts w:cs="Arial"/>
                <w:b/>
                <w:bCs/>
                <w:color w:val="FF0000"/>
                <w:sz w:val="16"/>
                <w:szCs w:val="16"/>
              </w:rPr>
              <w:br/>
            </w:r>
            <w:r w:rsidRPr="00D92815">
              <w:rPr>
                <w:rFonts w:cs="Arial"/>
                <w:b/>
                <w:bCs/>
                <w:color w:val="FF0000"/>
                <w:sz w:val="16"/>
                <w:szCs w:val="16"/>
              </w:rPr>
              <w:t>on track</w:t>
            </w:r>
          </w:p>
        </w:tc>
      </w:tr>
      <w:tr w:rsidR="007C62B7" w:rsidRPr="001A1334" w:rsidTr="00FD7155">
        <w:trPr>
          <w:cantSplit/>
        </w:trPr>
        <w:tc>
          <w:tcPr>
            <w:tcW w:w="1136" w:type="pct"/>
            <w:shd w:val="clear" w:color="auto" w:fill="auto"/>
            <w:vAlign w:val="center"/>
          </w:tcPr>
          <w:p w:rsidR="007C62B7" w:rsidRPr="001A1334" w:rsidRDefault="007C62B7" w:rsidP="00FD7155">
            <w:pPr>
              <w:rPr>
                <w:rFonts w:cs="Arial"/>
                <w:sz w:val="16"/>
                <w:szCs w:val="16"/>
              </w:rPr>
            </w:pPr>
            <w:r w:rsidRPr="001A1334">
              <w:rPr>
                <w:rFonts w:cs="Arial"/>
                <w:b/>
                <w:bCs/>
                <w:sz w:val="16"/>
                <w:szCs w:val="16"/>
              </w:rPr>
              <w:lastRenderedPageBreak/>
              <w:t>Performance Indicators</w:t>
            </w:r>
          </w:p>
        </w:tc>
        <w:tc>
          <w:tcPr>
            <w:tcW w:w="1440" w:type="pct"/>
            <w:gridSpan w:val="2"/>
            <w:shd w:val="clear" w:color="auto" w:fill="auto"/>
            <w:vAlign w:val="center"/>
          </w:tcPr>
          <w:p w:rsidR="007C62B7" w:rsidRPr="001A1334" w:rsidRDefault="007C62B7" w:rsidP="00FD7155">
            <w:pPr>
              <w:rPr>
                <w:rFonts w:cs="Arial"/>
                <w:b/>
                <w:bCs/>
                <w:sz w:val="16"/>
                <w:szCs w:val="16"/>
              </w:rPr>
            </w:pPr>
            <w:r w:rsidRPr="001A1334">
              <w:rPr>
                <w:rFonts w:cs="Arial"/>
                <w:b/>
                <w:bCs/>
                <w:sz w:val="16"/>
                <w:szCs w:val="16"/>
              </w:rPr>
              <w:t>Baselines</w:t>
            </w:r>
          </w:p>
        </w:tc>
        <w:tc>
          <w:tcPr>
            <w:tcW w:w="694" w:type="pct"/>
            <w:gridSpan w:val="2"/>
            <w:shd w:val="clear" w:color="auto" w:fill="auto"/>
            <w:tcMar>
              <w:top w:w="110" w:type="dxa"/>
            </w:tcMar>
            <w:vAlign w:val="center"/>
          </w:tcPr>
          <w:p w:rsidR="007C62B7" w:rsidRPr="001A1334" w:rsidRDefault="007C62B7" w:rsidP="00FD7155">
            <w:pPr>
              <w:rPr>
                <w:rFonts w:cs="Arial"/>
                <w:b/>
                <w:sz w:val="16"/>
                <w:szCs w:val="16"/>
              </w:rPr>
            </w:pPr>
            <w:r w:rsidRPr="001A1334">
              <w:rPr>
                <w:rFonts w:cs="Arial"/>
                <w:b/>
                <w:sz w:val="16"/>
                <w:szCs w:val="16"/>
              </w:rPr>
              <w:t>Targets</w:t>
            </w:r>
          </w:p>
        </w:tc>
        <w:tc>
          <w:tcPr>
            <w:tcW w:w="1248" w:type="pct"/>
            <w:gridSpan w:val="2"/>
            <w:shd w:val="clear" w:color="auto" w:fill="auto"/>
            <w:tcMar>
              <w:top w:w="110" w:type="dxa"/>
            </w:tcMar>
            <w:vAlign w:val="center"/>
          </w:tcPr>
          <w:p w:rsidR="007C62B7" w:rsidRPr="001A1334" w:rsidRDefault="007C62B7" w:rsidP="00FD7155">
            <w:pPr>
              <w:rPr>
                <w:rFonts w:cs="Arial"/>
                <w:sz w:val="16"/>
                <w:szCs w:val="16"/>
              </w:rPr>
            </w:pPr>
            <w:r w:rsidRPr="001A1334">
              <w:rPr>
                <w:rFonts w:cs="Arial"/>
                <w:b/>
                <w:bCs/>
                <w:sz w:val="16"/>
                <w:szCs w:val="16"/>
              </w:rPr>
              <w:t>Performance Data</w:t>
            </w:r>
          </w:p>
        </w:tc>
        <w:tc>
          <w:tcPr>
            <w:tcW w:w="482" w:type="pct"/>
            <w:shd w:val="clear" w:color="auto" w:fill="auto"/>
            <w:tcMar>
              <w:top w:w="110" w:type="dxa"/>
            </w:tcMar>
            <w:vAlign w:val="center"/>
          </w:tcPr>
          <w:p w:rsidR="007C62B7" w:rsidRPr="001A1334" w:rsidRDefault="007C62B7" w:rsidP="00FD7155">
            <w:pPr>
              <w:keepNext/>
              <w:keepLines/>
              <w:jc w:val="center"/>
              <w:rPr>
                <w:rFonts w:cs="Arial"/>
                <w:b/>
                <w:bCs/>
                <w:sz w:val="16"/>
                <w:szCs w:val="16"/>
              </w:rPr>
            </w:pPr>
            <w:r w:rsidRPr="001A1334">
              <w:rPr>
                <w:rFonts w:cs="Arial"/>
                <w:b/>
                <w:bCs/>
                <w:sz w:val="16"/>
                <w:szCs w:val="16"/>
              </w:rPr>
              <w:t>TLS</w:t>
            </w:r>
          </w:p>
        </w:tc>
      </w:tr>
      <w:tr w:rsidR="007C62B7" w:rsidRPr="001A1334" w:rsidTr="00FD7155">
        <w:trPr>
          <w:cantSplit/>
        </w:trPr>
        <w:tc>
          <w:tcPr>
            <w:tcW w:w="1136" w:type="pct"/>
            <w:shd w:val="clear" w:color="auto" w:fill="auto"/>
          </w:tcPr>
          <w:p w:rsidR="007C62B7" w:rsidRPr="00170242" w:rsidRDefault="007C62B7" w:rsidP="00FD7155">
            <w:pPr>
              <w:rPr>
                <w:rFonts w:cs="Arial"/>
                <w:sz w:val="16"/>
                <w:szCs w:val="16"/>
              </w:rPr>
            </w:pPr>
            <w:r w:rsidRPr="00170242">
              <w:rPr>
                <w:rFonts w:cs="Arial"/>
                <w:sz w:val="16"/>
                <w:szCs w:val="16"/>
              </w:rPr>
              <w:t>Progress towards agreement on  current issues on the SCT Agenda</w:t>
            </w:r>
          </w:p>
        </w:tc>
        <w:tc>
          <w:tcPr>
            <w:tcW w:w="1440" w:type="pct"/>
            <w:gridSpan w:val="2"/>
            <w:shd w:val="clear" w:color="auto" w:fill="auto"/>
          </w:tcPr>
          <w:p w:rsidR="007C62B7" w:rsidRPr="003117FA" w:rsidRDefault="007C62B7" w:rsidP="00FD7155">
            <w:pPr>
              <w:rPr>
                <w:rFonts w:cs="Arial"/>
                <w:color w:val="002060"/>
                <w:sz w:val="16"/>
                <w:szCs w:val="16"/>
                <w:lang w:bidi="th-TH"/>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r w:rsidRPr="003117FA">
              <w:rPr>
                <w:rFonts w:cs="Arial"/>
                <w:color w:val="002060"/>
                <w:sz w:val="16"/>
                <w:szCs w:val="16"/>
                <w:lang w:bidi="th-TH"/>
              </w:rPr>
              <w:t xml:space="preserve">Agreement by the SCT on a substantive number of draft Articles and Rules for a Design Law Treaty. </w:t>
            </w:r>
          </w:p>
          <w:p w:rsidR="007C62B7" w:rsidRPr="003117FA" w:rsidRDefault="007C62B7" w:rsidP="00FD7155">
            <w:pPr>
              <w:rPr>
                <w:rFonts w:cs="Arial"/>
                <w:color w:val="002060"/>
                <w:sz w:val="16"/>
                <w:szCs w:val="16"/>
                <w:lang w:bidi="th-TH"/>
              </w:rPr>
            </w:pPr>
          </w:p>
          <w:p w:rsidR="007C62B7" w:rsidRPr="001A1334" w:rsidRDefault="007C62B7" w:rsidP="00FD7155">
            <w:pPr>
              <w:rPr>
                <w:rFonts w:cs="Arial"/>
                <w:i/>
                <w:color w:val="002060"/>
                <w:sz w:val="16"/>
                <w:szCs w:val="16"/>
              </w:rPr>
            </w:pPr>
            <w:r w:rsidRPr="003117FA">
              <w:rPr>
                <w:rFonts w:cs="Arial"/>
                <w:color w:val="002060"/>
                <w:sz w:val="16"/>
                <w:szCs w:val="16"/>
                <w:lang w:bidi="th-TH"/>
              </w:rPr>
              <w:t>SCT agreement on the continuation of work on the protection of country names.</w:t>
            </w:r>
          </w:p>
          <w:p w:rsidR="007C62B7" w:rsidRPr="001A1334" w:rsidRDefault="007C62B7" w:rsidP="00FD7155">
            <w:pPr>
              <w:rPr>
                <w:rFonts w:cs="Arial"/>
                <w:i/>
                <w:sz w:val="8"/>
                <w:szCs w:val="8"/>
              </w:rPr>
            </w:pPr>
          </w:p>
          <w:p w:rsidR="007C62B7" w:rsidRPr="001A1334" w:rsidRDefault="007C62B7" w:rsidP="00FD7155">
            <w:pPr>
              <w:rPr>
                <w:rFonts w:cs="Arial"/>
                <w:sz w:val="16"/>
                <w:szCs w:val="16"/>
              </w:rPr>
            </w:pPr>
            <w:r>
              <w:rPr>
                <w:rFonts w:cs="Arial"/>
                <w:i/>
                <w:sz w:val="16"/>
                <w:szCs w:val="16"/>
              </w:rPr>
              <w:t>Original Baseline P&amp;B 2014/15</w:t>
            </w:r>
            <w:r w:rsidRPr="001A1334">
              <w:rPr>
                <w:rFonts w:cs="Arial"/>
                <w:i/>
                <w:sz w:val="16"/>
                <w:szCs w:val="16"/>
              </w:rPr>
              <w:t>:</w:t>
            </w:r>
          </w:p>
          <w:p w:rsidR="007C62B7" w:rsidRDefault="007C62B7" w:rsidP="00FD7155">
            <w:pPr>
              <w:rPr>
                <w:rFonts w:cs="Arial"/>
                <w:i/>
                <w:color w:val="002060"/>
                <w:sz w:val="16"/>
                <w:szCs w:val="16"/>
              </w:rPr>
            </w:pPr>
            <w:r w:rsidRPr="00170242">
              <w:rPr>
                <w:rFonts w:cs="Arial"/>
                <w:sz w:val="16"/>
                <w:szCs w:val="16"/>
              </w:rPr>
              <w:t>Draft Reference Document on the Protection of Country Names Against Registration and Use of Trademarks</w:t>
            </w:r>
          </w:p>
        </w:tc>
        <w:tc>
          <w:tcPr>
            <w:tcW w:w="694" w:type="pct"/>
            <w:gridSpan w:val="2"/>
            <w:shd w:val="clear" w:color="auto" w:fill="auto"/>
            <w:tcMar>
              <w:top w:w="110" w:type="dxa"/>
            </w:tcMar>
          </w:tcPr>
          <w:p w:rsidR="007C62B7" w:rsidRPr="00170242" w:rsidRDefault="007C62B7" w:rsidP="00FD7155">
            <w:pPr>
              <w:autoSpaceDE w:val="0"/>
              <w:autoSpaceDN w:val="0"/>
              <w:adjustRightInd w:val="0"/>
              <w:rPr>
                <w:rFonts w:cs="Arial"/>
                <w:sz w:val="16"/>
                <w:szCs w:val="16"/>
              </w:rPr>
            </w:pPr>
            <w:r w:rsidRPr="00170242">
              <w:rPr>
                <w:rFonts w:cs="Arial"/>
                <w:sz w:val="16"/>
                <w:szCs w:val="16"/>
              </w:rPr>
              <w:t>SCT agreed outcomes</w:t>
            </w:r>
          </w:p>
        </w:tc>
        <w:tc>
          <w:tcPr>
            <w:tcW w:w="1248" w:type="pct"/>
            <w:gridSpan w:val="2"/>
            <w:shd w:val="clear" w:color="auto" w:fill="auto"/>
            <w:tcMar>
              <w:top w:w="110" w:type="dxa"/>
            </w:tcMar>
          </w:tcPr>
          <w:p w:rsidR="007C62B7" w:rsidRDefault="007C62B7" w:rsidP="00FD7155">
            <w:pPr>
              <w:rPr>
                <w:rFonts w:cs="Arial"/>
                <w:sz w:val="16"/>
                <w:szCs w:val="16"/>
              </w:rPr>
            </w:pPr>
            <w:r>
              <w:rPr>
                <w:rFonts w:cs="Arial"/>
                <w:sz w:val="16"/>
                <w:szCs w:val="16"/>
              </w:rPr>
              <w:t>SCT agreement on the continuation of work on the protection of country names.</w:t>
            </w:r>
          </w:p>
          <w:p w:rsidR="007C62B7" w:rsidRDefault="007C62B7" w:rsidP="00FD7155">
            <w:pPr>
              <w:rPr>
                <w:rFonts w:cs="Arial"/>
                <w:sz w:val="16"/>
                <w:szCs w:val="16"/>
              </w:rPr>
            </w:pPr>
          </w:p>
          <w:p w:rsidR="007C62B7" w:rsidRPr="00170242" w:rsidRDefault="007C62B7" w:rsidP="00FD7155">
            <w:pPr>
              <w:rPr>
                <w:rFonts w:cs="Arial"/>
                <w:sz w:val="16"/>
                <w:szCs w:val="16"/>
              </w:rPr>
            </w:pPr>
            <w:r>
              <w:rPr>
                <w:rFonts w:cs="Arial"/>
                <w:sz w:val="16"/>
                <w:szCs w:val="16"/>
              </w:rPr>
              <w:t xml:space="preserve">In 2014, work continued </w:t>
            </w:r>
            <w:r w:rsidRPr="00972FA8">
              <w:rPr>
                <w:rFonts w:cs="Arial"/>
                <w:sz w:val="16"/>
                <w:szCs w:val="16"/>
              </w:rPr>
              <w:t>on the protection of country names</w:t>
            </w:r>
            <w:r>
              <w:rPr>
                <w:rFonts w:cs="Arial"/>
                <w:sz w:val="16"/>
                <w:szCs w:val="16"/>
              </w:rPr>
              <w:t>,</w:t>
            </w:r>
            <w:r w:rsidRPr="00972FA8">
              <w:rPr>
                <w:rFonts w:cs="Arial"/>
                <w:sz w:val="16"/>
                <w:szCs w:val="16"/>
              </w:rPr>
              <w:t xml:space="preserve"> and </w:t>
            </w:r>
            <w:r>
              <w:rPr>
                <w:rFonts w:cs="Arial"/>
                <w:sz w:val="16"/>
                <w:szCs w:val="16"/>
              </w:rPr>
              <w:t xml:space="preserve"> </w:t>
            </w:r>
            <w:r w:rsidRPr="00972FA8">
              <w:rPr>
                <w:rFonts w:cs="Arial"/>
                <w:sz w:val="16"/>
                <w:szCs w:val="16"/>
              </w:rPr>
              <w:t>a study prepared by the Secretariat, as well as a proposal by the Delegation of Jamaica</w:t>
            </w:r>
            <w:r>
              <w:rPr>
                <w:rFonts w:cs="Arial"/>
                <w:sz w:val="16"/>
                <w:szCs w:val="16"/>
              </w:rPr>
              <w:t xml:space="preserve">, were </w:t>
            </w:r>
            <w:r w:rsidRPr="00972FA8">
              <w:rPr>
                <w:rFonts w:cs="Arial"/>
                <w:sz w:val="16"/>
                <w:szCs w:val="16"/>
              </w:rPr>
              <w:t>considered</w:t>
            </w:r>
            <w:r>
              <w:rPr>
                <w:rFonts w:cs="Arial"/>
                <w:sz w:val="16"/>
                <w:szCs w:val="16"/>
              </w:rPr>
              <w:t xml:space="preserve"> during the two </w:t>
            </w:r>
            <w:r w:rsidRPr="00170242">
              <w:rPr>
                <w:rFonts w:cs="Arial"/>
                <w:sz w:val="16"/>
                <w:szCs w:val="16"/>
              </w:rPr>
              <w:t xml:space="preserve"> SCT sessions (SCT/31 and</w:t>
            </w:r>
            <w:r>
              <w:rPr>
                <w:rFonts w:cs="Arial"/>
                <w:sz w:val="16"/>
                <w:szCs w:val="16"/>
              </w:rPr>
              <w:t> </w:t>
            </w:r>
            <w:r w:rsidRPr="00170242">
              <w:rPr>
                <w:rFonts w:cs="Arial"/>
                <w:sz w:val="16"/>
                <w:szCs w:val="16"/>
              </w:rPr>
              <w:t>32)</w:t>
            </w:r>
            <w:r>
              <w:rPr>
                <w:rFonts w:cs="Arial"/>
                <w:sz w:val="16"/>
                <w:szCs w:val="16"/>
              </w:rPr>
              <w:t xml:space="preserve">.  </w:t>
            </w:r>
          </w:p>
        </w:tc>
        <w:tc>
          <w:tcPr>
            <w:tcW w:w="482" w:type="pct"/>
            <w:shd w:val="clear" w:color="auto" w:fill="auto"/>
            <w:tcMar>
              <w:top w:w="110" w:type="dxa"/>
            </w:tcMar>
          </w:tcPr>
          <w:p w:rsidR="007C62B7" w:rsidRPr="00170242" w:rsidRDefault="007C62B7" w:rsidP="00FD7155">
            <w:pPr>
              <w:keepNext/>
              <w:keepLines/>
              <w:jc w:val="center"/>
              <w:rPr>
                <w:rFonts w:cs="Arial"/>
                <w:bCs/>
                <w:color w:val="808080"/>
                <w:sz w:val="16"/>
                <w:szCs w:val="16"/>
              </w:rPr>
            </w:pPr>
            <w:r w:rsidRPr="00612FF9">
              <w:rPr>
                <w:rFonts w:cs="Arial"/>
                <w:b/>
                <w:bCs/>
                <w:color w:val="00B050"/>
                <w:sz w:val="16"/>
                <w:szCs w:val="16"/>
              </w:rPr>
              <w:t>On track</w:t>
            </w:r>
          </w:p>
        </w:tc>
      </w:tr>
      <w:tr w:rsidR="007C62B7" w:rsidRPr="001A1334" w:rsidTr="00FD7155">
        <w:trPr>
          <w:cantSplit/>
        </w:trPr>
        <w:tc>
          <w:tcPr>
            <w:tcW w:w="1136" w:type="pct"/>
            <w:shd w:val="clear" w:color="auto" w:fill="auto"/>
          </w:tcPr>
          <w:p w:rsidR="007C62B7" w:rsidRPr="00170242" w:rsidRDefault="007C62B7" w:rsidP="00FD7155">
            <w:pPr>
              <w:rPr>
                <w:rFonts w:cs="Arial"/>
                <w:sz w:val="16"/>
                <w:szCs w:val="16"/>
              </w:rPr>
            </w:pPr>
            <w:r w:rsidRPr="00170242">
              <w:rPr>
                <w:rFonts w:cs="Arial"/>
                <w:sz w:val="16"/>
                <w:szCs w:val="16"/>
              </w:rPr>
              <w:t>No. of ratifications/accessions to the Singapore Treaty</w:t>
            </w:r>
          </w:p>
        </w:tc>
        <w:tc>
          <w:tcPr>
            <w:tcW w:w="1440" w:type="pct"/>
            <w:gridSpan w:val="2"/>
            <w:shd w:val="clear" w:color="auto" w:fill="auto"/>
          </w:tcPr>
          <w:p w:rsidR="007C62B7" w:rsidRPr="001A1334" w:rsidRDefault="007C62B7" w:rsidP="00FD7155">
            <w:pPr>
              <w:rPr>
                <w:rFonts w:cs="Arial"/>
                <w:i/>
                <w:color w:val="002060"/>
                <w:sz w:val="16"/>
                <w:szCs w:val="16"/>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r w:rsidRPr="0052430B">
              <w:rPr>
                <w:rFonts w:cs="Arial"/>
                <w:color w:val="002060"/>
                <w:sz w:val="16"/>
                <w:szCs w:val="16"/>
                <w:lang w:bidi="th-TH"/>
              </w:rPr>
              <w:t>31 Contracting Parties (end 2013</w:t>
            </w:r>
          </w:p>
          <w:p w:rsidR="007C62B7" w:rsidRPr="001A1334" w:rsidRDefault="007C62B7" w:rsidP="00FD7155">
            <w:pPr>
              <w:rPr>
                <w:rFonts w:cs="Arial"/>
                <w:i/>
                <w:sz w:val="8"/>
                <w:szCs w:val="8"/>
              </w:rPr>
            </w:pPr>
          </w:p>
          <w:p w:rsidR="007C62B7" w:rsidRPr="001A1334" w:rsidRDefault="007C62B7" w:rsidP="00FD7155">
            <w:pPr>
              <w:rPr>
                <w:rFonts w:cs="Arial"/>
                <w:sz w:val="16"/>
                <w:szCs w:val="16"/>
              </w:rPr>
            </w:pPr>
            <w:r>
              <w:rPr>
                <w:rFonts w:cs="Arial"/>
                <w:i/>
                <w:sz w:val="16"/>
                <w:szCs w:val="16"/>
              </w:rPr>
              <w:t>Original Baseline P&amp;B 2014/15</w:t>
            </w:r>
            <w:r w:rsidRPr="001A1334">
              <w:rPr>
                <w:rFonts w:cs="Arial"/>
                <w:i/>
                <w:sz w:val="16"/>
                <w:szCs w:val="16"/>
              </w:rPr>
              <w:t>:</w:t>
            </w:r>
          </w:p>
          <w:p w:rsidR="007C62B7" w:rsidRDefault="007C62B7" w:rsidP="00FD7155">
            <w:pPr>
              <w:rPr>
                <w:rFonts w:cs="Arial"/>
                <w:i/>
                <w:color w:val="002060"/>
                <w:sz w:val="16"/>
                <w:szCs w:val="16"/>
              </w:rPr>
            </w:pPr>
            <w:r w:rsidRPr="0052430B">
              <w:rPr>
                <w:rFonts w:cs="Arial"/>
                <w:sz w:val="16"/>
                <w:szCs w:val="16"/>
              </w:rPr>
              <w:t>29 Contracting Parties (end 2012)</w:t>
            </w:r>
          </w:p>
        </w:tc>
        <w:tc>
          <w:tcPr>
            <w:tcW w:w="694" w:type="pct"/>
            <w:gridSpan w:val="2"/>
            <w:shd w:val="clear" w:color="auto" w:fill="auto"/>
            <w:tcMar>
              <w:top w:w="110" w:type="dxa"/>
            </w:tcMar>
          </w:tcPr>
          <w:p w:rsidR="007C62B7" w:rsidRPr="00170242" w:rsidRDefault="007C62B7" w:rsidP="00FD7155">
            <w:pPr>
              <w:autoSpaceDE w:val="0"/>
              <w:autoSpaceDN w:val="0"/>
              <w:adjustRightInd w:val="0"/>
              <w:rPr>
                <w:rFonts w:cs="Arial"/>
                <w:sz w:val="16"/>
                <w:szCs w:val="16"/>
              </w:rPr>
            </w:pPr>
            <w:r w:rsidRPr="0052430B">
              <w:rPr>
                <w:rFonts w:cs="Arial"/>
                <w:sz w:val="16"/>
                <w:szCs w:val="16"/>
              </w:rPr>
              <w:t>Eight new ratifications/accessions</w:t>
            </w:r>
          </w:p>
        </w:tc>
        <w:tc>
          <w:tcPr>
            <w:tcW w:w="1248" w:type="pct"/>
            <w:gridSpan w:val="2"/>
            <w:shd w:val="clear" w:color="auto" w:fill="auto"/>
            <w:tcMar>
              <w:top w:w="110" w:type="dxa"/>
            </w:tcMar>
          </w:tcPr>
          <w:p w:rsidR="007C62B7" w:rsidRPr="00170242" w:rsidRDefault="007C62B7" w:rsidP="00FD7155">
            <w:pPr>
              <w:rPr>
                <w:rFonts w:cs="Arial"/>
                <w:sz w:val="16"/>
                <w:szCs w:val="16"/>
              </w:rPr>
            </w:pPr>
            <w:r w:rsidRPr="0052430B">
              <w:rPr>
                <w:rFonts w:cs="Arial"/>
                <w:sz w:val="16"/>
                <w:szCs w:val="16"/>
              </w:rPr>
              <w:t>Seven new Contracting Parties in 2014</w:t>
            </w:r>
            <w:r>
              <w:rPr>
                <w:rFonts w:cs="Arial"/>
                <w:sz w:val="16"/>
                <w:szCs w:val="16"/>
              </w:rPr>
              <w:t xml:space="preserve">: Belarus, Belgium, </w:t>
            </w:r>
            <w:r w:rsidRPr="00BF7310">
              <w:rPr>
                <w:rFonts w:cs="Arial"/>
                <w:sz w:val="16"/>
                <w:szCs w:val="16"/>
              </w:rPr>
              <w:t>Benelux Organization for Intellectual Property (BOIP)</w:t>
            </w:r>
            <w:r>
              <w:rPr>
                <w:rFonts w:cs="Arial"/>
                <w:sz w:val="16"/>
                <w:szCs w:val="16"/>
              </w:rPr>
              <w:t>, Iraq, Luxembourg, Netherlands and Tajikistan, which brings the total number of Contracting Parties to 38 at the end of 2014.</w:t>
            </w:r>
          </w:p>
        </w:tc>
        <w:tc>
          <w:tcPr>
            <w:tcW w:w="482" w:type="pct"/>
            <w:shd w:val="clear" w:color="auto" w:fill="auto"/>
            <w:tcMar>
              <w:top w:w="110" w:type="dxa"/>
            </w:tcMar>
          </w:tcPr>
          <w:p w:rsidR="007C62B7" w:rsidRPr="00D92815" w:rsidRDefault="007C62B7" w:rsidP="00FD7155">
            <w:pPr>
              <w:keepNext/>
              <w:keepLines/>
              <w:jc w:val="center"/>
              <w:rPr>
                <w:rFonts w:cs="Arial"/>
                <w:b/>
                <w:bCs/>
                <w:color w:val="00B050"/>
                <w:sz w:val="16"/>
                <w:szCs w:val="16"/>
              </w:rPr>
            </w:pPr>
            <w:r w:rsidRPr="00FF3918">
              <w:rPr>
                <w:rFonts w:cs="Arial"/>
                <w:b/>
                <w:bCs/>
                <w:color w:val="00B050"/>
                <w:sz w:val="16"/>
                <w:szCs w:val="16"/>
              </w:rPr>
              <w:t>On track</w:t>
            </w:r>
          </w:p>
        </w:tc>
      </w:tr>
      <w:tr w:rsidR="007C62B7" w:rsidRPr="001A1334" w:rsidTr="00FD7155">
        <w:trPr>
          <w:cantSplit/>
          <w:trHeight w:val="423"/>
        </w:trPr>
        <w:tc>
          <w:tcPr>
            <w:tcW w:w="5000" w:type="pct"/>
            <w:gridSpan w:val="8"/>
            <w:tcBorders>
              <w:top w:val="single" w:sz="4" w:space="0" w:color="auto"/>
              <w:bottom w:val="single" w:sz="4" w:space="0" w:color="auto"/>
            </w:tcBorders>
            <w:shd w:val="clear" w:color="auto" w:fill="CCFFFF"/>
            <w:vAlign w:val="center"/>
          </w:tcPr>
          <w:p w:rsidR="007C62B7" w:rsidRPr="001A1334" w:rsidRDefault="007C62B7" w:rsidP="00FD7155">
            <w:pPr>
              <w:keepNext/>
              <w:keepLines/>
              <w:tabs>
                <w:tab w:val="left" w:pos="1452"/>
              </w:tabs>
              <w:ind w:left="1452" w:hanging="1452"/>
              <w:rPr>
                <w:rFonts w:cs="Arial"/>
                <w:b/>
                <w:bCs/>
                <w:sz w:val="16"/>
                <w:szCs w:val="16"/>
              </w:rPr>
            </w:pPr>
            <w:r w:rsidRPr="001A1334">
              <w:rPr>
                <w:rFonts w:cs="Arial"/>
                <w:b/>
                <w:bCs/>
                <w:sz w:val="16"/>
                <w:szCs w:val="16"/>
              </w:rPr>
              <w:t>Expected Result:</w:t>
            </w:r>
            <w:r w:rsidRPr="001A1334">
              <w:rPr>
                <w:rFonts w:cs="Arial"/>
                <w:b/>
                <w:bCs/>
                <w:sz w:val="16"/>
                <w:szCs w:val="16"/>
              </w:rPr>
              <w:tab/>
            </w:r>
            <w:r w:rsidRPr="00D92815">
              <w:rPr>
                <w:rFonts w:cs="Arial"/>
                <w:bCs/>
                <w:sz w:val="16"/>
                <w:szCs w:val="16"/>
              </w:rPr>
              <w:t xml:space="preserve">I.2 </w:t>
            </w:r>
            <w:r w:rsidRPr="00ED1F4E">
              <w:rPr>
                <w:rFonts w:cs="Arial"/>
                <w:color w:val="000000"/>
                <w:sz w:val="16"/>
                <w:szCs w:val="16"/>
              </w:rPr>
              <w:t>Tailored</w:t>
            </w:r>
            <w:r w:rsidRPr="0052430B">
              <w:rPr>
                <w:rFonts w:cs="Arial"/>
                <w:color w:val="000000"/>
                <w:sz w:val="16"/>
                <w:szCs w:val="16"/>
              </w:rPr>
              <w:t xml:space="preserve"> and balanced IP legislative, regulatory and policy frameworks</w:t>
            </w:r>
          </w:p>
        </w:tc>
      </w:tr>
      <w:tr w:rsidR="007C62B7" w:rsidRPr="001A1334" w:rsidTr="00FD7155">
        <w:trPr>
          <w:cantSplit/>
        </w:trPr>
        <w:tc>
          <w:tcPr>
            <w:tcW w:w="1136" w:type="pct"/>
            <w:tcBorders>
              <w:top w:val="single" w:sz="4" w:space="0" w:color="auto"/>
            </w:tcBorders>
            <w:shd w:val="clear" w:color="auto" w:fill="auto"/>
            <w:vAlign w:val="center"/>
          </w:tcPr>
          <w:p w:rsidR="007C62B7" w:rsidRPr="001A1334" w:rsidRDefault="007C62B7" w:rsidP="00FD7155">
            <w:pPr>
              <w:rPr>
                <w:rFonts w:cs="Arial"/>
                <w:sz w:val="16"/>
                <w:szCs w:val="16"/>
              </w:rPr>
            </w:pPr>
            <w:r w:rsidRPr="001A1334">
              <w:rPr>
                <w:rFonts w:cs="Arial"/>
                <w:b/>
                <w:bCs/>
                <w:sz w:val="16"/>
                <w:szCs w:val="16"/>
              </w:rPr>
              <w:t>Performance Indicators</w:t>
            </w:r>
          </w:p>
        </w:tc>
        <w:tc>
          <w:tcPr>
            <w:tcW w:w="1440" w:type="pct"/>
            <w:gridSpan w:val="2"/>
            <w:tcBorders>
              <w:top w:val="single" w:sz="4" w:space="0" w:color="auto"/>
            </w:tcBorders>
            <w:shd w:val="clear" w:color="auto" w:fill="auto"/>
            <w:vAlign w:val="center"/>
          </w:tcPr>
          <w:p w:rsidR="007C62B7" w:rsidRPr="001A1334" w:rsidRDefault="007C62B7" w:rsidP="00FD7155">
            <w:pPr>
              <w:rPr>
                <w:rFonts w:cs="Arial"/>
                <w:b/>
                <w:bCs/>
                <w:sz w:val="16"/>
                <w:szCs w:val="16"/>
              </w:rPr>
            </w:pPr>
            <w:r w:rsidRPr="001A1334">
              <w:rPr>
                <w:rFonts w:cs="Arial"/>
                <w:b/>
                <w:bCs/>
                <w:sz w:val="16"/>
                <w:szCs w:val="16"/>
              </w:rPr>
              <w:t>Baselines</w:t>
            </w:r>
          </w:p>
        </w:tc>
        <w:tc>
          <w:tcPr>
            <w:tcW w:w="683" w:type="pct"/>
            <w:tcBorders>
              <w:top w:val="single" w:sz="4" w:space="0" w:color="auto"/>
            </w:tcBorders>
            <w:shd w:val="clear" w:color="auto" w:fill="auto"/>
            <w:tcMar>
              <w:top w:w="110" w:type="dxa"/>
            </w:tcMar>
            <w:vAlign w:val="center"/>
          </w:tcPr>
          <w:p w:rsidR="007C62B7" w:rsidRPr="001A1334" w:rsidRDefault="007C62B7" w:rsidP="00FD7155">
            <w:pPr>
              <w:rPr>
                <w:rFonts w:cs="Arial"/>
                <w:b/>
                <w:sz w:val="16"/>
                <w:szCs w:val="16"/>
              </w:rPr>
            </w:pPr>
            <w:r w:rsidRPr="001A1334">
              <w:rPr>
                <w:rFonts w:cs="Arial"/>
                <w:b/>
                <w:sz w:val="16"/>
                <w:szCs w:val="16"/>
              </w:rPr>
              <w:t>Targets</w:t>
            </w:r>
          </w:p>
        </w:tc>
        <w:tc>
          <w:tcPr>
            <w:tcW w:w="1258" w:type="pct"/>
            <w:gridSpan w:val="3"/>
            <w:tcBorders>
              <w:top w:val="single" w:sz="4" w:space="0" w:color="auto"/>
            </w:tcBorders>
            <w:shd w:val="clear" w:color="auto" w:fill="auto"/>
            <w:tcMar>
              <w:top w:w="110" w:type="dxa"/>
            </w:tcMar>
            <w:vAlign w:val="center"/>
          </w:tcPr>
          <w:p w:rsidR="007C62B7" w:rsidRPr="001A1334" w:rsidRDefault="007C62B7" w:rsidP="00FD7155">
            <w:pPr>
              <w:rPr>
                <w:rFonts w:cs="Arial"/>
                <w:sz w:val="16"/>
                <w:szCs w:val="16"/>
              </w:rPr>
            </w:pPr>
            <w:r w:rsidRPr="001A1334">
              <w:rPr>
                <w:rFonts w:cs="Arial"/>
                <w:b/>
                <w:bCs/>
                <w:sz w:val="16"/>
                <w:szCs w:val="16"/>
              </w:rPr>
              <w:t>Performance Data</w:t>
            </w:r>
          </w:p>
        </w:tc>
        <w:tc>
          <w:tcPr>
            <w:tcW w:w="483" w:type="pct"/>
            <w:tcBorders>
              <w:top w:val="single" w:sz="4" w:space="0" w:color="auto"/>
            </w:tcBorders>
            <w:shd w:val="clear" w:color="auto" w:fill="auto"/>
            <w:tcMar>
              <w:top w:w="110" w:type="dxa"/>
            </w:tcMar>
            <w:vAlign w:val="center"/>
          </w:tcPr>
          <w:p w:rsidR="007C62B7" w:rsidRPr="001A1334" w:rsidRDefault="007C62B7" w:rsidP="00FD7155">
            <w:pPr>
              <w:jc w:val="center"/>
              <w:rPr>
                <w:rFonts w:cs="Arial"/>
                <w:b/>
                <w:bCs/>
                <w:sz w:val="16"/>
                <w:szCs w:val="16"/>
              </w:rPr>
            </w:pPr>
            <w:r w:rsidRPr="001A1334">
              <w:rPr>
                <w:rFonts w:cs="Arial"/>
                <w:b/>
                <w:bCs/>
                <w:sz w:val="16"/>
                <w:szCs w:val="16"/>
              </w:rPr>
              <w:t>TLS</w:t>
            </w:r>
          </w:p>
        </w:tc>
      </w:tr>
      <w:tr w:rsidR="007C62B7" w:rsidRPr="001A1334" w:rsidTr="00FD7155">
        <w:trPr>
          <w:cantSplit/>
        </w:trPr>
        <w:tc>
          <w:tcPr>
            <w:tcW w:w="1136" w:type="pct"/>
            <w:shd w:val="clear" w:color="auto" w:fill="auto"/>
          </w:tcPr>
          <w:p w:rsidR="007C62B7" w:rsidRPr="001A1334" w:rsidRDefault="007C62B7" w:rsidP="00FD7155">
            <w:pPr>
              <w:rPr>
                <w:rFonts w:cs="Arial"/>
                <w:sz w:val="16"/>
                <w:szCs w:val="16"/>
                <w:lang w:bidi="th-TH"/>
              </w:rPr>
            </w:pPr>
            <w:r w:rsidRPr="0052430B">
              <w:rPr>
                <w:rFonts w:cs="Arial"/>
                <w:sz w:val="16"/>
                <w:szCs w:val="16"/>
                <w:lang w:bidi="th-TH"/>
              </w:rPr>
              <w:t>No. and % of Member States/regional organizations providing positive feedback on the legislative advice offered in the area of trademarks, industrial designs and geographical indications</w:t>
            </w:r>
          </w:p>
        </w:tc>
        <w:tc>
          <w:tcPr>
            <w:tcW w:w="1440" w:type="pct"/>
            <w:gridSpan w:val="2"/>
            <w:shd w:val="clear" w:color="auto" w:fill="auto"/>
          </w:tcPr>
          <w:p w:rsidR="007C62B7" w:rsidRPr="00C94F44" w:rsidRDefault="007C62B7" w:rsidP="00FD7155">
            <w:pPr>
              <w:rPr>
                <w:rFonts w:cs="Arial"/>
                <w:color w:val="002060"/>
                <w:sz w:val="16"/>
                <w:szCs w:val="16"/>
                <w:lang w:bidi="th-TH"/>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p>
          <w:p w:rsidR="007C62B7" w:rsidRPr="00C94F44" w:rsidRDefault="007C62B7" w:rsidP="00FD7155">
            <w:pPr>
              <w:rPr>
                <w:rFonts w:cs="Arial"/>
                <w:color w:val="002060"/>
                <w:sz w:val="16"/>
                <w:szCs w:val="16"/>
                <w:lang w:bidi="th-TH"/>
              </w:rPr>
            </w:pPr>
          </w:p>
          <w:p w:rsidR="007C62B7" w:rsidRDefault="007C62B7" w:rsidP="00FD7155">
            <w:pPr>
              <w:rPr>
                <w:rFonts w:cs="Arial"/>
                <w:color w:val="002060"/>
                <w:sz w:val="16"/>
                <w:szCs w:val="16"/>
                <w:lang w:bidi="th-TH"/>
              </w:rPr>
            </w:pPr>
            <w:r w:rsidRPr="00C94F44">
              <w:rPr>
                <w:rFonts w:cs="Arial"/>
                <w:color w:val="002060"/>
                <w:sz w:val="16"/>
                <w:szCs w:val="16"/>
                <w:lang w:bidi="th-TH"/>
              </w:rPr>
              <w:t xml:space="preserve">2013:  Advice was provided to 13 Member States on 18 individual pieces of draft legislation </w:t>
            </w:r>
          </w:p>
          <w:p w:rsidR="007C62B7" w:rsidRPr="00C94F44" w:rsidRDefault="007C62B7" w:rsidP="00FD7155">
            <w:pPr>
              <w:rPr>
                <w:rFonts w:cs="Arial"/>
                <w:color w:val="002060"/>
                <w:sz w:val="16"/>
                <w:szCs w:val="16"/>
                <w:lang w:bidi="th-TH"/>
              </w:rPr>
            </w:pPr>
          </w:p>
          <w:p w:rsidR="007C62B7" w:rsidRPr="001A1334" w:rsidRDefault="007C62B7" w:rsidP="00FD7155">
            <w:pPr>
              <w:rPr>
                <w:rFonts w:cs="Arial"/>
                <w:i/>
                <w:color w:val="002060"/>
                <w:sz w:val="16"/>
                <w:szCs w:val="16"/>
              </w:rPr>
            </w:pPr>
            <w:r w:rsidRPr="00C94F44">
              <w:rPr>
                <w:rFonts w:cs="Arial"/>
                <w:color w:val="002060"/>
                <w:sz w:val="16"/>
                <w:szCs w:val="16"/>
                <w:lang w:bidi="th-TH"/>
              </w:rPr>
              <w:t>Positive feedback received from nine out of 13 countries.  Four countries did not reply.</w:t>
            </w:r>
            <w:r w:rsidRPr="00C94F44" w:rsidDel="00C94F44">
              <w:rPr>
                <w:rFonts w:cs="Arial"/>
                <w:color w:val="002060"/>
                <w:sz w:val="16"/>
                <w:szCs w:val="16"/>
                <w:lang w:bidi="th-TH"/>
              </w:rPr>
              <w:t xml:space="preserve"> </w:t>
            </w:r>
          </w:p>
          <w:p w:rsidR="007C62B7" w:rsidRPr="001A1334" w:rsidRDefault="007C62B7" w:rsidP="00FD7155">
            <w:pPr>
              <w:rPr>
                <w:rFonts w:cs="Arial"/>
                <w:i/>
                <w:sz w:val="8"/>
                <w:szCs w:val="8"/>
              </w:rPr>
            </w:pPr>
          </w:p>
          <w:p w:rsidR="007C62B7" w:rsidRPr="001A1334" w:rsidRDefault="007C62B7" w:rsidP="00FD7155">
            <w:pPr>
              <w:rPr>
                <w:rFonts w:cs="Arial"/>
                <w:sz w:val="16"/>
                <w:szCs w:val="16"/>
              </w:rPr>
            </w:pPr>
            <w:r>
              <w:rPr>
                <w:rFonts w:cs="Arial"/>
                <w:i/>
                <w:sz w:val="16"/>
                <w:szCs w:val="16"/>
              </w:rPr>
              <w:t>Original Baseline P&amp;B 2014/15</w:t>
            </w:r>
            <w:r w:rsidRPr="001A1334">
              <w:rPr>
                <w:rFonts w:cs="Arial"/>
                <w:i/>
                <w:sz w:val="16"/>
                <w:szCs w:val="16"/>
              </w:rPr>
              <w:t>:</w:t>
            </w:r>
          </w:p>
          <w:p w:rsidR="007C62B7" w:rsidRDefault="007C62B7" w:rsidP="00FD7155">
            <w:pPr>
              <w:rPr>
                <w:rFonts w:cs="Arial"/>
                <w:sz w:val="16"/>
                <w:szCs w:val="16"/>
              </w:rPr>
            </w:pPr>
            <w:r w:rsidRPr="0052430B">
              <w:rPr>
                <w:rFonts w:cs="Arial"/>
                <w:sz w:val="16"/>
                <w:szCs w:val="16"/>
              </w:rPr>
              <w:t>11 Member States/regional organizations received legislative advice out of which three provided positive feedback on legislative advice received in 2012</w:t>
            </w:r>
          </w:p>
          <w:p w:rsidR="007C62B7" w:rsidRPr="001A1334" w:rsidRDefault="007C62B7" w:rsidP="00FD7155">
            <w:pPr>
              <w:rPr>
                <w:rFonts w:cs="Arial"/>
                <w:sz w:val="16"/>
                <w:szCs w:val="16"/>
              </w:rPr>
            </w:pPr>
          </w:p>
        </w:tc>
        <w:tc>
          <w:tcPr>
            <w:tcW w:w="683" w:type="pct"/>
            <w:shd w:val="clear" w:color="auto" w:fill="auto"/>
            <w:tcMar>
              <w:top w:w="110" w:type="dxa"/>
            </w:tcMar>
          </w:tcPr>
          <w:p w:rsidR="007C62B7" w:rsidRPr="00483CBD" w:rsidRDefault="007C62B7" w:rsidP="00FD7155">
            <w:pPr>
              <w:autoSpaceDE w:val="0"/>
              <w:autoSpaceDN w:val="0"/>
              <w:adjustRightInd w:val="0"/>
              <w:rPr>
                <w:rFonts w:cs="Arial"/>
                <w:sz w:val="16"/>
                <w:szCs w:val="16"/>
              </w:rPr>
            </w:pPr>
            <w:r w:rsidRPr="0052430B">
              <w:rPr>
                <w:rFonts w:cs="Arial"/>
                <w:sz w:val="16"/>
                <w:szCs w:val="16"/>
              </w:rPr>
              <w:t>Legislative advice provided to 10 Member States/regional organizations. 90% of respondents satisfied with the advice offered</w:t>
            </w:r>
          </w:p>
        </w:tc>
        <w:tc>
          <w:tcPr>
            <w:tcW w:w="1258" w:type="pct"/>
            <w:gridSpan w:val="3"/>
            <w:shd w:val="clear" w:color="auto" w:fill="auto"/>
            <w:tcMar>
              <w:top w:w="110" w:type="dxa"/>
            </w:tcMar>
          </w:tcPr>
          <w:p w:rsidR="007C62B7" w:rsidRPr="00612FF9" w:rsidRDefault="007C62B7" w:rsidP="00FD7155">
            <w:pPr>
              <w:rPr>
                <w:rFonts w:cs="Arial"/>
                <w:sz w:val="16"/>
                <w:szCs w:val="16"/>
                <w:lang w:bidi="th-TH"/>
              </w:rPr>
            </w:pPr>
            <w:r>
              <w:rPr>
                <w:rFonts w:cs="Arial"/>
                <w:sz w:val="16"/>
                <w:szCs w:val="16"/>
                <w:lang w:bidi="th-TH"/>
              </w:rPr>
              <w:t xml:space="preserve">Advice was provided to </w:t>
            </w:r>
            <w:r w:rsidRPr="0052430B">
              <w:rPr>
                <w:rFonts w:cs="Arial"/>
                <w:sz w:val="16"/>
                <w:szCs w:val="16"/>
                <w:lang w:bidi="th-TH"/>
              </w:rPr>
              <w:t>20 Member States/Regional Organizations</w:t>
            </w:r>
            <w:r>
              <w:rPr>
                <w:rFonts w:cs="Arial"/>
                <w:sz w:val="16"/>
                <w:szCs w:val="16"/>
                <w:lang w:bidi="th-TH"/>
              </w:rPr>
              <w:t xml:space="preserve"> (Africa 7; Arab 1; Asia and the Pacific 11; Latin America and the Caribbean </w:t>
            </w:r>
            <w:r w:rsidRPr="00612FF9">
              <w:rPr>
                <w:rFonts w:cs="Arial"/>
                <w:sz w:val="16"/>
                <w:szCs w:val="16"/>
                <w:lang w:bidi="th-TH"/>
              </w:rPr>
              <w:t>1</w:t>
            </w:r>
            <w:r>
              <w:rPr>
                <w:rFonts w:cs="Arial"/>
                <w:sz w:val="16"/>
                <w:szCs w:val="16"/>
                <w:lang w:bidi="th-TH"/>
              </w:rPr>
              <w:t>)</w:t>
            </w:r>
          </w:p>
          <w:p w:rsidR="007C62B7" w:rsidRDefault="007C62B7" w:rsidP="00FD7155">
            <w:pPr>
              <w:rPr>
                <w:rFonts w:cs="Arial"/>
                <w:sz w:val="16"/>
                <w:szCs w:val="16"/>
                <w:lang w:bidi="th-TH"/>
              </w:rPr>
            </w:pPr>
          </w:p>
          <w:p w:rsidR="007C62B7" w:rsidRPr="00483CBD" w:rsidRDefault="007C62B7" w:rsidP="00FD7155">
            <w:pPr>
              <w:rPr>
                <w:rFonts w:cs="Arial"/>
                <w:sz w:val="16"/>
                <w:szCs w:val="16"/>
                <w:lang w:bidi="th-TH"/>
              </w:rPr>
            </w:pPr>
            <w:r w:rsidRPr="00C260C3">
              <w:rPr>
                <w:rFonts w:cs="Arial"/>
                <w:sz w:val="16"/>
                <w:szCs w:val="16"/>
                <w:lang w:bidi="th-TH"/>
              </w:rPr>
              <w:t>Feedback was received from seven respondents, all of whom (100%) reported satisfaction with the advice offered.</w:t>
            </w:r>
          </w:p>
        </w:tc>
        <w:tc>
          <w:tcPr>
            <w:tcW w:w="483" w:type="pct"/>
            <w:shd w:val="clear" w:color="auto" w:fill="auto"/>
            <w:tcMar>
              <w:top w:w="110" w:type="dxa"/>
            </w:tcMar>
          </w:tcPr>
          <w:p w:rsidR="007C62B7" w:rsidRPr="001A1334" w:rsidRDefault="007C62B7" w:rsidP="00FD7155">
            <w:pPr>
              <w:jc w:val="center"/>
              <w:rPr>
                <w:rFonts w:cs="Arial"/>
                <w:bCs/>
                <w:color w:val="008000"/>
                <w:sz w:val="16"/>
                <w:szCs w:val="16"/>
              </w:rPr>
            </w:pPr>
            <w:r w:rsidRPr="00FF3918">
              <w:rPr>
                <w:rFonts w:cs="Arial"/>
                <w:b/>
                <w:bCs/>
                <w:color w:val="00B050"/>
                <w:sz w:val="16"/>
                <w:szCs w:val="16"/>
              </w:rPr>
              <w:t>On track</w:t>
            </w:r>
          </w:p>
        </w:tc>
      </w:tr>
      <w:tr w:rsidR="007C62B7" w:rsidRPr="001A1334" w:rsidTr="00FD7155">
        <w:trPr>
          <w:cantSplit/>
          <w:trHeight w:val="485"/>
        </w:trPr>
        <w:tc>
          <w:tcPr>
            <w:tcW w:w="5000" w:type="pct"/>
            <w:gridSpan w:val="8"/>
            <w:tcBorders>
              <w:top w:val="single" w:sz="4" w:space="0" w:color="auto"/>
              <w:bottom w:val="single" w:sz="4" w:space="0" w:color="auto"/>
            </w:tcBorders>
            <w:shd w:val="clear" w:color="auto" w:fill="CCFFFF"/>
            <w:vAlign w:val="center"/>
          </w:tcPr>
          <w:p w:rsidR="007C62B7" w:rsidRPr="001A1334" w:rsidRDefault="007C62B7" w:rsidP="00FD7155">
            <w:pPr>
              <w:keepNext/>
              <w:keepLines/>
              <w:tabs>
                <w:tab w:val="left" w:pos="1452"/>
              </w:tabs>
              <w:ind w:left="1452" w:hanging="1452"/>
              <w:rPr>
                <w:rFonts w:cs="Arial"/>
                <w:b/>
                <w:bCs/>
                <w:sz w:val="16"/>
                <w:szCs w:val="16"/>
              </w:rPr>
            </w:pPr>
            <w:r w:rsidRPr="001A1334">
              <w:rPr>
                <w:rFonts w:cs="Arial"/>
                <w:b/>
                <w:bCs/>
                <w:sz w:val="16"/>
                <w:szCs w:val="16"/>
              </w:rPr>
              <w:t>Expected Result:</w:t>
            </w:r>
            <w:r w:rsidRPr="001A1334">
              <w:rPr>
                <w:rFonts w:cs="Arial"/>
                <w:b/>
                <w:bCs/>
                <w:sz w:val="16"/>
                <w:szCs w:val="16"/>
              </w:rPr>
              <w:tab/>
            </w:r>
            <w:r w:rsidRPr="00ED1F4E">
              <w:rPr>
                <w:rFonts w:cs="Arial"/>
                <w:bCs/>
                <w:sz w:val="16"/>
                <w:szCs w:val="16"/>
              </w:rPr>
              <w:t>I.3</w:t>
            </w:r>
            <w:r>
              <w:rPr>
                <w:rFonts w:cs="Arial"/>
                <w:b/>
                <w:bCs/>
                <w:sz w:val="16"/>
                <w:szCs w:val="16"/>
              </w:rPr>
              <w:t xml:space="preserve"> </w:t>
            </w:r>
            <w:r w:rsidRPr="0052430B">
              <w:rPr>
                <w:rFonts w:cs="Arial"/>
                <w:sz w:val="16"/>
                <w:szCs w:val="16"/>
              </w:rPr>
              <w:t xml:space="preserve">Increased protection of State emblems and names and emblems of International Intergovernmental </w:t>
            </w:r>
            <w:r>
              <w:rPr>
                <w:rFonts w:cs="Arial"/>
                <w:sz w:val="16"/>
                <w:szCs w:val="16"/>
              </w:rPr>
              <w:t xml:space="preserve">     </w:t>
            </w:r>
            <w:r w:rsidRPr="0052430B">
              <w:rPr>
                <w:rFonts w:cs="Arial"/>
                <w:sz w:val="16"/>
                <w:szCs w:val="16"/>
              </w:rPr>
              <w:t>Organizations</w:t>
            </w:r>
          </w:p>
        </w:tc>
      </w:tr>
      <w:tr w:rsidR="007C62B7" w:rsidRPr="001A1334" w:rsidTr="00FD7155">
        <w:trPr>
          <w:cantSplit/>
        </w:trPr>
        <w:tc>
          <w:tcPr>
            <w:tcW w:w="1136" w:type="pct"/>
            <w:tcBorders>
              <w:top w:val="single" w:sz="4" w:space="0" w:color="auto"/>
              <w:bottom w:val="nil"/>
            </w:tcBorders>
            <w:shd w:val="clear" w:color="auto" w:fill="auto"/>
            <w:vAlign w:val="center"/>
          </w:tcPr>
          <w:p w:rsidR="007C62B7" w:rsidRPr="001A1334" w:rsidRDefault="007C62B7" w:rsidP="00FD7155">
            <w:pPr>
              <w:keepNext/>
              <w:keepLines/>
              <w:rPr>
                <w:rFonts w:cs="Arial"/>
                <w:sz w:val="16"/>
                <w:szCs w:val="16"/>
              </w:rPr>
            </w:pPr>
            <w:r w:rsidRPr="001A1334">
              <w:rPr>
                <w:rFonts w:cs="Arial"/>
                <w:b/>
                <w:bCs/>
                <w:sz w:val="16"/>
                <w:szCs w:val="16"/>
              </w:rPr>
              <w:t>Performance Indicators</w:t>
            </w:r>
          </w:p>
        </w:tc>
        <w:tc>
          <w:tcPr>
            <w:tcW w:w="1424" w:type="pct"/>
            <w:tcBorders>
              <w:top w:val="single" w:sz="4" w:space="0" w:color="auto"/>
              <w:bottom w:val="nil"/>
            </w:tcBorders>
            <w:shd w:val="clear" w:color="auto" w:fill="auto"/>
            <w:vAlign w:val="center"/>
          </w:tcPr>
          <w:p w:rsidR="007C62B7" w:rsidRPr="001A1334" w:rsidRDefault="007C62B7" w:rsidP="00FD7155">
            <w:pPr>
              <w:keepNext/>
              <w:keepLines/>
              <w:rPr>
                <w:rFonts w:cs="Arial"/>
                <w:b/>
                <w:bCs/>
                <w:sz w:val="16"/>
                <w:szCs w:val="16"/>
              </w:rPr>
            </w:pPr>
            <w:r w:rsidRPr="001A1334">
              <w:rPr>
                <w:rFonts w:cs="Arial"/>
                <w:b/>
                <w:bCs/>
                <w:sz w:val="16"/>
                <w:szCs w:val="16"/>
              </w:rPr>
              <w:t>Baselines</w:t>
            </w:r>
          </w:p>
        </w:tc>
        <w:tc>
          <w:tcPr>
            <w:tcW w:w="699" w:type="pct"/>
            <w:gridSpan w:val="2"/>
            <w:tcBorders>
              <w:top w:val="single" w:sz="4" w:space="0" w:color="auto"/>
              <w:bottom w:val="nil"/>
            </w:tcBorders>
            <w:shd w:val="clear" w:color="auto" w:fill="auto"/>
            <w:tcMar>
              <w:top w:w="110" w:type="dxa"/>
            </w:tcMar>
            <w:vAlign w:val="center"/>
          </w:tcPr>
          <w:p w:rsidR="007C62B7" w:rsidRPr="001A1334" w:rsidRDefault="007C62B7" w:rsidP="00FD7155">
            <w:pPr>
              <w:keepNext/>
              <w:keepLines/>
              <w:rPr>
                <w:rFonts w:cs="Arial"/>
                <w:b/>
                <w:sz w:val="16"/>
                <w:szCs w:val="16"/>
              </w:rPr>
            </w:pPr>
            <w:r w:rsidRPr="001A1334">
              <w:rPr>
                <w:rFonts w:cs="Arial"/>
                <w:b/>
                <w:sz w:val="16"/>
                <w:szCs w:val="16"/>
              </w:rPr>
              <w:t>Targets</w:t>
            </w:r>
          </w:p>
        </w:tc>
        <w:tc>
          <w:tcPr>
            <w:tcW w:w="1213" w:type="pct"/>
            <w:gridSpan w:val="2"/>
            <w:tcBorders>
              <w:top w:val="single" w:sz="4" w:space="0" w:color="auto"/>
              <w:bottom w:val="nil"/>
            </w:tcBorders>
            <w:shd w:val="clear" w:color="auto" w:fill="auto"/>
            <w:tcMar>
              <w:top w:w="110" w:type="dxa"/>
            </w:tcMar>
            <w:vAlign w:val="center"/>
          </w:tcPr>
          <w:p w:rsidR="007C62B7" w:rsidRPr="001A1334" w:rsidRDefault="007C62B7" w:rsidP="00FD7155">
            <w:pPr>
              <w:keepNext/>
              <w:keepLines/>
              <w:rPr>
                <w:rFonts w:cs="Arial"/>
                <w:sz w:val="16"/>
                <w:szCs w:val="16"/>
              </w:rPr>
            </w:pPr>
            <w:r w:rsidRPr="001A1334">
              <w:rPr>
                <w:rFonts w:cs="Arial"/>
                <w:b/>
                <w:bCs/>
                <w:sz w:val="16"/>
                <w:szCs w:val="16"/>
              </w:rPr>
              <w:t>Performance Data</w:t>
            </w:r>
          </w:p>
        </w:tc>
        <w:tc>
          <w:tcPr>
            <w:tcW w:w="528" w:type="pct"/>
            <w:gridSpan w:val="2"/>
            <w:tcBorders>
              <w:top w:val="single" w:sz="4" w:space="0" w:color="auto"/>
              <w:bottom w:val="nil"/>
            </w:tcBorders>
            <w:shd w:val="clear" w:color="auto" w:fill="auto"/>
            <w:tcMar>
              <w:top w:w="110" w:type="dxa"/>
            </w:tcMar>
            <w:vAlign w:val="center"/>
          </w:tcPr>
          <w:p w:rsidR="007C62B7" w:rsidRPr="001A1334" w:rsidRDefault="007C62B7" w:rsidP="00FD7155">
            <w:pPr>
              <w:keepNext/>
              <w:keepLines/>
              <w:jc w:val="center"/>
              <w:rPr>
                <w:rFonts w:cs="Arial"/>
                <w:b/>
                <w:bCs/>
                <w:sz w:val="16"/>
                <w:szCs w:val="16"/>
              </w:rPr>
            </w:pPr>
            <w:r w:rsidRPr="001A1334">
              <w:rPr>
                <w:rFonts w:cs="Arial"/>
                <w:b/>
                <w:bCs/>
                <w:sz w:val="16"/>
                <w:szCs w:val="16"/>
              </w:rPr>
              <w:t>TLS</w:t>
            </w:r>
          </w:p>
        </w:tc>
      </w:tr>
      <w:tr w:rsidR="007C62B7" w:rsidRPr="001A1334" w:rsidTr="00FD7155">
        <w:trPr>
          <w:cantSplit/>
        </w:trPr>
        <w:tc>
          <w:tcPr>
            <w:tcW w:w="1136" w:type="pct"/>
            <w:tcBorders>
              <w:top w:val="nil"/>
              <w:bottom w:val="nil"/>
            </w:tcBorders>
            <w:shd w:val="clear" w:color="auto" w:fill="auto"/>
          </w:tcPr>
          <w:p w:rsidR="007C62B7" w:rsidRPr="001A1334" w:rsidRDefault="007C62B7" w:rsidP="00FD7155">
            <w:pPr>
              <w:keepNext/>
              <w:keepLines/>
              <w:rPr>
                <w:rFonts w:cs="Arial"/>
                <w:sz w:val="16"/>
                <w:szCs w:val="16"/>
                <w:lang w:bidi="th-TH"/>
              </w:rPr>
            </w:pPr>
            <w:r w:rsidRPr="0052430B">
              <w:rPr>
                <w:rFonts w:cs="Arial"/>
                <w:sz w:val="16"/>
                <w:szCs w:val="16"/>
                <w:lang w:bidi="th-TH"/>
              </w:rPr>
              <w:t xml:space="preserve">No. of requests for communication under Article </w:t>
            </w:r>
            <w:r w:rsidRPr="00845557">
              <w:rPr>
                <w:rFonts w:cs="Arial"/>
                <w:i/>
                <w:sz w:val="16"/>
                <w:szCs w:val="16"/>
                <w:lang w:bidi="th-TH"/>
              </w:rPr>
              <w:t>6</w:t>
            </w:r>
            <w:r w:rsidRPr="00304D88">
              <w:rPr>
                <w:rFonts w:cs="Arial"/>
                <w:i/>
                <w:sz w:val="16"/>
                <w:szCs w:val="16"/>
                <w:lang w:bidi="th-TH"/>
              </w:rPr>
              <w:t>ter</w:t>
            </w:r>
            <w:r w:rsidRPr="0052430B">
              <w:rPr>
                <w:rFonts w:cs="Arial"/>
                <w:sz w:val="16"/>
                <w:szCs w:val="16"/>
                <w:lang w:bidi="th-TH"/>
              </w:rPr>
              <w:t xml:space="preserve"> dealt with</w:t>
            </w:r>
          </w:p>
        </w:tc>
        <w:tc>
          <w:tcPr>
            <w:tcW w:w="1424" w:type="pct"/>
            <w:tcBorders>
              <w:top w:val="nil"/>
              <w:bottom w:val="nil"/>
            </w:tcBorders>
            <w:shd w:val="clear" w:color="auto" w:fill="auto"/>
          </w:tcPr>
          <w:p w:rsidR="007C62B7" w:rsidRPr="001A1334" w:rsidRDefault="007C62B7" w:rsidP="00FD7155">
            <w:pPr>
              <w:keepNext/>
              <w:keepLines/>
              <w:rPr>
                <w:rFonts w:cs="Arial"/>
                <w:i/>
                <w:color w:val="002060"/>
                <w:sz w:val="16"/>
                <w:szCs w:val="16"/>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r w:rsidRPr="0052430B">
              <w:rPr>
                <w:rFonts w:cs="Arial"/>
                <w:color w:val="002060"/>
                <w:sz w:val="16"/>
                <w:szCs w:val="16"/>
                <w:lang w:bidi="th-TH"/>
              </w:rPr>
              <w:t>126 requests for publication under Article 6</w:t>
            </w:r>
            <w:r w:rsidRPr="00D92815">
              <w:rPr>
                <w:rFonts w:cs="Arial"/>
                <w:i/>
                <w:color w:val="002060"/>
                <w:sz w:val="16"/>
                <w:szCs w:val="16"/>
                <w:lang w:bidi="th-TH"/>
              </w:rPr>
              <w:t>ter</w:t>
            </w:r>
            <w:r w:rsidRPr="0052430B">
              <w:rPr>
                <w:rFonts w:cs="Arial"/>
                <w:color w:val="002060"/>
                <w:sz w:val="16"/>
                <w:szCs w:val="16"/>
                <w:lang w:bidi="th-TH"/>
              </w:rPr>
              <w:t xml:space="preserve"> dealt with by the end of 2013</w:t>
            </w:r>
            <w:r>
              <w:rPr>
                <w:rFonts w:cs="Arial"/>
                <w:color w:val="002060"/>
                <w:sz w:val="16"/>
                <w:szCs w:val="16"/>
                <w:lang w:bidi="th-TH"/>
              </w:rPr>
              <w:t xml:space="preserve"> </w:t>
            </w:r>
          </w:p>
          <w:p w:rsidR="007C62B7" w:rsidRPr="001A1334" w:rsidRDefault="007C62B7" w:rsidP="00FD7155">
            <w:pPr>
              <w:keepNext/>
              <w:keepLines/>
              <w:rPr>
                <w:rFonts w:cs="Arial"/>
                <w:i/>
                <w:sz w:val="8"/>
                <w:szCs w:val="8"/>
              </w:rPr>
            </w:pPr>
          </w:p>
          <w:p w:rsidR="007C62B7" w:rsidRPr="001A1334" w:rsidRDefault="007C62B7" w:rsidP="00FD7155">
            <w:pPr>
              <w:keepNext/>
              <w:keepLines/>
              <w:rPr>
                <w:rFonts w:cs="Arial"/>
                <w:sz w:val="16"/>
                <w:szCs w:val="16"/>
              </w:rPr>
            </w:pPr>
            <w:r>
              <w:rPr>
                <w:rFonts w:cs="Arial"/>
                <w:i/>
                <w:sz w:val="16"/>
                <w:szCs w:val="16"/>
              </w:rPr>
              <w:t>Original Baseline P&amp;B 2014/15</w:t>
            </w:r>
            <w:r w:rsidRPr="001A1334">
              <w:rPr>
                <w:rFonts w:cs="Arial"/>
                <w:i/>
                <w:sz w:val="16"/>
                <w:szCs w:val="16"/>
              </w:rPr>
              <w:t>:</w:t>
            </w:r>
          </w:p>
          <w:p w:rsidR="007C62B7" w:rsidRPr="001A1334" w:rsidRDefault="007C62B7" w:rsidP="00FD7155">
            <w:pPr>
              <w:keepNext/>
              <w:keepLines/>
              <w:rPr>
                <w:rFonts w:cs="Arial"/>
                <w:sz w:val="16"/>
                <w:szCs w:val="16"/>
                <w:lang w:bidi="th-TH"/>
              </w:rPr>
            </w:pPr>
            <w:r w:rsidRPr="00FE6CAD">
              <w:rPr>
                <w:rFonts w:cs="Arial"/>
                <w:sz w:val="16"/>
                <w:szCs w:val="16"/>
              </w:rPr>
              <w:t>70 requests</w:t>
            </w:r>
            <w:r w:rsidRPr="00FE6CAD">
              <w:rPr>
                <w:rStyle w:val="FootnoteReference"/>
                <w:rFonts w:cs="Arial"/>
                <w:sz w:val="16"/>
                <w:szCs w:val="16"/>
              </w:rPr>
              <w:footnoteReference w:id="4"/>
            </w:r>
            <w:r w:rsidRPr="0052430B">
              <w:rPr>
                <w:rFonts w:cs="Arial"/>
                <w:sz w:val="16"/>
                <w:szCs w:val="16"/>
              </w:rPr>
              <w:t xml:space="preserve"> for communication under Article 6</w:t>
            </w:r>
            <w:r w:rsidRPr="00D92815">
              <w:rPr>
                <w:rFonts w:cs="Arial"/>
                <w:i/>
                <w:sz w:val="16"/>
                <w:szCs w:val="16"/>
              </w:rPr>
              <w:t xml:space="preserve">ter </w:t>
            </w:r>
            <w:r w:rsidRPr="0052430B">
              <w:rPr>
                <w:rFonts w:cs="Arial"/>
                <w:sz w:val="16"/>
                <w:szCs w:val="16"/>
              </w:rPr>
              <w:t>dealt with in 2012</w:t>
            </w:r>
          </w:p>
        </w:tc>
        <w:tc>
          <w:tcPr>
            <w:tcW w:w="699" w:type="pct"/>
            <w:gridSpan w:val="2"/>
            <w:tcBorders>
              <w:top w:val="nil"/>
              <w:bottom w:val="nil"/>
            </w:tcBorders>
            <w:shd w:val="clear" w:color="auto" w:fill="auto"/>
            <w:tcMar>
              <w:top w:w="110" w:type="dxa"/>
            </w:tcMar>
          </w:tcPr>
          <w:p w:rsidR="007C62B7" w:rsidRPr="001A1334" w:rsidRDefault="007C62B7" w:rsidP="00FD7155">
            <w:pPr>
              <w:keepNext/>
              <w:keepLines/>
              <w:rPr>
                <w:rFonts w:cs="Arial"/>
                <w:sz w:val="16"/>
                <w:szCs w:val="16"/>
                <w:lang w:bidi="th-TH"/>
              </w:rPr>
            </w:pPr>
            <w:r w:rsidRPr="0052430B">
              <w:rPr>
                <w:rFonts w:cs="Arial"/>
                <w:sz w:val="16"/>
                <w:szCs w:val="16"/>
                <w:lang w:bidi="th-TH"/>
              </w:rPr>
              <w:t>140 requests for communication under Article</w:t>
            </w:r>
            <w:r>
              <w:rPr>
                <w:rFonts w:cs="Arial"/>
                <w:sz w:val="16"/>
                <w:szCs w:val="16"/>
                <w:lang w:bidi="th-TH"/>
              </w:rPr>
              <w:t> </w:t>
            </w:r>
            <w:r w:rsidRPr="00845557">
              <w:rPr>
                <w:rFonts w:cs="Arial"/>
                <w:i/>
                <w:sz w:val="16"/>
                <w:szCs w:val="16"/>
                <w:lang w:bidi="th-TH"/>
              </w:rPr>
              <w:t>6</w:t>
            </w:r>
            <w:r w:rsidRPr="00304D88">
              <w:rPr>
                <w:rFonts w:cs="Arial"/>
                <w:i/>
                <w:sz w:val="16"/>
                <w:szCs w:val="16"/>
                <w:lang w:bidi="th-TH"/>
              </w:rPr>
              <w:t>ter</w:t>
            </w:r>
            <w:r w:rsidRPr="0052430B">
              <w:rPr>
                <w:rFonts w:cs="Arial"/>
                <w:sz w:val="16"/>
                <w:szCs w:val="16"/>
                <w:lang w:bidi="th-TH"/>
              </w:rPr>
              <w:t xml:space="preserve"> dealt with</w:t>
            </w:r>
          </w:p>
        </w:tc>
        <w:tc>
          <w:tcPr>
            <w:tcW w:w="1213" w:type="pct"/>
            <w:gridSpan w:val="2"/>
            <w:tcBorders>
              <w:top w:val="nil"/>
              <w:bottom w:val="nil"/>
            </w:tcBorders>
            <w:shd w:val="clear" w:color="auto" w:fill="auto"/>
            <w:tcMar>
              <w:top w:w="110" w:type="dxa"/>
            </w:tcMar>
          </w:tcPr>
          <w:p w:rsidR="007C62B7" w:rsidRPr="001A1334" w:rsidRDefault="007C62B7" w:rsidP="00FD7155">
            <w:pPr>
              <w:keepNext/>
              <w:keepLines/>
              <w:rPr>
                <w:rFonts w:cs="Arial"/>
                <w:sz w:val="16"/>
                <w:szCs w:val="16"/>
                <w:lang w:bidi="th-TH"/>
              </w:rPr>
            </w:pPr>
            <w:r w:rsidRPr="0052430B">
              <w:rPr>
                <w:rFonts w:cs="Arial"/>
                <w:sz w:val="16"/>
                <w:szCs w:val="16"/>
                <w:lang w:bidi="th-TH"/>
              </w:rPr>
              <w:t>51 requests for communication received and dealt with</w:t>
            </w:r>
            <w:r>
              <w:rPr>
                <w:rFonts w:cs="Arial"/>
                <w:sz w:val="16"/>
                <w:szCs w:val="16"/>
                <w:lang w:bidi="th-TH"/>
              </w:rPr>
              <w:t>, of which 11 resulted in publication</w:t>
            </w:r>
          </w:p>
        </w:tc>
        <w:tc>
          <w:tcPr>
            <w:tcW w:w="528" w:type="pct"/>
            <w:gridSpan w:val="2"/>
            <w:tcBorders>
              <w:top w:val="nil"/>
              <w:bottom w:val="nil"/>
            </w:tcBorders>
            <w:shd w:val="clear" w:color="auto" w:fill="auto"/>
            <w:tcMar>
              <w:top w:w="110" w:type="dxa"/>
            </w:tcMar>
          </w:tcPr>
          <w:p w:rsidR="007C62B7" w:rsidRPr="00D92815" w:rsidRDefault="007C62B7" w:rsidP="00FD7155">
            <w:pPr>
              <w:keepNext/>
              <w:keepLines/>
              <w:jc w:val="center"/>
              <w:rPr>
                <w:rFonts w:cs="Arial"/>
                <w:b/>
                <w:color w:val="E36C0A" w:themeColor="accent6" w:themeShade="BF"/>
                <w:sz w:val="16"/>
                <w:szCs w:val="16"/>
              </w:rPr>
            </w:pPr>
            <w:r w:rsidRPr="00FE6CAD">
              <w:rPr>
                <w:rFonts w:cs="Arial"/>
                <w:b/>
                <w:bCs/>
                <w:color w:val="FF0000"/>
                <w:sz w:val="16"/>
                <w:szCs w:val="16"/>
              </w:rPr>
              <w:t xml:space="preserve">Not </w:t>
            </w:r>
            <w:r>
              <w:rPr>
                <w:rFonts w:cs="Arial"/>
                <w:b/>
                <w:bCs/>
                <w:color w:val="FF0000"/>
                <w:sz w:val="16"/>
                <w:szCs w:val="16"/>
              </w:rPr>
              <w:br/>
            </w:r>
            <w:r w:rsidRPr="00FE6CAD">
              <w:rPr>
                <w:rFonts w:cs="Arial"/>
                <w:b/>
                <w:bCs/>
                <w:color w:val="FF0000"/>
                <w:sz w:val="16"/>
                <w:szCs w:val="16"/>
              </w:rPr>
              <w:t>on track</w:t>
            </w:r>
          </w:p>
        </w:tc>
      </w:tr>
      <w:tr w:rsidR="007C62B7" w:rsidRPr="001A1334" w:rsidTr="00FD7155">
        <w:trPr>
          <w:cantSplit/>
        </w:trPr>
        <w:tc>
          <w:tcPr>
            <w:tcW w:w="1136" w:type="pct"/>
            <w:tcBorders>
              <w:top w:val="nil"/>
              <w:left w:val="single" w:sz="4" w:space="0" w:color="auto"/>
              <w:bottom w:val="single" w:sz="4" w:space="0" w:color="auto"/>
              <w:right w:val="nil"/>
            </w:tcBorders>
            <w:shd w:val="clear" w:color="auto" w:fill="auto"/>
          </w:tcPr>
          <w:p w:rsidR="007C62B7" w:rsidRPr="0052430B" w:rsidRDefault="007C62B7" w:rsidP="00FD7155">
            <w:pPr>
              <w:rPr>
                <w:rFonts w:cs="Arial"/>
                <w:sz w:val="16"/>
                <w:szCs w:val="16"/>
                <w:lang w:bidi="th-TH"/>
              </w:rPr>
            </w:pPr>
            <w:r w:rsidRPr="0052430B">
              <w:rPr>
                <w:rFonts w:cs="Arial"/>
                <w:sz w:val="16"/>
                <w:szCs w:val="16"/>
                <w:lang w:bidi="th-TH"/>
              </w:rPr>
              <w:t xml:space="preserve">No. of signs published in Article </w:t>
            </w:r>
            <w:r w:rsidRPr="00845557">
              <w:rPr>
                <w:rFonts w:cs="Arial"/>
                <w:i/>
                <w:sz w:val="16"/>
                <w:szCs w:val="16"/>
                <w:lang w:bidi="th-TH"/>
              </w:rPr>
              <w:t xml:space="preserve">6ter </w:t>
            </w:r>
            <w:r w:rsidRPr="0052430B">
              <w:rPr>
                <w:rFonts w:cs="Arial"/>
                <w:sz w:val="16"/>
                <w:szCs w:val="16"/>
                <w:lang w:bidi="th-TH"/>
              </w:rPr>
              <w:t>database</w:t>
            </w:r>
          </w:p>
        </w:tc>
        <w:tc>
          <w:tcPr>
            <w:tcW w:w="1424" w:type="pct"/>
            <w:tcBorders>
              <w:top w:val="nil"/>
              <w:left w:val="nil"/>
              <w:bottom w:val="single" w:sz="4" w:space="0" w:color="auto"/>
              <w:right w:val="nil"/>
            </w:tcBorders>
            <w:shd w:val="clear" w:color="auto" w:fill="auto"/>
          </w:tcPr>
          <w:p w:rsidR="007C62B7" w:rsidRPr="001A1334" w:rsidRDefault="007C62B7" w:rsidP="00FD7155">
            <w:pPr>
              <w:rPr>
                <w:rFonts w:cs="Arial"/>
                <w:i/>
                <w:color w:val="002060"/>
                <w:sz w:val="16"/>
                <w:szCs w:val="16"/>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r w:rsidRPr="00EC3E80">
              <w:rPr>
                <w:rFonts w:cs="Arial"/>
                <w:color w:val="002060"/>
                <w:sz w:val="16"/>
                <w:szCs w:val="16"/>
                <w:lang w:bidi="th-TH"/>
              </w:rPr>
              <w:t>132 signs published</w:t>
            </w:r>
            <w:r>
              <w:rPr>
                <w:rFonts w:cs="Arial"/>
                <w:color w:val="002060"/>
                <w:sz w:val="16"/>
                <w:szCs w:val="16"/>
                <w:lang w:bidi="th-TH"/>
              </w:rPr>
              <w:t xml:space="preserve"> in </w:t>
            </w:r>
            <w:r w:rsidRPr="00EC3E80">
              <w:rPr>
                <w:rFonts w:cs="Arial"/>
                <w:sz w:val="16"/>
                <w:szCs w:val="16"/>
              </w:rPr>
              <w:t>Article 6</w:t>
            </w:r>
            <w:r w:rsidRPr="00FF3918">
              <w:rPr>
                <w:rFonts w:cs="Arial"/>
                <w:i/>
                <w:sz w:val="16"/>
                <w:szCs w:val="16"/>
              </w:rPr>
              <w:t>ter</w:t>
            </w:r>
            <w:r w:rsidRPr="00EC3E80">
              <w:rPr>
                <w:rFonts w:cs="Arial"/>
                <w:sz w:val="16"/>
                <w:szCs w:val="16"/>
              </w:rPr>
              <w:t xml:space="preserve"> database</w:t>
            </w:r>
            <w:r w:rsidRPr="00EC3E80">
              <w:rPr>
                <w:rFonts w:cs="Arial"/>
                <w:color w:val="002060"/>
                <w:sz w:val="16"/>
                <w:szCs w:val="16"/>
                <w:lang w:bidi="th-TH"/>
              </w:rPr>
              <w:t xml:space="preserve"> </w:t>
            </w:r>
            <w:r>
              <w:rPr>
                <w:rFonts w:cs="Arial"/>
                <w:color w:val="002060"/>
                <w:sz w:val="16"/>
                <w:szCs w:val="16"/>
                <w:lang w:bidi="th-TH"/>
              </w:rPr>
              <w:t>in 2012/</w:t>
            </w:r>
            <w:r w:rsidRPr="00EC3E80">
              <w:rPr>
                <w:rFonts w:cs="Arial"/>
                <w:color w:val="002060"/>
                <w:sz w:val="16"/>
                <w:szCs w:val="16"/>
                <w:lang w:bidi="th-TH"/>
              </w:rPr>
              <w:t>13</w:t>
            </w:r>
            <w:r>
              <w:rPr>
                <w:rFonts w:cs="Arial"/>
                <w:color w:val="002060"/>
                <w:sz w:val="16"/>
                <w:szCs w:val="16"/>
                <w:lang w:bidi="th-TH"/>
              </w:rPr>
              <w:t xml:space="preserve"> </w:t>
            </w:r>
          </w:p>
          <w:p w:rsidR="007C62B7" w:rsidRPr="001A1334" w:rsidRDefault="007C62B7" w:rsidP="00FD7155">
            <w:pPr>
              <w:rPr>
                <w:rFonts w:cs="Arial"/>
                <w:i/>
                <w:sz w:val="8"/>
                <w:szCs w:val="8"/>
              </w:rPr>
            </w:pPr>
          </w:p>
          <w:p w:rsidR="007C62B7" w:rsidRPr="001A1334" w:rsidRDefault="007C62B7" w:rsidP="00FD7155">
            <w:pPr>
              <w:rPr>
                <w:rFonts w:cs="Arial"/>
                <w:sz w:val="16"/>
                <w:szCs w:val="16"/>
              </w:rPr>
            </w:pPr>
            <w:r>
              <w:rPr>
                <w:rFonts w:cs="Arial"/>
                <w:i/>
                <w:sz w:val="16"/>
                <w:szCs w:val="16"/>
              </w:rPr>
              <w:t>Original Baseline P&amp;B 2014/15</w:t>
            </w:r>
            <w:r w:rsidRPr="001A1334">
              <w:rPr>
                <w:rFonts w:cs="Arial"/>
                <w:i/>
                <w:sz w:val="16"/>
                <w:szCs w:val="16"/>
              </w:rPr>
              <w:t>:</w:t>
            </w:r>
          </w:p>
          <w:p w:rsidR="007C62B7" w:rsidRDefault="007C62B7" w:rsidP="00FD7155">
            <w:pPr>
              <w:rPr>
                <w:rFonts w:cs="Arial"/>
                <w:i/>
                <w:color w:val="002060"/>
                <w:sz w:val="16"/>
                <w:szCs w:val="16"/>
              </w:rPr>
            </w:pPr>
            <w:r w:rsidRPr="00EC3E80">
              <w:rPr>
                <w:rFonts w:cs="Arial"/>
                <w:sz w:val="16"/>
                <w:szCs w:val="16"/>
              </w:rPr>
              <w:t>75 signs</w:t>
            </w:r>
            <w:r>
              <w:rPr>
                <w:rStyle w:val="FootnoteReference"/>
                <w:rFonts w:cs="Arial"/>
                <w:sz w:val="16"/>
                <w:szCs w:val="16"/>
              </w:rPr>
              <w:footnoteReference w:id="5"/>
            </w:r>
            <w:r w:rsidRPr="00EC3E80">
              <w:rPr>
                <w:rFonts w:cs="Arial"/>
                <w:sz w:val="16"/>
                <w:szCs w:val="16"/>
              </w:rPr>
              <w:t xml:space="preserve"> published in Article 6</w:t>
            </w:r>
            <w:r w:rsidRPr="00D92815">
              <w:rPr>
                <w:rFonts w:cs="Arial"/>
                <w:i/>
                <w:sz w:val="16"/>
                <w:szCs w:val="16"/>
              </w:rPr>
              <w:t>ter</w:t>
            </w:r>
            <w:r w:rsidRPr="00EC3E80">
              <w:rPr>
                <w:rFonts w:cs="Arial"/>
                <w:sz w:val="16"/>
                <w:szCs w:val="16"/>
              </w:rPr>
              <w:t xml:space="preserve"> database in 2012</w:t>
            </w:r>
          </w:p>
        </w:tc>
        <w:tc>
          <w:tcPr>
            <w:tcW w:w="699" w:type="pct"/>
            <w:gridSpan w:val="2"/>
            <w:tcBorders>
              <w:top w:val="nil"/>
              <w:left w:val="nil"/>
              <w:bottom w:val="single" w:sz="4" w:space="0" w:color="auto"/>
              <w:right w:val="nil"/>
            </w:tcBorders>
            <w:shd w:val="clear" w:color="auto" w:fill="auto"/>
            <w:tcMar>
              <w:top w:w="110" w:type="dxa"/>
            </w:tcMar>
          </w:tcPr>
          <w:p w:rsidR="007C62B7" w:rsidRPr="0052430B" w:rsidRDefault="007C62B7" w:rsidP="00FD7155">
            <w:pPr>
              <w:rPr>
                <w:rFonts w:cs="Arial"/>
                <w:sz w:val="16"/>
                <w:szCs w:val="16"/>
                <w:lang w:bidi="th-TH"/>
              </w:rPr>
            </w:pPr>
            <w:r w:rsidRPr="00EC3E80">
              <w:rPr>
                <w:rFonts w:cs="Arial"/>
                <w:sz w:val="16"/>
                <w:szCs w:val="16"/>
                <w:lang w:bidi="th-TH"/>
              </w:rPr>
              <w:t xml:space="preserve">150 signs published in Article </w:t>
            </w:r>
            <w:r w:rsidRPr="00845557">
              <w:rPr>
                <w:rFonts w:cs="Arial"/>
                <w:i/>
                <w:sz w:val="16"/>
                <w:szCs w:val="16"/>
                <w:lang w:bidi="th-TH"/>
              </w:rPr>
              <w:t>6t</w:t>
            </w:r>
            <w:r w:rsidRPr="00304D88">
              <w:rPr>
                <w:rFonts w:cs="Arial"/>
                <w:i/>
                <w:sz w:val="16"/>
                <w:szCs w:val="16"/>
                <w:lang w:bidi="th-TH"/>
              </w:rPr>
              <w:t>er</w:t>
            </w:r>
            <w:r w:rsidRPr="00EC3E80">
              <w:rPr>
                <w:rFonts w:cs="Arial"/>
                <w:sz w:val="16"/>
                <w:szCs w:val="16"/>
                <w:lang w:bidi="th-TH"/>
              </w:rPr>
              <w:t xml:space="preserve"> database</w:t>
            </w:r>
            <w:r>
              <w:rPr>
                <w:rStyle w:val="FootnoteReference"/>
                <w:rFonts w:cs="Arial"/>
                <w:sz w:val="16"/>
                <w:szCs w:val="16"/>
                <w:lang w:bidi="th-TH"/>
              </w:rPr>
              <w:footnoteReference w:id="6"/>
            </w:r>
          </w:p>
        </w:tc>
        <w:tc>
          <w:tcPr>
            <w:tcW w:w="1213" w:type="pct"/>
            <w:gridSpan w:val="2"/>
            <w:tcBorders>
              <w:top w:val="nil"/>
              <w:left w:val="nil"/>
              <w:bottom w:val="single" w:sz="4" w:space="0" w:color="auto"/>
              <w:right w:val="nil"/>
            </w:tcBorders>
            <w:shd w:val="clear" w:color="auto" w:fill="auto"/>
            <w:tcMar>
              <w:top w:w="110" w:type="dxa"/>
            </w:tcMar>
          </w:tcPr>
          <w:p w:rsidR="007C62B7" w:rsidRDefault="007C62B7" w:rsidP="00FD7155">
            <w:pPr>
              <w:rPr>
                <w:rFonts w:cs="Arial"/>
                <w:sz w:val="16"/>
                <w:szCs w:val="16"/>
                <w:lang w:bidi="th-TH"/>
              </w:rPr>
            </w:pPr>
            <w:r w:rsidRPr="00EC3E80">
              <w:rPr>
                <w:rFonts w:cs="Arial"/>
                <w:sz w:val="16"/>
                <w:szCs w:val="16"/>
                <w:lang w:bidi="th-TH"/>
              </w:rPr>
              <w:t xml:space="preserve">49 </w:t>
            </w:r>
            <w:r>
              <w:rPr>
                <w:rFonts w:cs="Arial"/>
                <w:sz w:val="16"/>
                <w:szCs w:val="16"/>
                <w:lang w:bidi="th-TH"/>
              </w:rPr>
              <w:t xml:space="preserve">new </w:t>
            </w:r>
            <w:r w:rsidRPr="00EC3E80">
              <w:rPr>
                <w:rFonts w:cs="Arial"/>
                <w:sz w:val="16"/>
                <w:szCs w:val="16"/>
                <w:lang w:bidi="th-TH"/>
              </w:rPr>
              <w:t>signs published</w:t>
            </w:r>
            <w:r>
              <w:rPr>
                <w:rFonts w:cs="Arial"/>
                <w:sz w:val="16"/>
                <w:szCs w:val="16"/>
                <w:lang w:bidi="th-TH"/>
              </w:rPr>
              <w:t xml:space="preserve"> (2014)</w:t>
            </w:r>
          </w:p>
          <w:p w:rsidR="007C62B7" w:rsidRDefault="007C62B7" w:rsidP="00FD7155">
            <w:pPr>
              <w:rPr>
                <w:rFonts w:cs="Arial"/>
                <w:sz w:val="16"/>
                <w:szCs w:val="16"/>
                <w:lang w:bidi="th-TH"/>
              </w:rPr>
            </w:pPr>
          </w:p>
          <w:p w:rsidR="007C62B7" w:rsidRPr="0052430B" w:rsidRDefault="007C62B7" w:rsidP="00FD7155">
            <w:pPr>
              <w:rPr>
                <w:rFonts w:cs="Arial"/>
                <w:sz w:val="16"/>
                <w:szCs w:val="16"/>
                <w:lang w:bidi="th-TH"/>
              </w:rPr>
            </w:pPr>
            <w:r>
              <w:rPr>
                <w:rFonts w:cs="Arial"/>
                <w:sz w:val="16"/>
                <w:szCs w:val="16"/>
                <w:lang w:bidi="th-TH"/>
              </w:rPr>
              <w:t xml:space="preserve">A total of 3,057 signs contained in the </w:t>
            </w:r>
            <w:r w:rsidRPr="00EC3E80">
              <w:rPr>
                <w:rFonts w:cs="Arial"/>
                <w:sz w:val="16"/>
                <w:szCs w:val="16"/>
              </w:rPr>
              <w:t xml:space="preserve">Article </w:t>
            </w:r>
            <w:r w:rsidRPr="00845557">
              <w:rPr>
                <w:rFonts w:cs="Arial"/>
                <w:i/>
                <w:sz w:val="16"/>
                <w:szCs w:val="16"/>
              </w:rPr>
              <w:t>6</w:t>
            </w:r>
            <w:r w:rsidRPr="00304D88">
              <w:rPr>
                <w:rFonts w:cs="Arial"/>
                <w:i/>
                <w:sz w:val="16"/>
                <w:szCs w:val="16"/>
              </w:rPr>
              <w:t>ter</w:t>
            </w:r>
            <w:r w:rsidRPr="00845557">
              <w:rPr>
                <w:rFonts w:cs="Arial"/>
                <w:i/>
                <w:sz w:val="16"/>
                <w:szCs w:val="16"/>
              </w:rPr>
              <w:t xml:space="preserve"> </w:t>
            </w:r>
            <w:r w:rsidRPr="00EC3E80">
              <w:rPr>
                <w:rFonts w:cs="Arial"/>
                <w:sz w:val="16"/>
                <w:szCs w:val="16"/>
              </w:rPr>
              <w:t>database</w:t>
            </w:r>
            <w:r>
              <w:rPr>
                <w:rFonts w:cs="Arial"/>
                <w:sz w:val="16"/>
                <w:szCs w:val="16"/>
              </w:rPr>
              <w:t xml:space="preserve"> at the end of 2014.</w:t>
            </w:r>
          </w:p>
        </w:tc>
        <w:tc>
          <w:tcPr>
            <w:tcW w:w="528" w:type="pct"/>
            <w:gridSpan w:val="2"/>
            <w:tcBorders>
              <w:top w:val="nil"/>
              <w:left w:val="nil"/>
              <w:bottom w:val="single" w:sz="4" w:space="0" w:color="auto"/>
              <w:right w:val="single" w:sz="4" w:space="0" w:color="auto"/>
            </w:tcBorders>
            <w:shd w:val="clear" w:color="auto" w:fill="auto"/>
          </w:tcPr>
          <w:p w:rsidR="007C62B7" w:rsidRPr="00D92815" w:rsidRDefault="007C62B7" w:rsidP="00FD7155">
            <w:pPr>
              <w:jc w:val="center"/>
              <w:rPr>
                <w:rFonts w:cs="Arial"/>
                <w:b/>
                <w:color w:val="E36C0A" w:themeColor="accent6" w:themeShade="BF"/>
                <w:sz w:val="16"/>
                <w:szCs w:val="16"/>
              </w:rPr>
            </w:pPr>
            <w:r w:rsidRPr="00FE6CAD">
              <w:rPr>
                <w:rFonts w:cs="Arial"/>
                <w:b/>
                <w:bCs/>
                <w:color w:val="FF0000"/>
                <w:sz w:val="16"/>
                <w:szCs w:val="16"/>
              </w:rPr>
              <w:t xml:space="preserve">Not </w:t>
            </w:r>
            <w:r>
              <w:rPr>
                <w:rFonts w:cs="Arial"/>
                <w:b/>
                <w:bCs/>
                <w:color w:val="FF0000"/>
                <w:sz w:val="16"/>
                <w:szCs w:val="16"/>
              </w:rPr>
              <w:br/>
            </w:r>
            <w:r w:rsidRPr="00FE6CAD">
              <w:rPr>
                <w:rFonts w:cs="Arial"/>
                <w:b/>
                <w:bCs/>
                <w:color w:val="FF0000"/>
                <w:sz w:val="16"/>
                <w:szCs w:val="16"/>
              </w:rPr>
              <w:t>on track</w:t>
            </w:r>
          </w:p>
        </w:tc>
      </w:tr>
    </w:tbl>
    <w:p w:rsidR="007C62B7" w:rsidRPr="00CE5351" w:rsidRDefault="007C62B7" w:rsidP="00FD7155">
      <w:pPr>
        <w:jc w:val="both"/>
        <w:rPr>
          <w:sz w:val="18"/>
        </w:rPr>
      </w:pPr>
    </w:p>
    <w:p w:rsidR="007C62B7" w:rsidRPr="00CE5351" w:rsidRDefault="007C62B7" w:rsidP="00FD7155">
      <w:pPr>
        <w:jc w:val="both"/>
        <w:rPr>
          <w:sz w:val="18"/>
        </w:rPr>
      </w:pPr>
    </w:p>
    <w:p w:rsidR="007C62B7" w:rsidRDefault="007C62B7" w:rsidP="00FD7155">
      <w:pPr>
        <w:rPr>
          <w:b/>
          <w:sz w:val="18"/>
          <w:szCs w:val="18"/>
        </w:rPr>
      </w:pPr>
      <w:r>
        <w:rPr>
          <w:rFonts w:cs="Arial"/>
          <w:color w:val="000000"/>
          <w:sz w:val="22"/>
          <w:szCs w:val="22"/>
        </w:rPr>
        <w:lastRenderedPageBreak/>
        <w:t>RESOURCE UTILIZATION</w:t>
      </w:r>
      <w:r>
        <w:rPr>
          <w:rFonts w:cs="Arial"/>
          <w:color w:val="000000"/>
          <w:sz w:val="22"/>
          <w:szCs w:val="22"/>
        </w:rPr>
        <w:tab/>
      </w:r>
    </w:p>
    <w:p w:rsidR="007C62B7" w:rsidRPr="008F4A6D" w:rsidRDefault="007C62B7" w:rsidP="00FD7155">
      <w:pPr>
        <w:rPr>
          <w:szCs w:val="20"/>
        </w:rPr>
      </w:pPr>
    </w:p>
    <w:p w:rsidR="007C62B7" w:rsidRPr="00383D2D" w:rsidRDefault="007C62B7" w:rsidP="00FD7155">
      <w:pPr>
        <w:pStyle w:val="NormalWeb"/>
        <w:spacing w:before="0" w:beforeAutospacing="0" w:after="0" w:afterAutospacing="0"/>
        <w:jc w:val="center"/>
        <w:rPr>
          <w:sz w:val="20"/>
          <w:szCs w:val="20"/>
        </w:rPr>
      </w:pPr>
      <w:r w:rsidRPr="00383D2D">
        <w:rPr>
          <w:color w:val="000000"/>
          <w:sz w:val="20"/>
          <w:szCs w:val="20"/>
        </w:rPr>
        <w:t xml:space="preserve">Budget and Actual Expenditure (by result) </w:t>
      </w:r>
    </w:p>
    <w:p w:rsidR="007C62B7" w:rsidRDefault="007C62B7" w:rsidP="00FD7155">
      <w:pPr>
        <w:pStyle w:val="NormalWeb"/>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7C62B7" w:rsidRPr="00CE5351" w:rsidRDefault="007C62B7" w:rsidP="00FD7155">
      <w:pPr>
        <w:pStyle w:val="NormalWeb"/>
        <w:spacing w:before="0" w:beforeAutospacing="0" w:after="0" w:afterAutospacing="0"/>
        <w:jc w:val="center"/>
        <w:rPr>
          <w:i/>
          <w:iCs/>
          <w:color w:val="000000"/>
          <w:sz w:val="16"/>
          <w:szCs w:val="20"/>
        </w:rPr>
      </w:pPr>
    </w:p>
    <w:p w:rsidR="007C62B7" w:rsidRDefault="007C62B7" w:rsidP="00FD7155">
      <w:pPr>
        <w:jc w:val="center"/>
      </w:pPr>
      <w:r w:rsidRPr="00AD55CD">
        <w:rPr>
          <w:noProof/>
        </w:rPr>
        <w:drawing>
          <wp:inline distT="0" distB="0" distL="0" distR="0" wp14:anchorId="330B1447" wp14:editId="4B15AB74">
            <wp:extent cx="5322498" cy="2630458"/>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26914" cy="2632640"/>
                    </a:xfrm>
                    <a:prstGeom prst="rect">
                      <a:avLst/>
                    </a:prstGeom>
                    <a:noFill/>
                    <a:ln>
                      <a:noFill/>
                    </a:ln>
                  </pic:spPr>
                </pic:pic>
              </a:graphicData>
            </a:graphic>
          </wp:inline>
        </w:drawing>
      </w:r>
    </w:p>
    <w:p w:rsidR="007C62B7" w:rsidRDefault="007C62B7" w:rsidP="00FD7155"/>
    <w:p w:rsidR="007C62B7" w:rsidRPr="00383D2D" w:rsidRDefault="007C62B7" w:rsidP="00FD7155">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7C62B7" w:rsidRDefault="007C62B7" w:rsidP="00FD7155">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7C62B7" w:rsidRPr="00CE5351" w:rsidRDefault="007C62B7" w:rsidP="00FD7155">
      <w:pPr>
        <w:pStyle w:val="NormalWeb"/>
        <w:keepNext/>
        <w:keepLines/>
        <w:spacing w:before="0" w:beforeAutospacing="0" w:after="0" w:afterAutospacing="0"/>
        <w:jc w:val="center"/>
        <w:rPr>
          <w:i/>
          <w:iCs/>
          <w:color w:val="000000"/>
          <w:sz w:val="16"/>
          <w:szCs w:val="20"/>
        </w:rPr>
      </w:pPr>
    </w:p>
    <w:p w:rsidR="007C62B7" w:rsidRDefault="007C62B7" w:rsidP="00FD7155">
      <w:pPr>
        <w:jc w:val="center"/>
        <w:rPr>
          <w:i/>
          <w:sz w:val="16"/>
          <w:szCs w:val="16"/>
        </w:rPr>
      </w:pPr>
      <w:r w:rsidRPr="00AD55CD">
        <w:rPr>
          <w:noProof/>
        </w:rPr>
        <w:drawing>
          <wp:inline distT="0" distB="0" distL="0" distR="0" wp14:anchorId="195F5BCE" wp14:editId="7A51BF6E">
            <wp:extent cx="5451894" cy="1148167"/>
            <wp:effectExtent l="0" t="0" r="0" b="0"/>
            <wp:docPr id="833" name="Picture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76154" cy="1153276"/>
                    </a:xfrm>
                    <a:prstGeom prst="rect">
                      <a:avLst/>
                    </a:prstGeom>
                    <a:noFill/>
                    <a:ln>
                      <a:noFill/>
                    </a:ln>
                  </pic:spPr>
                </pic:pic>
              </a:graphicData>
            </a:graphic>
          </wp:inline>
        </w:drawing>
      </w:r>
    </w:p>
    <w:p w:rsidR="007C62B7" w:rsidRDefault="007C62B7" w:rsidP="00FD7155">
      <w:pPr>
        <w:rPr>
          <w:sz w:val="16"/>
          <w:szCs w:val="20"/>
        </w:rPr>
      </w:pPr>
      <w:r w:rsidRPr="00D92815">
        <w:rPr>
          <w:i/>
          <w:sz w:val="16"/>
          <w:szCs w:val="16"/>
        </w:rPr>
        <w:t>NOTE: The 2014/15 Budget after Transfers reflects transfers as of March 31, 2015 to address needs during the 2014/15 biennium in line with Financial Regulation 5.5.</w:t>
      </w:r>
    </w:p>
    <w:p w:rsidR="007C62B7" w:rsidRDefault="007C62B7" w:rsidP="00FD7155">
      <w:pPr>
        <w:rPr>
          <w:sz w:val="16"/>
          <w:szCs w:val="20"/>
        </w:rPr>
      </w:pPr>
    </w:p>
    <w:p w:rsidR="007C62B7" w:rsidRPr="0004128C" w:rsidRDefault="007C62B7" w:rsidP="00FD7155">
      <w:pPr>
        <w:rPr>
          <w:sz w:val="16"/>
          <w:szCs w:val="20"/>
        </w:rPr>
      </w:pPr>
    </w:p>
    <w:p w:rsidR="007C62B7" w:rsidRDefault="007C62B7" w:rsidP="00FD7155">
      <w:pPr>
        <w:rPr>
          <w:rFonts w:cs="Arial"/>
          <w:u w:val="single"/>
        </w:rPr>
      </w:pPr>
      <w:r w:rsidRPr="00420F90">
        <w:rPr>
          <w:rFonts w:cs="Arial"/>
          <w:szCs w:val="20"/>
        </w:rPr>
        <w:t>A.</w:t>
      </w:r>
      <w:r w:rsidRPr="00420F90">
        <w:rPr>
          <w:rFonts w:cs="Arial"/>
        </w:rPr>
        <w:tab/>
      </w:r>
      <w:r w:rsidRPr="00420F90">
        <w:rPr>
          <w:rFonts w:cs="Arial"/>
          <w:u w:val="single"/>
        </w:rPr>
        <w:t>Budget after Transfers 201</w:t>
      </w:r>
      <w:r>
        <w:rPr>
          <w:rFonts w:cs="Arial"/>
          <w:u w:val="single"/>
        </w:rPr>
        <w:t>4/15</w:t>
      </w:r>
    </w:p>
    <w:p w:rsidR="007C62B7" w:rsidRDefault="007C62B7" w:rsidP="00FD7155">
      <w:pPr>
        <w:autoSpaceDE w:val="0"/>
        <w:autoSpaceDN w:val="0"/>
        <w:jc w:val="both"/>
        <w:rPr>
          <w:rFonts w:cs="Arial"/>
          <w:szCs w:val="20"/>
          <w:lang w:eastAsia="ko-KR"/>
        </w:rPr>
      </w:pPr>
    </w:p>
    <w:p w:rsidR="007C62B7" w:rsidRDefault="007C62B7" w:rsidP="007C62B7">
      <w:pPr>
        <w:pStyle w:val="ListParagraph"/>
        <w:numPr>
          <w:ilvl w:val="0"/>
          <w:numId w:val="72"/>
        </w:numPr>
        <w:tabs>
          <w:tab w:val="left" w:pos="709"/>
        </w:tabs>
        <w:autoSpaceDE w:val="0"/>
        <w:autoSpaceDN w:val="0"/>
        <w:ind w:left="0" w:firstLine="0"/>
        <w:jc w:val="both"/>
        <w:rPr>
          <w:rFonts w:cs="Arial"/>
          <w:lang w:eastAsia="ko-KR"/>
        </w:rPr>
      </w:pPr>
      <w:r w:rsidRPr="00B072A8">
        <w:rPr>
          <w:rFonts w:cs="Arial"/>
          <w:lang w:eastAsia="ko-KR"/>
        </w:rPr>
        <w:t xml:space="preserve">The </w:t>
      </w:r>
      <w:r>
        <w:rPr>
          <w:rFonts w:cs="Arial"/>
          <w:lang w:eastAsia="ko-KR"/>
        </w:rPr>
        <w:t xml:space="preserve">2014/15 </w:t>
      </w:r>
      <w:r w:rsidRPr="00B072A8">
        <w:rPr>
          <w:rFonts w:cs="Arial"/>
          <w:lang w:eastAsia="ko-KR"/>
        </w:rPr>
        <w:t>Budget after Transfer</w:t>
      </w:r>
      <w:r>
        <w:rPr>
          <w:rFonts w:cs="Arial"/>
          <w:lang w:eastAsia="ko-KR"/>
        </w:rPr>
        <w:t>s</w:t>
      </w:r>
      <w:r w:rsidRPr="00B072A8">
        <w:rPr>
          <w:rFonts w:cs="Arial"/>
          <w:lang w:eastAsia="ko-KR"/>
        </w:rPr>
        <w:t xml:space="preserve"> reflects a downward adjustment </w:t>
      </w:r>
      <w:r w:rsidRPr="00B072A8">
        <w:rPr>
          <w:rFonts w:eastAsia="Batang"/>
          <w:lang w:eastAsia="ko-KR"/>
        </w:rPr>
        <w:t xml:space="preserve">under Result I.1 (Development of balanced international normative frameworks for IP) </w:t>
      </w:r>
      <w:r w:rsidRPr="00775DAD">
        <w:rPr>
          <w:rFonts w:cs="Arial"/>
          <w:lang w:eastAsia="ko-KR"/>
        </w:rPr>
        <w:t xml:space="preserve">due to </w:t>
      </w:r>
      <w:r w:rsidRPr="00775DAD">
        <w:rPr>
          <w:rFonts w:eastAsia="Batang"/>
          <w:lang w:eastAsia="ko-KR"/>
        </w:rPr>
        <w:t xml:space="preserve">the </w:t>
      </w:r>
      <w:r>
        <w:rPr>
          <w:rFonts w:eastAsia="Batang"/>
          <w:lang w:eastAsia="ko-KR"/>
        </w:rPr>
        <w:t xml:space="preserve">transfer out of the Program </w:t>
      </w:r>
      <w:r w:rsidRPr="00775DAD">
        <w:rPr>
          <w:rFonts w:eastAsia="Batang"/>
          <w:lang w:eastAsia="ko-KR"/>
        </w:rPr>
        <w:t xml:space="preserve">of </w:t>
      </w:r>
      <w:r>
        <w:rPr>
          <w:rFonts w:eastAsia="Batang"/>
          <w:lang w:eastAsia="ko-KR"/>
        </w:rPr>
        <w:t xml:space="preserve">non-personnel </w:t>
      </w:r>
      <w:r w:rsidRPr="00775DAD">
        <w:rPr>
          <w:rFonts w:eastAsia="Batang"/>
          <w:lang w:eastAsia="ko-KR"/>
        </w:rPr>
        <w:t xml:space="preserve">resources initially budgeted for </w:t>
      </w:r>
      <w:r>
        <w:rPr>
          <w:rFonts w:eastAsia="Batang"/>
          <w:lang w:eastAsia="ko-KR"/>
        </w:rPr>
        <w:t>a</w:t>
      </w:r>
      <w:r w:rsidRPr="00775DAD">
        <w:rPr>
          <w:rFonts w:eastAsia="Batang"/>
          <w:lang w:eastAsia="ko-KR"/>
        </w:rPr>
        <w:t xml:space="preserve"> possible Diplomatic Conference</w:t>
      </w:r>
      <w:r>
        <w:rPr>
          <w:rFonts w:eastAsia="Batang"/>
          <w:lang w:eastAsia="ko-KR"/>
        </w:rPr>
        <w:t>.</w:t>
      </w:r>
    </w:p>
    <w:p w:rsidR="007C62B7" w:rsidRDefault="007C62B7" w:rsidP="00FD7155">
      <w:pPr>
        <w:autoSpaceDE w:val="0"/>
        <w:autoSpaceDN w:val="0"/>
        <w:jc w:val="both"/>
        <w:rPr>
          <w:rFonts w:cs="Arial"/>
          <w:szCs w:val="20"/>
          <w:lang w:eastAsia="ko-KR"/>
        </w:rPr>
      </w:pPr>
    </w:p>
    <w:p w:rsidR="007C62B7" w:rsidRDefault="007C62B7" w:rsidP="00FD7155">
      <w:pPr>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Budget utilization 2014</w:t>
      </w:r>
    </w:p>
    <w:p w:rsidR="007C62B7" w:rsidRDefault="007C62B7" w:rsidP="00FD7155">
      <w:pPr>
        <w:tabs>
          <w:tab w:val="left" w:pos="709"/>
        </w:tabs>
        <w:jc w:val="both"/>
        <w:rPr>
          <w:rFonts w:cs="Arial"/>
          <w:szCs w:val="20"/>
          <w:u w:val="single"/>
          <w:lang w:eastAsia="ko-KR"/>
        </w:rPr>
      </w:pPr>
    </w:p>
    <w:p w:rsidR="007C62B7" w:rsidRDefault="007C62B7" w:rsidP="007C62B7">
      <w:pPr>
        <w:pStyle w:val="ListParagraph"/>
        <w:numPr>
          <w:ilvl w:val="0"/>
          <w:numId w:val="72"/>
        </w:numPr>
        <w:tabs>
          <w:tab w:val="left" w:pos="709"/>
        </w:tabs>
        <w:autoSpaceDE w:val="0"/>
        <w:autoSpaceDN w:val="0"/>
        <w:ind w:left="0" w:firstLine="0"/>
        <w:jc w:val="both"/>
        <w:rPr>
          <w:rFonts w:eastAsia="Batang" w:cs="Arial"/>
          <w:lang w:eastAsia="ko-KR"/>
        </w:rPr>
      </w:pPr>
      <w:r w:rsidRPr="00B072A8">
        <w:rPr>
          <w:rFonts w:eastAsia="Batang" w:cs="Arial"/>
          <w:lang w:eastAsia="ko-KR"/>
        </w:rPr>
        <w:t>The under</w:t>
      </w:r>
      <w:r w:rsidRPr="00775DAD">
        <w:rPr>
          <w:rFonts w:eastAsia="Batang" w:cs="Arial"/>
          <w:lang w:eastAsia="ko-KR"/>
        </w:rPr>
        <w:t>-utilization of non-personnel resources resulted primarily from</w:t>
      </w:r>
      <w:r>
        <w:rPr>
          <w:rFonts w:eastAsia="Batang" w:cs="Arial"/>
          <w:lang w:eastAsia="ko-KR"/>
        </w:rPr>
        <w:t>:</w:t>
      </w:r>
    </w:p>
    <w:p w:rsidR="007C62B7" w:rsidRDefault="007C62B7" w:rsidP="00FD7155">
      <w:pPr>
        <w:pStyle w:val="ListParagraph"/>
        <w:tabs>
          <w:tab w:val="left" w:pos="709"/>
        </w:tabs>
        <w:autoSpaceDE w:val="0"/>
        <w:autoSpaceDN w:val="0"/>
        <w:ind w:left="0"/>
        <w:jc w:val="both"/>
        <w:rPr>
          <w:rFonts w:eastAsia="Batang" w:cs="Arial"/>
          <w:lang w:eastAsia="ko-KR"/>
        </w:rPr>
      </w:pPr>
    </w:p>
    <w:p w:rsidR="007C62B7" w:rsidRPr="00D92815" w:rsidRDefault="007C62B7" w:rsidP="007C62B7">
      <w:pPr>
        <w:pStyle w:val="ListParagraph"/>
        <w:numPr>
          <w:ilvl w:val="0"/>
          <w:numId w:val="71"/>
        </w:numPr>
        <w:spacing w:after="120"/>
        <w:ind w:left="1134" w:hanging="425"/>
        <w:jc w:val="both"/>
      </w:pPr>
      <w:r>
        <w:rPr>
          <w:rFonts w:eastAsia="Batang" w:cs="Arial"/>
          <w:lang w:eastAsia="ko-KR"/>
        </w:rPr>
        <w:t xml:space="preserve">the postponement of the Diplomatic Conference under I.1 </w:t>
      </w:r>
      <w:r w:rsidRPr="00CD17D0">
        <w:rPr>
          <w:rFonts w:eastAsia="Batang" w:cs="Arial"/>
          <w:lang w:eastAsia="ko-KR"/>
        </w:rPr>
        <w:t>(Development of balanced internation</w:t>
      </w:r>
      <w:r>
        <w:rPr>
          <w:rFonts w:eastAsia="Batang" w:cs="Arial"/>
          <w:lang w:eastAsia="ko-KR"/>
        </w:rPr>
        <w:t>al normative frameworks for IP);</w:t>
      </w:r>
    </w:p>
    <w:p w:rsidR="007C62B7" w:rsidRDefault="007C62B7" w:rsidP="007C62B7">
      <w:pPr>
        <w:pStyle w:val="ListParagraph"/>
        <w:numPr>
          <w:ilvl w:val="0"/>
          <w:numId w:val="71"/>
        </w:numPr>
        <w:spacing w:after="120"/>
        <w:ind w:left="1134" w:hanging="425"/>
        <w:jc w:val="both"/>
      </w:pPr>
      <w:r w:rsidRPr="002C501E">
        <w:rPr>
          <w:rFonts w:eastAsia="Batang" w:cs="Arial"/>
          <w:lang w:eastAsia="ko-KR"/>
        </w:rPr>
        <w:t xml:space="preserve">cost savings due to a reduction in staff missions under </w:t>
      </w:r>
      <w:r>
        <w:t>Result I.2 (L</w:t>
      </w:r>
      <w:r w:rsidRPr="00E106DA">
        <w:t>egislative</w:t>
      </w:r>
      <w:r>
        <w:t xml:space="preserve"> advice); and</w:t>
      </w:r>
    </w:p>
    <w:p w:rsidR="007C62B7" w:rsidRDefault="007C62B7" w:rsidP="007C62B7">
      <w:pPr>
        <w:pStyle w:val="ListParagraph"/>
        <w:numPr>
          <w:ilvl w:val="0"/>
          <w:numId w:val="71"/>
        </w:numPr>
        <w:ind w:left="1134" w:hanging="425"/>
        <w:jc w:val="both"/>
      </w:pPr>
      <w:proofErr w:type="gramStart"/>
      <w:r>
        <w:t>a</w:t>
      </w:r>
      <w:proofErr w:type="gramEnd"/>
      <w:r>
        <w:t xml:space="preserve"> delay in the recruitment of a project manager for the </w:t>
      </w:r>
      <w:r w:rsidRPr="00CD17D0">
        <w:t>DA Pilot Project on IP and Design Management for Business Development in Developing and Least Developed Countries</w:t>
      </w:r>
      <w:r>
        <w:t>,</w:t>
      </w:r>
      <w:r w:rsidRPr="00CD17D0">
        <w:t xml:space="preserve"> </w:t>
      </w:r>
      <w:r>
        <w:t>reflected under III.4 (S</w:t>
      </w:r>
      <w:r w:rsidRPr="00CD17D0">
        <w:t>tre</w:t>
      </w:r>
      <w:r>
        <w:t>ngthened cooperation mechanisms and programs tailored to the needs of developing countries and</w:t>
      </w:r>
      <w:r w:rsidRPr="00CD17D0">
        <w:t xml:space="preserve"> LDCs)</w:t>
      </w:r>
      <w:r>
        <w:t>.</w:t>
      </w:r>
    </w:p>
    <w:p w:rsidR="007C62B7" w:rsidRDefault="007C62B7" w:rsidP="00FD7155">
      <w:pPr>
        <w:pStyle w:val="ListParagraph"/>
        <w:ind w:left="1134"/>
        <w:jc w:val="both"/>
      </w:pPr>
    </w:p>
    <w:p w:rsidR="00F153C1" w:rsidRDefault="00F153C1"/>
    <w:p w:rsidR="00A2049F" w:rsidRDefault="00A2049F">
      <w:r>
        <w:br w:type="page"/>
      </w:r>
    </w:p>
    <w:p w:rsidR="00B11299" w:rsidRPr="001243AF" w:rsidRDefault="00B11299" w:rsidP="00A06215">
      <w:pPr>
        <w:pStyle w:val="Heading2"/>
        <w:tabs>
          <w:tab w:val="clear" w:pos="567"/>
          <w:tab w:val="left" w:pos="1985"/>
        </w:tabs>
        <w:ind w:left="1985" w:hanging="1985"/>
      </w:pPr>
      <w:bookmarkStart w:id="50" w:name="_Toc422210479"/>
      <w:r w:rsidRPr="001243AF">
        <w:lastRenderedPageBreak/>
        <w:t xml:space="preserve">PROGRAM </w:t>
      </w:r>
      <w:r w:rsidR="00A06215">
        <w:t>3</w:t>
      </w:r>
      <w:r w:rsidR="00A06215">
        <w:tab/>
      </w:r>
      <w:r>
        <w:t>COPYRIGHT AND RELATED RIGHTS</w:t>
      </w:r>
      <w:bookmarkEnd w:id="50"/>
    </w:p>
    <w:p w:rsidR="00B11299" w:rsidRPr="00383D2D" w:rsidRDefault="00B11299" w:rsidP="00B11299">
      <w:pPr>
        <w:rPr>
          <w:szCs w:val="20"/>
        </w:rPr>
      </w:pPr>
    </w:p>
    <w:p w:rsidR="00B11299" w:rsidRPr="00757BD0" w:rsidRDefault="00B11299" w:rsidP="00B11299">
      <w:pPr>
        <w:tabs>
          <w:tab w:val="left" w:pos="1985"/>
        </w:tabs>
        <w:rPr>
          <w:b/>
          <w:szCs w:val="22"/>
        </w:rPr>
      </w:pPr>
      <w:r w:rsidRPr="00757BD0">
        <w:rPr>
          <w:b/>
          <w:szCs w:val="22"/>
        </w:rPr>
        <w:t>Program Manager</w:t>
      </w:r>
      <w:r w:rsidRPr="00757BD0">
        <w:rPr>
          <w:b/>
          <w:szCs w:val="22"/>
        </w:rPr>
        <w:tab/>
        <w:t>Ms. A. Leer</w:t>
      </w:r>
    </w:p>
    <w:p w:rsidR="00B11299" w:rsidRPr="008F4A6D" w:rsidRDefault="00B11299" w:rsidP="00B11299">
      <w:pPr>
        <w:rPr>
          <w:szCs w:val="20"/>
        </w:rPr>
      </w:pPr>
    </w:p>
    <w:p w:rsidR="00B11299" w:rsidRPr="001C6F4D" w:rsidRDefault="00B11299" w:rsidP="00B11299">
      <w:pPr>
        <w:rPr>
          <w:szCs w:val="20"/>
        </w:rPr>
      </w:pPr>
    </w:p>
    <w:p w:rsidR="00A06215" w:rsidRPr="005E6AFC" w:rsidRDefault="00A06215" w:rsidP="000E148D">
      <w:pPr>
        <w:rPr>
          <w:bCs/>
          <w:sz w:val="22"/>
          <w:szCs w:val="22"/>
        </w:rPr>
      </w:pPr>
      <w:r>
        <w:rPr>
          <w:bCs/>
          <w:sz w:val="22"/>
          <w:szCs w:val="22"/>
        </w:rPr>
        <w:t>OVERVIEW OF PROGRESS IN 2014</w:t>
      </w:r>
    </w:p>
    <w:p w:rsidR="00A06215" w:rsidRDefault="00A06215" w:rsidP="000E148D">
      <w:pPr>
        <w:rPr>
          <w:szCs w:val="20"/>
        </w:rPr>
      </w:pPr>
    </w:p>
    <w:p w:rsidR="00A06215" w:rsidRPr="00CF2880" w:rsidRDefault="00A06215" w:rsidP="00A06215">
      <w:pPr>
        <w:pStyle w:val="ListParagraph"/>
        <w:numPr>
          <w:ilvl w:val="0"/>
          <w:numId w:val="102"/>
        </w:numPr>
        <w:tabs>
          <w:tab w:val="left" w:pos="0"/>
          <w:tab w:val="left" w:pos="709"/>
        </w:tabs>
        <w:ind w:left="0" w:firstLine="0"/>
        <w:jc w:val="both"/>
        <w:rPr>
          <w:rFonts w:cs="Arial"/>
        </w:rPr>
      </w:pPr>
      <w:r w:rsidRPr="00CF2880">
        <w:rPr>
          <w:rFonts w:eastAsia="SimSun" w:cs="Arial"/>
          <w:bCs/>
          <w:lang w:eastAsia="zh-CN"/>
        </w:rPr>
        <w:t>The work of this Program</w:t>
      </w:r>
      <w:r w:rsidRPr="00CF2880">
        <w:rPr>
          <w:rFonts w:eastAsia="SimSun" w:cs="Arial"/>
          <w:b/>
          <w:bCs/>
          <w:lang w:eastAsia="zh-CN"/>
        </w:rPr>
        <w:t xml:space="preserve"> </w:t>
      </w:r>
      <w:r w:rsidRPr="00CF2880">
        <w:rPr>
          <w:rFonts w:eastAsia="SimSun" w:cs="Arial"/>
          <w:bCs/>
          <w:lang w:eastAsia="zh-CN"/>
        </w:rPr>
        <w:t xml:space="preserve">in 2014 focused on achieving the Expected Results in three broad areas:  advancing the normative work in the </w:t>
      </w:r>
      <w:r w:rsidRPr="00CF2880">
        <w:rPr>
          <w:rFonts w:eastAsia="SimSun" w:cs="Arial"/>
          <w:lang w:eastAsia="zh-CN"/>
        </w:rPr>
        <w:t>Standing Committee on Copyright and Related Rights (</w:t>
      </w:r>
      <w:r w:rsidRPr="00CF2880">
        <w:rPr>
          <w:rFonts w:eastAsia="SimSun" w:cs="Arial"/>
          <w:bCs/>
          <w:lang w:eastAsia="zh-CN"/>
        </w:rPr>
        <w:t xml:space="preserve">SCCR), strengthening the development of copyright infrastructure, and enhancing the institutional and human capacity in developing countries and LDCs, with a view to using the copyright system to exploit the economic potential </w:t>
      </w:r>
      <w:r>
        <w:rPr>
          <w:rFonts w:eastAsia="SimSun" w:cs="Arial"/>
          <w:bCs/>
          <w:lang w:eastAsia="zh-CN"/>
        </w:rPr>
        <w:t>of</w:t>
      </w:r>
      <w:r w:rsidRPr="00CF2880">
        <w:rPr>
          <w:rFonts w:eastAsia="SimSun" w:cs="Arial"/>
          <w:bCs/>
          <w:lang w:eastAsia="zh-CN"/>
        </w:rPr>
        <w:t xml:space="preserve"> their cultur</w:t>
      </w:r>
      <w:r>
        <w:rPr>
          <w:rFonts w:eastAsia="SimSun" w:cs="Arial"/>
          <w:bCs/>
          <w:lang w:eastAsia="zh-CN"/>
        </w:rPr>
        <w:t>al and creative industries</w:t>
      </w:r>
      <w:r w:rsidRPr="00CF2880">
        <w:rPr>
          <w:rFonts w:eastAsia="SimSun" w:cs="Arial"/>
          <w:bCs/>
          <w:lang w:eastAsia="zh-CN"/>
        </w:rPr>
        <w:t>.  Significant progress has been made in each of these areas, as demonstrated by the performance indicators discussed below.</w:t>
      </w:r>
    </w:p>
    <w:p w:rsidR="00A06215" w:rsidRPr="00F46671" w:rsidRDefault="00A06215" w:rsidP="00CE4C9D">
      <w:pPr>
        <w:jc w:val="both"/>
        <w:rPr>
          <w:rFonts w:cs="Arial"/>
          <w:szCs w:val="20"/>
        </w:rPr>
      </w:pPr>
    </w:p>
    <w:p w:rsidR="00A06215" w:rsidRPr="00F46671" w:rsidRDefault="00A06215" w:rsidP="00CE4C9D">
      <w:pPr>
        <w:keepNext/>
        <w:keepLines/>
        <w:jc w:val="both"/>
        <w:rPr>
          <w:rFonts w:eastAsia="SimSun" w:cs="Arial"/>
          <w:bCs/>
          <w:szCs w:val="20"/>
          <w:u w:val="single"/>
          <w:lang w:eastAsia="zh-CN"/>
        </w:rPr>
      </w:pPr>
      <w:r w:rsidRPr="00F46671">
        <w:rPr>
          <w:rFonts w:eastAsia="SimSun" w:cs="Arial"/>
          <w:bCs/>
          <w:szCs w:val="20"/>
          <w:u w:val="single"/>
          <w:lang w:eastAsia="zh-CN"/>
        </w:rPr>
        <w:t>Normative and Policy Related Work</w:t>
      </w:r>
    </w:p>
    <w:p w:rsidR="00A06215" w:rsidRPr="00F46671" w:rsidRDefault="00A06215" w:rsidP="00CE4C9D">
      <w:pPr>
        <w:keepNext/>
        <w:keepLines/>
        <w:jc w:val="both"/>
        <w:rPr>
          <w:rFonts w:eastAsia="SimSun" w:cs="Arial"/>
          <w:bCs/>
          <w:szCs w:val="20"/>
          <w:lang w:eastAsia="zh-CN"/>
        </w:rPr>
      </w:pPr>
    </w:p>
    <w:p w:rsidR="00A06215" w:rsidRDefault="00A06215" w:rsidP="00A06215">
      <w:pPr>
        <w:pStyle w:val="ListParagraph"/>
        <w:numPr>
          <w:ilvl w:val="0"/>
          <w:numId w:val="102"/>
        </w:numPr>
        <w:tabs>
          <w:tab w:val="left" w:pos="0"/>
          <w:tab w:val="left" w:pos="709"/>
        </w:tabs>
        <w:ind w:left="0" w:firstLine="0"/>
        <w:jc w:val="both"/>
        <w:rPr>
          <w:rFonts w:eastAsia="SimSun" w:cs="Arial"/>
          <w:bCs/>
          <w:lang w:eastAsia="zh-CN"/>
        </w:rPr>
      </w:pPr>
      <w:r w:rsidRPr="00F46671">
        <w:rPr>
          <w:rFonts w:eastAsia="SimSun" w:cs="Arial"/>
          <w:bCs/>
          <w:lang w:eastAsia="zh-CN"/>
        </w:rPr>
        <w:t xml:space="preserve">The progress of the </w:t>
      </w:r>
      <w:r w:rsidRPr="00CF2880">
        <w:rPr>
          <w:rFonts w:eastAsia="SimSun" w:cs="Arial"/>
          <w:bCs/>
          <w:lang w:eastAsia="zh-CN"/>
        </w:rPr>
        <w:t xml:space="preserve">two new copyright treaties toward entry into force continued in 2014.  The Beijing Treaty on Audiovisual Performances (Beijing Treaty) obtained four additional ratifications and accessions (China, Japan, Slovakia, United Arab Emirates) for a total of six of the thirty needed to bring it into force.  The Marrakesh Treaty to Facilitate Access to Published Works for Persons Who Are Blind, Visually Impaired or Otherwise Print Disabled (Marrakesh VIP Treaty) obtained a total of 80 signatures by the June deadline, as well as its first five ratifications and accessions (El Salvador, India, Mali, United Arab Emirates, Uruguay) toward the twenty needed to bring it into force.  The ratification/accession targets requested for the 2014/15 biennium for these treaties at the twentieth session of the Program and Budget Committee were quite ambitious given the need to hold resource allocations to their proposed levels; however assisting Member States with treaty ratification was and remains a priority for the Program, with a likelihood that the Marrakesh VIP Treaty target may be met by the end of the biennium.  </w:t>
      </w:r>
    </w:p>
    <w:p w:rsidR="00A06215" w:rsidRPr="00CF2880" w:rsidRDefault="00A06215" w:rsidP="00CE4C9D">
      <w:pPr>
        <w:pStyle w:val="ListParagraph"/>
        <w:tabs>
          <w:tab w:val="left" w:pos="0"/>
          <w:tab w:val="left" w:pos="709"/>
        </w:tabs>
        <w:ind w:left="0"/>
        <w:jc w:val="both"/>
        <w:rPr>
          <w:rFonts w:eastAsia="SimSun" w:cs="Arial"/>
          <w:bCs/>
          <w:lang w:eastAsia="zh-CN"/>
        </w:rPr>
      </w:pPr>
    </w:p>
    <w:p w:rsidR="00A06215" w:rsidRPr="00CF2880" w:rsidRDefault="00A06215" w:rsidP="00A06215">
      <w:pPr>
        <w:pStyle w:val="ListParagraph"/>
        <w:numPr>
          <w:ilvl w:val="0"/>
          <w:numId w:val="102"/>
        </w:numPr>
        <w:tabs>
          <w:tab w:val="left" w:pos="0"/>
          <w:tab w:val="left" w:pos="709"/>
        </w:tabs>
        <w:ind w:left="0" w:firstLine="0"/>
        <w:jc w:val="both"/>
        <w:rPr>
          <w:rFonts w:eastAsia="SimSun" w:cs="Arial"/>
          <w:bCs/>
          <w:lang w:eastAsia="zh-CN"/>
        </w:rPr>
      </w:pPr>
      <w:r w:rsidRPr="00CF2880">
        <w:rPr>
          <w:rFonts w:eastAsia="SimSun" w:cs="Arial"/>
          <w:bCs/>
          <w:lang w:eastAsia="zh-CN"/>
        </w:rPr>
        <w:t xml:space="preserve">The Program’s SCCR norm-setting activities were inclusive and member-driven (Recommendation 15), duly considering the boundaries, role and contours of the public domain (Recommendations 16 and 20) and taking into account flexibilities in international IP agreements (Recommendation 17).  </w:t>
      </w:r>
    </w:p>
    <w:p w:rsidR="00A06215" w:rsidRPr="00CF2880" w:rsidRDefault="00A06215" w:rsidP="00CE4C9D">
      <w:pPr>
        <w:pStyle w:val="ListParagraph"/>
        <w:tabs>
          <w:tab w:val="left" w:pos="0"/>
          <w:tab w:val="left" w:pos="709"/>
        </w:tabs>
        <w:ind w:left="0"/>
        <w:jc w:val="both"/>
        <w:rPr>
          <w:rFonts w:eastAsia="SimSun" w:cs="Arial"/>
          <w:bCs/>
          <w:lang w:eastAsia="zh-CN"/>
        </w:rPr>
      </w:pPr>
    </w:p>
    <w:p w:rsidR="00A06215" w:rsidRDefault="00A06215" w:rsidP="00A06215">
      <w:pPr>
        <w:pStyle w:val="ListParagraph"/>
        <w:numPr>
          <w:ilvl w:val="0"/>
          <w:numId w:val="102"/>
        </w:numPr>
        <w:tabs>
          <w:tab w:val="left" w:pos="0"/>
          <w:tab w:val="left" w:pos="709"/>
        </w:tabs>
        <w:ind w:left="0" w:firstLine="0"/>
        <w:jc w:val="both"/>
        <w:rPr>
          <w:rFonts w:eastAsia="SimSun" w:cs="Arial"/>
          <w:bCs/>
          <w:lang w:eastAsia="zh-CN"/>
        </w:rPr>
      </w:pPr>
      <w:r w:rsidRPr="00CF2880">
        <w:rPr>
          <w:rFonts w:eastAsia="SimSun" w:cs="Arial"/>
          <w:bCs/>
          <w:lang w:eastAsia="zh-CN"/>
        </w:rPr>
        <w:t xml:space="preserve">Legislative advice on copyright and related rights issues provided to Member States, at their request, was development-oriented, balanced and tailored to unique Member State situations, in accordance with DA principles (Recommendation 13), and bore in mind the applicable flexibilities relevant to countries at differing levels of development (Recommendations 14 and 17).  In 2014, advice was provided to 16 Member States in various regions.  Requests for such advice increased in 2014, in part due to the interest of Member States in joining the Beijing Treaty and the Marrakesh VIP Treaty.  Advice on the new ten-year regime of the Berne Appendix was also provided to developing countries and LDCs upon request. </w:t>
      </w:r>
    </w:p>
    <w:p w:rsidR="00A06215" w:rsidRPr="00CF2880" w:rsidRDefault="00A06215" w:rsidP="00CE4C9D">
      <w:pPr>
        <w:pStyle w:val="ListParagraph"/>
        <w:tabs>
          <w:tab w:val="left" w:pos="0"/>
          <w:tab w:val="left" w:pos="709"/>
        </w:tabs>
        <w:ind w:left="0"/>
        <w:jc w:val="both"/>
        <w:rPr>
          <w:rFonts w:eastAsia="SimSun" w:cs="Arial"/>
          <w:bCs/>
          <w:lang w:eastAsia="zh-CN"/>
        </w:rPr>
      </w:pPr>
    </w:p>
    <w:p w:rsidR="00A06215" w:rsidRPr="00CF2880" w:rsidRDefault="00A06215" w:rsidP="00A06215">
      <w:pPr>
        <w:pStyle w:val="ListParagraph"/>
        <w:numPr>
          <w:ilvl w:val="0"/>
          <w:numId w:val="102"/>
        </w:numPr>
        <w:tabs>
          <w:tab w:val="left" w:pos="0"/>
          <w:tab w:val="left" w:pos="709"/>
        </w:tabs>
        <w:ind w:left="0" w:firstLine="0"/>
        <w:jc w:val="both"/>
        <w:rPr>
          <w:rFonts w:eastAsia="SimSun" w:cs="Arial"/>
          <w:bCs/>
          <w:lang w:eastAsia="zh-CN"/>
        </w:rPr>
      </w:pPr>
      <w:r w:rsidRPr="00CF2880">
        <w:rPr>
          <w:rFonts w:eastAsia="SimSun" w:cs="Arial"/>
          <w:bCs/>
          <w:lang w:eastAsia="zh-CN"/>
        </w:rPr>
        <w:t xml:space="preserve">Further discussions were held on the other items on the agenda of the SCCR during the three meetings held in April/May 2014, June/July 2014, and December 2014.  The SCCR discussions addressed a proposed treaty for broadcasting organizations and limitations and exceptions related to libraries and archives, educational and research institutions, and persons with other disabilities.  SCCR negotiations were based upon open and balanced consultations (Recommendations 21 and 42) while being supportive of UN development goals (Recommendation 22).  </w:t>
      </w:r>
    </w:p>
    <w:p w:rsidR="00A06215" w:rsidRPr="00CF2880" w:rsidRDefault="00A06215" w:rsidP="00CE4C9D">
      <w:pPr>
        <w:pStyle w:val="ListParagraph"/>
        <w:tabs>
          <w:tab w:val="left" w:pos="0"/>
          <w:tab w:val="left" w:pos="709"/>
        </w:tabs>
        <w:ind w:left="0"/>
        <w:jc w:val="both"/>
        <w:rPr>
          <w:rFonts w:eastAsia="SimSun" w:cs="Arial"/>
          <w:bCs/>
          <w:lang w:eastAsia="zh-CN"/>
        </w:rPr>
      </w:pPr>
    </w:p>
    <w:p w:rsidR="00A06215" w:rsidRPr="00CF2880" w:rsidRDefault="00A06215" w:rsidP="00A06215">
      <w:pPr>
        <w:pStyle w:val="ListParagraph"/>
        <w:numPr>
          <w:ilvl w:val="0"/>
          <w:numId w:val="102"/>
        </w:numPr>
        <w:tabs>
          <w:tab w:val="left" w:pos="0"/>
          <w:tab w:val="left" w:pos="709"/>
        </w:tabs>
        <w:ind w:left="0" w:firstLine="0"/>
        <w:jc w:val="both"/>
        <w:rPr>
          <w:rFonts w:eastAsia="SimSun" w:cs="Arial"/>
          <w:bCs/>
          <w:lang w:eastAsia="zh-CN"/>
        </w:rPr>
      </w:pPr>
      <w:r w:rsidRPr="00CF2880">
        <w:rPr>
          <w:rFonts w:eastAsia="SimSun" w:cs="Arial"/>
          <w:bCs/>
          <w:lang w:eastAsia="zh-CN"/>
        </w:rPr>
        <w:t xml:space="preserve">Moreover, good progress was also made on a variety of projects aimed at enhancing WIPO’s role in copyright in the digital environment.  The Program was engaged in a number of activities in different fora, such the World Summit on the Information Society, the Internet Governance Forum and the World Economic Forum, aimed at raising awareness of relevant copyright-related topics, including user-generated content, legal protection of video games, and emerging licensing modalities. </w:t>
      </w:r>
    </w:p>
    <w:p w:rsidR="00A06215" w:rsidRDefault="00A06215" w:rsidP="00CE4C9D">
      <w:pPr>
        <w:tabs>
          <w:tab w:val="left" w:pos="709"/>
        </w:tabs>
        <w:jc w:val="both"/>
        <w:rPr>
          <w:rFonts w:eastAsia="SimSun" w:cs="Arial"/>
          <w:szCs w:val="20"/>
          <w:lang w:eastAsia="zh-CN"/>
        </w:rPr>
      </w:pPr>
    </w:p>
    <w:p w:rsidR="00A06215" w:rsidRPr="00F46671" w:rsidRDefault="00A06215" w:rsidP="00CE4C9D">
      <w:pPr>
        <w:tabs>
          <w:tab w:val="left" w:pos="709"/>
        </w:tabs>
        <w:jc w:val="both"/>
        <w:rPr>
          <w:rFonts w:cs="Arial"/>
          <w:szCs w:val="20"/>
          <w:u w:val="single"/>
        </w:rPr>
      </w:pPr>
      <w:r w:rsidRPr="00F46671">
        <w:rPr>
          <w:rFonts w:cs="Arial"/>
          <w:szCs w:val="20"/>
          <w:u w:val="single"/>
        </w:rPr>
        <w:t>Copyright Infrastructure</w:t>
      </w:r>
    </w:p>
    <w:p w:rsidR="00A06215" w:rsidRPr="00F46671" w:rsidRDefault="00A06215" w:rsidP="00CE4C9D">
      <w:pPr>
        <w:tabs>
          <w:tab w:val="left" w:pos="709"/>
        </w:tabs>
        <w:jc w:val="both"/>
        <w:rPr>
          <w:rFonts w:cs="Arial"/>
          <w:szCs w:val="20"/>
        </w:rPr>
      </w:pPr>
    </w:p>
    <w:p w:rsidR="00A06215" w:rsidRPr="00F46671" w:rsidRDefault="00A06215" w:rsidP="00A06215">
      <w:pPr>
        <w:pStyle w:val="ListParagraph"/>
        <w:numPr>
          <w:ilvl w:val="0"/>
          <w:numId w:val="102"/>
        </w:numPr>
        <w:tabs>
          <w:tab w:val="left" w:pos="0"/>
          <w:tab w:val="left" w:pos="709"/>
        </w:tabs>
        <w:ind w:left="0" w:firstLine="0"/>
        <w:jc w:val="both"/>
        <w:rPr>
          <w:rFonts w:cs="Arial"/>
          <w:lang w:val="en-GB" w:eastAsia="fr-FR"/>
        </w:rPr>
      </w:pPr>
      <w:r w:rsidRPr="00CF2880">
        <w:rPr>
          <w:rFonts w:eastAsia="SimSun" w:cs="Arial"/>
          <w:bCs/>
          <w:lang w:eastAsia="zh-CN"/>
        </w:rPr>
        <w:t>During</w:t>
      </w:r>
      <w:r w:rsidRPr="00F46671">
        <w:rPr>
          <w:rFonts w:cs="Arial"/>
        </w:rPr>
        <w:t xml:space="preserve"> 2014, progress was made in establishing a new, voluntary, international quality assurance standard for collective management known as the “</w:t>
      </w:r>
      <w:r w:rsidRPr="00F46671">
        <w:rPr>
          <w:rFonts w:cs="Arial"/>
          <w:i/>
        </w:rPr>
        <w:t>TAG of Excellence</w:t>
      </w:r>
      <w:r w:rsidRPr="00F46671">
        <w:rPr>
          <w:rFonts w:cs="Arial"/>
        </w:rPr>
        <w:t xml:space="preserve">” (i.e. excellence in transparency, accountability and governance).  Reaction to the proposed new standard has been positive.  Most of the international trade associations involved with collective management organizations (CMOs) have formed </w:t>
      </w:r>
      <w:r w:rsidRPr="00F46671">
        <w:rPr>
          <w:rFonts w:cs="Arial"/>
        </w:rPr>
        <w:lastRenderedPageBreak/>
        <w:t>a Consortium</w:t>
      </w:r>
      <w:r>
        <w:rPr>
          <w:rFonts w:cs="Arial"/>
        </w:rPr>
        <w:t>,</w:t>
      </w:r>
      <w:r w:rsidRPr="00F46671">
        <w:rPr>
          <w:rFonts w:cs="Arial"/>
        </w:rPr>
        <w:t xml:space="preserve"> which has agreed to a </w:t>
      </w:r>
      <w:r>
        <w:rPr>
          <w:rFonts w:cs="Arial"/>
        </w:rPr>
        <w:t>c</w:t>
      </w:r>
      <w:r w:rsidRPr="00F46671">
        <w:rPr>
          <w:rFonts w:cs="Arial"/>
        </w:rPr>
        <w:t xml:space="preserve">ompendium of principles that will form the foundation of the </w:t>
      </w:r>
      <w:r w:rsidRPr="00F46671">
        <w:rPr>
          <w:rFonts w:cs="Arial"/>
          <w:i/>
        </w:rPr>
        <w:t>TAG</w:t>
      </w:r>
      <w:r w:rsidRPr="00F46671">
        <w:rPr>
          <w:rFonts w:cs="Arial"/>
        </w:rPr>
        <w:t xml:space="preserve"> norms.  The initiative has attracted considerable support from individual CMOs and governments in both the developing and developed world</w:t>
      </w:r>
      <w:r>
        <w:rPr>
          <w:rFonts w:cs="Arial"/>
          <w:lang w:val="en-GB" w:eastAsia="fr-FR"/>
        </w:rPr>
        <w:t xml:space="preserve"> </w:t>
      </w:r>
      <w:r>
        <w:rPr>
          <w:rFonts w:cs="Arial"/>
        </w:rPr>
        <w:t>(nine governments and 61</w:t>
      </w:r>
      <w:r w:rsidRPr="00F46671">
        <w:rPr>
          <w:rFonts w:cs="Arial"/>
        </w:rPr>
        <w:t xml:space="preserve"> CMOs have </w:t>
      </w:r>
      <w:r>
        <w:rPr>
          <w:rFonts w:cs="Arial"/>
        </w:rPr>
        <w:t>signed expressions of</w:t>
      </w:r>
      <w:r w:rsidRPr="00F46671">
        <w:rPr>
          <w:rFonts w:cs="Arial"/>
        </w:rPr>
        <w:t xml:space="preserve"> interest)</w:t>
      </w:r>
      <w:r>
        <w:rPr>
          <w:rFonts w:cs="Arial"/>
        </w:rPr>
        <w:t>.</w:t>
      </w:r>
    </w:p>
    <w:p w:rsidR="00A06215" w:rsidRPr="00F46671" w:rsidRDefault="00A06215" w:rsidP="00CE4C9D">
      <w:pPr>
        <w:tabs>
          <w:tab w:val="left" w:pos="709"/>
        </w:tabs>
        <w:jc w:val="both"/>
        <w:rPr>
          <w:rFonts w:cs="Arial"/>
          <w:szCs w:val="20"/>
          <w:lang w:val="en-GB" w:eastAsia="fr-FR"/>
        </w:rPr>
      </w:pPr>
    </w:p>
    <w:p w:rsidR="00A06215" w:rsidRPr="00CF2880" w:rsidRDefault="00A06215" w:rsidP="00A06215">
      <w:pPr>
        <w:pStyle w:val="ListParagraph"/>
        <w:numPr>
          <w:ilvl w:val="0"/>
          <w:numId w:val="102"/>
        </w:numPr>
        <w:tabs>
          <w:tab w:val="left" w:pos="0"/>
          <w:tab w:val="left" w:pos="709"/>
        </w:tabs>
        <w:ind w:left="0" w:firstLine="0"/>
        <w:jc w:val="both"/>
        <w:rPr>
          <w:rFonts w:eastAsia="SimSun" w:cs="Arial"/>
          <w:bCs/>
          <w:lang w:eastAsia="zh-CN"/>
        </w:rPr>
      </w:pPr>
      <w:r w:rsidRPr="00F46671">
        <w:rPr>
          <w:rFonts w:cs="Arial"/>
          <w:lang w:val="en-GB" w:eastAsia="fr-FR"/>
        </w:rPr>
        <w:t>3.</w:t>
      </w:r>
      <w:r>
        <w:rPr>
          <w:rFonts w:cs="Arial"/>
          <w:lang w:val="en-GB" w:eastAsia="fr-FR"/>
        </w:rPr>
        <w:t>8</w:t>
      </w:r>
      <w:r w:rsidRPr="00F46671">
        <w:rPr>
          <w:rFonts w:cs="Arial"/>
          <w:lang w:val="en-GB" w:eastAsia="fr-FR"/>
        </w:rPr>
        <w:t>.</w:t>
      </w:r>
      <w:r w:rsidRPr="00F46671">
        <w:rPr>
          <w:rFonts w:cs="Arial"/>
          <w:lang w:val="en-GB" w:eastAsia="fr-FR"/>
        </w:rPr>
        <w:tab/>
      </w:r>
      <w:r w:rsidRPr="00CF2880">
        <w:rPr>
          <w:rFonts w:eastAsia="SimSun" w:cs="Arial"/>
          <w:bCs/>
          <w:lang w:eastAsia="zh-CN"/>
        </w:rPr>
        <w:t>Capacity</w:t>
      </w:r>
      <w:r w:rsidR="00304D88">
        <w:rPr>
          <w:rFonts w:eastAsia="SimSun" w:cs="Arial"/>
          <w:bCs/>
          <w:lang w:eastAsia="zh-CN"/>
        </w:rPr>
        <w:t xml:space="preserve"> </w:t>
      </w:r>
      <w:r w:rsidRPr="00CF2880">
        <w:rPr>
          <w:rFonts w:eastAsia="SimSun" w:cs="Arial"/>
          <w:bCs/>
          <w:lang w:eastAsia="zh-CN"/>
        </w:rPr>
        <w:t xml:space="preserve">building, support and maintenance activities continued for WIPO’s current copyright data management tool, WIPOCOS.  WIPO’s objective is to continue support for WIPOCOS until the WIPO Copyright Connection (WCC), the new data management system to enhance global data and rights flows in beneficiary CMOs, is ready for deployment. </w:t>
      </w:r>
    </w:p>
    <w:p w:rsidR="00A06215" w:rsidRPr="00CF2880" w:rsidRDefault="00A06215" w:rsidP="00CE4C9D">
      <w:pPr>
        <w:pStyle w:val="ListParagraph"/>
        <w:tabs>
          <w:tab w:val="left" w:pos="0"/>
          <w:tab w:val="left" w:pos="709"/>
        </w:tabs>
        <w:ind w:left="0"/>
        <w:jc w:val="both"/>
        <w:rPr>
          <w:rFonts w:eastAsia="SimSun" w:cs="Arial"/>
          <w:bCs/>
          <w:lang w:eastAsia="zh-CN"/>
        </w:rPr>
      </w:pPr>
    </w:p>
    <w:p w:rsidR="00A06215" w:rsidRPr="00CF2880" w:rsidRDefault="00A06215" w:rsidP="00A06215">
      <w:pPr>
        <w:pStyle w:val="ListParagraph"/>
        <w:numPr>
          <w:ilvl w:val="0"/>
          <w:numId w:val="102"/>
        </w:numPr>
        <w:tabs>
          <w:tab w:val="left" w:pos="0"/>
          <w:tab w:val="left" w:pos="709"/>
        </w:tabs>
        <w:ind w:left="0" w:firstLine="0"/>
        <w:jc w:val="both"/>
        <w:rPr>
          <w:rFonts w:eastAsia="SimSun" w:cs="Arial"/>
          <w:bCs/>
          <w:lang w:eastAsia="zh-CN"/>
        </w:rPr>
      </w:pPr>
      <w:r w:rsidRPr="00CF2880">
        <w:rPr>
          <w:rFonts w:eastAsia="SimSun" w:cs="Arial"/>
          <w:bCs/>
          <w:lang w:eastAsia="zh-CN"/>
        </w:rPr>
        <w:t xml:space="preserve">In 2014, WIPO </w:t>
      </w:r>
      <w:r>
        <w:rPr>
          <w:rFonts w:eastAsia="SimSun" w:cs="Arial"/>
          <w:bCs/>
          <w:lang w:eastAsia="zh-CN"/>
        </w:rPr>
        <w:t>published</w:t>
      </w:r>
      <w:r w:rsidRPr="00CF2880">
        <w:rPr>
          <w:rFonts w:eastAsia="SimSun" w:cs="Arial"/>
          <w:bCs/>
          <w:lang w:eastAsia="zh-CN"/>
        </w:rPr>
        <w:t xml:space="preserve"> </w:t>
      </w:r>
      <w:r>
        <w:rPr>
          <w:rFonts w:eastAsia="SimSun" w:cs="Arial"/>
          <w:bCs/>
          <w:lang w:eastAsia="zh-CN"/>
        </w:rPr>
        <w:t xml:space="preserve">four national </w:t>
      </w:r>
      <w:r w:rsidRPr="00CF2880">
        <w:rPr>
          <w:rFonts w:eastAsia="SimSun" w:cs="Arial"/>
          <w:bCs/>
          <w:lang w:eastAsia="zh-CN"/>
        </w:rPr>
        <w:t>studies on the economic contribution of copyright industries</w:t>
      </w:r>
      <w:r>
        <w:rPr>
          <w:rFonts w:eastAsia="SimSun" w:cs="Arial"/>
          <w:bCs/>
          <w:lang w:eastAsia="zh-CN"/>
        </w:rPr>
        <w:t xml:space="preserve"> in Argentina, Indonesia, Serbia and Turkey and one study in the Member States of the Organization of the East Caribbean States (OECS)</w:t>
      </w:r>
      <w:r w:rsidRPr="00CF2880">
        <w:rPr>
          <w:rFonts w:eastAsia="SimSun" w:cs="Arial"/>
          <w:bCs/>
          <w:lang w:eastAsia="zh-CN"/>
        </w:rPr>
        <w:t>, for a total of 4</w:t>
      </w:r>
      <w:r>
        <w:rPr>
          <w:rFonts w:eastAsia="SimSun" w:cs="Arial"/>
          <w:bCs/>
          <w:lang w:eastAsia="zh-CN"/>
        </w:rPr>
        <w:t>6</w:t>
      </w:r>
      <w:r w:rsidRPr="00CF2880">
        <w:rPr>
          <w:rFonts w:eastAsia="SimSun" w:cs="Arial"/>
          <w:bCs/>
          <w:lang w:eastAsia="zh-CN"/>
        </w:rPr>
        <w:t xml:space="preserve"> studies.  The studies are based on the WIPO Guide on Surveying the Economic Contribution of the Copyright Based Industries 2003. The guide is currently being revised.  The studies indicate that, on average, the creative industries account for 5.18 per cent of GDP and 5.32 per cent of total employment.  WIPO also developed (with external partners) the first international survey on text and image copyright levies.  Pilot studies on assessing the broader economic, social and cultural impact of copyright in the creative industries and a study on assessing copyright piracy were also launched during the reporting period.</w:t>
      </w:r>
      <w:r w:rsidRPr="00CF2880">
        <w:rPr>
          <w:rFonts w:eastAsia="SimSun" w:cs="Arial"/>
          <w:bCs/>
          <w:lang w:eastAsia="zh-CN"/>
        </w:rPr>
        <w:tab/>
      </w:r>
    </w:p>
    <w:p w:rsidR="00A06215" w:rsidRPr="00CF2880" w:rsidRDefault="00A06215" w:rsidP="00CE4C9D">
      <w:pPr>
        <w:pStyle w:val="ListParagraph"/>
        <w:tabs>
          <w:tab w:val="left" w:pos="0"/>
          <w:tab w:val="left" w:pos="709"/>
        </w:tabs>
        <w:ind w:left="0"/>
        <w:jc w:val="both"/>
        <w:rPr>
          <w:rFonts w:eastAsia="SimSun" w:cs="Arial"/>
          <w:bCs/>
          <w:lang w:eastAsia="zh-CN"/>
        </w:rPr>
      </w:pPr>
    </w:p>
    <w:p w:rsidR="00A06215" w:rsidRPr="00CF2880" w:rsidRDefault="00A06215" w:rsidP="00A06215">
      <w:pPr>
        <w:pStyle w:val="ListParagraph"/>
        <w:numPr>
          <w:ilvl w:val="0"/>
          <w:numId w:val="102"/>
        </w:numPr>
        <w:tabs>
          <w:tab w:val="left" w:pos="0"/>
          <w:tab w:val="left" w:pos="709"/>
        </w:tabs>
        <w:ind w:left="0" w:firstLine="0"/>
        <w:jc w:val="both"/>
        <w:rPr>
          <w:rFonts w:eastAsia="SimSun" w:cs="Arial"/>
          <w:bCs/>
          <w:lang w:eastAsia="zh-CN"/>
        </w:rPr>
      </w:pPr>
      <w:r w:rsidRPr="00CF2880">
        <w:rPr>
          <w:rFonts w:eastAsia="SimSun" w:cs="Arial"/>
          <w:bCs/>
          <w:lang w:eastAsia="zh-CN"/>
        </w:rPr>
        <w:t>WIPO published two new tools for creators:  Mastering the Game - Business and Legal Issues for Video Game Developers, and Monetization of Copyright Assets by Creative Enterprises.  The second edition of the WIPO publication How to Make a Living from Music was released in July 2014.  These tools are widely used in capacity</w:t>
      </w:r>
      <w:r w:rsidR="00304D88">
        <w:rPr>
          <w:rFonts w:eastAsia="SimSun" w:cs="Arial"/>
          <w:bCs/>
          <w:lang w:eastAsia="zh-CN"/>
        </w:rPr>
        <w:t xml:space="preserve"> </w:t>
      </w:r>
      <w:r w:rsidRPr="00CF2880">
        <w:rPr>
          <w:rFonts w:eastAsia="SimSun" w:cs="Arial"/>
          <w:bCs/>
          <w:lang w:eastAsia="zh-CN"/>
        </w:rPr>
        <w:t xml:space="preserve">building programs and are in great demand (they were downloaded over 100,000 times in 2014).  WIPO has also co-produced </w:t>
      </w:r>
      <w:proofErr w:type="gramStart"/>
      <w:r w:rsidRPr="00CF2880">
        <w:rPr>
          <w:rFonts w:eastAsia="SimSun" w:cs="Arial"/>
          <w:bCs/>
          <w:lang w:eastAsia="zh-CN"/>
        </w:rPr>
        <w:t>a new</w:t>
      </w:r>
      <w:proofErr w:type="gramEnd"/>
      <w:r w:rsidRPr="00CF2880">
        <w:rPr>
          <w:rFonts w:eastAsia="SimSun" w:cs="Arial"/>
          <w:bCs/>
          <w:lang w:eastAsia="zh-CN"/>
        </w:rPr>
        <w:t xml:space="preserve"> online Collective Societies Handbook 2014 containing key facts and figures on CMOs around the world. </w:t>
      </w:r>
    </w:p>
    <w:p w:rsidR="00A06215" w:rsidRPr="00CF2880" w:rsidRDefault="00A06215" w:rsidP="00CE4C9D">
      <w:pPr>
        <w:pStyle w:val="ListParagraph"/>
        <w:tabs>
          <w:tab w:val="left" w:pos="0"/>
          <w:tab w:val="left" w:pos="709"/>
        </w:tabs>
        <w:ind w:left="0"/>
        <w:jc w:val="both"/>
        <w:rPr>
          <w:rFonts w:eastAsia="SimSun" w:cs="Arial"/>
          <w:bCs/>
          <w:lang w:eastAsia="zh-CN"/>
        </w:rPr>
      </w:pPr>
    </w:p>
    <w:p w:rsidR="00A06215" w:rsidRPr="00CF2880" w:rsidRDefault="00A06215" w:rsidP="00A06215">
      <w:pPr>
        <w:pStyle w:val="ListParagraph"/>
        <w:numPr>
          <w:ilvl w:val="0"/>
          <w:numId w:val="102"/>
        </w:numPr>
        <w:tabs>
          <w:tab w:val="left" w:pos="0"/>
          <w:tab w:val="left" w:pos="709"/>
        </w:tabs>
        <w:ind w:left="0" w:firstLine="0"/>
        <w:jc w:val="both"/>
        <w:rPr>
          <w:rFonts w:eastAsia="SimSun" w:cs="Arial"/>
          <w:bCs/>
          <w:lang w:eastAsia="zh-CN"/>
        </w:rPr>
      </w:pPr>
      <w:r w:rsidRPr="00CF2880">
        <w:rPr>
          <w:rFonts w:eastAsia="SimSun" w:cs="Arial"/>
          <w:bCs/>
          <w:lang w:eastAsia="zh-CN"/>
        </w:rPr>
        <w:t>WIPO developed a distance learning course that uses the full range of 21st century communications techniques to create a practical collective management tool for staff of CMOs, policy makers and legal practitioners. The course was piloted in the latter part of the year.  Throughout 2014, WIPO also</w:t>
      </w:r>
      <w:r>
        <w:rPr>
          <w:rFonts w:eastAsia="SimSun" w:cs="Arial"/>
          <w:bCs/>
          <w:lang w:eastAsia="zh-CN"/>
        </w:rPr>
        <w:t xml:space="preserve"> signed </w:t>
      </w:r>
      <w:proofErr w:type="spellStart"/>
      <w:r>
        <w:rPr>
          <w:rFonts w:eastAsia="SimSun" w:cs="Arial"/>
          <w:bCs/>
          <w:lang w:eastAsia="zh-CN"/>
        </w:rPr>
        <w:t>MoUs</w:t>
      </w:r>
      <w:proofErr w:type="spellEnd"/>
      <w:r>
        <w:rPr>
          <w:rFonts w:eastAsia="SimSun" w:cs="Arial"/>
          <w:bCs/>
          <w:lang w:eastAsia="zh-CN"/>
        </w:rPr>
        <w:t xml:space="preserve"> and </w:t>
      </w:r>
      <w:r w:rsidRPr="00CF2880">
        <w:rPr>
          <w:rFonts w:eastAsia="SimSun" w:cs="Arial"/>
          <w:bCs/>
          <w:lang w:eastAsia="zh-CN"/>
        </w:rPr>
        <w:t>organized a series of capacity</w:t>
      </w:r>
      <w:r w:rsidR="00304D88">
        <w:rPr>
          <w:rFonts w:eastAsia="SimSun" w:cs="Arial"/>
          <w:bCs/>
          <w:lang w:eastAsia="zh-CN"/>
        </w:rPr>
        <w:t xml:space="preserve"> </w:t>
      </w:r>
      <w:r w:rsidRPr="00CF2880">
        <w:rPr>
          <w:rFonts w:eastAsia="SimSun" w:cs="Arial"/>
          <w:bCs/>
          <w:lang w:eastAsia="zh-CN"/>
        </w:rPr>
        <w:t xml:space="preserve">building programs and events with NGOs such as </w:t>
      </w:r>
      <w:proofErr w:type="spellStart"/>
      <w:r w:rsidRPr="00CF2880">
        <w:rPr>
          <w:rFonts w:eastAsia="SimSun" w:cs="Arial"/>
          <w:bCs/>
          <w:i/>
          <w:lang w:eastAsia="zh-CN"/>
        </w:rPr>
        <w:t>Instituto</w:t>
      </w:r>
      <w:proofErr w:type="spellEnd"/>
      <w:r w:rsidRPr="00CF2880">
        <w:rPr>
          <w:rFonts w:eastAsia="SimSun" w:cs="Arial"/>
          <w:bCs/>
          <w:i/>
          <w:lang w:eastAsia="zh-CN"/>
        </w:rPr>
        <w:t xml:space="preserve"> de Derecho de </w:t>
      </w:r>
      <w:proofErr w:type="spellStart"/>
      <w:r w:rsidRPr="00CF2880">
        <w:rPr>
          <w:rFonts w:eastAsia="SimSun" w:cs="Arial"/>
          <w:bCs/>
          <w:i/>
          <w:lang w:eastAsia="zh-CN"/>
        </w:rPr>
        <w:t>Autor</w:t>
      </w:r>
      <w:proofErr w:type="spellEnd"/>
      <w:r w:rsidRPr="00CF2880">
        <w:rPr>
          <w:rFonts w:eastAsia="SimSun" w:cs="Arial"/>
          <w:bCs/>
          <w:i/>
          <w:lang w:eastAsia="zh-CN"/>
        </w:rPr>
        <w:t xml:space="preserve"> IA), </w:t>
      </w:r>
      <w:proofErr w:type="spellStart"/>
      <w:r w:rsidRPr="00CF2880">
        <w:rPr>
          <w:rFonts w:eastAsia="SimSun" w:cs="Arial"/>
          <w:bCs/>
          <w:i/>
          <w:lang w:eastAsia="zh-CN"/>
        </w:rPr>
        <w:t>Sociedade</w:t>
      </w:r>
      <w:proofErr w:type="spellEnd"/>
      <w:r w:rsidRPr="00CF2880">
        <w:rPr>
          <w:rFonts w:eastAsia="SimSun" w:cs="Arial"/>
          <w:bCs/>
          <w:i/>
          <w:lang w:eastAsia="zh-CN"/>
        </w:rPr>
        <w:t xml:space="preserve"> Portuguesa de </w:t>
      </w:r>
      <w:proofErr w:type="spellStart"/>
      <w:r w:rsidRPr="00CF2880">
        <w:rPr>
          <w:rFonts w:eastAsia="SimSun" w:cs="Arial"/>
          <w:bCs/>
          <w:i/>
          <w:lang w:eastAsia="zh-CN"/>
        </w:rPr>
        <w:t>Autores</w:t>
      </w:r>
      <w:proofErr w:type="spellEnd"/>
      <w:r w:rsidRPr="00CF2880">
        <w:rPr>
          <w:rFonts w:eastAsia="SimSun" w:cs="Arial"/>
          <w:bCs/>
          <w:lang w:eastAsia="zh-CN"/>
        </w:rPr>
        <w:t xml:space="preserve"> (SPA)</w:t>
      </w:r>
      <w:r>
        <w:rPr>
          <w:rFonts w:eastAsia="SimSun" w:cs="Arial"/>
          <w:bCs/>
          <w:lang w:eastAsia="zh-CN"/>
        </w:rPr>
        <w:t>, the International Federation of Phonographic Industry (IFPI)</w:t>
      </w:r>
      <w:r w:rsidRPr="00CF2880">
        <w:rPr>
          <w:rFonts w:eastAsia="SimSun" w:cs="Arial"/>
          <w:bCs/>
          <w:lang w:eastAsia="zh-CN"/>
        </w:rPr>
        <w:t xml:space="preserve"> and The Societies’ Council for the Collective Management of Performers’ Rights (SCAPR), as well as with governments, including that of the United States of America. </w:t>
      </w:r>
    </w:p>
    <w:p w:rsidR="00A06215" w:rsidRPr="00CF2880" w:rsidRDefault="00A06215" w:rsidP="00CE4C9D">
      <w:pPr>
        <w:pStyle w:val="ListParagraph"/>
        <w:tabs>
          <w:tab w:val="left" w:pos="0"/>
          <w:tab w:val="left" w:pos="709"/>
        </w:tabs>
        <w:ind w:left="0"/>
        <w:jc w:val="both"/>
        <w:rPr>
          <w:rFonts w:eastAsia="SimSun" w:cs="Arial"/>
          <w:bCs/>
          <w:lang w:eastAsia="zh-CN"/>
        </w:rPr>
      </w:pPr>
    </w:p>
    <w:p w:rsidR="00A06215" w:rsidRPr="00CF2880" w:rsidRDefault="00A06215" w:rsidP="00A06215">
      <w:pPr>
        <w:pStyle w:val="ListParagraph"/>
        <w:numPr>
          <w:ilvl w:val="0"/>
          <w:numId w:val="102"/>
        </w:numPr>
        <w:tabs>
          <w:tab w:val="left" w:pos="0"/>
          <w:tab w:val="left" w:pos="709"/>
        </w:tabs>
        <w:ind w:left="0" w:firstLine="0"/>
        <w:jc w:val="both"/>
        <w:rPr>
          <w:rFonts w:eastAsia="SimSun" w:cs="Arial"/>
          <w:bCs/>
          <w:lang w:eastAsia="zh-CN"/>
        </w:rPr>
      </w:pPr>
      <w:r w:rsidRPr="00CF2880">
        <w:rPr>
          <w:rFonts w:eastAsia="SimSun" w:cs="Arial"/>
          <w:bCs/>
          <w:lang w:eastAsia="zh-CN"/>
        </w:rPr>
        <w:t xml:space="preserve">In 2014, a new multi-stakeholder entity was established to increase the number of books worldwide in accessible formats - such as braille, audio and large print - and to make them available to people who are print disabled. </w:t>
      </w:r>
      <w:r w:rsidR="00A952CD">
        <w:rPr>
          <w:rFonts w:eastAsia="SimSun" w:cs="Arial"/>
          <w:bCs/>
          <w:lang w:eastAsia="zh-CN"/>
        </w:rPr>
        <w:t xml:space="preserve"> </w:t>
      </w:r>
      <w:r w:rsidRPr="00CF2880">
        <w:rPr>
          <w:rFonts w:eastAsia="SimSun" w:cs="Arial"/>
          <w:bCs/>
          <w:lang w:eastAsia="zh-CN"/>
        </w:rPr>
        <w:t>The Accessible Books Consortium (ABC) is composed of WIPO, organizations that serve persons with print disabilities, libraries for the print disabled and organizations that represent authors and publishers.  The ABC carried out three main activities: capacity</w:t>
      </w:r>
      <w:r w:rsidR="00304D88">
        <w:rPr>
          <w:rFonts w:eastAsia="SimSun" w:cs="Arial"/>
          <w:bCs/>
          <w:lang w:eastAsia="zh-CN"/>
        </w:rPr>
        <w:t xml:space="preserve"> </w:t>
      </w:r>
      <w:r w:rsidRPr="00CF2880">
        <w:rPr>
          <w:rFonts w:eastAsia="SimSun" w:cs="Arial"/>
          <w:bCs/>
          <w:lang w:eastAsia="zh-CN"/>
        </w:rPr>
        <w:t xml:space="preserve">building (funded by the Governments of Australia and the Republic of Korea) in Bangladesh, India, Nepal and Sri Lanka; inclusive publishing, which promotes technologies that allow for “born accessible” publishing so that new books are usable from the start by both sighted people and people with print disabilities; and the ABC International Book Exchange (known as the TIGAR Service), an international database of some 286,000 accessible titles in 55 languages.  </w:t>
      </w:r>
    </w:p>
    <w:p w:rsidR="00A06215" w:rsidRPr="00CF2880" w:rsidRDefault="00A06215" w:rsidP="00CE4C9D">
      <w:pPr>
        <w:pStyle w:val="ListParagraph"/>
        <w:tabs>
          <w:tab w:val="left" w:pos="0"/>
          <w:tab w:val="left" w:pos="709"/>
        </w:tabs>
        <w:ind w:left="0"/>
        <w:jc w:val="both"/>
        <w:rPr>
          <w:rFonts w:eastAsia="SimSun" w:cs="Arial"/>
          <w:bCs/>
          <w:lang w:eastAsia="zh-CN"/>
        </w:rPr>
      </w:pPr>
    </w:p>
    <w:p w:rsidR="00A06215" w:rsidRPr="00C578A9" w:rsidRDefault="00A06215" w:rsidP="00CE4C9D">
      <w:pPr>
        <w:pStyle w:val="ListParagraph"/>
        <w:tabs>
          <w:tab w:val="left" w:pos="0"/>
          <w:tab w:val="left" w:pos="709"/>
        </w:tabs>
        <w:ind w:left="0"/>
        <w:jc w:val="both"/>
        <w:rPr>
          <w:rFonts w:eastAsia="SimSun" w:cs="Arial"/>
          <w:bCs/>
          <w:u w:val="single"/>
          <w:lang w:eastAsia="zh-CN"/>
        </w:rPr>
      </w:pPr>
      <w:r w:rsidRPr="00C578A9">
        <w:rPr>
          <w:rFonts w:eastAsia="SimSun" w:cs="Arial"/>
          <w:bCs/>
          <w:u w:val="single"/>
          <w:lang w:eastAsia="zh-CN"/>
        </w:rPr>
        <w:t xml:space="preserve">Technical Assistance to Developing Countries and LDCs </w:t>
      </w:r>
    </w:p>
    <w:p w:rsidR="00A06215" w:rsidRPr="00CF2880" w:rsidRDefault="00A06215" w:rsidP="00CE4C9D">
      <w:pPr>
        <w:pStyle w:val="ListParagraph"/>
        <w:tabs>
          <w:tab w:val="left" w:pos="0"/>
          <w:tab w:val="left" w:pos="709"/>
        </w:tabs>
        <w:ind w:left="0"/>
        <w:jc w:val="both"/>
        <w:rPr>
          <w:rFonts w:eastAsia="SimSun" w:cs="Arial"/>
          <w:bCs/>
          <w:lang w:eastAsia="zh-CN"/>
        </w:rPr>
      </w:pPr>
    </w:p>
    <w:p w:rsidR="00A06215" w:rsidRPr="00CF2880" w:rsidRDefault="00A06215" w:rsidP="00A06215">
      <w:pPr>
        <w:pStyle w:val="ListParagraph"/>
        <w:numPr>
          <w:ilvl w:val="0"/>
          <w:numId w:val="102"/>
        </w:numPr>
        <w:tabs>
          <w:tab w:val="left" w:pos="0"/>
          <w:tab w:val="left" w:pos="709"/>
        </w:tabs>
        <w:ind w:left="0" w:firstLine="0"/>
        <w:jc w:val="both"/>
        <w:rPr>
          <w:rFonts w:eastAsia="SimSun" w:cs="Arial"/>
          <w:bCs/>
          <w:lang w:eastAsia="zh-CN"/>
        </w:rPr>
      </w:pPr>
      <w:r w:rsidRPr="00CF2880">
        <w:rPr>
          <w:rFonts w:eastAsia="SimSun" w:cs="Arial"/>
          <w:bCs/>
          <w:lang w:eastAsia="zh-CN"/>
        </w:rPr>
        <w:t xml:space="preserve">Technical assistance provided to developing countries and LDCs in the field of copyright and related rights in 2014 was development-oriented and demand-driven in line with DA Recommendations 1 and 13.  </w:t>
      </w:r>
    </w:p>
    <w:p w:rsidR="00A06215" w:rsidRPr="00CF2880" w:rsidRDefault="00A06215" w:rsidP="00CE4C9D">
      <w:pPr>
        <w:pStyle w:val="ListParagraph"/>
        <w:tabs>
          <w:tab w:val="left" w:pos="0"/>
          <w:tab w:val="left" w:pos="709"/>
        </w:tabs>
        <w:ind w:left="0"/>
        <w:jc w:val="both"/>
        <w:rPr>
          <w:rFonts w:eastAsia="SimSun" w:cs="Arial"/>
          <w:bCs/>
          <w:lang w:eastAsia="zh-CN"/>
        </w:rPr>
      </w:pPr>
    </w:p>
    <w:p w:rsidR="00A06215" w:rsidRPr="00CF2880" w:rsidRDefault="00A06215" w:rsidP="00A06215">
      <w:pPr>
        <w:pStyle w:val="ListParagraph"/>
        <w:numPr>
          <w:ilvl w:val="0"/>
          <w:numId w:val="102"/>
        </w:numPr>
        <w:tabs>
          <w:tab w:val="left" w:pos="0"/>
          <w:tab w:val="left" w:pos="709"/>
        </w:tabs>
        <w:ind w:left="0" w:firstLine="0"/>
        <w:jc w:val="both"/>
        <w:rPr>
          <w:rFonts w:eastAsia="SimSun" w:cs="Arial"/>
          <w:bCs/>
          <w:lang w:eastAsia="zh-CN"/>
        </w:rPr>
      </w:pPr>
      <w:r w:rsidRPr="00CF2880">
        <w:rPr>
          <w:rFonts w:eastAsia="SimSun" w:cs="Arial"/>
          <w:bCs/>
          <w:lang w:eastAsia="zh-CN"/>
        </w:rPr>
        <w:t xml:space="preserve">Based on requests received from developing country Member States, over 40 programs and projects were implemented at national, regional and inter-regional levels to respond to needs and identified priorities, reaching 85 developing countries and LDCs from all regions and three regional intergovernmental organizations (the African Regional Industrial Property Organization (ARIPO), </w:t>
      </w:r>
      <w:r w:rsidRPr="00CF2880">
        <w:rPr>
          <w:rFonts w:eastAsia="SimSun" w:cs="Arial"/>
          <w:bCs/>
          <w:i/>
          <w:lang w:eastAsia="zh-CN"/>
        </w:rPr>
        <w:t xml:space="preserve">Centro Regional para el </w:t>
      </w:r>
      <w:proofErr w:type="spellStart"/>
      <w:r w:rsidRPr="00CF2880">
        <w:rPr>
          <w:rFonts w:eastAsia="SimSun" w:cs="Arial"/>
          <w:bCs/>
          <w:i/>
          <w:lang w:eastAsia="zh-CN"/>
        </w:rPr>
        <w:t>Fomento</w:t>
      </w:r>
      <w:proofErr w:type="spellEnd"/>
      <w:r w:rsidRPr="00CF2880">
        <w:rPr>
          <w:rFonts w:eastAsia="SimSun" w:cs="Arial"/>
          <w:bCs/>
          <w:i/>
          <w:lang w:eastAsia="zh-CN"/>
        </w:rPr>
        <w:t xml:space="preserve"> del </w:t>
      </w:r>
      <w:proofErr w:type="spellStart"/>
      <w:r w:rsidRPr="00CF2880">
        <w:rPr>
          <w:rFonts w:eastAsia="SimSun" w:cs="Arial"/>
          <w:bCs/>
          <w:i/>
          <w:lang w:eastAsia="zh-CN"/>
        </w:rPr>
        <w:t>Libro</w:t>
      </w:r>
      <w:proofErr w:type="spellEnd"/>
      <w:r w:rsidRPr="00CF2880">
        <w:rPr>
          <w:rFonts w:eastAsia="SimSun" w:cs="Arial"/>
          <w:bCs/>
          <w:i/>
          <w:lang w:eastAsia="zh-CN"/>
        </w:rPr>
        <w:t xml:space="preserve"> </w:t>
      </w:r>
      <w:proofErr w:type="spellStart"/>
      <w:r w:rsidRPr="00CF2880">
        <w:rPr>
          <w:rFonts w:eastAsia="SimSun" w:cs="Arial"/>
          <w:bCs/>
          <w:i/>
          <w:lang w:eastAsia="zh-CN"/>
        </w:rPr>
        <w:t>en</w:t>
      </w:r>
      <w:proofErr w:type="spellEnd"/>
      <w:r w:rsidRPr="00CF2880">
        <w:rPr>
          <w:rFonts w:eastAsia="SimSun" w:cs="Arial"/>
          <w:bCs/>
          <w:i/>
          <w:lang w:eastAsia="zh-CN"/>
        </w:rPr>
        <w:t xml:space="preserve"> </w:t>
      </w:r>
      <w:proofErr w:type="spellStart"/>
      <w:r w:rsidRPr="00CF2880">
        <w:rPr>
          <w:rFonts w:eastAsia="SimSun" w:cs="Arial"/>
          <w:bCs/>
          <w:i/>
          <w:lang w:eastAsia="zh-CN"/>
        </w:rPr>
        <w:t>América</w:t>
      </w:r>
      <w:proofErr w:type="spellEnd"/>
      <w:r w:rsidRPr="00CF2880">
        <w:rPr>
          <w:rFonts w:eastAsia="SimSun" w:cs="Arial"/>
          <w:bCs/>
          <w:i/>
          <w:lang w:eastAsia="zh-CN"/>
        </w:rPr>
        <w:t xml:space="preserve"> Latina y el Caribe</w:t>
      </w:r>
      <w:r w:rsidRPr="00CF2880">
        <w:rPr>
          <w:rFonts w:eastAsia="SimSun" w:cs="Arial"/>
          <w:bCs/>
          <w:lang w:eastAsia="zh-CN"/>
        </w:rPr>
        <w:t xml:space="preserve"> (CERLALC) </w:t>
      </w:r>
      <w:r w:rsidRPr="00CF2880">
        <w:rPr>
          <w:rFonts w:eastAsia="SimSun" w:cs="Arial"/>
          <w:bCs/>
          <w:i/>
          <w:lang w:eastAsia="zh-CN"/>
        </w:rPr>
        <w:t xml:space="preserve">and </w:t>
      </w:r>
      <w:proofErr w:type="spellStart"/>
      <w:r w:rsidRPr="00CF2880">
        <w:rPr>
          <w:rFonts w:eastAsia="SimSun"/>
          <w:i/>
          <w:lang w:eastAsia="zh-CN"/>
        </w:rPr>
        <w:t>Organisation</w:t>
      </w:r>
      <w:proofErr w:type="spellEnd"/>
      <w:r w:rsidRPr="00CF2880">
        <w:rPr>
          <w:rFonts w:eastAsia="SimSun"/>
          <w:i/>
          <w:lang w:eastAsia="zh-CN"/>
        </w:rPr>
        <w:t xml:space="preserve"> </w:t>
      </w:r>
      <w:proofErr w:type="spellStart"/>
      <w:r w:rsidRPr="00CF2880">
        <w:rPr>
          <w:rFonts w:eastAsia="SimSun"/>
          <w:i/>
          <w:lang w:eastAsia="zh-CN"/>
        </w:rPr>
        <w:t>Africaine</w:t>
      </w:r>
      <w:proofErr w:type="spellEnd"/>
      <w:r w:rsidRPr="00CF2880">
        <w:rPr>
          <w:rFonts w:eastAsia="SimSun"/>
          <w:i/>
          <w:lang w:eastAsia="zh-CN"/>
        </w:rPr>
        <w:t xml:space="preserve"> de la </w:t>
      </w:r>
      <w:proofErr w:type="spellStart"/>
      <w:r w:rsidRPr="00CF2880">
        <w:rPr>
          <w:rFonts w:eastAsia="SimSun"/>
          <w:i/>
          <w:lang w:eastAsia="zh-CN"/>
        </w:rPr>
        <w:t>Propriété</w:t>
      </w:r>
      <w:proofErr w:type="spellEnd"/>
      <w:r w:rsidRPr="00CF2880">
        <w:rPr>
          <w:rFonts w:eastAsia="SimSun"/>
          <w:i/>
          <w:lang w:eastAsia="zh-CN"/>
        </w:rPr>
        <w:t xml:space="preserve"> </w:t>
      </w:r>
      <w:proofErr w:type="spellStart"/>
      <w:r w:rsidRPr="00CF2880">
        <w:rPr>
          <w:rFonts w:eastAsia="SimSun"/>
          <w:i/>
          <w:lang w:eastAsia="zh-CN"/>
        </w:rPr>
        <w:t>Intellectuelle</w:t>
      </w:r>
      <w:proofErr w:type="spellEnd"/>
      <w:r w:rsidRPr="00CF2880">
        <w:rPr>
          <w:rFonts w:eastAsia="SimSun"/>
          <w:bCs/>
          <w:lang w:eastAsia="zh-CN"/>
        </w:rPr>
        <w:t xml:space="preserve"> </w:t>
      </w:r>
      <w:r w:rsidRPr="00CF2880">
        <w:rPr>
          <w:rFonts w:eastAsia="SimSun" w:cs="Arial"/>
          <w:bCs/>
          <w:lang w:eastAsia="zh-CN"/>
        </w:rPr>
        <w:t>OAPI).  The activities encompassed awareness</w:t>
      </w:r>
      <w:r w:rsidR="00086E9E">
        <w:rPr>
          <w:rFonts w:eastAsia="SimSun" w:cs="Arial"/>
          <w:bCs/>
          <w:lang w:eastAsia="zh-CN"/>
        </w:rPr>
        <w:t xml:space="preserve"> </w:t>
      </w:r>
      <w:proofErr w:type="gramStart"/>
      <w:r w:rsidRPr="00CF2880">
        <w:rPr>
          <w:rFonts w:eastAsia="SimSun" w:cs="Arial"/>
          <w:bCs/>
          <w:lang w:eastAsia="zh-CN"/>
        </w:rPr>
        <w:t>raising</w:t>
      </w:r>
      <w:proofErr w:type="gramEnd"/>
      <w:r w:rsidRPr="00CF2880">
        <w:rPr>
          <w:rFonts w:eastAsia="SimSun" w:cs="Arial"/>
          <w:bCs/>
          <w:lang w:eastAsia="zh-CN"/>
        </w:rPr>
        <w:t xml:space="preserve"> </w:t>
      </w:r>
      <w:r>
        <w:rPr>
          <w:rFonts w:eastAsia="SimSun" w:cs="Arial"/>
          <w:bCs/>
          <w:lang w:eastAsia="zh-CN"/>
        </w:rPr>
        <w:t>in</w:t>
      </w:r>
      <w:r w:rsidRPr="00CF2880">
        <w:rPr>
          <w:rFonts w:eastAsia="SimSun" w:cs="Arial"/>
          <w:bCs/>
          <w:lang w:eastAsia="zh-CN"/>
        </w:rPr>
        <w:t xml:space="preserve"> copyright and related rights and capacity building among heads of national copyright offices, decision makers and key stakeholders.  Activities addressed both basic principles of copyright and related rights and emerging topical issues of particular relevance and importance to developing countries and LDCs, including new </w:t>
      </w:r>
      <w:r w:rsidRPr="00CF2880">
        <w:rPr>
          <w:rFonts w:eastAsia="SimSun" w:cs="Arial"/>
          <w:bCs/>
          <w:lang w:eastAsia="zh-CN"/>
        </w:rPr>
        <w:lastRenderedPageBreak/>
        <w:t>developments at the national and international level, and contributed to: (</w:t>
      </w:r>
      <w:proofErr w:type="spellStart"/>
      <w:r w:rsidRPr="00CF2880">
        <w:rPr>
          <w:rFonts w:eastAsia="SimSun" w:cs="Arial"/>
          <w:bCs/>
          <w:lang w:eastAsia="zh-CN"/>
        </w:rPr>
        <w:t>i</w:t>
      </w:r>
      <w:proofErr w:type="spellEnd"/>
      <w:r w:rsidRPr="00CF2880">
        <w:rPr>
          <w:rFonts w:eastAsia="SimSun" w:cs="Arial"/>
          <w:bCs/>
          <w:lang w:eastAsia="zh-CN"/>
        </w:rPr>
        <w:t xml:space="preserve">) the enhancement of capacity to formulate and implement national copyright policies and strategic frameworks for coherent and effective use of IP for sustainable development; and (ii) improving the institutional capacities and skills and knowledge structure of national copyright offices to deliver services to their stakeholders.  </w:t>
      </w:r>
    </w:p>
    <w:p w:rsidR="00A06215" w:rsidRPr="00CF2880" w:rsidRDefault="00A06215" w:rsidP="00CE4C9D">
      <w:pPr>
        <w:pStyle w:val="ListParagraph"/>
        <w:tabs>
          <w:tab w:val="left" w:pos="0"/>
          <w:tab w:val="left" w:pos="709"/>
        </w:tabs>
        <w:ind w:left="0"/>
        <w:jc w:val="both"/>
        <w:rPr>
          <w:rFonts w:eastAsia="SimSun" w:cs="Arial"/>
          <w:bCs/>
          <w:lang w:eastAsia="zh-CN"/>
        </w:rPr>
      </w:pPr>
    </w:p>
    <w:p w:rsidR="00A06215" w:rsidRPr="00CF2880" w:rsidRDefault="00A06215" w:rsidP="00A06215">
      <w:pPr>
        <w:pStyle w:val="ListParagraph"/>
        <w:numPr>
          <w:ilvl w:val="0"/>
          <w:numId w:val="102"/>
        </w:numPr>
        <w:tabs>
          <w:tab w:val="left" w:pos="0"/>
          <w:tab w:val="left" w:pos="709"/>
        </w:tabs>
        <w:ind w:left="0" w:firstLine="0"/>
        <w:jc w:val="both"/>
        <w:rPr>
          <w:rFonts w:eastAsia="SimSun" w:cs="Arial"/>
          <w:bCs/>
          <w:lang w:eastAsia="zh-CN"/>
        </w:rPr>
      </w:pPr>
      <w:r w:rsidRPr="00CF2880">
        <w:rPr>
          <w:rFonts w:eastAsia="SimSun" w:cs="Arial"/>
          <w:bCs/>
          <w:lang w:eastAsia="zh-CN"/>
        </w:rPr>
        <w:t>According to the evaluations conducted at the end of the workshops, more than 80 per cent of the participants considered the content of the workshops relevant to their jobs and thought they would be able to use the information and knowledge from the workshops in their work.  These results demonstrated positive steps for enhancing participation of developing countries in the global creative economy.</w:t>
      </w:r>
    </w:p>
    <w:p w:rsidR="00A06215" w:rsidRPr="00CF2880" w:rsidRDefault="00A06215" w:rsidP="00CE4C9D">
      <w:pPr>
        <w:pStyle w:val="ListParagraph"/>
        <w:tabs>
          <w:tab w:val="left" w:pos="0"/>
          <w:tab w:val="left" w:pos="709"/>
        </w:tabs>
        <w:ind w:left="0"/>
        <w:jc w:val="both"/>
        <w:rPr>
          <w:rFonts w:eastAsia="SimSun" w:cs="Arial"/>
          <w:bCs/>
          <w:lang w:eastAsia="zh-CN"/>
        </w:rPr>
      </w:pPr>
    </w:p>
    <w:p w:rsidR="00A06215" w:rsidRPr="00CF2880" w:rsidRDefault="00A06215" w:rsidP="00A06215">
      <w:pPr>
        <w:pStyle w:val="ListParagraph"/>
        <w:numPr>
          <w:ilvl w:val="0"/>
          <w:numId w:val="102"/>
        </w:numPr>
        <w:tabs>
          <w:tab w:val="left" w:pos="0"/>
          <w:tab w:val="left" w:pos="709"/>
        </w:tabs>
        <w:ind w:left="0" w:firstLine="0"/>
        <w:jc w:val="both"/>
        <w:rPr>
          <w:rFonts w:eastAsia="SimSun" w:cs="Arial"/>
          <w:bCs/>
          <w:lang w:eastAsia="zh-CN"/>
        </w:rPr>
      </w:pPr>
      <w:r w:rsidRPr="00CF2880">
        <w:rPr>
          <w:rFonts w:eastAsia="SimSun" w:cs="Arial"/>
          <w:bCs/>
          <w:lang w:eastAsia="zh-CN"/>
        </w:rPr>
        <w:t xml:space="preserve">In addition, Program </w:t>
      </w:r>
      <w:r>
        <w:rPr>
          <w:rFonts w:eastAsia="SimSun" w:cs="Arial"/>
          <w:bCs/>
          <w:lang w:eastAsia="zh-CN"/>
        </w:rPr>
        <w:t xml:space="preserve">3 </w:t>
      </w:r>
      <w:r w:rsidRPr="00CF2880">
        <w:rPr>
          <w:rFonts w:eastAsia="SimSun" w:cs="Arial"/>
          <w:bCs/>
          <w:lang w:eastAsia="zh-CN"/>
        </w:rPr>
        <w:t xml:space="preserve">was engaged in the implementation of the following DA projects: </w:t>
      </w:r>
    </w:p>
    <w:p w:rsidR="00A06215" w:rsidRPr="00F46671" w:rsidRDefault="00A06215" w:rsidP="00CE4C9D">
      <w:pPr>
        <w:tabs>
          <w:tab w:val="left" w:pos="709"/>
        </w:tabs>
        <w:jc w:val="both"/>
        <w:rPr>
          <w:rFonts w:cs="Arial"/>
          <w:szCs w:val="20"/>
        </w:rPr>
      </w:pPr>
    </w:p>
    <w:p w:rsidR="00A06215" w:rsidRPr="00F46671" w:rsidRDefault="00A06215" w:rsidP="00A06215">
      <w:pPr>
        <w:numPr>
          <w:ilvl w:val="0"/>
          <w:numId w:val="100"/>
        </w:numPr>
        <w:rPr>
          <w:rFonts w:cs="Arial"/>
          <w:szCs w:val="20"/>
        </w:rPr>
      </w:pPr>
      <w:r w:rsidRPr="00F46671">
        <w:rPr>
          <w:rFonts w:cs="Arial"/>
          <w:szCs w:val="20"/>
        </w:rPr>
        <w:t xml:space="preserve">The Comparative Analysis of National Approaches on Voluntary Copyright Relinquishment (Document CDIP/13/INF/6) was presented and received positively by the CDIP as part of the implementation of Recommendations 1c, 1f and 2a of the Scoping Study on Copyright and Related Rights and the Public Domain. </w:t>
      </w:r>
    </w:p>
    <w:p w:rsidR="00A06215" w:rsidRPr="00F46671" w:rsidRDefault="00A06215" w:rsidP="00CE4C9D">
      <w:pPr>
        <w:rPr>
          <w:rFonts w:cs="Arial"/>
          <w:szCs w:val="20"/>
        </w:rPr>
      </w:pPr>
    </w:p>
    <w:p w:rsidR="00A06215" w:rsidRPr="00F46671" w:rsidRDefault="00A06215" w:rsidP="00A06215">
      <w:pPr>
        <w:numPr>
          <w:ilvl w:val="0"/>
          <w:numId w:val="100"/>
        </w:numPr>
        <w:rPr>
          <w:rFonts w:cs="Arial"/>
          <w:szCs w:val="20"/>
        </w:rPr>
      </w:pPr>
      <w:r w:rsidRPr="00F46671">
        <w:rPr>
          <w:rFonts w:cs="Arial"/>
          <w:szCs w:val="20"/>
        </w:rPr>
        <w:t>A Revised Implementation Proposal on Possible New WIPO Activities Related to Using Copyright to Promote Access to Information and Creative Content (CDIP/13/11), based on the discussion held on document CDIP/12/9, was presented and approved by the CDIP for further implementation and action as appropriate.</w:t>
      </w:r>
    </w:p>
    <w:p w:rsidR="00A06215" w:rsidRPr="00F46671" w:rsidRDefault="00A06215" w:rsidP="00CE4C9D">
      <w:pPr>
        <w:ind w:left="720"/>
        <w:contextualSpacing/>
        <w:rPr>
          <w:rFonts w:cs="Arial"/>
          <w:szCs w:val="20"/>
        </w:rPr>
      </w:pPr>
    </w:p>
    <w:p w:rsidR="00A06215" w:rsidRPr="00F46671" w:rsidRDefault="00A06215" w:rsidP="00A06215">
      <w:pPr>
        <w:numPr>
          <w:ilvl w:val="0"/>
          <w:numId w:val="100"/>
        </w:numPr>
        <w:jc w:val="both"/>
        <w:rPr>
          <w:rFonts w:cs="Arial"/>
          <w:szCs w:val="20"/>
        </w:rPr>
      </w:pPr>
      <w:r w:rsidRPr="00F46671">
        <w:rPr>
          <w:rFonts w:cs="Arial"/>
          <w:szCs w:val="20"/>
        </w:rPr>
        <w:t>The Project on Strengthening and Development of the Audiovisual Sector in Burkina Faso and Certain African Countries</w:t>
      </w:r>
      <w:r>
        <w:rPr>
          <w:rFonts w:cs="Arial"/>
          <w:szCs w:val="20"/>
        </w:rPr>
        <w:t>,</w:t>
      </w:r>
      <w:r w:rsidRPr="00F46671">
        <w:rPr>
          <w:rFonts w:cs="Arial"/>
          <w:szCs w:val="20"/>
        </w:rPr>
        <w:t xml:space="preserve"> presented by the Delegation of Burkina Faso</w:t>
      </w:r>
      <w:r>
        <w:rPr>
          <w:rFonts w:cs="Arial"/>
          <w:szCs w:val="20"/>
        </w:rPr>
        <w:t xml:space="preserve"> and </w:t>
      </w:r>
      <w:r w:rsidRPr="00F46671">
        <w:rPr>
          <w:rFonts w:cs="Arial"/>
          <w:szCs w:val="20"/>
        </w:rPr>
        <w:t xml:space="preserve">which was approved at the ninth session of the CDIP, was under implementation in Burkina Faso, Kenya and Senegal in accordance with the approved terms of reference.  </w:t>
      </w:r>
    </w:p>
    <w:p w:rsidR="00A06215" w:rsidRPr="00F46671" w:rsidRDefault="00A06215" w:rsidP="00CE4C9D">
      <w:pPr>
        <w:rPr>
          <w:rFonts w:cs="Arial"/>
          <w:color w:val="000000"/>
          <w:szCs w:val="20"/>
        </w:rPr>
      </w:pPr>
    </w:p>
    <w:p w:rsidR="00A06215" w:rsidRPr="00383D2D" w:rsidRDefault="00A06215" w:rsidP="00A8525E">
      <w:pPr>
        <w:rPr>
          <w:b/>
          <w:szCs w:val="20"/>
        </w:rPr>
      </w:pPr>
    </w:p>
    <w:p w:rsidR="00A06215" w:rsidRPr="00BF5143" w:rsidRDefault="00A06215" w:rsidP="00CE4C9D">
      <w:pPr>
        <w:rPr>
          <w:rFonts w:cs="Arial"/>
          <w:sz w:val="22"/>
          <w:szCs w:val="22"/>
        </w:rPr>
      </w:pPr>
      <w:r w:rsidRPr="00BF5143">
        <w:rPr>
          <w:rFonts w:cs="Arial"/>
          <w:sz w:val="22"/>
          <w:szCs w:val="22"/>
        </w:rPr>
        <w:t>PERFORMANCE DATA</w:t>
      </w:r>
    </w:p>
    <w:p w:rsidR="00A06215" w:rsidRDefault="00A06215" w:rsidP="00A8525E">
      <w:pPr>
        <w:rPr>
          <w:szCs w:val="20"/>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9"/>
        <w:gridCol w:w="2409"/>
        <w:gridCol w:w="1277"/>
        <w:gridCol w:w="283"/>
        <w:gridCol w:w="2268"/>
        <w:gridCol w:w="992"/>
      </w:tblGrid>
      <w:tr w:rsidR="00A06215" w:rsidRPr="005C50ED" w:rsidTr="00A06215">
        <w:tc>
          <w:tcPr>
            <w:tcW w:w="5000" w:type="pct"/>
            <w:gridSpan w:val="6"/>
            <w:tcBorders>
              <w:top w:val="single" w:sz="4" w:space="0" w:color="auto"/>
              <w:bottom w:val="single" w:sz="4" w:space="0" w:color="auto"/>
            </w:tcBorders>
            <w:shd w:val="clear" w:color="auto" w:fill="CCFFFF"/>
            <w:vAlign w:val="center"/>
          </w:tcPr>
          <w:p w:rsidR="00A06215" w:rsidRPr="005C50ED" w:rsidRDefault="00A06215" w:rsidP="00CE4C9D">
            <w:pPr>
              <w:keepNext/>
              <w:keepLines/>
              <w:tabs>
                <w:tab w:val="left" w:pos="1452"/>
              </w:tabs>
              <w:ind w:left="1452" w:hanging="1452"/>
              <w:rPr>
                <w:rFonts w:cs="Arial"/>
                <w:b/>
                <w:bCs/>
                <w:sz w:val="16"/>
                <w:szCs w:val="16"/>
              </w:rPr>
            </w:pPr>
            <w:r w:rsidRPr="005C50ED">
              <w:rPr>
                <w:rFonts w:cs="Arial"/>
                <w:b/>
                <w:bCs/>
                <w:sz w:val="16"/>
                <w:szCs w:val="16"/>
              </w:rPr>
              <w:t>Expected Result:</w:t>
            </w:r>
            <w:r w:rsidRPr="005C50ED">
              <w:rPr>
                <w:rFonts w:cs="Arial"/>
                <w:b/>
                <w:bCs/>
                <w:sz w:val="16"/>
                <w:szCs w:val="16"/>
              </w:rPr>
              <w:tab/>
            </w:r>
            <w:r w:rsidRPr="00325F45">
              <w:rPr>
                <w:rFonts w:cs="Arial"/>
                <w:sz w:val="16"/>
                <w:szCs w:val="16"/>
                <w:lang w:bidi="th-TH"/>
              </w:rPr>
              <w:t>I.1 Enhanced cooperation among Member States on development of balanced international normative frameworks for IP and agreement on specific topics on which international instruments are agreed</w:t>
            </w:r>
          </w:p>
        </w:tc>
      </w:tr>
      <w:tr w:rsidR="00A06215" w:rsidRPr="005C50ED" w:rsidTr="00A06215">
        <w:tc>
          <w:tcPr>
            <w:tcW w:w="1195" w:type="pct"/>
            <w:tcBorders>
              <w:top w:val="single" w:sz="4" w:space="0" w:color="auto"/>
            </w:tcBorders>
            <w:shd w:val="clear" w:color="auto" w:fill="auto"/>
            <w:vAlign w:val="center"/>
          </w:tcPr>
          <w:p w:rsidR="00A06215" w:rsidRPr="005C50ED" w:rsidRDefault="00A06215" w:rsidP="00CE4C9D">
            <w:pPr>
              <w:rPr>
                <w:rFonts w:cs="Arial"/>
                <w:sz w:val="16"/>
                <w:szCs w:val="16"/>
              </w:rPr>
            </w:pPr>
            <w:r w:rsidRPr="005C50ED">
              <w:rPr>
                <w:rFonts w:cs="Arial"/>
                <w:b/>
                <w:bCs/>
                <w:sz w:val="16"/>
                <w:szCs w:val="16"/>
              </w:rPr>
              <w:t>Performance Indicators</w:t>
            </w:r>
          </w:p>
        </w:tc>
        <w:tc>
          <w:tcPr>
            <w:tcW w:w="1268" w:type="pct"/>
            <w:tcBorders>
              <w:top w:val="single" w:sz="4" w:space="0" w:color="auto"/>
            </w:tcBorders>
            <w:shd w:val="clear" w:color="auto" w:fill="auto"/>
            <w:vAlign w:val="center"/>
          </w:tcPr>
          <w:p w:rsidR="00A06215" w:rsidRPr="005C50ED" w:rsidRDefault="00A06215" w:rsidP="00CE4C9D">
            <w:pPr>
              <w:rPr>
                <w:rFonts w:cs="Arial"/>
                <w:b/>
                <w:bCs/>
                <w:sz w:val="16"/>
                <w:szCs w:val="16"/>
              </w:rPr>
            </w:pPr>
            <w:r w:rsidRPr="005C50ED">
              <w:rPr>
                <w:rFonts w:cs="Arial"/>
                <w:b/>
                <w:bCs/>
                <w:sz w:val="16"/>
                <w:szCs w:val="16"/>
              </w:rPr>
              <w:t>Baselines</w:t>
            </w:r>
          </w:p>
        </w:tc>
        <w:tc>
          <w:tcPr>
            <w:tcW w:w="672" w:type="pct"/>
            <w:tcBorders>
              <w:top w:val="single" w:sz="4" w:space="0" w:color="auto"/>
            </w:tcBorders>
            <w:shd w:val="clear" w:color="auto" w:fill="auto"/>
            <w:tcMar>
              <w:top w:w="110" w:type="dxa"/>
            </w:tcMar>
            <w:vAlign w:val="center"/>
          </w:tcPr>
          <w:p w:rsidR="00A06215" w:rsidRPr="005C50ED" w:rsidRDefault="00A06215" w:rsidP="00CE4C9D">
            <w:pPr>
              <w:rPr>
                <w:rFonts w:cs="Arial"/>
                <w:b/>
                <w:sz w:val="16"/>
                <w:szCs w:val="16"/>
              </w:rPr>
            </w:pPr>
            <w:r w:rsidRPr="005C50ED">
              <w:rPr>
                <w:rFonts w:cs="Arial"/>
                <w:b/>
                <w:sz w:val="16"/>
                <w:szCs w:val="16"/>
              </w:rPr>
              <w:t>Targets</w:t>
            </w:r>
          </w:p>
        </w:tc>
        <w:tc>
          <w:tcPr>
            <w:tcW w:w="1343" w:type="pct"/>
            <w:gridSpan w:val="2"/>
            <w:tcBorders>
              <w:top w:val="single" w:sz="4" w:space="0" w:color="auto"/>
            </w:tcBorders>
            <w:shd w:val="clear" w:color="auto" w:fill="FFFFFF"/>
            <w:tcMar>
              <w:top w:w="110" w:type="dxa"/>
            </w:tcMar>
            <w:vAlign w:val="center"/>
          </w:tcPr>
          <w:p w:rsidR="00A06215" w:rsidRPr="005C50ED" w:rsidRDefault="00A06215" w:rsidP="00CE4C9D">
            <w:pPr>
              <w:rPr>
                <w:rFonts w:cs="Arial"/>
                <w:sz w:val="16"/>
                <w:szCs w:val="16"/>
              </w:rPr>
            </w:pPr>
            <w:r w:rsidRPr="005C50ED">
              <w:rPr>
                <w:rFonts w:cs="Arial"/>
                <w:b/>
                <w:bCs/>
                <w:sz w:val="16"/>
                <w:szCs w:val="16"/>
              </w:rPr>
              <w:t>Performance Data</w:t>
            </w:r>
          </w:p>
        </w:tc>
        <w:tc>
          <w:tcPr>
            <w:tcW w:w="521" w:type="pct"/>
            <w:tcBorders>
              <w:top w:val="single" w:sz="4" w:space="0" w:color="auto"/>
            </w:tcBorders>
            <w:shd w:val="clear" w:color="auto" w:fill="auto"/>
            <w:tcMar>
              <w:top w:w="110" w:type="dxa"/>
            </w:tcMar>
            <w:vAlign w:val="center"/>
          </w:tcPr>
          <w:p w:rsidR="00A06215" w:rsidRPr="005C50ED" w:rsidRDefault="00A06215" w:rsidP="00CE4C9D">
            <w:pPr>
              <w:keepNext/>
              <w:keepLines/>
              <w:jc w:val="center"/>
              <w:rPr>
                <w:rFonts w:cs="Arial"/>
                <w:b/>
                <w:bCs/>
                <w:sz w:val="16"/>
                <w:szCs w:val="16"/>
              </w:rPr>
            </w:pPr>
            <w:r w:rsidRPr="005C50ED">
              <w:rPr>
                <w:rFonts w:cs="Arial"/>
                <w:b/>
                <w:bCs/>
                <w:sz w:val="16"/>
                <w:szCs w:val="16"/>
              </w:rPr>
              <w:t>TLS</w:t>
            </w:r>
          </w:p>
        </w:tc>
      </w:tr>
      <w:tr w:rsidR="00A06215" w:rsidRPr="005C50ED" w:rsidTr="00A06215">
        <w:tc>
          <w:tcPr>
            <w:tcW w:w="1195" w:type="pct"/>
            <w:shd w:val="clear" w:color="auto" w:fill="auto"/>
          </w:tcPr>
          <w:p w:rsidR="00A06215" w:rsidRPr="005C50ED" w:rsidRDefault="00A06215" w:rsidP="00CE4C9D">
            <w:pPr>
              <w:rPr>
                <w:rFonts w:cs="Arial"/>
                <w:sz w:val="16"/>
                <w:szCs w:val="16"/>
              </w:rPr>
            </w:pPr>
            <w:r w:rsidRPr="00325F45">
              <w:rPr>
                <w:rFonts w:cs="Arial"/>
                <w:sz w:val="16"/>
                <w:szCs w:val="16"/>
                <w:lang w:bidi="th-TH"/>
              </w:rPr>
              <w:t>Progress towards agreement on current issues on the SCCR agenda</w:t>
            </w:r>
          </w:p>
        </w:tc>
        <w:tc>
          <w:tcPr>
            <w:tcW w:w="1268" w:type="pct"/>
            <w:shd w:val="clear" w:color="auto" w:fill="auto"/>
          </w:tcPr>
          <w:p w:rsidR="00A06215" w:rsidRPr="005C50ED" w:rsidRDefault="00A06215" w:rsidP="00CE4C9D">
            <w:pPr>
              <w:rPr>
                <w:rFonts w:cs="Arial"/>
                <w:i/>
                <w:color w:val="002060"/>
                <w:sz w:val="16"/>
                <w:szCs w:val="16"/>
              </w:rPr>
            </w:pPr>
            <w:r>
              <w:rPr>
                <w:rFonts w:cs="Arial"/>
                <w:i/>
                <w:color w:val="002060"/>
                <w:sz w:val="16"/>
                <w:szCs w:val="16"/>
              </w:rPr>
              <w:t>Updated Baseline end 2013</w:t>
            </w:r>
            <w:r w:rsidRPr="005C50ED">
              <w:rPr>
                <w:rFonts w:cs="Arial"/>
                <w:i/>
                <w:color w:val="002060"/>
                <w:sz w:val="16"/>
                <w:szCs w:val="16"/>
              </w:rPr>
              <w:t xml:space="preserve">:  </w:t>
            </w:r>
            <w:r w:rsidRPr="005C50ED">
              <w:rPr>
                <w:rFonts w:eastAsia="SimSun" w:cs="Arial"/>
                <w:sz w:val="16"/>
                <w:szCs w:val="16"/>
                <w:lang w:eastAsia="zh-CN"/>
              </w:rPr>
              <w:t xml:space="preserve">Beijing Treaty text adopted in June 2012. </w:t>
            </w:r>
            <w:r>
              <w:rPr>
                <w:rFonts w:eastAsia="SimSun" w:cs="Arial"/>
                <w:sz w:val="16"/>
                <w:szCs w:val="16"/>
                <w:lang w:eastAsia="zh-CN"/>
              </w:rPr>
              <w:t xml:space="preserve"> </w:t>
            </w:r>
            <w:r w:rsidRPr="005C50ED">
              <w:rPr>
                <w:rFonts w:eastAsia="SimSun" w:cs="Arial"/>
                <w:sz w:val="16"/>
                <w:szCs w:val="16"/>
                <w:lang w:eastAsia="zh-CN"/>
              </w:rPr>
              <w:t>Marrakesh VIP Treaty text adopted in June 2013.  Progress consistent with SCCR work plan on all issues on the agenda.</w:t>
            </w:r>
          </w:p>
          <w:p w:rsidR="00A06215" w:rsidRPr="005C50ED" w:rsidRDefault="00A06215" w:rsidP="00CE4C9D">
            <w:pPr>
              <w:rPr>
                <w:rFonts w:cs="Arial"/>
                <w:color w:val="002060"/>
                <w:sz w:val="8"/>
                <w:szCs w:val="8"/>
              </w:rPr>
            </w:pPr>
          </w:p>
          <w:p w:rsidR="00A06215" w:rsidRPr="005C50ED" w:rsidRDefault="00A06215" w:rsidP="00CE4C9D">
            <w:pPr>
              <w:rPr>
                <w:rFonts w:cs="Arial"/>
                <w:sz w:val="16"/>
                <w:szCs w:val="16"/>
                <w:lang w:bidi="th-TH"/>
              </w:rPr>
            </w:pPr>
            <w:r w:rsidRPr="005C50ED">
              <w:rPr>
                <w:rFonts w:cs="Arial"/>
                <w:i/>
                <w:sz w:val="16"/>
                <w:szCs w:val="16"/>
                <w:lang w:bidi="th-TH"/>
              </w:rPr>
              <w:t xml:space="preserve">Original Baseline P&amp;B </w:t>
            </w:r>
            <w:r>
              <w:rPr>
                <w:rFonts w:cs="Arial"/>
                <w:i/>
                <w:sz w:val="16"/>
                <w:szCs w:val="16"/>
                <w:lang w:bidi="th-TH"/>
              </w:rPr>
              <w:t>2014/15</w:t>
            </w:r>
            <w:r w:rsidRPr="005C50ED">
              <w:rPr>
                <w:rFonts w:cs="Arial"/>
                <w:i/>
                <w:sz w:val="16"/>
                <w:szCs w:val="16"/>
                <w:lang w:bidi="th-TH"/>
              </w:rPr>
              <w:t>:</w:t>
            </w:r>
            <w:r w:rsidRPr="005C50ED">
              <w:rPr>
                <w:rFonts w:cs="Arial"/>
                <w:sz w:val="16"/>
                <w:szCs w:val="16"/>
                <w:lang w:bidi="th-TH"/>
              </w:rPr>
              <w:t xml:space="preserve">  </w:t>
            </w:r>
            <w:r w:rsidRPr="00325F45">
              <w:rPr>
                <w:rFonts w:cs="Arial"/>
                <w:sz w:val="16"/>
                <w:szCs w:val="16"/>
                <w:lang w:bidi="th-TH"/>
              </w:rPr>
              <w:t>Two Treaties adopted in biennium 2012/13 (as to date). Two Diplomatic Conferences convened during the biennium 2012/13</w:t>
            </w:r>
          </w:p>
          <w:p w:rsidR="00A06215" w:rsidRPr="005C50ED" w:rsidRDefault="00A06215" w:rsidP="00CE4C9D">
            <w:pPr>
              <w:rPr>
                <w:rFonts w:cs="Arial"/>
                <w:sz w:val="16"/>
                <w:szCs w:val="16"/>
              </w:rPr>
            </w:pPr>
          </w:p>
        </w:tc>
        <w:tc>
          <w:tcPr>
            <w:tcW w:w="672" w:type="pct"/>
            <w:shd w:val="clear" w:color="auto" w:fill="auto"/>
            <w:tcMar>
              <w:top w:w="110" w:type="dxa"/>
            </w:tcMar>
          </w:tcPr>
          <w:p w:rsidR="00A06215" w:rsidRDefault="00A06215" w:rsidP="00CE4C9D">
            <w:pPr>
              <w:rPr>
                <w:rFonts w:cs="Arial"/>
                <w:sz w:val="16"/>
                <w:szCs w:val="16"/>
              </w:rPr>
            </w:pPr>
            <w:r w:rsidRPr="00325F45">
              <w:rPr>
                <w:rFonts w:cs="Arial"/>
                <w:sz w:val="16"/>
                <w:szCs w:val="16"/>
              </w:rPr>
              <w:t>One Diplomatic Conference convened and one Treaty adopted in the biennium 2014</w:t>
            </w:r>
            <w:r>
              <w:rPr>
                <w:rFonts w:cs="Arial"/>
                <w:sz w:val="16"/>
                <w:szCs w:val="16"/>
              </w:rPr>
              <w:t>/</w:t>
            </w:r>
            <w:r w:rsidRPr="00325F45">
              <w:rPr>
                <w:rFonts w:cs="Arial"/>
                <w:sz w:val="16"/>
                <w:szCs w:val="16"/>
              </w:rPr>
              <w:t>15</w:t>
            </w:r>
          </w:p>
          <w:p w:rsidR="00A06215" w:rsidRDefault="00A06215" w:rsidP="00CE4C9D">
            <w:pPr>
              <w:rPr>
                <w:rFonts w:cs="Arial"/>
                <w:sz w:val="16"/>
                <w:szCs w:val="16"/>
              </w:rPr>
            </w:pPr>
          </w:p>
          <w:p w:rsidR="00A06215" w:rsidRPr="00325F45" w:rsidRDefault="00A06215" w:rsidP="00CE4C9D">
            <w:pPr>
              <w:rPr>
                <w:rFonts w:cs="Arial"/>
                <w:sz w:val="16"/>
                <w:szCs w:val="16"/>
                <w:lang w:bidi="th-TH"/>
              </w:rPr>
            </w:pPr>
          </w:p>
        </w:tc>
        <w:tc>
          <w:tcPr>
            <w:tcW w:w="1343" w:type="pct"/>
            <w:gridSpan w:val="2"/>
            <w:shd w:val="clear" w:color="auto" w:fill="FFFFFF"/>
            <w:tcMar>
              <w:top w:w="110" w:type="dxa"/>
            </w:tcMar>
          </w:tcPr>
          <w:p w:rsidR="00A06215" w:rsidRPr="005C50ED" w:rsidRDefault="00A06215" w:rsidP="00CE4C9D">
            <w:pPr>
              <w:rPr>
                <w:rFonts w:cs="Arial"/>
                <w:sz w:val="16"/>
                <w:szCs w:val="16"/>
              </w:rPr>
            </w:pPr>
            <w:r w:rsidRPr="00325F45">
              <w:rPr>
                <w:rFonts w:eastAsia="SimSun" w:cs="Arial"/>
                <w:sz w:val="16"/>
                <w:szCs w:val="16"/>
                <w:lang w:eastAsia="zh-CN" w:bidi="th-TH"/>
              </w:rPr>
              <w:t>The SCCR and the 2014 WIPO General Assembly did not reach agreement on steps toward the convening of a diplomatic conference for a treaty on the protection of broadcasting organizations.</w:t>
            </w:r>
          </w:p>
        </w:tc>
        <w:tc>
          <w:tcPr>
            <w:tcW w:w="521" w:type="pct"/>
            <w:shd w:val="clear" w:color="auto" w:fill="auto"/>
            <w:tcMar>
              <w:top w:w="110" w:type="dxa"/>
            </w:tcMar>
          </w:tcPr>
          <w:p w:rsidR="00A06215" w:rsidRPr="00325F45" w:rsidRDefault="00A06215" w:rsidP="00CE4C9D">
            <w:pPr>
              <w:keepNext/>
              <w:keepLines/>
              <w:jc w:val="center"/>
              <w:rPr>
                <w:rFonts w:cs="Arial"/>
                <w:b/>
                <w:bCs/>
                <w:color w:val="FF0000"/>
                <w:sz w:val="16"/>
                <w:szCs w:val="16"/>
              </w:rPr>
            </w:pPr>
            <w:r w:rsidRPr="00325F45">
              <w:rPr>
                <w:rFonts w:cs="Arial"/>
                <w:b/>
                <w:bCs/>
                <w:color w:val="FF0000"/>
                <w:sz w:val="16"/>
                <w:szCs w:val="16"/>
              </w:rPr>
              <w:t xml:space="preserve">Not </w:t>
            </w:r>
            <w:r>
              <w:rPr>
                <w:rFonts w:cs="Arial"/>
                <w:b/>
                <w:bCs/>
                <w:color w:val="FF0000"/>
                <w:sz w:val="16"/>
                <w:szCs w:val="16"/>
              </w:rPr>
              <w:br/>
            </w:r>
            <w:r w:rsidRPr="00325F45">
              <w:rPr>
                <w:rFonts w:cs="Arial"/>
                <w:b/>
                <w:bCs/>
                <w:color w:val="FF0000"/>
                <w:sz w:val="16"/>
                <w:szCs w:val="16"/>
              </w:rPr>
              <w:t>on track</w:t>
            </w:r>
          </w:p>
        </w:tc>
      </w:tr>
      <w:tr w:rsidR="00A06215" w:rsidRPr="005C50ED" w:rsidTr="00A06215">
        <w:trPr>
          <w:trHeight w:val="475"/>
        </w:trPr>
        <w:tc>
          <w:tcPr>
            <w:tcW w:w="5000" w:type="pct"/>
            <w:gridSpan w:val="6"/>
            <w:tcBorders>
              <w:top w:val="single" w:sz="4" w:space="0" w:color="auto"/>
              <w:bottom w:val="single" w:sz="4" w:space="0" w:color="auto"/>
            </w:tcBorders>
            <w:shd w:val="clear" w:color="auto" w:fill="CCFFFF"/>
            <w:vAlign w:val="center"/>
          </w:tcPr>
          <w:p w:rsidR="00A06215" w:rsidRPr="005C50ED" w:rsidRDefault="00A06215" w:rsidP="00CE4C9D">
            <w:pPr>
              <w:keepNext/>
              <w:keepLines/>
              <w:tabs>
                <w:tab w:val="left" w:pos="1452"/>
              </w:tabs>
              <w:ind w:left="1452" w:hanging="1452"/>
              <w:rPr>
                <w:rFonts w:cs="Arial"/>
                <w:b/>
                <w:bCs/>
                <w:sz w:val="16"/>
                <w:szCs w:val="16"/>
              </w:rPr>
            </w:pPr>
            <w:r w:rsidRPr="005C50ED">
              <w:rPr>
                <w:rFonts w:cs="Arial"/>
                <w:b/>
                <w:bCs/>
                <w:sz w:val="16"/>
                <w:szCs w:val="16"/>
              </w:rPr>
              <w:t>Expected Result:</w:t>
            </w:r>
            <w:r w:rsidRPr="005C50ED">
              <w:rPr>
                <w:rFonts w:cs="Arial"/>
                <w:b/>
                <w:bCs/>
                <w:sz w:val="16"/>
                <w:szCs w:val="16"/>
              </w:rPr>
              <w:tab/>
            </w:r>
            <w:r w:rsidRPr="003152BA">
              <w:rPr>
                <w:rFonts w:cs="Arial"/>
                <w:bCs/>
                <w:sz w:val="16"/>
                <w:szCs w:val="16"/>
              </w:rPr>
              <w:t>I.2 Tailored and balanced IP legislative, regulatory and policy frameworks</w:t>
            </w:r>
          </w:p>
        </w:tc>
      </w:tr>
      <w:tr w:rsidR="00A06215" w:rsidRPr="005C50ED" w:rsidTr="00A06215">
        <w:tc>
          <w:tcPr>
            <w:tcW w:w="1195" w:type="pct"/>
            <w:tcBorders>
              <w:top w:val="single" w:sz="4" w:space="0" w:color="auto"/>
              <w:left w:val="single" w:sz="4" w:space="0" w:color="auto"/>
              <w:bottom w:val="nil"/>
            </w:tcBorders>
            <w:shd w:val="clear" w:color="auto" w:fill="auto"/>
            <w:vAlign w:val="center"/>
          </w:tcPr>
          <w:p w:rsidR="00A06215" w:rsidRPr="005C50ED" w:rsidRDefault="00A06215" w:rsidP="00CE4C9D">
            <w:pPr>
              <w:rPr>
                <w:rFonts w:cs="Arial"/>
                <w:sz w:val="16"/>
                <w:szCs w:val="16"/>
              </w:rPr>
            </w:pPr>
            <w:r w:rsidRPr="005C50ED">
              <w:rPr>
                <w:rFonts w:cs="Arial"/>
                <w:b/>
                <w:bCs/>
                <w:sz w:val="16"/>
                <w:szCs w:val="16"/>
              </w:rPr>
              <w:t>Performance Indicators</w:t>
            </w:r>
          </w:p>
        </w:tc>
        <w:tc>
          <w:tcPr>
            <w:tcW w:w="1268" w:type="pct"/>
            <w:tcBorders>
              <w:top w:val="single" w:sz="4" w:space="0" w:color="auto"/>
              <w:bottom w:val="nil"/>
            </w:tcBorders>
            <w:shd w:val="clear" w:color="auto" w:fill="auto"/>
            <w:vAlign w:val="center"/>
          </w:tcPr>
          <w:p w:rsidR="00A06215" w:rsidRPr="005C50ED" w:rsidRDefault="00A06215" w:rsidP="00CE4C9D">
            <w:pPr>
              <w:rPr>
                <w:rFonts w:cs="Arial"/>
                <w:b/>
                <w:bCs/>
                <w:sz w:val="16"/>
                <w:szCs w:val="16"/>
              </w:rPr>
            </w:pPr>
            <w:r w:rsidRPr="005C50ED">
              <w:rPr>
                <w:rFonts w:cs="Arial"/>
                <w:b/>
                <w:bCs/>
                <w:sz w:val="16"/>
                <w:szCs w:val="16"/>
              </w:rPr>
              <w:t>Baselines</w:t>
            </w:r>
          </w:p>
        </w:tc>
        <w:tc>
          <w:tcPr>
            <w:tcW w:w="672" w:type="pct"/>
            <w:tcBorders>
              <w:top w:val="single" w:sz="4" w:space="0" w:color="auto"/>
              <w:bottom w:val="nil"/>
            </w:tcBorders>
            <w:shd w:val="clear" w:color="auto" w:fill="auto"/>
            <w:tcMar>
              <w:top w:w="110" w:type="dxa"/>
            </w:tcMar>
            <w:vAlign w:val="center"/>
          </w:tcPr>
          <w:p w:rsidR="00A06215" w:rsidRPr="005C50ED" w:rsidRDefault="00A06215" w:rsidP="00CE4C9D">
            <w:pPr>
              <w:rPr>
                <w:rFonts w:cs="Arial"/>
                <w:b/>
                <w:sz w:val="16"/>
                <w:szCs w:val="16"/>
              </w:rPr>
            </w:pPr>
            <w:r w:rsidRPr="005C50ED">
              <w:rPr>
                <w:rFonts w:cs="Arial"/>
                <w:b/>
                <w:sz w:val="16"/>
                <w:szCs w:val="16"/>
              </w:rPr>
              <w:t>Targets</w:t>
            </w:r>
          </w:p>
        </w:tc>
        <w:tc>
          <w:tcPr>
            <w:tcW w:w="1343" w:type="pct"/>
            <w:gridSpan w:val="2"/>
            <w:tcBorders>
              <w:top w:val="single" w:sz="4" w:space="0" w:color="auto"/>
              <w:bottom w:val="nil"/>
            </w:tcBorders>
            <w:shd w:val="clear" w:color="auto" w:fill="FFFFFF"/>
            <w:tcMar>
              <w:top w:w="110" w:type="dxa"/>
            </w:tcMar>
            <w:vAlign w:val="center"/>
          </w:tcPr>
          <w:p w:rsidR="00A06215" w:rsidRPr="005C50ED" w:rsidRDefault="00A06215" w:rsidP="00CE4C9D">
            <w:pPr>
              <w:rPr>
                <w:rFonts w:cs="Arial"/>
                <w:sz w:val="16"/>
                <w:szCs w:val="16"/>
              </w:rPr>
            </w:pPr>
            <w:r w:rsidRPr="005C50ED">
              <w:rPr>
                <w:rFonts w:cs="Arial"/>
                <w:b/>
                <w:bCs/>
                <w:sz w:val="16"/>
                <w:szCs w:val="16"/>
              </w:rPr>
              <w:t>Performance Data</w:t>
            </w:r>
          </w:p>
        </w:tc>
        <w:tc>
          <w:tcPr>
            <w:tcW w:w="521" w:type="pct"/>
            <w:tcBorders>
              <w:top w:val="single" w:sz="4" w:space="0" w:color="auto"/>
              <w:bottom w:val="nil"/>
              <w:right w:val="single" w:sz="4" w:space="0" w:color="auto"/>
            </w:tcBorders>
            <w:shd w:val="clear" w:color="auto" w:fill="auto"/>
            <w:tcMar>
              <w:top w:w="110" w:type="dxa"/>
            </w:tcMar>
            <w:vAlign w:val="center"/>
          </w:tcPr>
          <w:p w:rsidR="00A06215" w:rsidRPr="005C50ED" w:rsidRDefault="00A06215" w:rsidP="00CE4C9D">
            <w:pPr>
              <w:keepNext/>
              <w:keepLines/>
              <w:jc w:val="center"/>
              <w:rPr>
                <w:rFonts w:cs="Arial"/>
                <w:b/>
                <w:bCs/>
                <w:sz w:val="16"/>
                <w:szCs w:val="16"/>
              </w:rPr>
            </w:pPr>
            <w:r w:rsidRPr="005C50ED">
              <w:rPr>
                <w:rFonts w:cs="Arial"/>
                <w:b/>
                <w:bCs/>
                <w:sz w:val="16"/>
                <w:szCs w:val="16"/>
              </w:rPr>
              <w:t>TLS</w:t>
            </w:r>
          </w:p>
        </w:tc>
      </w:tr>
      <w:tr w:rsidR="00A06215" w:rsidRPr="005C50ED" w:rsidTr="00A06215">
        <w:tc>
          <w:tcPr>
            <w:tcW w:w="1195" w:type="pct"/>
            <w:tcBorders>
              <w:top w:val="nil"/>
              <w:left w:val="single" w:sz="4" w:space="0" w:color="auto"/>
              <w:bottom w:val="nil"/>
            </w:tcBorders>
            <w:shd w:val="clear" w:color="auto" w:fill="FFFFFF"/>
          </w:tcPr>
          <w:p w:rsidR="00A06215" w:rsidRPr="005C50ED" w:rsidRDefault="00A06215" w:rsidP="00CE4C9D">
            <w:pPr>
              <w:keepNext/>
              <w:rPr>
                <w:rFonts w:cs="Arial"/>
                <w:sz w:val="16"/>
                <w:szCs w:val="16"/>
              </w:rPr>
            </w:pPr>
            <w:r w:rsidRPr="00325F45">
              <w:rPr>
                <w:rFonts w:cs="Arial"/>
                <w:sz w:val="16"/>
                <w:szCs w:val="16"/>
                <w:lang w:bidi="th-TH"/>
              </w:rPr>
              <w:t>No. of countries that have ratified the Beijing Treaty</w:t>
            </w:r>
          </w:p>
        </w:tc>
        <w:tc>
          <w:tcPr>
            <w:tcW w:w="1268" w:type="pct"/>
            <w:tcBorders>
              <w:top w:val="nil"/>
              <w:bottom w:val="nil"/>
            </w:tcBorders>
            <w:shd w:val="clear" w:color="auto" w:fill="auto"/>
          </w:tcPr>
          <w:p w:rsidR="00A06215" w:rsidRPr="005C50ED" w:rsidRDefault="00A06215" w:rsidP="00CE4C9D">
            <w:pPr>
              <w:keepNext/>
              <w:rPr>
                <w:rFonts w:cs="Arial"/>
                <w:i/>
                <w:color w:val="002060"/>
                <w:sz w:val="16"/>
                <w:szCs w:val="16"/>
              </w:rPr>
            </w:pPr>
            <w:r>
              <w:rPr>
                <w:rFonts w:cs="Arial"/>
                <w:i/>
                <w:color w:val="002060"/>
                <w:sz w:val="16"/>
                <w:szCs w:val="16"/>
              </w:rPr>
              <w:t>Updated Baseline end 2013</w:t>
            </w:r>
            <w:r w:rsidRPr="005C50ED">
              <w:rPr>
                <w:rFonts w:cs="Arial"/>
                <w:i/>
                <w:color w:val="002060"/>
                <w:sz w:val="16"/>
                <w:szCs w:val="16"/>
              </w:rPr>
              <w:t xml:space="preserve">:  </w:t>
            </w:r>
            <w:r w:rsidRPr="006832CF">
              <w:rPr>
                <w:rFonts w:cs="Arial"/>
                <w:color w:val="002060"/>
                <w:sz w:val="16"/>
                <w:szCs w:val="16"/>
              </w:rPr>
              <w:t>2 (Botswana, Syrian Arab Republic)</w:t>
            </w:r>
          </w:p>
          <w:p w:rsidR="00A06215" w:rsidRPr="005C50ED" w:rsidRDefault="00A06215" w:rsidP="00CE4C9D">
            <w:pPr>
              <w:keepNext/>
              <w:rPr>
                <w:rFonts w:cs="Arial"/>
                <w:i/>
                <w:sz w:val="8"/>
                <w:szCs w:val="8"/>
                <w:lang w:bidi="th-TH"/>
              </w:rPr>
            </w:pPr>
          </w:p>
          <w:p w:rsidR="00A06215" w:rsidRPr="005C50ED" w:rsidRDefault="00A06215" w:rsidP="00CE4C9D">
            <w:pPr>
              <w:keepNext/>
              <w:rPr>
                <w:rFonts w:cs="Arial"/>
                <w:sz w:val="16"/>
                <w:szCs w:val="16"/>
                <w:lang w:bidi="th-TH"/>
              </w:rPr>
            </w:pPr>
            <w:r>
              <w:rPr>
                <w:rFonts w:cs="Arial"/>
                <w:i/>
                <w:sz w:val="16"/>
                <w:szCs w:val="16"/>
                <w:lang w:bidi="th-TH"/>
              </w:rPr>
              <w:t>Original Baseline P&amp;B 2014/15</w:t>
            </w:r>
            <w:r w:rsidRPr="005C50ED">
              <w:rPr>
                <w:rFonts w:cs="Arial"/>
                <w:i/>
                <w:sz w:val="16"/>
                <w:szCs w:val="16"/>
                <w:lang w:bidi="th-TH"/>
              </w:rPr>
              <w:t xml:space="preserve">: </w:t>
            </w:r>
            <w:r w:rsidRPr="005C50ED">
              <w:rPr>
                <w:rFonts w:cs="Arial"/>
                <w:sz w:val="16"/>
                <w:szCs w:val="16"/>
                <w:lang w:bidi="th-TH"/>
              </w:rPr>
              <w:t xml:space="preserve"> </w:t>
            </w:r>
            <w:r w:rsidRPr="00325F45">
              <w:rPr>
                <w:rFonts w:cs="Arial"/>
                <w:sz w:val="16"/>
                <w:szCs w:val="16"/>
                <w:lang w:bidi="th-TH"/>
              </w:rPr>
              <w:t>None</w:t>
            </w:r>
          </w:p>
          <w:p w:rsidR="00A06215" w:rsidRPr="005C50ED" w:rsidRDefault="00A06215" w:rsidP="00CE4C9D">
            <w:pPr>
              <w:keepNext/>
              <w:rPr>
                <w:rFonts w:cs="Arial"/>
                <w:sz w:val="16"/>
                <w:szCs w:val="16"/>
              </w:rPr>
            </w:pPr>
          </w:p>
        </w:tc>
        <w:tc>
          <w:tcPr>
            <w:tcW w:w="672" w:type="pct"/>
            <w:tcBorders>
              <w:top w:val="nil"/>
              <w:bottom w:val="nil"/>
            </w:tcBorders>
            <w:shd w:val="clear" w:color="auto" w:fill="auto"/>
            <w:tcMar>
              <w:top w:w="110" w:type="dxa"/>
            </w:tcMar>
          </w:tcPr>
          <w:p w:rsidR="00A06215" w:rsidRPr="002C52FB" w:rsidRDefault="00A06215" w:rsidP="00CE4C9D">
            <w:pPr>
              <w:keepNext/>
              <w:rPr>
                <w:rFonts w:cs="Arial"/>
                <w:sz w:val="16"/>
                <w:szCs w:val="16"/>
              </w:rPr>
            </w:pPr>
            <w:r w:rsidRPr="00325F45">
              <w:rPr>
                <w:rFonts w:cs="Arial"/>
                <w:sz w:val="16"/>
                <w:szCs w:val="16"/>
              </w:rPr>
              <w:t>30 countries</w:t>
            </w:r>
          </w:p>
        </w:tc>
        <w:tc>
          <w:tcPr>
            <w:tcW w:w="1343" w:type="pct"/>
            <w:gridSpan w:val="2"/>
            <w:tcBorders>
              <w:top w:val="nil"/>
              <w:bottom w:val="nil"/>
            </w:tcBorders>
            <w:shd w:val="clear" w:color="auto" w:fill="FFFFFF"/>
            <w:tcMar>
              <w:top w:w="110" w:type="dxa"/>
            </w:tcMar>
          </w:tcPr>
          <w:p w:rsidR="00A06215" w:rsidRPr="005C50ED" w:rsidRDefault="00A06215" w:rsidP="00CE4C9D">
            <w:pPr>
              <w:rPr>
                <w:rFonts w:cs="Arial"/>
                <w:sz w:val="16"/>
                <w:szCs w:val="16"/>
              </w:rPr>
            </w:pPr>
            <w:r>
              <w:rPr>
                <w:rFonts w:eastAsia="SimSun" w:cs="Arial"/>
                <w:sz w:val="16"/>
                <w:szCs w:val="16"/>
                <w:lang w:eastAsia="zh-CN"/>
              </w:rPr>
              <w:t>4 additional</w:t>
            </w:r>
            <w:r w:rsidRPr="00325F45">
              <w:rPr>
                <w:rFonts w:eastAsia="SimSun" w:cs="Arial"/>
                <w:sz w:val="16"/>
                <w:szCs w:val="16"/>
                <w:lang w:eastAsia="zh-CN"/>
              </w:rPr>
              <w:t xml:space="preserve"> countries have deposited instruments of ratification</w:t>
            </w:r>
            <w:r>
              <w:rPr>
                <w:rFonts w:eastAsia="SimSun" w:cs="Arial"/>
                <w:sz w:val="16"/>
                <w:szCs w:val="16"/>
                <w:lang w:eastAsia="zh-CN"/>
              </w:rPr>
              <w:t xml:space="preserve"> or accession </w:t>
            </w:r>
            <w:r w:rsidRPr="00325F45">
              <w:rPr>
                <w:rFonts w:eastAsia="SimSun" w:cs="Arial"/>
                <w:sz w:val="16"/>
                <w:szCs w:val="16"/>
                <w:lang w:eastAsia="zh-CN"/>
              </w:rPr>
              <w:t xml:space="preserve"> for the Beijing Treaty</w:t>
            </w:r>
            <w:r>
              <w:rPr>
                <w:rFonts w:eastAsia="SimSun" w:cs="Arial"/>
                <w:sz w:val="16"/>
                <w:szCs w:val="16"/>
                <w:lang w:eastAsia="zh-CN"/>
              </w:rPr>
              <w:t xml:space="preserve"> (China, Japan, Slovakia, United Arab Emirates) (6 countries in total)</w:t>
            </w:r>
          </w:p>
        </w:tc>
        <w:tc>
          <w:tcPr>
            <w:tcW w:w="521" w:type="pct"/>
            <w:tcBorders>
              <w:top w:val="nil"/>
              <w:bottom w:val="nil"/>
              <w:right w:val="single" w:sz="4" w:space="0" w:color="auto"/>
            </w:tcBorders>
            <w:shd w:val="clear" w:color="auto" w:fill="auto"/>
            <w:tcMar>
              <w:top w:w="110" w:type="dxa"/>
            </w:tcMar>
          </w:tcPr>
          <w:p w:rsidR="00A06215" w:rsidRPr="00325F45" w:rsidRDefault="00A06215" w:rsidP="00CE4C9D">
            <w:pPr>
              <w:keepNext/>
              <w:keepLines/>
              <w:jc w:val="center"/>
              <w:rPr>
                <w:rFonts w:cs="Arial"/>
                <w:b/>
                <w:bCs/>
                <w:color w:val="808080"/>
                <w:sz w:val="16"/>
                <w:szCs w:val="16"/>
              </w:rPr>
            </w:pPr>
            <w:r>
              <w:rPr>
                <w:rFonts w:cs="Arial"/>
                <w:b/>
                <w:bCs/>
                <w:color w:val="FF0000"/>
                <w:sz w:val="16"/>
                <w:szCs w:val="16"/>
              </w:rPr>
              <w:t xml:space="preserve">Not </w:t>
            </w:r>
            <w:r>
              <w:rPr>
                <w:rFonts w:cs="Arial"/>
                <w:b/>
                <w:bCs/>
                <w:color w:val="FF0000"/>
                <w:sz w:val="16"/>
                <w:szCs w:val="16"/>
              </w:rPr>
              <w:br/>
              <w:t>on track</w:t>
            </w:r>
          </w:p>
        </w:tc>
      </w:tr>
      <w:tr w:rsidR="00A06215" w:rsidRPr="005C50ED" w:rsidTr="00A06215">
        <w:tc>
          <w:tcPr>
            <w:tcW w:w="1195" w:type="pct"/>
            <w:tcBorders>
              <w:top w:val="nil"/>
              <w:left w:val="single" w:sz="4" w:space="0" w:color="auto"/>
              <w:bottom w:val="single" w:sz="4" w:space="0" w:color="auto"/>
            </w:tcBorders>
            <w:shd w:val="clear" w:color="auto" w:fill="auto"/>
          </w:tcPr>
          <w:p w:rsidR="00A06215" w:rsidRPr="005C50ED" w:rsidRDefault="00A06215" w:rsidP="00CE4C9D">
            <w:pPr>
              <w:rPr>
                <w:rFonts w:cs="Arial"/>
                <w:sz w:val="16"/>
                <w:szCs w:val="16"/>
                <w:lang w:bidi="th-TH"/>
              </w:rPr>
            </w:pPr>
            <w:r w:rsidRPr="0062421A">
              <w:rPr>
                <w:rFonts w:cs="Arial"/>
                <w:color w:val="000000"/>
                <w:sz w:val="16"/>
                <w:szCs w:val="16"/>
                <w:lang w:bidi="th-TH"/>
              </w:rPr>
              <w:t>No. and % of countries that have provided positive feedback about WIPO´s  legislative advice</w:t>
            </w:r>
          </w:p>
        </w:tc>
        <w:tc>
          <w:tcPr>
            <w:tcW w:w="1268" w:type="pct"/>
            <w:tcBorders>
              <w:top w:val="nil"/>
              <w:bottom w:val="single" w:sz="4" w:space="0" w:color="auto"/>
            </w:tcBorders>
            <w:shd w:val="clear" w:color="auto" w:fill="auto"/>
          </w:tcPr>
          <w:p w:rsidR="00A06215" w:rsidRPr="00DE59D9" w:rsidRDefault="00A06215" w:rsidP="00CE4C9D">
            <w:pPr>
              <w:keepNext/>
              <w:rPr>
                <w:rFonts w:cs="Arial"/>
                <w:sz w:val="16"/>
                <w:szCs w:val="16"/>
                <w:lang w:bidi="th-TH"/>
              </w:rPr>
            </w:pPr>
            <w:r w:rsidRPr="00DE59D9">
              <w:rPr>
                <w:rFonts w:cs="Arial"/>
                <w:sz w:val="16"/>
                <w:szCs w:val="16"/>
                <w:lang w:bidi="th-TH"/>
              </w:rPr>
              <w:t>Data not available</w:t>
            </w:r>
          </w:p>
          <w:p w:rsidR="00A06215" w:rsidRPr="0067453C" w:rsidRDefault="00A06215" w:rsidP="00CE4C9D">
            <w:pPr>
              <w:rPr>
                <w:rFonts w:cs="Arial"/>
                <w:sz w:val="16"/>
                <w:szCs w:val="16"/>
                <w:lang w:bidi="th-TH"/>
              </w:rPr>
            </w:pPr>
          </w:p>
        </w:tc>
        <w:tc>
          <w:tcPr>
            <w:tcW w:w="672" w:type="pct"/>
            <w:tcBorders>
              <w:top w:val="nil"/>
              <w:bottom w:val="single" w:sz="4" w:space="0" w:color="auto"/>
            </w:tcBorders>
            <w:shd w:val="clear" w:color="auto" w:fill="auto"/>
            <w:tcMar>
              <w:top w:w="110" w:type="dxa"/>
            </w:tcMar>
          </w:tcPr>
          <w:p w:rsidR="00A06215" w:rsidRPr="0067453C" w:rsidRDefault="00A06215" w:rsidP="00CE4C9D">
            <w:pPr>
              <w:rPr>
                <w:rFonts w:cs="Arial"/>
                <w:sz w:val="16"/>
                <w:szCs w:val="16"/>
                <w:lang w:bidi="th-TH"/>
              </w:rPr>
            </w:pPr>
            <w:r w:rsidRPr="0067453C">
              <w:rPr>
                <w:rFonts w:cs="Arial"/>
                <w:sz w:val="16"/>
                <w:szCs w:val="16"/>
                <w:lang w:bidi="th-TH"/>
              </w:rPr>
              <w:t xml:space="preserve">15 countries </w:t>
            </w:r>
          </w:p>
        </w:tc>
        <w:tc>
          <w:tcPr>
            <w:tcW w:w="1343" w:type="pct"/>
            <w:gridSpan w:val="2"/>
            <w:tcBorders>
              <w:top w:val="nil"/>
              <w:bottom w:val="single" w:sz="4" w:space="0" w:color="auto"/>
            </w:tcBorders>
            <w:shd w:val="clear" w:color="auto" w:fill="FFFFFF"/>
            <w:tcMar>
              <w:top w:w="110" w:type="dxa"/>
            </w:tcMar>
          </w:tcPr>
          <w:p w:rsidR="00A06215" w:rsidRPr="001641D2" w:rsidRDefault="00A06215" w:rsidP="00CE4C9D">
            <w:pPr>
              <w:rPr>
                <w:rFonts w:cs="Arial"/>
                <w:sz w:val="16"/>
                <w:szCs w:val="16"/>
                <w:lang w:bidi="th-TH"/>
              </w:rPr>
            </w:pPr>
            <w:r w:rsidRPr="007727C2">
              <w:rPr>
                <w:rFonts w:cs="Arial"/>
                <w:sz w:val="16"/>
                <w:szCs w:val="16"/>
                <w:lang w:bidi="th-TH"/>
              </w:rPr>
              <w:t>1</w:t>
            </w:r>
            <w:r w:rsidRPr="003B065A">
              <w:rPr>
                <w:rFonts w:cs="Arial"/>
                <w:sz w:val="16"/>
                <w:szCs w:val="16"/>
                <w:lang w:bidi="th-TH"/>
              </w:rPr>
              <w:t xml:space="preserve">6 countries received legislative advice in 2014. </w:t>
            </w:r>
            <w:r w:rsidRPr="00DC1E3D">
              <w:rPr>
                <w:rFonts w:cs="Arial"/>
                <w:sz w:val="16"/>
                <w:szCs w:val="16"/>
                <w:lang w:bidi="th-TH"/>
              </w:rPr>
              <w:t xml:space="preserve">(Africa 6; Asia </w:t>
            </w:r>
            <w:r>
              <w:rPr>
                <w:rFonts w:cs="Arial"/>
                <w:sz w:val="16"/>
                <w:szCs w:val="16"/>
                <w:lang w:bidi="th-TH"/>
              </w:rPr>
              <w:t>and the Pacific 2; Latin America and the Caribbean</w:t>
            </w:r>
            <w:r w:rsidRPr="00DC1E3D">
              <w:rPr>
                <w:rFonts w:cs="Arial"/>
                <w:sz w:val="16"/>
                <w:szCs w:val="16"/>
                <w:lang w:bidi="th-TH"/>
              </w:rPr>
              <w:t xml:space="preserve"> 4; Arab 2; Other 2</w:t>
            </w:r>
            <w:r>
              <w:rPr>
                <w:rFonts w:cs="Arial"/>
                <w:sz w:val="16"/>
                <w:szCs w:val="16"/>
                <w:lang w:bidi="th-TH"/>
              </w:rPr>
              <w:t>).</w:t>
            </w:r>
            <w:r w:rsidRPr="00DC1E3D">
              <w:rPr>
                <w:rFonts w:cs="Arial"/>
                <w:sz w:val="16"/>
                <w:szCs w:val="16"/>
                <w:lang w:bidi="th-TH"/>
              </w:rPr>
              <w:t xml:space="preserve"> </w:t>
            </w:r>
            <w:r w:rsidRPr="00942949">
              <w:rPr>
                <w:rFonts w:cs="Arial"/>
                <w:sz w:val="16"/>
                <w:szCs w:val="16"/>
                <w:lang w:bidi="th-TH"/>
              </w:rPr>
              <w:t>Survey to be conducted in 2015.</w:t>
            </w:r>
          </w:p>
        </w:tc>
        <w:tc>
          <w:tcPr>
            <w:tcW w:w="521" w:type="pct"/>
            <w:tcBorders>
              <w:top w:val="nil"/>
              <w:bottom w:val="single" w:sz="4" w:space="0" w:color="auto"/>
              <w:right w:val="single" w:sz="4" w:space="0" w:color="auto"/>
            </w:tcBorders>
            <w:shd w:val="clear" w:color="auto" w:fill="auto"/>
          </w:tcPr>
          <w:p w:rsidR="00A06215" w:rsidRPr="005C50ED" w:rsidRDefault="00A06215" w:rsidP="00CE4C9D">
            <w:pPr>
              <w:keepNext/>
              <w:keepLines/>
              <w:jc w:val="center"/>
              <w:rPr>
                <w:rFonts w:cs="Arial"/>
                <w:bCs/>
                <w:color w:val="333333"/>
                <w:sz w:val="16"/>
                <w:szCs w:val="16"/>
              </w:rPr>
            </w:pPr>
            <w:r w:rsidRPr="00804291">
              <w:rPr>
                <w:rFonts w:cs="Arial"/>
                <w:b/>
                <w:bCs/>
                <w:color w:val="0070C0"/>
                <w:sz w:val="16"/>
                <w:szCs w:val="16"/>
              </w:rPr>
              <w:t>N/A 2014</w:t>
            </w:r>
          </w:p>
        </w:tc>
      </w:tr>
      <w:tr w:rsidR="00A06215" w:rsidRPr="005C50ED" w:rsidTr="00A06215">
        <w:tc>
          <w:tcPr>
            <w:tcW w:w="1195" w:type="pct"/>
            <w:tcBorders>
              <w:top w:val="single" w:sz="4" w:space="0" w:color="auto"/>
              <w:left w:val="single" w:sz="4" w:space="0" w:color="auto"/>
              <w:bottom w:val="nil"/>
            </w:tcBorders>
            <w:shd w:val="clear" w:color="auto" w:fill="auto"/>
            <w:vAlign w:val="center"/>
          </w:tcPr>
          <w:p w:rsidR="00A06215" w:rsidRPr="005C50ED" w:rsidRDefault="00A06215" w:rsidP="00CE4C9D">
            <w:pPr>
              <w:keepNext/>
              <w:keepLines/>
              <w:rPr>
                <w:rFonts w:cs="Arial"/>
                <w:sz w:val="16"/>
                <w:szCs w:val="16"/>
              </w:rPr>
            </w:pPr>
            <w:r w:rsidRPr="005C50ED">
              <w:rPr>
                <w:rFonts w:cs="Arial"/>
                <w:b/>
                <w:bCs/>
                <w:sz w:val="16"/>
                <w:szCs w:val="16"/>
              </w:rPr>
              <w:lastRenderedPageBreak/>
              <w:t>Performance Indicators</w:t>
            </w:r>
          </w:p>
        </w:tc>
        <w:tc>
          <w:tcPr>
            <w:tcW w:w="1268" w:type="pct"/>
            <w:tcBorders>
              <w:top w:val="single" w:sz="4" w:space="0" w:color="auto"/>
              <w:bottom w:val="nil"/>
            </w:tcBorders>
            <w:shd w:val="clear" w:color="auto" w:fill="auto"/>
            <w:vAlign w:val="center"/>
          </w:tcPr>
          <w:p w:rsidR="00A06215" w:rsidRPr="005C50ED" w:rsidRDefault="00A06215" w:rsidP="00CE4C9D">
            <w:pPr>
              <w:keepNext/>
              <w:keepLines/>
              <w:rPr>
                <w:rFonts w:cs="Arial"/>
                <w:b/>
                <w:bCs/>
                <w:sz w:val="16"/>
                <w:szCs w:val="16"/>
              </w:rPr>
            </w:pPr>
            <w:r w:rsidRPr="005C50ED">
              <w:rPr>
                <w:rFonts w:cs="Arial"/>
                <w:b/>
                <w:bCs/>
                <w:sz w:val="16"/>
                <w:szCs w:val="16"/>
              </w:rPr>
              <w:t>Baselines</w:t>
            </w:r>
          </w:p>
        </w:tc>
        <w:tc>
          <w:tcPr>
            <w:tcW w:w="672" w:type="pct"/>
            <w:tcBorders>
              <w:top w:val="single" w:sz="4" w:space="0" w:color="auto"/>
              <w:bottom w:val="nil"/>
            </w:tcBorders>
            <w:shd w:val="clear" w:color="auto" w:fill="auto"/>
            <w:tcMar>
              <w:top w:w="110" w:type="dxa"/>
            </w:tcMar>
            <w:vAlign w:val="center"/>
          </w:tcPr>
          <w:p w:rsidR="00A06215" w:rsidRPr="005C50ED" w:rsidRDefault="00A06215" w:rsidP="00CE4C9D">
            <w:pPr>
              <w:keepNext/>
              <w:keepLines/>
              <w:rPr>
                <w:rFonts w:cs="Arial"/>
                <w:b/>
                <w:sz w:val="16"/>
                <w:szCs w:val="16"/>
              </w:rPr>
            </w:pPr>
            <w:r w:rsidRPr="005C50ED">
              <w:rPr>
                <w:rFonts w:cs="Arial"/>
                <w:b/>
                <w:sz w:val="16"/>
                <w:szCs w:val="16"/>
              </w:rPr>
              <w:t>Targets</w:t>
            </w:r>
          </w:p>
        </w:tc>
        <w:tc>
          <w:tcPr>
            <w:tcW w:w="1343" w:type="pct"/>
            <w:gridSpan w:val="2"/>
            <w:tcBorders>
              <w:top w:val="single" w:sz="4" w:space="0" w:color="auto"/>
              <w:bottom w:val="nil"/>
            </w:tcBorders>
            <w:shd w:val="clear" w:color="auto" w:fill="FFFFFF"/>
            <w:tcMar>
              <w:top w:w="110" w:type="dxa"/>
            </w:tcMar>
            <w:vAlign w:val="center"/>
          </w:tcPr>
          <w:p w:rsidR="00A06215" w:rsidRPr="005C50ED" w:rsidRDefault="00A06215" w:rsidP="00CE4C9D">
            <w:pPr>
              <w:keepNext/>
              <w:keepLines/>
              <w:rPr>
                <w:rFonts w:cs="Arial"/>
                <w:sz w:val="16"/>
                <w:szCs w:val="16"/>
              </w:rPr>
            </w:pPr>
            <w:r w:rsidRPr="005C50ED">
              <w:rPr>
                <w:rFonts w:cs="Arial"/>
                <w:b/>
                <w:bCs/>
                <w:sz w:val="16"/>
                <w:szCs w:val="16"/>
              </w:rPr>
              <w:t>Performance Data</w:t>
            </w:r>
          </w:p>
        </w:tc>
        <w:tc>
          <w:tcPr>
            <w:tcW w:w="521" w:type="pct"/>
            <w:tcBorders>
              <w:top w:val="single" w:sz="4" w:space="0" w:color="auto"/>
              <w:bottom w:val="nil"/>
              <w:right w:val="single" w:sz="4" w:space="0" w:color="auto"/>
            </w:tcBorders>
            <w:shd w:val="clear" w:color="auto" w:fill="auto"/>
            <w:vAlign w:val="center"/>
          </w:tcPr>
          <w:p w:rsidR="00A06215" w:rsidRPr="005C50ED" w:rsidRDefault="00A06215" w:rsidP="00CE4C9D">
            <w:pPr>
              <w:keepNext/>
              <w:keepLines/>
              <w:jc w:val="center"/>
              <w:rPr>
                <w:rFonts w:cs="Arial"/>
                <w:b/>
                <w:bCs/>
                <w:sz w:val="16"/>
                <w:szCs w:val="16"/>
              </w:rPr>
            </w:pPr>
            <w:r w:rsidRPr="005C50ED">
              <w:rPr>
                <w:rFonts w:cs="Arial"/>
                <w:b/>
                <w:bCs/>
                <w:sz w:val="16"/>
                <w:szCs w:val="16"/>
              </w:rPr>
              <w:t>TLS</w:t>
            </w:r>
          </w:p>
        </w:tc>
      </w:tr>
      <w:tr w:rsidR="00A06215" w:rsidRPr="005C50ED" w:rsidTr="00A06215">
        <w:tc>
          <w:tcPr>
            <w:tcW w:w="1195" w:type="pct"/>
            <w:tcBorders>
              <w:top w:val="nil"/>
              <w:left w:val="single" w:sz="4" w:space="0" w:color="auto"/>
              <w:bottom w:val="nil"/>
            </w:tcBorders>
            <w:shd w:val="clear" w:color="auto" w:fill="auto"/>
          </w:tcPr>
          <w:p w:rsidR="00A06215" w:rsidRPr="005C50ED" w:rsidRDefault="00A06215" w:rsidP="00CE4C9D">
            <w:pPr>
              <w:keepNext/>
              <w:keepLines/>
              <w:rPr>
                <w:rFonts w:cs="Arial"/>
                <w:color w:val="000000"/>
                <w:sz w:val="16"/>
                <w:szCs w:val="16"/>
                <w:lang w:bidi="th-TH"/>
              </w:rPr>
            </w:pPr>
            <w:r w:rsidRPr="003152BA">
              <w:rPr>
                <w:rFonts w:cs="Arial"/>
                <w:color w:val="000000"/>
                <w:sz w:val="16"/>
                <w:szCs w:val="16"/>
                <w:lang w:bidi="th-TH"/>
              </w:rPr>
              <w:t>No</w:t>
            </w:r>
            <w:r>
              <w:rPr>
                <w:rFonts w:cs="Arial"/>
                <w:color w:val="000000"/>
                <w:sz w:val="16"/>
                <w:szCs w:val="16"/>
                <w:lang w:bidi="th-TH"/>
              </w:rPr>
              <w:t>.</w:t>
            </w:r>
            <w:r w:rsidRPr="003152BA">
              <w:rPr>
                <w:rFonts w:cs="Arial"/>
                <w:color w:val="000000"/>
                <w:sz w:val="16"/>
                <w:szCs w:val="16"/>
                <w:lang w:bidi="th-TH"/>
              </w:rPr>
              <w:t xml:space="preserve"> of ratifications to the WIPO Internet Treaties</w:t>
            </w:r>
          </w:p>
        </w:tc>
        <w:tc>
          <w:tcPr>
            <w:tcW w:w="1268" w:type="pct"/>
            <w:tcBorders>
              <w:top w:val="nil"/>
              <w:bottom w:val="nil"/>
            </w:tcBorders>
            <w:shd w:val="clear" w:color="auto" w:fill="auto"/>
          </w:tcPr>
          <w:p w:rsidR="00A06215" w:rsidRPr="00757BD0" w:rsidRDefault="00A06215" w:rsidP="00CE4C9D">
            <w:pPr>
              <w:keepNext/>
              <w:keepLines/>
              <w:rPr>
                <w:rFonts w:cs="Arial"/>
                <w:color w:val="002060"/>
                <w:sz w:val="16"/>
                <w:szCs w:val="16"/>
              </w:rPr>
            </w:pPr>
            <w:r>
              <w:rPr>
                <w:rFonts w:cs="Arial"/>
                <w:i/>
                <w:color w:val="002060"/>
                <w:sz w:val="16"/>
                <w:szCs w:val="16"/>
              </w:rPr>
              <w:t>Updated Baseline end 2013</w:t>
            </w:r>
            <w:r w:rsidRPr="005C50ED">
              <w:rPr>
                <w:rFonts w:cs="Arial"/>
                <w:i/>
                <w:color w:val="002060"/>
                <w:sz w:val="16"/>
                <w:szCs w:val="16"/>
              </w:rPr>
              <w:t xml:space="preserve">:  </w:t>
            </w:r>
            <w:r>
              <w:rPr>
                <w:rFonts w:cs="Arial"/>
                <w:color w:val="002060"/>
                <w:sz w:val="16"/>
                <w:szCs w:val="16"/>
              </w:rPr>
              <w:t xml:space="preserve">184 </w:t>
            </w:r>
          </w:p>
          <w:p w:rsidR="00A06215" w:rsidRPr="005C50ED" w:rsidRDefault="00A06215" w:rsidP="00CE4C9D">
            <w:pPr>
              <w:keepNext/>
              <w:keepLines/>
              <w:rPr>
                <w:rFonts w:cs="Arial"/>
                <w:i/>
                <w:sz w:val="8"/>
                <w:szCs w:val="8"/>
                <w:lang w:bidi="th-TH"/>
              </w:rPr>
            </w:pPr>
          </w:p>
          <w:p w:rsidR="00A06215" w:rsidRPr="003152BA" w:rsidRDefault="00A06215" w:rsidP="00CE4C9D">
            <w:pPr>
              <w:keepNext/>
              <w:keepLines/>
              <w:rPr>
                <w:rFonts w:cs="Arial"/>
                <w:sz w:val="16"/>
                <w:szCs w:val="16"/>
                <w:lang w:bidi="th-TH"/>
              </w:rPr>
            </w:pPr>
            <w:r>
              <w:rPr>
                <w:rFonts w:cs="Arial"/>
                <w:i/>
                <w:sz w:val="16"/>
                <w:szCs w:val="16"/>
                <w:lang w:bidi="th-TH"/>
              </w:rPr>
              <w:t>Original Baseline P&amp;B 2014/15</w:t>
            </w:r>
            <w:r w:rsidRPr="005C50ED">
              <w:rPr>
                <w:rFonts w:cs="Arial"/>
                <w:i/>
                <w:sz w:val="16"/>
                <w:szCs w:val="16"/>
                <w:lang w:bidi="th-TH"/>
              </w:rPr>
              <w:t xml:space="preserve">: </w:t>
            </w:r>
            <w:r w:rsidRPr="005C50ED">
              <w:rPr>
                <w:rFonts w:cs="Arial"/>
                <w:sz w:val="16"/>
                <w:szCs w:val="16"/>
                <w:lang w:bidi="th-TH"/>
              </w:rPr>
              <w:t xml:space="preserve"> </w:t>
            </w:r>
            <w:r w:rsidRPr="003152BA">
              <w:rPr>
                <w:rFonts w:cs="Arial"/>
                <w:sz w:val="16"/>
                <w:szCs w:val="16"/>
                <w:lang w:bidi="th-TH"/>
              </w:rPr>
              <w:t>181</w:t>
            </w:r>
            <w:r>
              <w:rPr>
                <w:rFonts w:cs="Arial"/>
                <w:sz w:val="16"/>
                <w:szCs w:val="16"/>
                <w:lang w:bidi="th-TH"/>
              </w:rPr>
              <w:t xml:space="preserve"> (end 2012)</w:t>
            </w:r>
          </w:p>
        </w:tc>
        <w:tc>
          <w:tcPr>
            <w:tcW w:w="672" w:type="pct"/>
            <w:tcBorders>
              <w:top w:val="nil"/>
              <w:bottom w:val="nil"/>
            </w:tcBorders>
            <w:shd w:val="clear" w:color="auto" w:fill="auto"/>
            <w:tcMar>
              <w:top w:w="110" w:type="dxa"/>
            </w:tcMar>
          </w:tcPr>
          <w:p w:rsidR="00A06215" w:rsidRPr="005C50ED" w:rsidRDefault="00A06215" w:rsidP="00CE4C9D">
            <w:pPr>
              <w:keepNext/>
              <w:keepLines/>
              <w:rPr>
                <w:rFonts w:cs="Arial"/>
                <w:sz w:val="16"/>
                <w:szCs w:val="16"/>
                <w:lang w:bidi="th-TH"/>
              </w:rPr>
            </w:pPr>
            <w:r w:rsidRPr="003152BA">
              <w:rPr>
                <w:rFonts w:cs="Arial"/>
                <w:sz w:val="16"/>
                <w:szCs w:val="16"/>
                <w:lang w:bidi="th-TH"/>
              </w:rPr>
              <w:t>190</w:t>
            </w:r>
          </w:p>
        </w:tc>
        <w:tc>
          <w:tcPr>
            <w:tcW w:w="1343" w:type="pct"/>
            <w:gridSpan w:val="2"/>
            <w:tcBorders>
              <w:top w:val="nil"/>
              <w:bottom w:val="nil"/>
            </w:tcBorders>
            <w:shd w:val="clear" w:color="auto" w:fill="FFFFFF"/>
            <w:tcMar>
              <w:top w:w="110" w:type="dxa"/>
            </w:tcMar>
          </w:tcPr>
          <w:p w:rsidR="00A06215" w:rsidRDefault="00A06215" w:rsidP="00CE4C9D">
            <w:pPr>
              <w:keepNext/>
              <w:keepLines/>
              <w:rPr>
                <w:rFonts w:cs="Arial"/>
                <w:sz w:val="16"/>
                <w:szCs w:val="16"/>
                <w:lang w:bidi="th-TH"/>
              </w:rPr>
            </w:pPr>
            <w:r>
              <w:rPr>
                <w:rFonts w:cs="Arial"/>
                <w:sz w:val="16"/>
                <w:szCs w:val="16"/>
                <w:lang w:bidi="th-TH"/>
              </w:rPr>
              <w:t>Four</w:t>
            </w:r>
            <w:r w:rsidRPr="003152BA">
              <w:rPr>
                <w:rFonts w:cs="Arial"/>
                <w:sz w:val="16"/>
                <w:szCs w:val="16"/>
                <w:lang w:bidi="th-TH"/>
              </w:rPr>
              <w:t xml:space="preserve"> instruments </w:t>
            </w:r>
            <w:r>
              <w:rPr>
                <w:rFonts w:cs="Arial"/>
                <w:sz w:val="16"/>
                <w:szCs w:val="16"/>
                <w:lang w:bidi="th-TH"/>
              </w:rPr>
              <w:t xml:space="preserve">of ratification or accessions </w:t>
            </w:r>
            <w:r w:rsidRPr="003152BA">
              <w:rPr>
                <w:rFonts w:cs="Arial"/>
                <w:sz w:val="16"/>
                <w:szCs w:val="16"/>
                <w:lang w:bidi="th-TH"/>
              </w:rPr>
              <w:t>were deposited</w:t>
            </w:r>
            <w:r>
              <w:rPr>
                <w:rFonts w:cs="Arial"/>
                <w:sz w:val="16"/>
                <w:szCs w:val="16"/>
                <w:lang w:bidi="th-TH"/>
              </w:rPr>
              <w:t xml:space="preserve"> in 2014</w:t>
            </w:r>
            <w:r w:rsidRPr="003152BA">
              <w:rPr>
                <w:rFonts w:cs="Arial"/>
                <w:sz w:val="16"/>
                <w:szCs w:val="16"/>
                <w:lang w:bidi="th-TH"/>
              </w:rPr>
              <w:t>, for a total of 18</w:t>
            </w:r>
            <w:r>
              <w:rPr>
                <w:rFonts w:cs="Arial"/>
                <w:sz w:val="16"/>
                <w:szCs w:val="16"/>
                <w:lang w:bidi="th-TH"/>
              </w:rPr>
              <w:t>8:</w:t>
            </w:r>
          </w:p>
          <w:p w:rsidR="00A06215" w:rsidRDefault="00A06215" w:rsidP="00A06215">
            <w:pPr>
              <w:pStyle w:val="ListParagraph"/>
              <w:keepNext/>
              <w:keepLines/>
              <w:numPr>
                <w:ilvl w:val="0"/>
                <w:numId w:val="101"/>
              </w:numPr>
              <w:rPr>
                <w:rFonts w:cs="Arial"/>
                <w:sz w:val="16"/>
                <w:szCs w:val="16"/>
                <w:lang w:bidi="th-TH"/>
              </w:rPr>
            </w:pPr>
            <w:r>
              <w:rPr>
                <w:rFonts w:cs="Arial"/>
                <w:sz w:val="16"/>
                <w:szCs w:val="16"/>
                <w:lang w:bidi="th-TH"/>
              </w:rPr>
              <w:t>WIPO Copyright Treaty (Canada, Madagascar)</w:t>
            </w:r>
          </w:p>
          <w:p w:rsidR="00A06215" w:rsidRPr="00757BD0" w:rsidRDefault="00A06215" w:rsidP="00A06215">
            <w:pPr>
              <w:pStyle w:val="ListParagraph"/>
              <w:keepNext/>
              <w:keepLines/>
              <w:numPr>
                <w:ilvl w:val="0"/>
                <w:numId w:val="101"/>
              </w:numPr>
              <w:rPr>
                <w:rFonts w:cs="Arial"/>
                <w:sz w:val="16"/>
                <w:szCs w:val="16"/>
                <w:lang w:bidi="th-TH"/>
              </w:rPr>
            </w:pPr>
            <w:r>
              <w:rPr>
                <w:rFonts w:cs="Arial"/>
                <w:sz w:val="16"/>
                <w:szCs w:val="16"/>
                <w:lang w:bidi="th-TH"/>
              </w:rPr>
              <w:t>WIPO Performances and Phonogram treaty (Canada, Madagascar)</w:t>
            </w:r>
          </w:p>
        </w:tc>
        <w:tc>
          <w:tcPr>
            <w:tcW w:w="521" w:type="pct"/>
            <w:tcBorders>
              <w:top w:val="nil"/>
              <w:bottom w:val="nil"/>
              <w:right w:val="single" w:sz="4" w:space="0" w:color="auto"/>
            </w:tcBorders>
            <w:shd w:val="clear" w:color="auto" w:fill="auto"/>
          </w:tcPr>
          <w:p w:rsidR="00A06215" w:rsidRPr="0062421A" w:rsidRDefault="00A06215" w:rsidP="00CE4C9D">
            <w:pPr>
              <w:keepNext/>
              <w:keepLines/>
              <w:jc w:val="center"/>
              <w:rPr>
                <w:rFonts w:cs="Arial"/>
                <w:b/>
                <w:bCs/>
                <w:color w:val="00B050"/>
                <w:sz w:val="16"/>
                <w:szCs w:val="16"/>
              </w:rPr>
            </w:pPr>
            <w:r w:rsidRPr="0062421A">
              <w:rPr>
                <w:rFonts w:cs="Arial"/>
                <w:b/>
                <w:bCs/>
                <w:color w:val="00B050"/>
                <w:sz w:val="16"/>
                <w:szCs w:val="16"/>
              </w:rPr>
              <w:t>On track</w:t>
            </w:r>
          </w:p>
        </w:tc>
      </w:tr>
      <w:tr w:rsidR="00A06215" w:rsidRPr="005C50ED" w:rsidTr="00A06215">
        <w:tc>
          <w:tcPr>
            <w:tcW w:w="1195" w:type="pct"/>
            <w:tcBorders>
              <w:top w:val="nil"/>
              <w:left w:val="single" w:sz="4" w:space="0" w:color="auto"/>
              <w:bottom w:val="single" w:sz="4" w:space="0" w:color="auto"/>
            </w:tcBorders>
            <w:shd w:val="clear" w:color="auto" w:fill="auto"/>
          </w:tcPr>
          <w:p w:rsidR="00A06215" w:rsidRPr="005C50ED" w:rsidRDefault="00A06215" w:rsidP="00CE4C9D">
            <w:pPr>
              <w:rPr>
                <w:rFonts w:cs="Arial"/>
                <w:color w:val="000000"/>
                <w:sz w:val="16"/>
                <w:szCs w:val="16"/>
                <w:lang w:bidi="th-TH"/>
              </w:rPr>
            </w:pPr>
            <w:r w:rsidRPr="0062421A">
              <w:rPr>
                <w:rFonts w:cs="Arial"/>
                <w:color w:val="000000"/>
                <w:sz w:val="16"/>
                <w:szCs w:val="16"/>
                <w:lang w:bidi="th-TH"/>
              </w:rPr>
              <w:t>No</w:t>
            </w:r>
            <w:r>
              <w:rPr>
                <w:rFonts w:cs="Arial"/>
                <w:color w:val="000000"/>
                <w:sz w:val="16"/>
                <w:szCs w:val="16"/>
                <w:lang w:bidi="th-TH"/>
              </w:rPr>
              <w:t>.</w:t>
            </w:r>
            <w:r w:rsidRPr="0062421A">
              <w:rPr>
                <w:rFonts w:cs="Arial"/>
                <w:color w:val="000000"/>
                <w:sz w:val="16"/>
                <w:szCs w:val="16"/>
                <w:lang w:bidi="th-TH"/>
              </w:rPr>
              <w:t xml:space="preserve"> of countries that have ratified the Marrakesh Treaty on the VIP</w:t>
            </w:r>
          </w:p>
        </w:tc>
        <w:tc>
          <w:tcPr>
            <w:tcW w:w="1268" w:type="pct"/>
            <w:tcBorders>
              <w:top w:val="nil"/>
              <w:bottom w:val="single" w:sz="4" w:space="0" w:color="auto"/>
            </w:tcBorders>
            <w:shd w:val="clear" w:color="auto" w:fill="auto"/>
          </w:tcPr>
          <w:p w:rsidR="00A06215" w:rsidRPr="005C50ED" w:rsidRDefault="00A06215" w:rsidP="00CE4C9D">
            <w:pPr>
              <w:keepNext/>
              <w:rPr>
                <w:rFonts w:cs="Arial"/>
                <w:sz w:val="16"/>
                <w:szCs w:val="16"/>
                <w:lang w:bidi="th-TH"/>
              </w:rPr>
            </w:pPr>
            <w:r w:rsidRPr="0062421A">
              <w:rPr>
                <w:rFonts w:cs="Arial"/>
                <w:sz w:val="16"/>
                <w:szCs w:val="16"/>
                <w:lang w:bidi="th-TH"/>
              </w:rPr>
              <w:t>None</w:t>
            </w:r>
          </w:p>
          <w:p w:rsidR="00A06215" w:rsidRPr="005C50ED" w:rsidRDefault="00A06215" w:rsidP="00CE4C9D">
            <w:pPr>
              <w:rPr>
                <w:rFonts w:cs="Arial"/>
                <w:i/>
                <w:color w:val="000000"/>
                <w:sz w:val="16"/>
                <w:szCs w:val="16"/>
                <w:lang w:bidi="th-TH"/>
              </w:rPr>
            </w:pPr>
          </w:p>
        </w:tc>
        <w:tc>
          <w:tcPr>
            <w:tcW w:w="672" w:type="pct"/>
            <w:tcBorders>
              <w:top w:val="nil"/>
              <w:bottom w:val="single" w:sz="4" w:space="0" w:color="auto"/>
            </w:tcBorders>
            <w:shd w:val="clear" w:color="auto" w:fill="auto"/>
            <w:tcMar>
              <w:top w:w="110" w:type="dxa"/>
            </w:tcMar>
          </w:tcPr>
          <w:p w:rsidR="00A06215" w:rsidRPr="005C50ED" w:rsidRDefault="00A06215" w:rsidP="00CE4C9D">
            <w:pPr>
              <w:rPr>
                <w:rFonts w:cs="Arial"/>
                <w:sz w:val="16"/>
                <w:szCs w:val="16"/>
                <w:lang w:bidi="th-TH"/>
              </w:rPr>
            </w:pPr>
            <w:r w:rsidRPr="0062421A">
              <w:rPr>
                <w:rFonts w:cs="Arial"/>
                <w:sz w:val="16"/>
                <w:szCs w:val="16"/>
                <w:lang w:bidi="th-TH"/>
              </w:rPr>
              <w:t>20 countries</w:t>
            </w:r>
          </w:p>
        </w:tc>
        <w:tc>
          <w:tcPr>
            <w:tcW w:w="1343" w:type="pct"/>
            <w:gridSpan w:val="2"/>
            <w:tcBorders>
              <w:top w:val="nil"/>
              <w:bottom w:val="single" w:sz="4" w:space="0" w:color="auto"/>
            </w:tcBorders>
            <w:shd w:val="clear" w:color="auto" w:fill="FFFFFF"/>
            <w:tcMar>
              <w:top w:w="110" w:type="dxa"/>
            </w:tcMar>
          </w:tcPr>
          <w:p w:rsidR="00A06215" w:rsidRDefault="00A06215" w:rsidP="00CE4C9D">
            <w:pPr>
              <w:rPr>
                <w:rFonts w:cs="Arial"/>
                <w:sz w:val="16"/>
                <w:szCs w:val="16"/>
                <w:lang w:bidi="th-TH"/>
              </w:rPr>
            </w:pPr>
            <w:r>
              <w:rPr>
                <w:rFonts w:cs="Arial"/>
                <w:sz w:val="16"/>
                <w:szCs w:val="16"/>
                <w:lang w:bidi="th-TH"/>
              </w:rPr>
              <w:t>Five</w:t>
            </w:r>
            <w:r w:rsidRPr="0062421A">
              <w:rPr>
                <w:rFonts w:cs="Arial"/>
                <w:sz w:val="16"/>
                <w:szCs w:val="16"/>
                <w:lang w:bidi="th-TH"/>
              </w:rPr>
              <w:t xml:space="preserve"> instruments of ratification or accession were deposited in 2014</w:t>
            </w:r>
            <w:r>
              <w:rPr>
                <w:rFonts w:cs="Arial"/>
                <w:sz w:val="16"/>
                <w:szCs w:val="16"/>
                <w:lang w:bidi="th-TH"/>
              </w:rPr>
              <w:t xml:space="preserve"> </w:t>
            </w:r>
          </w:p>
          <w:p w:rsidR="00A06215" w:rsidRPr="008F7B65" w:rsidRDefault="00A06215" w:rsidP="00CE4C9D">
            <w:pPr>
              <w:rPr>
                <w:rFonts w:cs="Arial"/>
                <w:sz w:val="16"/>
                <w:szCs w:val="16"/>
                <w:lang w:val="es-ES" w:bidi="th-TH"/>
              </w:rPr>
            </w:pPr>
            <w:r w:rsidRPr="008F7B65">
              <w:rPr>
                <w:rFonts w:cs="Arial"/>
                <w:sz w:val="16"/>
                <w:szCs w:val="16"/>
                <w:lang w:val="es-ES" w:bidi="th-TH"/>
              </w:rPr>
              <w:t xml:space="preserve">(El Salvador, India, Mali, </w:t>
            </w:r>
            <w:proofErr w:type="spellStart"/>
            <w:r w:rsidRPr="008F7B65">
              <w:rPr>
                <w:rFonts w:cs="Arial"/>
                <w:sz w:val="16"/>
                <w:szCs w:val="16"/>
                <w:lang w:val="es-ES" w:bidi="th-TH"/>
              </w:rPr>
              <w:t>United</w:t>
            </w:r>
            <w:proofErr w:type="spellEnd"/>
            <w:r w:rsidRPr="008F7B65">
              <w:rPr>
                <w:rFonts w:cs="Arial"/>
                <w:sz w:val="16"/>
                <w:szCs w:val="16"/>
                <w:lang w:val="es-ES" w:bidi="th-TH"/>
              </w:rPr>
              <w:t xml:space="preserve"> </w:t>
            </w:r>
            <w:proofErr w:type="spellStart"/>
            <w:r w:rsidRPr="008F7B65">
              <w:rPr>
                <w:rFonts w:cs="Arial"/>
                <w:sz w:val="16"/>
                <w:szCs w:val="16"/>
                <w:lang w:val="es-ES" w:bidi="th-TH"/>
              </w:rPr>
              <w:t>Arab</w:t>
            </w:r>
            <w:proofErr w:type="spellEnd"/>
            <w:r w:rsidRPr="008F7B65">
              <w:rPr>
                <w:rFonts w:cs="Arial"/>
                <w:sz w:val="16"/>
                <w:szCs w:val="16"/>
                <w:lang w:val="es-ES" w:bidi="th-TH"/>
              </w:rPr>
              <w:t xml:space="preserve"> </w:t>
            </w:r>
            <w:proofErr w:type="spellStart"/>
            <w:r w:rsidRPr="008F7B65">
              <w:rPr>
                <w:rFonts w:cs="Arial"/>
                <w:sz w:val="16"/>
                <w:szCs w:val="16"/>
                <w:lang w:val="es-ES" w:bidi="th-TH"/>
              </w:rPr>
              <w:t>Emirates</w:t>
            </w:r>
            <w:proofErr w:type="spellEnd"/>
            <w:r w:rsidRPr="008F7B65">
              <w:rPr>
                <w:rFonts w:cs="Arial"/>
                <w:sz w:val="16"/>
                <w:szCs w:val="16"/>
                <w:lang w:val="es-ES" w:bidi="th-TH"/>
              </w:rPr>
              <w:t>, Uruguay)</w:t>
            </w:r>
          </w:p>
        </w:tc>
        <w:tc>
          <w:tcPr>
            <w:tcW w:w="521" w:type="pct"/>
            <w:tcBorders>
              <w:top w:val="nil"/>
              <w:bottom w:val="single" w:sz="4" w:space="0" w:color="auto"/>
              <w:right w:val="single" w:sz="4" w:space="0" w:color="auto"/>
            </w:tcBorders>
            <w:shd w:val="clear" w:color="auto" w:fill="auto"/>
          </w:tcPr>
          <w:p w:rsidR="00A06215" w:rsidRPr="0062421A" w:rsidRDefault="00A06215" w:rsidP="00CE4C9D">
            <w:pPr>
              <w:keepNext/>
              <w:keepLines/>
              <w:jc w:val="center"/>
              <w:rPr>
                <w:rFonts w:cs="Arial"/>
                <w:b/>
                <w:bCs/>
                <w:color w:val="00B050"/>
                <w:sz w:val="16"/>
                <w:szCs w:val="16"/>
              </w:rPr>
            </w:pPr>
            <w:r>
              <w:rPr>
                <w:rFonts w:cs="Arial"/>
                <w:b/>
                <w:bCs/>
                <w:color w:val="FF0000"/>
                <w:sz w:val="16"/>
                <w:szCs w:val="16"/>
              </w:rPr>
              <w:t xml:space="preserve">Not </w:t>
            </w:r>
            <w:r>
              <w:rPr>
                <w:rFonts w:cs="Arial"/>
                <w:b/>
                <w:bCs/>
                <w:color w:val="FF0000"/>
                <w:sz w:val="16"/>
                <w:szCs w:val="16"/>
              </w:rPr>
              <w:br/>
              <w:t>on track</w:t>
            </w:r>
          </w:p>
        </w:tc>
      </w:tr>
      <w:tr w:rsidR="00A06215" w:rsidRPr="005C50ED" w:rsidTr="00A06215">
        <w:trPr>
          <w:trHeight w:val="472"/>
        </w:trPr>
        <w:tc>
          <w:tcPr>
            <w:tcW w:w="5000" w:type="pct"/>
            <w:gridSpan w:val="6"/>
            <w:tcBorders>
              <w:top w:val="single" w:sz="4" w:space="0" w:color="auto"/>
              <w:bottom w:val="single" w:sz="4" w:space="0" w:color="auto"/>
            </w:tcBorders>
            <w:shd w:val="clear" w:color="auto" w:fill="CCFFFF"/>
            <w:vAlign w:val="center"/>
          </w:tcPr>
          <w:p w:rsidR="00A06215" w:rsidRPr="005C50ED" w:rsidRDefault="00A06215" w:rsidP="00CE4C9D">
            <w:pPr>
              <w:tabs>
                <w:tab w:val="left" w:pos="1452"/>
              </w:tabs>
              <w:ind w:left="1452" w:hanging="1452"/>
              <w:rPr>
                <w:rFonts w:cs="Arial"/>
                <w:b/>
                <w:bCs/>
                <w:sz w:val="16"/>
                <w:szCs w:val="16"/>
              </w:rPr>
            </w:pPr>
            <w:r w:rsidRPr="005C50ED">
              <w:rPr>
                <w:rFonts w:cs="Arial"/>
                <w:b/>
                <w:bCs/>
                <w:sz w:val="16"/>
                <w:szCs w:val="16"/>
              </w:rPr>
              <w:t>Expected Result:</w:t>
            </w:r>
            <w:r w:rsidRPr="005C50ED">
              <w:rPr>
                <w:rFonts w:cs="Arial"/>
                <w:b/>
                <w:bCs/>
                <w:sz w:val="16"/>
                <w:szCs w:val="16"/>
              </w:rPr>
              <w:tab/>
            </w:r>
            <w:r w:rsidRPr="003152BA">
              <w:rPr>
                <w:rFonts w:cs="Arial"/>
                <w:sz w:val="16"/>
                <w:szCs w:val="16"/>
                <w:lang w:bidi="th-TH"/>
              </w:rPr>
              <w:t>III.2 Enhanced human resource capacities able to deal with the broad range of requirements for the effective use of IP for development in developing countries, LDCs and countries with economies in transition</w:t>
            </w:r>
          </w:p>
        </w:tc>
      </w:tr>
      <w:tr w:rsidR="00A06215" w:rsidRPr="005C50ED" w:rsidTr="00A06215">
        <w:tc>
          <w:tcPr>
            <w:tcW w:w="1195" w:type="pct"/>
            <w:tcBorders>
              <w:top w:val="single" w:sz="4" w:space="0" w:color="auto"/>
              <w:left w:val="single" w:sz="4" w:space="0" w:color="auto"/>
              <w:bottom w:val="nil"/>
            </w:tcBorders>
            <w:shd w:val="clear" w:color="auto" w:fill="auto"/>
            <w:vAlign w:val="center"/>
          </w:tcPr>
          <w:p w:rsidR="00A06215" w:rsidRPr="005C50ED" w:rsidRDefault="00A06215" w:rsidP="00CE4C9D">
            <w:pPr>
              <w:rPr>
                <w:rFonts w:cs="Arial"/>
                <w:sz w:val="16"/>
                <w:szCs w:val="16"/>
              </w:rPr>
            </w:pPr>
            <w:r w:rsidRPr="005C50ED">
              <w:rPr>
                <w:rFonts w:cs="Arial"/>
                <w:b/>
                <w:bCs/>
                <w:sz w:val="16"/>
                <w:szCs w:val="16"/>
              </w:rPr>
              <w:t>Performance Indicators</w:t>
            </w:r>
          </w:p>
        </w:tc>
        <w:tc>
          <w:tcPr>
            <w:tcW w:w="1268" w:type="pct"/>
            <w:tcBorders>
              <w:top w:val="single" w:sz="4" w:space="0" w:color="auto"/>
              <w:bottom w:val="nil"/>
            </w:tcBorders>
            <w:shd w:val="clear" w:color="auto" w:fill="auto"/>
            <w:vAlign w:val="center"/>
          </w:tcPr>
          <w:p w:rsidR="00A06215" w:rsidRPr="005C50ED" w:rsidRDefault="00A06215" w:rsidP="00CE4C9D">
            <w:pPr>
              <w:rPr>
                <w:rFonts w:cs="Arial"/>
                <w:b/>
                <w:bCs/>
                <w:sz w:val="16"/>
                <w:szCs w:val="16"/>
              </w:rPr>
            </w:pPr>
            <w:r w:rsidRPr="005C50ED">
              <w:rPr>
                <w:rFonts w:cs="Arial"/>
                <w:b/>
                <w:bCs/>
                <w:sz w:val="16"/>
                <w:szCs w:val="16"/>
              </w:rPr>
              <w:t>Baselines</w:t>
            </w:r>
          </w:p>
        </w:tc>
        <w:tc>
          <w:tcPr>
            <w:tcW w:w="821" w:type="pct"/>
            <w:gridSpan w:val="2"/>
            <w:tcBorders>
              <w:top w:val="single" w:sz="4" w:space="0" w:color="auto"/>
              <w:bottom w:val="nil"/>
            </w:tcBorders>
            <w:shd w:val="clear" w:color="auto" w:fill="auto"/>
            <w:tcMar>
              <w:top w:w="110" w:type="dxa"/>
            </w:tcMar>
            <w:vAlign w:val="center"/>
          </w:tcPr>
          <w:p w:rsidR="00A06215" w:rsidRPr="005C50ED" w:rsidRDefault="00A06215" w:rsidP="00CE4C9D">
            <w:pPr>
              <w:rPr>
                <w:rFonts w:cs="Arial"/>
                <w:b/>
                <w:sz w:val="16"/>
                <w:szCs w:val="16"/>
              </w:rPr>
            </w:pPr>
            <w:r w:rsidRPr="005C50ED">
              <w:rPr>
                <w:rFonts w:cs="Arial"/>
                <w:b/>
                <w:sz w:val="16"/>
                <w:szCs w:val="16"/>
              </w:rPr>
              <w:t>Targets</w:t>
            </w:r>
          </w:p>
        </w:tc>
        <w:tc>
          <w:tcPr>
            <w:tcW w:w="1194" w:type="pct"/>
            <w:tcBorders>
              <w:top w:val="single" w:sz="4" w:space="0" w:color="auto"/>
              <w:bottom w:val="nil"/>
            </w:tcBorders>
            <w:shd w:val="clear" w:color="auto" w:fill="FFFFFF"/>
            <w:tcMar>
              <w:top w:w="110" w:type="dxa"/>
            </w:tcMar>
            <w:vAlign w:val="center"/>
          </w:tcPr>
          <w:p w:rsidR="00A06215" w:rsidRPr="005C50ED" w:rsidRDefault="00A06215" w:rsidP="00CE4C9D">
            <w:pPr>
              <w:rPr>
                <w:rFonts w:cs="Arial"/>
                <w:sz w:val="16"/>
                <w:szCs w:val="16"/>
              </w:rPr>
            </w:pPr>
            <w:r w:rsidRPr="005C50ED">
              <w:rPr>
                <w:rFonts w:cs="Arial"/>
                <w:b/>
                <w:bCs/>
                <w:sz w:val="16"/>
                <w:szCs w:val="16"/>
              </w:rPr>
              <w:t>Performance Data</w:t>
            </w:r>
          </w:p>
        </w:tc>
        <w:tc>
          <w:tcPr>
            <w:tcW w:w="521" w:type="pct"/>
            <w:tcBorders>
              <w:top w:val="single" w:sz="4" w:space="0" w:color="auto"/>
              <w:bottom w:val="nil"/>
              <w:right w:val="single" w:sz="4" w:space="0" w:color="auto"/>
            </w:tcBorders>
            <w:shd w:val="clear" w:color="auto" w:fill="auto"/>
            <w:tcMar>
              <w:top w:w="110" w:type="dxa"/>
            </w:tcMar>
            <w:vAlign w:val="center"/>
          </w:tcPr>
          <w:p w:rsidR="00A06215" w:rsidRPr="005C50ED" w:rsidRDefault="00A06215" w:rsidP="00CE4C9D">
            <w:pPr>
              <w:keepNext/>
              <w:keepLines/>
              <w:jc w:val="center"/>
              <w:rPr>
                <w:rFonts w:cs="Arial"/>
                <w:b/>
                <w:bCs/>
                <w:sz w:val="16"/>
                <w:szCs w:val="16"/>
              </w:rPr>
            </w:pPr>
            <w:r w:rsidRPr="005C50ED">
              <w:rPr>
                <w:rFonts w:cs="Arial"/>
                <w:b/>
                <w:bCs/>
                <w:sz w:val="16"/>
                <w:szCs w:val="16"/>
              </w:rPr>
              <w:t>TLS</w:t>
            </w:r>
          </w:p>
        </w:tc>
      </w:tr>
      <w:tr w:rsidR="00A06215" w:rsidRPr="005C50ED" w:rsidTr="00A06215">
        <w:tc>
          <w:tcPr>
            <w:tcW w:w="1195" w:type="pct"/>
            <w:tcBorders>
              <w:top w:val="nil"/>
              <w:left w:val="single" w:sz="4" w:space="0" w:color="auto"/>
              <w:bottom w:val="nil"/>
            </w:tcBorders>
            <w:shd w:val="clear" w:color="auto" w:fill="auto"/>
          </w:tcPr>
          <w:p w:rsidR="00A06215" w:rsidRPr="005C50ED" w:rsidRDefault="00A06215" w:rsidP="00CE4C9D">
            <w:pPr>
              <w:rPr>
                <w:rFonts w:cs="Arial"/>
                <w:sz w:val="16"/>
                <w:szCs w:val="16"/>
                <w:lang w:bidi="th-TH"/>
              </w:rPr>
            </w:pPr>
            <w:r w:rsidRPr="00105F86">
              <w:rPr>
                <w:rFonts w:cs="Arial"/>
                <w:sz w:val="16"/>
                <w:szCs w:val="16"/>
                <w:lang w:bidi="th-TH"/>
              </w:rPr>
              <w:t>No. of governments and CMOs signing an agreement with WIPO to develop a new transparency, accountability and governance quality assurance standard</w:t>
            </w:r>
          </w:p>
        </w:tc>
        <w:tc>
          <w:tcPr>
            <w:tcW w:w="1268" w:type="pct"/>
            <w:tcBorders>
              <w:top w:val="nil"/>
              <w:bottom w:val="nil"/>
            </w:tcBorders>
            <w:shd w:val="clear" w:color="auto" w:fill="auto"/>
          </w:tcPr>
          <w:p w:rsidR="00A06215" w:rsidRPr="005C50ED" w:rsidRDefault="00A06215" w:rsidP="00CE4C9D">
            <w:pPr>
              <w:keepNext/>
              <w:rPr>
                <w:rFonts w:cs="Arial"/>
                <w:sz w:val="16"/>
                <w:szCs w:val="16"/>
                <w:lang w:bidi="th-TH"/>
              </w:rPr>
            </w:pPr>
            <w:r w:rsidRPr="00105F86">
              <w:rPr>
                <w:rFonts w:cs="Arial"/>
                <w:sz w:val="16"/>
                <w:szCs w:val="16"/>
                <w:lang w:bidi="th-TH"/>
              </w:rPr>
              <w:t>n/a</w:t>
            </w:r>
          </w:p>
          <w:p w:rsidR="00A06215" w:rsidRPr="005C50ED" w:rsidRDefault="00A06215" w:rsidP="00CE4C9D">
            <w:pPr>
              <w:rPr>
                <w:rFonts w:cs="Arial"/>
                <w:sz w:val="16"/>
                <w:szCs w:val="16"/>
                <w:lang w:bidi="th-TH"/>
              </w:rPr>
            </w:pPr>
          </w:p>
        </w:tc>
        <w:tc>
          <w:tcPr>
            <w:tcW w:w="821" w:type="pct"/>
            <w:gridSpan w:val="2"/>
            <w:tcBorders>
              <w:top w:val="nil"/>
              <w:bottom w:val="nil"/>
            </w:tcBorders>
            <w:shd w:val="clear" w:color="auto" w:fill="auto"/>
            <w:tcMar>
              <w:top w:w="110" w:type="dxa"/>
            </w:tcMar>
          </w:tcPr>
          <w:p w:rsidR="00A06215" w:rsidRPr="005C50ED" w:rsidRDefault="00A06215" w:rsidP="00CE4C9D">
            <w:pPr>
              <w:rPr>
                <w:rFonts w:cs="Arial"/>
                <w:sz w:val="16"/>
                <w:szCs w:val="16"/>
                <w:lang w:bidi="th-TH"/>
              </w:rPr>
            </w:pPr>
            <w:r w:rsidRPr="00105F86">
              <w:rPr>
                <w:rFonts w:cs="Arial"/>
                <w:sz w:val="16"/>
                <w:szCs w:val="16"/>
                <w:lang w:bidi="th-TH"/>
              </w:rPr>
              <w:t>Four governments and six CMOs</w:t>
            </w:r>
          </w:p>
        </w:tc>
        <w:tc>
          <w:tcPr>
            <w:tcW w:w="1194" w:type="pct"/>
            <w:tcBorders>
              <w:top w:val="nil"/>
              <w:bottom w:val="nil"/>
            </w:tcBorders>
            <w:shd w:val="clear" w:color="auto" w:fill="FFFFFF"/>
            <w:tcMar>
              <w:top w:w="110" w:type="dxa"/>
            </w:tcMar>
          </w:tcPr>
          <w:p w:rsidR="00A06215" w:rsidRPr="00757BD0" w:rsidRDefault="00A06215" w:rsidP="00CE4C9D">
            <w:pPr>
              <w:rPr>
                <w:rFonts w:eastAsia="SimSun" w:cs="Arial"/>
                <w:sz w:val="16"/>
                <w:szCs w:val="16"/>
                <w:lang w:eastAsia="zh-CN" w:bidi="th-TH"/>
              </w:rPr>
            </w:pPr>
            <w:r>
              <w:rPr>
                <w:rFonts w:eastAsia="SimSun" w:cs="Arial"/>
                <w:sz w:val="16"/>
                <w:szCs w:val="16"/>
                <w:lang w:eastAsia="zh-CN" w:bidi="th-TH"/>
              </w:rPr>
              <w:t>9 governments (</w:t>
            </w:r>
            <w:r w:rsidRPr="00527E98">
              <w:rPr>
                <w:rFonts w:eastAsia="SimSun" w:cs="Arial"/>
                <w:sz w:val="16"/>
                <w:szCs w:val="16"/>
                <w:lang w:eastAsia="zh-CN" w:bidi="th-TH"/>
              </w:rPr>
              <w:t>Cape Verde</w:t>
            </w:r>
            <w:r>
              <w:rPr>
                <w:rFonts w:eastAsia="SimSun" w:cs="Arial"/>
                <w:sz w:val="16"/>
                <w:szCs w:val="16"/>
                <w:lang w:eastAsia="zh-CN" w:bidi="th-TH"/>
              </w:rPr>
              <w:t>,</w:t>
            </w:r>
            <w:r w:rsidRPr="00527E98">
              <w:rPr>
                <w:rFonts w:eastAsia="SimSun" w:cs="Arial"/>
                <w:sz w:val="16"/>
                <w:szCs w:val="16"/>
                <w:lang w:eastAsia="zh-CN" w:bidi="th-TH"/>
              </w:rPr>
              <w:t xml:space="preserve"> Ethiopia</w:t>
            </w:r>
            <w:r>
              <w:rPr>
                <w:rFonts w:eastAsia="SimSun" w:cs="Arial"/>
                <w:sz w:val="16"/>
                <w:szCs w:val="16"/>
                <w:lang w:eastAsia="zh-CN" w:bidi="th-TH"/>
              </w:rPr>
              <w:t xml:space="preserve">, </w:t>
            </w:r>
            <w:r w:rsidRPr="00527E98">
              <w:rPr>
                <w:rFonts w:eastAsia="SimSun" w:cs="Arial"/>
                <w:sz w:val="16"/>
                <w:szCs w:val="16"/>
                <w:lang w:eastAsia="zh-CN" w:bidi="th-TH"/>
              </w:rPr>
              <w:t>the Gambia</w:t>
            </w:r>
            <w:r>
              <w:rPr>
                <w:rFonts w:eastAsia="SimSun" w:cs="Arial"/>
                <w:sz w:val="16"/>
                <w:szCs w:val="16"/>
                <w:lang w:eastAsia="zh-CN" w:bidi="th-TH"/>
              </w:rPr>
              <w:t xml:space="preserve">, </w:t>
            </w:r>
            <w:r w:rsidRPr="00527E98">
              <w:rPr>
                <w:rFonts w:eastAsia="SimSun" w:cs="Arial"/>
                <w:sz w:val="16"/>
                <w:szCs w:val="16"/>
                <w:lang w:eastAsia="zh-CN" w:bidi="th-TH"/>
              </w:rPr>
              <w:t>Indonesia</w:t>
            </w:r>
            <w:r>
              <w:rPr>
                <w:rFonts w:eastAsia="SimSun" w:cs="Arial"/>
                <w:sz w:val="16"/>
                <w:szCs w:val="16"/>
                <w:lang w:eastAsia="zh-CN" w:bidi="th-TH"/>
              </w:rPr>
              <w:t xml:space="preserve">, </w:t>
            </w:r>
            <w:r w:rsidRPr="00527E98">
              <w:rPr>
                <w:rFonts w:eastAsia="SimSun" w:cs="Arial"/>
                <w:sz w:val="16"/>
                <w:szCs w:val="16"/>
                <w:lang w:eastAsia="zh-CN" w:bidi="th-TH"/>
              </w:rPr>
              <w:t>Liberia</w:t>
            </w:r>
            <w:r>
              <w:rPr>
                <w:rFonts w:eastAsia="SimSun" w:cs="Arial"/>
                <w:sz w:val="16"/>
                <w:szCs w:val="16"/>
                <w:lang w:eastAsia="zh-CN" w:bidi="th-TH"/>
              </w:rPr>
              <w:t xml:space="preserve">, Malaysia, </w:t>
            </w:r>
            <w:r w:rsidRPr="00527E98">
              <w:rPr>
                <w:rFonts w:eastAsia="SimSun" w:cs="Arial"/>
                <w:sz w:val="16"/>
                <w:szCs w:val="16"/>
                <w:lang w:eastAsia="zh-CN" w:bidi="th-TH"/>
              </w:rPr>
              <w:t>Mauritius</w:t>
            </w:r>
            <w:r>
              <w:rPr>
                <w:rFonts w:eastAsia="SimSun" w:cs="Arial"/>
                <w:sz w:val="16"/>
                <w:szCs w:val="16"/>
                <w:lang w:eastAsia="zh-CN" w:bidi="th-TH"/>
              </w:rPr>
              <w:t xml:space="preserve">, </w:t>
            </w:r>
            <w:r w:rsidRPr="00527E98">
              <w:rPr>
                <w:rFonts w:eastAsia="SimSun" w:cs="Arial"/>
                <w:sz w:val="16"/>
                <w:szCs w:val="16"/>
                <w:lang w:eastAsia="zh-CN" w:bidi="th-TH"/>
              </w:rPr>
              <w:t>Nepal</w:t>
            </w:r>
            <w:r>
              <w:rPr>
                <w:rFonts w:eastAsia="SimSun" w:cs="Arial"/>
                <w:sz w:val="16"/>
                <w:szCs w:val="16"/>
                <w:lang w:eastAsia="zh-CN" w:bidi="th-TH"/>
              </w:rPr>
              <w:t xml:space="preserve">, </w:t>
            </w:r>
            <w:r w:rsidRPr="00527E98">
              <w:rPr>
                <w:rFonts w:eastAsia="SimSun" w:cs="Arial"/>
                <w:sz w:val="16"/>
                <w:szCs w:val="16"/>
                <w:lang w:eastAsia="zh-CN" w:bidi="th-TH"/>
              </w:rPr>
              <w:t>Sri Lanka</w:t>
            </w:r>
            <w:r>
              <w:rPr>
                <w:rFonts w:eastAsia="SimSun" w:cs="Arial"/>
                <w:sz w:val="16"/>
                <w:szCs w:val="16"/>
                <w:lang w:eastAsia="zh-CN" w:bidi="th-TH"/>
              </w:rPr>
              <w:t>)</w:t>
            </w:r>
            <w:r w:rsidRPr="00105F86">
              <w:rPr>
                <w:rFonts w:eastAsia="SimSun" w:cs="Arial"/>
                <w:sz w:val="16"/>
                <w:szCs w:val="16"/>
                <w:lang w:eastAsia="zh-CN" w:bidi="th-TH"/>
              </w:rPr>
              <w:t xml:space="preserve">, </w:t>
            </w:r>
            <w:r>
              <w:rPr>
                <w:rFonts w:eastAsia="SimSun" w:cs="Arial"/>
                <w:sz w:val="16"/>
                <w:szCs w:val="16"/>
                <w:lang w:eastAsia="zh-CN" w:bidi="th-TH"/>
              </w:rPr>
              <w:t>and 61</w:t>
            </w:r>
            <w:r w:rsidRPr="00105F86">
              <w:rPr>
                <w:rFonts w:eastAsia="SimSun" w:cs="Arial"/>
                <w:sz w:val="16"/>
                <w:szCs w:val="16"/>
                <w:lang w:eastAsia="zh-CN" w:bidi="th-TH"/>
              </w:rPr>
              <w:t xml:space="preserve"> CMOs</w:t>
            </w:r>
            <w:r>
              <w:rPr>
                <w:rFonts w:eastAsia="SimSun" w:cs="Arial"/>
                <w:sz w:val="16"/>
                <w:szCs w:val="16"/>
                <w:lang w:eastAsia="zh-CN" w:bidi="th-TH"/>
              </w:rPr>
              <w:t xml:space="preserve"> have signed expressions of interest in the TAG project.</w:t>
            </w:r>
          </w:p>
        </w:tc>
        <w:tc>
          <w:tcPr>
            <w:tcW w:w="521" w:type="pct"/>
            <w:tcBorders>
              <w:top w:val="nil"/>
              <w:bottom w:val="nil"/>
              <w:right w:val="single" w:sz="4" w:space="0" w:color="auto"/>
            </w:tcBorders>
            <w:shd w:val="clear" w:color="auto" w:fill="auto"/>
            <w:tcMar>
              <w:top w:w="110" w:type="dxa"/>
            </w:tcMar>
          </w:tcPr>
          <w:p w:rsidR="00A06215" w:rsidRPr="00434B01" w:rsidRDefault="00A06215" w:rsidP="00CE4C9D">
            <w:pPr>
              <w:keepNext/>
              <w:keepLines/>
              <w:jc w:val="center"/>
              <w:rPr>
                <w:rStyle w:val="Style5"/>
                <w:rFonts w:ascii="Arial" w:hAnsi="Arial" w:cs="Arial"/>
                <w:sz w:val="16"/>
                <w:szCs w:val="16"/>
              </w:rPr>
            </w:pPr>
            <w:r w:rsidRPr="00434B01">
              <w:rPr>
                <w:rFonts w:cs="Arial"/>
                <w:b/>
                <w:bCs/>
                <w:color w:val="00B050"/>
                <w:sz w:val="16"/>
                <w:szCs w:val="16"/>
              </w:rPr>
              <w:t>On track</w:t>
            </w:r>
            <w:r w:rsidRPr="00434B01">
              <w:rPr>
                <w:rStyle w:val="Style5"/>
                <w:rFonts w:ascii="Arial" w:hAnsi="Arial" w:cs="Arial"/>
                <w:sz w:val="16"/>
                <w:szCs w:val="16"/>
              </w:rPr>
              <w:t xml:space="preserve"> </w:t>
            </w:r>
          </w:p>
          <w:p w:rsidR="00A06215" w:rsidRPr="005C50ED" w:rsidRDefault="00A06215" w:rsidP="00CE4C9D">
            <w:pPr>
              <w:jc w:val="center"/>
              <w:rPr>
                <w:rFonts w:cs="Arial"/>
                <w:bCs/>
                <w:color w:val="008000"/>
                <w:sz w:val="16"/>
                <w:szCs w:val="16"/>
              </w:rPr>
            </w:pPr>
          </w:p>
        </w:tc>
      </w:tr>
      <w:tr w:rsidR="00A06215" w:rsidRPr="005C50ED" w:rsidTr="00A06215">
        <w:tc>
          <w:tcPr>
            <w:tcW w:w="1195" w:type="pct"/>
            <w:tcBorders>
              <w:top w:val="nil"/>
              <w:left w:val="single" w:sz="4" w:space="0" w:color="auto"/>
              <w:bottom w:val="nil"/>
            </w:tcBorders>
            <w:shd w:val="clear" w:color="auto" w:fill="auto"/>
          </w:tcPr>
          <w:p w:rsidR="00A06215" w:rsidRPr="00105F86" w:rsidRDefault="00A06215" w:rsidP="00CE4C9D">
            <w:pPr>
              <w:rPr>
                <w:rFonts w:cs="Arial"/>
                <w:sz w:val="16"/>
                <w:szCs w:val="16"/>
                <w:lang w:bidi="th-TH"/>
              </w:rPr>
            </w:pPr>
            <w:r w:rsidRPr="00105F86">
              <w:rPr>
                <w:rFonts w:cs="Arial"/>
                <w:sz w:val="16"/>
                <w:szCs w:val="16"/>
                <w:lang w:bidi="th-TH"/>
              </w:rPr>
              <w:t>% of creators satisfied with the training provided on using copyright data and information for the efficient management of their copyright</w:t>
            </w:r>
          </w:p>
        </w:tc>
        <w:tc>
          <w:tcPr>
            <w:tcW w:w="1268" w:type="pct"/>
            <w:tcBorders>
              <w:top w:val="nil"/>
              <w:bottom w:val="nil"/>
            </w:tcBorders>
            <w:shd w:val="clear" w:color="auto" w:fill="auto"/>
          </w:tcPr>
          <w:p w:rsidR="00A06215" w:rsidRPr="005C50ED" w:rsidRDefault="00A06215" w:rsidP="00CE4C9D">
            <w:pPr>
              <w:keepNext/>
              <w:rPr>
                <w:rFonts w:cs="Arial"/>
                <w:i/>
                <w:color w:val="002060"/>
                <w:sz w:val="16"/>
                <w:szCs w:val="16"/>
              </w:rPr>
            </w:pPr>
            <w:r>
              <w:rPr>
                <w:rFonts w:cs="Arial"/>
                <w:i/>
                <w:color w:val="002060"/>
                <w:sz w:val="16"/>
                <w:szCs w:val="16"/>
              </w:rPr>
              <w:t>Updated Baseline end 2013</w:t>
            </w:r>
            <w:r w:rsidRPr="005C50ED">
              <w:rPr>
                <w:rFonts w:cs="Arial"/>
                <w:i/>
                <w:color w:val="002060"/>
                <w:sz w:val="16"/>
                <w:szCs w:val="16"/>
              </w:rPr>
              <w:t xml:space="preserve">:  </w:t>
            </w:r>
          </w:p>
          <w:p w:rsidR="00A06215" w:rsidRPr="005C50ED" w:rsidRDefault="00A06215" w:rsidP="00CE4C9D">
            <w:pPr>
              <w:keepNext/>
              <w:rPr>
                <w:rFonts w:cs="Arial"/>
                <w:i/>
                <w:sz w:val="8"/>
                <w:szCs w:val="8"/>
                <w:lang w:bidi="th-TH"/>
              </w:rPr>
            </w:pPr>
          </w:p>
          <w:p w:rsidR="00A06215" w:rsidRPr="005C50ED" w:rsidRDefault="00A06215" w:rsidP="00CE4C9D">
            <w:pPr>
              <w:keepNext/>
              <w:rPr>
                <w:rFonts w:cs="Arial"/>
                <w:sz w:val="16"/>
                <w:szCs w:val="16"/>
                <w:lang w:bidi="th-TH"/>
              </w:rPr>
            </w:pPr>
            <w:r>
              <w:rPr>
                <w:rFonts w:cs="Arial"/>
                <w:i/>
                <w:sz w:val="16"/>
                <w:szCs w:val="16"/>
                <w:lang w:bidi="th-TH"/>
              </w:rPr>
              <w:t>Original Baseline P&amp;B 2014/15</w:t>
            </w:r>
            <w:r w:rsidRPr="005C50ED">
              <w:rPr>
                <w:rFonts w:cs="Arial"/>
                <w:i/>
                <w:sz w:val="16"/>
                <w:szCs w:val="16"/>
                <w:lang w:bidi="th-TH"/>
              </w:rPr>
              <w:t xml:space="preserve">: </w:t>
            </w:r>
            <w:r w:rsidRPr="005C50ED">
              <w:rPr>
                <w:rFonts w:cs="Arial"/>
                <w:sz w:val="16"/>
                <w:szCs w:val="16"/>
                <w:lang w:bidi="th-TH"/>
              </w:rPr>
              <w:t xml:space="preserve"> </w:t>
            </w:r>
            <w:r w:rsidRPr="00105F86">
              <w:rPr>
                <w:rFonts w:cs="Arial"/>
                <w:sz w:val="16"/>
                <w:szCs w:val="16"/>
                <w:lang w:bidi="th-TH"/>
              </w:rPr>
              <w:t>Not yet started</w:t>
            </w:r>
          </w:p>
          <w:p w:rsidR="00A06215" w:rsidRDefault="00A06215" w:rsidP="00CE4C9D">
            <w:pPr>
              <w:keepNext/>
              <w:rPr>
                <w:rFonts w:cs="Arial"/>
                <w:i/>
                <w:color w:val="002060"/>
                <w:sz w:val="16"/>
                <w:szCs w:val="16"/>
              </w:rPr>
            </w:pPr>
          </w:p>
        </w:tc>
        <w:tc>
          <w:tcPr>
            <w:tcW w:w="821" w:type="pct"/>
            <w:gridSpan w:val="2"/>
            <w:tcBorders>
              <w:top w:val="nil"/>
              <w:bottom w:val="nil"/>
            </w:tcBorders>
            <w:shd w:val="clear" w:color="auto" w:fill="auto"/>
            <w:tcMar>
              <w:top w:w="110" w:type="dxa"/>
            </w:tcMar>
          </w:tcPr>
          <w:p w:rsidR="00A06215" w:rsidRPr="00105F86" w:rsidRDefault="00A06215" w:rsidP="00CE4C9D">
            <w:pPr>
              <w:rPr>
                <w:rFonts w:cs="Arial"/>
                <w:sz w:val="16"/>
                <w:szCs w:val="16"/>
                <w:lang w:bidi="th-TH"/>
              </w:rPr>
            </w:pPr>
            <w:r w:rsidRPr="00105F86">
              <w:rPr>
                <w:rFonts w:cs="Arial"/>
                <w:sz w:val="16"/>
                <w:szCs w:val="16"/>
                <w:lang w:bidi="th-TH"/>
              </w:rPr>
              <w:t>60%</w:t>
            </w:r>
          </w:p>
        </w:tc>
        <w:tc>
          <w:tcPr>
            <w:tcW w:w="1194" w:type="pct"/>
            <w:tcBorders>
              <w:top w:val="nil"/>
              <w:bottom w:val="nil"/>
            </w:tcBorders>
            <w:shd w:val="clear" w:color="auto" w:fill="FFFFFF"/>
            <w:tcMar>
              <w:top w:w="110" w:type="dxa"/>
            </w:tcMar>
          </w:tcPr>
          <w:p w:rsidR="00A06215" w:rsidRPr="00105F86" w:rsidRDefault="00A06215" w:rsidP="00CE4C9D">
            <w:pPr>
              <w:rPr>
                <w:rFonts w:eastAsia="SimSun" w:cs="Arial"/>
                <w:sz w:val="16"/>
                <w:szCs w:val="16"/>
                <w:lang w:eastAsia="zh-CN" w:bidi="th-TH"/>
              </w:rPr>
            </w:pPr>
            <w:r w:rsidRPr="00105F86">
              <w:rPr>
                <w:rFonts w:eastAsia="SimSun" w:cs="Arial"/>
                <w:sz w:val="16"/>
                <w:szCs w:val="16"/>
                <w:lang w:eastAsia="zh-CN" w:bidi="th-TH"/>
              </w:rPr>
              <w:t>80%</w:t>
            </w:r>
          </w:p>
        </w:tc>
        <w:tc>
          <w:tcPr>
            <w:tcW w:w="521" w:type="pct"/>
            <w:tcBorders>
              <w:top w:val="nil"/>
              <w:bottom w:val="nil"/>
              <w:right w:val="single" w:sz="4" w:space="0" w:color="auto"/>
            </w:tcBorders>
            <w:shd w:val="clear" w:color="auto" w:fill="auto"/>
            <w:tcMar>
              <w:top w:w="110" w:type="dxa"/>
            </w:tcMar>
          </w:tcPr>
          <w:p w:rsidR="00A06215" w:rsidRPr="0062421A" w:rsidRDefault="00A06215" w:rsidP="00CE4C9D">
            <w:pPr>
              <w:jc w:val="center"/>
              <w:rPr>
                <w:rFonts w:cs="Arial"/>
                <w:b/>
                <w:bCs/>
                <w:color w:val="00B050"/>
                <w:sz w:val="16"/>
                <w:szCs w:val="16"/>
              </w:rPr>
            </w:pPr>
            <w:r w:rsidRPr="0062421A">
              <w:rPr>
                <w:rFonts w:cs="Arial"/>
                <w:b/>
                <w:bCs/>
                <w:color w:val="00B050"/>
                <w:sz w:val="16"/>
                <w:szCs w:val="16"/>
              </w:rPr>
              <w:t>On track</w:t>
            </w:r>
          </w:p>
        </w:tc>
      </w:tr>
      <w:tr w:rsidR="00A06215" w:rsidRPr="005C50ED" w:rsidTr="00A06215">
        <w:tc>
          <w:tcPr>
            <w:tcW w:w="1195" w:type="pct"/>
            <w:tcBorders>
              <w:top w:val="nil"/>
              <w:left w:val="single" w:sz="4" w:space="0" w:color="auto"/>
              <w:bottom w:val="nil"/>
            </w:tcBorders>
            <w:shd w:val="clear" w:color="auto" w:fill="auto"/>
          </w:tcPr>
          <w:p w:rsidR="00A06215" w:rsidRPr="000A1DBE" w:rsidRDefault="00A06215" w:rsidP="00CE4C9D">
            <w:pPr>
              <w:rPr>
                <w:rFonts w:cs="Arial"/>
                <w:sz w:val="16"/>
                <w:szCs w:val="16"/>
                <w:lang w:bidi="th-TH"/>
              </w:rPr>
            </w:pPr>
            <w:r w:rsidRPr="000A1DBE">
              <w:rPr>
                <w:rFonts w:cs="Arial"/>
                <w:sz w:val="16"/>
                <w:szCs w:val="16"/>
                <w:lang w:bidi="th-TH"/>
              </w:rPr>
              <w:t>% of participants’ positive rating of the usefulness of copyright related capacity building meetings and workshops</w:t>
            </w:r>
          </w:p>
        </w:tc>
        <w:tc>
          <w:tcPr>
            <w:tcW w:w="1268" w:type="pct"/>
            <w:tcBorders>
              <w:top w:val="nil"/>
              <w:bottom w:val="nil"/>
            </w:tcBorders>
            <w:shd w:val="clear" w:color="auto" w:fill="auto"/>
          </w:tcPr>
          <w:p w:rsidR="00A06215" w:rsidRPr="000A1DBE" w:rsidRDefault="00A06215" w:rsidP="00CE4C9D">
            <w:pPr>
              <w:keepNext/>
              <w:rPr>
                <w:rFonts w:cs="Arial"/>
                <w:i/>
                <w:color w:val="002060"/>
                <w:sz w:val="16"/>
                <w:szCs w:val="16"/>
              </w:rPr>
            </w:pPr>
            <w:r w:rsidRPr="000A1DBE">
              <w:rPr>
                <w:rFonts w:cs="Arial"/>
                <w:i/>
                <w:color w:val="002060"/>
                <w:sz w:val="16"/>
                <w:szCs w:val="16"/>
              </w:rPr>
              <w:t xml:space="preserve">Updated Baseline end 2013:  </w:t>
            </w:r>
            <w:r w:rsidRPr="00757BD0">
              <w:rPr>
                <w:rFonts w:cs="Arial"/>
                <w:color w:val="002060"/>
                <w:sz w:val="16"/>
                <w:szCs w:val="16"/>
              </w:rPr>
              <w:t>Over 80% of the participants in the copyright and related rights capacity building programs rated the received training as being useful.</w:t>
            </w:r>
          </w:p>
          <w:p w:rsidR="00A06215" w:rsidRPr="000A1DBE" w:rsidRDefault="00A06215" w:rsidP="00CE4C9D">
            <w:pPr>
              <w:keepNext/>
              <w:rPr>
                <w:rFonts w:cs="Arial"/>
                <w:i/>
                <w:sz w:val="8"/>
                <w:szCs w:val="8"/>
                <w:lang w:bidi="th-TH"/>
              </w:rPr>
            </w:pPr>
          </w:p>
          <w:p w:rsidR="00A06215" w:rsidRPr="000A1DBE" w:rsidRDefault="00A06215" w:rsidP="00CE4C9D">
            <w:pPr>
              <w:keepNext/>
              <w:rPr>
                <w:rFonts w:cs="Arial"/>
                <w:i/>
                <w:color w:val="002060"/>
                <w:sz w:val="16"/>
                <w:szCs w:val="16"/>
              </w:rPr>
            </w:pPr>
            <w:r w:rsidRPr="000A1DBE">
              <w:rPr>
                <w:rFonts w:cs="Arial"/>
                <w:i/>
                <w:sz w:val="16"/>
                <w:szCs w:val="16"/>
                <w:lang w:bidi="th-TH"/>
              </w:rPr>
              <w:t xml:space="preserve">Original Baseline P&amp;B 2014/15: </w:t>
            </w:r>
            <w:r w:rsidRPr="000A1DBE">
              <w:rPr>
                <w:rFonts w:cs="Arial"/>
                <w:sz w:val="16"/>
                <w:szCs w:val="16"/>
                <w:lang w:bidi="th-TH"/>
              </w:rPr>
              <w:t xml:space="preserve"> 70% of satisfactory rate</w:t>
            </w:r>
          </w:p>
        </w:tc>
        <w:tc>
          <w:tcPr>
            <w:tcW w:w="821" w:type="pct"/>
            <w:gridSpan w:val="2"/>
            <w:tcBorders>
              <w:top w:val="nil"/>
              <w:bottom w:val="nil"/>
            </w:tcBorders>
            <w:shd w:val="clear" w:color="auto" w:fill="auto"/>
            <w:tcMar>
              <w:top w:w="110" w:type="dxa"/>
            </w:tcMar>
          </w:tcPr>
          <w:p w:rsidR="00A06215" w:rsidRPr="000A1DBE" w:rsidRDefault="00A06215" w:rsidP="00CE4C9D">
            <w:pPr>
              <w:rPr>
                <w:rFonts w:cs="Arial"/>
                <w:sz w:val="16"/>
                <w:szCs w:val="16"/>
                <w:lang w:bidi="th-TH"/>
              </w:rPr>
            </w:pPr>
            <w:r w:rsidRPr="000A1DBE">
              <w:rPr>
                <w:rFonts w:cs="Arial"/>
                <w:sz w:val="16"/>
                <w:szCs w:val="16"/>
                <w:lang w:bidi="th-TH"/>
              </w:rPr>
              <w:t>70% agree or strongly agree</w:t>
            </w:r>
          </w:p>
        </w:tc>
        <w:tc>
          <w:tcPr>
            <w:tcW w:w="1194" w:type="pct"/>
            <w:tcBorders>
              <w:top w:val="nil"/>
              <w:bottom w:val="nil"/>
            </w:tcBorders>
            <w:shd w:val="clear" w:color="auto" w:fill="FFFFFF"/>
            <w:tcMar>
              <w:top w:w="110" w:type="dxa"/>
            </w:tcMar>
          </w:tcPr>
          <w:p w:rsidR="00A06215" w:rsidRPr="000A1DBE" w:rsidRDefault="00A06215" w:rsidP="00CE4C9D">
            <w:pPr>
              <w:rPr>
                <w:rFonts w:eastAsia="SimSun" w:cs="Arial"/>
                <w:sz w:val="16"/>
                <w:szCs w:val="16"/>
                <w:lang w:eastAsia="zh-CN" w:bidi="th-TH"/>
              </w:rPr>
            </w:pPr>
            <w:r w:rsidRPr="00757BD0">
              <w:rPr>
                <w:rFonts w:eastAsia="SimSun" w:cs="Arial"/>
                <w:sz w:val="16"/>
                <w:szCs w:val="16"/>
                <w:lang w:eastAsia="zh-CN" w:bidi="th-TH"/>
              </w:rPr>
              <w:t xml:space="preserve">Over 80%  </w:t>
            </w:r>
          </w:p>
        </w:tc>
        <w:tc>
          <w:tcPr>
            <w:tcW w:w="521" w:type="pct"/>
            <w:tcBorders>
              <w:top w:val="nil"/>
              <w:bottom w:val="nil"/>
              <w:right w:val="single" w:sz="4" w:space="0" w:color="auto"/>
            </w:tcBorders>
            <w:shd w:val="clear" w:color="auto" w:fill="auto"/>
            <w:tcMar>
              <w:top w:w="110" w:type="dxa"/>
            </w:tcMar>
          </w:tcPr>
          <w:p w:rsidR="00A06215" w:rsidRPr="000A1DBE" w:rsidRDefault="00A06215" w:rsidP="00CE4C9D">
            <w:pPr>
              <w:jc w:val="center"/>
              <w:rPr>
                <w:rFonts w:cs="Arial"/>
                <w:b/>
                <w:bCs/>
                <w:color w:val="00B050"/>
                <w:sz w:val="16"/>
                <w:szCs w:val="16"/>
              </w:rPr>
            </w:pPr>
            <w:r w:rsidRPr="000A1DBE">
              <w:rPr>
                <w:rFonts w:cs="Arial"/>
                <w:b/>
                <w:bCs/>
                <w:color w:val="00B050"/>
                <w:sz w:val="16"/>
                <w:szCs w:val="16"/>
              </w:rPr>
              <w:t>On track</w:t>
            </w:r>
          </w:p>
        </w:tc>
      </w:tr>
      <w:tr w:rsidR="00A06215" w:rsidRPr="005C50ED" w:rsidTr="00A06215">
        <w:tc>
          <w:tcPr>
            <w:tcW w:w="1195" w:type="pct"/>
            <w:tcBorders>
              <w:top w:val="nil"/>
              <w:left w:val="single" w:sz="4" w:space="0" w:color="auto"/>
              <w:bottom w:val="single" w:sz="4" w:space="0" w:color="auto"/>
            </w:tcBorders>
            <w:shd w:val="clear" w:color="auto" w:fill="auto"/>
          </w:tcPr>
          <w:p w:rsidR="00A06215" w:rsidRPr="000A1DBE" w:rsidRDefault="00A06215" w:rsidP="00CE4C9D">
            <w:pPr>
              <w:rPr>
                <w:rFonts w:cs="Arial"/>
                <w:sz w:val="16"/>
                <w:szCs w:val="16"/>
                <w:lang w:bidi="th-TH"/>
              </w:rPr>
            </w:pPr>
            <w:r w:rsidRPr="000A1DBE">
              <w:rPr>
                <w:rFonts w:cs="Arial"/>
                <w:sz w:val="16"/>
                <w:szCs w:val="16"/>
                <w:lang w:bidi="th-TH"/>
              </w:rPr>
              <w:t>No. of Member States that take initiatives to improve their use of the copyright</w:t>
            </w:r>
            <w:r w:rsidR="004B373F">
              <w:rPr>
                <w:rFonts w:cs="Arial"/>
                <w:sz w:val="16"/>
                <w:szCs w:val="16"/>
                <w:lang w:bidi="th-TH"/>
              </w:rPr>
              <w:t xml:space="preserve"> and related rights</w:t>
            </w:r>
            <w:r w:rsidRPr="000A1DBE">
              <w:rPr>
                <w:rFonts w:cs="Arial"/>
                <w:sz w:val="16"/>
                <w:szCs w:val="16"/>
                <w:lang w:bidi="th-TH"/>
              </w:rPr>
              <w:t xml:space="preserve"> system</w:t>
            </w:r>
            <w:r w:rsidR="0075729A">
              <w:rPr>
                <w:rFonts w:cs="Arial"/>
                <w:sz w:val="16"/>
                <w:szCs w:val="16"/>
                <w:lang w:bidi="th-TH"/>
              </w:rPr>
              <w:t xml:space="preserve"> </w:t>
            </w:r>
            <w:r w:rsidRPr="000A1DBE">
              <w:rPr>
                <w:rFonts w:cs="Arial"/>
                <w:sz w:val="16"/>
                <w:szCs w:val="16"/>
                <w:lang w:bidi="th-TH"/>
              </w:rPr>
              <w:t xml:space="preserve"> to exploit the economic potentials of their cultural works and products</w:t>
            </w:r>
          </w:p>
        </w:tc>
        <w:tc>
          <w:tcPr>
            <w:tcW w:w="1268" w:type="pct"/>
            <w:tcBorders>
              <w:top w:val="nil"/>
              <w:bottom w:val="single" w:sz="4" w:space="0" w:color="auto"/>
            </w:tcBorders>
            <w:shd w:val="clear" w:color="auto" w:fill="auto"/>
          </w:tcPr>
          <w:p w:rsidR="00A06215" w:rsidRPr="000A1DBE" w:rsidRDefault="00A06215" w:rsidP="00CE4C9D">
            <w:pPr>
              <w:keepNext/>
              <w:rPr>
                <w:rFonts w:cs="Arial"/>
                <w:i/>
                <w:color w:val="002060"/>
                <w:sz w:val="16"/>
                <w:szCs w:val="16"/>
              </w:rPr>
            </w:pPr>
            <w:r w:rsidRPr="000A1DBE">
              <w:rPr>
                <w:rFonts w:cs="Arial"/>
                <w:i/>
                <w:color w:val="002060"/>
                <w:sz w:val="16"/>
                <w:szCs w:val="16"/>
              </w:rPr>
              <w:t xml:space="preserve">Updated Baseline end 2013: </w:t>
            </w:r>
            <w:r w:rsidRPr="00757BD0">
              <w:rPr>
                <w:rFonts w:cs="Arial"/>
                <w:color w:val="002060"/>
                <w:sz w:val="16"/>
                <w:szCs w:val="16"/>
              </w:rPr>
              <w:t>60% of countries received assistance</w:t>
            </w:r>
            <w:r w:rsidRPr="000A1DBE">
              <w:rPr>
                <w:rFonts w:cs="Arial"/>
                <w:i/>
                <w:color w:val="002060"/>
                <w:sz w:val="16"/>
                <w:szCs w:val="16"/>
              </w:rPr>
              <w:t xml:space="preserve"> </w:t>
            </w:r>
          </w:p>
          <w:p w:rsidR="00A06215" w:rsidRPr="000A1DBE" w:rsidRDefault="00A06215" w:rsidP="00CE4C9D">
            <w:pPr>
              <w:keepNext/>
              <w:rPr>
                <w:rFonts w:cs="Arial"/>
                <w:i/>
                <w:sz w:val="8"/>
                <w:szCs w:val="8"/>
                <w:lang w:bidi="th-TH"/>
              </w:rPr>
            </w:pPr>
          </w:p>
          <w:p w:rsidR="00A06215" w:rsidRPr="000A1DBE" w:rsidRDefault="00A06215" w:rsidP="004B373F">
            <w:pPr>
              <w:keepNext/>
              <w:rPr>
                <w:rFonts w:cs="Arial"/>
                <w:i/>
                <w:color w:val="002060"/>
                <w:sz w:val="16"/>
                <w:szCs w:val="16"/>
              </w:rPr>
            </w:pPr>
            <w:r w:rsidRPr="000A1DBE">
              <w:rPr>
                <w:rFonts w:cs="Arial"/>
                <w:i/>
                <w:sz w:val="16"/>
                <w:szCs w:val="16"/>
                <w:lang w:bidi="th-TH"/>
              </w:rPr>
              <w:t xml:space="preserve">Original Baseline P&amp;B 2014/15: </w:t>
            </w:r>
            <w:r w:rsidRPr="000A1DBE">
              <w:rPr>
                <w:rFonts w:cs="Arial"/>
                <w:sz w:val="16"/>
                <w:szCs w:val="16"/>
                <w:lang w:bidi="th-TH"/>
              </w:rPr>
              <w:t xml:space="preserve"> 60% of countries  that requested technical  assistance</w:t>
            </w:r>
          </w:p>
        </w:tc>
        <w:tc>
          <w:tcPr>
            <w:tcW w:w="821" w:type="pct"/>
            <w:gridSpan w:val="2"/>
            <w:tcBorders>
              <w:top w:val="nil"/>
              <w:bottom w:val="single" w:sz="4" w:space="0" w:color="auto"/>
            </w:tcBorders>
            <w:shd w:val="clear" w:color="auto" w:fill="auto"/>
            <w:tcMar>
              <w:top w:w="110" w:type="dxa"/>
            </w:tcMar>
          </w:tcPr>
          <w:p w:rsidR="00A06215" w:rsidRPr="000A1DBE" w:rsidRDefault="00A06215" w:rsidP="00CE4C9D">
            <w:pPr>
              <w:rPr>
                <w:rFonts w:cs="Arial"/>
                <w:sz w:val="16"/>
                <w:szCs w:val="16"/>
                <w:lang w:bidi="th-TH"/>
              </w:rPr>
            </w:pPr>
            <w:r w:rsidRPr="000A1DBE">
              <w:rPr>
                <w:rFonts w:cs="Arial"/>
                <w:sz w:val="16"/>
                <w:szCs w:val="16"/>
                <w:lang w:bidi="th-TH"/>
              </w:rPr>
              <w:t>60% of countries  that received assistance</w:t>
            </w:r>
          </w:p>
        </w:tc>
        <w:tc>
          <w:tcPr>
            <w:tcW w:w="1194" w:type="pct"/>
            <w:tcBorders>
              <w:top w:val="nil"/>
              <w:bottom w:val="single" w:sz="4" w:space="0" w:color="auto"/>
            </w:tcBorders>
            <w:shd w:val="clear" w:color="auto" w:fill="FFFFFF"/>
            <w:tcMar>
              <w:top w:w="110" w:type="dxa"/>
            </w:tcMar>
          </w:tcPr>
          <w:p w:rsidR="00A06215" w:rsidRPr="000A1DBE" w:rsidRDefault="00A06215" w:rsidP="00CE4C9D">
            <w:pPr>
              <w:rPr>
                <w:rFonts w:eastAsia="SimSun" w:cs="Arial"/>
                <w:sz w:val="16"/>
                <w:szCs w:val="16"/>
                <w:lang w:eastAsia="zh-CN" w:bidi="th-TH"/>
              </w:rPr>
            </w:pPr>
            <w:r w:rsidRPr="00757BD0">
              <w:rPr>
                <w:rFonts w:eastAsia="SimSun" w:cs="Arial"/>
                <w:sz w:val="16"/>
                <w:szCs w:val="16"/>
                <w:lang w:eastAsia="zh-CN" w:bidi="th-TH"/>
              </w:rPr>
              <w:t>Over 60%</w:t>
            </w:r>
          </w:p>
        </w:tc>
        <w:tc>
          <w:tcPr>
            <w:tcW w:w="521" w:type="pct"/>
            <w:tcBorders>
              <w:top w:val="nil"/>
              <w:bottom w:val="single" w:sz="4" w:space="0" w:color="auto"/>
              <w:right w:val="single" w:sz="4" w:space="0" w:color="auto"/>
            </w:tcBorders>
            <w:shd w:val="clear" w:color="auto" w:fill="auto"/>
            <w:tcMar>
              <w:top w:w="110" w:type="dxa"/>
            </w:tcMar>
          </w:tcPr>
          <w:p w:rsidR="00A06215" w:rsidRPr="000A1DBE" w:rsidRDefault="00A06215" w:rsidP="00CE4C9D">
            <w:pPr>
              <w:jc w:val="center"/>
              <w:rPr>
                <w:rFonts w:cs="Arial"/>
                <w:b/>
                <w:bCs/>
                <w:color w:val="00B050"/>
                <w:sz w:val="16"/>
                <w:szCs w:val="16"/>
              </w:rPr>
            </w:pPr>
            <w:r w:rsidRPr="000A1DBE">
              <w:rPr>
                <w:rFonts w:cs="Arial"/>
                <w:b/>
                <w:bCs/>
                <w:color w:val="00B050"/>
                <w:sz w:val="16"/>
                <w:szCs w:val="16"/>
              </w:rPr>
              <w:t>On track</w:t>
            </w:r>
          </w:p>
        </w:tc>
      </w:tr>
      <w:tr w:rsidR="00A06215" w:rsidRPr="005C50ED" w:rsidTr="00A06215">
        <w:trPr>
          <w:trHeight w:val="526"/>
        </w:trPr>
        <w:tc>
          <w:tcPr>
            <w:tcW w:w="5000" w:type="pct"/>
            <w:gridSpan w:val="6"/>
            <w:tcBorders>
              <w:top w:val="single" w:sz="4" w:space="0" w:color="auto"/>
              <w:bottom w:val="single" w:sz="4" w:space="0" w:color="auto"/>
            </w:tcBorders>
            <w:shd w:val="clear" w:color="auto" w:fill="CCFFFF"/>
            <w:vAlign w:val="center"/>
          </w:tcPr>
          <w:p w:rsidR="00A06215" w:rsidRPr="005C50ED" w:rsidRDefault="00A06215" w:rsidP="00CE4C9D">
            <w:pPr>
              <w:keepNext/>
              <w:keepLines/>
              <w:tabs>
                <w:tab w:val="left" w:pos="1452"/>
              </w:tabs>
              <w:ind w:left="1452" w:hanging="1452"/>
              <w:rPr>
                <w:rFonts w:cs="Arial"/>
                <w:b/>
                <w:bCs/>
                <w:sz w:val="16"/>
                <w:szCs w:val="16"/>
              </w:rPr>
            </w:pPr>
            <w:r w:rsidRPr="005C50ED">
              <w:rPr>
                <w:rFonts w:cs="Arial"/>
                <w:b/>
                <w:bCs/>
                <w:sz w:val="16"/>
                <w:szCs w:val="16"/>
              </w:rPr>
              <w:t>Expected Result:</w:t>
            </w:r>
            <w:r w:rsidRPr="005C50ED">
              <w:rPr>
                <w:rFonts w:cs="Arial"/>
                <w:b/>
                <w:bCs/>
                <w:sz w:val="16"/>
                <w:szCs w:val="16"/>
              </w:rPr>
              <w:tab/>
            </w:r>
            <w:r w:rsidRPr="00A776CE">
              <w:rPr>
                <w:rFonts w:cs="Arial"/>
                <w:sz w:val="16"/>
                <w:szCs w:val="16"/>
                <w:lang w:bidi="th-TH"/>
              </w:rPr>
              <w:t>IV.2 Enhanced access to, and use of, IP information by IP institutions and the public to promote innovation and creativity</w:t>
            </w:r>
          </w:p>
        </w:tc>
      </w:tr>
      <w:tr w:rsidR="00A06215" w:rsidRPr="005C50ED" w:rsidTr="00A06215">
        <w:tc>
          <w:tcPr>
            <w:tcW w:w="1195" w:type="pct"/>
            <w:tcBorders>
              <w:top w:val="single" w:sz="4" w:space="0" w:color="auto"/>
              <w:left w:val="single" w:sz="4" w:space="0" w:color="auto"/>
              <w:bottom w:val="nil"/>
            </w:tcBorders>
            <w:shd w:val="clear" w:color="auto" w:fill="auto"/>
            <w:vAlign w:val="center"/>
          </w:tcPr>
          <w:p w:rsidR="00A06215" w:rsidRPr="005C50ED" w:rsidRDefault="00A06215" w:rsidP="00CE4C9D">
            <w:pPr>
              <w:keepNext/>
              <w:keepLines/>
              <w:rPr>
                <w:rFonts w:cs="Arial"/>
                <w:sz w:val="16"/>
                <w:szCs w:val="16"/>
              </w:rPr>
            </w:pPr>
            <w:r w:rsidRPr="005C50ED">
              <w:rPr>
                <w:rFonts w:cs="Arial"/>
                <w:b/>
                <w:bCs/>
                <w:sz w:val="16"/>
                <w:szCs w:val="16"/>
              </w:rPr>
              <w:t>Performance Indicators</w:t>
            </w:r>
          </w:p>
        </w:tc>
        <w:tc>
          <w:tcPr>
            <w:tcW w:w="1268" w:type="pct"/>
            <w:tcBorders>
              <w:top w:val="single" w:sz="4" w:space="0" w:color="auto"/>
              <w:bottom w:val="nil"/>
            </w:tcBorders>
            <w:shd w:val="clear" w:color="auto" w:fill="auto"/>
            <w:vAlign w:val="center"/>
          </w:tcPr>
          <w:p w:rsidR="00A06215" w:rsidRPr="005C50ED" w:rsidRDefault="00A06215" w:rsidP="00CE4C9D">
            <w:pPr>
              <w:keepNext/>
              <w:keepLines/>
              <w:rPr>
                <w:rFonts w:cs="Arial"/>
                <w:b/>
                <w:bCs/>
                <w:sz w:val="16"/>
                <w:szCs w:val="16"/>
              </w:rPr>
            </w:pPr>
            <w:r w:rsidRPr="005C50ED">
              <w:rPr>
                <w:rFonts w:cs="Arial"/>
                <w:b/>
                <w:bCs/>
                <w:sz w:val="16"/>
                <w:szCs w:val="16"/>
              </w:rPr>
              <w:t>Baselines</w:t>
            </w:r>
          </w:p>
        </w:tc>
        <w:tc>
          <w:tcPr>
            <w:tcW w:w="821" w:type="pct"/>
            <w:gridSpan w:val="2"/>
            <w:tcBorders>
              <w:top w:val="single" w:sz="4" w:space="0" w:color="auto"/>
              <w:bottom w:val="nil"/>
            </w:tcBorders>
            <w:shd w:val="clear" w:color="auto" w:fill="auto"/>
            <w:tcMar>
              <w:top w:w="110" w:type="dxa"/>
            </w:tcMar>
            <w:vAlign w:val="center"/>
          </w:tcPr>
          <w:p w:rsidR="00A06215" w:rsidRPr="005C50ED" w:rsidRDefault="00A06215" w:rsidP="00CE4C9D">
            <w:pPr>
              <w:keepNext/>
              <w:keepLines/>
              <w:rPr>
                <w:rFonts w:cs="Arial"/>
                <w:b/>
                <w:sz w:val="16"/>
                <w:szCs w:val="16"/>
              </w:rPr>
            </w:pPr>
            <w:r w:rsidRPr="005C50ED">
              <w:rPr>
                <w:rFonts w:cs="Arial"/>
                <w:b/>
                <w:sz w:val="16"/>
                <w:szCs w:val="16"/>
              </w:rPr>
              <w:t>Targets</w:t>
            </w:r>
          </w:p>
        </w:tc>
        <w:tc>
          <w:tcPr>
            <w:tcW w:w="1194" w:type="pct"/>
            <w:tcBorders>
              <w:top w:val="single" w:sz="4" w:space="0" w:color="auto"/>
              <w:bottom w:val="nil"/>
            </w:tcBorders>
            <w:shd w:val="clear" w:color="auto" w:fill="FFFFFF"/>
            <w:tcMar>
              <w:top w:w="110" w:type="dxa"/>
            </w:tcMar>
            <w:vAlign w:val="center"/>
          </w:tcPr>
          <w:p w:rsidR="00A06215" w:rsidRPr="005C50ED" w:rsidRDefault="00A06215" w:rsidP="00CE4C9D">
            <w:pPr>
              <w:keepNext/>
              <w:keepLines/>
              <w:rPr>
                <w:rFonts w:cs="Arial"/>
                <w:sz w:val="16"/>
                <w:szCs w:val="16"/>
              </w:rPr>
            </w:pPr>
            <w:r w:rsidRPr="005C50ED">
              <w:rPr>
                <w:rFonts w:cs="Arial"/>
                <w:b/>
                <w:bCs/>
                <w:sz w:val="16"/>
                <w:szCs w:val="16"/>
              </w:rPr>
              <w:t>Performance Data</w:t>
            </w:r>
          </w:p>
        </w:tc>
        <w:tc>
          <w:tcPr>
            <w:tcW w:w="521" w:type="pct"/>
            <w:tcBorders>
              <w:top w:val="single" w:sz="4" w:space="0" w:color="auto"/>
              <w:bottom w:val="nil"/>
              <w:right w:val="single" w:sz="4" w:space="0" w:color="auto"/>
            </w:tcBorders>
            <w:shd w:val="clear" w:color="auto" w:fill="auto"/>
            <w:tcMar>
              <w:top w:w="110" w:type="dxa"/>
            </w:tcMar>
            <w:vAlign w:val="center"/>
          </w:tcPr>
          <w:p w:rsidR="00A06215" w:rsidRPr="005C50ED" w:rsidRDefault="00A06215" w:rsidP="00CE4C9D">
            <w:pPr>
              <w:keepNext/>
              <w:keepLines/>
              <w:jc w:val="center"/>
              <w:rPr>
                <w:rFonts w:cs="Arial"/>
                <w:b/>
                <w:bCs/>
                <w:sz w:val="16"/>
                <w:szCs w:val="16"/>
              </w:rPr>
            </w:pPr>
            <w:r w:rsidRPr="005C50ED">
              <w:rPr>
                <w:rFonts w:cs="Arial"/>
                <w:b/>
                <w:bCs/>
                <w:sz w:val="16"/>
                <w:szCs w:val="16"/>
              </w:rPr>
              <w:t>TLS</w:t>
            </w:r>
          </w:p>
        </w:tc>
      </w:tr>
      <w:tr w:rsidR="00A06215" w:rsidRPr="005C50ED" w:rsidTr="00A06215">
        <w:tc>
          <w:tcPr>
            <w:tcW w:w="1195" w:type="pct"/>
            <w:tcBorders>
              <w:top w:val="nil"/>
              <w:left w:val="single" w:sz="4" w:space="0" w:color="auto"/>
              <w:bottom w:val="single" w:sz="4" w:space="0" w:color="auto"/>
            </w:tcBorders>
            <w:shd w:val="clear" w:color="auto" w:fill="auto"/>
          </w:tcPr>
          <w:p w:rsidR="00A06215" w:rsidRPr="005C50ED" w:rsidRDefault="00A06215" w:rsidP="00CE4C9D">
            <w:pPr>
              <w:rPr>
                <w:rFonts w:cs="Arial"/>
                <w:color w:val="000000"/>
                <w:sz w:val="16"/>
                <w:szCs w:val="16"/>
                <w:lang w:bidi="th-TH"/>
              </w:rPr>
            </w:pPr>
            <w:r w:rsidRPr="00A776CE">
              <w:rPr>
                <w:rFonts w:cs="Arial"/>
                <w:color w:val="000000"/>
                <w:sz w:val="16"/>
                <w:szCs w:val="16"/>
                <w:lang w:bidi="th-TH"/>
              </w:rPr>
              <w:t>No. of trusted intermediaries (TIs) and rights holders (RHs) having joined the TIGAR system network, including from developing countries and LDCs</w:t>
            </w:r>
          </w:p>
        </w:tc>
        <w:tc>
          <w:tcPr>
            <w:tcW w:w="1268" w:type="pct"/>
            <w:tcBorders>
              <w:top w:val="nil"/>
              <w:bottom w:val="single" w:sz="4" w:space="0" w:color="auto"/>
            </w:tcBorders>
            <w:shd w:val="clear" w:color="auto" w:fill="auto"/>
          </w:tcPr>
          <w:p w:rsidR="00A06215" w:rsidRPr="005C50ED" w:rsidRDefault="00A06215" w:rsidP="00CE4C9D">
            <w:pPr>
              <w:keepNext/>
              <w:rPr>
                <w:rFonts w:cs="Arial"/>
                <w:i/>
                <w:color w:val="002060"/>
                <w:sz w:val="16"/>
                <w:szCs w:val="16"/>
              </w:rPr>
            </w:pPr>
            <w:r>
              <w:rPr>
                <w:rFonts w:cs="Arial"/>
                <w:i/>
                <w:color w:val="002060"/>
                <w:sz w:val="16"/>
                <w:szCs w:val="16"/>
              </w:rPr>
              <w:t>Updated Baseline end 2013</w:t>
            </w:r>
            <w:r w:rsidRPr="005C50ED">
              <w:rPr>
                <w:rFonts w:cs="Arial"/>
                <w:i/>
                <w:color w:val="002060"/>
                <w:sz w:val="16"/>
                <w:szCs w:val="16"/>
              </w:rPr>
              <w:t xml:space="preserve">:  </w:t>
            </w:r>
            <w:r>
              <w:t xml:space="preserve"> </w:t>
            </w:r>
            <w:r w:rsidRPr="00757BD0">
              <w:rPr>
                <w:rFonts w:cs="Arial"/>
                <w:color w:val="002060"/>
                <w:sz w:val="16"/>
                <w:szCs w:val="16"/>
              </w:rPr>
              <w:t>By the end of 2013, 25 TIs and 45 RHs had signed the TIGAR Memorandum of Understanding, including TIs from developing and least developed countries.  Eleven TIs had uploaded their accessible format titles to the TIGAR database by the end of 2013.</w:t>
            </w:r>
          </w:p>
          <w:p w:rsidR="00A06215" w:rsidRPr="005C50ED" w:rsidRDefault="00A06215" w:rsidP="00CE4C9D">
            <w:pPr>
              <w:keepNext/>
              <w:rPr>
                <w:rFonts w:cs="Arial"/>
                <w:i/>
                <w:sz w:val="8"/>
                <w:szCs w:val="8"/>
                <w:lang w:bidi="th-TH"/>
              </w:rPr>
            </w:pPr>
          </w:p>
          <w:p w:rsidR="00A06215" w:rsidRPr="005C50ED" w:rsidRDefault="00A06215" w:rsidP="00CE4C9D">
            <w:pPr>
              <w:rPr>
                <w:rFonts w:cs="Arial"/>
                <w:sz w:val="16"/>
                <w:szCs w:val="16"/>
                <w:lang w:bidi="th-TH"/>
              </w:rPr>
            </w:pPr>
            <w:r>
              <w:rPr>
                <w:rFonts w:cs="Arial"/>
                <w:i/>
                <w:sz w:val="16"/>
                <w:szCs w:val="16"/>
                <w:lang w:bidi="th-TH"/>
              </w:rPr>
              <w:t>Original Baseline P&amp;B 2014/15</w:t>
            </w:r>
            <w:r w:rsidRPr="005C50ED">
              <w:rPr>
                <w:rFonts w:cs="Arial"/>
                <w:i/>
                <w:sz w:val="16"/>
                <w:szCs w:val="16"/>
                <w:lang w:bidi="th-TH"/>
              </w:rPr>
              <w:t xml:space="preserve">: </w:t>
            </w:r>
            <w:r w:rsidRPr="005C50ED">
              <w:rPr>
                <w:rFonts w:cs="Arial"/>
                <w:sz w:val="16"/>
                <w:szCs w:val="16"/>
                <w:lang w:bidi="th-TH"/>
              </w:rPr>
              <w:t xml:space="preserve"> </w:t>
            </w:r>
            <w:r w:rsidRPr="00A776CE">
              <w:rPr>
                <w:rFonts w:cs="Arial"/>
                <w:sz w:val="16"/>
                <w:szCs w:val="16"/>
                <w:lang w:bidi="th-TH"/>
              </w:rPr>
              <w:t>19 TIs and 40 RHs</w:t>
            </w:r>
          </w:p>
        </w:tc>
        <w:tc>
          <w:tcPr>
            <w:tcW w:w="821" w:type="pct"/>
            <w:gridSpan w:val="2"/>
            <w:tcBorders>
              <w:top w:val="nil"/>
              <w:bottom w:val="single" w:sz="4" w:space="0" w:color="auto"/>
            </w:tcBorders>
            <w:shd w:val="clear" w:color="auto" w:fill="auto"/>
            <w:tcMar>
              <w:top w:w="110" w:type="dxa"/>
            </w:tcMar>
          </w:tcPr>
          <w:p w:rsidR="00A06215" w:rsidRPr="005C50ED" w:rsidRDefault="00A06215" w:rsidP="00CE4C9D">
            <w:pPr>
              <w:autoSpaceDE w:val="0"/>
              <w:autoSpaceDN w:val="0"/>
              <w:adjustRightInd w:val="0"/>
              <w:rPr>
                <w:rFonts w:cs="Arial"/>
                <w:sz w:val="16"/>
                <w:szCs w:val="16"/>
              </w:rPr>
            </w:pPr>
            <w:r w:rsidRPr="00A776CE">
              <w:rPr>
                <w:rFonts w:cs="Arial"/>
                <w:sz w:val="16"/>
                <w:szCs w:val="16"/>
              </w:rPr>
              <w:t>24 TIs and 46 RHs (cumulative)</w:t>
            </w:r>
          </w:p>
        </w:tc>
        <w:tc>
          <w:tcPr>
            <w:tcW w:w="1194" w:type="pct"/>
            <w:tcBorders>
              <w:top w:val="nil"/>
              <w:bottom w:val="single" w:sz="4" w:space="0" w:color="auto"/>
            </w:tcBorders>
            <w:shd w:val="clear" w:color="auto" w:fill="FFFFFF"/>
            <w:tcMar>
              <w:top w:w="110" w:type="dxa"/>
            </w:tcMar>
          </w:tcPr>
          <w:p w:rsidR="00A06215" w:rsidRPr="005C50ED" w:rsidRDefault="00A06215" w:rsidP="00CE4C9D">
            <w:pPr>
              <w:rPr>
                <w:rFonts w:cs="Arial"/>
                <w:sz w:val="16"/>
                <w:szCs w:val="16"/>
                <w:lang w:bidi="th-TH"/>
              </w:rPr>
            </w:pPr>
            <w:r>
              <w:rPr>
                <w:rFonts w:cs="Arial"/>
                <w:sz w:val="16"/>
                <w:szCs w:val="16"/>
                <w:lang w:bidi="th-TH"/>
              </w:rPr>
              <w:t xml:space="preserve">The Stakeholders’ Platform has now been moved to the Accessible Books Consortium (ABC).  </w:t>
            </w:r>
          </w:p>
        </w:tc>
        <w:tc>
          <w:tcPr>
            <w:tcW w:w="521" w:type="pct"/>
            <w:tcBorders>
              <w:top w:val="nil"/>
              <w:bottom w:val="single" w:sz="4" w:space="0" w:color="auto"/>
              <w:right w:val="single" w:sz="4" w:space="0" w:color="auto"/>
            </w:tcBorders>
            <w:shd w:val="clear" w:color="auto" w:fill="auto"/>
            <w:tcMar>
              <w:top w:w="110" w:type="dxa"/>
            </w:tcMar>
          </w:tcPr>
          <w:p w:rsidR="00A06215" w:rsidRPr="00A6171B" w:rsidRDefault="00A06215" w:rsidP="00CE4C9D">
            <w:pPr>
              <w:jc w:val="center"/>
              <w:rPr>
                <w:rFonts w:cs="Arial"/>
                <w:b/>
                <w:bCs/>
                <w:color w:val="808080"/>
                <w:sz w:val="13"/>
                <w:szCs w:val="13"/>
              </w:rPr>
            </w:pPr>
            <w:r w:rsidRPr="00A6171B">
              <w:rPr>
                <w:rFonts w:cs="Arial"/>
                <w:b/>
                <w:bCs/>
                <w:sz w:val="13"/>
                <w:szCs w:val="13"/>
              </w:rPr>
              <w:t>Dis-continued</w:t>
            </w:r>
          </w:p>
          <w:p w:rsidR="00A06215" w:rsidRPr="00A776CE" w:rsidRDefault="00A06215" w:rsidP="00CE4C9D">
            <w:pPr>
              <w:jc w:val="center"/>
              <w:rPr>
                <w:rFonts w:cs="Arial"/>
                <w:b/>
                <w:bCs/>
                <w:color w:val="808080"/>
                <w:sz w:val="16"/>
                <w:szCs w:val="16"/>
              </w:rPr>
            </w:pPr>
          </w:p>
        </w:tc>
      </w:tr>
      <w:tr w:rsidR="00A06215" w:rsidRPr="005C50ED" w:rsidTr="00A06215">
        <w:tc>
          <w:tcPr>
            <w:tcW w:w="1195" w:type="pct"/>
            <w:tcBorders>
              <w:top w:val="single" w:sz="4" w:space="0" w:color="auto"/>
              <w:left w:val="single" w:sz="4" w:space="0" w:color="auto"/>
              <w:bottom w:val="nil"/>
            </w:tcBorders>
            <w:shd w:val="clear" w:color="auto" w:fill="auto"/>
            <w:vAlign w:val="center"/>
          </w:tcPr>
          <w:p w:rsidR="00A06215" w:rsidRPr="005C50ED" w:rsidRDefault="00A06215" w:rsidP="00CE4C9D">
            <w:pPr>
              <w:keepNext/>
              <w:keepLines/>
              <w:rPr>
                <w:rFonts w:cs="Arial"/>
                <w:sz w:val="16"/>
                <w:szCs w:val="16"/>
              </w:rPr>
            </w:pPr>
            <w:r w:rsidRPr="005C50ED">
              <w:rPr>
                <w:rFonts w:cs="Arial"/>
                <w:b/>
                <w:bCs/>
                <w:sz w:val="16"/>
                <w:szCs w:val="16"/>
              </w:rPr>
              <w:lastRenderedPageBreak/>
              <w:t>Performance Indicators</w:t>
            </w:r>
          </w:p>
        </w:tc>
        <w:tc>
          <w:tcPr>
            <w:tcW w:w="1268" w:type="pct"/>
            <w:tcBorders>
              <w:top w:val="single" w:sz="4" w:space="0" w:color="auto"/>
              <w:bottom w:val="nil"/>
            </w:tcBorders>
            <w:shd w:val="clear" w:color="auto" w:fill="auto"/>
            <w:vAlign w:val="center"/>
          </w:tcPr>
          <w:p w:rsidR="00A06215" w:rsidRPr="005C50ED" w:rsidRDefault="00A06215" w:rsidP="00CE4C9D">
            <w:pPr>
              <w:keepNext/>
              <w:keepLines/>
              <w:rPr>
                <w:rFonts w:cs="Arial"/>
                <w:b/>
                <w:bCs/>
                <w:sz w:val="16"/>
                <w:szCs w:val="16"/>
              </w:rPr>
            </w:pPr>
            <w:r w:rsidRPr="005C50ED">
              <w:rPr>
                <w:rFonts w:cs="Arial"/>
                <w:b/>
                <w:bCs/>
                <w:sz w:val="16"/>
                <w:szCs w:val="16"/>
              </w:rPr>
              <w:t>Baselines</w:t>
            </w:r>
          </w:p>
        </w:tc>
        <w:tc>
          <w:tcPr>
            <w:tcW w:w="821" w:type="pct"/>
            <w:gridSpan w:val="2"/>
            <w:tcBorders>
              <w:top w:val="single" w:sz="4" w:space="0" w:color="auto"/>
              <w:bottom w:val="nil"/>
            </w:tcBorders>
            <w:shd w:val="clear" w:color="auto" w:fill="auto"/>
            <w:tcMar>
              <w:top w:w="110" w:type="dxa"/>
            </w:tcMar>
            <w:vAlign w:val="center"/>
          </w:tcPr>
          <w:p w:rsidR="00A06215" w:rsidRPr="005C50ED" w:rsidRDefault="00A06215" w:rsidP="00CE4C9D">
            <w:pPr>
              <w:keepNext/>
              <w:keepLines/>
              <w:rPr>
                <w:rFonts w:cs="Arial"/>
                <w:b/>
                <w:sz w:val="16"/>
                <w:szCs w:val="16"/>
              </w:rPr>
            </w:pPr>
            <w:r w:rsidRPr="005C50ED">
              <w:rPr>
                <w:rFonts w:cs="Arial"/>
                <w:b/>
                <w:sz w:val="16"/>
                <w:szCs w:val="16"/>
              </w:rPr>
              <w:t>Targets</w:t>
            </w:r>
          </w:p>
        </w:tc>
        <w:tc>
          <w:tcPr>
            <w:tcW w:w="1194" w:type="pct"/>
            <w:tcBorders>
              <w:top w:val="single" w:sz="4" w:space="0" w:color="auto"/>
              <w:bottom w:val="nil"/>
            </w:tcBorders>
            <w:shd w:val="clear" w:color="auto" w:fill="FFFFFF"/>
            <w:tcMar>
              <w:top w:w="110" w:type="dxa"/>
            </w:tcMar>
            <w:vAlign w:val="center"/>
          </w:tcPr>
          <w:p w:rsidR="00A06215" w:rsidRPr="005C50ED" w:rsidRDefault="00A06215" w:rsidP="00CE4C9D">
            <w:pPr>
              <w:keepNext/>
              <w:keepLines/>
              <w:rPr>
                <w:rFonts w:cs="Arial"/>
                <w:sz w:val="16"/>
                <w:szCs w:val="16"/>
              </w:rPr>
            </w:pPr>
            <w:r w:rsidRPr="005C50ED">
              <w:rPr>
                <w:rFonts w:cs="Arial"/>
                <w:b/>
                <w:bCs/>
                <w:sz w:val="16"/>
                <w:szCs w:val="16"/>
              </w:rPr>
              <w:t>Performance Data</w:t>
            </w:r>
          </w:p>
        </w:tc>
        <w:tc>
          <w:tcPr>
            <w:tcW w:w="521" w:type="pct"/>
            <w:tcBorders>
              <w:top w:val="single" w:sz="4" w:space="0" w:color="auto"/>
              <w:bottom w:val="nil"/>
              <w:right w:val="single" w:sz="4" w:space="0" w:color="auto"/>
            </w:tcBorders>
            <w:shd w:val="clear" w:color="auto" w:fill="auto"/>
            <w:vAlign w:val="center"/>
          </w:tcPr>
          <w:p w:rsidR="00A06215" w:rsidRPr="005C50ED" w:rsidRDefault="00A06215" w:rsidP="00CE4C9D">
            <w:pPr>
              <w:keepNext/>
              <w:keepLines/>
              <w:jc w:val="center"/>
              <w:rPr>
                <w:rFonts w:cs="Arial"/>
                <w:b/>
                <w:bCs/>
                <w:sz w:val="16"/>
                <w:szCs w:val="16"/>
              </w:rPr>
            </w:pPr>
            <w:r w:rsidRPr="005C50ED">
              <w:rPr>
                <w:rFonts w:cs="Arial"/>
                <w:b/>
                <w:bCs/>
                <w:sz w:val="16"/>
                <w:szCs w:val="16"/>
              </w:rPr>
              <w:t>TLS</w:t>
            </w:r>
          </w:p>
        </w:tc>
      </w:tr>
      <w:tr w:rsidR="00A06215" w:rsidRPr="005C50ED" w:rsidTr="00A06215">
        <w:tc>
          <w:tcPr>
            <w:tcW w:w="1195" w:type="pct"/>
            <w:tcBorders>
              <w:top w:val="nil"/>
              <w:left w:val="single" w:sz="4" w:space="0" w:color="auto"/>
              <w:bottom w:val="nil"/>
            </w:tcBorders>
            <w:shd w:val="clear" w:color="auto" w:fill="auto"/>
          </w:tcPr>
          <w:p w:rsidR="00A06215" w:rsidRPr="005C50ED" w:rsidRDefault="00A06215" w:rsidP="00CE4C9D">
            <w:pPr>
              <w:keepNext/>
              <w:keepLines/>
              <w:rPr>
                <w:rFonts w:cs="Arial"/>
                <w:sz w:val="16"/>
                <w:szCs w:val="16"/>
                <w:lang w:bidi="th-TH"/>
              </w:rPr>
            </w:pPr>
            <w:r w:rsidRPr="00A47302">
              <w:rPr>
                <w:rFonts w:cs="Arial"/>
                <w:color w:val="000000"/>
                <w:sz w:val="16"/>
                <w:szCs w:val="16"/>
                <w:lang w:bidi="th-TH"/>
              </w:rPr>
              <w:t xml:space="preserve">No. of copyright protected works distributed among TIs and made accessible to VIPs across borders through the TIGAR system network </w:t>
            </w:r>
          </w:p>
        </w:tc>
        <w:tc>
          <w:tcPr>
            <w:tcW w:w="1268" w:type="pct"/>
            <w:tcBorders>
              <w:top w:val="nil"/>
              <w:bottom w:val="nil"/>
            </w:tcBorders>
            <w:shd w:val="clear" w:color="auto" w:fill="auto"/>
          </w:tcPr>
          <w:p w:rsidR="00A06215" w:rsidRPr="005C50ED" w:rsidRDefault="00A06215" w:rsidP="00CE4C9D">
            <w:pPr>
              <w:pStyle w:val="Default"/>
              <w:keepNext/>
              <w:keepLines/>
              <w:rPr>
                <w:color w:val="002060"/>
                <w:sz w:val="16"/>
                <w:szCs w:val="16"/>
                <w:lang w:bidi="th-TH"/>
              </w:rPr>
            </w:pPr>
            <w:r w:rsidRPr="005C50ED">
              <w:rPr>
                <w:i/>
                <w:color w:val="002060"/>
                <w:sz w:val="16"/>
                <w:szCs w:val="16"/>
              </w:rPr>
              <w:t>Updated Baseline end 201</w:t>
            </w:r>
            <w:r>
              <w:rPr>
                <w:i/>
                <w:color w:val="002060"/>
                <w:sz w:val="16"/>
                <w:szCs w:val="16"/>
              </w:rPr>
              <w:t>3</w:t>
            </w:r>
            <w:r w:rsidRPr="005C50ED">
              <w:rPr>
                <w:i/>
                <w:color w:val="002060"/>
                <w:sz w:val="16"/>
                <w:szCs w:val="16"/>
              </w:rPr>
              <w:t>:</w:t>
            </w:r>
            <w:r w:rsidRPr="005C50ED">
              <w:rPr>
                <w:color w:val="002060"/>
                <w:sz w:val="16"/>
                <w:szCs w:val="16"/>
                <w:lang w:bidi="th-TH"/>
              </w:rPr>
              <w:t xml:space="preserve">  </w:t>
            </w:r>
            <w:r w:rsidRPr="00A563AA">
              <w:rPr>
                <w:color w:val="002060"/>
                <w:sz w:val="16"/>
                <w:szCs w:val="16"/>
                <w:lang w:bidi="th-TH"/>
              </w:rPr>
              <w:t>By the end of 2013, approximately 600 books in accessible formats had been downloaded from the TIGAR database in various countries.</w:t>
            </w:r>
          </w:p>
          <w:p w:rsidR="00A06215" w:rsidRPr="005C50ED" w:rsidRDefault="00A06215" w:rsidP="00CE4C9D">
            <w:pPr>
              <w:keepNext/>
              <w:keepLines/>
              <w:rPr>
                <w:rFonts w:cs="Arial"/>
                <w:color w:val="002060"/>
                <w:sz w:val="8"/>
                <w:szCs w:val="8"/>
                <w:lang w:bidi="th-TH"/>
              </w:rPr>
            </w:pPr>
          </w:p>
          <w:p w:rsidR="00A06215" w:rsidRPr="005C50ED" w:rsidRDefault="00A06215" w:rsidP="00CE4C9D">
            <w:pPr>
              <w:keepNext/>
              <w:keepLines/>
              <w:rPr>
                <w:rFonts w:cs="Arial"/>
                <w:sz w:val="16"/>
                <w:szCs w:val="16"/>
                <w:lang w:bidi="th-TH"/>
              </w:rPr>
            </w:pPr>
            <w:r>
              <w:rPr>
                <w:rFonts w:cs="Arial"/>
                <w:i/>
                <w:sz w:val="16"/>
                <w:szCs w:val="16"/>
                <w:lang w:bidi="th-TH"/>
              </w:rPr>
              <w:t>Original Baseline P&amp;B 2014/15</w:t>
            </w:r>
            <w:r w:rsidRPr="005C50ED">
              <w:rPr>
                <w:rFonts w:cs="Arial"/>
                <w:i/>
                <w:sz w:val="16"/>
                <w:szCs w:val="16"/>
                <w:lang w:bidi="th-TH"/>
              </w:rPr>
              <w:t xml:space="preserve">: </w:t>
            </w:r>
            <w:r w:rsidRPr="005C50ED">
              <w:rPr>
                <w:rFonts w:cs="Arial"/>
                <w:sz w:val="16"/>
                <w:szCs w:val="16"/>
                <w:lang w:bidi="th-TH"/>
              </w:rPr>
              <w:t xml:space="preserve"> </w:t>
            </w:r>
            <w:r w:rsidRPr="00A47302">
              <w:rPr>
                <w:rFonts w:cs="Arial"/>
                <w:sz w:val="16"/>
                <w:szCs w:val="16"/>
                <w:lang w:bidi="th-TH"/>
              </w:rPr>
              <w:t>400</w:t>
            </w:r>
          </w:p>
        </w:tc>
        <w:tc>
          <w:tcPr>
            <w:tcW w:w="821" w:type="pct"/>
            <w:gridSpan w:val="2"/>
            <w:tcBorders>
              <w:top w:val="nil"/>
              <w:bottom w:val="nil"/>
            </w:tcBorders>
            <w:shd w:val="clear" w:color="auto" w:fill="auto"/>
            <w:tcMar>
              <w:top w:w="110" w:type="dxa"/>
            </w:tcMar>
          </w:tcPr>
          <w:p w:rsidR="00A06215" w:rsidRPr="005C50ED" w:rsidRDefault="00A06215" w:rsidP="00CE4C9D">
            <w:pPr>
              <w:keepNext/>
              <w:keepLines/>
              <w:rPr>
                <w:rFonts w:cs="Arial"/>
                <w:sz w:val="16"/>
                <w:szCs w:val="16"/>
                <w:lang w:bidi="th-TH"/>
              </w:rPr>
            </w:pPr>
            <w:r w:rsidRPr="00A47302">
              <w:rPr>
                <w:rFonts w:eastAsia="Batang" w:cs="Arial"/>
                <w:sz w:val="16"/>
                <w:szCs w:val="16"/>
                <w:lang w:eastAsia="ja-JP" w:bidi="th-TH"/>
              </w:rPr>
              <w:t>1</w:t>
            </w:r>
            <w:r>
              <w:rPr>
                <w:rFonts w:eastAsia="Batang" w:cs="Arial"/>
                <w:sz w:val="16"/>
                <w:szCs w:val="16"/>
                <w:lang w:eastAsia="ja-JP" w:bidi="th-TH"/>
              </w:rPr>
              <w:t>,</w:t>
            </w:r>
            <w:r w:rsidRPr="00A47302">
              <w:rPr>
                <w:rFonts w:eastAsia="Batang" w:cs="Arial"/>
                <w:sz w:val="16"/>
                <w:szCs w:val="16"/>
                <w:lang w:eastAsia="ja-JP" w:bidi="th-TH"/>
              </w:rPr>
              <w:t>000 cumulative</w:t>
            </w:r>
          </w:p>
        </w:tc>
        <w:tc>
          <w:tcPr>
            <w:tcW w:w="1194" w:type="pct"/>
            <w:tcBorders>
              <w:top w:val="nil"/>
              <w:bottom w:val="nil"/>
            </w:tcBorders>
            <w:shd w:val="clear" w:color="auto" w:fill="FFFFFF"/>
            <w:tcMar>
              <w:top w:w="110" w:type="dxa"/>
            </w:tcMar>
          </w:tcPr>
          <w:p w:rsidR="00A06215" w:rsidRPr="005C50ED" w:rsidRDefault="00A06215" w:rsidP="00CE4C9D">
            <w:pPr>
              <w:keepNext/>
              <w:keepLines/>
              <w:rPr>
                <w:rFonts w:cs="Arial"/>
                <w:sz w:val="16"/>
                <w:szCs w:val="16"/>
                <w:lang w:bidi="th-TH"/>
              </w:rPr>
            </w:pPr>
            <w:r>
              <w:rPr>
                <w:rFonts w:cs="Arial"/>
                <w:sz w:val="16"/>
                <w:szCs w:val="16"/>
                <w:lang w:bidi="th-TH"/>
              </w:rPr>
              <w:t xml:space="preserve">There were 2,500 downloaded audio books </w:t>
            </w:r>
            <w:r w:rsidRPr="00DE59D9">
              <w:rPr>
                <w:rFonts w:cs="Arial"/>
                <w:sz w:val="16"/>
                <w:szCs w:val="16"/>
                <w:lang w:bidi="th-TH"/>
              </w:rPr>
              <w:t>by participating libraries</w:t>
            </w:r>
            <w:r>
              <w:rPr>
                <w:rFonts w:cs="Arial"/>
                <w:sz w:val="16"/>
                <w:szCs w:val="16"/>
                <w:lang w:bidi="th-TH"/>
              </w:rPr>
              <w:t xml:space="preserve"> at the end of 2014.  Some 16,000 </w:t>
            </w:r>
            <w:r w:rsidRPr="00757BD0">
              <w:rPr>
                <w:rFonts w:cs="Arial"/>
                <w:sz w:val="16"/>
                <w:szCs w:val="16"/>
                <w:lang w:bidi="th-TH"/>
              </w:rPr>
              <w:t>persons with print disabilities</w:t>
            </w:r>
            <w:r>
              <w:rPr>
                <w:rFonts w:cs="Arial"/>
                <w:i/>
                <w:sz w:val="16"/>
                <w:szCs w:val="16"/>
                <w:lang w:bidi="th-TH"/>
              </w:rPr>
              <w:t xml:space="preserve"> </w:t>
            </w:r>
            <w:r w:rsidRPr="00CE17CA">
              <w:rPr>
                <w:rFonts w:cs="Arial"/>
                <w:sz w:val="16"/>
                <w:szCs w:val="16"/>
                <w:lang w:bidi="th-TH"/>
              </w:rPr>
              <w:t>benefitted b</w:t>
            </w:r>
            <w:r w:rsidRPr="00757BD0">
              <w:rPr>
                <w:rFonts w:cs="Arial"/>
                <w:sz w:val="16"/>
                <w:szCs w:val="16"/>
                <w:lang w:bidi="th-TH"/>
              </w:rPr>
              <w:t>y end 2014</w:t>
            </w:r>
            <w:r>
              <w:rPr>
                <w:rFonts w:cs="Arial"/>
                <w:i/>
                <w:sz w:val="16"/>
                <w:szCs w:val="16"/>
                <w:lang w:bidi="th-TH"/>
              </w:rPr>
              <w:t>.</w:t>
            </w:r>
          </w:p>
        </w:tc>
        <w:tc>
          <w:tcPr>
            <w:tcW w:w="521" w:type="pct"/>
            <w:tcBorders>
              <w:top w:val="nil"/>
              <w:bottom w:val="nil"/>
              <w:right w:val="single" w:sz="4" w:space="0" w:color="auto"/>
            </w:tcBorders>
            <w:shd w:val="clear" w:color="auto" w:fill="auto"/>
          </w:tcPr>
          <w:p w:rsidR="00A06215" w:rsidRPr="005C50ED" w:rsidRDefault="00A06215" w:rsidP="00CE4C9D">
            <w:pPr>
              <w:keepNext/>
              <w:keepLines/>
              <w:jc w:val="center"/>
              <w:rPr>
                <w:rFonts w:cs="Arial"/>
                <w:bCs/>
                <w:color w:val="333333"/>
                <w:sz w:val="16"/>
                <w:szCs w:val="16"/>
              </w:rPr>
            </w:pPr>
            <w:r w:rsidRPr="0062421A">
              <w:rPr>
                <w:rFonts w:cs="Arial"/>
                <w:b/>
                <w:bCs/>
                <w:color w:val="00B050"/>
                <w:sz w:val="16"/>
                <w:szCs w:val="16"/>
              </w:rPr>
              <w:t>On track</w:t>
            </w:r>
          </w:p>
        </w:tc>
      </w:tr>
      <w:tr w:rsidR="00A06215" w:rsidRPr="005C50ED" w:rsidTr="00A06215">
        <w:tc>
          <w:tcPr>
            <w:tcW w:w="1195" w:type="pct"/>
            <w:tcBorders>
              <w:top w:val="nil"/>
              <w:left w:val="single" w:sz="4" w:space="0" w:color="auto"/>
              <w:bottom w:val="nil"/>
            </w:tcBorders>
            <w:shd w:val="clear" w:color="auto" w:fill="auto"/>
          </w:tcPr>
          <w:p w:rsidR="00A06215" w:rsidRPr="005C50ED" w:rsidRDefault="00A06215" w:rsidP="00CE4C9D">
            <w:pPr>
              <w:keepNext/>
              <w:keepLines/>
              <w:rPr>
                <w:rFonts w:cs="Arial"/>
                <w:color w:val="000000"/>
                <w:sz w:val="16"/>
                <w:szCs w:val="16"/>
                <w:lang w:bidi="th-TH"/>
              </w:rPr>
            </w:pPr>
            <w:r w:rsidRPr="00A47302">
              <w:rPr>
                <w:rFonts w:cs="Arial"/>
                <w:color w:val="000000"/>
                <w:sz w:val="16"/>
                <w:szCs w:val="16"/>
                <w:lang w:bidi="th-TH"/>
              </w:rPr>
              <w:t xml:space="preserve"> % of individuals satisfied with the capacity building support on copyright infrastructure </w:t>
            </w:r>
          </w:p>
        </w:tc>
        <w:tc>
          <w:tcPr>
            <w:tcW w:w="1268" w:type="pct"/>
            <w:tcBorders>
              <w:top w:val="nil"/>
              <w:bottom w:val="nil"/>
            </w:tcBorders>
            <w:shd w:val="clear" w:color="auto" w:fill="auto"/>
          </w:tcPr>
          <w:p w:rsidR="00A06215" w:rsidRPr="002C4083" w:rsidRDefault="0075729A" w:rsidP="00CE4C9D">
            <w:pPr>
              <w:keepNext/>
              <w:keepLines/>
              <w:rPr>
                <w:rFonts w:cs="Arial"/>
                <w:sz w:val="16"/>
                <w:szCs w:val="16"/>
                <w:lang w:val="pt-BR" w:bidi="th-TH"/>
              </w:rPr>
            </w:pPr>
            <w:r>
              <w:rPr>
                <w:rFonts w:cs="Arial"/>
                <w:sz w:val="16"/>
                <w:szCs w:val="16"/>
                <w:lang w:val="pt-BR" w:bidi="th-TH"/>
              </w:rPr>
              <w:t>Data not available</w:t>
            </w:r>
          </w:p>
        </w:tc>
        <w:tc>
          <w:tcPr>
            <w:tcW w:w="821" w:type="pct"/>
            <w:gridSpan w:val="2"/>
            <w:tcBorders>
              <w:top w:val="nil"/>
              <w:bottom w:val="nil"/>
            </w:tcBorders>
            <w:shd w:val="clear" w:color="auto" w:fill="auto"/>
            <w:tcMar>
              <w:top w:w="110" w:type="dxa"/>
            </w:tcMar>
          </w:tcPr>
          <w:p w:rsidR="00A06215" w:rsidRPr="005C50ED" w:rsidRDefault="00A06215" w:rsidP="00CE4C9D">
            <w:pPr>
              <w:keepNext/>
              <w:keepLines/>
              <w:rPr>
                <w:rFonts w:cs="Arial"/>
                <w:sz w:val="16"/>
                <w:szCs w:val="16"/>
                <w:lang w:bidi="th-TH"/>
              </w:rPr>
            </w:pPr>
            <w:r w:rsidRPr="00A47302">
              <w:rPr>
                <w:rFonts w:cs="Arial"/>
                <w:sz w:val="16"/>
                <w:szCs w:val="16"/>
                <w:lang w:bidi="th-TH"/>
              </w:rPr>
              <w:t>60%</w:t>
            </w:r>
          </w:p>
        </w:tc>
        <w:tc>
          <w:tcPr>
            <w:tcW w:w="1194" w:type="pct"/>
            <w:tcBorders>
              <w:top w:val="nil"/>
              <w:bottom w:val="nil"/>
            </w:tcBorders>
            <w:shd w:val="clear" w:color="auto" w:fill="FFFFFF"/>
            <w:tcMar>
              <w:top w:w="110" w:type="dxa"/>
            </w:tcMar>
          </w:tcPr>
          <w:p w:rsidR="00A06215" w:rsidRPr="005C50ED" w:rsidRDefault="00A06215" w:rsidP="00CE4C9D">
            <w:pPr>
              <w:keepNext/>
              <w:keepLines/>
              <w:rPr>
                <w:rFonts w:cs="Arial"/>
                <w:sz w:val="16"/>
                <w:szCs w:val="16"/>
                <w:lang w:bidi="th-TH"/>
              </w:rPr>
            </w:pPr>
            <w:r w:rsidRPr="00A47302">
              <w:rPr>
                <w:rFonts w:cs="Arial"/>
                <w:sz w:val="16"/>
                <w:szCs w:val="16"/>
                <w:lang w:bidi="th-TH"/>
              </w:rPr>
              <w:t>100%</w:t>
            </w:r>
          </w:p>
        </w:tc>
        <w:tc>
          <w:tcPr>
            <w:tcW w:w="521" w:type="pct"/>
            <w:tcBorders>
              <w:top w:val="nil"/>
              <w:bottom w:val="nil"/>
              <w:right w:val="single" w:sz="4" w:space="0" w:color="auto"/>
            </w:tcBorders>
            <w:shd w:val="clear" w:color="auto" w:fill="auto"/>
          </w:tcPr>
          <w:p w:rsidR="00A06215" w:rsidRPr="005C50ED" w:rsidRDefault="00A06215" w:rsidP="00CE4C9D">
            <w:pPr>
              <w:keepNext/>
              <w:keepLines/>
              <w:jc w:val="center"/>
              <w:rPr>
                <w:rFonts w:cs="Arial"/>
                <w:bCs/>
                <w:color w:val="008000"/>
                <w:sz w:val="16"/>
                <w:szCs w:val="16"/>
              </w:rPr>
            </w:pPr>
            <w:r w:rsidRPr="0062421A">
              <w:rPr>
                <w:rFonts w:cs="Arial"/>
                <w:b/>
                <w:bCs/>
                <w:color w:val="00B050"/>
                <w:sz w:val="16"/>
                <w:szCs w:val="16"/>
              </w:rPr>
              <w:t>On track</w:t>
            </w:r>
          </w:p>
        </w:tc>
      </w:tr>
      <w:tr w:rsidR="00A06215" w:rsidRPr="005C50ED" w:rsidTr="00A06215">
        <w:tc>
          <w:tcPr>
            <w:tcW w:w="1195" w:type="pct"/>
            <w:tcBorders>
              <w:top w:val="nil"/>
              <w:left w:val="single" w:sz="4" w:space="0" w:color="auto"/>
              <w:bottom w:val="nil"/>
            </w:tcBorders>
            <w:shd w:val="clear" w:color="auto" w:fill="auto"/>
          </w:tcPr>
          <w:p w:rsidR="00A06215" w:rsidRPr="00A47302" w:rsidRDefault="00A06215" w:rsidP="00CE4C9D">
            <w:pPr>
              <w:keepNext/>
              <w:keepLines/>
              <w:rPr>
                <w:rFonts w:cs="Arial"/>
                <w:color w:val="000000"/>
                <w:sz w:val="16"/>
                <w:szCs w:val="16"/>
                <w:lang w:bidi="th-TH"/>
              </w:rPr>
            </w:pPr>
            <w:r w:rsidRPr="007873A2">
              <w:rPr>
                <w:rFonts w:cs="Arial"/>
                <w:color w:val="000000"/>
                <w:sz w:val="16"/>
                <w:szCs w:val="16"/>
                <w:lang w:bidi="th-TH"/>
              </w:rPr>
              <w:t>No. of institutions using GDA</w:t>
            </w:r>
          </w:p>
        </w:tc>
        <w:tc>
          <w:tcPr>
            <w:tcW w:w="1268" w:type="pct"/>
            <w:tcBorders>
              <w:top w:val="nil"/>
              <w:bottom w:val="nil"/>
            </w:tcBorders>
            <w:shd w:val="clear" w:color="auto" w:fill="auto"/>
          </w:tcPr>
          <w:p w:rsidR="00A06215" w:rsidRPr="005C50ED" w:rsidRDefault="00A06215" w:rsidP="00CE4C9D">
            <w:pPr>
              <w:keepNext/>
              <w:keepLines/>
              <w:rPr>
                <w:rFonts w:cs="Arial"/>
                <w:color w:val="002060"/>
                <w:sz w:val="16"/>
                <w:szCs w:val="16"/>
                <w:lang w:bidi="th-TH"/>
              </w:rPr>
            </w:pPr>
            <w:r>
              <w:rPr>
                <w:rFonts w:cs="Arial"/>
                <w:i/>
                <w:color w:val="002060"/>
                <w:sz w:val="16"/>
                <w:szCs w:val="16"/>
              </w:rPr>
              <w:t>Updated Baseline end 2013</w:t>
            </w:r>
            <w:r w:rsidRPr="005C50ED">
              <w:rPr>
                <w:rFonts w:cs="Arial"/>
                <w:i/>
                <w:color w:val="002060"/>
                <w:sz w:val="16"/>
                <w:szCs w:val="16"/>
              </w:rPr>
              <w:t>:</w:t>
            </w:r>
            <w:r w:rsidRPr="005C50ED">
              <w:rPr>
                <w:rFonts w:cs="Arial"/>
                <w:color w:val="002060"/>
                <w:sz w:val="16"/>
                <w:szCs w:val="16"/>
                <w:lang w:bidi="th-TH"/>
              </w:rPr>
              <w:t xml:space="preserve">  </w:t>
            </w:r>
            <w:r>
              <w:rPr>
                <w:rFonts w:cs="Arial"/>
                <w:color w:val="002060"/>
                <w:sz w:val="16"/>
                <w:szCs w:val="16"/>
                <w:lang w:bidi="th-TH"/>
              </w:rPr>
              <w:t>15</w:t>
            </w:r>
            <w:r>
              <w:rPr>
                <w:rStyle w:val="FootnoteReference"/>
                <w:rFonts w:cs="Arial"/>
                <w:color w:val="002060"/>
                <w:sz w:val="16"/>
                <w:szCs w:val="16"/>
                <w:lang w:bidi="th-TH"/>
              </w:rPr>
              <w:footnoteReference w:id="7"/>
            </w:r>
            <w:r>
              <w:rPr>
                <w:rFonts w:cs="Arial"/>
                <w:color w:val="002060"/>
                <w:sz w:val="16"/>
                <w:szCs w:val="16"/>
                <w:lang w:bidi="th-TH"/>
              </w:rPr>
              <w:t xml:space="preserve"> Copyright Offices using GDA (cumulative)</w:t>
            </w:r>
          </w:p>
          <w:p w:rsidR="00A06215" w:rsidRPr="00BE2AF9" w:rsidRDefault="00A06215" w:rsidP="00CE4C9D">
            <w:pPr>
              <w:keepNext/>
              <w:keepLines/>
              <w:rPr>
                <w:rFonts w:cs="Arial"/>
                <w:sz w:val="8"/>
                <w:szCs w:val="8"/>
                <w:lang w:bidi="th-TH"/>
              </w:rPr>
            </w:pPr>
          </w:p>
          <w:p w:rsidR="00A06215" w:rsidRDefault="00A06215" w:rsidP="00CE4C9D">
            <w:pPr>
              <w:keepNext/>
              <w:keepLines/>
              <w:rPr>
                <w:rFonts w:cs="Arial"/>
                <w:i/>
                <w:color w:val="002060"/>
                <w:sz w:val="16"/>
                <w:szCs w:val="16"/>
              </w:rPr>
            </w:pPr>
            <w:r>
              <w:rPr>
                <w:rFonts w:cs="Arial"/>
                <w:i/>
                <w:sz w:val="16"/>
                <w:szCs w:val="16"/>
                <w:lang w:val="pt-BR" w:bidi="th-TH"/>
              </w:rPr>
              <w:t>Original Baseline P&amp;B 2014/15</w:t>
            </w:r>
            <w:r w:rsidRPr="002C4083">
              <w:rPr>
                <w:rFonts w:cs="Arial"/>
                <w:i/>
                <w:sz w:val="16"/>
                <w:szCs w:val="16"/>
                <w:lang w:val="pt-BR" w:bidi="th-TH"/>
              </w:rPr>
              <w:t xml:space="preserve">:  </w:t>
            </w:r>
            <w:r w:rsidRPr="007873A2">
              <w:rPr>
                <w:rFonts w:cs="Arial"/>
                <w:sz w:val="16"/>
                <w:szCs w:val="16"/>
                <w:lang w:val="pt-BR" w:bidi="th-TH"/>
              </w:rPr>
              <w:t>15</w:t>
            </w:r>
          </w:p>
        </w:tc>
        <w:tc>
          <w:tcPr>
            <w:tcW w:w="821" w:type="pct"/>
            <w:gridSpan w:val="2"/>
            <w:tcBorders>
              <w:top w:val="nil"/>
              <w:bottom w:val="nil"/>
            </w:tcBorders>
            <w:shd w:val="clear" w:color="auto" w:fill="auto"/>
            <w:tcMar>
              <w:top w:w="110" w:type="dxa"/>
            </w:tcMar>
          </w:tcPr>
          <w:p w:rsidR="00A06215" w:rsidRPr="00A47302" w:rsidRDefault="00A06215" w:rsidP="00CE4C9D">
            <w:pPr>
              <w:keepNext/>
              <w:keepLines/>
              <w:rPr>
                <w:rFonts w:cs="Arial"/>
                <w:sz w:val="16"/>
                <w:szCs w:val="16"/>
                <w:lang w:bidi="th-TH"/>
              </w:rPr>
            </w:pPr>
            <w:r w:rsidRPr="007873A2">
              <w:rPr>
                <w:rFonts w:cs="Arial"/>
                <w:sz w:val="16"/>
                <w:szCs w:val="16"/>
                <w:lang w:bidi="th-TH"/>
              </w:rPr>
              <w:t>15</w:t>
            </w:r>
          </w:p>
        </w:tc>
        <w:tc>
          <w:tcPr>
            <w:tcW w:w="1194" w:type="pct"/>
            <w:tcBorders>
              <w:top w:val="nil"/>
              <w:bottom w:val="nil"/>
            </w:tcBorders>
            <w:shd w:val="clear" w:color="auto" w:fill="FFFFFF"/>
            <w:tcMar>
              <w:top w:w="110" w:type="dxa"/>
            </w:tcMar>
          </w:tcPr>
          <w:p w:rsidR="00A06215" w:rsidRPr="005C50ED" w:rsidRDefault="00A06215" w:rsidP="00CE4C9D">
            <w:pPr>
              <w:keepNext/>
              <w:keepLines/>
              <w:rPr>
                <w:rFonts w:cs="Arial"/>
                <w:color w:val="002060"/>
                <w:sz w:val="16"/>
                <w:szCs w:val="16"/>
                <w:lang w:bidi="th-TH"/>
              </w:rPr>
            </w:pPr>
            <w:r w:rsidRPr="007873A2">
              <w:rPr>
                <w:rFonts w:cs="Arial"/>
                <w:sz w:val="16"/>
                <w:szCs w:val="16"/>
                <w:lang w:bidi="th-TH"/>
              </w:rPr>
              <w:t>16</w:t>
            </w:r>
            <w:r>
              <w:rPr>
                <w:rFonts w:cs="Arial"/>
                <w:sz w:val="16"/>
                <w:szCs w:val="16"/>
                <w:lang w:bidi="th-TH"/>
              </w:rPr>
              <w:t xml:space="preserve"> </w:t>
            </w:r>
            <w:r w:rsidRPr="00845557">
              <w:rPr>
                <w:rFonts w:cs="Arial"/>
                <w:sz w:val="16"/>
                <w:szCs w:val="16"/>
                <w:lang w:bidi="th-TH"/>
              </w:rPr>
              <w:t>Copyright Offices using GDA (cumulative)</w:t>
            </w:r>
          </w:p>
          <w:p w:rsidR="00A06215" w:rsidRDefault="00A06215" w:rsidP="00CE4C9D">
            <w:pPr>
              <w:keepNext/>
              <w:keepLines/>
              <w:rPr>
                <w:rFonts w:cs="Arial"/>
                <w:sz w:val="16"/>
                <w:szCs w:val="16"/>
                <w:lang w:bidi="th-TH"/>
              </w:rPr>
            </w:pPr>
          </w:p>
          <w:p w:rsidR="00A06215" w:rsidRPr="00A47302" w:rsidRDefault="00A06215" w:rsidP="00CE4C9D">
            <w:pPr>
              <w:keepNext/>
              <w:keepLines/>
              <w:rPr>
                <w:rFonts w:cs="Arial"/>
                <w:sz w:val="16"/>
                <w:szCs w:val="16"/>
                <w:lang w:bidi="th-TH"/>
              </w:rPr>
            </w:pPr>
            <w:r>
              <w:rPr>
                <w:rFonts w:cs="Arial"/>
                <w:sz w:val="16"/>
                <w:szCs w:val="16"/>
                <w:lang w:bidi="th-TH"/>
              </w:rPr>
              <w:t xml:space="preserve">WIPO’s support of the GDA system is expected to be phased out by the end of 2015.  </w:t>
            </w:r>
          </w:p>
        </w:tc>
        <w:tc>
          <w:tcPr>
            <w:tcW w:w="521" w:type="pct"/>
            <w:tcBorders>
              <w:top w:val="nil"/>
              <w:bottom w:val="nil"/>
              <w:right w:val="single" w:sz="4" w:space="0" w:color="auto"/>
            </w:tcBorders>
            <w:shd w:val="clear" w:color="auto" w:fill="auto"/>
          </w:tcPr>
          <w:p w:rsidR="00A06215" w:rsidRPr="0062421A" w:rsidRDefault="00A06215" w:rsidP="00CE4C9D">
            <w:pPr>
              <w:keepNext/>
              <w:keepLines/>
              <w:jc w:val="center"/>
              <w:rPr>
                <w:rFonts w:cs="Arial"/>
                <w:b/>
                <w:bCs/>
                <w:color w:val="00B050"/>
                <w:sz w:val="16"/>
                <w:szCs w:val="16"/>
              </w:rPr>
            </w:pPr>
            <w:r w:rsidRPr="0062421A">
              <w:rPr>
                <w:rFonts w:cs="Arial"/>
                <w:b/>
                <w:bCs/>
                <w:color w:val="00B050"/>
                <w:sz w:val="16"/>
                <w:szCs w:val="16"/>
              </w:rPr>
              <w:t>On track</w:t>
            </w:r>
          </w:p>
        </w:tc>
      </w:tr>
      <w:tr w:rsidR="00A06215" w:rsidRPr="005C50ED" w:rsidTr="00A06215">
        <w:tc>
          <w:tcPr>
            <w:tcW w:w="1195" w:type="pct"/>
            <w:tcBorders>
              <w:top w:val="nil"/>
              <w:left w:val="single" w:sz="4" w:space="0" w:color="auto"/>
              <w:bottom w:val="nil"/>
            </w:tcBorders>
            <w:shd w:val="clear" w:color="auto" w:fill="auto"/>
          </w:tcPr>
          <w:p w:rsidR="00A06215" w:rsidRPr="007873A2" w:rsidRDefault="00A06215" w:rsidP="00CE4C9D">
            <w:pPr>
              <w:keepNext/>
              <w:keepLines/>
              <w:rPr>
                <w:rFonts w:cs="Arial"/>
                <w:color w:val="000000"/>
                <w:sz w:val="16"/>
                <w:szCs w:val="16"/>
                <w:lang w:bidi="th-TH"/>
              </w:rPr>
            </w:pPr>
            <w:r w:rsidRPr="007873A2">
              <w:rPr>
                <w:rFonts w:cs="Arial"/>
                <w:color w:val="000000"/>
                <w:sz w:val="16"/>
                <w:szCs w:val="16"/>
                <w:lang w:bidi="th-TH"/>
              </w:rPr>
              <w:t>Use of the WIPO Collective Management Reference Database</w:t>
            </w:r>
          </w:p>
        </w:tc>
        <w:tc>
          <w:tcPr>
            <w:tcW w:w="1268" w:type="pct"/>
            <w:tcBorders>
              <w:top w:val="nil"/>
              <w:bottom w:val="nil"/>
            </w:tcBorders>
            <w:shd w:val="clear" w:color="auto" w:fill="auto"/>
          </w:tcPr>
          <w:p w:rsidR="00A06215" w:rsidRDefault="0075729A" w:rsidP="00CE4C9D">
            <w:pPr>
              <w:keepNext/>
              <w:keepLines/>
              <w:rPr>
                <w:rFonts w:cs="Arial"/>
                <w:i/>
                <w:color w:val="002060"/>
                <w:sz w:val="16"/>
                <w:szCs w:val="16"/>
              </w:rPr>
            </w:pPr>
            <w:r>
              <w:rPr>
                <w:rFonts w:cs="Arial"/>
                <w:sz w:val="16"/>
                <w:szCs w:val="16"/>
                <w:lang w:val="pt-BR" w:bidi="th-TH"/>
              </w:rPr>
              <w:t>Data not available</w:t>
            </w:r>
          </w:p>
        </w:tc>
        <w:tc>
          <w:tcPr>
            <w:tcW w:w="821" w:type="pct"/>
            <w:gridSpan w:val="2"/>
            <w:tcBorders>
              <w:top w:val="nil"/>
              <w:bottom w:val="nil"/>
            </w:tcBorders>
            <w:shd w:val="clear" w:color="auto" w:fill="auto"/>
            <w:tcMar>
              <w:top w:w="110" w:type="dxa"/>
            </w:tcMar>
          </w:tcPr>
          <w:p w:rsidR="00A06215" w:rsidRPr="007873A2" w:rsidRDefault="00A06215" w:rsidP="00CE4C9D">
            <w:pPr>
              <w:keepNext/>
              <w:keepLines/>
              <w:rPr>
                <w:rFonts w:cs="Arial"/>
                <w:sz w:val="16"/>
                <w:szCs w:val="16"/>
                <w:lang w:bidi="th-TH"/>
              </w:rPr>
            </w:pPr>
            <w:r w:rsidRPr="007873A2">
              <w:rPr>
                <w:rFonts w:cs="Arial"/>
                <w:sz w:val="16"/>
                <w:szCs w:val="16"/>
                <w:lang w:bidi="th-TH"/>
              </w:rPr>
              <w:t>100 users</w:t>
            </w:r>
          </w:p>
        </w:tc>
        <w:tc>
          <w:tcPr>
            <w:tcW w:w="1194" w:type="pct"/>
            <w:tcBorders>
              <w:top w:val="nil"/>
              <w:bottom w:val="nil"/>
            </w:tcBorders>
            <w:shd w:val="clear" w:color="auto" w:fill="FFFFFF"/>
            <w:tcMar>
              <w:top w:w="110" w:type="dxa"/>
            </w:tcMar>
          </w:tcPr>
          <w:p w:rsidR="00A06215" w:rsidRPr="007873A2" w:rsidRDefault="00A06215" w:rsidP="00CE4C9D">
            <w:pPr>
              <w:keepNext/>
              <w:keepLines/>
              <w:rPr>
                <w:rFonts w:cs="Arial"/>
                <w:sz w:val="16"/>
                <w:szCs w:val="16"/>
                <w:lang w:bidi="th-TH"/>
              </w:rPr>
            </w:pPr>
            <w:r w:rsidRPr="007873A2">
              <w:rPr>
                <w:rFonts w:cs="Arial"/>
                <w:sz w:val="16"/>
                <w:szCs w:val="16"/>
                <w:lang w:bidi="th-TH"/>
              </w:rPr>
              <w:t>1,600</w:t>
            </w:r>
            <w:r>
              <w:rPr>
                <w:rFonts w:cs="Arial"/>
                <w:sz w:val="16"/>
                <w:szCs w:val="16"/>
                <w:lang w:bidi="th-TH"/>
              </w:rPr>
              <w:t xml:space="preserve"> users</w:t>
            </w:r>
          </w:p>
        </w:tc>
        <w:tc>
          <w:tcPr>
            <w:tcW w:w="521" w:type="pct"/>
            <w:tcBorders>
              <w:top w:val="nil"/>
              <w:bottom w:val="nil"/>
              <w:right w:val="single" w:sz="4" w:space="0" w:color="auto"/>
            </w:tcBorders>
            <w:shd w:val="clear" w:color="auto" w:fill="auto"/>
          </w:tcPr>
          <w:p w:rsidR="00A06215" w:rsidRPr="0062421A" w:rsidRDefault="00A06215" w:rsidP="00CE4C9D">
            <w:pPr>
              <w:keepNext/>
              <w:keepLines/>
              <w:jc w:val="center"/>
              <w:rPr>
                <w:rFonts w:cs="Arial"/>
                <w:b/>
                <w:bCs/>
                <w:color w:val="00B050"/>
                <w:sz w:val="16"/>
                <w:szCs w:val="16"/>
              </w:rPr>
            </w:pPr>
            <w:r w:rsidRPr="0062421A">
              <w:rPr>
                <w:rFonts w:cs="Arial"/>
                <w:b/>
                <w:bCs/>
                <w:color w:val="00B050"/>
                <w:sz w:val="16"/>
                <w:szCs w:val="16"/>
              </w:rPr>
              <w:t>On track</w:t>
            </w:r>
          </w:p>
        </w:tc>
      </w:tr>
      <w:tr w:rsidR="00A06215" w:rsidRPr="005C50ED" w:rsidTr="00A06215">
        <w:tc>
          <w:tcPr>
            <w:tcW w:w="1195" w:type="pct"/>
            <w:tcBorders>
              <w:top w:val="nil"/>
              <w:left w:val="single" w:sz="4" w:space="0" w:color="auto"/>
              <w:bottom w:val="single" w:sz="4" w:space="0" w:color="auto"/>
            </w:tcBorders>
            <w:shd w:val="clear" w:color="auto" w:fill="auto"/>
          </w:tcPr>
          <w:p w:rsidR="00A06215" w:rsidRPr="007727C2" w:rsidRDefault="00A06215" w:rsidP="00CE4C9D">
            <w:pPr>
              <w:keepNext/>
              <w:keepLines/>
              <w:rPr>
                <w:rFonts w:cs="Arial"/>
                <w:color w:val="000000"/>
                <w:sz w:val="16"/>
                <w:szCs w:val="16"/>
                <w:lang w:bidi="th-TH"/>
              </w:rPr>
            </w:pPr>
            <w:r w:rsidRPr="0067453C">
              <w:rPr>
                <w:rFonts w:cs="Arial"/>
                <w:color w:val="000000"/>
                <w:sz w:val="16"/>
                <w:szCs w:val="16"/>
                <w:lang w:bidi="th-TH"/>
              </w:rPr>
              <w:t>No. of legal instruments, guidelines, statements of principles other than Treaties agreed to or endorsed by the stakeholders concerned in areas such as IP and Sports and Copyright in the Digital Environment</w:t>
            </w:r>
          </w:p>
        </w:tc>
        <w:tc>
          <w:tcPr>
            <w:tcW w:w="1268" w:type="pct"/>
            <w:tcBorders>
              <w:top w:val="nil"/>
              <w:bottom w:val="single" w:sz="4" w:space="0" w:color="auto"/>
            </w:tcBorders>
            <w:shd w:val="clear" w:color="auto" w:fill="auto"/>
          </w:tcPr>
          <w:p w:rsidR="00A06215" w:rsidRPr="003B065A" w:rsidRDefault="00A06215" w:rsidP="00CE4C9D">
            <w:pPr>
              <w:keepNext/>
              <w:keepLines/>
              <w:rPr>
                <w:rFonts w:cs="Arial"/>
                <w:color w:val="002060"/>
                <w:sz w:val="16"/>
                <w:szCs w:val="16"/>
                <w:lang w:bidi="th-TH"/>
              </w:rPr>
            </w:pPr>
            <w:r w:rsidRPr="007727C2">
              <w:rPr>
                <w:rFonts w:cs="Arial"/>
                <w:i/>
                <w:color w:val="002060"/>
                <w:sz w:val="16"/>
                <w:szCs w:val="16"/>
              </w:rPr>
              <w:t>Updated Baseline end 2013</w:t>
            </w:r>
            <w:r w:rsidRPr="003B065A">
              <w:rPr>
                <w:rFonts w:cs="Arial"/>
                <w:i/>
                <w:color w:val="002060"/>
                <w:sz w:val="16"/>
                <w:szCs w:val="16"/>
              </w:rPr>
              <w:t>:</w:t>
            </w:r>
            <w:r w:rsidRPr="003B065A">
              <w:rPr>
                <w:rFonts w:cs="Arial"/>
                <w:color w:val="002060"/>
                <w:sz w:val="16"/>
                <w:szCs w:val="16"/>
                <w:lang w:bidi="th-TH"/>
              </w:rPr>
              <w:t xml:space="preserve">  </w:t>
            </w:r>
          </w:p>
          <w:p w:rsidR="00A06215" w:rsidRPr="00DC1E3D" w:rsidRDefault="00A06215" w:rsidP="00CE4C9D">
            <w:pPr>
              <w:keepNext/>
              <w:keepLines/>
              <w:rPr>
                <w:rFonts w:cs="Arial"/>
                <w:sz w:val="8"/>
                <w:szCs w:val="8"/>
                <w:lang w:bidi="th-TH"/>
              </w:rPr>
            </w:pPr>
          </w:p>
          <w:p w:rsidR="00A06215" w:rsidRPr="001641D2" w:rsidRDefault="00A06215" w:rsidP="00CE4C9D">
            <w:pPr>
              <w:keepNext/>
              <w:keepLines/>
              <w:rPr>
                <w:rFonts w:cs="Arial"/>
                <w:i/>
                <w:color w:val="002060"/>
                <w:sz w:val="16"/>
                <w:szCs w:val="16"/>
              </w:rPr>
            </w:pPr>
            <w:r w:rsidRPr="00845557">
              <w:rPr>
                <w:rFonts w:cs="Arial"/>
                <w:i/>
                <w:sz w:val="16"/>
                <w:szCs w:val="16"/>
                <w:lang w:bidi="th-TH"/>
              </w:rPr>
              <w:t xml:space="preserve">Original Baseline P&amp;B 2014/15:  </w:t>
            </w:r>
            <w:r w:rsidRPr="00845557">
              <w:rPr>
                <w:rFonts w:cs="Arial"/>
                <w:sz w:val="16"/>
                <w:szCs w:val="16"/>
                <w:lang w:bidi="th-TH"/>
              </w:rPr>
              <w:t>One (WIPO Review of Contractual Considerations in the Audiovisual Sector)</w:t>
            </w:r>
          </w:p>
        </w:tc>
        <w:tc>
          <w:tcPr>
            <w:tcW w:w="821" w:type="pct"/>
            <w:gridSpan w:val="2"/>
            <w:tcBorders>
              <w:top w:val="nil"/>
              <w:bottom w:val="single" w:sz="4" w:space="0" w:color="auto"/>
            </w:tcBorders>
            <w:shd w:val="clear" w:color="auto" w:fill="auto"/>
            <w:tcMar>
              <w:top w:w="110" w:type="dxa"/>
            </w:tcMar>
          </w:tcPr>
          <w:p w:rsidR="00A06215" w:rsidRPr="001641D2" w:rsidRDefault="00A06215" w:rsidP="00CE4C9D">
            <w:pPr>
              <w:keepNext/>
              <w:keepLines/>
              <w:rPr>
                <w:rFonts w:cs="Arial"/>
                <w:sz w:val="16"/>
                <w:szCs w:val="16"/>
                <w:lang w:bidi="th-TH"/>
              </w:rPr>
            </w:pPr>
            <w:r w:rsidRPr="001641D2">
              <w:rPr>
                <w:rFonts w:cs="Arial"/>
                <w:sz w:val="16"/>
                <w:szCs w:val="16"/>
                <w:lang w:bidi="th-TH"/>
              </w:rPr>
              <w:t>1</w:t>
            </w:r>
          </w:p>
        </w:tc>
        <w:tc>
          <w:tcPr>
            <w:tcW w:w="1194" w:type="pct"/>
            <w:tcBorders>
              <w:top w:val="nil"/>
              <w:bottom w:val="single" w:sz="4" w:space="0" w:color="auto"/>
            </w:tcBorders>
            <w:shd w:val="clear" w:color="auto" w:fill="FFFFFF"/>
            <w:tcMar>
              <w:top w:w="110" w:type="dxa"/>
            </w:tcMar>
          </w:tcPr>
          <w:p w:rsidR="00A06215" w:rsidRPr="0067453C" w:rsidRDefault="00A06215" w:rsidP="00CE4C9D">
            <w:pPr>
              <w:keepNext/>
              <w:keepLines/>
              <w:rPr>
                <w:rFonts w:cs="Arial"/>
                <w:sz w:val="16"/>
                <w:szCs w:val="16"/>
                <w:lang w:bidi="th-TH"/>
              </w:rPr>
            </w:pPr>
            <w:r w:rsidRPr="001641D2">
              <w:rPr>
                <w:rFonts w:cs="Arial"/>
                <w:sz w:val="16"/>
                <w:szCs w:val="16"/>
                <w:lang w:bidi="th-TH"/>
              </w:rPr>
              <w:t xml:space="preserve">The WIPO Draft </w:t>
            </w:r>
            <w:r w:rsidRPr="00306D43">
              <w:rPr>
                <w:rFonts w:cs="Arial"/>
                <w:sz w:val="16"/>
                <w:szCs w:val="16"/>
                <w:lang w:bidi="th-TH"/>
              </w:rPr>
              <w:t>Guidelines on Assessing the Economic, Social and Cultural Impact of Copyright on the Economy</w:t>
            </w:r>
            <w:r w:rsidRPr="0067453C">
              <w:rPr>
                <w:rFonts w:cs="Arial"/>
                <w:sz w:val="16"/>
                <w:szCs w:val="16"/>
                <w:lang w:bidi="th-TH"/>
              </w:rPr>
              <w:t xml:space="preserve"> (ESCIA Guidelines) were finalized in 2014</w:t>
            </w:r>
            <w:r>
              <w:rPr>
                <w:rFonts w:cs="Arial"/>
                <w:sz w:val="16"/>
                <w:szCs w:val="16"/>
                <w:lang w:bidi="th-TH"/>
              </w:rPr>
              <w:t xml:space="preserve"> and entered into a pilot phase of implementation.</w:t>
            </w:r>
          </w:p>
        </w:tc>
        <w:tc>
          <w:tcPr>
            <w:tcW w:w="521" w:type="pct"/>
            <w:tcBorders>
              <w:top w:val="nil"/>
              <w:bottom w:val="single" w:sz="4" w:space="0" w:color="auto"/>
              <w:right w:val="single" w:sz="4" w:space="0" w:color="auto"/>
            </w:tcBorders>
            <w:shd w:val="clear" w:color="auto" w:fill="auto"/>
          </w:tcPr>
          <w:p w:rsidR="00A06215" w:rsidRPr="007727C2" w:rsidRDefault="00A06215" w:rsidP="00CE4C9D">
            <w:pPr>
              <w:keepNext/>
              <w:keepLines/>
              <w:jc w:val="center"/>
              <w:rPr>
                <w:rFonts w:cs="Arial"/>
                <w:b/>
                <w:bCs/>
                <w:color w:val="00B050"/>
                <w:sz w:val="16"/>
                <w:szCs w:val="16"/>
              </w:rPr>
            </w:pPr>
            <w:r w:rsidRPr="007727C2">
              <w:rPr>
                <w:rFonts w:cs="Arial"/>
                <w:b/>
                <w:bCs/>
                <w:color w:val="00B050"/>
                <w:sz w:val="16"/>
                <w:szCs w:val="16"/>
              </w:rPr>
              <w:t>On track</w:t>
            </w:r>
          </w:p>
        </w:tc>
      </w:tr>
      <w:tr w:rsidR="00A06215" w:rsidRPr="005C50ED" w:rsidTr="00A06215">
        <w:trPr>
          <w:trHeight w:val="581"/>
        </w:trPr>
        <w:tc>
          <w:tcPr>
            <w:tcW w:w="5000" w:type="pct"/>
            <w:gridSpan w:val="6"/>
            <w:tcBorders>
              <w:top w:val="single" w:sz="4" w:space="0" w:color="auto"/>
              <w:bottom w:val="single" w:sz="4" w:space="0" w:color="auto"/>
            </w:tcBorders>
            <w:shd w:val="clear" w:color="auto" w:fill="CCFFFF"/>
            <w:vAlign w:val="center"/>
          </w:tcPr>
          <w:p w:rsidR="00A06215" w:rsidRPr="005C50ED" w:rsidRDefault="00A06215" w:rsidP="00CE4C9D">
            <w:pPr>
              <w:tabs>
                <w:tab w:val="left" w:pos="1452"/>
              </w:tabs>
              <w:ind w:left="1452" w:hanging="1452"/>
              <w:rPr>
                <w:rFonts w:cs="Arial"/>
                <w:b/>
                <w:bCs/>
                <w:sz w:val="16"/>
                <w:szCs w:val="16"/>
              </w:rPr>
            </w:pPr>
            <w:r w:rsidRPr="005C50ED">
              <w:rPr>
                <w:rFonts w:cs="Arial"/>
                <w:b/>
                <w:bCs/>
                <w:sz w:val="16"/>
                <w:szCs w:val="16"/>
              </w:rPr>
              <w:t>Expected Result:</w:t>
            </w:r>
            <w:r w:rsidRPr="005C50ED">
              <w:rPr>
                <w:rFonts w:cs="Arial"/>
                <w:b/>
                <w:bCs/>
                <w:sz w:val="16"/>
                <w:szCs w:val="16"/>
              </w:rPr>
              <w:tab/>
            </w:r>
            <w:r w:rsidRPr="007873A2">
              <w:rPr>
                <w:rFonts w:cs="Arial"/>
                <w:sz w:val="16"/>
                <w:szCs w:val="16"/>
                <w:lang w:bidi="th-TH"/>
              </w:rPr>
              <w:t>IV.4 Enhanced technical and knowledge infrastructure for IP Offices and other IP institutions leading to better services (cheaper, faster, higher quality) to their stakeholders</w:t>
            </w:r>
          </w:p>
        </w:tc>
      </w:tr>
      <w:tr w:rsidR="00A06215" w:rsidRPr="005C50ED" w:rsidTr="00A06215">
        <w:tc>
          <w:tcPr>
            <w:tcW w:w="1195" w:type="pct"/>
            <w:tcBorders>
              <w:top w:val="single" w:sz="4" w:space="0" w:color="auto"/>
            </w:tcBorders>
            <w:shd w:val="clear" w:color="auto" w:fill="auto"/>
            <w:vAlign w:val="center"/>
          </w:tcPr>
          <w:p w:rsidR="00A06215" w:rsidRPr="005C50ED" w:rsidRDefault="00A06215" w:rsidP="00CE4C9D">
            <w:pPr>
              <w:rPr>
                <w:rFonts w:cs="Arial"/>
                <w:sz w:val="16"/>
                <w:szCs w:val="16"/>
              </w:rPr>
            </w:pPr>
            <w:r w:rsidRPr="005C50ED">
              <w:rPr>
                <w:rFonts w:cs="Arial"/>
                <w:b/>
                <w:bCs/>
                <w:sz w:val="16"/>
                <w:szCs w:val="16"/>
              </w:rPr>
              <w:t>Performance Indicators</w:t>
            </w:r>
          </w:p>
        </w:tc>
        <w:tc>
          <w:tcPr>
            <w:tcW w:w="1268" w:type="pct"/>
            <w:tcBorders>
              <w:top w:val="single" w:sz="4" w:space="0" w:color="auto"/>
            </w:tcBorders>
            <w:shd w:val="clear" w:color="auto" w:fill="auto"/>
            <w:vAlign w:val="center"/>
          </w:tcPr>
          <w:p w:rsidR="00A06215" w:rsidRPr="005C50ED" w:rsidRDefault="00A06215" w:rsidP="00CE4C9D">
            <w:pPr>
              <w:rPr>
                <w:rFonts w:cs="Arial"/>
                <w:b/>
                <w:bCs/>
                <w:sz w:val="16"/>
                <w:szCs w:val="16"/>
              </w:rPr>
            </w:pPr>
            <w:r w:rsidRPr="005C50ED">
              <w:rPr>
                <w:rFonts w:cs="Arial"/>
                <w:b/>
                <w:bCs/>
                <w:sz w:val="16"/>
                <w:szCs w:val="16"/>
              </w:rPr>
              <w:t>Baselines</w:t>
            </w:r>
          </w:p>
        </w:tc>
        <w:tc>
          <w:tcPr>
            <w:tcW w:w="821" w:type="pct"/>
            <w:gridSpan w:val="2"/>
            <w:tcBorders>
              <w:top w:val="single" w:sz="4" w:space="0" w:color="auto"/>
            </w:tcBorders>
            <w:shd w:val="clear" w:color="auto" w:fill="auto"/>
            <w:tcMar>
              <w:top w:w="110" w:type="dxa"/>
            </w:tcMar>
            <w:vAlign w:val="center"/>
          </w:tcPr>
          <w:p w:rsidR="00A06215" w:rsidRPr="005C50ED" w:rsidRDefault="00A06215" w:rsidP="00CE4C9D">
            <w:pPr>
              <w:rPr>
                <w:rFonts w:cs="Arial"/>
                <w:b/>
                <w:sz w:val="16"/>
                <w:szCs w:val="16"/>
              </w:rPr>
            </w:pPr>
            <w:r w:rsidRPr="005C50ED">
              <w:rPr>
                <w:rFonts w:cs="Arial"/>
                <w:b/>
                <w:sz w:val="16"/>
                <w:szCs w:val="16"/>
              </w:rPr>
              <w:t>Targets</w:t>
            </w:r>
          </w:p>
        </w:tc>
        <w:tc>
          <w:tcPr>
            <w:tcW w:w="1194" w:type="pct"/>
            <w:tcBorders>
              <w:top w:val="single" w:sz="4" w:space="0" w:color="auto"/>
            </w:tcBorders>
            <w:shd w:val="clear" w:color="auto" w:fill="FFFFFF"/>
            <w:tcMar>
              <w:top w:w="110" w:type="dxa"/>
            </w:tcMar>
            <w:vAlign w:val="center"/>
          </w:tcPr>
          <w:p w:rsidR="00A06215" w:rsidRPr="005C50ED" w:rsidRDefault="00A06215" w:rsidP="00CE4C9D">
            <w:pPr>
              <w:rPr>
                <w:rFonts w:cs="Arial"/>
                <w:sz w:val="16"/>
                <w:szCs w:val="16"/>
              </w:rPr>
            </w:pPr>
            <w:r w:rsidRPr="005C50ED">
              <w:rPr>
                <w:rFonts w:cs="Arial"/>
                <w:b/>
                <w:bCs/>
                <w:sz w:val="16"/>
                <w:szCs w:val="16"/>
              </w:rPr>
              <w:t>Performance Data</w:t>
            </w:r>
          </w:p>
        </w:tc>
        <w:tc>
          <w:tcPr>
            <w:tcW w:w="521" w:type="pct"/>
            <w:tcBorders>
              <w:top w:val="single" w:sz="4" w:space="0" w:color="auto"/>
            </w:tcBorders>
            <w:shd w:val="clear" w:color="auto" w:fill="auto"/>
            <w:tcMar>
              <w:top w:w="110" w:type="dxa"/>
            </w:tcMar>
            <w:vAlign w:val="center"/>
          </w:tcPr>
          <w:p w:rsidR="00A06215" w:rsidRPr="005C50ED" w:rsidRDefault="00A06215" w:rsidP="00CE4C9D">
            <w:pPr>
              <w:keepNext/>
              <w:keepLines/>
              <w:jc w:val="center"/>
              <w:rPr>
                <w:rFonts w:cs="Arial"/>
                <w:b/>
                <w:bCs/>
                <w:sz w:val="16"/>
                <w:szCs w:val="16"/>
              </w:rPr>
            </w:pPr>
            <w:r w:rsidRPr="005C50ED">
              <w:rPr>
                <w:rFonts w:cs="Arial"/>
                <w:b/>
                <w:bCs/>
                <w:sz w:val="16"/>
                <w:szCs w:val="16"/>
              </w:rPr>
              <w:t>TLS</w:t>
            </w:r>
          </w:p>
        </w:tc>
      </w:tr>
      <w:tr w:rsidR="00A06215" w:rsidRPr="005C50ED" w:rsidTr="00A06215">
        <w:tc>
          <w:tcPr>
            <w:tcW w:w="1195" w:type="pct"/>
            <w:shd w:val="clear" w:color="auto" w:fill="auto"/>
          </w:tcPr>
          <w:p w:rsidR="00A06215" w:rsidRPr="0067453C" w:rsidRDefault="00A06215" w:rsidP="00CE4C9D">
            <w:pPr>
              <w:rPr>
                <w:rFonts w:cs="Arial"/>
                <w:sz w:val="16"/>
                <w:szCs w:val="16"/>
                <w:lang w:bidi="th-TH"/>
              </w:rPr>
            </w:pPr>
            <w:r w:rsidRPr="0067453C">
              <w:rPr>
                <w:rFonts w:cs="Arial"/>
                <w:sz w:val="16"/>
                <w:szCs w:val="16"/>
                <w:lang w:bidi="th-TH"/>
              </w:rPr>
              <w:t>No. of governments and CMOs signing an agreement with WIPO to re-engineer WIPOCOS</w:t>
            </w:r>
          </w:p>
        </w:tc>
        <w:tc>
          <w:tcPr>
            <w:tcW w:w="1268" w:type="pct"/>
            <w:shd w:val="clear" w:color="auto" w:fill="auto"/>
          </w:tcPr>
          <w:p w:rsidR="00A06215" w:rsidRPr="003B065A" w:rsidRDefault="00A06215" w:rsidP="00CE4C9D">
            <w:pPr>
              <w:rPr>
                <w:rFonts w:cs="Arial"/>
                <w:sz w:val="16"/>
                <w:szCs w:val="16"/>
                <w:lang w:bidi="th-TH"/>
              </w:rPr>
            </w:pPr>
            <w:r w:rsidRPr="003B065A">
              <w:rPr>
                <w:rFonts w:cs="Arial"/>
                <w:sz w:val="16"/>
                <w:szCs w:val="16"/>
                <w:lang w:val="pt-BR" w:bidi="th-TH"/>
              </w:rPr>
              <w:t>Not yet started</w:t>
            </w:r>
          </w:p>
        </w:tc>
        <w:tc>
          <w:tcPr>
            <w:tcW w:w="821" w:type="pct"/>
            <w:gridSpan w:val="2"/>
            <w:shd w:val="clear" w:color="auto" w:fill="auto"/>
            <w:tcMar>
              <w:top w:w="110" w:type="dxa"/>
            </w:tcMar>
          </w:tcPr>
          <w:p w:rsidR="00A06215" w:rsidRPr="00DC1E3D" w:rsidRDefault="00A06215" w:rsidP="00CE4C9D">
            <w:pPr>
              <w:pStyle w:val="Default"/>
              <w:rPr>
                <w:color w:val="auto"/>
                <w:sz w:val="16"/>
                <w:szCs w:val="16"/>
                <w:lang w:bidi="th-TH"/>
              </w:rPr>
            </w:pPr>
            <w:r w:rsidRPr="00DC1E3D">
              <w:rPr>
                <w:rFonts w:eastAsia="Times New Roman"/>
                <w:color w:val="auto"/>
                <w:sz w:val="16"/>
                <w:szCs w:val="16"/>
                <w:lang w:eastAsia="en-US"/>
              </w:rPr>
              <w:t>Four governments and Five NGOs</w:t>
            </w:r>
          </w:p>
        </w:tc>
        <w:tc>
          <w:tcPr>
            <w:tcW w:w="1194" w:type="pct"/>
            <w:shd w:val="clear" w:color="auto" w:fill="FFFFFF"/>
            <w:tcMar>
              <w:top w:w="110" w:type="dxa"/>
            </w:tcMar>
          </w:tcPr>
          <w:p w:rsidR="00A06215" w:rsidRPr="0067453C" w:rsidRDefault="00A06215" w:rsidP="00CE4C9D">
            <w:pPr>
              <w:rPr>
                <w:rFonts w:cs="Arial"/>
                <w:sz w:val="16"/>
                <w:szCs w:val="16"/>
                <w:lang w:bidi="th-TH"/>
              </w:rPr>
            </w:pPr>
            <w:r w:rsidRPr="00DC1E3D">
              <w:rPr>
                <w:rFonts w:cs="Arial"/>
                <w:sz w:val="16"/>
                <w:szCs w:val="16"/>
                <w:lang w:bidi="th-TH"/>
              </w:rPr>
              <w:t xml:space="preserve">7 </w:t>
            </w:r>
            <w:r w:rsidRPr="0067453C">
              <w:rPr>
                <w:rFonts w:cs="Arial"/>
                <w:sz w:val="16"/>
                <w:szCs w:val="16"/>
                <w:lang w:bidi="th-TH"/>
              </w:rPr>
              <w:t>governments</w:t>
            </w:r>
            <w:r>
              <w:rPr>
                <w:rFonts w:cs="Arial"/>
                <w:sz w:val="16"/>
                <w:szCs w:val="16"/>
                <w:lang w:bidi="th-TH"/>
              </w:rPr>
              <w:t xml:space="preserve"> (Chad, Democratic </w:t>
            </w:r>
            <w:r w:rsidRPr="0067453C">
              <w:rPr>
                <w:rFonts w:cs="Arial"/>
                <w:sz w:val="16"/>
                <w:szCs w:val="16"/>
                <w:lang w:bidi="th-TH"/>
              </w:rPr>
              <w:t>Republic of the Congo</w:t>
            </w:r>
            <w:r>
              <w:rPr>
                <w:rFonts w:cs="Arial"/>
                <w:sz w:val="16"/>
                <w:szCs w:val="16"/>
                <w:lang w:bidi="th-TH"/>
              </w:rPr>
              <w:t xml:space="preserve">, </w:t>
            </w:r>
            <w:r w:rsidRPr="0067453C">
              <w:rPr>
                <w:rFonts w:cs="Arial"/>
                <w:sz w:val="16"/>
                <w:szCs w:val="16"/>
                <w:lang w:bidi="th-TH"/>
              </w:rPr>
              <w:t>Malaysia</w:t>
            </w:r>
            <w:r>
              <w:rPr>
                <w:rFonts w:cs="Arial"/>
                <w:sz w:val="16"/>
                <w:szCs w:val="16"/>
                <w:lang w:bidi="th-TH"/>
              </w:rPr>
              <w:t xml:space="preserve">, </w:t>
            </w:r>
            <w:r w:rsidRPr="0067453C">
              <w:rPr>
                <w:rFonts w:cs="Arial"/>
                <w:sz w:val="16"/>
                <w:szCs w:val="16"/>
                <w:lang w:bidi="th-TH"/>
              </w:rPr>
              <w:t>Mali</w:t>
            </w:r>
            <w:r>
              <w:rPr>
                <w:rFonts w:cs="Arial"/>
                <w:sz w:val="16"/>
                <w:szCs w:val="16"/>
                <w:lang w:bidi="th-TH"/>
              </w:rPr>
              <w:t xml:space="preserve">, </w:t>
            </w:r>
            <w:r w:rsidRPr="0067453C">
              <w:rPr>
                <w:rFonts w:cs="Arial"/>
                <w:sz w:val="16"/>
                <w:szCs w:val="16"/>
                <w:lang w:bidi="th-TH"/>
              </w:rPr>
              <w:t>Nepal</w:t>
            </w:r>
            <w:r>
              <w:rPr>
                <w:rFonts w:cs="Arial"/>
                <w:sz w:val="16"/>
                <w:szCs w:val="16"/>
                <w:lang w:bidi="th-TH"/>
              </w:rPr>
              <w:t xml:space="preserve">, </w:t>
            </w:r>
            <w:r w:rsidRPr="0067453C">
              <w:rPr>
                <w:rFonts w:cs="Arial"/>
                <w:sz w:val="16"/>
                <w:szCs w:val="16"/>
                <w:lang w:bidi="th-TH"/>
              </w:rPr>
              <w:t>Philippines</w:t>
            </w:r>
            <w:r>
              <w:rPr>
                <w:rFonts w:cs="Arial"/>
                <w:sz w:val="16"/>
                <w:szCs w:val="16"/>
                <w:lang w:bidi="th-TH"/>
              </w:rPr>
              <w:t xml:space="preserve">, </w:t>
            </w:r>
            <w:r w:rsidRPr="0067453C">
              <w:rPr>
                <w:rFonts w:cs="Arial"/>
                <w:sz w:val="16"/>
                <w:szCs w:val="16"/>
                <w:lang w:bidi="th-TH"/>
              </w:rPr>
              <w:t>Uganda</w:t>
            </w:r>
            <w:r>
              <w:rPr>
                <w:rFonts w:cs="Arial"/>
                <w:sz w:val="16"/>
                <w:szCs w:val="16"/>
                <w:lang w:bidi="th-TH"/>
              </w:rPr>
              <w:t>) and</w:t>
            </w:r>
            <w:r w:rsidRPr="0067453C">
              <w:rPr>
                <w:rFonts w:cs="Arial"/>
                <w:sz w:val="16"/>
                <w:szCs w:val="16"/>
                <w:lang w:bidi="th-TH"/>
              </w:rPr>
              <w:t xml:space="preserve"> 43 CMOs</w:t>
            </w:r>
          </w:p>
        </w:tc>
        <w:tc>
          <w:tcPr>
            <w:tcW w:w="521" w:type="pct"/>
            <w:shd w:val="clear" w:color="auto" w:fill="auto"/>
            <w:tcMar>
              <w:top w:w="110" w:type="dxa"/>
            </w:tcMar>
          </w:tcPr>
          <w:p w:rsidR="00A06215" w:rsidRPr="0067453C" w:rsidRDefault="00A06215" w:rsidP="00CE4C9D">
            <w:pPr>
              <w:jc w:val="center"/>
              <w:rPr>
                <w:rFonts w:cs="Arial"/>
                <w:bCs/>
                <w:color w:val="008000"/>
                <w:sz w:val="16"/>
                <w:szCs w:val="16"/>
              </w:rPr>
            </w:pPr>
            <w:r w:rsidRPr="0067453C">
              <w:rPr>
                <w:rFonts w:cs="Arial"/>
                <w:b/>
                <w:bCs/>
                <w:color w:val="00B050"/>
                <w:sz w:val="16"/>
                <w:szCs w:val="16"/>
              </w:rPr>
              <w:t>On track</w:t>
            </w:r>
          </w:p>
        </w:tc>
      </w:tr>
      <w:tr w:rsidR="00A06215" w:rsidRPr="005C50ED" w:rsidTr="00A06215">
        <w:tc>
          <w:tcPr>
            <w:tcW w:w="1195" w:type="pct"/>
            <w:tcBorders>
              <w:bottom w:val="nil"/>
            </w:tcBorders>
            <w:shd w:val="clear" w:color="auto" w:fill="auto"/>
          </w:tcPr>
          <w:p w:rsidR="00A06215" w:rsidRPr="005C50ED" w:rsidRDefault="00A06215" w:rsidP="00CE4C9D">
            <w:pPr>
              <w:rPr>
                <w:rFonts w:cs="Arial"/>
                <w:sz w:val="16"/>
                <w:szCs w:val="16"/>
                <w:lang w:bidi="th-TH"/>
              </w:rPr>
            </w:pPr>
            <w:r w:rsidRPr="007873A2">
              <w:rPr>
                <w:rFonts w:cs="Arial"/>
                <w:sz w:val="16"/>
                <w:szCs w:val="16"/>
                <w:lang w:bidi="th-TH"/>
              </w:rPr>
              <w:t xml:space="preserve">No. of CMOs in developing countries and LDCs </w:t>
            </w:r>
            <w:r>
              <w:rPr>
                <w:rFonts w:cs="Arial"/>
                <w:sz w:val="16"/>
                <w:szCs w:val="16"/>
                <w:lang w:bidi="th-TH"/>
              </w:rPr>
              <w:t>participating in regional and global networks facilitated by WIPO</w:t>
            </w:r>
          </w:p>
        </w:tc>
        <w:tc>
          <w:tcPr>
            <w:tcW w:w="1268" w:type="pct"/>
            <w:tcBorders>
              <w:bottom w:val="nil"/>
            </w:tcBorders>
            <w:shd w:val="clear" w:color="auto" w:fill="auto"/>
          </w:tcPr>
          <w:p w:rsidR="00A06215" w:rsidRPr="005C50ED" w:rsidRDefault="00A06215" w:rsidP="00CE4C9D">
            <w:pPr>
              <w:autoSpaceDE w:val="0"/>
              <w:autoSpaceDN w:val="0"/>
              <w:adjustRightInd w:val="0"/>
              <w:rPr>
                <w:rFonts w:cs="Arial"/>
                <w:sz w:val="16"/>
                <w:szCs w:val="16"/>
              </w:rPr>
            </w:pPr>
            <w:r w:rsidRPr="007873A2">
              <w:rPr>
                <w:rFonts w:cs="Arial"/>
                <w:sz w:val="16"/>
                <w:szCs w:val="16"/>
                <w:lang w:bidi="th-TH"/>
              </w:rPr>
              <w:t xml:space="preserve">0 (zero) </w:t>
            </w:r>
          </w:p>
        </w:tc>
        <w:tc>
          <w:tcPr>
            <w:tcW w:w="821" w:type="pct"/>
            <w:gridSpan w:val="2"/>
            <w:tcBorders>
              <w:bottom w:val="nil"/>
            </w:tcBorders>
            <w:shd w:val="clear" w:color="auto" w:fill="auto"/>
            <w:tcMar>
              <w:top w:w="110" w:type="dxa"/>
            </w:tcMar>
          </w:tcPr>
          <w:p w:rsidR="00A06215" w:rsidRPr="005C50ED" w:rsidRDefault="00A06215" w:rsidP="00CE4C9D">
            <w:pPr>
              <w:rPr>
                <w:rFonts w:cs="Arial"/>
                <w:sz w:val="16"/>
                <w:szCs w:val="16"/>
                <w:lang w:bidi="th-TH"/>
              </w:rPr>
            </w:pPr>
            <w:r w:rsidRPr="007873A2">
              <w:rPr>
                <w:rFonts w:eastAsia="Batang" w:cs="Arial"/>
                <w:sz w:val="16"/>
                <w:szCs w:val="16"/>
                <w:lang w:eastAsia="ja-JP"/>
              </w:rPr>
              <w:t>10</w:t>
            </w:r>
          </w:p>
        </w:tc>
        <w:tc>
          <w:tcPr>
            <w:tcW w:w="1194" w:type="pct"/>
            <w:tcBorders>
              <w:bottom w:val="nil"/>
            </w:tcBorders>
            <w:shd w:val="clear" w:color="auto" w:fill="FFFFFF"/>
            <w:tcMar>
              <w:top w:w="110" w:type="dxa"/>
            </w:tcMar>
          </w:tcPr>
          <w:p w:rsidR="00A06215" w:rsidRPr="005C50ED" w:rsidRDefault="00A06215" w:rsidP="00CE4C9D">
            <w:pPr>
              <w:rPr>
                <w:rFonts w:cs="Arial"/>
                <w:sz w:val="16"/>
                <w:szCs w:val="16"/>
                <w:lang w:bidi="th-TH"/>
              </w:rPr>
            </w:pPr>
            <w:r w:rsidRPr="007873A2">
              <w:rPr>
                <w:rFonts w:cs="Arial"/>
                <w:sz w:val="16"/>
                <w:szCs w:val="16"/>
                <w:lang w:bidi="th-TH"/>
              </w:rPr>
              <w:t>13</w:t>
            </w:r>
          </w:p>
        </w:tc>
        <w:tc>
          <w:tcPr>
            <w:tcW w:w="521" w:type="pct"/>
            <w:tcBorders>
              <w:bottom w:val="nil"/>
            </w:tcBorders>
            <w:shd w:val="clear" w:color="auto" w:fill="auto"/>
          </w:tcPr>
          <w:p w:rsidR="00A06215" w:rsidRPr="005C50ED" w:rsidRDefault="00A06215" w:rsidP="00CE4C9D">
            <w:pPr>
              <w:jc w:val="center"/>
              <w:rPr>
                <w:rFonts w:cs="Arial"/>
                <w:bCs/>
                <w:color w:val="333333"/>
                <w:sz w:val="16"/>
                <w:szCs w:val="16"/>
              </w:rPr>
            </w:pPr>
            <w:r w:rsidRPr="0062421A">
              <w:rPr>
                <w:rFonts w:cs="Arial"/>
                <w:b/>
                <w:bCs/>
                <w:color w:val="00B050"/>
                <w:sz w:val="16"/>
                <w:szCs w:val="16"/>
              </w:rPr>
              <w:t>On track</w:t>
            </w:r>
          </w:p>
        </w:tc>
      </w:tr>
      <w:tr w:rsidR="00A06215" w:rsidRPr="005C50ED" w:rsidTr="00A06215">
        <w:tc>
          <w:tcPr>
            <w:tcW w:w="1195" w:type="pct"/>
            <w:tcBorders>
              <w:top w:val="nil"/>
              <w:bottom w:val="single" w:sz="4" w:space="0" w:color="auto"/>
            </w:tcBorders>
            <w:shd w:val="clear" w:color="auto" w:fill="auto"/>
          </w:tcPr>
          <w:p w:rsidR="00A06215" w:rsidRPr="000A1DBE" w:rsidRDefault="00A06215" w:rsidP="00CE4C9D">
            <w:pPr>
              <w:rPr>
                <w:rFonts w:cs="Arial"/>
                <w:sz w:val="16"/>
                <w:szCs w:val="16"/>
                <w:lang w:bidi="th-TH"/>
              </w:rPr>
            </w:pPr>
            <w:r w:rsidRPr="000A1DBE">
              <w:rPr>
                <w:rFonts w:cs="Arial"/>
                <w:sz w:val="16"/>
                <w:szCs w:val="16"/>
                <w:lang w:bidi="th-TH"/>
              </w:rPr>
              <w:t>% of governments that report positively on the improved effectiveness (and governance) of copyright offices and other institutions in the country</w:t>
            </w:r>
          </w:p>
        </w:tc>
        <w:tc>
          <w:tcPr>
            <w:tcW w:w="1268" w:type="pct"/>
            <w:tcBorders>
              <w:top w:val="nil"/>
              <w:bottom w:val="single" w:sz="4" w:space="0" w:color="auto"/>
            </w:tcBorders>
            <w:shd w:val="clear" w:color="auto" w:fill="auto"/>
          </w:tcPr>
          <w:p w:rsidR="00A06215" w:rsidRPr="000A1DBE" w:rsidRDefault="00A06215" w:rsidP="00CE4C9D">
            <w:pPr>
              <w:rPr>
                <w:rFonts w:cs="Arial"/>
                <w:i/>
                <w:sz w:val="16"/>
                <w:szCs w:val="16"/>
                <w:lang w:bidi="th-TH"/>
              </w:rPr>
            </w:pPr>
            <w:r w:rsidRPr="000A1DBE">
              <w:rPr>
                <w:i/>
                <w:color w:val="002060"/>
                <w:sz w:val="16"/>
                <w:szCs w:val="16"/>
              </w:rPr>
              <w:t>Updated Baseline end 2013:</w:t>
            </w:r>
            <w:r w:rsidRPr="000A1DBE">
              <w:rPr>
                <w:color w:val="002060"/>
                <w:sz w:val="16"/>
                <w:szCs w:val="16"/>
                <w:lang w:bidi="th-TH"/>
              </w:rPr>
              <w:t xml:space="preserve">  Over 70% of Governments that received assistance reported positively on the improved effectiveness and governance of related institutions in the country after training.</w:t>
            </w:r>
          </w:p>
          <w:p w:rsidR="00A06215" w:rsidRPr="000A1DBE" w:rsidRDefault="00A06215" w:rsidP="00CE4C9D">
            <w:pPr>
              <w:rPr>
                <w:rFonts w:cs="Arial"/>
                <w:i/>
                <w:sz w:val="16"/>
                <w:szCs w:val="16"/>
                <w:lang w:bidi="th-TH"/>
              </w:rPr>
            </w:pPr>
          </w:p>
          <w:p w:rsidR="00A06215" w:rsidRPr="000A1DBE" w:rsidRDefault="00A06215" w:rsidP="00CE4C9D">
            <w:pPr>
              <w:pStyle w:val="Default"/>
              <w:rPr>
                <w:i/>
                <w:color w:val="002060"/>
                <w:sz w:val="16"/>
                <w:szCs w:val="16"/>
              </w:rPr>
            </w:pPr>
            <w:r w:rsidRPr="000A1DBE">
              <w:rPr>
                <w:i/>
                <w:sz w:val="16"/>
                <w:szCs w:val="16"/>
                <w:lang w:bidi="th-TH"/>
              </w:rPr>
              <w:t xml:space="preserve">Original Baseline P&amp;B 2014/15: </w:t>
            </w:r>
            <w:r w:rsidRPr="000A1DBE">
              <w:rPr>
                <w:sz w:val="16"/>
                <w:szCs w:val="16"/>
                <w:lang w:bidi="th-TH"/>
              </w:rPr>
              <w:t>80% satisfactory rate</w:t>
            </w:r>
          </w:p>
        </w:tc>
        <w:tc>
          <w:tcPr>
            <w:tcW w:w="821" w:type="pct"/>
            <w:gridSpan w:val="2"/>
            <w:tcBorders>
              <w:top w:val="nil"/>
              <w:bottom w:val="single" w:sz="4" w:space="0" w:color="auto"/>
            </w:tcBorders>
            <w:shd w:val="clear" w:color="auto" w:fill="auto"/>
            <w:tcMar>
              <w:top w:w="110" w:type="dxa"/>
            </w:tcMar>
          </w:tcPr>
          <w:p w:rsidR="00A06215" w:rsidRPr="000A1DBE" w:rsidRDefault="00A06215" w:rsidP="00CE4C9D">
            <w:pPr>
              <w:rPr>
                <w:rFonts w:eastAsia="Batang" w:cs="Arial"/>
                <w:sz w:val="16"/>
                <w:szCs w:val="16"/>
                <w:lang w:eastAsia="ja-JP"/>
              </w:rPr>
            </w:pPr>
            <w:r w:rsidRPr="000A1DBE">
              <w:rPr>
                <w:rFonts w:eastAsia="Batang" w:cs="Arial"/>
                <w:sz w:val="16"/>
                <w:szCs w:val="16"/>
                <w:lang w:eastAsia="ja-JP"/>
              </w:rPr>
              <w:t>80% of countries that received technical assistance</w:t>
            </w:r>
          </w:p>
        </w:tc>
        <w:tc>
          <w:tcPr>
            <w:tcW w:w="1194" w:type="pct"/>
            <w:tcBorders>
              <w:top w:val="nil"/>
              <w:bottom w:val="single" w:sz="4" w:space="0" w:color="auto"/>
            </w:tcBorders>
            <w:shd w:val="clear" w:color="auto" w:fill="FFFFFF"/>
            <w:tcMar>
              <w:top w:w="110" w:type="dxa"/>
            </w:tcMar>
          </w:tcPr>
          <w:p w:rsidR="00A06215" w:rsidRPr="000A1DBE" w:rsidRDefault="00A06215" w:rsidP="00CE4C9D">
            <w:pPr>
              <w:rPr>
                <w:rFonts w:cs="Arial"/>
                <w:sz w:val="16"/>
                <w:szCs w:val="16"/>
                <w:lang w:bidi="th-TH"/>
              </w:rPr>
            </w:pPr>
            <w:r w:rsidRPr="00757BD0">
              <w:rPr>
                <w:rFonts w:cs="Arial"/>
                <w:sz w:val="16"/>
                <w:szCs w:val="16"/>
                <w:lang w:bidi="th-TH"/>
              </w:rPr>
              <w:t>Over 80%</w:t>
            </w:r>
          </w:p>
        </w:tc>
        <w:tc>
          <w:tcPr>
            <w:tcW w:w="521" w:type="pct"/>
            <w:tcBorders>
              <w:top w:val="nil"/>
              <w:bottom w:val="single" w:sz="4" w:space="0" w:color="auto"/>
            </w:tcBorders>
            <w:shd w:val="clear" w:color="auto" w:fill="auto"/>
          </w:tcPr>
          <w:p w:rsidR="00A06215" w:rsidRPr="000A1DBE" w:rsidRDefault="00A06215" w:rsidP="00CE4C9D">
            <w:pPr>
              <w:jc w:val="center"/>
              <w:rPr>
                <w:rFonts w:cs="Arial"/>
                <w:b/>
                <w:bCs/>
                <w:color w:val="00B050"/>
                <w:sz w:val="16"/>
                <w:szCs w:val="16"/>
              </w:rPr>
            </w:pPr>
            <w:r w:rsidRPr="000A1DBE">
              <w:rPr>
                <w:rFonts w:cs="Arial"/>
                <w:b/>
                <w:bCs/>
                <w:color w:val="00B050"/>
                <w:sz w:val="16"/>
                <w:szCs w:val="16"/>
              </w:rPr>
              <w:t>On track</w:t>
            </w:r>
          </w:p>
        </w:tc>
      </w:tr>
      <w:tr w:rsidR="00A06215" w:rsidRPr="005C50ED" w:rsidTr="00A06215">
        <w:trPr>
          <w:trHeight w:val="430"/>
        </w:trPr>
        <w:tc>
          <w:tcPr>
            <w:tcW w:w="5000" w:type="pct"/>
            <w:gridSpan w:val="6"/>
            <w:tcBorders>
              <w:top w:val="single" w:sz="4" w:space="0" w:color="auto"/>
              <w:bottom w:val="single" w:sz="4" w:space="0" w:color="auto"/>
            </w:tcBorders>
            <w:shd w:val="clear" w:color="auto" w:fill="CCFFFF"/>
            <w:vAlign w:val="center"/>
          </w:tcPr>
          <w:p w:rsidR="00A06215" w:rsidRPr="005C50ED" w:rsidRDefault="00A06215" w:rsidP="00CE4C9D">
            <w:pPr>
              <w:keepNext/>
              <w:keepLines/>
              <w:tabs>
                <w:tab w:val="left" w:pos="1452"/>
              </w:tabs>
              <w:ind w:left="1452" w:hanging="1452"/>
              <w:rPr>
                <w:rFonts w:cs="Arial"/>
                <w:b/>
                <w:bCs/>
                <w:sz w:val="16"/>
                <w:szCs w:val="16"/>
              </w:rPr>
            </w:pPr>
            <w:r w:rsidRPr="005C50ED">
              <w:rPr>
                <w:rFonts w:cs="Arial"/>
                <w:b/>
                <w:bCs/>
                <w:sz w:val="16"/>
                <w:szCs w:val="16"/>
              </w:rPr>
              <w:lastRenderedPageBreak/>
              <w:t>Expected Result:</w:t>
            </w:r>
            <w:r w:rsidRPr="005C50ED">
              <w:rPr>
                <w:rFonts w:cs="Arial"/>
                <w:b/>
                <w:bCs/>
                <w:sz w:val="16"/>
                <w:szCs w:val="16"/>
              </w:rPr>
              <w:tab/>
            </w:r>
            <w:r w:rsidRPr="00496B18">
              <w:rPr>
                <w:rFonts w:cs="Arial"/>
                <w:color w:val="000000"/>
                <w:sz w:val="16"/>
                <w:szCs w:val="16"/>
                <w:lang w:bidi="th-TH"/>
              </w:rPr>
              <w:t>V.2 Wider and better use of WIPO economic analysis in policy formulation</w:t>
            </w:r>
          </w:p>
        </w:tc>
      </w:tr>
      <w:tr w:rsidR="00A06215" w:rsidRPr="005C50ED" w:rsidTr="00A06215">
        <w:tc>
          <w:tcPr>
            <w:tcW w:w="1195" w:type="pct"/>
            <w:tcBorders>
              <w:top w:val="single" w:sz="4" w:space="0" w:color="auto"/>
            </w:tcBorders>
            <w:shd w:val="clear" w:color="auto" w:fill="auto"/>
            <w:vAlign w:val="center"/>
          </w:tcPr>
          <w:p w:rsidR="00A06215" w:rsidRPr="007727C2" w:rsidRDefault="00A06215" w:rsidP="00CE4C9D">
            <w:pPr>
              <w:keepNext/>
              <w:keepLines/>
              <w:rPr>
                <w:rFonts w:cs="Arial"/>
                <w:sz w:val="16"/>
                <w:szCs w:val="16"/>
              </w:rPr>
            </w:pPr>
            <w:r w:rsidRPr="0067453C">
              <w:rPr>
                <w:rFonts w:cs="Arial"/>
                <w:b/>
                <w:bCs/>
                <w:sz w:val="16"/>
                <w:szCs w:val="16"/>
              </w:rPr>
              <w:t>Performance Indicators</w:t>
            </w:r>
          </w:p>
        </w:tc>
        <w:tc>
          <w:tcPr>
            <w:tcW w:w="1268" w:type="pct"/>
            <w:tcBorders>
              <w:top w:val="single" w:sz="4" w:space="0" w:color="auto"/>
            </w:tcBorders>
            <w:shd w:val="clear" w:color="auto" w:fill="auto"/>
            <w:vAlign w:val="center"/>
          </w:tcPr>
          <w:p w:rsidR="00A06215" w:rsidRPr="00434B01" w:rsidRDefault="00A06215" w:rsidP="00CE4C9D">
            <w:pPr>
              <w:keepNext/>
              <w:keepLines/>
              <w:rPr>
                <w:rFonts w:cs="Arial"/>
                <w:b/>
                <w:bCs/>
                <w:sz w:val="16"/>
                <w:szCs w:val="16"/>
              </w:rPr>
            </w:pPr>
            <w:r w:rsidRPr="007727C2">
              <w:rPr>
                <w:rFonts w:cs="Arial"/>
                <w:b/>
                <w:bCs/>
                <w:sz w:val="16"/>
                <w:szCs w:val="16"/>
              </w:rPr>
              <w:t>Baselines</w:t>
            </w:r>
          </w:p>
        </w:tc>
        <w:tc>
          <w:tcPr>
            <w:tcW w:w="821" w:type="pct"/>
            <w:gridSpan w:val="2"/>
            <w:tcBorders>
              <w:top w:val="single" w:sz="4" w:space="0" w:color="auto"/>
            </w:tcBorders>
            <w:shd w:val="clear" w:color="auto" w:fill="auto"/>
            <w:tcMar>
              <w:top w:w="110" w:type="dxa"/>
            </w:tcMar>
            <w:vAlign w:val="center"/>
          </w:tcPr>
          <w:p w:rsidR="00A06215" w:rsidRPr="00434B01" w:rsidRDefault="00A06215" w:rsidP="00CE4C9D">
            <w:pPr>
              <w:keepNext/>
              <w:keepLines/>
              <w:rPr>
                <w:rFonts w:cs="Arial"/>
                <w:b/>
                <w:sz w:val="16"/>
                <w:szCs w:val="16"/>
              </w:rPr>
            </w:pPr>
            <w:r w:rsidRPr="00434B01">
              <w:rPr>
                <w:rFonts w:cs="Arial"/>
                <w:b/>
                <w:sz w:val="16"/>
                <w:szCs w:val="16"/>
              </w:rPr>
              <w:t>Targets</w:t>
            </w:r>
          </w:p>
        </w:tc>
        <w:tc>
          <w:tcPr>
            <w:tcW w:w="1194" w:type="pct"/>
            <w:tcBorders>
              <w:top w:val="single" w:sz="4" w:space="0" w:color="auto"/>
            </w:tcBorders>
            <w:shd w:val="clear" w:color="auto" w:fill="FFFFFF"/>
            <w:tcMar>
              <w:top w:w="110" w:type="dxa"/>
            </w:tcMar>
            <w:vAlign w:val="center"/>
          </w:tcPr>
          <w:p w:rsidR="00A06215" w:rsidRPr="003B065A" w:rsidRDefault="00A06215" w:rsidP="00CE4C9D">
            <w:pPr>
              <w:keepNext/>
              <w:keepLines/>
              <w:rPr>
                <w:rFonts w:cs="Arial"/>
                <w:sz w:val="16"/>
                <w:szCs w:val="16"/>
              </w:rPr>
            </w:pPr>
            <w:r w:rsidRPr="00434B01">
              <w:rPr>
                <w:rFonts w:cs="Arial"/>
                <w:b/>
                <w:bCs/>
                <w:sz w:val="16"/>
                <w:szCs w:val="16"/>
              </w:rPr>
              <w:t>Performance Data</w:t>
            </w:r>
          </w:p>
        </w:tc>
        <w:tc>
          <w:tcPr>
            <w:tcW w:w="521" w:type="pct"/>
            <w:tcBorders>
              <w:top w:val="single" w:sz="4" w:space="0" w:color="auto"/>
            </w:tcBorders>
            <w:shd w:val="clear" w:color="auto" w:fill="auto"/>
            <w:tcMar>
              <w:top w:w="110" w:type="dxa"/>
            </w:tcMar>
            <w:vAlign w:val="center"/>
          </w:tcPr>
          <w:p w:rsidR="00A06215" w:rsidRPr="003B065A" w:rsidRDefault="00A06215" w:rsidP="00CE4C9D">
            <w:pPr>
              <w:keepNext/>
              <w:keepLines/>
              <w:jc w:val="center"/>
              <w:rPr>
                <w:rFonts w:cs="Arial"/>
                <w:b/>
                <w:bCs/>
                <w:sz w:val="16"/>
                <w:szCs w:val="16"/>
              </w:rPr>
            </w:pPr>
            <w:r w:rsidRPr="003B065A">
              <w:rPr>
                <w:rFonts w:cs="Arial"/>
                <w:b/>
                <w:bCs/>
                <w:sz w:val="16"/>
                <w:szCs w:val="16"/>
              </w:rPr>
              <w:t>TLS</w:t>
            </w:r>
          </w:p>
        </w:tc>
      </w:tr>
      <w:tr w:rsidR="00A06215" w:rsidRPr="005C50ED" w:rsidTr="00A06215">
        <w:tc>
          <w:tcPr>
            <w:tcW w:w="1195" w:type="pct"/>
            <w:shd w:val="clear" w:color="auto" w:fill="auto"/>
          </w:tcPr>
          <w:p w:rsidR="00A06215" w:rsidRPr="007727C2" w:rsidRDefault="00A06215" w:rsidP="00CE4C9D">
            <w:pPr>
              <w:keepNext/>
              <w:keepLines/>
              <w:rPr>
                <w:rFonts w:cs="Arial"/>
                <w:sz w:val="16"/>
                <w:szCs w:val="16"/>
                <w:lang w:bidi="th-TH"/>
              </w:rPr>
            </w:pPr>
            <w:r w:rsidRPr="0067453C">
              <w:rPr>
                <w:rFonts w:cs="Arial"/>
                <w:sz w:val="16"/>
                <w:szCs w:val="16"/>
                <w:lang w:bidi="th-TH"/>
              </w:rPr>
              <w:t xml:space="preserve">Use of WIPO economic studies on copyright by governments and </w:t>
            </w:r>
            <w:r w:rsidRPr="007727C2">
              <w:rPr>
                <w:rFonts w:cs="Arial"/>
                <w:sz w:val="16"/>
                <w:szCs w:val="16"/>
                <w:lang w:bidi="th-TH"/>
              </w:rPr>
              <w:t>NGOs in decision-making</w:t>
            </w:r>
          </w:p>
        </w:tc>
        <w:tc>
          <w:tcPr>
            <w:tcW w:w="1268" w:type="pct"/>
            <w:shd w:val="clear" w:color="auto" w:fill="auto"/>
          </w:tcPr>
          <w:p w:rsidR="00A06215" w:rsidRPr="0067453C" w:rsidRDefault="00A06215" w:rsidP="00CE4C9D">
            <w:pPr>
              <w:keepNext/>
              <w:keepLines/>
              <w:rPr>
                <w:rFonts w:cs="Arial"/>
                <w:color w:val="002060"/>
                <w:sz w:val="16"/>
                <w:szCs w:val="16"/>
                <w:lang w:bidi="th-TH"/>
              </w:rPr>
            </w:pPr>
            <w:r w:rsidRPr="00434B01">
              <w:rPr>
                <w:rFonts w:cs="Arial"/>
                <w:i/>
                <w:color w:val="002060"/>
                <w:sz w:val="16"/>
                <w:szCs w:val="16"/>
              </w:rPr>
              <w:t>Updated Baseline end 2013:</w:t>
            </w:r>
          </w:p>
          <w:p w:rsidR="00A06215" w:rsidRPr="0067453C" w:rsidRDefault="00A06215" w:rsidP="00CE4C9D">
            <w:pPr>
              <w:keepNext/>
              <w:keepLines/>
              <w:rPr>
                <w:rFonts w:cs="Arial"/>
                <w:color w:val="002060"/>
                <w:sz w:val="16"/>
                <w:szCs w:val="16"/>
                <w:lang w:bidi="th-TH"/>
              </w:rPr>
            </w:pPr>
            <w:r w:rsidRPr="0067453C">
              <w:rPr>
                <w:rFonts w:cs="Arial"/>
                <w:color w:val="002060"/>
                <w:sz w:val="16"/>
                <w:szCs w:val="16"/>
                <w:lang w:bidi="th-TH"/>
              </w:rPr>
              <w:t xml:space="preserve">10 countries in 2012/13:  Bulgaria, China, Colombia, </w:t>
            </w:r>
            <w:r w:rsidRPr="007727C2">
              <w:rPr>
                <w:rFonts w:cs="Arial"/>
                <w:color w:val="002060"/>
                <w:sz w:val="16"/>
                <w:szCs w:val="16"/>
                <w:lang w:bidi="th-TH"/>
              </w:rPr>
              <w:t xml:space="preserve">Croatia, Jamaica, Kenya, Malaysia, the United Republic of Tanzania, Thailand and Trinidad and Tobago </w:t>
            </w:r>
            <w:r w:rsidRPr="00434B01">
              <w:rPr>
                <w:rFonts w:cs="Arial"/>
                <w:i/>
                <w:color w:val="002060"/>
                <w:sz w:val="16"/>
                <w:szCs w:val="16"/>
              </w:rPr>
              <w:t xml:space="preserve"> </w:t>
            </w:r>
            <w:r w:rsidRPr="0067453C">
              <w:rPr>
                <w:rFonts w:cs="Arial"/>
                <w:color w:val="002060"/>
                <w:sz w:val="16"/>
                <w:szCs w:val="16"/>
                <w:lang w:bidi="th-TH"/>
              </w:rPr>
              <w:t xml:space="preserve"> </w:t>
            </w:r>
          </w:p>
          <w:p w:rsidR="00A06215" w:rsidRPr="007727C2" w:rsidRDefault="00A06215" w:rsidP="00CE4C9D">
            <w:pPr>
              <w:keepNext/>
              <w:keepLines/>
              <w:rPr>
                <w:rFonts w:cs="Arial"/>
                <w:sz w:val="8"/>
                <w:szCs w:val="8"/>
                <w:lang w:bidi="th-TH"/>
              </w:rPr>
            </w:pPr>
          </w:p>
          <w:p w:rsidR="00A06215" w:rsidRPr="00434B01" w:rsidRDefault="00A06215" w:rsidP="00CE4C9D">
            <w:pPr>
              <w:keepNext/>
              <w:keepLines/>
              <w:rPr>
                <w:rFonts w:cs="Arial"/>
                <w:sz w:val="16"/>
                <w:szCs w:val="16"/>
                <w:lang w:bidi="th-TH"/>
              </w:rPr>
            </w:pPr>
            <w:r w:rsidRPr="007727C2">
              <w:rPr>
                <w:rFonts w:cs="Arial"/>
                <w:i/>
                <w:sz w:val="16"/>
                <w:szCs w:val="16"/>
                <w:lang w:bidi="th-TH"/>
              </w:rPr>
              <w:t>Original Baseline P&amp;B 2014/15</w:t>
            </w:r>
            <w:r w:rsidRPr="00434B01">
              <w:rPr>
                <w:rFonts w:cs="Arial"/>
                <w:sz w:val="16"/>
                <w:szCs w:val="16"/>
                <w:lang w:bidi="th-TH"/>
              </w:rPr>
              <w:t>:  Eight governments or NGOs using WIPO studies</w:t>
            </w:r>
          </w:p>
          <w:p w:rsidR="00A06215" w:rsidRPr="003B065A" w:rsidRDefault="00A06215" w:rsidP="00CE4C9D">
            <w:pPr>
              <w:keepNext/>
              <w:keepLines/>
              <w:rPr>
                <w:rFonts w:cs="Arial"/>
                <w:sz w:val="16"/>
                <w:szCs w:val="16"/>
                <w:lang w:bidi="th-TH"/>
              </w:rPr>
            </w:pPr>
          </w:p>
        </w:tc>
        <w:tc>
          <w:tcPr>
            <w:tcW w:w="821" w:type="pct"/>
            <w:gridSpan w:val="2"/>
            <w:shd w:val="clear" w:color="auto" w:fill="auto"/>
            <w:tcMar>
              <w:top w:w="110" w:type="dxa"/>
            </w:tcMar>
          </w:tcPr>
          <w:p w:rsidR="00A06215" w:rsidRPr="003B065A" w:rsidRDefault="00A06215" w:rsidP="00CE4C9D">
            <w:pPr>
              <w:keepNext/>
              <w:keepLines/>
              <w:rPr>
                <w:rFonts w:cs="Arial"/>
                <w:sz w:val="16"/>
                <w:szCs w:val="16"/>
                <w:lang w:bidi="th-TH"/>
              </w:rPr>
            </w:pPr>
            <w:r w:rsidRPr="003B065A">
              <w:rPr>
                <w:rFonts w:cs="Arial"/>
                <w:sz w:val="16"/>
                <w:szCs w:val="16"/>
                <w:lang w:bidi="th-TH"/>
              </w:rPr>
              <w:t>12 governments or NGOS using WIPO studies (cumulative)</w:t>
            </w:r>
          </w:p>
        </w:tc>
        <w:tc>
          <w:tcPr>
            <w:tcW w:w="1194" w:type="pct"/>
            <w:shd w:val="clear" w:color="auto" w:fill="FFFFFF"/>
            <w:tcMar>
              <w:top w:w="110" w:type="dxa"/>
            </w:tcMar>
          </w:tcPr>
          <w:p w:rsidR="00A06215" w:rsidRPr="0067453C" w:rsidRDefault="00A06215" w:rsidP="00CE4C9D">
            <w:pPr>
              <w:keepNext/>
              <w:keepLines/>
              <w:rPr>
                <w:rFonts w:cs="Arial"/>
                <w:sz w:val="16"/>
                <w:szCs w:val="16"/>
                <w:lang w:bidi="th-TH"/>
              </w:rPr>
            </w:pPr>
            <w:r>
              <w:rPr>
                <w:rFonts w:cs="Arial"/>
                <w:sz w:val="16"/>
                <w:szCs w:val="16"/>
                <w:lang w:bidi="th-TH"/>
              </w:rPr>
              <w:t>8</w:t>
            </w:r>
            <w:r w:rsidRPr="0067453C">
              <w:rPr>
                <w:rFonts w:cs="Arial"/>
                <w:sz w:val="16"/>
                <w:szCs w:val="16"/>
                <w:lang w:bidi="th-TH"/>
              </w:rPr>
              <w:t xml:space="preserve"> additional countries (Finland, Latvia, Lithuania, </w:t>
            </w:r>
            <w:r>
              <w:rPr>
                <w:rFonts w:cs="Arial"/>
                <w:sz w:val="16"/>
                <w:szCs w:val="16"/>
                <w:lang w:bidi="th-TH"/>
              </w:rPr>
              <w:t xml:space="preserve">Malawi, </w:t>
            </w:r>
            <w:r w:rsidRPr="0067453C">
              <w:rPr>
                <w:rFonts w:cs="Arial"/>
                <w:sz w:val="16"/>
                <w:szCs w:val="16"/>
                <w:lang w:bidi="th-TH"/>
              </w:rPr>
              <w:t>Netherlands, Republic of Korea, Serbia, United States of America) using WIPO studies</w:t>
            </w:r>
          </w:p>
          <w:p w:rsidR="00A06215" w:rsidRPr="007727C2" w:rsidRDefault="00A06215" w:rsidP="00CE4C9D">
            <w:pPr>
              <w:keepNext/>
              <w:keepLines/>
              <w:rPr>
                <w:rFonts w:cs="Arial"/>
                <w:sz w:val="16"/>
                <w:szCs w:val="16"/>
                <w:lang w:bidi="th-TH"/>
              </w:rPr>
            </w:pPr>
          </w:p>
          <w:p w:rsidR="00A06215" w:rsidRPr="0067453C" w:rsidRDefault="00A06215" w:rsidP="00CE4C9D">
            <w:pPr>
              <w:keepNext/>
              <w:keepLines/>
              <w:rPr>
                <w:rFonts w:cs="Arial"/>
                <w:sz w:val="16"/>
                <w:szCs w:val="16"/>
                <w:lang w:bidi="th-TH"/>
              </w:rPr>
            </w:pPr>
            <w:r w:rsidRPr="007727C2">
              <w:rPr>
                <w:rFonts w:cs="Arial"/>
                <w:sz w:val="16"/>
                <w:szCs w:val="16"/>
                <w:lang w:bidi="th-TH"/>
              </w:rPr>
              <w:t>17 countries (cumulative)</w:t>
            </w:r>
          </w:p>
          <w:p w:rsidR="00A06215" w:rsidRPr="007727C2" w:rsidRDefault="00A06215" w:rsidP="00CE4C9D">
            <w:pPr>
              <w:keepNext/>
              <w:keepLines/>
              <w:rPr>
                <w:rFonts w:cs="Arial"/>
                <w:sz w:val="16"/>
                <w:szCs w:val="16"/>
                <w:lang w:bidi="th-TH"/>
              </w:rPr>
            </w:pPr>
          </w:p>
          <w:p w:rsidR="00A06215" w:rsidRPr="007727C2" w:rsidRDefault="00A06215" w:rsidP="00CE4C9D">
            <w:pPr>
              <w:keepNext/>
              <w:keepLines/>
              <w:rPr>
                <w:rFonts w:cs="Arial"/>
                <w:sz w:val="16"/>
                <w:szCs w:val="16"/>
                <w:lang w:bidi="th-TH"/>
              </w:rPr>
            </w:pPr>
          </w:p>
          <w:p w:rsidR="00A06215" w:rsidRPr="00434B01" w:rsidRDefault="00A06215" w:rsidP="00CE4C9D">
            <w:pPr>
              <w:keepNext/>
              <w:keepLines/>
              <w:rPr>
                <w:rFonts w:cs="Arial"/>
                <w:sz w:val="16"/>
                <w:szCs w:val="16"/>
                <w:lang w:bidi="th-TH"/>
              </w:rPr>
            </w:pPr>
          </w:p>
        </w:tc>
        <w:tc>
          <w:tcPr>
            <w:tcW w:w="521" w:type="pct"/>
            <w:shd w:val="clear" w:color="auto" w:fill="auto"/>
            <w:tcMar>
              <w:top w:w="110" w:type="dxa"/>
            </w:tcMar>
          </w:tcPr>
          <w:p w:rsidR="00A06215" w:rsidRPr="00434B01" w:rsidRDefault="00A06215" w:rsidP="00CE4C9D">
            <w:pPr>
              <w:keepNext/>
              <w:keepLines/>
              <w:jc w:val="center"/>
              <w:rPr>
                <w:rStyle w:val="Style5"/>
                <w:rFonts w:ascii="Arial" w:hAnsi="Arial" w:cs="Arial"/>
                <w:sz w:val="16"/>
                <w:szCs w:val="16"/>
              </w:rPr>
            </w:pPr>
            <w:r w:rsidRPr="00434B01">
              <w:rPr>
                <w:rFonts w:cs="Arial"/>
                <w:b/>
                <w:bCs/>
                <w:color w:val="00B050"/>
                <w:sz w:val="16"/>
                <w:szCs w:val="16"/>
              </w:rPr>
              <w:t>On track</w:t>
            </w:r>
            <w:r w:rsidRPr="00434B01">
              <w:rPr>
                <w:rStyle w:val="Style5"/>
                <w:rFonts w:ascii="Arial" w:hAnsi="Arial" w:cs="Arial"/>
                <w:sz w:val="16"/>
                <w:szCs w:val="16"/>
              </w:rPr>
              <w:t xml:space="preserve"> </w:t>
            </w:r>
          </w:p>
          <w:p w:rsidR="00A06215" w:rsidRPr="003B065A" w:rsidRDefault="00A06215" w:rsidP="00CE4C9D">
            <w:pPr>
              <w:keepNext/>
              <w:keepLines/>
              <w:jc w:val="center"/>
              <w:rPr>
                <w:rStyle w:val="Style5"/>
                <w:rFonts w:ascii="Arial" w:hAnsi="Arial" w:cs="Arial"/>
                <w:sz w:val="16"/>
                <w:szCs w:val="16"/>
              </w:rPr>
            </w:pPr>
          </w:p>
          <w:p w:rsidR="00A06215" w:rsidRPr="003B065A" w:rsidRDefault="00A06215" w:rsidP="00CE4C9D">
            <w:pPr>
              <w:keepNext/>
              <w:keepLines/>
              <w:jc w:val="center"/>
              <w:rPr>
                <w:rFonts w:cs="Arial"/>
                <w:bCs/>
                <w:color w:val="008000"/>
                <w:sz w:val="16"/>
                <w:szCs w:val="16"/>
              </w:rPr>
            </w:pPr>
          </w:p>
        </w:tc>
      </w:tr>
      <w:tr w:rsidR="00A06215" w:rsidRPr="005C50ED" w:rsidTr="00A06215">
        <w:tc>
          <w:tcPr>
            <w:tcW w:w="1195" w:type="pct"/>
            <w:shd w:val="clear" w:color="auto" w:fill="auto"/>
          </w:tcPr>
          <w:p w:rsidR="00A06215" w:rsidRPr="007727C2" w:rsidRDefault="00A06215" w:rsidP="00CE4C9D">
            <w:pPr>
              <w:rPr>
                <w:rFonts w:cs="Arial"/>
                <w:sz w:val="16"/>
                <w:szCs w:val="16"/>
                <w:lang w:bidi="th-TH"/>
              </w:rPr>
            </w:pPr>
            <w:r w:rsidRPr="007727C2">
              <w:rPr>
                <w:rFonts w:cs="Arial"/>
                <w:sz w:val="16"/>
                <w:szCs w:val="16"/>
                <w:lang w:bidi="th-TH"/>
              </w:rPr>
              <w:t xml:space="preserve">National initiatives to develop further statistics on the creative industries based upon WIPO’s work in the field </w:t>
            </w:r>
          </w:p>
        </w:tc>
        <w:tc>
          <w:tcPr>
            <w:tcW w:w="1268" w:type="pct"/>
            <w:shd w:val="clear" w:color="auto" w:fill="auto"/>
          </w:tcPr>
          <w:p w:rsidR="00A06215" w:rsidRPr="007727C2" w:rsidRDefault="00A06215" w:rsidP="00CE4C9D">
            <w:pPr>
              <w:rPr>
                <w:rFonts w:cs="Arial"/>
                <w:sz w:val="16"/>
                <w:szCs w:val="16"/>
                <w:lang w:bidi="th-TH"/>
              </w:rPr>
            </w:pPr>
            <w:r w:rsidRPr="007727C2">
              <w:rPr>
                <w:rFonts w:cs="Arial"/>
                <w:sz w:val="16"/>
                <w:szCs w:val="16"/>
                <w:lang w:bidi="th-TH"/>
              </w:rPr>
              <w:t>10 national initiatives</w:t>
            </w:r>
            <w:r>
              <w:rPr>
                <w:rFonts w:cs="Arial"/>
                <w:sz w:val="16"/>
                <w:szCs w:val="16"/>
                <w:lang w:bidi="th-TH"/>
              </w:rPr>
              <w:t xml:space="preserve"> (</w:t>
            </w:r>
            <w:r w:rsidRPr="007727C2">
              <w:rPr>
                <w:rFonts w:cs="Arial"/>
                <w:sz w:val="16"/>
                <w:szCs w:val="16"/>
                <w:lang w:bidi="th-TH"/>
              </w:rPr>
              <w:t>Bulgaria, China, Colombia, Croatia, Jamaica, Kenya, Malaysia, Thailand</w:t>
            </w:r>
            <w:r>
              <w:rPr>
                <w:rFonts w:cs="Arial"/>
                <w:sz w:val="16"/>
                <w:szCs w:val="16"/>
                <w:lang w:bidi="th-TH"/>
              </w:rPr>
              <w:t>,</w:t>
            </w:r>
            <w:r w:rsidRPr="007727C2">
              <w:rPr>
                <w:rFonts w:cs="Arial"/>
                <w:sz w:val="16"/>
                <w:szCs w:val="16"/>
                <w:lang w:bidi="th-TH"/>
              </w:rPr>
              <w:t xml:space="preserve"> Trinidad and Tobago</w:t>
            </w:r>
            <w:r>
              <w:rPr>
                <w:rFonts w:cs="Arial"/>
                <w:sz w:val="16"/>
                <w:szCs w:val="16"/>
                <w:lang w:bidi="th-TH"/>
              </w:rPr>
              <w:t xml:space="preserve">, </w:t>
            </w:r>
            <w:r w:rsidRPr="007727C2">
              <w:rPr>
                <w:rFonts w:cs="Arial"/>
                <w:sz w:val="16"/>
                <w:szCs w:val="16"/>
                <w:lang w:bidi="th-TH"/>
              </w:rPr>
              <w:t>the United Republic of Tanzania.</w:t>
            </w:r>
          </w:p>
          <w:p w:rsidR="00A06215" w:rsidRPr="007727C2" w:rsidRDefault="00A06215" w:rsidP="00CE4C9D">
            <w:pPr>
              <w:rPr>
                <w:rFonts w:cs="Arial"/>
                <w:sz w:val="16"/>
                <w:szCs w:val="16"/>
                <w:lang w:bidi="th-TH"/>
              </w:rPr>
            </w:pPr>
          </w:p>
        </w:tc>
        <w:tc>
          <w:tcPr>
            <w:tcW w:w="821" w:type="pct"/>
            <w:gridSpan w:val="2"/>
            <w:shd w:val="clear" w:color="auto" w:fill="auto"/>
            <w:tcMar>
              <w:top w:w="110" w:type="dxa"/>
            </w:tcMar>
          </w:tcPr>
          <w:p w:rsidR="00A06215" w:rsidRPr="00434B01" w:rsidRDefault="00A06215" w:rsidP="00CE4C9D">
            <w:pPr>
              <w:pStyle w:val="Default"/>
              <w:rPr>
                <w:color w:val="auto"/>
                <w:sz w:val="16"/>
                <w:szCs w:val="16"/>
              </w:rPr>
            </w:pPr>
            <w:r w:rsidRPr="007727C2">
              <w:rPr>
                <w:color w:val="auto"/>
                <w:sz w:val="16"/>
                <w:szCs w:val="16"/>
              </w:rPr>
              <w:t>15 national initiatives (cumulative)</w:t>
            </w:r>
          </w:p>
        </w:tc>
        <w:tc>
          <w:tcPr>
            <w:tcW w:w="1194" w:type="pct"/>
            <w:shd w:val="clear" w:color="auto" w:fill="FFFFFF"/>
            <w:tcMar>
              <w:top w:w="110" w:type="dxa"/>
            </w:tcMar>
          </w:tcPr>
          <w:p w:rsidR="00A06215" w:rsidRPr="007727C2" w:rsidRDefault="00A06215" w:rsidP="00CE4C9D">
            <w:pPr>
              <w:rPr>
                <w:rFonts w:cs="Arial"/>
                <w:sz w:val="16"/>
                <w:szCs w:val="16"/>
                <w:lang w:bidi="th-TH"/>
              </w:rPr>
            </w:pPr>
            <w:r>
              <w:rPr>
                <w:rFonts w:cs="Arial"/>
                <w:sz w:val="16"/>
                <w:szCs w:val="16"/>
                <w:lang w:bidi="th-TH"/>
              </w:rPr>
              <w:t>6</w:t>
            </w:r>
            <w:r w:rsidRPr="007727C2">
              <w:rPr>
                <w:rFonts w:cs="Arial"/>
                <w:sz w:val="16"/>
                <w:szCs w:val="16"/>
                <w:lang w:bidi="th-TH"/>
              </w:rPr>
              <w:t xml:space="preserve"> additional </w:t>
            </w:r>
            <w:r>
              <w:rPr>
                <w:rFonts w:cs="Arial"/>
                <w:sz w:val="16"/>
                <w:szCs w:val="16"/>
                <w:lang w:bidi="th-TH"/>
              </w:rPr>
              <w:t xml:space="preserve">national initiatives (Australia (2), </w:t>
            </w:r>
            <w:r w:rsidRPr="007727C2">
              <w:rPr>
                <w:rFonts w:cs="Arial"/>
                <w:sz w:val="16"/>
                <w:szCs w:val="16"/>
                <w:lang w:bidi="th-TH"/>
              </w:rPr>
              <w:t>Finland</w:t>
            </w:r>
            <w:r>
              <w:rPr>
                <w:rFonts w:cs="Arial"/>
                <w:sz w:val="16"/>
                <w:szCs w:val="16"/>
                <w:lang w:bidi="th-TH"/>
              </w:rPr>
              <w:t>, Lithuania, Netherlands, United States of America)</w:t>
            </w:r>
            <w:r w:rsidRPr="007727C2">
              <w:rPr>
                <w:rFonts w:cs="Arial"/>
                <w:sz w:val="16"/>
                <w:szCs w:val="16"/>
                <w:lang w:bidi="th-TH"/>
              </w:rPr>
              <w:t xml:space="preserve"> </w:t>
            </w:r>
            <w:r>
              <w:rPr>
                <w:rFonts w:cs="Arial"/>
                <w:sz w:val="16"/>
                <w:szCs w:val="16"/>
                <w:lang w:bidi="th-TH"/>
              </w:rPr>
              <w:t>in 2014</w:t>
            </w:r>
          </w:p>
          <w:p w:rsidR="00A06215" w:rsidRPr="007727C2" w:rsidRDefault="00A06215" w:rsidP="00CE4C9D">
            <w:pPr>
              <w:rPr>
                <w:rFonts w:cs="Arial"/>
                <w:sz w:val="16"/>
                <w:szCs w:val="16"/>
                <w:lang w:bidi="th-TH"/>
              </w:rPr>
            </w:pPr>
          </w:p>
          <w:p w:rsidR="00A06215" w:rsidRPr="007727C2" w:rsidRDefault="00A06215" w:rsidP="00CE4C9D">
            <w:pPr>
              <w:rPr>
                <w:rFonts w:cs="Arial"/>
                <w:sz w:val="16"/>
                <w:szCs w:val="16"/>
                <w:lang w:bidi="th-TH"/>
              </w:rPr>
            </w:pPr>
            <w:r w:rsidRPr="00434B01">
              <w:rPr>
                <w:rFonts w:cs="Arial"/>
                <w:sz w:val="16"/>
                <w:szCs w:val="16"/>
                <w:lang w:bidi="th-TH"/>
              </w:rPr>
              <w:t>1</w:t>
            </w:r>
            <w:r>
              <w:rPr>
                <w:rFonts w:cs="Arial"/>
                <w:sz w:val="16"/>
                <w:szCs w:val="16"/>
                <w:lang w:bidi="th-TH"/>
              </w:rPr>
              <w:t>6</w:t>
            </w:r>
            <w:r w:rsidRPr="007727C2">
              <w:rPr>
                <w:rFonts w:cs="Arial"/>
                <w:sz w:val="16"/>
                <w:szCs w:val="16"/>
                <w:lang w:bidi="th-TH"/>
              </w:rPr>
              <w:t xml:space="preserve"> </w:t>
            </w:r>
            <w:r>
              <w:rPr>
                <w:rFonts w:cs="Arial"/>
                <w:sz w:val="16"/>
                <w:szCs w:val="16"/>
                <w:lang w:bidi="th-TH"/>
              </w:rPr>
              <w:t>national initiatives</w:t>
            </w:r>
            <w:r w:rsidRPr="007727C2">
              <w:rPr>
                <w:rFonts w:cs="Arial"/>
                <w:sz w:val="16"/>
                <w:szCs w:val="16"/>
                <w:lang w:bidi="th-TH"/>
              </w:rPr>
              <w:t xml:space="preserve"> (cumulative)</w:t>
            </w:r>
          </w:p>
        </w:tc>
        <w:tc>
          <w:tcPr>
            <w:tcW w:w="521" w:type="pct"/>
            <w:shd w:val="clear" w:color="auto" w:fill="auto"/>
          </w:tcPr>
          <w:p w:rsidR="00A06215" w:rsidRPr="00434B01" w:rsidRDefault="00A06215" w:rsidP="00CE4C9D">
            <w:pPr>
              <w:keepNext/>
              <w:keepLines/>
              <w:jc w:val="center"/>
              <w:rPr>
                <w:rStyle w:val="Style5"/>
                <w:rFonts w:ascii="Arial" w:hAnsi="Arial" w:cs="Arial"/>
                <w:sz w:val="16"/>
                <w:szCs w:val="16"/>
              </w:rPr>
            </w:pPr>
            <w:r w:rsidRPr="00434B01">
              <w:rPr>
                <w:rFonts w:cs="Arial"/>
                <w:b/>
                <w:bCs/>
                <w:color w:val="00B050"/>
                <w:sz w:val="16"/>
                <w:szCs w:val="16"/>
              </w:rPr>
              <w:t>On track</w:t>
            </w:r>
            <w:r w:rsidRPr="00434B01">
              <w:rPr>
                <w:rStyle w:val="Style5"/>
                <w:rFonts w:ascii="Arial" w:hAnsi="Arial" w:cs="Arial"/>
                <w:sz w:val="16"/>
                <w:szCs w:val="16"/>
              </w:rPr>
              <w:t xml:space="preserve"> </w:t>
            </w:r>
          </w:p>
          <w:p w:rsidR="00A06215" w:rsidRPr="007727C2" w:rsidRDefault="00A06215" w:rsidP="00CE4C9D">
            <w:pPr>
              <w:jc w:val="center"/>
              <w:rPr>
                <w:rFonts w:cs="Arial"/>
                <w:bCs/>
                <w:color w:val="333333"/>
                <w:sz w:val="16"/>
                <w:szCs w:val="16"/>
              </w:rPr>
            </w:pPr>
          </w:p>
        </w:tc>
      </w:tr>
    </w:tbl>
    <w:p w:rsidR="00A06215" w:rsidRPr="00383D2D" w:rsidRDefault="00A06215" w:rsidP="00A8525E">
      <w:pPr>
        <w:rPr>
          <w:szCs w:val="20"/>
        </w:rPr>
      </w:pPr>
    </w:p>
    <w:p w:rsidR="00A06215" w:rsidRDefault="00A06215" w:rsidP="00A8525E">
      <w:pPr>
        <w:rPr>
          <w:rFonts w:cs="Arial"/>
          <w:color w:val="000000"/>
          <w:sz w:val="22"/>
          <w:szCs w:val="22"/>
        </w:rPr>
      </w:pPr>
    </w:p>
    <w:p w:rsidR="00A06215" w:rsidRDefault="00A06215" w:rsidP="00A8525E">
      <w:pPr>
        <w:rPr>
          <w:b/>
          <w:sz w:val="18"/>
          <w:szCs w:val="18"/>
        </w:rPr>
      </w:pPr>
      <w:r>
        <w:rPr>
          <w:rFonts w:cs="Arial"/>
          <w:color w:val="000000"/>
          <w:sz w:val="22"/>
          <w:szCs w:val="22"/>
        </w:rPr>
        <w:t xml:space="preserve">RESOURCE UTILIZATION </w:t>
      </w:r>
    </w:p>
    <w:p w:rsidR="00A06215" w:rsidRPr="008F4A6D" w:rsidRDefault="00A06215">
      <w:pPr>
        <w:rPr>
          <w:szCs w:val="20"/>
        </w:rPr>
      </w:pPr>
    </w:p>
    <w:p w:rsidR="00A06215" w:rsidRPr="00383D2D" w:rsidRDefault="00A06215" w:rsidP="004611B9">
      <w:pPr>
        <w:pStyle w:val="NormalWeb"/>
        <w:spacing w:before="0" w:beforeAutospacing="0" w:after="0" w:afterAutospacing="0"/>
        <w:jc w:val="center"/>
        <w:rPr>
          <w:sz w:val="20"/>
          <w:szCs w:val="20"/>
        </w:rPr>
      </w:pPr>
      <w:r w:rsidRPr="00383D2D">
        <w:rPr>
          <w:color w:val="000000"/>
          <w:sz w:val="20"/>
          <w:szCs w:val="20"/>
        </w:rPr>
        <w:t xml:space="preserve">Budget and Actual Expenditure (by result) </w:t>
      </w:r>
    </w:p>
    <w:p w:rsidR="00A06215" w:rsidRDefault="00A06215" w:rsidP="004611B9">
      <w:pPr>
        <w:pStyle w:val="NormalWeb"/>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A06215" w:rsidRPr="00383D2D" w:rsidRDefault="00A06215" w:rsidP="004611B9">
      <w:pPr>
        <w:pStyle w:val="NormalWeb"/>
        <w:spacing w:before="0" w:beforeAutospacing="0" w:after="0" w:afterAutospacing="0"/>
        <w:jc w:val="center"/>
        <w:rPr>
          <w:sz w:val="20"/>
          <w:szCs w:val="20"/>
        </w:rPr>
      </w:pPr>
    </w:p>
    <w:p w:rsidR="00A06215" w:rsidRDefault="00A06215" w:rsidP="00CE4C9D">
      <w:pPr>
        <w:jc w:val="center"/>
      </w:pPr>
      <w:r w:rsidRPr="00B81789">
        <w:rPr>
          <w:noProof/>
        </w:rPr>
        <w:drawing>
          <wp:inline distT="0" distB="0" distL="0" distR="0" wp14:anchorId="2D29D7BF" wp14:editId="39468CBC">
            <wp:extent cx="5404194" cy="3935896"/>
            <wp:effectExtent l="0" t="0" r="6350" b="7620"/>
            <wp:docPr id="860"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05437" cy="3936802"/>
                    </a:xfrm>
                    <a:prstGeom prst="rect">
                      <a:avLst/>
                    </a:prstGeom>
                    <a:noFill/>
                    <a:ln>
                      <a:noFill/>
                    </a:ln>
                  </pic:spPr>
                </pic:pic>
              </a:graphicData>
            </a:graphic>
          </wp:inline>
        </w:drawing>
      </w:r>
    </w:p>
    <w:p w:rsidR="00A06215" w:rsidRDefault="00A06215"/>
    <w:p w:rsidR="00A06215" w:rsidRPr="00383D2D" w:rsidRDefault="00A06215" w:rsidP="00383D2D">
      <w:pPr>
        <w:pStyle w:val="NormalWeb"/>
        <w:keepNext/>
        <w:keepLines/>
        <w:spacing w:before="0" w:beforeAutospacing="0" w:after="0" w:afterAutospacing="0"/>
        <w:jc w:val="center"/>
        <w:rPr>
          <w:sz w:val="20"/>
          <w:szCs w:val="20"/>
        </w:rPr>
      </w:pPr>
      <w:r w:rsidRPr="00383D2D">
        <w:rPr>
          <w:color w:val="000000"/>
          <w:sz w:val="20"/>
          <w:szCs w:val="20"/>
        </w:rPr>
        <w:lastRenderedPageBreak/>
        <w:t xml:space="preserve">Budget and Actual Expenditure (personnel and non-personnel) </w:t>
      </w:r>
    </w:p>
    <w:p w:rsidR="00A06215" w:rsidRPr="00383D2D" w:rsidRDefault="00A06215" w:rsidP="00383D2D">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A06215" w:rsidRDefault="00A06215" w:rsidP="00383D2D">
      <w:pPr>
        <w:pStyle w:val="NormalWeb"/>
        <w:keepNext/>
        <w:keepLines/>
        <w:spacing w:before="0" w:beforeAutospacing="0" w:after="0" w:afterAutospacing="0"/>
        <w:jc w:val="center"/>
      </w:pPr>
    </w:p>
    <w:p w:rsidR="00A06215" w:rsidRPr="00383D2D" w:rsidRDefault="00A06215" w:rsidP="00CE4C9D">
      <w:pPr>
        <w:jc w:val="center"/>
        <w:rPr>
          <w:szCs w:val="20"/>
        </w:rPr>
      </w:pPr>
      <w:r w:rsidRPr="00B81789">
        <w:rPr>
          <w:noProof/>
        </w:rPr>
        <w:drawing>
          <wp:inline distT="0" distB="0" distL="0" distR="0" wp14:anchorId="6291D3AC" wp14:editId="0F72635A">
            <wp:extent cx="5629524" cy="1206999"/>
            <wp:effectExtent l="0" t="0" r="0" b="0"/>
            <wp:docPr id="861" name="Pictur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22755" cy="1205548"/>
                    </a:xfrm>
                    <a:prstGeom prst="rect">
                      <a:avLst/>
                    </a:prstGeom>
                    <a:noFill/>
                    <a:ln>
                      <a:noFill/>
                    </a:ln>
                  </pic:spPr>
                </pic:pic>
              </a:graphicData>
            </a:graphic>
          </wp:inline>
        </w:drawing>
      </w:r>
    </w:p>
    <w:p w:rsidR="00A06215" w:rsidRPr="00757BD0" w:rsidRDefault="00A06215" w:rsidP="00CE4C9D">
      <w:pPr>
        <w:rPr>
          <w:rFonts w:cs="Arial"/>
          <w:sz w:val="16"/>
          <w:szCs w:val="16"/>
        </w:rPr>
      </w:pPr>
      <w:r w:rsidRPr="00757BD0">
        <w:rPr>
          <w:rFonts w:cs="Arial"/>
          <w:sz w:val="16"/>
          <w:szCs w:val="16"/>
        </w:rPr>
        <w:t>NOTE: The 2014/15 Budget after Transfers reflects transfers as of March 31, 2015 to address needs during the 2014/15 biennium in line with Financial Regulation 5.5.</w:t>
      </w:r>
    </w:p>
    <w:p w:rsidR="00A06215" w:rsidRPr="004312A2" w:rsidRDefault="00A06215" w:rsidP="00DD012F">
      <w:pPr>
        <w:keepNext/>
        <w:autoSpaceDE w:val="0"/>
        <w:autoSpaceDN w:val="0"/>
        <w:rPr>
          <w:sz w:val="16"/>
          <w:szCs w:val="16"/>
        </w:rPr>
      </w:pPr>
    </w:p>
    <w:p w:rsidR="00A06215" w:rsidRPr="004312A2" w:rsidRDefault="00A06215" w:rsidP="00DD012F">
      <w:pPr>
        <w:keepNext/>
        <w:autoSpaceDE w:val="0"/>
        <w:autoSpaceDN w:val="0"/>
        <w:rPr>
          <w:sz w:val="16"/>
          <w:szCs w:val="16"/>
        </w:rPr>
      </w:pPr>
    </w:p>
    <w:p w:rsidR="00A06215" w:rsidRDefault="00A06215" w:rsidP="00A93FCA">
      <w:pPr>
        <w:rPr>
          <w:rFonts w:cs="Arial"/>
          <w:u w:val="single"/>
        </w:rPr>
      </w:pPr>
      <w:r w:rsidRPr="00420F90">
        <w:rPr>
          <w:rFonts w:cs="Arial"/>
          <w:szCs w:val="20"/>
        </w:rPr>
        <w:t>A.</w:t>
      </w:r>
      <w:r w:rsidRPr="00420F90">
        <w:rPr>
          <w:rFonts w:cs="Arial"/>
        </w:rPr>
        <w:tab/>
      </w:r>
      <w:r w:rsidRPr="00420F90">
        <w:rPr>
          <w:rFonts w:cs="Arial"/>
          <w:u w:val="single"/>
        </w:rPr>
        <w:t>Budget after Transfers 201</w:t>
      </w:r>
      <w:r>
        <w:rPr>
          <w:rFonts w:cs="Arial"/>
          <w:u w:val="single"/>
        </w:rPr>
        <w:t>4/15</w:t>
      </w:r>
    </w:p>
    <w:p w:rsidR="00A06215" w:rsidRPr="00420F90" w:rsidRDefault="00A06215" w:rsidP="00A93FCA">
      <w:pPr>
        <w:rPr>
          <w:rFonts w:cs="Arial"/>
          <w:u w:val="single"/>
        </w:rPr>
      </w:pPr>
    </w:p>
    <w:p w:rsidR="00A06215" w:rsidRPr="00926A95" w:rsidRDefault="00A06215" w:rsidP="00A06215">
      <w:pPr>
        <w:pStyle w:val="ListParagraph"/>
        <w:numPr>
          <w:ilvl w:val="0"/>
          <w:numId w:val="102"/>
        </w:numPr>
        <w:tabs>
          <w:tab w:val="left" w:pos="0"/>
          <w:tab w:val="left" w:pos="709"/>
        </w:tabs>
        <w:ind w:left="0" w:firstLine="0"/>
        <w:jc w:val="both"/>
        <w:rPr>
          <w:rFonts w:cs="Arial"/>
        </w:rPr>
      </w:pPr>
      <w:r w:rsidRPr="000A295F">
        <w:rPr>
          <w:rFonts w:cs="Arial"/>
        </w:rPr>
        <w:t xml:space="preserve">The shift of </w:t>
      </w:r>
      <w:r>
        <w:rPr>
          <w:rFonts w:cs="Arial"/>
        </w:rPr>
        <w:t>resources</w:t>
      </w:r>
      <w:r w:rsidRPr="000A295F">
        <w:rPr>
          <w:rFonts w:cs="Arial"/>
        </w:rPr>
        <w:t xml:space="preserve"> from Expected Result I.1 to Expected Result I.2 was mainly due to the allocation of additional per</w:t>
      </w:r>
      <w:r w:rsidRPr="0037262C">
        <w:rPr>
          <w:rFonts w:cs="Arial"/>
        </w:rPr>
        <w:t>sonnel and non-personnel resources to respond to requests for assistance related to the ratification and implementation of the Marrakesh and Beijing Treaties.</w:t>
      </w:r>
    </w:p>
    <w:p w:rsidR="00A06215" w:rsidRDefault="00A06215" w:rsidP="00CE4C9D">
      <w:pPr>
        <w:rPr>
          <w:rFonts w:cs="Arial"/>
          <w:szCs w:val="20"/>
        </w:rPr>
      </w:pPr>
    </w:p>
    <w:p w:rsidR="00A06215" w:rsidRDefault="00A06215" w:rsidP="00A06215">
      <w:pPr>
        <w:pStyle w:val="ListParagraph"/>
        <w:numPr>
          <w:ilvl w:val="0"/>
          <w:numId w:val="102"/>
        </w:numPr>
        <w:tabs>
          <w:tab w:val="left" w:pos="0"/>
          <w:tab w:val="left" w:pos="709"/>
        </w:tabs>
        <w:ind w:left="0" w:firstLine="0"/>
        <w:jc w:val="both"/>
        <w:rPr>
          <w:rFonts w:cs="Arial"/>
        </w:rPr>
      </w:pPr>
      <w:r>
        <w:rPr>
          <w:rFonts w:cs="Arial"/>
        </w:rPr>
        <w:t xml:space="preserve">The </w:t>
      </w:r>
      <w:r w:rsidRPr="00CF2880">
        <w:rPr>
          <w:rFonts w:eastAsia="SimSun" w:cs="Arial"/>
          <w:bCs/>
          <w:lang w:eastAsia="zh-CN"/>
        </w:rPr>
        <w:t>increase</w:t>
      </w:r>
      <w:r>
        <w:rPr>
          <w:rFonts w:cs="Arial"/>
        </w:rPr>
        <w:t xml:space="preserve"> in resources allocated to Expected Result IV.2 was primarily due to a greater emphasis on ABC-related activities.</w:t>
      </w:r>
    </w:p>
    <w:p w:rsidR="00A06215" w:rsidRDefault="00A06215" w:rsidP="00CE4C9D">
      <w:pPr>
        <w:rPr>
          <w:rFonts w:cs="Arial"/>
          <w:szCs w:val="20"/>
        </w:rPr>
      </w:pPr>
    </w:p>
    <w:p w:rsidR="00A06215" w:rsidRPr="000A295F" w:rsidRDefault="00A06215" w:rsidP="00A06215">
      <w:pPr>
        <w:pStyle w:val="ListParagraph"/>
        <w:numPr>
          <w:ilvl w:val="0"/>
          <w:numId w:val="102"/>
        </w:numPr>
        <w:tabs>
          <w:tab w:val="left" w:pos="0"/>
          <w:tab w:val="left" w:pos="709"/>
        </w:tabs>
        <w:ind w:left="0" w:firstLine="0"/>
        <w:jc w:val="both"/>
        <w:rPr>
          <w:rFonts w:cs="Arial"/>
        </w:rPr>
      </w:pPr>
      <w:r w:rsidRPr="000A295F">
        <w:rPr>
          <w:rFonts w:cs="Arial"/>
        </w:rPr>
        <w:t xml:space="preserve">The </w:t>
      </w:r>
      <w:r w:rsidRPr="00CF2880">
        <w:rPr>
          <w:rFonts w:eastAsia="SimSun" w:cs="Arial"/>
          <w:bCs/>
          <w:lang w:eastAsia="zh-CN"/>
        </w:rPr>
        <w:t>decrease</w:t>
      </w:r>
      <w:r w:rsidRPr="000A295F">
        <w:rPr>
          <w:rFonts w:cs="Arial"/>
        </w:rPr>
        <w:t xml:space="preserve"> in </w:t>
      </w:r>
      <w:r>
        <w:rPr>
          <w:rFonts w:cs="Arial"/>
        </w:rPr>
        <w:t>resources</w:t>
      </w:r>
      <w:r w:rsidRPr="000A295F">
        <w:rPr>
          <w:rFonts w:cs="Arial"/>
        </w:rPr>
        <w:t xml:space="preserve"> allocated to Expected Result IV.4 was due to certain WIPOCOS </w:t>
      </w:r>
      <w:r>
        <w:rPr>
          <w:rFonts w:cs="Arial"/>
        </w:rPr>
        <w:t xml:space="preserve">related </w:t>
      </w:r>
      <w:r w:rsidRPr="000A295F">
        <w:rPr>
          <w:rFonts w:cs="Arial"/>
        </w:rPr>
        <w:t xml:space="preserve">activities being undertaken by personnel outside </w:t>
      </w:r>
      <w:r>
        <w:rPr>
          <w:rFonts w:cs="Arial"/>
        </w:rPr>
        <w:t>of the Program</w:t>
      </w:r>
      <w:r w:rsidRPr="000A295F">
        <w:rPr>
          <w:rFonts w:cs="Arial"/>
        </w:rPr>
        <w:t>.</w:t>
      </w:r>
    </w:p>
    <w:p w:rsidR="00A06215" w:rsidRDefault="00A06215" w:rsidP="00CE4C9D">
      <w:pPr>
        <w:rPr>
          <w:rFonts w:eastAsiaTheme="minorHAnsi" w:cs="Arial"/>
          <w:szCs w:val="20"/>
        </w:rPr>
      </w:pPr>
    </w:p>
    <w:p w:rsidR="00A06215" w:rsidRDefault="00A06215" w:rsidP="00A06215">
      <w:pPr>
        <w:pStyle w:val="ListParagraph"/>
        <w:numPr>
          <w:ilvl w:val="0"/>
          <w:numId w:val="102"/>
        </w:numPr>
        <w:tabs>
          <w:tab w:val="left" w:pos="0"/>
          <w:tab w:val="left" w:pos="709"/>
        </w:tabs>
        <w:ind w:left="0" w:firstLine="0"/>
        <w:jc w:val="both"/>
        <w:rPr>
          <w:rFonts w:eastAsiaTheme="minorHAnsi" w:cs="Arial"/>
        </w:rPr>
      </w:pPr>
      <w:r w:rsidRPr="00CF2880">
        <w:rPr>
          <w:rFonts w:eastAsia="SimSun" w:cs="Arial"/>
          <w:bCs/>
          <w:lang w:eastAsia="zh-CN"/>
        </w:rPr>
        <w:t>Resources</w:t>
      </w:r>
      <w:r>
        <w:rPr>
          <w:rFonts w:eastAsiaTheme="minorHAnsi" w:cs="Arial"/>
        </w:rPr>
        <w:t xml:space="preserve"> linked to </w:t>
      </w:r>
      <w:proofErr w:type="gramStart"/>
      <w:r>
        <w:rPr>
          <w:rFonts w:eastAsiaTheme="minorHAnsi" w:cs="Arial"/>
        </w:rPr>
        <w:t>Expected</w:t>
      </w:r>
      <w:proofErr w:type="gramEnd"/>
      <w:r>
        <w:rPr>
          <w:rFonts w:eastAsiaTheme="minorHAnsi" w:cs="Arial"/>
        </w:rPr>
        <w:t xml:space="preserve"> Result VIII.1 reflects efforts dedicated by the Office of the Deputy Director General of the Copyright and Related Rights Sector to the activities of Program 19. </w:t>
      </w:r>
    </w:p>
    <w:p w:rsidR="00A06215" w:rsidRDefault="00A06215" w:rsidP="00CE4C9D">
      <w:pPr>
        <w:autoSpaceDE w:val="0"/>
        <w:autoSpaceDN w:val="0"/>
        <w:jc w:val="both"/>
        <w:rPr>
          <w:rFonts w:cs="Arial"/>
          <w:szCs w:val="20"/>
          <w:lang w:eastAsia="ko-KR"/>
        </w:rPr>
      </w:pPr>
    </w:p>
    <w:p w:rsidR="00A06215" w:rsidRDefault="00A06215" w:rsidP="00CE4C9D">
      <w:pPr>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Budget utilization 2014</w:t>
      </w:r>
    </w:p>
    <w:p w:rsidR="00A06215" w:rsidRDefault="00A06215" w:rsidP="00CE4C9D">
      <w:pPr>
        <w:autoSpaceDE w:val="0"/>
        <w:autoSpaceDN w:val="0"/>
        <w:jc w:val="both"/>
        <w:rPr>
          <w:rFonts w:cs="Arial"/>
          <w:szCs w:val="20"/>
          <w:lang w:eastAsia="ko-KR"/>
        </w:rPr>
      </w:pPr>
    </w:p>
    <w:p w:rsidR="00A06215" w:rsidRDefault="00A06215" w:rsidP="00A06215">
      <w:pPr>
        <w:pStyle w:val="ListParagraph"/>
        <w:numPr>
          <w:ilvl w:val="0"/>
          <w:numId w:val="102"/>
        </w:numPr>
        <w:tabs>
          <w:tab w:val="left" w:pos="0"/>
          <w:tab w:val="left" w:pos="709"/>
        </w:tabs>
        <w:ind w:left="0" w:firstLine="0"/>
        <w:jc w:val="both"/>
        <w:rPr>
          <w:rFonts w:cs="Arial"/>
          <w:lang w:eastAsia="ko-KR"/>
        </w:rPr>
      </w:pPr>
      <w:r>
        <w:rPr>
          <w:rFonts w:cs="Arial"/>
          <w:lang w:eastAsia="ko-KR"/>
        </w:rPr>
        <w:t xml:space="preserve">Budget </w:t>
      </w:r>
      <w:r w:rsidRPr="00CF2880">
        <w:rPr>
          <w:rFonts w:eastAsia="SimSun" w:cs="Arial"/>
          <w:bCs/>
          <w:lang w:eastAsia="zh-CN"/>
        </w:rPr>
        <w:t>utilization</w:t>
      </w:r>
      <w:r>
        <w:rPr>
          <w:rFonts w:cs="Arial"/>
          <w:lang w:eastAsia="ko-KR"/>
        </w:rPr>
        <w:t xml:space="preserve"> is within the expected range of 40-60 per cent for the first year of the biennium and is on track. </w:t>
      </w:r>
    </w:p>
    <w:p w:rsidR="00A06215" w:rsidRDefault="00A06215" w:rsidP="00CE4C9D">
      <w:pPr>
        <w:autoSpaceDE w:val="0"/>
        <w:autoSpaceDN w:val="0"/>
        <w:jc w:val="both"/>
        <w:rPr>
          <w:rFonts w:cs="Arial"/>
          <w:szCs w:val="20"/>
          <w:lang w:eastAsia="ko-KR"/>
        </w:rPr>
      </w:pPr>
    </w:p>
    <w:p w:rsidR="00A06215" w:rsidRDefault="00A06215" w:rsidP="00CE4C9D">
      <w:pPr>
        <w:autoSpaceDE w:val="0"/>
        <w:autoSpaceDN w:val="0"/>
        <w:jc w:val="both"/>
        <w:rPr>
          <w:rFonts w:ascii="Calibri" w:hAnsi="Calibri"/>
          <w:sz w:val="22"/>
          <w:szCs w:val="22"/>
        </w:rPr>
      </w:pPr>
    </w:p>
    <w:p w:rsidR="00A06215" w:rsidRDefault="00A06215" w:rsidP="00CE4C9D">
      <w:pPr>
        <w:autoSpaceDE w:val="0"/>
        <w:autoSpaceDN w:val="0"/>
        <w:jc w:val="both"/>
      </w:pPr>
    </w:p>
    <w:p w:rsidR="00A2049F" w:rsidRDefault="00A2049F"/>
    <w:p w:rsidR="00E70E02" w:rsidRDefault="00E70E02"/>
    <w:p w:rsidR="00E70E02" w:rsidRDefault="00E70E02">
      <w:r>
        <w:br w:type="page"/>
      </w:r>
    </w:p>
    <w:p w:rsidR="00565921" w:rsidRPr="001243AF" w:rsidRDefault="00565921" w:rsidP="00271CFB">
      <w:pPr>
        <w:pStyle w:val="Heading2"/>
        <w:tabs>
          <w:tab w:val="clear" w:pos="567"/>
        </w:tabs>
        <w:ind w:left="1985" w:hanging="1985"/>
      </w:pPr>
      <w:bookmarkStart w:id="51" w:name="_Toc422210480"/>
      <w:r w:rsidRPr="001243AF">
        <w:lastRenderedPageBreak/>
        <w:t xml:space="preserve">PROGRAM </w:t>
      </w:r>
      <w:r>
        <w:t>4</w:t>
      </w:r>
      <w:r>
        <w:tab/>
        <w:t>TRADITIONAL KNOWLEDGE, TRADITIONAL CULTURAL EXPRESSIONS AND GENETIC RESOURCES</w:t>
      </w:r>
      <w:bookmarkEnd w:id="51"/>
    </w:p>
    <w:p w:rsidR="00565921" w:rsidRPr="00383D2D" w:rsidRDefault="00565921" w:rsidP="000E148D">
      <w:pPr>
        <w:rPr>
          <w:szCs w:val="20"/>
        </w:rPr>
      </w:pPr>
    </w:p>
    <w:p w:rsidR="00565921" w:rsidRPr="004C1060" w:rsidRDefault="00565921" w:rsidP="00271CFB">
      <w:pPr>
        <w:tabs>
          <w:tab w:val="left" w:pos="1985"/>
        </w:tabs>
        <w:rPr>
          <w:b/>
          <w:szCs w:val="22"/>
        </w:rPr>
      </w:pPr>
      <w:r w:rsidRPr="004C1060">
        <w:rPr>
          <w:b/>
          <w:szCs w:val="22"/>
        </w:rPr>
        <w:t>Program Manager</w:t>
      </w:r>
      <w:r w:rsidRPr="004C1060">
        <w:rPr>
          <w:b/>
          <w:szCs w:val="22"/>
        </w:rPr>
        <w:tab/>
        <w:t>Mr. M. A. Getahun</w:t>
      </w:r>
    </w:p>
    <w:p w:rsidR="00565921" w:rsidRPr="008F4A6D" w:rsidRDefault="00565921" w:rsidP="000E148D">
      <w:pPr>
        <w:rPr>
          <w:szCs w:val="20"/>
        </w:rPr>
      </w:pPr>
    </w:p>
    <w:p w:rsidR="00565921" w:rsidRPr="001C6F4D" w:rsidRDefault="00565921" w:rsidP="000E148D">
      <w:pPr>
        <w:rPr>
          <w:szCs w:val="20"/>
        </w:rPr>
      </w:pPr>
    </w:p>
    <w:p w:rsidR="00565921" w:rsidRPr="005E6AFC" w:rsidRDefault="00565921" w:rsidP="000E148D">
      <w:pPr>
        <w:rPr>
          <w:bCs/>
          <w:sz w:val="22"/>
          <w:szCs w:val="22"/>
        </w:rPr>
      </w:pPr>
      <w:r>
        <w:rPr>
          <w:bCs/>
          <w:sz w:val="22"/>
          <w:szCs w:val="22"/>
        </w:rPr>
        <w:t>OVERVIEW OF PROGRESS IN 2014</w:t>
      </w:r>
    </w:p>
    <w:p w:rsidR="00565921" w:rsidRPr="00383D2D" w:rsidRDefault="00565921" w:rsidP="000E148D">
      <w:pPr>
        <w:rPr>
          <w:szCs w:val="20"/>
        </w:rPr>
      </w:pPr>
    </w:p>
    <w:p w:rsidR="00565921" w:rsidRPr="00383D2D" w:rsidRDefault="00565921" w:rsidP="00271CFB">
      <w:pPr>
        <w:jc w:val="both"/>
        <w:rPr>
          <w:rFonts w:cs="Arial"/>
          <w:szCs w:val="20"/>
        </w:rPr>
      </w:pPr>
    </w:p>
    <w:p w:rsidR="00565921" w:rsidRDefault="00565921" w:rsidP="00565921">
      <w:pPr>
        <w:numPr>
          <w:ilvl w:val="0"/>
          <w:numId w:val="39"/>
        </w:numPr>
        <w:jc w:val="both"/>
      </w:pPr>
      <w:r>
        <w:rPr>
          <w:bCs/>
        </w:rPr>
        <w:t xml:space="preserve">The year under review saw continued progress </w:t>
      </w:r>
      <w:r>
        <w:t xml:space="preserve">in the negotiations of the WIPO Intergovernmental Committee on Intellectual Property and Genetic Resources, Traditional Knowledge and Folklore (the IGC).  Under its new mandate for the current biennium established in 2013, the IGC met three times (IGCs 26, 27 and 28).  The IGC followed a clearly defined work program and sound working methods.  Member States continued to organize consultations and preparatory meetings before IGC sessions. The IGC made progress in “text-based negotiations” pursuant to its mandate.  By the end of the third and final session for the year (IGC 28), the IGC had further streamlined a consolidated text on genetic resources (GRs) and made further progress on the texts on traditional knowledge (TK) and traditional cultural expressions (TCEs).  The Secretariat continued to endeavor to play a neutral, professional and efficient </w:t>
      </w:r>
      <w:proofErr w:type="spellStart"/>
      <w:r>
        <w:t>facilitatory</w:t>
      </w:r>
      <w:proofErr w:type="spellEnd"/>
      <w:r>
        <w:t xml:space="preserve"> role in support of the IGC process and to further improve the services provided to IGC participants as a</w:t>
      </w:r>
      <w:r w:rsidRPr="00D82A96">
        <w:t xml:space="preserve"> </w:t>
      </w:r>
      <w:r>
        <w:t xml:space="preserve">follow up to the evaluation conducted by WIPO’s Internal Oversight Division (IOD) in 2013, which found a high rate (96 per cent) of satisfaction among IGC participants. Although the Secretariat continued to facilitate the participation in the IGC process of indigenous peoples and local communities as far as possible, the Voluntary Fund for Accredited Indigenous and Local Communities remained depleted. The WIPO General Assembly in October 2014, while taking stock and considering the texts and the progress made, was not in a position at that particular juncture to agree on an IGC work program for 2015. </w:t>
      </w:r>
    </w:p>
    <w:p w:rsidR="00565921" w:rsidRDefault="00565921" w:rsidP="00271CFB">
      <w:pPr>
        <w:jc w:val="both"/>
      </w:pPr>
    </w:p>
    <w:p w:rsidR="00565921" w:rsidRDefault="00565921" w:rsidP="00565921">
      <w:pPr>
        <w:numPr>
          <w:ilvl w:val="0"/>
          <w:numId w:val="39"/>
        </w:numPr>
        <w:jc w:val="both"/>
      </w:pPr>
      <w:r w:rsidRPr="009A1962">
        <w:rPr>
          <w:rFonts w:eastAsia="MS Mincho"/>
          <w:bCs/>
          <w:lang w:eastAsia="ja-JP" w:bidi="th-TH"/>
        </w:rPr>
        <w:t>The successful conclusion of the IGC’s negotiations is the subject of DA Recommendation 18</w:t>
      </w:r>
      <w:r>
        <w:rPr>
          <w:rFonts w:eastAsia="MS Mincho"/>
          <w:bCs/>
          <w:lang w:eastAsia="ja-JP" w:bidi="th-TH"/>
        </w:rPr>
        <w:t>,</w:t>
      </w:r>
      <w:r w:rsidRPr="009A1962">
        <w:rPr>
          <w:rFonts w:eastAsia="MS Mincho"/>
          <w:bCs/>
          <w:lang w:eastAsia="ja-JP" w:bidi="th-TH"/>
        </w:rPr>
        <w:t xml:space="preserve"> </w:t>
      </w:r>
      <w:r w:rsidRPr="00497E11">
        <w:rPr>
          <w:rFonts w:eastAsia="MS Mincho"/>
          <w:bCs/>
          <w:lang w:eastAsia="ja-JP" w:bidi="th-TH"/>
        </w:rPr>
        <w:t xml:space="preserve">which urges the IGC “to accelerate the process on the protection of GRs, TK and folklore, without prejudice to any outcome, including the possible </w:t>
      </w:r>
      <w:r w:rsidRPr="009A1962">
        <w:rPr>
          <w:rFonts w:eastAsia="MS Mincho"/>
          <w:bCs/>
          <w:lang w:eastAsia="ja-JP" w:bidi="th-TH"/>
        </w:rPr>
        <w:t xml:space="preserve">development of an international instrument or instruments”.  </w:t>
      </w:r>
      <w:r>
        <w:rPr>
          <w:rFonts w:eastAsia="MS Mincho"/>
          <w:bCs/>
          <w:lang w:eastAsia="ja-JP" w:bidi="th-TH"/>
        </w:rPr>
        <w:t xml:space="preserve">The </w:t>
      </w:r>
      <w:r w:rsidRPr="009A1962">
        <w:rPr>
          <w:rFonts w:eastAsia="MS Mincho"/>
          <w:bCs/>
          <w:lang w:eastAsia="ja-JP" w:bidi="th-TH"/>
        </w:rPr>
        <w:t>Program’s norm-setting activities within the IGC continued to be inclusive, member-driven and based upon open and balanced consultations, involving civil society at large (Recommendation</w:t>
      </w:r>
      <w:r>
        <w:rPr>
          <w:rFonts w:eastAsia="MS Mincho"/>
          <w:bCs/>
          <w:lang w:eastAsia="ja-JP" w:bidi="th-TH"/>
        </w:rPr>
        <w:t>s</w:t>
      </w:r>
      <w:r w:rsidRPr="009A1962">
        <w:rPr>
          <w:rFonts w:eastAsia="MS Mincho"/>
          <w:bCs/>
          <w:lang w:eastAsia="ja-JP" w:bidi="th-TH"/>
        </w:rPr>
        <w:t xml:space="preserve"> 15, </w:t>
      </w:r>
      <w:r w:rsidRPr="00497E11">
        <w:rPr>
          <w:rFonts w:eastAsia="MS Mincho"/>
          <w:bCs/>
          <w:lang w:eastAsia="ja-JP" w:bidi="th-TH"/>
        </w:rPr>
        <w:t>21 and 42), taking into account the public domain (Recommendations 16 and 20) and flexibilities in international IP agreements (Recommendation</w:t>
      </w:r>
      <w:r>
        <w:rPr>
          <w:rFonts w:eastAsia="MS Mincho"/>
          <w:bCs/>
          <w:lang w:eastAsia="ja-JP" w:bidi="th-TH"/>
        </w:rPr>
        <w:t>s</w:t>
      </w:r>
      <w:r w:rsidRPr="00497E11">
        <w:rPr>
          <w:rFonts w:eastAsia="MS Mincho"/>
          <w:bCs/>
          <w:lang w:eastAsia="ja-JP" w:bidi="th-TH"/>
        </w:rPr>
        <w:t xml:space="preserve"> 14 and 17). </w:t>
      </w:r>
      <w:r w:rsidRPr="009A1962">
        <w:rPr>
          <w:rFonts w:eastAsia="MS Mincho"/>
          <w:bCs/>
          <w:lang w:eastAsia="ja-JP" w:bidi="th-TH"/>
        </w:rPr>
        <w:t xml:space="preserve">The IGC’s negotiations contributed to the mainstreaming of development considerations and were supportive of the UN development goals (Recommendations 12 and 22).  </w:t>
      </w:r>
      <w:r>
        <w:t xml:space="preserve"> </w:t>
      </w:r>
    </w:p>
    <w:p w:rsidR="00565921" w:rsidRDefault="00565921" w:rsidP="00271CFB">
      <w:pPr>
        <w:jc w:val="both"/>
      </w:pPr>
    </w:p>
    <w:p w:rsidR="00565921" w:rsidRPr="00F925AF" w:rsidRDefault="00565921" w:rsidP="00565921">
      <w:pPr>
        <w:numPr>
          <w:ilvl w:val="0"/>
          <w:numId w:val="39"/>
        </w:numPr>
        <w:jc w:val="both"/>
      </w:pPr>
      <w:r>
        <w:t xml:space="preserve">In terms of capacity building and awareness raising, work continued on outreach to indigenous peoples and local communities with a view to enhancing their familiarity with IP and facilitating their effective participation in the IGC process; supporting, upon request, the development of national and regional legislation and policies; and forging practical solutions at all levels through increasing understanding of the issues and options.  In 2014, the Secretariat responded positively to </w:t>
      </w:r>
      <w:r w:rsidRPr="002511B0">
        <w:t>slightly more than 40</w:t>
      </w:r>
      <w:r>
        <w:t xml:space="preserve"> requests from Member States, NGOs, indigenous peoples and local communities</w:t>
      </w:r>
      <w:r w:rsidRPr="00290867">
        <w:t>,</w:t>
      </w:r>
      <w:r>
        <w:t xml:space="preserve"> industry associations and universities for briefings and other presentations on IP and TK, TCEs and GRs, whether in Geneva or abroad.  Given the intensity of and focus on the IGC process, large capacity building or technical assistance projects or events were kept to a minimum.  </w:t>
      </w:r>
      <w:r w:rsidRPr="00290867">
        <w:t>One</w:t>
      </w:r>
      <w:r>
        <w:t xml:space="preserve"> country received legislative and policy assistance at its request.  A Practical Workshop for Indigenous Peoples and Local Communities on Intellectual Property and </w:t>
      </w:r>
      <w:r w:rsidRPr="00290867">
        <w:t>Traditional</w:t>
      </w:r>
      <w:r>
        <w:t xml:space="preserve"> Knowledge was organized in December 2014.  WIPO continued to contribute as a technical partner to regional projects in </w:t>
      </w:r>
      <w:r w:rsidRPr="002511B0">
        <w:t>Africa, Asia</w:t>
      </w:r>
      <w:r>
        <w:t xml:space="preserve"> and the Pacific</w:t>
      </w:r>
      <w:r w:rsidRPr="002511B0">
        <w:t>,</w:t>
      </w:r>
      <w:r>
        <w:t xml:space="preserve"> and Latin America and the Caribbean.  </w:t>
      </w:r>
      <w:r w:rsidRPr="00EB5D3D">
        <w:rPr>
          <w:szCs w:val="20"/>
        </w:rPr>
        <w:t xml:space="preserve">WIPO also continued to make available a series of short, accessible publications on the key issues, and published </w:t>
      </w:r>
      <w:r w:rsidRPr="00EB5D3D">
        <w:rPr>
          <w:szCs w:val="20"/>
          <w:lang w:val="en-GB"/>
        </w:rPr>
        <w:t xml:space="preserve">a practical guide regarding </w:t>
      </w:r>
      <w:r w:rsidRPr="00EB5D3D">
        <w:rPr>
          <w:rFonts w:cs="Arial"/>
          <w:szCs w:val="20"/>
          <w:lang w:val="en-GB"/>
        </w:rPr>
        <w:t>Intellectual Property and Fol</w:t>
      </w:r>
      <w:r w:rsidRPr="00EB5D3D">
        <w:rPr>
          <w:szCs w:val="20"/>
          <w:lang w:val="en-GB"/>
        </w:rPr>
        <w:t>ks, Arts and Cultural Festivals</w:t>
      </w:r>
      <w:r>
        <w:rPr>
          <w:rStyle w:val="FootnoteReference"/>
          <w:szCs w:val="20"/>
          <w:lang w:val="en-GB"/>
        </w:rPr>
        <w:footnoteReference w:id="8"/>
      </w:r>
      <w:r w:rsidRPr="00EB5D3D">
        <w:rPr>
          <w:szCs w:val="20"/>
        </w:rPr>
        <w:t xml:space="preserve">.  </w:t>
      </w:r>
    </w:p>
    <w:p w:rsidR="00565921" w:rsidRDefault="00565921" w:rsidP="00271CFB">
      <w:pPr>
        <w:jc w:val="both"/>
      </w:pPr>
      <w:r w:rsidRPr="00D82A96">
        <w:rPr>
          <w:rFonts w:cs="Arial"/>
          <w:bCs/>
        </w:rPr>
        <w:t xml:space="preserve">  </w:t>
      </w:r>
    </w:p>
    <w:p w:rsidR="00565921" w:rsidRDefault="00565921" w:rsidP="00565921">
      <w:pPr>
        <w:numPr>
          <w:ilvl w:val="0"/>
          <w:numId w:val="39"/>
        </w:numPr>
        <w:jc w:val="both"/>
      </w:pPr>
      <w:r>
        <w:t xml:space="preserve"> In fostering cooperation with other relevant intergovernmental organizations and fora, the Secretariat cooperated even more closely with the Secretariat of the Convention on Biological Diversity (CBD) and </w:t>
      </w:r>
      <w:r w:rsidRPr="00CE3224">
        <w:rPr>
          <w:iCs/>
        </w:rPr>
        <w:t xml:space="preserve">the </w:t>
      </w:r>
      <w:r>
        <w:t xml:space="preserve">Nagoya Protocol on </w:t>
      </w:r>
      <w:r w:rsidRPr="00CE3224">
        <w:rPr>
          <w:iCs/>
        </w:rPr>
        <w:t xml:space="preserve">Access to Genetic Resources and the Fair and Equitable Sharing of Benefits Arising from their Utilization, including through co-organizing workshops </w:t>
      </w:r>
      <w:r>
        <w:rPr>
          <w:iCs/>
        </w:rPr>
        <w:t>for officials and indigenous and local communities</w:t>
      </w:r>
      <w:r w:rsidRPr="00CE3224">
        <w:rPr>
          <w:iCs/>
        </w:rPr>
        <w:t xml:space="preserve">. The Secretariat </w:t>
      </w:r>
      <w:r>
        <w:t>also worked with the United Nations Permanent Forum on Indigenous Issues (UNPFII) and participated in its 13</w:t>
      </w:r>
      <w:r w:rsidRPr="00CE3224">
        <w:rPr>
          <w:vertAlign w:val="superscript"/>
        </w:rPr>
        <w:t>th</w:t>
      </w:r>
      <w:r>
        <w:t xml:space="preserve"> session in May 2014 and the World </w:t>
      </w:r>
      <w:r>
        <w:lastRenderedPageBreak/>
        <w:t xml:space="preserve">Conference on Indigenous Peoples in September 2014, in order to further engage with indigenous and local community organizations and other UN organizations and extend </w:t>
      </w:r>
      <w:r w:rsidRPr="00DB6928">
        <w:t>its outreach to them.</w:t>
      </w:r>
      <w:r>
        <w:t xml:space="preserve"> At the request of the Secretariat of the UNPFII, the WIPO Secretariat provided financial support for the drafting, by an indigenous expert, of a technical review for the UNPFII of the draft IGC texts from a human rights perspective. </w:t>
      </w:r>
    </w:p>
    <w:p w:rsidR="00565921" w:rsidRPr="00F925AF" w:rsidRDefault="00565921" w:rsidP="00565921">
      <w:pPr>
        <w:jc w:val="both"/>
      </w:pPr>
    </w:p>
    <w:p w:rsidR="00565921" w:rsidRDefault="00565921" w:rsidP="00565921">
      <w:pPr>
        <w:numPr>
          <w:ilvl w:val="0"/>
          <w:numId w:val="39"/>
        </w:numPr>
        <w:jc w:val="both"/>
      </w:pPr>
      <w:r>
        <w:rPr>
          <w:rFonts w:eastAsia="MS Mincho"/>
          <w:bCs/>
          <w:lang w:eastAsia="ja-JP" w:bidi="th-TH"/>
        </w:rPr>
        <w:t xml:space="preserve">The Program’s technical assistance, capacity building and legislative assistance activities contributed directly to development and the fulfillment of other DA Recommendations, notably ensuring development-oriented, demand-driven technical assistance (Recommendations 1 and 12), providing legislative and policy advice on national legislation (Recommendations 11, 13 and 14), raising awareness on TK, TCEs and GRs related IP issues (Recommendation 3), and cooperating on IP related issues with UN agencies (Recommendation 40).  </w:t>
      </w:r>
    </w:p>
    <w:p w:rsidR="00565921" w:rsidRDefault="00565921" w:rsidP="00271CFB">
      <w:pPr>
        <w:jc w:val="both"/>
      </w:pPr>
    </w:p>
    <w:p w:rsidR="00565921" w:rsidRPr="00383D2D" w:rsidRDefault="00565921" w:rsidP="00A8525E">
      <w:pPr>
        <w:rPr>
          <w:b/>
          <w:szCs w:val="20"/>
        </w:rPr>
      </w:pPr>
    </w:p>
    <w:p w:rsidR="00565921" w:rsidRDefault="00565921" w:rsidP="00271CFB">
      <w:pPr>
        <w:rPr>
          <w:rFonts w:cs="Arial"/>
          <w:sz w:val="22"/>
          <w:szCs w:val="22"/>
        </w:rPr>
      </w:pPr>
      <w:r w:rsidRPr="005E6AFC">
        <w:rPr>
          <w:rFonts w:cs="Arial"/>
          <w:sz w:val="22"/>
          <w:szCs w:val="22"/>
        </w:rPr>
        <w:t>PERFORMANCE DATA</w:t>
      </w:r>
    </w:p>
    <w:p w:rsidR="00565921" w:rsidRPr="00A8525E" w:rsidRDefault="00565921" w:rsidP="00271CFB"/>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9"/>
        <w:gridCol w:w="2692"/>
        <w:gridCol w:w="1278"/>
        <w:gridCol w:w="2409"/>
        <w:gridCol w:w="990"/>
      </w:tblGrid>
      <w:tr w:rsidR="00565921" w:rsidRPr="00806461" w:rsidTr="000645CD">
        <w:trPr>
          <w:cantSplit/>
          <w:trHeight w:val="480"/>
        </w:trPr>
        <w:tc>
          <w:tcPr>
            <w:tcW w:w="5000" w:type="pct"/>
            <w:gridSpan w:val="5"/>
            <w:tcBorders>
              <w:top w:val="single" w:sz="4" w:space="0" w:color="auto"/>
              <w:bottom w:val="nil"/>
            </w:tcBorders>
            <w:shd w:val="clear" w:color="auto" w:fill="CCFFFF"/>
            <w:vAlign w:val="center"/>
          </w:tcPr>
          <w:p w:rsidR="00565921" w:rsidRPr="00806461" w:rsidRDefault="00565921" w:rsidP="00271CFB">
            <w:pPr>
              <w:keepNext/>
              <w:keepLines/>
              <w:tabs>
                <w:tab w:val="left" w:pos="1452"/>
              </w:tabs>
              <w:ind w:left="1452" w:hanging="1452"/>
              <w:rPr>
                <w:rFonts w:cs="Arial"/>
                <w:b/>
                <w:bCs/>
                <w:sz w:val="16"/>
                <w:szCs w:val="16"/>
              </w:rPr>
            </w:pPr>
            <w:r w:rsidRPr="00806461">
              <w:rPr>
                <w:rFonts w:cs="Arial"/>
                <w:b/>
                <w:bCs/>
                <w:sz w:val="16"/>
                <w:szCs w:val="16"/>
              </w:rPr>
              <w:t>Expected Result:</w:t>
            </w:r>
            <w:r w:rsidRPr="00806461">
              <w:rPr>
                <w:rFonts w:cs="Arial"/>
                <w:b/>
                <w:bCs/>
                <w:sz w:val="16"/>
                <w:szCs w:val="16"/>
              </w:rPr>
              <w:tab/>
            </w:r>
            <w:r w:rsidRPr="00D11840">
              <w:rPr>
                <w:rFonts w:cs="Arial"/>
                <w:bCs/>
                <w:sz w:val="16"/>
                <w:szCs w:val="16"/>
              </w:rPr>
              <w:t>I.1</w:t>
            </w:r>
            <w:r>
              <w:rPr>
                <w:rFonts w:cs="Arial"/>
                <w:b/>
                <w:bCs/>
                <w:sz w:val="16"/>
                <w:szCs w:val="16"/>
              </w:rPr>
              <w:t xml:space="preserve"> </w:t>
            </w:r>
            <w:r w:rsidRPr="007C7648">
              <w:rPr>
                <w:rFonts w:cs="Arial"/>
                <w:sz w:val="16"/>
                <w:szCs w:val="16"/>
              </w:rPr>
              <w:t>Enhanced cooperation among Member States on development of balanced international normative frameworks for IP and agreement on specific topics on which international instruments are agreed</w:t>
            </w:r>
          </w:p>
        </w:tc>
      </w:tr>
      <w:tr w:rsidR="00565921" w:rsidRPr="00806461" w:rsidTr="000645CD">
        <w:trPr>
          <w:cantSplit/>
        </w:trPr>
        <w:tc>
          <w:tcPr>
            <w:tcW w:w="1121" w:type="pct"/>
            <w:tcBorders>
              <w:top w:val="single" w:sz="4" w:space="0" w:color="auto"/>
              <w:bottom w:val="nil"/>
            </w:tcBorders>
            <w:vAlign w:val="center"/>
          </w:tcPr>
          <w:p w:rsidR="00565921" w:rsidRPr="00806461" w:rsidRDefault="00565921" w:rsidP="00271CFB">
            <w:pPr>
              <w:rPr>
                <w:rFonts w:cs="Arial"/>
                <w:sz w:val="16"/>
                <w:szCs w:val="16"/>
              </w:rPr>
            </w:pPr>
            <w:r w:rsidRPr="00806461">
              <w:rPr>
                <w:rFonts w:cs="Arial"/>
                <w:b/>
                <w:bCs/>
                <w:sz w:val="16"/>
                <w:szCs w:val="16"/>
              </w:rPr>
              <w:t>Performance Indicators</w:t>
            </w:r>
          </w:p>
        </w:tc>
        <w:tc>
          <w:tcPr>
            <w:tcW w:w="1417" w:type="pct"/>
            <w:tcBorders>
              <w:top w:val="single" w:sz="4" w:space="0" w:color="auto"/>
              <w:bottom w:val="nil"/>
            </w:tcBorders>
            <w:shd w:val="clear" w:color="auto" w:fill="auto"/>
            <w:vAlign w:val="center"/>
          </w:tcPr>
          <w:p w:rsidR="00565921" w:rsidRPr="00806461" w:rsidRDefault="00565921" w:rsidP="00271CFB">
            <w:pPr>
              <w:rPr>
                <w:rFonts w:cs="Arial"/>
                <w:b/>
                <w:bCs/>
                <w:sz w:val="16"/>
                <w:szCs w:val="16"/>
              </w:rPr>
            </w:pPr>
            <w:r w:rsidRPr="00806461">
              <w:rPr>
                <w:rFonts w:cs="Arial"/>
                <w:b/>
                <w:bCs/>
                <w:sz w:val="16"/>
                <w:szCs w:val="16"/>
              </w:rPr>
              <w:t>Baselines</w:t>
            </w:r>
          </w:p>
        </w:tc>
        <w:tc>
          <w:tcPr>
            <w:tcW w:w="673" w:type="pct"/>
            <w:tcBorders>
              <w:top w:val="single" w:sz="4" w:space="0" w:color="auto"/>
              <w:bottom w:val="nil"/>
            </w:tcBorders>
            <w:tcMar>
              <w:top w:w="110" w:type="dxa"/>
            </w:tcMar>
            <w:vAlign w:val="center"/>
          </w:tcPr>
          <w:p w:rsidR="00565921" w:rsidRPr="00806461" w:rsidRDefault="00565921" w:rsidP="00271CFB">
            <w:pPr>
              <w:rPr>
                <w:rFonts w:cs="Arial"/>
                <w:b/>
                <w:sz w:val="16"/>
                <w:szCs w:val="16"/>
              </w:rPr>
            </w:pPr>
            <w:r w:rsidRPr="00806461">
              <w:rPr>
                <w:rFonts w:cs="Arial"/>
                <w:b/>
                <w:sz w:val="16"/>
                <w:szCs w:val="16"/>
              </w:rPr>
              <w:t>Targets</w:t>
            </w:r>
          </w:p>
        </w:tc>
        <w:tc>
          <w:tcPr>
            <w:tcW w:w="1268" w:type="pct"/>
            <w:tcBorders>
              <w:top w:val="single" w:sz="4" w:space="0" w:color="auto"/>
              <w:bottom w:val="nil"/>
            </w:tcBorders>
            <w:shd w:val="clear" w:color="auto" w:fill="FFFFFF"/>
            <w:tcMar>
              <w:top w:w="110" w:type="dxa"/>
            </w:tcMar>
            <w:vAlign w:val="center"/>
          </w:tcPr>
          <w:p w:rsidR="00565921" w:rsidRPr="00806461" w:rsidRDefault="00565921" w:rsidP="00271CFB">
            <w:pPr>
              <w:rPr>
                <w:rFonts w:cs="Arial"/>
                <w:sz w:val="16"/>
                <w:szCs w:val="16"/>
              </w:rPr>
            </w:pPr>
            <w:r w:rsidRPr="00806461">
              <w:rPr>
                <w:rFonts w:cs="Arial"/>
                <w:b/>
                <w:bCs/>
                <w:sz w:val="16"/>
                <w:szCs w:val="16"/>
              </w:rPr>
              <w:t>Performance Data</w:t>
            </w:r>
          </w:p>
        </w:tc>
        <w:tc>
          <w:tcPr>
            <w:tcW w:w="522" w:type="pct"/>
            <w:tcBorders>
              <w:top w:val="single" w:sz="4" w:space="0" w:color="auto"/>
              <w:bottom w:val="nil"/>
            </w:tcBorders>
            <w:tcMar>
              <w:top w:w="110" w:type="dxa"/>
            </w:tcMar>
            <w:vAlign w:val="center"/>
          </w:tcPr>
          <w:p w:rsidR="00565921" w:rsidRPr="00F654CF" w:rsidRDefault="00565921" w:rsidP="00271CFB">
            <w:pPr>
              <w:keepNext/>
              <w:keepLines/>
              <w:jc w:val="center"/>
              <w:rPr>
                <w:rFonts w:cs="Arial"/>
                <w:b/>
                <w:bCs/>
                <w:sz w:val="16"/>
                <w:szCs w:val="16"/>
              </w:rPr>
            </w:pPr>
            <w:r w:rsidRPr="00F654CF">
              <w:rPr>
                <w:rFonts w:cs="Arial"/>
                <w:b/>
                <w:bCs/>
                <w:sz w:val="16"/>
                <w:szCs w:val="16"/>
              </w:rPr>
              <w:t>TLS</w:t>
            </w:r>
          </w:p>
        </w:tc>
      </w:tr>
      <w:tr w:rsidR="00565921" w:rsidRPr="00806461" w:rsidTr="000645CD">
        <w:trPr>
          <w:cantSplit/>
        </w:trPr>
        <w:tc>
          <w:tcPr>
            <w:tcW w:w="1121" w:type="pct"/>
            <w:tcBorders>
              <w:top w:val="nil"/>
              <w:bottom w:val="single" w:sz="4" w:space="0" w:color="auto"/>
            </w:tcBorders>
          </w:tcPr>
          <w:p w:rsidR="00565921" w:rsidRPr="00806461" w:rsidRDefault="00565921" w:rsidP="00271CFB">
            <w:pPr>
              <w:rPr>
                <w:rFonts w:cs="Arial"/>
                <w:sz w:val="16"/>
                <w:szCs w:val="16"/>
              </w:rPr>
            </w:pPr>
            <w:r w:rsidRPr="007C7648">
              <w:rPr>
                <w:rFonts w:cs="Arial"/>
                <w:sz w:val="16"/>
                <w:szCs w:val="16"/>
              </w:rPr>
              <w:t>Agreement in the IGC’s negotiations on an international legal instrument(s) on TK, TCEs and GRs</w:t>
            </w:r>
          </w:p>
        </w:tc>
        <w:tc>
          <w:tcPr>
            <w:tcW w:w="1417" w:type="pct"/>
            <w:tcBorders>
              <w:top w:val="nil"/>
              <w:bottom w:val="single" w:sz="4" w:space="0" w:color="auto"/>
            </w:tcBorders>
            <w:shd w:val="clear" w:color="auto" w:fill="auto"/>
          </w:tcPr>
          <w:p w:rsidR="00565921" w:rsidRPr="00806461" w:rsidRDefault="00565921" w:rsidP="00271CFB">
            <w:pPr>
              <w:rPr>
                <w:rFonts w:cs="Arial"/>
                <w:i/>
                <w:color w:val="002060"/>
                <w:sz w:val="16"/>
                <w:szCs w:val="16"/>
              </w:rPr>
            </w:pPr>
            <w:r>
              <w:rPr>
                <w:rFonts w:cs="Arial"/>
                <w:i/>
                <w:color w:val="002060"/>
                <w:sz w:val="16"/>
                <w:szCs w:val="16"/>
              </w:rPr>
              <w:t>Updated Baseline end 2013</w:t>
            </w:r>
            <w:r w:rsidRPr="00806461">
              <w:rPr>
                <w:rFonts w:cs="Arial"/>
                <w:i/>
                <w:color w:val="002060"/>
                <w:sz w:val="16"/>
                <w:szCs w:val="16"/>
              </w:rPr>
              <w:t>:</w:t>
            </w:r>
            <w:r>
              <w:rPr>
                <w:rFonts w:cs="Arial"/>
                <w:i/>
                <w:color w:val="002060"/>
                <w:sz w:val="16"/>
                <w:szCs w:val="16"/>
              </w:rPr>
              <w:t xml:space="preserve">  </w:t>
            </w:r>
            <w:r w:rsidRPr="007C7648">
              <w:rPr>
                <w:rFonts w:cs="Arial"/>
                <w:color w:val="002060"/>
                <w:sz w:val="16"/>
                <w:szCs w:val="16"/>
              </w:rPr>
              <w:t>The WIPO General Assembly in October 2013 agreed on a renewed mandate of the IGC for 2014/15 and a work program for 2014</w:t>
            </w:r>
          </w:p>
          <w:p w:rsidR="00565921" w:rsidRPr="00806461" w:rsidRDefault="00565921" w:rsidP="00271CFB">
            <w:pPr>
              <w:rPr>
                <w:rFonts w:cs="Arial"/>
                <w:i/>
                <w:color w:val="002060"/>
                <w:sz w:val="8"/>
                <w:szCs w:val="8"/>
              </w:rPr>
            </w:pPr>
          </w:p>
          <w:p w:rsidR="00565921" w:rsidRPr="00806461" w:rsidRDefault="00565921" w:rsidP="00271CFB">
            <w:pPr>
              <w:rPr>
                <w:rFonts w:cs="Arial"/>
                <w:sz w:val="16"/>
                <w:szCs w:val="16"/>
              </w:rPr>
            </w:pPr>
            <w:r>
              <w:rPr>
                <w:rFonts w:cs="Arial"/>
                <w:i/>
                <w:sz w:val="16"/>
                <w:szCs w:val="16"/>
              </w:rPr>
              <w:t>Original Baseline P&amp;B 2014/15</w:t>
            </w:r>
            <w:r w:rsidRPr="00806461">
              <w:rPr>
                <w:rFonts w:cs="Arial"/>
                <w:i/>
                <w:sz w:val="16"/>
                <w:szCs w:val="16"/>
              </w:rPr>
              <w:t>:</w:t>
            </w:r>
          </w:p>
          <w:p w:rsidR="00565921" w:rsidRDefault="00565921" w:rsidP="00271CFB">
            <w:pPr>
              <w:rPr>
                <w:rFonts w:cs="Arial"/>
                <w:sz w:val="16"/>
                <w:szCs w:val="16"/>
              </w:rPr>
            </w:pPr>
            <w:r w:rsidRPr="007C7648">
              <w:rPr>
                <w:rFonts w:cs="Arial"/>
                <w:sz w:val="16"/>
                <w:szCs w:val="16"/>
              </w:rPr>
              <w:t>Negotiations underway under IGC mandate for 2012-2013 and work program for 2013</w:t>
            </w:r>
          </w:p>
          <w:p w:rsidR="00565921" w:rsidRPr="00806461" w:rsidRDefault="00565921" w:rsidP="00271CFB">
            <w:pPr>
              <w:rPr>
                <w:rFonts w:cs="Arial"/>
                <w:sz w:val="16"/>
                <w:szCs w:val="16"/>
              </w:rPr>
            </w:pPr>
          </w:p>
        </w:tc>
        <w:tc>
          <w:tcPr>
            <w:tcW w:w="673" w:type="pct"/>
            <w:tcBorders>
              <w:top w:val="nil"/>
              <w:bottom w:val="single" w:sz="4" w:space="0" w:color="auto"/>
            </w:tcBorders>
            <w:tcMar>
              <w:top w:w="110" w:type="dxa"/>
            </w:tcMar>
          </w:tcPr>
          <w:p w:rsidR="00565921" w:rsidRPr="00575621" w:rsidRDefault="00565921" w:rsidP="00271CFB">
            <w:pPr>
              <w:autoSpaceDE w:val="0"/>
              <w:autoSpaceDN w:val="0"/>
              <w:adjustRightInd w:val="0"/>
              <w:rPr>
                <w:rFonts w:cs="Arial"/>
                <w:sz w:val="16"/>
                <w:szCs w:val="16"/>
              </w:rPr>
            </w:pPr>
            <w:r w:rsidRPr="007C7648">
              <w:rPr>
                <w:rFonts w:cs="Arial"/>
                <w:sz w:val="16"/>
                <w:szCs w:val="16"/>
              </w:rPr>
              <w:t>Adoption of an  international legal instrument(s) by a</w:t>
            </w:r>
            <w:r>
              <w:rPr>
                <w:rFonts w:cs="Arial"/>
                <w:sz w:val="16"/>
                <w:szCs w:val="16"/>
              </w:rPr>
              <w:t xml:space="preserve"> possible</w:t>
            </w:r>
            <w:r w:rsidRPr="007C7648">
              <w:rPr>
                <w:rFonts w:cs="Arial"/>
                <w:sz w:val="16"/>
                <w:szCs w:val="16"/>
              </w:rPr>
              <w:t xml:space="preserve"> Diplomatic Conference</w:t>
            </w:r>
          </w:p>
        </w:tc>
        <w:tc>
          <w:tcPr>
            <w:tcW w:w="1268" w:type="pct"/>
            <w:tcBorders>
              <w:top w:val="nil"/>
              <w:bottom w:val="single" w:sz="4" w:space="0" w:color="auto"/>
            </w:tcBorders>
            <w:shd w:val="clear" w:color="auto" w:fill="FFFFFF"/>
            <w:tcMar>
              <w:top w:w="110" w:type="dxa"/>
            </w:tcMar>
          </w:tcPr>
          <w:p w:rsidR="00565921" w:rsidRPr="000064E6" w:rsidRDefault="00565921" w:rsidP="00271CFB">
            <w:pPr>
              <w:rPr>
                <w:rFonts w:cs="Arial"/>
                <w:sz w:val="16"/>
                <w:szCs w:val="16"/>
                <w:lang w:bidi="th-TH"/>
              </w:rPr>
            </w:pPr>
            <w:r>
              <w:rPr>
                <w:sz w:val="16"/>
                <w:szCs w:val="16"/>
              </w:rPr>
              <w:t>After three further sessions in 2014, t</w:t>
            </w:r>
            <w:r w:rsidRPr="000064E6">
              <w:rPr>
                <w:sz w:val="16"/>
                <w:szCs w:val="16"/>
              </w:rPr>
              <w:t>he IGC made progress in</w:t>
            </w:r>
            <w:r>
              <w:rPr>
                <w:sz w:val="16"/>
                <w:szCs w:val="16"/>
              </w:rPr>
              <w:t xml:space="preserve"> its</w:t>
            </w:r>
            <w:r w:rsidRPr="000064E6">
              <w:rPr>
                <w:sz w:val="16"/>
                <w:szCs w:val="16"/>
              </w:rPr>
              <w:t xml:space="preserve"> text-based negotiations</w:t>
            </w:r>
            <w:r w:rsidRPr="00BF75EF">
              <w:rPr>
                <w:sz w:val="16"/>
                <w:szCs w:val="16"/>
              </w:rPr>
              <w:t xml:space="preserve"> pursuant to its mandate.</w:t>
            </w:r>
          </w:p>
          <w:p w:rsidR="00565921" w:rsidRPr="00806461" w:rsidRDefault="00565921" w:rsidP="00271CFB">
            <w:pPr>
              <w:rPr>
                <w:rFonts w:cs="Arial"/>
                <w:sz w:val="16"/>
                <w:szCs w:val="16"/>
              </w:rPr>
            </w:pPr>
            <w:r w:rsidRPr="007C7648">
              <w:rPr>
                <w:rFonts w:cs="Arial"/>
                <w:sz w:val="16"/>
                <w:szCs w:val="16"/>
                <w:lang w:bidi="th-TH"/>
              </w:rPr>
              <w:t>The WIPO General Assembly in October 2014 did not agree on a work program for the IGC in 2015</w:t>
            </w:r>
            <w:r>
              <w:rPr>
                <w:rFonts w:cs="Arial"/>
                <w:sz w:val="16"/>
                <w:szCs w:val="16"/>
                <w:lang w:bidi="th-TH"/>
              </w:rPr>
              <w:t>.</w:t>
            </w:r>
          </w:p>
        </w:tc>
        <w:tc>
          <w:tcPr>
            <w:tcW w:w="522" w:type="pct"/>
            <w:tcBorders>
              <w:top w:val="nil"/>
              <w:bottom w:val="single" w:sz="4" w:space="0" w:color="auto"/>
            </w:tcBorders>
            <w:tcMar>
              <w:top w:w="110" w:type="dxa"/>
            </w:tcMar>
          </w:tcPr>
          <w:p w:rsidR="00565921" w:rsidRPr="006C543C" w:rsidRDefault="00565921" w:rsidP="00271CFB">
            <w:pPr>
              <w:keepNext/>
              <w:keepLines/>
              <w:jc w:val="center"/>
              <w:rPr>
                <w:b/>
                <w:bCs/>
                <w:color w:val="FF0000"/>
                <w:sz w:val="16"/>
                <w:szCs w:val="16"/>
              </w:rPr>
            </w:pPr>
            <w:r w:rsidRPr="006C543C">
              <w:rPr>
                <w:b/>
                <w:bCs/>
                <w:color w:val="FF0000"/>
                <w:sz w:val="16"/>
                <w:szCs w:val="16"/>
              </w:rPr>
              <w:t xml:space="preserve">Not </w:t>
            </w:r>
            <w:r>
              <w:rPr>
                <w:b/>
                <w:bCs/>
                <w:color w:val="FF0000"/>
                <w:sz w:val="16"/>
                <w:szCs w:val="16"/>
              </w:rPr>
              <w:br/>
            </w:r>
            <w:r w:rsidRPr="006C543C">
              <w:rPr>
                <w:b/>
                <w:bCs/>
                <w:color w:val="FF0000"/>
                <w:sz w:val="16"/>
                <w:szCs w:val="16"/>
              </w:rPr>
              <w:t>on track</w:t>
            </w:r>
          </w:p>
        </w:tc>
      </w:tr>
      <w:tr w:rsidR="00565921" w:rsidRPr="00806461" w:rsidTr="000645CD">
        <w:trPr>
          <w:cantSplit/>
          <w:trHeight w:val="563"/>
        </w:trPr>
        <w:tc>
          <w:tcPr>
            <w:tcW w:w="5000" w:type="pct"/>
            <w:gridSpan w:val="5"/>
            <w:tcBorders>
              <w:top w:val="single" w:sz="4" w:space="0" w:color="auto"/>
              <w:bottom w:val="single" w:sz="4" w:space="0" w:color="auto"/>
            </w:tcBorders>
            <w:shd w:val="clear" w:color="auto" w:fill="CCFFFF"/>
            <w:vAlign w:val="center"/>
          </w:tcPr>
          <w:p w:rsidR="00565921" w:rsidRPr="00806461" w:rsidRDefault="00565921" w:rsidP="00271CFB">
            <w:pPr>
              <w:keepNext/>
              <w:keepLines/>
              <w:tabs>
                <w:tab w:val="left" w:pos="1452"/>
              </w:tabs>
              <w:ind w:left="1452" w:hanging="1452"/>
              <w:rPr>
                <w:rFonts w:cs="Arial"/>
                <w:b/>
                <w:bCs/>
                <w:sz w:val="16"/>
                <w:szCs w:val="16"/>
              </w:rPr>
            </w:pPr>
            <w:r w:rsidRPr="00806461">
              <w:rPr>
                <w:rFonts w:cs="Arial"/>
                <w:b/>
                <w:bCs/>
                <w:sz w:val="16"/>
                <w:szCs w:val="16"/>
              </w:rPr>
              <w:t>Expected Result:</w:t>
            </w:r>
            <w:r w:rsidRPr="00806461">
              <w:rPr>
                <w:rFonts w:cs="Arial"/>
                <w:b/>
                <w:bCs/>
                <w:sz w:val="16"/>
                <w:szCs w:val="16"/>
              </w:rPr>
              <w:tab/>
            </w:r>
            <w:r w:rsidRPr="00D11840">
              <w:rPr>
                <w:rFonts w:cs="Arial"/>
                <w:bCs/>
                <w:sz w:val="16"/>
                <w:szCs w:val="16"/>
              </w:rPr>
              <w:t>III.2</w:t>
            </w:r>
            <w:r>
              <w:rPr>
                <w:rFonts w:cs="Arial"/>
                <w:b/>
                <w:bCs/>
                <w:sz w:val="16"/>
                <w:szCs w:val="16"/>
              </w:rPr>
              <w:t xml:space="preserve"> </w:t>
            </w:r>
            <w:r w:rsidRPr="007C7648">
              <w:rPr>
                <w:rFonts w:cs="Arial"/>
                <w:sz w:val="16"/>
                <w:szCs w:val="16"/>
              </w:rPr>
              <w:t>Enhanced human resource capacities able to deal with the broad range of requirements for the effective use of IP for development in developing countries, LDCs and countries with economies in transition</w:t>
            </w:r>
          </w:p>
        </w:tc>
      </w:tr>
      <w:tr w:rsidR="00565921" w:rsidRPr="00806461" w:rsidTr="000645CD">
        <w:trPr>
          <w:cantSplit/>
        </w:trPr>
        <w:tc>
          <w:tcPr>
            <w:tcW w:w="1121" w:type="pct"/>
            <w:tcBorders>
              <w:top w:val="single" w:sz="4" w:space="0" w:color="auto"/>
              <w:bottom w:val="nil"/>
            </w:tcBorders>
            <w:vAlign w:val="center"/>
          </w:tcPr>
          <w:p w:rsidR="00565921" w:rsidRPr="00806461" w:rsidRDefault="00565921" w:rsidP="00271CFB">
            <w:pPr>
              <w:keepNext/>
              <w:keepLines/>
              <w:rPr>
                <w:rFonts w:cs="Arial"/>
                <w:sz w:val="16"/>
                <w:szCs w:val="16"/>
              </w:rPr>
            </w:pPr>
            <w:r w:rsidRPr="00806461">
              <w:rPr>
                <w:rFonts w:cs="Arial"/>
                <w:b/>
                <w:bCs/>
                <w:sz w:val="16"/>
                <w:szCs w:val="16"/>
              </w:rPr>
              <w:t>Performance Indicators</w:t>
            </w:r>
          </w:p>
        </w:tc>
        <w:tc>
          <w:tcPr>
            <w:tcW w:w="1417" w:type="pct"/>
            <w:tcBorders>
              <w:top w:val="single" w:sz="4" w:space="0" w:color="auto"/>
              <w:bottom w:val="nil"/>
            </w:tcBorders>
            <w:shd w:val="clear" w:color="auto" w:fill="auto"/>
            <w:vAlign w:val="center"/>
          </w:tcPr>
          <w:p w:rsidR="00565921" w:rsidRPr="00806461" w:rsidRDefault="00565921" w:rsidP="00271CFB">
            <w:pPr>
              <w:keepNext/>
              <w:keepLines/>
              <w:rPr>
                <w:rFonts w:cs="Arial"/>
                <w:b/>
                <w:bCs/>
                <w:sz w:val="16"/>
                <w:szCs w:val="16"/>
              </w:rPr>
            </w:pPr>
            <w:r w:rsidRPr="00806461">
              <w:rPr>
                <w:rFonts w:cs="Arial"/>
                <w:b/>
                <w:bCs/>
                <w:sz w:val="16"/>
                <w:szCs w:val="16"/>
              </w:rPr>
              <w:t>Baselines</w:t>
            </w:r>
          </w:p>
        </w:tc>
        <w:tc>
          <w:tcPr>
            <w:tcW w:w="673" w:type="pct"/>
            <w:tcBorders>
              <w:top w:val="single" w:sz="4" w:space="0" w:color="auto"/>
              <w:bottom w:val="nil"/>
            </w:tcBorders>
            <w:tcMar>
              <w:top w:w="110" w:type="dxa"/>
            </w:tcMar>
            <w:vAlign w:val="center"/>
          </w:tcPr>
          <w:p w:rsidR="00565921" w:rsidRPr="00806461" w:rsidRDefault="00565921" w:rsidP="00271CFB">
            <w:pPr>
              <w:keepNext/>
              <w:keepLines/>
              <w:rPr>
                <w:rFonts w:cs="Arial"/>
                <w:b/>
                <w:sz w:val="16"/>
                <w:szCs w:val="16"/>
              </w:rPr>
            </w:pPr>
            <w:r w:rsidRPr="00806461">
              <w:rPr>
                <w:rFonts w:cs="Arial"/>
                <w:b/>
                <w:sz w:val="16"/>
                <w:szCs w:val="16"/>
              </w:rPr>
              <w:t>Targets</w:t>
            </w:r>
          </w:p>
        </w:tc>
        <w:tc>
          <w:tcPr>
            <w:tcW w:w="1268" w:type="pct"/>
            <w:tcBorders>
              <w:top w:val="single" w:sz="4" w:space="0" w:color="auto"/>
              <w:bottom w:val="nil"/>
            </w:tcBorders>
            <w:shd w:val="clear" w:color="auto" w:fill="FFFFFF"/>
            <w:tcMar>
              <w:top w:w="110" w:type="dxa"/>
            </w:tcMar>
            <w:vAlign w:val="center"/>
          </w:tcPr>
          <w:p w:rsidR="00565921" w:rsidRPr="00806461" w:rsidRDefault="00565921" w:rsidP="00271CFB">
            <w:pPr>
              <w:keepNext/>
              <w:keepLines/>
              <w:rPr>
                <w:rFonts w:cs="Arial"/>
                <w:sz w:val="16"/>
                <w:szCs w:val="16"/>
              </w:rPr>
            </w:pPr>
            <w:r w:rsidRPr="00806461">
              <w:rPr>
                <w:rFonts w:cs="Arial"/>
                <w:b/>
                <w:bCs/>
                <w:sz w:val="16"/>
                <w:szCs w:val="16"/>
              </w:rPr>
              <w:t>Performance Data</w:t>
            </w:r>
          </w:p>
        </w:tc>
        <w:tc>
          <w:tcPr>
            <w:tcW w:w="522" w:type="pct"/>
            <w:tcBorders>
              <w:top w:val="single" w:sz="4" w:space="0" w:color="auto"/>
              <w:bottom w:val="nil"/>
            </w:tcBorders>
            <w:tcMar>
              <w:top w:w="110" w:type="dxa"/>
            </w:tcMar>
            <w:vAlign w:val="center"/>
          </w:tcPr>
          <w:p w:rsidR="00565921" w:rsidRPr="00806461" w:rsidRDefault="00565921" w:rsidP="00271CFB">
            <w:pPr>
              <w:keepNext/>
              <w:keepLines/>
              <w:jc w:val="center"/>
              <w:rPr>
                <w:rFonts w:cs="Arial"/>
                <w:b/>
                <w:bCs/>
                <w:sz w:val="16"/>
                <w:szCs w:val="16"/>
              </w:rPr>
            </w:pPr>
            <w:r w:rsidRPr="00806461">
              <w:rPr>
                <w:rFonts w:cs="Arial"/>
                <w:b/>
                <w:bCs/>
                <w:sz w:val="16"/>
                <w:szCs w:val="16"/>
              </w:rPr>
              <w:t>TLS</w:t>
            </w:r>
          </w:p>
        </w:tc>
      </w:tr>
      <w:tr w:rsidR="00565921" w:rsidRPr="00806461" w:rsidTr="000645CD">
        <w:trPr>
          <w:cantSplit/>
        </w:trPr>
        <w:tc>
          <w:tcPr>
            <w:tcW w:w="1121" w:type="pct"/>
            <w:tcBorders>
              <w:top w:val="nil"/>
              <w:bottom w:val="single" w:sz="4" w:space="0" w:color="auto"/>
            </w:tcBorders>
            <w:shd w:val="clear" w:color="auto" w:fill="FFFFFF"/>
          </w:tcPr>
          <w:p w:rsidR="00565921" w:rsidRPr="00806461" w:rsidRDefault="00565921" w:rsidP="00271CFB">
            <w:pPr>
              <w:rPr>
                <w:rFonts w:cs="Arial"/>
                <w:sz w:val="16"/>
                <w:szCs w:val="16"/>
                <w:lang w:bidi="th-TH"/>
              </w:rPr>
            </w:pPr>
            <w:r>
              <w:rPr>
                <w:rFonts w:cs="Arial"/>
                <w:sz w:val="16"/>
                <w:szCs w:val="16"/>
              </w:rPr>
              <w:t>%</w:t>
            </w:r>
            <w:r w:rsidRPr="007C7648">
              <w:rPr>
                <w:rFonts w:cs="Arial"/>
                <w:sz w:val="16"/>
                <w:szCs w:val="16"/>
              </w:rPr>
              <w:t xml:space="preserve"> of participants in WIPO activities </w:t>
            </w:r>
            <w:r>
              <w:rPr>
                <w:rFonts w:cs="Arial"/>
                <w:sz w:val="16"/>
                <w:szCs w:val="16"/>
              </w:rPr>
              <w:t>who</w:t>
            </w:r>
            <w:r w:rsidRPr="007C7648">
              <w:rPr>
                <w:rFonts w:cs="Arial"/>
                <w:sz w:val="16"/>
                <w:szCs w:val="16"/>
              </w:rPr>
              <w:t xml:space="preserve"> report enhanced capacity to understand and use IP principles, systems and tools for the protection of TK and TCEs, and for management of the interface between IP and GRs</w:t>
            </w:r>
          </w:p>
        </w:tc>
        <w:tc>
          <w:tcPr>
            <w:tcW w:w="1417" w:type="pct"/>
            <w:tcBorders>
              <w:top w:val="nil"/>
              <w:bottom w:val="single" w:sz="4" w:space="0" w:color="auto"/>
            </w:tcBorders>
            <w:shd w:val="clear" w:color="auto" w:fill="auto"/>
          </w:tcPr>
          <w:p w:rsidR="00565921" w:rsidRDefault="00565921" w:rsidP="00271CFB">
            <w:pPr>
              <w:rPr>
                <w:rFonts w:cs="Arial"/>
                <w:color w:val="002060"/>
                <w:sz w:val="16"/>
                <w:szCs w:val="16"/>
              </w:rPr>
            </w:pPr>
            <w:r>
              <w:rPr>
                <w:rFonts w:cs="Arial"/>
                <w:i/>
                <w:color w:val="002060"/>
                <w:sz w:val="16"/>
                <w:szCs w:val="16"/>
              </w:rPr>
              <w:t>Updated Baseline end 2013</w:t>
            </w:r>
            <w:r w:rsidRPr="00806461">
              <w:rPr>
                <w:rFonts w:cs="Arial"/>
                <w:i/>
                <w:color w:val="002060"/>
                <w:sz w:val="16"/>
                <w:szCs w:val="16"/>
              </w:rPr>
              <w:t>:</w:t>
            </w:r>
            <w:r>
              <w:rPr>
                <w:rFonts w:cs="Arial"/>
                <w:i/>
                <w:color w:val="002060"/>
                <w:sz w:val="16"/>
                <w:szCs w:val="16"/>
              </w:rPr>
              <w:t xml:space="preserve">  </w:t>
            </w:r>
            <w:r w:rsidRPr="007C7648">
              <w:rPr>
                <w:rFonts w:cs="Arial"/>
                <w:color w:val="002060"/>
                <w:sz w:val="16"/>
                <w:szCs w:val="16"/>
              </w:rPr>
              <w:t>95 %</w:t>
            </w:r>
            <w:r>
              <w:rPr>
                <w:rFonts w:cs="Arial"/>
                <w:color w:val="002060"/>
                <w:sz w:val="16"/>
                <w:szCs w:val="16"/>
              </w:rPr>
              <w:t xml:space="preserve"> (79</w:t>
            </w:r>
            <w:r w:rsidRPr="007C7648">
              <w:rPr>
                <w:rFonts w:cs="Arial"/>
                <w:color w:val="002060"/>
                <w:sz w:val="16"/>
                <w:szCs w:val="16"/>
              </w:rPr>
              <w:t xml:space="preserve"> out of 83</w:t>
            </w:r>
            <w:r>
              <w:rPr>
                <w:rFonts w:cs="Arial"/>
                <w:color w:val="002060"/>
                <w:sz w:val="16"/>
                <w:szCs w:val="16"/>
              </w:rPr>
              <w:t xml:space="preserve">) </w:t>
            </w:r>
            <w:r w:rsidRPr="007C7648">
              <w:rPr>
                <w:rFonts w:cs="Arial"/>
                <w:color w:val="002060"/>
                <w:sz w:val="16"/>
                <w:szCs w:val="16"/>
              </w:rPr>
              <w:t xml:space="preserve"> participants reported positively (feedback questionnaire used in five activities organized by the </w:t>
            </w:r>
            <w:r>
              <w:rPr>
                <w:rFonts w:cs="Arial"/>
                <w:color w:val="002060"/>
                <w:sz w:val="16"/>
                <w:szCs w:val="16"/>
              </w:rPr>
              <w:t>TK</w:t>
            </w:r>
            <w:r w:rsidRPr="007C7648">
              <w:rPr>
                <w:rFonts w:cs="Arial"/>
                <w:color w:val="002060"/>
                <w:sz w:val="16"/>
                <w:szCs w:val="16"/>
              </w:rPr>
              <w:t xml:space="preserve"> Division in 2012</w:t>
            </w:r>
            <w:r>
              <w:rPr>
                <w:rFonts w:cs="Arial"/>
                <w:color w:val="002060"/>
                <w:sz w:val="16"/>
                <w:szCs w:val="16"/>
              </w:rPr>
              <w:t>/</w:t>
            </w:r>
            <w:r w:rsidRPr="007C7648">
              <w:rPr>
                <w:rFonts w:cs="Arial"/>
                <w:color w:val="002060"/>
                <w:sz w:val="16"/>
                <w:szCs w:val="16"/>
              </w:rPr>
              <w:t>13)</w:t>
            </w:r>
          </w:p>
          <w:p w:rsidR="00565921" w:rsidRPr="00806461" w:rsidRDefault="00565921" w:rsidP="00271CFB">
            <w:pPr>
              <w:rPr>
                <w:rFonts w:cs="Arial"/>
                <w:i/>
                <w:color w:val="002060"/>
                <w:sz w:val="8"/>
                <w:szCs w:val="8"/>
              </w:rPr>
            </w:pPr>
          </w:p>
          <w:p w:rsidR="00565921" w:rsidRPr="00806461" w:rsidRDefault="00565921" w:rsidP="00271CFB">
            <w:pPr>
              <w:rPr>
                <w:rFonts w:cs="Arial"/>
                <w:sz w:val="16"/>
                <w:szCs w:val="16"/>
              </w:rPr>
            </w:pPr>
            <w:r>
              <w:rPr>
                <w:rFonts w:cs="Arial"/>
                <w:i/>
                <w:sz w:val="16"/>
                <w:szCs w:val="16"/>
              </w:rPr>
              <w:t>Original Baseline P&amp;B 2014/15</w:t>
            </w:r>
            <w:r w:rsidRPr="00806461">
              <w:rPr>
                <w:rFonts w:cs="Arial"/>
                <w:i/>
                <w:sz w:val="16"/>
                <w:szCs w:val="16"/>
              </w:rPr>
              <w:t>:</w:t>
            </w:r>
          </w:p>
          <w:p w:rsidR="00565921" w:rsidRPr="00806461" w:rsidRDefault="00565921" w:rsidP="00271CFB">
            <w:pPr>
              <w:rPr>
                <w:rFonts w:cs="Arial"/>
                <w:sz w:val="16"/>
                <w:szCs w:val="16"/>
                <w:lang w:bidi="th-TH"/>
              </w:rPr>
            </w:pPr>
            <w:r w:rsidRPr="007C7648">
              <w:rPr>
                <w:rFonts w:cs="Arial"/>
                <w:sz w:val="16"/>
                <w:szCs w:val="16"/>
              </w:rPr>
              <w:t>Not yet available</w:t>
            </w:r>
          </w:p>
        </w:tc>
        <w:tc>
          <w:tcPr>
            <w:tcW w:w="673" w:type="pct"/>
            <w:tcBorders>
              <w:top w:val="nil"/>
              <w:bottom w:val="single" w:sz="4" w:space="0" w:color="auto"/>
            </w:tcBorders>
            <w:tcMar>
              <w:top w:w="110" w:type="dxa"/>
            </w:tcMar>
          </w:tcPr>
          <w:p w:rsidR="00565921" w:rsidRPr="00806461" w:rsidRDefault="00565921" w:rsidP="00271CFB">
            <w:pPr>
              <w:rPr>
                <w:rFonts w:cs="Arial"/>
                <w:sz w:val="16"/>
                <w:szCs w:val="16"/>
                <w:lang w:bidi="th-TH"/>
              </w:rPr>
            </w:pPr>
            <w:r w:rsidRPr="007C7648">
              <w:rPr>
                <w:rFonts w:cs="Arial"/>
                <w:sz w:val="16"/>
                <w:szCs w:val="16"/>
              </w:rPr>
              <w:t>80%</w:t>
            </w:r>
          </w:p>
        </w:tc>
        <w:tc>
          <w:tcPr>
            <w:tcW w:w="1268" w:type="pct"/>
            <w:tcBorders>
              <w:top w:val="nil"/>
              <w:bottom w:val="single" w:sz="4" w:space="0" w:color="auto"/>
            </w:tcBorders>
            <w:shd w:val="clear" w:color="auto" w:fill="FFFFFF"/>
            <w:tcMar>
              <w:top w:w="110" w:type="dxa"/>
            </w:tcMar>
          </w:tcPr>
          <w:p w:rsidR="00565921" w:rsidRPr="00806461" w:rsidRDefault="00565921" w:rsidP="00271CFB">
            <w:pPr>
              <w:rPr>
                <w:rFonts w:cs="Arial"/>
                <w:sz w:val="16"/>
                <w:szCs w:val="16"/>
                <w:lang w:bidi="th-TH"/>
              </w:rPr>
            </w:pPr>
            <w:r w:rsidRPr="007C7648">
              <w:rPr>
                <w:rFonts w:cs="Arial"/>
                <w:sz w:val="16"/>
                <w:szCs w:val="16"/>
                <w:lang w:bidi="th-TH"/>
              </w:rPr>
              <w:t xml:space="preserve">91% </w:t>
            </w:r>
            <w:r>
              <w:rPr>
                <w:rFonts w:cs="Arial"/>
                <w:sz w:val="16"/>
                <w:szCs w:val="16"/>
                <w:lang w:bidi="th-TH"/>
              </w:rPr>
              <w:t xml:space="preserve">(163 </w:t>
            </w:r>
            <w:r w:rsidRPr="007C7648">
              <w:rPr>
                <w:rFonts w:cs="Arial"/>
                <w:sz w:val="16"/>
                <w:szCs w:val="16"/>
                <w:lang w:bidi="th-TH"/>
              </w:rPr>
              <w:t>out of 179</w:t>
            </w:r>
            <w:r>
              <w:rPr>
                <w:rFonts w:cs="Arial"/>
                <w:sz w:val="16"/>
                <w:szCs w:val="16"/>
                <w:lang w:bidi="th-TH"/>
              </w:rPr>
              <w:t xml:space="preserve">) </w:t>
            </w:r>
            <w:r w:rsidRPr="007C7648">
              <w:rPr>
                <w:rFonts w:cs="Arial"/>
                <w:sz w:val="16"/>
                <w:szCs w:val="16"/>
                <w:lang w:bidi="th-TH"/>
              </w:rPr>
              <w:t xml:space="preserve"> participants reported positively (feedback questionnaire used in </w:t>
            </w:r>
            <w:r>
              <w:rPr>
                <w:rFonts w:cs="Arial"/>
                <w:sz w:val="16"/>
                <w:szCs w:val="16"/>
                <w:lang w:bidi="th-TH"/>
              </w:rPr>
              <w:t>nine</w:t>
            </w:r>
            <w:r w:rsidRPr="007C7648">
              <w:rPr>
                <w:rFonts w:cs="Arial"/>
                <w:sz w:val="16"/>
                <w:szCs w:val="16"/>
                <w:lang w:bidi="th-TH"/>
              </w:rPr>
              <w:t xml:space="preserve"> activities organized by </w:t>
            </w:r>
            <w:r>
              <w:rPr>
                <w:rFonts w:cs="Arial"/>
                <w:sz w:val="16"/>
                <w:szCs w:val="16"/>
                <w:lang w:bidi="th-TH"/>
              </w:rPr>
              <w:t xml:space="preserve">the </w:t>
            </w:r>
            <w:r w:rsidRPr="007C7648">
              <w:rPr>
                <w:rFonts w:cs="Arial"/>
                <w:sz w:val="16"/>
                <w:szCs w:val="16"/>
                <w:lang w:bidi="th-TH"/>
              </w:rPr>
              <w:t>TK Division</w:t>
            </w:r>
            <w:r>
              <w:rPr>
                <w:rFonts w:cs="Arial"/>
                <w:sz w:val="16"/>
                <w:szCs w:val="16"/>
                <w:lang w:bidi="th-TH"/>
              </w:rPr>
              <w:t xml:space="preserve"> in</w:t>
            </w:r>
            <w:r w:rsidRPr="007C7648">
              <w:rPr>
                <w:rFonts w:cs="Arial"/>
                <w:sz w:val="16"/>
                <w:szCs w:val="16"/>
                <w:lang w:bidi="th-TH"/>
              </w:rPr>
              <w:t xml:space="preserve"> 2014)</w:t>
            </w:r>
          </w:p>
        </w:tc>
        <w:tc>
          <w:tcPr>
            <w:tcW w:w="522" w:type="pct"/>
            <w:tcBorders>
              <w:top w:val="nil"/>
              <w:bottom w:val="single" w:sz="4" w:space="0" w:color="auto"/>
            </w:tcBorders>
            <w:tcMar>
              <w:top w:w="110" w:type="dxa"/>
            </w:tcMar>
          </w:tcPr>
          <w:p w:rsidR="00565921" w:rsidRPr="006C543C" w:rsidRDefault="00565921" w:rsidP="00271CFB">
            <w:pPr>
              <w:keepNext/>
              <w:keepLines/>
              <w:jc w:val="center"/>
              <w:rPr>
                <w:rFonts w:cs="Arial"/>
                <w:b/>
                <w:bCs/>
                <w:color w:val="00B050"/>
                <w:sz w:val="16"/>
                <w:szCs w:val="16"/>
              </w:rPr>
            </w:pPr>
            <w:r w:rsidRPr="006C543C">
              <w:rPr>
                <w:b/>
                <w:bCs/>
                <w:color w:val="00B050"/>
                <w:sz w:val="16"/>
                <w:szCs w:val="16"/>
              </w:rPr>
              <w:t>On track</w:t>
            </w:r>
          </w:p>
        </w:tc>
      </w:tr>
    </w:tbl>
    <w:p w:rsidR="00565921" w:rsidRDefault="00565921">
      <w:pPr>
        <w:rPr>
          <w:rFonts w:cs="Arial"/>
          <w:color w:val="000000"/>
          <w:sz w:val="22"/>
          <w:szCs w:val="22"/>
        </w:rPr>
      </w:pPr>
    </w:p>
    <w:p w:rsidR="00565921" w:rsidRDefault="00565921">
      <w:pPr>
        <w:rPr>
          <w:rFonts w:cs="Arial"/>
          <w:color w:val="000000"/>
          <w:sz w:val="22"/>
          <w:szCs w:val="22"/>
        </w:rPr>
      </w:pPr>
    </w:p>
    <w:p w:rsidR="00565921" w:rsidRDefault="00565921">
      <w:pPr>
        <w:rPr>
          <w:rFonts w:cs="Arial"/>
          <w:color w:val="000000"/>
          <w:sz w:val="22"/>
          <w:szCs w:val="22"/>
        </w:rPr>
      </w:pPr>
      <w:r>
        <w:rPr>
          <w:rFonts w:cs="Arial"/>
          <w:color w:val="000000"/>
          <w:sz w:val="22"/>
          <w:szCs w:val="22"/>
        </w:rPr>
        <w:br w:type="page"/>
      </w:r>
    </w:p>
    <w:p w:rsidR="00565921" w:rsidRDefault="00565921" w:rsidP="00A8525E">
      <w:pPr>
        <w:rPr>
          <w:b/>
          <w:sz w:val="18"/>
          <w:szCs w:val="18"/>
        </w:rPr>
      </w:pPr>
      <w:r>
        <w:rPr>
          <w:rFonts w:cs="Arial"/>
          <w:color w:val="000000"/>
          <w:sz w:val="22"/>
          <w:szCs w:val="22"/>
        </w:rPr>
        <w:lastRenderedPageBreak/>
        <w:t>RESOURCE UTILIZATION</w:t>
      </w:r>
      <w:r>
        <w:rPr>
          <w:rFonts w:cs="Arial"/>
          <w:color w:val="000000"/>
          <w:sz w:val="22"/>
          <w:szCs w:val="22"/>
        </w:rPr>
        <w:tab/>
      </w:r>
    </w:p>
    <w:p w:rsidR="00565921" w:rsidRPr="008F4A6D" w:rsidRDefault="00565921">
      <w:pPr>
        <w:rPr>
          <w:szCs w:val="20"/>
        </w:rPr>
      </w:pPr>
    </w:p>
    <w:p w:rsidR="00565921" w:rsidRPr="00383D2D" w:rsidRDefault="00565921" w:rsidP="004611B9">
      <w:pPr>
        <w:pStyle w:val="NormalWeb"/>
        <w:spacing w:before="0" w:beforeAutospacing="0" w:after="0" w:afterAutospacing="0"/>
        <w:jc w:val="center"/>
        <w:rPr>
          <w:sz w:val="20"/>
          <w:szCs w:val="20"/>
        </w:rPr>
      </w:pPr>
      <w:r w:rsidRPr="00383D2D">
        <w:rPr>
          <w:color w:val="000000"/>
          <w:sz w:val="20"/>
          <w:szCs w:val="20"/>
        </w:rPr>
        <w:t xml:space="preserve">Budget and Actual Expenditure (by result) </w:t>
      </w:r>
    </w:p>
    <w:p w:rsidR="00565921" w:rsidRDefault="00565921" w:rsidP="004611B9">
      <w:pPr>
        <w:pStyle w:val="NormalWeb"/>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565921" w:rsidRPr="00383D2D" w:rsidRDefault="00565921" w:rsidP="004611B9">
      <w:pPr>
        <w:pStyle w:val="NormalWeb"/>
        <w:spacing w:before="0" w:beforeAutospacing="0" w:after="0" w:afterAutospacing="0"/>
        <w:jc w:val="center"/>
        <w:rPr>
          <w:sz w:val="20"/>
          <w:szCs w:val="20"/>
        </w:rPr>
      </w:pPr>
    </w:p>
    <w:p w:rsidR="00565921" w:rsidRDefault="00565921" w:rsidP="00271CFB">
      <w:pPr>
        <w:jc w:val="center"/>
      </w:pPr>
      <w:r w:rsidRPr="00B47AED">
        <w:rPr>
          <w:noProof/>
        </w:rPr>
        <w:drawing>
          <wp:inline distT="0" distB="0" distL="0" distR="0" wp14:anchorId="325A1C75" wp14:editId="46028726">
            <wp:extent cx="5084064" cy="2622731"/>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87294" cy="2624397"/>
                    </a:xfrm>
                    <a:prstGeom prst="rect">
                      <a:avLst/>
                    </a:prstGeom>
                    <a:noFill/>
                    <a:ln>
                      <a:noFill/>
                    </a:ln>
                  </pic:spPr>
                </pic:pic>
              </a:graphicData>
            </a:graphic>
          </wp:inline>
        </w:drawing>
      </w:r>
    </w:p>
    <w:p w:rsidR="00565921" w:rsidRDefault="00565921"/>
    <w:p w:rsidR="00565921" w:rsidRDefault="00565921"/>
    <w:p w:rsidR="00565921" w:rsidRPr="00383D2D" w:rsidRDefault="00565921" w:rsidP="00383D2D">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565921" w:rsidRPr="00383D2D" w:rsidRDefault="00565921" w:rsidP="00383D2D">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565921" w:rsidRDefault="00565921" w:rsidP="00383D2D">
      <w:pPr>
        <w:pStyle w:val="NormalWeb"/>
        <w:keepNext/>
        <w:keepLines/>
        <w:spacing w:before="0" w:beforeAutospacing="0" w:after="0" w:afterAutospacing="0"/>
        <w:jc w:val="center"/>
      </w:pPr>
    </w:p>
    <w:p w:rsidR="00565921" w:rsidRPr="00565921" w:rsidRDefault="00565921" w:rsidP="00565921">
      <w:pPr>
        <w:jc w:val="center"/>
        <w:rPr>
          <w:szCs w:val="20"/>
        </w:rPr>
      </w:pPr>
      <w:r w:rsidRPr="00B47AED">
        <w:rPr>
          <w:noProof/>
        </w:rPr>
        <w:drawing>
          <wp:inline distT="0" distB="0" distL="0" distR="0" wp14:anchorId="6A07A40E" wp14:editId="422D9277">
            <wp:extent cx="5362041" cy="1172947"/>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57609" cy="1171978"/>
                    </a:xfrm>
                    <a:prstGeom prst="rect">
                      <a:avLst/>
                    </a:prstGeom>
                    <a:noFill/>
                    <a:ln>
                      <a:noFill/>
                    </a:ln>
                  </pic:spPr>
                </pic:pic>
              </a:graphicData>
            </a:graphic>
          </wp:inline>
        </w:drawing>
      </w:r>
    </w:p>
    <w:p w:rsidR="00565921" w:rsidRPr="004312A2" w:rsidRDefault="00565921" w:rsidP="00DD012F">
      <w:pPr>
        <w:keepNext/>
        <w:autoSpaceDE w:val="0"/>
        <w:autoSpaceDN w:val="0"/>
        <w:rPr>
          <w:sz w:val="16"/>
          <w:szCs w:val="16"/>
        </w:rPr>
      </w:pPr>
      <w:r w:rsidRPr="004C1060">
        <w:rPr>
          <w:i/>
          <w:sz w:val="16"/>
          <w:szCs w:val="16"/>
        </w:rPr>
        <w:t>NOTE: The 2014/15 Budget after Transfers reflects transfers as of March 31, 2015 to address needs during the 2014/15 biennium in line with Financial Regulation 5.5</w:t>
      </w:r>
      <w:r w:rsidRPr="001B39EC">
        <w:rPr>
          <w:sz w:val="16"/>
          <w:szCs w:val="16"/>
        </w:rPr>
        <w:t>.</w:t>
      </w:r>
    </w:p>
    <w:p w:rsidR="00565921" w:rsidRPr="001C6F4D" w:rsidRDefault="00565921" w:rsidP="00420F90">
      <w:pPr>
        <w:widowControl w:val="0"/>
        <w:autoSpaceDE w:val="0"/>
        <w:autoSpaceDN w:val="0"/>
        <w:adjustRightInd w:val="0"/>
        <w:rPr>
          <w:rFonts w:cs="Arial"/>
          <w:szCs w:val="20"/>
        </w:rPr>
      </w:pPr>
    </w:p>
    <w:p w:rsidR="00565921" w:rsidRDefault="00565921" w:rsidP="00A93FCA">
      <w:pPr>
        <w:rPr>
          <w:rFonts w:cs="Arial"/>
          <w:u w:val="single"/>
        </w:rPr>
      </w:pPr>
      <w:r w:rsidRPr="00420F90">
        <w:rPr>
          <w:rFonts w:cs="Arial"/>
          <w:szCs w:val="20"/>
        </w:rPr>
        <w:t>A.</w:t>
      </w:r>
      <w:r w:rsidRPr="00420F90">
        <w:rPr>
          <w:rFonts w:cs="Arial"/>
        </w:rPr>
        <w:tab/>
      </w:r>
      <w:r w:rsidRPr="00420F90">
        <w:rPr>
          <w:rFonts w:cs="Arial"/>
          <w:u w:val="single"/>
        </w:rPr>
        <w:t>Budget after Transfers 201</w:t>
      </w:r>
      <w:r>
        <w:rPr>
          <w:rFonts w:cs="Arial"/>
          <w:u w:val="single"/>
        </w:rPr>
        <w:t>4/15</w:t>
      </w:r>
    </w:p>
    <w:p w:rsidR="00565921" w:rsidRPr="00420F90" w:rsidRDefault="00565921" w:rsidP="00A93FCA">
      <w:pPr>
        <w:rPr>
          <w:rFonts w:cs="Arial"/>
          <w:u w:val="single"/>
        </w:rPr>
      </w:pPr>
    </w:p>
    <w:p w:rsidR="00565921" w:rsidRDefault="00565921" w:rsidP="00565921">
      <w:pPr>
        <w:numPr>
          <w:ilvl w:val="0"/>
          <w:numId w:val="39"/>
        </w:numPr>
        <w:jc w:val="both"/>
        <w:rPr>
          <w:lang w:eastAsia="ko-KR"/>
        </w:rPr>
      </w:pPr>
      <w:r>
        <w:rPr>
          <w:lang w:eastAsia="ko-KR"/>
        </w:rPr>
        <w:t>The decrease in the Budget after Transfers under result I.1 (Development of balanced international normative frameworks for IP) reflects a reduction in respect of the initially planned resource allocation for a Diplomatic Conference in the area of IP and Genetic Resources, Traditional Knowledge and Folklore (IGC).</w:t>
      </w:r>
    </w:p>
    <w:p w:rsidR="00565921" w:rsidRDefault="00565921" w:rsidP="00271CFB">
      <w:pPr>
        <w:autoSpaceDE w:val="0"/>
        <w:autoSpaceDN w:val="0"/>
        <w:jc w:val="both"/>
        <w:rPr>
          <w:rFonts w:cs="Arial"/>
          <w:szCs w:val="20"/>
          <w:lang w:eastAsia="ko-KR"/>
        </w:rPr>
      </w:pPr>
    </w:p>
    <w:p w:rsidR="00565921" w:rsidRPr="001E68F6" w:rsidRDefault="00565921" w:rsidP="00565921">
      <w:pPr>
        <w:pStyle w:val="ListParagraph"/>
        <w:numPr>
          <w:ilvl w:val="0"/>
          <w:numId w:val="39"/>
        </w:numPr>
        <w:rPr>
          <w:color w:val="000000"/>
        </w:rPr>
      </w:pPr>
      <w:r w:rsidRPr="001E68F6">
        <w:rPr>
          <w:color w:val="000000"/>
        </w:rPr>
        <w:t>Program 4 include</w:t>
      </w:r>
      <w:r>
        <w:rPr>
          <w:color w:val="000000"/>
        </w:rPr>
        <w:t>s</w:t>
      </w:r>
      <w:r w:rsidRPr="00845557">
        <w:rPr>
          <w:color w:val="000000"/>
        </w:rPr>
        <w:t xml:space="preserve"> resources </w:t>
      </w:r>
      <w:r>
        <w:rPr>
          <w:color w:val="000000"/>
        </w:rPr>
        <w:t xml:space="preserve">allocated </w:t>
      </w:r>
      <w:r w:rsidRPr="001E68F6">
        <w:rPr>
          <w:color w:val="000000"/>
        </w:rPr>
        <w:t>to</w:t>
      </w:r>
      <w:r w:rsidRPr="00845557">
        <w:rPr>
          <w:color w:val="000000"/>
        </w:rPr>
        <w:t xml:space="preserve"> the Department of Traditional Knowledge and Global Challenges </w:t>
      </w:r>
      <w:r w:rsidRPr="001E68F6">
        <w:rPr>
          <w:color w:val="000000"/>
        </w:rPr>
        <w:t>relevant to Expected Result VII.2.</w:t>
      </w:r>
    </w:p>
    <w:p w:rsidR="00565921" w:rsidRPr="001E68F6" w:rsidRDefault="00565921" w:rsidP="00845557">
      <w:pPr>
        <w:pStyle w:val="ListParagraph"/>
        <w:ind w:left="0"/>
        <w:rPr>
          <w:rFonts w:cs="Arial"/>
        </w:rPr>
      </w:pPr>
    </w:p>
    <w:p w:rsidR="00565921" w:rsidRDefault="00565921" w:rsidP="00845557">
      <w:pPr>
        <w:jc w:val="both"/>
        <w:rPr>
          <w:rFonts w:cs="Arial"/>
          <w:szCs w:val="20"/>
          <w:lang w:eastAsia="ko-KR"/>
        </w:rPr>
      </w:pPr>
    </w:p>
    <w:p w:rsidR="00565921" w:rsidRDefault="00565921" w:rsidP="00271CFB">
      <w:pPr>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Budget utilization 2014</w:t>
      </w:r>
    </w:p>
    <w:p w:rsidR="00565921" w:rsidRDefault="00565921" w:rsidP="00383D2D">
      <w:pPr>
        <w:tabs>
          <w:tab w:val="left" w:pos="709"/>
        </w:tabs>
        <w:jc w:val="both"/>
        <w:rPr>
          <w:rFonts w:cs="Arial"/>
          <w:szCs w:val="20"/>
          <w:u w:val="single"/>
          <w:lang w:eastAsia="ko-KR"/>
        </w:rPr>
      </w:pPr>
    </w:p>
    <w:p w:rsidR="00565921" w:rsidRDefault="00565921" w:rsidP="00565921">
      <w:pPr>
        <w:numPr>
          <w:ilvl w:val="0"/>
          <w:numId w:val="39"/>
        </w:numPr>
        <w:jc w:val="both"/>
        <w:rPr>
          <w:rFonts w:ascii="Calibri" w:hAnsi="Calibri"/>
          <w:sz w:val="22"/>
          <w:szCs w:val="22"/>
        </w:rPr>
      </w:pPr>
      <w:r>
        <w:rPr>
          <w:rFonts w:cs="Arial"/>
          <w:szCs w:val="20"/>
          <w:lang w:eastAsia="ko-KR"/>
        </w:rPr>
        <w:t xml:space="preserve">Budget utilization is within the expected range of 40-60 per cent for the first year of the biennium and is on track. </w:t>
      </w:r>
    </w:p>
    <w:p w:rsidR="00565921" w:rsidRDefault="00565921" w:rsidP="00271CFB">
      <w:pPr>
        <w:autoSpaceDE w:val="0"/>
        <w:autoSpaceDN w:val="0"/>
        <w:jc w:val="both"/>
      </w:pPr>
    </w:p>
    <w:p w:rsidR="00E70E02" w:rsidRDefault="00E70E02"/>
    <w:p w:rsidR="00FA1FCD" w:rsidRDefault="00FA1FCD">
      <w:r>
        <w:br w:type="page"/>
      </w:r>
    </w:p>
    <w:p w:rsidR="00FA1FCD" w:rsidRDefault="00FA1FCD" w:rsidP="00C1753F">
      <w:pPr>
        <w:pStyle w:val="StyleHeading214ptAuto"/>
        <w:rPr>
          <w:rFonts w:ascii="Arial" w:hAnsi="Arial"/>
          <w:bCs w:val="0"/>
          <w:caps w:val="0"/>
          <w:sz w:val="20"/>
          <w:szCs w:val="24"/>
          <w:lang w:val="en-US" w:eastAsia="en-US"/>
        </w:rPr>
      </w:pPr>
      <w:bookmarkStart w:id="52" w:name="_Toc422210481"/>
      <w:bookmarkStart w:id="53" w:name="_Toc367350576"/>
      <w:r w:rsidRPr="00E07FBB">
        <w:rPr>
          <w:rFonts w:ascii="Arial" w:hAnsi="Arial"/>
          <w:bCs w:val="0"/>
          <w:caps w:val="0"/>
          <w:sz w:val="20"/>
          <w:szCs w:val="24"/>
          <w:lang w:val="en-US" w:eastAsia="en-US"/>
        </w:rPr>
        <w:lastRenderedPageBreak/>
        <w:t>STRATEGIC GOAL II</w:t>
      </w:r>
      <w:bookmarkEnd w:id="52"/>
    </w:p>
    <w:p w:rsidR="00FA1FCD" w:rsidRPr="003E2D93" w:rsidRDefault="00FA1FCD" w:rsidP="003E2D93">
      <w:pPr>
        <w:jc w:val="center"/>
        <w:rPr>
          <w:bCs/>
          <w:caps/>
        </w:rPr>
      </w:pPr>
    </w:p>
    <w:p w:rsidR="00FA1FCD" w:rsidRPr="003E2D93" w:rsidRDefault="00FA1FCD" w:rsidP="003E2D93">
      <w:pPr>
        <w:jc w:val="center"/>
        <w:rPr>
          <w:bCs/>
          <w:caps/>
        </w:rPr>
      </w:pPr>
      <w:r w:rsidRPr="003E2D93">
        <w:rPr>
          <w:b/>
        </w:rPr>
        <w:t>Provision of Premier Global IP Services</w:t>
      </w:r>
      <w:bookmarkEnd w:id="53"/>
    </w:p>
    <w:p w:rsidR="00FA1FCD" w:rsidRPr="003E2D93" w:rsidRDefault="00FA1FCD" w:rsidP="003E2D93">
      <w:pPr>
        <w:jc w:val="center"/>
        <w:rPr>
          <w:bCs/>
          <w:caps/>
        </w:rPr>
      </w:pPr>
    </w:p>
    <w:p w:rsidR="00FA1FCD" w:rsidRPr="00FA1FCD" w:rsidRDefault="00FA1FCD">
      <w:pPr>
        <w:jc w:val="center"/>
        <w:rPr>
          <w:b/>
        </w:rPr>
      </w:pPr>
      <w:r w:rsidRPr="00FA1FCD">
        <w:rPr>
          <w:b/>
        </w:rPr>
        <w:t>Mid-term Performance Dashboard (2014)</w:t>
      </w:r>
    </w:p>
    <w:p w:rsidR="00FA1FCD" w:rsidRPr="003E2D93" w:rsidRDefault="00FA1FCD" w:rsidP="003E2D93">
      <w:pPr>
        <w:jc w:val="center"/>
        <w:rPr>
          <w:b/>
        </w:rPr>
      </w:pPr>
    </w:p>
    <w:p w:rsidR="00FA1FCD" w:rsidRDefault="00FA1FCD" w:rsidP="00C1753F">
      <w:pPr>
        <w:jc w:val="both"/>
        <w:rPr>
          <w:rFonts w:cs="Arial"/>
        </w:rPr>
      </w:pPr>
      <w:r>
        <w:t xml:space="preserve">The dashboard below provides a summary of the progress towards the achievement of the Results </w:t>
      </w:r>
      <w:proofErr w:type="gramStart"/>
      <w:r>
        <w:t xml:space="preserve">in </w:t>
      </w:r>
      <w:r w:rsidR="004C53FA">
        <w:t> 2</w:t>
      </w:r>
      <w:r>
        <w:t>014</w:t>
      </w:r>
      <w:proofErr w:type="gramEnd"/>
      <w:r>
        <w:t xml:space="preserve"> as measured by the indicators under the Programs contributing to this Strategic Goal.</w:t>
      </w:r>
    </w:p>
    <w:p w:rsidR="00FA1FCD" w:rsidRDefault="00FA1FCD" w:rsidP="003E2D93"/>
    <w:p w:rsidR="00FA1FCD" w:rsidRDefault="00FA1FCD" w:rsidP="003E2D93">
      <w:pPr>
        <w:jc w:val="center"/>
      </w:pPr>
      <w:r>
        <w:rPr>
          <w:noProof/>
        </w:rPr>
        <w:drawing>
          <wp:inline distT="0" distB="0" distL="0" distR="0" wp14:anchorId="6958AFDA" wp14:editId="0A5F291F">
            <wp:extent cx="4572635" cy="2743200"/>
            <wp:effectExtent l="0" t="0" r="0" b="0"/>
            <wp:docPr id="869" name="Picture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FA1FCD" w:rsidRPr="003A6CAB" w:rsidRDefault="00FA1FCD" w:rsidP="003E2D93"/>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94"/>
        <w:gridCol w:w="4251"/>
        <w:gridCol w:w="1616"/>
        <w:gridCol w:w="899"/>
      </w:tblGrid>
      <w:tr w:rsidR="00FA1FCD" w:rsidRPr="0096319C" w:rsidTr="007705FF">
        <w:trPr>
          <w:cantSplit/>
          <w:tblHeader/>
        </w:trPr>
        <w:tc>
          <w:tcPr>
            <w:tcW w:w="1424" w:type="pct"/>
            <w:tcBorders>
              <w:top w:val="single" w:sz="4" w:space="0" w:color="auto"/>
              <w:bottom w:val="single" w:sz="4" w:space="0" w:color="auto"/>
            </w:tcBorders>
            <w:shd w:val="clear" w:color="auto" w:fill="CCFFFF"/>
            <w:tcMar>
              <w:top w:w="113" w:type="dxa"/>
              <w:bottom w:w="113" w:type="dxa"/>
            </w:tcMar>
            <w:vAlign w:val="center"/>
          </w:tcPr>
          <w:p w:rsidR="00FA1FCD" w:rsidRPr="0040645B" w:rsidRDefault="00FA1FCD" w:rsidP="00C1753F">
            <w:pPr>
              <w:spacing w:after="120"/>
              <w:jc w:val="center"/>
              <w:rPr>
                <w:rFonts w:cs="Arial"/>
                <w:b/>
                <w:bCs/>
                <w:sz w:val="18"/>
                <w:szCs w:val="18"/>
              </w:rPr>
            </w:pPr>
            <w:r w:rsidRPr="0040645B">
              <w:rPr>
                <w:rFonts w:cs="Arial"/>
                <w:b/>
                <w:bCs/>
                <w:sz w:val="18"/>
                <w:szCs w:val="18"/>
              </w:rPr>
              <w:t>Expected Results</w:t>
            </w:r>
          </w:p>
        </w:tc>
        <w:tc>
          <w:tcPr>
            <w:tcW w:w="2247" w:type="pct"/>
            <w:tcBorders>
              <w:top w:val="single" w:sz="4" w:space="0" w:color="auto"/>
              <w:bottom w:val="single" w:sz="4" w:space="0" w:color="auto"/>
            </w:tcBorders>
            <w:shd w:val="clear" w:color="auto" w:fill="CCFFFF"/>
            <w:tcMar>
              <w:top w:w="113" w:type="dxa"/>
              <w:bottom w:w="113" w:type="dxa"/>
            </w:tcMar>
            <w:vAlign w:val="center"/>
          </w:tcPr>
          <w:p w:rsidR="00FA1FCD" w:rsidRPr="0040645B" w:rsidRDefault="00FA1FCD" w:rsidP="00C1753F">
            <w:pPr>
              <w:spacing w:after="120"/>
              <w:jc w:val="center"/>
              <w:rPr>
                <w:rFonts w:cs="Arial"/>
                <w:b/>
                <w:sz w:val="18"/>
                <w:szCs w:val="18"/>
              </w:rPr>
            </w:pPr>
            <w:r w:rsidRPr="0040645B">
              <w:rPr>
                <w:rFonts w:cs="Arial"/>
                <w:b/>
                <w:sz w:val="18"/>
                <w:szCs w:val="18"/>
              </w:rPr>
              <w:t>Performance Indicators</w:t>
            </w:r>
          </w:p>
        </w:tc>
        <w:tc>
          <w:tcPr>
            <w:tcW w:w="854" w:type="pct"/>
            <w:tcBorders>
              <w:top w:val="single" w:sz="4" w:space="0" w:color="auto"/>
              <w:bottom w:val="single" w:sz="4" w:space="0" w:color="auto"/>
            </w:tcBorders>
            <w:shd w:val="clear" w:color="auto" w:fill="CCFFFF"/>
            <w:tcMar>
              <w:top w:w="113" w:type="dxa"/>
              <w:bottom w:w="113" w:type="dxa"/>
            </w:tcMar>
            <w:vAlign w:val="center"/>
          </w:tcPr>
          <w:p w:rsidR="00FA1FCD" w:rsidRPr="0040645B" w:rsidRDefault="00FA1FCD" w:rsidP="00C1753F">
            <w:pPr>
              <w:spacing w:after="120"/>
              <w:ind w:left="85"/>
              <w:jc w:val="center"/>
              <w:rPr>
                <w:rFonts w:cs="Arial"/>
                <w:sz w:val="18"/>
                <w:szCs w:val="18"/>
              </w:rPr>
            </w:pPr>
            <w:r w:rsidRPr="0040645B">
              <w:rPr>
                <w:rFonts w:cs="Arial"/>
                <w:b/>
                <w:bCs/>
                <w:sz w:val="18"/>
                <w:szCs w:val="18"/>
              </w:rPr>
              <w:t>Responsible Program(s)</w:t>
            </w:r>
          </w:p>
        </w:tc>
        <w:tc>
          <w:tcPr>
            <w:tcW w:w="475" w:type="pct"/>
            <w:tcBorders>
              <w:top w:val="single" w:sz="4" w:space="0" w:color="auto"/>
              <w:bottom w:val="single" w:sz="4" w:space="0" w:color="auto"/>
            </w:tcBorders>
            <w:shd w:val="clear" w:color="auto" w:fill="CCFFFF"/>
            <w:vAlign w:val="center"/>
          </w:tcPr>
          <w:p w:rsidR="00FA1FCD" w:rsidRPr="007B07A4" w:rsidRDefault="00FA1FCD" w:rsidP="00C1753F">
            <w:pPr>
              <w:spacing w:after="120"/>
              <w:ind w:left="85"/>
              <w:jc w:val="center"/>
              <w:rPr>
                <w:rFonts w:cs="Arial"/>
                <w:b/>
                <w:bCs/>
                <w:sz w:val="18"/>
                <w:szCs w:val="18"/>
              </w:rPr>
            </w:pPr>
            <w:r>
              <w:rPr>
                <w:rFonts w:cs="Arial"/>
                <w:b/>
                <w:bCs/>
                <w:sz w:val="18"/>
                <w:szCs w:val="18"/>
              </w:rPr>
              <w:t>TLS</w:t>
            </w:r>
          </w:p>
        </w:tc>
      </w:tr>
      <w:tr w:rsidR="00FA1FCD" w:rsidRPr="00811500" w:rsidTr="007705FF">
        <w:trPr>
          <w:cantSplit/>
        </w:trPr>
        <w:tc>
          <w:tcPr>
            <w:tcW w:w="1424"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II.1</w:t>
            </w:r>
            <w:r>
              <w:rPr>
                <w:rFonts w:cs="Arial"/>
                <w:sz w:val="16"/>
                <w:szCs w:val="16"/>
              </w:rPr>
              <w:t xml:space="preserve"> </w:t>
            </w:r>
            <w:r w:rsidRPr="00811500">
              <w:rPr>
                <w:rFonts w:cs="Arial"/>
                <w:sz w:val="16"/>
                <w:szCs w:val="16"/>
              </w:rPr>
              <w:t xml:space="preserve"> Increased use of the PCT route for filing international patent applications</w:t>
            </w:r>
          </w:p>
        </w:tc>
        <w:tc>
          <w:tcPr>
            <w:tcW w:w="2247" w:type="pct"/>
            <w:shd w:val="clear" w:color="auto" w:fill="auto"/>
            <w:tcMar>
              <w:top w:w="113" w:type="dxa"/>
              <w:bottom w:w="113" w:type="dxa"/>
            </w:tcMar>
          </w:tcPr>
          <w:p w:rsidR="00FA1FCD" w:rsidRDefault="00FA1FCD" w:rsidP="00C1753F">
            <w:pPr>
              <w:rPr>
                <w:rFonts w:cs="Arial"/>
                <w:sz w:val="16"/>
                <w:szCs w:val="16"/>
              </w:rPr>
            </w:pPr>
            <w:r w:rsidRPr="00811500">
              <w:rPr>
                <w:rFonts w:cs="Arial"/>
                <w:sz w:val="16"/>
                <w:szCs w:val="16"/>
              </w:rPr>
              <w:t xml:space="preserve">Level of satisfaction of PCT users with </w:t>
            </w:r>
          </w:p>
          <w:p w:rsidR="00FA1FCD" w:rsidRPr="00811500" w:rsidRDefault="00FA1FCD" w:rsidP="00C1753F">
            <w:pPr>
              <w:rPr>
                <w:rFonts w:cs="Arial"/>
                <w:sz w:val="16"/>
                <w:szCs w:val="16"/>
              </w:rPr>
            </w:pPr>
            <w:r w:rsidRPr="00811500">
              <w:rPr>
                <w:rFonts w:cs="Arial"/>
                <w:sz w:val="16"/>
                <w:szCs w:val="16"/>
              </w:rPr>
              <w:t>user-focused information and training services</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rPr>
            </w:pPr>
            <w:r w:rsidRPr="00811500">
              <w:rPr>
                <w:rFonts w:cs="Arial"/>
                <w:sz w:val="16"/>
                <w:szCs w:val="16"/>
                <w:lang w:bidi="th-TH"/>
              </w:rPr>
              <w:t>Program 5</w:t>
            </w:r>
          </w:p>
        </w:tc>
        <w:tc>
          <w:tcPr>
            <w:tcW w:w="475" w:type="pct"/>
            <w:shd w:val="clear" w:color="auto" w:fill="FFFFFF"/>
          </w:tcPr>
          <w:p w:rsidR="00FA1FCD" w:rsidRPr="00E015CE" w:rsidRDefault="00FA1FCD" w:rsidP="00C1753F">
            <w:pPr>
              <w:spacing w:before="40"/>
              <w:jc w:val="center"/>
              <w:rPr>
                <w:rFonts w:cs="Arial"/>
                <w:color w:val="E36C0A" w:themeColor="accent6" w:themeShade="BF"/>
                <w:sz w:val="22"/>
                <w:szCs w:val="22"/>
              </w:rPr>
            </w:pPr>
            <w:r w:rsidRPr="00804FA0">
              <w:rPr>
                <w:rFonts w:cs="Arial"/>
                <w:color w:val="0070C0"/>
                <w:sz w:val="22"/>
                <w:szCs w:val="22"/>
              </w:rPr>
              <w:sym w:font="Wingdings" w:char="F06C"/>
            </w:r>
          </w:p>
        </w:tc>
      </w:tr>
      <w:tr w:rsidR="00FA1FCD" w:rsidRPr="00811500" w:rsidTr="007705FF">
        <w:trPr>
          <w:cantSplit/>
          <w:trHeight w:val="112"/>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Satisfaction of Offices and International Authorities with PCT cooperative activities</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5</w:t>
            </w:r>
          </w:p>
        </w:tc>
        <w:tc>
          <w:tcPr>
            <w:tcW w:w="475" w:type="pct"/>
            <w:shd w:val="clear" w:color="auto" w:fill="FFFFFF"/>
          </w:tcPr>
          <w:p w:rsidR="00FA1FCD" w:rsidRDefault="00FA1FCD" w:rsidP="00C1753F">
            <w:pPr>
              <w:spacing w:before="40"/>
              <w:jc w:val="center"/>
            </w:pPr>
            <w:r w:rsidRPr="00804FA0">
              <w:rPr>
                <w:rFonts w:cs="Arial"/>
                <w:color w:val="0070C0"/>
                <w:sz w:val="22"/>
                <w:szCs w:val="22"/>
              </w:rPr>
              <w:sym w:font="Wingdings" w:char="F06C"/>
            </w:r>
          </w:p>
        </w:tc>
      </w:tr>
      <w:tr w:rsidR="00FA1FCD" w:rsidRPr="00811500" w:rsidTr="007705FF">
        <w:trPr>
          <w:cantSplit/>
          <w:trHeight w:val="311"/>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N</w:t>
            </w:r>
            <w:r>
              <w:rPr>
                <w:rFonts w:cs="Arial"/>
                <w:sz w:val="16"/>
                <w:szCs w:val="16"/>
              </w:rPr>
              <w:t>o.</w:t>
            </w:r>
            <w:r w:rsidRPr="00811500">
              <w:rPr>
                <w:rFonts w:cs="Arial"/>
                <w:sz w:val="16"/>
                <w:szCs w:val="16"/>
              </w:rPr>
              <w:t xml:space="preserve"> of PCT applicat</w:t>
            </w:r>
            <w:r>
              <w:rPr>
                <w:rFonts w:cs="Arial"/>
                <w:sz w:val="16"/>
                <w:szCs w:val="16"/>
              </w:rPr>
              <w:t>ions</w:t>
            </w:r>
            <w:r w:rsidRPr="00811500">
              <w:rPr>
                <w:rFonts w:cs="Arial"/>
                <w:sz w:val="16"/>
                <w:szCs w:val="16"/>
              </w:rPr>
              <w:t xml:space="preserve"> originating from transition and developed countries</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10</w:t>
            </w:r>
          </w:p>
        </w:tc>
        <w:tc>
          <w:tcPr>
            <w:tcW w:w="475" w:type="pct"/>
            <w:shd w:val="clear" w:color="auto" w:fill="FFFFFF"/>
          </w:tcPr>
          <w:p w:rsidR="00FA1FCD" w:rsidRDefault="00FA1FCD" w:rsidP="00C1753F">
            <w:pPr>
              <w:jc w:val="center"/>
            </w:pPr>
            <w:r w:rsidRPr="005F33CE">
              <w:rPr>
                <w:rFonts w:cs="Arial"/>
                <w:color w:val="008000"/>
                <w:sz w:val="22"/>
                <w:szCs w:val="22"/>
              </w:rPr>
              <w:sym w:font="Wingdings" w:char="F06C"/>
            </w:r>
          </w:p>
        </w:tc>
      </w:tr>
      <w:tr w:rsidR="00FA1FCD" w:rsidRPr="00811500" w:rsidTr="007705FF">
        <w:trPr>
          <w:cantSplit/>
          <w:trHeight w:val="22"/>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 of PCT filings</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20</w:t>
            </w:r>
          </w:p>
        </w:tc>
        <w:tc>
          <w:tcPr>
            <w:tcW w:w="475" w:type="pct"/>
            <w:shd w:val="clear" w:color="auto" w:fill="FFFFFF"/>
          </w:tcPr>
          <w:p w:rsidR="00FA1FCD" w:rsidRDefault="00FA1FCD" w:rsidP="00C1753F">
            <w:pPr>
              <w:jc w:val="center"/>
            </w:pPr>
            <w:r w:rsidRPr="003F3D29">
              <w:rPr>
                <w:rFonts w:cs="Arial"/>
                <w:color w:val="FF0000"/>
                <w:sz w:val="22"/>
                <w:szCs w:val="22"/>
              </w:rPr>
              <w:sym w:font="Wingdings" w:char="F06C"/>
            </w:r>
            <w:r w:rsidRPr="003F3D29">
              <w:rPr>
                <w:rFonts w:cs="Arial"/>
                <w:color w:val="FF0000"/>
                <w:sz w:val="22"/>
                <w:szCs w:val="22"/>
              </w:rPr>
              <w:sym w:font="Wingdings" w:char="F06C"/>
            </w:r>
            <w:r w:rsidRPr="005F33CE">
              <w:rPr>
                <w:rFonts w:cs="Arial"/>
                <w:color w:val="008000"/>
                <w:sz w:val="22"/>
                <w:szCs w:val="22"/>
              </w:rPr>
              <w:sym w:font="Wingdings" w:char="F06C"/>
            </w:r>
          </w:p>
        </w:tc>
      </w:tr>
      <w:tr w:rsidR="00FA1FCD" w:rsidRPr="00811500" w:rsidTr="007705FF">
        <w:trPr>
          <w:cantSplit/>
          <w:trHeight w:val="672"/>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 of policy makers, government officials, and IP Practitioners and participants in targeted workshops with enhanced understanding of the PCT and related topics</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20</w:t>
            </w:r>
          </w:p>
        </w:tc>
        <w:tc>
          <w:tcPr>
            <w:tcW w:w="475" w:type="pct"/>
            <w:shd w:val="clear" w:color="auto" w:fill="FFFFFF"/>
          </w:tcPr>
          <w:p w:rsidR="00FA1FCD" w:rsidRDefault="00FA1FCD" w:rsidP="00C1753F">
            <w:pPr>
              <w:jc w:val="center"/>
            </w:pP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p>
        </w:tc>
      </w:tr>
      <w:tr w:rsidR="00FA1FCD" w:rsidRPr="00811500" w:rsidTr="007705FF">
        <w:trPr>
          <w:cantSplit/>
          <w:trHeight w:val="518"/>
        </w:trPr>
        <w:tc>
          <w:tcPr>
            <w:tcW w:w="1424" w:type="pct"/>
            <w:shd w:val="clear" w:color="auto" w:fill="auto"/>
            <w:tcMar>
              <w:top w:w="113" w:type="dxa"/>
              <w:bottom w:w="113" w:type="dxa"/>
            </w:tcMar>
          </w:tcPr>
          <w:p w:rsidR="00FA1FCD" w:rsidRPr="00811500" w:rsidRDefault="00FA1FCD" w:rsidP="00C1753F">
            <w:pPr>
              <w:autoSpaceDE w:val="0"/>
              <w:autoSpaceDN w:val="0"/>
              <w:adjustRightInd w:val="0"/>
              <w:rPr>
                <w:rFonts w:cs="Arial"/>
                <w:sz w:val="16"/>
                <w:szCs w:val="16"/>
                <w:lang w:eastAsia="zh-CN" w:bidi="th-TH"/>
              </w:rPr>
            </w:pPr>
            <w:r w:rsidRPr="00811500">
              <w:rPr>
                <w:rFonts w:cs="Arial"/>
                <w:sz w:val="16"/>
                <w:szCs w:val="16"/>
              </w:rPr>
              <w:t xml:space="preserve">II.2 </w:t>
            </w:r>
            <w:r w:rsidRPr="00811500">
              <w:rPr>
                <w:rFonts w:cs="Arial"/>
                <w:sz w:val="16"/>
                <w:szCs w:val="16"/>
                <w:lang w:eastAsia="zh-CN" w:bidi="th-TH"/>
              </w:rPr>
              <w:t xml:space="preserve">Improvement of the PCT system </w:t>
            </w:r>
          </w:p>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Further development of the PCT system, notably implementation of the PCT roadmap recommendations endorsed by PCT Member States</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5</w:t>
            </w:r>
          </w:p>
        </w:tc>
        <w:tc>
          <w:tcPr>
            <w:tcW w:w="475" w:type="pct"/>
            <w:shd w:val="clear" w:color="auto" w:fill="FFFFFF"/>
          </w:tcPr>
          <w:p w:rsidR="00FA1FCD" w:rsidRDefault="00FA1FCD" w:rsidP="00C1753F">
            <w:pPr>
              <w:spacing w:before="40"/>
              <w:jc w:val="center"/>
            </w:pPr>
            <w:r w:rsidRPr="00804FA0">
              <w:rPr>
                <w:rFonts w:cs="Arial"/>
                <w:color w:val="008000"/>
                <w:sz w:val="22"/>
                <w:szCs w:val="22"/>
              </w:rPr>
              <w:sym w:font="Wingdings" w:char="F06C"/>
            </w:r>
          </w:p>
        </w:tc>
      </w:tr>
      <w:tr w:rsidR="00FA1FCD" w:rsidRPr="00811500" w:rsidTr="007705FF">
        <w:trPr>
          <w:cantSplit/>
          <w:trHeight w:val="221"/>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Improved electronic services for applicants, third parties, Offices and Authorities</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5</w:t>
            </w:r>
          </w:p>
        </w:tc>
        <w:tc>
          <w:tcPr>
            <w:tcW w:w="475" w:type="pct"/>
            <w:shd w:val="clear" w:color="auto" w:fill="FFFFFF"/>
          </w:tcPr>
          <w:p w:rsidR="00FA1FCD" w:rsidRDefault="00FA1FCD" w:rsidP="00C1753F">
            <w:pPr>
              <w:spacing w:before="40"/>
              <w:jc w:val="center"/>
            </w:pPr>
            <w:r w:rsidRPr="00804FA0">
              <w:rPr>
                <w:rFonts w:cs="Arial"/>
                <w:color w:val="008000"/>
                <w:sz w:val="22"/>
                <w:szCs w:val="22"/>
              </w:rPr>
              <w:sym w:font="Wingdings" w:char="F06C"/>
            </w:r>
          </w:p>
        </w:tc>
      </w:tr>
      <w:tr w:rsidR="00FA1FCD" w:rsidRPr="00811500" w:rsidTr="007705FF">
        <w:trPr>
          <w:cantSplit/>
          <w:trHeight w:val="45"/>
        </w:trPr>
        <w:tc>
          <w:tcPr>
            <w:tcW w:w="1424"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II.3</w:t>
            </w:r>
            <w:r w:rsidRPr="00811500">
              <w:rPr>
                <w:rFonts w:cs="Arial"/>
                <w:sz w:val="16"/>
                <w:szCs w:val="16"/>
                <w:lang w:eastAsia="zh-CN" w:bidi="th-TH"/>
              </w:rPr>
              <w:t xml:space="preserve"> </w:t>
            </w:r>
            <w:r>
              <w:rPr>
                <w:rFonts w:cs="Arial"/>
                <w:sz w:val="16"/>
                <w:szCs w:val="16"/>
                <w:lang w:eastAsia="zh-CN" w:bidi="th-TH"/>
              </w:rPr>
              <w:t xml:space="preserve"> </w:t>
            </w:r>
            <w:r w:rsidRPr="00811500">
              <w:rPr>
                <w:rFonts w:cs="Arial"/>
                <w:sz w:val="16"/>
                <w:szCs w:val="16"/>
                <w:lang w:eastAsia="zh-CN" w:bidi="th-TH"/>
              </w:rPr>
              <w:t>Improved productivity and service quality of PCT operations</w:t>
            </w:r>
          </w:p>
        </w:tc>
        <w:tc>
          <w:tcPr>
            <w:tcW w:w="2247" w:type="pct"/>
            <w:shd w:val="clear" w:color="auto" w:fill="auto"/>
            <w:tcMar>
              <w:top w:w="113" w:type="dxa"/>
              <w:bottom w:w="113" w:type="dxa"/>
            </w:tcMar>
          </w:tcPr>
          <w:p w:rsidR="00FA1FCD" w:rsidRDefault="00FA1FCD" w:rsidP="00C1753F">
            <w:pPr>
              <w:rPr>
                <w:rFonts w:cs="Arial"/>
                <w:sz w:val="16"/>
                <w:szCs w:val="16"/>
              </w:rPr>
            </w:pPr>
            <w:r w:rsidRPr="00811500">
              <w:rPr>
                <w:rFonts w:cs="Arial"/>
                <w:sz w:val="16"/>
                <w:szCs w:val="16"/>
              </w:rPr>
              <w:t xml:space="preserve">Application unit cost </w:t>
            </w:r>
          </w:p>
          <w:p w:rsidR="00FA1FCD" w:rsidRDefault="00FA1FCD" w:rsidP="00C1753F">
            <w:pPr>
              <w:rPr>
                <w:rFonts w:cs="Arial"/>
                <w:sz w:val="16"/>
                <w:szCs w:val="16"/>
              </w:rPr>
            </w:pPr>
          </w:p>
          <w:p w:rsidR="00FA1FCD" w:rsidRPr="00811500" w:rsidRDefault="00FA1FCD" w:rsidP="00C1753F">
            <w:pPr>
              <w:rPr>
                <w:rFonts w:cs="Arial"/>
                <w:sz w:val="16"/>
                <w:szCs w:val="16"/>
              </w:rPr>
            </w:pPr>
            <w:r w:rsidRPr="00811500">
              <w:rPr>
                <w:rFonts w:cs="Arial"/>
                <w:sz w:val="16"/>
                <w:szCs w:val="16"/>
              </w:rPr>
              <w:t>Aggregate quality of formalities examination (including timelines)</w:t>
            </w:r>
          </w:p>
        </w:tc>
        <w:tc>
          <w:tcPr>
            <w:tcW w:w="854" w:type="pct"/>
            <w:shd w:val="clear" w:color="auto" w:fill="FFFFFF"/>
            <w:tcMar>
              <w:top w:w="113" w:type="dxa"/>
              <w:bottom w:w="113" w:type="dxa"/>
            </w:tcMar>
          </w:tcPr>
          <w:p w:rsidR="00FA1FCD" w:rsidRDefault="00FA1FCD" w:rsidP="00C1753F">
            <w:pPr>
              <w:ind w:left="441"/>
              <w:jc w:val="center"/>
              <w:rPr>
                <w:rFonts w:cs="Arial"/>
                <w:sz w:val="16"/>
                <w:szCs w:val="16"/>
                <w:lang w:bidi="th-TH"/>
              </w:rPr>
            </w:pPr>
            <w:r w:rsidRPr="00811500">
              <w:rPr>
                <w:rFonts w:cs="Arial"/>
                <w:sz w:val="16"/>
                <w:szCs w:val="16"/>
                <w:lang w:bidi="th-TH"/>
              </w:rPr>
              <w:t>Program 5</w:t>
            </w:r>
          </w:p>
          <w:p w:rsidR="00FA1FCD" w:rsidRDefault="00FA1FCD" w:rsidP="00C1753F">
            <w:pPr>
              <w:ind w:left="441"/>
              <w:jc w:val="center"/>
              <w:rPr>
                <w:rFonts w:cs="Arial"/>
                <w:sz w:val="16"/>
                <w:szCs w:val="16"/>
                <w:lang w:bidi="th-TH"/>
              </w:rPr>
            </w:pPr>
          </w:p>
          <w:p w:rsidR="00FA1FCD" w:rsidRPr="00811500" w:rsidRDefault="00FA1FCD" w:rsidP="00C1753F">
            <w:pPr>
              <w:ind w:left="441"/>
              <w:jc w:val="center"/>
              <w:rPr>
                <w:rFonts w:cs="Arial"/>
                <w:sz w:val="16"/>
                <w:szCs w:val="16"/>
                <w:lang w:bidi="th-TH"/>
              </w:rPr>
            </w:pPr>
            <w:r w:rsidRPr="00811500">
              <w:rPr>
                <w:rFonts w:cs="Arial"/>
                <w:sz w:val="16"/>
                <w:szCs w:val="16"/>
                <w:lang w:bidi="th-TH"/>
              </w:rPr>
              <w:t>Program 5</w:t>
            </w:r>
          </w:p>
        </w:tc>
        <w:tc>
          <w:tcPr>
            <w:tcW w:w="475" w:type="pct"/>
            <w:shd w:val="clear" w:color="auto" w:fill="FFFFFF"/>
          </w:tcPr>
          <w:p w:rsidR="00FA1FCD" w:rsidRDefault="00FA1FCD" w:rsidP="00C1753F">
            <w:pPr>
              <w:spacing w:before="40"/>
              <w:jc w:val="center"/>
              <w:rPr>
                <w:rFonts w:cs="Arial"/>
                <w:color w:val="008000"/>
                <w:sz w:val="22"/>
                <w:szCs w:val="22"/>
              </w:rPr>
            </w:pPr>
            <w:r w:rsidRPr="00804FA0">
              <w:rPr>
                <w:rFonts w:cs="Arial"/>
                <w:color w:val="008000"/>
                <w:sz w:val="22"/>
                <w:szCs w:val="22"/>
              </w:rPr>
              <w:sym w:font="Wingdings" w:char="F06C"/>
            </w:r>
          </w:p>
          <w:p w:rsidR="00FA1FCD" w:rsidRPr="00804FA0" w:rsidRDefault="00FA1FCD" w:rsidP="00C1753F">
            <w:pPr>
              <w:spacing w:before="40"/>
              <w:jc w:val="center"/>
              <w:rPr>
                <w:b/>
              </w:rPr>
            </w:pPr>
            <w:r w:rsidRPr="00804FA0">
              <w:rPr>
                <w:rFonts w:cs="Arial"/>
                <w:color w:val="008000"/>
                <w:sz w:val="22"/>
                <w:szCs w:val="22"/>
              </w:rPr>
              <w:sym w:font="Wingdings" w:char="F06C"/>
            </w:r>
          </w:p>
        </w:tc>
      </w:tr>
      <w:tr w:rsidR="00FA1FCD" w:rsidRPr="00811500" w:rsidTr="007705FF">
        <w:trPr>
          <w:cantSplit/>
          <w:trHeight w:val="201"/>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Quality of translation</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5</w:t>
            </w:r>
          </w:p>
        </w:tc>
        <w:tc>
          <w:tcPr>
            <w:tcW w:w="475" w:type="pct"/>
            <w:shd w:val="clear" w:color="auto" w:fill="FFFFFF"/>
          </w:tcPr>
          <w:p w:rsidR="00FA1FCD" w:rsidRDefault="00FA1FCD" w:rsidP="00C1753F">
            <w:pPr>
              <w:spacing w:before="40"/>
              <w:jc w:val="center"/>
            </w:pPr>
            <w:r w:rsidRPr="00804FA0">
              <w:rPr>
                <w:rFonts w:cs="Arial"/>
                <w:color w:val="008000"/>
                <w:sz w:val="22"/>
                <w:szCs w:val="22"/>
              </w:rPr>
              <w:sym w:font="Wingdings" w:char="F06C"/>
            </w:r>
          </w:p>
        </w:tc>
      </w:tr>
      <w:tr w:rsidR="00FA1FCD" w:rsidRPr="00811500" w:rsidTr="007705FF">
        <w:trPr>
          <w:cantSplit/>
          <w:trHeight w:val="225"/>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57" w:type="dxa"/>
              <w:bottom w:w="57" w:type="dxa"/>
            </w:tcMar>
          </w:tcPr>
          <w:p w:rsidR="00FA1FCD" w:rsidRPr="00811500" w:rsidRDefault="00FA1FCD" w:rsidP="00C1753F">
            <w:pPr>
              <w:tabs>
                <w:tab w:val="left" w:pos="1860"/>
              </w:tabs>
              <w:rPr>
                <w:rFonts w:cs="Arial"/>
                <w:sz w:val="16"/>
                <w:szCs w:val="16"/>
              </w:rPr>
            </w:pPr>
            <w:r w:rsidRPr="00811500">
              <w:rPr>
                <w:rFonts w:cs="Arial"/>
                <w:sz w:val="16"/>
                <w:szCs w:val="16"/>
              </w:rPr>
              <w:t>Timelines of report translation</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5</w:t>
            </w:r>
          </w:p>
        </w:tc>
        <w:tc>
          <w:tcPr>
            <w:tcW w:w="475" w:type="pct"/>
            <w:shd w:val="clear" w:color="auto" w:fill="FFFFFF"/>
          </w:tcPr>
          <w:p w:rsidR="00FA1FCD" w:rsidRDefault="00FA1FCD" w:rsidP="00C1753F">
            <w:pPr>
              <w:spacing w:before="40"/>
              <w:jc w:val="center"/>
            </w:pPr>
            <w:r w:rsidRPr="00804FA0">
              <w:rPr>
                <w:rFonts w:cs="Arial"/>
                <w:color w:val="008000"/>
                <w:sz w:val="22"/>
                <w:szCs w:val="22"/>
              </w:rPr>
              <w:sym w:font="Wingdings" w:char="F06C"/>
            </w:r>
          </w:p>
        </w:tc>
      </w:tr>
      <w:tr w:rsidR="00FA1FCD" w:rsidRPr="00811500" w:rsidTr="007705FF">
        <w:trPr>
          <w:cantSplit/>
          <w:trHeight w:val="133"/>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57" w:type="dxa"/>
              <w:bottom w:w="57" w:type="dxa"/>
            </w:tcMar>
          </w:tcPr>
          <w:p w:rsidR="00FA1FCD" w:rsidRPr="00811500" w:rsidRDefault="00FA1FCD" w:rsidP="00C1753F">
            <w:pPr>
              <w:rPr>
                <w:rFonts w:cs="Arial"/>
                <w:sz w:val="16"/>
                <w:szCs w:val="16"/>
              </w:rPr>
            </w:pPr>
            <w:r w:rsidRPr="00811500">
              <w:rPr>
                <w:rFonts w:cs="Arial"/>
                <w:sz w:val="16"/>
                <w:szCs w:val="16"/>
              </w:rPr>
              <w:t>Quality of software development (QSD)</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5</w:t>
            </w:r>
          </w:p>
        </w:tc>
        <w:tc>
          <w:tcPr>
            <w:tcW w:w="475" w:type="pct"/>
            <w:shd w:val="clear" w:color="auto" w:fill="FFFFFF"/>
          </w:tcPr>
          <w:p w:rsidR="00FA1FCD" w:rsidRDefault="00FA1FCD" w:rsidP="00C1753F">
            <w:pPr>
              <w:spacing w:before="40"/>
              <w:jc w:val="center"/>
            </w:pPr>
            <w:r w:rsidRPr="00804FA0">
              <w:rPr>
                <w:rFonts w:cs="Arial"/>
                <w:color w:val="008000"/>
                <w:sz w:val="22"/>
                <w:szCs w:val="22"/>
              </w:rPr>
              <w:sym w:font="Wingdings" w:char="F06C"/>
            </w:r>
          </w:p>
        </w:tc>
      </w:tr>
      <w:tr w:rsidR="00FA1FCD" w:rsidRPr="00811500" w:rsidTr="007705FF">
        <w:trPr>
          <w:cantSplit/>
          <w:trHeight w:val="40"/>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57" w:type="dxa"/>
              <w:bottom w:w="57" w:type="dxa"/>
            </w:tcMar>
          </w:tcPr>
          <w:p w:rsidR="00FA1FCD" w:rsidRPr="00811500" w:rsidRDefault="00FA1FCD" w:rsidP="00C1753F">
            <w:pPr>
              <w:rPr>
                <w:rFonts w:cs="Arial"/>
                <w:sz w:val="16"/>
                <w:szCs w:val="16"/>
              </w:rPr>
            </w:pPr>
            <w:r w:rsidRPr="00811500">
              <w:rPr>
                <w:rFonts w:cs="Arial"/>
                <w:sz w:val="16"/>
                <w:szCs w:val="16"/>
              </w:rPr>
              <w:t>Information systems service levels</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5</w:t>
            </w:r>
          </w:p>
        </w:tc>
        <w:tc>
          <w:tcPr>
            <w:tcW w:w="475" w:type="pct"/>
            <w:shd w:val="clear" w:color="auto" w:fill="FFFFFF"/>
          </w:tcPr>
          <w:p w:rsidR="00FA1FCD" w:rsidRDefault="00FA1FCD" w:rsidP="00C1753F">
            <w:pPr>
              <w:spacing w:before="40"/>
              <w:jc w:val="center"/>
            </w:pPr>
            <w:r w:rsidRPr="00804FA0">
              <w:rPr>
                <w:rFonts w:cs="Arial"/>
                <w:color w:val="008000"/>
                <w:sz w:val="22"/>
                <w:szCs w:val="22"/>
              </w:rPr>
              <w:sym w:font="Wingdings" w:char="F06C"/>
            </w:r>
          </w:p>
        </w:tc>
      </w:tr>
      <w:tr w:rsidR="00FA1FCD" w:rsidRPr="00811500" w:rsidTr="007705FF">
        <w:trPr>
          <w:cantSplit/>
          <w:trHeight w:val="180"/>
        </w:trPr>
        <w:tc>
          <w:tcPr>
            <w:tcW w:w="1424"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 xml:space="preserve">II.4 </w:t>
            </w:r>
            <w:r>
              <w:rPr>
                <w:rFonts w:cs="Arial"/>
                <w:sz w:val="16"/>
                <w:szCs w:val="16"/>
              </w:rPr>
              <w:t xml:space="preserve"> </w:t>
            </w:r>
            <w:r w:rsidRPr="00811500">
              <w:rPr>
                <w:rFonts w:cs="Arial"/>
                <w:sz w:val="16"/>
                <w:szCs w:val="16"/>
              </w:rPr>
              <w:t>Wider and better use of the Hague system, including by developing countries and LDCs</w:t>
            </w:r>
          </w:p>
        </w:tc>
        <w:tc>
          <w:tcPr>
            <w:tcW w:w="2247" w:type="pct"/>
            <w:shd w:val="clear" w:color="auto" w:fill="auto"/>
            <w:tcMar>
              <w:top w:w="57" w:type="dxa"/>
              <w:bottom w:w="57" w:type="dxa"/>
            </w:tcMar>
          </w:tcPr>
          <w:p w:rsidR="00FA1FCD" w:rsidRDefault="00FA1FCD" w:rsidP="00C1753F">
            <w:pPr>
              <w:rPr>
                <w:rFonts w:cs="Arial"/>
                <w:sz w:val="16"/>
                <w:szCs w:val="16"/>
              </w:rPr>
            </w:pPr>
            <w:r w:rsidRPr="00811500">
              <w:rPr>
                <w:rFonts w:cs="Arial"/>
                <w:sz w:val="16"/>
                <w:szCs w:val="16"/>
              </w:rPr>
              <w:t>No. of Hague system applica</w:t>
            </w:r>
            <w:r>
              <w:rPr>
                <w:rFonts w:cs="Arial"/>
                <w:sz w:val="16"/>
                <w:szCs w:val="16"/>
              </w:rPr>
              <w:t>tions</w:t>
            </w:r>
            <w:r w:rsidRPr="00811500">
              <w:rPr>
                <w:rFonts w:cs="Arial"/>
                <w:sz w:val="16"/>
                <w:szCs w:val="16"/>
              </w:rPr>
              <w:t xml:space="preserve"> originating from transition and developed countries </w:t>
            </w:r>
          </w:p>
          <w:p w:rsidR="00FA1FCD" w:rsidRDefault="00FA1FCD" w:rsidP="00C1753F">
            <w:pPr>
              <w:rPr>
                <w:rFonts w:cs="Arial"/>
                <w:sz w:val="16"/>
                <w:szCs w:val="16"/>
              </w:rPr>
            </w:pPr>
          </w:p>
          <w:p w:rsidR="00FA1FCD" w:rsidRPr="00811500" w:rsidRDefault="00FA1FCD" w:rsidP="00C1753F">
            <w:pPr>
              <w:rPr>
                <w:rFonts w:cs="Arial"/>
                <w:sz w:val="16"/>
                <w:szCs w:val="16"/>
              </w:rPr>
            </w:pPr>
            <w:r w:rsidRPr="00811500">
              <w:rPr>
                <w:rFonts w:cs="Arial"/>
                <w:sz w:val="16"/>
                <w:szCs w:val="16"/>
              </w:rPr>
              <w:t>No. of countries that have formulated and/or are engaged in policies outlining their accession to the Hague Agreement</w:t>
            </w:r>
          </w:p>
        </w:tc>
        <w:tc>
          <w:tcPr>
            <w:tcW w:w="854" w:type="pct"/>
            <w:shd w:val="clear" w:color="auto" w:fill="FFFFFF"/>
            <w:tcMar>
              <w:top w:w="113" w:type="dxa"/>
              <w:bottom w:w="113" w:type="dxa"/>
            </w:tcMar>
          </w:tcPr>
          <w:p w:rsidR="00FA1FCD" w:rsidRDefault="00FA1FCD" w:rsidP="00C1753F">
            <w:pPr>
              <w:ind w:left="441"/>
              <w:jc w:val="center"/>
              <w:rPr>
                <w:rFonts w:cs="Arial"/>
                <w:sz w:val="16"/>
                <w:szCs w:val="16"/>
                <w:lang w:bidi="th-TH"/>
              </w:rPr>
            </w:pPr>
            <w:r w:rsidRPr="00811500">
              <w:rPr>
                <w:rFonts w:cs="Arial"/>
                <w:sz w:val="16"/>
                <w:szCs w:val="16"/>
                <w:lang w:bidi="th-TH"/>
              </w:rPr>
              <w:t>Program 10</w:t>
            </w:r>
          </w:p>
          <w:p w:rsidR="00FA1FCD" w:rsidRDefault="00FA1FCD" w:rsidP="00C1753F">
            <w:pPr>
              <w:ind w:left="441"/>
              <w:jc w:val="center"/>
              <w:rPr>
                <w:rFonts w:cs="Arial"/>
                <w:sz w:val="16"/>
                <w:szCs w:val="16"/>
                <w:lang w:bidi="th-TH"/>
              </w:rPr>
            </w:pPr>
          </w:p>
          <w:p w:rsidR="00FA1FCD" w:rsidRDefault="00FA1FCD" w:rsidP="00C1753F">
            <w:pPr>
              <w:ind w:left="441"/>
              <w:jc w:val="center"/>
              <w:rPr>
                <w:rFonts w:cs="Arial"/>
                <w:sz w:val="16"/>
                <w:szCs w:val="16"/>
                <w:lang w:bidi="th-TH"/>
              </w:rPr>
            </w:pPr>
          </w:p>
          <w:p w:rsidR="00FA1FCD" w:rsidRPr="00811500" w:rsidRDefault="00FA1FCD" w:rsidP="00C1753F">
            <w:pPr>
              <w:ind w:left="441"/>
              <w:jc w:val="center"/>
              <w:rPr>
                <w:rFonts w:cs="Arial"/>
                <w:sz w:val="16"/>
                <w:szCs w:val="16"/>
                <w:lang w:bidi="th-TH"/>
              </w:rPr>
            </w:pPr>
            <w:r w:rsidRPr="00811500">
              <w:rPr>
                <w:rFonts w:cs="Arial"/>
                <w:sz w:val="16"/>
                <w:szCs w:val="16"/>
                <w:lang w:bidi="th-TH"/>
              </w:rPr>
              <w:t>Program 20</w:t>
            </w:r>
          </w:p>
        </w:tc>
        <w:tc>
          <w:tcPr>
            <w:tcW w:w="475" w:type="pct"/>
            <w:shd w:val="clear" w:color="auto" w:fill="FFFFFF"/>
          </w:tcPr>
          <w:p w:rsidR="00FA1FCD" w:rsidRPr="005F33CE" w:rsidRDefault="00FA1FCD" w:rsidP="00C1753F">
            <w:pPr>
              <w:jc w:val="center"/>
              <w:rPr>
                <w:rFonts w:cs="Arial"/>
                <w:color w:val="FF0000"/>
                <w:sz w:val="22"/>
                <w:szCs w:val="22"/>
              </w:rPr>
            </w:pPr>
            <w:r w:rsidRPr="005F33CE">
              <w:rPr>
                <w:rFonts w:cs="Arial"/>
                <w:color w:val="FF0000"/>
                <w:sz w:val="22"/>
                <w:szCs w:val="22"/>
              </w:rPr>
              <w:sym w:font="Wingdings" w:char="F06C"/>
            </w:r>
          </w:p>
          <w:p w:rsidR="00FA1FCD" w:rsidRDefault="00FA1FCD" w:rsidP="00C1753F">
            <w:pPr>
              <w:jc w:val="center"/>
              <w:rPr>
                <w:rFonts w:cs="Arial"/>
                <w:color w:val="A6A6A6" w:themeColor="background1" w:themeShade="A6"/>
                <w:sz w:val="22"/>
                <w:szCs w:val="22"/>
              </w:rPr>
            </w:pPr>
          </w:p>
          <w:p w:rsidR="00FA1FCD" w:rsidRDefault="00FA1FCD" w:rsidP="00C1753F">
            <w:pPr>
              <w:jc w:val="center"/>
            </w:pPr>
            <w:r w:rsidRPr="005F33CE">
              <w:rPr>
                <w:rFonts w:cs="Arial"/>
                <w:color w:val="008000"/>
                <w:sz w:val="22"/>
                <w:szCs w:val="22"/>
              </w:rPr>
              <w:sym w:font="Wingdings" w:char="F06C"/>
            </w:r>
          </w:p>
        </w:tc>
      </w:tr>
      <w:tr w:rsidR="00FA1FCD" w:rsidRPr="00811500" w:rsidTr="007705FF">
        <w:trPr>
          <w:cantSplit/>
          <w:trHeight w:val="696"/>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57" w:type="dxa"/>
              <w:bottom w:w="57" w:type="dxa"/>
            </w:tcMar>
          </w:tcPr>
          <w:p w:rsidR="00FA1FCD" w:rsidRPr="00811500" w:rsidRDefault="00FA1FCD" w:rsidP="00C1753F">
            <w:pPr>
              <w:rPr>
                <w:rFonts w:cs="Arial"/>
                <w:sz w:val="16"/>
                <w:szCs w:val="16"/>
              </w:rPr>
            </w:pPr>
            <w:r w:rsidRPr="00811500">
              <w:rPr>
                <w:rFonts w:cs="Arial"/>
                <w:sz w:val="16"/>
                <w:szCs w:val="16"/>
              </w:rPr>
              <w:t>% of policy makers, government officials, and IP Practitioners and participants in targeted workshops with enhanced understanding of the Hague System</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20</w:t>
            </w:r>
          </w:p>
        </w:tc>
        <w:tc>
          <w:tcPr>
            <w:tcW w:w="475" w:type="pct"/>
            <w:shd w:val="clear" w:color="auto" w:fill="FFFFFF"/>
          </w:tcPr>
          <w:p w:rsidR="00FA1FCD" w:rsidRDefault="00FA1FCD" w:rsidP="00C1753F">
            <w:pPr>
              <w:jc w:val="center"/>
            </w:pP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p>
        </w:tc>
      </w:tr>
      <w:tr w:rsidR="00FA1FCD" w:rsidRPr="00811500" w:rsidTr="007705FF">
        <w:trPr>
          <w:cantSplit/>
          <w:trHeight w:val="156"/>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57" w:type="dxa"/>
              <w:bottom w:w="57" w:type="dxa"/>
            </w:tcMar>
          </w:tcPr>
          <w:p w:rsidR="00FA1FCD" w:rsidRPr="00811500" w:rsidRDefault="00FA1FCD" w:rsidP="00C1753F">
            <w:pPr>
              <w:rPr>
                <w:rFonts w:cs="Arial"/>
                <w:sz w:val="16"/>
                <w:szCs w:val="16"/>
              </w:rPr>
            </w:pPr>
            <w:r w:rsidRPr="00811500">
              <w:rPr>
                <w:rFonts w:cs="Arial"/>
                <w:sz w:val="16"/>
                <w:szCs w:val="16"/>
              </w:rPr>
              <w:t xml:space="preserve">No. of </w:t>
            </w:r>
            <w:r>
              <w:rPr>
                <w:rFonts w:cs="Arial"/>
                <w:sz w:val="16"/>
                <w:szCs w:val="16"/>
              </w:rPr>
              <w:t>C</w:t>
            </w:r>
            <w:r w:rsidRPr="00811500">
              <w:rPr>
                <w:rFonts w:cs="Arial"/>
                <w:sz w:val="16"/>
                <w:szCs w:val="16"/>
              </w:rPr>
              <w:t xml:space="preserve">ontracting </w:t>
            </w:r>
            <w:r>
              <w:rPr>
                <w:rFonts w:cs="Arial"/>
                <w:sz w:val="16"/>
                <w:szCs w:val="16"/>
              </w:rPr>
              <w:t>P</w:t>
            </w:r>
            <w:r w:rsidRPr="00811500">
              <w:rPr>
                <w:rFonts w:cs="Arial"/>
                <w:sz w:val="16"/>
                <w:szCs w:val="16"/>
              </w:rPr>
              <w:t xml:space="preserve">arties to the Hague in the Asia </w:t>
            </w:r>
            <w:r>
              <w:rPr>
                <w:rFonts w:cs="Arial"/>
                <w:sz w:val="16"/>
                <w:szCs w:val="16"/>
              </w:rPr>
              <w:t>and P</w:t>
            </w:r>
            <w:r w:rsidRPr="00811500">
              <w:rPr>
                <w:rFonts w:cs="Arial"/>
                <w:sz w:val="16"/>
                <w:szCs w:val="16"/>
              </w:rPr>
              <w:t>acific Region</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20</w:t>
            </w:r>
          </w:p>
        </w:tc>
        <w:tc>
          <w:tcPr>
            <w:tcW w:w="475" w:type="pct"/>
            <w:shd w:val="clear" w:color="auto" w:fill="FFFFFF"/>
          </w:tcPr>
          <w:p w:rsidR="00FA1FCD" w:rsidRPr="003F3D29" w:rsidRDefault="00FA1FCD" w:rsidP="00C1753F">
            <w:pPr>
              <w:jc w:val="center"/>
              <w:rPr>
                <w:rFonts w:cs="Arial"/>
                <w:color w:val="FF0000"/>
                <w:sz w:val="22"/>
                <w:szCs w:val="22"/>
              </w:rPr>
            </w:pPr>
            <w:r w:rsidRPr="005F33CE">
              <w:rPr>
                <w:rFonts w:cs="Arial"/>
                <w:color w:val="FF0000"/>
                <w:sz w:val="22"/>
                <w:szCs w:val="22"/>
              </w:rPr>
              <w:sym w:font="Wingdings" w:char="F06C"/>
            </w:r>
            <w:r w:rsidRPr="005F33CE">
              <w:rPr>
                <w:rFonts w:cs="Arial"/>
                <w:color w:val="008000"/>
                <w:sz w:val="22"/>
                <w:szCs w:val="22"/>
              </w:rPr>
              <w:sym w:font="Wingdings" w:char="F06C"/>
            </w:r>
          </w:p>
        </w:tc>
      </w:tr>
      <w:tr w:rsidR="00FA1FCD" w:rsidRPr="00811500" w:rsidTr="007705FF">
        <w:trPr>
          <w:cantSplit/>
          <w:trHeight w:val="332"/>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57" w:type="dxa"/>
              <w:bottom w:w="57" w:type="dxa"/>
            </w:tcMar>
          </w:tcPr>
          <w:p w:rsidR="00FA1FCD" w:rsidRPr="00811500" w:rsidRDefault="00FA1FCD" w:rsidP="00C1753F">
            <w:pPr>
              <w:rPr>
                <w:rFonts w:cs="Arial"/>
                <w:sz w:val="16"/>
                <w:szCs w:val="16"/>
              </w:rPr>
            </w:pPr>
            <w:r w:rsidRPr="00811500">
              <w:rPr>
                <w:rFonts w:cs="Arial"/>
                <w:sz w:val="16"/>
                <w:szCs w:val="16"/>
              </w:rPr>
              <w:t>Membership of the Geneva (1999) Act</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31</w:t>
            </w:r>
          </w:p>
        </w:tc>
        <w:tc>
          <w:tcPr>
            <w:tcW w:w="475" w:type="pct"/>
            <w:shd w:val="clear" w:color="auto" w:fill="FFFFFF"/>
          </w:tcPr>
          <w:p w:rsidR="00FA1FCD" w:rsidRDefault="00FA1FCD" w:rsidP="00C1753F">
            <w:pPr>
              <w:jc w:val="center"/>
            </w:pPr>
            <w:r w:rsidRPr="00CF0735">
              <w:rPr>
                <w:rFonts w:cs="Arial"/>
                <w:color w:val="FF0000"/>
                <w:sz w:val="22"/>
                <w:szCs w:val="22"/>
              </w:rPr>
              <w:sym w:font="Wingdings" w:char="F06C"/>
            </w:r>
          </w:p>
        </w:tc>
      </w:tr>
      <w:tr w:rsidR="00FA1FCD" w:rsidRPr="00811500" w:rsidTr="007705FF">
        <w:trPr>
          <w:cantSplit/>
          <w:trHeight w:val="178"/>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 xml:space="preserve">Share of Offices concerned providing information on the Hague system </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31</w:t>
            </w:r>
          </w:p>
        </w:tc>
        <w:tc>
          <w:tcPr>
            <w:tcW w:w="475" w:type="pct"/>
            <w:shd w:val="clear" w:color="auto" w:fill="FFFFFF"/>
          </w:tcPr>
          <w:p w:rsidR="00FA1FCD" w:rsidRDefault="00FA1FCD" w:rsidP="00C1753F">
            <w:pPr>
              <w:jc w:val="center"/>
            </w:pPr>
            <w:r w:rsidRPr="00CF0735">
              <w:rPr>
                <w:rFonts w:cs="Arial"/>
                <w:color w:val="FF0000"/>
                <w:sz w:val="22"/>
                <w:szCs w:val="22"/>
              </w:rPr>
              <w:sym w:font="Wingdings" w:char="F06C"/>
            </w:r>
          </w:p>
        </w:tc>
      </w:tr>
      <w:tr w:rsidR="00FA1FCD" w:rsidRPr="00811500" w:rsidTr="007705FF">
        <w:trPr>
          <w:cantSplit/>
          <w:trHeight w:val="22"/>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Hague filings and renewals</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31</w:t>
            </w:r>
          </w:p>
        </w:tc>
        <w:tc>
          <w:tcPr>
            <w:tcW w:w="475" w:type="pct"/>
            <w:shd w:val="clear" w:color="auto" w:fill="FFFFFF"/>
          </w:tcPr>
          <w:p w:rsidR="00FA1FCD" w:rsidRDefault="00FA1FCD" w:rsidP="00C1753F">
            <w:pPr>
              <w:jc w:val="center"/>
            </w:pPr>
            <w:r w:rsidRPr="00CF0735">
              <w:rPr>
                <w:rFonts w:cs="Arial"/>
                <w:color w:val="FF0000"/>
                <w:sz w:val="22"/>
                <w:szCs w:val="22"/>
              </w:rPr>
              <w:sym w:font="Wingdings" w:char="F06C"/>
            </w:r>
          </w:p>
        </w:tc>
      </w:tr>
      <w:tr w:rsidR="00FA1FCD" w:rsidRPr="00811500" w:rsidTr="007705FF">
        <w:trPr>
          <w:cantSplit/>
          <w:trHeight w:val="495"/>
        </w:trPr>
        <w:tc>
          <w:tcPr>
            <w:tcW w:w="1424" w:type="pct"/>
            <w:shd w:val="clear" w:color="auto" w:fill="auto"/>
            <w:tcMar>
              <w:top w:w="113" w:type="dxa"/>
              <w:bottom w:w="113" w:type="dxa"/>
            </w:tcMar>
          </w:tcPr>
          <w:p w:rsidR="00FA1FCD" w:rsidRPr="00811500" w:rsidRDefault="00FA1FCD" w:rsidP="00C1753F">
            <w:pPr>
              <w:tabs>
                <w:tab w:val="right" w:pos="2835"/>
              </w:tabs>
              <w:spacing w:after="60"/>
              <w:rPr>
                <w:rFonts w:cs="Arial"/>
                <w:sz w:val="16"/>
                <w:szCs w:val="16"/>
              </w:rPr>
            </w:pPr>
            <w:r w:rsidRPr="00811500">
              <w:rPr>
                <w:rFonts w:cs="Arial"/>
                <w:sz w:val="16"/>
                <w:szCs w:val="16"/>
              </w:rPr>
              <w:t>II.5</w:t>
            </w:r>
            <w:r w:rsidRPr="00811500">
              <w:rPr>
                <w:rFonts w:cs="Arial"/>
                <w:sz w:val="16"/>
                <w:szCs w:val="16"/>
                <w:lang w:eastAsia="zh-CN" w:bidi="th-TH"/>
              </w:rPr>
              <w:t xml:space="preserve"> </w:t>
            </w:r>
            <w:r>
              <w:rPr>
                <w:rFonts w:cs="Arial"/>
                <w:sz w:val="16"/>
                <w:szCs w:val="16"/>
                <w:lang w:eastAsia="zh-CN" w:bidi="th-TH"/>
              </w:rPr>
              <w:t xml:space="preserve"> </w:t>
            </w:r>
            <w:r w:rsidRPr="00811500">
              <w:rPr>
                <w:rFonts w:cs="Arial"/>
                <w:sz w:val="16"/>
                <w:szCs w:val="16"/>
                <w:lang w:eastAsia="zh-CN" w:bidi="th-TH"/>
              </w:rPr>
              <w:t>Improved productivity and service quality of</w:t>
            </w:r>
            <w:r w:rsidRPr="00811500">
              <w:rPr>
                <w:rFonts w:cs="Arial"/>
                <w:sz w:val="16"/>
                <w:szCs w:val="16"/>
              </w:rPr>
              <w:t xml:space="preserve"> the Hague operations</w:t>
            </w: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Predominance of the Geneva (1999) Act in the Hague system</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31</w:t>
            </w:r>
          </w:p>
        </w:tc>
        <w:tc>
          <w:tcPr>
            <w:tcW w:w="475" w:type="pct"/>
            <w:shd w:val="clear" w:color="auto" w:fill="FFFFFF"/>
          </w:tcPr>
          <w:p w:rsidR="00FA1FCD" w:rsidRDefault="00FA1FCD" w:rsidP="00C1753F">
            <w:pPr>
              <w:jc w:val="center"/>
            </w:pPr>
            <w:r w:rsidRPr="00CF0735">
              <w:rPr>
                <w:rFonts w:cs="Arial"/>
                <w:color w:val="FF0000"/>
                <w:sz w:val="22"/>
                <w:szCs w:val="22"/>
              </w:rPr>
              <w:sym w:font="Wingdings" w:char="F06C"/>
            </w:r>
          </w:p>
        </w:tc>
      </w:tr>
      <w:tr w:rsidR="00FA1FCD" w:rsidRPr="00811500" w:rsidTr="007705FF">
        <w:trPr>
          <w:cantSplit/>
          <w:trHeight w:val="344"/>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Progress towards the enhancement of the legal framework</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31</w:t>
            </w:r>
          </w:p>
        </w:tc>
        <w:tc>
          <w:tcPr>
            <w:tcW w:w="475" w:type="pct"/>
            <w:shd w:val="clear" w:color="auto" w:fill="FFFFFF"/>
          </w:tcPr>
          <w:p w:rsidR="00FA1FCD" w:rsidRDefault="00FA1FCD" w:rsidP="00C1753F">
            <w:pPr>
              <w:jc w:val="center"/>
            </w:pPr>
            <w:r w:rsidRPr="00804FA0">
              <w:rPr>
                <w:rFonts w:cs="Arial"/>
                <w:color w:val="008000"/>
                <w:sz w:val="22"/>
                <w:szCs w:val="22"/>
              </w:rPr>
              <w:sym w:font="Wingdings" w:char="F06C"/>
            </w:r>
          </w:p>
        </w:tc>
      </w:tr>
      <w:tr w:rsidR="00FA1FCD" w:rsidRPr="00811500" w:rsidTr="007705FF">
        <w:trPr>
          <w:cantSplit/>
          <w:trHeight w:val="324"/>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Flexibility of data recorded in the International Register</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31</w:t>
            </w:r>
          </w:p>
        </w:tc>
        <w:tc>
          <w:tcPr>
            <w:tcW w:w="475" w:type="pct"/>
            <w:shd w:val="clear" w:color="auto" w:fill="FFFFFF"/>
          </w:tcPr>
          <w:p w:rsidR="00FA1FCD" w:rsidRDefault="00FA1FCD" w:rsidP="00C1753F">
            <w:pPr>
              <w:jc w:val="center"/>
            </w:pPr>
            <w:r w:rsidRPr="00CF0735">
              <w:rPr>
                <w:rFonts w:cs="Arial"/>
                <w:color w:val="FF0000"/>
                <w:sz w:val="22"/>
                <w:szCs w:val="22"/>
              </w:rPr>
              <w:sym w:font="Wingdings" w:char="F06C"/>
            </w:r>
          </w:p>
        </w:tc>
      </w:tr>
      <w:tr w:rsidR="00FA1FCD" w:rsidRPr="00811500" w:rsidTr="007705FF">
        <w:trPr>
          <w:cantSplit/>
          <w:trHeight w:val="149"/>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No. of automated processes</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31</w:t>
            </w:r>
          </w:p>
        </w:tc>
        <w:tc>
          <w:tcPr>
            <w:tcW w:w="475" w:type="pct"/>
            <w:shd w:val="clear" w:color="auto" w:fill="FFFFFF"/>
          </w:tcPr>
          <w:p w:rsidR="00FA1FCD" w:rsidRDefault="00FA1FCD" w:rsidP="00C1753F">
            <w:pPr>
              <w:jc w:val="center"/>
            </w:pPr>
            <w:r w:rsidRPr="00804FA0">
              <w:rPr>
                <w:rFonts w:cs="Arial"/>
                <w:color w:val="008000"/>
                <w:sz w:val="22"/>
                <w:szCs w:val="22"/>
              </w:rPr>
              <w:sym w:font="Wingdings" w:char="F06C"/>
            </w:r>
          </w:p>
        </w:tc>
      </w:tr>
      <w:tr w:rsidR="00FA1FCD" w:rsidRPr="00811500" w:rsidTr="007705FF">
        <w:trPr>
          <w:cantSplit/>
          <w:trHeight w:val="283"/>
        </w:trPr>
        <w:tc>
          <w:tcPr>
            <w:tcW w:w="1424" w:type="pct"/>
            <w:vMerge w:val="restar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 xml:space="preserve">II.6 </w:t>
            </w:r>
            <w:r>
              <w:rPr>
                <w:rFonts w:cs="Arial"/>
                <w:sz w:val="16"/>
                <w:szCs w:val="16"/>
              </w:rPr>
              <w:t xml:space="preserve"> </w:t>
            </w:r>
            <w:r w:rsidRPr="00811500">
              <w:rPr>
                <w:rFonts w:cs="Arial"/>
                <w:sz w:val="16"/>
                <w:szCs w:val="16"/>
              </w:rPr>
              <w:t>Wider and better use of the Madrid &amp; Lisbon systems, including by developing countries and LDCs</w:t>
            </w: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Expansion of geographical coverage (Madrid)</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FA1FCD" w:rsidRPr="00804FA0" w:rsidRDefault="00FA1FCD" w:rsidP="00C1753F">
            <w:pPr>
              <w:jc w:val="center"/>
              <w:rPr>
                <w:rFonts w:cs="Arial"/>
                <w:color w:val="008000"/>
                <w:sz w:val="22"/>
                <w:szCs w:val="22"/>
              </w:rPr>
            </w:pPr>
            <w:r w:rsidRPr="00804FA0">
              <w:rPr>
                <w:rFonts w:cs="Arial"/>
                <w:color w:val="008000"/>
                <w:sz w:val="22"/>
                <w:szCs w:val="22"/>
              </w:rPr>
              <w:sym w:font="Wingdings" w:char="F06C"/>
            </w:r>
          </w:p>
        </w:tc>
      </w:tr>
      <w:tr w:rsidR="00FA1FCD" w:rsidRPr="00811500" w:rsidTr="007705FF">
        <w:trPr>
          <w:cantSplit/>
          <w:trHeight w:val="231"/>
        </w:trPr>
        <w:tc>
          <w:tcPr>
            <w:tcW w:w="1424" w:type="pct"/>
            <w:vMerge/>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Expansion</w:t>
            </w:r>
            <w:r>
              <w:rPr>
                <w:rFonts w:cs="Arial"/>
                <w:sz w:val="16"/>
                <w:szCs w:val="16"/>
              </w:rPr>
              <w:t xml:space="preserve"> of </w:t>
            </w:r>
            <w:r w:rsidRPr="00811500">
              <w:rPr>
                <w:rFonts w:cs="Arial"/>
                <w:sz w:val="16"/>
                <w:szCs w:val="16"/>
              </w:rPr>
              <w:t xml:space="preserve"> geographical coverage (Lisbon)</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FA1FCD" w:rsidRPr="00804FA0" w:rsidRDefault="00FA1FCD" w:rsidP="00C1753F">
            <w:pPr>
              <w:jc w:val="center"/>
              <w:rPr>
                <w:rFonts w:cs="Arial"/>
                <w:color w:val="008000"/>
                <w:sz w:val="22"/>
                <w:szCs w:val="22"/>
              </w:rPr>
            </w:pPr>
            <w:r w:rsidRPr="00804FA0">
              <w:rPr>
                <w:rFonts w:cs="Arial"/>
                <w:color w:val="FF0000"/>
                <w:sz w:val="22"/>
                <w:szCs w:val="22"/>
              </w:rPr>
              <w:sym w:font="Wingdings" w:char="F06C"/>
            </w:r>
          </w:p>
        </w:tc>
      </w:tr>
      <w:tr w:rsidR="00FA1FCD" w:rsidRPr="00811500" w:rsidTr="007705FF">
        <w:trPr>
          <w:cantSplit/>
          <w:trHeight w:val="95"/>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Adoption of provisions streamlining or modernizing the Lisbon system legal framework</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FA1FCD" w:rsidRDefault="00FA1FCD" w:rsidP="00C1753F">
            <w:pPr>
              <w:jc w:val="center"/>
            </w:pPr>
            <w:r w:rsidRPr="0025351F">
              <w:rPr>
                <w:rFonts w:cs="Arial"/>
                <w:color w:val="008000"/>
                <w:sz w:val="22"/>
                <w:szCs w:val="22"/>
              </w:rPr>
              <w:sym w:font="Wingdings" w:char="F06C"/>
            </w:r>
          </w:p>
        </w:tc>
      </w:tr>
      <w:tr w:rsidR="00FA1FCD" w:rsidRPr="00811500" w:rsidTr="007705FF">
        <w:trPr>
          <w:cantSplit/>
          <w:trHeight w:val="121"/>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No. of International Applications (Madrid)</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FA1FCD" w:rsidRDefault="00FA1FCD" w:rsidP="00C1753F">
            <w:pPr>
              <w:jc w:val="center"/>
            </w:pPr>
            <w:r w:rsidRPr="0025351F">
              <w:rPr>
                <w:rFonts w:cs="Arial"/>
                <w:color w:val="FF0000"/>
                <w:sz w:val="22"/>
                <w:szCs w:val="22"/>
              </w:rPr>
              <w:sym w:font="Wingdings" w:char="F06C"/>
            </w:r>
          </w:p>
        </w:tc>
      </w:tr>
      <w:tr w:rsidR="00FA1FCD" w:rsidRPr="00811500" w:rsidTr="007705FF">
        <w:trPr>
          <w:cantSplit/>
          <w:trHeight w:val="325"/>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Share of Offices concerned providing updated information on the Madrid System</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FA1FCD" w:rsidRDefault="00FA1FCD" w:rsidP="00C1753F">
            <w:pPr>
              <w:jc w:val="center"/>
            </w:pPr>
            <w:r w:rsidRPr="0025351F">
              <w:rPr>
                <w:rFonts w:cs="Arial"/>
                <w:sz w:val="22"/>
                <w:szCs w:val="22"/>
              </w:rPr>
              <w:sym w:font="Wingdings" w:char="F06C"/>
            </w:r>
          </w:p>
        </w:tc>
      </w:tr>
      <w:tr w:rsidR="00FA1FCD" w:rsidRPr="00811500" w:rsidTr="007705FF">
        <w:trPr>
          <w:cantSplit/>
          <w:trHeight w:val="432"/>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 of participants in Lisbon system events satisfied and reporting enhanced awareness post an event</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FA1FCD" w:rsidRDefault="00FA1FCD" w:rsidP="00C1753F">
            <w:pPr>
              <w:jc w:val="center"/>
            </w:pPr>
            <w:r w:rsidRPr="0025351F">
              <w:rPr>
                <w:rFonts w:cs="Arial"/>
                <w:color w:val="008000"/>
                <w:sz w:val="22"/>
                <w:szCs w:val="22"/>
              </w:rPr>
              <w:sym w:font="Wingdings" w:char="F06C"/>
            </w:r>
          </w:p>
        </w:tc>
      </w:tr>
      <w:tr w:rsidR="00FA1FCD" w:rsidRPr="00811500" w:rsidTr="007705FF">
        <w:trPr>
          <w:cantSplit/>
          <w:trHeight w:val="372"/>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No. and proportion of Lisbon registrations in force from developing countries and LDCs</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FA1FCD" w:rsidRDefault="00FA1FCD" w:rsidP="00C1753F">
            <w:pPr>
              <w:jc w:val="center"/>
            </w:pPr>
            <w:r w:rsidRPr="0025351F">
              <w:rPr>
                <w:rFonts w:cs="Arial"/>
                <w:color w:val="008000"/>
                <w:sz w:val="22"/>
                <w:szCs w:val="22"/>
              </w:rPr>
              <w:sym w:font="Wingdings" w:char="F06C"/>
            </w:r>
          </w:p>
        </w:tc>
      </w:tr>
      <w:tr w:rsidR="00FA1FCD" w:rsidRPr="00811500" w:rsidTr="007705FF">
        <w:trPr>
          <w:cantSplit/>
          <w:trHeight w:val="283"/>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Decrease in the number of irregularities (Madrid)</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FA1FCD" w:rsidRDefault="00FA1FCD" w:rsidP="00C1753F">
            <w:pPr>
              <w:jc w:val="center"/>
            </w:pPr>
            <w:r w:rsidRPr="0025351F">
              <w:rPr>
                <w:rFonts w:cs="Arial"/>
                <w:color w:val="FF0000"/>
                <w:sz w:val="22"/>
                <w:szCs w:val="22"/>
              </w:rPr>
              <w:sym w:font="Wingdings" w:char="F06C"/>
            </w:r>
          </w:p>
        </w:tc>
      </w:tr>
      <w:tr w:rsidR="00FA1FCD" w:rsidRPr="00811500" w:rsidTr="007705FF">
        <w:trPr>
          <w:cantSplit/>
          <w:trHeight w:val="480"/>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No. of Madrid &amp; Lisbon system applica</w:t>
            </w:r>
            <w:r>
              <w:rPr>
                <w:rFonts w:cs="Arial"/>
                <w:sz w:val="16"/>
                <w:szCs w:val="16"/>
              </w:rPr>
              <w:t>tions</w:t>
            </w:r>
            <w:r w:rsidRPr="00811500">
              <w:rPr>
                <w:rFonts w:cs="Arial"/>
                <w:sz w:val="16"/>
                <w:szCs w:val="16"/>
              </w:rPr>
              <w:t xml:space="preserve"> originating from transition and developed countries</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10</w:t>
            </w:r>
          </w:p>
        </w:tc>
        <w:tc>
          <w:tcPr>
            <w:tcW w:w="475" w:type="pct"/>
            <w:shd w:val="clear" w:color="auto" w:fill="FFFFFF"/>
          </w:tcPr>
          <w:p w:rsidR="00FA1FCD" w:rsidRDefault="00FA1FCD" w:rsidP="00C1753F">
            <w:pPr>
              <w:jc w:val="center"/>
            </w:pPr>
            <w:r w:rsidRPr="005F33CE">
              <w:rPr>
                <w:rFonts w:cs="Arial"/>
                <w:color w:val="008000"/>
                <w:sz w:val="22"/>
                <w:szCs w:val="22"/>
              </w:rPr>
              <w:sym w:font="Wingdings" w:char="F06C"/>
            </w:r>
          </w:p>
        </w:tc>
      </w:tr>
      <w:tr w:rsidR="00FA1FCD" w:rsidRPr="00811500" w:rsidTr="007705FF">
        <w:trPr>
          <w:cantSplit/>
          <w:trHeight w:val="589"/>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No. of countries that have formulated and/or are engaged in policies outlining their accession to the Madrid Protocol</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20</w:t>
            </w:r>
          </w:p>
        </w:tc>
        <w:tc>
          <w:tcPr>
            <w:tcW w:w="475" w:type="pct"/>
            <w:shd w:val="clear" w:color="auto" w:fill="FFFFFF"/>
          </w:tcPr>
          <w:p w:rsidR="00FA1FCD" w:rsidRDefault="00FA1FCD" w:rsidP="00C1753F">
            <w:pPr>
              <w:jc w:val="center"/>
            </w:pPr>
            <w:r w:rsidRPr="005F33CE">
              <w:rPr>
                <w:rFonts w:cs="Arial"/>
                <w:color w:val="008000"/>
                <w:sz w:val="22"/>
                <w:szCs w:val="22"/>
              </w:rPr>
              <w:sym w:font="Wingdings" w:char="F06C"/>
            </w:r>
          </w:p>
        </w:tc>
      </w:tr>
      <w:tr w:rsidR="00FA1FCD" w:rsidRPr="00811500" w:rsidTr="007705FF">
        <w:trPr>
          <w:cantSplit/>
          <w:trHeight w:val="374"/>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 of satisfied participants in targeted workshops/seminars held on Madrid related topics</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20</w:t>
            </w:r>
          </w:p>
        </w:tc>
        <w:tc>
          <w:tcPr>
            <w:tcW w:w="475" w:type="pct"/>
            <w:shd w:val="clear" w:color="auto" w:fill="FFFFFF"/>
          </w:tcPr>
          <w:p w:rsidR="00FA1FCD" w:rsidRDefault="00FA1FCD" w:rsidP="00C1753F">
            <w:pPr>
              <w:jc w:val="center"/>
            </w:pPr>
            <w:r w:rsidRPr="00804FA0">
              <w:rPr>
                <w:rFonts w:cs="Arial"/>
                <w:color w:val="0070C0"/>
                <w:sz w:val="22"/>
                <w:szCs w:val="22"/>
              </w:rPr>
              <w:sym w:font="Wingdings" w:char="F06C"/>
            </w:r>
            <w:r w:rsidRPr="005F33CE">
              <w:rPr>
                <w:rFonts w:cs="Arial"/>
                <w:color w:val="008000"/>
                <w:sz w:val="22"/>
                <w:szCs w:val="22"/>
              </w:rPr>
              <w:sym w:font="Wingdings" w:char="F06C"/>
            </w:r>
          </w:p>
        </w:tc>
      </w:tr>
      <w:tr w:rsidR="00FA1FCD" w:rsidRPr="00811500" w:rsidTr="007705FF">
        <w:trPr>
          <w:cantSplit/>
          <w:trHeight w:val="341"/>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No. of Contracting Parties to the Madrid Protocol</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20</w:t>
            </w:r>
          </w:p>
        </w:tc>
        <w:tc>
          <w:tcPr>
            <w:tcW w:w="475" w:type="pct"/>
            <w:shd w:val="clear" w:color="auto" w:fill="FFFFFF"/>
          </w:tcPr>
          <w:p w:rsidR="00FA1FCD" w:rsidRDefault="00FA1FCD" w:rsidP="00C1753F">
            <w:pPr>
              <w:jc w:val="center"/>
            </w:pPr>
            <w:r w:rsidRPr="004C071A">
              <w:rPr>
                <w:rFonts w:cs="Arial"/>
                <w:color w:val="FF0000"/>
                <w:sz w:val="22"/>
                <w:szCs w:val="22"/>
              </w:rPr>
              <w:sym w:font="Wingdings" w:char="F06C"/>
            </w:r>
          </w:p>
        </w:tc>
      </w:tr>
      <w:tr w:rsidR="00FA1FCD" w:rsidRPr="00811500" w:rsidTr="007705FF">
        <w:trPr>
          <w:cantSplit/>
          <w:trHeight w:val="149"/>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No. of new registrations (Madrid System)</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20</w:t>
            </w:r>
          </w:p>
        </w:tc>
        <w:tc>
          <w:tcPr>
            <w:tcW w:w="475" w:type="pct"/>
            <w:shd w:val="clear" w:color="auto" w:fill="FFFFFF"/>
          </w:tcPr>
          <w:p w:rsidR="00FA1FCD" w:rsidRDefault="00FA1FCD" w:rsidP="00C1753F">
            <w:pPr>
              <w:jc w:val="center"/>
            </w:pPr>
            <w:r w:rsidRPr="005F33CE">
              <w:rPr>
                <w:rFonts w:cs="Arial"/>
                <w:color w:val="008000"/>
                <w:sz w:val="22"/>
                <w:szCs w:val="22"/>
              </w:rPr>
              <w:sym w:font="Wingdings" w:char="F06C"/>
            </w:r>
            <w:r w:rsidRPr="005F33CE">
              <w:rPr>
                <w:rFonts w:cs="Arial"/>
                <w:color w:val="008000"/>
                <w:sz w:val="22"/>
                <w:szCs w:val="22"/>
              </w:rPr>
              <w:sym w:font="Wingdings" w:char="F06C"/>
            </w:r>
          </w:p>
        </w:tc>
      </w:tr>
      <w:tr w:rsidR="00FA1FCD" w:rsidRPr="00811500" w:rsidTr="007705FF">
        <w:trPr>
          <w:cantSplit/>
          <w:trHeight w:val="134"/>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No. of renewals (Madrid System)</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20</w:t>
            </w:r>
          </w:p>
        </w:tc>
        <w:tc>
          <w:tcPr>
            <w:tcW w:w="475" w:type="pct"/>
            <w:shd w:val="clear" w:color="auto" w:fill="FFFFFF"/>
          </w:tcPr>
          <w:p w:rsidR="00FA1FCD" w:rsidRDefault="00FA1FCD" w:rsidP="00C1753F">
            <w:pPr>
              <w:jc w:val="center"/>
            </w:pPr>
            <w:r w:rsidRPr="00F718E6">
              <w:rPr>
                <w:rFonts w:cs="Arial"/>
                <w:color w:val="A6A6A6" w:themeColor="background1" w:themeShade="A6"/>
                <w:sz w:val="22"/>
                <w:szCs w:val="22"/>
              </w:rPr>
              <w:sym w:font="Wingdings" w:char="F06C"/>
            </w:r>
            <w:r w:rsidRPr="00F718E6">
              <w:rPr>
                <w:rFonts w:cs="Arial"/>
                <w:color w:val="A6A6A6" w:themeColor="background1" w:themeShade="A6"/>
                <w:sz w:val="22"/>
                <w:szCs w:val="22"/>
              </w:rPr>
              <w:sym w:font="Wingdings" w:char="F06C"/>
            </w:r>
          </w:p>
        </w:tc>
      </w:tr>
      <w:tr w:rsidR="00FA1FCD" w:rsidRPr="00811500" w:rsidTr="007705FF">
        <w:trPr>
          <w:cantSplit/>
          <w:trHeight w:val="546"/>
        </w:trPr>
        <w:tc>
          <w:tcPr>
            <w:tcW w:w="1424"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 xml:space="preserve">II.7 </w:t>
            </w:r>
            <w:r>
              <w:rPr>
                <w:rFonts w:cs="Arial"/>
                <w:sz w:val="16"/>
                <w:szCs w:val="16"/>
              </w:rPr>
              <w:t xml:space="preserve"> </w:t>
            </w:r>
            <w:r w:rsidRPr="00811500">
              <w:rPr>
                <w:rFonts w:cs="Arial"/>
                <w:sz w:val="16"/>
                <w:szCs w:val="16"/>
                <w:lang w:eastAsia="zh-CN" w:bidi="th-TH"/>
              </w:rPr>
              <w:t>Improved productivity and service quality of</w:t>
            </w:r>
            <w:r w:rsidRPr="00811500">
              <w:rPr>
                <w:rFonts w:cs="Arial"/>
                <w:sz w:val="16"/>
                <w:szCs w:val="16"/>
              </w:rPr>
              <w:t xml:space="preserve"> Madrid &amp; Lisbon operations</w:t>
            </w: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Progress towards streamlining and simplification of the Madrid system legal framework</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FA1FCD" w:rsidRDefault="00FA1FCD" w:rsidP="00C1753F">
            <w:pPr>
              <w:jc w:val="center"/>
            </w:pPr>
            <w:r w:rsidRPr="0025351F">
              <w:rPr>
                <w:rFonts w:cs="Arial"/>
                <w:color w:val="008000"/>
                <w:sz w:val="22"/>
                <w:szCs w:val="22"/>
              </w:rPr>
              <w:sym w:font="Wingdings" w:char="F06C"/>
            </w:r>
          </w:p>
        </w:tc>
      </w:tr>
      <w:tr w:rsidR="00FA1FCD" w:rsidRPr="00811500" w:rsidTr="007705FF">
        <w:trPr>
          <w:cantSplit/>
          <w:trHeight w:val="742"/>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N</w:t>
            </w:r>
            <w:r>
              <w:rPr>
                <w:rFonts w:cs="Arial"/>
                <w:sz w:val="16"/>
                <w:szCs w:val="16"/>
              </w:rPr>
              <w:t>o.</w:t>
            </w:r>
            <w:r w:rsidRPr="00811500">
              <w:rPr>
                <w:rFonts w:cs="Arial"/>
                <w:sz w:val="16"/>
                <w:szCs w:val="16"/>
              </w:rPr>
              <w:t xml:space="preserve"> of registrations </w:t>
            </w:r>
          </w:p>
          <w:p w:rsidR="00FA1FCD" w:rsidRPr="00811500" w:rsidRDefault="00FA1FCD" w:rsidP="00C1753F">
            <w:pPr>
              <w:rPr>
                <w:rFonts w:cs="Arial"/>
                <w:sz w:val="16"/>
                <w:szCs w:val="16"/>
              </w:rPr>
            </w:pPr>
            <w:r w:rsidRPr="00811500">
              <w:rPr>
                <w:rFonts w:cs="Arial"/>
                <w:sz w:val="16"/>
                <w:szCs w:val="16"/>
              </w:rPr>
              <w:t>N</w:t>
            </w:r>
            <w:r>
              <w:rPr>
                <w:rFonts w:cs="Arial"/>
                <w:sz w:val="16"/>
                <w:szCs w:val="16"/>
              </w:rPr>
              <w:t>o.</w:t>
            </w:r>
            <w:r w:rsidRPr="00811500">
              <w:rPr>
                <w:rFonts w:cs="Arial"/>
                <w:sz w:val="16"/>
                <w:szCs w:val="16"/>
              </w:rPr>
              <w:t xml:space="preserve"> of renewals processed </w:t>
            </w:r>
          </w:p>
          <w:p w:rsidR="00FA1FCD" w:rsidRPr="00811500" w:rsidRDefault="00FA1FCD" w:rsidP="00C1753F">
            <w:pPr>
              <w:rPr>
                <w:rFonts w:cs="Arial"/>
                <w:sz w:val="16"/>
                <w:szCs w:val="16"/>
              </w:rPr>
            </w:pPr>
            <w:r w:rsidRPr="00811500">
              <w:rPr>
                <w:rFonts w:cs="Arial"/>
                <w:sz w:val="16"/>
                <w:szCs w:val="16"/>
              </w:rPr>
              <w:t>N</w:t>
            </w:r>
            <w:r>
              <w:rPr>
                <w:rFonts w:cs="Arial"/>
                <w:sz w:val="16"/>
                <w:szCs w:val="16"/>
              </w:rPr>
              <w:t>o.</w:t>
            </w:r>
            <w:r w:rsidRPr="00811500">
              <w:rPr>
                <w:rFonts w:cs="Arial"/>
                <w:sz w:val="16"/>
                <w:szCs w:val="16"/>
              </w:rPr>
              <w:t xml:space="preserve"> of modifications, including subsequent designations</w:t>
            </w:r>
            <w:r>
              <w:rPr>
                <w:rFonts w:cs="Arial"/>
                <w:sz w:val="16"/>
                <w:szCs w:val="16"/>
              </w:rPr>
              <w:t xml:space="preserve"> </w:t>
            </w:r>
            <w:r w:rsidRPr="00811500">
              <w:rPr>
                <w:rFonts w:cs="Arial"/>
                <w:sz w:val="16"/>
                <w:szCs w:val="16"/>
              </w:rPr>
              <w:t>(Madrid)</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FA1FCD" w:rsidRDefault="00FA1FCD" w:rsidP="00C1753F">
            <w:pPr>
              <w:jc w:val="center"/>
            </w:pPr>
            <w:r w:rsidRPr="0025351F">
              <w:rPr>
                <w:rFonts w:cs="Arial"/>
                <w:color w:val="FF0000"/>
                <w:sz w:val="22"/>
                <w:szCs w:val="22"/>
              </w:rPr>
              <w:sym w:font="Wingdings" w:char="F06C"/>
            </w:r>
            <w:r w:rsidRPr="0025351F">
              <w:rPr>
                <w:rFonts w:cs="Arial"/>
                <w:color w:val="FF0000"/>
                <w:sz w:val="22"/>
                <w:szCs w:val="22"/>
              </w:rPr>
              <w:sym w:font="Wingdings" w:char="F06C"/>
            </w:r>
            <w:r w:rsidRPr="0025351F">
              <w:rPr>
                <w:rFonts w:cs="Arial"/>
                <w:color w:val="008000"/>
                <w:sz w:val="22"/>
                <w:szCs w:val="22"/>
              </w:rPr>
              <w:sym w:font="Wingdings" w:char="F06C"/>
            </w:r>
          </w:p>
        </w:tc>
      </w:tr>
      <w:tr w:rsidR="00FA1FCD" w:rsidRPr="00811500" w:rsidTr="007705FF">
        <w:trPr>
          <w:cantSplit/>
          <w:trHeight w:val="315"/>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Translation of applications in a timely manner (Madrid)</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FA1FCD" w:rsidRDefault="00FA1FCD" w:rsidP="00C1753F">
            <w:pPr>
              <w:jc w:val="center"/>
            </w:pPr>
            <w:r w:rsidRPr="0025351F">
              <w:rPr>
                <w:rFonts w:cs="Arial"/>
                <w:color w:val="008000"/>
                <w:sz w:val="22"/>
                <w:szCs w:val="22"/>
              </w:rPr>
              <w:sym w:font="Wingdings" w:char="F06C"/>
            </w:r>
          </w:p>
        </w:tc>
      </w:tr>
      <w:tr w:rsidR="00FA1FCD" w:rsidRPr="00811500" w:rsidTr="007705FF">
        <w:trPr>
          <w:cantSplit/>
          <w:trHeight w:val="228"/>
        </w:trPr>
        <w:tc>
          <w:tcPr>
            <w:tcW w:w="1424" w:type="pct"/>
            <w:shd w:val="clear" w:color="auto" w:fill="auto"/>
            <w:tcMar>
              <w:top w:w="57" w:type="dxa"/>
              <w:bottom w:w="57" w:type="dxa"/>
            </w:tcMar>
          </w:tcPr>
          <w:p w:rsidR="00FA1FCD" w:rsidRPr="00811500" w:rsidRDefault="00FA1FCD" w:rsidP="00C1753F">
            <w:pPr>
              <w:rPr>
                <w:rFonts w:cs="Arial"/>
                <w:sz w:val="16"/>
                <w:szCs w:val="16"/>
              </w:rPr>
            </w:pPr>
          </w:p>
        </w:tc>
        <w:tc>
          <w:tcPr>
            <w:tcW w:w="2247" w:type="pct"/>
            <w:shd w:val="clear" w:color="auto" w:fill="auto"/>
            <w:tcMar>
              <w:top w:w="57" w:type="dxa"/>
              <w:bottom w:w="57" w:type="dxa"/>
            </w:tcMar>
          </w:tcPr>
          <w:p w:rsidR="00FA1FCD" w:rsidRPr="00811500" w:rsidRDefault="00FA1FCD" w:rsidP="00C1753F">
            <w:pPr>
              <w:rPr>
                <w:rFonts w:cs="Arial"/>
                <w:sz w:val="16"/>
                <w:szCs w:val="16"/>
              </w:rPr>
            </w:pPr>
            <w:r w:rsidRPr="00811500">
              <w:rPr>
                <w:rFonts w:cs="Arial"/>
                <w:sz w:val="16"/>
                <w:szCs w:val="16"/>
              </w:rPr>
              <w:t>Decrease in the number of corrections (Madrid)</w:t>
            </w:r>
          </w:p>
        </w:tc>
        <w:tc>
          <w:tcPr>
            <w:tcW w:w="854" w:type="pct"/>
            <w:shd w:val="clear" w:color="auto" w:fill="FFFFFF"/>
            <w:tcMar>
              <w:top w:w="57" w:type="dxa"/>
              <w:bottom w:w="57"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6</w:t>
            </w:r>
          </w:p>
        </w:tc>
        <w:tc>
          <w:tcPr>
            <w:tcW w:w="475" w:type="pct"/>
            <w:shd w:val="clear" w:color="auto" w:fill="FFFFFF"/>
            <w:tcMar>
              <w:top w:w="57" w:type="dxa"/>
              <w:bottom w:w="57" w:type="dxa"/>
            </w:tcMar>
          </w:tcPr>
          <w:p w:rsidR="00FA1FCD" w:rsidRDefault="00FA1FCD" w:rsidP="00C1753F">
            <w:pPr>
              <w:jc w:val="center"/>
            </w:pPr>
            <w:r w:rsidRPr="0025351F">
              <w:rPr>
                <w:rFonts w:cs="Arial"/>
                <w:color w:val="FF0000"/>
                <w:sz w:val="22"/>
                <w:szCs w:val="22"/>
              </w:rPr>
              <w:sym w:font="Wingdings" w:char="F06C"/>
            </w:r>
          </w:p>
        </w:tc>
      </w:tr>
      <w:tr w:rsidR="00FA1FCD" w:rsidRPr="00811500" w:rsidTr="007705FF">
        <w:trPr>
          <w:cantSplit/>
          <w:trHeight w:val="205"/>
        </w:trPr>
        <w:tc>
          <w:tcPr>
            <w:tcW w:w="1424" w:type="pct"/>
            <w:shd w:val="clear" w:color="auto" w:fill="auto"/>
            <w:tcMar>
              <w:top w:w="57" w:type="dxa"/>
              <w:bottom w:w="57" w:type="dxa"/>
            </w:tcMar>
          </w:tcPr>
          <w:p w:rsidR="00FA1FCD" w:rsidRPr="00811500" w:rsidRDefault="00FA1FCD" w:rsidP="00C1753F">
            <w:pPr>
              <w:rPr>
                <w:rFonts w:cs="Arial"/>
                <w:sz w:val="16"/>
                <w:szCs w:val="16"/>
              </w:rPr>
            </w:pPr>
          </w:p>
        </w:tc>
        <w:tc>
          <w:tcPr>
            <w:tcW w:w="2247" w:type="pct"/>
            <w:shd w:val="clear" w:color="auto" w:fill="auto"/>
            <w:tcMar>
              <w:top w:w="57" w:type="dxa"/>
              <w:bottom w:w="57" w:type="dxa"/>
            </w:tcMar>
          </w:tcPr>
          <w:p w:rsidR="00FA1FCD" w:rsidRPr="00811500" w:rsidRDefault="00FA1FCD" w:rsidP="00C1753F">
            <w:pPr>
              <w:rPr>
                <w:rFonts w:cs="Arial"/>
                <w:sz w:val="16"/>
                <w:szCs w:val="16"/>
              </w:rPr>
            </w:pPr>
            <w:r w:rsidRPr="00811500">
              <w:rPr>
                <w:rFonts w:cs="Arial"/>
                <w:sz w:val="16"/>
                <w:szCs w:val="16"/>
              </w:rPr>
              <w:t>Improved client satisfaction (Madrid)</w:t>
            </w:r>
          </w:p>
        </w:tc>
        <w:tc>
          <w:tcPr>
            <w:tcW w:w="854" w:type="pct"/>
            <w:shd w:val="clear" w:color="auto" w:fill="FFFFFF"/>
            <w:tcMar>
              <w:top w:w="57" w:type="dxa"/>
              <w:bottom w:w="57"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6</w:t>
            </w:r>
          </w:p>
        </w:tc>
        <w:tc>
          <w:tcPr>
            <w:tcW w:w="475" w:type="pct"/>
            <w:shd w:val="clear" w:color="auto" w:fill="FFFFFF"/>
            <w:tcMar>
              <w:top w:w="57" w:type="dxa"/>
              <w:bottom w:w="57" w:type="dxa"/>
            </w:tcMar>
          </w:tcPr>
          <w:p w:rsidR="00FA1FCD" w:rsidRDefault="00FA1FCD" w:rsidP="00C1753F">
            <w:pPr>
              <w:jc w:val="center"/>
            </w:pPr>
            <w:r w:rsidRPr="0025351F">
              <w:rPr>
                <w:rFonts w:cs="Arial"/>
                <w:color w:val="008000"/>
                <w:sz w:val="22"/>
                <w:szCs w:val="22"/>
              </w:rPr>
              <w:sym w:font="Wingdings" w:char="F06C"/>
            </w:r>
          </w:p>
        </w:tc>
      </w:tr>
      <w:tr w:rsidR="00FA1FCD" w:rsidRPr="00811500" w:rsidTr="007705FF">
        <w:trPr>
          <w:cantSplit/>
          <w:trHeight w:val="131"/>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Increased use of electronic exchange (Madrid)</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FA1FCD" w:rsidRDefault="00FA1FCD" w:rsidP="00C1753F">
            <w:pPr>
              <w:jc w:val="center"/>
            </w:pPr>
            <w:r w:rsidRPr="0025351F">
              <w:rPr>
                <w:rFonts w:cs="Arial"/>
                <w:color w:val="008000"/>
                <w:sz w:val="22"/>
                <w:szCs w:val="22"/>
              </w:rPr>
              <w:sym w:font="Wingdings" w:char="F06C"/>
            </w:r>
            <w:r w:rsidRPr="0025351F">
              <w:rPr>
                <w:rFonts w:cs="Arial"/>
                <w:color w:val="008000"/>
                <w:sz w:val="22"/>
                <w:szCs w:val="22"/>
              </w:rPr>
              <w:sym w:font="Wingdings" w:char="F06C"/>
            </w:r>
            <w:r w:rsidRPr="0025351F">
              <w:rPr>
                <w:rFonts w:cs="Arial"/>
                <w:color w:val="008000"/>
                <w:sz w:val="22"/>
                <w:szCs w:val="22"/>
              </w:rPr>
              <w:sym w:font="Wingdings" w:char="F06C"/>
            </w:r>
            <w:r w:rsidRPr="0025351F">
              <w:rPr>
                <w:rFonts w:cs="Arial"/>
                <w:color w:val="FF0000"/>
                <w:sz w:val="22"/>
                <w:szCs w:val="22"/>
              </w:rPr>
              <w:sym w:font="Wingdings" w:char="F06C"/>
            </w:r>
          </w:p>
        </w:tc>
      </w:tr>
      <w:tr w:rsidR="00FA1FCD" w:rsidRPr="00811500" w:rsidTr="007705FF">
        <w:trPr>
          <w:cantSplit/>
          <w:trHeight w:val="264"/>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Refinement of the electronic International Register of the Lisbon system</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FA1FCD" w:rsidRDefault="00FA1FCD" w:rsidP="00C1753F">
            <w:pPr>
              <w:jc w:val="center"/>
            </w:pPr>
            <w:r w:rsidRPr="0025351F">
              <w:rPr>
                <w:rFonts w:cs="Arial"/>
                <w:color w:val="008000"/>
                <w:sz w:val="22"/>
                <w:szCs w:val="22"/>
              </w:rPr>
              <w:sym w:font="Wingdings" w:char="F06C"/>
            </w:r>
          </w:p>
        </w:tc>
      </w:tr>
      <w:tr w:rsidR="00FA1FCD" w:rsidRPr="00811500" w:rsidTr="007705FF">
        <w:trPr>
          <w:cantSplit/>
          <w:trHeight w:val="383"/>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Refinement of the electronic means of communication and publication under the Lisbon procedures</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6</w:t>
            </w:r>
          </w:p>
        </w:tc>
        <w:tc>
          <w:tcPr>
            <w:tcW w:w="475" w:type="pct"/>
            <w:shd w:val="clear" w:color="auto" w:fill="FFFFFF"/>
          </w:tcPr>
          <w:p w:rsidR="00FA1FCD" w:rsidRDefault="00FA1FCD" w:rsidP="00C1753F">
            <w:pPr>
              <w:jc w:val="center"/>
            </w:pPr>
            <w:r w:rsidRPr="0025351F">
              <w:rPr>
                <w:rFonts w:cs="Arial"/>
                <w:color w:val="008000"/>
                <w:sz w:val="22"/>
                <w:szCs w:val="22"/>
              </w:rPr>
              <w:sym w:font="Wingdings" w:char="F06C"/>
            </w:r>
          </w:p>
        </w:tc>
      </w:tr>
      <w:tr w:rsidR="00FA1FCD" w:rsidRPr="00811500" w:rsidTr="007705FF">
        <w:trPr>
          <w:cantSplit/>
          <w:trHeight w:val="307"/>
        </w:trPr>
        <w:tc>
          <w:tcPr>
            <w:tcW w:w="1424" w:type="pct"/>
            <w:vMerge w:val="restar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II.8</w:t>
            </w:r>
            <w:r>
              <w:rPr>
                <w:rFonts w:cs="Arial"/>
                <w:sz w:val="16"/>
                <w:szCs w:val="16"/>
              </w:rPr>
              <w:t xml:space="preserve"> </w:t>
            </w:r>
            <w:r w:rsidRPr="00811500">
              <w:rPr>
                <w:rFonts w:cs="Arial"/>
                <w:sz w:val="16"/>
                <w:szCs w:val="16"/>
              </w:rPr>
              <w:t xml:space="preserve"> International and domestic intellectual property disputes are increasingly prevented or resolved through WIPO mediation, arbitration and other alternative dispute resolution methods</w:t>
            </w:r>
          </w:p>
        </w:tc>
        <w:tc>
          <w:tcPr>
            <w:tcW w:w="2247" w:type="pct"/>
            <w:vMerge w:val="restart"/>
            <w:shd w:val="clear" w:color="auto" w:fill="auto"/>
            <w:tcMar>
              <w:top w:w="57" w:type="dxa"/>
              <w:bottom w:w="57" w:type="dxa"/>
            </w:tcMar>
          </w:tcPr>
          <w:p w:rsidR="00FA1FCD" w:rsidRPr="00811500" w:rsidRDefault="00FA1FCD" w:rsidP="00C1753F">
            <w:pPr>
              <w:rPr>
                <w:rFonts w:cs="Arial"/>
                <w:sz w:val="16"/>
                <w:szCs w:val="16"/>
              </w:rPr>
            </w:pPr>
            <w:r w:rsidRPr="00811500">
              <w:rPr>
                <w:rFonts w:cs="Arial"/>
                <w:sz w:val="16"/>
                <w:szCs w:val="16"/>
              </w:rPr>
              <w:t xml:space="preserve">Increased consideration of the use of alternative dispute resolution services in intellectual property transactions, including through the use of WIPO procedures </w:t>
            </w:r>
          </w:p>
        </w:tc>
        <w:tc>
          <w:tcPr>
            <w:tcW w:w="854" w:type="pct"/>
            <w:shd w:val="clear" w:color="auto" w:fill="FFFFFF"/>
            <w:tcMar>
              <w:top w:w="57" w:type="dxa"/>
              <w:bottom w:w="57" w:type="dxa"/>
            </w:tcMar>
          </w:tcPr>
          <w:p w:rsidR="00FA1FCD" w:rsidRPr="00811500" w:rsidRDefault="00FA1FCD" w:rsidP="007705FF">
            <w:pPr>
              <w:ind w:left="441"/>
              <w:jc w:val="center"/>
              <w:rPr>
                <w:rFonts w:cs="Arial"/>
                <w:sz w:val="16"/>
                <w:szCs w:val="16"/>
                <w:lang w:bidi="th-TH"/>
              </w:rPr>
            </w:pPr>
            <w:r w:rsidRPr="00811500">
              <w:rPr>
                <w:rFonts w:cs="Arial"/>
                <w:sz w:val="16"/>
                <w:szCs w:val="16"/>
                <w:lang w:bidi="th-TH"/>
              </w:rPr>
              <w:t>Program 7</w:t>
            </w:r>
          </w:p>
        </w:tc>
        <w:tc>
          <w:tcPr>
            <w:tcW w:w="475" w:type="pct"/>
            <w:shd w:val="clear" w:color="auto" w:fill="FFFFFF"/>
            <w:tcMar>
              <w:top w:w="57" w:type="dxa"/>
              <w:bottom w:w="57" w:type="dxa"/>
            </w:tcMar>
          </w:tcPr>
          <w:p w:rsidR="00FA1FCD" w:rsidRPr="004C071A" w:rsidRDefault="00FA1FCD" w:rsidP="00C1753F">
            <w:pPr>
              <w:jc w:val="center"/>
              <w:rPr>
                <w:rFonts w:cs="Arial"/>
                <w:color w:val="008000"/>
                <w:sz w:val="22"/>
                <w:szCs w:val="22"/>
              </w:rPr>
            </w:pPr>
            <w:r w:rsidRPr="0025351F">
              <w:rPr>
                <w:rFonts w:cs="Arial"/>
                <w:color w:val="008000"/>
                <w:sz w:val="22"/>
                <w:szCs w:val="22"/>
              </w:rPr>
              <w:sym w:font="Wingdings" w:char="F06C"/>
            </w:r>
          </w:p>
        </w:tc>
      </w:tr>
      <w:tr w:rsidR="00FA1FCD" w:rsidRPr="00811500" w:rsidTr="007705FF">
        <w:trPr>
          <w:cantSplit/>
          <w:trHeight w:val="244"/>
        </w:trPr>
        <w:tc>
          <w:tcPr>
            <w:tcW w:w="1424" w:type="pct"/>
            <w:vMerge/>
            <w:shd w:val="clear" w:color="auto" w:fill="auto"/>
            <w:tcMar>
              <w:top w:w="113" w:type="dxa"/>
              <w:bottom w:w="113" w:type="dxa"/>
            </w:tcMar>
          </w:tcPr>
          <w:p w:rsidR="00FA1FCD" w:rsidRPr="00811500" w:rsidRDefault="00FA1FCD" w:rsidP="00C1753F">
            <w:pPr>
              <w:rPr>
                <w:rFonts w:cs="Arial"/>
                <w:sz w:val="16"/>
                <w:szCs w:val="16"/>
              </w:rPr>
            </w:pPr>
          </w:p>
        </w:tc>
        <w:tc>
          <w:tcPr>
            <w:tcW w:w="2247" w:type="pct"/>
            <w:vMerge/>
            <w:shd w:val="clear" w:color="auto" w:fill="auto"/>
            <w:tcMar>
              <w:top w:w="57" w:type="dxa"/>
              <w:bottom w:w="57" w:type="dxa"/>
            </w:tcMar>
          </w:tcPr>
          <w:p w:rsidR="00FA1FCD" w:rsidRPr="00811500" w:rsidRDefault="00FA1FCD" w:rsidP="00C1753F">
            <w:pPr>
              <w:rPr>
                <w:rFonts w:cs="Arial"/>
                <w:sz w:val="16"/>
                <w:szCs w:val="16"/>
              </w:rPr>
            </w:pPr>
          </w:p>
        </w:tc>
        <w:tc>
          <w:tcPr>
            <w:tcW w:w="854" w:type="pct"/>
            <w:shd w:val="clear" w:color="auto" w:fill="FFFFFF"/>
            <w:tcMar>
              <w:top w:w="57" w:type="dxa"/>
              <w:bottom w:w="57" w:type="dxa"/>
            </w:tcMar>
          </w:tcPr>
          <w:p w:rsidR="00FA1FCD" w:rsidRPr="00811500" w:rsidRDefault="00FA1FCD" w:rsidP="007705FF">
            <w:pPr>
              <w:ind w:left="441"/>
              <w:jc w:val="center"/>
              <w:rPr>
                <w:rFonts w:cs="Arial"/>
                <w:sz w:val="16"/>
                <w:szCs w:val="16"/>
                <w:lang w:bidi="th-TH"/>
              </w:rPr>
            </w:pPr>
            <w:r w:rsidRPr="00811500">
              <w:rPr>
                <w:rFonts w:cs="Arial"/>
                <w:sz w:val="16"/>
                <w:szCs w:val="16"/>
                <w:lang w:bidi="th-TH"/>
              </w:rPr>
              <w:t>Program 20</w:t>
            </w:r>
          </w:p>
        </w:tc>
        <w:tc>
          <w:tcPr>
            <w:tcW w:w="475" w:type="pct"/>
            <w:shd w:val="clear" w:color="auto" w:fill="FFFFFF"/>
            <w:tcMar>
              <w:top w:w="57" w:type="dxa"/>
              <w:bottom w:w="57" w:type="dxa"/>
            </w:tcMar>
          </w:tcPr>
          <w:p w:rsidR="00FA1FCD" w:rsidRPr="0025351F" w:rsidRDefault="00FA1FCD" w:rsidP="00C1753F">
            <w:pPr>
              <w:jc w:val="center"/>
              <w:rPr>
                <w:rFonts w:cs="Arial"/>
                <w:color w:val="008000"/>
                <w:sz w:val="22"/>
                <w:szCs w:val="22"/>
              </w:rPr>
            </w:pPr>
            <w:r w:rsidRPr="004C071A">
              <w:rPr>
                <w:rFonts w:cs="Arial"/>
                <w:color w:val="FF0000"/>
                <w:sz w:val="22"/>
                <w:szCs w:val="22"/>
              </w:rPr>
              <w:sym w:font="Wingdings" w:char="F06C"/>
            </w:r>
          </w:p>
        </w:tc>
      </w:tr>
      <w:tr w:rsidR="00FA1FCD" w:rsidRPr="00811500" w:rsidTr="007705FF">
        <w:trPr>
          <w:cantSplit/>
          <w:trHeight w:val="564"/>
        </w:trPr>
        <w:tc>
          <w:tcPr>
            <w:tcW w:w="1424" w:type="pct"/>
            <w:vMerge/>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57" w:type="dxa"/>
              <w:bottom w:w="57" w:type="dxa"/>
            </w:tcMar>
          </w:tcPr>
          <w:p w:rsidR="00FA1FCD" w:rsidRPr="00811500" w:rsidRDefault="00FA1FCD" w:rsidP="00C1753F">
            <w:pPr>
              <w:rPr>
                <w:rFonts w:cs="Arial"/>
                <w:sz w:val="16"/>
                <w:szCs w:val="16"/>
              </w:rPr>
            </w:pPr>
            <w:r w:rsidRPr="00811500">
              <w:rPr>
                <w:rFonts w:cs="Arial"/>
                <w:sz w:val="16"/>
                <w:szCs w:val="16"/>
              </w:rPr>
              <w:t>Alternative dispute resolution policies to the development and implementation of which policies the Center has contributed</w:t>
            </w:r>
          </w:p>
        </w:tc>
        <w:tc>
          <w:tcPr>
            <w:tcW w:w="854" w:type="pct"/>
            <w:shd w:val="clear" w:color="auto" w:fill="FFFFFF"/>
            <w:tcMar>
              <w:top w:w="57" w:type="dxa"/>
              <w:bottom w:w="57"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7</w:t>
            </w:r>
          </w:p>
        </w:tc>
        <w:tc>
          <w:tcPr>
            <w:tcW w:w="475" w:type="pct"/>
            <w:shd w:val="clear" w:color="auto" w:fill="FFFFFF"/>
          </w:tcPr>
          <w:p w:rsidR="00FA1FCD" w:rsidRPr="00F718E6" w:rsidRDefault="00FA1FCD" w:rsidP="00C1753F">
            <w:pPr>
              <w:jc w:val="center"/>
              <w:rPr>
                <w:rFonts w:cs="Arial"/>
                <w:color w:val="A6A6A6" w:themeColor="background1" w:themeShade="A6"/>
                <w:sz w:val="22"/>
                <w:szCs w:val="22"/>
              </w:rPr>
            </w:pPr>
            <w:r w:rsidRPr="0025351F">
              <w:rPr>
                <w:rFonts w:cs="Arial"/>
                <w:color w:val="008000"/>
                <w:sz w:val="22"/>
                <w:szCs w:val="22"/>
              </w:rPr>
              <w:sym w:font="Wingdings" w:char="F06C"/>
            </w:r>
          </w:p>
        </w:tc>
      </w:tr>
      <w:tr w:rsidR="00FA1FCD" w:rsidRPr="00811500" w:rsidTr="007705FF">
        <w:trPr>
          <w:cantSplit/>
          <w:trHeight w:val="379"/>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No. of users in transition and developed countries using the AMC services</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10</w:t>
            </w:r>
          </w:p>
        </w:tc>
        <w:tc>
          <w:tcPr>
            <w:tcW w:w="475" w:type="pct"/>
            <w:shd w:val="clear" w:color="auto" w:fill="FFFFFF"/>
          </w:tcPr>
          <w:p w:rsidR="00FA1FCD" w:rsidRDefault="00FA1FCD" w:rsidP="00C1753F">
            <w:pPr>
              <w:jc w:val="center"/>
            </w:pPr>
            <w:r w:rsidRPr="005F33CE">
              <w:rPr>
                <w:rFonts w:cs="Arial"/>
                <w:color w:val="008000"/>
                <w:sz w:val="22"/>
                <w:szCs w:val="22"/>
              </w:rPr>
              <w:sym w:font="Wingdings" w:char="F06C"/>
            </w:r>
          </w:p>
        </w:tc>
      </w:tr>
      <w:tr w:rsidR="00FA1FCD" w:rsidRPr="00811500" w:rsidTr="007705FF">
        <w:trPr>
          <w:cantSplit/>
          <w:trHeight w:val="289"/>
        </w:trPr>
        <w:tc>
          <w:tcPr>
            <w:tcW w:w="1424"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 xml:space="preserve">II.9 Effective intellectual property protection in the </w:t>
            </w:r>
            <w:proofErr w:type="spellStart"/>
            <w:r w:rsidRPr="00811500">
              <w:rPr>
                <w:rFonts w:cs="Arial"/>
                <w:sz w:val="16"/>
                <w:szCs w:val="16"/>
              </w:rPr>
              <w:t>gTLDs</w:t>
            </w:r>
            <w:proofErr w:type="spellEnd"/>
            <w:r w:rsidRPr="00811500">
              <w:rPr>
                <w:rFonts w:cs="Arial"/>
                <w:sz w:val="16"/>
                <w:szCs w:val="16"/>
              </w:rPr>
              <w:t xml:space="preserve"> and the </w:t>
            </w:r>
            <w:proofErr w:type="spellStart"/>
            <w:r w:rsidRPr="00811500">
              <w:rPr>
                <w:rFonts w:cs="Arial"/>
                <w:sz w:val="16"/>
                <w:szCs w:val="16"/>
              </w:rPr>
              <w:t>ccTLDs</w:t>
            </w:r>
            <w:proofErr w:type="spellEnd"/>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 xml:space="preserve">No. of </w:t>
            </w:r>
            <w:proofErr w:type="spellStart"/>
            <w:r w:rsidRPr="00811500">
              <w:rPr>
                <w:rFonts w:cs="Arial"/>
                <w:sz w:val="16"/>
                <w:szCs w:val="16"/>
              </w:rPr>
              <w:t>gTLD</w:t>
            </w:r>
            <w:proofErr w:type="spellEnd"/>
            <w:r w:rsidRPr="00811500">
              <w:rPr>
                <w:rFonts w:cs="Arial"/>
                <w:sz w:val="16"/>
                <w:szCs w:val="16"/>
              </w:rPr>
              <w:t xml:space="preserve"> UDRP cases administered</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7</w:t>
            </w:r>
          </w:p>
        </w:tc>
        <w:tc>
          <w:tcPr>
            <w:tcW w:w="475" w:type="pct"/>
            <w:shd w:val="clear" w:color="auto" w:fill="FFFFFF"/>
          </w:tcPr>
          <w:p w:rsidR="00FA1FCD" w:rsidRDefault="00FA1FCD" w:rsidP="00C1753F">
            <w:pPr>
              <w:jc w:val="center"/>
            </w:pPr>
            <w:r w:rsidRPr="0025351F">
              <w:rPr>
                <w:rFonts w:cs="Arial"/>
                <w:color w:val="008000"/>
                <w:sz w:val="22"/>
                <w:szCs w:val="22"/>
              </w:rPr>
              <w:sym w:font="Wingdings" w:char="F06C"/>
            </w:r>
          </w:p>
        </w:tc>
      </w:tr>
      <w:tr w:rsidR="00FA1FCD" w:rsidRPr="00811500" w:rsidTr="007705FF">
        <w:trPr>
          <w:cantSplit/>
          <w:trHeight w:val="226"/>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 xml:space="preserve">No. of </w:t>
            </w:r>
            <w:proofErr w:type="spellStart"/>
            <w:r w:rsidRPr="00811500">
              <w:rPr>
                <w:rFonts w:cs="Arial"/>
                <w:sz w:val="16"/>
                <w:szCs w:val="16"/>
              </w:rPr>
              <w:t>ccTLD</w:t>
            </w:r>
            <w:proofErr w:type="spellEnd"/>
            <w:r w:rsidRPr="00811500">
              <w:rPr>
                <w:rFonts w:cs="Arial"/>
                <w:sz w:val="16"/>
                <w:szCs w:val="16"/>
              </w:rPr>
              <w:t xml:space="preserve"> UDRP based cases administered</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7</w:t>
            </w:r>
          </w:p>
        </w:tc>
        <w:tc>
          <w:tcPr>
            <w:tcW w:w="475" w:type="pct"/>
            <w:shd w:val="clear" w:color="auto" w:fill="FFFFFF"/>
          </w:tcPr>
          <w:p w:rsidR="00FA1FCD" w:rsidRDefault="00FA1FCD" w:rsidP="00C1753F">
            <w:pPr>
              <w:jc w:val="center"/>
            </w:pPr>
            <w:r w:rsidRPr="0025351F">
              <w:rPr>
                <w:rFonts w:cs="Arial"/>
                <w:color w:val="008000"/>
                <w:sz w:val="22"/>
                <w:szCs w:val="22"/>
              </w:rPr>
              <w:sym w:font="Wingdings" w:char="F06C"/>
            </w:r>
          </w:p>
        </w:tc>
      </w:tr>
      <w:tr w:rsidR="00FA1FCD" w:rsidRPr="00811500" w:rsidTr="007705FF">
        <w:trPr>
          <w:cantSplit/>
          <w:trHeight w:val="566"/>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Dispute resolution policies in the Domain Name System to the development and implementation of which policies the Center has contributed</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7</w:t>
            </w:r>
          </w:p>
        </w:tc>
        <w:tc>
          <w:tcPr>
            <w:tcW w:w="475" w:type="pct"/>
            <w:shd w:val="clear" w:color="auto" w:fill="FFFFFF"/>
          </w:tcPr>
          <w:p w:rsidR="00FA1FCD" w:rsidRDefault="00FA1FCD" w:rsidP="00C1753F">
            <w:pPr>
              <w:jc w:val="center"/>
            </w:pPr>
            <w:r w:rsidRPr="0025351F">
              <w:rPr>
                <w:rFonts w:cs="Arial"/>
                <w:color w:val="008000"/>
                <w:sz w:val="22"/>
                <w:szCs w:val="22"/>
              </w:rPr>
              <w:sym w:font="Wingdings" w:char="F06C"/>
            </w:r>
          </w:p>
        </w:tc>
      </w:tr>
      <w:tr w:rsidR="00FA1FCD" w:rsidRPr="00811500" w:rsidTr="007705FF">
        <w:trPr>
          <w:cantSplit/>
          <w:trHeight w:val="500"/>
        </w:trPr>
        <w:tc>
          <w:tcPr>
            <w:tcW w:w="1424" w:type="pct"/>
            <w:shd w:val="clear" w:color="auto" w:fill="auto"/>
            <w:tcMar>
              <w:top w:w="113" w:type="dxa"/>
              <w:bottom w:w="113" w:type="dxa"/>
            </w:tcMar>
          </w:tcPr>
          <w:p w:rsidR="00FA1FCD" w:rsidRPr="00811500" w:rsidRDefault="00FA1FCD" w:rsidP="00C1753F">
            <w:pPr>
              <w:rPr>
                <w:rFonts w:cs="Arial"/>
                <w:sz w:val="16"/>
                <w:szCs w:val="16"/>
              </w:rPr>
            </w:pPr>
          </w:p>
        </w:tc>
        <w:tc>
          <w:tcPr>
            <w:tcW w:w="2247" w:type="pct"/>
            <w:shd w:val="clear" w:color="auto" w:fill="auto"/>
            <w:tcMar>
              <w:top w:w="113" w:type="dxa"/>
              <w:bottom w:w="113" w:type="dxa"/>
            </w:tcMar>
          </w:tcPr>
          <w:p w:rsidR="00FA1FCD" w:rsidRPr="00811500" w:rsidRDefault="00FA1FCD" w:rsidP="00C1753F">
            <w:pPr>
              <w:rPr>
                <w:rFonts w:cs="Arial"/>
                <w:sz w:val="16"/>
                <w:szCs w:val="16"/>
              </w:rPr>
            </w:pPr>
            <w:r w:rsidRPr="00811500">
              <w:rPr>
                <w:rFonts w:cs="Arial"/>
                <w:sz w:val="16"/>
                <w:szCs w:val="16"/>
              </w:rPr>
              <w:t xml:space="preserve">No. of </w:t>
            </w:r>
            <w:proofErr w:type="spellStart"/>
            <w:r w:rsidRPr="00811500">
              <w:rPr>
                <w:rFonts w:cs="Arial"/>
                <w:sz w:val="16"/>
                <w:szCs w:val="16"/>
              </w:rPr>
              <w:t>ccTLD</w:t>
            </w:r>
            <w:proofErr w:type="spellEnd"/>
            <w:r w:rsidRPr="00811500">
              <w:rPr>
                <w:rFonts w:cs="Arial"/>
                <w:sz w:val="16"/>
                <w:szCs w:val="16"/>
              </w:rPr>
              <w:t xml:space="preserve"> administrators with WIPO assisted design or administration of intellectual property protection mechanisms in accordance with international standards</w:t>
            </w:r>
          </w:p>
        </w:tc>
        <w:tc>
          <w:tcPr>
            <w:tcW w:w="854" w:type="pct"/>
            <w:shd w:val="clear" w:color="auto" w:fill="FFFFFF"/>
            <w:tcMar>
              <w:top w:w="113" w:type="dxa"/>
              <w:bottom w:w="113" w:type="dxa"/>
            </w:tcMar>
          </w:tcPr>
          <w:p w:rsidR="00FA1FCD" w:rsidRPr="00811500" w:rsidRDefault="00FA1FCD" w:rsidP="00C1753F">
            <w:pPr>
              <w:ind w:left="441"/>
              <w:jc w:val="center"/>
              <w:rPr>
                <w:rFonts w:cs="Arial"/>
                <w:sz w:val="16"/>
                <w:szCs w:val="16"/>
                <w:lang w:bidi="th-TH"/>
              </w:rPr>
            </w:pPr>
            <w:r w:rsidRPr="00811500">
              <w:rPr>
                <w:rFonts w:cs="Arial"/>
                <w:sz w:val="16"/>
                <w:szCs w:val="16"/>
                <w:lang w:bidi="th-TH"/>
              </w:rPr>
              <w:t>Program 7</w:t>
            </w:r>
          </w:p>
        </w:tc>
        <w:tc>
          <w:tcPr>
            <w:tcW w:w="475" w:type="pct"/>
            <w:shd w:val="clear" w:color="auto" w:fill="FFFFFF"/>
          </w:tcPr>
          <w:p w:rsidR="00FA1FCD" w:rsidRDefault="00FA1FCD" w:rsidP="00C1753F">
            <w:pPr>
              <w:jc w:val="center"/>
            </w:pPr>
            <w:r w:rsidRPr="0025351F">
              <w:rPr>
                <w:rFonts w:cs="Arial"/>
                <w:color w:val="008000"/>
                <w:sz w:val="22"/>
                <w:szCs w:val="22"/>
              </w:rPr>
              <w:sym w:font="Wingdings" w:char="F06C"/>
            </w:r>
          </w:p>
        </w:tc>
      </w:tr>
    </w:tbl>
    <w:p w:rsidR="00FA1FCD" w:rsidRPr="00C15CF2" w:rsidRDefault="00FA1FCD" w:rsidP="00C1753F"/>
    <w:p w:rsidR="00E023E5" w:rsidRDefault="00E023E5">
      <w:r>
        <w:br w:type="page"/>
      </w:r>
    </w:p>
    <w:p w:rsidR="00E023E5" w:rsidRPr="00E023E5" w:rsidRDefault="00E023E5" w:rsidP="00E023E5">
      <w:pPr>
        <w:pStyle w:val="Heading2"/>
        <w:tabs>
          <w:tab w:val="clear" w:pos="567"/>
          <w:tab w:val="clear" w:pos="9072"/>
        </w:tabs>
        <w:spacing w:before="240" w:after="60"/>
        <w:ind w:left="1985" w:hanging="1985"/>
        <w:rPr>
          <w:rFonts w:eastAsia="SimSun"/>
          <w:bCs w:val="0"/>
          <w:caps/>
          <w:szCs w:val="22"/>
          <w:lang w:eastAsia="zh-CN"/>
        </w:rPr>
      </w:pPr>
      <w:bookmarkStart w:id="54" w:name="_Toc422210482"/>
      <w:r w:rsidRPr="00E023E5">
        <w:rPr>
          <w:rFonts w:eastAsia="SimSun"/>
          <w:bCs w:val="0"/>
          <w:caps/>
          <w:szCs w:val="22"/>
          <w:lang w:eastAsia="zh-CN"/>
        </w:rPr>
        <w:lastRenderedPageBreak/>
        <w:t>PROGRAM 5</w:t>
      </w:r>
      <w:r w:rsidRPr="00E023E5">
        <w:rPr>
          <w:rFonts w:eastAsia="SimSun"/>
          <w:bCs w:val="0"/>
          <w:caps/>
          <w:szCs w:val="22"/>
          <w:lang w:eastAsia="zh-CN"/>
        </w:rPr>
        <w:tab/>
        <w:t>THE PCT SYSTEM</w:t>
      </w:r>
      <w:bookmarkEnd w:id="54"/>
    </w:p>
    <w:p w:rsidR="00E023E5" w:rsidRPr="00383D2D" w:rsidRDefault="00E023E5" w:rsidP="00E023E5">
      <w:pPr>
        <w:rPr>
          <w:szCs w:val="20"/>
        </w:rPr>
      </w:pPr>
    </w:p>
    <w:p w:rsidR="00E023E5" w:rsidRPr="00FF5E60" w:rsidRDefault="00E023E5" w:rsidP="00E023E5">
      <w:pPr>
        <w:tabs>
          <w:tab w:val="left" w:pos="1985"/>
        </w:tabs>
        <w:rPr>
          <w:b/>
          <w:szCs w:val="22"/>
        </w:rPr>
      </w:pPr>
      <w:r w:rsidRPr="00FF5E60">
        <w:rPr>
          <w:b/>
          <w:szCs w:val="22"/>
        </w:rPr>
        <w:t>Program Manager</w:t>
      </w:r>
      <w:r w:rsidRPr="00FF5E60">
        <w:rPr>
          <w:b/>
          <w:szCs w:val="22"/>
        </w:rPr>
        <w:tab/>
        <w:t>Mr. J. Sandage</w:t>
      </w:r>
    </w:p>
    <w:p w:rsidR="00E023E5" w:rsidRPr="00FF5E60" w:rsidRDefault="00E023E5" w:rsidP="00E023E5">
      <w:pPr>
        <w:rPr>
          <w:sz w:val="18"/>
          <w:szCs w:val="20"/>
        </w:rPr>
      </w:pPr>
    </w:p>
    <w:p w:rsidR="00E023E5" w:rsidRDefault="00E023E5"/>
    <w:p w:rsidR="00BA56AC" w:rsidRPr="00A43129" w:rsidRDefault="00BA56AC" w:rsidP="00F54CA4">
      <w:pPr>
        <w:rPr>
          <w:bCs/>
          <w:sz w:val="22"/>
          <w:szCs w:val="22"/>
        </w:rPr>
      </w:pPr>
      <w:r>
        <w:rPr>
          <w:bCs/>
          <w:sz w:val="22"/>
          <w:szCs w:val="22"/>
        </w:rPr>
        <w:t>OVERVIEW OF PROGRESS IN 2014</w:t>
      </w:r>
    </w:p>
    <w:p w:rsidR="00E859BB" w:rsidRPr="00383D2D" w:rsidRDefault="00E859BB" w:rsidP="00A8525E">
      <w:pPr>
        <w:rPr>
          <w:b/>
          <w:szCs w:val="20"/>
        </w:rPr>
      </w:pPr>
    </w:p>
    <w:p w:rsidR="00E859BB" w:rsidRPr="00FF5E60" w:rsidRDefault="00E859BB" w:rsidP="00E859BB">
      <w:pPr>
        <w:pStyle w:val="ListParagraph"/>
        <w:numPr>
          <w:ilvl w:val="0"/>
          <w:numId w:val="56"/>
        </w:numPr>
        <w:tabs>
          <w:tab w:val="left" w:pos="709"/>
        </w:tabs>
        <w:ind w:left="0" w:firstLine="0"/>
        <w:jc w:val="both"/>
        <w:rPr>
          <w:rFonts w:cs="Arial"/>
          <w:lang w:val="en-GB"/>
        </w:rPr>
      </w:pPr>
      <w:r w:rsidRPr="00FF5E60">
        <w:rPr>
          <w:rFonts w:cs="Arial"/>
          <w:lang w:val="en-GB"/>
        </w:rPr>
        <w:t xml:space="preserve">The International Bureau (IB) </w:t>
      </w:r>
      <w:r w:rsidRPr="00FF5E60">
        <w:rPr>
          <w:rFonts w:cs="Arial"/>
        </w:rPr>
        <w:t xml:space="preserve">received approximately 217,700 record copies in 2014, representing an increase of seven per cent compared to 2013. The share of fully electronic filings continued to increase in 2014 and now represents 91 per cent of total filings. While English accounts for the majority of filings with 51.6 per cent in 2014, the shares of Asian languages have increased over the past decade. </w:t>
      </w:r>
      <w:r w:rsidRPr="00FF5E60">
        <w:rPr>
          <w:rFonts w:cs="Arial"/>
          <w:lang w:val="en-GB"/>
        </w:rPr>
        <w:t>The combined share of the PCT applications filed in Japanese, Chinese and Korean has increased from 29.5 per cent in 2009 to 34.5 per cent in 2012, and has remained stable from 2012</w:t>
      </w:r>
      <w:r w:rsidR="0098531F">
        <w:rPr>
          <w:rFonts w:cs="Arial"/>
          <w:lang w:val="en-GB"/>
        </w:rPr>
        <w:t> </w:t>
      </w:r>
      <w:r w:rsidRPr="00FF5E60">
        <w:rPr>
          <w:rFonts w:cs="Arial"/>
          <w:lang w:val="en-GB"/>
        </w:rPr>
        <w:t>to</w:t>
      </w:r>
      <w:r>
        <w:rPr>
          <w:rFonts w:cs="Arial"/>
          <w:lang w:val="en-GB"/>
        </w:rPr>
        <w:t> </w:t>
      </w:r>
      <w:r w:rsidRPr="00FF5E60">
        <w:rPr>
          <w:rFonts w:cs="Arial"/>
          <w:lang w:val="en-GB"/>
        </w:rPr>
        <w:t xml:space="preserve">2014.  </w:t>
      </w:r>
    </w:p>
    <w:p w:rsidR="00E859BB" w:rsidRDefault="00E859BB" w:rsidP="008D1891">
      <w:pPr>
        <w:tabs>
          <w:tab w:val="left" w:pos="709"/>
        </w:tabs>
        <w:autoSpaceDE w:val="0"/>
        <w:autoSpaceDN w:val="0"/>
        <w:adjustRightInd w:val="0"/>
        <w:jc w:val="both"/>
        <w:rPr>
          <w:rFonts w:cs="Arial"/>
          <w:szCs w:val="20"/>
          <w:lang w:val="en-GB"/>
        </w:rPr>
      </w:pPr>
    </w:p>
    <w:p w:rsidR="00E859BB" w:rsidRPr="00FF5E60" w:rsidRDefault="00E859BB" w:rsidP="00E859BB">
      <w:pPr>
        <w:pStyle w:val="ListParagraph"/>
        <w:numPr>
          <w:ilvl w:val="0"/>
          <w:numId w:val="56"/>
        </w:numPr>
        <w:tabs>
          <w:tab w:val="left" w:pos="709"/>
        </w:tabs>
        <w:ind w:left="0" w:firstLine="0"/>
        <w:jc w:val="both"/>
      </w:pPr>
      <w:r w:rsidRPr="00FF5E60">
        <w:rPr>
          <w:rFonts w:cs="Arial"/>
        </w:rPr>
        <w:t xml:space="preserve">Use of the </w:t>
      </w:r>
      <w:proofErr w:type="spellStart"/>
      <w:r w:rsidRPr="00FF5E60">
        <w:rPr>
          <w:rFonts w:cs="Arial"/>
        </w:rPr>
        <w:t>ePCT</w:t>
      </w:r>
      <w:proofErr w:type="spellEnd"/>
      <w:r w:rsidRPr="00FF5E60">
        <w:rPr>
          <w:rFonts w:cs="Arial"/>
        </w:rPr>
        <w:t xml:space="preserve"> system increased </w:t>
      </w:r>
      <w:r>
        <w:rPr>
          <w:rFonts w:cs="Arial"/>
        </w:rPr>
        <w:t>significantly</w:t>
      </w:r>
      <w:r w:rsidRPr="00FF5E60">
        <w:rPr>
          <w:rFonts w:cs="Arial"/>
        </w:rPr>
        <w:t xml:space="preserve"> in 2014, as applicants and Offices became increasingly aware of the system.  </w:t>
      </w:r>
      <w:r>
        <w:rPr>
          <w:rFonts w:cs="Arial"/>
        </w:rPr>
        <w:t>T</w:t>
      </w:r>
      <w:r w:rsidRPr="00FF5E60">
        <w:rPr>
          <w:rFonts w:cs="Arial"/>
        </w:rPr>
        <w:t xml:space="preserve">he </w:t>
      </w:r>
      <w:proofErr w:type="spellStart"/>
      <w:r w:rsidRPr="00FF5E60">
        <w:rPr>
          <w:rFonts w:cs="Arial"/>
        </w:rPr>
        <w:t>ePCT</w:t>
      </w:r>
      <w:proofErr w:type="spellEnd"/>
      <w:r w:rsidRPr="00FF5E60">
        <w:rPr>
          <w:rFonts w:cs="Arial"/>
        </w:rPr>
        <w:t>-filing</w:t>
      </w:r>
      <w:r>
        <w:rPr>
          <w:rFonts w:cs="Arial"/>
        </w:rPr>
        <w:t xml:space="preserve"> functionality</w:t>
      </w:r>
      <w:r w:rsidRPr="00FF5E60">
        <w:rPr>
          <w:rFonts w:cs="Arial"/>
        </w:rPr>
        <w:t>, which in 2013 was only available to the receiving Office of the IB, was made accessible in 2014 to all receiving Offices willing to receive and process international applications</w:t>
      </w:r>
      <w:r>
        <w:rPr>
          <w:rFonts w:cs="Arial"/>
        </w:rPr>
        <w:t>--b</w:t>
      </w:r>
      <w:r w:rsidRPr="00FF5E60">
        <w:rPr>
          <w:rFonts w:cs="Arial"/>
        </w:rPr>
        <w:t xml:space="preserve">y the end of 2014, 10 receiving Offices had </w:t>
      </w:r>
      <w:r>
        <w:rPr>
          <w:rFonts w:cs="Arial"/>
        </w:rPr>
        <w:t xml:space="preserve">received applications filed via </w:t>
      </w:r>
      <w:proofErr w:type="spellStart"/>
      <w:r>
        <w:rPr>
          <w:rFonts w:cs="Arial"/>
        </w:rPr>
        <w:t>ePCT</w:t>
      </w:r>
      <w:proofErr w:type="spellEnd"/>
      <w:r>
        <w:rPr>
          <w:rFonts w:cs="Arial"/>
        </w:rPr>
        <w:t xml:space="preserve"> filing, </w:t>
      </w:r>
      <w:r w:rsidRPr="00FF5E60">
        <w:rPr>
          <w:rFonts w:cs="Arial"/>
        </w:rPr>
        <w:t xml:space="preserve">including from developing countries such as Brazil, India, and Malaysia.  Other countries were in various stages of testing, while many of the receiving Offices and International Authorities allowed for submission of post-filing documents via </w:t>
      </w:r>
      <w:proofErr w:type="spellStart"/>
      <w:r>
        <w:rPr>
          <w:rFonts w:cs="Arial"/>
        </w:rPr>
        <w:t>ePCT</w:t>
      </w:r>
      <w:proofErr w:type="spellEnd"/>
      <w:r w:rsidRPr="00FF5E60">
        <w:rPr>
          <w:rFonts w:cs="Arial"/>
        </w:rPr>
        <w:t xml:space="preserve">.  </w:t>
      </w:r>
    </w:p>
    <w:p w:rsidR="00E859BB" w:rsidRPr="006C26D8" w:rsidRDefault="00E859BB" w:rsidP="008D1891">
      <w:pPr>
        <w:tabs>
          <w:tab w:val="left" w:pos="709"/>
        </w:tabs>
        <w:autoSpaceDE w:val="0"/>
        <w:autoSpaceDN w:val="0"/>
        <w:adjustRightInd w:val="0"/>
        <w:jc w:val="both"/>
        <w:rPr>
          <w:rFonts w:cs="Arial"/>
          <w:szCs w:val="20"/>
        </w:rPr>
      </w:pPr>
    </w:p>
    <w:p w:rsidR="00E859BB" w:rsidRDefault="00E859BB" w:rsidP="00E859BB">
      <w:pPr>
        <w:pStyle w:val="ListParagraph"/>
        <w:numPr>
          <w:ilvl w:val="0"/>
          <w:numId w:val="56"/>
        </w:numPr>
        <w:tabs>
          <w:tab w:val="left" w:pos="709"/>
        </w:tabs>
        <w:ind w:left="0" w:firstLine="0"/>
        <w:jc w:val="both"/>
      </w:pPr>
      <w:r w:rsidRPr="00FF5E60">
        <w:t xml:space="preserve">At its seventh session, held in June 2014, the PCT Working Group continued its discussions on a number of proposals aimed at improving the functioning of the PCT system, in line with the recommendations, endorsed by the Working Group at its third session.    Particular achievements in 2014 included agreement on new eligibility criteria for fee reductions for applicants from certain countries, which expanded the number of developing countries and LDCs benefitting from such fee reductions.  Member States further concluded their discussions on possible fee reductions for small and medium-sized enterprises (SMEs), agreeing that there was no clear way forward and that no further work on this issue would thus take place until a Member State would make a concrete proposal.  </w:t>
      </w:r>
      <w:r>
        <w:t xml:space="preserve">It was agreed that </w:t>
      </w:r>
      <w:r w:rsidRPr="00FF5E60">
        <w:t xml:space="preserve">Discussions among Member States on possible fee reductions for universities and not-for-profit research institutes, especially but not limited to those from developing countries and LDCs, </w:t>
      </w:r>
      <w:r>
        <w:t>would</w:t>
      </w:r>
      <w:r w:rsidRPr="00FF5E60">
        <w:t xml:space="preserve"> continue in 2015.</w:t>
      </w:r>
    </w:p>
    <w:p w:rsidR="00E859BB" w:rsidRDefault="00E859BB" w:rsidP="008D1891">
      <w:pPr>
        <w:tabs>
          <w:tab w:val="left" w:pos="709"/>
        </w:tabs>
        <w:jc w:val="both"/>
      </w:pPr>
    </w:p>
    <w:p w:rsidR="00E859BB" w:rsidRPr="00FF5E60" w:rsidRDefault="00E859BB" w:rsidP="00E859BB">
      <w:pPr>
        <w:pStyle w:val="ListParagraph"/>
        <w:numPr>
          <w:ilvl w:val="0"/>
          <w:numId w:val="56"/>
        </w:numPr>
        <w:tabs>
          <w:tab w:val="left" w:pos="709"/>
        </w:tabs>
        <w:ind w:left="0" w:firstLine="0"/>
        <w:jc w:val="both"/>
      </w:pPr>
      <w:r>
        <w:rPr>
          <w:rFonts w:cs="Arial"/>
        </w:rPr>
        <w:t xml:space="preserve">In addition, </w:t>
      </w:r>
      <w:r w:rsidRPr="00FF5E60">
        <w:t>Member States agreed on a revised procedure for the appointment of new International Searching and Preliminary Examining Authorities</w:t>
      </w:r>
      <w:r>
        <w:t xml:space="preserve"> and </w:t>
      </w:r>
      <w:r w:rsidRPr="00FF5E60">
        <w:t>advanced discussions on how to improve quality and timeliness of PCT work</w:t>
      </w:r>
      <w:r>
        <w:t xml:space="preserve"> </w:t>
      </w:r>
      <w:r w:rsidRPr="00FF5E60">
        <w:t>products (international search and preliminary examination reports)</w:t>
      </w:r>
      <w:r>
        <w:t xml:space="preserve">.  They also noted </w:t>
      </w:r>
      <w:r w:rsidRPr="00FF5E60">
        <w:t xml:space="preserve">progress towards </w:t>
      </w:r>
      <w:r w:rsidRPr="004C5D97">
        <w:rPr>
          <w:rFonts w:cs="Arial"/>
        </w:rPr>
        <w:t xml:space="preserve">acceptance of metrics </w:t>
      </w:r>
      <w:r>
        <w:rPr>
          <w:rFonts w:cs="Arial"/>
        </w:rPr>
        <w:t xml:space="preserve">for measuring the overall performance of the PCT system, and in particular, as to the quality of PCT work products. </w:t>
      </w:r>
    </w:p>
    <w:p w:rsidR="00E859BB" w:rsidRPr="006C26D8" w:rsidRDefault="00E859BB" w:rsidP="008D1891">
      <w:pPr>
        <w:tabs>
          <w:tab w:val="left" w:pos="709"/>
        </w:tabs>
        <w:autoSpaceDE w:val="0"/>
        <w:autoSpaceDN w:val="0"/>
        <w:adjustRightInd w:val="0"/>
        <w:jc w:val="both"/>
        <w:rPr>
          <w:rFonts w:cs="Arial"/>
          <w:szCs w:val="20"/>
        </w:rPr>
      </w:pPr>
    </w:p>
    <w:p w:rsidR="00E859BB" w:rsidRPr="00FF5E60" w:rsidRDefault="00E859BB" w:rsidP="00E859BB">
      <w:pPr>
        <w:pStyle w:val="ListParagraph"/>
        <w:numPr>
          <w:ilvl w:val="0"/>
          <w:numId w:val="56"/>
        </w:numPr>
        <w:tabs>
          <w:tab w:val="left" w:pos="709"/>
        </w:tabs>
        <w:ind w:left="0" w:firstLine="0"/>
        <w:jc w:val="both"/>
      </w:pPr>
      <w:r w:rsidRPr="00FF5E60">
        <w:t>The Program continued to devote an important part of its work and resources to technical cooperation and assistance to developing countries and LDCs.  Training and capacity building activities were conducted with the goal of assisting Member States to strengthen national capacity for protection of national creativity and innovation, in accordance with the DA.  The activities were demand-driven, development-oriented and transparent.  They were developed in coordination with the local organizers, taking into account the level of PCT awareness, technical knowledge, and PCT-related skills of the participants.  These activities contributed to strengthening the capacities of PCT Member States and States considering accession to the PCT by enhancing local knowledge of and skills in utilizing the PCT System.</w:t>
      </w:r>
    </w:p>
    <w:p w:rsidR="00E859BB" w:rsidRPr="006C26D8" w:rsidRDefault="00E859BB" w:rsidP="00845557">
      <w:pPr>
        <w:tabs>
          <w:tab w:val="left" w:pos="709"/>
        </w:tabs>
        <w:autoSpaceDE w:val="0"/>
        <w:autoSpaceDN w:val="0"/>
        <w:adjustRightInd w:val="0"/>
        <w:jc w:val="both"/>
        <w:rPr>
          <w:rFonts w:cs="Arial"/>
          <w:szCs w:val="20"/>
        </w:rPr>
      </w:pPr>
    </w:p>
    <w:p w:rsidR="00E859BB" w:rsidRPr="00FF5E60" w:rsidRDefault="00E859BB" w:rsidP="00E859BB">
      <w:pPr>
        <w:pStyle w:val="ListParagraph"/>
        <w:numPr>
          <w:ilvl w:val="0"/>
          <w:numId w:val="56"/>
        </w:numPr>
        <w:tabs>
          <w:tab w:val="left" w:pos="709"/>
        </w:tabs>
        <w:autoSpaceDE w:val="0"/>
        <w:autoSpaceDN w:val="0"/>
        <w:adjustRightInd w:val="0"/>
        <w:ind w:left="0" w:firstLine="0"/>
        <w:jc w:val="both"/>
        <w:rPr>
          <w:rFonts w:cs="Arial"/>
          <w:color w:val="000000"/>
        </w:rPr>
      </w:pPr>
      <w:r w:rsidRPr="00FF5E60">
        <w:rPr>
          <w:rFonts w:cs="Arial"/>
        </w:rPr>
        <w:t xml:space="preserve">Awareness of the PCT among users and potential users was enhanced in 2014 through a variety of training and outreach activities (53 seminars, 54 presentations, 17 webinars and 33 user visits). In addition, the IB responded to 12,426 PCT-related inquiries from PCT users and potential users (an average of 50 inquiries per day) and resolved 1,233 “special handling” cases during the year. </w:t>
      </w:r>
    </w:p>
    <w:p w:rsidR="00E859BB" w:rsidRPr="004C5D97" w:rsidRDefault="00E859BB" w:rsidP="00845557">
      <w:pPr>
        <w:pStyle w:val="ListParagraph"/>
        <w:rPr>
          <w:rFonts w:cs="Arial"/>
        </w:rPr>
      </w:pPr>
    </w:p>
    <w:p w:rsidR="00E859BB" w:rsidRPr="00FF5E60" w:rsidRDefault="00E859BB" w:rsidP="00E859BB">
      <w:pPr>
        <w:pStyle w:val="ListParagraph"/>
        <w:numPr>
          <w:ilvl w:val="0"/>
          <w:numId w:val="56"/>
        </w:numPr>
        <w:tabs>
          <w:tab w:val="left" w:pos="709"/>
        </w:tabs>
        <w:autoSpaceDE w:val="0"/>
        <w:autoSpaceDN w:val="0"/>
        <w:adjustRightInd w:val="0"/>
        <w:ind w:left="0" w:firstLine="0"/>
        <w:jc w:val="both"/>
        <w:rPr>
          <w:rFonts w:cs="Arial"/>
        </w:rPr>
      </w:pPr>
      <w:r w:rsidRPr="00FF5E60">
        <w:rPr>
          <w:rFonts w:cs="Arial"/>
        </w:rPr>
        <w:t xml:space="preserve">The IB continued to improve and expand automation of certain processes relating to formalities examination of PCT international applications.  In addition to the applications filed electronically in XML and PDF format, the IB made significant progress in automatically processing the International Search Reports and Written Opinions received from China and the European Patent Office in XML format. This noticeably improved the productivity and the quality of the formalities examination of PCT international applications, which enabled the IB to absorb the continued workload increase with the same or fewer </w:t>
      </w:r>
      <w:r w:rsidRPr="00FF5E60">
        <w:rPr>
          <w:rFonts w:cs="Arial"/>
        </w:rPr>
        <w:lastRenderedPageBreak/>
        <w:t>staff, while maintaining a high quality of service. Productivity, measured by the number of PCT publications divided by the number of staff, increased by 18 per cent in 2014 over 2013, and the overall quality, as measured by the aggregate index, improved markedly from 87.5 per cent in 2013 to 93.1 per cent in 2014.</w:t>
      </w:r>
    </w:p>
    <w:p w:rsidR="00E859BB" w:rsidRPr="00392A24" w:rsidRDefault="00E859BB" w:rsidP="008D1891">
      <w:pPr>
        <w:tabs>
          <w:tab w:val="left" w:pos="709"/>
        </w:tabs>
        <w:jc w:val="both"/>
        <w:rPr>
          <w:rFonts w:cs="Arial"/>
          <w:szCs w:val="20"/>
        </w:rPr>
      </w:pPr>
    </w:p>
    <w:p w:rsidR="00E859BB" w:rsidRDefault="00E859BB" w:rsidP="00E859BB">
      <w:pPr>
        <w:pStyle w:val="ListParagraph"/>
        <w:numPr>
          <w:ilvl w:val="0"/>
          <w:numId w:val="56"/>
        </w:numPr>
        <w:tabs>
          <w:tab w:val="left" w:pos="709"/>
        </w:tabs>
        <w:autoSpaceDE w:val="0"/>
        <w:autoSpaceDN w:val="0"/>
        <w:adjustRightInd w:val="0"/>
        <w:ind w:left="0" w:firstLine="0"/>
        <w:jc w:val="both"/>
        <w:rPr>
          <w:rFonts w:cs="Arial"/>
        </w:rPr>
      </w:pPr>
      <w:r>
        <w:rPr>
          <w:rFonts w:cs="Arial"/>
        </w:rPr>
        <w:t>The IB also made progress in making translation workflow management more flexible and secure as well as promoting translation reuse and automating translation distribution.</w:t>
      </w:r>
    </w:p>
    <w:p w:rsidR="00E859BB" w:rsidRDefault="00E859BB" w:rsidP="008D1891">
      <w:pPr>
        <w:tabs>
          <w:tab w:val="left" w:pos="8145"/>
        </w:tabs>
        <w:rPr>
          <w:szCs w:val="20"/>
        </w:rPr>
      </w:pPr>
      <w:r>
        <w:rPr>
          <w:szCs w:val="20"/>
        </w:rPr>
        <w:tab/>
      </w:r>
    </w:p>
    <w:p w:rsidR="00E859BB" w:rsidRPr="00383D2D" w:rsidRDefault="00E859BB" w:rsidP="008D1891">
      <w:pPr>
        <w:tabs>
          <w:tab w:val="left" w:pos="8145"/>
        </w:tabs>
        <w:rPr>
          <w:szCs w:val="20"/>
        </w:rPr>
      </w:pPr>
    </w:p>
    <w:p w:rsidR="00E859BB" w:rsidRPr="003642A1" w:rsidRDefault="00E859BB" w:rsidP="008D1891">
      <w:pPr>
        <w:rPr>
          <w:rFonts w:cs="Arial"/>
          <w:sz w:val="22"/>
          <w:szCs w:val="22"/>
        </w:rPr>
      </w:pPr>
      <w:r w:rsidRPr="003642A1">
        <w:rPr>
          <w:rFonts w:cs="Arial"/>
          <w:sz w:val="22"/>
          <w:szCs w:val="22"/>
        </w:rPr>
        <w:t>PERFORMANCE DATA</w:t>
      </w:r>
      <w:r>
        <w:rPr>
          <w:rFonts w:cs="Arial"/>
          <w:sz w:val="22"/>
          <w:szCs w:val="22"/>
        </w:rPr>
        <w:t xml:space="preserve"> </w:t>
      </w:r>
    </w:p>
    <w:p w:rsidR="00E859BB" w:rsidRPr="003642A1" w:rsidRDefault="00E859BB" w:rsidP="008D1891">
      <w:pPr>
        <w:rPr>
          <w:b/>
          <w:sz w:val="22"/>
          <w:szCs w:val="22"/>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2409"/>
        <w:gridCol w:w="1561"/>
        <w:gridCol w:w="2409"/>
        <w:gridCol w:w="992"/>
      </w:tblGrid>
      <w:tr w:rsidR="00E859BB" w:rsidRPr="00806461" w:rsidTr="00845557">
        <w:trPr>
          <w:trHeight w:val="336"/>
        </w:trPr>
        <w:tc>
          <w:tcPr>
            <w:tcW w:w="5000" w:type="pct"/>
            <w:gridSpan w:val="5"/>
            <w:tcBorders>
              <w:top w:val="single" w:sz="4" w:space="0" w:color="auto"/>
              <w:bottom w:val="single" w:sz="4" w:space="0" w:color="auto"/>
            </w:tcBorders>
            <w:shd w:val="clear" w:color="auto" w:fill="CCFFFF"/>
            <w:vAlign w:val="center"/>
          </w:tcPr>
          <w:p w:rsidR="00E859BB" w:rsidRPr="00806461" w:rsidRDefault="00E859BB" w:rsidP="008D1891">
            <w:pPr>
              <w:tabs>
                <w:tab w:val="left" w:pos="1452"/>
              </w:tabs>
              <w:ind w:left="1452" w:hanging="1452"/>
              <w:rPr>
                <w:rFonts w:cs="Arial"/>
                <w:b/>
                <w:bCs/>
                <w:sz w:val="16"/>
                <w:szCs w:val="16"/>
              </w:rPr>
            </w:pPr>
            <w:r>
              <w:rPr>
                <w:rFonts w:cs="Arial"/>
                <w:b/>
                <w:bCs/>
                <w:sz w:val="16"/>
                <w:szCs w:val="16"/>
              </w:rPr>
              <w:t xml:space="preserve">II.1 </w:t>
            </w:r>
            <w:r w:rsidRPr="00806461">
              <w:rPr>
                <w:rFonts w:cs="Arial"/>
                <w:b/>
                <w:bCs/>
                <w:sz w:val="16"/>
                <w:szCs w:val="16"/>
              </w:rPr>
              <w:t>Expected Result:</w:t>
            </w:r>
            <w:r w:rsidRPr="00806461">
              <w:rPr>
                <w:rFonts w:cs="Arial"/>
                <w:b/>
                <w:bCs/>
                <w:sz w:val="16"/>
                <w:szCs w:val="16"/>
              </w:rPr>
              <w:tab/>
            </w:r>
            <w:r w:rsidRPr="00090EF4">
              <w:rPr>
                <w:rFonts w:cs="Arial"/>
                <w:sz w:val="16"/>
                <w:szCs w:val="16"/>
              </w:rPr>
              <w:t>Increased use of the PCT route for filing international patent applications</w:t>
            </w:r>
          </w:p>
        </w:tc>
      </w:tr>
      <w:tr w:rsidR="00E859BB" w:rsidRPr="00806461" w:rsidTr="008D1891">
        <w:tc>
          <w:tcPr>
            <w:tcW w:w="1120" w:type="pct"/>
            <w:tcBorders>
              <w:top w:val="single" w:sz="4" w:space="0" w:color="auto"/>
            </w:tcBorders>
            <w:shd w:val="clear" w:color="auto" w:fill="auto"/>
            <w:vAlign w:val="center"/>
          </w:tcPr>
          <w:p w:rsidR="00E859BB" w:rsidRPr="00806461" w:rsidRDefault="00E859BB" w:rsidP="008D1891">
            <w:pPr>
              <w:rPr>
                <w:rFonts w:cs="Arial"/>
                <w:sz w:val="16"/>
                <w:szCs w:val="16"/>
              </w:rPr>
            </w:pPr>
            <w:r w:rsidRPr="00806461">
              <w:rPr>
                <w:rFonts w:cs="Arial"/>
                <w:b/>
                <w:bCs/>
                <w:sz w:val="16"/>
                <w:szCs w:val="16"/>
              </w:rPr>
              <w:t>Performance Indicators</w:t>
            </w:r>
          </w:p>
        </w:tc>
        <w:tc>
          <w:tcPr>
            <w:tcW w:w="1268" w:type="pct"/>
            <w:tcBorders>
              <w:top w:val="single" w:sz="4" w:space="0" w:color="auto"/>
            </w:tcBorders>
            <w:shd w:val="clear" w:color="auto" w:fill="auto"/>
            <w:vAlign w:val="center"/>
          </w:tcPr>
          <w:p w:rsidR="00E859BB" w:rsidRPr="00806461" w:rsidRDefault="00E859BB" w:rsidP="008D1891">
            <w:pPr>
              <w:rPr>
                <w:rFonts w:cs="Arial"/>
                <w:b/>
                <w:bCs/>
                <w:sz w:val="16"/>
                <w:szCs w:val="16"/>
              </w:rPr>
            </w:pPr>
            <w:r w:rsidRPr="00806461">
              <w:rPr>
                <w:rFonts w:cs="Arial"/>
                <w:b/>
                <w:bCs/>
                <w:sz w:val="16"/>
                <w:szCs w:val="16"/>
              </w:rPr>
              <w:t>Baselines</w:t>
            </w:r>
          </w:p>
        </w:tc>
        <w:tc>
          <w:tcPr>
            <w:tcW w:w="822" w:type="pct"/>
            <w:tcBorders>
              <w:top w:val="single" w:sz="4" w:space="0" w:color="auto"/>
            </w:tcBorders>
            <w:shd w:val="clear" w:color="auto" w:fill="auto"/>
            <w:tcMar>
              <w:top w:w="110" w:type="dxa"/>
            </w:tcMar>
            <w:vAlign w:val="center"/>
          </w:tcPr>
          <w:p w:rsidR="00E859BB" w:rsidRPr="00806461" w:rsidRDefault="00E859BB" w:rsidP="008D1891">
            <w:pPr>
              <w:rPr>
                <w:rFonts w:cs="Arial"/>
                <w:b/>
                <w:sz w:val="16"/>
                <w:szCs w:val="16"/>
              </w:rPr>
            </w:pPr>
            <w:r w:rsidRPr="00806461">
              <w:rPr>
                <w:rFonts w:cs="Arial"/>
                <w:b/>
                <w:sz w:val="16"/>
                <w:szCs w:val="16"/>
              </w:rPr>
              <w:t>Targets</w:t>
            </w:r>
          </w:p>
        </w:tc>
        <w:tc>
          <w:tcPr>
            <w:tcW w:w="1268" w:type="pct"/>
            <w:tcBorders>
              <w:top w:val="single" w:sz="4" w:space="0" w:color="auto"/>
            </w:tcBorders>
            <w:shd w:val="clear" w:color="auto" w:fill="FFFFFF"/>
            <w:tcMar>
              <w:top w:w="110" w:type="dxa"/>
            </w:tcMar>
            <w:vAlign w:val="center"/>
          </w:tcPr>
          <w:p w:rsidR="00E859BB" w:rsidRPr="00806461" w:rsidRDefault="00E859BB" w:rsidP="008D1891">
            <w:pPr>
              <w:rPr>
                <w:rFonts w:cs="Arial"/>
                <w:sz w:val="16"/>
                <w:szCs w:val="16"/>
              </w:rPr>
            </w:pPr>
            <w:r w:rsidRPr="00806461">
              <w:rPr>
                <w:rFonts w:cs="Arial"/>
                <w:b/>
                <w:bCs/>
                <w:sz w:val="16"/>
                <w:szCs w:val="16"/>
              </w:rPr>
              <w:t>Performance Data</w:t>
            </w:r>
          </w:p>
        </w:tc>
        <w:tc>
          <w:tcPr>
            <w:tcW w:w="522" w:type="pct"/>
            <w:tcBorders>
              <w:top w:val="single" w:sz="4" w:space="0" w:color="auto"/>
            </w:tcBorders>
            <w:shd w:val="clear" w:color="auto" w:fill="auto"/>
            <w:tcMar>
              <w:top w:w="110" w:type="dxa"/>
            </w:tcMar>
            <w:vAlign w:val="center"/>
          </w:tcPr>
          <w:p w:rsidR="00E859BB" w:rsidRPr="00806461" w:rsidRDefault="00E859BB" w:rsidP="008D1891">
            <w:pPr>
              <w:jc w:val="center"/>
              <w:rPr>
                <w:rFonts w:cs="Arial"/>
                <w:b/>
                <w:bCs/>
                <w:sz w:val="16"/>
                <w:szCs w:val="16"/>
              </w:rPr>
            </w:pPr>
            <w:r w:rsidRPr="00806461">
              <w:rPr>
                <w:rFonts w:cs="Arial"/>
                <w:b/>
                <w:bCs/>
                <w:sz w:val="16"/>
                <w:szCs w:val="16"/>
              </w:rPr>
              <w:t>TLS</w:t>
            </w:r>
          </w:p>
        </w:tc>
      </w:tr>
      <w:tr w:rsidR="00E859BB" w:rsidRPr="00806461" w:rsidTr="008D1891">
        <w:tc>
          <w:tcPr>
            <w:tcW w:w="1120" w:type="pct"/>
            <w:shd w:val="clear" w:color="auto" w:fill="auto"/>
          </w:tcPr>
          <w:p w:rsidR="00E859BB" w:rsidRPr="00806461" w:rsidRDefault="00E859BB" w:rsidP="008D1891">
            <w:pPr>
              <w:rPr>
                <w:rFonts w:cs="Arial"/>
                <w:sz w:val="16"/>
                <w:szCs w:val="16"/>
              </w:rPr>
            </w:pPr>
            <w:r w:rsidRPr="00090EF4">
              <w:rPr>
                <w:rFonts w:cs="Arial"/>
                <w:sz w:val="16"/>
                <w:szCs w:val="16"/>
              </w:rPr>
              <w:t>Level of satisfaction of PCT users with user-focused information and training services</w:t>
            </w:r>
          </w:p>
        </w:tc>
        <w:tc>
          <w:tcPr>
            <w:tcW w:w="1268" w:type="pct"/>
            <w:shd w:val="clear" w:color="auto" w:fill="auto"/>
          </w:tcPr>
          <w:p w:rsidR="00E859BB" w:rsidRDefault="00E859BB" w:rsidP="008D1891">
            <w:pPr>
              <w:rPr>
                <w:rFonts w:cs="Arial"/>
                <w:sz w:val="16"/>
                <w:szCs w:val="16"/>
              </w:rPr>
            </w:pPr>
            <w:r w:rsidRPr="00090EF4">
              <w:rPr>
                <w:rFonts w:cs="Arial"/>
                <w:sz w:val="16"/>
                <w:szCs w:val="16"/>
              </w:rPr>
              <w:t>2009 level of user PCT satisfaction with PCT user information and training services</w:t>
            </w:r>
          </w:p>
          <w:p w:rsidR="00E859BB" w:rsidRPr="00806461" w:rsidRDefault="00E859BB" w:rsidP="008D1891">
            <w:pPr>
              <w:rPr>
                <w:rFonts w:cs="Arial"/>
                <w:sz w:val="16"/>
                <w:szCs w:val="16"/>
              </w:rPr>
            </w:pPr>
          </w:p>
        </w:tc>
        <w:tc>
          <w:tcPr>
            <w:tcW w:w="822" w:type="pct"/>
            <w:shd w:val="clear" w:color="auto" w:fill="auto"/>
            <w:tcMar>
              <w:top w:w="110" w:type="dxa"/>
            </w:tcMar>
          </w:tcPr>
          <w:p w:rsidR="00E859BB" w:rsidRPr="00806461" w:rsidRDefault="00E859BB" w:rsidP="008D1891">
            <w:pPr>
              <w:rPr>
                <w:rFonts w:cs="Arial"/>
                <w:sz w:val="16"/>
                <w:szCs w:val="16"/>
              </w:rPr>
            </w:pPr>
            <w:r w:rsidRPr="00090EF4">
              <w:rPr>
                <w:rFonts w:cs="Arial"/>
                <w:sz w:val="16"/>
                <w:szCs w:val="16"/>
              </w:rPr>
              <w:t>Maintain or increase 2009 level of PCT user satisfaction</w:t>
            </w:r>
          </w:p>
        </w:tc>
        <w:tc>
          <w:tcPr>
            <w:tcW w:w="1268" w:type="pct"/>
            <w:shd w:val="clear" w:color="auto" w:fill="FFFFFF"/>
            <w:tcMar>
              <w:top w:w="110" w:type="dxa"/>
            </w:tcMar>
          </w:tcPr>
          <w:p w:rsidR="00E859BB" w:rsidRPr="00806461" w:rsidRDefault="00E859BB" w:rsidP="008D1891">
            <w:pPr>
              <w:rPr>
                <w:rFonts w:cs="Arial"/>
                <w:sz w:val="16"/>
                <w:szCs w:val="16"/>
              </w:rPr>
            </w:pPr>
            <w:r>
              <w:rPr>
                <w:rFonts w:cs="Arial"/>
                <w:sz w:val="16"/>
                <w:szCs w:val="16"/>
              </w:rPr>
              <w:t>Biennial survey to be conducted in 2015.</w:t>
            </w:r>
          </w:p>
        </w:tc>
        <w:tc>
          <w:tcPr>
            <w:tcW w:w="522" w:type="pct"/>
            <w:shd w:val="clear" w:color="auto" w:fill="auto"/>
            <w:tcMar>
              <w:top w:w="110" w:type="dxa"/>
            </w:tcMar>
          </w:tcPr>
          <w:p w:rsidR="00E859BB" w:rsidRPr="00806461" w:rsidRDefault="00E859BB" w:rsidP="008D1891">
            <w:pPr>
              <w:jc w:val="center"/>
              <w:rPr>
                <w:rFonts w:cs="Arial"/>
                <w:bCs/>
                <w:color w:val="808080"/>
                <w:sz w:val="16"/>
                <w:szCs w:val="16"/>
              </w:rPr>
            </w:pPr>
            <w:r w:rsidRPr="00845557">
              <w:rPr>
                <w:b/>
                <w:color w:val="0070C0"/>
                <w:sz w:val="16"/>
              </w:rPr>
              <w:t>N/A 2014</w:t>
            </w:r>
          </w:p>
        </w:tc>
      </w:tr>
      <w:tr w:rsidR="00E859BB" w:rsidRPr="00806461" w:rsidTr="008D1891">
        <w:tc>
          <w:tcPr>
            <w:tcW w:w="1120" w:type="pct"/>
            <w:shd w:val="clear" w:color="auto" w:fill="auto"/>
          </w:tcPr>
          <w:p w:rsidR="00E859BB" w:rsidRPr="00806461" w:rsidRDefault="00E859BB" w:rsidP="008D1891">
            <w:pPr>
              <w:rPr>
                <w:rFonts w:cs="Arial"/>
                <w:sz w:val="16"/>
                <w:szCs w:val="16"/>
              </w:rPr>
            </w:pPr>
            <w:r w:rsidRPr="00090EF4">
              <w:rPr>
                <w:rFonts w:cs="Arial"/>
                <w:sz w:val="16"/>
                <w:szCs w:val="16"/>
              </w:rPr>
              <w:t>Satisfaction of Offices and International Authorities with PCT cooperative activities</w:t>
            </w:r>
          </w:p>
        </w:tc>
        <w:tc>
          <w:tcPr>
            <w:tcW w:w="1268" w:type="pct"/>
            <w:shd w:val="clear" w:color="auto" w:fill="auto"/>
          </w:tcPr>
          <w:p w:rsidR="00E859BB" w:rsidRPr="00806461" w:rsidRDefault="00E859BB" w:rsidP="008D1891">
            <w:pPr>
              <w:rPr>
                <w:rFonts w:cs="Arial"/>
                <w:i/>
                <w:color w:val="002060"/>
                <w:sz w:val="16"/>
                <w:szCs w:val="16"/>
              </w:rPr>
            </w:pPr>
            <w:r>
              <w:rPr>
                <w:rFonts w:cs="Arial"/>
                <w:i/>
                <w:color w:val="002060"/>
                <w:sz w:val="16"/>
                <w:szCs w:val="16"/>
              </w:rPr>
              <w:t>Updated Baseline end 2013</w:t>
            </w:r>
            <w:r w:rsidRPr="00806461">
              <w:rPr>
                <w:rFonts w:cs="Arial"/>
                <w:i/>
                <w:color w:val="002060"/>
                <w:sz w:val="16"/>
                <w:szCs w:val="16"/>
              </w:rPr>
              <w:t xml:space="preserve">:  </w:t>
            </w:r>
            <w:r w:rsidRPr="00090EF4">
              <w:rPr>
                <w:rFonts w:cs="Arial"/>
                <w:color w:val="002060"/>
                <w:sz w:val="16"/>
                <w:szCs w:val="16"/>
                <w:lang w:bidi="th-TH"/>
              </w:rPr>
              <w:t>56 (95 % out of 59 beneficiaries of PCT cooperative activities;  85% out of the 66 survey respondents) (2012 survey)</w:t>
            </w:r>
          </w:p>
          <w:p w:rsidR="00E859BB" w:rsidRPr="00806461" w:rsidRDefault="00E859BB" w:rsidP="008D1891">
            <w:pPr>
              <w:rPr>
                <w:rFonts w:cs="Arial"/>
                <w:i/>
                <w:sz w:val="8"/>
                <w:szCs w:val="8"/>
              </w:rPr>
            </w:pPr>
          </w:p>
          <w:p w:rsidR="00E859BB" w:rsidRDefault="00E859BB" w:rsidP="008D1891">
            <w:pPr>
              <w:rPr>
                <w:rFonts w:cs="Arial"/>
                <w:sz w:val="16"/>
                <w:szCs w:val="16"/>
              </w:rPr>
            </w:pPr>
            <w:r w:rsidRPr="00806461">
              <w:rPr>
                <w:rFonts w:cs="Arial"/>
                <w:i/>
                <w:sz w:val="16"/>
                <w:szCs w:val="16"/>
              </w:rPr>
              <w:t xml:space="preserve">Original Baseline P&amp;B </w:t>
            </w:r>
            <w:r>
              <w:rPr>
                <w:rFonts w:cs="Arial"/>
                <w:i/>
                <w:sz w:val="16"/>
                <w:szCs w:val="16"/>
              </w:rPr>
              <w:t>2014/15</w:t>
            </w:r>
            <w:r w:rsidRPr="00806461">
              <w:rPr>
                <w:rFonts w:cs="Arial"/>
                <w:i/>
                <w:sz w:val="16"/>
                <w:szCs w:val="16"/>
              </w:rPr>
              <w:t>:</w:t>
            </w:r>
            <w:r>
              <w:rPr>
                <w:rFonts w:cs="Arial"/>
                <w:sz w:val="16"/>
                <w:szCs w:val="16"/>
              </w:rPr>
              <w:t xml:space="preserve">  </w:t>
            </w:r>
            <w:r w:rsidRPr="00090EF4">
              <w:rPr>
                <w:rFonts w:cs="Arial"/>
                <w:sz w:val="16"/>
                <w:szCs w:val="16"/>
              </w:rPr>
              <w:t>59 respondents expressed satisfaction with the activities in 2011 (95% out of 62  involved in the activities/ 86% out of all 69 respondents)</w:t>
            </w:r>
          </w:p>
          <w:p w:rsidR="00E859BB" w:rsidRPr="00806461" w:rsidRDefault="00E859BB" w:rsidP="008D1891">
            <w:pPr>
              <w:rPr>
                <w:rFonts w:cs="Arial"/>
                <w:sz w:val="16"/>
                <w:szCs w:val="16"/>
              </w:rPr>
            </w:pPr>
          </w:p>
        </w:tc>
        <w:tc>
          <w:tcPr>
            <w:tcW w:w="822" w:type="pct"/>
            <w:shd w:val="clear" w:color="auto" w:fill="auto"/>
            <w:tcMar>
              <w:top w:w="110" w:type="dxa"/>
            </w:tcMar>
          </w:tcPr>
          <w:p w:rsidR="00E859BB" w:rsidRPr="00806461" w:rsidRDefault="00E859BB" w:rsidP="008D1891">
            <w:pPr>
              <w:rPr>
                <w:rFonts w:cs="Arial"/>
                <w:sz w:val="16"/>
                <w:szCs w:val="16"/>
                <w:lang w:bidi="th-TH"/>
              </w:rPr>
            </w:pPr>
            <w:r w:rsidRPr="00090EF4">
              <w:rPr>
                <w:rFonts w:cs="Arial"/>
                <w:sz w:val="16"/>
                <w:szCs w:val="16"/>
              </w:rPr>
              <w:t>Maintain the 2011 level of satisfaction of Offices and International Authorities</w:t>
            </w:r>
          </w:p>
        </w:tc>
        <w:tc>
          <w:tcPr>
            <w:tcW w:w="1268" w:type="pct"/>
            <w:shd w:val="clear" w:color="auto" w:fill="FFFFFF"/>
            <w:tcMar>
              <w:top w:w="110" w:type="dxa"/>
            </w:tcMar>
          </w:tcPr>
          <w:p w:rsidR="00E859BB" w:rsidRPr="00806461" w:rsidRDefault="00E859BB" w:rsidP="008D1891">
            <w:pPr>
              <w:rPr>
                <w:rFonts w:cs="Arial"/>
                <w:sz w:val="16"/>
                <w:szCs w:val="16"/>
              </w:rPr>
            </w:pPr>
            <w:r>
              <w:rPr>
                <w:rFonts w:cs="Arial"/>
                <w:sz w:val="16"/>
                <w:szCs w:val="16"/>
              </w:rPr>
              <w:t>Biennial survey to be conducted in 2016 to cover 2014/2015 biennium.</w:t>
            </w:r>
          </w:p>
        </w:tc>
        <w:tc>
          <w:tcPr>
            <w:tcW w:w="522" w:type="pct"/>
            <w:shd w:val="clear" w:color="auto" w:fill="auto"/>
            <w:tcMar>
              <w:top w:w="110" w:type="dxa"/>
            </w:tcMar>
          </w:tcPr>
          <w:p w:rsidR="00E859BB" w:rsidRPr="008C4391" w:rsidRDefault="00E859BB" w:rsidP="008D1891">
            <w:pPr>
              <w:jc w:val="center"/>
              <w:rPr>
                <w:rFonts w:cs="Arial"/>
                <w:bCs/>
                <w:color w:val="808080"/>
                <w:sz w:val="16"/>
                <w:szCs w:val="16"/>
              </w:rPr>
            </w:pPr>
            <w:r w:rsidRPr="00845557">
              <w:rPr>
                <w:b/>
                <w:color w:val="0070C0"/>
                <w:sz w:val="16"/>
              </w:rPr>
              <w:t>N/A 2014</w:t>
            </w:r>
          </w:p>
        </w:tc>
      </w:tr>
      <w:tr w:rsidR="00E859BB" w:rsidRPr="00806461" w:rsidTr="00845557">
        <w:trPr>
          <w:trHeight w:val="374"/>
        </w:trPr>
        <w:tc>
          <w:tcPr>
            <w:tcW w:w="5000" w:type="pct"/>
            <w:gridSpan w:val="5"/>
            <w:tcBorders>
              <w:top w:val="single" w:sz="4" w:space="0" w:color="auto"/>
              <w:bottom w:val="single" w:sz="4" w:space="0" w:color="auto"/>
            </w:tcBorders>
            <w:shd w:val="clear" w:color="auto" w:fill="CCFFFF"/>
            <w:vAlign w:val="center"/>
          </w:tcPr>
          <w:p w:rsidR="00E859BB" w:rsidRPr="00806461" w:rsidRDefault="00E859BB" w:rsidP="008D1891">
            <w:pPr>
              <w:keepNext/>
              <w:keepLines/>
              <w:tabs>
                <w:tab w:val="left" w:pos="1452"/>
              </w:tabs>
              <w:ind w:left="1452" w:hanging="1452"/>
              <w:rPr>
                <w:rFonts w:cs="Arial"/>
                <w:b/>
                <w:bCs/>
                <w:sz w:val="16"/>
                <w:szCs w:val="16"/>
              </w:rPr>
            </w:pPr>
            <w:r>
              <w:rPr>
                <w:rFonts w:cs="Arial"/>
                <w:b/>
                <w:bCs/>
                <w:sz w:val="16"/>
                <w:szCs w:val="16"/>
              </w:rPr>
              <w:t xml:space="preserve">II.2 </w:t>
            </w:r>
            <w:r w:rsidRPr="00806461">
              <w:rPr>
                <w:rFonts w:cs="Arial"/>
                <w:b/>
                <w:bCs/>
                <w:sz w:val="16"/>
                <w:szCs w:val="16"/>
              </w:rPr>
              <w:t>Expected Result:</w:t>
            </w:r>
            <w:r w:rsidRPr="00806461">
              <w:rPr>
                <w:rFonts w:cs="Arial"/>
                <w:b/>
                <w:bCs/>
                <w:sz w:val="16"/>
                <w:szCs w:val="16"/>
              </w:rPr>
              <w:tab/>
            </w:r>
            <w:r w:rsidRPr="005C55CB">
              <w:rPr>
                <w:rFonts w:cs="Arial"/>
                <w:bCs/>
                <w:sz w:val="16"/>
                <w:szCs w:val="16"/>
              </w:rPr>
              <w:t>Improvement of the PCT system</w:t>
            </w:r>
          </w:p>
        </w:tc>
      </w:tr>
      <w:tr w:rsidR="00E859BB" w:rsidRPr="00806461" w:rsidTr="008D1891">
        <w:tc>
          <w:tcPr>
            <w:tcW w:w="1120" w:type="pct"/>
            <w:tcBorders>
              <w:top w:val="single" w:sz="4" w:space="0" w:color="auto"/>
              <w:left w:val="single" w:sz="4" w:space="0" w:color="auto"/>
              <w:bottom w:val="nil"/>
            </w:tcBorders>
            <w:shd w:val="clear" w:color="auto" w:fill="auto"/>
            <w:vAlign w:val="center"/>
          </w:tcPr>
          <w:p w:rsidR="00E859BB" w:rsidRPr="00806461" w:rsidRDefault="00E859BB" w:rsidP="008D1891">
            <w:pPr>
              <w:keepNext/>
              <w:keepLines/>
              <w:rPr>
                <w:rFonts w:cs="Arial"/>
                <w:sz w:val="16"/>
                <w:szCs w:val="16"/>
              </w:rPr>
            </w:pPr>
            <w:r w:rsidRPr="00806461">
              <w:rPr>
                <w:rFonts w:cs="Arial"/>
                <w:b/>
                <w:bCs/>
                <w:sz w:val="16"/>
                <w:szCs w:val="16"/>
              </w:rPr>
              <w:t>Performance Indicators</w:t>
            </w:r>
          </w:p>
        </w:tc>
        <w:tc>
          <w:tcPr>
            <w:tcW w:w="1268" w:type="pct"/>
            <w:tcBorders>
              <w:top w:val="single" w:sz="4" w:space="0" w:color="auto"/>
              <w:bottom w:val="nil"/>
            </w:tcBorders>
            <w:shd w:val="clear" w:color="auto" w:fill="auto"/>
            <w:vAlign w:val="center"/>
          </w:tcPr>
          <w:p w:rsidR="00E859BB" w:rsidRPr="00806461" w:rsidRDefault="00E859BB" w:rsidP="008D1891">
            <w:pPr>
              <w:keepNext/>
              <w:keepLines/>
              <w:rPr>
                <w:rFonts w:cs="Arial"/>
                <w:b/>
                <w:bCs/>
                <w:sz w:val="16"/>
                <w:szCs w:val="16"/>
              </w:rPr>
            </w:pPr>
            <w:r w:rsidRPr="00806461">
              <w:rPr>
                <w:rFonts w:cs="Arial"/>
                <w:b/>
                <w:bCs/>
                <w:sz w:val="16"/>
                <w:szCs w:val="16"/>
              </w:rPr>
              <w:t>Baselines</w:t>
            </w:r>
          </w:p>
        </w:tc>
        <w:tc>
          <w:tcPr>
            <w:tcW w:w="822" w:type="pct"/>
            <w:tcBorders>
              <w:top w:val="single" w:sz="4" w:space="0" w:color="auto"/>
              <w:bottom w:val="nil"/>
            </w:tcBorders>
            <w:shd w:val="clear" w:color="auto" w:fill="auto"/>
            <w:tcMar>
              <w:top w:w="110" w:type="dxa"/>
            </w:tcMar>
            <w:vAlign w:val="center"/>
          </w:tcPr>
          <w:p w:rsidR="00E859BB" w:rsidRPr="00806461" w:rsidRDefault="00E859BB" w:rsidP="008D1891">
            <w:pPr>
              <w:keepNext/>
              <w:keepLines/>
              <w:rPr>
                <w:rFonts w:cs="Arial"/>
                <w:b/>
                <w:sz w:val="16"/>
                <w:szCs w:val="16"/>
              </w:rPr>
            </w:pPr>
            <w:r w:rsidRPr="00806461">
              <w:rPr>
                <w:rFonts w:cs="Arial"/>
                <w:b/>
                <w:sz w:val="16"/>
                <w:szCs w:val="16"/>
              </w:rPr>
              <w:t>Targets</w:t>
            </w:r>
          </w:p>
        </w:tc>
        <w:tc>
          <w:tcPr>
            <w:tcW w:w="1268" w:type="pct"/>
            <w:tcBorders>
              <w:top w:val="single" w:sz="4" w:space="0" w:color="auto"/>
              <w:bottom w:val="nil"/>
            </w:tcBorders>
            <w:shd w:val="clear" w:color="auto" w:fill="FFFFFF"/>
            <w:tcMar>
              <w:top w:w="110" w:type="dxa"/>
            </w:tcMar>
            <w:vAlign w:val="center"/>
          </w:tcPr>
          <w:p w:rsidR="00E859BB" w:rsidRPr="00806461" w:rsidRDefault="00E859BB" w:rsidP="008D1891">
            <w:pPr>
              <w:keepNext/>
              <w:keepLines/>
              <w:rPr>
                <w:rFonts w:cs="Arial"/>
                <w:sz w:val="16"/>
                <w:szCs w:val="16"/>
              </w:rPr>
            </w:pPr>
            <w:r w:rsidRPr="00806461">
              <w:rPr>
                <w:rFonts w:cs="Arial"/>
                <w:b/>
                <w:bCs/>
                <w:sz w:val="16"/>
                <w:szCs w:val="16"/>
              </w:rPr>
              <w:t>Performance Data</w:t>
            </w:r>
          </w:p>
        </w:tc>
        <w:tc>
          <w:tcPr>
            <w:tcW w:w="522" w:type="pct"/>
            <w:tcBorders>
              <w:top w:val="single" w:sz="4" w:space="0" w:color="auto"/>
              <w:bottom w:val="nil"/>
              <w:right w:val="single" w:sz="4" w:space="0" w:color="auto"/>
            </w:tcBorders>
            <w:shd w:val="clear" w:color="auto" w:fill="auto"/>
            <w:tcMar>
              <w:top w:w="110" w:type="dxa"/>
            </w:tcMar>
            <w:vAlign w:val="center"/>
          </w:tcPr>
          <w:p w:rsidR="00E859BB" w:rsidRPr="00806461" w:rsidRDefault="00E859BB" w:rsidP="008D1891">
            <w:pPr>
              <w:keepNext/>
              <w:keepLines/>
              <w:jc w:val="center"/>
              <w:rPr>
                <w:rFonts w:cs="Arial"/>
                <w:b/>
                <w:bCs/>
                <w:sz w:val="16"/>
                <w:szCs w:val="16"/>
              </w:rPr>
            </w:pPr>
            <w:r w:rsidRPr="00806461">
              <w:rPr>
                <w:rFonts w:cs="Arial"/>
                <w:b/>
                <w:bCs/>
                <w:sz w:val="16"/>
                <w:szCs w:val="16"/>
              </w:rPr>
              <w:t>TLS</w:t>
            </w:r>
          </w:p>
        </w:tc>
      </w:tr>
      <w:tr w:rsidR="00E859BB" w:rsidRPr="00806461" w:rsidTr="008D1891">
        <w:tc>
          <w:tcPr>
            <w:tcW w:w="1120" w:type="pct"/>
            <w:tcBorders>
              <w:top w:val="nil"/>
              <w:left w:val="single" w:sz="4" w:space="0" w:color="auto"/>
              <w:bottom w:val="single" w:sz="4" w:space="0" w:color="auto"/>
            </w:tcBorders>
            <w:shd w:val="clear" w:color="auto" w:fill="FFFFFF"/>
          </w:tcPr>
          <w:p w:rsidR="00E859BB" w:rsidRPr="00806461" w:rsidRDefault="00E859BB" w:rsidP="00845557">
            <w:pPr>
              <w:rPr>
                <w:rFonts w:cs="Arial"/>
                <w:sz w:val="16"/>
                <w:szCs w:val="16"/>
              </w:rPr>
            </w:pPr>
            <w:r w:rsidRPr="005C55CB">
              <w:rPr>
                <w:rFonts w:cs="Arial"/>
                <w:sz w:val="16"/>
                <w:szCs w:val="16"/>
              </w:rPr>
              <w:t>Further development of the PCT system, notably implementation of the PCT roadmap recommendations endorsed by PCT Member States</w:t>
            </w:r>
          </w:p>
        </w:tc>
        <w:tc>
          <w:tcPr>
            <w:tcW w:w="1268" w:type="pct"/>
            <w:tcBorders>
              <w:top w:val="nil"/>
              <w:bottom w:val="single" w:sz="4" w:space="0" w:color="auto"/>
            </w:tcBorders>
            <w:shd w:val="clear" w:color="auto" w:fill="auto"/>
          </w:tcPr>
          <w:p w:rsidR="00E859BB" w:rsidRPr="0005539E" w:rsidRDefault="00E859BB" w:rsidP="00845557">
            <w:pPr>
              <w:rPr>
                <w:rFonts w:cs="Arial"/>
                <w:i/>
                <w:color w:val="002060"/>
                <w:sz w:val="16"/>
                <w:szCs w:val="16"/>
              </w:rPr>
            </w:pPr>
            <w:r>
              <w:rPr>
                <w:rFonts w:cs="Arial"/>
                <w:i/>
                <w:color w:val="002060"/>
                <w:sz w:val="16"/>
                <w:szCs w:val="16"/>
              </w:rPr>
              <w:t>Updated Baseline end 2013</w:t>
            </w:r>
            <w:r w:rsidRPr="00806461">
              <w:rPr>
                <w:rFonts w:cs="Arial"/>
                <w:i/>
                <w:color w:val="002060"/>
                <w:sz w:val="16"/>
                <w:szCs w:val="16"/>
              </w:rPr>
              <w:t>:</w:t>
            </w:r>
            <w:r>
              <w:rPr>
                <w:rFonts w:cs="Arial"/>
                <w:i/>
                <w:color w:val="002060"/>
                <w:sz w:val="16"/>
                <w:szCs w:val="16"/>
              </w:rPr>
              <w:t xml:space="preserve">  </w:t>
            </w:r>
            <w:r w:rsidRPr="00A03113">
              <w:rPr>
                <w:rFonts w:cs="Arial"/>
                <w:color w:val="002060"/>
                <w:sz w:val="16"/>
                <w:szCs w:val="16"/>
              </w:rPr>
              <w:t>State of the PCT system at the end of 2013</w:t>
            </w:r>
          </w:p>
          <w:p w:rsidR="00E859BB" w:rsidRPr="00806461" w:rsidRDefault="00E859BB" w:rsidP="00845557">
            <w:pPr>
              <w:rPr>
                <w:rFonts w:cs="Arial"/>
                <w:i/>
                <w:sz w:val="8"/>
                <w:szCs w:val="8"/>
              </w:rPr>
            </w:pPr>
          </w:p>
          <w:p w:rsidR="00E859BB" w:rsidRPr="00806461" w:rsidRDefault="00E859BB" w:rsidP="00845557">
            <w:pPr>
              <w:rPr>
                <w:rFonts w:cs="Arial"/>
                <w:sz w:val="16"/>
                <w:szCs w:val="16"/>
              </w:rPr>
            </w:pPr>
            <w:r>
              <w:rPr>
                <w:rFonts w:cs="Arial"/>
                <w:i/>
                <w:sz w:val="16"/>
                <w:szCs w:val="16"/>
              </w:rPr>
              <w:t>Original Baseline P&amp;B 2014/15</w:t>
            </w:r>
            <w:r w:rsidRPr="00806461">
              <w:rPr>
                <w:rFonts w:cs="Arial"/>
                <w:i/>
                <w:sz w:val="16"/>
                <w:szCs w:val="16"/>
              </w:rPr>
              <w:t>:</w:t>
            </w:r>
            <w:r w:rsidRPr="00806461">
              <w:rPr>
                <w:rFonts w:cs="Arial"/>
                <w:sz w:val="16"/>
                <w:szCs w:val="16"/>
              </w:rPr>
              <w:t xml:space="preserve">  </w:t>
            </w:r>
            <w:r w:rsidRPr="005C55CB">
              <w:rPr>
                <w:rFonts w:cs="Arial"/>
                <w:sz w:val="16"/>
                <w:szCs w:val="16"/>
              </w:rPr>
              <w:t>Decisions by appropriate PCT bodies up to the end of 2013</w:t>
            </w:r>
          </w:p>
        </w:tc>
        <w:tc>
          <w:tcPr>
            <w:tcW w:w="822" w:type="pct"/>
            <w:tcBorders>
              <w:top w:val="nil"/>
              <w:bottom w:val="single" w:sz="4" w:space="0" w:color="auto"/>
            </w:tcBorders>
            <w:shd w:val="clear" w:color="auto" w:fill="auto"/>
            <w:tcMar>
              <w:top w:w="110" w:type="dxa"/>
            </w:tcMar>
          </w:tcPr>
          <w:p w:rsidR="00E859BB" w:rsidRPr="006C26D8" w:rsidRDefault="00E859BB" w:rsidP="008D1891">
            <w:pPr>
              <w:autoSpaceDE w:val="0"/>
              <w:autoSpaceDN w:val="0"/>
              <w:adjustRightInd w:val="0"/>
              <w:rPr>
                <w:rFonts w:cs="Arial"/>
                <w:sz w:val="16"/>
                <w:szCs w:val="16"/>
              </w:rPr>
            </w:pPr>
            <w:r w:rsidRPr="00845557">
              <w:rPr>
                <w:sz w:val="16"/>
              </w:rPr>
              <w:t>Progress</w:t>
            </w:r>
          </w:p>
          <w:p w:rsidR="00E859BB" w:rsidRPr="006C26D8" w:rsidRDefault="00E859BB" w:rsidP="008D1891">
            <w:pPr>
              <w:autoSpaceDE w:val="0"/>
              <w:autoSpaceDN w:val="0"/>
              <w:adjustRightInd w:val="0"/>
              <w:rPr>
                <w:rFonts w:cs="Arial"/>
                <w:sz w:val="16"/>
                <w:szCs w:val="16"/>
              </w:rPr>
            </w:pPr>
            <w:r w:rsidRPr="006C26D8">
              <w:rPr>
                <w:rFonts w:cs="Arial"/>
                <w:sz w:val="16"/>
                <w:szCs w:val="16"/>
              </w:rPr>
              <w:t>towards furthering the aims of the</w:t>
            </w:r>
          </w:p>
          <w:p w:rsidR="00E859BB" w:rsidRPr="006C26D8" w:rsidRDefault="00E859BB" w:rsidP="008D1891">
            <w:pPr>
              <w:autoSpaceDE w:val="0"/>
              <w:autoSpaceDN w:val="0"/>
              <w:adjustRightInd w:val="0"/>
              <w:rPr>
                <w:rFonts w:cs="Arial"/>
                <w:sz w:val="16"/>
                <w:szCs w:val="16"/>
              </w:rPr>
            </w:pPr>
            <w:r w:rsidRPr="006C26D8">
              <w:rPr>
                <w:rFonts w:cs="Arial"/>
                <w:sz w:val="16"/>
                <w:szCs w:val="16"/>
              </w:rPr>
              <w:t>Treaty, for the benefit of all</w:t>
            </w:r>
          </w:p>
          <w:p w:rsidR="00E859BB" w:rsidRPr="006C26D8" w:rsidRDefault="00E859BB" w:rsidP="008D1891">
            <w:pPr>
              <w:autoSpaceDE w:val="0"/>
              <w:autoSpaceDN w:val="0"/>
              <w:adjustRightInd w:val="0"/>
              <w:rPr>
                <w:rFonts w:cs="Arial"/>
                <w:sz w:val="16"/>
                <w:szCs w:val="16"/>
              </w:rPr>
            </w:pPr>
            <w:r w:rsidRPr="006C26D8">
              <w:rPr>
                <w:rFonts w:cs="Arial"/>
                <w:sz w:val="16"/>
                <w:szCs w:val="16"/>
              </w:rPr>
              <w:t>stakeholders, in line with the PCT</w:t>
            </w:r>
          </w:p>
          <w:p w:rsidR="00E859BB" w:rsidRPr="006C26D8" w:rsidRDefault="00E859BB" w:rsidP="008D1891">
            <w:pPr>
              <w:autoSpaceDE w:val="0"/>
              <w:autoSpaceDN w:val="0"/>
              <w:adjustRightInd w:val="0"/>
              <w:rPr>
                <w:rFonts w:cs="Arial"/>
                <w:sz w:val="16"/>
                <w:szCs w:val="16"/>
              </w:rPr>
            </w:pPr>
            <w:r w:rsidRPr="006C26D8">
              <w:rPr>
                <w:rFonts w:cs="Arial"/>
                <w:sz w:val="16"/>
                <w:szCs w:val="16"/>
              </w:rPr>
              <w:t>roadmap recommendations</w:t>
            </w:r>
          </w:p>
          <w:p w:rsidR="00E859BB" w:rsidRDefault="00E859BB" w:rsidP="008D1891">
            <w:pPr>
              <w:autoSpaceDE w:val="0"/>
              <w:autoSpaceDN w:val="0"/>
              <w:adjustRightInd w:val="0"/>
              <w:rPr>
                <w:rFonts w:cs="Arial"/>
                <w:sz w:val="16"/>
                <w:szCs w:val="16"/>
              </w:rPr>
            </w:pPr>
            <w:r w:rsidRPr="006C26D8">
              <w:rPr>
                <w:rFonts w:cs="Arial"/>
                <w:sz w:val="16"/>
                <w:szCs w:val="16"/>
              </w:rPr>
              <w:t>endorsed by Member States</w:t>
            </w:r>
            <w:r>
              <w:rPr>
                <w:rStyle w:val="FootnoteReference"/>
                <w:rFonts w:cs="Arial"/>
                <w:sz w:val="16"/>
                <w:szCs w:val="16"/>
              </w:rPr>
              <w:footnoteReference w:id="9"/>
            </w:r>
          </w:p>
          <w:p w:rsidR="00E859BB" w:rsidRDefault="00E859BB" w:rsidP="008D1891">
            <w:pPr>
              <w:autoSpaceDE w:val="0"/>
              <w:autoSpaceDN w:val="0"/>
              <w:adjustRightInd w:val="0"/>
              <w:rPr>
                <w:rFonts w:cs="Arial"/>
                <w:sz w:val="16"/>
                <w:szCs w:val="16"/>
              </w:rPr>
            </w:pPr>
          </w:p>
          <w:p w:rsidR="00E859BB" w:rsidRDefault="00E859BB" w:rsidP="00845557">
            <w:pPr>
              <w:autoSpaceDE w:val="0"/>
              <w:autoSpaceDN w:val="0"/>
              <w:adjustRightInd w:val="0"/>
              <w:rPr>
                <w:rFonts w:cs="Arial"/>
                <w:sz w:val="16"/>
                <w:szCs w:val="16"/>
              </w:rPr>
            </w:pPr>
          </w:p>
          <w:p w:rsidR="00E859BB" w:rsidRDefault="00E859BB" w:rsidP="00845557">
            <w:pPr>
              <w:autoSpaceDE w:val="0"/>
              <w:autoSpaceDN w:val="0"/>
              <w:adjustRightInd w:val="0"/>
              <w:rPr>
                <w:rFonts w:cs="Arial"/>
                <w:sz w:val="16"/>
                <w:szCs w:val="16"/>
              </w:rPr>
            </w:pPr>
          </w:p>
          <w:p w:rsidR="00E859BB" w:rsidRPr="00806461" w:rsidRDefault="00E859BB" w:rsidP="00845557">
            <w:pPr>
              <w:autoSpaceDE w:val="0"/>
              <w:autoSpaceDN w:val="0"/>
              <w:adjustRightInd w:val="0"/>
              <w:rPr>
                <w:rFonts w:cs="Arial"/>
                <w:sz w:val="16"/>
                <w:szCs w:val="16"/>
              </w:rPr>
            </w:pPr>
          </w:p>
        </w:tc>
        <w:tc>
          <w:tcPr>
            <w:tcW w:w="1268" w:type="pct"/>
            <w:tcBorders>
              <w:top w:val="nil"/>
              <w:bottom w:val="single" w:sz="4" w:space="0" w:color="auto"/>
            </w:tcBorders>
            <w:shd w:val="clear" w:color="auto" w:fill="FFFFFF"/>
            <w:tcMar>
              <w:top w:w="110" w:type="dxa"/>
            </w:tcMar>
          </w:tcPr>
          <w:p w:rsidR="00E859BB" w:rsidRPr="00806461" w:rsidRDefault="00E859BB" w:rsidP="00845557">
            <w:pPr>
              <w:rPr>
                <w:rFonts w:cs="Arial"/>
                <w:sz w:val="16"/>
                <w:szCs w:val="16"/>
                <w:lang w:bidi="th-TH"/>
              </w:rPr>
            </w:pPr>
            <w:r>
              <w:rPr>
                <w:rFonts w:cs="Arial"/>
                <w:sz w:val="16"/>
                <w:szCs w:val="16"/>
                <w:lang w:bidi="th-TH"/>
              </w:rPr>
              <w:t xml:space="preserve">In 2014, progress towards furthering the aims of the Treaty, for the benefit of all stakeholders, in line with the PCT roadmap recommendations endorsed by Member States, was made in the following respects:  </w:t>
            </w:r>
            <w:r w:rsidRPr="005C55CB">
              <w:rPr>
                <w:rFonts w:cs="Arial"/>
                <w:sz w:val="16"/>
                <w:szCs w:val="16"/>
                <w:lang w:bidi="th-TH"/>
              </w:rPr>
              <w:t>(a)</w:t>
            </w:r>
            <w:r>
              <w:rPr>
                <w:rFonts w:cs="Arial"/>
                <w:sz w:val="16"/>
                <w:szCs w:val="16"/>
                <w:lang w:bidi="th-TH"/>
              </w:rPr>
              <w:t> </w:t>
            </w:r>
            <w:r w:rsidRPr="005C55CB">
              <w:rPr>
                <w:rFonts w:cs="Arial"/>
                <w:sz w:val="16"/>
                <w:szCs w:val="16"/>
                <w:lang w:bidi="th-TH"/>
              </w:rPr>
              <w:t xml:space="preserve">Agreement by </w:t>
            </w:r>
            <w:r>
              <w:rPr>
                <w:rFonts w:cs="Arial"/>
                <w:sz w:val="16"/>
                <w:szCs w:val="16"/>
                <w:lang w:bidi="th-TH"/>
              </w:rPr>
              <w:t>Member States</w:t>
            </w:r>
            <w:r w:rsidRPr="005C55CB">
              <w:rPr>
                <w:rFonts w:cs="Arial"/>
                <w:sz w:val="16"/>
                <w:szCs w:val="16"/>
                <w:lang w:bidi="th-TH"/>
              </w:rPr>
              <w:t xml:space="preserve"> on eligibility criteria for fee reductions;  (b)</w:t>
            </w:r>
            <w:r>
              <w:rPr>
                <w:rFonts w:cs="Arial"/>
                <w:sz w:val="16"/>
                <w:szCs w:val="16"/>
                <w:lang w:bidi="th-TH"/>
              </w:rPr>
              <w:t> </w:t>
            </w:r>
            <w:r w:rsidRPr="005C55CB">
              <w:rPr>
                <w:rFonts w:cs="Arial"/>
                <w:sz w:val="16"/>
                <w:szCs w:val="16"/>
                <w:lang w:bidi="th-TH"/>
              </w:rPr>
              <w:t xml:space="preserve">Agreement by </w:t>
            </w:r>
            <w:r>
              <w:rPr>
                <w:rFonts w:cs="Arial"/>
                <w:sz w:val="16"/>
                <w:szCs w:val="16"/>
                <w:lang w:bidi="th-TH"/>
              </w:rPr>
              <w:t>Member States</w:t>
            </w:r>
            <w:r w:rsidRPr="005C55CB">
              <w:rPr>
                <w:rFonts w:cs="Arial"/>
                <w:sz w:val="16"/>
                <w:szCs w:val="16"/>
                <w:lang w:bidi="th-TH"/>
              </w:rPr>
              <w:t xml:space="preserve"> on </w:t>
            </w:r>
            <w:r>
              <w:rPr>
                <w:rFonts w:cs="Arial"/>
                <w:sz w:val="16"/>
                <w:szCs w:val="16"/>
                <w:lang w:bidi="th-TH"/>
              </w:rPr>
              <w:t xml:space="preserve">a </w:t>
            </w:r>
            <w:r w:rsidRPr="005C55CB">
              <w:rPr>
                <w:rFonts w:cs="Arial"/>
                <w:sz w:val="16"/>
                <w:szCs w:val="16"/>
                <w:lang w:bidi="th-TH"/>
              </w:rPr>
              <w:t xml:space="preserve">revised procedure for appointment of International </w:t>
            </w:r>
            <w:r w:rsidRPr="00FF5E60">
              <w:rPr>
                <w:rFonts w:cs="Arial"/>
                <w:sz w:val="16"/>
                <w:szCs w:val="16"/>
                <w:lang w:bidi="th-TH"/>
              </w:rPr>
              <w:t>Searching and Preliminary Examining</w:t>
            </w:r>
            <w:r w:rsidRPr="00392A24">
              <w:rPr>
                <w:szCs w:val="20"/>
              </w:rPr>
              <w:t xml:space="preserve"> </w:t>
            </w:r>
            <w:r w:rsidRPr="005C55CB">
              <w:rPr>
                <w:rFonts w:cs="Arial"/>
                <w:sz w:val="16"/>
                <w:szCs w:val="16"/>
                <w:lang w:bidi="th-TH"/>
              </w:rPr>
              <w:t>Authorities;</w:t>
            </w:r>
            <w:r>
              <w:rPr>
                <w:rFonts w:cs="Arial"/>
                <w:sz w:val="16"/>
                <w:szCs w:val="16"/>
                <w:lang w:bidi="th-TH"/>
              </w:rPr>
              <w:t xml:space="preserve"> </w:t>
            </w:r>
            <w:r w:rsidRPr="005C55CB">
              <w:rPr>
                <w:rFonts w:cs="Arial"/>
                <w:sz w:val="16"/>
                <w:szCs w:val="16"/>
                <w:lang w:bidi="th-TH"/>
              </w:rPr>
              <w:t>(c)</w:t>
            </w:r>
            <w:r>
              <w:rPr>
                <w:rFonts w:cs="Arial"/>
                <w:sz w:val="16"/>
                <w:szCs w:val="16"/>
                <w:lang w:bidi="th-TH"/>
              </w:rPr>
              <w:t> Member States’</w:t>
            </w:r>
            <w:r w:rsidRPr="005C55CB">
              <w:rPr>
                <w:rFonts w:cs="Arial"/>
                <w:sz w:val="16"/>
                <w:szCs w:val="16"/>
                <w:lang w:bidi="th-TH"/>
              </w:rPr>
              <w:t xml:space="preserve"> advanced discussions on how to improve quality and timeliness of PCT work products</w:t>
            </w:r>
            <w:r>
              <w:rPr>
                <w:rFonts w:cs="Arial"/>
                <w:sz w:val="16"/>
                <w:szCs w:val="16"/>
                <w:lang w:bidi="th-TH"/>
              </w:rPr>
              <w:t xml:space="preserve">. </w:t>
            </w:r>
          </w:p>
        </w:tc>
        <w:tc>
          <w:tcPr>
            <w:tcW w:w="522" w:type="pct"/>
            <w:tcBorders>
              <w:top w:val="nil"/>
              <w:bottom w:val="single" w:sz="4" w:space="0" w:color="auto"/>
              <w:right w:val="single" w:sz="4" w:space="0" w:color="auto"/>
            </w:tcBorders>
            <w:shd w:val="clear" w:color="auto" w:fill="auto"/>
            <w:tcMar>
              <w:top w:w="110" w:type="dxa"/>
            </w:tcMar>
          </w:tcPr>
          <w:p w:rsidR="00E859BB" w:rsidRPr="00806461" w:rsidRDefault="00E859BB" w:rsidP="008D1891">
            <w:pPr>
              <w:keepNext/>
              <w:keepLines/>
              <w:jc w:val="center"/>
              <w:rPr>
                <w:rFonts w:cs="Arial"/>
                <w:bCs/>
                <w:color w:val="008000"/>
                <w:sz w:val="16"/>
                <w:szCs w:val="16"/>
              </w:rPr>
            </w:pPr>
            <w:r w:rsidRPr="008C4391">
              <w:rPr>
                <w:rFonts w:cs="Arial"/>
                <w:b/>
                <w:bCs/>
                <w:color w:val="00B050"/>
                <w:sz w:val="16"/>
                <w:szCs w:val="16"/>
              </w:rPr>
              <w:t>On Track</w:t>
            </w:r>
          </w:p>
        </w:tc>
      </w:tr>
    </w:tbl>
    <w:p w:rsidR="00E859BB" w:rsidRDefault="00E859BB">
      <w:r>
        <w:br w:type="page"/>
      </w: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3"/>
        <w:gridCol w:w="2393"/>
        <w:gridCol w:w="1551"/>
        <w:gridCol w:w="2534"/>
        <w:gridCol w:w="980"/>
      </w:tblGrid>
      <w:tr w:rsidR="00E859BB" w:rsidRPr="00806461" w:rsidTr="0098531F">
        <w:tc>
          <w:tcPr>
            <w:tcW w:w="1104" w:type="pct"/>
            <w:tcBorders>
              <w:top w:val="single" w:sz="4" w:space="0" w:color="auto"/>
              <w:left w:val="single" w:sz="4" w:space="0" w:color="auto"/>
              <w:bottom w:val="nil"/>
            </w:tcBorders>
            <w:shd w:val="clear" w:color="auto" w:fill="auto"/>
            <w:vAlign w:val="center"/>
          </w:tcPr>
          <w:p w:rsidR="00E859BB" w:rsidRPr="00806461" w:rsidRDefault="00E859BB" w:rsidP="00845557">
            <w:pPr>
              <w:keepNext/>
              <w:keepLines/>
              <w:rPr>
                <w:rFonts w:cs="Arial"/>
                <w:sz w:val="16"/>
                <w:szCs w:val="16"/>
              </w:rPr>
            </w:pPr>
            <w:r w:rsidRPr="00806461">
              <w:rPr>
                <w:rFonts w:cs="Arial"/>
                <w:b/>
                <w:bCs/>
                <w:sz w:val="16"/>
                <w:szCs w:val="16"/>
              </w:rPr>
              <w:lastRenderedPageBreak/>
              <w:t>Performance Indicators</w:t>
            </w:r>
          </w:p>
        </w:tc>
        <w:tc>
          <w:tcPr>
            <w:tcW w:w="1250" w:type="pct"/>
            <w:tcBorders>
              <w:top w:val="single" w:sz="4" w:space="0" w:color="auto"/>
              <w:bottom w:val="nil"/>
            </w:tcBorders>
            <w:shd w:val="clear" w:color="auto" w:fill="auto"/>
            <w:vAlign w:val="center"/>
          </w:tcPr>
          <w:p w:rsidR="00E859BB" w:rsidRPr="00806461" w:rsidRDefault="00E859BB" w:rsidP="00845557">
            <w:pPr>
              <w:keepNext/>
              <w:keepLines/>
              <w:rPr>
                <w:rFonts w:cs="Arial"/>
                <w:b/>
                <w:bCs/>
                <w:sz w:val="16"/>
                <w:szCs w:val="16"/>
              </w:rPr>
            </w:pPr>
            <w:r w:rsidRPr="00806461">
              <w:rPr>
                <w:rFonts w:cs="Arial"/>
                <w:b/>
                <w:bCs/>
                <w:sz w:val="16"/>
                <w:szCs w:val="16"/>
              </w:rPr>
              <w:t>Baselines</w:t>
            </w:r>
          </w:p>
        </w:tc>
        <w:tc>
          <w:tcPr>
            <w:tcW w:w="810" w:type="pct"/>
            <w:tcBorders>
              <w:top w:val="single" w:sz="4" w:space="0" w:color="auto"/>
              <w:bottom w:val="nil"/>
            </w:tcBorders>
            <w:shd w:val="clear" w:color="auto" w:fill="auto"/>
            <w:tcMar>
              <w:top w:w="110" w:type="dxa"/>
            </w:tcMar>
            <w:vAlign w:val="center"/>
          </w:tcPr>
          <w:p w:rsidR="00E859BB" w:rsidRPr="00806461" w:rsidRDefault="00E859BB" w:rsidP="00845557">
            <w:pPr>
              <w:keepNext/>
              <w:keepLines/>
              <w:rPr>
                <w:rFonts w:cs="Arial"/>
                <w:b/>
                <w:sz w:val="16"/>
                <w:szCs w:val="16"/>
              </w:rPr>
            </w:pPr>
            <w:r w:rsidRPr="00806461">
              <w:rPr>
                <w:rFonts w:cs="Arial"/>
                <w:b/>
                <w:sz w:val="16"/>
                <w:szCs w:val="16"/>
              </w:rPr>
              <w:t>Targets</w:t>
            </w:r>
          </w:p>
        </w:tc>
        <w:tc>
          <w:tcPr>
            <w:tcW w:w="1324" w:type="pct"/>
            <w:tcBorders>
              <w:top w:val="single" w:sz="4" w:space="0" w:color="auto"/>
              <w:bottom w:val="nil"/>
            </w:tcBorders>
            <w:shd w:val="clear" w:color="auto" w:fill="FFFFFF"/>
            <w:tcMar>
              <w:top w:w="110" w:type="dxa"/>
            </w:tcMar>
            <w:vAlign w:val="center"/>
          </w:tcPr>
          <w:p w:rsidR="00E859BB" w:rsidRPr="00806461" w:rsidRDefault="00E859BB" w:rsidP="00845557">
            <w:pPr>
              <w:keepNext/>
              <w:keepLines/>
              <w:rPr>
                <w:rFonts w:cs="Arial"/>
                <w:sz w:val="16"/>
                <w:szCs w:val="16"/>
              </w:rPr>
            </w:pPr>
            <w:r w:rsidRPr="00806461">
              <w:rPr>
                <w:rFonts w:cs="Arial"/>
                <w:b/>
                <w:bCs/>
                <w:sz w:val="16"/>
                <w:szCs w:val="16"/>
              </w:rPr>
              <w:t>Performance Data</w:t>
            </w:r>
          </w:p>
        </w:tc>
        <w:tc>
          <w:tcPr>
            <w:tcW w:w="512" w:type="pct"/>
            <w:tcBorders>
              <w:top w:val="single" w:sz="4" w:space="0" w:color="auto"/>
              <w:bottom w:val="nil"/>
              <w:right w:val="single" w:sz="4" w:space="0" w:color="auto"/>
            </w:tcBorders>
            <w:shd w:val="clear" w:color="auto" w:fill="auto"/>
            <w:vAlign w:val="center"/>
          </w:tcPr>
          <w:p w:rsidR="00E859BB" w:rsidRPr="00806461" w:rsidRDefault="00E859BB" w:rsidP="00845557">
            <w:pPr>
              <w:keepNext/>
              <w:keepLines/>
              <w:jc w:val="center"/>
              <w:rPr>
                <w:rFonts w:cs="Arial"/>
                <w:b/>
                <w:bCs/>
                <w:sz w:val="16"/>
                <w:szCs w:val="16"/>
              </w:rPr>
            </w:pPr>
            <w:r w:rsidRPr="00806461">
              <w:rPr>
                <w:rFonts w:cs="Arial"/>
                <w:b/>
                <w:bCs/>
                <w:sz w:val="16"/>
                <w:szCs w:val="16"/>
              </w:rPr>
              <w:t>TLS</w:t>
            </w:r>
          </w:p>
        </w:tc>
      </w:tr>
      <w:tr w:rsidR="00E859BB" w:rsidRPr="00806461" w:rsidTr="0098531F">
        <w:tc>
          <w:tcPr>
            <w:tcW w:w="1104" w:type="pct"/>
            <w:tcBorders>
              <w:top w:val="nil"/>
              <w:left w:val="single" w:sz="4" w:space="0" w:color="auto"/>
              <w:bottom w:val="nil"/>
            </w:tcBorders>
            <w:shd w:val="clear" w:color="auto" w:fill="auto"/>
          </w:tcPr>
          <w:p w:rsidR="00E859BB" w:rsidRPr="00806461" w:rsidRDefault="00E859BB" w:rsidP="008D1891">
            <w:pPr>
              <w:rPr>
                <w:rFonts w:cs="Arial"/>
                <w:sz w:val="16"/>
                <w:szCs w:val="16"/>
              </w:rPr>
            </w:pPr>
            <w:r w:rsidRPr="005C55CB">
              <w:rPr>
                <w:rFonts w:cs="Arial"/>
                <w:sz w:val="16"/>
                <w:szCs w:val="16"/>
              </w:rPr>
              <w:t>Improved electronic services for applicants, third parties, Offices and Authorities</w:t>
            </w:r>
          </w:p>
        </w:tc>
        <w:tc>
          <w:tcPr>
            <w:tcW w:w="1250" w:type="pct"/>
            <w:tcBorders>
              <w:top w:val="nil"/>
              <w:bottom w:val="nil"/>
            </w:tcBorders>
            <w:shd w:val="clear" w:color="auto" w:fill="auto"/>
          </w:tcPr>
          <w:p w:rsidR="00E859BB" w:rsidRDefault="00E859BB" w:rsidP="008D1891">
            <w:pPr>
              <w:pStyle w:val="Default"/>
              <w:rPr>
                <w:color w:val="002060"/>
                <w:sz w:val="16"/>
                <w:szCs w:val="16"/>
              </w:rPr>
            </w:pPr>
            <w:r>
              <w:rPr>
                <w:i/>
                <w:color w:val="002060"/>
                <w:sz w:val="16"/>
                <w:szCs w:val="16"/>
              </w:rPr>
              <w:t>Updated Baseline end 2013</w:t>
            </w:r>
            <w:r w:rsidRPr="00806461">
              <w:rPr>
                <w:i/>
                <w:color w:val="002060"/>
                <w:sz w:val="16"/>
                <w:szCs w:val="16"/>
              </w:rPr>
              <w:t>:</w:t>
            </w:r>
            <w:r w:rsidRPr="00806461">
              <w:rPr>
                <w:color w:val="943634" w:themeColor="accent2" w:themeShade="BF"/>
                <w:sz w:val="16"/>
                <w:szCs w:val="16"/>
              </w:rPr>
              <w:t xml:space="preserve">  </w:t>
            </w:r>
            <w:r w:rsidRPr="005C55CB">
              <w:rPr>
                <w:color w:val="002060"/>
                <w:sz w:val="16"/>
                <w:szCs w:val="16"/>
              </w:rPr>
              <w:t>N</w:t>
            </w:r>
            <w:r>
              <w:rPr>
                <w:color w:val="002060"/>
                <w:sz w:val="16"/>
                <w:szCs w:val="16"/>
              </w:rPr>
              <w:t xml:space="preserve">o. </w:t>
            </w:r>
            <w:r w:rsidRPr="005C55CB">
              <w:rPr>
                <w:color w:val="002060"/>
                <w:sz w:val="16"/>
                <w:szCs w:val="16"/>
              </w:rPr>
              <w:t xml:space="preserve">of transactions carried out using </w:t>
            </w:r>
            <w:proofErr w:type="spellStart"/>
            <w:r w:rsidRPr="005C55CB">
              <w:rPr>
                <w:color w:val="002060"/>
                <w:sz w:val="16"/>
                <w:szCs w:val="16"/>
              </w:rPr>
              <w:t>ePCT</w:t>
            </w:r>
            <w:proofErr w:type="spellEnd"/>
            <w:r w:rsidRPr="005C55CB">
              <w:rPr>
                <w:color w:val="002060"/>
                <w:sz w:val="16"/>
                <w:szCs w:val="16"/>
              </w:rPr>
              <w:t xml:space="preserve"> services at the end of 2013 for:  </w:t>
            </w:r>
          </w:p>
          <w:p w:rsidR="00E859BB" w:rsidRPr="005C55CB" w:rsidRDefault="00E859BB" w:rsidP="008D1891">
            <w:pPr>
              <w:pStyle w:val="Default"/>
              <w:rPr>
                <w:color w:val="002060"/>
                <w:sz w:val="16"/>
                <w:szCs w:val="16"/>
              </w:rPr>
            </w:pPr>
            <w:r>
              <w:rPr>
                <w:color w:val="002060"/>
                <w:sz w:val="16"/>
                <w:szCs w:val="16"/>
              </w:rPr>
              <w:t xml:space="preserve">-- </w:t>
            </w:r>
            <w:r w:rsidRPr="005C55CB">
              <w:rPr>
                <w:color w:val="002060"/>
                <w:sz w:val="16"/>
                <w:szCs w:val="16"/>
              </w:rPr>
              <w:t>8</w:t>
            </w:r>
            <w:r>
              <w:rPr>
                <w:color w:val="002060"/>
                <w:sz w:val="16"/>
                <w:szCs w:val="16"/>
              </w:rPr>
              <w:t>,</w:t>
            </w:r>
            <w:r w:rsidRPr="005C55CB">
              <w:rPr>
                <w:color w:val="002060"/>
                <w:sz w:val="16"/>
                <w:szCs w:val="16"/>
              </w:rPr>
              <w:t xml:space="preserve">005 </w:t>
            </w:r>
            <w:r>
              <w:rPr>
                <w:color w:val="002060"/>
                <w:sz w:val="16"/>
                <w:szCs w:val="16"/>
              </w:rPr>
              <w:t xml:space="preserve">public </w:t>
            </w:r>
            <w:r w:rsidRPr="005C55CB">
              <w:rPr>
                <w:color w:val="002060"/>
                <w:sz w:val="16"/>
                <w:szCs w:val="16"/>
              </w:rPr>
              <w:t xml:space="preserve">applicants;  </w:t>
            </w:r>
          </w:p>
          <w:p w:rsidR="00E859BB" w:rsidRPr="00D423DA" w:rsidRDefault="00E859BB" w:rsidP="008D1891">
            <w:pPr>
              <w:pStyle w:val="Default"/>
              <w:rPr>
                <w:color w:val="002060"/>
                <w:sz w:val="16"/>
                <w:szCs w:val="16"/>
              </w:rPr>
            </w:pPr>
            <w:r>
              <w:rPr>
                <w:color w:val="002060"/>
                <w:sz w:val="16"/>
                <w:szCs w:val="16"/>
              </w:rPr>
              <w:t xml:space="preserve">-- </w:t>
            </w:r>
            <w:r w:rsidRPr="00D423DA">
              <w:rPr>
                <w:color w:val="002060"/>
                <w:sz w:val="16"/>
                <w:szCs w:val="16"/>
              </w:rPr>
              <w:t>4</w:t>
            </w:r>
            <w:r>
              <w:rPr>
                <w:color w:val="002060"/>
                <w:sz w:val="16"/>
                <w:szCs w:val="16"/>
              </w:rPr>
              <w:t>,</w:t>
            </w:r>
            <w:r w:rsidRPr="00D423DA">
              <w:rPr>
                <w:color w:val="002060"/>
                <w:sz w:val="16"/>
                <w:szCs w:val="16"/>
              </w:rPr>
              <w:t xml:space="preserve">754 </w:t>
            </w:r>
            <w:r>
              <w:rPr>
                <w:color w:val="002060"/>
                <w:sz w:val="16"/>
                <w:szCs w:val="16"/>
              </w:rPr>
              <w:t xml:space="preserve">private </w:t>
            </w:r>
            <w:r w:rsidRPr="00D423DA">
              <w:rPr>
                <w:color w:val="002060"/>
                <w:sz w:val="16"/>
                <w:szCs w:val="16"/>
              </w:rPr>
              <w:t>applicants;</w:t>
            </w:r>
          </w:p>
          <w:p w:rsidR="00E859BB" w:rsidRDefault="00E859BB" w:rsidP="008D1891">
            <w:pPr>
              <w:pStyle w:val="Default"/>
              <w:rPr>
                <w:color w:val="002060"/>
                <w:sz w:val="16"/>
                <w:szCs w:val="16"/>
              </w:rPr>
            </w:pPr>
            <w:r>
              <w:rPr>
                <w:color w:val="002060"/>
                <w:sz w:val="16"/>
                <w:szCs w:val="16"/>
              </w:rPr>
              <w:t xml:space="preserve">-- </w:t>
            </w:r>
            <w:r w:rsidRPr="00D423DA">
              <w:rPr>
                <w:color w:val="002060"/>
                <w:sz w:val="16"/>
                <w:szCs w:val="16"/>
              </w:rPr>
              <w:t>74 third par</w:t>
            </w:r>
            <w:r>
              <w:rPr>
                <w:color w:val="002060"/>
                <w:sz w:val="16"/>
                <w:szCs w:val="16"/>
              </w:rPr>
              <w:t>t</w:t>
            </w:r>
            <w:r w:rsidRPr="00D423DA">
              <w:rPr>
                <w:color w:val="002060"/>
                <w:sz w:val="16"/>
                <w:szCs w:val="16"/>
              </w:rPr>
              <w:t xml:space="preserve">ies;  </w:t>
            </w:r>
          </w:p>
          <w:p w:rsidR="00E859BB" w:rsidRDefault="00E859BB" w:rsidP="008D1891">
            <w:pPr>
              <w:pStyle w:val="Default"/>
              <w:rPr>
                <w:color w:val="002060"/>
                <w:sz w:val="16"/>
                <w:szCs w:val="16"/>
              </w:rPr>
            </w:pPr>
            <w:r>
              <w:rPr>
                <w:color w:val="002060"/>
                <w:sz w:val="16"/>
                <w:szCs w:val="16"/>
              </w:rPr>
              <w:t xml:space="preserve">-- </w:t>
            </w:r>
            <w:r w:rsidRPr="00D423DA">
              <w:rPr>
                <w:color w:val="002060"/>
                <w:sz w:val="16"/>
                <w:szCs w:val="16"/>
              </w:rPr>
              <w:t>2</w:t>
            </w:r>
            <w:r>
              <w:rPr>
                <w:color w:val="002060"/>
                <w:sz w:val="16"/>
                <w:szCs w:val="16"/>
              </w:rPr>
              <w:t>,</w:t>
            </w:r>
            <w:r w:rsidRPr="00D423DA">
              <w:rPr>
                <w:color w:val="002060"/>
                <w:sz w:val="16"/>
                <w:szCs w:val="16"/>
              </w:rPr>
              <w:t>474 Offices;  and</w:t>
            </w:r>
          </w:p>
          <w:p w:rsidR="00E859BB" w:rsidRPr="00D423DA" w:rsidRDefault="00E859BB" w:rsidP="008D1891">
            <w:pPr>
              <w:pStyle w:val="Default"/>
              <w:rPr>
                <w:color w:val="002060"/>
                <w:sz w:val="16"/>
                <w:szCs w:val="16"/>
              </w:rPr>
            </w:pPr>
            <w:r>
              <w:rPr>
                <w:color w:val="002060"/>
                <w:sz w:val="16"/>
                <w:szCs w:val="16"/>
              </w:rPr>
              <w:t xml:space="preserve">-- </w:t>
            </w:r>
            <w:r w:rsidRPr="00D423DA">
              <w:rPr>
                <w:color w:val="002060"/>
                <w:sz w:val="16"/>
                <w:szCs w:val="16"/>
              </w:rPr>
              <w:t>2</w:t>
            </w:r>
            <w:r>
              <w:rPr>
                <w:color w:val="002060"/>
                <w:sz w:val="16"/>
                <w:szCs w:val="16"/>
              </w:rPr>
              <w:t>,</w:t>
            </w:r>
            <w:r w:rsidRPr="00D423DA">
              <w:rPr>
                <w:color w:val="002060"/>
                <w:sz w:val="16"/>
                <w:szCs w:val="16"/>
              </w:rPr>
              <w:t>398 Authorities</w:t>
            </w:r>
          </w:p>
          <w:p w:rsidR="00E859BB" w:rsidRPr="00806461" w:rsidRDefault="00E859BB" w:rsidP="008D1891">
            <w:pPr>
              <w:rPr>
                <w:rFonts w:cs="Arial"/>
                <w:i/>
                <w:sz w:val="8"/>
                <w:szCs w:val="8"/>
              </w:rPr>
            </w:pPr>
          </w:p>
          <w:p w:rsidR="00E859BB" w:rsidRPr="005C55CB" w:rsidRDefault="00E859BB" w:rsidP="008D1891">
            <w:pPr>
              <w:rPr>
                <w:rFonts w:cs="Arial"/>
                <w:sz w:val="16"/>
                <w:szCs w:val="16"/>
              </w:rPr>
            </w:pPr>
            <w:r>
              <w:rPr>
                <w:rFonts w:cs="Arial"/>
                <w:i/>
                <w:sz w:val="16"/>
                <w:szCs w:val="16"/>
              </w:rPr>
              <w:t>Original Baseline P&amp;B 2014/15</w:t>
            </w:r>
            <w:r w:rsidRPr="00806461">
              <w:rPr>
                <w:rFonts w:cs="Arial"/>
                <w:i/>
                <w:sz w:val="16"/>
                <w:szCs w:val="16"/>
              </w:rPr>
              <w:t>:</w:t>
            </w:r>
            <w:r>
              <w:rPr>
                <w:rFonts w:cs="Arial"/>
                <w:sz w:val="16"/>
                <w:szCs w:val="16"/>
              </w:rPr>
              <w:t xml:space="preserve">  </w:t>
            </w:r>
            <w:r w:rsidRPr="005C55CB">
              <w:rPr>
                <w:rFonts w:cs="Arial"/>
                <w:sz w:val="16"/>
                <w:szCs w:val="16"/>
              </w:rPr>
              <w:t>N</w:t>
            </w:r>
            <w:r>
              <w:rPr>
                <w:rFonts w:cs="Arial"/>
                <w:sz w:val="16"/>
                <w:szCs w:val="16"/>
              </w:rPr>
              <w:t xml:space="preserve">o. </w:t>
            </w:r>
            <w:r w:rsidRPr="005C55CB">
              <w:rPr>
                <w:rFonts w:cs="Arial"/>
                <w:sz w:val="16"/>
                <w:szCs w:val="16"/>
              </w:rPr>
              <w:t xml:space="preserve">of transactions carried out using </w:t>
            </w:r>
            <w:proofErr w:type="spellStart"/>
            <w:r w:rsidRPr="005C55CB">
              <w:rPr>
                <w:rFonts w:cs="Arial"/>
                <w:sz w:val="16"/>
                <w:szCs w:val="16"/>
              </w:rPr>
              <w:t>ePCT</w:t>
            </w:r>
            <w:proofErr w:type="spellEnd"/>
            <w:r w:rsidRPr="005C55CB">
              <w:rPr>
                <w:rFonts w:cs="Arial"/>
                <w:sz w:val="16"/>
                <w:szCs w:val="16"/>
              </w:rPr>
              <w:t xml:space="preserve"> services at the end of 2013 for:  </w:t>
            </w:r>
          </w:p>
          <w:p w:rsidR="00E859BB" w:rsidRPr="005C55CB" w:rsidRDefault="00E859BB" w:rsidP="008D1891">
            <w:pPr>
              <w:rPr>
                <w:rFonts w:cs="Arial"/>
                <w:sz w:val="16"/>
                <w:szCs w:val="16"/>
              </w:rPr>
            </w:pPr>
            <w:r w:rsidRPr="005C55CB">
              <w:rPr>
                <w:rFonts w:cs="Arial"/>
                <w:sz w:val="16"/>
                <w:szCs w:val="16"/>
              </w:rPr>
              <w:t xml:space="preserve">--  applicants;   </w:t>
            </w:r>
          </w:p>
          <w:p w:rsidR="00E859BB" w:rsidRPr="005C55CB" w:rsidRDefault="00E859BB" w:rsidP="008D1891">
            <w:pPr>
              <w:rPr>
                <w:rFonts w:cs="Arial"/>
                <w:sz w:val="16"/>
                <w:szCs w:val="16"/>
              </w:rPr>
            </w:pPr>
            <w:r w:rsidRPr="005C55CB">
              <w:rPr>
                <w:rFonts w:cs="Arial"/>
                <w:sz w:val="16"/>
                <w:szCs w:val="16"/>
              </w:rPr>
              <w:t xml:space="preserve">--  third parties;  </w:t>
            </w:r>
          </w:p>
          <w:p w:rsidR="00E859BB" w:rsidRPr="005C55CB" w:rsidRDefault="00E859BB" w:rsidP="008D1891">
            <w:pPr>
              <w:rPr>
                <w:rFonts w:cs="Arial"/>
                <w:sz w:val="16"/>
                <w:szCs w:val="16"/>
              </w:rPr>
            </w:pPr>
            <w:r w:rsidRPr="005C55CB">
              <w:rPr>
                <w:rFonts w:cs="Arial"/>
                <w:sz w:val="16"/>
                <w:szCs w:val="16"/>
              </w:rPr>
              <w:t xml:space="preserve">--  Offices;  and   </w:t>
            </w:r>
          </w:p>
          <w:p w:rsidR="00E859BB" w:rsidRPr="00806461" w:rsidRDefault="00E859BB" w:rsidP="008D1891">
            <w:pPr>
              <w:rPr>
                <w:rFonts w:cs="Arial"/>
                <w:sz w:val="16"/>
                <w:szCs w:val="16"/>
              </w:rPr>
            </w:pPr>
            <w:r w:rsidRPr="005C55CB">
              <w:rPr>
                <w:rFonts w:cs="Arial"/>
                <w:sz w:val="16"/>
                <w:szCs w:val="16"/>
              </w:rPr>
              <w:t>--  Authorities</w:t>
            </w:r>
          </w:p>
        </w:tc>
        <w:tc>
          <w:tcPr>
            <w:tcW w:w="810" w:type="pct"/>
            <w:tcBorders>
              <w:top w:val="nil"/>
              <w:bottom w:val="nil"/>
            </w:tcBorders>
            <w:shd w:val="clear" w:color="auto" w:fill="auto"/>
            <w:tcMar>
              <w:top w:w="110" w:type="dxa"/>
            </w:tcMar>
          </w:tcPr>
          <w:p w:rsidR="00E859BB" w:rsidRPr="005C55CB" w:rsidRDefault="00E859BB" w:rsidP="008D1891">
            <w:pPr>
              <w:rPr>
                <w:rFonts w:cs="Arial"/>
                <w:sz w:val="16"/>
                <w:szCs w:val="16"/>
              </w:rPr>
            </w:pPr>
            <w:r w:rsidRPr="005C55CB">
              <w:rPr>
                <w:rFonts w:cs="Arial"/>
                <w:sz w:val="16"/>
                <w:szCs w:val="16"/>
              </w:rPr>
              <w:t xml:space="preserve">Increased </w:t>
            </w:r>
            <w:r>
              <w:rPr>
                <w:rFonts w:cs="Arial"/>
                <w:sz w:val="16"/>
                <w:szCs w:val="16"/>
              </w:rPr>
              <w:t>no.</w:t>
            </w:r>
            <w:r w:rsidRPr="005C55CB">
              <w:rPr>
                <w:rFonts w:cs="Arial"/>
                <w:sz w:val="16"/>
                <w:szCs w:val="16"/>
              </w:rPr>
              <w:t xml:space="preserve"> of transactions carried out using </w:t>
            </w:r>
            <w:proofErr w:type="spellStart"/>
            <w:r w:rsidRPr="005C55CB">
              <w:rPr>
                <w:rFonts w:cs="Arial"/>
                <w:sz w:val="16"/>
                <w:szCs w:val="16"/>
              </w:rPr>
              <w:t>ePCT</w:t>
            </w:r>
            <w:proofErr w:type="spellEnd"/>
            <w:r w:rsidRPr="005C55CB">
              <w:rPr>
                <w:rFonts w:cs="Arial"/>
                <w:sz w:val="16"/>
                <w:szCs w:val="16"/>
              </w:rPr>
              <w:t xml:space="preserve"> services for:   </w:t>
            </w:r>
          </w:p>
          <w:p w:rsidR="00E859BB" w:rsidRPr="005C55CB" w:rsidRDefault="00E859BB" w:rsidP="008D1891">
            <w:pPr>
              <w:rPr>
                <w:rFonts w:cs="Arial"/>
                <w:sz w:val="16"/>
                <w:szCs w:val="16"/>
              </w:rPr>
            </w:pPr>
            <w:r w:rsidRPr="005C55CB">
              <w:rPr>
                <w:rFonts w:cs="Arial"/>
                <w:sz w:val="16"/>
                <w:szCs w:val="16"/>
              </w:rPr>
              <w:t xml:space="preserve">-- applicants;  </w:t>
            </w:r>
          </w:p>
          <w:p w:rsidR="00E859BB" w:rsidRPr="005C55CB" w:rsidRDefault="00E859BB" w:rsidP="008D1891">
            <w:pPr>
              <w:rPr>
                <w:rFonts w:cs="Arial"/>
                <w:sz w:val="16"/>
                <w:szCs w:val="16"/>
              </w:rPr>
            </w:pPr>
            <w:r w:rsidRPr="005C55CB">
              <w:rPr>
                <w:rFonts w:cs="Arial"/>
                <w:sz w:val="16"/>
                <w:szCs w:val="16"/>
              </w:rPr>
              <w:t xml:space="preserve">-- third parties;    </w:t>
            </w:r>
          </w:p>
          <w:p w:rsidR="00E859BB" w:rsidRPr="005C55CB" w:rsidRDefault="00E859BB" w:rsidP="008D1891">
            <w:pPr>
              <w:rPr>
                <w:rFonts w:cs="Arial"/>
                <w:sz w:val="16"/>
                <w:szCs w:val="16"/>
              </w:rPr>
            </w:pPr>
            <w:r w:rsidRPr="005C55CB">
              <w:rPr>
                <w:rFonts w:cs="Arial"/>
                <w:sz w:val="16"/>
                <w:szCs w:val="16"/>
              </w:rPr>
              <w:t xml:space="preserve">-- Offices;  and   </w:t>
            </w:r>
          </w:p>
          <w:p w:rsidR="00E859BB" w:rsidRPr="00806461" w:rsidRDefault="00E859BB" w:rsidP="008D1891">
            <w:pPr>
              <w:rPr>
                <w:rFonts w:cs="Arial"/>
                <w:sz w:val="16"/>
                <w:szCs w:val="16"/>
                <w:lang w:bidi="th-TH"/>
              </w:rPr>
            </w:pPr>
            <w:r w:rsidRPr="005C55CB">
              <w:rPr>
                <w:rFonts w:cs="Arial"/>
                <w:sz w:val="16"/>
                <w:szCs w:val="16"/>
              </w:rPr>
              <w:t>-- Authorities</w:t>
            </w:r>
          </w:p>
        </w:tc>
        <w:tc>
          <w:tcPr>
            <w:tcW w:w="1324" w:type="pct"/>
            <w:tcBorders>
              <w:top w:val="nil"/>
              <w:bottom w:val="nil"/>
            </w:tcBorders>
            <w:shd w:val="clear" w:color="auto" w:fill="FFFFFF"/>
            <w:tcMar>
              <w:top w:w="110" w:type="dxa"/>
            </w:tcMar>
          </w:tcPr>
          <w:p w:rsidR="00E859BB" w:rsidRPr="005C55CB" w:rsidRDefault="00E859BB" w:rsidP="008D1891">
            <w:pPr>
              <w:rPr>
                <w:rFonts w:cs="Arial"/>
                <w:sz w:val="16"/>
                <w:szCs w:val="16"/>
                <w:lang w:bidi="th-TH"/>
              </w:rPr>
            </w:pPr>
            <w:r w:rsidRPr="005C55CB">
              <w:rPr>
                <w:rFonts w:cs="Arial"/>
                <w:sz w:val="16"/>
                <w:szCs w:val="16"/>
                <w:lang w:bidi="th-TH"/>
              </w:rPr>
              <w:t>At the end of 2014, compared to the end of 2013:</w:t>
            </w:r>
          </w:p>
          <w:p w:rsidR="00E859BB" w:rsidRPr="003B19BE" w:rsidRDefault="00E859BB" w:rsidP="00E859BB">
            <w:pPr>
              <w:pStyle w:val="ListParagraph"/>
              <w:numPr>
                <w:ilvl w:val="0"/>
                <w:numId w:val="55"/>
              </w:numPr>
              <w:rPr>
                <w:rFonts w:cs="Arial"/>
                <w:sz w:val="16"/>
                <w:szCs w:val="16"/>
                <w:lang w:bidi="th-TH"/>
              </w:rPr>
            </w:pPr>
            <w:r>
              <w:rPr>
                <w:rFonts w:cs="Arial"/>
                <w:sz w:val="16"/>
                <w:szCs w:val="16"/>
                <w:lang w:bidi="th-TH"/>
              </w:rPr>
              <w:t xml:space="preserve">10,567 public </w:t>
            </w:r>
            <w:r w:rsidRPr="003B19BE">
              <w:rPr>
                <w:rFonts w:cs="Arial"/>
                <w:sz w:val="16"/>
                <w:szCs w:val="16"/>
                <w:lang w:bidi="th-TH"/>
              </w:rPr>
              <w:t xml:space="preserve">applicants </w:t>
            </w:r>
            <w:r>
              <w:rPr>
                <w:rFonts w:cs="Arial"/>
                <w:sz w:val="16"/>
                <w:szCs w:val="16"/>
                <w:lang w:bidi="th-TH"/>
              </w:rPr>
              <w:t>(</w:t>
            </w:r>
            <w:r w:rsidRPr="00F07CF1">
              <w:rPr>
                <w:rFonts w:cs="Arial"/>
                <w:sz w:val="16"/>
                <w:szCs w:val="16"/>
                <w:lang w:bidi="th-TH"/>
              </w:rPr>
              <w:t>+32%</w:t>
            </w:r>
            <w:r>
              <w:rPr>
                <w:rFonts w:cs="Arial"/>
                <w:sz w:val="16"/>
                <w:szCs w:val="16"/>
                <w:lang w:bidi="th-TH"/>
              </w:rPr>
              <w:t>)</w:t>
            </w:r>
          </w:p>
          <w:p w:rsidR="00E859BB" w:rsidRPr="003B19BE" w:rsidRDefault="00E859BB" w:rsidP="00E859BB">
            <w:pPr>
              <w:pStyle w:val="ListParagraph"/>
              <w:numPr>
                <w:ilvl w:val="0"/>
                <w:numId w:val="55"/>
              </w:numPr>
              <w:rPr>
                <w:rFonts w:cs="Arial"/>
                <w:sz w:val="16"/>
                <w:szCs w:val="16"/>
                <w:lang w:bidi="th-TH"/>
              </w:rPr>
            </w:pPr>
            <w:r>
              <w:rPr>
                <w:rFonts w:cs="Arial"/>
                <w:sz w:val="16"/>
                <w:szCs w:val="16"/>
                <w:lang w:bidi="th-TH"/>
              </w:rPr>
              <w:t xml:space="preserve">9,508 private </w:t>
            </w:r>
            <w:r w:rsidRPr="003B19BE">
              <w:rPr>
                <w:rFonts w:cs="Arial"/>
                <w:sz w:val="16"/>
                <w:szCs w:val="16"/>
                <w:lang w:bidi="th-TH"/>
              </w:rPr>
              <w:t>applicants</w:t>
            </w:r>
            <w:r>
              <w:rPr>
                <w:rFonts w:cs="Arial"/>
                <w:sz w:val="16"/>
                <w:szCs w:val="16"/>
                <w:lang w:bidi="th-TH"/>
              </w:rPr>
              <w:t xml:space="preserve"> (+100%)</w:t>
            </w:r>
            <w:r w:rsidRPr="003B19BE">
              <w:rPr>
                <w:rFonts w:cs="Arial"/>
                <w:sz w:val="16"/>
                <w:szCs w:val="16"/>
                <w:lang w:bidi="th-TH"/>
              </w:rPr>
              <w:t xml:space="preserve"> </w:t>
            </w:r>
          </w:p>
          <w:p w:rsidR="00E859BB" w:rsidRPr="003B19BE" w:rsidRDefault="00E859BB" w:rsidP="00E859BB">
            <w:pPr>
              <w:pStyle w:val="ListParagraph"/>
              <w:numPr>
                <w:ilvl w:val="0"/>
                <w:numId w:val="55"/>
              </w:numPr>
              <w:rPr>
                <w:rFonts w:cs="Arial"/>
                <w:sz w:val="16"/>
                <w:szCs w:val="16"/>
                <w:lang w:bidi="th-TH"/>
              </w:rPr>
            </w:pPr>
            <w:r>
              <w:rPr>
                <w:rFonts w:cs="Arial"/>
                <w:sz w:val="16"/>
                <w:szCs w:val="16"/>
                <w:lang w:bidi="th-TH"/>
              </w:rPr>
              <w:t xml:space="preserve">93 </w:t>
            </w:r>
            <w:r w:rsidRPr="003B19BE">
              <w:rPr>
                <w:rFonts w:cs="Arial"/>
                <w:sz w:val="16"/>
                <w:szCs w:val="16"/>
                <w:lang w:bidi="th-TH"/>
              </w:rPr>
              <w:t>third party observers</w:t>
            </w:r>
            <w:r>
              <w:rPr>
                <w:rFonts w:cs="Arial"/>
                <w:sz w:val="16"/>
                <w:szCs w:val="16"/>
                <w:lang w:bidi="th-TH"/>
              </w:rPr>
              <w:t xml:space="preserve"> (+25%)</w:t>
            </w:r>
            <w:r w:rsidRPr="003B19BE">
              <w:rPr>
                <w:rFonts w:cs="Arial"/>
                <w:sz w:val="16"/>
                <w:szCs w:val="16"/>
                <w:lang w:bidi="th-TH"/>
              </w:rPr>
              <w:t xml:space="preserve">; </w:t>
            </w:r>
          </w:p>
          <w:p w:rsidR="00E859BB" w:rsidRPr="003B19BE" w:rsidRDefault="00E859BB" w:rsidP="00E859BB">
            <w:pPr>
              <w:pStyle w:val="ListParagraph"/>
              <w:numPr>
                <w:ilvl w:val="0"/>
                <w:numId w:val="55"/>
              </w:numPr>
              <w:rPr>
                <w:rFonts w:cs="Arial"/>
                <w:sz w:val="16"/>
                <w:szCs w:val="16"/>
                <w:lang w:bidi="th-TH"/>
              </w:rPr>
            </w:pPr>
            <w:r>
              <w:rPr>
                <w:rFonts w:cs="Arial"/>
                <w:sz w:val="16"/>
                <w:szCs w:val="16"/>
                <w:lang w:bidi="th-TH"/>
              </w:rPr>
              <w:t xml:space="preserve">8,139 </w:t>
            </w:r>
            <w:r w:rsidRPr="003B19BE">
              <w:rPr>
                <w:rFonts w:cs="Arial"/>
                <w:sz w:val="16"/>
                <w:szCs w:val="16"/>
                <w:lang w:bidi="th-TH"/>
              </w:rPr>
              <w:t>receiving Offices</w:t>
            </w:r>
            <w:r>
              <w:rPr>
                <w:rFonts w:cs="Arial"/>
                <w:sz w:val="16"/>
                <w:szCs w:val="16"/>
                <w:lang w:bidi="th-TH"/>
              </w:rPr>
              <w:t xml:space="preserve"> (</w:t>
            </w:r>
            <w:r w:rsidRPr="00DF7CAD">
              <w:rPr>
                <w:rFonts w:cs="Arial"/>
                <w:sz w:val="16"/>
                <w:szCs w:val="16"/>
                <w:lang w:bidi="th-TH"/>
              </w:rPr>
              <w:t>+329%</w:t>
            </w:r>
            <w:r>
              <w:rPr>
                <w:rFonts w:cs="Arial"/>
                <w:sz w:val="16"/>
                <w:szCs w:val="16"/>
                <w:lang w:bidi="th-TH"/>
              </w:rPr>
              <w:t>)</w:t>
            </w:r>
            <w:r w:rsidRPr="003B19BE">
              <w:rPr>
                <w:rFonts w:cs="Arial"/>
                <w:sz w:val="16"/>
                <w:szCs w:val="16"/>
                <w:lang w:bidi="th-TH"/>
              </w:rPr>
              <w:t xml:space="preserve">; </w:t>
            </w:r>
          </w:p>
          <w:p w:rsidR="00E859BB" w:rsidRPr="003B19BE" w:rsidRDefault="00E859BB" w:rsidP="00E859BB">
            <w:pPr>
              <w:pStyle w:val="ListParagraph"/>
              <w:numPr>
                <w:ilvl w:val="0"/>
                <w:numId w:val="55"/>
              </w:numPr>
              <w:ind w:right="-80"/>
              <w:rPr>
                <w:rFonts w:cs="Arial"/>
                <w:sz w:val="16"/>
                <w:szCs w:val="16"/>
                <w:lang w:bidi="th-TH"/>
              </w:rPr>
            </w:pPr>
            <w:r>
              <w:rPr>
                <w:rFonts w:cs="Arial"/>
                <w:sz w:val="16"/>
                <w:szCs w:val="16"/>
                <w:lang w:bidi="th-TH"/>
              </w:rPr>
              <w:t xml:space="preserve">647 </w:t>
            </w:r>
            <w:r w:rsidRPr="003B19BE">
              <w:rPr>
                <w:rFonts w:cs="Arial"/>
                <w:sz w:val="16"/>
                <w:szCs w:val="16"/>
                <w:lang w:bidi="th-TH"/>
              </w:rPr>
              <w:t>International Authorities</w:t>
            </w:r>
            <w:r>
              <w:rPr>
                <w:rFonts w:cs="Arial"/>
                <w:sz w:val="16"/>
                <w:szCs w:val="16"/>
                <w:lang w:bidi="th-TH"/>
              </w:rPr>
              <w:t xml:space="preserve"> </w:t>
            </w:r>
            <w:r w:rsidRPr="003B19BE">
              <w:rPr>
                <w:rFonts w:cs="Arial"/>
                <w:sz w:val="16"/>
                <w:szCs w:val="16"/>
                <w:lang w:bidi="th-TH"/>
              </w:rPr>
              <w:t xml:space="preserve">(-73%) (largest user Office moved to </w:t>
            </w:r>
            <w:r>
              <w:rPr>
                <w:rFonts w:cs="Arial"/>
                <w:sz w:val="16"/>
                <w:szCs w:val="16"/>
                <w:lang w:bidi="th-TH"/>
              </w:rPr>
              <w:t xml:space="preserve">the </w:t>
            </w:r>
            <w:r w:rsidRPr="003B19BE">
              <w:rPr>
                <w:rFonts w:cs="Arial"/>
                <w:sz w:val="16"/>
                <w:szCs w:val="16"/>
                <w:lang w:bidi="th-TH"/>
              </w:rPr>
              <w:t xml:space="preserve">next level of automation) </w:t>
            </w:r>
          </w:p>
        </w:tc>
        <w:tc>
          <w:tcPr>
            <w:tcW w:w="512" w:type="pct"/>
            <w:tcBorders>
              <w:top w:val="nil"/>
              <w:bottom w:val="nil"/>
              <w:right w:val="single" w:sz="4" w:space="0" w:color="auto"/>
            </w:tcBorders>
            <w:shd w:val="clear" w:color="auto" w:fill="auto"/>
          </w:tcPr>
          <w:p w:rsidR="00E859BB" w:rsidRPr="003B19BE" w:rsidRDefault="00E859BB" w:rsidP="008D1891">
            <w:pPr>
              <w:jc w:val="center"/>
              <w:rPr>
                <w:rFonts w:cs="Arial"/>
                <w:b/>
                <w:bCs/>
                <w:color w:val="00B050"/>
                <w:sz w:val="16"/>
                <w:szCs w:val="16"/>
              </w:rPr>
            </w:pPr>
            <w:r w:rsidRPr="003B19BE">
              <w:rPr>
                <w:rFonts w:cs="Arial"/>
                <w:b/>
                <w:bCs/>
                <w:color w:val="00B050"/>
                <w:sz w:val="16"/>
                <w:szCs w:val="16"/>
              </w:rPr>
              <w:t>On Track</w:t>
            </w:r>
          </w:p>
        </w:tc>
      </w:tr>
      <w:tr w:rsidR="00E859BB" w:rsidRPr="00806461" w:rsidTr="00845557">
        <w:trPr>
          <w:trHeight w:val="423"/>
        </w:trPr>
        <w:tc>
          <w:tcPr>
            <w:tcW w:w="5000" w:type="pct"/>
            <w:gridSpan w:val="5"/>
            <w:tcBorders>
              <w:top w:val="nil"/>
              <w:bottom w:val="single" w:sz="4" w:space="0" w:color="auto"/>
            </w:tcBorders>
            <w:shd w:val="clear" w:color="auto" w:fill="CCFFFF"/>
            <w:vAlign w:val="center"/>
          </w:tcPr>
          <w:p w:rsidR="00E859BB" w:rsidRPr="00806461" w:rsidRDefault="00E859BB" w:rsidP="008D1891">
            <w:pPr>
              <w:keepNext/>
              <w:keepLines/>
              <w:tabs>
                <w:tab w:val="left" w:pos="1452"/>
              </w:tabs>
              <w:ind w:left="1452" w:hanging="1452"/>
              <w:rPr>
                <w:rFonts w:cs="Arial"/>
                <w:b/>
                <w:bCs/>
                <w:sz w:val="16"/>
                <w:szCs w:val="16"/>
              </w:rPr>
            </w:pPr>
            <w:r>
              <w:rPr>
                <w:rFonts w:cs="Arial"/>
                <w:b/>
                <w:bCs/>
                <w:sz w:val="16"/>
                <w:szCs w:val="16"/>
              </w:rPr>
              <w:t xml:space="preserve">II.3 </w:t>
            </w:r>
            <w:r w:rsidRPr="00806461">
              <w:rPr>
                <w:rFonts w:cs="Arial"/>
                <w:b/>
                <w:bCs/>
                <w:sz w:val="16"/>
                <w:szCs w:val="16"/>
              </w:rPr>
              <w:t>Expected Result:</w:t>
            </w:r>
            <w:r w:rsidRPr="00806461">
              <w:rPr>
                <w:rFonts w:cs="Arial"/>
                <w:b/>
                <w:bCs/>
                <w:sz w:val="16"/>
                <w:szCs w:val="16"/>
              </w:rPr>
              <w:tab/>
            </w:r>
            <w:r w:rsidRPr="00077CC5">
              <w:rPr>
                <w:rFonts w:cs="Arial"/>
                <w:sz w:val="16"/>
                <w:szCs w:val="16"/>
              </w:rPr>
              <w:t>Improved productivity and service quality of PCT operations</w:t>
            </w:r>
          </w:p>
        </w:tc>
      </w:tr>
      <w:tr w:rsidR="00E859BB" w:rsidRPr="00806461" w:rsidTr="0098531F">
        <w:tc>
          <w:tcPr>
            <w:tcW w:w="1104" w:type="pct"/>
            <w:tcBorders>
              <w:top w:val="single" w:sz="4" w:space="0" w:color="auto"/>
              <w:left w:val="single" w:sz="4" w:space="0" w:color="auto"/>
              <w:bottom w:val="nil"/>
            </w:tcBorders>
            <w:shd w:val="clear" w:color="auto" w:fill="auto"/>
          </w:tcPr>
          <w:p w:rsidR="00E859BB" w:rsidRPr="00806461" w:rsidRDefault="00E859BB" w:rsidP="008D1891">
            <w:pPr>
              <w:keepNext/>
              <w:keepLines/>
              <w:rPr>
                <w:rFonts w:cs="Arial"/>
                <w:sz w:val="16"/>
                <w:szCs w:val="16"/>
              </w:rPr>
            </w:pPr>
            <w:r w:rsidRPr="00806461">
              <w:rPr>
                <w:rFonts w:cs="Arial"/>
                <w:b/>
                <w:bCs/>
                <w:sz w:val="16"/>
                <w:szCs w:val="16"/>
              </w:rPr>
              <w:t>Performance Indicators</w:t>
            </w:r>
          </w:p>
        </w:tc>
        <w:tc>
          <w:tcPr>
            <w:tcW w:w="1250" w:type="pct"/>
            <w:tcBorders>
              <w:top w:val="single" w:sz="4" w:space="0" w:color="auto"/>
              <w:bottom w:val="nil"/>
            </w:tcBorders>
            <w:shd w:val="clear" w:color="auto" w:fill="auto"/>
          </w:tcPr>
          <w:p w:rsidR="00E859BB" w:rsidRPr="00806461" w:rsidRDefault="00E859BB" w:rsidP="008D1891">
            <w:pPr>
              <w:keepNext/>
              <w:keepLines/>
              <w:rPr>
                <w:rFonts w:cs="Arial"/>
                <w:b/>
                <w:bCs/>
                <w:sz w:val="16"/>
                <w:szCs w:val="16"/>
              </w:rPr>
            </w:pPr>
            <w:r w:rsidRPr="00806461">
              <w:rPr>
                <w:rFonts w:cs="Arial"/>
                <w:b/>
                <w:bCs/>
                <w:sz w:val="16"/>
                <w:szCs w:val="16"/>
              </w:rPr>
              <w:t>Baselines</w:t>
            </w:r>
          </w:p>
        </w:tc>
        <w:tc>
          <w:tcPr>
            <w:tcW w:w="810" w:type="pct"/>
            <w:tcBorders>
              <w:top w:val="single" w:sz="4" w:space="0" w:color="auto"/>
              <w:bottom w:val="nil"/>
            </w:tcBorders>
            <w:shd w:val="clear" w:color="auto" w:fill="auto"/>
            <w:tcMar>
              <w:top w:w="110" w:type="dxa"/>
            </w:tcMar>
          </w:tcPr>
          <w:p w:rsidR="00E859BB" w:rsidRPr="00806461" w:rsidRDefault="00E859BB" w:rsidP="008D1891">
            <w:pPr>
              <w:keepNext/>
              <w:keepLines/>
              <w:rPr>
                <w:rFonts w:cs="Arial"/>
                <w:b/>
                <w:sz w:val="16"/>
                <w:szCs w:val="16"/>
              </w:rPr>
            </w:pPr>
            <w:r w:rsidRPr="00806461">
              <w:rPr>
                <w:rFonts w:cs="Arial"/>
                <w:b/>
                <w:sz w:val="16"/>
                <w:szCs w:val="16"/>
              </w:rPr>
              <w:t>Targets</w:t>
            </w:r>
          </w:p>
        </w:tc>
        <w:tc>
          <w:tcPr>
            <w:tcW w:w="1324" w:type="pct"/>
            <w:tcBorders>
              <w:top w:val="single" w:sz="4" w:space="0" w:color="auto"/>
              <w:bottom w:val="nil"/>
            </w:tcBorders>
            <w:shd w:val="clear" w:color="auto" w:fill="FFFFFF"/>
            <w:tcMar>
              <w:top w:w="110" w:type="dxa"/>
            </w:tcMar>
          </w:tcPr>
          <w:p w:rsidR="00E859BB" w:rsidRPr="00806461" w:rsidRDefault="00E859BB" w:rsidP="008D1891">
            <w:pPr>
              <w:keepNext/>
              <w:keepLines/>
              <w:rPr>
                <w:rFonts w:cs="Arial"/>
                <w:sz w:val="16"/>
                <w:szCs w:val="16"/>
              </w:rPr>
            </w:pPr>
            <w:r w:rsidRPr="00806461">
              <w:rPr>
                <w:rFonts w:cs="Arial"/>
                <w:b/>
                <w:bCs/>
                <w:sz w:val="16"/>
                <w:szCs w:val="16"/>
              </w:rPr>
              <w:t>Performance Data</w:t>
            </w:r>
          </w:p>
        </w:tc>
        <w:tc>
          <w:tcPr>
            <w:tcW w:w="512" w:type="pct"/>
            <w:tcBorders>
              <w:top w:val="single" w:sz="4" w:space="0" w:color="auto"/>
              <w:bottom w:val="nil"/>
              <w:right w:val="single" w:sz="4" w:space="0" w:color="auto"/>
            </w:tcBorders>
            <w:shd w:val="clear" w:color="auto" w:fill="auto"/>
            <w:tcMar>
              <w:top w:w="110" w:type="dxa"/>
            </w:tcMar>
            <w:vAlign w:val="center"/>
          </w:tcPr>
          <w:p w:rsidR="00E859BB" w:rsidRPr="00806461" w:rsidRDefault="00E859BB" w:rsidP="008D1891">
            <w:pPr>
              <w:keepNext/>
              <w:keepLines/>
              <w:jc w:val="center"/>
              <w:rPr>
                <w:rFonts w:cs="Arial"/>
                <w:b/>
                <w:bCs/>
                <w:sz w:val="16"/>
                <w:szCs w:val="16"/>
              </w:rPr>
            </w:pPr>
            <w:r w:rsidRPr="00806461">
              <w:rPr>
                <w:rFonts w:cs="Arial"/>
                <w:b/>
                <w:bCs/>
                <w:sz w:val="16"/>
                <w:szCs w:val="16"/>
              </w:rPr>
              <w:t>TLS</w:t>
            </w:r>
          </w:p>
        </w:tc>
      </w:tr>
      <w:tr w:rsidR="00E859BB" w:rsidRPr="00806461" w:rsidTr="0098531F">
        <w:tc>
          <w:tcPr>
            <w:tcW w:w="1104" w:type="pct"/>
            <w:tcBorders>
              <w:top w:val="nil"/>
              <w:left w:val="single" w:sz="4" w:space="0" w:color="auto"/>
              <w:bottom w:val="nil"/>
            </w:tcBorders>
            <w:shd w:val="clear" w:color="auto" w:fill="FFFFFF"/>
          </w:tcPr>
          <w:p w:rsidR="00E859BB" w:rsidRPr="00806461" w:rsidRDefault="00E859BB" w:rsidP="008D1891">
            <w:pPr>
              <w:keepNext/>
              <w:keepLines/>
              <w:rPr>
                <w:rFonts w:cs="Arial"/>
                <w:sz w:val="16"/>
                <w:szCs w:val="16"/>
              </w:rPr>
            </w:pPr>
            <w:r w:rsidRPr="00077CC5">
              <w:rPr>
                <w:rFonts w:cs="Arial"/>
                <w:sz w:val="16"/>
                <w:szCs w:val="16"/>
              </w:rPr>
              <w:t xml:space="preserve">Application unit cost </w:t>
            </w:r>
          </w:p>
        </w:tc>
        <w:tc>
          <w:tcPr>
            <w:tcW w:w="1250" w:type="pct"/>
            <w:tcBorders>
              <w:top w:val="nil"/>
              <w:bottom w:val="nil"/>
            </w:tcBorders>
            <w:shd w:val="clear" w:color="auto" w:fill="auto"/>
          </w:tcPr>
          <w:p w:rsidR="00E859BB" w:rsidRPr="00806461" w:rsidRDefault="00E859BB" w:rsidP="008D1891">
            <w:pPr>
              <w:pStyle w:val="Default"/>
              <w:rPr>
                <w:color w:val="002060"/>
                <w:sz w:val="16"/>
                <w:szCs w:val="16"/>
              </w:rPr>
            </w:pPr>
            <w:r>
              <w:rPr>
                <w:i/>
                <w:color w:val="002060"/>
                <w:sz w:val="16"/>
                <w:szCs w:val="16"/>
              </w:rPr>
              <w:t>Updated Baseline end 2013</w:t>
            </w:r>
            <w:r w:rsidRPr="00806461">
              <w:rPr>
                <w:i/>
                <w:color w:val="002060"/>
                <w:sz w:val="16"/>
                <w:szCs w:val="16"/>
              </w:rPr>
              <w:t>:</w:t>
            </w:r>
            <w:r w:rsidRPr="00806461">
              <w:rPr>
                <w:color w:val="943634" w:themeColor="accent2" w:themeShade="BF"/>
                <w:sz w:val="16"/>
                <w:szCs w:val="16"/>
              </w:rPr>
              <w:t xml:space="preserve">  </w:t>
            </w:r>
            <w:r w:rsidRPr="00077CC5">
              <w:rPr>
                <w:color w:val="002060"/>
                <w:sz w:val="16"/>
                <w:szCs w:val="16"/>
              </w:rPr>
              <w:t>722 Swiss francs (2013)</w:t>
            </w:r>
          </w:p>
          <w:p w:rsidR="00E859BB" w:rsidRPr="00806461" w:rsidRDefault="00E859BB" w:rsidP="008D1891">
            <w:pPr>
              <w:rPr>
                <w:rFonts w:cs="Arial"/>
                <w:i/>
                <w:sz w:val="8"/>
                <w:szCs w:val="8"/>
              </w:rPr>
            </w:pPr>
          </w:p>
          <w:p w:rsidR="00E859BB" w:rsidRPr="00806461" w:rsidRDefault="00E859BB" w:rsidP="008D1891">
            <w:pPr>
              <w:rPr>
                <w:rFonts w:cs="Arial"/>
                <w:sz w:val="16"/>
                <w:szCs w:val="16"/>
              </w:rPr>
            </w:pPr>
            <w:r>
              <w:rPr>
                <w:rFonts w:cs="Arial"/>
                <w:i/>
                <w:sz w:val="16"/>
                <w:szCs w:val="16"/>
              </w:rPr>
              <w:t>Original Baseline P&amp;B 2014/15</w:t>
            </w:r>
            <w:r w:rsidRPr="00806461">
              <w:rPr>
                <w:rFonts w:cs="Arial"/>
                <w:i/>
                <w:sz w:val="16"/>
                <w:szCs w:val="16"/>
              </w:rPr>
              <w:t>:</w:t>
            </w:r>
            <w:r>
              <w:rPr>
                <w:rFonts w:cs="Arial"/>
                <w:sz w:val="16"/>
                <w:szCs w:val="16"/>
              </w:rPr>
              <w:t xml:space="preserve">  </w:t>
            </w:r>
            <w:r w:rsidRPr="00077CC5">
              <w:rPr>
                <w:rFonts w:cs="Arial"/>
                <w:sz w:val="16"/>
                <w:szCs w:val="16"/>
              </w:rPr>
              <w:t>Unit cost in 2013</w:t>
            </w:r>
          </w:p>
          <w:p w:rsidR="00E859BB" w:rsidRPr="00806461" w:rsidRDefault="00E859BB" w:rsidP="008D1891">
            <w:pPr>
              <w:keepNext/>
              <w:keepLines/>
              <w:rPr>
                <w:rFonts w:cs="Arial"/>
                <w:sz w:val="16"/>
                <w:szCs w:val="16"/>
              </w:rPr>
            </w:pPr>
          </w:p>
        </w:tc>
        <w:tc>
          <w:tcPr>
            <w:tcW w:w="810" w:type="pct"/>
            <w:tcBorders>
              <w:top w:val="nil"/>
              <w:bottom w:val="nil"/>
            </w:tcBorders>
            <w:shd w:val="clear" w:color="auto" w:fill="auto"/>
            <w:tcMar>
              <w:top w:w="110" w:type="dxa"/>
            </w:tcMar>
          </w:tcPr>
          <w:p w:rsidR="00E859BB" w:rsidRPr="00806461" w:rsidRDefault="00E859BB" w:rsidP="008D1891">
            <w:pPr>
              <w:keepNext/>
              <w:keepLines/>
              <w:autoSpaceDE w:val="0"/>
              <w:autoSpaceDN w:val="0"/>
              <w:adjustRightInd w:val="0"/>
              <w:rPr>
                <w:rFonts w:cs="Arial"/>
                <w:sz w:val="16"/>
                <w:szCs w:val="16"/>
              </w:rPr>
            </w:pPr>
            <w:r w:rsidRPr="00077CC5">
              <w:rPr>
                <w:rFonts w:cs="Arial"/>
                <w:sz w:val="16"/>
                <w:szCs w:val="16"/>
              </w:rPr>
              <w:t>Lower unit cost</w:t>
            </w:r>
          </w:p>
        </w:tc>
        <w:tc>
          <w:tcPr>
            <w:tcW w:w="1324" w:type="pct"/>
            <w:tcBorders>
              <w:top w:val="nil"/>
              <w:bottom w:val="nil"/>
            </w:tcBorders>
            <w:shd w:val="clear" w:color="auto" w:fill="FFFFFF"/>
            <w:tcMar>
              <w:top w:w="110" w:type="dxa"/>
            </w:tcMar>
          </w:tcPr>
          <w:p w:rsidR="00E859BB" w:rsidRPr="00806461" w:rsidRDefault="00E859BB" w:rsidP="008D1891">
            <w:pPr>
              <w:keepNext/>
              <w:keepLines/>
              <w:rPr>
                <w:rFonts w:cs="Arial"/>
                <w:sz w:val="16"/>
                <w:szCs w:val="16"/>
                <w:lang w:bidi="th-TH"/>
              </w:rPr>
            </w:pPr>
            <w:r w:rsidRPr="00077CC5">
              <w:rPr>
                <w:rFonts w:cs="Arial"/>
                <w:sz w:val="16"/>
                <w:szCs w:val="16"/>
              </w:rPr>
              <w:t xml:space="preserve">662 </w:t>
            </w:r>
            <w:r>
              <w:rPr>
                <w:rFonts w:cs="Arial"/>
                <w:sz w:val="16"/>
                <w:szCs w:val="16"/>
              </w:rPr>
              <w:t>Swiss francs</w:t>
            </w:r>
            <w:r w:rsidRPr="00077CC5">
              <w:rPr>
                <w:rFonts w:cs="Arial"/>
                <w:sz w:val="16"/>
                <w:szCs w:val="16"/>
              </w:rPr>
              <w:t xml:space="preserve"> (2014)</w:t>
            </w:r>
          </w:p>
        </w:tc>
        <w:tc>
          <w:tcPr>
            <w:tcW w:w="512" w:type="pct"/>
            <w:tcBorders>
              <w:top w:val="nil"/>
              <w:bottom w:val="nil"/>
              <w:right w:val="single" w:sz="4" w:space="0" w:color="auto"/>
            </w:tcBorders>
            <w:shd w:val="clear" w:color="auto" w:fill="auto"/>
            <w:tcMar>
              <w:top w:w="110" w:type="dxa"/>
            </w:tcMar>
          </w:tcPr>
          <w:p w:rsidR="00E859BB" w:rsidRPr="00F5503A" w:rsidRDefault="00E859BB" w:rsidP="008D1891">
            <w:pPr>
              <w:keepNext/>
              <w:keepLines/>
              <w:jc w:val="center"/>
              <w:rPr>
                <w:rFonts w:cs="Arial"/>
                <w:b/>
                <w:bCs/>
                <w:color w:val="00B050"/>
                <w:sz w:val="16"/>
                <w:szCs w:val="16"/>
              </w:rPr>
            </w:pPr>
            <w:r w:rsidRPr="00F5503A">
              <w:rPr>
                <w:rFonts w:cs="Arial"/>
                <w:b/>
                <w:bCs/>
                <w:color w:val="00B050"/>
                <w:sz w:val="16"/>
                <w:szCs w:val="16"/>
              </w:rPr>
              <w:t>On Track</w:t>
            </w:r>
          </w:p>
        </w:tc>
      </w:tr>
      <w:tr w:rsidR="00E859BB" w:rsidRPr="00077CC5" w:rsidTr="0098531F">
        <w:tc>
          <w:tcPr>
            <w:tcW w:w="1104" w:type="pct"/>
            <w:tcBorders>
              <w:top w:val="nil"/>
              <w:left w:val="single" w:sz="4" w:space="0" w:color="auto"/>
              <w:bottom w:val="nil"/>
            </w:tcBorders>
            <w:shd w:val="clear" w:color="auto" w:fill="FFFFFF"/>
          </w:tcPr>
          <w:p w:rsidR="00E859BB" w:rsidRPr="00077CC5" w:rsidRDefault="00E859BB" w:rsidP="008D1891">
            <w:pPr>
              <w:rPr>
                <w:rFonts w:cs="Arial"/>
                <w:sz w:val="16"/>
                <w:szCs w:val="16"/>
              </w:rPr>
            </w:pPr>
            <w:r w:rsidRPr="00077CC5">
              <w:rPr>
                <w:rFonts w:cs="Arial"/>
                <w:sz w:val="16"/>
                <w:szCs w:val="16"/>
              </w:rPr>
              <w:t>Aggregate quality of formalities examination (including timeliness)</w:t>
            </w:r>
          </w:p>
        </w:tc>
        <w:tc>
          <w:tcPr>
            <w:tcW w:w="1250" w:type="pct"/>
            <w:tcBorders>
              <w:top w:val="nil"/>
              <w:bottom w:val="nil"/>
            </w:tcBorders>
            <w:shd w:val="clear" w:color="auto" w:fill="auto"/>
          </w:tcPr>
          <w:p w:rsidR="00E859BB" w:rsidRPr="00806461" w:rsidRDefault="00E859BB" w:rsidP="008D1891">
            <w:pPr>
              <w:pStyle w:val="Default"/>
              <w:rPr>
                <w:color w:val="002060"/>
                <w:sz w:val="16"/>
                <w:szCs w:val="16"/>
              </w:rPr>
            </w:pPr>
            <w:r>
              <w:rPr>
                <w:i/>
                <w:color w:val="002060"/>
                <w:sz w:val="16"/>
                <w:szCs w:val="16"/>
              </w:rPr>
              <w:t>Updated Baseline end 2013</w:t>
            </w:r>
            <w:r w:rsidRPr="00806461">
              <w:rPr>
                <w:i/>
                <w:color w:val="002060"/>
                <w:sz w:val="16"/>
                <w:szCs w:val="16"/>
              </w:rPr>
              <w:t>:</w:t>
            </w:r>
            <w:r w:rsidRPr="00806461">
              <w:rPr>
                <w:color w:val="943634" w:themeColor="accent2" w:themeShade="BF"/>
                <w:sz w:val="16"/>
                <w:szCs w:val="16"/>
              </w:rPr>
              <w:t xml:space="preserve">  </w:t>
            </w:r>
            <w:r>
              <w:rPr>
                <w:color w:val="002060"/>
                <w:sz w:val="16"/>
                <w:szCs w:val="16"/>
              </w:rPr>
              <w:t>88.74% (average 2011-13)</w:t>
            </w:r>
          </w:p>
          <w:p w:rsidR="00E859BB" w:rsidRPr="00806461" w:rsidRDefault="00E859BB" w:rsidP="008D1891">
            <w:pPr>
              <w:jc w:val="center"/>
              <w:rPr>
                <w:rFonts w:cs="Arial"/>
                <w:i/>
                <w:sz w:val="8"/>
                <w:szCs w:val="8"/>
              </w:rPr>
            </w:pPr>
          </w:p>
          <w:p w:rsidR="00E859BB" w:rsidRPr="00806461" w:rsidRDefault="00E859BB" w:rsidP="008D1891">
            <w:pPr>
              <w:pStyle w:val="Default"/>
              <w:rPr>
                <w:i/>
                <w:color w:val="002060"/>
                <w:sz w:val="16"/>
                <w:szCs w:val="16"/>
              </w:rPr>
            </w:pPr>
            <w:r>
              <w:rPr>
                <w:i/>
                <w:sz w:val="16"/>
                <w:szCs w:val="16"/>
              </w:rPr>
              <w:t>Original Baseline P&amp;B 2014/15</w:t>
            </w:r>
            <w:r w:rsidRPr="00806461">
              <w:rPr>
                <w:i/>
                <w:sz w:val="16"/>
                <w:szCs w:val="16"/>
              </w:rPr>
              <w:t>:</w:t>
            </w:r>
            <w:r>
              <w:rPr>
                <w:sz w:val="16"/>
                <w:szCs w:val="16"/>
              </w:rPr>
              <w:t xml:space="preserve">  </w:t>
            </w:r>
            <w:r>
              <w:rPr>
                <w:rFonts w:eastAsia="Times New Roman"/>
                <w:color w:val="auto"/>
                <w:sz w:val="16"/>
                <w:szCs w:val="16"/>
                <w:lang w:eastAsia="en-US"/>
              </w:rPr>
              <w:t>Average of last three years</w:t>
            </w:r>
          </w:p>
        </w:tc>
        <w:tc>
          <w:tcPr>
            <w:tcW w:w="810" w:type="pct"/>
            <w:tcBorders>
              <w:top w:val="nil"/>
              <w:bottom w:val="nil"/>
            </w:tcBorders>
            <w:shd w:val="clear" w:color="auto" w:fill="auto"/>
            <w:tcMar>
              <w:top w:w="110" w:type="dxa"/>
            </w:tcMar>
          </w:tcPr>
          <w:p w:rsidR="00E859BB" w:rsidRPr="00077CC5" w:rsidRDefault="00E859BB" w:rsidP="008D1891">
            <w:pPr>
              <w:autoSpaceDE w:val="0"/>
              <w:autoSpaceDN w:val="0"/>
              <w:adjustRightInd w:val="0"/>
              <w:rPr>
                <w:rFonts w:cs="Arial"/>
                <w:sz w:val="16"/>
                <w:szCs w:val="16"/>
              </w:rPr>
            </w:pPr>
            <w:r>
              <w:rPr>
                <w:rFonts w:cs="Arial"/>
                <w:sz w:val="16"/>
                <w:szCs w:val="16"/>
              </w:rPr>
              <w:t>Higher Quality</w:t>
            </w:r>
          </w:p>
        </w:tc>
        <w:tc>
          <w:tcPr>
            <w:tcW w:w="1324" w:type="pct"/>
            <w:tcBorders>
              <w:top w:val="nil"/>
              <w:bottom w:val="nil"/>
            </w:tcBorders>
            <w:shd w:val="clear" w:color="auto" w:fill="FFFFFF"/>
            <w:tcMar>
              <w:top w:w="110" w:type="dxa"/>
            </w:tcMar>
          </w:tcPr>
          <w:p w:rsidR="00E859BB" w:rsidRPr="00077CC5" w:rsidRDefault="00E859BB" w:rsidP="008D1891">
            <w:pPr>
              <w:rPr>
                <w:rFonts w:cs="Arial"/>
                <w:sz w:val="16"/>
                <w:szCs w:val="16"/>
              </w:rPr>
            </w:pPr>
            <w:r w:rsidRPr="006D3694">
              <w:rPr>
                <w:rFonts w:cs="Arial"/>
                <w:sz w:val="16"/>
                <w:szCs w:val="16"/>
              </w:rPr>
              <w:t>89.60% (2012-2014)</w:t>
            </w:r>
          </w:p>
        </w:tc>
        <w:tc>
          <w:tcPr>
            <w:tcW w:w="512" w:type="pct"/>
            <w:tcBorders>
              <w:top w:val="nil"/>
              <w:bottom w:val="nil"/>
              <w:right w:val="single" w:sz="4" w:space="0" w:color="auto"/>
            </w:tcBorders>
            <w:shd w:val="clear" w:color="auto" w:fill="auto"/>
            <w:tcMar>
              <w:top w:w="110" w:type="dxa"/>
            </w:tcMar>
          </w:tcPr>
          <w:p w:rsidR="00E859BB" w:rsidRPr="00F5503A" w:rsidRDefault="00E859BB" w:rsidP="008D1891">
            <w:pPr>
              <w:jc w:val="center"/>
              <w:rPr>
                <w:rFonts w:cs="Arial"/>
                <w:b/>
                <w:bCs/>
                <w:color w:val="00B050"/>
                <w:sz w:val="16"/>
                <w:szCs w:val="16"/>
              </w:rPr>
            </w:pPr>
            <w:r w:rsidRPr="00F5503A">
              <w:rPr>
                <w:rFonts w:cs="Arial"/>
                <w:b/>
                <w:bCs/>
                <w:color w:val="00B050"/>
                <w:sz w:val="16"/>
                <w:szCs w:val="16"/>
              </w:rPr>
              <w:t>On Track</w:t>
            </w:r>
          </w:p>
        </w:tc>
      </w:tr>
      <w:tr w:rsidR="00E859BB" w:rsidRPr="00D92530" w:rsidTr="0098531F">
        <w:tc>
          <w:tcPr>
            <w:tcW w:w="1104" w:type="pct"/>
            <w:tcBorders>
              <w:top w:val="nil"/>
              <w:left w:val="single" w:sz="4" w:space="0" w:color="auto"/>
              <w:bottom w:val="nil"/>
            </w:tcBorders>
            <w:shd w:val="clear" w:color="auto" w:fill="FFFFFF"/>
          </w:tcPr>
          <w:p w:rsidR="00E859BB" w:rsidRPr="00D92530" w:rsidRDefault="00E859BB" w:rsidP="008D1891">
            <w:pPr>
              <w:rPr>
                <w:rFonts w:cs="Arial"/>
                <w:sz w:val="16"/>
                <w:szCs w:val="16"/>
              </w:rPr>
            </w:pPr>
            <w:r w:rsidRPr="00D92530">
              <w:rPr>
                <w:rFonts w:cs="Arial"/>
                <w:sz w:val="16"/>
                <w:szCs w:val="16"/>
              </w:rPr>
              <w:t>Quality of translation</w:t>
            </w:r>
          </w:p>
        </w:tc>
        <w:tc>
          <w:tcPr>
            <w:tcW w:w="1250" w:type="pct"/>
            <w:tcBorders>
              <w:top w:val="nil"/>
              <w:bottom w:val="nil"/>
            </w:tcBorders>
            <w:shd w:val="clear" w:color="auto" w:fill="auto"/>
          </w:tcPr>
          <w:p w:rsidR="00E859BB" w:rsidRDefault="00E859BB" w:rsidP="008D1891">
            <w:pPr>
              <w:rPr>
                <w:rFonts w:eastAsia="Batang" w:cs="Arial"/>
                <w:color w:val="002060"/>
                <w:sz w:val="16"/>
                <w:szCs w:val="16"/>
                <w:lang w:eastAsia="ja-JP"/>
              </w:rPr>
            </w:pPr>
            <w:r>
              <w:rPr>
                <w:i/>
                <w:color w:val="002060"/>
                <w:sz w:val="16"/>
                <w:szCs w:val="16"/>
              </w:rPr>
              <w:t>Updated Baseline end 2013</w:t>
            </w:r>
            <w:r w:rsidRPr="00806461">
              <w:rPr>
                <w:i/>
                <w:color w:val="002060"/>
                <w:sz w:val="16"/>
                <w:szCs w:val="16"/>
              </w:rPr>
              <w:t>:</w:t>
            </w:r>
            <w:r w:rsidRPr="00806461">
              <w:rPr>
                <w:color w:val="943634" w:themeColor="accent2" w:themeShade="BF"/>
                <w:sz w:val="16"/>
                <w:szCs w:val="16"/>
              </w:rPr>
              <w:t xml:space="preserve">  </w:t>
            </w:r>
            <w:r w:rsidRPr="00D92530">
              <w:rPr>
                <w:rFonts w:eastAsia="Batang" w:cs="Arial"/>
                <w:color w:val="002060"/>
                <w:sz w:val="16"/>
                <w:szCs w:val="16"/>
                <w:lang w:eastAsia="ja-JP"/>
              </w:rPr>
              <w:t>86.2</w:t>
            </w:r>
            <w:r>
              <w:rPr>
                <w:rFonts w:eastAsia="Batang" w:cs="Arial"/>
                <w:color w:val="002060"/>
                <w:sz w:val="16"/>
                <w:szCs w:val="16"/>
                <w:lang w:eastAsia="ja-JP"/>
              </w:rPr>
              <w:t>3</w:t>
            </w:r>
            <w:r w:rsidRPr="00D92530">
              <w:rPr>
                <w:rFonts w:eastAsia="Batang" w:cs="Arial"/>
                <w:color w:val="002060"/>
                <w:sz w:val="16"/>
                <w:szCs w:val="16"/>
                <w:lang w:eastAsia="ja-JP"/>
              </w:rPr>
              <w:t>% (2011-2013)</w:t>
            </w:r>
          </w:p>
          <w:p w:rsidR="00E859BB" w:rsidRPr="00806461" w:rsidRDefault="00E859BB" w:rsidP="008D1891">
            <w:pPr>
              <w:rPr>
                <w:rFonts w:cs="Arial"/>
                <w:i/>
                <w:sz w:val="8"/>
                <w:szCs w:val="8"/>
              </w:rPr>
            </w:pPr>
          </w:p>
          <w:p w:rsidR="00E859BB" w:rsidRDefault="00E859BB" w:rsidP="008D1891">
            <w:pPr>
              <w:pStyle w:val="Default"/>
              <w:rPr>
                <w:i/>
                <w:color w:val="002060"/>
                <w:sz w:val="16"/>
                <w:szCs w:val="16"/>
              </w:rPr>
            </w:pPr>
            <w:r>
              <w:rPr>
                <w:i/>
                <w:sz w:val="16"/>
                <w:szCs w:val="16"/>
              </w:rPr>
              <w:t>Original Baseline P&amp;B 2014/15</w:t>
            </w:r>
            <w:r w:rsidRPr="00806461">
              <w:rPr>
                <w:i/>
                <w:sz w:val="16"/>
                <w:szCs w:val="16"/>
              </w:rPr>
              <w:t>:</w:t>
            </w:r>
            <w:r>
              <w:rPr>
                <w:sz w:val="16"/>
                <w:szCs w:val="16"/>
              </w:rPr>
              <w:t xml:space="preserve">  </w:t>
            </w:r>
            <w:r w:rsidRPr="00D92530">
              <w:rPr>
                <w:rFonts w:eastAsia="Times New Roman"/>
                <w:color w:val="auto"/>
                <w:sz w:val="16"/>
                <w:szCs w:val="16"/>
                <w:lang w:eastAsia="en-US"/>
              </w:rPr>
              <w:t>Average of last three years</w:t>
            </w:r>
          </w:p>
        </w:tc>
        <w:tc>
          <w:tcPr>
            <w:tcW w:w="810" w:type="pct"/>
            <w:tcBorders>
              <w:top w:val="nil"/>
              <w:bottom w:val="nil"/>
            </w:tcBorders>
            <w:shd w:val="clear" w:color="auto" w:fill="auto"/>
            <w:tcMar>
              <w:top w:w="110" w:type="dxa"/>
            </w:tcMar>
          </w:tcPr>
          <w:p w:rsidR="00E859BB" w:rsidRPr="00D92530" w:rsidRDefault="00E859BB" w:rsidP="008D1891">
            <w:pPr>
              <w:autoSpaceDE w:val="0"/>
              <w:autoSpaceDN w:val="0"/>
              <w:adjustRightInd w:val="0"/>
              <w:rPr>
                <w:rFonts w:cs="Arial"/>
                <w:sz w:val="16"/>
                <w:szCs w:val="16"/>
              </w:rPr>
            </w:pPr>
            <w:r w:rsidRPr="00D92530">
              <w:rPr>
                <w:rFonts w:cs="Arial"/>
                <w:sz w:val="16"/>
                <w:szCs w:val="16"/>
              </w:rPr>
              <w:t>Higher quality</w:t>
            </w:r>
          </w:p>
        </w:tc>
        <w:tc>
          <w:tcPr>
            <w:tcW w:w="1324" w:type="pct"/>
            <w:tcBorders>
              <w:top w:val="nil"/>
              <w:bottom w:val="nil"/>
            </w:tcBorders>
            <w:shd w:val="clear" w:color="auto" w:fill="FFFFFF"/>
            <w:tcMar>
              <w:top w:w="110" w:type="dxa"/>
            </w:tcMar>
          </w:tcPr>
          <w:p w:rsidR="00E859BB" w:rsidRPr="006D3694" w:rsidRDefault="00E859BB" w:rsidP="008D1891">
            <w:pPr>
              <w:rPr>
                <w:rFonts w:cs="Arial"/>
                <w:sz w:val="16"/>
                <w:szCs w:val="16"/>
              </w:rPr>
            </w:pPr>
            <w:r w:rsidRPr="00D92530">
              <w:rPr>
                <w:rFonts w:cs="Arial"/>
                <w:sz w:val="16"/>
                <w:szCs w:val="16"/>
              </w:rPr>
              <w:t>86.77% (2012-2014)</w:t>
            </w:r>
          </w:p>
        </w:tc>
        <w:tc>
          <w:tcPr>
            <w:tcW w:w="512" w:type="pct"/>
            <w:tcBorders>
              <w:top w:val="nil"/>
              <w:bottom w:val="nil"/>
              <w:right w:val="single" w:sz="4" w:space="0" w:color="auto"/>
            </w:tcBorders>
            <w:shd w:val="clear" w:color="auto" w:fill="auto"/>
            <w:tcMar>
              <w:top w:w="110" w:type="dxa"/>
            </w:tcMar>
          </w:tcPr>
          <w:p w:rsidR="00E859BB" w:rsidRPr="00F5503A" w:rsidRDefault="00E859BB" w:rsidP="008D1891">
            <w:pPr>
              <w:jc w:val="center"/>
              <w:rPr>
                <w:rFonts w:cs="Arial"/>
                <w:b/>
                <w:bCs/>
                <w:color w:val="00B050"/>
                <w:sz w:val="16"/>
                <w:szCs w:val="16"/>
              </w:rPr>
            </w:pPr>
            <w:r w:rsidRPr="00F5503A">
              <w:rPr>
                <w:rFonts w:cs="Arial"/>
                <w:b/>
                <w:bCs/>
                <w:color w:val="00B050"/>
                <w:sz w:val="16"/>
                <w:szCs w:val="16"/>
              </w:rPr>
              <w:t>On Track</w:t>
            </w:r>
          </w:p>
        </w:tc>
      </w:tr>
      <w:tr w:rsidR="00E859BB" w:rsidRPr="00D92530" w:rsidTr="0098531F">
        <w:tc>
          <w:tcPr>
            <w:tcW w:w="1104" w:type="pct"/>
            <w:tcBorders>
              <w:top w:val="nil"/>
              <w:left w:val="single" w:sz="4" w:space="0" w:color="auto"/>
              <w:bottom w:val="nil"/>
            </w:tcBorders>
            <w:shd w:val="clear" w:color="auto" w:fill="FFFFFF"/>
          </w:tcPr>
          <w:p w:rsidR="00E859BB" w:rsidRPr="00077CC5" w:rsidRDefault="00E859BB" w:rsidP="008D1891">
            <w:pPr>
              <w:rPr>
                <w:rFonts w:cs="Arial"/>
                <w:sz w:val="16"/>
                <w:szCs w:val="16"/>
              </w:rPr>
            </w:pPr>
            <w:r w:rsidRPr="00D92530">
              <w:rPr>
                <w:rFonts w:cs="Arial"/>
                <w:sz w:val="16"/>
                <w:szCs w:val="16"/>
              </w:rPr>
              <w:t>Timeliness of report translation</w:t>
            </w:r>
          </w:p>
        </w:tc>
        <w:tc>
          <w:tcPr>
            <w:tcW w:w="1250" w:type="pct"/>
            <w:tcBorders>
              <w:top w:val="nil"/>
              <w:bottom w:val="nil"/>
            </w:tcBorders>
            <w:shd w:val="clear" w:color="auto" w:fill="auto"/>
          </w:tcPr>
          <w:p w:rsidR="00E859BB" w:rsidRPr="00806461" w:rsidRDefault="00E859BB" w:rsidP="008D1891">
            <w:pPr>
              <w:pStyle w:val="Default"/>
              <w:rPr>
                <w:color w:val="002060"/>
                <w:sz w:val="16"/>
                <w:szCs w:val="16"/>
              </w:rPr>
            </w:pPr>
            <w:r>
              <w:rPr>
                <w:i/>
                <w:color w:val="002060"/>
                <w:sz w:val="16"/>
                <w:szCs w:val="16"/>
              </w:rPr>
              <w:t>Updated Baseline end 2013</w:t>
            </w:r>
            <w:r w:rsidRPr="00806461">
              <w:rPr>
                <w:i/>
                <w:color w:val="002060"/>
                <w:sz w:val="16"/>
                <w:szCs w:val="16"/>
              </w:rPr>
              <w:t>:</w:t>
            </w:r>
            <w:r w:rsidRPr="00806461">
              <w:rPr>
                <w:color w:val="943634" w:themeColor="accent2" w:themeShade="BF"/>
                <w:sz w:val="16"/>
                <w:szCs w:val="16"/>
              </w:rPr>
              <w:t xml:space="preserve">  </w:t>
            </w:r>
            <w:r>
              <w:rPr>
                <w:color w:val="002060"/>
                <w:sz w:val="16"/>
                <w:szCs w:val="16"/>
              </w:rPr>
              <w:t>64% on time (2013)</w:t>
            </w:r>
          </w:p>
          <w:p w:rsidR="00E859BB" w:rsidRPr="00806461" w:rsidRDefault="00E859BB" w:rsidP="008D1891">
            <w:pPr>
              <w:rPr>
                <w:rFonts w:cs="Arial"/>
                <w:i/>
                <w:sz w:val="8"/>
                <w:szCs w:val="8"/>
              </w:rPr>
            </w:pPr>
          </w:p>
          <w:p w:rsidR="00E859BB" w:rsidRPr="00806461" w:rsidRDefault="00E859BB" w:rsidP="008D1891">
            <w:pPr>
              <w:rPr>
                <w:rFonts w:cs="Arial"/>
                <w:sz w:val="16"/>
                <w:szCs w:val="16"/>
              </w:rPr>
            </w:pPr>
            <w:r>
              <w:rPr>
                <w:rFonts w:cs="Arial"/>
                <w:i/>
                <w:sz w:val="16"/>
                <w:szCs w:val="16"/>
              </w:rPr>
              <w:t>Original Baseline P&amp;B 2014/15</w:t>
            </w:r>
            <w:r w:rsidRPr="00806461">
              <w:rPr>
                <w:rFonts w:cs="Arial"/>
                <w:i/>
                <w:sz w:val="16"/>
                <w:szCs w:val="16"/>
              </w:rPr>
              <w:t>:</w:t>
            </w:r>
            <w:r>
              <w:rPr>
                <w:rFonts w:cs="Arial"/>
                <w:sz w:val="16"/>
                <w:szCs w:val="16"/>
              </w:rPr>
              <w:t xml:space="preserve">  Timelines in 2013</w:t>
            </w:r>
          </w:p>
          <w:p w:rsidR="00E859BB" w:rsidRDefault="00E859BB" w:rsidP="008D1891">
            <w:pPr>
              <w:pStyle w:val="Default"/>
              <w:rPr>
                <w:i/>
                <w:color w:val="002060"/>
                <w:sz w:val="16"/>
                <w:szCs w:val="16"/>
              </w:rPr>
            </w:pPr>
          </w:p>
        </w:tc>
        <w:tc>
          <w:tcPr>
            <w:tcW w:w="810" w:type="pct"/>
            <w:tcBorders>
              <w:top w:val="nil"/>
              <w:bottom w:val="nil"/>
            </w:tcBorders>
            <w:shd w:val="clear" w:color="auto" w:fill="auto"/>
            <w:tcMar>
              <w:top w:w="110" w:type="dxa"/>
            </w:tcMar>
          </w:tcPr>
          <w:p w:rsidR="00E859BB" w:rsidRPr="00D92530" w:rsidRDefault="00E859BB" w:rsidP="008D1891">
            <w:pPr>
              <w:autoSpaceDE w:val="0"/>
              <w:autoSpaceDN w:val="0"/>
              <w:adjustRightInd w:val="0"/>
              <w:rPr>
                <w:rFonts w:cs="Arial"/>
                <w:sz w:val="16"/>
                <w:szCs w:val="16"/>
              </w:rPr>
            </w:pPr>
            <w:r w:rsidRPr="00D92530">
              <w:rPr>
                <w:rFonts w:cs="Arial"/>
                <w:sz w:val="16"/>
                <w:szCs w:val="16"/>
              </w:rPr>
              <w:t>Improvement</w:t>
            </w:r>
          </w:p>
        </w:tc>
        <w:tc>
          <w:tcPr>
            <w:tcW w:w="1324" w:type="pct"/>
            <w:tcBorders>
              <w:top w:val="nil"/>
              <w:bottom w:val="nil"/>
            </w:tcBorders>
            <w:shd w:val="clear" w:color="auto" w:fill="FFFFFF"/>
            <w:tcMar>
              <w:top w:w="110" w:type="dxa"/>
            </w:tcMar>
          </w:tcPr>
          <w:p w:rsidR="00E859BB" w:rsidRPr="00D92530" w:rsidRDefault="00E859BB" w:rsidP="008D1891">
            <w:pPr>
              <w:rPr>
                <w:rFonts w:cs="Arial"/>
                <w:sz w:val="16"/>
                <w:szCs w:val="16"/>
              </w:rPr>
            </w:pPr>
            <w:r w:rsidRPr="006D3694">
              <w:rPr>
                <w:rFonts w:cs="Arial"/>
                <w:sz w:val="16"/>
                <w:szCs w:val="16"/>
              </w:rPr>
              <w:t>82.5% (2014)</w:t>
            </w:r>
          </w:p>
        </w:tc>
        <w:tc>
          <w:tcPr>
            <w:tcW w:w="512" w:type="pct"/>
            <w:tcBorders>
              <w:top w:val="nil"/>
              <w:bottom w:val="nil"/>
              <w:right w:val="single" w:sz="4" w:space="0" w:color="auto"/>
            </w:tcBorders>
            <w:shd w:val="clear" w:color="auto" w:fill="auto"/>
            <w:tcMar>
              <w:top w:w="110" w:type="dxa"/>
            </w:tcMar>
          </w:tcPr>
          <w:p w:rsidR="00E859BB" w:rsidRPr="00F5503A" w:rsidRDefault="00E859BB" w:rsidP="008D1891">
            <w:pPr>
              <w:jc w:val="center"/>
              <w:rPr>
                <w:rFonts w:cs="Arial"/>
                <w:b/>
                <w:bCs/>
                <w:color w:val="00B050"/>
                <w:sz w:val="16"/>
                <w:szCs w:val="16"/>
              </w:rPr>
            </w:pPr>
            <w:r w:rsidRPr="00F5503A">
              <w:rPr>
                <w:rFonts w:cs="Arial"/>
                <w:b/>
                <w:bCs/>
                <w:color w:val="00B050"/>
                <w:sz w:val="16"/>
                <w:szCs w:val="16"/>
              </w:rPr>
              <w:t>On Track</w:t>
            </w:r>
          </w:p>
        </w:tc>
      </w:tr>
      <w:tr w:rsidR="00E859BB" w:rsidRPr="00D92530" w:rsidTr="0098531F">
        <w:tc>
          <w:tcPr>
            <w:tcW w:w="1104" w:type="pct"/>
            <w:tcBorders>
              <w:top w:val="nil"/>
              <w:left w:val="single" w:sz="4" w:space="0" w:color="auto"/>
              <w:bottom w:val="nil"/>
            </w:tcBorders>
            <w:shd w:val="clear" w:color="auto" w:fill="FFFFFF"/>
          </w:tcPr>
          <w:p w:rsidR="00E859BB" w:rsidRPr="00077CC5" w:rsidRDefault="00E859BB" w:rsidP="008D1891">
            <w:pPr>
              <w:rPr>
                <w:rFonts w:cs="Arial"/>
                <w:sz w:val="16"/>
                <w:szCs w:val="16"/>
              </w:rPr>
            </w:pPr>
            <w:r w:rsidRPr="00D92530">
              <w:rPr>
                <w:rFonts w:cs="Arial"/>
                <w:sz w:val="16"/>
                <w:szCs w:val="16"/>
              </w:rPr>
              <w:t>Quality of software development (QSD)</w:t>
            </w:r>
          </w:p>
        </w:tc>
        <w:tc>
          <w:tcPr>
            <w:tcW w:w="1250" w:type="pct"/>
            <w:tcBorders>
              <w:top w:val="nil"/>
              <w:bottom w:val="nil"/>
            </w:tcBorders>
            <w:shd w:val="clear" w:color="auto" w:fill="auto"/>
          </w:tcPr>
          <w:p w:rsidR="00E859BB" w:rsidRPr="00806461" w:rsidRDefault="00E859BB" w:rsidP="008D1891">
            <w:pPr>
              <w:pStyle w:val="Default"/>
              <w:rPr>
                <w:color w:val="002060"/>
                <w:sz w:val="16"/>
                <w:szCs w:val="16"/>
              </w:rPr>
            </w:pPr>
            <w:r>
              <w:rPr>
                <w:i/>
                <w:color w:val="002060"/>
                <w:sz w:val="16"/>
                <w:szCs w:val="16"/>
              </w:rPr>
              <w:t>Updated Baseline end 2013</w:t>
            </w:r>
            <w:r w:rsidRPr="00806461">
              <w:rPr>
                <w:i/>
                <w:color w:val="002060"/>
                <w:sz w:val="16"/>
                <w:szCs w:val="16"/>
              </w:rPr>
              <w:t>:</w:t>
            </w:r>
            <w:r w:rsidRPr="00806461">
              <w:rPr>
                <w:color w:val="943634" w:themeColor="accent2" w:themeShade="BF"/>
                <w:sz w:val="16"/>
                <w:szCs w:val="16"/>
              </w:rPr>
              <w:t xml:space="preserve">  </w:t>
            </w:r>
            <w:r w:rsidRPr="00D92530">
              <w:rPr>
                <w:color w:val="002060"/>
                <w:sz w:val="16"/>
                <w:szCs w:val="16"/>
              </w:rPr>
              <w:t>89.4% (2013)</w:t>
            </w:r>
          </w:p>
          <w:p w:rsidR="00E859BB" w:rsidRPr="00806461" w:rsidRDefault="00E859BB" w:rsidP="008D1891">
            <w:pPr>
              <w:rPr>
                <w:rFonts w:cs="Arial"/>
                <w:i/>
                <w:sz w:val="8"/>
                <w:szCs w:val="8"/>
              </w:rPr>
            </w:pPr>
          </w:p>
          <w:p w:rsidR="00E859BB" w:rsidRPr="00D92530" w:rsidRDefault="00E859BB" w:rsidP="008D1891">
            <w:pPr>
              <w:rPr>
                <w:rFonts w:cs="Arial"/>
                <w:sz w:val="16"/>
                <w:szCs w:val="16"/>
              </w:rPr>
            </w:pPr>
            <w:r>
              <w:rPr>
                <w:rFonts w:cs="Arial"/>
                <w:i/>
                <w:sz w:val="16"/>
                <w:szCs w:val="16"/>
              </w:rPr>
              <w:t>Original Baseline P&amp;B 2014/15</w:t>
            </w:r>
            <w:r w:rsidRPr="00806461">
              <w:rPr>
                <w:rFonts w:cs="Arial"/>
                <w:i/>
                <w:sz w:val="16"/>
                <w:szCs w:val="16"/>
              </w:rPr>
              <w:t>:</w:t>
            </w:r>
            <w:r>
              <w:rPr>
                <w:rFonts w:cs="Arial"/>
                <w:sz w:val="16"/>
                <w:szCs w:val="16"/>
              </w:rPr>
              <w:t xml:space="preserve">  </w:t>
            </w:r>
            <w:r w:rsidRPr="00D92530">
              <w:rPr>
                <w:rFonts w:cs="Arial"/>
                <w:sz w:val="16"/>
                <w:szCs w:val="16"/>
              </w:rPr>
              <w:t>QSD for latest build of</w:t>
            </w:r>
          </w:p>
          <w:p w:rsidR="00E859BB" w:rsidRPr="00806461" w:rsidRDefault="00E859BB" w:rsidP="008D1891">
            <w:pPr>
              <w:rPr>
                <w:rFonts w:cs="Arial"/>
                <w:sz w:val="16"/>
                <w:szCs w:val="16"/>
              </w:rPr>
            </w:pPr>
            <w:proofErr w:type="spellStart"/>
            <w:r w:rsidRPr="00D92530">
              <w:rPr>
                <w:rFonts w:cs="Arial"/>
                <w:sz w:val="16"/>
                <w:szCs w:val="16"/>
              </w:rPr>
              <w:t>ePCT</w:t>
            </w:r>
            <w:proofErr w:type="spellEnd"/>
            <w:r w:rsidRPr="00D92530">
              <w:rPr>
                <w:rFonts w:cs="Arial"/>
                <w:sz w:val="16"/>
                <w:szCs w:val="16"/>
              </w:rPr>
              <w:t xml:space="preserve"> and </w:t>
            </w:r>
            <w:proofErr w:type="spellStart"/>
            <w:r w:rsidRPr="00D92530">
              <w:rPr>
                <w:rFonts w:cs="Arial"/>
                <w:sz w:val="16"/>
                <w:szCs w:val="16"/>
              </w:rPr>
              <w:t>eDossier</w:t>
            </w:r>
            <w:proofErr w:type="spellEnd"/>
            <w:r w:rsidRPr="00D92530">
              <w:rPr>
                <w:rFonts w:cs="Arial"/>
                <w:sz w:val="16"/>
                <w:szCs w:val="16"/>
              </w:rPr>
              <w:t xml:space="preserve"> in</w:t>
            </w:r>
            <w:r>
              <w:rPr>
                <w:rFonts w:cs="Arial"/>
                <w:sz w:val="16"/>
                <w:szCs w:val="16"/>
              </w:rPr>
              <w:t xml:space="preserve"> </w:t>
            </w:r>
            <w:r w:rsidRPr="00D92530">
              <w:rPr>
                <w:rFonts w:cs="Arial"/>
                <w:sz w:val="16"/>
                <w:szCs w:val="16"/>
              </w:rPr>
              <w:t>2013</w:t>
            </w:r>
          </w:p>
          <w:p w:rsidR="00E859BB" w:rsidRPr="00806461" w:rsidRDefault="00E859BB" w:rsidP="008D1891">
            <w:pPr>
              <w:pStyle w:val="Default"/>
              <w:rPr>
                <w:i/>
                <w:color w:val="002060"/>
                <w:sz w:val="16"/>
                <w:szCs w:val="16"/>
              </w:rPr>
            </w:pPr>
          </w:p>
        </w:tc>
        <w:tc>
          <w:tcPr>
            <w:tcW w:w="810" w:type="pct"/>
            <w:tcBorders>
              <w:top w:val="nil"/>
              <w:bottom w:val="nil"/>
            </w:tcBorders>
            <w:shd w:val="clear" w:color="auto" w:fill="auto"/>
            <w:tcMar>
              <w:top w:w="110" w:type="dxa"/>
            </w:tcMar>
          </w:tcPr>
          <w:p w:rsidR="00E859BB" w:rsidRPr="00D92530" w:rsidRDefault="00E859BB" w:rsidP="008D1891">
            <w:pPr>
              <w:autoSpaceDE w:val="0"/>
              <w:autoSpaceDN w:val="0"/>
              <w:adjustRightInd w:val="0"/>
              <w:rPr>
                <w:rFonts w:cs="Arial"/>
                <w:sz w:val="16"/>
                <w:szCs w:val="16"/>
              </w:rPr>
            </w:pPr>
            <w:r w:rsidRPr="00D92530">
              <w:rPr>
                <w:rFonts w:cs="Arial"/>
                <w:sz w:val="16"/>
                <w:szCs w:val="16"/>
              </w:rPr>
              <w:t>Higher QSD</w:t>
            </w:r>
          </w:p>
        </w:tc>
        <w:tc>
          <w:tcPr>
            <w:tcW w:w="1324" w:type="pct"/>
            <w:tcBorders>
              <w:top w:val="nil"/>
              <w:bottom w:val="nil"/>
            </w:tcBorders>
            <w:shd w:val="clear" w:color="auto" w:fill="FFFFFF"/>
            <w:tcMar>
              <w:top w:w="110" w:type="dxa"/>
            </w:tcMar>
          </w:tcPr>
          <w:p w:rsidR="00E859BB" w:rsidRPr="00D92530" w:rsidRDefault="00E859BB" w:rsidP="008D1891">
            <w:pPr>
              <w:rPr>
                <w:rFonts w:cs="Arial"/>
                <w:sz w:val="16"/>
                <w:szCs w:val="16"/>
              </w:rPr>
            </w:pPr>
            <w:r w:rsidRPr="00D92530">
              <w:rPr>
                <w:rFonts w:cs="Arial"/>
                <w:sz w:val="16"/>
                <w:szCs w:val="16"/>
              </w:rPr>
              <w:t>94.3% (2014)</w:t>
            </w:r>
          </w:p>
        </w:tc>
        <w:tc>
          <w:tcPr>
            <w:tcW w:w="512" w:type="pct"/>
            <w:tcBorders>
              <w:top w:val="nil"/>
              <w:bottom w:val="nil"/>
              <w:right w:val="single" w:sz="4" w:space="0" w:color="auto"/>
            </w:tcBorders>
            <w:shd w:val="clear" w:color="auto" w:fill="auto"/>
            <w:tcMar>
              <w:top w:w="110" w:type="dxa"/>
            </w:tcMar>
          </w:tcPr>
          <w:p w:rsidR="00E859BB" w:rsidRPr="00F5503A" w:rsidRDefault="00E859BB" w:rsidP="008D1891">
            <w:pPr>
              <w:jc w:val="center"/>
              <w:rPr>
                <w:rFonts w:cs="Arial"/>
                <w:b/>
                <w:bCs/>
                <w:color w:val="00B050"/>
                <w:sz w:val="16"/>
                <w:szCs w:val="16"/>
              </w:rPr>
            </w:pPr>
            <w:r w:rsidRPr="00F5503A">
              <w:rPr>
                <w:rFonts w:cs="Arial"/>
                <w:b/>
                <w:bCs/>
                <w:color w:val="00B050"/>
                <w:sz w:val="16"/>
                <w:szCs w:val="16"/>
              </w:rPr>
              <w:t>On Track</w:t>
            </w:r>
          </w:p>
        </w:tc>
      </w:tr>
      <w:tr w:rsidR="00E859BB" w:rsidRPr="00D92530" w:rsidTr="0098531F">
        <w:tc>
          <w:tcPr>
            <w:tcW w:w="1104" w:type="pct"/>
            <w:tcBorders>
              <w:top w:val="nil"/>
              <w:left w:val="single" w:sz="4" w:space="0" w:color="auto"/>
              <w:bottom w:val="single" w:sz="4" w:space="0" w:color="auto"/>
            </w:tcBorders>
            <w:shd w:val="clear" w:color="auto" w:fill="FFFFFF"/>
          </w:tcPr>
          <w:p w:rsidR="00E859BB" w:rsidRPr="00D92530" w:rsidRDefault="00E859BB" w:rsidP="008D1891">
            <w:pPr>
              <w:rPr>
                <w:rFonts w:cs="Arial"/>
                <w:sz w:val="16"/>
                <w:szCs w:val="16"/>
              </w:rPr>
            </w:pPr>
            <w:r w:rsidRPr="002F0FE8">
              <w:rPr>
                <w:rFonts w:cs="Arial"/>
                <w:sz w:val="16"/>
                <w:szCs w:val="16"/>
              </w:rPr>
              <w:t xml:space="preserve">Information systems service levels   </w:t>
            </w:r>
          </w:p>
        </w:tc>
        <w:tc>
          <w:tcPr>
            <w:tcW w:w="1250" w:type="pct"/>
            <w:tcBorders>
              <w:top w:val="nil"/>
              <w:bottom w:val="single" w:sz="4" w:space="0" w:color="auto"/>
            </w:tcBorders>
            <w:shd w:val="clear" w:color="auto" w:fill="auto"/>
          </w:tcPr>
          <w:p w:rsidR="00E859BB" w:rsidRDefault="00E859BB" w:rsidP="008D1891">
            <w:pPr>
              <w:rPr>
                <w:rFonts w:eastAsia="Batang" w:cs="Arial"/>
                <w:color w:val="002060"/>
                <w:sz w:val="16"/>
                <w:szCs w:val="16"/>
                <w:lang w:eastAsia="ja-JP"/>
              </w:rPr>
            </w:pPr>
            <w:r>
              <w:rPr>
                <w:i/>
                <w:color w:val="002060"/>
                <w:sz w:val="16"/>
                <w:szCs w:val="16"/>
              </w:rPr>
              <w:t>Updated Baseline end 2013</w:t>
            </w:r>
            <w:r w:rsidRPr="00806461">
              <w:rPr>
                <w:i/>
                <w:color w:val="002060"/>
                <w:sz w:val="16"/>
                <w:szCs w:val="16"/>
              </w:rPr>
              <w:t>:</w:t>
            </w:r>
            <w:r w:rsidRPr="00806461">
              <w:rPr>
                <w:color w:val="943634" w:themeColor="accent2" w:themeShade="BF"/>
                <w:sz w:val="16"/>
                <w:szCs w:val="16"/>
              </w:rPr>
              <w:t xml:space="preserve">  </w:t>
            </w:r>
            <w:r w:rsidRPr="002F0FE8">
              <w:rPr>
                <w:rFonts w:eastAsia="Batang" w:cs="Arial"/>
                <w:color w:val="002060"/>
                <w:sz w:val="16"/>
                <w:szCs w:val="16"/>
                <w:lang w:eastAsia="ja-JP"/>
              </w:rPr>
              <w:t>93.0% (2013)</w:t>
            </w:r>
          </w:p>
          <w:p w:rsidR="00E859BB" w:rsidRPr="00806461" w:rsidRDefault="00E859BB" w:rsidP="008D1891">
            <w:pPr>
              <w:rPr>
                <w:rFonts w:cs="Arial"/>
                <w:i/>
                <w:sz w:val="8"/>
                <w:szCs w:val="8"/>
              </w:rPr>
            </w:pPr>
          </w:p>
          <w:p w:rsidR="00E859BB" w:rsidRPr="002F0FE8" w:rsidRDefault="00E859BB" w:rsidP="008D1891">
            <w:pPr>
              <w:rPr>
                <w:sz w:val="16"/>
                <w:szCs w:val="16"/>
              </w:rPr>
            </w:pPr>
            <w:r>
              <w:rPr>
                <w:rFonts w:cs="Arial"/>
                <w:i/>
                <w:sz w:val="16"/>
                <w:szCs w:val="16"/>
              </w:rPr>
              <w:t>Original Baseline P&amp;B 2014/15</w:t>
            </w:r>
            <w:r w:rsidRPr="00806461">
              <w:rPr>
                <w:rFonts w:cs="Arial"/>
                <w:i/>
                <w:sz w:val="16"/>
                <w:szCs w:val="16"/>
              </w:rPr>
              <w:t>:</w:t>
            </w:r>
            <w:r>
              <w:rPr>
                <w:rFonts w:cs="Arial"/>
                <w:sz w:val="16"/>
                <w:szCs w:val="16"/>
              </w:rPr>
              <w:t xml:space="preserve">  </w:t>
            </w:r>
            <w:r w:rsidRPr="002F0FE8">
              <w:rPr>
                <w:sz w:val="16"/>
                <w:szCs w:val="16"/>
              </w:rPr>
              <w:t>Information systems</w:t>
            </w:r>
          </w:p>
          <w:p w:rsidR="00E859BB" w:rsidRDefault="00E859BB" w:rsidP="008D1891">
            <w:pPr>
              <w:rPr>
                <w:sz w:val="16"/>
                <w:szCs w:val="16"/>
              </w:rPr>
            </w:pPr>
            <w:r w:rsidRPr="002F0FE8">
              <w:rPr>
                <w:sz w:val="16"/>
                <w:szCs w:val="16"/>
              </w:rPr>
              <w:t>service levels for 2013</w:t>
            </w:r>
          </w:p>
          <w:p w:rsidR="00E859BB" w:rsidRDefault="00E859BB" w:rsidP="008D1891">
            <w:pPr>
              <w:rPr>
                <w:i/>
                <w:color w:val="002060"/>
                <w:sz w:val="16"/>
                <w:szCs w:val="16"/>
              </w:rPr>
            </w:pPr>
          </w:p>
        </w:tc>
        <w:tc>
          <w:tcPr>
            <w:tcW w:w="810" w:type="pct"/>
            <w:tcBorders>
              <w:top w:val="nil"/>
              <w:bottom w:val="single" w:sz="4" w:space="0" w:color="auto"/>
            </w:tcBorders>
            <w:shd w:val="clear" w:color="auto" w:fill="auto"/>
            <w:tcMar>
              <w:top w:w="110" w:type="dxa"/>
            </w:tcMar>
          </w:tcPr>
          <w:p w:rsidR="00E859BB" w:rsidRPr="00D92530" w:rsidRDefault="00E859BB" w:rsidP="008D1891">
            <w:pPr>
              <w:autoSpaceDE w:val="0"/>
              <w:autoSpaceDN w:val="0"/>
              <w:adjustRightInd w:val="0"/>
              <w:rPr>
                <w:rFonts w:cs="Arial"/>
                <w:sz w:val="16"/>
                <w:szCs w:val="16"/>
              </w:rPr>
            </w:pPr>
            <w:r w:rsidRPr="002F0FE8">
              <w:rPr>
                <w:rFonts w:cs="Arial"/>
                <w:sz w:val="16"/>
                <w:szCs w:val="16"/>
              </w:rPr>
              <w:t>Higher information systems service levels.</w:t>
            </w:r>
          </w:p>
        </w:tc>
        <w:tc>
          <w:tcPr>
            <w:tcW w:w="1324" w:type="pct"/>
            <w:tcBorders>
              <w:top w:val="nil"/>
              <w:bottom w:val="single" w:sz="4" w:space="0" w:color="auto"/>
            </w:tcBorders>
            <w:shd w:val="clear" w:color="auto" w:fill="FFFFFF"/>
            <w:tcMar>
              <w:top w:w="110" w:type="dxa"/>
            </w:tcMar>
          </w:tcPr>
          <w:p w:rsidR="00E859BB" w:rsidRPr="00D92530" w:rsidRDefault="00E859BB" w:rsidP="008D1891">
            <w:pPr>
              <w:rPr>
                <w:rFonts w:cs="Arial"/>
                <w:sz w:val="16"/>
                <w:szCs w:val="16"/>
              </w:rPr>
            </w:pPr>
            <w:r w:rsidRPr="002F0FE8">
              <w:rPr>
                <w:rFonts w:cs="Arial"/>
                <w:sz w:val="16"/>
                <w:szCs w:val="16"/>
              </w:rPr>
              <w:t>95.3% (2014)</w:t>
            </w:r>
          </w:p>
        </w:tc>
        <w:tc>
          <w:tcPr>
            <w:tcW w:w="512" w:type="pct"/>
            <w:tcBorders>
              <w:top w:val="nil"/>
              <w:bottom w:val="single" w:sz="4" w:space="0" w:color="auto"/>
              <w:right w:val="single" w:sz="4" w:space="0" w:color="auto"/>
            </w:tcBorders>
            <w:shd w:val="clear" w:color="auto" w:fill="auto"/>
            <w:tcMar>
              <w:top w:w="110" w:type="dxa"/>
            </w:tcMar>
          </w:tcPr>
          <w:p w:rsidR="00E859BB" w:rsidRPr="00F5503A" w:rsidRDefault="00E859BB" w:rsidP="008D1891">
            <w:pPr>
              <w:jc w:val="center"/>
              <w:rPr>
                <w:rFonts w:cs="Arial"/>
                <w:b/>
                <w:bCs/>
                <w:color w:val="00B050"/>
                <w:sz w:val="16"/>
                <w:szCs w:val="16"/>
              </w:rPr>
            </w:pPr>
            <w:r w:rsidRPr="00F5503A">
              <w:rPr>
                <w:rFonts w:cs="Arial"/>
                <w:b/>
                <w:bCs/>
                <w:color w:val="00B050"/>
                <w:sz w:val="16"/>
                <w:szCs w:val="16"/>
              </w:rPr>
              <w:t>On Track</w:t>
            </w:r>
          </w:p>
        </w:tc>
      </w:tr>
    </w:tbl>
    <w:p w:rsidR="00E859BB" w:rsidRPr="008642BE" w:rsidRDefault="00E859BB" w:rsidP="008D1891">
      <w:pPr>
        <w:tabs>
          <w:tab w:val="left" w:pos="1155"/>
        </w:tabs>
        <w:rPr>
          <w:bCs/>
          <w:szCs w:val="22"/>
        </w:rPr>
      </w:pPr>
    </w:p>
    <w:p w:rsidR="00E859BB" w:rsidRPr="008642BE" w:rsidRDefault="00E859BB" w:rsidP="00C3728B">
      <w:pPr>
        <w:rPr>
          <w:bCs/>
          <w:szCs w:val="22"/>
        </w:rPr>
      </w:pPr>
    </w:p>
    <w:p w:rsidR="00E859BB" w:rsidRDefault="00E859BB" w:rsidP="00845557">
      <w:pPr>
        <w:keepNext/>
        <w:keepLines/>
        <w:rPr>
          <w:b/>
          <w:sz w:val="18"/>
          <w:szCs w:val="18"/>
        </w:rPr>
      </w:pPr>
      <w:r>
        <w:rPr>
          <w:rFonts w:cs="Arial"/>
          <w:color w:val="000000"/>
          <w:sz w:val="22"/>
          <w:szCs w:val="22"/>
        </w:rPr>
        <w:lastRenderedPageBreak/>
        <w:t>RESOURCE UTILIZATION</w:t>
      </w:r>
      <w:r>
        <w:rPr>
          <w:rFonts w:cs="Arial"/>
          <w:color w:val="000000"/>
          <w:sz w:val="22"/>
          <w:szCs w:val="22"/>
        </w:rPr>
        <w:tab/>
      </w:r>
    </w:p>
    <w:p w:rsidR="00E859BB" w:rsidRPr="008F4A6D" w:rsidRDefault="00E859BB" w:rsidP="00845557">
      <w:pPr>
        <w:keepNext/>
        <w:keepLines/>
        <w:rPr>
          <w:szCs w:val="20"/>
        </w:rPr>
      </w:pPr>
    </w:p>
    <w:p w:rsidR="00E859BB" w:rsidRPr="00383D2D" w:rsidRDefault="00E859BB" w:rsidP="00845557">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(by result) </w:t>
      </w:r>
    </w:p>
    <w:p w:rsidR="00E859BB" w:rsidRDefault="00E859BB" w:rsidP="00845557">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E859BB" w:rsidRDefault="00E859BB" w:rsidP="00845557">
      <w:pPr>
        <w:pStyle w:val="NormalWeb"/>
        <w:keepNext/>
        <w:keepLines/>
        <w:spacing w:before="0" w:beforeAutospacing="0" w:after="0" w:afterAutospacing="0"/>
        <w:jc w:val="center"/>
        <w:rPr>
          <w:i/>
          <w:iCs/>
          <w:color w:val="000000"/>
          <w:sz w:val="20"/>
          <w:szCs w:val="20"/>
        </w:rPr>
      </w:pPr>
    </w:p>
    <w:p w:rsidR="00E859BB" w:rsidRDefault="00E859BB" w:rsidP="00845557">
      <w:pPr>
        <w:keepNext/>
        <w:keepLines/>
        <w:jc w:val="center"/>
      </w:pPr>
      <w:r w:rsidRPr="00F049CF">
        <w:rPr>
          <w:noProof/>
        </w:rPr>
        <w:drawing>
          <wp:inline distT="0" distB="0" distL="0" distR="0" wp14:anchorId="7FB94574" wp14:editId="01AA6004">
            <wp:extent cx="5434642" cy="2012165"/>
            <wp:effectExtent l="0" t="0" r="0" b="7620"/>
            <wp:docPr id="834" name="Pictur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41975" cy="2014880"/>
                    </a:xfrm>
                    <a:prstGeom prst="rect">
                      <a:avLst/>
                    </a:prstGeom>
                    <a:noFill/>
                    <a:ln>
                      <a:noFill/>
                    </a:ln>
                  </pic:spPr>
                </pic:pic>
              </a:graphicData>
            </a:graphic>
          </wp:inline>
        </w:drawing>
      </w:r>
    </w:p>
    <w:p w:rsidR="00E859BB" w:rsidRDefault="00E859BB"/>
    <w:p w:rsidR="00E859BB" w:rsidRPr="00383D2D" w:rsidRDefault="00E859BB" w:rsidP="00383D2D">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E859BB" w:rsidRPr="00383D2D" w:rsidRDefault="00E859BB" w:rsidP="00383D2D">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E859BB" w:rsidRDefault="00E859BB" w:rsidP="00383D2D">
      <w:pPr>
        <w:pStyle w:val="NormalWeb"/>
        <w:keepNext/>
        <w:keepLines/>
        <w:spacing w:before="0" w:beforeAutospacing="0" w:after="0" w:afterAutospacing="0"/>
        <w:jc w:val="center"/>
      </w:pPr>
    </w:p>
    <w:p w:rsidR="00E859BB" w:rsidRPr="00383D2D" w:rsidRDefault="00E859BB" w:rsidP="008D1891">
      <w:pPr>
        <w:jc w:val="center"/>
        <w:rPr>
          <w:szCs w:val="20"/>
        </w:rPr>
      </w:pPr>
      <w:r w:rsidRPr="00506F7D">
        <w:rPr>
          <w:noProof/>
        </w:rPr>
        <w:drawing>
          <wp:inline distT="0" distB="0" distL="0" distR="0" wp14:anchorId="00322A16" wp14:editId="1F853D0D">
            <wp:extent cx="5555412" cy="1123479"/>
            <wp:effectExtent l="0" t="0" r="7620" b="635"/>
            <wp:docPr id="835"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66079" cy="1125636"/>
                    </a:xfrm>
                    <a:prstGeom prst="rect">
                      <a:avLst/>
                    </a:prstGeom>
                    <a:noFill/>
                    <a:ln>
                      <a:noFill/>
                    </a:ln>
                  </pic:spPr>
                </pic:pic>
              </a:graphicData>
            </a:graphic>
          </wp:inline>
        </w:drawing>
      </w:r>
    </w:p>
    <w:p w:rsidR="00E859BB" w:rsidRPr="003B19BE" w:rsidRDefault="00E859BB" w:rsidP="00DD012F">
      <w:pPr>
        <w:keepNext/>
        <w:autoSpaceDE w:val="0"/>
        <w:autoSpaceDN w:val="0"/>
        <w:rPr>
          <w:i/>
          <w:sz w:val="16"/>
          <w:szCs w:val="16"/>
        </w:rPr>
      </w:pPr>
      <w:r w:rsidRPr="009C736D">
        <w:rPr>
          <w:i/>
          <w:sz w:val="16"/>
          <w:szCs w:val="16"/>
        </w:rPr>
        <w:t>NOTE</w:t>
      </w:r>
      <w:r>
        <w:rPr>
          <w:i/>
          <w:sz w:val="16"/>
          <w:szCs w:val="16"/>
        </w:rPr>
        <w:t>S</w:t>
      </w:r>
      <w:r w:rsidRPr="009C736D">
        <w:rPr>
          <w:i/>
          <w:sz w:val="16"/>
          <w:szCs w:val="16"/>
        </w:rPr>
        <w:t xml:space="preserve">: </w:t>
      </w:r>
      <w:r>
        <w:rPr>
          <w:i/>
          <w:sz w:val="16"/>
          <w:szCs w:val="16"/>
        </w:rPr>
        <w:t xml:space="preserve">(1) </w:t>
      </w:r>
      <w:r w:rsidRPr="009C736D">
        <w:rPr>
          <w:i/>
          <w:sz w:val="16"/>
          <w:szCs w:val="16"/>
        </w:rPr>
        <w:t>The 2014/15 Budget after Transfers reflects transfers as of March 31, 2015 to address needs during the 2014/15 biennium in line with Financial Regulation 5.5.</w:t>
      </w:r>
      <w:r>
        <w:rPr>
          <w:i/>
          <w:sz w:val="16"/>
          <w:szCs w:val="16"/>
        </w:rPr>
        <w:t xml:space="preserve">  </w:t>
      </w:r>
      <w:r w:rsidRPr="003B19BE">
        <w:rPr>
          <w:i/>
          <w:sz w:val="16"/>
          <w:szCs w:val="16"/>
        </w:rPr>
        <w:t xml:space="preserve">(2) The </w:t>
      </w:r>
      <w:r>
        <w:rPr>
          <w:i/>
          <w:sz w:val="16"/>
          <w:szCs w:val="16"/>
        </w:rPr>
        <w:t xml:space="preserve">resources for the </w:t>
      </w:r>
      <w:r w:rsidRPr="003B19BE">
        <w:rPr>
          <w:i/>
          <w:sz w:val="16"/>
          <w:szCs w:val="16"/>
        </w:rPr>
        <w:t xml:space="preserve">DA projects (IP and Technological Transfer with the amount of 280 thousands Swiss francs and Open Collaborative Projects with the amount of 153 thousands Swiss francs) are </w:t>
      </w:r>
      <w:r>
        <w:rPr>
          <w:i/>
          <w:sz w:val="16"/>
          <w:szCs w:val="16"/>
        </w:rPr>
        <w:t>reflected under Expected Result IV.2</w:t>
      </w:r>
      <w:r w:rsidRPr="003B19BE">
        <w:rPr>
          <w:i/>
          <w:sz w:val="16"/>
          <w:szCs w:val="16"/>
        </w:rPr>
        <w:t>.</w:t>
      </w:r>
      <w:r>
        <w:rPr>
          <w:i/>
          <w:sz w:val="16"/>
          <w:szCs w:val="16"/>
        </w:rPr>
        <w:t xml:space="preserve"> The substantive </w:t>
      </w:r>
      <w:proofErr w:type="gramStart"/>
      <w:r>
        <w:rPr>
          <w:i/>
          <w:sz w:val="16"/>
          <w:szCs w:val="16"/>
        </w:rPr>
        <w:t>progress on these projects are</w:t>
      </w:r>
      <w:proofErr w:type="gramEnd"/>
      <w:r>
        <w:rPr>
          <w:i/>
          <w:sz w:val="16"/>
          <w:szCs w:val="16"/>
        </w:rPr>
        <w:t xml:space="preserve"> reported on under Program 30.</w:t>
      </w:r>
    </w:p>
    <w:p w:rsidR="00E859BB" w:rsidRPr="008F4A6D" w:rsidRDefault="00E859BB" w:rsidP="00420F90">
      <w:pPr>
        <w:widowControl w:val="0"/>
        <w:autoSpaceDE w:val="0"/>
        <w:autoSpaceDN w:val="0"/>
        <w:adjustRightInd w:val="0"/>
        <w:rPr>
          <w:rFonts w:cs="Arial"/>
          <w:szCs w:val="20"/>
        </w:rPr>
      </w:pPr>
    </w:p>
    <w:p w:rsidR="00E859BB" w:rsidRPr="001C6F4D" w:rsidRDefault="00E859BB" w:rsidP="00420F90">
      <w:pPr>
        <w:widowControl w:val="0"/>
        <w:autoSpaceDE w:val="0"/>
        <w:autoSpaceDN w:val="0"/>
        <w:adjustRightInd w:val="0"/>
        <w:rPr>
          <w:rFonts w:cs="Arial"/>
          <w:szCs w:val="20"/>
        </w:rPr>
      </w:pPr>
    </w:p>
    <w:p w:rsidR="00E859BB" w:rsidRDefault="00E859BB" w:rsidP="00A93FCA">
      <w:pPr>
        <w:rPr>
          <w:rFonts w:cs="Arial"/>
          <w:u w:val="single"/>
        </w:rPr>
      </w:pPr>
      <w:r w:rsidRPr="00420F90">
        <w:rPr>
          <w:rFonts w:cs="Arial"/>
          <w:szCs w:val="20"/>
        </w:rPr>
        <w:t>A.</w:t>
      </w:r>
      <w:r w:rsidRPr="00420F90">
        <w:rPr>
          <w:rFonts w:cs="Arial"/>
        </w:rPr>
        <w:tab/>
      </w:r>
      <w:r w:rsidRPr="00420F90">
        <w:rPr>
          <w:rFonts w:cs="Arial"/>
          <w:u w:val="single"/>
        </w:rPr>
        <w:t>Budget after Transfers 201</w:t>
      </w:r>
      <w:r>
        <w:rPr>
          <w:rFonts w:cs="Arial"/>
          <w:u w:val="single"/>
        </w:rPr>
        <w:t>4/15</w:t>
      </w:r>
    </w:p>
    <w:p w:rsidR="00E859BB" w:rsidRDefault="00E859BB" w:rsidP="008D1891">
      <w:pPr>
        <w:autoSpaceDE w:val="0"/>
        <w:autoSpaceDN w:val="0"/>
        <w:jc w:val="both"/>
        <w:rPr>
          <w:rFonts w:cs="Arial"/>
          <w:szCs w:val="20"/>
          <w:lang w:eastAsia="ko-KR"/>
        </w:rPr>
      </w:pPr>
    </w:p>
    <w:p w:rsidR="00E859BB" w:rsidRDefault="00E859BB" w:rsidP="00E859BB">
      <w:pPr>
        <w:pStyle w:val="ListParagraph"/>
        <w:numPr>
          <w:ilvl w:val="0"/>
          <w:numId w:val="56"/>
        </w:numPr>
        <w:tabs>
          <w:tab w:val="left" w:pos="709"/>
        </w:tabs>
        <w:autoSpaceDE w:val="0"/>
        <w:autoSpaceDN w:val="0"/>
        <w:adjustRightInd w:val="0"/>
        <w:ind w:left="0" w:firstLine="0"/>
        <w:jc w:val="both"/>
        <w:rPr>
          <w:rFonts w:cs="Arial"/>
          <w:lang w:eastAsia="ko-KR"/>
        </w:rPr>
      </w:pPr>
      <w:r>
        <w:rPr>
          <w:rFonts w:cs="Arial"/>
        </w:rPr>
        <w:t>The</w:t>
      </w:r>
      <w:r>
        <w:rPr>
          <w:rFonts w:cs="Arial"/>
          <w:lang w:eastAsia="ko-KR"/>
        </w:rPr>
        <w:t xml:space="preserve"> overall decrease in the Budget after Transfers is primarily due to:</w:t>
      </w:r>
    </w:p>
    <w:p w:rsidR="00E859BB" w:rsidRDefault="00E859BB" w:rsidP="008D1891">
      <w:pPr>
        <w:autoSpaceDE w:val="0"/>
        <w:autoSpaceDN w:val="0"/>
        <w:jc w:val="both"/>
        <w:rPr>
          <w:rFonts w:cs="Arial"/>
          <w:szCs w:val="20"/>
          <w:lang w:eastAsia="ko-KR"/>
        </w:rPr>
      </w:pPr>
    </w:p>
    <w:p w:rsidR="00E859BB" w:rsidRDefault="00E859BB" w:rsidP="00E859BB">
      <w:pPr>
        <w:pStyle w:val="ListParagraph"/>
        <w:numPr>
          <w:ilvl w:val="0"/>
          <w:numId w:val="54"/>
        </w:numPr>
        <w:tabs>
          <w:tab w:val="left" w:pos="1134"/>
        </w:tabs>
        <w:autoSpaceDE w:val="0"/>
        <w:autoSpaceDN w:val="0"/>
        <w:spacing w:after="120"/>
        <w:ind w:left="1134" w:hanging="425"/>
        <w:jc w:val="both"/>
        <w:rPr>
          <w:rFonts w:cs="Arial"/>
          <w:lang w:eastAsia="ko-KR"/>
        </w:rPr>
      </w:pPr>
      <w:r>
        <w:rPr>
          <w:lang w:eastAsia="ko-KR"/>
        </w:rPr>
        <w:t>an increase in productivity that resulted in efficiency gains and lower overall costs for the processing of international applications;</w:t>
      </w:r>
    </w:p>
    <w:p w:rsidR="00E859BB" w:rsidRDefault="00E859BB" w:rsidP="00845557">
      <w:pPr>
        <w:pStyle w:val="ListParagraph"/>
        <w:keepNext/>
        <w:keepLines/>
        <w:numPr>
          <w:ilvl w:val="0"/>
          <w:numId w:val="54"/>
        </w:numPr>
        <w:tabs>
          <w:tab w:val="left" w:pos="1134"/>
        </w:tabs>
        <w:autoSpaceDE w:val="0"/>
        <w:autoSpaceDN w:val="0"/>
        <w:spacing w:after="120"/>
        <w:ind w:left="1134" w:hanging="425"/>
        <w:jc w:val="both"/>
        <w:rPr>
          <w:lang w:eastAsia="ko-KR"/>
        </w:rPr>
      </w:pPr>
      <w:r>
        <w:rPr>
          <w:lang w:eastAsia="ko-KR"/>
        </w:rPr>
        <w:t>more efficient use of non-personnel resources through enhanced</w:t>
      </w:r>
      <w:r>
        <w:t xml:space="preserve"> processing of financial commitments for the outsourcing of translation services; and, </w:t>
      </w:r>
    </w:p>
    <w:p w:rsidR="00E859BB" w:rsidRDefault="00E859BB" w:rsidP="00845557">
      <w:pPr>
        <w:pStyle w:val="ListParagraph"/>
        <w:keepNext/>
        <w:keepLines/>
        <w:numPr>
          <w:ilvl w:val="0"/>
          <w:numId w:val="54"/>
        </w:numPr>
        <w:tabs>
          <w:tab w:val="left" w:pos="1134"/>
        </w:tabs>
        <w:autoSpaceDE w:val="0"/>
        <w:autoSpaceDN w:val="0"/>
        <w:ind w:left="1134" w:hanging="425"/>
        <w:rPr>
          <w:lang w:eastAsia="ko-KR"/>
        </w:rPr>
      </w:pPr>
      <w:proofErr w:type="gramStart"/>
      <w:r>
        <w:rPr>
          <w:lang w:eastAsia="ko-KR"/>
        </w:rPr>
        <w:t>the</w:t>
      </w:r>
      <w:proofErr w:type="gramEnd"/>
      <w:r>
        <w:rPr>
          <w:lang w:eastAsia="ko-KR"/>
        </w:rPr>
        <w:t xml:space="preserve"> transfer of resources to Program 25 to fund developments for the WIPO Pearl Terminology database.</w:t>
      </w:r>
    </w:p>
    <w:p w:rsidR="00E859BB" w:rsidRDefault="00E859BB" w:rsidP="008D1891">
      <w:pPr>
        <w:autoSpaceDE w:val="0"/>
        <w:autoSpaceDN w:val="0"/>
        <w:jc w:val="both"/>
        <w:rPr>
          <w:rFonts w:cs="Arial"/>
          <w:szCs w:val="20"/>
          <w:lang w:eastAsia="ko-KR"/>
        </w:rPr>
      </w:pPr>
    </w:p>
    <w:p w:rsidR="00E859BB" w:rsidRDefault="00E859BB" w:rsidP="00E859BB">
      <w:pPr>
        <w:pStyle w:val="ListParagraph"/>
        <w:numPr>
          <w:ilvl w:val="0"/>
          <w:numId w:val="56"/>
        </w:numPr>
        <w:tabs>
          <w:tab w:val="left" w:pos="709"/>
        </w:tabs>
        <w:autoSpaceDE w:val="0"/>
        <w:autoSpaceDN w:val="0"/>
        <w:adjustRightInd w:val="0"/>
        <w:ind w:left="0" w:firstLine="0"/>
        <w:jc w:val="both"/>
        <w:rPr>
          <w:rFonts w:cs="Arial"/>
          <w:lang w:eastAsia="ko-KR"/>
        </w:rPr>
      </w:pPr>
      <w:r>
        <w:rPr>
          <w:rFonts w:cs="Arial"/>
          <w:lang w:eastAsia="ko-KR"/>
        </w:rPr>
        <w:t>The adjustments in the Budget after Transfers between Results are mainly due to reallocation of personnel resources.</w:t>
      </w:r>
    </w:p>
    <w:p w:rsidR="00E859BB" w:rsidRDefault="00E859BB" w:rsidP="008D1891">
      <w:pPr>
        <w:autoSpaceDE w:val="0"/>
        <w:autoSpaceDN w:val="0"/>
        <w:jc w:val="both"/>
        <w:rPr>
          <w:rFonts w:cs="Arial"/>
          <w:szCs w:val="20"/>
          <w:lang w:eastAsia="ko-KR"/>
        </w:rPr>
      </w:pPr>
    </w:p>
    <w:p w:rsidR="00E859BB" w:rsidRDefault="00E859BB" w:rsidP="008D1891">
      <w:pPr>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Budget utilization 2014</w:t>
      </w:r>
    </w:p>
    <w:p w:rsidR="00E859BB" w:rsidRDefault="00E859BB" w:rsidP="008D1891">
      <w:pPr>
        <w:jc w:val="both"/>
        <w:rPr>
          <w:rFonts w:cs="Arial"/>
          <w:szCs w:val="20"/>
          <w:u w:val="single"/>
          <w:lang w:eastAsia="ko-KR"/>
        </w:rPr>
      </w:pPr>
    </w:p>
    <w:p w:rsidR="00E859BB" w:rsidRDefault="00E859BB" w:rsidP="00E859BB">
      <w:pPr>
        <w:pStyle w:val="ListParagraph"/>
        <w:numPr>
          <w:ilvl w:val="0"/>
          <w:numId w:val="56"/>
        </w:numPr>
        <w:tabs>
          <w:tab w:val="left" w:pos="709"/>
        </w:tabs>
        <w:autoSpaceDE w:val="0"/>
        <w:autoSpaceDN w:val="0"/>
        <w:adjustRightInd w:val="0"/>
        <w:ind w:left="0" w:firstLine="0"/>
        <w:jc w:val="both"/>
        <w:rPr>
          <w:rFonts w:ascii="Calibri" w:hAnsi="Calibri"/>
          <w:sz w:val="22"/>
          <w:szCs w:val="22"/>
        </w:rPr>
      </w:pPr>
      <w:r>
        <w:rPr>
          <w:rFonts w:cs="Arial"/>
        </w:rPr>
        <w:t>Budget</w:t>
      </w:r>
      <w:r>
        <w:rPr>
          <w:rFonts w:cs="Arial"/>
          <w:lang w:eastAsia="ko-KR"/>
        </w:rPr>
        <w:t xml:space="preserve"> utilization is within the expected range of 40-60 per cent for the first year of the biennium and is on track. </w:t>
      </w:r>
    </w:p>
    <w:p w:rsidR="00E859BB" w:rsidRDefault="00E859BB" w:rsidP="008D1891">
      <w:pPr>
        <w:autoSpaceDE w:val="0"/>
        <w:autoSpaceDN w:val="0"/>
        <w:jc w:val="both"/>
        <w:rPr>
          <w:rFonts w:cs="Arial"/>
          <w:szCs w:val="20"/>
          <w:lang w:eastAsia="ko-KR"/>
        </w:rPr>
      </w:pPr>
    </w:p>
    <w:p w:rsidR="00E859BB" w:rsidRPr="00845557" w:rsidRDefault="00E859BB" w:rsidP="00845557">
      <w:pPr>
        <w:rPr>
          <w:b/>
        </w:rPr>
      </w:pPr>
    </w:p>
    <w:p w:rsidR="00E023E5" w:rsidRDefault="00E023E5"/>
    <w:p w:rsidR="00E023E5" w:rsidRDefault="00E023E5">
      <w:r>
        <w:br w:type="page"/>
      </w:r>
    </w:p>
    <w:p w:rsidR="00E023E5" w:rsidRPr="00FA0C5A" w:rsidRDefault="00E023E5" w:rsidP="00FA0C5A">
      <w:pPr>
        <w:pStyle w:val="StyleHeading3BoldNounderline"/>
        <w:rPr>
          <w:b/>
        </w:rPr>
      </w:pPr>
      <w:bookmarkStart w:id="55" w:name="_Toc422210483"/>
      <w:r w:rsidRPr="00FA0C5A">
        <w:rPr>
          <w:b/>
        </w:rPr>
        <w:lastRenderedPageBreak/>
        <w:t>Program 5 Annex:</w:t>
      </w:r>
      <w:r w:rsidR="004B5923" w:rsidRPr="00FA0C5A">
        <w:rPr>
          <w:b/>
        </w:rPr>
        <w:t xml:space="preserve">  </w:t>
      </w:r>
      <w:r w:rsidRPr="00FA0C5A">
        <w:rPr>
          <w:b/>
        </w:rPr>
        <w:t xml:space="preserve">  Indicators of PCT Operations</w:t>
      </w:r>
      <w:bookmarkEnd w:id="55"/>
    </w:p>
    <w:p w:rsidR="00E023E5" w:rsidRDefault="00E023E5"/>
    <w:p w:rsidR="00E023E5" w:rsidRPr="000E46C3" w:rsidRDefault="00E023E5" w:rsidP="00E023E5"/>
    <w:p w:rsidR="00E023E5" w:rsidRPr="000E46C3" w:rsidRDefault="00E023E5" w:rsidP="00E023E5">
      <w:r w:rsidRPr="000E46C3">
        <w:t>PERFORMANCE INDICATORS FOR THE EXPECTED RESULT</w:t>
      </w:r>
    </w:p>
    <w:p w:rsidR="00E023E5" w:rsidRPr="000E46C3" w:rsidRDefault="00E023E5" w:rsidP="00E023E5">
      <w:r w:rsidRPr="000E46C3">
        <w:t>“IMPROVED PRODUCTIVITY AND SERVICE QUALITY OF PCT OPERATIONS”</w:t>
      </w:r>
    </w:p>
    <w:p w:rsidR="00E023E5" w:rsidRPr="000E46C3" w:rsidRDefault="00E023E5" w:rsidP="00E023E5">
      <w:pPr>
        <w:jc w:val="center"/>
        <w:rPr>
          <w:bCs/>
          <w:sz w:val="28"/>
          <w:szCs w:val="28"/>
        </w:rPr>
      </w:pPr>
    </w:p>
    <w:p w:rsidR="00E023E5" w:rsidRPr="000E46C3" w:rsidRDefault="00E023E5" w:rsidP="00E023E5">
      <w:pPr>
        <w:rPr>
          <w:b/>
        </w:rPr>
      </w:pPr>
      <w:r w:rsidRPr="000E46C3">
        <w:rPr>
          <w:b/>
        </w:rPr>
        <w:t>General</w:t>
      </w:r>
    </w:p>
    <w:p w:rsidR="00E023E5" w:rsidRPr="000E46C3" w:rsidRDefault="00E023E5" w:rsidP="00E023E5">
      <w:pPr>
        <w:rPr>
          <w:b/>
        </w:rPr>
      </w:pPr>
    </w:p>
    <w:p w:rsidR="00E023E5" w:rsidRPr="000E46C3" w:rsidRDefault="00E023E5" w:rsidP="00520CAA">
      <w:pPr>
        <w:numPr>
          <w:ilvl w:val="0"/>
          <w:numId w:val="7"/>
        </w:numPr>
        <w:rPr>
          <w:lang w:val="en-GB"/>
        </w:rPr>
      </w:pPr>
      <w:r w:rsidRPr="000E46C3">
        <w:rPr>
          <w:lang w:val="en-GB"/>
        </w:rPr>
        <w:t>As background for the performance indicators for the expected result “</w:t>
      </w:r>
      <w:r w:rsidRPr="000E46C3">
        <w:t>improved productivity and service quality of PCT operations</w:t>
      </w:r>
      <w:r w:rsidRPr="000E46C3">
        <w:rPr>
          <w:lang w:val="en-GB"/>
        </w:rPr>
        <w:t>”, the evolution of</w:t>
      </w:r>
      <w:r>
        <w:rPr>
          <w:lang w:val="en-GB"/>
        </w:rPr>
        <w:t xml:space="preserve"> the following factors need to be considered</w:t>
      </w:r>
      <w:r w:rsidRPr="000E46C3">
        <w:rPr>
          <w:lang w:val="en-GB"/>
        </w:rPr>
        <w:t xml:space="preserve">:  </w:t>
      </w:r>
    </w:p>
    <w:p w:rsidR="00E023E5" w:rsidRPr="000E46C3" w:rsidRDefault="00E023E5" w:rsidP="00E023E5">
      <w:pPr>
        <w:rPr>
          <w:lang w:val="en-GB"/>
        </w:rPr>
      </w:pPr>
    </w:p>
    <w:p w:rsidR="00E023E5" w:rsidRPr="000E46C3" w:rsidRDefault="00E023E5" w:rsidP="00520CAA">
      <w:pPr>
        <w:numPr>
          <w:ilvl w:val="0"/>
          <w:numId w:val="6"/>
        </w:numPr>
        <w:tabs>
          <w:tab w:val="clear" w:pos="720"/>
          <w:tab w:val="num" w:pos="1100"/>
        </w:tabs>
        <w:spacing w:after="60"/>
        <w:ind w:left="1208" w:hanging="658"/>
        <w:rPr>
          <w:lang w:val="en-GB"/>
        </w:rPr>
      </w:pPr>
      <w:r w:rsidRPr="000E46C3">
        <w:rPr>
          <w:lang w:val="en-GB"/>
        </w:rPr>
        <w:t>The PCT workloads;</w:t>
      </w:r>
    </w:p>
    <w:p w:rsidR="00E023E5" w:rsidRPr="000E46C3" w:rsidRDefault="00E023E5" w:rsidP="00520CAA">
      <w:pPr>
        <w:numPr>
          <w:ilvl w:val="0"/>
          <w:numId w:val="6"/>
        </w:numPr>
        <w:tabs>
          <w:tab w:val="clear" w:pos="720"/>
          <w:tab w:val="num" w:pos="1100"/>
        </w:tabs>
        <w:spacing w:after="60"/>
        <w:ind w:left="1208" w:hanging="658"/>
        <w:rPr>
          <w:lang w:val="en-GB"/>
        </w:rPr>
      </w:pPr>
      <w:r w:rsidRPr="000E46C3">
        <w:rPr>
          <w:lang w:val="en-GB"/>
        </w:rPr>
        <w:t>The language distribution of those workloads;</w:t>
      </w:r>
    </w:p>
    <w:p w:rsidR="00E023E5" w:rsidRDefault="00E023E5" w:rsidP="00520CAA">
      <w:pPr>
        <w:numPr>
          <w:ilvl w:val="0"/>
          <w:numId w:val="6"/>
        </w:numPr>
        <w:tabs>
          <w:tab w:val="clear" w:pos="720"/>
          <w:tab w:val="num" w:pos="1100"/>
        </w:tabs>
        <w:spacing w:after="60"/>
        <w:ind w:left="1208" w:hanging="658"/>
        <w:rPr>
          <w:lang w:val="en-GB"/>
        </w:rPr>
      </w:pPr>
      <w:r w:rsidRPr="000E46C3">
        <w:rPr>
          <w:lang w:val="en-GB"/>
        </w:rPr>
        <w:t>The number of staff assigned to process those workloads</w:t>
      </w:r>
      <w:r>
        <w:rPr>
          <w:lang w:val="en-GB"/>
        </w:rPr>
        <w:t>; and</w:t>
      </w:r>
    </w:p>
    <w:p w:rsidR="00E023E5" w:rsidRPr="000E46C3" w:rsidRDefault="00E023E5" w:rsidP="00520CAA">
      <w:pPr>
        <w:numPr>
          <w:ilvl w:val="0"/>
          <w:numId w:val="6"/>
        </w:numPr>
        <w:tabs>
          <w:tab w:val="clear" w:pos="720"/>
          <w:tab w:val="num" w:pos="1100"/>
        </w:tabs>
        <w:ind w:left="1210" w:hanging="660"/>
        <w:rPr>
          <w:lang w:val="en-GB"/>
        </w:rPr>
      </w:pPr>
      <w:r>
        <w:rPr>
          <w:lang w:val="en-GB"/>
        </w:rPr>
        <w:t>The level of automation.</w:t>
      </w:r>
    </w:p>
    <w:p w:rsidR="00E023E5" w:rsidRDefault="00E023E5" w:rsidP="00E023E5">
      <w:pPr>
        <w:tabs>
          <w:tab w:val="num" w:pos="1100"/>
        </w:tabs>
        <w:ind w:left="1210" w:hanging="660"/>
        <w:rPr>
          <w:lang w:val="en-GB"/>
        </w:rPr>
      </w:pPr>
    </w:p>
    <w:p w:rsidR="00E023E5" w:rsidRPr="000E46C3" w:rsidRDefault="00E023E5" w:rsidP="00E023E5">
      <w:pPr>
        <w:tabs>
          <w:tab w:val="num" w:pos="1100"/>
        </w:tabs>
        <w:ind w:left="1210" w:hanging="660"/>
        <w:rPr>
          <w:lang w:val="en-GB"/>
        </w:rPr>
      </w:pPr>
    </w:p>
    <w:p w:rsidR="00E023E5" w:rsidRPr="000E46C3" w:rsidRDefault="00E023E5" w:rsidP="00E023E5">
      <w:pPr>
        <w:rPr>
          <w:i/>
          <w:lang w:val="en-GB"/>
        </w:rPr>
      </w:pPr>
      <w:r w:rsidRPr="000E46C3">
        <w:rPr>
          <w:i/>
          <w:lang w:val="en-GB"/>
        </w:rPr>
        <w:t>Workloads</w:t>
      </w:r>
    </w:p>
    <w:p w:rsidR="00E023E5" w:rsidRPr="000E46C3" w:rsidRDefault="00E023E5" w:rsidP="00E023E5">
      <w:pPr>
        <w:rPr>
          <w:lang w:val="en-GB"/>
        </w:rPr>
      </w:pPr>
    </w:p>
    <w:p w:rsidR="00E023E5" w:rsidRPr="000E46C3" w:rsidRDefault="00E023E5" w:rsidP="00520CAA">
      <w:pPr>
        <w:numPr>
          <w:ilvl w:val="0"/>
          <w:numId w:val="7"/>
        </w:numPr>
        <w:rPr>
          <w:lang w:val="en-GB"/>
        </w:rPr>
      </w:pPr>
      <w:r w:rsidRPr="000E46C3">
        <w:rPr>
          <w:lang w:val="en-GB"/>
        </w:rPr>
        <w:t>The workloads are tracked on the basis of the yearly number of record copies received by the</w:t>
      </w:r>
      <w:r>
        <w:rPr>
          <w:lang w:val="en-GB"/>
        </w:rPr>
        <w:t> </w:t>
      </w:r>
      <w:r w:rsidRPr="000E46C3">
        <w:rPr>
          <w:lang w:val="en-GB"/>
        </w:rPr>
        <w:t>IB</w:t>
      </w:r>
      <w:r w:rsidRPr="000E46C3">
        <w:rPr>
          <w:rStyle w:val="FootnoteReference"/>
          <w:lang w:val="en-GB"/>
        </w:rPr>
        <w:footnoteReference w:id="10"/>
      </w:r>
      <w:r w:rsidRPr="000E46C3">
        <w:rPr>
          <w:lang w:val="en-GB"/>
        </w:rPr>
        <w:t xml:space="preserve">. </w:t>
      </w:r>
    </w:p>
    <w:p w:rsidR="00E023E5" w:rsidRDefault="00E023E5" w:rsidP="00E023E5">
      <w:pPr>
        <w:jc w:val="center"/>
        <w:rPr>
          <w:b/>
          <w:bCs/>
          <w:sz w:val="18"/>
          <w:szCs w:val="18"/>
          <w:lang w:val="en-GB"/>
        </w:rPr>
      </w:pPr>
    </w:p>
    <w:p w:rsidR="00E023E5" w:rsidRDefault="00E023E5" w:rsidP="00E023E5">
      <w:pPr>
        <w:jc w:val="center"/>
        <w:rPr>
          <w:b/>
          <w:bCs/>
          <w:sz w:val="18"/>
          <w:szCs w:val="18"/>
          <w:lang w:val="en-GB"/>
        </w:rPr>
      </w:pPr>
      <w:r w:rsidRPr="00B4173C">
        <w:rPr>
          <w:b/>
          <w:bCs/>
          <w:sz w:val="18"/>
          <w:szCs w:val="18"/>
          <w:lang w:val="en-GB"/>
        </w:rPr>
        <w:t>Evolution of Record Copies by Medium of Filing</w:t>
      </w:r>
    </w:p>
    <w:p w:rsidR="00E023E5" w:rsidRPr="00B4173C" w:rsidRDefault="00E023E5" w:rsidP="00E023E5">
      <w:pPr>
        <w:jc w:val="center"/>
        <w:rPr>
          <w:b/>
          <w:bCs/>
          <w:sz w:val="18"/>
          <w:szCs w:val="18"/>
          <w:lang w:val="en-GB"/>
        </w:rPr>
      </w:pPr>
      <w:r>
        <w:rPr>
          <w:b/>
          <w:bCs/>
          <w:noProof/>
          <w:sz w:val="18"/>
          <w:szCs w:val="18"/>
        </w:rPr>
        <w:drawing>
          <wp:inline distT="0" distB="0" distL="0" distR="0" wp14:anchorId="5583E8E4" wp14:editId="408A6638">
            <wp:extent cx="5678170" cy="2438400"/>
            <wp:effectExtent l="0" t="0" r="0" b="0"/>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78170" cy="2438400"/>
                    </a:xfrm>
                    <a:prstGeom prst="rect">
                      <a:avLst/>
                    </a:prstGeom>
                    <a:noFill/>
                  </pic:spPr>
                </pic:pic>
              </a:graphicData>
            </a:graphic>
          </wp:inline>
        </w:drawing>
      </w:r>
    </w:p>
    <w:p w:rsidR="00E023E5" w:rsidRPr="00B4173C" w:rsidRDefault="00E023E5" w:rsidP="00E023E5">
      <w:pPr>
        <w:jc w:val="center"/>
        <w:rPr>
          <w:b/>
          <w:bCs/>
          <w:sz w:val="18"/>
          <w:szCs w:val="18"/>
          <w:lang w:val="en-GB"/>
        </w:rPr>
      </w:pPr>
    </w:p>
    <w:p w:rsidR="00E023E5" w:rsidRPr="00241C08" w:rsidRDefault="00E023E5" w:rsidP="00520CAA">
      <w:pPr>
        <w:pStyle w:val="BodyText2"/>
        <w:numPr>
          <w:ilvl w:val="0"/>
          <w:numId w:val="8"/>
        </w:numPr>
        <w:tabs>
          <w:tab w:val="clear" w:pos="720"/>
          <w:tab w:val="num" w:pos="1134"/>
        </w:tabs>
        <w:spacing w:after="60" w:line="240" w:lineRule="auto"/>
        <w:ind w:left="1134" w:hanging="567"/>
        <w:jc w:val="both"/>
        <w:rPr>
          <w:rFonts w:cs="Arial"/>
          <w:szCs w:val="20"/>
        </w:rPr>
      </w:pPr>
      <w:r w:rsidRPr="00241C08">
        <w:rPr>
          <w:rFonts w:cs="Arial"/>
          <w:szCs w:val="20"/>
        </w:rPr>
        <w:t xml:space="preserve">The IB received </w:t>
      </w:r>
      <w:r w:rsidRPr="00241C08">
        <w:rPr>
          <w:rFonts w:cs="Arial"/>
          <w:szCs w:val="20"/>
          <w:lang w:eastAsia="zh-CN"/>
        </w:rPr>
        <w:t>approximately</w:t>
      </w:r>
      <w:r w:rsidRPr="00241C08">
        <w:rPr>
          <w:rFonts w:cs="Arial"/>
          <w:szCs w:val="20"/>
        </w:rPr>
        <w:t xml:space="preserve"> 217,700 record copies in 2014, representing an increase of 7 per cent compared to 2013.  </w:t>
      </w:r>
    </w:p>
    <w:p w:rsidR="00E023E5" w:rsidRPr="00241C08" w:rsidRDefault="00E023E5" w:rsidP="00520CAA">
      <w:pPr>
        <w:pStyle w:val="BodyText2"/>
        <w:numPr>
          <w:ilvl w:val="0"/>
          <w:numId w:val="8"/>
        </w:numPr>
        <w:tabs>
          <w:tab w:val="clear" w:pos="720"/>
          <w:tab w:val="num" w:pos="1134"/>
        </w:tabs>
        <w:spacing w:after="0" w:line="240" w:lineRule="auto"/>
        <w:ind w:left="1134" w:hanging="567"/>
        <w:jc w:val="both"/>
        <w:rPr>
          <w:rFonts w:cs="Arial"/>
          <w:szCs w:val="20"/>
        </w:rPr>
      </w:pPr>
      <w:r w:rsidRPr="00241C08">
        <w:rPr>
          <w:rFonts w:cs="Arial"/>
          <w:szCs w:val="20"/>
        </w:rPr>
        <w:t>The share of fully electronic filing methods kept increasing in 2014 and now represents 91 per cent of total filings.</w:t>
      </w:r>
    </w:p>
    <w:p w:rsidR="00E023E5" w:rsidRDefault="00E023E5" w:rsidP="00E023E5">
      <w:pPr>
        <w:pStyle w:val="BodyText2"/>
        <w:spacing w:after="0" w:line="240" w:lineRule="auto"/>
        <w:ind w:left="1100"/>
        <w:jc w:val="both"/>
        <w:rPr>
          <w:rFonts w:cs="Arial"/>
          <w:szCs w:val="20"/>
        </w:rPr>
      </w:pPr>
    </w:p>
    <w:p w:rsidR="00E023E5" w:rsidRPr="00B4173C" w:rsidRDefault="00E023E5" w:rsidP="00E023E5">
      <w:pPr>
        <w:pStyle w:val="BodyText2"/>
        <w:spacing w:after="0" w:line="240" w:lineRule="auto"/>
        <w:ind w:left="1100"/>
        <w:jc w:val="both"/>
        <w:rPr>
          <w:rFonts w:cs="Arial"/>
          <w:sz w:val="18"/>
          <w:szCs w:val="18"/>
        </w:rPr>
      </w:pPr>
    </w:p>
    <w:p w:rsidR="00E023E5" w:rsidRPr="00EE0539" w:rsidRDefault="00E023E5" w:rsidP="00E023E5">
      <w:pPr>
        <w:pStyle w:val="BodyText2"/>
        <w:keepLines/>
        <w:spacing w:after="0" w:line="240" w:lineRule="auto"/>
        <w:rPr>
          <w:rFonts w:cs="Arial"/>
          <w:i/>
          <w:szCs w:val="20"/>
        </w:rPr>
      </w:pPr>
      <w:r w:rsidRPr="00EE0539">
        <w:rPr>
          <w:rFonts w:cs="Arial"/>
          <w:i/>
          <w:szCs w:val="20"/>
        </w:rPr>
        <w:t>Language distribution</w:t>
      </w:r>
    </w:p>
    <w:p w:rsidR="00E023E5" w:rsidRDefault="00E023E5" w:rsidP="00E023E5">
      <w:pPr>
        <w:pStyle w:val="BodyText2"/>
        <w:keepLines/>
        <w:spacing w:after="0" w:line="240" w:lineRule="auto"/>
        <w:rPr>
          <w:rFonts w:cs="Arial"/>
          <w:szCs w:val="20"/>
        </w:rPr>
      </w:pPr>
    </w:p>
    <w:p w:rsidR="00E023E5" w:rsidRPr="00EE0539" w:rsidRDefault="00E023E5" w:rsidP="00520CAA">
      <w:pPr>
        <w:numPr>
          <w:ilvl w:val="0"/>
          <w:numId w:val="7"/>
        </w:numPr>
      </w:pPr>
      <w:r w:rsidRPr="00EE0539">
        <w:t xml:space="preserve">One fundamental development driving change in the IB is the increasing language diversity of filings, resulting, in particular, from continued increased usage of the PCT System in East Asian countries. </w:t>
      </w:r>
    </w:p>
    <w:p w:rsidR="00E023E5" w:rsidRPr="000E46C3" w:rsidRDefault="00E023E5" w:rsidP="00E023E5">
      <w:pPr>
        <w:keepNext/>
        <w:keepLines/>
        <w:jc w:val="both"/>
        <w:rPr>
          <w:highlight w:val="yellow"/>
        </w:rPr>
      </w:pPr>
    </w:p>
    <w:p w:rsidR="00E023E5" w:rsidRPr="00EE0539" w:rsidRDefault="00E023E5" w:rsidP="00E023E5">
      <w:pPr>
        <w:keepNext/>
        <w:keepLines/>
        <w:spacing w:after="120"/>
        <w:jc w:val="center"/>
        <w:rPr>
          <w:i/>
        </w:rPr>
      </w:pPr>
      <w:r w:rsidRPr="00564AC5">
        <w:rPr>
          <w:b/>
          <w:bCs/>
          <w:sz w:val="18"/>
          <w:szCs w:val="18"/>
        </w:rPr>
        <w:t>Languages of Filing</w:t>
      </w:r>
      <w:r>
        <w:t xml:space="preserve"> </w:t>
      </w:r>
      <w:r w:rsidRPr="00EE0539">
        <w:rPr>
          <w:i/>
        </w:rPr>
        <w:t>(all languages)</w:t>
      </w:r>
    </w:p>
    <w:p w:rsidR="00E023E5" w:rsidRPr="00EE0539" w:rsidRDefault="00E023E5" w:rsidP="00E023E5">
      <w:pPr>
        <w:keepNext/>
        <w:keepLines/>
        <w:spacing w:after="120"/>
        <w:rPr>
          <w:highlight w:val="yellow"/>
        </w:rPr>
      </w:pPr>
      <w:r>
        <w:rPr>
          <w:noProof/>
        </w:rPr>
        <w:drawing>
          <wp:inline distT="0" distB="0" distL="0" distR="0" wp14:anchorId="188041B2" wp14:editId="0B650ADB">
            <wp:extent cx="5665470" cy="2941955"/>
            <wp:effectExtent l="0" t="0" r="0" b="0"/>
            <wp:docPr id="824" name="Picture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65470" cy="2941955"/>
                    </a:xfrm>
                    <a:prstGeom prst="rect">
                      <a:avLst/>
                    </a:prstGeom>
                    <a:noFill/>
                  </pic:spPr>
                </pic:pic>
              </a:graphicData>
            </a:graphic>
          </wp:inline>
        </w:drawing>
      </w:r>
    </w:p>
    <w:p w:rsidR="00E023E5" w:rsidRPr="00EE0539" w:rsidRDefault="00E023E5" w:rsidP="00520CAA">
      <w:pPr>
        <w:numPr>
          <w:ilvl w:val="0"/>
          <w:numId w:val="7"/>
        </w:numPr>
      </w:pPr>
      <w:r w:rsidRPr="00EE0539">
        <w:t>As can be observed, while English accounts for the majority of filing, with 51.6</w:t>
      </w:r>
      <w:r>
        <w:t xml:space="preserve"> per cent</w:t>
      </w:r>
      <w:r w:rsidRPr="00EE0539">
        <w:t xml:space="preserve"> of filings in 2014, the shares of Asian languages have increased over the past decade.  </w:t>
      </w:r>
      <w:r w:rsidRPr="00EE0539">
        <w:rPr>
          <w:lang w:val="en-GB"/>
        </w:rPr>
        <w:t>The combined share of the PCT applications filed in Japanese, Chinese and Korean has increased from 29.5</w:t>
      </w:r>
      <w:r>
        <w:rPr>
          <w:lang w:val="en-GB"/>
        </w:rPr>
        <w:t xml:space="preserve"> per cent</w:t>
      </w:r>
      <w:r w:rsidRPr="00EE0539">
        <w:rPr>
          <w:lang w:val="en-GB"/>
        </w:rPr>
        <w:t xml:space="preserve"> in 2009 to 34.5</w:t>
      </w:r>
      <w:r>
        <w:rPr>
          <w:lang w:val="en-GB"/>
        </w:rPr>
        <w:t xml:space="preserve"> per cent</w:t>
      </w:r>
      <w:r w:rsidRPr="00EE0539">
        <w:rPr>
          <w:lang w:val="en-GB"/>
        </w:rPr>
        <w:t xml:space="preserve"> in 2012. This share has rema</w:t>
      </w:r>
      <w:r>
        <w:rPr>
          <w:lang w:val="en-GB"/>
        </w:rPr>
        <w:t xml:space="preserve">ined stable from 2012 to 2014. </w:t>
      </w:r>
      <w:r w:rsidRPr="00EE0539">
        <w:rPr>
          <w:lang w:val="en-GB"/>
        </w:rPr>
        <w:t xml:space="preserve"> </w:t>
      </w:r>
      <w:r w:rsidRPr="00EE0539">
        <w:t>Zooming in on languages other than English provides the following picture:</w:t>
      </w:r>
    </w:p>
    <w:p w:rsidR="00E023E5" w:rsidRPr="004005D3" w:rsidRDefault="00E023E5" w:rsidP="00E023E5">
      <w:pPr>
        <w:pStyle w:val="BodyText2"/>
        <w:spacing w:after="0" w:line="240" w:lineRule="auto"/>
        <w:ind w:left="142"/>
        <w:jc w:val="both"/>
        <w:rPr>
          <w:rFonts w:cs="Arial"/>
        </w:rPr>
      </w:pPr>
    </w:p>
    <w:p w:rsidR="00E023E5" w:rsidRPr="004005D3" w:rsidRDefault="00E023E5" w:rsidP="00E023E5">
      <w:pPr>
        <w:spacing w:after="120"/>
        <w:rPr>
          <w:sz w:val="18"/>
          <w:szCs w:val="18"/>
        </w:rPr>
      </w:pPr>
    </w:p>
    <w:p w:rsidR="00E023E5" w:rsidRPr="00EE0539" w:rsidRDefault="00E023E5" w:rsidP="00E023E5">
      <w:pPr>
        <w:spacing w:after="120"/>
        <w:jc w:val="center"/>
      </w:pPr>
      <w:r w:rsidRPr="004005D3">
        <w:rPr>
          <w:b/>
          <w:bCs/>
          <w:sz w:val="18"/>
          <w:szCs w:val="18"/>
        </w:rPr>
        <w:t>Languages of Filing</w:t>
      </w:r>
      <w:r>
        <w:rPr>
          <w:b/>
          <w:bCs/>
          <w:sz w:val="18"/>
          <w:szCs w:val="18"/>
        </w:rPr>
        <w:t xml:space="preserve"> </w:t>
      </w:r>
      <w:r w:rsidRPr="000D2666">
        <w:rPr>
          <w:sz w:val="18"/>
        </w:rPr>
        <w:t>(all languages except English)</w:t>
      </w:r>
    </w:p>
    <w:p w:rsidR="00E023E5" w:rsidRPr="004005D3" w:rsidRDefault="00E023E5" w:rsidP="00E023E5">
      <w:pPr>
        <w:spacing w:after="120"/>
      </w:pPr>
      <w:r>
        <w:rPr>
          <w:noProof/>
        </w:rPr>
        <w:drawing>
          <wp:inline distT="0" distB="0" distL="0" distR="0" wp14:anchorId="3E5E2815" wp14:editId="3D349422">
            <wp:extent cx="5719445" cy="3319780"/>
            <wp:effectExtent l="0" t="0" r="0" b="0"/>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19445" cy="3319780"/>
                    </a:xfrm>
                    <a:prstGeom prst="rect">
                      <a:avLst/>
                    </a:prstGeom>
                    <a:noFill/>
                  </pic:spPr>
                </pic:pic>
              </a:graphicData>
            </a:graphic>
          </wp:inline>
        </w:drawing>
      </w:r>
    </w:p>
    <w:p w:rsidR="00E023E5" w:rsidRPr="00EE0539" w:rsidRDefault="00E023E5" w:rsidP="00520CAA">
      <w:pPr>
        <w:numPr>
          <w:ilvl w:val="0"/>
          <w:numId w:val="7"/>
        </w:numPr>
        <w:rPr>
          <w:lang w:val="en-GB"/>
        </w:rPr>
      </w:pPr>
      <w:r w:rsidRPr="00EE0539">
        <w:rPr>
          <w:lang w:val="en-GB"/>
        </w:rPr>
        <w:t>The</w:t>
      </w:r>
      <w:r w:rsidRPr="00EE0539">
        <w:t xml:space="preserve"> sharp increase of applications filed in Asian languages in the last </w:t>
      </w:r>
      <w:r>
        <w:t>five</w:t>
      </w:r>
      <w:r w:rsidRPr="00EE0539">
        <w:t xml:space="preserve"> years put a considerable strain on the IB due to the limited number of staff resources able to work in these languages. Mitigation for this issue is automation of certain tasks and recruitment of staff able to work in these languages</w:t>
      </w:r>
      <w:r w:rsidRPr="00EE0539">
        <w:rPr>
          <w:lang w:val="en-GB"/>
        </w:rPr>
        <w:t>.</w:t>
      </w:r>
    </w:p>
    <w:p w:rsidR="00E023E5" w:rsidRPr="00EE0539" w:rsidRDefault="00E023E5" w:rsidP="00E023E5">
      <w:pPr>
        <w:spacing w:after="120"/>
        <w:rPr>
          <w:i/>
          <w:lang w:val="en-GB"/>
        </w:rPr>
      </w:pPr>
    </w:p>
    <w:p w:rsidR="00E023E5" w:rsidRPr="00D77A7B" w:rsidRDefault="00E023E5" w:rsidP="00E023E5">
      <w:pPr>
        <w:keepNext/>
        <w:keepLines/>
        <w:spacing w:after="120"/>
        <w:rPr>
          <w:i/>
          <w:lang w:val="en-GB"/>
        </w:rPr>
      </w:pPr>
      <w:r w:rsidRPr="00D77A7B">
        <w:rPr>
          <w:i/>
          <w:lang w:val="en-GB"/>
        </w:rPr>
        <w:lastRenderedPageBreak/>
        <w:t>Staff</w:t>
      </w:r>
    </w:p>
    <w:p w:rsidR="00E023E5" w:rsidRDefault="00E023E5" w:rsidP="00520CAA">
      <w:pPr>
        <w:keepNext/>
        <w:keepLines/>
        <w:numPr>
          <w:ilvl w:val="0"/>
          <w:numId w:val="7"/>
        </w:numPr>
      </w:pPr>
      <w:r w:rsidRPr="00EE0539">
        <w:t xml:space="preserve">The chart below shows the number of PCT Operations staff since 2001, in Full Time Staff Equivalent (FTSE </w:t>
      </w:r>
      <w:r w:rsidRPr="00EE0539">
        <w:noBreakHyphen/>
        <w:t xml:space="preserve"> total number of full-time staff plus the full-time equivalent of part-time staff).</w:t>
      </w:r>
    </w:p>
    <w:p w:rsidR="00E023E5" w:rsidRDefault="00E023E5" w:rsidP="00E023E5"/>
    <w:p w:rsidR="00E023E5" w:rsidRDefault="00E023E5" w:rsidP="00E023E5">
      <w:pPr>
        <w:jc w:val="center"/>
        <w:rPr>
          <w:b/>
          <w:sz w:val="18"/>
        </w:rPr>
      </w:pPr>
      <w:r w:rsidRPr="000D2666">
        <w:rPr>
          <w:b/>
          <w:sz w:val="18"/>
        </w:rPr>
        <w:t>Number of Personnel in PCT Operations</w:t>
      </w:r>
    </w:p>
    <w:p w:rsidR="00E023E5" w:rsidRPr="000D2666" w:rsidRDefault="00E023E5" w:rsidP="00E023E5">
      <w:pPr>
        <w:jc w:val="center"/>
        <w:rPr>
          <w:b/>
          <w:sz w:val="18"/>
        </w:rPr>
      </w:pPr>
    </w:p>
    <w:p w:rsidR="00E023E5" w:rsidRPr="00A744DD" w:rsidRDefault="00E023E5" w:rsidP="00E023E5">
      <w:pPr>
        <w:rPr>
          <w:lang w:val="en-GB"/>
        </w:rPr>
      </w:pPr>
      <w:r>
        <w:rPr>
          <w:noProof/>
        </w:rPr>
        <w:drawing>
          <wp:inline distT="0" distB="0" distL="0" distR="0" wp14:anchorId="2523A269" wp14:editId="631A699D">
            <wp:extent cx="6021238" cy="2794958"/>
            <wp:effectExtent l="0" t="0" r="0" b="5715"/>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rotWithShape="1">
                    <a:blip r:embed="rId39">
                      <a:extLst>
                        <a:ext uri="{28A0092B-C50C-407E-A947-70E740481C1C}">
                          <a14:useLocalDpi xmlns:a14="http://schemas.microsoft.com/office/drawing/2010/main" val="0"/>
                        </a:ext>
                      </a:extLst>
                    </a:blip>
                    <a:srcRect t="6087" r="-8"/>
                    <a:stretch/>
                  </pic:blipFill>
                  <pic:spPr bwMode="auto">
                    <a:xfrm>
                      <a:off x="0" y="0"/>
                      <a:ext cx="6024075" cy="2796275"/>
                    </a:xfrm>
                    <a:prstGeom prst="rect">
                      <a:avLst/>
                    </a:prstGeom>
                    <a:noFill/>
                    <a:ln>
                      <a:noFill/>
                    </a:ln>
                    <a:extLst>
                      <a:ext uri="{53640926-AAD7-44D8-BBD7-CCE9431645EC}">
                        <a14:shadowObscured xmlns:a14="http://schemas.microsoft.com/office/drawing/2010/main"/>
                      </a:ext>
                    </a:extLst>
                  </pic:spPr>
                </pic:pic>
              </a:graphicData>
            </a:graphic>
          </wp:inline>
        </w:drawing>
      </w:r>
    </w:p>
    <w:p w:rsidR="00E023E5" w:rsidRPr="00A744DD" w:rsidRDefault="00E023E5" w:rsidP="00E023E5">
      <w:pPr>
        <w:rPr>
          <w:lang w:val="en-GB"/>
        </w:rPr>
      </w:pPr>
    </w:p>
    <w:p w:rsidR="00E023E5" w:rsidRPr="00A744DD" w:rsidRDefault="00E023E5" w:rsidP="00520CAA">
      <w:pPr>
        <w:numPr>
          <w:ilvl w:val="0"/>
          <w:numId w:val="5"/>
        </w:numPr>
        <w:tabs>
          <w:tab w:val="clear" w:pos="720"/>
          <w:tab w:val="num" w:pos="1100"/>
        </w:tabs>
        <w:ind w:left="1100" w:hanging="550"/>
        <w:rPr>
          <w:lang w:val="en-GB"/>
        </w:rPr>
      </w:pPr>
      <w:r w:rsidRPr="00A744DD">
        <w:rPr>
          <w:lang w:val="en-GB"/>
        </w:rPr>
        <w:t xml:space="preserve">The PCT Operations Division’s personnel </w:t>
      </w:r>
      <w:r>
        <w:rPr>
          <w:lang w:val="en-GB"/>
        </w:rPr>
        <w:t>further decreased in 2014.</w:t>
      </w:r>
    </w:p>
    <w:p w:rsidR="00E023E5" w:rsidRPr="00A744DD" w:rsidRDefault="00E023E5" w:rsidP="00E023E5">
      <w:pPr>
        <w:spacing w:after="120"/>
        <w:rPr>
          <w:u w:val="single"/>
          <w:lang w:val="en-GB"/>
        </w:rPr>
      </w:pPr>
    </w:p>
    <w:p w:rsidR="00E023E5" w:rsidRPr="00EE0539" w:rsidRDefault="00E023E5" w:rsidP="00E023E5">
      <w:pPr>
        <w:rPr>
          <w:i/>
        </w:rPr>
      </w:pPr>
      <w:r w:rsidRPr="00EE0539">
        <w:rPr>
          <w:i/>
        </w:rPr>
        <w:t>Unit cost of processing an application</w:t>
      </w:r>
    </w:p>
    <w:p w:rsidR="00E023E5" w:rsidRPr="00EE0539" w:rsidRDefault="00E023E5" w:rsidP="00E023E5"/>
    <w:p w:rsidR="00E023E5" w:rsidRPr="00EE0539" w:rsidRDefault="00E023E5" w:rsidP="00520CAA">
      <w:pPr>
        <w:numPr>
          <w:ilvl w:val="0"/>
          <w:numId w:val="7"/>
        </w:numPr>
      </w:pPr>
      <w:r w:rsidRPr="00EE0539">
        <w:t xml:space="preserve">The IB’s productivity in processing PCT applications can be measured by the unit cost of processing, defined as the average total cost of publishing a PCT application. Average total cost is determined by total </w:t>
      </w:r>
      <w:r>
        <w:t xml:space="preserve">direct </w:t>
      </w:r>
      <w:r w:rsidRPr="00EE0539">
        <w:t>PCT system expenditure</w:t>
      </w:r>
      <w:r w:rsidRPr="00D77A7B">
        <w:t xml:space="preserve"> </w:t>
      </w:r>
      <w:r>
        <w:t>(</w:t>
      </w:r>
      <w:r w:rsidRPr="0043008F">
        <w:t>expenditure incurred by the IB in the administration of the PCT system and related Programs</w:t>
      </w:r>
      <w:r>
        <w:t>)</w:t>
      </w:r>
      <w:r w:rsidRPr="00EE0539">
        <w:t xml:space="preserve">, plus a proportion of </w:t>
      </w:r>
      <w:r>
        <w:t xml:space="preserve">indirect </w:t>
      </w:r>
      <w:r w:rsidRPr="00EE0539">
        <w:t>expenditure on support and management activities</w:t>
      </w:r>
      <w:r>
        <w:t xml:space="preserve"> </w:t>
      </w:r>
      <w:r w:rsidRPr="00C560ED">
        <w:t>(e.g., buildings and information technology, among others)</w:t>
      </w:r>
      <w:r w:rsidRPr="00EE0539">
        <w:t xml:space="preserve">. </w:t>
      </w:r>
      <w:r w:rsidRPr="002C1953">
        <w:t>Indirect costs are weighted to take into account only the share attributable to the PCT system.</w:t>
      </w:r>
      <w:r>
        <w:t xml:space="preserve"> </w:t>
      </w:r>
      <w:r w:rsidRPr="00EE0539">
        <w:t>The unit cost thus includes the cost of all PCT activities, including translation, communication, management and others.</w:t>
      </w:r>
    </w:p>
    <w:p w:rsidR="00E023E5" w:rsidRPr="00EE0539" w:rsidRDefault="00E023E5" w:rsidP="00E023E5">
      <w:pPr>
        <w:jc w:val="both"/>
      </w:pPr>
    </w:p>
    <w:p w:rsidR="00E023E5" w:rsidRPr="00EE0539" w:rsidRDefault="00E023E5" w:rsidP="00520CAA">
      <w:pPr>
        <w:numPr>
          <w:ilvl w:val="0"/>
          <w:numId w:val="7"/>
        </w:numPr>
      </w:pPr>
      <w:r w:rsidRPr="00EE0539">
        <w:rPr>
          <w:lang w:val="en-GB"/>
        </w:rPr>
        <w:t>The</w:t>
      </w:r>
      <w:r w:rsidRPr="00EE0539">
        <w:t xml:space="preserve"> methodology to compute the unit cost was revised in 2013 in order to align it with other WIPO unit/union cost calculations and to better capture a fast changing environment. For example, the old method, which was designed in 2007, included a cost of storage (over 30 years) in warehouses, whereas paper filings (including PCT EASY filings) accounted for less than 10</w:t>
      </w:r>
      <w:r>
        <w:t xml:space="preserve"> per cent</w:t>
      </w:r>
      <w:r w:rsidRPr="00EE0539">
        <w:t xml:space="preserve"> of filings in 2013. The 2012 PCT unit cost has been calculated using both methods. The 2012 unit cost amounted to 680 Swiss francs using the old method and to 712 Swiss francs using the new method. The 32 Swiss francs difference is due to the new method for allocating indirect costs.</w:t>
      </w:r>
    </w:p>
    <w:p w:rsidR="00E023E5" w:rsidRPr="00EE0539" w:rsidRDefault="00E023E5" w:rsidP="00E023E5">
      <w:pPr>
        <w:jc w:val="both"/>
      </w:pPr>
    </w:p>
    <w:p w:rsidR="00E023E5" w:rsidRDefault="00E023E5" w:rsidP="00520CAA">
      <w:pPr>
        <w:numPr>
          <w:ilvl w:val="0"/>
          <w:numId w:val="7"/>
        </w:numPr>
      </w:pPr>
      <w:r w:rsidRPr="00EE0539">
        <w:t>Formally, unit cost is defined as:</w:t>
      </w:r>
    </w:p>
    <w:p w:rsidR="00E023E5" w:rsidRDefault="00E023E5" w:rsidP="00E023E5"/>
    <w:p w:rsidR="00E023E5" w:rsidRDefault="00E023E5" w:rsidP="00E023E5">
      <w:pPr>
        <w:jc w:val="center"/>
      </w:pPr>
      <w:r>
        <w:rPr>
          <w:noProof/>
        </w:rPr>
        <w:drawing>
          <wp:inline distT="0" distB="0" distL="0" distR="0" wp14:anchorId="07529337" wp14:editId="05E65D08">
            <wp:extent cx="2047875" cy="342900"/>
            <wp:effectExtent l="0" t="0" r="952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47875" cy="342900"/>
                    </a:xfrm>
                    <a:prstGeom prst="rect">
                      <a:avLst/>
                    </a:prstGeom>
                    <a:noFill/>
                    <a:ln>
                      <a:noFill/>
                    </a:ln>
                  </pic:spPr>
                </pic:pic>
              </a:graphicData>
            </a:graphic>
          </wp:inline>
        </w:drawing>
      </w:r>
    </w:p>
    <w:p w:rsidR="00E023E5" w:rsidRPr="00EE0539" w:rsidRDefault="00E023E5" w:rsidP="00E023E5">
      <w:pPr>
        <w:rPr>
          <w:highlight w:val="yellow"/>
          <w:lang w:val="en-GB"/>
        </w:rPr>
      </w:pPr>
    </w:p>
    <w:p w:rsidR="00E023E5" w:rsidRPr="00EE0539" w:rsidRDefault="00E023E5" w:rsidP="00520CAA">
      <w:pPr>
        <w:numPr>
          <w:ilvl w:val="0"/>
          <w:numId w:val="7"/>
        </w:numPr>
        <w:rPr>
          <w:lang w:val="en-GB"/>
        </w:rPr>
      </w:pPr>
      <w:r w:rsidRPr="00EE0539">
        <w:rPr>
          <w:lang w:val="en-GB"/>
        </w:rPr>
        <w:t>The graphs below depict the evolution of the unit cost of processing from 2004 to 2012 using the old method and from 2012 to 2014 using the new method, including a breakdown of the contribution of direct and indirect costs.</w:t>
      </w:r>
    </w:p>
    <w:p w:rsidR="00E023E5" w:rsidRPr="00EE0539" w:rsidRDefault="00E023E5" w:rsidP="00E023E5">
      <w:pPr>
        <w:rPr>
          <w:lang w:val="en-GB"/>
        </w:rPr>
      </w:pPr>
    </w:p>
    <w:p w:rsidR="00E023E5" w:rsidRPr="000D2666" w:rsidRDefault="00E023E5" w:rsidP="00E023E5">
      <w:pPr>
        <w:keepNext/>
        <w:keepLines/>
        <w:jc w:val="center"/>
        <w:rPr>
          <w:b/>
          <w:sz w:val="18"/>
          <w:lang w:val="en-GB"/>
        </w:rPr>
      </w:pPr>
      <w:r w:rsidRPr="000D2666">
        <w:rPr>
          <w:b/>
          <w:sz w:val="18"/>
          <w:lang w:val="en-GB"/>
        </w:rPr>
        <w:lastRenderedPageBreak/>
        <w:t>Unit Cost of Processing a Published PCT Application</w:t>
      </w:r>
    </w:p>
    <w:p w:rsidR="00E023E5" w:rsidRPr="00E34675" w:rsidRDefault="00E023E5" w:rsidP="00E023E5">
      <w:pPr>
        <w:keepNext/>
        <w:keepLines/>
        <w:ind w:left="720"/>
        <w:rPr>
          <w:b/>
          <w:highlight w:val="yellow"/>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E023E5" w:rsidRPr="00D17F3C" w:rsidTr="00E023E5">
        <w:tc>
          <w:tcPr>
            <w:tcW w:w="4644" w:type="dxa"/>
            <w:shd w:val="clear" w:color="auto" w:fill="auto"/>
          </w:tcPr>
          <w:p w:rsidR="00E023E5" w:rsidRPr="0054556A" w:rsidRDefault="00E023E5" w:rsidP="00E023E5">
            <w:pPr>
              <w:keepNext/>
              <w:keepLines/>
              <w:jc w:val="center"/>
            </w:pPr>
            <w:r w:rsidRPr="0054556A">
              <w:t>Old method</w:t>
            </w:r>
          </w:p>
        </w:tc>
        <w:tc>
          <w:tcPr>
            <w:tcW w:w="4645" w:type="dxa"/>
            <w:shd w:val="clear" w:color="auto" w:fill="auto"/>
          </w:tcPr>
          <w:p w:rsidR="00E023E5" w:rsidRPr="0054556A" w:rsidRDefault="00E023E5" w:rsidP="00E023E5">
            <w:pPr>
              <w:keepNext/>
              <w:keepLines/>
              <w:jc w:val="center"/>
            </w:pPr>
            <w:r w:rsidRPr="0054556A">
              <w:t>New method</w:t>
            </w:r>
          </w:p>
        </w:tc>
      </w:tr>
      <w:tr w:rsidR="00E023E5" w:rsidRPr="00AF1C55" w:rsidTr="00E023E5">
        <w:tc>
          <w:tcPr>
            <w:tcW w:w="4644" w:type="dxa"/>
            <w:shd w:val="clear" w:color="auto" w:fill="auto"/>
          </w:tcPr>
          <w:p w:rsidR="00E023E5" w:rsidRPr="00AF1C55" w:rsidRDefault="00E023E5" w:rsidP="00E023E5">
            <w:pPr>
              <w:keepNext/>
              <w:keepLines/>
              <w:rPr>
                <w:lang w:val="fr-CH"/>
              </w:rPr>
            </w:pPr>
            <w:r>
              <w:rPr>
                <w:noProof/>
              </w:rPr>
              <w:drawing>
                <wp:inline distT="0" distB="0" distL="0" distR="0" wp14:anchorId="718BAA49" wp14:editId="16109D12">
                  <wp:extent cx="3057525" cy="2038350"/>
                  <wp:effectExtent l="0" t="0" r="9525" b="0"/>
                  <wp:docPr id="13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57525" cy="2038350"/>
                          </a:xfrm>
                          <a:prstGeom prst="rect">
                            <a:avLst/>
                          </a:prstGeom>
                          <a:noFill/>
                          <a:ln>
                            <a:noFill/>
                          </a:ln>
                        </pic:spPr>
                      </pic:pic>
                    </a:graphicData>
                  </a:graphic>
                </wp:inline>
              </w:drawing>
            </w:r>
          </w:p>
        </w:tc>
        <w:tc>
          <w:tcPr>
            <w:tcW w:w="4645" w:type="dxa"/>
            <w:shd w:val="clear" w:color="auto" w:fill="auto"/>
          </w:tcPr>
          <w:p w:rsidR="00E023E5" w:rsidRPr="00AF1C55" w:rsidRDefault="00E023E5" w:rsidP="00E023E5">
            <w:pPr>
              <w:keepNext/>
              <w:keepLines/>
              <w:rPr>
                <w:lang w:val="fr-CH"/>
              </w:rPr>
            </w:pPr>
            <w:r>
              <w:rPr>
                <w:noProof/>
              </w:rPr>
              <w:drawing>
                <wp:inline distT="0" distB="0" distL="0" distR="0" wp14:anchorId="16667A42" wp14:editId="746CEAB9">
                  <wp:extent cx="3064510" cy="1913255"/>
                  <wp:effectExtent l="0" t="0" r="2540" b="0"/>
                  <wp:docPr id="819"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64510" cy="1913255"/>
                          </a:xfrm>
                          <a:prstGeom prst="rect">
                            <a:avLst/>
                          </a:prstGeom>
                          <a:noFill/>
                        </pic:spPr>
                      </pic:pic>
                    </a:graphicData>
                  </a:graphic>
                </wp:inline>
              </w:drawing>
            </w:r>
          </w:p>
        </w:tc>
      </w:tr>
    </w:tbl>
    <w:p w:rsidR="00E023E5" w:rsidRDefault="00E023E5" w:rsidP="00E023E5"/>
    <w:p w:rsidR="00E023E5" w:rsidRPr="00EE0539" w:rsidRDefault="00E023E5" w:rsidP="00520CAA">
      <w:pPr>
        <w:numPr>
          <w:ilvl w:val="0"/>
          <w:numId w:val="5"/>
        </w:numPr>
        <w:tabs>
          <w:tab w:val="clear" w:pos="720"/>
          <w:tab w:val="num" w:pos="1134"/>
        </w:tabs>
        <w:ind w:left="1134" w:hanging="567"/>
        <w:jc w:val="both"/>
      </w:pPr>
      <w:r w:rsidRPr="00EE0539">
        <w:t xml:space="preserve">The average cost of processing a published PCT application was 662 Swiss </w:t>
      </w:r>
      <w:r>
        <w:t>f</w:t>
      </w:r>
      <w:r w:rsidRPr="00EE0539">
        <w:t xml:space="preserve">rancs in 2014, </w:t>
      </w:r>
      <w:r>
        <w:t xml:space="preserve">representing a decrease of </w:t>
      </w:r>
      <w:r w:rsidRPr="00EE0539">
        <w:t>8.3</w:t>
      </w:r>
      <w:r>
        <w:t xml:space="preserve"> per cent</w:t>
      </w:r>
      <w:r w:rsidRPr="00EE0539">
        <w:t xml:space="preserve"> </w:t>
      </w:r>
      <w:r>
        <w:t>compared to</w:t>
      </w:r>
      <w:r w:rsidRPr="00EE0539">
        <w:t xml:space="preserve"> 2013. </w:t>
      </w:r>
      <w:r>
        <w:t xml:space="preserve"> </w:t>
      </w:r>
      <w:r w:rsidRPr="00EE0539">
        <w:t>This decrease is due to various efficiency measures including automation.</w:t>
      </w:r>
    </w:p>
    <w:p w:rsidR="00E023E5" w:rsidRPr="00EE0539" w:rsidRDefault="00E023E5" w:rsidP="00E023E5">
      <w:pPr>
        <w:pStyle w:val="ListParagraph"/>
        <w:tabs>
          <w:tab w:val="num" w:pos="1134"/>
        </w:tabs>
        <w:ind w:left="1134" w:hanging="567"/>
      </w:pPr>
    </w:p>
    <w:p w:rsidR="00E023E5" w:rsidRPr="00EE0539" w:rsidRDefault="00E023E5" w:rsidP="00520CAA">
      <w:pPr>
        <w:pStyle w:val="ListParagraph"/>
        <w:numPr>
          <w:ilvl w:val="0"/>
          <w:numId w:val="5"/>
        </w:numPr>
        <w:tabs>
          <w:tab w:val="clear" w:pos="720"/>
          <w:tab w:val="num" w:pos="1134"/>
        </w:tabs>
        <w:spacing w:after="200"/>
        <w:ind w:left="1134" w:hanging="567"/>
        <w:contextualSpacing/>
        <w:jc w:val="both"/>
      </w:pPr>
      <w:r w:rsidRPr="00EE0539">
        <w:t xml:space="preserve">The average cost of processing a published PCT application calculated by the old method decreased by </w:t>
      </w:r>
      <w:r>
        <w:t xml:space="preserve">an </w:t>
      </w:r>
      <w:r w:rsidRPr="00EE0539">
        <w:t xml:space="preserve">average </w:t>
      </w:r>
      <w:r>
        <w:t xml:space="preserve">of </w:t>
      </w:r>
      <w:r w:rsidRPr="00EE0539">
        <w:t>5</w:t>
      </w:r>
      <w:r>
        <w:t xml:space="preserve"> per cent</w:t>
      </w:r>
      <w:r w:rsidRPr="00EE0539">
        <w:t xml:space="preserve"> per year from 1,042 Swiss </w:t>
      </w:r>
      <w:r>
        <w:t>f</w:t>
      </w:r>
      <w:r w:rsidRPr="00EE0539">
        <w:t xml:space="preserve">rancs in 2004 to 680 Swiss </w:t>
      </w:r>
      <w:r>
        <w:t>f</w:t>
      </w:r>
      <w:r w:rsidRPr="00EE0539">
        <w:t xml:space="preserve">rancs in 2012. </w:t>
      </w:r>
    </w:p>
    <w:p w:rsidR="00E023E5" w:rsidRPr="000E46C3" w:rsidRDefault="00E023E5" w:rsidP="00E023E5">
      <w:pPr>
        <w:rPr>
          <w:i/>
          <w:highlight w:val="yellow"/>
        </w:rPr>
      </w:pPr>
    </w:p>
    <w:p w:rsidR="00E023E5" w:rsidRPr="00EE19F7" w:rsidRDefault="00E023E5" w:rsidP="00E023E5">
      <w:pPr>
        <w:rPr>
          <w:i/>
          <w:lang w:val="en-GB"/>
        </w:rPr>
      </w:pPr>
      <w:r w:rsidRPr="00EE19F7">
        <w:rPr>
          <w:i/>
        </w:rPr>
        <w:t>Productivity of formalities examination</w:t>
      </w:r>
    </w:p>
    <w:p w:rsidR="00E023E5" w:rsidRPr="00EE19F7" w:rsidRDefault="00E023E5" w:rsidP="00E023E5">
      <w:pPr>
        <w:rPr>
          <w:lang w:val="en-GB"/>
        </w:rPr>
      </w:pPr>
    </w:p>
    <w:p w:rsidR="00E023E5" w:rsidRPr="00EE0539" w:rsidRDefault="00E023E5" w:rsidP="00520CAA">
      <w:pPr>
        <w:numPr>
          <w:ilvl w:val="0"/>
          <w:numId w:val="7"/>
        </w:numPr>
        <w:rPr>
          <w:lang w:val="en-GB"/>
        </w:rPr>
      </w:pPr>
      <w:r w:rsidRPr="00EE0539">
        <w:rPr>
          <w:lang w:val="en-GB"/>
        </w:rPr>
        <w:t>The definition of staff productivity is output (i.e., the number of PCT publications) divided by the number of staff for formalities examination.</w:t>
      </w:r>
    </w:p>
    <w:p w:rsidR="00E023E5" w:rsidRDefault="00E023E5" w:rsidP="00E023E5">
      <w:pPr>
        <w:rPr>
          <w:lang w:val="en-GB"/>
        </w:rPr>
      </w:pPr>
    </w:p>
    <w:p w:rsidR="00E023E5" w:rsidRPr="000D2666" w:rsidRDefault="00E023E5" w:rsidP="00E023E5">
      <w:pPr>
        <w:jc w:val="center"/>
        <w:rPr>
          <w:b/>
          <w:sz w:val="18"/>
          <w:lang w:val="en-GB"/>
        </w:rPr>
      </w:pPr>
      <w:r w:rsidRPr="000D2666">
        <w:rPr>
          <w:b/>
          <w:sz w:val="18"/>
          <w:lang w:val="en-GB"/>
        </w:rPr>
        <w:t>Productivity of Formality Examination</w:t>
      </w:r>
    </w:p>
    <w:p w:rsidR="00E023E5" w:rsidRPr="00EE19F7" w:rsidRDefault="00E023E5" w:rsidP="00E023E5">
      <w:pPr>
        <w:rPr>
          <w:b/>
          <w:bCs/>
          <w:sz w:val="18"/>
          <w:szCs w:val="18"/>
          <w:lang w:val="en-GB"/>
        </w:rPr>
      </w:pPr>
      <w:r>
        <w:rPr>
          <w:b/>
          <w:bCs/>
          <w:noProof/>
          <w:sz w:val="18"/>
          <w:szCs w:val="18"/>
        </w:rPr>
        <w:drawing>
          <wp:inline distT="0" distB="0" distL="0" distR="0" wp14:anchorId="1175B69E" wp14:editId="6BEB852A">
            <wp:extent cx="5538470" cy="2714625"/>
            <wp:effectExtent l="0" t="0" r="5080" b="9525"/>
            <wp:docPr id="826" name="Pict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38470" cy="2714625"/>
                    </a:xfrm>
                    <a:prstGeom prst="rect">
                      <a:avLst/>
                    </a:prstGeom>
                    <a:noFill/>
                  </pic:spPr>
                </pic:pic>
              </a:graphicData>
            </a:graphic>
          </wp:inline>
        </w:drawing>
      </w:r>
    </w:p>
    <w:p w:rsidR="00E023E5" w:rsidRPr="00EE0539" w:rsidRDefault="00E023E5" w:rsidP="00520CAA">
      <w:pPr>
        <w:pStyle w:val="ListParagraph"/>
        <w:numPr>
          <w:ilvl w:val="0"/>
          <w:numId w:val="5"/>
        </w:numPr>
        <w:tabs>
          <w:tab w:val="clear" w:pos="720"/>
          <w:tab w:val="num" w:pos="1134"/>
        </w:tabs>
        <w:spacing w:after="200"/>
        <w:ind w:left="1134" w:hanging="567"/>
        <w:contextualSpacing/>
        <w:jc w:val="both"/>
      </w:pPr>
      <w:r w:rsidRPr="00EE0539">
        <w:t>Historically, productivity of formalities examination has increased, mainly due to automation which has permitted the processing of much larger workloads with less or equal staff.</w:t>
      </w:r>
    </w:p>
    <w:p w:rsidR="00E023E5" w:rsidRPr="00EE0539" w:rsidRDefault="00E023E5" w:rsidP="00E023E5">
      <w:pPr>
        <w:pStyle w:val="ListParagraph"/>
        <w:spacing w:after="200"/>
        <w:ind w:left="1134"/>
        <w:jc w:val="both"/>
      </w:pPr>
    </w:p>
    <w:p w:rsidR="00E023E5" w:rsidRPr="00EE19F7" w:rsidRDefault="00E023E5" w:rsidP="00E023E5">
      <w:pPr>
        <w:rPr>
          <w:b/>
          <w:lang w:val="en-GB"/>
        </w:rPr>
      </w:pPr>
    </w:p>
    <w:p w:rsidR="00E023E5" w:rsidRPr="008823D0" w:rsidRDefault="00E023E5" w:rsidP="00E023E5">
      <w:pPr>
        <w:keepNext/>
        <w:keepLines/>
        <w:rPr>
          <w:i/>
          <w:lang w:val="en-GB"/>
        </w:rPr>
      </w:pPr>
      <w:r w:rsidRPr="008823D0">
        <w:rPr>
          <w:i/>
          <w:lang w:val="en-GB"/>
        </w:rPr>
        <w:t>Aggregate quality of formalities examination</w:t>
      </w:r>
    </w:p>
    <w:p w:rsidR="00E023E5" w:rsidRPr="008823D0" w:rsidRDefault="00E023E5" w:rsidP="00E023E5">
      <w:pPr>
        <w:keepNext/>
        <w:keepLines/>
        <w:rPr>
          <w:lang w:val="en-GB"/>
        </w:rPr>
      </w:pPr>
    </w:p>
    <w:p w:rsidR="00E023E5" w:rsidRPr="0054556A" w:rsidRDefault="00E023E5" w:rsidP="00520CAA">
      <w:pPr>
        <w:numPr>
          <w:ilvl w:val="0"/>
          <w:numId w:val="7"/>
        </w:numPr>
        <w:rPr>
          <w:lang w:val="en-GB"/>
        </w:rPr>
      </w:pPr>
      <w:r w:rsidRPr="00EE0539">
        <w:rPr>
          <w:lang w:val="en-GB"/>
        </w:rPr>
        <w:t xml:space="preserve">In order to measure the quality of the work performed by the IB in a simple and comprehensive manner, the IB has developed an aggregate quality index, calculated as the average of four lead quality </w:t>
      </w:r>
      <w:r w:rsidRPr="00EE0539">
        <w:rPr>
          <w:lang w:val="en-GB"/>
        </w:rPr>
        <w:lastRenderedPageBreak/>
        <w:t>indicators.  Three</w:t>
      </w:r>
      <w:r w:rsidRPr="00EE0539">
        <w:t xml:space="preserve"> of these indicators are based on the timeliness of key transactions: acknowledgement of receipt of the PCT application, publication, and republication.  The fourth indicator reflects errors made during the processing of PCT applications.</w:t>
      </w:r>
    </w:p>
    <w:p w:rsidR="00E023E5" w:rsidRPr="00EE0539" w:rsidRDefault="00E023E5" w:rsidP="00E023E5">
      <w:pPr>
        <w:rPr>
          <w:lang w:val="en-GB"/>
        </w:rPr>
      </w:pPr>
    </w:p>
    <w:p w:rsidR="00E023E5" w:rsidRPr="000D2666" w:rsidRDefault="00E023E5" w:rsidP="00E023E5">
      <w:pPr>
        <w:pStyle w:val="BodyText2"/>
        <w:keepLines/>
        <w:spacing w:line="240" w:lineRule="auto"/>
        <w:jc w:val="center"/>
        <w:rPr>
          <w:rFonts w:cs="Arial"/>
          <w:b/>
          <w:bCs/>
          <w:sz w:val="16"/>
          <w:szCs w:val="18"/>
          <w:lang w:val="en-GB"/>
        </w:rPr>
      </w:pPr>
      <w:r w:rsidRPr="000D2666">
        <w:rPr>
          <w:rFonts w:cs="Arial"/>
          <w:b/>
          <w:bCs/>
          <w:sz w:val="18"/>
          <w:szCs w:val="18"/>
          <w:lang w:val="en-GB"/>
        </w:rPr>
        <w:t>Quality Index of Formalities Examination</w:t>
      </w:r>
    </w:p>
    <w:p w:rsidR="00E023E5" w:rsidRPr="008823D0" w:rsidRDefault="00E023E5" w:rsidP="00E023E5">
      <w:pPr>
        <w:pStyle w:val="BodyText2"/>
        <w:keepLines/>
        <w:spacing w:line="240" w:lineRule="auto"/>
        <w:rPr>
          <w:rFonts w:cs="Arial"/>
          <w:b/>
          <w:bCs/>
          <w:sz w:val="18"/>
          <w:szCs w:val="18"/>
          <w:lang w:val="en-GB"/>
        </w:rPr>
      </w:pPr>
      <w:r>
        <w:rPr>
          <w:rFonts w:cs="Arial"/>
          <w:b/>
          <w:bCs/>
          <w:noProof/>
          <w:sz w:val="18"/>
          <w:szCs w:val="18"/>
        </w:rPr>
        <w:drawing>
          <wp:inline distT="0" distB="0" distL="0" distR="0" wp14:anchorId="45609E2F" wp14:editId="26A14991">
            <wp:extent cx="5652770" cy="2566670"/>
            <wp:effectExtent l="0" t="0" r="5080" b="5080"/>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52770" cy="2566670"/>
                    </a:xfrm>
                    <a:prstGeom prst="rect">
                      <a:avLst/>
                    </a:prstGeom>
                    <a:noFill/>
                  </pic:spPr>
                </pic:pic>
              </a:graphicData>
            </a:graphic>
          </wp:inline>
        </w:drawing>
      </w:r>
    </w:p>
    <w:p w:rsidR="00E023E5" w:rsidRDefault="00E023E5" w:rsidP="00520CAA">
      <w:pPr>
        <w:numPr>
          <w:ilvl w:val="0"/>
          <w:numId w:val="9"/>
        </w:numPr>
        <w:ind w:left="1134" w:hanging="584"/>
        <w:jc w:val="both"/>
      </w:pPr>
      <w:r w:rsidRPr="008823D0">
        <w:t>The overall quality, as measured by the aggregate index, improved markedly from</w:t>
      </w:r>
      <w:r>
        <w:t xml:space="preserve"> an average of 81 per cent in</w:t>
      </w:r>
      <w:r w:rsidRPr="008823D0">
        <w:t xml:space="preserve"> 2007 to</w:t>
      </w:r>
      <w:r>
        <w:t xml:space="preserve"> 93.1 per cent in</w:t>
      </w:r>
      <w:r w:rsidRPr="008823D0">
        <w:t xml:space="preserve"> 2014.</w:t>
      </w:r>
    </w:p>
    <w:p w:rsidR="00E023E5" w:rsidRDefault="00E023E5" w:rsidP="00E023E5">
      <w:pPr>
        <w:ind w:left="1134" w:hanging="584"/>
        <w:jc w:val="both"/>
      </w:pPr>
    </w:p>
    <w:p w:rsidR="00E023E5" w:rsidRPr="00481C55" w:rsidRDefault="00E023E5" w:rsidP="00520CAA">
      <w:pPr>
        <w:numPr>
          <w:ilvl w:val="0"/>
          <w:numId w:val="9"/>
        </w:numPr>
        <w:ind w:left="1134" w:hanging="584"/>
        <w:jc w:val="both"/>
      </w:pPr>
      <w:r w:rsidRPr="00481C55">
        <w:t xml:space="preserve">The </w:t>
      </w:r>
      <w:r>
        <w:t>remarkable</w:t>
      </w:r>
      <w:r w:rsidRPr="00481C55">
        <w:t xml:space="preserve"> increase of the quality index </w:t>
      </w:r>
      <w:r>
        <w:t>in</w:t>
      </w:r>
      <w:r w:rsidRPr="00481C55">
        <w:t xml:space="preserve"> 201</w:t>
      </w:r>
      <w:r>
        <w:t>4</w:t>
      </w:r>
      <w:r w:rsidRPr="00481C55">
        <w:t xml:space="preserve"> is mainly due to </w:t>
      </w:r>
      <w:r>
        <w:t xml:space="preserve">improved timeliness in performing formalities examination as well as </w:t>
      </w:r>
      <w:r w:rsidRPr="00481C55">
        <w:t>reduced delay</w:t>
      </w:r>
      <w:r>
        <w:t>s</w:t>
      </w:r>
      <w:r w:rsidRPr="00481C55">
        <w:t xml:space="preserve"> in republishing applications with the ISR.</w:t>
      </w:r>
      <w:r>
        <w:t xml:space="preserve"> The delay in formalities examination and republication mainly explained the decrease of the quality index observed during the 2010–2013 period.</w:t>
      </w:r>
    </w:p>
    <w:p w:rsidR="00E023E5" w:rsidRPr="008823D0" w:rsidRDefault="00E023E5" w:rsidP="00E023E5">
      <w:pPr>
        <w:jc w:val="both"/>
      </w:pPr>
    </w:p>
    <w:p w:rsidR="00E023E5" w:rsidRDefault="00E023E5" w:rsidP="00E023E5">
      <w:pPr>
        <w:pStyle w:val="ListParagraph"/>
        <w:rPr>
          <w:rFonts w:cs="Arial"/>
        </w:rPr>
      </w:pPr>
    </w:p>
    <w:p w:rsidR="00E023E5" w:rsidRPr="005F6BFD" w:rsidRDefault="00E023E5" w:rsidP="00E023E5">
      <w:pPr>
        <w:rPr>
          <w:i/>
        </w:rPr>
      </w:pPr>
      <w:r w:rsidRPr="005F6BFD">
        <w:rPr>
          <w:i/>
        </w:rPr>
        <w:t>Timeliness of formalities examination</w:t>
      </w:r>
    </w:p>
    <w:p w:rsidR="00E023E5" w:rsidRPr="005F6BFD" w:rsidRDefault="00E023E5" w:rsidP="00E023E5">
      <w:pPr>
        <w:rPr>
          <w:b/>
        </w:rPr>
      </w:pPr>
    </w:p>
    <w:p w:rsidR="00E023E5" w:rsidRPr="00EE0539" w:rsidRDefault="00E023E5" w:rsidP="00520CAA">
      <w:pPr>
        <w:numPr>
          <w:ilvl w:val="0"/>
          <w:numId w:val="7"/>
        </w:numPr>
        <w:rPr>
          <w:b/>
        </w:rPr>
      </w:pPr>
      <w:r w:rsidRPr="00EE0539">
        <w:t xml:space="preserve">This indicator reflects in more detail one of the components of the aggregate quality indicator, namely the time required by the IB to issue Form 301.  This form is issued after the formality examination of the application has been completed. </w:t>
      </w:r>
      <w:proofErr w:type="gramStart"/>
      <w:r w:rsidRPr="00EE0539">
        <w:t>Applicants appreciate receiving this Form as soon as possible because it acknowledges receipt of the application at the IB and allows</w:t>
      </w:r>
      <w:proofErr w:type="gramEnd"/>
      <w:r w:rsidRPr="00EE0539">
        <w:t xml:space="preserve"> them to know whether their application has any formal defects.</w:t>
      </w:r>
    </w:p>
    <w:p w:rsidR="00E023E5" w:rsidRPr="00D37EBA" w:rsidRDefault="00E023E5" w:rsidP="00E023E5">
      <w:pPr>
        <w:rPr>
          <w:b/>
        </w:rPr>
      </w:pPr>
    </w:p>
    <w:p w:rsidR="00E023E5" w:rsidRPr="005F6BFD" w:rsidRDefault="00E023E5" w:rsidP="00E023E5">
      <w:r>
        <w:rPr>
          <w:noProof/>
        </w:rPr>
        <w:drawing>
          <wp:inline distT="0" distB="0" distL="0" distR="0" wp14:anchorId="14900703" wp14:editId="7469AE91">
            <wp:extent cx="5742940" cy="2488565"/>
            <wp:effectExtent l="0" t="0" r="0" b="6985"/>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42940" cy="2488565"/>
                    </a:xfrm>
                    <a:prstGeom prst="rect">
                      <a:avLst/>
                    </a:prstGeom>
                    <a:noFill/>
                  </pic:spPr>
                </pic:pic>
              </a:graphicData>
            </a:graphic>
          </wp:inline>
        </w:drawing>
      </w:r>
    </w:p>
    <w:p w:rsidR="00E023E5" w:rsidRPr="005F6BFD" w:rsidRDefault="00E023E5" w:rsidP="00E023E5">
      <w:pPr>
        <w:rPr>
          <w:i/>
        </w:rPr>
      </w:pPr>
      <w:r w:rsidRPr="005F6BFD">
        <w:rPr>
          <w:i/>
        </w:rPr>
        <w:t>Timeliness of publication</w:t>
      </w:r>
    </w:p>
    <w:p w:rsidR="00E023E5" w:rsidRPr="005F6BFD" w:rsidRDefault="00E023E5" w:rsidP="00E023E5">
      <w:pPr>
        <w:rPr>
          <w:sz w:val="18"/>
          <w:szCs w:val="18"/>
        </w:rPr>
      </w:pPr>
    </w:p>
    <w:p w:rsidR="00E023E5" w:rsidRPr="00EE0539" w:rsidRDefault="00E023E5" w:rsidP="00520CAA">
      <w:pPr>
        <w:numPr>
          <w:ilvl w:val="0"/>
          <w:numId w:val="7"/>
        </w:numPr>
      </w:pPr>
      <w:r w:rsidRPr="00EE0539">
        <w:t xml:space="preserve">This indicator reflects in more detail one of the components of the aggregate quality indicator, namely the time required by the IB to publish the application.  Article 21 (2) (a) of the PCT states that the </w:t>
      </w:r>
      <w:r w:rsidRPr="00EE0539">
        <w:lastRenderedPageBreak/>
        <w:t>“… international publication of the international application shall be effected promptly after the expiration of 18 months from the priority date of that application.”</w:t>
      </w:r>
    </w:p>
    <w:p w:rsidR="00E023E5" w:rsidRPr="005F6BFD" w:rsidRDefault="00E023E5" w:rsidP="00E023E5">
      <w:pPr>
        <w:pStyle w:val="BodyText2"/>
        <w:spacing w:line="240" w:lineRule="auto"/>
        <w:rPr>
          <w:rFonts w:cs="Arial"/>
        </w:rPr>
      </w:pPr>
    </w:p>
    <w:p w:rsidR="00E023E5" w:rsidRPr="000E46C3" w:rsidRDefault="00E023E5" w:rsidP="00E023E5">
      <w:pPr>
        <w:pStyle w:val="BodyText2"/>
        <w:spacing w:line="240" w:lineRule="auto"/>
        <w:jc w:val="center"/>
        <w:rPr>
          <w:rFonts w:cs="Arial"/>
          <w:b/>
          <w:bCs/>
          <w:sz w:val="16"/>
          <w:szCs w:val="16"/>
          <w:highlight w:val="yellow"/>
        </w:rPr>
      </w:pPr>
      <w:r>
        <w:rPr>
          <w:rFonts w:cs="Arial"/>
          <w:b/>
          <w:bCs/>
          <w:noProof/>
          <w:sz w:val="16"/>
          <w:szCs w:val="16"/>
        </w:rPr>
        <w:drawing>
          <wp:inline distT="0" distB="0" distL="0" distR="0" wp14:anchorId="155ADE86" wp14:editId="5A177918">
            <wp:extent cx="5566410" cy="2555240"/>
            <wp:effectExtent l="0" t="0" r="0" b="0"/>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66410" cy="2555240"/>
                    </a:xfrm>
                    <a:prstGeom prst="rect">
                      <a:avLst/>
                    </a:prstGeom>
                    <a:noFill/>
                  </pic:spPr>
                </pic:pic>
              </a:graphicData>
            </a:graphic>
          </wp:inline>
        </w:drawing>
      </w:r>
    </w:p>
    <w:p w:rsidR="00E023E5" w:rsidRPr="00D65AC8" w:rsidRDefault="00E023E5" w:rsidP="00E023E5">
      <w:pPr>
        <w:rPr>
          <w:i/>
        </w:rPr>
      </w:pPr>
      <w:r w:rsidRPr="00D65AC8">
        <w:rPr>
          <w:i/>
        </w:rPr>
        <w:t>Timeliness of republication</w:t>
      </w:r>
    </w:p>
    <w:p w:rsidR="00E023E5" w:rsidRPr="00D65AC8" w:rsidRDefault="00E023E5" w:rsidP="00E023E5">
      <w:pPr>
        <w:rPr>
          <w:sz w:val="18"/>
          <w:szCs w:val="18"/>
        </w:rPr>
      </w:pPr>
    </w:p>
    <w:p w:rsidR="00E023E5" w:rsidRPr="00EE0539" w:rsidRDefault="00E023E5" w:rsidP="00520CAA">
      <w:pPr>
        <w:numPr>
          <w:ilvl w:val="0"/>
          <w:numId w:val="7"/>
        </w:numPr>
      </w:pPr>
      <w:r w:rsidRPr="00EE0539">
        <w:t>This indicator reflects in more detail one of the components of the aggregate quality indicator, namely the time required by the IB to republish the application with the ISR.  Due to delays in the communication of ISRs by ISAs, a number of international applications are published without the ISR.  When the ISR becomes available, the international application needs to be republished with the ISR as soon as possible, so as to complete the international publication.</w:t>
      </w:r>
    </w:p>
    <w:p w:rsidR="00E023E5" w:rsidRPr="00EE0539" w:rsidRDefault="00E023E5" w:rsidP="00E023E5"/>
    <w:p w:rsidR="00E023E5" w:rsidRPr="00D65AC8" w:rsidRDefault="00E023E5" w:rsidP="00E023E5">
      <w:pPr>
        <w:rPr>
          <w:b/>
          <w:szCs w:val="18"/>
        </w:rPr>
      </w:pPr>
      <w:r>
        <w:rPr>
          <w:b/>
          <w:noProof/>
          <w:szCs w:val="18"/>
        </w:rPr>
        <w:drawing>
          <wp:inline distT="0" distB="0" distL="0" distR="0" wp14:anchorId="518D7352" wp14:editId="3A8DF651">
            <wp:extent cx="5836285" cy="2677160"/>
            <wp:effectExtent l="0" t="0" r="0" b="8890"/>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36285" cy="2677160"/>
                    </a:xfrm>
                    <a:prstGeom prst="rect">
                      <a:avLst/>
                    </a:prstGeom>
                    <a:noFill/>
                  </pic:spPr>
                </pic:pic>
              </a:graphicData>
            </a:graphic>
          </wp:inline>
        </w:drawing>
      </w:r>
    </w:p>
    <w:p w:rsidR="00E023E5" w:rsidRDefault="00E023E5" w:rsidP="00E023E5">
      <w:pPr>
        <w:rPr>
          <w:i/>
        </w:rPr>
      </w:pPr>
    </w:p>
    <w:p w:rsidR="00E023E5" w:rsidRPr="00E34675" w:rsidRDefault="00E023E5" w:rsidP="00E023E5">
      <w:pPr>
        <w:rPr>
          <w:i/>
        </w:rPr>
      </w:pPr>
      <w:r w:rsidRPr="00E34675">
        <w:rPr>
          <w:i/>
        </w:rPr>
        <w:t xml:space="preserve">Quality of translation </w:t>
      </w:r>
    </w:p>
    <w:p w:rsidR="00E023E5" w:rsidRPr="00E34675" w:rsidRDefault="00E023E5" w:rsidP="00E023E5">
      <w:pPr>
        <w:rPr>
          <w:b/>
          <w:szCs w:val="18"/>
        </w:rPr>
      </w:pPr>
    </w:p>
    <w:p w:rsidR="00E023E5" w:rsidRPr="00EE0539" w:rsidRDefault="00E023E5" w:rsidP="00520CAA">
      <w:pPr>
        <w:numPr>
          <w:ilvl w:val="0"/>
          <w:numId w:val="7"/>
        </w:numPr>
      </w:pPr>
      <w:r w:rsidRPr="00EE0539">
        <w:t xml:space="preserve">Statistically calculated numbers of documents are selected at random from translations of abstracts and patentability reports prepared under the responsibility of the IB for quality control.  The evaluation determines whether a translation is “acceptable” or “not acceptable”.  This indicator aggregates the results of such quality control performed by the IB across all language combinations and document types.  Relationships with any agencies that consistently have less than 80 per cent of their translations deemed “acceptable” are discontinued. </w:t>
      </w:r>
    </w:p>
    <w:p w:rsidR="00E023E5" w:rsidRDefault="00E023E5" w:rsidP="00E023E5">
      <w:pPr>
        <w:jc w:val="center"/>
        <w:rPr>
          <w:highlight w:val="yellow"/>
        </w:rPr>
      </w:pPr>
    </w:p>
    <w:p w:rsidR="00E023E5" w:rsidRPr="000D2666" w:rsidRDefault="00E023E5" w:rsidP="00E023E5">
      <w:pPr>
        <w:keepNext/>
        <w:keepLines/>
        <w:jc w:val="center"/>
        <w:rPr>
          <w:b/>
          <w:sz w:val="18"/>
        </w:rPr>
      </w:pPr>
      <w:r w:rsidRPr="000D2666">
        <w:rPr>
          <w:b/>
          <w:sz w:val="18"/>
        </w:rPr>
        <w:lastRenderedPageBreak/>
        <w:t>Quality of PCT Translation</w:t>
      </w:r>
    </w:p>
    <w:p w:rsidR="00E023E5" w:rsidRPr="00664E37" w:rsidRDefault="00E023E5" w:rsidP="00E023E5">
      <w:pPr>
        <w:keepNext/>
        <w:keepLines/>
        <w:jc w:val="center"/>
        <w:rPr>
          <w:b/>
        </w:rPr>
      </w:pPr>
    </w:p>
    <w:p w:rsidR="00E023E5" w:rsidRPr="004005D3" w:rsidRDefault="00E023E5" w:rsidP="00E023E5">
      <w:pPr>
        <w:keepNext/>
        <w:keepLines/>
        <w:jc w:val="center"/>
      </w:pPr>
      <w:r>
        <w:rPr>
          <w:noProof/>
        </w:rPr>
        <w:drawing>
          <wp:inline distT="0" distB="0" distL="0" distR="0" wp14:anchorId="732F5FFC" wp14:editId="7B822939">
            <wp:extent cx="5901690" cy="3328670"/>
            <wp:effectExtent l="0" t="0" r="3810" b="5080"/>
            <wp:docPr id="825" name="Pictur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01690" cy="3328670"/>
                    </a:xfrm>
                    <a:prstGeom prst="rect">
                      <a:avLst/>
                    </a:prstGeom>
                    <a:noFill/>
                  </pic:spPr>
                </pic:pic>
              </a:graphicData>
            </a:graphic>
          </wp:inline>
        </w:drawing>
      </w:r>
    </w:p>
    <w:p w:rsidR="00E023E5" w:rsidRPr="004005D3" w:rsidRDefault="00E023E5" w:rsidP="00E023E5">
      <w:pPr>
        <w:keepNext/>
        <w:keepLines/>
        <w:jc w:val="center"/>
      </w:pPr>
    </w:p>
    <w:p w:rsidR="00E023E5" w:rsidRPr="000E46C3" w:rsidRDefault="00E023E5" w:rsidP="00E023E5">
      <w:pPr>
        <w:keepNext/>
        <w:keepLines/>
        <w:rPr>
          <w:highlight w:val="yellow"/>
        </w:rPr>
      </w:pPr>
    </w:p>
    <w:p w:rsidR="00E023E5" w:rsidRDefault="00E023E5" w:rsidP="00E023E5">
      <w:pPr>
        <w:rPr>
          <w:i/>
        </w:rPr>
      </w:pPr>
      <w:r>
        <w:rPr>
          <w:i/>
        </w:rPr>
        <w:br w:type="page"/>
      </w:r>
    </w:p>
    <w:p w:rsidR="00E023E5" w:rsidRPr="00EE0539" w:rsidRDefault="00E023E5" w:rsidP="00E023E5">
      <w:pPr>
        <w:keepNext/>
        <w:keepLines/>
        <w:rPr>
          <w:i/>
        </w:rPr>
      </w:pPr>
      <w:r w:rsidRPr="00EE0539">
        <w:rPr>
          <w:i/>
        </w:rPr>
        <w:lastRenderedPageBreak/>
        <w:t>Timeliness of report translation</w:t>
      </w:r>
    </w:p>
    <w:p w:rsidR="00E023E5" w:rsidRPr="00EE0539" w:rsidRDefault="00E023E5" w:rsidP="00E023E5"/>
    <w:p w:rsidR="00E023E5" w:rsidRPr="00EE0539" w:rsidRDefault="00E023E5" w:rsidP="00520CAA">
      <w:pPr>
        <w:numPr>
          <w:ilvl w:val="0"/>
          <w:numId w:val="7"/>
        </w:numPr>
      </w:pPr>
      <w:r w:rsidRPr="00EE0539">
        <w:t>This indicator provides information on the timeliness with which patentability report translations are made available by the IB to applicants and Offices.  The share of patentability report translations delivered at 30 months from the priority date of the international application has steadily increased since 2010. In 2014, 82.5</w:t>
      </w:r>
      <w:r>
        <w:t xml:space="preserve"> per cent</w:t>
      </w:r>
      <w:r w:rsidRPr="00EE0539">
        <w:t xml:space="preserve"> of patentability report translations were delivered at 30 months from the priority date.</w:t>
      </w:r>
    </w:p>
    <w:p w:rsidR="00E023E5" w:rsidRDefault="00E023E5" w:rsidP="00E023E5">
      <w:pPr>
        <w:ind w:left="142"/>
        <w:jc w:val="both"/>
      </w:pPr>
    </w:p>
    <w:p w:rsidR="00E023E5" w:rsidRPr="000D2666" w:rsidRDefault="00E023E5" w:rsidP="00E023E5">
      <w:pPr>
        <w:ind w:left="142"/>
        <w:jc w:val="center"/>
        <w:rPr>
          <w:b/>
          <w:sz w:val="18"/>
        </w:rPr>
      </w:pPr>
      <w:r w:rsidRPr="000D2666">
        <w:rPr>
          <w:b/>
          <w:sz w:val="18"/>
        </w:rPr>
        <w:t>Timeliness of Report Translation</w:t>
      </w:r>
    </w:p>
    <w:p w:rsidR="00E023E5" w:rsidRPr="004005D3" w:rsidRDefault="00E023E5" w:rsidP="00E023E5">
      <w:pPr>
        <w:pStyle w:val="BodyText2"/>
        <w:keepNext/>
        <w:keepLines/>
        <w:spacing w:after="0" w:line="240" w:lineRule="auto"/>
        <w:ind w:left="142"/>
        <w:jc w:val="both"/>
      </w:pPr>
      <w:r>
        <w:rPr>
          <w:noProof/>
        </w:rPr>
        <w:drawing>
          <wp:inline distT="0" distB="0" distL="0" distR="0" wp14:anchorId="4B747873" wp14:editId="4E3DC0A6">
            <wp:extent cx="6038850" cy="2680335"/>
            <wp:effectExtent l="0" t="0" r="0" b="5715"/>
            <wp:docPr id="821"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38850" cy="2680335"/>
                    </a:xfrm>
                    <a:prstGeom prst="rect">
                      <a:avLst/>
                    </a:prstGeom>
                    <a:noFill/>
                  </pic:spPr>
                </pic:pic>
              </a:graphicData>
            </a:graphic>
          </wp:inline>
        </w:drawing>
      </w:r>
    </w:p>
    <w:p w:rsidR="00E023E5" w:rsidRDefault="00E023E5" w:rsidP="00E023E5">
      <w:pPr>
        <w:rPr>
          <w:i/>
        </w:rPr>
      </w:pPr>
    </w:p>
    <w:p w:rsidR="00E023E5" w:rsidRPr="009915C4" w:rsidRDefault="00E023E5" w:rsidP="00E023E5">
      <w:pPr>
        <w:rPr>
          <w:i/>
        </w:rPr>
      </w:pPr>
      <w:r w:rsidRPr="00F6583F">
        <w:rPr>
          <w:i/>
        </w:rPr>
        <w:t xml:space="preserve">Quality of software </w:t>
      </w:r>
      <w:r w:rsidRPr="009915C4">
        <w:rPr>
          <w:i/>
        </w:rPr>
        <w:t>development</w:t>
      </w:r>
    </w:p>
    <w:p w:rsidR="00E023E5" w:rsidRPr="00EE0539" w:rsidRDefault="00E023E5" w:rsidP="00E023E5">
      <w:pPr>
        <w:jc w:val="both"/>
        <w:rPr>
          <w:b/>
        </w:rPr>
      </w:pPr>
    </w:p>
    <w:p w:rsidR="00E023E5" w:rsidRPr="00EE0539" w:rsidRDefault="00E023E5" w:rsidP="00520CAA">
      <w:pPr>
        <w:numPr>
          <w:ilvl w:val="0"/>
          <w:numId w:val="7"/>
        </w:numPr>
      </w:pPr>
      <w:r w:rsidRPr="00EE0539">
        <w:rPr>
          <w:lang w:val="en-GB"/>
        </w:rPr>
        <w:t>The</w:t>
      </w:r>
      <w:r w:rsidRPr="00EE0539">
        <w:t xml:space="preserve"> quality of software development (QSD) indicator provides a measure of the quality of major software releases for </w:t>
      </w:r>
      <w:proofErr w:type="spellStart"/>
      <w:r w:rsidRPr="00EE0539">
        <w:t>eDossier</w:t>
      </w:r>
      <w:proofErr w:type="spellEnd"/>
      <w:r w:rsidRPr="00EE0539">
        <w:t xml:space="preserve"> and </w:t>
      </w:r>
      <w:proofErr w:type="spellStart"/>
      <w:r w:rsidRPr="00EE0539">
        <w:t>ePCT</w:t>
      </w:r>
      <w:proofErr w:type="spellEnd"/>
      <w:r w:rsidRPr="00EE0539">
        <w:t xml:space="preserve"> projects. </w:t>
      </w:r>
      <w:r w:rsidRPr="00F6583F">
        <w:t xml:space="preserve"> </w:t>
      </w:r>
      <w:r w:rsidRPr="00EE0539">
        <w:t xml:space="preserve">The QSD reflects the share of the time spent delivering new functionality in the release (i.e. work) out of the total time spent (i.e. work + rework). Rework is the time spent correcting defective work that was detected in the production environment.  </w:t>
      </w:r>
    </w:p>
    <w:p w:rsidR="00E023E5" w:rsidRPr="00EE0539" w:rsidRDefault="00E023E5" w:rsidP="00E023E5">
      <w:pPr>
        <w:jc w:val="both"/>
      </w:pPr>
    </w:p>
    <w:p w:rsidR="00E023E5" w:rsidRPr="00EE0539" w:rsidRDefault="00E023E5" w:rsidP="00520CAA">
      <w:pPr>
        <w:numPr>
          <w:ilvl w:val="0"/>
          <w:numId w:val="7"/>
        </w:numPr>
      </w:pPr>
      <w:r w:rsidRPr="00EE0539">
        <w:rPr>
          <w:lang w:val="en-GB"/>
        </w:rPr>
        <w:t>Under</w:t>
      </w:r>
      <w:r w:rsidRPr="00EE0539">
        <w:t xml:space="preserve"> this approach, development outputs that contain low levels of rework are deemed high quality as it reflects the extent of value added to the product through the delivery of new features. </w:t>
      </w:r>
    </w:p>
    <w:p w:rsidR="00E023E5" w:rsidRPr="00EE0539" w:rsidRDefault="00E023E5" w:rsidP="00E023E5">
      <w:pPr>
        <w:jc w:val="both"/>
      </w:pPr>
    </w:p>
    <w:p w:rsidR="00E023E5" w:rsidRPr="00EE0539" w:rsidRDefault="00E023E5" w:rsidP="00520CAA">
      <w:pPr>
        <w:numPr>
          <w:ilvl w:val="0"/>
          <w:numId w:val="7"/>
        </w:numPr>
      </w:pPr>
      <w:r w:rsidRPr="00EE0539">
        <w:rPr>
          <w:lang w:val="en-GB"/>
        </w:rPr>
        <w:t>The</w:t>
      </w:r>
      <w:r w:rsidRPr="00EE0539">
        <w:t xml:space="preserve"> QSD is defined as:</w:t>
      </w:r>
    </w:p>
    <w:p w:rsidR="00E023E5" w:rsidRDefault="00E023E5" w:rsidP="00E023E5">
      <w:pPr>
        <w:pStyle w:val="BodyText2"/>
        <w:spacing w:after="0" w:line="240" w:lineRule="auto"/>
        <w:jc w:val="both"/>
        <w:rPr>
          <w:rFonts w:cs="Arial"/>
          <w:szCs w:val="20"/>
        </w:rPr>
      </w:pPr>
    </w:p>
    <w:p w:rsidR="00E023E5" w:rsidRDefault="00E023E5" w:rsidP="00E023E5">
      <w:pPr>
        <w:pStyle w:val="BodyText2"/>
        <w:spacing w:after="0" w:line="240" w:lineRule="auto"/>
        <w:jc w:val="center"/>
        <w:rPr>
          <w:rFonts w:cs="Arial"/>
          <w:szCs w:val="20"/>
        </w:rPr>
      </w:pPr>
      <w:r>
        <w:rPr>
          <w:noProof/>
        </w:rPr>
        <w:drawing>
          <wp:inline distT="0" distB="0" distL="0" distR="0" wp14:anchorId="32147739" wp14:editId="562E9428">
            <wp:extent cx="3267075" cy="35242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67075" cy="352425"/>
                    </a:xfrm>
                    <a:prstGeom prst="rect">
                      <a:avLst/>
                    </a:prstGeom>
                    <a:noFill/>
                    <a:ln>
                      <a:noFill/>
                    </a:ln>
                  </pic:spPr>
                </pic:pic>
              </a:graphicData>
            </a:graphic>
          </wp:inline>
        </w:drawing>
      </w:r>
    </w:p>
    <w:p w:rsidR="00E023E5" w:rsidRPr="00EE0539" w:rsidRDefault="00E023E5" w:rsidP="00E023E5">
      <w:pPr>
        <w:pStyle w:val="BodyText2"/>
        <w:spacing w:after="0" w:line="240" w:lineRule="auto"/>
        <w:jc w:val="both"/>
        <w:rPr>
          <w:rFonts w:cs="Arial"/>
          <w:szCs w:val="20"/>
        </w:rPr>
      </w:pPr>
    </w:p>
    <w:p w:rsidR="00E023E5" w:rsidRPr="00EE0539" w:rsidRDefault="00E023E5" w:rsidP="00520CAA">
      <w:pPr>
        <w:numPr>
          <w:ilvl w:val="0"/>
          <w:numId w:val="7"/>
        </w:numPr>
      </w:pPr>
      <w:r w:rsidRPr="00EE0539">
        <w:t>In 2014, the quality of major releases, as defined by the QSD, was 94.3</w:t>
      </w:r>
      <w:r>
        <w:t xml:space="preserve"> per cent</w:t>
      </w:r>
      <w:r w:rsidRPr="00EE0539">
        <w:t xml:space="preserve">. This share is nearly five percentage points higher than </w:t>
      </w:r>
      <w:r>
        <w:t>in</w:t>
      </w:r>
      <w:r w:rsidRPr="00EE0539">
        <w:t xml:space="preserve"> 2013.</w:t>
      </w:r>
    </w:p>
    <w:p w:rsidR="00E023E5" w:rsidRDefault="00E023E5" w:rsidP="00E023E5"/>
    <w:p w:rsidR="00E023E5" w:rsidRDefault="00E023E5" w:rsidP="00E023E5">
      <w:pPr>
        <w:jc w:val="center"/>
        <w:rPr>
          <w:b/>
        </w:rPr>
      </w:pPr>
    </w:p>
    <w:p w:rsidR="00E023E5" w:rsidRPr="000D2666" w:rsidRDefault="00E023E5" w:rsidP="00E023E5">
      <w:pPr>
        <w:keepNext/>
        <w:keepLines/>
        <w:jc w:val="center"/>
        <w:rPr>
          <w:b/>
          <w:sz w:val="18"/>
        </w:rPr>
      </w:pPr>
      <w:r w:rsidRPr="000D2666">
        <w:rPr>
          <w:b/>
          <w:sz w:val="18"/>
        </w:rPr>
        <w:lastRenderedPageBreak/>
        <w:t>Quality of Software Development</w:t>
      </w:r>
    </w:p>
    <w:p w:rsidR="00E023E5" w:rsidRDefault="00E023E5" w:rsidP="00E023E5">
      <w:pPr>
        <w:keepNext/>
        <w:keepLines/>
      </w:pPr>
      <w:r>
        <w:rPr>
          <w:noProof/>
        </w:rPr>
        <w:drawing>
          <wp:inline distT="0" distB="0" distL="0" distR="0" wp14:anchorId="53F6A330" wp14:editId="37DF4E6A">
            <wp:extent cx="5857875" cy="3448050"/>
            <wp:effectExtent l="0" t="0" r="9525" b="0"/>
            <wp:docPr id="1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57875" cy="3448050"/>
                    </a:xfrm>
                    <a:prstGeom prst="rect">
                      <a:avLst/>
                    </a:prstGeom>
                    <a:noFill/>
                    <a:ln>
                      <a:noFill/>
                    </a:ln>
                  </pic:spPr>
                </pic:pic>
              </a:graphicData>
            </a:graphic>
          </wp:inline>
        </w:drawing>
      </w:r>
    </w:p>
    <w:p w:rsidR="00E023E5" w:rsidRDefault="00E023E5" w:rsidP="00E023E5">
      <w:pPr>
        <w:keepNext/>
        <w:keepLines/>
      </w:pPr>
    </w:p>
    <w:p w:rsidR="00E023E5" w:rsidRPr="004853B3" w:rsidRDefault="00E023E5" w:rsidP="00E023E5">
      <w:pPr>
        <w:rPr>
          <w:i/>
        </w:rPr>
      </w:pPr>
      <w:r w:rsidRPr="004853B3">
        <w:rPr>
          <w:i/>
        </w:rPr>
        <w:t>Information systems service levels</w:t>
      </w:r>
    </w:p>
    <w:p w:rsidR="00E023E5" w:rsidRDefault="00E023E5" w:rsidP="00E023E5">
      <w:pPr>
        <w:pStyle w:val="BodyText2"/>
        <w:spacing w:after="0" w:line="240" w:lineRule="auto"/>
        <w:jc w:val="both"/>
        <w:rPr>
          <w:rFonts w:cs="Arial"/>
        </w:rPr>
      </w:pPr>
    </w:p>
    <w:p w:rsidR="00E023E5" w:rsidRPr="00EE0539" w:rsidRDefault="00E023E5" w:rsidP="00520CAA">
      <w:pPr>
        <w:numPr>
          <w:ilvl w:val="0"/>
          <w:numId w:val="7"/>
        </w:numPr>
        <w:rPr>
          <w:color w:val="000000"/>
          <w:lang w:val="en-GB" w:eastAsia="en-GB"/>
        </w:rPr>
      </w:pPr>
      <w:r w:rsidRPr="00EE0539">
        <w:rPr>
          <w:lang w:val="en-GB"/>
        </w:rPr>
        <w:t>The</w:t>
      </w:r>
      <w:r w:rsidRPr="00EE0539">
        <w:t xml:space="preserve"> performance indicator entitled information systems service levels (ISSL) </w:t>
      </w:r>
      <w:r w:rsidRPr="00EE0539">
        <w:rPr>
          <w:color w:val="000000"/>
          <w:lang w:val="en-GB" w:eastAsia="en-GB"/>
        </w:rPr>
        <w:t>reflects the performance of the service provided by the PCT information systems service to users, based on its ability to meet agreed targets.</w:t>
      </w:r>
    </w:p>
    <w:p w:rsidR="00E023E5" w:rsidRPr="00EE0539" w:rsidRDefault="00E023E5" w:rsidP="00E023E5">
      <w:pPr>
        <w:pStyle w:val="BodyText2"/>
        <w:spacing w:after="0" w:line="240" w:lineRule="auto"/>
        <w:jc w:val="both"/>
        <w:rPr>
          <w:rFonts w:cs="Arial"/>
          <w:szCs w:val="20"/>
        </w:rPr>
      </w:pPr>
    </w:p>
    <w:p w:rsidR="00E023E5" w:rsidRPr="00EE0539" w:rsidRDefault="00E023E5" w:rsidP="00520CAA">
      <w:pPr>
        <w:numPr>
          <w:ilvl w:val="0"/>
          <w:numId w:val="7"/>
        </w:numPr>
        <w:rPr>
          <w:color w:val="000000"/>
          <w:lang w:val="en-GB" w:eastAsia="en-GB"/>
        </w:rPr>
      </w:pPr>
      <w:r w:rsidRPr="00EE0539">
        <w:rPr>
          <w:lang w:val="en-GB"/>
        </w:rPr>
        <w:t>This</w:t>
      </w:r>
      <w:r w:rsidRPr="00EE0539">
        <w:rPr>
          <w:color w:val="000000"/>
          <w:lang w:val="en-GB" w:eastAsia="en-GB"/>
        </w:rPr>
        <w:t xml:space="preserve"> composite indicator is calculated using the weighted average of five target-based performance indicators</w:t>
      </w:r>
      <w:r w:rsidRPr="00EE0539">
        <w:rPr>
          <w:rStyle w:val="FootnoteReference"/>
        </w:rPr>
        <w:footnoteReference w:id="11"/>
      </w:r>
      <w:r w:rsidRPr="00EE0539">
        <w:rPr>
          <w:color w:val="000000"/>
          <w:lang w:val="en-GB" w:eastAsia="en-GB"/>
        </w:rPr>
        <w:t xml:space="preserve">.  Each indicator is expressed as the percentage of the target actually attained.  </w:t>
      </w:r>
    </w:p>
    <w:p w:rsidR="00E023E5" w:rsidRPr="00EE0539" w:rsidRDefault="00E023E5" w:rsidP="00E023E5">
      <w:pPr>
        <w:autoSpaceDE w:val="0"/>
        <w:autoSpaceDN w:val="0"/>
        <w:adjustRightInd w:val="0"/>
        <w:jc w:val="both"/>
        <w:rPr>
          <w:color w:val="000000"/>
          <w:lang w:val="en-GB" w:eastAsia="en-GB"/>
        </w:rPr>
      </w:pPr>
      <w:r w:rsidRPr="00EE0539">
        <w:rPr>
          <w:color w:val="000000"/>
          <w:lang w:val="en-GB" w:eastAsia="en-GB"/>
        </w:rPr>
        <w:t xml:space="preserve"> </w:t>
      </w:r>
    </w:p>
    <w:p w:rsidR="00E023E5" w:rsidRPr="00EE0539" w:rsidRDefault="00E023E5" w:rsidP="00520CAA">
      <w:pPr>
        <w:numPr>
          <w:ilvl w:val="0"/>
          <w:numId w:val="7"/>
        </w:numPr>
      </w:pPr>
      <w:r w:rsidRPr="00EE0539">
        <w:t>In 2014, overall service level was 95.3</w:t>
      </w:r>
      <w:r>
        <w:t xml:space="preserve"> per cent</w:t>
      </w:r>
      <w:r w:rsidRPr="00EE0539">
        <w:t xml:space="preserve"> towards meeting the target performance levels. </w:t>
      </w:r>
    </w:p>
    <w:p w:rsidR="00E023E5" w:rsidRDefault="00E023E5" w:rsidP="00E023E5">
      <w:pPr>
        <w:autoSpaceDE w:val="0"/>
        <w:autoSpaceDN w:val="0"/>
        <w:adjustRightInd w:val="0"/>
        <w:jc w:val="both"/>
      </w:pPr>
    </w:p>
    <w:p w:rsidR="00E023E5" w:rsidRDefault="00E023E5" w:rsidP="00E023E5">
      <w:pPr>
        <w:jc w:val="center"/>
        <w:rPr>
          <w:b/>
        </w:rPr>
      </w:pPr>
    </w:p>
    <w:p w:rsidR="00E023E5" w:rsidRPr="000E0146" w:rsidRDefault="00E023E5" w:rsidP="00E023E5">
      <w:pPr>
        <w:jc w:val="center"/>
        <w:rPr>
          <w:b/>
        </w:rPr>
      </w:pPr>
      <w:r>
        <w:rPr>
          <w:b/>
        </w:rPr>
        <w:br w:type="page"/>
      </w:r>
      <w:r w:rsidRPr="000E0146">
        <w:rPr>
          <w:b/>
        </w:rPr>
        <w:lastRenderedPageBreak/>
        <w:t xml:space="preserve">Information </w:t>
      </w:r>
      <w:r>
        <w:rPr>
          <w:b/>
        </w:rPr>
        <w:t>S</w:t>
      </w:r>
      <w:r w:rsidRPr="000E0146">
        <w:rPr>
          <w:b/>
        </w:rPr>
        <w:t xml:space="preserve">ystems </w:t>
      </w:r>
      <w:r>
        <w:rPr>
          <w:b/>
        </w:rPr>
        <w:t>S</w:t>
      </w:r>
      <w:r w:rsidRPr="000E0146">
        <w:rPr>
          <w:b/>
        </w:rPr>
        <w:t xml:space="preserve">ervice </w:t>
      </w:r>
      <w:r>
        <w:rPr>
          <w:b/>
        </w:rPr>
        <w:t>Le</w:t>
      </w:r>
      <w:r w:rsidRPr="000E0146">
        <w:rPr>
          <w:b/>
        </w:rPr>
        <w:t>vels</w:t>
      </w:r>
    </w:p>
    <w:p w:rsidR="00E023E5" w:rsidRDefault="00E023E5" w:rsidP="00E023E5">
      <w:pPr>
        <w:autoSpaceDE w:val="0"/>
        <w:autoSpaceDN w:val="0"/>
        <w:adjustRightInd w:val="0"/>
        <w:rPr>
          <w:color w:val="000000"/>
          <w:lang w:val="en-GB" w:eastAsia="en-GB"/>
        </w:rPr>
      </w:pP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34"/>
        <w:gridCol w:w="2002"/>
        <w:gridCol w:w="1984"/>
        <w:gridCol w:w="1134"/>
        <w:gridCol w:w="1101"/>
      </w:tblGrid>
      <w:tr w:rsidR="00E023E5" w:rsidRPr="00EE0539" w:rsidTr="00E023E5">
        <w:trPr>
          <w:jc w:val="center"/>
        </w:trPr>
        <w:tc>
          <w:tcPr>
            <w:tcW w:w="534" w:type="dxa"/>
            <w:shd w:val="clear" w:color="auto" w:fill="auto"/>
            <w:tcMar>
              <w:top w:w="85" w:type="dxa"/>
              <w:bottom w:w="85" w:type="dxa"/>
            </w:tcMar>
          </w:tcPr>
          <w:p w:rsidR="00E023E5" w:rsidRPr="00EE0539" w:rsidRDefault="00E023E5" w:rsidP="00E023E5">
            <w:pPr>
              <w:autoSpaceDE w:val="0"/>
              <w:autoSpaceDN w:val="0"/>
              <w:adjustRightInd w:val="0"/>
              <w:jc w:val="center"/>
              <w:rPr>
                <w:b/>
                <w:color w:val="000000"/>
                <w:lang w:val="en-GB" w:eastAsia="en-GB"/>
              </w:rPr>
            </w:pPr>
            <w:r w:rsidRPr="00EE0539">
              <w:rPr>
                <w:b/>
                <w:color w:val="000000"/>
                <w:lang w:val="en-GB" w:eastAsia="en-GB"/>
              </w:rPr>
              <w:t>Id</w:t>
            </w:r>
          </w:p>
        </w:tc>
        <w:tc>
          <w:tcPr>
            <w:tcW w:w="2534" w:type="dxa"/>
            <w:shd w:val="clear" w:color="auto" w:fill="auto"/>
            <w:tcMar>
              <w:top w:w="85" w:type="dxa"/>
              <w:bottom w:w="85" w:type="dxa"/>
            </w:tcMar>
          </w:tcPr>
          <w:p w:rsidR="00E023E5" w:rsidRPr="00EE0539" w:rsidRDefault="00E023E5" w:rsidP="00E023E5">
            <w:pPr>
              <w:autoSpaceDE w:val="0"/>
              <w:autoSpaceDN w:val="0"/>
              <w:adjustRightInd w:val="0"/>
              <w:jc w:val="center"/>
              <w:rPr>
                <w:b/>
                <w:color w:val="000000"/>
                <w:lang w:val="en-GB" w:eastAsia="en-GB"/>
              </w:rPr>
            </w:pPr>
            <w:r w:rsidRPr="00EE0539">
              <w:rPr>
                <w:b/>
                <w:color w:val="000000"/>
                <w:lang w:val="en-GB" w:eastAsia="en-GB"/>
              </w:rPr>
              <w:t xml:space="preserve">Performance Indicator </w:t>
            </w:r>
          </w:p>
          <w:p w:rsidR="00E023E5" w:rsidRPr="00EE0539" w:rsidRDefault="00E023E5" w:rsidP="00E023E5">
            <w:pPr>
              <w:autoSpaceDE w:val="0"/>
              <w:autoSpaceDN w:val="0"/>
              <w:adjustRightInd w:val="0"/>
              <w:jc w:val="center"/>
              <w:rPr>
                <w:b/>
                <w:i/>
                <w:color w:val="000000"/>
                <w:lang w:val="en-GB" w:eastAsia="en-GB"/>
              </w:rPr>
            </w:pPr>
            <w:r w:rsidRPr="00EE0539">
              <w:rPr>
                <w:b/>
                <w:i/>
                <w:color w:val="000000"/>
                <w:lang w:val="en-GB" w:eastAsia="en-GB"/>
              </w:rPr>
              <w:t>Short description</w:t>
            </w:r>
          </w:p>
        </w:tc>
        <w:tc>
          <w:tcPr>
            <w:tcW w:w="2002" w:type="dxa"/>
            <w:shd w:val="clear" w:color="auto" w:fill="auto"/>
            <w:tcMar>
              <w:top w:w="85" w:type="dxa"/>
              <w:bottom w:w="85" w:type="dxa"/>
            </w:tcMar>
          </w:tcPr>
          <w:p w:rsidR="00E023E5" w:rsidRPr="00EE0539" w:rsidRDefault="00E023E5" w:rsidP="00E023E5">
            <w:pPr>
              <w:autoSpaceDE w:val="0"/>
              <w:autoSpaceDN w:val="0"/>
              <w:adjustRightInd w:val="0"/>
              <w:jc w:val="center"/>
              <w:rPr>
                <w:b/>
                <w:color w:val="000000"/>
                <w:lang w:val="en-GB" w:eastAsia="en-GB"/>
              </w:rPr>
            </w:pPr>
            <w:r w:rsidRPr="00EE0539">
              <w:rPr>
                <w:b/>
                <w:color w:val="000000"/>
                <w:lang w:val="en-GB" w:eastAsia="en-GB"/>
              </w:rPr>
              <w:t>Target</w:t>
            </w:r>
          </w:p>
        </w:tc>
        <w:tc>
          <w:tcPr>
            <w:tcW w:w="1984" w:type="dxa"/>
            <w:shd w:val="clear" w:color="auto" w:fill="auto"/>
            <w:tcMar>
              <w:top w:w="85" w:type="dxa"/>
              <w:bottom w:w="85" w:type="dxa"/>
            </w:tcMar>
          </w:tcPr>
          <w:p w:rsidR="00E023E5" w:rsidRPr="00EE0539" w:rsidRDefault="00E023E5" w:rsidP="00E023E5">
            <w:pPr>
              <w:autoSpaceDE w:val="0"/>
              <w:autoSpaceDN w:val="0"/>
              <w:adjustRightInd w:val="0"/>
              <w:jc w:val="center"/>
              <w:rPr>
                <w:b/>
                <w:color w:val="000000"/>
                <w:lang w:val="en-GB" w:eastAsia="en-GB"/>
              </w:rPr>
            </w:pPr>
            <w:r w:rsidRPr="00EE0539">
              <w:rPr>
                <w:b/>
                <w:color w:val="000000"/>
                <w:lang w:val="en-GB" w:eastAsia="en-GB"/>
              </w:rPr>
              <w:t>Conditions</w:t>
            </w:r>
          </w:p>
        </w:tc>
        <w:tc>
          <w:tcPr>
            <w:tcW w:w="1134" w:type="dxa"/>
            <w:tcMar>
              <w:top w:w="85" w:type="dxa"/>
              <w:bottom w:w="85" w:type="dxa"/>
            </w:tcMar>
          </w:tcPr>
          <w:p w:rsidR="00E023E5" w:rsidRPr="00EE0539" w:rsidRDefault="00E023E5" w:rsidP="00E023E5">
            <w:pPr>
              <w:autoSpaceDE w:val="0"/>
              <w:autoSpaceDN w:val="0"/>
              <w:adjustRightInd w:val="0"/>
              <w:jc w:val="center"/>
              <w:rPr>
                <w:b/>
                <w:color w:val="000000"/>
                <w:lang w:val="en-GB" w:eastAsia="en-GB"/>
              </w:rPr>
            </w:pPr>
            <w:r>
              <w:rPr>
                <w:b/>
              </w:rPr>
              <w:t xml:space="preserve">2013 </w:t>
            </w:r>
            <w:r w:rsidRPr="009915C4">
              <w:rPr>
                <w:b/>
              </w:rPr>
              <w:t>Result</w:t>
            </w:r>
          </w:p>
        </w:tc>
        <w:tc>
          <w:tcPr>
            <w:tcW w:w="1101" w:type="dxa"/>
            <w:tcMar>
              <w:top w:w="85" w:type="dxa"/>
              <w:bottom w:w="85" w:type="dxa"/>
            </w:tcMar>
          </w:tcPr>
          <w:p w:rsidR="00E023E5" w:rsidRPr="00EE0539" w:rsidRDefault="00E023E5" w:rsidP="00E023E5">
            <w:pPr>
              <w:autoSpaceDE w:val="0"/>
              <w:autoSpaceDN w:val="0"/>
              <w:adjustRightInd w:val="0"/>
              <w:jc w:val="center"/>
              <w:rPr>
                <w:b/>
                <w:color w:val="000000"/>
                <w:lang w:val="en-GB" w:eastAsia="en-GB"/>
              </w:rPr>
            </w:pPr>
            <w:r>
              <w:rPr>
                <w:b/>
              </w:rPr>
              <w:t xml:space="preserve">2014 </w:t>
            </w:r>
            <w:r w:rsidRPr="009915C4">
              <w:rPr>
                <w:b/>
              </w:rPr>
              <w:t>Result</w:t>
            </w:r>
          </w:p>
        </w:tc>
      </w:tr>
      <w:tr w:rsidR="00E023E5" w:rsidTr="00E023E5">
        <w:trPr>
          <w:jc w:val="center"/>
        </w:trPr>
        <w:tc>
          <w:tcPr>
            <w:tcW w:w="534" w:type="dxa"/>
            <w:shd w:val="clear" w:color="auto" w:fill="auto"/>
            <w:tcMar>
              <w:top w:w="85" w:type="dxa"/>
              <w:bottom w:w="85" w:type="dxa"/>
            </w:tcMar>
          </w:tcPr>
          <w:p w:rsidR="00E023E5" w:rsidRPr="00EE0539" w:rsidRDefault="00E023E5" w:rsidP="00E023E5">
            <w:pPr>
              <w:rPr>
                <w:sz w:val="16"/>
                <w:szCs w:val="16"/>
                <w:lang w:val="en-GB" w:eastAsia="en-GB"/>
              </w:rPr>
            </w:pPr>
            <w:r w:rsidRPr="00EE0539">
              <w:rPr>
                <w:sz w:val="16"/>
                <w:szCs w:val="16"/>
                <w:lang w:val="en-GB" w:eastAsia="en-GB"/>
              </w:rPr>
              <w:t xml:space="preserve">(1) </w:t>
            </w:r>
          </w:p>
        </w:tc>
        <w:tc>
          <w:tcPr>
            <w:tcW w:w="2534" w:type="dxa"/>
            <w:shd w:val="clear" w:color="auto" w:fill="auto"/>
            <w:tcMar>
              <w:top w:w="85" w:type="dxa"/>
              <w:bottom w:w="85" w:type="dxa"/>
            </w:tcMar>
          </w:tcPr>
          <w:p w:rsidR="00E023E5" w:rsidRPr="00EE0539" w:rsidRDefault="00E023E5" w:rsidP="00E023E5">
            <w:pPr>
              <w:rPr>
                <w:sz w:val="16"/>
                <w:szCs w:val="16"/>
                <w:lang w:val="en-GB" w:eastAsia="en-GB"/>
              </w:rPr>
            </w:pPr>
            <w:r w:rsidRPr="00EE0539">
              <w:rPr>
                <w:sz w:val="16"/>
                <w:szCs w:val="16"/>
                <w:lang w:val="en-GB" w:eastAsia="en-GB"/>
              </w:rPr>
              <w:t>Incident resolution time</w:t>
            </w:r>
          </w:p>
          <w:p w:rsidR="00E023E5" w:rsidRPr="00EE0539" w:rsidRDefault="00E023E5" w:rsidP="00E023E5">
            <w:pPr>
              <w:rPr>
                <w:i/>
                <w:sz w:val="16"/>
                <w:szCs w:val="16"/>
                <w:lang w:val="en-GB" w:eastAsia="en-GB"/>
              </w:rPr>
            </w:pPr>
            <w:r w:rsidRPr="00EE0539">
              <w:rPr>
                <w:i/>
                <w:sz w:val="16"/>
                <w:szCs w:val="16"/>
                <w:lang w:val="en-GB" w:eastAsia="en-GB"/>
              </w:rPr>
              <w:t xml:space="preserve">Working time (7am-7pm on WIPO working days) between a ticket being created and resolved. </w:t>
            </w:r>
          </w:p>
        </w:tc>
        <w:tc>
          <w:tcPr>
            <w:tcW w:w="2002" w:type="dxa"/>
            <w:shd w:val="clear" w:color="auto" w:fill="auto"/>
            <w:tcMar>
              <w:top w:w="85" w:type="dxa"/>
              <w:bottom w:w="85" w:type="dxa"/>
            </w:tcMar>
          </w:tcPr>
          <w:p w:rsidR="00E023E5" w:rsidRPr="00EE0539" w:rsidRDefault="00E023E5" w:rsidP="00E023E5">
            <w:pPr>
              <w:autoSpaceDE w:val="0"/>
              <w:autoSpaceDN w:val="0"/>
              <w:adjustRightInd w:val="0"/>
              <w:rPr>
                <w:color w:val="000000"/>
                <w:sz w:val="16"/>
                <w:szCs w:val="16"/>
                <w:lang w:val="en-GB" w:eastAsia="en-GB"/>
              </w:rPr>
            </w:pPr>
            <w:r w:rsidRPr="00EE0539">
              <w:rPr>
                <w:color w:val="000000"/>
                <w:sz w:val="16"/>
                <w:szCs w:val="16"/>
                <w:lang w:val="en-GB" w:eastAsia="en-GB"/>
              </w:rPr>
              <w:t>Severity 1: 4 hours</w:t>
            </w:r>
          </w:p>
          <w:p w:rsidR="00E023E5" w:rsidRPr="00EE0539" w:rsidRDefault="00E023E5" w:rsidP="00E023E5">
            <w:pPr>
              <w:autoSpaceDE w:val="0"/>
              <w:autoSpaceDN w:val="0"/>
              <w:adjustRightInd w:val="0"/>
              <w:rPr>
                <w:color w:val="000000"/>
                <w:sz w:val="16"/>
                <w:szCs w:val="16"/>
                <w:lang w:val="en-GB" w:eastAsia="en-GB"/>
              </w:rPr>
            </w:pPr>
            <w:r w:rsidRPr="00EE0539">
              <w:rPr>
                <w:color w:val="000000"/>
                <w:sz w:val="16"/>
                <w:szCs w:val="16"/>
                <w:lang w:val="en-GB" w:eastAsia="en-GB"/>
              </w:rPr>
              <w:t>Severity 2: 2 days</w:t>
            </w:r>
          </w:p>
          <w:p w:rsidR="00E023E5" w:rsidRPr="00EE0539" w:rsidRDefault="00E023E5" w:rsidP="00E023E5">
            <w:pPr>
              <w:autoSpaceDE w:val="0"/>
              <w:autoSpaceDN w:val="0"/>
              <w:adjustRightInd w:val="0"/>
              <w:rPr>
                <w:color w:val="000000"/>
                <w:sz w:val="16"/>
                <w:szCs w:val="16"/>
                <w:lang w:val="en-GB" w:eastAsia="en-GB"/>
              </w:rPr>
            </w:pPr>
            <w:r w:rsidRPr="00EE0539">
              <w:rPr>
                <w:color w:val="000000"/>
                <w:sz w:val="16"/>
                <w:szCs w:val="16"/>
                <w:lang w:val="en-GB" w:eastAsia="en-GB"/>
              </w:rPr>
              <w:t>Severity 3: 5 days</w:t>
            </w:r>
          </w:p>
          <w:p w:rsidR="00E023E5" w:rsidRPr="00EE0539" w:rsidRDefault="00E023E5" w:rsidP="00E023E5">
            <w:pPr>
              <w:autoSpaceDE w:val="0"/>
              <w:autoSpaceDN w:val="0"/>
              <w:adjustRightInd w:val="0"/>
              <w:rPr>
                <w:color w:val="000000"/>
                <w:sz w:val="16"/>
                <w:szCs w:val="16"/>
                <w:lang w:val="en-GB" w:eastAsia="en-GB"/>
              </w:rPr>
            </w:pPr>
            <w:r w:rsidRPr="00EE0539">
              <w:rPr>
                <w:color w:val="000000"/>
                <w:sz w:val="16"/>
                <w:szCs w:val="16"/>
                <w:lang w:val="en-GB" w:eastAsia="en-GB"/>
              </w:rPr>
              <w:t>Severity 4: 10 days</w:t>
            </w:r>
          </w:p>
        </w:tc>
        <w:tc>
          <w:tcPr>
            <w:tcW w:w="1984" w:type="dxa"/>
            <w:shd w:val="clear" w:color="auto" w:fill="auto"/>
            <w:tcMar>
              <w:top w:w="85" w:type="dxa"/>
              <w:bottom w:w="85" w:type="dxa"/>
            </w:tcMar>
          </w:tcPr>
          <w:p w:rsidR="00E023E5" w:rsidRPr="00EE0539" w:rsidRDefault="00E023E5" w:rsidP="00E023E5">
            <w:pPr>
              <w:autoSpaceDE w:val="0"/>
              <w:autoSpaceDN w:val="0"/>
              <w:adjustRightInd w:val="0"/>
              <w:rPr>
                <w:color w:val="000000"/>
                <w:sz w:val="16"/>
                <w:szCs w:val="16"/>
                <w:lang w:val="en-GB" w:eastAsia="en-GB"/>
              </w:rPr>
            </w:pPr>
            <w:r w:rsidRPr="00EE0539">
              <w:rPr>
                <w:color w:val="000000"/>
                <w:sz w:val="16"/>
                <w:szCs w:val="16"/>
                <w:lang w:val="en-GB" w:eastAsia="en-GB"/>
              </w:rPr>
              <w:t>Production and Support tickets resolved by the support team</w:t>
            </w:r>
          </w:p>
        </w:tc>
        <w:tc>
          <w:tcPr>
            <w:tcW w:w="1134" w:type="dxa"/>
            <w:tcMar>
              <w:top w:w="85" w:type="dxa"/>
              <w:bottom w:w="85" w:type="dxa"/>
            </w:tcMar>
          </w:tcPr>
          <w:p w:rsidR="00E023E5" w:rsidRPr="00EE0539" w:rsidRDefault="00E023E5" w:rsidP="00E023E5">
            <w:pPr>
              <w:autoSpaceDE w:val="0"/>
              <w:autoSpaceDN w:val="0"/>
              <w:adjustRightInd w:val="0"/>
              <w:jc w:val="right"/>
              <w:rPr>
                <w:color w:val="000000"/>
                <w:sz w:val="16"/>
                <w:szCs w:val="16"/>
                <w:lang w:val="en-GB" w:eastAsia="en-GB"/>
              </w:rPr>
            </w:pPr>
            <w:r w:rsidRPr="00EE0539">
              <w:rPr>
                <w:sz w:val="16"/>
                <w:szCs w:val="16"/>
              </w:rPr>
              <w:t>85.5%</w:t>
            </w:r>
          </w:p>
        </w:tc>
        <w:tc>
          <w:tcPr>
            <w:tcW w:w="1101" w:type="dxa"/>
            <w:tcMar>
              <w:top w:w="85" w:type="dxa"/>
              <w:bottom w:w="85" w:type="dxa"/>
            </w:tcMar>
          </w:tcPr>
          <w:p w:rsidR="00E023E5" w:rsidRPr="00EE0539" w:rsidRDefault="00E023E5" w:rsidP="00E023E5">
            <w:pPr>
              <w:autoSpaceDE w:val="0"/>
              <w:autoSpaceDN w:val="0"/>
              <w:adjustRightInd w:val="0"/>
              <w:jc w:val="right"/>
              <w:rPr>
                <w:color w:val="000000"/>
                <w:sz w:val="16"/>
                <w:szCs w:val="16"/>
                <w:lang w:val="en-GB" w:eastAsia="en-GB"/>
              </w:rPr>
            </w:pPr>
            <w:r w:rsidRPr="00EE0539">
              <w:rPr>
                <w:sz w:val="16"/>
                <w:szCs w:val="16"/>
              </w:rPr>
              <w:t>88.8%</w:t>
            </w:r>
          </w:p>
        </w:tc>
      </w:tr>
      <w:tr w:rsidR="00E023E5" w:rsidTr="00E023E5">
        <w:trPr>
          <w:jc w:val="center"/>
        </w:trPr>
        <w:tc>
          <w:tcPr>
            <w:tcW w:w="534" w:type="dxa"/>
            <w:shd w:val="clear" w:color="auto" w:fill="auto"/>
            <w:tcMar>
              <w:top w:w="85" w:type="dxa"/>
              <w:bottom w:w="85" w:type="dxa"/>
            </w:tcMar>
          </w:tcPr>
          <w:p w:rsidR="00E023E5" w:rsidRPr="00EE0539" w:rsidRDefault="00E023E5" w:rsidP="00E023E5">
            <w:pPr>
              <w:rPr>
                <w:sz w:val="16"/>
                <w:szCs w:val="16"/>
                <w:lang w:val="en-GB" w:eastAsia="en-GB"/>
              </w:rPr>
            </w:pPr>
            <w:r w:rsidRPr="00EE0539">
              <w:rPr>
                <w:sz w:val="16"/>
                <w:szCs w:val="16"/>
                <w:lang w:val="en-GB" w:eastAsia="en-GB"/>
              </w:rPr>
              <w:t xml:space="preserve">(2) </w:t>
            </w:r>
          </w:p>
        </w:tc>
        <w:tc>
          <w:tcPr>
            <w:tcW w:w="2534" w:type="dxa"/>
            <w:shd w:val="clear" w:color="auto" w:fill="auto"/>
            <w:tcMar>
              <w:top w:w="85" w:type="dxa"/>
              <w:bottom w:w="85" w:type="dxa"/>
            </w:tcMar>
          </w:tcPr>
          <w:p w:rsidR="00E023E5" w:rsidRPr="00EE0539" w:rsidRDefault="00E023E5" w:rsidP="00E023E5">
            <w:pPr>
              <w:rPr>
                <w:sz w:val="16"/>
                <w:szCs w:val="16"/>
                <w:lang w:val="en-GB" w:eastAsia="en-GB"/>
              </w:rPr>
            </w:pPr>
            <w:r w:rsidRPr="00EE0539">
              <w:rPr>
                <w:sz w:val="16"/>
                <w:szCs w:val="16"/>
                <w:lang w:val="en-GB" w:eastAsia="en-GB"/>
              </w:rPr>
              <w:t>Document load time</w:t>
            </w:r>
          </w:p>
          <w:p w:rsidR="00E023E5" w:rsidRPr="00EE0539" w:rsidRDefault="00E023E5" w:rsidP="00E023E5">
            <w:pPr>
              <w:rPr>
                <w:sz w:val="16"/>
                <w:szCs w:val="16"/>
                <w:lang w:val="en-GB" w:eastAsia="en-GB"/>
              </w:rPr>
            </w:pPr>
            <w:r w:rsidRPr="00EE0539">
              <w:rPr>
                <w:i/>
                <w:sz w:val="16"/>
                <w:szCs w:val="16"/>
                <w:lang w:val="en-GB" w:eastAsia="en-GB"/>
              </w:rPr>
              <w:t xml:space="preserve">elapsed time between receipt of document at IB and its availability in </w:t>
            </w:r>
            <w:proofErr w:type="spellStart"/>
            <w:r w:rsidRPr="00EE0539">
              <w:rPr>
                <w:i/>
                <w:sz w:val="16"/>
                <w:szCs w:val="16"/>
                <w:lang w:val="en-GB" w:eastAsia="en-GB"/>
              </w:rPr>
              <w:t>eDossier</w:t>
            </w:r>
            <w:proofErr w:type="spellEnd"/>
          </w:p>
        </w:tc>
        <w:tc>
          <w:tcPr>
            <w:tcW w:w="2002" w:type="dxa"/>
            <w:shd w:val="clear" w:color="auto" w:fill="auto"/>
            <w:tcMar>
              <w:top w:w="85" w:type="dxa"/>
              <w:bottom w:w="85" w:type="dxa"/>
            </w:tcMar>
          </w:tcPr>
          <w:p w:rsidR="00E023E5" w:rsidRPr="00EE0539" w:rsidRDefault="00E023E5" w:rsidP="00E023E5">
            <w:pPr>
              <w:autoSpaceDE w:val="0"/>
              <w:autoSpaceDN w:val="0"/>
              <w:adjustRightInd w:val="0"/>
              <w:rPr>
                <w:color w:val="000000"/>
                <w:sz w:val="16"/>
                <w:szCs w:val="16"/>
                <w:lang w:val="en-GB" w:eastAsia="en-GB"/>
              </w:rPr>
            </w:pPr>
            <w:r w:rsidRPr="00EE0539">
              <w:rPr>
                <w:color w:val="000000"/>
                <w:sz w:val="16"/>
                <w:szCs w:val="16"/>
                <w:lang w:val="en-GB" w:eastAsia="en-GB"/>
              </w:rPr>
              <w:t>8 hours</w:t>
            </w:r>
          </w:p>
        </w:tc>
        <w:tc>
          <w:tcPr>
            <w:tcW w:w="1984" w:type="dxa"/>
            <w:shd w:val="clear" w:color="auto" w:fill="auto"/>
            <w:tcMar>
              <w:top w:w="85" w:type="dxa"/>
              <w:bottom w:w="85" w:type="dxa"/>
            </w:tcMar>
          </w:tcPr>
          <w:p w:rsidR="00E023E5" w:rsidRPr="00EE0539" w:rsidRDefault="00E023E5" w:rsidP="00E023E5">
            <w:pPr>
              <w:autoSpaceDE w:val="0"/>
              <w:autoSpaceDN w:val="0"/>
              <w:adjustRightInd w:val="0"/>
              <w:rPr>
                <w:color w:val="000000"/>
                <w:sz w:val="16"/>
                <w:szCs w:val="16"/>
                <w:lang w:val="en-GB" w:eastAsia="en-GB"/>
              </w:rPr>
            </w:pPr>
            <w:r w:rsidRPr="00EE0539">
              <w:rPr>
                <w:color w:val="000000"/>
                <w:sz w:val="16"/>
                <w:szCs w:val="16"/>
                <w:lang w:val="en-GB" w:eastAsia="en-GB"/>
              </w:rPr>
              <w:t>Documents loaded by a semi or fully automated process</w:t>
            </w:r>
          </w:p>
        </w:tc>
        <w:tc>
          <w:tcPr>
            <w:tcW w:w="1134" w:type="dxa"/>
            <w:tcMar>
              <w:top w:w="85" w:type="dxa"/>
              <w:bottom w:w="85" w:type="dxa"/>
            </w:tcMar>
          </w:tcPr>
          <w:p w:rsidR="00E023E5" w:rsidRPr="00EE0539" w:rsidRDefault="00E023E5" w:rsidP="00E023E5">
            <w:pPr>
              <w:autoSpaceDE w:val="0"/>
              <w:autoSpaceDN w:val="0"/>
              <w:adjustRightInd w:val="0"/>
              <w:jc w:val="right"/>
              <w:rPr>
                <w:color w:val="000000"/>
                <w:sz w:val="16"/>
                <w:szCs w:val="16"/>
                <w:lang w:val="en-GB" w:eastAsia="en-GB"/>
              </w:rPr>
            </w:pPr>
            <w:r w:rsidRPr="00EE0539">
              <w:rPr>
                <w:sz w:val="16"/>
                <w:szCs w:val="16"/>
              </w:rPr>
              <w:t>80.0%</w:t>
            </w:r>
          </w:p>
        </w:tc>
        <w:tc>
          <w:tcPr>
            <w:tcW w:w="1101" w:type="dxa"/>
            <w:tcMar>
              <w:top w:w="85" w:type="dxa"/>
              <w:bottom w:w="85" w:type="dxa"/>
            </w:tcMar>
          </w:tcPr>
          <w:p w:rsidR="00E023E5" w:rsidRPr="00EE0539" w:rsidRDefault="00E023E5" w:rsidP="00E023E5">
            <w:pPr>
              <w:autoSpaceDE w:val="0"/>
              <w:autoSpaceDN w:val="0"/>
              <w:adjustRightInd w:val="0"/>
              <w:jc w:val="right"/>
              <w:rPr>
                <w:color w:val="000000"/>
                <w:sz w:val="16"/>
                <w:szCs w:val="16"/>
                <w:lang w:val="en-GB" w:eastAsia="en-GB"/>
              </w:rPr>
            </w:pPr>
            <w:r w:rsidRPr="00EE0539">
              <w:rPr>
                <w:sz w:val="16"/>
                <w:szCs w:val="16"/>
              </w:rPr>
              <w:t>88.2%</w:t>
            </w:r>
          </w:p>
        </w:tc>
      </w:tr>
      <w:tr w:rsidR="00E023E5" w:rsidTr="00E023E5">
        <w:trPr>
          <w:jc w:val="center"/>
        </w:trPr>
        <w:tc>
          <w:tcPr>
            <w:tcW w:w="534" w:type="dxa"/>
            <w:shd w:val="clear" w:color="auto" w:fill="auto"/>
            <w:tcMar>
              <w:top w:w="85" w:type="dxa"/>
              <w:bottom w:w="85" w:type="dxa"/>
            </w:tcMar>
          </w:tcPr>
          <w:p w:rsidR="00E023E5" w:rsidRPr="00EE0539" w:rsidRDefault="00E023E5" w:rsidP="00E023E5">
            <w:pPr>
              <w:autoSpaceDE w:val="0"/>
              <w:autoSpaceDN w:val="0"/>
              <w:adjustRightInd w:val="0"/>
              <w:rPr>
                <w:color w:val="000000"/>
                <w:sz w:val="16"/>
                <w:szCs w:val="16"/>
                <w:lang w:val="en-GB" w:eastAsia="en-GB"/>
              </w:rPr>
            </w:pPr>
            <w:r w:rsidRPr="00EE0539">
              <w:rPr>
                <w:color w:val="000000"/>
                <w:sz w:val="16"/>
                <w:szCs w:val="16"/>
                <w:lang w:val="en-GB" w:eastAsia="en-GB"/>
              </w:rPr>
              <w:t xml:space="preserve">(3) </w:t>
            </w:r>
          </w:p>
        </w:tc>
        <w:tc>
          <w:tcPr>
            <w:tcW w:w="2534" w:type="dxa"/>
            <w:shd w:val="clear" w:color="auto" w:fill="auto"/>
            <w:tcMar>
              <w:top w:w="85" w:type="dxa"/>
              <w:bottom w:w="85" w:type="dxa"/>
            </w:tcMar>
          </w:tcPr>
          <w:p w:rsidR="00E023E5" w:rsidRPr="00EE0539" w:rsidRDefault="00E023E5" w:rsidP="00E023E5">
            <w:pPr>
              <w:autoSpaceDE w:val="0"/>
              <w:autoSpaceDN w:val="0"/>
              <w:adjustRightInd w:val="0"/>
              <w:rPr>
                <w:color w:val="000000"/>
                <w:sz w:val="16"/>
                <w:szCs w:val="16"/>
                <w:lang w:val="en-GB" w:eastAsia="en-GB"/>
              </w:rPr>
            </w:pPr>
            <w:r w:rsidRPr="00EE0539">
              <w:rPr>
                <w:color w:val="000000"/>
                <w:sz w:val="16"/>
                <w:szCs w:val="16"/>
                <w:lang w:val="en-GB" w:eastAsia="en-GB"/>
              </w:rPr>
              <w:t>Batch job processing success rate</w:t>
            </w:r>
          </w:p>
        </w:tc>
        <w:tc>
          <w:tcPr>
            <w:tcW w:w="2002" w:type="dxa"/>
            <w:shd w:val="clear" w:color="auto" w:fill="auto"/>
            <w:tcMar>
              <w:top w:w="85" w:type="dxa"/>
              <w:bottom w:w="85" w:type="dxa"/>
            </w:tcMar>
          </w:tcPr>
          <w:p w:rsidR="00E023E5" w:rsidRPr="00EE0539" w:rsidRDefault="00E023E5" w:rsidP="00E023E5">
            <w:pPr>
              <w:autoSpaceDE w:val="0"/>
              <w:autoSpaceDN w:val="0"/>
              <w:adjustRightInd w:val="0"/>
              <w:rPr>
                <w:color w:val="000000"/>
                <w:sz w:val="16"/>
                <w:szCs w:val="16"/>
                <w:lang w:val="en-GB" w:eastAsia="en-GB"/>
              </w:rPr>
            </w:pPr>
            <w:r w:rsidRPr="00EE0539">
              <w:rPr>
                <w:color w:val="000000"/>
                <w:sz w:val="16"/>
                <w:szCs w:val="16"/>
                <w:lang w:val="en-GB" w:eastAsia="en-GB"/>
              </w:rPr>
              <w:t>100%</w:t>
            </w:r>
          </w:p>
        </w:tc>
        <w:tc>
          <w:tcPr>
            <w:tcW w:w="1984" w:type="dxa"/>
            <w:shd w:val="clear" w:color="auto" w:fill="auto"/>
            <w:tcMar>
              <w:top w:w="85" w:type="dxa"/>
              <w:bottom w:w="85" w:type="dxa"/>
            </w:tcMar>
          </w:tcPr>
          <w:p w:rsidR="00E023E5" w:rsidRPr="00EE0539" w:rsidRDefault="00E023E5" w:rsidP="00E023E5">
            <w:pPr>
              <w:autoSpaceDE w:val="0"/>
              <w:autoSpaceDN w:val="0"/>
              <w:adjustRightInd w:val="0"/>
              <w:rPr>
                <w:color w:val="000000"/>
                <w:sz w:val="16"/>
                <w:szCs w:val="16"/>
                <w:lang w:val="en-GB" w:eastAsia="en-GB"/>
              </w:rPr>
            </w:pPr>
            <w:r w:rsidRPr="00EE0539">
              <w:rPr>
                <w:color w:val="000000"/>
                <w:sz w:val="16"/>
                <w:szCs w:val="16"/>
                <w:lang w:val="en-GB" w:eastAsia="en-GB"/>
              </w:rPr>
              <w:t>Batch jobs to be completed successfully by the close of business on the scheduled date</w:t>
            </w:r>
          </w:p>
        </w:tc>
        <w:tc>
          <w:tcPr>
            <w:tcW w:w="1134" w:type="dxa"/>
            <w:tcMar>
              <w:top w:w="85" w:type="dxa"/>
              <w:bottom w:w="85" w:type="dxa"/>
            </w:tcMar>
          </w:tcPr>
          <w:p w:rsidR="00E023E5" w:rsidRPr="00EE0539" w:rsidRDefault="00E023E5" w:rsidP="00E023E5">
            <w:pPr>
              <w:autoSpaceDE w:val="0"/>
              <w:autoSpaceDN w:val="0"/>
              <w:adjustRightInd w:val="0"/>
              <w:jc w:val="right"/>
              <w:rPr>
                <w:color w:val="000000"/>
                <w:sz w:val="16"/>
                <w:szCs w:val="16"/>
                <w:lang w:val="en-GB" w:eastAsia="en-GB"/>
              </w:rPr>
            </w:pPr>
            <w:r w:rsidRPr="00EE0539">
              <w:rPr>
                <w:sz w:val="16"/>
                <w:szCs w:val="16"/>
              </w:rPr>
              <w:t>99.6%</w:t>
            </w:r>
          </w:p>
        </w:tc>
        <w:tc>
          <w:tcPr>
            <w:tcW w:w="1101" w:type="dxa"/>
            <w:tcMar>
              <w:top w:w="85" w:type="dxa"/>
              <w:bottom w:w="85" w:type="dxa"/>
            </w:tcMar>
          </w:tcPr>
          <w:p w:rsidR="00E023E5" w:rsidRPr="00EE0539" w:rsidRDefault="00E023E5" w:rsidP="00E023E5">
            <w:pPr>
              <w:autoSpaceDE w:val="0"/>
              <w:autoSpaceDN w:val="0"/>
              <w:adjustRightInd w:val="0"/>
              <w:jc w:val="right"/>
              <w:rPr>
                <w:color w:val="000000"/>
                <w:sz w:val="16"/>
                <w:szCs w:val="16"/>
                <w:lang w:val="en-GB" w:eastAsia="en-GB"/>
              </w:rPr>
            </w:pPr>
            <w:r w:rsidRPr="00EE0539">
              <w:rPr>
                <w:sz w:val="16"/>
                <w:szCs w:val="16"/>
              </w:rPr>
              <w:t>99.5%</w:t>
            </w:r>
          </w:p>
        </w:tc>
      </w:tr>
      <w:tr w:rsidR="00E023E5" w:rsidTr="00E023E5">
        <w:trPr>
          <w:jc w:val="center"/>
        </w:trPr>
        <w:tc>
          <w:tcPr>
            <w:tcW w:w="534" w:type="dxa"/>
            <w:shd w:val="clear" w:color="auto" w:fill="auto"/>
            <w:tcMar>
              <w:top w:w="85" w:type="dxa"/>
              <w:bottom w:w="85" w:type="dxa"/>
            </w:tcMar>
          </w:tcPr>
          <w:p w:rsidR="00E023E5" w:rsidRPr="00EE0539" w:rsidRDefault="00E023E5" w:rsidP="00E023E5">
            <w:pPr>
              <w:autoSpaceDE w:val="0"/>
              <w:autoSpaceDN w:val="0"/>
              <w:adjustRightInd w:val="0"/>
              <w:rPr>
                <w:color w:val="000000"/>
                <w:sz w:val="16"/>
                <w:szCs w:val="16"/>
                <w:lang w:val="en-GB" w:eastAsia="en-GB"/>
              </w:rPr>
            </w:pPr>
            <w:r w:rsidRPr="00EE0539">
              <w:rPr>
                <w:color w:val="000000"/>
                <w:sz w:val="16"/>
                <w:szCs w:val="16"/>
                <w:lang w:val="en-GB" w:eastAsia="en-GB"/>
              </w:rPr>
              <w:t>(4)</w:t>
            </w:r>
          </w:p>
        </w:tc>
        <w:tc>
          <w:tcPr>
            <w:tcW w:w="2534" w:type="dxa"/>
            <w:shd w:val="clear" w:color="auto" w:fill="auto"/>
            <w:tcMar>
              <w:top w:w="85" w:type="dxa"/>
              <w:bottom w:w="85" w:type="dxa"/>
            </w:tcMar>
          </w:tcPr>
          <w:p w:rsidR="00E023E5" w:rsidRPr="00EE0539" w:rsidRDefault="00E023E5" w:rsidP="00E023E5">
            <w:pPr>
              <w:autoSpaceDE w:val="0"/>
              <w:autoSpaceDN w:val="0"/>
              <w:adjustRightInd w:val="0"/>
              <w:rPr>
                <w:color w:val="000000"/>
                <w:sz w:val="16"/>
                <w:szCs w:val="16"/>
                <w:lang w:val="en-GB" w:eastAsia="en-GB"/>
              </w:rPr>
            </w:pPr>
            <w:proofErr w:type="spellStart"/>
            <w:r w:rsidRPr="00EE0539">
              <w:rPr>
                <w:color w:val="000000"/>
                <w:sz w:val="16"/>
                <w:szCs w:val="16"/>
                <w:lang w:val="en-GB" w:eastAsia="en-GB"/>
              </w:rPr>
              <w:t>eDossier</w:t>
            </w:r>
            <w:proofErr w:type="spellEnd"/>
            <w:r w:rsidRPr="00EE0539">
              <w:rPr>
                <w:color w:val="000000"/>
                <w:sz w:val="16"/>
                <w:szCs w:val="16"/>
                <w:lang w:val="en-GB" w:eastAsia="en-GB"/>
              </w:rPr>
              <w:t xml:space="preserve"> system availability</w:t>
            </w:r>
          </w:p>
        </w:tc>
        <w:tc>
          <w:tcPr>
            <w:tcW w:w="2002" w:type="dxa"/>
            <w:shd w:val="clear" w:color="auto" w:fill="auto"/>
            <w:tcMar>
              <w:top w:w="85" w:type="dxa"/>
              <w:bottom w:w="85" w:type="dxa"/>
            </w:tcMar>
          </w:tcPr>
          <w:p w:rsidR="00E023E5" w:rsidRPr="00EE0539" w:rsidRDefault="00E023E5" w:rsidP="00E023E5">
            <w:pPr>
              <w:autoSpaceDE w:val="0"/>
              <w:autoSpaceDN w:val="0"/>
              <w:adjustRightInd w:val="0"/>
              <w:rPr>
                <w:color w:val="000000"/>
                <w:sz w:val="16"/>
                <w:szCs w:val="16"/>
                <w:lang w:val="en-GB" w:eastAsia="en-GB"/>
              </w:rPr>
            </w:pPr>
            <w:r w:rsidRPr="00EE0539">
              <w:rPr>
                <w:color w:val="000000"/>
                <w:sz w:val="16"/>
                <w:szCs w:val="16"/>
                <w:lang w:val="en-GB" w:eastAsia="en-GB"/>
              </w:rPr>
              <w:t>99%</w:t>
            </w:r>
          </w:p>
        </w:tc>
        <w:tc>
          <w:tcPr>
            <w:tcW w:w="1984" w:type="dxa"/>
            <w:shd w:val="clear" w:color="auto" w:fill="auto"/>
            <w:tcMar>
              <w:top w:w="85" w:type="dxa"/>
              <w:bottom w:w="85" w:type="dxa"/>
            </w:tcMar>
          </w:tcPr>
          <w:p w:rsidR="00E023E5" w:rsidRPr="00EE0539" w:rsidRDefault="00E023E5" w:rsidP="00E023E5">
            <w:pPr>
              <w:autoSpaceDE w:val="0"/>
              <w:autoSpaceDN w:val="0"/>
              <w:adjustRightInd w:val="0"/>
              <w:rPr>
                <w:color w:val="000000"/>
                <w:sz w:val="16"/>
                <w:szCs w:val="16"/>
                <w:lang w:val="en-GB" w:eastAsia="en-GB"/>
              </w:rPr>
            </w:pPr>
            <w:r w:rsidRPr="00EE0539">
              <w:rPr>
                <w:color w:val="000000"/>
                <w:sz w:val="16"/>
                <w:szCs w:val="16"/>
                <w:lang w:val="en-GB" w:eastAsia="en-GB"/>
              </w:rPr>
              <w:t>7am-7pm on working days</w:t>
            </w:r>
          </w:p>
        </w:tc>
        <w:tc>
          <w:tcPr>
            <w:tcW w:w="1134" w:type="dxa"/>
            <w:tcMar>
              <w:top w:w="85" w:type="dxa"/>
              <w:bottom w:w="85" w:type="dxa"/>
            </w:tcMar>
          </w:tcPr>
          <w:p w:rsidR="00E023E5" w:rsidRPr="00EE0539" w:rsidRDefault="00E023E5" w:rsidP="00E023E5">
            <w:pPr>
              <w:autoSpaceDE w:val="0"/>
              <w:autoSpaceDN w:val="0"/>
              <w:adjustRightInd w:val="0"/>
              <w:jc w:val="right"/>
              <w:rPr>
                <w:color w:val="000000"/>
                <w:sz w:val="16"/>
                <w:szCs w:val="16"/>
                <w:lang w:val="en-GB" w:eastAsia="en-GB"/>
              </w:rPr>
            </w:pPr>
            <w:r w:rsidRPr="00EE0539">
              <w:rPr>
                <w:sz w:val="16"/>
                <w:szCs w:val="16"/>
              </w:rPr>
              <w:t>100.0%</w:t>
            </w:r>
          </w:p>
        </w:tc>
        <w:tc>
          <w:tcPr>
            <w:tcW w:w="1101" w:type="dxa"/>
            <w:tcMar>
              <w:top w:w="85" w:type="dxa"/>
              <w:bottom w:w="85" w:type="dxa"/>
            </w:tcMar>
          </w:tcPr>
          <w:p w:rsidR="00E023E5" w:rsidRPr="00EE0539" w:rsidRDefault="00E023E5" w:rsidP="00E023E5">
            <w:pPr>
              <w:autoSpaceDE w:val="0"/>
              <w:autoSpaceDN w:val="0"/>
              <w:adjustRightInd w:val="0"/>
              <w:jc w:val="right"/>
              <w:rPr>
                <w:color w:val="000000"/>
                <w:sz w:val="16"/>
                <w:szCs w:val="16"/>
                <w:lang w:val="en-GB" w:eastAsia="en-GB"/>
              </w:rPr>
            </w:pPr>
            <w:r w:rsidRPr="00EE0539">
              <w:rPr>
                <w:sz w:val="16"/>
                <w:szCs w:val="16"/>
              </w:rPr>
              <w:t>100.0%</w:t>
            </w:r>
          </w:p>
        </w:tc>
      </w:tr>
      <w:tr w:rsidR="00E023E5" w:rsidTr="00E023E5">
        <w:trPr>
          <w:jc w:val="center"/>
        </w:trPr>
        <w:tc>
          <w:tcPr>
            <w:tcW w:w="534" w:type="dxa"/>
            <w:shd w:val="clear" w:color="auto" w:fill="auto"/>
            <w:tcMar>
              <w:top w:w="85" w:type="dxa"/>
              <w:bottom w:w="85" w:type="dxa"/>
            </w:tcMar>
          </w:tcPr>
          <w:p w:rsidR="00E023E5" w:rsidRPr="00EE0539" w:rsidRDefault="00E023E5" w:rsidP="00E023E5">
            <w:pPr>
              <w:autoSpaceDE w:val="0"/>
              <w:autoSpaceDN w:val="0"/>
              <w:adjustRightInd w:val="0"/>
              <w:rPr>
                <w:color w:val="000000"/>
                <w:sz w:val="16"/>
                <w:szCs w:val="16"/>
                <w:lang w:val="en-GB" w:eastAsia="en-GB"/>
              </w:rPr>
            </w:pPr>
            <w:r w:rsidRPr="00EE0539">
              <w:rPr>
                <w:color w:val="000000"/>
                <w:sz w:val="16"/>
                <w:szCs w:val="16"/>
                <w:lang w:val="en-GB" w:eastAsia="en-GB"/>
              </w:rPr>
              <w:t xml:space="preserve">(5) </w:t>
            </w:r>
          </w:p>
        </w:tc>
        <w:tc>
          <w:tcPr>
            <w:tcW w:w="2534" w:type="dxa"/>
            <w:shd w:val="clear" w:color="auto" w:fill="auto"/>
            <w:tcMar>
              <w:top w:w="85" w:type="dxa"/>
              <w:bottom w:w="85" w:type="dxa"/>
            </w:tcMar>
          </w:tcPr>
          <w:p w:rsidR="00E023E5" w:rsidRPr="00EE0539" w:rsidRDefault="00E023E5" w:rsidP="00E023E5">
            <w:pPr>
              <w:autoSpaceDE w:val="0"/>
              <w:autoSpaceDN w:val="0"/>
              <w:adjustRightInd w:val="0"/>
              <w:rPr>
                <w:color w:val="000000"/>
                <w:sz w:val="16"/>
                <w:szCs w:val="16"/>
                <w:lang w:val="en-GB" w:eastAsia="en-GB"/>
              </w:rPr>
            </w:pPr>
            <w:proofErr w:type="spellStart"/>
            <w:r w:rsidRPr="00EE0539">
              <w:rPr>
                <w:color w:val="000000"/>
                <w:sz w:val="16"/>
                <w:szCs w:val="16"/>
                <w:lang w:val="en-GB" w:eastAsia="en-GB"/>
              </w:rPr>
              <w:t>ePCT</w:t>
            </w:r>
            <w:proofErr w:type="spellEnd"/>
            <w:r w:rsidRPr="00EE0539">
              <w:rPr>
                <w:color w:val="000000"/>
                <w:sz w:val="16"/>
                <w:szCs w:val="16"/>
                <w:lang w:val="en-GB" w:eastAsia="en-GB"/>
              </w:rPr>
              <w:t xml:space="preserve"> system availability</w:t>
            </w:r>
          </w:p>
        </w:tc>
        <w:tc>
          <w:tcPr>
            <w:tcW w:w="2002" w:type="dxa"/>
            <w:shd w:val="clear" w:color="auto" w:fill="auto"/>
            <w:tcMar>
              <w:top w:w="85" w:type="dxa"/>
              <w:bottom w:w="85" w:type="dxa"/>
            </w:tcMar>
          </w:tcPr>
          <w:p w:rsidR="00E023E5" w:rsidRPr="00EE0539" w:rsidRDefault="00E023E5" w:rsidP="00E023E5">
            <w:pPr>
              <w:autoSpaceDE w:val="0"/>
              <w:autoSpaceDN w:val="0"/>
              <w:adjustRightInd w:val="0"/>
              <w:rPr>
                <w:color w:val="000000"/>
                <w:sz w:val="16"/>
                <w:szCs w:val="16"/>
                <w:lang w:val="en-GB" w:eastAsia="en-GB"/>
              </w:rPr>
            </w:pPr>
            <w:r w:rsidRPr="00EE0539">
              <w:rPr>
                <w:color w:val="000000"/>
                <w:sz w:val="16"/>
                <w:szCs w:val="16"/>
                <w:lang w:val="en-GB" w:eastAsia="en-GB"/>
              </w:rPr>
              <w:t>99%</w:t>
            </w:r>
          </w:p>
        </w:tc>
        <w:tc>
          <w:tcPr>
            <w:tcW w:w="1984" w:type="dxa"/>
            <w:shd w:val="clear" w:color="auto" w:fill="auto"/>
            <w:tcMar>
              <w:top w:w="85" w:type="dxa"/>
              <w:bottom w:w="85" w:type="dxa"/>
            </w:tcMar>
          </w:tcPr>
          <w:p w:rsidR="00E023E5" w:rsidRPr="00EE0539" w:rsidRDefault="00E023E5" w:rsidP="00E023E5">
            <w:pPr>
              <w:autoSpaceDE w:val="0"/>
              <w:autoSpaceDN w:val="0"/>
              <w:adjustRightInd w:val="0"/>
              <w:rPr>
                <w:color w:val="000000"/>
                <w:sz w:val="16"/>
                <w:szCs w:val="16"/>
                <w:lang w:val="en-GB" w:eastAsia="en-GB"/>
              </w:rPr>
            </w:pPr>
            <w:r w:rsidRPr="00EE0539">
              <w:rPr>
                <w:color w:val="000000"/>
                <w:sz w:val="16"/>
                <w:szCs w:val="16"/>
                <w:lang w:val="en-GB" w:eastAsia="en-GB"/>
              </w:rPr>
              <w:t>24 hours</w:t>
            </w:r>
          </w:p>
        </w:tc>
        <w:tc>
          <w:tcPr>
            <w:tcW w:w="1134" w:type="dxa"/>
            <w:tcMar>
              <w:top w:w="85" w:type="dxa"/>
              <w:bottom w:w="85" w:type="dxa"/>
            </w:tcMar>
          </w:tcPr>
          <w:p w:rsidR="00E023E5" w:rsidRPr="00EE0539" w:rsidRDefault="00E023E5" w:rsidP="00E023E5">
            <w:pPr>
              <w:autoSpaceDE w:val="0"/>
              <w:autoSpaceDN w:val="0"/>
              <w:adjustRightInd w:val="0"/>
              <w:jc w:val="right"/>
              <w:rPr>
                <w:color w:val="000000"/>
                <w:sz w:val="16"/>
                <w:szCs w:val="16"/>
                <w:lang w:val="en-GB" w:eastAsia="en-GB"/>
              </w:rPr>
            </w:pPr>
            <w:r w:rsidRPr="00EE0539">
              <w:rPr>
                <w:sz w:val="16"/>
                <w:szCs w:val="16"/>
              </w:rPr>
              <w:t>100.0%</w:t>
            </w:r>
          </w:p>
        </w:tc>
        <w:tc>
          <w:tcPr>
            <w:tcW w:w="1101" w:type="dxa"/>
            <w:tcMar>
              <w:top w:w="85" w:type="dxa"/>
              <w:bottom w:w="85" w:type="dxa"/>
            </w:tcMar>
          </w:tcPr>
          <w:p w:rsidR="00E023E5" w:rsidRPr="00EE0539" w:rsidRDefault="00E023E5" w:rsidP="00E023E5">
            <w:pPr>
              <w:autoSpaceDE w:val="0"/>
              <w:autoSpaceDN w:val="0"/>
              <w:adjustRightInd w:val="0"/>
              <w:jc w:val="right"/>
              <w:rPr>
                <w:color w:val="000000"/>
                <w:sz w:val="16"/>
                <w:szCs w:val="16"/>
                <w:lang w:val="en-GB" w:eastAsia="en-GB"/>
              </w:rPr>
            </w:pPr>
            <w:r w:rsidRPr="00EE0539">
              <w:rPr>
                <w:sz w:val="16"/>
                <w:szCs w:val="16"/>
              </w:rPr>
              <w:t>100.0%</w:t>
            </w:r>
          </w:p>
        </w:tc>
      </w:tr>
      <w:tr w:rsidR="00E023E5" w:rsidRPr="00171DDB" w:rsidTr="00E023E5">
        <w:trPr>
          <w:jc w:val="center"/>
        </w:trPr>
        <w:tc>
          <w:tcPr>
            <w:tcW w:w="534" w:type="dxa"/>
            <w:shd w:val="clear" w:color="auto" w:fill="auto"/>
            <w:tcMar>
              <w:top w:w="85" w:type="dxa"/>
              <w:bottom w:w="85" w:type="dxa"/>
            </w:tcMar>
          </w:tcPr>
          <w:p w:rsidR="00E023E5" w:rsidRPr="00EE0539" w:rsidRDefault="00E023E5" w:rsidP="00E023E5">
            <w:pPr>
              <w:autoSpaceDE w:val="0"/>
              <w:autoSpaceDN w:val="0"/>
              <w:adjustRightInd w:val="0"/>
              <w:rPr>
                <w:b/>
                <w:color w:val="000000"/>
                <w:sz w:val="16"/>
                <w:szCs w:val="16"/>
                <w:lang w:val="en-GB" w:eastAsia="en-GB"/>
              </w:rPr>
            </w:pPr>
          </w:p>
        </w:tc>
        <w:tc>
          <w:tcPr>
            <w:tcW w:w="2534" w:type="dxa"/>
            <w:shd w:val="clear" w:color="auto" w:fill="auto"/>
            <w:tcMar>
              <w:top w:w="85" w:type="dxa"/>
              <w:bottom w:w="85" w:type="dxa"/>
            </w:tcMar>
          </w:tcPr>
          <w:p w:rsidR="00E023E5" w:rsidRPr="00EE0539" w:rsidRDefault="00E023E5" w:rsidP="00E023E5">
            <w:pPr>
              <w:autoSpaceDE w:val="0"/>
              <w:autoSpaceDN w:val="0"/>
              <w:adjustRightInd w:val="0"/>
              <w:rPr>
                <w:b/>
                <w:color w:val="000000"/>
                <w:sz w:val="16"/>
                <w:szCs w:val="16"/>
                <w:lang w:val="en-GB" w:eastAsia="en-GB"/>
              </w:rPr>
            </w:pPr>
            <w:r w:rsidRPr="00EE0539">
              <w:rPr>
                <w:b/>
                <w:color w:val="000000"/>
                <w:sz w:val="16"/>
                <w:szCs w:val="16"/>
                <w:lang w:val="en-GB" w:eastAsia="en-GB"/>
              </w:rPr>
              <w:t>Information systems service levels (ISSL)</w:t>
            </w:r>
          </w:p>
          <w:p w:rsidR="00E023E5" w:rsidRPr="00EE0539" w:rsidRDefault="00E023E5" w:rsidP="00E023E5">
            <w:pPr>
              <w:autoSpaceDE w:val="0"/>
              <w:autoSpaceDN w:val="0"/>
              <w:adjustRightInd w:val="0"/>
              <w:rPr>
                <w:b/>
                <w:i/>
                <w:color w:val="000000"/>
                <w:sz w:val="16"/>
                <w:szCs w:val="16"/>
                <w:lang w:val="en-GB" w:eastAsia="en-GB"/>
              </w:rPr>
            </w:pPr>
            <w:r w:rsidRPr="00EE0539">
              <w:rPr>
                <w:b/>
                <w:i/>
                <w:color w:val="000000"/>
                <w:sz w:val="16"/>
                <w:szCs w:val="16"/>
                <w:lang w:val="en-GB" w:eastAsia="en-GB"/>
              </w:rPr>
              <w:t>Weighted average of the above indicators: (1): 20% (2): 20% (3) 20% (4) 20% (5) 20%.</w:t>
            </w:r>
          </w:p>
        </w:tc>
        <w:tc>
          <w:tcPr>
            <w:tcW w:w="2002" w:type="dxa"/>
            <w:shd w:val="clear" w:color="auto" w:fill="auto"/>
            <w:tcMar>
              <w:top w:w="85" w:type="dxa"/>
              <w:bottom w:w="85" w:type="dxa"/>
            </w:tcMar>
          </w:tcPr>
          <w:p w:rsidR="00E023E5" w:rsidRPr="00EE0539" w:rsidRDefault="00E023E5" w:rsidP="00E023E5">
            <w:pPr>
              <w:autoSpaceDE w:val="0"/>
              <w:autoSpaceDN w:val="0"/>
              <w:adjustRightInd w:val="0"/>
              <w:rPr>
                <w:b/>
                <w:color w:val="000000"/>
                <w:sz w:val="16"/>
                <w:szCs w:val="16"/>
                <w:lang w:val="en-GB" w:eastAsia="en-GB"/>
              </w:rPr>
            </w:pPr>
          </w:p>
        </w:tc>
        <w:tc>
          <w:tcPr>
            <w:tcW w:w="1984" w:type="dxa"/>
            <w:shd w:val="clear" w:color="auto" w:fill="auto"/>
            <w:tcMar>
              <w:top w:w="85" w:type="dxa"/>
              <w:bottom w:w="85" w:type="dxa"/>
            </w:tcMar>
          </w:tcPr>
          <w:p w:rsidR="00E023E5" w:rsidRPr="00EE0539" w:rsidRDefault="00E023E5" w:rsidP="00E023E5">
            <w:pPr>
              <w:autoSpaceDE w:val="0"/>
              <w:autoSpaceDN w:val="0"/>
              <w:adjustRightInd w:val="0"/>
              <w:rPr>
                <w:b/>
                <w:color w:val="000000"/>
                <w:sz w:val="16"/>
                <w:szCs w:val="16"/>
                <w:lang w:val="en-GB" w:eastAsia="en-GB"/>
              </w:rPr>
            </w:pPr>
          </w:p>
        </w:tc>
        <w:tc>
          <w:tcPr>
            <w:tcW w:w="1134" w:type="dxa"/>
            <w:tcMar>
              <w:top w:w="85" w:type="dxa"/>
              <w:bottom w:w="85" w:type="dxa"/>
            </w:tcMar>
          </w:tcPr>
          <w:p w:rsidR="00E023E5" w:rsidRPr="00EE0539" w:rsidRDefault="00E023E5" w:rsidP="00E023E5">
            <w:pPr>
              <w:autoSpaceDE w:val="0"/>
              <w:autoSpaceDN w:val="0"/>
              <w:adjustRightInd w:val="0"/>
              <w:jc w:val="right"/>
              <w:rPr>
                <w:b/>
                <w:sz w:val="16"/>
                <w:szCs w:val="16"/>
              </w:rPr>
            </w:pPr>
            <w:r w:rsidRPr="00EE0539">
              <w:rPr>
                <w:b/>
                <w:sz w:val="16"/>
                <w:szCs w:val="16"/>
              </w:rPr>
              <w:t>93.0%</w:t>
            </w:r>
          </w:p>
        </w:tc>
        <w:tc>
          <w:tcPr>
            <w:tcW w:w="1101" w:type="dxa"/>
            <w:tcMar>
              <w:top w:w="85" w:type="dxa"/>
              <w:bottom w:w="85" w:type="dxa"/>
            </w:tcMar>
          </w:tcPr>
          <w:p w:rsidR="00E023E5" w:rsidRPr="00EE0539" w:rsidRDefault="00E023E5" w:rsidP="00E023E5">
            <w:pPr>
              <w:autoSpaceDE w:val="0"/>
              <w:autoSpaceDN w:val="0"/>
              <w:adjustRightInd w:val="0"/>
              <w:jc w:val="right"/>
              <w:rPr>
                <w:b/>
                <w:sz w:val="16"/>
                <w:szCs w:val="16"/>
              </w:rPr>
            </w:pPr>
            <w:r w:rsidRPr="00EE0539">
              <w:rPr>
                <w:b/>
                <w:sz w:val="16"/>
                <w:szCs w:val="16"/>
              </w:rPr>
              <w:t>95.3%</w:t>
            </w:r>
          </w:p>
        </w:tc>
      </w:tr>
    </w:tbl>
    <w:p w:rsidR="00E023E5" w:rsidRDefault="00E023E5" w:rsidP="00E023E5">
      <w:pPr>
        <w:autoSpaceDE w:val="0"/>
        <w:autoSpaceDN w:val="0"/>
        <w:adjustRightInd w:val="0"/>
        <w:rPr>
          <w:color w:val="000000"/>
          <w:lang w:val="en-GB" w:eastAsia="en-GB"/>
        </w:rPr>
      </w:pPr>
    </w:p>
    <w:p w:rsidR="00E023E5" w:rsidRPr="000E46C3" w:rsidRDefault="00E023E5" w:rsidP="00E023E5">
      <w:pPr>
        <w:rPr>
          <w:b/>
          <w:szCs w:val="16"/>
          <w:highlight w:val="yellow"/>
        </w:rPr>
      </w:pPr>
    </w:p>
    <w:p w:rsidR="00E023E5" w:rsidRPr="00E34675" w:rsidRDefault="00E023E5" w:rsidP="00E023E5">
      <w:pPr>
        <w:rPr>
          <w:b/>
          <w:szCs w:val="16"/>
        </w:rPr>
      </w:pPr>
      <w:r w:rsidRPr="00E34675">
        <w:rPr>
          <w:b/>
          <w:szCs w:val="16"/>
        </w:rPr>
        <w:t>Receiving Office at the International Bureau (RO/IB)</w:t>
      </w:r>
    </w:p>
    <w:p w:rsidR="00E023E5" w:rsidRPr="00E34675" w:rsidRDefault="00E023E5" w:rsidP="00E023E5">
      <w:pPr>
        <w:rPr>
          <w:b/>
          <w:szCs w:val="16"/>
        </w:rPr>
      </w:pPr>
    </w:p>
    <w:p w:rsidR="00E023E5" w:rsidRPr="00E34675" w:rsidRDefault="00E023E5" w:rsidP="00E023E5">
      <w:pPr>
        <w:rPr>
          <w:i/>
        </w:rPr>
      </w:pPr>
      <w:r w:rsidRPr="00E34675">
        <w:rPr>
          <w:i/>
        </w:rPr>
        <w:t xml:space="preserve">Filings </w:t>
      </w:r>
    </w:p>
    <w:p w:rsidR="00E023E5" w:rsidRPr="00E34675" w:rsidRDefault="00E023E5" w:rsidP="00E023E5">
      <w:pPr>
        <w:rPr>
          <w:b/>
          <w:szCs w:val="18"/>
        </w:rPr>
      </w:pPr>
    </w:p>
    <w:p w:rsidR="00E023E5" w:rsidRPr="00EE0539" w:rsidRDefault="00E023E5" w:rsidP="00520CAA">
      <w:pPr>
        <w:numPr>
          <w:ilvl w:val="0"/>
          <w:numId w:val="7"/>
        </w:numPr>
      </w:pPr>
      <w:r w:rsidRPr="00EE0539">
        <w:rPr>
          <w:lang w:val="en-GB"/>
        </w:rPr>
        <w:t>This</w:t>
      </w:r>
      <w:r w:rsidRPr="00EE0539">
        <w:t xml:space="preserve"> table presents PCT filings by the top ten receiving offices over the past five years to 2014.  In principle, a PCT application is filed at the national patent office of the applicant’s home country or at </w:t>
      </w:r>
      <w:proofErr w:type="gramStart"/>
      <w:r w:rsidRPr="00EE0539">
        <w:t>a regional</w:t>
      </w:r>
      <w:proofErr w:type="gramEnd"/>
      <w:r w:rsidRPr="00EE0539">
        <w:t xml:space="preserve"> patent office acting for the applicant’s home jurisdiction.  The IB is a competent receiving office (RO/IB) for applicants from all PCT contracting states.  The evolution of the filings at the RO/IB, its ranking in terms of the number of filings among other receiving offices, as well as its market share can be observed in this table.</w:t>
      </w:r>
    </w:p>
    <w:p w:rsidR="00E023E5" w:rsidRDefault="00E023E5" w:rsidP="00E023E5">
      <w:pPr>
        <w:jc w:val="both"/>
        <w:rPr>
          <w:sz w:val="18"/>
          <w:highlight w:val="yellow"/>
        </w:rPr>
      </w:pPr>
    </w:p>
    <w:p w:rsidR="00E023E5" w:rsidRPr="00E34675" w:rsidRDefault="00E023E5" w:rsidP="00E023E5">
      <w:pPr>
        <w:jc w:val="both"/>
        <w:rPr>
          <w:sz w:val="18"/>
        </w:rPr>
      </w:pPr>
      <w:r>
        <w:rPr>
          <w:noProof/>
        </w:rPr>
        <w:drawing>
          <wp:inline distT="0" distB="0" distL="0" distR="0" wp14:anchorId="0CD01A84" wp14:editId="269603E9">
            <wp:extent cx="5753100" cy="280987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53100" cy="2809875"/>
                    </a:xfrm>
                    <a:prstGeom prst="rect">
                      <a:avLst/>
                    </a:prstGeom>
                    <a:noFill/>
                    <a:ln>
                      <a:noFill/>
                    </a:ln>
                  </pic:spPr>
                </pic:pic>
              </a:graphicData>
            </a:graphic>
          </wp:inline>
        </w:drawing>
      </w:r>
    </w:p>
    <w:p w:rsidR="00E023E5" w:rsidRPr="000E46C3" w:rsidRDefault="00E023E5" w:rsidP="00E023E5">
      <w:pPr>
        <w:rPr>
          <w:sz w:val="18"/>
          <w:highlight w:val="yellow"/>
        </w:rPr>
      </w:pPr>
    </w:p>
    <w:p w:rsidR="00E023E5" w:rsidRPr="00EE0539" w:rsidRDefault="00E023E5" w:rsidP="00520CAA">
      <w:pPr>
        <w:numPr>
          <w:ilvl w:val="0"/>
          <w:numId w:val="7"/>
        </w:numPr>
      </w:pPr>
      <w:r>
        <w:t>I</w:t>
      </w:r>
      <w:r w:rsidRPr="00EE0539">
        <w:t xml:space="preserve">n the </w:t>
      </w:r>
      <w:r>
        <w:t xml:space="preserve">Program and Budget </w:t>
      </w:r>
      <w:r w:rsidRPr="00EE0539">
        <w:t xml:space="preserve">2014/15, the following two performance indicators were added for the RO/IB:  </w:t>
      </w:r>
    </w:p>
    <w:p w:rsidR="00E023E5" w:rsidRPr="0054556A" w:rsidRDefault="00E023E5" w:rsidP="00E023E5">
      <w:pPr>
        <w:pStyle w:val="PlainText"/>
        <w:rPr>
          <w:rFonts w:ascii="Arial" w:hAnsi="Arial" w:cs="Arial"/>
          <w:color w:val="auto"/>
        </w:rPr>
      </w:pPr>
    </w:p>
    <w:p w:rsidR="00E023E5" w:rsidRPr="0054556A" w:rsidRDefault="00E023E5" w:rsidP="00E023E5">
      <w:pPr>
        <w:pStyle w:val="PlainText"/>
        <w:rPr>
          <w:rFonts w:ascii="Arial" w:hAnsi="Arial" w:cs="Arial"/>
          <w:color w:val="auto"/>
        </w:rPr>
      </w:pPr>
      <w:r w:rsidRPr="0054556A">
        <w:rPr>
          <w:rFonts w:ascii="Arial" w:hAnsi="Arial" w:cs="Arial"/>
          <w:i/>
          <w:color w:val="auto"/>
        </w:rPr>
        <w:t>Timeliness of notification of international filing date</w:t>
      </w:r>
    </w:p>
    <w:p w:rsidR="00E023E5" w:rsidRPr="0054556A" w:rsidRDefault="00E023E5" w:rsidP="00E023E5">
      <w:pPr>
        <w:pStyle w:val="PlainText"/>
        <w:rPr>
          <w:rFonts w:ascii="Arial" w:hAnsi="Arial" w:cs="Arial"/>
          <w:color w:val="auto"/>
        </w:rPr>
      </w:pPr>
    </w:p>
    <w:p w:rsidR="00E023E5" w:rsidRPr="00EE0539" w:rsidRDefault="00E023E5" w:rsidP="00520CAA">
      <w:pPr>
        <w:numPr>
          <w:ilvl w:val="0"/>
          <w:numId w:val="7"/>
        </w:numPr>
      </w:pPr>
      <w:r w:rsidRPr="00EE0539">
        <w:rPr>
          <w:lang w:val="en-GB"/>
        </w:rPr>
        <w:t>This</w:t>
      </w:r>
      <w:r w:rsidRPr="00EE0539">
        <w:t xml:space="preserve"> indicator reflects the time required by the RO/IB to issue Form 105.  This form is issued after the international filing date has been accorded.  Applicants appreciate receiving this form as soon as possible, because an international application has the effect of a regular national application in each designated State as of the international filing date, which date shall be considered to be the actual filing date in each designated State.</w:t>
      </w:r>
    </w:p>
    <w:p w:rsidR="00E023E5" w:rsidRPr="00EE0539" w:rsidRDefault="00E023E5" w:rsidP="00E023E5">
      <w:pPr>
        <w:pStyle w:val="BodyText2"/>
        <w:spacing w:after="0" w:line="240" w:lineRule="auto"/>
        <w:jc w:val="both"/>
        <w:rPr>
          <w:rFonts w:cs="Arial"/>
          <w:szCs w:val="20"/>
        </w:rPr>
      </w:pPr>
    </w:p>
    <w:p w:rsidR="00E023E5" w:rsidRPr="000D2666" w:rsidRDefault="00E023E5" w:rsidP="00E023E5">
      <w:pPr>
        <w:pStyle w:val="PlainText"/>
        <w:jc w:val="center"/>
        <w:rPr>
          <w:rFonts w:ascii="Arial" w:hAnsi="Arial" w:cs="Arial"/>
          <w:b/>
          <w:color w:val="auto"/>
          <w:sz w:val="18"/>
        </w:rPr>
      </w:pPr>
      <w:r w:rsidRPr="000D2666">
        <w:rPr>
          <w:rFonts w:ascii="Arial" w:hAnsi="Arial" w:cs="Arial"/>
          <w:b/>
          <w:color w:val="auto"/>
          <w:sz w:val="18"/>
        </w:rPr>
        <w:t>Timeliness of Notification of International Filing Date</w:t>
      </w:r>
    </w:p>
    <w:p w:rsidR="00E023E5" w:rsidRPr="0054556A" w:rsidRDefault="00E023E5" w:rsidP="00E023E5">
      <w:pPr>
        <w:pStyle w:val="PlainText"/>
        <w:ind w:left="567"/>
        <w:rPr>
          <w:rFonts w:ascii="Arial" w:hAnsi="Arial" w:cs="Arial"/>
          <w:color w:val="auto"/>
        </w:rPr>
      </w:pPr>
      <w:r>
        <w:rPr>
          <w:rFonts w:cs="Arial"/>
          <w:noProof/>
          <w:lang w:eastAsia="en-US"/>
        </w:rPr>
        <w:drawing>
          <wp:inline distT="0" distB="0" distL="0" distR="0" wp14:anchorId="6420BFD5" wp14:editId="576C4570">
            <wp:extent cx="5757545" cy="2534920"/>
            <wp:effectExtent l="0" t="0" r="0" b="0"/>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7545" cy="2534920"/>
                    </a:xfrm>
                    <a:prstGeom prst="rect">
                      <a:avLst/>
                    </a:prstGeom>
                    <a:noFill/>
                  </pic:spPr>
                </pic:pic>
              </a:graphicData>
            </a:graphic>
          </wp:inline>
        </w:drawing>
      </w:r>
    </w:p>
    <w:p w:rsidR="00E023E5" w:rsidRPr="0054556A" w:rsidRDefault="00E023E5" w:rsidP="00E023E5">
      <w:pPr>
        <w:pStyle w:val="PlainText"/>
        <w:ind w:left="567"/>
        <w:rPr>
          <w:rFonts w:ascii="Arial" w:hAnsi="Arial" w:cs="Arial"/>
          <w:color w:val="auto"/>
        </w:rPr>
      </w:pPr>
    </w:p>
    <w:p w:rsidR="00E023E5" w:rsidRPr="0054556A" w:rsidRDefault="00E023E5" w:rsidP="00E023E5">
      <w:pPr>
        <w:pStyle w:val="PlainText"/>
        <w:ind w:left="567"/>
        <w:rPr>
          <w:rFonts w:ascii="Arial" w:hAnsi="Arial" w:cs="Arial"/>
          <w:i/>
          <w:color w:val="auto"/>
        </w:rPr>
      </w:pPr>
      <w:r w:rsidRPr="0054556A">
        <w:rPr>
          <w:rFonts w:ascii="Arial" w:hAnsi="Arial" w:cs="Arial"/>
          <w:color w:val="auto"/>
        </w:rPr>
        <w:t> </w:t>
      </w:r>
    </w:p>
    <w:p w:rsidR="00E023E5" w:rsidRPr="0054556A" w:rsidRDefault="00E023E5" w:rsidP="00E023E5">
      <w:pPr>
        <w:pStyle w:val="PlainText"/>
        <w:rPr>
          <w:rFonts w:ascii="Arial" w:hAnsi="Arial" w:cs="Arial"/>
          <w:i/>
          <w:color w:val="auto"/>
        </w:rPr>
      </w:pPr>
      <w:r w:rsidRPr="0054556A">
        <w:rPr>
          <w:rFonts w:ascii="Arial" w:hAnsi="Arial" w:cs="Arial"/>
          <w:i/>
          <w:color w:val="auto"/>
        </w:rPr>
        <w:t>Timeliness of transmittal of search copy</w:t>
      </w:r>
    </w:p>
    <w:p w:rsidR="00E023E5" w:rsidRPr="0054556A" w:rsidRDefault="00E023E5" w:rsidP="00E023E5">
      <w:pPr>
        <w:pStyle w:val="PlainText"/>
        <w:rPr>
          <w:rFonts w:ascii="Arial" w:hAnsi="Arial" w:cs="Arial"/>
          <w:color w:val="auto"/>
        </w:rPr>
      </w:pPr>
    </w:p>
    <w:p w:rsidR="00E023E5" w:rsidRPr="00EE0539" w:rsidRDefault="00E023E5" w:rsidP="00520CAA">
      <w:pPr>
        <w:numPr>
          <w:ilvl w:val="0"/>
          <w:numId w:val="7"/>
        </w:numPr>
      </w:pPr>
      <w:r w:rsidRPr="0054556A">
        <w:rPr>
          <w:lang w:val="en-GB"/>
        </w:rPr>
        <w:t>This</w:t>
      </w:r>
      <w:r w:rsidRPr="0054556A">
        <w:t xml:space="preserve"> indicator reflects the time required by the RO/IB to transmit the search copies to the ISAs.</w:t>
      </w:r>
      <w:r w:rsidRPr="00EE0539">
        <w:t xml:space="preserve"> The search copy is to be transmitted promptly after payment of the search fee, so that the ISA can establish the ISR within the deadlines stipulated by the PCT regulatory framework.  Delays in paying the fee will delay the transmission of the search copies to the ISAs and therefore negatively impact upon the ability of ISAs to meet these deadlines.</w:t>
      </w:r>
    </w:p>
    <w:p w:rsidR="00E023E5" w:rsidRPr="00245747" w:rsidRDefault="00E023E5" w:rsidP="00E023E5"/>
    <w:p w:rsidR="00E023E5" w:rsidRPr="000D2666" w:rsidRDefault="00E023E5" w:rsidP="00E023E5">
      <w:pPr>
        <w:pStyle w:val="PlainText"/>
        <w:jc w:val="center"/>
        <w:rPr>
          <w:rFonts w:ascii="Arial" w:hAnsi="Arial" w:cs="Arial"/>
          <w:b/>
          <w:color w:val="auto"/>
          <w:sz w:val="18"/>
        </w:rPr>
      </w:pPr>
      <w:r w:rsidRPr="000D2666">
        <w:rPr>
          <w:rFonts w:ascii="Arial" w:hAnsi="Arial" w:cs="Arial"/>
          <w:b/>
          <w:color w:val="auto"/>
          <w:sz w:val="18"/>
        </w:rPr>
        <w:t>Timeliness of Transmittal of Search Copy</w:t>
      </w:r>
    </w:p>
    <w:p w:rsidR="00E023E5" w:rsidRPr="0054556A" w:rsidRDefault="00E023E5" w:rsidP="00E023E5">
      <w:pPr>
        <w:rPr>
          <w:b/>
        </w:rPr>
      </w:pPr>
      <w:r>
        <w:rPr>
          <w:noProof/>
        </w:rPr>
        <w:drawing>
          <wp:inline distT="0" distB="0" distL="0" distR="0" wp14:anchorId="6FB0CB93" wp14:editId="6C7ECA33">
            <wp:extent cx="5311775" cy="2436495"/>
            <wp:effectExtent l="0" t="0" r="3175" b="1905"/>
            <wp:docPr id="832" name="Pict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11775" cy="2436495"/>
                    </a:xfrm>
                    <a:prstGeom prst="rect">
                      <a:avLst/>
                    </a:prstGeom>
                    <a:noFill/>
                  </pic:spPr>
                </pic:pic>
              </a:graphicData>
            </a:graphic>
          </wp:inline>
        </w:drawing>
      </w:r>
    </w:p>
    <w:p w:rsidR="00E023E5" w:rsidRDefault="00E023E5" w:rsidP="00E023E5"/>
    <w:p w:rsidR="009F72A7" w:rsidRDefault="009F72A7">
      <w:r>
        <w:br w:type="page"/>
      </w:r>
    </w:p>
    <w:p w:rsidR="009F72A7" w:rsidRPr="001243AF" w:rsidRDefault="009F72A7" w:rsidP="009F72A7">
      <w:pPr>
        <w:pStyle w:val="Heading2"/>
        <w:tabs>
          <w:tab w:val="clear" w:pos="567"/>
          <w:tab w:val="left" w:pos="1985"/>
        </w:tabs>
      </w:pPr>
      <w:bookmarkStart w:id="56" w:name="_Toc422210484"/>
      <w:r w:rsidRPr="001243AF">
        <w:lastRenderedPageBreak/>
        <w:t xml:space="preserve">PROGRAM </w:t>
      </w:r>
      <w:r>
        <w:t>6</w:t>
      </w:r>
      <w:r>
        <w:tab/>
      </w:r>
      <w:r>
        <w:tab/>
        <w:t>MADRID AND LISBON SYSTEMS</w:t>
      </w:r>
      <w:bookmarkEnd w:id="56"/>
    </w:p>
    <w:p w:rsidR="009F72A7" w:rsidRPr="00383D2D" w:rsidRDefault="009F72A7" w:rsidP="009F72A7">
      <w:pPr>
        <w:rPr>
          <w:szCs w:val="20"/>
        </w:rPr>
      </w:pPr>
    </w:p>
    <w:p w:rsidR="009F72A7" w:rsidRPr="002A7D4D" w:rsidRDefault="009F72A7" w:rsidP="009F72A7">
      <w:pPr>
        <w:tabs>
          <w:tab w:val="left" w:pos="1985"/>
        </w:tabs>
        <w:rPr>
          <w:b/>
          <w:szCs w:val="22"/>
        </w:rPr>
      </w:pPr>
      <w:r w:rsidRPr="002A7D4D">
        <w:rPr>
          <w:b/>
          <w:szCs w:val="22"/>
        </w:rPr>
        <w:t>Program Manager</w:t>
      </w:r>
      <w:r w:rsidRPr="002A7D4D">
        <w:rPr>
          <w:b/>
          <w:szCs w:val="22"/>
        </w:rPr>
        <w:tab/>
        <w:t>Ms. B. Wang</w:t>
      </w:r>
    </w:p>
    <w:p w:rsidR="009F72A7" w:rsidRDefault="009F72A7" w:rsidP="00E023E5"/>
    <w:p w:rsidR="009F72A7" w:rsidRDefault="009F72A7" w:rsidP="00E023E5"/>
    <w:p w:rsidR="00100231" w:rsidRPr="005E6AFC" w:rsidRDefault="00100231" w:rsidP="000E148D">
      <w:pPr>
        <w:rPr>
          <w:bCs/>
          <w:sz w:val="22"/>
          <w:szCs w:val="22"/>
        </w:rPr>
      </w:pPr>
      <w:r>
        <w:rPr>
          <w:bCs/>
          <w:sz w:val="22"/>
          <w:szCs w:val="22"/>
        </w:rPr>
        <w:t>OVERVIEW OF PROGRESS IN 2014</w:t>
      </w:r>
    </w:p>
    <w:p w:rsidR="00100231" w:rsidRDefault="00100231" w:rsidP="000E148D">
      <w:pPr>
        <w:rPr>
          <w:szCs w:val="20"/>
        </w:rPr>
      </w:pPr>
    </w:p>
    <w:p w:rsidR="00100231" w:rsidRPr="00383D2D" w:rsidRDefault="00100231" w:rsidP="000E148D">
      <w:pPr>
        <w:rPr>
          <w:szCs w:val="20"/>
        </w:rPr>
      </w:pPr>
    </w:p>
    <w:p w:rsidR="00100231" w:rsidRPr="008169CE" w:rsidRDefault="00100231" w:rsidP="00100231">
      <w:pPr>
        <w:pStyle w:val="ListParagraph"/>
        <w:numPr>
          <w:ilvl w:val="0"/>
          <w:numId w:val="57"/>
        </w:numPr>
        <w:ind w:left="567" w:hanging="567"/>
        <w:jc w:val="both"/>
        <w:rPr>
          <w:rFonts w:cs="Arial"/>
          <w:u w:val="single"/>
        </w:rPr>
      </w:pPr>
      <w:r>
        <w:rPr>
          <w:rFonts w:cs="Arial"/>
          <w:u w:val="single"/>
        </w:rPr>
        <w:t>THE MADRID SYSTEM</w:t>
      </w:r>
    </w:p>
    <w:p w:rsidR="00100231" w:rsidRDefault="00100231" w:rsidP="008D1891">
      <w:pPr>
        <w:tabs>
          <w:tab w:val="left" w:pos="709"/>
        </w:tabs>
        <w:jc w:val="both"/>
        <w:rPr>
          <w:rFonts w:cs="Arial"/>
          <w:szCs w:val="20"/>
        </w:rPr>
      </w:pPr>
    </w:p>
    <w:p w:rsidR="00100231" w:rsidRPr="002A7D4D" w:rsidRDefault="00100231" w:rsidP="00100231">
      <w:pPr>
        <w:pStyle w:val="ListParagraph"/>
        <w:numPr>
          <w:ilvl w:val="0"/>
          <w:numId w:val="60"/>
        </w:numPr>
        <w:tabs>
          <w:tab w:val="left" w:pos="709"/>
        </w:tabs>
        <w:ind w:left="0" w:firstLine="0"/>
        <w:jc w:val="both"/>
        <w:rPr>
          <w:rFonts w:cs="Arial"/>
        </w:rPr>
      </w:pPr>
      <w:r w:rsidRPr="002A7D4D">
        <w:rPr>
          <w:rFonts w:cs="Arial"/>
        </w:rPr>
        <w:t xml:space="preserve">The geographical expansion of the System saw important positive developments in 2014. </w:t>
      </w:r>
      <w:r>
        <w:rPr>
          <w:rFonts w:cs="Arial"/>
        </w:rPr>
        <w:t xml:space="preserve"> </w:t>
      </w:r>
      <w:r w:rsidRPr="002A7D4D">
        <w:rPr>
          <w:rFonts w:cs="Arial"/>
        </w:rPr>
        <w:t xml:space="preserve">In December, Zimbabwe and the </w:t>
      </w:r>
      <w:proofErr w:type="spellStart"/>
      <w:r w:rsidRPr="002A7D4D">
        <w:rPr>
          <w:rFonts w:cs="Arial"/>
          <w:i/>
        </w:rPr>
        <w:t>Organisation</w:t>
      </w:r>
      <w:proofErr w:type="spellEnd"/>
      <w:r w:rsidRPr="002A7D4D">
        <w:rPr>
          <w:rFonts w:cs="Arial"/>
          <w:i/>
        </w:rPr>
        <w:t xml:space="preserve"> </w:t>
      </w:r>
      <w:proofErr w:type="spellStart"/>
      <w:r w:rsidRPr="002A7D4D">
        <w:rPr>
          <w:rFonts w:cs="Arial"/>
          <w:i/>
        </w:rPr>
        <w:t>Africaine</w:t>
      </w:r>
      <w:proofErr w:type="spellEnd"/>
      <w:r w:rsidRPr="002A7D4D">
        <w:rPr>
          <w:rFonts w:cs="Arial"/>
          <w:i/>
        </w:rPr>
        <w:t xml:space="preserve"> de la </w:t>
      </w:r>
      <w:proofErr w:type="spellStart"/>
      <w:r w:rsidRPr="002A7D4D">
        <w:rPr>
          <w:rFonts w:cs="Arial"/>
          <w:i/>
        </w:rPr>
        <w:t>Propriété</w:t>
      </w:r>
      <w:proofErr w:type="spellEnd"/>
      <w:r w:rsidRPr="002A7D4D">
        <w:rPr>
          <w:rFonts w:cs="Arial"/>
          <w:i/>
        </w:rPr>
        <w:t xml:space="preserve"> </w:t>
      </w:r>
      <w:proofErr w:type="spellStart"/>
      <w:r w:rsidRPr="002A7D4D">
        <w:rPr>
          <w:rFonts w:cs="Arial"/>
          <w:i/>
        </w:rPr>
        <w:t>Intellectuelle</w:t>
      </w:r>
      <w:proofErr w:type="spellEnd"/>
      <w:r w:rsidRPr="002A7D4D">
        <w:rPr>
          <w:rFonts w:cs="Arial"/>
        </w:rPr>
        <w:t xml:space="preserve"> (OAPI) acceded to the Madrid Protocol.  With OAPI being a 17-country intergovernmental organization, these two accessions alone increased the number of countries in which users can protect and manage their trademarks centrally through the Madrid System from 94 to 110 and thus contributed significantly to the transformation of the System into a truly global system.</w:t>
      </w:r>
    </w:p>
    <w:p w:rsidR="00100231" w:rsidRDefault="00100231" w:rsidP="008D1891">
      <w:pPr>
        <w:tabs>
          <w:tab w:val="left" w:pos="709"/>
        </w:tabs>
        <w:jc w:val="both"/>
        <w:rPr>
          <w:rFonts w:cs="Arial"/>
          <w:szCs w:val="20"/>
        </w:rPr>
      </w:pPr>
    </w:p>
    <w:p w:rsidR="00100231" w:rsidRPr="002A7D4D" w:rsidRDefault="00100231" w:rsidP="00100231">
      <w:pPr>
        <w:pStyle w:val="ListParagraph"/>
        <w:numPr>
          <w:ilvl w:val="0"/>
          <w:numId w:val="60"/>
        </w:numPr>
        <w:tabs>
          <w:tab w:val="left" w:pos="709"/>
        </w:tabs>
        <w:ind w:left="0" w:firstLine="0"/>
        <w:jc w:val="both"/>
        <w:rPr>
          <w:rFonts w:cs="Arial"/>
        </w:rPr>
      </w:pPr>
      <w:r w:rsidRPr="002A7D4D">
        <w:rPr>
          <w:rFonts w:cs="Arial"/>
        </w:rPr>
        <w:t>Use of the Madrid System also increased in 2014, although at a slower rate than originally anticipated.  A record 47,885 applications were received in 2014, representing a 2.3 per cent growth over</w:t>
      </w:r>
      <w:r>
        <w:rPr>
          <w:rFonts w:cs="Arial"/>
        </w:rPr>
        <w:t> </w:t>
      </w:r>
      <w:r w:rsidRPr="002A7D4D">
        <w:rPr>
          <w:rFonts w:cs="Arial"/>
        </w:rPr>
        <w:t>2013.  The United States of America surpassed Germany as the biggest user of the Madrid System in 2014, further illustrating the transformation of the System.</w:t>
      </w:r>
    </w:p>
    <w:p w:rsidR="00100231" w:rsidRDefault="00100231" w:rsidP="008D1891">
      <w:pPr>
        <w:tabs>
          <w:tab w:val="left" w:pos="709"/>
        </w:tabs>
        <w:jc w:val="both"/>
        <w:rPr>
          <w:rFonts w:cs="Arial"/>
          <w:szCs w:val="20"/>
        </w:rPr>
      </w:pPr>
    </w:p>
    <w:p w:rsidR="00100231" w:rsidRPr="002A7D4D" w:rsidRDefault="00100231" w:rsidP="00100231">
      <w:pPr>
        <w:pStyle w:val="ListParagraph"/>
        <w:numPr>
          <w:ilvl w:val="0"/>
          <w:numId w:val="60"/>
        </w:numPr>
        <w:tabs>
          <w:tab w:val="left" w:pos="709"/>
        </w:tabs>
        <w:ind w:left="0" w:firstLine="0"/>
        <w:jc w:val="both"/>
      </w:pPr>
      <w:r w:rsidRPr="002A7D4D">
        <w:t>The discussions in the Working Group on the Legal Development of the Madrid System led to a number of important changes to the Common Regulations, which entered into force in January 2015.  As a result of the changes, a new relief measure entitled “continued processing” is now available to applicants or holders who fail to meet given time limits in specific procedures before the IB.  In addition, the renewal procedure has been simplified through the introduction of an option to renew an international registration only for a reduced list of goods and services, rather than having to request the recording of a limitation prior to the renewal, as was previously the case.</w:t>
      </w:r>
    </w:p>
    <w:p w:rsidR="00100231" w:rsidRDefault="00100231" w:rsidP="008D1891">
      <w:pPr>
        <w:tabs>
          <w:tab w:val="left" w:pos="709"/>
        </w:tabs>
        <w:jc w:val="both"/>
        <w:rPr>
          <w:rFonts w:cs="Arial"/>
          <w:szCs w:val="20"/>
        </w:rPr>
      </w:pPr>
    </w:p>
    <w:p w:rsidR="00100231" w:rsidRPr="002A7D4D" w:rsidRDefault="00100231" w:rsidP="00100231">
      <w:pPr>
        <w:pStyle w:val="ListParagraph"/>
        <w:numPr>
          <w:ilvl w:val="0"/>
          <w:numId w:val="60"/>
        </w:numPr>
        <w:tabs>
          <w:tab w:val="left" w:pos="709"/>
        </w:tabs>
        <w:ind w:left="0" w:firstLine="0"/>
        <w:jc w:val="both"/>
        <w:rPr>
          <w:rFonts w:cs="Arial"/>
        </w:rPr>
      </w:pPr>
      <w:r w:rsidRPr="002A7D4D">
        <w:rPr>
          <w:rFonts w:cs="Arial"/>
        </w:rPr>
        <w:t>The most challenging aspects in 2014 concerned Madrid operational work at the IB.  The Madrid Service Orientation Satisfaction Index (Madrid Service Orientation 2014 Survey) improved slightly from 38</w:t>
      </w:r>
      <w:r>
        <w:rPr>
          <w:rFonts w:cs="Arial"/>
        </w:rPr>
        <w:t> </w:t>
      </w:r>
      <w:r w:rsidRPr="002A7D4D">
        <w:rPr>
          <w:rFonts w:cs="Arial"/>
        </w:rPr>
        <w:t xml:space="preserve">to 39.  However, a major, long-term reform initiative aimed at improving the maturity level of the operational environment was launched in early 2014 and required the implementation of various new activities and projects, as well as the diversion of certain resources previously dedicated to examination.  Consequently, backlogs accumulated in various examination categories (some pre-dating 2014), and other operational delays were incurred, resulting in a number of indicators not being on track.  Mitigation measures were put in place, including the retention of a number of additional flexible resources, to allow the IB to improve upon the situation moving forward, while, at the same time, to implement the multiple improvement initiatives still required. </w:t>
      </w:r>
    </w:p>
    <w:p w:rsidR="00100231" w:rsidRDefault="00100231" w:rsidP="008D1891">
      <w:pPr>
        <w:tabs>
          <w:tab w:val="left" w:pos="709"/>
        </w:tabs>
        <w:jc w:val="both"/>
        <w:rPr>
          <w:rFonts w:cs="Arial"/>
          <w:szCs w:val="20"/>
        </w:rPr>
      </w:pPr>
    </w:p>
    <w:p w:rsidR="00100231" w:rsidRPr="002A7D4D" w:rsidRDefault="00100231" w:rsidP="00100231">
      <w:pPr>
        <w:pStyle w:val="ListParagraph"/>
        <w:numPr>
          <w:ilvl w:val="0"/>
          <w:numId w:val="60"/>
        </w:numPr>
        <w:tabs>
          <w:tab w:val="left" w:pos="709"/>
        </w:tabs>
        <w:ind w:left="0" w:firstLine="0"/>
        <w:jc w:val="both"/>
        <w:rPr>
          <w:rFonts w:cs="Arial"/>
        </w:rPr>
      </w:pPr>
      <w:r w:rsidRPr="002A7D4D">
        <w:rPr>
          <w:rFonts w:cs="Arial"/>
        </w:rPr>
        <w:t xml:space="preserve">An independent review of the preparations necessary for the deployment of the modernized back office ICT systems supporting the Madrid Registry was undertaken during the third and fourth quarters of 2014. The principle recommendations of the review were the engagement of specialist resources to oversee the deployment from both the business and ICT. As regards the front office ICT systems, work continued as planned, including the deployment of the Madrid </w:t>
      </w:r>
      <w:proofErr w:type="spellStart"/>
      <w:r w:rsidRPr="002A7D4D">
        <w:rPr>
          <w:rFonts w:cs="Arial"/>
        </w:rPr>
        <w:t>eFiling</w:t>
      </w:r>
      <w:proofErr w:type="spellEnd"/>
      <w:r w:rsidRPr="002A7D4D">
        <w:rPr>
          <w:rFonts w:cs="Arial"/>
        </w:rPr>
        <w:t xml:space="preserve"> tool in the Benelux Office for Intellectual Property (BOIP), the evolution of additional Madrid System web forms and enhanced functionalities in the ROMARIN search system. </w:t>
      </w:r>
    </w:p>
    <w:p w:rsidR="00100231" w:rsidRPr="00015FB1" w:rsidRDefault="00100231" w:rsidP="008D1891">
      <w:pPr>
        <w:rPr>
          <w:b/>
          <w:szCs w:val="20"/>
        </w:rPr>
      </w:pPr>
    </w:p>
    <w:p w:rsidR="00100231" w:rsidRPr="00AB220A" w:rsidRDefault="00100231" w:rsidP="00100231">
      <w:pPr>
        <w:pStyle w:val="ListParagraph"/>
        <w:numPr>
          <w:ilvl w:val="0"/>
          <w:numId w:val="57"/>
        </w:numPr>
        <w:ind w:left="567" w:hanging="567"/>
        <w:rPr>
          <w:rFonts w:cs="Arial"/>
        </w:rPr>
      </w:pPr>
      <w:r>
        <w:rPr>
          <w:rFonts w:cs="Arial"/>
        </w:rPr>
        <w:t xml:space="preserve">THE </w:t>
      </w:r>
      <w:r w:rsidRPr="00AB220A">
        <w:rPr>
          <w:rFonts w:cs="Arial"/>
        </w:rPr>
        <w:t>LISBON SYSTEM</w:t>
      </w:r>
    </w:p>
    <w:p w:rsidR="00100231" w:rsidRDefault="00100231" w:rsidP="008D1891">
      <w:pPr>
        <w:rPr>
          <w:rFonts w:cs="Arial"/>
          <w:szCs w:val="20"/>
        </w:rPr>
      </w:pPr>
    </w:p>
    <w:p w:rsidR="00100231" w:rsidRDefault="00100231" w:rsidP="00100231">
      <w:pPr>
        <w:pStyle w:val="ListParagraph"/>
        <w:numPr>
          <w:ilvl w:val="0"/>
          <w:numId w:val="60"/>
        </w:numPr>
        <w:tabs>
          <w:tab w:val="left" w:pos="709"/>
        </w:tabs>
        <w:ind w:left="0" w:firstLine="0"/>
        <w:jc w:val="both"/>
        <w:rPr>
          <w:rFonts w:cs="Arial"/>
          <w:bCs/>
        </w:rPr>
      </w:pPr>
      <w:r w:rsidRPr="002A7D4D">
        <w:rPr>
          <w:rFonts w:cs="Arial"/>
        </w:rPr>
        <w:t>The</w:t>
      </w:r>
      <w:r w:rsidRPr="00987447">
        <w:rPr>
          <w:rFonts w:cs="Arial"/>
          <w:bCs/>
        </w:rPr>
        <w:t xml:space="preserve"> Assembly of the Lisbon Union mandated the Working Group on the Development of the Lisbon System, in 2009, to engage in a full review of the Lisbon System aimed at making the system more attractive for users and prospective new Members, while preserving its principles and objectives.  In view of the progress made </w:t>
      </w:r>
      <w:r>
        <w:rPr>
          <w:rFonts w:cs="Arial"/>
          <w:bCs/>
        </w:rPr>
        <w:t xml:space="preserve">by </w:t>
      </w:r>
      <w:r w:rsidRPr="00987447">
        <w:rPr>
          <w:rFonts w:cs="Arial"/>
          <w:bCs/>
        </w:rPr>
        <w:t>the Working Group</w:t>
      </w:r>
      <w:r>
        <w:rPr>
          <w:rFonts w:cs="Arial"/>
          <w:bCs/>
        </w:rPr>
        <w:t xml:space="preserve">, </w:t>
      </w:r>
      <w:r w:rsidRPr="00987447">
        <w:rPr>
          <w:rFonts w:cs="Arial"/>
          <w:bCs/>
        </w:rPr>
        <w:t>the</w:t>
      </w:r>
      <w:r>
        <w:rPr>
          <w:rFonts w:cs="Arial"/>
          <w:bCs/>
        </w:rPr>
        <w:t xml:space="preserve"> Lisbon Union</w:t>
      </w:r>
      <w:r w:rsidRPr="00987447">
        <w:rPr>
          <w:rFonts w:cs="Arial"/>
          <w:bCs/>
        </w:rPr>
        <w:t xml:space="preserve"> Assembly approved</w:t>
      </w:r>
      <w:r>
        <w:rPr>
          <w:rFonts w:cs="Arial"/>
          <w:bCs/>
        </w:rPr>
        <w:t xml:space="preserve"> in 2013</w:t>
      </w:r>
      <w:r w:rsidRPr="00987447">
        <w:rPr>
          <w:rFonts w:cs="Arial"/>
          <w:bCs/>
        </w:rPr>
        <w:t xml:space="preserve"> the convening of a Diplomatic Conference </w:t>
      </w:r>
      <w:r w:rsidRPr="0027745B">
        <w:rPr>
          <w:rFonts w:cs="Arial"/>
          <w:bCs/>
        </w:rPr>
        <w:t>for the Adoption of a Revised Lisbon Agreement on Appellations of Origin and Geographical Indications</w:t>
      </w:r>
      <w:r>
        <w:rPr>
          <w:rFonts w:cs="Arial"/>
          <w:bCs/>
        </w:rPr>
        <w:t xml:space="preserve"> in 2015.  In October 2014, the Working Group finished its preparatory work for a New Act of the Lisbon Agreement on Appellations of Origin and Geographical Indications, and the Preparatory Committee decided that the Diplomatic Conference be convened in Geneva from May 11 to 21, 2015</w:t>
      </w:r>
      <w:r w:rsidRPr="00987447">
        <w:rPr>
          <w:rFonts w:cs="Arial"/>
          <w:bCs/>
        </w:rPr>
        <w:t xml:space="preserve">.  </w:t>
      </w:r>
    </w:p>
    <w:p w:rsidR="00100231" w:rsidRDefault="00100231" w:rsidP="00100231">
      <w:pPr>
        <w:pStyle w:val="ListParagraph"/>
        <w:numPr>
          <w:ilvl w:val="0"/>
          <w:numId w:val="60"/>
        </w:numPr>
        <w:tabs>
          <w:tab w:val="left" w:pos="709"/>
        </w:tabs>
        <w:ind w:left="0" w:firstLine="0"/>
        <w:jc w:val="both"/>
        <w:rPr>
          <w:rFonts w:cs="Arial"/>
        </w:rPr>
      </w:pPr>
      <w:r>
        <w:rPr>
          <w:rFonts w:cs="Arial"/>
        </w:rPr>
        <w:lastRenderedPageBreak/>
        <w:t>The Lisbon Registry received 80 new applications for the registration of appellations of origin, 26 statements of grant of protection and 15 refusal declarations, which amounts to an overall total of 121 transactions.    The total number of registrations in force increased in 2014 to 896 from 809 in 2013.  Of these, 78 originated from developing countries or LDCs (14 in the Arab region; 22 in Asia and the Pacific; and 42 in Latin America and the Caribbean).</w:t>
      </w:r>
    </w:p>
    <w:p w:rsidR="00100231" w:rsidRDefault="00100231" w:rsidP="008D1891">
      <w:pPr>
        <w:jc w:val="both"/>
        <w:rPr>
          <w:rFonts w:cs="Arial"/>
          <w:szCs w:val="20"/>
        </w:rPr>
      </w:pPr>
    </w:p>
    <w:p w:rsidR="00100231" w:rsidRDefault="00100231" w:rsidP="00100231">
      <w:pPr>
        <w:pStyle w:val="ListParagraph"/>
        <w:numPr>
          <w:ilvl w:val="0"/>
          <w:numId w:val="60"/>
        </w:numPr>
        <w:tabs>
          <w:tab w:val="left" w:pos="709"/>
        </w:tabs>
        <w:ind w:left="0" w:firstLine="0"/>
        <w:jc w:val="both"/>
        <w:rPr>
          <w:rFonts w:cs="Arial"/>
        </w:rPr>
      </w:pPr>
      <w:r>
        <w:rPr>
          <w:rFonts w:cs="Arial"/>
        </w:rPr>
        <w:t>T</w:t>
      </w:r>
      <w:r w:rsidRPr="00CF45C1">
        <w:rPr>
          <w:rFonts w:cs="Arial"/>
        </w:rPr>
        <w:t>he number of competent authorities that had given their consent to the use of electronic means for communications under the procedures of the Lisbon System increased to 2</w:t>
      </w:r>
      <w:r>
        <w:rPr>
          <w:rFonts w:cs="Arial"/>
        </w:rPr>
        <w:t>4 from 23 in 2013</w:t>
      </w:r>
      <w:r w:rsidRPr="00CF45C1">
        <w:rPr>
          <w:rFonts w:cs="Arial"/>
        </w:rPr>
        <w:t xml:space="preserve">.  </w:t>
      </w:r>
      <w:r w:rsidRPr="002A7D4D">
        <w:rPr>
          <w:rFonts w:cs="Arial"/>
        </w:rPr>
        <w:t>The electronic interface linking the International Register and the Lisbon Express database on the WIPO website was completed and deployed in 2014.</w:t>
      </w:r>
      <w:r>
        <w:rPr>
          <w:rFonts w:cs="Arial"/>
          <w:bCs/>
        </w:rPr>
        <w:t xml:space="preserve">  </w:t>
      </w:r>
      <w:r>
        <w:rPr>
          <w:rFonts w:cs="Arial"/>
        </w:rPr>
        <w:t xml:space="preserve">The notifications procedure was further streamlined through the use of the </w:t>
      </w:r>
      <w:r w:rsidRPr="00051323">
        <w:rPr>
          <w:rFonts w:cs="Arial"/>
        </w:rPr>
        <w:t>WIPO Inquiry Notification System (WINS)</w:t>
      </w:r>
      <w:r>
        <w:rPr>
          <w:rFonts w:cs="Arial"/>
        </w:rPr>
        <w:t>.  Further development towards an electronic system for the generation of notification letters is planned for 2015.</w:t>
      </w:r>
    </w:p>
    <w:p w:rsidR="00100231" w:rsidRDefault="00100231" w:rsidP="008D1891">
      <w:pPr>
        <w:jc w:val="both"/>
        <w:rPr>
          <w:rFonts w:cs="Arial"/>
          <w:szCs w:val="20"/>
        </w:rPr>
      </w:pPr>
    </w:p>
    <w:p w:rsidR="00100231" w:rsidRDefault="00100231" w:rsidP="00100231">
      <w:pPr>
        <w:pStyle w:val="ListParagraph"/>
        <w:numPr>
          <w:ilvl w:val="0"/>
          <w:numId w:val="60"/>
        </w:numPr>
        <w:tabs>
          <w:tab w:val="left" w:pos="709"/>
        </w:tabs>
        <w:ind w:left="0" w:firstLine="0"/>
        <w:jc w:val="both"/>
        <w:rPr>
          <w:rFonts w:cs="Arial"/>
        </w:rPr>
      </w:pPr>
      <w:r>
        <w:rPr>
          <w:rFonts w:cs="Arial"/>
        </w:rPr>
        <w:t xml:space="preserve">As regards raising awareness of the Lisbon System, the IB organized and/or participated in five information and promotion events with a specific focus on the Lisbon System, including its planned revision, in all regions.  </w:t>
      </w:r>
    </w:p>
    <w:p w:rsidR="00100231" w:rsidRDefault="00100231" w:rsidP="008D1891">
      <w:pPr>
        <w:jc w:val="both"/>
        <w:rPr>
          <w:rFonts w:cs="Arial"/>
          <w:szCs w:val="20"/>
        </w:rPr>
      </w:pPr>
    </w:p>
    <w:p w:rsidR="00100231" w:rsidRDefault="00100231" w:rsidP="00100231">
      <w:pPr>
        <w:pStyle w:val="ListParagraph"/>
        <w:numPr>
          <w:ilvl w:val="0"/>
          <w:numId w:val="60"/>
        </w:numPr>
        <w:tabs>
          <w:tab w:val="left" w:pos="709"/>
        </w:tabs>
        <w:ind w:left="0" w:firstLine="0"/>
        <w:jc w:val="both"/>
        <w:rPr>
          <w:rFonts w:cs="Arial"/>
        </w:rPr>
      </w:pPr>
      <w:r w:rsidRPr="0027745B">
        <w:rPr>
          <w:rFonts w:cs="Arial"/>
        </w:rPr>
        <w:t>The</w:t>
      </w:r>
      <w:r w:rsidRPr="0027745B">
        <w:rPr>
          <w:rFonts w:cs="Arial"/>
          <w:lang w:eastAsia="ja-JP"/>
        </w:rPr>
        <w:t xml:space="preserve"> design, planning and implementation of activities by Program 6 were informed and guided by the relevant DA Recommendations, in particular Recommendations 1 and 6.  In addition, the legislative assistance provided to Member States was development-oriented, balanced and tailored to unique Member State requests, in accordance with the DA principles (Recommendation 13), and bearing in mind the applicable flexibilities relevant to countries at differing levels of development (Recommendations 14 and 17).</w:t>
      </w:r>
    </w:p>
    <w:p w:rsidR="00100231" w:rsidRDefault="00100231" w:rsidP="008D1891">
      <w:pPr>
        <w:pStyle w:val="ListParagraph"/>
        <w:tabs>
          <w:tab w:val="left" w:pos="709"/>
        </w:tabs>
        <w:ind w:left="0"/>
        <w:jc w:val="both"/>
        <w:rPr>
          <w:rFonts w:cs="Arial"/>
          <w:lang w:eastAsia="ja-JP"/>
        </w:rPr>
      </w:pPr>
    </w:p>
    <w:p w:rsidR="00100231" w:rsidRDefault="00100231" w:rsidP="008D1891">
      <w:pPr>
        <w:pStyle w:val="ListParagraph"/>
        <w:tabs>
          <w:tab w:val="left" w:pos="709"/>
        </w:tabs>
        <w:ind w:left="0"/>
        <w:jc w:val="both"/>
        <w:rPr>
          <w:rFonts w:cs="Arial"/>
        </w:rPr>
      </w:pPr>
    </w:p>
    <w:p w:rsidR="00100231" w:rsidRDefault="00100231" w:rsidP="008D1891">
      <w:pPr>
        <w:rPr>
          <w:rFonts w:cs="Arial"/>
          <w:sz w:val="22"/>
          <w:szCs w:val="22"/>
        </w:rPr>
      </w:pPr>
      <w:r w:rsidRPr="005E6AFC">
        <w:rPr>
          <w:rFonts w:cs="Arial"/>
          <w:sz w:val="22"/>
          <w:szCs w:val="22"/>
        </w:rPr>
        <w:t>PERFORMANCE DATA</w:t>
      </w:r>
    </w:p>
    <w:p w:rsidR="00100231" w:rsidRPr="00100231" w:rsidRDefault="00100231" w:rsidP="008D1891">
      <w:pPr>
        <w:rPr>
          <w:szCs w:val="18"/>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5"/>
        <w:gridCol w:w="2593"/>
        <w:gridCol w:w="1478"/>
        <w:gridCol w:w="76"/>
        <w:gridCol w:w="34"/>
        <w:gridCol w:w="2160"/>
        <w:gridCol w:w="992"/>
      </w:tblGrid>
      <w:tr w:rsidR="00100231" w:rsidRPr="0005539E" w:rsidTr="008D1891">
        <w:trPr>
          <w:cantSplit/>
          <w:trHeight w:val="392"/>
        </w:trPr>
        <w:tc>
          <w:tcPr>
            <w:tcW w:w="5000" w:type="pct"/>
            <w:gridSpan w:val="7"/>
            <w:tcBorders>
              <w:top w:val="single" w:sz="4" w:space="0" w:color="auto"/>
              <w:bottom w:val="single" w:sz="4" w:space="0" w:color="auto"/>
            </w:tcBorders>
            <w:shd w:val="clear" w:color="auto" w:fill="CCFFFF"/>
            <w:vAlign w:val="center"/>
          </w:tcPr>
          <w:p w:rsidR="00100231" w:rsidRPr="0005539E" w:rsidRDefault="00100231" w:rsidP="008D1891">
            <w:pPr>
              <w:keepNext/>
              <w:keepLines/>
              <w:tabs>
                <w:tab w:val="left" w:pos="1452"/>
              </w:tabs>
              <w:ind w:left="1452" w:hanging="1452"/>
              <w:rPr>
                <w:rFonts w:cs="Arial"/>
                <w:b/>
                <w:bCs/>
                <w:sz w:val="16"/>
                <w:szCs w:val="16"/>
              </w:rPr>
            </w:pPr>
            <w:r w:rsidRPr="0005539E">
              <w:rPr>
                <w:rFonts w:cs="Arial"/>
                <w:b/>
                <w:bCs/>
                <w:sz w:val="16"/>
                <w:szCs w:val="16"/>
              </w:rPr>
              <w:t>Expected Result:</w:t>
            </w:r>
            <w:r w:rsidRPr="0005539E">
              <w:rPr>
                <w:rFonts w:cs="Arial"/>
                <w:b/>
                <w:bCs/>
                <w:sz w:val="16"/>
                <w:szCs w:val="16"/>
              </w:rPr>
              <w:tab/>
            </w:r>
            <w:r w:rsidRPr="00E33D5E">
              <w:rPr>
                <w:rFonts w:cs="Arial"/>
                <w:bCs/>
                <w:sz w:val="16"/>
                <w:szCs w:val="16"/>
              </w:rPr>
              <w:t>II.6</w:t>
            </w:r>
            <w:r>
              <w:rPr>
                <w:rFonts w:cs="Arial"/>
                <w:b/>
                <w:bCs/>
                <w:sz w:val="16"/>
                <w:szCs w:val="16"/>
              </w:rPr>
              <w:t xml:space="preserve"> </w:t>
            </w:r>
            <w:r w:rsidRPr="00A539FB">
              <w:rPr>
                <w:rFonts w:cs="Arial"/>
                <w:sz w:val="16"/>
                <w:szCs w:val="16"/>
              </w:rPr>
              <w:t xml:space="preserve">Wider and better use of the Madrid &amp; Lisbon </w:t>
            </w:r>
            <w:r>
              <w:rPr>
                <w:rFonts w:cs="Arial"/>
                <w:sz w:val="16"/>
                <w:szCs w:val="16"/>
              </w:rPr>
              <w:t>S</w:t>
            </w:r>
            <w:r w:rsidRPr="00A539FB">
              <w:rPr>
                <w:rFonts w:cs="Arial"/>
                <w:sz w:val="16"/>
                <w:szCs w:val="16"/>
              </w:rPr>
              <w:t>ystems, including by developing countries and LDCs</w:t>
            </w:r>
          </w:p>
        </w:tc>
      </w:tr>
      <w:tr w:rsidR="00100231" w:rsidRPr="0005539E" w:rsidTr="00100231">
        <w:trPr>
          <w:cantSplit/>
        </w:trPr>
        <w:tc>
          <w:tcPr>
            <w:tcW w:w="1140" w:type="pct"/>
            <w:tcBorders>
              <w:top w:val="single" w:sz="4" w:space="0" w:color="auto"/>
              <w:left w:val="single" w:sz="4" w:space="0" w:color="auto"/>
              <w:bottom w:val="nil"/>
            </w:tcBorders>
            <w:shd w:val="clear" w:color="auto" w:fill="auto"/>
            <w:vAlign w:val="center"/>
          </w:tcPr>
          <w:p w:rsidR="00100231" w:rsidRPr="0005539E" w:rsidRDefault="00100231" w:rsidP="008D1891">
            <w:pPr>
              <w:rPr>
                <w:rFonts w:cs="Arial"/>
                <w:sz w:val="16"/>
                <w:szCs w:val="16"/>
              </w:rPr>
            </w:pPr>
            <w:r w:rsidRPr="0005539E">
              <w:rPr>
                <w:rFonts w:cs="Arial"/>
                <w:b/>
                <w:bCs/>
                <w:sz w:val="16"/>
                <w:szCs w:val="16"/>
              </w:rPr>
              <w:t>Performance Indicators</w:t>
            </w:r>
          </w:p>
        </w:tc>
        <w:tc>
          <w:tcPr>
            <w:tcW w:w="1365" w:type="pct"/>
            <w:tcBorders>
              <w:top w:val="single" w:sz="4" w:space="0" w:color="auto"/>
              <w:bottom w:val="nil"/>
            </w:tcBorders>
            <w:shd w:val="clear" w:color="auto" w:fill="auto"/>
            <w:vAlign w:val="center"/>
          </w:tcPr>
          <w:p w:rsidR="00100231" w:rsidRPr="0005539E" w:rsidRDefault="00100231" w:rsidP="008D1891">
            <w:pPr>
              <w:rPr>
                <w:rFonts w:cs="Arial"/>
                <w:b/>
                <w:bCs/>
                <w:sz w:val="16"/>
                <w:szCs w:val="16"/>
              </w:rPr>
            </w:pPr>
            <w:r w:rsidRPr="0005539E">
              <w:rPr>
                <w:rFonts w:cs="Arial"/>
                <w:b/>
                <w:bCs/>
                <w:sz w:val="16"/>
                <w:szCs w:val="16"/>
              </w:rPr>
              <w:t>Baselines</w:t>
            </w:r>
          </w:p>
        </w:tc>
        <w:tc>
          <w:tcPr>
            <w:tcW w:w="778" w:type="pct"/>
            <w:tcBorders>
              <w:top w:val="single" w:sz="4" w:space="0" w:color="auto"/>
              <w:bottom w:val="nil"/>
            </w:tcBorders>
            <w:shd w:val="clear" w:color="auto" w:fill="auto"/>
            <w:tcMar>
              <w:top w:w="110" w:type="dxa"/>
            </w:tcMar>
            <w:vAlign w:val="center"/>
          </w:tcPr>
          <w:p w:rsidR="00100231" w:rsidRPr="0005539E" w:rsidRDefault="00100231" w:rsidP="008D1891">
            <w:pPr>
              <w:rPr>
                <w:rFonts w:cs="Arial"/>
                <w:b/>
                <w:sz w:val="16"/>
                <w:szCs w:val="16"/>
              </w:rPr>
            </w:pPr>
            <w:r w:rsidRPr="0005539E">
              <w:rPr>
                <w:rFonts w:cs="Arial"/>
                <w:b/>
                <w:sz w:val="16"/>
                <w:szCs w:val="16"/>
              </w:rPr>
              <w:t>Targets</w:t>
            </w:r>
          </w:p>
        </w:tc>
        <w:tc>
          <w:tcPr>
            <w:tcW w:w="1195" w:type="pct"/>
            <w:gridSpan w:val="3"/>
            <w:tcBorders>
              <w:top w:val="single" w:sz="4" w:space="0" w:color="auto"/>
              <w:bottom w:val="nil"/>
            </w:tcBorders>
            <w:shd w:val="clear" w:color="auto" w:fill="FFFFFF"/>
            <w:tcMar>
              <w:top w:w="110" w:type="dxa"/>
            </w:tcMar>
            <w:vAlign w:val="center"/>
          </w:tcPr>
          <w:p w:rsidR="00100231" w:rsidRPr="0005539E" w:rsidRDefault="00100231" w:rsidP="008D1891">
            <w:pPr>
              <w:rPr>
                <w:rFonts w:cs="Arial"/>
                <w:sz w:val="16"/>
                <w:szCs w:val="16"/>
              </w:rPr>
            </w:pPr>
            <w:r w:rsidRPr="0005539E">
              <w:rPr>
                <w:rFonts w:cs="Arial"/>
                <w:b/>
                <w:bCs/>
                <w:sz w:val="16"/>
                <w:szCs w:val="16"/>
              </w:rPr>
              <w:t>Performance Data</w:t>
            </w:r>
          </w:p>
        </w:tc>
        <w:tc>
          <w:tcPr>
            <w:tcW w:w="522" w:type="pct"/>
            <w:tcBorders>
              <w:top w:val="single" w:sz="4" w:space="0" w:color="auto"/>
              <w:bottom w:val="nil"/>
              <w:right w:val="single" w:sz="4" w:space="0" w:color="auto"/>
            </w:tcBorders>
            <w:shd w:val="clear" w:color="auto" w:fill="auto"/>
            <w:tcMar>
              <w:top w:w="110" w:type="dxa"/>
            </w:tcMar>
            <w:vAlign w:val="center"/>
          </w:tcPr>
          <w:p w:rsidR="00100231" w:rsidRPr="0005539E" w:rsidRDefault="00100231" w:rsidP="008D1891">
            <w:pPr>
              <w:keepNext/>
              <w:keepLines/>
              <w:jc w:val="center"/>
              <w:rPr>
                <w:rFonts w:cs="Arial"/>
                <w:b/>
                <w:bCs/>
                <w:sz w:val="16"/>
                <w:szCs w:val="16"/>
              </w:rPr>
            </w:pPr>
            <w:r w:rsidRPr="0005539E">
              <w:rPr>
                <w:rFonts w:cs="Arial"/>
                <w:b/>
                <w:bCs/>
                <w:sz w:val="16"/>
                <w:szCs w:val="16"/>
              </w:rPr>
              <w:t>TLS</w:t>
            </w:r>
          </w:p>
        </w:tc>
      </w:tr>
      <w:tr w:rsidR="00100231" w:rsidRPr="0005539E" w:rsidTr="00100231">
        <w:trPr>
          <w:cantSplit/>
        </w:trPr>
        <w:tc>
          <w:tcPr>
            <w:tcW w:w="1140" w:type="pct"/>
            <w:tcBorders>
              <w:top w:val="nil"/>
              <w:left w:val="single" w:sz="4" w:space="0" w:color="auto"/>
              <w:bottom w:val="nil"/>
            </w:tcBorders>
            <w:shd w:val="clear" w:color="auto" w:fill="auto"/>
          </w:tcPr>
          <w:p w:rsidR="00100231" w:rsidRPr="0005539E" w:rsidRDefault="00100231" w:rsidP="008D1891">
            <w:pPr>
              <w:rPr>
                <w:rFonts w:cs="Arial"/>
                <w:sz w:val="16"/>
                <w:szCs w:val="16"/>
              </w:rPr>
            </w:pPr>
            <w:r w:rsidRPr="00A539FB">
              <w:rPr>
                <w:rFonts w:cs="Arial"/>
                <w:sz w:val="16"/>
                <w:szCs w:val="16"/>
              </w:rPr>
              <w:t>Expansion of geographical coverage (Madrid)</w:t>
            </w:r>
          </w:p>
        </w:tc>
        <w:tc>
          <w:tcPr>
            <w:tcW w:w="1365" w:type="pct"/>
            <w:tcBorders>
              <w:top w:val="nil"/>
              <w:bottom w:val="nil"/>
            </w:tcBorders>
            <w:shd w:val="clear" w:color="auto" w:fill="auto"/>
          </w:tcPr>
          <w:p w:rsidR="00100231" w:rsidRPr="0005539E" w:rsidRDefault="00100231" w:rsidP="008D1891">
            <w:pPr>
              <w:rPr>
                <w:rFonts w:cs="Arial"/>
                <w:i/>
                <w:color w:val="002060"/>
                <w:sz w:val="16"/>
                <w:szCs w:val="16"/>
              </w:rPr>
            </w:pPr>
            <w:r>
              <w:rPr>
                <w:rFonts w:cs="Arial"/>
                <w:i/>
                <w:color w:val="002060"/>
                <w:sz w:val="16"/>
                <w:szCs w:val="16"/>
              </w:rPr>
              <w:t>Updated Baseline end 2013</w:t>
            </w:r>
            <w:r w:rsidRPr="0005539E">
              <w:rPr>
                <w:rFonts w:cs="Arial"/>
                <w:i/>
                <w:color w:val="002060"/>
                <w:sz w:val="16"/>
                <w:szCs w:val="16"/>
              </w:rPr>
              <w:t>:</w:t>
            </w:r>
          </w:p>
          <w:p w:rsidR="00100231" w:rsidRDefault="00100231" w:rsidP="008D1891">
            <w:pPr>
              <w:rPr>
                <w:rFonts w:cs="Arial"/>
                <w:color w:val="002060"/>
                <w:sz w:val="16"/>
                <w:szCs w:val="16"/>
              </w:rPr>
            </w:pPr>
            <w:r w:rsidRPr="00A539FB">
              <w:rPr>
                <w:rFonts w:cs="Arial"/>
                <w:color w:val="002060"/>
                <w:sz w:val="16"/>
                <w:szCs w:val="16"/>
              </w:rPr>
              <w:t>92 Contracting Parties  to the Madrid System(end 2013)</w:t>
            </w:r>
          </w:p>
          <w:p w:rsidR="00100231" w:rsidRPr="0005539E" w:rsidRDefault="00100231" w:rsidP="008D1891">
            <w:pPr>
              <w:rPr>
                <w:rFonts w:cs="Arial"/>
                <w:color w:val="002060"/>
                <w:sz w:val="8"/>
                <w:szCs w:val="8"/>
              </w:rPr>
            </w:pPr>
          </w:p>
          <w:p w:rsidR="00100231" w:rsidRPr="0005539E" w:rsidRDefault="00100231" w:rsidP="008D1891">
            <w:pPr>
              <w:rPr>
                <w:rFonts w:cs="Arial"/>
                <w:sz w:val="16"/>
                <w:szCs w:val="16"/>
              </w:rPr>
            </w:pPr>
            <w:r>
              <w:rPr>
                <w:rFonts w:cs="Arial"/>
                <w:i/>
                <w:sz w:val="16"/>
                <w:szCs w:val="16"/>
              </w:rPr>
              <w:t>Original Baseline P&amp;B 2014/15</w:t>
            </w:r>
            <w:r w:rsidRPr="0005539E">
              <w:rPr>
                <w:rFonts w:cs="Arial"/>
                <w:i/>
                <w:sz w:val="16"/>
                <w:szCs w:val="16"/>
              </w:rPr>
              <w:t>:</w:t>
            </w:r>
          </w:p>
          <w:p w:rsidR="00100231" w:rsidRPr="0005539E" w:rsidRDefault="00100231" w:rsidP="008D1891">
            <w:pPr>
              <w:rPr>
                <w:rFonts w:cs="Arial"/>
                <w:sz w:val="16"/>
                <w:szCs w:val="16"/>
              </w:rPr>
            </w:pPr>
            <w:r w:rsidRPr="00A539FB">
              <w:rPr>
                <w:rFonts w:cs="Arial"/>
                <w:sz w:val="16"/>
                <w:szCs w:val="16"/>
              </w:rPr>
              <w:t>The number of Contracting Parties at the end of 2013</w:t>
            </w:r>
          </w:p>
        </w:tc>
        <w:tc>
          <w:tcPr>
            <w:tcW w:w="778" w:type="pct"/>
            <w:tcBorders>
              <w:top w:val="nil"/>
              <w:bottom w:val="nil"/>
            </w:tcBorders>
            <w:shd w:val="clear" w:color="auto" w:fill="auto"/>
            <w:tcMar>
              <w:top w:w="110" w:type="dxa"/>
            </w:tcMar>
          </w:tcPr>
          <w:p w:rsidR="00100231" w:rsidRPr="0005539E" w:rsidRDefault="00100231" w:rsidP="008D1891">
            <w:pPr>
              <w:rPr>
                <w:rFonts w:cs="Arial"/>
                <w:b/>
                <w:sz w:val="16"/>
                <w:szCs w:val="16"/>
              </w:rPr>
            </w:pPr>
            <w:r w:rsidRPr="00A539FB">
              <w:rPr>
                <w:rFonts w:cs="Arial"/>
                <w:sz w:val="16"/>
                <w:szCs w:val="16"/>
              </w:rPr>
              <w:t>A total of 100 Contracting Parties by end of</w:t>
            </w:r>
            <w:r>
              <w:rPr>
                <w:rFonts w:cs="Arial"/>
                <w:sz w:val="16"/>
                <w:szCs w:val="16"/>
              </w:rPr>
              <w:t> </w:t>
            </w:r>
            <w:r w:rsidRPr="00A539FB">
              <w:rPr>
                <w:rFonts w:cs="Arial"/>
                <w:sz w:val="16"/>
                <w:szCs w:val="16"/>
              </w:rPr>
              <w:t>2015</w:t>
            </w:r>
          </w:p>
        </w:tc>
        <w:tc>
          <w:tcPr>
            <w:tcW w:w="1195" w:type="pct"/>
            <w:gridSpan w:val="3"/>
            <w:tcBorders>
              <w:top w:val="nil"/>
              <w:bottom w:val="nil"/>
            </w:tcBorders>
            <w:shd w:val="clear" w:color="auto" w:fill="FFFFFF"/>
            <w:tcMar>
              <w:top w:w="110" w:type="dxa"/>
            </w:tcMar>
          </w:tcPr>
          <w:p w:rsidR="00100231" w:rsidRPr="0005539E" w:rsidRDefault="00100231" w:rsidP="008D1891">
            <w:pPr>
              <w:rPr>
                <w:rFonts w:cs="Arial"/>
                <w:sz w:val="16"/>
                <w:szCs w:val="16"/>
              </w:rPr>
            </w:pPr>
            <w:r w:rsidRPr="000F32F9">
              <w:rPr>
                <w:rFonts w:cs="Arial"/>
                <w:sz w:val="16"/>
                <w:szCs w:val="16"/>
                <w:lang w:bidi="th-TH"/>
              </w:rPr>
              <w:t xml:space="preserve">94 Contracting Parties </w:t>
            </w:r>
            <w:r>
              <w:rPr>
                <w:rFonts w:cs="Arial"/>
                <w:sz w:val="16"/>
                <w:szCs w:val="16"/>
                <w:lang w:bidi="th-TH"/>
              </w:rPr>
              <w:t xml:space="preserve">to the Madrid System (2 additional Contracting Parties in 2014: OAPI and Zimbabwe) </w:t>
            </w:r>
            <w:r w:rsidRPr="000F32F9">
              <w:rPr>
                <w:rFonts w:cs="Arial"/>
                <w:sz w:val="16"/>
                <w:szCs w:val="16"/>
                <w:lang w:bidi="th-TH"/>
              </w:rPr>
              <w:t xml:space="preserve"> </w:t>
            </w:r>
          </w:p>
        </w:tc>
        <w:tc>
          <w:tcPr>
            <w:tcW w:w="522" w:type="pct"/>
            <w:tcBorders>
              <w:top w:val="nil"/>
              <w:bottom w:val="nil"/>
              <w:right w:val="single" w:sz="4" w:space="0" w:color="auto"/>
            </w:tcBorders>
            <w:shd w:val="clear" w:color="auto" w:fill="auto"/>
            <w:tcMar>
              <w:top w:w="110" w:type="dxa"/>
            </w:tcMar>
          </w:tcPr>
          <w:p w:rsidR="00100231" w:rsidRPr="00F43373" w:rsidRDefault="00100231" w:rsidP="008D1891">
            <w:pPr>
              <w:keepNext/>
              <w:keepLines/>
              <w:jc w:val="center"/>
              <w:rPr>
                <w:rFonts w:cs="Arial"/>
                <w:b/>
                <w:bCs/>
                <w:color w:val="00B050"/>
                <w:sz w:val="16"/>
                <w:szCs w:val="16"/>
              </w:rPr>
            </w:pPr>
            <w:r w:rsidRPr="00F43373">
              <w:rPr>
                <w:rStyle w:val="Style5"/>
                <w:rFonts w:ascii="Arial" w:hAnsi="Arial" w:cs="Arial"/>
                <w:b/>
                <w:color w:val="00B050"/>
                <w:sz w:val="16"/>
                <w:szCs w:val="16"/>
              </w:rPr>
              <w:t>On track</w:t>
            </w:r>
          </w:p>
        </w:tc>
      </w:tr>
      <w:tr w:rsidR="00100231" w:rsidRPr="0005539E" w:rsidTr="00100231">
        <w:trPr>
          <w:cantSplit/>
        </w:trPr>
        <w:tc>
          <w:tcPr>
            <w:tcW w:w="1140" w:type="pct"/>
            <w:tcBorders>
              <w:top w:val="nil"/>
              <w:left w:val="single" w:sz="4" w:space="0" w:color="auto"/>
              <w:bottom w:val="nil"/>
            </w:tcBorders>
            <w:shd w:val="clear" w:color="auto" w:fill="auto"/>
          </w:tcPr>
          <w:p w:rsidR="00100231" w:rsidRPr="00A539FB" w:rsidRDefault="00100231" w:rsidP="008D1891">
            <w:pPr>
              <w:rPr>
                <w:rFonts w:cs="Arial"/>
                <w:sz w:val="16"/>
                <w:szCs w:val="16"/>
              </w:rPr>
            </w:pPr>
            <w:r w:rsidRPr="00365C4F">
              <w:rPr>
                <w:rFonts w:cs="Arial"/>
                <w:sz w:val="16"/>
                <w:szCs w:val="16"/>
              </w:rPr>
              <w:t>Expansion</w:t>
            </w:r>
            <w:r>
              <w:rPr>
                <w:rFonts w:cs="Arial"/>
                <w:sz w:val="16"/>
                <w:szCs w:val="16"/>
              </w:rPr>
              <w:t xml:space="preserve"> of</w:t>
            </w:r>
            <w:r w:rsidRPr="00365C4F">
              <w:rPr>
                <w:rFonts w:cs="Arial"/>
                <w:sz w:val="16"/>
                <w:szCs w:val="16"/>
              </w:rPr>
              <w:t xml:space="preserve"> geographical coverage (Lisbon)</w:t>
            </w:r>
          </w:p>
        </w:tc>
        <w:tc>
          <w:tcPr>
            <w:tcW w:w="1365" w:type="pct"/>
            <w:tcBorders>
              <w:top w:val="nil"/>
              <w:bottom w:val="nil"/>
            </w:tcBorders>
            <w:shd w:val="clear" w:color="auto" w:fill="auto"/>
          </w:tcPr>
          <w:p w:rsidR="00100231" w:rsidRPr="0005539E" w:rsidRDefault="00100231" w:rsidP="008D1891">
            <w:pPr>
              <w:keepNext/>
              <w:keepLines/>
              <w:rPr>
                <w:rFonts w:cs="Arial"/>
                <w:color w:val="002060"/>
                <w:sz w:val="16"/>
                <w:szCs w:val="16"/>
              </w:rPr>
            </w:pPr>
            <w:r>
              <w:rPr>
                <w:rFonts w:cs="Arial"/>
                <w:i/>
                <w:color w:val="002060"/>
                <w:sz w:val="16"/>
                <w:szCs w:val="16"/>
              </w:rPr>
              <w:t>Updated Baseline end 2013</w:t>
            </w:r>
            <w:r w:rsidRPr="0005539E">
              <w:rPr>
                <w:rFonts w:cs="Arial"/>
                <w:i/>
                <w:color w:val="002060"/>
                <w:sz w:val="16"/>
                <w:szCs w:val="16"/>
              </w:rPr>
              <w:t>:</w:t>
            </w:r>
            <w:r>
              <w:rPr>
                <w:rFonts w:cs="Arial"/>
                <w:color w:val="002060"/>
                <w:sz w:val="16"/>
                <w:szCs w:val="16"/>
              </w:rPr>
              <w:t xml:space="preserve">  </w:t>
            </w:r>
            <w:r w:rsidRPr="00365C4F">
              <w:rPr>
                <w:rFonts w:cs="Arial"/>
                <w:color w:val="002060"/>
                <w:sz w:val="16"/>
                <w:szCs w:val="16"/>
              </w:rPr>
              <w:t>28 (end 2013)</w:t>
            </w:r>
          </w:p>
          <w:p w:rsidR="00100231" w:rsidRPr="0005539E" w:rsidRDefault="00100231" w:rsidP="008D1891">
            <w:pPr>
              <w:keepNext/>
              <w:keepLines/>
              <w:rPr>
                <w:rFonts w:cs="Arial"/>
                <w:color w:val="002060"/>
                <w:sz w:val="16"/>
                <w:szCs w:val="16"/>
              </w:rPr>
            </w:pPr>
          </w:p>
          <w:p w:rsidR="00100231" w:rsidRPr="0005539E" w:rsidRDefault="00100231" w:rsidP="008D1891">
            <w:pPr>
              <w:keepNext/>
              <w:keepLines/>
              <w:rPr>
                <w:rFonts w:cs="Arial"/>
                <w:sz w:val="16"/>
                <w:szCs w:val="16"/>
              </w:rPr>
            </w:pPr>
            <w:r>
              <w:rPr>
                <w:rFonts w:cs="Arial"/>
                <w:i/>
                <w:sz w:val="16"/>
                <w:szCs w:val="16"/>
              </w:rPr>
              <w:t>Original Baseline P&amp;B 2013/14</w:t>
            </w:r>
            <w:r w:rsidRPr="0005539E">
              <w:rPr>
                <w:rFonts w:cs="Arial"/>
                <w:i/>
                <w:sz w:val="16"/>
                <w:szCs w:val="16"/>
              </w:rPr>
              <w:t>:</w:t>
            </w:r>
          </w:p>
          <w:p w:rsidR="00100231" w:rsidRDefault="00100231" w:rsidP="008D1891">
            <w:pPr>
              <w:rPr>
                <w:rFonts w:cs="Arial"/>
                <w:i/>
                <w:color w:val="002060"/>
                <w:sz w:val="16"/>
                <w:szCs w:val="16"/>
              </w:rPr>
            </w:pPr>
            <w:r w:rsidRPr="00365C4F">
              <w:rPr>
                <w:rFonts w:cs="Arial"/>
                <w:sz w:val="16"/>
                <w:szCs w:val="16"/>
              </w:rPr>
              <w:t>28 (April 2013)</w:t>
            </w:r>
          </w:p>
        </w:tc>
        <w:tc>
          <w:tcPr>
            <w:tcW w:w="778" w:type="pct"/>
            <w:tcBorders>
              <w:top w:val="nil"/>
              <w:bottom w:val="nil"/>
            </w:tcBorders>
            <w:shd w:val="clear" w:color="auto" w:fill="auto"/>
            <w:tcMar>
              <w:top w:w="110" w:type="dxa"/>
            </w:tcMar>
          </w:tcPr>
          <w:p w:rsidR="00100231" w:rsidRPr="00A539FB" w:rsidRDefault="00100231" w:rsidP="008D1891">
            <w:pPr>
              <w:rPr>
                <w:rFonts w:cs="Arial"/>
                <w:sz w:val="16"/>
                <w:szCs w:val="16"/>
              </w:rPr>
            </w:pPr>
            <w:r w:rsidRPr="00365C4F">
              <w:rPr>
                <w:rFonts w:cs="Arial"/>
                <w:sz w:val="16"/>
                <w:szCs w:val="16"/>
              </w:rPr>
              <w:t>32</w:t>
            </w:r>
          </w:p>
        </w:tc>
        <w:tc>
          <w:tcPr>
            <w:tcW w:w="1195" w:type="pct"/>
            <w:gridSpan w:val="3"/>
            <w:tcBorders>
              <w:top w:val="nil"/>
              <w:bottom w:val="nil"/>
            </w:tcBorders>
            <w:shd w:val="clear" w:color="auto" w:fill="FFFFFF"/>
            <w:tcMar>
              <w:top w:w="110" w:type="dxa"/>
            </w:tcMar>
          </w:tcPr>
          <w:p w:rsidR="00100231" w:rsidRPr="000F32F9" w:rsidRDefault="00100231" w:rsidP="008D1891">
            <w:pPr>
              <w:rPr>
                <w:rFonts w:cs="Arial"/>
                <w:sz w:val="16"/>
                <w:szCs w:val="16"/>
                <w:lang w:bidi="th-TH"/>
              </w:rPr>
            </w:pPr>
            <w:r>
              <w:rPr>
                <w:rFonts w:cs="Arial"/>
                <w:sz w:val="16"/>
                <w:szCs w:val="16"/>
              </w:rPr>
              <w:t>N</w:t>
            </w:r>
            <w:r w:rsidRPr="00365C4F">
              <w:rPr>
                <w:rFonts w:cs="Arial"/>
                <w:sz w:val="16"/>
                <w:szCs w:val="16"/>
              </w:rPr>
              <w:t xml:space="preserve">o new </w:t>
            </w:r>
            <w:r>
              <w:rPr>
                <w:rFonts w:cs="Arial"/>
                <w:sz w:val="16"/>
                <w:szCs w:val="16"/>
              </w:rPr>
              <w:t>Contracting P</w:t>
            </w:r>
            <w:r w:rsidRPr="00365C4F">
              <w:rPr>
                <w:rFonts w:cs="Arial"/>
                <w:sz w:val="16"/>
                <w:szCs w:val="16"/>
              </w:rPr>
              <w:t>arties</w:t>
            </w:r>
          </w:p>
        </w:tc>
        <w:tc>
          <w:tcPr>
            <w:tcW w:w="522" w:type="pct"/>
            <w:tcBorders>
              <w:top w:val="nil"/>
              <w:bottom w:val="nil"/>
              <w:right w:val="single" w:sz="4" w:space="0" w:color="auto"/>
            </w:tcBorders>
            <w:shd w:val="clear" w:color="auto" w:fill="auto"/>
            <w:tcMar>
              <w:top w:w="110" w:type="dxa"/>
            </w:tcMar>
          </w:tcPr>
          <w:p w:rsidR="00100231" w:rsidRPr="00F43373" w:rsidRDefault="00100231" w:rsidP="008D1891">
            <w:pPr>
              <w:keepNext/>
              <w:keepLines/>
              <w:jc w:val="center"/>
              <w:rPr>
                <w:rStyle w:val="Style5"/>
                <w:rFonts w:ascii="Arial" w:hAnsi="Arial" w:cs="Arial"/>
                <w:b/>
                <w:color w:val="00B050"/>
                <w:sz w:val="16"/>
                <w:szCs w:val="16"/>
              </w:rPr>
            </w:pPr>
            <w:r w:rsidRPr="00EA4470">
              <w:rPr>
                <w:rStyle w:val="Style5"/>
                <w:rFonts w:ascii="Arial" w:hAnsi="Arial" w:cs="Arial"/>
                <w:b/>
                <w:color w:val="FF0000"/>
                <w:sz w:val="16"/>
                <w:szCs w:val="16"/>
              </w:rPr>
              <w:t xml:space="preserve">Not </w:t>
            </w:r>
            <w:r>
              <w:rPr>
                <w:rStyle w:val="Style5"/>
                <w:rFonts w:ascii="Arial" w:hAnsi="Arial" w:cs="Arial"/>
                <w:b/>
                <w:color w:val="FF0000"/>
                <w:sz w:val="16"/>
                <w:szCs w:val="16"/>
              </w:rPr>
              <w:br/>
            </w:r>
            <w:r w:rsidRPr="00EA4470">
              <w:rPr>
                <w:rStyle w:val="Style5"/>
                <w:rFonts w:ascii="Arial" w:hAnsi="Arial" w:cs="Arial"/>
                <w:b/>
                <w:color w:val="FF0000"/>
                <w:sz w:val="16"/>
                <w:szCs w:val="16"/>
              </w:rPr>
              <w:t>on track</w:t>
            </w:r>
          </w:p>
        </w:tc>
      </w:tr>
      <w:tr w:rsidR="00100231" w:rsidRPr="0005539E" w:rsidTr="00100231">
        <w:trPr>
          <w:cantSplit/>
        </w:trPr>
        <w:tc>
          <w:tcPr>
            <w:tcW w:w="1140" w:type="pct"/>
            <w:tcBorders>
              <w:top w:val="nil"/>
              <w:left w:val="single" w:sz="4" w:space="0" w:color="auto"/>
              <w:bottom w:val="nil"/>
            </w:tcBorders>
            <w:shd w:val="clear" w:color="auto" w:fill="auto"/>
          </w:tcPr>
          <w:p w:rsidR="00100231" w:rsidRPr="00232B7E" w:rsidRDefault="00100231" w:rsidP="008D1891">
            <w:pPr>
              <w:rPr>
                <w:rFonts w:cs="Arial"/>
                <w:sz w:val="16"/>
                <w:szCs w:val="16"/>
              </w:rPr>
            </w:pPr>
            <w:r w:rsidRPr="00F657D4">
              <w:rPr>
                <w:rFonts w:cs="Arial"/>
                <w:sz w:val="16"/>
                <w:szCs w:val="16"/>
              </w:rPr>
              <w:t xml:space="preserve">Adoption of provisions streamlining or modernizing the Lisbon </w:t>
            </w:r>
            <w:r>
              <w:rPr>
                <w:rFonts w:cs="Arial"/>
                <w:sz w:val="16"/>
                <w:szCs w:val="16"/>
              </w:rPr>
              <w:t>S</w:t>
            </w:r>
            <w:r w:rsidRPr="00F657D4">
              <w:rPr>
                <w:rFonts w:cs="Arial"/>
                <w:sz w:val="16"/>
                <w:szCs w:val="16"/>
              </w:rPr>
              <w:t>ystem legal framework</w:t>
            </w:r>
          </w:p>
        </w:tc>
        <w:tc>
          <w:tcPr>
            <w:tcW w:w="1365" w:type="pct"/>
            <w:tcBorders>
              <w:top w:val="nil"/>
              <w:bottom w:val="nil"/>
            </w:tcBorders>
            <w:shd w:val="clear" w:color="auto" w:fill="auto"/>
          </w:tcPr>
          <w:p w:rsidR="00100231" w:rsidRPr="0005539E" w:rsidRDefault="00100231" w:rsidP="008D1891">
            <w:pPr>
              <w:keepNext/>
              <w:keepLines/>
              <w:rPr>
                <w:rFonts w:cs="Arial"/>
                <w:color w:val="002060"/>
                <w:sz w:val="16"/>
                <w:szCs w:val="16"/>
              </w:rPr>
            </w:pPr>
            <w:r>
              <w:rPr>
                <w:rFonts w:cs="Arial"/>
                <w:i/>
                <w:color w:val="002060"/>
                <w:sz w:val="16"/>
                <w:szCs w:val="16"/>
              </w:rPr>
              <w:t>Updated Baseline end 2013</w:t>
            </w:r>
            <w:r w:rsidRPr="0005539E">
              <w:rPr>
                <w:rFonts w:cs="Arial"/>
                <w:i/>
                <w:color w:val="002060"/>
                <w:sz w:val="16"/>
                <w:szCs w:val="16"/>
              </w:rPr>
              <w:t>:</w:t>
            </w:r>
            <w:r>
              <w:rPr>
                <w:rFonts w:cs="Arial"/>
                <w:color w:val="002060"/>
                <w:sz w:val="16"/>
                <w:szCs w:val="16"/>
              </w:rPr>
              <w:t xml:space="preserve">  A revision of the Lisbon Agreement and amendments to the Lisbon Regulations are in preparation in the Working Group on the Development of the Lisbon System.</w:t>
            </w:r>
          </w:p>
          <w:p w:rsidR="00100231" w:rsidRPr="0005539E" w:rsidRDefault="00100231" w:rsidP="008D1891">
            <w:pPr>
              <w:keepNext/>
              <w:keepLines/>
              <w:rPr>
                <w:rFonts w:cs="Arial"/>
                <w:color w:val="002060"/>
                <w:sz w:val="16"/>
                <w:szCs w:val="16"/>
              </w:rPr>
            </w:pPr>
          </w:p>
          <w:p w:rsidR="00100231" w:rsidRPr="0005539E" w:rsidRDefault="00100231" w:rsidP="00845557">
            <w:pPr>
              <w:keepNext/>
              <w:keepLines/>
              <w:rPr>
                <w:rFonts w:cs="Arial"/>
                <w:sz w:val="16"/>
                <w:szCs w:val="16"/>
              </w:rPr>
            </w:pPr>
            <w:r>
              <w:rPr>
                <w:rFonts w:cs="Arial"/>
                <w:i/>
                <w:sz w:val="16"/>
                <w:szCs w:val="16"/>
              </w:rPr>
              <w:t>Original Baseline P&amp;B 2013/14</w:t>
            </w:r>
            <w:r w:rsidRPr="0005539E">
              <w:rPr>
                <w:rFonts w:cs="Arial"/>
                <w:i/>
                <w:sz w:val="16"/>
                <w:szCs w:val="16"/>
              </w:rPr>
              <w:t>:</w:t>
            </w:r>
          </w:p>
          <w:p w:rsidR="00100231" w:rsidRPr="00845557" w:rsidRDefault="00100231" w:rsidP="008D1891">
            <w:pPr>
              <w:rPr>
                <w:i/>
                <w:color w:val="002060"/>
                <w:sz w:val="16"/>
              </w:rPr>
            </w:pPr>
            <w:r w:rsidRPr="00F657D4">
              <w:rPr>
                <w:rFonts w:cs="Arial"/>
                <w:sz w:val="16"/>
                <w:szCs w:val="16"/>
              </w:rPr>
              <w:t>Lisbon Agreement, Regulations and Administrative Instructions in force at the end of 2013</w:t>
            </w:r>
          </w:p>
        </w:tc>
        <w:tc>
          <w:tcPr>
            <w:tcW w:w="778" w:type="pct"/>
            <w:tcBorders>
              <w:top w:val="nil"/>
              <w:bottom w:val="nil"/>
            </w:tcBorders>
            <w:shd w:val="clear" w:color="auto" w:fill="auto"/>
            <w:tcMar>
              <w:top w:w="110" w:type="dxa"/>
            </w:tcMar>
          </w:tcPr>
          <w:p w:rsidR="00100231" w:rsidRPr="00845557" w:rsidRDefault="00100231" w:rsidP="008D1891">
            <w:pPr>
              <w:rPr>
                <w:sz w:val="16"/>
              </w:rPr>
            </w:pPr>
            <w:r w:rsidRPr="00F657D4">
              <w:rPr>
                <w:rFonts w:cs="Arial"/>
                <w:sz w:val="16"/>
                <w:szCs w:val="16"/>
              </w:rPr>
              <w:t>Revision of the Lisbon Agreement and amendments to the Regulations and Administrative Instructions</w:t>
            </w:r>
          </w:p>
        </w:tc>
        <w:tc>
          <w:tcPr>
            <w:tcW w:w="1195" w:type="pct"/>
            <w:gridSpan w:val="3"/>
            <w:tcBorders>
              <w:top w:val="nil"/>
              <w:bottom w:val="nil"/>
            </w:tcBorders>
            <w:shd w:val="clear" w:color="auto" w:fill="FFFFFF"/>
            <w:tcMar>
              <w:top w:w="110" w:type="dxa"/>
            </w:tcMar>
          </w:tcPr>
          <w:p w:rsidR="00100231" w:rsidRPr="00087284" w:rsidRDefault="00100231" w:rsidP="008D1891">
            <w:pPr>
              <w:rPr>
                <w:rFonts w:cs="Arial"/>
                <w:sz w:val="16"/>
                <w:szCs w:val="16"/>
                <w:lang w:bidi="th-TH"/>
              </w:rPr>
            </w:pPr>
            <w:r>
              <w:rPr>
                <w:rFonts w:cs="Arial"/>
                <w:sz w:val="16"/>
                <w:szCs w:val="16"/>
              </w:rPr>
              <w:t>The Working</w:t>
            </w:r>
            <w:r w:rsidRPr="004373A4">
              <w:rPr>
                <w:rFonts w:cs="Arial"/>
                <w:sz w:val="16"/>
                <w:szCs w:val="16"/>
              </w:rPr>
              <w:t xml:space="preserve"> Group finished its preparatory work for a New Act of the Lisbon Agreement on Appellations of Origin and Geographical Indications</w:t>
            </w:r>
            <w:r>
              <w:rPr>
                <w:rFonts w:cs="Arial"/>
                <w:sz w:val="16"/>
                <w:szCs w:val="16"/>
              </w:rPr>
              <w:t>,</w:t>
            </w:r>
            <w:r w:rsidRPr="004373A4">
              <w:rPr>
                <w:rFonts w:cs="Arial"/>
                <w:sz w:val="16"/>
                <w:szCs w:val="16"/>
              </w:rPr>
              <w:t xml:space="preserve"> and the Preparatory Committee decided that th</w:t>
            </w:r>
            <w:r>
              <w:rPr>
                <w:rFonts w:cs="Arial"/>
                <w:sz w:val="16"/>
                <w:szCs w:val="16"/>
              </w:rPr>
              <w:t>e</w:t>
            </w:r>
            <w:r w:rsidRPr="004373A4">
              <w:rPr>
                <w:rFonts w:cs="Arial"/>
                <w:sz w:val="16"/>
                <w:szCs w:val="16"/>
              </w:rPr>
              <w:t xml:space="preserve"> Diplomatic Conference be convened in Geneva from May 11 to 21, 2015.</w:t>
            </w:r>
          </w:p>
        </w:tc>
        <w:tc>
          <w:tcPr>
            <w:tcW w:w="522" w:type="pct"/>
            <w:tcBorders>
              <w:top w:val="nil"/>
              <w:bottom w:val="nil"/>
              <w:right w:val="single" w:sz="4" w:space="0" w:color="auto"/>
            </w:tcBorders>
            <w:shd w:val="clear" w:color="auto" w:fill="auto"/>
            <w:tcMar>
              <w:top w:w="110" w:type="dxa"/>
            </w:tcMar>
          </w:tcPr>
          <w:p w:rsidR="00100231" w:rsidRPr="00845557" w:rsidRDefault="00100231" w:rsidP="008D1891">
            <w:pPr>
              <w:keepNext/>
              <w:keepLines/>
              <w:jc w:val="center"/>
              <w:rPr>
                <w:rStyle w:val="Style5"/>
                <w:rFonts w:ascii="Arial" w:hAnsi="Arial"/>
                <w:sz w:val="16"/>
              </w:rPr>
            </w:pPr>
            <w:r w:rsidRPr="00EA4470">
              <w:rPr>
                <w:rStyle w:val="Style5"/>
                <w:rFonts w:ascii="Arial" w:hAnsi="Arial" w:cs="Arial"/>
                <w:b/>
                <w:color w:val="00B050"/>
                <w:sz w:val="16"/>
                <w:szCs w:val="16"/>
              </w:rPr>
              <w:t>On</w:t>
            </w:r>
            <w:r w:rsidRPr="00845557">
              <w:rPr>
                <w:rStyle w:val="Style5"/>
                <w:rFonts w:ascii="Arial" w:hAnsi="Arial"/>
                <w:b/>
                <w:color w:val="00B050"/>
                <w:sz w:val="16"/>
              </w:rPr>
              <w:t xml:space="preserve"> track</w:t>
            </w:r>
          </w:p>
        </w:tc>
      </w:tr>
      <w:tr w:rsidR="00100231" w:rsidRPr="0005539E" w:rsidTr="00100231">
        <w:trPr>
          <w:cantSplit/>
        </w:trPr>
        <w:tc>
          <w:tcPr>
            <w:tcW w:w="1140" w:type="pct"/>
            <w:tcBorders>
              <w:top w:val="nil"/>
              <w:left w:val="single" w:sz="4" w:space="0" w:color="auto"/>
              <w:bottom w:val="nil"/>
            </w:tcBorders>
            <w:shd w:val="clear" w:color="auto" w:fill="auto"/>
          </w:tcPr>
          <w:p w:rsidR="00100231" w:rsidRPr="0005539E" w:rsidRDefault="00100231" w:rsidP="008D1891">
            <w:pPr>
              <w:rPr>
                <w:rFonts w:cs="Arial"/>
                <w:sz w:val="16"/>
                <w:szCs w:val="16"/>
              </w:rPr>
            </w:pPr>
            <w:r w:rsidRPr="00232B7E">
              <w:rPr>
                <w:rFonts w:cs="Arial"/>
                <w:sz w:val="16"/>
                <w:szCs w:val="16"/>
              </w:rPr>
              <w:t>No. of International Applications (Madrid)</w:t>
            </w:r>
          </w:p>
        </w:tc>
        <w:tc>
          <w:tcPr>
            <w:tcW w:w="1365" w:type="pct"/>
            <w:tcBorders>
              <w:top w:val="nil"/>
              <w:bottom w:val="nil"/>
            </w:tcBorders>
            <w:shd w:val="clear" w:color="auto" w:fill="auto"/>
          </w:tcPr>
          <w:p w:rsidR="00100231" w:rsidRDefault="00100231" w:rsidP="008D1891">
            <w:pPr>
              <w:rPr>
                <w:rFonts w:cs="Arial"/>
                <w:color w:val="002060"/>
                <w:sz w:val="16"/>
                <w:szCs w:val="16"/>
              </w:rPr>
            </w:pPr>
            <w:r>
              <w:rPr>
                <w:rFonts w:cs="Arial"/>
                <w:i/>
                <w:color w:val="002060"/>
                <w:sz w:val="16"/>
                <w:szCs w:val="16"/>
              </w:rPr>
              <w:t>Updated Baseline end 2013</w:t>
            </w:r>
            <w:r w:rsidRPr="0005539E">
              <w:rPr>
                <w:rFonts w:cs="Arial"/>
                <w:i/>
                <w:color w:val="002060"/>
                <w:sz w:val="16"/>
                <w:szCs w:val="16"/>
              </w:rPr>
              <w:t>:</w:t>
            </w:r>
            <w:r>
              <w:rPr>
                <w:rFonts w:cs="Arial"/>
                <w:color w:val="002060"/>
                <w:sz w:val="16"/>
                <w:szCs w:val="16"/>
              </w:rPr>
              <w:t xml:space="preserve">  </w:t>
            </w:r>
          </w:p>
          <w:p w:rsidR="00100231" w:rsidRDefault="00100231" w:rsidP="008D1891">
            <w:pPr>
              <w:rPr>
                <w:rFonts w:cs="Arial"/>
                <w:color w:val="002060"/>
                <w:sz w:val="16"/>
                <w:szCs w:val="16"/>
              </w:rPr>
            </w:pPr>
            <w:r>
              <w:rPr>
                <w:rFonts w:cs="Arial"/>
                <w:color w:val="002060"/>
                <w:sz w:val="16"/>
                <w:szCs w:val="16"/>
              </w:rPr>
              <w:t>44,018 (2012)</w:t>
            </w:r>
          </w:p>
          <w:p w:rsidR="00100231" w:rsidRPr="0005539E" w:rsidRDefault="00100231" w:rsidP="008D1891">
            <w:pPr>
              <w:rPr>
                <w:rFonts w:cs="Arial"/>
                <w:color w:val="002060"/>
                <w:sz w:val="16"/>
                <w:szCs w:val="16"/>
              </w:rPr>
            </w:pPr>
            <w:r>
              <w:rPr>
                <w:rFonts w:cs="Arial"/>
                <w:color w:val="002060"/>
                <w:sz w:val="16"/>
                <w:szCs w:val="16"/>
              </w:rPr>
              <w:t>46,829 (2013)</w:t>
            </w:r>
          </w:p>
          <w:p w:rsidR="00100231" w:rsidRPr="0005539E" w:rsidRDefault="00100231" w:rsidP="008D1891">
            <w:pPr>
              <w:rPr>
                <w:rFonts w:cs="Arial"/>
                <w:color w:val="002060"/>
                <w:sz w:val="16"/>
                <w:szCs w:val="16"/>
              </w:rPr>
            </w:pPr>
          </w:p>
          <w:p w:rsidR="00100231" w:rsidRPr="0005539E" w:rsidRDefault="00100231" w:rsidP="008D1891">
            <w:pPr>
              <w:rPr>
                <w:rFonts w:cs="Arial"/>
                <w:sz w:val="16"/>
                <w:szCs w:val="16"/>
              </w:rPr>
            </w:pPr>
            <w:r>
              <w:rPr>
                <w:rFonts w:cs="Arial"/>
                <w:i/>
                <w:sz w:val="16"/>
                <w:szCs w:val="16"/>
              </w:rPr>
              <w:t>Original Baseline P&amp;B 2014/15</w:t>
            </w:r>
            <w:r w:rsidRPr="0005539E">
              <w:rPr>
                <w:rFonts w:cs="Arial"/>
                <w:i/>
                <w:sz w:val="16"/>
                <w:szCs w:val="16"/>
              </w:rPr>
              <w:t>:</w:t>
            </w:r>
          </w:p>
          <w:p w:rsidR="00100231" w:rsidRPr="0005539E" w:rsidRDefault="00100231" w:rsidP="008D1891">
            <w:pPr>
              <w:rPr>
                <w:rFonts w:cs="Arial"/>
                <w:sz w:val="16"/>
                <w:szCs w:val="16"/>
              </w:rPr>
            </w:pPr>
            <w:r w:rsidRPr="00232B7E">
              <w:rPr>
                <w:rFonts w:cs="Arial"/>
                <w:sz w:val="16"/>
                <w:szCs w:val="16"/>
              </w:rPr>
              <w:t>The number of International Applications at the end of 2013</w:t>
            </w:r>
          </w:p>
        </w:tc>
        <w:tc>
          <w:tcPr>
            <w:tcW w:w="778" w:type="pct"/>
            <w:tcBorders>
              <w:top w:val="nil"/>
              <w:bottom w:val="nil"/>
            </w:tcBorders>
            <w:shd w:val="clear" w:color="auto" w:fill="auto"/>
            <w:tcMar>
              <w:top w:w="110" w:type="dxa"/>
            </w:tcMar>
          </w:tcPr>
          <w:p w:rsidR="00100231" w:rsidRPr="0005539E" w:rsidRDefault="00100231" w:rsidP="008D1891">
            <w:pPr>
              <w:rPr>
                <w:rFonts w:cs="Arial"/>
                <w:i/>
                <w:sz w:val="16"/>
                <w:szCs w:val="16"/>
              </w:rPr>
            </w:pPr>
            <w:r w:rsidRPr="00232B7E">
              <w:rPr>
                <w:rFonts w:cs="Arial"/>
                <w:sz w:val="16"/>
                <w:szCs w:val="16"/>
              </w:rPr>
              <w:t>8.1% increase by end of 2015</w:t>
            </w:r>
          </w:p>
        </w:tc>
        <w:tc>
          <w:tcPr>
            <w:tcW w:w="1195" w:type="pct"/>
            <w:gridSpan w:val="3"/>
            <w:tcBorders>
              <w:top w:val="nil"/>
              <w:bottom w:val="nil"/>
            </w:tcBorders>
            <w:shd w:val="clear" w:color="auto" w:fill="FFFFFF"/>
            <w:tcMar>
              <w:top w:w="110" w:type="dxa"/>
            </w:tcMar>
          </w:tcPr>
          <w:p w:rsidR="00100231" w:rsidRPr="004C7D99" w:rsidRDefault="00100231" w:rsidP="008D1891">
            <w:pPr>
              <w:rPr>
                <w:rFonts w:cs="Arial"/>
                <w:sz w:val="16"/>
                <w:szCs w:val="16"/>
              </w:rPr>
            </w:pPr>
            <w:r w:rsidRPr="00087284">
              <w:rPr>
                <w:rFonts w:cs="Arial"/>
                <w:sz w:val="16"/>
                <w:szCs w:val="16"/>
                <w:lang w:bidi="th-TH"/>
              </w:rPr>
              <w:t>A record 47,885 International Applications received in 2014</w:t>
            </w:r>
            <w:r>
              <w:rPr>
                <w:rFonts w:cs="Arial"/>
                <w:sz w:val="16"/>
                <w:szCs w:val="16"/>
                <w:lang w:bidi="th-TH"/>
              </w:rPr>
              <w:t xml:space="preserve">, representing a </w:t>
            </w:r>
            <w:r w:rsidRPr="00087284">
              <w:rPr>
                <w:rFonts w:cs="Arial"/>
                <w:sz w:val="16"/>
                <w:szCs w:val="16"/>
                <w:lang w:bidi="th-TH"/>
              </w:rPr>
              <w:t xml:space="preserve">2.3% </w:t>
            </w:r>
            <w:r>
              <w:rPr>
                <w:rFonts w:cs="Arial"/>
                <w:sz w:val="16"/>
                <w:szCs w:val="16"/>
                <w:lang w:bidi="th-TH"/>
              </w:rPr>
              <w:t>increase compared to</w:t>
            </w:r>
            <w:r w:rsidRPr="00087284">
              <w:rPr>
                <w:rFonts w:cs="Arial"/>
                <w:sz w:val="16"/>
                <w:szCs w:val="16"/>
                <w:lang w:bidi="th-TH"/>
              </w:rPr>
              <w:t xml:space="preserve"> 2013</w:t>
            </w:r>
            <w:r>
              <w:rPr>
                <w:rFonts w:cs="Arial"/>
                <w:sz w:val="16"/>
                <w:szCs w:val="16"/>
                <w:lang w:bidi="th-TH"/>
              </w:rPr>
              <w:t>.</w:t>
            </w:r>
          </w:p>
        </w:tc>
        <w:tc>
          <w:tcPr>
            <w:tcW w:w="522" w:type="pct"/>
            <w:tcBorders>
              <w:top w:val="nil"/>
              <w:bottom w:val="nil"/>
              <w:right w:val="single" w:sz="4" w:space="0" w:color="auto"/>
            </w:tcBorders>
            <w:shd w:val="clear" w:color="auto" w:fill="auto"/>
            <w:tcMar>
              <w:top w:w="110" w:type="dxa"/>
            </w:tcMar>
          </w:tcPr>
          <w:p w:rsidR="00100231" w:rsidRPr="00ED2AA7" w:rsidRDefault="00100231" w:rsidP="008D1891">
            <w:pPr>
              <w:keepNext/>
              <w:keepLines/>
              <w:jc w:val="center"/>
              <w:rPr>
                <w:rFonts w:cs="Arial"/>
                <w:bCs/>
                <w:color w:val="808080"/>
                <w:sz w:val="16"/>
                <w:szCs w:val="16"/>
              </w:rPr>
            </w:pPr>
            <w:r w:rsidRPr="00ED2AA7">
              <w:rPr>
                <w:rStyle w:val="Style5"/>
                <w:rFonts w:ascii="Arial" w:hAnsi="Arial" w:cs="Arial"/>
                <w:b/>
                <w:color w:val="FF0000"/>
                <w:sz w:val="16"/>
                <w:szCs w:val="16"/>
              </w:rPr>
              <w:t>Not</w:t>
            </w:r>
            <w:r w:rsidRPr="00ED2AA7">
              <w:rPr>
                <w:rStyle w:val="Style5"/>
                <w:rFonts w:ascii="Arial" w:hAnsi="Arial" w:cs="Arial"/>
                <w:b/>
                <w:color w:val="FF0000"/>
                <w:sz w:val="16"/>
                <w:szCs w:val="16"/>
              </w:rPr>
              <w:br/>
              <w:t>on track</w:t>
            </w:r>
          </w:p>
        </w:tc>
      </w:tr>
      <w:tr w:rsidR="00100231" w:rsidRPr="0005539E" w:rsidTr="00100231">
        <w:trPr>
          <w:cantSplit/>
        </w:trPr>
        <w:tc>
          <w:tcPr>
            <w:tcW w:w="1140" w:type="pct"/>
            <w:tcBorders>
              <w:top w:val="nil"/>
              <w:left w:val="single" w:sz="4" w:space="0" w:color="auto"/>
              <w:bottom w:val="single" w:sz="4" w:space="0" w:color="auto"/>
            </w:tcBorders>
            <w:shd w:val="clear" w:color="auto" w:fill="auto"/>
          </w:tcPr>
          <w:p w:rsidR="00100231" w:rsidRDefault="00100231" w:rsidP="008D1891">
            <w:pPr>
              <w:rPr>
                <w:rFonts w:cs="Arial"/>
                <w:sz w:val="16"/>
                <w:szCs w:val="16"/>
              </w:rPr>
            </w:pPr>
            <w:r w:rsidRPr="00232B7E">
              <w:rPr>
                <w:rFonts w:cs="Arial"/>
                <w:sz w:val="16"/>
                <w:szCs w:val="16"/>
              </w:rPr>
              <w:t>Share of Offices concerned providing updated information on the Madrid System</w:t>
            </w:r>
          </w:p>
          <w:p w:rsidR="00100231" w:rsidRPr="0005539E" w:rsidRDefault="00100231" w:rsidP="008D1891">
            <w:pPr>
              <w:rPr>
                <w:rFonts w:cs="Arial"/>
                <w:sz w:val="16"/>
                <w:szCs w:val="16"/>
              </w:rPr>
            </w:pPr>
          </w:p>
        </w:tc>
        <w:tc>
          <w:tcPr>
            <w:tcW w:w="1365" w:type="pct"/>
            <w:tcBorders>
              <w:top w:val="nil"/>
              <w:bottom w:val="single" w:sz="4" w:space="0" w:color="auto"/>
            </w:tcBorders>
            <w:shd w:val="clear" w:color="auto" w:fill="auto"/>
          </w:tcPr>
          <w:p w:rsidR="00100231" w:rsidRDefault="00100231" w:rsidP="008D1891">
            <w:pPr>
              <w:rPr>
                <w:rFonts w:cs="Arial"/>
                <w:sz w:val="16"/>
                <w:szCs w:val="16"/>
              </w:rPr>
            </w:pPr>
            <w:r w:rsidRPr="00232B7E">
              <w:rPr>
                <w:rFonts w:cs="Arial"/>
                <w:sz w:val="16"/>
                <w:szCs w:val="16"/>
              </w:rPr>
              <w:t>Share of such Offices providing such information</w:t>
            </w:r>
          </w:p>
          <w:p w:rsidR="00100231" w:rsidRPr="0005539E" w:rsidRDefault="00100231" w:rsidP="008D1891">
            <w:pPr>
              <w:rPr>
                <w:rFonts w:cs="Arial"/>
                <w:sz w:val="16"/>
                <w:szCs w:val="16"/>
              </w:rPr>
            </w:pPr>
          </w:p>
        </w:tc>
        <w:tc>
          <w:tcPr>
            <w:tcW w:w="778" w:type="pct"/>
            <w:tcBorders>
              <w:top w:val="nil"/>
              <w:bottom w:val="single" w:sz="4" w:space="0" w:color="auto"/>
            </w:tcBorders>
            <w:shd w:val="clear" w:color="auto" w:fill="auto"/>
            <w:tcMar>
              <w:top w:w="110" w:type="dxa"/>
            </w:tcMar>
          </w:tcPr>
          <w:p w:rsidR="00100231" w:rsidRPr="0005539E" w:rsidRDefault="00100231" w:rsidP="008D1891">
            <w:pPr>
              <w:rPr>
                <w:rFonts w:cs="Arial"/>
                <w:sz w:val="16"/>
                <w:szCs w:val="16"/>
              </w:rPr>
            </w:pPr>
            <w:r w:rsidRPr="00232B7E">
              <w:rPr>
                <w:rFonts w:cs="Arial"/>
                <w:sz w:val="16"/>
                <w:szCs w:val="16"/>
              </w:rPr>
              <w:t>Increased share</w:t>
            </w:r>
          </w:p>
        </w:tc>
        <w:tc>
          <w:tcPr>
            <w:tcW w:w="1195" w:type="pct"/>
            <w:gridSpan w:val="3"/>
            <w:tcBorders>
              <w:top w:val="nil"/>
              <w:bottom w:val="single" w:sz="4" w:space="0" w:color="auto"/>
            </w:tcBorders>
            <w:shd w:val="clear" w:color="auto" w:fill="FFFFFF"/>
            <w:tcMar>
              <w:top w:w="110" w:type="dxa"/>
            </w:tcMar>
          </w:tcPr>
          <w:p w:rsidR="00100231" w:rsidRPr="0005539E" w:rsidRDefault="00100231" w:rsidP="008D1891">
            <w:pPr>
              <w:rPr>
                <w:rFonts w:cs="Arial"/>
                <w:sz w:val="16"/>
                <w:szCs w:val="16"/>
              </w:rPr>
            </w:pPr>
          </w:p>
        </w:tc>
        <w:tc>
          <w:tcPr>
            <w:tcW w:w="522" w:type="pct"/>
            <w:tcBorders>
              <w:top w:val="nil"/>
              <w:bottom w:val="single" w:sz="4" w:space="0" w:color="auto"/>
              <w:right w:val="single" w:sz="4" w:space="0" w:color="auto"/>
            </w:tcBorders>
            <w:shd w:val="clear" w:color="auto" w:fill="auto"/>
            <w:tcMar>
              <w:top w:w="110" w:type="dxa"/>
            </w:tcMar>
          </w:tcPr>
          <w:p w:rsidR="00100231" w:rsidRPr="00ED2AA7" w:rsidRDefault="00100231" w:rsidP="008D1891">
            <w:pPr>
              <w:keepNext/>
              <w:keepLines/>
              <w:jc w:val="center"/>
              <w:rPr>
                <w:rFonts w:cs="Arial"/>
                <w:b/>
                <w:bCs/>
                <w:sz w:val="16"/>
                <w:szCs w:val="16"/>
              </w:rPr>
            </w:pPr>
            <w:r w:rsidRPr="00ED2AA7">
              <w:rPr>
                <w:rStyle w:val="Style5"/>
                <w:rFonts w:ascii="Arial" w:hAnsi="Arial" w:cs="Arial"/>
                <w:b/>
                <w:sz w:val="12"/>
                <w:szCs w:val="16"/>
              </w:rPr>
              <w:t>Dis</w:t>
            </w:r>
            <w:r>
              <w:rPr>
                <w:rStyle w:val="Style5"/>
                <w:rFonts w:ascii="Arial" w:hAnsi="Arial" w:cs="Arial"/>
                <w:b/>
                <w:sz w:val="12"/>
                <w:szCs w:val="16"/>
              </w:rPr>
              <w:t>-</w:t>
            </w:r>
            <w:r w:rsidRPr="00ED2AA7">
              <w:rPr>
                <w:rStyle w:val="Style5"/>
                <w:rFonts w:ascii="Arial" w:hAnsi="Arial" w:cs="Arial"/>
                <w:b/>
                <w:sz w:val="12"/>
                <w:szCs w:val="16"/>
              </w:rPr>
              <w:t>continued</w:t>
            </w:r>
            <w:r w:rsidRPr="00ED2AA7" w:rsidDel="00AA396C">
              <w:rPr>
                <w:rStyle w:val="Style5"/>
                <w:rFonts w:ascii="Arial" w:hAnsi="Arial" w:cs="Arial"/>
                <w:b/>
                <w:sz w:val="12"/>
                <w:szCs w:val="16"/>
              </w:rPr>
              <w:t xml:space="preserve"> </w:t>
            </w:r>
          </w:p>
        </w:tc>
      </w:tr>
      <w:tr w:rsidR="00100231" w:rsidRPr="0005539E" w:rsidTr="008D1891">
        <w:trPr>
          <w:cantSplit/>
          <w:trHeight w:val="502"/>
        </w:trPr>
        <w:tc>
          <w:tcPr>
            <w:tcW w:w="5000" w:type="pct"/>
            <w:gridSpan w:val="7"/>
            <w:tcBorders>
              <w:top w:val="single" w:sz="4" w:space="0" w:color="auto"/>
              <w:left w:val="single" w:sz="4" w:space="0" w:color="auto"/>
              <w:bottom w:val="single" w:sz="4" w:space="0" w:color="auto"/>
              <w:right w:val="single" w:sz="4" w:space="0" w:color="auto"/>
            </w:tcBorders>
            <w:shd w:val="clear" w:color="auto" w:fill="CCFFFF"/>
            <w:vAlign w:val="center"/>
          </w:tcPr>
          <w:p w:rsidR="00100231" w:rsidRPr="00E33D5E" w:rsidRDefault="00100231" w:rsidP="008D1891">
            <w:pPr>
              <w:keepNext/>
              <w:keepLines/>
              <w:tabs>
                <w:tab w:val="left" w:pos="1452"/>
              </w:tabs>
              <w:ind w:left="1452" w:hanging="1452"/>
              <w:rPr>
                <w:rFonts w:cs="Arial"/>
                <w:b/>
                <w:bCs/>
                <w:sz w:val="16"/>
                <w:szCs w:val="16"/>
              </w:rPr>
            </w:pPr>
            <w:r w:rsidRPr="0005539E">
              <w:rPr>
                <w:rFonts w:cs="Arial"/>
                <w:b/>
                <w:bCs/>
                <w:sz w:val="16"/>
                <w:szCs w:val="16"/>
              </w:rPr>
              <w:lastRenderedPageBreak/>
              <w:t>Expected Result:</w:t>
            </w:r>
            <w:r w:rsidRPr="0005539E">
              <w:rPr>
                <w:rFonts w:cs="Arial"/>
                <w:b/>
                <w:bCs/>
                <w:sz w:val="16"/>
                <w:szCs w:val="16"/>
              </w:rPr>
              <w:tab/>
            </w:r>
            <w:r w:rsidRPr="00E33D5E">
              <w:rPr>
                <w:rFonts w:cs="Arial"/>
                <w:bCs/>
                <w:sz w:val="16"/>
                <w:szCs w:val="16"/>
              </w:rPr>
              <w:t xml:space="preserve">II.6 Wider and better use of the Madrid &amp; Lisbon </w:t>
            </w:r>
            <w:r>
              <w:rPr>
                <w:rFonts w:cs="Arial"/>
                <w:bCs/>
                <w:sz w:val="16"/>
                <w:szCs w:val="16"/>
              </w:rPr>
              <w:t>S</w:t>
            </w:r>
            <w:r w:rsidRPr="00E33D5E">
              <w:rPr>
                <w:rFonts w:cs="Arial"/>
                <w:bCs/>
                <w:sz w:val="16"/>
                <w:szCs w:val="16"/>
              </w:rPr>
              <w:t>ystems, including by developing countries and LDCs</w:t>
            </w:r>
          </w:p>
        </w:tc>
      </w:tr>
      <w:tr w:rsidR="00100231" w:rsidRPr="0005539E" w:rsidTr="00100231">
        <w:trPr>
          <w:cantSplit/>
        </w:trPr>
        <w:tc>
          <w:tcPr>
            <w:tcW w:w="1140" w:type="pct"/>
            <w:tcBorders>
              <w:top w:val="single" w:sz="4" w:space="0" w:color="auto"/>
              <w:left w:val="single" w:sz="4" w:space="0" w:color="auto"/>
              <w:bottom w:val="nil"/>
            </w:tcBorders>
            <w:shd w:val="clear" w:color="auto" w:fill="auto"/>
          </w:tcPr>
          <w:p w:rsidR="00100231" w:rsidRPr="00232B7E" w:rsidRDefault="00100231" w:rsidP="008D1891">
            <w:pPr>
              <w:keepNext/>
              <w:keepLines/>
              <w:rPr>
                <w:rFonts w:cs="Arial"/>
                <w:sz w:val="16"/>
                <w:szCs w:val="16"/>
              </w:rPr>
            </w:pPr>
          </w:p>
        </w:tc>
        <w:tc>
          <w:tcPr>
            <w:tcW w:w="1365" w:type="pct"/>
            <w:tcBorders>
              <w:top w:val="single" w:sz="4" w:space="0" w:color="auto"/>
              <w:bottom w:val="nil"/>
            </w:tcBorders>
            <w:shd w:val="clear" w:color="auto" w:fill="auto"/>
          </w:tcPr>
          <w:p w:rsidR="00100231" w:rsidRDefault="00100231" w:rsidP="008D1891">
            <w:pPr>
              <w:keepNext/>
              <w:keepLines/>
              <w:rPr>
                <w:rFonts w:cs="Arial"/>
                <w:i/>
                <w:color w:val="002060"/>
                <w:sz w:val="16"/>
                <w:szCs w:val="16"/>
              </w:rPr>
            </w:pPr>
          </w:p>
        </w:tc>
        <w:tc>
          <w:tcPr>
            <w:tcW w:w="836" w:type="pct"/>
            <w:gridSpan w:val="3"/>
            <w:tcBorders>
              <w:top w:val="single" w:sz="4" w:space="0" w:color="auto"/>
              <w:bottom w:val="nil"/>
            </w:tcBorders>
            <w:shd w:val="clear" w:color="auto" w:fill="auto"/>
            <w:tcMar>
              <w:top w:w="110" w:type="dxa"/>
            </w:tcMar>
          </w:tcPr>
          <w:p w:rsidR="00100231" w:rsidRPr="00232B7E" w:rsidRDefault="00100231" w:rsidP="008D1891">
            <w:pPr>
              <w:keepNext/>
              <w:keepLines/>
              <w:rPr>
                <w:rFonts w:cs="Arial"/>
                <w:sz w:val="16"/>
                <w:szCs w:val="16"/>
              </w:rPr>
            </w:pPr>
          </w:p>
        </w:tc>
        <w:tc>
          <w:tcPr>
            <w:tcW w:w="1137" w:type="pct"/>
            <w:tcBorders>
              <w:top w:val="single" w:sz="4" w:space="0" w:color="auto"/>
              <w:bottom w:val="nil"/>
            </w:tcBorders>
            <w:shd w:val="clear" w:color="auto" w:fill="FFFFFF"/>
            <w:tcMar>
              <w:top w:w="110" w:type="dxa"/>
            </w:tcMar>
          </w:tcPr>
          <w:p w:rsidR="00100231" w:rsidRPr="0005539E" w:rsidRDefault="00100231" w:rsidP="008D1891">
            <w:pPr>
              <w:keepNext/>
              <w:keepLines/>
              <w:rPr>
                <w:rFonts w:cs="Arial"/>
                <w:sz w:val="16"/>
                <w:szCs w:val="16"/>
              </w:rPr>
            </w:pPr>
          </w:p>
        </w:tc>
        <w:tc>
          <w:tcPr>
            <w:tcW w:w="522" w:type="pct"/>
            <w:tcBorders>
              <w:top w:val="single" w:sz="4" w:space="0" w:color="auto"/>
              <w:bottom w:val="nil"/>
              <w:right w:val="single" w:sz="4" w:space="0" w:color="auto"/>
            </w:tcBorders>
            <w:shd w:val="clear" w:color="auto" w:fill="auto"/>
            <w:tcMar>
              <w:top w:w="110" w:type="dxa"/>
            </w:tcMar>
          </w:tcPr>
          <w:p w:rsidR="00100231" w:rsidRPr="00EA4470" w:rsidRDefault="00100231" w:rsidP="008D1891">
            <w:pPr>
              <w:keepNext/>
              <w:keepLines/>
              <w:jc w:val="center"/>
              <w:rPr>
                <w:rStyle w:val="Style5"/>
                <w:rFonts w:ascii="Arial" w:hAnsi="Arial" w:cs="Arial"/>
                <w:b/>
                <w:color w:val="FF0000"/>
                <w:sz w:val="16"/>
                <w:szCs w:val="16"/>
              </w:rPr>
            </w:pPr>
          </w:p>
        </w:tc>
      </w:tr>
      <w:tr w:rsidR="00100231" w:rsidRPr="0005539E" w:rsidTr="00100231">
        <w:trPr>
          <w:cantSplit/>
        </w:trPr>
        <w:tc>
          <w:tcPr>
            <w:tcW w:w="1140" w:type="pct"/>
            <w:tcBorders>
              <w:top w:val="nil"/>
              <w:left w:val="single" w:sz="4" w:space="0" w:color="auto"/>
              <w:bottom w:val="nil"/>
            </w:tcBorders>
            <w:shd w:val="clear" w:color="auto" w:fill="auto"/>
          </w:tcPr>
          <w:p w:rsidR="00100231" w:rsidRPr="00365C4F" w:rsidRDefault="00100231" w:rsidP="008D1891">
            <w:pPr>
              <w:keepNext/>
              <w:keepLines/>
              <w:rPr>
                <w:rFonts w:cs="Arial"/>
                <w:sz w:val="16"/>
                <w:szCs w:val="16"/>
              </w:rPr>
            </w:pPr>
            <w:r w:rsidRPr="00EE5861">
              <w:rPr>
                <w:rFonts w:cs="Arial"/>
                <w:sz w:val="16"/>
                <w:szCs w:val="16"/>
              </w:rPr>
              <w:t xml:space="preserve">% of participants in Lisbon </w:t>
            </w:r>
            <w:r>
              <w:rPr>
                <w:rFonts w:cs="Arial"/>
                <w:sz w:val="16"/>
                <w:szCs w:val="16"/>
              </w:rPr>
              <w:t>S</w:t>
            </w:r>
            <w:r w:rsidRPr="00EE5861">
              <w:rPr>
                <w:rFonts w:cs="Arial"/>
                <w:sz w:val="16"/>
                <w:szCs w:val="16"/>
              </w:rPr>
              <w:t>ystem events satisfied and reporting enhanced awareness post an event</w:t>
            </w:r>
          </w:p>
        </w:tc>
        <w:tc>
          <w:tcPr>
            <w:tcW w:w="1365" w:type="pct"/>
            <w:tcBorders>
              <w:top w:val="nil"/>
              <w:bottom w:val="nil"/>
            </w:tcBorders>
            <w:shd w:val="clear" w:color="auto" w:fill="auto"/>
          </w:tcPr>
          <w:p w:rsidR="00100231" w:rsidRPr="0005539E" w:rsidRDefault="00100231" w:rsidP="008D1891">
            <w:pPr>
              <w:keepNext/>
              <w:keepLines/>
              <w:rPr>
                <w:rFonts w:cs="Arial"/>
                <w:color w:val="002060"/>
                <w:sz w:val="16"/>
                <w:szCs w:val="16"/>
              </w:rPr>
            </w:pPr>
            <w:r>
              <w:rPr>
                <w:rFonts w:cs="Arial"/>
                <w:i/>
                <w:color w:val="002060"/>
                <w:sz w:val="16"/>
                <w:szCs w:val="16"/>
              </w:rPr>
              <w:t>Updated Baseline end 2013</w:t>
            </w:r>
            <w:r w:rsidRPr="0005539E">
              <w:rPr>
                <w:rFonts w:cs="Arial"/>
                <w:i/>
                <w:color w:val="002060"/>
                <w:sz w:val="16"/>
                <w:szCs w:val="16"/>
              </w:rPr>
              <w:t>:</w:t>
            </w:r>
            <w:r>
              <w:rPr>
                <w:rFonts w:cs="Arial"/>
                <w:color w:val="002060"/>
                <w:sz w:val="16"/>
                <w:szCs w:val="16"/>
              </w:rPr>
              <w:t xml:space="preserve">  Evaluation questionnaires showed a satisfaction rate of more than 90%</w:t>
            </w:r>
          </w:p>
          <w:p w:rsidR="00100231" w:rsidRPr="0005539E" w:rsidRDefault="00100231" w:rsidP="008D1891">
            <w:pPr>
              <w:keepNext/>
              <w:keepLines/>
              <w:rPr>
                <w:rFonts w:cs="Arial"/>
                <w:color w:val="002060"/>
                <w:sz w:val="16"/>
                <w:szCs w:val="16"/>
              </w:rPr>
            </w:pPr>
          </w:p>
          <w:p w:rsidR="00100231" w:rsidRPr="0005539E" w:rsidRDefault="00100231" w:rsidP="008D1891">
            <w:pPr>
              <w:keepNext/>
              <w:keepLines/>
              <w:rPr>
                <w:rFonts w:cs="Arial"/>
                <w:sz w:val="16"/>
                <w:szCs w:val="16"/>
              </w:rPr>
            </w:pPr>
            <w:r>
              <w:rPr>
                <w:rFonts w:cs="Arial"/>
                <w:i/>
                <w:sz w:val="16"/>
                <w:szCs w:val="16"/>
              </w:rPr>
              <w:t>Original Baseline P&amp;B 2013/14</w:t>
            </w:r>
            <w:r w:rsidRPr="0005539E">
              <w:rPr>
                <w:rFonts w:cs="Arial"/>
                <w:i/>
                <w:sz w:val="16"/>
                <w:szCs w:val="16"/>
              </w:rPr>
              <w:t>:</w:t>
            </w:r>
          </w:p>
          <w:p w:rsidR="00100231" w:rsidRDefault="00100231" w:rsidP="008D1891">
            <w:pPr>
              <w:keepNext/>
              <w:keepLines/>
              <w:rPr>
                <w:rFonts w:cs="Arial"/>
                <w:i/>
                <w:color w:val="002060"/>
                <w:sz w:val="16"/>
                <w:szCs w:val="16"/>
              </w:rPr>
            </w:pPr>
            <w:r w:rsidRPr="00EE5861">
              <w:rPr>
                <w:rFonts w:cs="Arial"/>
                <w:sz w:val="16"/>
                <w:szCs w:val="16"/>
              </w:rPr>
              <w:t>No. of events and % of satisfied participants in 2013</w:t>
            </w:r>
          </w:p>
        </w:tc>
        <w:tc>
          <w:tcPr>
            <w:tcW w:w="836" w:type="pct"/>
            <w:gridSpan w:val="3"/>
            <w:tcBorders>
              <w:top w:val="nil"/>
              <w:bottom w:val="nil"/>
            </w:tcBorders>
            <w:shd w:val="clear" w:color="auto" w:fill="auto"/>
            <w:tcMar>
              <w:top w:w="110" w:type="dxa"/>
            </w:tcMar>
          </w:tcPr>
          <w:p w:rsidR="00100231" w:rsidRPr="00365C4F" w:rsidRDefault="00100231" w:rsidP="008D1891">
            <w:pPr>
              <w:keepNext/>
              <w:keepLines/>
              <w:rPr>
                <w:rFonts w:cs="Arial"/>
                <w:sz w:val="16"/>
                <w:szCs w:val="16"/>
              </w:rPr>
            </w:pPr>
            <w:r w:rsidRPr="00EE5861">
              <w:rPr>
                <w:rFonts w:cs="Arial"/>
                <w:sz w:val="16"/>
                <w:szCs w:val="16"/>
              </w:rPr>
              <w:t>At least eight events with 85% of participants satisfied</w:t>
            </w:r>
          </w:p>
        </w:tc>
        <w:tc>
          <w:tcPr>
            <w:tcW w:w="1137" w:type="pct"/>
            <w:tcBorders>
              <w:top w:val="nil"/>
              <w:bottom w:val="nil"/>
            </w:tcBorders>
            <w:shd w:val="clear" w:color="auto" w:fill="FFFFFF"/>
            <w:tcMar>
              <w:top w:w="110" w:type="dxa"/>
            </w:tcMar>
          </w:tcPr>
          <w:p w:rsidR="00100231" w:rsidRPr="00365C4F" w:rsidRDefault="00100231" w:rsidP="008D1891">
            <w:pPr>
              <w:keepNext/>
              <w:keepLines/>
              <w:rPr>
                <w:rFonts w:cs="Arial"/>
                <w:sz w:val="16"/>
                <w:szCs w:val="16"/>
              </w:rPr>
            </w:pPr>
            <w:r>
              <w:rPr>
                <w:rFonts w:cs="Arial"/>
                <w:sz w:val="16"/>
                <w:szCs w:val="16"/>
              </w:rPr>
              <w:t xml:space="preserve">Five </w:t>
            </w:r>
            <w:r w:rsidRPr="004373A4">
              <w:rPr>
                <w:rFonts w:cs="Arial"/>
                <w:sz w:val="16"/>
                <w:szCs w:val="16"/>
              </w:rPr>
              <w:t>information and promotion events with a specific focus on the Lisbon System, including its planned revision, in all regions</w:t>
            </w:r>
            <w:r>
              <w:rPr>
                <w:rFonts w:cs="Arial"/>
                <w:sz w:val="16"/>
                <w:szCs w:val="16"/>
              </w:rPr>
              <w:t xml:space="preserve"> with </w:t>
            </w:r>
            <w:r w:rsidRPr="00EE5861">
              <w:rPr>
                <w:rFonts w:cs="Arial"/>
                <w:sz w:val="16"/>
                <w:szCs w:val="16"/>
              </w:rPr>
              <w:t>84%</w:t>
            </w:r>
            <w:r>
              <w:rPr>
                <w:rFonts w:cs="Arial"/>
                <w:sz w:val="16"/>
                <w:szCs w:val="16"/>
              </w:rPr>
              <w:t xml:space="preserve"> of participants satisfied</w:t>
            </w:r>
            <w:r w:rsidRPr="00EE5861">
              <w:rPr>
                <w:rFonts w:cs="Arial"/>
                <w:sz w:val="16"/>
                <w:szCs w:val="16"/>
              </w:rPr>
              <w:t xml:space="preserve"> </w:t>
            </w:r>
          </w:p>
        </w:tc>
        <w:tc>
          <w:tcPr>
            <w:tcW w:w="522" w:type="pct"/>
            <w:tcBorders>
              <w:top w:val="nil"/>
              <w:bottom w:val="nil"/>
              <w:right w:val="single" w:sz="4" w:space="0" w:color="auto"/>
            </w:tcBorders>
            <w:shd w:val="clear" w:color="auto" w:fill="auto"/>
            <w:tcMar>
              <w:top w:w="110" w:type="dxa"/>
            </w:tcMar>
          </w:tcPr>
          <w:p w:rsidR="00100231" w:rsidRPr="00EA4470" w:rsidRDefault="00100231" w:rsidP="008D1891">
            <w:pPr>
              <w:keepNext/>
              <w:keepLines/>
              <w:jc w:val="center"/>
              <w:rPr>
                <w:rStyle w:val="Style5"/>
                <w:rFonts w:ascii="Arial" w:hAnsi="Arial" w:cs="Arial"/>
                <w:color w:val="10862C"/>
                <w:sz w:val="16"/>
                <w:szCs w:val="16"/>
              </w:rPr>
            </w:pPr>
            <w:r w:rsidRPr="00EA4470">
              <w:rPr>
                <w:rStyle w:val="Style5"/>
                <w:rFonts w:ascii="Arial" w:hAnsi="Arial" w:cs="Arial"/>
                <w:b/>
                <w:color w:val="00B050"/>
                <w:sz w:val="16"/>
                <w:szCs w:val="16"/>
              </w:rPr>
              <w:t>On track</w:t>
            </w:r>
          </w:p>
        </w:tc>
      </w:tr>
      <w:tr w:rsidR="00100231" w:rsidRPr="0005539E" w:rsidTr="00100231">
        <w:trPr>
          <w:cantSplit/>
        </w:trPr>
        <w:tc>
          <w:tcPr>
            <w:tcW w:w="1140" w:type="pct"/>
            <w:tcBorders>
              <w:top w:val="nil"/>
              <w:left w:val="single" w:sz="4" w:space="0" w:color="auto"/>
              <w:bottom w:val="nil"/>
            </w:tcBorders>
            <w:shd w:val="clear" w:color="auto" w:fill="auto"/>
          </w:tcPr>
          <w:p w:rsidR="00100231" w:rsidRPr="00F657D4" w:rsidRDefault="00100231" w:rsidP="008D1891">
            <w:pPr>
              <w:keepNext/>
              <w:keepLines/>
              <w:rPr>
                <w:rFonts w:cs="Arial"/>
                <w:sz w:val="16"/>
                <w:szCs w:val="16"/>
              </w:rPr>
            </w:pPr>
            <w:r w:rsidRPr="00F657D4">
              <w:rPr>
                <w:rFonts w:cs="Arial"/>
                <w:sz w:val="16"/>
                <w:szCs w:val="16"/>
              </w:rPr>
              <w:t>No. and proportion of Lisbon registrations in force from developing countries and LDCs</w:t>
            </w:r>
          </w:p>
        </w:tc>
        <w:tc>
          <w:tcPr>
            <w:tcW w:w="1365" w:type="pct"/>
            <w:tcBorders>
              <w:top w:val="nil"/>
              <w:bottom w:val="nil"/>
            </w:tcBorders>
            <w:shd w:val="clear" w:color="auto" w:fill="auto"/>
          </w:tcPr>
          <w:p w:rsidR="00100231" w:rsidRPr="0005539E" w:rsidRDefault="00100231" w:rsidP="008D1891">
            <w:pPr>
              <w:keepNext/>
              <w:keepLines/>
              <w:rPr>
                <w:rFonts w:cs="Arial"/>
                <w:color w:val="002060"/>
                <w:sz w:val="16"/>
                <w:szCs w:val="16"/>
              </w:rPr>
            </w:pPr>
            <w:r>
              <w:rPr>
                <w:rFonts w:cs="Arial"/>
                <w:i/>
                <w:color w:val="002060"/>
                <w:sz w:val="16"/>
                <w:szCs w:val="16"/>
              </w:rPr>
              <w:t>Updated Baseline end 2013</w:t>
            </w:r>
            <w:r w:rsidRPr="0005539E">
              <w:rPr>
                <w:rFonts w:cs="Arial"/>
                <w:i/>
                <w:color w:val="002060"/>
                <w:sz w:val="16"/>
                <w:szCs w:val="16"/>
              </w:rPr>
              <w:t>:</w:t>
            </w:r>
            <w:r>
              <w:rPr>
                <w:rFonts w:cs="Arial"/>
                <w:color w:val="002060"/>
                <w:sz w:val="16"/>
                <w:szCs w:val="16"/>
              </w:rPr>
              <w:t xml:space="preserve">  </w:t>
            </w:r>
            <w:r w:rsidRPr="00F657D4">
              <w:rPr>
                <w:rFonts w:cs="Arial"/>
                <w:color w:val="002060"/>
                <w:sz w:val="16"/>
                <w:szCs w:val="16"/>
              </w:rPr>
              <w:t>67 out of 816</w:t>
            </w:r>
          </w:p>
          <w:p w:rsidR="00100231" w:rsidRPr="0005539E" w:rsidRDefault="00100231" w:rsidP="008D1891">
            <w:pPr>
              <w:keepNext/>
              <w:keepLines/>
              <w:rPr>
                <w:rFonts w:cs="Arial"/>
                <w:color w:val="002060"/>
                <w:sz w:val="16"/>
                <w:szCs w:val="16"/>
              </w:rPr>
            </w:pPr>
          </w:p>
          <w:p w:rsidR="00100231" w:rsidRPr="0005539E" w:rsidRDefault="00100231" w:rsidP="008D1891">
            <w:pPr>
              <w:keepNext/>
              <w:keepLines/>
              <w:rPr>
                <w:rFonts w:cs="Arial"/>
                <w:sz w:val="16"/>
                <w:szCs w:val="16"/>
              </w:rPr>
            </w:pPr>
            <w:r>
              <w:rPr>
                <w:rFonts w:cs="Arial"/>
                <w:i/>
                <w:sz w:val="16"/>
                <w:szCs w:val="16"/>
              </w:rPr>
              <w:t>Original Baseline P&amp;B 2013/14</w:t>
            </w:r>
            <w:r w:rsidRPr="0005539E">
              <w:rPr>
                <w:rFonts w:cs="Arial"/>
                <w:i/>
                <w:sz w:val="16"/>
                <w:szCs w:val="16"/>
              </w:rPr>
              <w:t>:</w:t>
            </w:r>
          </w:p>
          <w:p w:rsidR="00100231" w:rsidRDefault="00100231" w:rsidP="004B373F">
            <w:pPr>
              <w:keepNext/>
              <w:keepLines/>
              <w:rPr>
                <w:rFonts w:cs="Arial"/>
                <w:i/>
                <w:color w:val="002060"/>
                <w:sz w:val="16"/>
                <w:szCs w:val="16"/>
              </w:rPr>
            </w:pPr>
            <w:r w:rsidRPr="00F657D4">
              <w:rPr>
                <w:rFonts w:cs="Arial"/>
                <w:sz w:val="16"/>
                <w:szCs w:val="16"/>
              </w:rPr>
              <w:t xml:space="preserve">67 (out of </w:t>
            </w:r>
            <w:r w:rsidR="004B373F" w:rsidRPr="00F657D4">
              <w:rPr>
                <w:rFonts w:cs="Arial"/>
                <w:sz w:val="16"/>
                <w:szCs w:val="16"/>
              </w:rPr>
              <w:t>8</w:t>
            </w:r>
            <w:r w:rsidR="004B373F">
              <w:rPr>
                <w:rFonts w:cs="Arial"/>
                <w:sz w:val="16"/>
                <w:szCs w:val="16"/>
              </w:rPr>
              <w:t>09</w:t>
            </w:r>
            <w:r w:rsidRPr="00F657D4">
              <w:rPr>
                <w:rFonts w:cs="Arial"/>
                <w:sz w:val="16"/>
                <w:szCs w:val="16"/>
              </w:rPr>
              <w:t>)</w:t>
            </w:r>
            <w:r>
              <w:rPr>
                <w:rFonts w:cs="Arial"/>
                <w:sz w:val="16"/>
                <w:szCs w:val="16"/>
              </w:rPr>
              <w:t xml:space="preserve"> (April 2013)</w:t>
            </w:r>
          </w:p>
        </w:tc>
        <w:tc>
          <w:tcPr>
            <w:tcW w:w="836" w:type="pct"/>
            <w:gridSpan w:val="3"/>
            <w:tcBorders>
              <w:top w:val="nil"/>
              <w:bottom w:val="nil"/>
            </w:tcBorders>
            <w:shd w:val="clear" w:color="auto" w:fill="auto"/>
            <w:tcMar>
              <w:top w:w="110" w:type="dxa"/>
            </w:tcMar>
          </w:tcPr>
          <w:p w:rsidR="00100231" w:rsidRPr="00F657D4" w:rsidRDefault="00100231" w:rsidP="008D1891">
            <w:pPr>
              <w:keepNext/>
              <w:keepLines/>
              <w:rPr>
                <w:rFonts w:cs="Arial"/>
                <w:sz w:val="16"/>
                <w:szCs w:val="16"/>
              </w:rPr>
            </w:pPr>
            <w:r w:rsidRPr="00F657D4">
              <w:rPr>
                <w:rFonts w:cs="Arial"/>
                <w:sz w:val="16"/>
                <w:szCs w:val="16"/>
              </w:rPr>
              <w:t>80 (out of 825)</w:t>
            </w:r>
          </w:p>
        </w:tc>
        <w:tc>
          <w:tcPr>
            <w:tcW w:w="1137" w:type="pct"/>
            <w:tcBorders>
              <w:top w:val="nil"/>
              <w:bottom w:val="nil"/>
            </w:tcBorders>
            <w:shd w:val="clear" w:color="auto" w:fill="FFFFFF"/>
            <w:tcMar>
              <w:top w:w="110" w:type="dxa"/>
            </w:tcMar>
          </w:tcPr>
          <w:p w:rsidR="00100231" w:rsidRDefault="00100231" w:rsidP="008D1891">
            <w:pPr>
              <w:keepNext/>
              <w:keepLines/>
              <w:rPr>
                <w:rFonts w:cs="Arial"/>
                <w:sz w:val="16"/>
                <w:szCs w:val="16"/>
              </w:rPr>
            </w:pPr>
            <w:r w:rsidRPr="00F657D4">
              <w:rPr>
                <w:rFonts w:cs="Arial"/>
                <w:sz w:val="16"/>
                <w:szCs w:val="16"/>
              </w:rPr>
              <w:t>78 (out of 896)</w:t>
            </w:r>
            <w:r>
              <w:rPr>
                <w:rFonts w:cs="Arial"/>
                <w:sz w:val="16"/>
                <w:szCs w:val="16"/>
              </w:rPr>
              <w:t>:</w:t>
            </w:r>
          </w:p>
          <w:p w:rsidR="00100231" w:rsidRDefault="00100231" w:rsidP="00100231">
            <w:pPr>
              <w:pStyle w:val="ListParagraph"/>
              <w:keepNext/>
              <w:keepLines/>
              <w:numPr>
                <w:ilvl w:val="0"/>
                <w:numId w:val="59"/>
              </w:numPr>
              <w:rPr>
                <w:rFonts w:cs="Arial"/>
                <w:sz w:val="16"/>
                <w:szCs w:val="16"/>
              </w:rPr>
            </w:pPr>
            <w:r>
              <w:rPr>
                <w:rFonts w:cs="Arial"/>
                <w:sz w:val="16"/>
                <w:szCs w:val="16"/>
              </w:rPr>
              <w:t>Arab (14)</w:t>
            </w:r>
          </w:p>
          <w:p w:rsidR="00100231" w:rsidRDefault="00100231" w:rsidP="00100231">
            <w:pPr>
              <w:pStyle w:val="ListParagraph"/>
              <w:keepNext/>
              <w:keepLines/>
              <w:numPr>
                <w:ilvl w:val="0"/>
                <w:numId w:val="59"/>
              </w:numPr>
              <w:rPr>
                <w:rFonts w:cs="Arial"/>
                <w:sz w:val="16"/>
                <w:szCs w:val="16"/>
              </w:rPr>
            </w:pPr>
            <w:r>
              <w:rPr>
                <w:rFonts w:cs="Arial"/>
                <w:sz w:val="16"/>
                <w:szCs w:val="16"/>
              </w:rPr>
              <w:t xml:space="preserve">Asia and </w:t>
            </w:r>
            <w:r w:rsidR="002C2CA1">
              <w:rPr>
                <w:rFonts w:cs="Arial"/>
                <w:sz w:val="16"/>
                <w:szCs w:val="16"/>
              </w:rPr>
              <w:t xml:space="preserve">the </w:t>
            </w:r>
            <w:r>
              <w:rPr>
                <w:rFonts w:cs="Arial"/>
                <w:sz w:val="16"/>
                <w:szCs w:val="16"/>
              </w:rPr>
              <w:t>Pacific (22)</w:t>
            </w:r>
          </w:p>
          <w:p w:rsidR="00100231" w:rsidRPr="00F657D4" w:rsidRDefault="00100231" w:rsidP="00100231">
            <w:pPr>
              <w:pStyle w:val="ListParagraph"/>
              <w:keepNext/>
              <w:keepLines/>
              <w:numPr>
                <w:ilvl w:val="0"/>
                <w:numId w:val="59"/>
              </w:numPr>
              <w:rPr>
                <w:rFonts w:cs="Arial"/>
                <w:sz w:val="16"/>
                <w:szCs w:val="16"/>
              </w:rPr>
            </w:pPr>
            <w:r>
              <w:rPr>
                <w:rFonts w:cs="Arial"/>
                <w:sz w:val="16"/>
                <w:szCs w:val="16"/>
              </w:rPr>
              <w:t>Latin America and the Caribbean (42)</w:t>
            </w:r>
          </w:p>
        </w:tc>
        <w:tc>
          <w:tcPr>
            <w:tcW w:w="522" w:type="pct"/>
            <w:tcBorders>
              <w:top w:val="nil"/>
              <w:bottom w:val="nil"/>
              <w:right w:val="single" w:sz="4" w:space="0" w:color="auto"/>
            </w:tcBorders>
            <w:shd w:val="clear" w:color="auto" w:fill="auto"/>
            <w:tcMar>
              <w:top w:w="110" w:type="dxa"/>
            </w:tcMar>
          </w:tcPr>
          <w:p w:rsidR="00100231" w:rsidRPr="00EA4470" w:rsidRDefault="00100231" w:rsidP="008D1891">
            <w:pPr>
              <w:keepNext/>
              <w:keepLines/>
              <w:jc w:val="center"/>
              <w:rPr>
                <w:rStyle w:val="Style5"/>
                <w:rFonts w:ascii="Arial" w:hAnsi="Arial" w:cs="Arial"/>
                <w:b/>
                <w:color w:val="00B050"/>
                <w:sz w:val="16"/>
                <w:szCs w:val="16"/>
              </w:rPr>
            </w:pPr>
            <w:r w:rsidRPr="00EA4470">
              <w:rPr>
                <w:rStyle w:val="Style5"/>
                <w:rFonts w:ascii="Arial" w:hAnsi="Arial" w:cs="Arial"/>
                <w:b/>
                <w:color w:val="00B050"/>
                <w:sz w:val="16"/>
                <w:szCs w:val="16"/>
              </w:rPr>
              <w:t>On track</w:t>
            </w:r>
          </w:p>
        </w:tc>
      </w:tr>
      <w:tr w:rsidR="00100231" w:rsidRPr="0005539E" w:rsidTr="00100231">
        <w:trPr>
          <w:cantSplit/>
        </w:trPr>
        <w:tc>
          <w:tcPr>
            <w:tcW w:w="1140" w:type="pct"/>
            <w:tcBorders>
              <w:top w:val="nil"/>
              <w:left w:val="single" w:sz="4" w:space="0" w:color="auto"/>
              <w:bottom w:val="single" w:sz="4" w:space="0" w:color="auto"/>
            </w:tcBorders>
            <w:shd w:val="clear" w:color="auto" w:fill="auto"/>
          </w:tcPr>
          <w:p w:rsidR="00100231" w:rsidRPr="00F657D4" w:rsidRDefault="00100231" w:rsidP="008D1891">
            <w:pPr>
              <w:keepNext/>
              <w:keepLines/>
              <w:rPr>
                <w:rFonts w:cs="Arial"/>
                <w:sz w:val="16"/>
                <w:szCs w:val="16"/>
              </w:rPr>
            </w:pPr>
            <w:r w:rsidRPr="00A61167">
              <w:rPr>
                <w:rFonts w:cs="Arial"/>
                <w:sz w:val="16"/>
                <w:szCs w:val="16"/>
              </w:rPr>
              <w:t>Decrease in the number of irregularities (Madrid)</w:t>
            </w:r>
          </w:p>
        </w:tc>
        <w:tc>
          <w:tcPr>
            <w:tcW w:w="1365" w:type="pct"/>
            <w:tcBorders>
              <w:top w:val="nil"/>
              <w:bottom w:val="single" w:sz="4" w:space="0" w:color="auto"/>
            </w:tcBorders>
            <w:shd w:val="clear" w:color="auto" w:fill="auto"/>
          </w:tcPr>
          <w:p w:rsidR="00100231" w:rsidRPr="0005539E" w:rsidRDefault="00100231" w:rsidP="008D1891">
            <w:pPr>
              <w:rPr>
                <w:rFonts w:cs="Arial"/>
                <w:i/>
                <w:color w:val="002060"/>
                <w:sz w:val="16"/>
                <w:szCs w:val="16"/>
              </w:rPr>
            </w:pPr>
            <w:r>
              <w:rPr>
                <w:rFonts w:cs="Arial"/>
                <w:i/>
                <w:color w:val="002060"/>
                <w:sz w:val="16"/>
                <w:szCs w:val="16"/>
              </w:rPr>
              <w:t>Updated Baseline end 2013</w:t>
            </w:r>
            <w:r w:rsidRPr="0005539E">
              <w:rPr>
                <w:rFonts w:cs="Arial"/>
                <w:i/>
                <w:color w:val="002060"/>
                <w:sz w:val="16"/>
                <w:szCs w:val="16"/>
              </w:rPr>
              <w:t>:</w:t>
            </w:r>
          </w:p>
          <w:p w:rsidR="00100231" w:rsidRDefault="00100231" w:rsidP="008D1891">
            <w:pPr>
              <w:rPr>
                <w:rFonts w:cs="Arial"/>
                <w:color w:val="002060"/>
                <w:sz w:val="16"/>
                <w:szCs w:val="16"/>
              </w:rPr>
            </w:pPr>
            <w:r w:rsidRPr="00A61167">
              <w:rPr>
                <w:rFonts w:cs="Arial"/>
                <w:color w:val="002060"/>
                <w:sz w:val="16"/>
                <w:szCs w:val="16"/>
              </w:rPr>
              <w:t>2013: 36%</w:t>
            </w:r>
          </w:p>
          <w:p w:rsidR="00100231" w:rsidRPr="0005539E" w:rsidRDefault="00100231" w:rsidP="008D1891">
            <w:pPr>
              <w:rPr>
                <w:rFonts w:cs="Arial"/>
                <w:i/>
                <w:sz w:val="8"/>
                <w:szCs w:val="8"/>
              </w:rPr>
            </w:pPr>
          </w:p>
          <w:p w:rsidR="00100231" w:rsidRPr="0005539E" w:rsidRDefault="00100231" w:rsidP="008D1891">
            <w:pPr>
              <w:rPr>
                <w:rFonts w:cs="Arial"/>
                <w:sz w:val="16"/>
                <w:szCs w:val="16"/>
              </w:rPr>
            </w:pPr>
            <w:r>
              <w:rPr>
                <w:rFonts w:cs="Arial"/>
                <w:i/>
                <w:sz w:val="16"/>
                <w:szCs w:val="16"/>
              </w:rPr>
              <w:t>Original Baseline P&amp;B 2014/15</w:t>
            </w:r>
            <w:r w:rsidRPr="0005539E">
              <w:rPr>
                <w:rFonts w:cs="Arial"/>
                <w:i/>
                <w:sz w:val="16"/>
                <w:szCs w:val="16"/>
              </w:rPr>
              <w:t>:</w:t>
            </w:r>
          </w:p>
          <w:p w:rsidR="00100231" w:rsidRDefault="00100231" w:rsidP="008D1891">
            <w:pPr>
              <w:keepNext/>
              <w:keepLines/>
              <w:rPr>
                <w:rFonts w:cs="Arial"/>
                <w:i/>
                <w:color w:val="002060"/>
                <w:sz w:val="16"/>
                <w:szCs w:val="16"/>
              </w:rPr>
            </w:pPr>
            <w:r w:rsidRPr="00A61167">
              <w:rPr>
                <w:rFonts w:cs="Arial"/>
                <w:sz w:val="16"/>
                <w:szCs w:val="16"/>
              </w:rPr>
              <w:t xml:space="preserve">Irregular applications 34% </w:t>
            </w:r>
            <w:r>
              <w:rPr>
                <w:rFonts w:cs="Arial"/>
                <w:sz w:val="16"/>
                <w:szCs w:val="16"/>
              </w:rPr>
              <w:t>(</w:t>
            </w:r>
            <w:r w:rsidRPr="00A61167">
              <w:rPr>
                <w:rFonts w:cs="Arial"/>
                <w:sz w:val="16"/>
                <w:szCs w:val="16"/>
              </w:rPr>
              <w:t>in 2012)</w:t>
            </w:r>
          </w:p>
        </w:tc>
        <w:tc>
          <w:tcPr>
            <w:tcW w:w="836" w:type="pct"/>
            <w:gridSpan w:val="3"/>
            <w:tcBorders>
              <w:top w:val="nil"/>
              <w:bottom w:val="single" w:sz="4" w:space="0" w:color="auto"/>
            </w:tcBorders>
            <w:shd w:val="clear" w:color="auto" w:fill="auto"/>
            <w:tcMar>
              <w:top w:w="110" w:type="dxa"/>
            </w:tcMar>
          </w:tcPr>
          <w:p w:rsidR="00100231" w:rsidRPr="00F657D4" w:rsidRDefault="00100231" w:rsidP="008D1891">
            <w:pPr>
              <w:keepNext/>
              <w:keepLines/>
              <w:rPr>
                <w:rFonts w:cs="Arial"/>
                <w:sz w:val="16"/>
                <w:szCs w:val="16"/>
              </w:rPr>
            </w:pPr>
            <w:r w:rsidRPr="00A61167">
              <w:rPr>
                <w:rFonts w:cs="Arial"/>
                <w:sz w:val="16"/>
                <w:szCs w:val="16"/>
              </w:rPr>
              <w:t>Decreas</w:t>
            </w:r>
            <w:r>
              <w:rPr>
                <w:rFonts w:cs="Arial"/>
                <w:sz w:val="16"/>
                <w:szCs w:val="16"/>
              </w:rPr>
              <w:t>e in</w:t>
            </w:r>
            <w:r w:rsidRPr="00A61167">
              <w:rPr>
                <w:rFonts w:cs="Arial"/>
                <w:sz w:val="16"/>
                <w:szCs w:val="16"/>
              </w:rPr>
              <w:t xml:space="preserve"> the number of irregularities by</w:t>
            </w:r>
            <w:r>
              <w:rPr>
                <w:rFonts w:cs="Arial"/>
                <w:sz w:val="16"/>
                <w:szCs w:val="16"/>
              </w:rPr>
              <w:t> </w:t>
            </w:r>
            <w:r w:rsidRPr="00A61167">
              <w:rPr>
                <w:rFonts w:cs="Arial"/>
                <w:sz w:val="16"/>
                <w:szCs w:val="16"/>
              </w:rPr>
              <w:t>10%</w:t>
            </w:r>
          </w:p>
        </w:tc>
        <w:tc>
          <w:tcPr>
            <w:tcW w:w="1137" w:type="pct"/>
            <w:tcBorders>
              <w:top w:val="nil"/>
              <w:bottom w:val="single" w:sz="4" w:space="0" w:color="auto"/>
            </w:tcBorders>
            <w:shd w:val="clear" w:color="auto" w:fill="FFFFFF"/>
            <w:tcMar>
              <w:top w:w="110" w:type="dxa"/>
            </w:tcMar>
          </w:tcPr>
          <w:p w:rsidR="00100231" w:rsidRPr="00F657D4" w:rsidRDefault="00100231" w:rsidP="008D1891">
            <w:pPr>
              <w:keepNext/>
              <w:keepLines/>
              <w:rPr>
                <w:rFonts w:cs="Arial"/>
                <w:sz w:val="16"/>
                <w:szCs w:val="16"/>
              </w:rPr>
            </w:pPr>
            <w:r w:rsidRPr="00A61167">
              <w:rPr>
                <w:rFonts w:cs="Arial"/>
                <w:sz w:val="16"/>
                <w:szCs w:val="16"/>
                <w:lang w:bidi="th-TH"/>
              </w:rPr>
              <w:t>2014: 36%</w:t>
            </w:r>
          </w:p>
        </w:tc>
        <w:tc>
          <w:tcPr>
            <w:tcW w:w="522" w:type="pct"/>
            <w:tcBorders>
              <w:top w:val="nil"/>
              <w:bottom w:val="single" w:sz="4" w:space="0" w:color="auto"/>
              <w:right w:val="single" w:sz="4" w:space="0" w:color="auto"/>
            </w:tcBorders>
            <w:shd w:val="clear" w:color="auto" w:fill="auto"/>
            <w:tcMar>
              <w:top w:w="110" w:type="dxa"/>
            </w:tcMar>
          </w:tcPr>
          <w:p w:rsidR="00100231" w:rsidRPr="00EA4470" w:rsidRDefault="00100231" w:rsidP="008D1891">
            <w:pPr>
              <w:keepNext/>
              <w:keepLines/>
              <w:jc w:val="center"/>
              <w:rPr>
                <w:rStyle w:val="Style5"/>
                <w:rFonts w:ascii="Arial" w:hAnsi="Arial" w:cs="Arial"/>
                <w:b/>
                <w:color w:val="00B050"/>
                <w:sz w:val="16"/>
                <w:szCs w:val="16"/>
              </w:rPr>
            </w:pPr>
            <w:r w:rsidRPr="00ED2AA7">
              <w:rPr>
                <w:rStyle w:val="Style5"/>
                <w:rFonts w:ascii="Arial" w:hAnsi="Arial" w:cs="Arial"/>
                <w:b/>
                <w:color w:val="FF0000"/>
                <w:sz w:val="16"/>
                <w:szCs w:val="16"/>
              </w:rPr>
              <w:t>Not</w:t>
            </w:r>
            <w:r w:rsidRPr="00ED2AA7">
              <w:rPr>
                <w:rStyle w:val="Style5"/>
                <w:rFonts w:ascii="Arial" w:hAnsi="Arial" w:cs="Arial"/>
                <w:b/>
                <w:color w:val="FF0000"/>
                <w:sz w:val="16"/>
                <w:szCs w:val="16"/>
              </w:rPr>
              <w:br/>
              <w:t>on track</w:t>
            </w:r>
          </w:p>
        </w:tc>
      </w:tr>
      <w:tr w:rsidR="00100231" w:rsidRPr="0005539E" w:rsidTr="008D1891">
        <w:trPr>
          <w:cantSplit/>
          <w:trHeight w:val="367"/>
        </w:trPr>
        <w:tc>
          <w:tcPr>
            <w:tcW w:w="5000" w:type="pct"/>
            <w:gridSpan w:val="7"/>
            <w:tcBorders>
              <w:top w:val="single" w:sz="4" w:space="0" w:color="auto"/>
              <w:left w:val="single" w:sz="4" w:space="0" w:color="auto"/>
              <w:bottom w:val="single" w:sz="4" w:space="0" w:color="auto"/>
              <w:right w:val="single" w:sz="4" w:space="0" w:color="auto"/>
            </w:tcBorders>
            <w:shd w:val="clear" w:color="auto" w:fill="CCFFFF"/>
            <w:vAlign w:val="center"/>
          </w:tcPr>
          <w:p w:rsidR="00100231" w:rsidRPr="00EA4470" w:rsidRDefault="00100231" w:rsidP="008D1891">
            <w:pPr>
              <w:keepNext/>
              <w:keepLines/>
              <w:tabs>
                <w:tab w:val="left" w:pos="1452"/>
              </w:tabs>
              <w:ind w:left="1452" w:hanging="1452"/>
              <w:rPr>
                <w:rFonts w:cs="Arial"/>
                <w:b/>
                <w:bCs/>
                <w:sz w:val="16"/>
                <w:szCs w:val="16"/>
              </w:rPr>
            </w:pPr>
            <w:r w:rsidRPr="00EA4470">
              <w:rPr>
                <w:rFonts w:cs="Arial"/>
                <w:b/>
                <w:bCs/>
                <w:sz w:val="16"/>
                <w:szCs w:val="16"/>
              </w:rPr>
              <w:t>Expected Result:</w:t>
            </w:r>
            <w:r w:rsidRPr="00EA4470">
              <w:rPr>
                <w:rFonts w:cs="Arial"/>
                <w:b/>
                <w:bCs/>
                <w:sz w:val="16"/>
                <w:szCs w:val="16"/>
              </w:rPr>
              <w:tab/>
            </w:r>
            <w:r w:rsidRPr="00EA4470">
              <w:rPr>
                <w:rFonts w:cs="Arial"/>
                <w:bCs/>
                <w:sz w:val="16"/>
                <w:szCs w:val="16"/>
              </w:rPr>
              <w:t>II.7</w:t>
            </w:r>
            <w:r w:rsidRPr="00EA4470">
              <w:rPr>
                <w:rFonts w:cs="Arial"/>
                <w:b/>
                <w:bCs/>
                <w:sz w:val="16"/>
                <w:szCs w:val="16"/>
              </w:rPr>
              <w:t xml:space="preserve"> </w:t>
            </w:r>
            <w:r w:rsidRPr="00EA4470">
              <w:rPr>
                <w:rFonts w:cs="Arial"/>
                <w:sz w:val="16"/>
                <w:szCs w:val="16"/>
              </w:rPr>
              <w:t>Improved productivity and service quality of Madrid &amp; Lisbon operations</w:t>
            </w:r>
          </w:p>
        </w:tc>
      </w:tr>
      <w:tr w:rsidR="00100231" w:rsidRPr="004C7D99" w:rsidTr="00100231">
        <w:trPr>
          <w:cantSplit/>
        </w:trPr>
        <w:tc>
          <w:tcPr>
            <w:tcW w:w="1140" w:type="pct"/>
            <w:tcBorders>
              <w:top w:val="single" w:sz="4" w:space="0" w:color="auto"/>
              <w:left w:val="single" w:sz="4" w:space="0" w:color="auto"/>
              <w:bottom w:val="nil"/>
            </w:tcBorders>
            <w:shd w:val="clear" w:color="auto" w:fill="auto"/>
            <w:vAlign w:val="center"/>
          </w:tcPr>
          <w:p w:rsidR="00100231" w:rsidRPr="004C7D99" w:rsidRDefault="00100231" w:rsidP="008D1891">
            <w:pPr>
              <w:rPr>
                <w:rFonts w:cs="Arial"/>
                <w:sz w:val="16"/>
                <w:szCs w:val="16"/>
              </w:rPr>
            </w:pPr>
            <w:r w:rsidRPr="004C7D99">
              <w:rPr>
                <w:rFonts w:cs="Arial"/>
                <w:b/>
                <w:bCs/>
                <w:sz w:val="16"/>
                <w:szCs w:val="16"/>
              </w:rPr>
              <w:t>Performance Indicators</w:t>
            </w:r>
          </w:p>
        </w:tc>
        <w:tc>
          <w:tcPr>
            <w:tcW w:w="1365" w:type="pct"/>
            <w:tcBorders>
              <w:top w:val="single" w:sz="4" w:space="0" w:color="auto"/>
              <w:bottom w:val="nil"/>
            </w:tcBorders>
            <w:shd w:val="clear" w:color="auto" w:fill="auto"/>
            <w:vAlign w:val="center"/>
          </w:tcPr>
          <w:p w:rsidR="00100231" w:rsidRPr="004C7D99" w:rsidRDefault="00100231" w:rsidP="008D1891">
            <w:pPr>
              <w:rPr>
                <w:rFonts w:cs="Arial"/>
                <w:b/>
                <w:bCs/>
                <w:sz w:val="16"/>
                <w:szCs w:val="16"/>
              </w:rPr>
            </w:pPr>
            <w:r w:rsidRPr="004C7D99">
              <w:rPr>
                <w:rFonts w:cs="Arial"/>
                <w:b/>
                <w:bCs/>
                <w:sz w:val="16"/>
                <w:szCs w:val="16"/>
              </w:rPr>
              <w:t>Baselines</w:t>
            </w:r>
          </w:p>
        </w:tc>
        <w:tc>
          <w:tcPr>
            <w:tcW w:w="818" w:type="pct"/>
            <w:gridSpan w:val="2"/>
            <w:tcBorders>
              <w:top w:val="single" w:sz="4" w:space="0" w:color="auto"/>
              <w:bottom w:val="nil"/>
            </w:tcBorders>
            <w:shd w:val="clear" w:color="auto" w:fill="auto"/>
            <w:tcMar>
              <w:top w:w="110" w:type="dxa"/>
            </w:tcMar>
            <w:vAlign w:val="center"/>
          </w:tcPr>
          <w:p w:rsidR="00100231" w:rsidRPr="004C7D99" w:rsidRDefault="00100231" w:rsidP="008D1891">
            <w:pPr>
              <w:rPr>
                <w:rFonts w:cs="Arial"/>
                <w:b/>
                <w:sz w:val="16"/>
                <w:szCs w:val="16"/>
              </w:rPr>
            </w:pPr>
            <w:r w:rsidRPr="004C7D99">
              <w:rPr>
                <w:rFonts w:cs="Arial"/>
                <w:b/>
                <w:sz w:val="16"/>
                <w:szCs w:val="16"/>
              </w:rPr>
              <w:t>Targets</w:t>
            </w:r>
          </w:p>
        </w:tc>
        <w:tc>
          <w:tcPr>
            <w:tcW w:w="1155" w:type="pct"/>
            <w:gridSpan w:val="2"/>
            <w:tcBorders>
              <w:top w:val="single" w:sz="4" w:space="0" w:color="auto"/>
              <w:bottom w:val="nil"/>
            </w:tcBorders>
            <w:shd w:val="clear" w:color="auto" w:fill="FFFFFF"/>
            <w:tcMar>
              <w:top w:w="110" w:type="dxa"/>
            </w:tcMar>
            <w:vAlign w:val="center"/>
          </w:tcPr>
          <w:p w:rsidR="00100231" w:rsidRPr="004C7D99" w:rsidRDefault="00100231" w:rsidP="008D1891">
            <w:pPr>
              <w:rPr>
                <w:rFonts w:cs="Arial"/>
                <w:sz w:val="16"/>
                <w:szCs w:val="16"/>
              </w:rPr>
            </w:pPr>
            <w:r w:rsidRPr="004C7D99">
              <w:rPr>
                <w:rFonts w:cs="Arial"/>
                <w:b/>
                <w:bCs/>
                <w:sz w:val="16"/>
                <w:szCs w:val="16"/>
              </w:rPr>
              <w:t>Performance Data</w:t>
            </w:r>
          </w:p>
        </w:tc>
        <w:tc>
          <w:tcPr>
            <w:tcW w:w="522" w:type="pct"/>
            <w:tcBorders>
              <w:top w:val="single" w:sz="4" w:space="0" w:color="auto"/>
              <w:bottom w:val="nil"/>
              <w:right w:val="single" w:sz="4" w:space="0" w:color="auto"/>
            </w:tcBorders>
            <w:shd w:val="clear" w:color="auto" w:fill="auto"/>
            <w:tcMar>
              <w:top w:w="110" w:type="dxa"/>
            </w:tcMar>
            <w:vAlign w:val="center"/>
          </w:tcPr>
          <w:p w:rsidR="00100231" w:rsidRPr="00EA4470" w:rsidRDefault="00100231" w:rsidP="008D1891">
            <w:pPr>
              <w:keepNext/>
              <w:keepLines/>
              <w:jc w:val="center"/>
              <w:rPr>
                <w:rFonts w:cs="Arial"/>
                <w:b/>
                <w:bCs/>
                <w:sz w:val="16"/>
                <w:szCs w:val="16"/>
              </w:rPr>
            </w:pPr>
            <w:r w:rsidRPr="00EA4470">
              <w:rPr>
                <w:rFonts w:cs="Arial"/>
                <w:b/>
                <w:bCs/>
                <w:sz w:val="16"/>
                <w:szCs w:val="16"/>
              </w:rPr>
              <w:t>TLS</w:t>
            </w:r>
          </w:p>
        </w:tc>
      </w:tr>
      <w:tr w:rsidR="00100231" w:rsidRPr="0005539E" w:rsidTr="00100231">
        <w:trPr>
          <w:cantSplit/>
        </w:trPr>
        <w:tc>
          <w:tcPr>
            <w:tcW w:w="1140" w:type="pct"/>
            <w:tcBorders>
              <w:top w:val="nil"/>
              <w:left w:val="single" w:sz="4" w:space="0" w:color="auto"/>
              <w:bottom w:val="nil"/>
            </w:tcBorders>
            <w:shd w:val="clear" w:color="auto" w:fill="FFFFFF"/>
          </w:tcPr>
          <w:p w:rsidR="00100231" w:rsidRPr="0005539E" w:rsidRDefault="00100231" w:rsidP="008D1891">
            <w:pPr>
              <w:rPr>
                <w:rFonts w:cs="Arial"/>
                <w:sz w:val="16"/>
                <w:szCs w:val="16"/>
              </w:rPr>
            </w:pPr>
            <w:r w:rsidRPr="00F657D4">
              <w:rPr>
                <w:rFonts w:cs="Arial"/>
                <w:sz w:val="16"/>
                <w:szCs w:val="16"/>
              </w:rPr>
              <w:t xml:space="preserve">Progress towards streamlining and simplification of the Madrid </w:t>
            </w:r>
            <w:r>
              <w:rPr>
                <w:rFonts w:cs="Arial"/>
                <w:sz w:val="16"/>
                <w:szCs w:val="16"/>
              </w:rPr>
              <w:t>S</w:t>
            </w:r>
            <w:r w:rsidRPr="00F657D4">
              <w:rPr>
                <w:rFonts w:cs="Arial"/>
                <w:sz w:val="16"/>
                <w:szCs w:val="16"/>
              </w:rPr>
              <w:t>ystem legal framework</w:t>
            </w:r>
          </w:p>
        </w:tc>
        <w:tc>
          <w:tcPr>
            <w:tcW w:w="1365" w:type="pct"/>
            <w:tcBorders>
              <w:top w:val="nil"/>
              <w:bottom w:val="nil"/>
            </w:tcBorders>
            <w:shd w:val="clear" w:color="auto" w:fill="auto"/>
          </w:tcPr>
          <w:p w:rsidR="00100231" w:rsidRPr="0005539E" w:rsidRDefault="00100231" w:rsidP="008D1891">
            <w:pPr>
              <w:rPr>
                <w:rFonts w:cs="Arial"/>
                <w:sz w:val="16"/>
                <w:szCs w:val="16"/>
              </w:rPr>
            </w:pPr>
            <w:r w:rsidRPr="00F657D4">
              <w:rPr>
                <w:rFonts w:cs="Arial"/>
                <w:sz w:val="16"/>
                <w:szCs w:val="16"/>
              </w:rPr>
              <w:t xml:space="preserve">Madrid </w:t>
            </w:r>
            <w:r>
              <w:rPr>
                <w:rFonts w:cs="Arial"/>
                <w:sz w:val="16"/>
                <w:szCs w:val="16"/>
              </w:rPr>
              <w:t>S</w:t>
            </w:r>
            <w:r w:rsidRPr="00F657D4">
              <w:rPr>
                <w:rFonts w:cs="Arial"/>
                <w:sz w:val="16"/>
                <w:szCs w:val="16"/>
              </w:rPr>
              <w:t>ystem Common Regulations and Administrative Instructions in force at the end of 2013</w:t>
            </w:r>
          </w:p>
        </w:tc>
        <w:tc>
          <w:tcPr>
            <w:tcW w:w="818" w:type="pct"/>
            <w:gridSpan w:val="2"/>
            <w:tcBorders>
              <w:top w:val="nil"/>
              <w:bottom w:val="nil"/>
            </w:tcBorders>
            <w:shd w:val="clear" w:color="auto" w:fill="auto"/>
            <w:tcMar>
              <w:top w:w="110" w:type="dxa"/>
            </w:tcMar>
          </w:tcPr>
          <w:p w:rsidR="00100231" w:rsidRPr="00F657D4" w:rsidRDefault="00100231" w:rsidP="008D1891">
            <w:pPr>
              <w:rPr>
                <w:rFonts w:cs="Arial"/>
                <w:sz w:val="16"/>
                <w:szCs w:val="16"/>
              </w:rPr>
            </w:pPr>
            <w:r w:rsidRPr="00F657D4">
              <w:rPr>
                <w:rFonts w:cs="Arial"/>
                <w:sz w:val="16"/>
                <w:szCs w:val="16"/>
              </w:rPr>
              <w:t xml:space="preserve">Amendments to the Madrid </w:t>
            </w:r>
            <w:r>
              <w:rPr>
                <w:rFonts w:cs="Arial"/>
                <w:sz w:val="16"/>
                <w:szCs w:val="16"/>
              </w:rPr>
              <w:t>S</w:t>
            </w:r>
            <w:r w:rsidRPr="00F657D4">
              <w:rPr>
                <w:rFonts w:cs="Arial"/>
                <w:sz w:val="16"/>
                <w:szCs w:val="16"/>
              </w:rPr>
              <w:t>ystem Common Regulations and Administrative Instructions</w:t>
            </w:r>
          </w:p>
        </w:tc>
        <w:tc>
          <w:tcPr>
            <w:tcW w:w="1155" w:type="pct"/>
            <w:gridSpan w:val="2"/>
            <w:tcBorders>
              <w:top w:val="nil"/>
              <w:bottom w:val="nil"/>
            </w:tcBorders>
            <w:shd w:val="clear" w:color="auto" w:fill="FFFFFF"/>
            <w:tcMar>
              <w:top w:w="110" w:type="dxa"/>
            </w:tcMar>
          </w:tcPr>
          <w:p w:rsidR="00100231" w:rsidRPr="0005539E" w:rsidRDefault="00100231" w:rsidP="00100231">
            <w:pPr>
              <w:rPr>
                <w:rFonts w:cs="Arial"/>
                <w:sz w:val="16"/>
                <w:szCs w:val="16"/>
                <w:lang w:bidi="th-TH"/>
              </w:rPr>
            </w:pPr>
            <w:r w:rsidRPr="00F657D4">
              <w:rPr>
                <w:rFonts w:cs="Arial"/>
                <w:sz w:val="16"/>
                <w:szCs w:val="16"/>
                <w:lang w:bidi="th-TH"/>
              </w:rPr>
              <w:t>Amendments to the C</w:t>
            </w:r>
            <w:r>
              <w:rPr>
                <w:rFonts w:cs="Arial"/>
                <w:sz w:val="16"/>
                <w:szCs w:val="16"/>
                <w:lang w:bidi="th-TH"/>
              </w:rPr>
              <w:t xml:space="preserve">ommon </w:t>
            </w:r>
            <w:r w:rsidRPr="00F657D4">
              <w:rPr>
                <w:rFonts w:cs="Arial"/>
                <w:sz w:val="16"/>
                <w:szCs w:val="16"/>
                <w:lang w:bidi="th-TH"/>
              </w:rPr>
              <w:t>R</w:t>
            </w:r>
            <w:r>
              <w:rPr>
                <w:rFonts w:cs="Arial"/>
                <w:sz w:val="16"/>
                <w:szCs w:val="16"/>
                <w:lang w:bidi="th-TH"/>
              </w:rPr>
              <w:t>egulations</w:t>
            </w:r>
            <w:r w:rsidRPr="00F657D4">
              <w:rPr>
                <w:rFonts w:cs="Arial"/>
                <w:sz w:val="16"/>
                <w:szCs w:val="16"/>
                <w:lang w:bidi="th-TH"/>
              </w:rPr>
              <w:t xml:space="preserve"> approved by Madrid Union Assembly in 2014 and </w:t>
            </w:r>
            <w:r>
              <w:rPr>
                <w:rFonts w:cs="Arial"/>
                <w:sz w:val="16"/>
                <w:szCs w:val="16"/>
                <w:lang w:bidi="th-TH"/>
              </w:rPr>
              <w:t xml:space="preserve">to be </w:t>
            </w:r>
            <w:r w:rsidRPr="00F657D4">
              <w:rPr>
                <w:rFonts w:cs="Arial"/>
                <w:sz w:val="16"/>
                <w:szCs w:val="16"/>
                <w:lang w:bidi="th-TH"/>
              </w:rPr>
              <w:t>implemented by Jan</w:t>
            </w:r>
            <w:r>
              <w:rPr>
                <w:rFonts w:cs="Arial"/>
                <w:sz w:val="16"/>
                <w:szCs w:val="16"/>
                <w:lang w:bidi="th-TH"/>
              </w:rPr>
              <w:t> </w:t>
            </w:r>
            <w:r w:rsidRPr="00F657D4">
              <w:rPr>
                <w:rFonts w:cs="Arial"/>
                <w:sz w:val="16"/>
                <w:szCs w:val="16"/>
                <w:lang w:bidi="th-TH"/>
              </w:rPr>
              <w:t>1,</w:t>
            </w:r>
            <w:r>
              <w:rPr>
                <w:rFonts w:cs="Arial"/>
                <w:sz w:val="16"/>
                <w:szCs w:val="16"/>
                <w:lang w:bidi="th-TH"/>
              </w:rPr>
              <w:t> </w:t>
            </w:r>
            <w:r w:rsidRPr="00F657D4">
              <w:rPr>
                <w:rFonts w:cs="Arial"/>
                <w:sz w:val="16"/>
                <w:szCs w:val="16"/>
                <w:lang w:bidi="th-TH"/>
              </w:rPr>
              <w:t>2015</w:t>
            </w:r>
          </w:p>
        </w:tc>
        <w:tc>
          <w:tcPr>
            <w:tcW w:w="522" w:type="pct"/>
            <w:tcBorders>
              <w:top w:val="nil"/>
              <w:bottom w:val="nil"/>
              <w:right w:val="single" w:sz="4" w:space="0" w:color="auto"/>
            </w:tcBorders>
            <w:shd w:val="clear" w:color="auto" w:fill="auto"/>
            <w:tcMar>
              <w:top w:w="110" w:type="dxa"/>
            </w:tcMar>
          </w:tcPr>
          <w:p w:rsidR="00100231" w:rsidRPr="00EA4470" w:rsidRDefault="00100231" w:rsidP="008D1891">
            <w:pPr>
              <w:keepNext/>
              <w:keepLines/>
              <w:jc w:val="center"/>
              <w:rPr>
                <w:rStyle w:val="Style5"/>
                <w:rFonts w:ascii="Arial" w:hAnsi="Arial" w:cs="Arial"/>
                <w:b/>
                <w:color w:val="00B050"/>
                <w:sz w:val="16"/>
              </w:rPr>
            </w:pPr>
            <w:r w:rsidRPr="00EA4470">
              <w:rPr>
                <w:rStyle w:val="Style5"/>
                <w:rFonts w:ascii="Arial" w:hAnsi="Arial" w:cs="Arial"/>
                <w:b/>
                <w:color w:val="00B050"/>
                <w:sz w:val="16"/>
                <w:szCs w:val="16"/>
              </w:rPr>
              <w:t>On track</w:t>
            </w:r>
          </w:p>
        </w:tc>
      </w:tr>
      <w:tr w:rsidR="00100231" w:rsidRPr="0005539E" w:rsidTr="00100231">
        <w:trPr>
          <w:cantSplit/>
        </w:trPr>
        <w:tc>
          <w:tcPr>
            <w:tcW w:w="1140" w:type="pct"/>
            <w:tcBorders>
              <w:top w:val="nil"/>
              <w:left w:val="single" w:sz="4" w:space="0" w:color="auto"/>
              <w:bottom w:val="nil"/>
            </w:tcBorders>
            <w:shd w:val="clear" w:color="auto" w:fill="FFFFFF"/>
          </w:tcPr>
          <w:p w:rsidR="00100231" w:rsidRPr="00F657D4" w:rsidRDefault="00100231" w:rsidP="008D1891">
            <w:pPr>
              <w:rPr>
                <w:rFonts w:cs="Arial"/>
                <w:sz w:val="16"/>
                <w:szCs w:val="16"/>
              </w:rPr>
            </w:pPr>
            <w:r w:rsidRPr="00F657D4">
              <w:rPr>
                <w:rFonts w:cs="Arial"/>
                <w:sz w:val="16"/>
                <w:szCs w:val="16"/>
              </w:rPr>
              <w:t>N</w:t>
            </w:r>
            <w:r>
              <w:rPr>
                <w:rFonts w:cs="Arial"/>
                <w:sz w:val="16"/>
                <w:szCs w:val="16"/>
              </w:rPr>
              <w:t>o.</w:t>
            </w:r>
            <w:r w:rsidRPr="00F657D4">
              <w:rPr>
                <w:rFonts w:cs="Arial"/>
                <w:sz w:val="16"/>
                <w:szCs w:val="16"/>
              </w:rPr>
              <w:t xml:space="preserve"> of registrations</w:t>
            </w:r>
          </w:p>
          <w:p w:rsidR="00100231" w:rsidRPr="00F657D4" w:rsidRDefault="00100231" w:rsidP="008D1891">
            <w:pPr>
              <w:rPr>
                <w:rFonts w:cs="Arial"/>
                <w:sz w:val="16"/>
                <w:szCs w:val="16"/>
              </w:rPr>
            </w:pPr>
            <w:r w:rsidRPr="00F657D4">
              <w:rPr>
                <w:rFonts w:cs="Arial"/>
                <w:sz w:val="16"/>
                <w:szCs w:val="16"/>
              </w:rPr>
              <w:t>N</w:t>
            </w:r>
            <w:r>
              <w:rPr>
                <w:rFonts w:cs="Arial"/>
                <w:sz w:val="16"/>
                <w:szCs w:val="16"/>
              </w:rPr>
              <w:t>o.</w:t>
            </w:r>
            <w:r w:rsidRPr="00F657D4">
              <w:rPr>
                <w:rFonts w:cs="Arial"/>
                <w:sz w:val="16"/>
                <w:szCs w:val="16"/>
              </w:rPr>
              <w:t xml:space="preserve"> of renewals processed</w:t>
            </w:r>
          </w:p>
          <w:p w:rsidR="00100231" w:rsidRPr="0005539E" w:rsidRDefault="00100231" w:rsidP="008D1891">
            <w:pPr>
              <w:rPr>
                <w:rFonts w:cs="Arial"/>
                <w:sz w:val="16"/>
                <w:szCs w:val="16"/>
              </w:rPr>
            </w:pPr>
            <w:r w:rsidRPr="00F657D4">
              <w:rPr>
                <w:rFonts w:cs="Arial"/>
                <w:sz w:val="16"/>
                <w:szCs w:val="16"/>
              </w:rPr>
              <w:t>N</w:t>
            </w:r>
            <w:r>
              <w:rPr>
                <w:rFonts w:cs="Arial"/>
                <w:sz w:val="16"/>
                <w:szCs w:val="16"/>
              </w:rPr>
              <w:t>o.</w:t>
            </w:r>
            <w:r w:rsidRPr="00F657D4">
              <w:rPr>
                <w:rFonts w:cs="Arial"/>
                <w:sz w:val="16"/>
                <w:szCs w:val="16"/>
              </w:rPr>
              <w:t xml:space="preserve"> of modifications, including subsequent designations (Madrid)</w:t>
            </w:r>
          </w:p>
        </w:tc>
        <w:tc>
          <w:tcPr>
            <w:tcW w:w="1365" w:type="pct"/>
            <w:tcBorders>
              <w:top w:val="nil"/>
              <w:bottom w:val="nil"/>
            </w:tcBorders>
            <w:shd w:val="clear" w:color="auto" w:fill="auto"/>
          </w:tcPr>
          <w:p w:rsidR="00100231" w:rsidRDefault="00100231" w:rsidP="008D1891">
            <w:pPr>
              <w:rPr>
                <w:rFonts w:cs="Arial"/>
                <w:color w:val="002060"/>
                <w:sz w:val="16"/>
                <w:szCs w:val="16"/>
              </w:rPr>
            </w:pPr>
            <w:r>
              <w:rPr>
                <w:rFonts w:cs="Arial"/>
                <w:i/>
                <w:color w:val="002060"/>
                <w:sz w:val="16"/>
                <w:szCs w:val="16"/>
              </w:rPr>
              <w:t>Updated Baseline end 2013</w:t>
            </w:r>
            <w:r w:rsidRPr="0005539E">
              <w:rPr>
                <w:rFonts w:cs="Arial"/>
                <w:i/>
                <w:color w:val="002060"/>
                <w:sz w:val="16"/>
                <w:szCs w:val="16"/>
              </w:rPr>
              <w:t>:</w:t>
            </w:r>
            <w:r>
              <w:rPr>
                <w:rFonts w:cs="Arial"/>
                <w:color w:val="002060"/>
                <w:sz w:val="16"/>
                <w:szCs w:val="16"/>
              </w:rPr>
              <w:t xml:space="preserve"> </w:t>
            </w:r>
          </w:p>
          <w:p w:rsidR="00100231" w:rsidRDefault="00100231" w:rsidP="008D1891">
            <w:pPr>
              <w:rPr>
                <w:rFonts w:cs="Arial"/>
                <w:color w:val="002060"/>
                <w:sz w:val="16"/>
                <w:szCs w:val="16"/>
              </w:rPr>
            </w:pPr>
          </w:p>
          <w:p w:rsidR="00100231" w:rsidRPr="004C6D5E" w:rsidRDefault="00100231" w:rsidP="008D1891">
            <w:pPr>
              <w:rPr>
                <w:rFonts w:cs="Arial"/>
                <w:color w:val="002060"/>
                <w:sz w:val="16"/>
                <w:szCs w:val="16"/>
              </w:rPr>
            </w:pPr>
            <w:r w:rsidRPr="004C6D5E">
              <w:rPr>
                <w:rFonts w:cs="Arial"/>
                <w:color w:val="002060"/>
                <w:sz w:val="16"/>
                <w:szCs w:val="16"/>
              </w:rPr>
              <w:t>2013: 44,414 registrations</w:t>
            </w:r>
            <w:r>
              <w:rPr>
                <w:rFonts w:cs="Arial"/>
                <w:color w:val="002060"/>
                <w:sz w:val="16"/>
                <w:szCs w:val="16"/>
              </w:rPr>
              <w:t>;</w:t>
            </w:r>
          </w:p>
          <w:p w:rsidR="00100231" w:rsidRPr="004C6D5E" w:rsidRDefault="00100231" w:rsidP="008D1891">
            <w:pPr>
              <w:rPr>
                <w:rFonts w:cs="Arial"/>
                <w:color w:val="002060"/>
                <w:sz w:val="16"/>
                <w:szCs w:val="16"/>
              </w:rPr>
            </w:pPr>
            <w:r w:rsidRPr="004C6D5E">
              <w:rPr>
                <w:rFonts w:cs="Arial"/>
                <w:color w:val="002060"/>
                <w:sz w:val="16"/>
                <w:szCs w:val="16"/>
              </w:rPr>
              <w:t>23,014 renewals</w:t>
            </w:r>
            <w:r>
              <w:rPr>
                <w:rFonts w:cs="Arial"/>
                <w:color w:val="002060"/>
                <w:sz w:val="16"/>
                <w:szCs w:val="16"/>
              </w:rPr>
              <w:t>;</w:t>
            </w:r>
          </w:p>
          <w:p w:rsidR="00100231" w:rsidRPr="004C6D5E" w:rsidRDefault="00100231" w:rsidP="008D1891">
            <w:pPr>
              <w:rPr>
                <w:rFonts w:cs="Arial"/>
                <w:color w:val="002060"/>
                <w:sz w:val="16"/>
                <w:szCs w:val="16"/>
              </w:rPr>
            </w:pPr>
            <w:r w:rsidRPr="004C6D5E">
              <w:rPr>
                <w:rFonts w:cs="Arial"/>
                <w:color w:val="002060"/>
                <w:sz w:val="16"/>
                <w:szCs w:val="16"/>
              </w:rPr>
              <w:t>117,673 modifications including 14,373 subsequent designations</w:t>
            </w:r>
          </w:p>
          <w:p w:rsidR="00100231" w:rsidRPr="0005539E" w:rsidRDefault="00100231" w:rsidP="008D1891">
            <w:pPr>
              <w:rPr>
                <w:rFonts w:cs="Arial"/>
                <w:color w:val="002060"/>
                <w:sz w:val="16"/>
                <w:szCs w:val="16"/>
              </w:rPr>
            </w:pPr>
          </w:p>
          <w:p w:rsidR="00100231" w:rsidRPr="0005539E" w:rsidRDefault="00100231" w:rsidP="008D1891">
            <w:pPr>
              <w:rPr>
                <w:rFonts w:cs="Arial"/>
                <w:sz w:val="16"/>
                <w:szCs w:val="16"/>
              </w:rPr>
            </w:pPr>
            <w:r>
              <w:rPr>
                <w:rFonts w:cs="Arial"/>
                <w:i/>
                <w:sz w:val="16"/>
                <w:szCs w:val="16"/>
              </w:rPr>
              <w:t>Original Baseline P&amp;B 2013/14</w:t>
            </w:r>
            <w:r w:rsidRPr="0005539E">
              <w:rPr>
                <w:rFonts w:cs="Arial"/>
                <w:i/>
                <w:sz w:val="16"/>
                <w:szCs w:val="16"/>
              </w:rPr>
              <w:t>:</w:t>
            </w:r>
          </w:p>
          <w:p w:rsidR="00100231" w:rsidRPr="00111222" w:rsidRDefault="00100231" w:rsidP="008D1891">
            <w:pPr>
              <w:rPr>
                <w:rFonts w:cs="Arial"/>
                <w:sz w:val="16"/>
                <w:szCs w:val="16"/>
              </w:rPr>
            </w:pPr>
            <w:r w:rsidRPr="00111222">
              <w:rPr>
                <w:rFonts w:cs="Arial"/>
                <w:sz w:val="16"/>
                <w:szCs w:val="16"/>
              </w:rPr>
              <w:t>Registrations, renewals (See Annex V</w:t>
            </w:r>
            <w:r>
              <w:rPr>
                <w:rFonts w:cs="Arial"/>
                <w:sz w:val="16"/>
                <w:szCs w:val="16"/>
              </w:rPr>
              <w:t>II</w:t>
            </w:r>
            <w:r w:rsidRPr="00111222">
              <w:rPr>
                <w:rFonts w:cs="Arial"/>
                <w:sz w:val="16"/>
                <w:szCs w:val="16"/>
              </w:rPr>
              <w:t>).</w:t>
            </w:r>
          </w:p>
          <w:p w:rsidR="00100231" w:rsidRPr="0005539E" w:rsidRDefault="00100231" w:rsidP="008D1891">
            <w:pPr>
              <w:rPr>
                <w:rFonts w:cs="Arial"/>
                <w:sz w:val="16"/>
                <w:szCs w:val="16"/>
              </w:rPr>
            </w:pPr>
            <w:r w:rsidRPr="00111222">
              <w:rPr>
                <w:rFonts w:cs="Arial"/>
                <w:sz w:val="16"/>
                <w:szCs w:val="16"/>
              </w:rPr>
              <w:t>97,500 modifications were inscribed in the Registry (2012)</w:t>
            </w:r>
          </w:p>
        </w:tc>
        <w:tc>
          <w:tcPr>
            <w:tcW w:w="818" w:type="pct"/>
            <w:gridSpan w:val="2"/>
            <w:tcBorders>
              <w:top w:val="nil"/>
              <w:bottom w:val="nil"/>
            </w:tcBorders>
            <w:shd w:val="clear" w:color="auto" w:fill="auto"/>
            <w:tcMar>
              <w:top w:w="110" w:type="dxa"/>
            </w:tcMar>
          </w:tcPr>
          <w:p w:rsidR="00100231" w:rsidRPr="00111222" w:rsidRDefault="00100231" w:rsidP="008D1891">
            <w:pPr>
              <w:rPr>
                <w:rFonts w:cs="Arial"/>
                <w:sz w:val="16"/>
                <w:szCs w:val="16"/>
                <w:lang w:bidi="th-TH"/>
              </w:rPr>
            </w:pPr>
            <w:r w:rsidRPr="00111222">
              <w:rPr>
                <w:rFonts w:cs="Arial"/>
                <w:sz w:val="16"/>
                <w:szCs w:val="16"/>
                <w:lang w:bidi="th-TH"/>
              </w:rPr>
              <w:t xml:space="preserve">2014: 6.3% increase in registrations and renewals </w:t>
            </w:r>
          </w:p>
          <w:p w:rsidR="00100231" w:rsidRPr="00111222" w:rsidRDefault="00100231" w:rsidP="008D1891">
            <w:pPr>
              <w:rPr>
                <w:rFonts w:cs="Arial"/>
                <w:sz w:val="16"/>
                <w:szCs w:val="16"/>
                <w:lang w:bidi="th-TH"/>
              </w:rPr>
            </w:pPr>
            <w:r w:rsidRPr="00111222">
              <w:rPr>
                <w:rFonts w:cs="Arial"/>
                <w:sz w:val="16"/>
                <w:szCs w:val="16"/>
                <w:lang w:bidi="th-TH"/>
              </w:rPr>
              <w:t xml:space="preserve">2015: 3.3% increase in registrations and renewals  </w:t>
            </w:r>
          </w:p>
          <w:p w:rsidR="00100231" w:rsidRPr="00111222" w:rsidRDefault="00100231" w:rsidP="008D1891">
            <w:pPr>
              <w:rPr>
                <w:rFonts w:cs="Arial"/>
                <w:sz w:val="16"/>
                <w:szCs w:val="16"/>
                <w:lang w:bidi="th-TH"/>
              </w:rPr>
            </w:pPr>
            <w:r w:rsidRPr="00111222">
              <w:rPr>
                <w:rFonts w:cs="Arial"/>
                <w:sz w:val="16"/>
                <w:szCs w:val="16"/>
                <w:lang w:bidi="th-TH"/>
              </w:rPr>
              <w:t xml:space="preserve">Total registrations 92,500. </w:t>
            </w:r>
          </w:p>
          <w:p w:rsidR="00100231" w:rsidRPr="00111222" w:rsidRDefault="00100231" w:rsidP="008D1891">
            <w:pPr>
              <w:rPr>
                <w:rFonts w:cs="Arial"/>
                <w:sz w:val="16"/>
                <w:szCs w:val="16"/>
                <w:lang w:bidi="th-TH"/>
              </w:rPr>
            </w:pPr>
            <w:r w:rsidRPr="00111222">
              <w:rPr>
                <w:rFonts w:cs="Arial"/>
                <w:sz w:val="16"/>
                <w:szCs w:val="16"/>
                <w:lang w:bidi="th-TH"/>
              </w:rPr>
              <w:t>Total renewals 49</w:t>
            </w:r>
            <w:r>
              <w:rPr>
                <w:rFonts w:cs="Arial"/>
                <w:sz w:val="16"/>
                <w:szCs w:val="16"/>
                <w:lang w:bidi="th-TH"/>
              </w:rPr>
              <w:t>,</w:t>
            </w:r>
            <w:r w:rsidRPr="00111222">
              <w:rPr>
                <w:rFonts w:cs="Arial"/>
                <w:sz w:val="16"/>
                <w:szCs w:val="16"/>
                <w:lang w:bidi="th-TH"/>
              </w:rPr>
              <w:t xml:space="preserve">000 </w:t>
            </w:r>
          </w:p>
          <w:p w:rsidR="00100231" w:rsidRPr="0005539E" w:rsidRDefault="00100231" w:rsidP="008D1891">
            <w:pPr>
              <w:rPr>
                <w:rFonts w:cs="Arial"/>
                <w:sz w:val="16"/>
                <w:szCs w:val="16"/>
              </w:rPr>
            </w:pPr>
            <w:r w:rsidRPr="00111222">
              <w:rPr>
                <w:rFonts w:cs="Arial"/>
                <w:sz w:val="16"/>
                <w:szCs w:val="16"/>
                <w:lang w:bidi="th-TH"/>
              </w:rPr>
              <w:t>Total modifications 200</w:t>
            </w:r>
            <w:r>
              <w:rPr>
                <w:rFonts w:cs="Arial"/>
                <w:sz w:val="16"/>
                <w:szCs w:val="16"/>
                <w:lang w:bidi="th-TH"/>
              </w:rPr>
              <w:t>,</w:t>
            </w:r>
            <w:r w:rsidRPr="00111222">
              <w:rPr>
                <w:rFonts w:cs="Arial"/>
                <w:sz w:val="16"/>
                <w:szCs w:val="16"/>
                <w:lang w:bidi="th-TH"/>
              </w:rPr>
              <w:t>000, including 35</w:t>
            </w:r>
            <w:r>
              <w:rPr>
                <w:rFonts w:cs="Arial"/>
                <w:sz w:val="16"/>
                <w:szCs w:val="16"/>
                <w:lang w:bidi="th-TH"/>
              </w:rPr>
              <w:t>,</w:t>
            </w:r>
            <w:r w:rsidRPr="00111222">
              <w:rPr>
                <w:rFonts w:cs="Arial"/>
                <w:sz w:val="16"/>
                <w:szCs w:val="16"/>
                <w:lang w:bidi="th-TH"/>
              </w:rPr>
              <w:t>000 subsequent designations</w:t>
            </w:r>
          </w:p>
        </w:tc>
        <w:tc>
          <w:tcPr>
            <w:tcW w:w="1155" w:type="pct"/>
            <w:gridSpan w:val="2"/>
            <w:tcBorders>
              <w:top w:val="nil"/>
              <w:bottom w:val="nil"/>
            </w:tcBorders>
            <w:shd w:val="clear" w:color="auto" w:fill="FFFFFF"/>
            <w:tcMar>
              <w:top w:w="110" w:type="dxa"/>
            </w:tcMar>
          </w:tcPr>
          <w:p w:rsidR="00100231" w:rsidRPr="00111222" w:rsidRDefault="00100231" w:rsidP="008D1891">
            <w:pPr>
              <w:rPr>
                <w:rFonts w:cs="Arial"/>
                <w:sz w:val="16"/>
                <w:szCs w:val="16"/>
                <w:lang w:bidi="th-TH"/>
              </w:rPr>
            </w:pPr>
            <w:r w:rsidRPr="00111222">
              <w:rPr>
                <w:rFonts w:cs="Arial"/>
                <w:sz w:val="16"/>
                <w:szCs w:val="16"/>
                <w:lang w:bidi="th-TH"/>
              </w:rPr>
              <w:t>1.1% increase in registrations and renewals</w:t>
            </w:r>
            <w:r>
              <w:rPr>
                <w:rFonts w:cs="Arial"/>
                <w:sz w:val="16"/>
                <w:szCs w:val="16"/>
                <w:lang w:bidi="th-TH"/>
              </w:rPr>
              <w:t>:</w:t>
            </w:r>
          </w:p>
          <w:p w:rsidR="00100231" w:rsidRPr="008169CE" w:rsidRDefault="00100231" w:rsidP="00100231">
            <w:pPr>
              <w:pStyle w:val="ListParagraph"/>
              <w:numPr>
                <w:ilvl w:val="0"/>
                <w:numId w:val="58"/>
              </w:numPr>
              <w:rPr>
                <w:rFonts w:cs="Arial"/>
                <w:sz w:val="16"/>
                <w:szCs w:val="16"/>
                <w:lang w:bidi="th-TH"/>
              </w:rPr>
            </w:pPr>
            <w:r w:rsidRPr="008169CE">
              <w:rPr>
                <w:rFonts w:cs="Arial"/>
                <w:sz w:val="16"/>
                <w:szCs w:val="16"/>
                <w:lang w:bidi="th-TH"/>
              </w:rPr>
              <w:t>42,430 registrations</w:t>
            </w:r>
          </w:p>
          <w:p w:rsidR="00100231" w:rsidRDefault="00100231" w:rsidP="00100231">
            <w:pPr>
              <w:pStyle w:val="ListParagraph"/>
              <w:numPr>
                <w:ilvl w:val="0"/>
                <w:numId w:val="58"/>
              </w:numPr>
              <w:rPr>
                <w:rFonts w:cs="Arial"/>
                <w:sz w:val="16"/>
                <w:szCs w:val="16"/>
                <w:lang w:bidi="th-TH"/>
              </w:rPr>
            </w:pPr>
            <w:r w:rsidRPr="008169CE">
              <w:rPr>
                <w:rFonts w:cs="Arial"/>
                <w:sz w:val="16"/>
                <w:szCs w:val="16"/>
                <w:lang w:bidi="th-TH"/>
              </w:rPr>
              <w:t>25,729 renewals</w:t>
            </w:r>
          </w:p>
          <w:p w:rsidR="00100231" w:rsidRPr="008169CE" w:rsidRDefault="00100231" w:rsidP="008D1891">
            <w:pPr>
              <w:pStyle w:val="ListParagraph"/>
              <w:ind w:left="360"/>
              <w:rPr>
                <w:rFonts w:cs="Arial"/>
                <w:sz w:val="16"/>
                <w:szCs w:val="16"/>
                <w:lang w:bidi="th-TH"/>
              </w:rPr>
            </w:pPr>
          </w:p>
          <w:p w:rsidR="00100231" w:rsidRDefault="00100231" w:rsidP="008D1891">
            <w:pPr>
              <w:rPr>
                <w:rFonts w:cs="Arial"/>
                <w:sz w:val="16"/>
                <w:szCs w:val="16"/>
                <w:lang w:bidi="th-TH"/>
              </w:rPr>
            </w:pPr>
          </w:p>
          <w:p w:rsidR="00100231" w:rsidRPr="0005539E" w:rsidRDefault="00100231" w:rsidP="008D1891">
            <w:pPr>
              <w:rPr>
                <w:rFonts w:cs="Arial"/>
                <w:sz w:val="16"/>
                <w:szCs w:val="16"/>
                <w:lang w:bidi="th-TH"/>
              </w:rPr>
            </w:pPr>
            <w:r w:rsidRPr="00111222">
              <w:rPr>
                <w:rFonts w:cs="Arial"/>
                <w:sz w:val="16"/>
                <w:szCs w:val="16"/>
                <w:lang w:bidi="th-TH"/>
              </w:rPr>
              <w:t>99,558 modifications including 15,824 subsequent designations</w:t>
            </w:r>
          </w:p>
        </w:tc>
        <w:tc>
          <w:tcPr>
            <w:tcW w:w="522" w:type="pct"/>
            <w:tcBorders>
              <w:top w:val="nil"/>
              <w:bottom w:val="nil"/>
              <w:right w:val="single" w:sz="4" w:space="0" w:color="auto"/>
            </w:tcBorders>
            <w:shd w:val="clear" w:color="auto" w:fill="auto"/>
            <w:tcMar>
              <w:top w:w="110" w:type="dxa"/>
            </w:tcMar>
          </w:tcPr>
          <w:p w:rsidR="00100231" w:rsidRPr="00EA4470" w:rsidRDefault="00100231" w:rsidP="008D1891">
            <w:pPr>
              <w:keepNext/>
              <w:keepLines/>
              <w:jc w:val="center"/>
              <w:rPr>
                <w:rStyle w:val="Style5"/>
                <w:rFonts w:ascii="Arial" w:hAnsi="Arial" w:cs="Arial"/>
                <w:b/>
                <w:color w:val="FF0000"/>
                <w:sz w:val="16"/>
                <w:szCs w:val="16"/>
              </w:rPr>
            </w:pPr>
            <w:r w:rsidRPr="00EA4470">
              <w:rPr>
                <w:rStyle w:val="Style5"/>
                <w:rFonts w:ascii="Arial" w:hAnsi="Arial" w:cs="Arial"/>
                <w:b/>
                <w:color w:val="FF0000"/>
                <w:sz w:val="16"/>
                <w:szCs w:val="16"/>
              </w:rPr>
              <w:t xml:space="preserve">Not </w:t>
            </w:r>
            <w:r>
              <w:rPr>
                <w:rStyle w:val="Style5"/>
                <w:rFonts w:ascii="Arial" w:hAnsi="Arial" w:cs="Arial"/>
                <w:b/>
                <w:color w:val="FF0000"/>
                <w:sz w:val="16"/>
                <w:szCs w:val="16"/>
              </w:rPr>
              <w:br/>
            </w:r>
            <w:r w:rsidRPr="00EA4470">
              <w:rPr>
                <w:rStyle w:val="Style5"/>
                <w:rFonts w:ascii="Arial" w:hAnsi="Arial" w:cs="Arial"/>
                <w:b/>
                <w:color w:val="FF0000"/>
                <w:sz w:val="16"/>
                <w:szCs w:val="16"/>
              </w:rPr>
              <w:t>on track</w:t>
            </w:r>
          </w:p>
          <w:p w:rsidR="00100231" w:rsidRPr="00EA4470" w:rsidRDefault="00100231" w:rsidP="008D1891">
            <w:pPr>
              <w:keepNext/>
              <w:keepLines/>
              <w:rPr>
                <w:rStyle w:val="Style5"/>
                <w:rFonts w:ascii="Arial" w:hAnsi="Arial" w:cs="Arial"/>
                <w:b/>
                <w:color w:val="FF0000"/>
                <w:sz w:val="16"/>
              </w:rPr>
            </w:pPr>
          </w:p>
          <w:p w:rsidR="00100231" w:rsidRDefault="00100231" w:rsidP="008D1891">
            <w:pPr>
              <w:keepNext/>
              <w:keepLines/>
              <w:jc w:val="center"/>
              <w:rPr>
                <w:rStyle w:val="Style5"/>
                <w:rFonts w:ascii="Arial" w:hAnsi="Arial" w:cs="Arial"/>
                <w:b/>
                <w:color w:val="FF0000"/>
                <w:sz w:val="16"/>
              </w:rPr>
            </w:pPr>
            <w:r w:rsidRPr="00880A4E">
              <w:rPr>
                <w:rStyle w:val="Style5"/>
                <w:rFonts w:ascii="Arial" w:hAnsi="Arial" w:cs="Arial"/>
                <w:b/>
                <w:color w:val="FF0000"/>
                <w:sz w:val="16"/>
              </w:rPr>
              <w:t xml:space="preserve">Not </w:t>
            </w:r>
          </w:p>
          <w:p w:rsidR="00100231" w:rsidRPr="00880A4E" w:rsidRDefault="00100231" w:rsidP="00845557">
            <w:pPr>
              <w:keepNext/>
              <w:keepLines/>
              <w:jc w:val="center"/>
              <w:rPr>
                <w:rStyle w:val="Style5"/>
                <w:rFonts w:ascii="Arial" w:hAnsi="Arial" w:cs="Arial"/>
                <w:b/>
                <w:color w:val="FF0000"/>
                <w:sz w:val="16"/>
              </w:rPr>
            </w:pPr>
            <w:r w:rsidRPr="00880A4E">
              <w:rPr>
                <w:rStyle w:val="Style5"/>
                <w:rFonts w:ascii="Arial" w:hAnsi="Arial" w:cs="Arial"/>
                <w:b/>
                <w:color w:val="FF0000"/>
                <w:sz w:val="16"/>
              </w:rPr>
              <w:t>on track</w:t>
            </w:r>
          </w:p>
          <w:p w:rsidR="00100231" w:rsidRDefault="00100231" w:rsidP="008D1891">
            <w:pPr>
              <w:keepNext/>
              <w:keepLines/>
              <w:rPr>
                <w:rStyle w:val="Style5"/>
                <w:rFonts w:ascii="Arial" w:hAnsi="Arial" w:cs="Arial"/>
                <w:b/>
                <w:color w:val="00B050"/>
                <w:sz w:val="16"/>
                <w:szCs w:val="16"/>
              </w:rPr>
            </w:pPr>
          </w:p>
          <w:p w:rsidR="00100231" w:rsidRPr="00EA4470" w:rsidRDefault="00100231" w:rsidP="008D1891">
            <w:pPr>
              <w:keepNext/>
              <w:keepLines/>
              <w:rPr>
                <w:rStyle w:val="Style5"/>
                <w:rFonts w:ascii="Arial" w:hAnsi="Arial" w:cs="Arial"/>
                <w:b/>
                <w:color w:val="00B050"/>
                <w:sz w:val="16"/>
                <w:szCs w:val="16"/>
              </w:rPr>
            </w:pPr>
          </w:p>
          <w:p w:rsidR="00100231" w:rsidRPr="00EA4470" w:rsidRDefault="00100231" w:rsidP="008D1891">
            <w:pPr>
              <w:keepNext/>
              <w:keepLines/>
              <w:jc w:val="center"/>
              <w:rPr>
                <w:rStyle w:val="Style5"/>
                <w:rFonts w:ascii="Arial" w:hAnsi="Arial" w:cs="Arial"/>
                <w:b/>
                <w:color w:val="FF0000"/>
                <w:sz w:val="16"/>
              </w:rPr>
            </w:pPr>
            <w:r w:rsidRPr="00EA4470">
              <w:rPr>
                <w:rStyle w:val="Style5"/>
                <w:rFonts w:ascii="Arial" w:hAnsi="Arial" w:cs="Arial"/>
                <w:b/>
                <w:color w:val="00B050"/>
                <w:sz w:val="16"/>
                <w:szCs w:val="16"/>
              </w:rPr>
              <w:t>On track</w:t>
            </w:r>
          </w:p>
          <w:p w:rsidR="00100231" w:rsidRPr="00EA4470" w:rsidRDefault="00100231" w:rsidP="008D1891">
            <w:pPr>
              <w:keepNext/>
              <w:keepLines/>
              <w:rPr>
                <w:rStyle w:val="Style5"/>
                <w:rFonts w:ascii="Arial" w:hAnsi="Arial" w:cs="Arial"/>
                <w:b/>
                <w:color w:val="FF0000"/>
                <w:sz w:val="16"/>
              </w:rPr>
            </w:pPr>
          </w:p>
        </w:tc>
      </w:tr>
      <w:tr w:rsidR="00100231" w:rsidRPr="0005539E" w:rsidTr="00845557">
        <w:trPr>
          <w:cantSplit/>
        </w:trPr>
        <w:tc>
          <w:tcPr>
            <w:tcW w:w="1140" w:type="pct"/>
            <w:tcBorders>
              <w:top w:val="nil"/>
              <w:left w:val="single" w:sz="4" w:space="0" w:color="auto"/>
              <w:bottom w:val="nil"/>
            </w:tcBorders>
            <w:shd w:val="clear" w:color="auto" w:fill="auto"/>
          </w:tcPr>
          <w:p w:rsidR="00100231" w:rsidRPr="004C7D99" w:rsidRDefault="00100231" w:rsidP="00100231">
            <w:pPr>
              <w:rPr>
                <w:rFonts w:cs="Arial"/>
                <w:b/>
                <w:bCs/>
                <w:sz w:val="16"/>
                <w:szCs w:val="16"/>
              </w:rPr>
            </w:pPr>
            <w:r w:rsidRPr="007C742A">
              <w:rPr>
                <w:rFonts w:cs="Arial"/>
                <w:sz w:val="16"/>
                <w:szCs w:val="16"/>
              </w:rPr>
              <w:t>Translation of applications  in a timely manner (Madrid)</w:t>
            </w:r>
          </w:p>
        </w:tc>
        <w:tc>
          <w:tcPr>
            <w:tcW w:w="1365" w:type="pct"/>
            <w:tcBorders>
              <w:top w:val="nil"/>
              <w:bottom w:val="nil"/>
            </w:tcBorders>
            <w:shd w:val="clear" w:color="auto" w:fill="auto"/>
          </w:tcPr>
          <w:p w:rsidR="00100231" w:rsidRPr="004C7D99" w:rsidRDefault="00100231" w:rsidP="00100231">
            <w:pPr>
              <w:rPr>
                <w:rFonts w:cs="Arial"/>
                <w:b/>
                <w:bCs/>
                <w:sz w:val="16"/>
                <w:szCs w:val="16"/>
              </w:rPr>
            </w:pPr>
            <w:r w:rsidRPr="007C742A">
              <w:rPr>
                <w:rFonts w:cs="Arial"/>
                <w:sz w:val="16"/>
                <w:szCs w:val="16"/>
              </w:rPr>
              <w:t>data not available</w:t>
            </w:r>
          </w:p>
        </w:tc>
        <w:tc>
          <w:tcPr>
            <w:tcW w:w="818" w:type="pct"/>
            <w:gridSpan w:val="2"/>
            <w:tcBorders>
              <w:top w:val="nil"/>
              <w:bottom w:val="nil"/>
            </w:tcBorders>
            <w:shd w:val="clear" w:color="auto" w:fill="auto"/>
            <w:tcMar>
              <w:top w:w="110" w:type="dxa"/>
            </w:tcMar>
          </w:tcPr>
          <w:p w:rsidR="00100231" w:rsidRPr="004C7D99" w:rsidRDefault="00100231" w:rsidP="00100231">
            <w:pPr>
              <w:rPr>
                <w:rFonts w:cs="Arial"/>
                <w:b/>
                <w:sz w:val="16"/>
                <w:szCs w:val="16"/>
              </w:rPr>
            </w:pPr>
            <w:r>
              <w:rPr>
                <w:rFonts w:cs="Arial"/>
                <w:sz w:val="16"/>
                <w:szCs w:val="16"/>
              </w:rPr>
              <w:t>Four weeks</w:t>
            </w:r>
          </w:p>
        </w:tc>
        <w:tc>
          <w:tcPr>
            <w:tcW w:w="1155" w:type="pct"/>
            <w:gridSpan w:val="2"/>
            <w:tcBorders>
              <w:top w:val="nil"/>
              <w:bottom w:val="nil"/>
            </w:tcBorders>
            <w:shd w:val="clear" w:color="auto" w:fill="FFFFFF"/>
            <w:tcMar>
              <w:top w:w="110" w:type="dxa"/>
            </w:tcMar>
          </w:tcPr>
          <w:p w:rsidR="00100231" w:rsidRPr="004C7D99" w:rsidRDefault="00100231" w:rsidP="00100231">
            <w:pPr>
              <w:rPr>
                <w:rFonts w:cs="Arial"/>
                <w:b/>
                <w:bCs/>
                <w:sz w:val="16"/>
                <w:szCs w:val="16"/>
              </w:rPr>
            </w:pPr>
            <w:r w:rsidRPr="007C742A">
              <w:rPr>
                <w:rFonts w:cs="Arial"/>
                <w:sz w:val="16"/>
                <w:szCs w:val="16"/>
                <w:lang w:bidi="th-TH"/>
              </w:rPr>
              <w:t>Average processing time is 3 weeks</w:t>
            </w:r>
          </w:p>
        </w:tc>
        <w:tc>
          <w:tcPr>
            <w:tcW w:w="522" w:type="pct"/>
            <w:tcBorders>
              <w:top w:val="nil"/>
              <w:bottom w:val="nil"/>
              <w:right w:val="single" w:sz="4" w:space="0" w:color="auto"/>
            </w:tcBorders>
            <w:shd w:val="clear" w:color="auto" w:fill="auto"/>
          </w:tcPr>
          <w:p w:rsidR="00100231" w:rsidRPr="00EA4470" w:rsidRDefault="00100231" w:rsidP="00100231">
            <w:pPr>
              <w:jc w:val="center"/>
              <w:rPr>
                <w:rFonts w:cs="Arial"/>
                <w:b/>
                <w:bCs/>
                <w:sz w:val="16"/>
                <w:szCs w:val="16"/>
              </w:rPr>
            </w:pPr>
            <w:r w:rsidRPr="00EA4470">
              <w:rPr>
                <w:rStyle w:val="Style5"/>
                <w:rFonts w:ascii="Arial" w:hAnsi="Arial" w:cs="Arial"/>
                <w:b/>
                <w:color w:val="00B050"/>
                <w:sz w:val="16"/>
                <w:szCs w:val="16"/>
              </w:rPr>
              <w:t>On track</w:t>
            </w:r>
          </w:p>
        </w:tc>
      </w:tr>
      <w:tr w:rsidR="00100231" w:rsidRPr="0005539E" w:rsidTr="00845557">
        <w:trPr>
          <w:cantSplit/>
        </w:trPr>
        <w:tc>
          <w:tcPr>
            <w:tcW w:w="1140" w:type="pct"/>
            <w:tcBorders>
              <w:top w:val="nil"/>
              <w:left w:val="single" w:sz="4" w:space="0" w:color="auto"/>
              <w:bottom w:val="single" w:sz="4" w:space="0" w:color="auto"/>
            </w:tcBorders>
            <w:shd w:val="clear" w:color="auto" w:fill="auto"/>
          </w:tcPr>
          <w:p w:rsidR="00100231" w:rsidRPr="007C742A" w:rsidRDefault="00100231" w:rsidP="00100231">
            <w:pPr>
              <w:rPr>
                <w:rFonts w:cs="Arial"/>
                <w:sz w:val="16"/>
                <w:szCs w:val="16"/>
              </w:rPr>
            </w:pPr>
            <w:r w:rsidRPr="00350D51">
              <w:rPr>
                <w:rFonts w:cs="Arial"/>
                <w:sz w:val="16"/>
                <w:szCs w:val="16"/>
              </w:rPr>
              <w:t>Decrease in the number of corrections (Madrid)</w:t>
            </w:r>
          </w:p>
        </w:tc>
        <w:tc>
          <w:tcPr>
            <w:tcW w:w="1365" w:type="pct"/>
            <w:tcBorders>
              <w:top w:val="nil"/>
              <w:bottom w:val="single" w:sz="4" w:space="0" w:color="auto"/>
            </w:tcBorders>
            <w:shd w:val="clear" w:color="auto" w:fill="auto"/>
          </w:tcPr>
          <w:p w:rsidR="00100231" w:rsidRPr="003E03CE" w:rsidRDefault="00100231" w:rsidP="00100231">
            <w:pPr>
              <w:rPr>
                <w:rFonts w:cs="Arial"/>
                <w:color w:val="002060"/>
                <w:sz w:val="16"/>
                <w:szCs w:val="16"/>
              </w:rPr>
            </w:pPr>
            <w:r>
              <w:rPr>
                <w:rFonts w:cs="Arial"/>
                <w:i/>
                <w:color w:val="002060"/>
                <w:sz w:val="16"/>
                <w:szCs w:val="16"/>
              </w:rPr>
              <w:t>Updated Baseline end 2013</w:t>
            </w:r>
            <w:r w:rsidRPr="0005539E">
              <w:rPr>
                <w:rFonts w:cs="Arial"/>
                <w:i/>
                <w:color w:val="002060"/>
                <w:sz w:val="16"/>
                <w:szCs w:val="16"/>
              </w:rPr>
              <w:t>:</w:t>
            </w:r>
            <w:r>
              <w:rPr>
                <w:rFonts w:cs="Arial"/>
                <w:color w:val="002060"/>
                <w:sz w:val="16"/>
                <w:szCs w:val="16"/>
              </w:rPr>
              <w:t xml:space="preserve">  </w:t>
            </w:r>
            <w:r w:rsidRPr="003E03CE">
              <w:rPr>
                <w:rFonts w:cs="Arial"/>
                <w:color w:val="002060"/>
                <w:sz w:val="16"/>
                <w:szCs w:val="16"/>
              </w:rPr>
              <w:t>2013: 5,197 corrections received and</w:t>
            </w:r>
          </w:p>
          <w:p w:rsidR="00100231" w:rsidRPr="00111222" w:rsidRDefault="00100231" w:rsidP="00100231">
            <w:pPr>
              <w:rPr>
                <w:rFonts w:cs="Arial"/>
                <w:i/>
                <w:color w:val="002060"/>
                <w:sz w:val="16"/>
                <w:szCs w:val="16"/>
              </w:rPr>
            </w:pPr>
            <w:r w:rsidRPr="003E03CE">
              <w:rPr>
                <w:rFonts w:cs="Arial"/>
                <w:color w:val="002060"/>
                <w:sz w:val="16"/>
                <w:szCs w:val="16"/>
              </w:rPr>
              <w:t>4,499 processed</w:t>
            </w:r>
          </w:p>
          <w:p w:rsidR="00100231" w:rsidRPr="0005539E" w:rsidRDefault="00100231" w:rsidP="00100231">
            <w:pPr>
              <w:rPr>
                <w:rFonts w:cs="Arial"/>
                <w:color w:val="002060"/>
                <w:sz w:val="16"/>
                <w:szCs w:val="16"/>
              </w:rPr>
            </w:pPr>
          </w:p>
          <w:p w:rsidR="00100231" w:rsidRPr="003E03CE" w:rsidRDefault="00100231" w:rsidP="00100231">
            <w:pPr>
              <w:rPr>
                <w:rFonts w:cs="Arial"/>
                <w:sz w:val="16"/>
                <w:szCs w:val="16"/>
              </w:rPr>
            </w:pPr>
            <w:r>
              <w:rPr>
                <w:rFonts w:cs="Arial"/>
                <w:i/>
                <w:sz w:val="16"/>
                <w:szCs w:val="16"/>
              </w:rPr>
              <w:t>Original Baseline P&amp;B 2013/14</w:t>
            </w:r>
            <w:r w:rsidRPr="0005539E">
              <w:rPr>
                <w:rFonts w:cs="Arial"/>
                <w:i/>
                <w:sz w:val="16"/>
                <w:szCs w:val="16"/>
              </w:rPr>
              <w:t>:</w:t>
            </w:r>
            <w:r>
              <w:rPr>
                <w:rFonts w:cs="Arial"/>
                <w:i/>
                <w:sz w:val="16"/>
                <w:szCs w:val="16"/>
              </w:rPr>
              <w:t xml:space="preserve"> </w:t>
            </w:r>
            <w:r w:rsidRPr="003E03CE">
              <w:rPr>
                <w:rFonts w:cs="Arial"/>
                <w:sz w:val="16"/>
                <w:szCs w:val="16"/>
              </w:rPr>
              <w:t>Corrections figures in 2012 ( 5</w:t>
            </w:r>
            <w:r>
              <w:rPr>
                <w:rFonts w:cs="Arial"/>
                <w:sz w:val="16"/>
                <w:szCs w:val="16"/>
              </w:rPr>
              <w:t>,</w:t>
            </w:r>
            <w:r w:rsidRPr="003E03CE">
              <w:rPr>
                <w:rFonts w:cs="Arial"/>
                <w:sz w:val="16"/>
                <w:szCs w:val="16"/>
              </w:rPr>
              <w:t>000 requests)</w:t>
            </w:r>
          </w:p>
          <w:p w:rsidR="00100231" w:rsidRPr="007C742A" w:rsidRDefault="00100231" w:rsidP="00100231">
            <w:pPr>
              <w:rPr>
                <w:rFonts w:cs="Arial"/>
                <w:sz w:val="16"/>
                <w:szCs w:val="16"/>
              </w:rPr>
            </w:pPr>
          </w:p>
        </w:tc>
        <w:tc>
          <w:tcPr>
            <w:tcW w:w="818" w:type="pct"/>
            <w:gridSpan w:val="2"/>
            <w:tcBorders>
              <w:top w:val="nil"/>
              <w:bottom w:val="single" w:sz="4" w:space="0" w:color="auto"/>
            </w:tcBorders>
            <w:shd w:val="clear" w:color="auto" w:fill="auto"/>
            <w:tcMar>
              <w:top w:w="110" w:type="dxa"/>
            </w:tcMar>
          </w:tcPr>
          <w:p w:rsidR="00100231" w:rsidRDefault="00100231" w:rsidP="00100231">
            <w:pPr>
              <w:rPr>
                <w:rFonts w:cs="Arial"/>
                <w:sz w:val="16"/>
                <w:szCs w:val="16"/>
              </w:rPr>
            </w:pPr>
            <w:r w:rsidRPr="003E03CE">
              <w:rPr>
                <w:rFonts w:cs="Arial"/>
                <w:sz w:val="16"/>
                <w:szCs w:val="16"/>
              </w:rPr>
              <w:t>Decrease corrections by 10%</w:t>
            </w:r>
          </w:p>
        </w:tc>
        <w:tc>
          <w:tcPr>
            <w:tcW w:w="1155" w:type="pct"/>
            <w:gridSpan w:val="2"/>
            <w:tcBorders>
              <w:top w:val="nil"/>
              <w:bottom w:val="single" w:sz="4" w:space="0" w:color="auto"/>
            </w:tcBorders>
            <w:shd w:val="clear" w:color="auto" w:fill="FFFFFF"/>
            <w:tcMar>
              <w:top w:w="110" w:type="dxa"/>
            </w:tcMar>
          </w:tcPr>
          <w:p w:rsidR="00100231" w:rsidRPr="003E03CE" w:rsidRDefault="00100231" w:rsidP="00100231">
            <w:pPr>
              <w:rPr>
                <w:rFonts w:cs="Arial"/>
                <w:sz w:val="16"/>
                <w:szCs w:val="16"/>
                <w:lang w:bidi="th-TH"/>
              </w:rPr>
            </w:pPr>
            <w:r w:rsidRPr="003E03CE">
              <w:rPr>
                <w:rFonts w:cs="Arial"/>
                <w:sz w:val="16"/>
                <w:szCs w:val="16"/>
                <w:lang w:bidi="th-TH"/>
              </w:rPr>
              <w:t>2014: 6,073 corrections received</w:t>
            </w:r>
            <w:r>
              <w:rPr>
                <w:rFonts w:cs="Arial"/>
                <w:sz w:val="16"/>
                <w:szCs w:val="16"/>
                <w:lang w:bidi="th-TH"/>
              </w:rPr>
              <w:t xml:space="preserve"> and</w:t>
            </w:r>
          </w:p>
          <w:p w:rsidR="00100231" w:rsidRPr="007C742A" w:rsidRDefault="00100231" w:rsidP="00100231">
            <w:pPr>
              <w:rPr>
                <w:rFonts w:cs="Arial"/>
                <w:sz w:val="16"/>
                <w:szCs w:val="16"/>
                <w:lang w:bidi="th-TH"/>
              </w:rPr>
            </w:pPr>
            <w:r w:rsidRPr="003E03CE">
              <w:rPr>
                <w:rFonts w:cs="Arial"/>
                <w:sz w:val="16"/>
                <w:szCs w:val="16"/>
                <w:lang w:bidi="th-TH"/>
              </w:rPr>
              <w:t>5,737 processed</w:t>
            </w:r>
          </w:p>
        </w:tc>
        <w:tc>
          <w:tcPr>
            <w:tcW w:w="522" w:type="pct"/>
            <w:tcBorders>
              <w:top w:val="nil"/>
              <w:bottom w:val="single" w:sz="4" w:space="0" w:color="auto"/>
              <w:right w:val="single" w:sz="4" w:space="0" w:color="auto"/>
            </w:tcBorders>
            <w:shd w:val="clear" w:color="auto" w:fill="auto"/>
          </w:tcPr>
          <w:p w:rsidR="00100231" w:rsidRPr="00EA4470" w:rsidRDefault="00100231" w:rsidP="00100231">
            <w:pPr>
              <w:jc w:val="center"/>
              <w:rPr>
                <w:rStyle w:val="Style5"/>
                <w:rFonts w:ascii="Arial" w:hAnsi="Arial" w:cs="Arial"/>
                <w:b/>
                <w:color w:val="FF0000"/>
                <w:sz w:val="16"/>
                <w:szCs w:val="16"/>
              </w:rPr>
            </w:pPr>
            <w:r w:rsidRPr="00EA4470">
              <w:rPr>
                <w:rStyle w:val="Style5"/>
                <w:rFonts w:ascii="Arial" w:hAnsi="Arial" w:cs="Arial"/>
                <w:b/>
                <w:color w:val="FF0000"/>
                <w:sz w:val="16"/>
                <w:szCs w:val="16"/>
              </w:rPr>
              <w:t xml:space="preserve">Not </w:t>
            </w:r>
            <w:r>
              <w:rPr>
                <w:rStyle w:val="Style5"/>
                <w:rFonts w:ascii="Arial" w:hAnsi="Arial" w:cs="Arial"/>
                <w:b/>
                <w:color w:val="FF0000"/>
                <w:sz w:val="16"/>
                <w:szCs w:val="16"/>
              </w:rPr>
              <w:br/>
            </w:r>
            <w:r w:rsidRPr="00EA4470">
              <w:rPr>
                <w:rStyle w:val="Style5"/>
                <w:rFonts w:ascii="Arial" w:hAnsi="Arial" w:cs="Arial"/>
                <w:b/>
                <w:color w:val="FF0000"/>
                <w:sz w:val="16"/>
                <w:szCs w:val="16"/>
              </w:rPr>
              <w:t>on track</w:t>
            </w:r>
          </w:p>
          <w:p w:rsidR="00100231" w:rsidRPr="00EA4470" w:rsidRDefault="00100231" w:rsidP="00100231">
            <w:pPr>
              <w:jc w:val="center"/>
              <w:rPr>
                <w:rStyle w:val="Style5"/>
                <w:rFonts w:ascii="Arial" w:hAnsi="Arial" w:cs="Arial"/>
                <w:b/>
                <w:color w:val="00B050"/>
                <w:sz w:val="16"/>
                <w:szCs w:val="16"/>
              </w:rPr>
            </w:pPr>
          </w:p>
        </w:tc>
      </w:tr>
    </w:tbl>
    <w:p w:rsidR="00100231" w:rsidRDefault="00100231">
      <w:r>
        <w:br w:type="page"/>
      </w: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5"/>
        <w:gridCol w:w="2593"/>
        <w:gridCol w:w="1554"/>
        <w:gridCol w:w="2194"/>
        <w:gridCol w:w="992"/>
      </w:tblGrid>
      <w:tr w:rsidR="00100231" w:rsidRPr="0005539E" w:rsidTr="00100231">
        <w:trPr>
          <w:cantSplit/>
        </w:trPr>
        <w:tc>
          <w:tcPr>
            <w:tcW w:w="1140" w:type="pct"/>
            <w:tcBorders>
              <w:top w:val="single" w:sz="4" w:space="0" w:color="auto"/>
              <w:left w:val="single" w:sz="4" w:space="0" w:color="auto"/>
              <w:bottom w:val="nil"/>
            </w:tcBorders>
            <w:shd w:val="clear" w:color="auto" w:fill="auto"/>
            <w:vAlign w:val="center"/>
          </w:tcPr>
          <w:p w:rsidR="00100231" w:rsidRPr="004C7D99" w:rsidRDefault="00100231" w:rsidP="008D1891">
            <w:pPr>
              <w:rPr>
                <w:rFonts w:cs="Arial"/>
                <w:sz w:val="16"/>
                <w:szCs w:val="16"/>
              </w:rPr>
            </w:pPr>
            <w:r w:rsidRPr="004C7D99">
              <w:rPr>
                <w:rFonts w:cs="Arial"/>
                <w:b/>
                <w:bCs/>
                <w:sz w:val="16"/>
                <w:szCs w:val="16"/>
              </w:rPr>
              <w:lastRenderedPageBreak/>
              <w:t>Performance Indicators</w:t>
            </w:r>
          </w:p>
        </w:tc>
        <w:tc>
          <w:tcPr>
            <w:tcW w:w="1365" w:type="pct"/>
            <w:tcBorders>
              <w:top w:val="single" w:sz="4" w:space="0" w:color="auto"/>
              <w:bottom w:val="nil"/>
            </w:tcBorders>
            <w:shd w:val="clear" w:color="auto" w:fill="auto"/>
            <w:vAlign w:val="center"/>
          </w:tcPr>
          <w:p w:rsidR="00100231" w:rsidRPr="004C7D99" w:rsidRDefault="00100231" w:rsidP="008D1891">
            <w:pPr>
              <w:rPr>
                <w:rFonts w:cs="Arial"/>
                <w:b/>
                <w:bCs/>
                <w:sz w:val="16"/>
                <w:szCs w:val="16"/>
              </w:rPr>
            </w:pPr>
            <w:r w:rsidRPr="004C7D99">
              <w:rPr>
                <w:rFonts w:cs="Arial"/>
                <w:b/>
                <w:bCs/>
                <w:sz w:val="16"/>
                <w:szCs w:val="16"/>
              </w:rPr>
              <w:t>Baselines</w:t>
            </w:r>
          </w:p>
        </w:tc>
        <w:tc>
          <w:tcPr>
            <w:tcW w:w="818" w:type="pct"/>
            <w:tcBorders>
              <w:top w:val="single" w:sz="4" w:space="0" w:color="auto"/>
              <w:bottom w:val="nil"/>
            </w:tcBorders>
            <w:shd w:val="clear" w:color="auto" w:fill="auto"/>
            <w:tcMar>
              <w:top w:w="110" w:type="dxa"/>
            </w:tcMar>
            <w:vAlign w:val="center"/>
          </w:tcPr>
          <w:p w:rsidR="00100231" w:rsidRPr="004C7D99" w:rsidRDefault="00100231" w:rsidP="008D1891">
            <w:pPr>
              <w:rPr>
                <w:rFonts w:cs="Arial"/>
                <w:b/>
                <w:sz w:val="16"/>
                <w:szCs w:val="16"/>
              </w:rPr>
            </w:pPr>
            <w:r w:rsidRPr="004C7D99">
              <w:rPr>
                <w:rFonts w:cs="Arial"/>
                <w:b/>
                <w:sz w:val="16"/>
                <w:szCs w:val="16"/>
              </w:rPr>
              <w:t>Targets</w:t>
            </w:r>
          </w:p>
        </w:tc>
        <w:tc>
          <w:tcPr>
            <w:tcW w:w="1155" w:type="pct"/>
            <w:tcBorders>
              <w:top w:val="single" w:sz="4" w:space="0" w:color="auto"/>
              <w:bottom w:val="nil"/>
            </w:tcBorders>
            <w:shd w:val="clear" w:color="auto" w:fill="FFFFFF"/>
            <w:tcMar>
              <w:top w:w="110" w:type="dxa"/>
            </w:tcMar>
            <w:vAlign w:val="center"/>
          </w:tcPr>
          <w:p w:rsidR="00100231" w:rsidRPr="004C7D99" w:rsidRDefault="00100231" w:rsidP="008D1891">
            <w:pPr>
              <w:rPr>
                <w:rFonts w:cs="Arial"/>
                <w:sz w:val="16"/>
                <w:szCs w:val="16"/>
              </w:rPr>
            </w:pPr>
            <w:r w:rsidRPr="004C7D99">
              <w:rPr>
                <w:rFonts w:cs="Arial"/>
                <w:b/>
                <w:bCs/>
                <w:sz w:val="16"/>
                <w:szCs w:val="16"/>
              </w:rPr>
              <w:t>Performance Data</w:t>
            </w:r>
          </w:p>
        </w:tc>
        <w:tc>
          <w:tcPr>
            <w:tcW w:w="522" w:type="pct"/>
            <w:tcBorders>
              <w:top w:val="single" w:sz="4" w:space="0" w:color="auto"/>
              <w:bottom w:val="nil"/>
              <w:right w:val="single" w:sz="4" w:space="0" w:color="auto"/>
            </w:tcBorders>
            <w:shd w:val="clear" w:color="auto" w:fill="auto"/>
            <w:vAlign w:val="center"/>
          </w:tcPr>
          <w:p w:rsidR="00100231" w:rsidRPr="00EA4470" w:rsidRDefault="00100231" w:rsidP="008D1891">
            <w:pPr>
              <w:keepNext/>
              <w:keepLines/>
              <w:jc w:val="center"/>
              <w:rPr>
                <w:rFonts w:cs="Arial"/>
                <w:b/>
                <w:bCs/>
                <w:sz w:val="16"/>
                <w:szCs w:val="16"/>
              </w:rPr>
            </w:pPr>
            <w:r w:rsidRPr="00EA4470">
              <w:rPr>
                <w:rFonts w:cs="Arial"/>
                <w:b/>
                <w:bCs/>
                <w:sz w:val="16"/>
                <w:szCs w:val="16"/>
              </w:rPr>
              <w:t>TLS</w:t>
            </w:r>
          </w:p>
        </w:tc>
      </w:tr>
      <w:tr w:rsidR="00100231" w:rsidRPr="0005539E" w:rsidTr="00845557">
        <w:trPr>
          <w:cantSplit/>
        </w:trPr>
        <w:tc>
          <w:tcPr>
            <w:tcW w:w="1140" w:type="pct"/>
            <w:tcBorders>
              <w:top w:val="nil"/>
              <w:left w:val="single" w:sz="4" w:space="0" w:color="auto"/>
              <w:bottom w:val="nil"/>
            </w:tcBorders>
            <w:shd w:val="clear" w:color="auto" w:fill="auto"/>
          </w:tcPr>
          <w:p w:rsidR="00100231" w:rsidRPr="00350D51" w:rsidRDefault="00100231" w:rsidP="00100231">
            <w:pPr>
              <w:rPr>
                <w:rFonts w:cs="Arial"/>
                <w:sz w:val="16"/>
                <w:szCs w:val="16"/>
              </w:rPr>
            </w:pPr>
            <w:r w:rsidRPr="003E03CE">
              <w:rPr>
                <w:rFonts w:cs="Arial"/>
                <w:sz w:val="16"/>
                <w:szCs w:val="16"/>
              </w:rPr>
              <w:t>Improved client satisfaction (Madrid)</w:t>
            </w:r>
          </w:p>
        </w:tc>
        <w:tc>
          <w:tcPr>
            <w:tcW w:w="1365" w:type="pct"/>
            <w:tcBorders>
              <w:top w:val="nil"/>
              <w:bottom w:val="nil"/>
            </w:tcBorders>
            <w:shd w:val="clear" w:color="auto" w:fill="auto"/>
          </w:tcPr>
          <w:p w:rsidR="00100231" w:rsidRDefault="00100231" w:rsidP="00100231">
            <w:pPr>
              <w:rPr>
                <w:rFonts w:cs="Arial"/>
                <w:color w:val="002060"/>
                <w:sz w:val="16"/>
                <w:szCs w:val="16"/>
              </w:rPr>
            </w:pPr>
            <w:r>
              <w:rPr>
                <w:rFonts w:cs="Arial"/>
                <w:i/>
                <w:color w:val="002060"/>
                <w:sz w:val="16"/>
                <w:szCs w:val="16"/>
              </w:rPr>
              <w:t>Updated Baseline end 2013</w:t>
            </w:r>
            <w:r w:rsidRPr="0005539E">
              <w:rPr>
                <w:rFonts w:cs="Arial"/>
                <w:i/>
                <w:color w:val="002060"/>
                <w:sz w:val="16"/>
                <w:szCs w:val="16"/>
              </w:rPr>
              <w:t>:</w:t>
            </w:r>
            <w:r>
              <w:rPr>
                <w:rFonts w:cs="Arial"/>
                <w:color w:val="002060"/>
                <w:sz w:val="16"/>
                <w:szCs w:val="16"/>
              </w:rPr>
              <w:t xml:space="preserve">  </w:t>
            </w:r>
          </w:p>
          <w:p w:rsidR="00100231" w:rsidRDefault="00100231" w:rsidP="00100231">
            <w:pPr>
              <w:rPr>
                <w:rFonts w:cs="Arial"/>
                <w:color w:val="002060"/>
                <w:sz w:val="16"/>
                <w:szCs w:val="16"/>
              </w:rPr>
            </w:pPr>
            <w:r w:rsidRPr="003E03CE">
              <w:rPr>
                <w:rFonts w:cs="Arial"/>
                <w:color w:val="002060"/>
                <w:sz w:val="16"/>
                <w:szCs w:val="16"/>
              </w:rPr>
              <w:t xml:space="preserve">Service </w:t>
            </w:r>
            <w:r>
              <w:rPr>
                <w:rFonts w:cs="Arial"/>
                <w:color w:val="002060"/>
                <w:sz w:val="16"/>
                <w:szCs w:val="16"/>
              </w:rPr>
              <w:t>O</w:t>
            </w:r>
            <w:r w:rsidRPr="003E03CE">
              <w:rPr>
                <w:rFonts w:cs="Arial"/>
                <w:color w:val="002060"/>
                <w:sz w:val="16"/>
                <w:szCs w:val="16"/>
              </w:rPr>
              <w:t>rientation Index 38</w:t>
            </w:r>
          </w:p>
          <w:p w:rsidR="00100231" w:rsidRPr="0005539E" w:rsidRDefault="00100231" w:rsidP="00100231">
            <w:pPr>
              <w:rPr>
                <w:rFonts w:cs="Arial"/>
                <w:color w:val="002060"/>
                <w:sz w:val="16"/>
                <w:szCs w:val="16"/>
              </w:rPr>
            </w:pPr>
          </w:p>
          <w:p w:rsidR="00100231" w:rsidRPr="003E03CE" w:rsidRDefault="00100231" w:rsidP="00100231">
            <w:pPr>
              <w:rPr>
                <w:rFonts w:cs="Arial"/>
                <w:sz w:val="16"/>
                <w:szCs w:val="16"/>
              </w:rPr>
            </w:pPr>
            <w:r>
              <w:rPr>
                <w:rFonts w:cs="Arial"/>
                <w:i/>
                <w:sz w:val="16"/>
                <w:szCs w:val="16"/>
              </w:rPr>
              <w:t>Original Baseline P&amp;B 2013/14</w:t>
            </w:r>
            <w:r w:rsidRPr="0005539E">
              <w:rPr>
                <w:rFonts w:cs="Arial"/>
                <w:i/>
                <w:sz w:val="16"/>
                <w:szCs w:val="16"/>
              </w:rPr>
              <w:t>:</w:t>
            </w:r>
            <w:r>
              <w:rPr>
                <w:rFonts w:cs="Arial"/>
                <w:i/>
                <w:sz w:val="16"/>
                <w:szCs w:val="16"/>
              </w:rPr>
              <w:t xml:space="preserve"> </w:t>
            </w:r>
            <w:r w:rsidRPr="003E03CE">
              <w:rPr>
                <w:rFonts w:cs="Arial"/>
                <w:sz w:val="16"/>
                <w:szCs w:val="16"/>
              </w:rPr>
              <w:t>Customer Service Orientation Survey 2012. Service Orientation Index 79</w:t>
            </w:r>
            <w:r>
              <w:rPr>
                <w:rStyle w:val="FootnoteReference"/>
                <w:rFonts w:cs="Arial"/>
                <w:sz w:val="16"/>
                <w:szCs w:val="16"/>
              </w:rPr>
              <w:footnoteReference w:id="12"/>
            </w:r>
            <w:r w:rsidRPr="003E03CE">
              <w:rPr>
                <w:rFonts w:cs="Arial"/>
                <w:sz w:val="16"/>
                <w:szCs w:val="16"/>
              </w:rPr>
              <w:t>.</w:t>
            </w:r>
          </w:p>
          <w:p w:rsidR="00100231" w:rsidRDefault="00100231" w:rsidP="00100231">
            <w:pPr>
              <w:rPr>
                <w:rFonts w:cs="Arial"/>
                <w:i/>
                <w:color w:val="002060"/>
                <w:sz w:val="16"/>
                <w:szCs w:val="16"/>
              </w:rPr>
            </w:pPr>
          </w:p>
        </w:tc>
        <w:tc>
          <w:tcPr>
            <w:tcW w:w="818" w:type="pct"/>
            <w:tcBorders>
              <w:top w:val="nil"/>
              <w:bottom w:val="nil"/>
            </w:tcBorders>
            <w:shd w:val="clear" w:color="auto" w:fill="auto"/>
            <w:tcMar>
              <w:top w:w="110" w:type="dxa"/>
            </w:tcMar>
          </w:tcPr>
          <w:p w:rsidR="00100231" w:rsidRPr="003E03CE" w:rsidRDefault="00100231" w:rsidP="00100231">
            <w:pPr>
              <w:rPr>
                <w:rFonts w:cs="Arial"/>
                <w:sz w:val="16"/>
                <w:szCs w:val="16"/>
              </w:rPr>
            </w:pPr>
            <w:r w:rsidRPr="003E03CE">
              <w:rPr>
                <w:rFonts w:cs="Arial"/>
                <w:sz w:val="16"/>
                <w:szCs w:val="16"/>
              </w:rPr>
              <w:t>Higher satisfaction rate in the next Survey, focusing on responsiveness and timeliness</w:t>
            </w:r>
          </w:p>
        </w:tc>
        <w:tc>
          <w:tcPr>
            <w:tcW w:w="1155" w:type="pct"/>
            <w:tcBorders>
              <w:top w:val="nil"/>
              <w:bottom w:val="nil"/>
            </w:tcBorders>
            <w:shd w:val="clear" w:color="auto" w:fill="FFFFFF"/>
            <w:tcMar>
              <w:top w:w="110" w:type="dxa"/>
            </w:tcMar>
          </w:tcPr>
          <w:p w:rsidR="00100231" w:rsidRPr="003E03CE" w:rsidRDefault="00100231" w:rsidP="00100231">
            <w:pPr>
              <w:rPr>
                <w:rFonts w:cs="Arial"/>
                <w:sz w:val="16"/>
                <w:szCs w:val="16"/>
                <w:lang w:bidi="th-TH"/>
              </w:rPr>
            </w:pPr>
            <w:r w:rsidRPr="003E03CE">
              <w:rPr>
                <w:rFonts w:cs="Arial"/>
                <w:sz w:val="16"/>
                <w:szCs w:val="16"/>
                <w:lang w:bidi="th-TH"/>
              </w:rPr>
              <w:t xml:space="preserve">2014: Service </w:t>
            </w:r>
            <w:r>
              <w:rPr>
                <w:rFonts w:cs="Arial"/>
                <w:sz w:val="16"/>
                <w:szCs w:val="16"/>
                <w:lang w:bidi="th-TH"/>
              </w:rPr>
              <w:t>O</w:t>
            </w:r>
            <w:r w:rsidRPr="003E03CE">
              <w:rPr>
                <w:rFonts w:cs="Arial"/>
                <w:sz w:val="16"/>
                <w:szCs w:val="16"/>
                <w:lang w:bidi="th-TH"/>
              </w:rPr>
              <w:t>rientation Index 39</w:t>
            </w:r>
          </w:p>
        </w:tc>
        <w:tc>
          <w:tcPr>
            <w:tcW w:w="522" w:type="pct"/>
            <w:tcBorders>
              <w:top w:val="nil"/>
              <w:bottom w:val="nil"/>
              <w:right w:val="single" w:sz="4" w:space="0" w:color="auto"/>
            </w:tcBorders>
            <w:shd w:val="clear" w:color="auto" w:fill="auto"/>
          </w:tcPr>
          <w:p w:rsidR="00100231" w:rsidRPr="00EA4470" w:rsidRDefault="00100231" w:rsidP="00100231">
            <w:pPr>
              <w:jc w:val="center"/>
              <w:rPr>
                <w:rStyle w:val="Style5"/>
                <w:rFonts w:ascii="Arial" w:hAnsi="Arial" w:cs="Arial"/>
                <w:b/>
                <w:color w:val="FF0000"/>
                <w:sz w:val="16"/>
                <w:szCs w:val="16"/>
              </w:rPr>
            </w:pPr>
            <w:r w:rsidRPr="00EA4470">
              <w:rPr>
                <w:rStyle w:val="Style5"/>
                <w:rFonts w:ascii="Arial" w:hAnsi="Arial" w:cs="Arial"/>
                <w:b/>
                <w:color w:val="00B050"/>
                <w:sz w:val="16"/>
                <w:szCs w:val="16"/>
              </w:rPr>
              <w:t>On track</w:t>
            </w:r>
          </w:p>
        </w:tc>
      </w:tr>
      <w:tr w:rsidR="00100231" w:rsidRPr="0005539E" w:rsidTr="00100231">
        <w:trPr>
          <w:cantSplit/>
        </w:trPr>
        <w:tc>
          <w:tcPr>
            <w:tcW w:w="1140" w:type="pct"/>
            <w:tcBorders>
              <w:top w:val="nil"/>
              <w:left w:val="single" w:sz="4" w:space="0" w:color="auto"/>
              <w:bottom w:val="nil"/>
              <w:right w:val="nil"/>
            </w:tcBorders>
            <w:shd w:val="clear" w:color="auto" w:fill="auto"/>
          </w:tcPr>
          <w:p w:rsidR="00100231" w:rsidRPr="0005539E" w:rsidRDefault="00100231" w:rsidP="00100231">
            <w:pPr>
              <w:rPr>
                <w:rFonts w:cs="Arial"/>
                <w:sz w:val="16"/>
                <w:szCs w:val="16"/>
              </w:rPr>
            </w:pPr>
            <w:r w:rsidRPr="00111222">
              <w:rPr>
                <w:rFonts w:cs="Arial"/>
                <w:sz w:val="16"/>
                <w:szCs w:val="16"/>
              </w:rPr>
              <w:t>Increased use of electronic exchange (Madrid)</w:t>
            </w:r>
          </w:p>
        </w:tc>
        <w:tc>
          <w:tcPr>
            <w:tcW w:w="1365" w:type="pct"/>
            <w:tcBorders>
              <w:top w:val="nil"/>
              <w:left w:val="nil"/>
              <w:bottom w:val="nil"/>
              <w:right w:val="nil"/>
            </w:tcBorders>
            <w:shd w:val="clear" w:color="auto" w:fill="auto"/>
          </w:tcPr>
          <w:p w:rsidR="00100231" w:rsidRDefault="00100231" w:rsidP="00100231">
            <w:pPr>
              <w:rPr>
                <w:rFonts w:cs="Arial"/>
                <w:color w:val="002060"/>
                <w:sz w:val="16"/>
                <w:szCs w:val="16"/>
              </w:rPr>
            </w:pPr>
            <w:r>
              <w:rPr>
                <w:rFonts w:cs="Arial"/>
                <w:i/>
                <w:color w:val="002060"/>
                <w:sz w:val="16"/>
                <w:szCs w:val="16"/>
              </w:rPr>
              <w:t>Updated Baseline end 2013</w:t>
            </w:r>
            <w:r w:rsidRPr="0005539E">
              <w:rPr>
                <w:rFonts w:cs="Arial"/>
                <w:i/>
                <w:color w:val="002060"/>
                <w:sz w:val="16"/>
                <w:szCs w:val="16"/>
              </w:rPr>
              <w:t>:</w:t>
            </w:r>
            <w:r>
              <w:rPr>
                <w:rFonts w:cs="Arial"/>
                <w:color w:val="002060"/>
                <w:sz w:val="16"/>
                <w:szCs w:val="16"/>
              </w:rPr>
              <w:t xml:space="preserve"> </w:t>
            </w:r>
          </w:p>
          <w:p w:rsidR="00100231" w:rsidRPr="00DD5354" w:rsidRDefault="00100231" w:rsidP="00100231">
            <w:pPr>
              <w:rPr>
                <w:rFonts w:cs="Arial"/>
                <w:color w:val="002060"/>
                <w:sz w:val="16"/>
                <w:szCs w:val="16"/>
              </w:rPr>
            </w:pPr>
            <w:r>
              <w:rPr>
                <w:rFonts w:cs="Arial"/>
                <w:color w:val="002060"/>
                <w:sz w:val="16"/>
                <w:szCs w:val="16"/>
              </w:rPr>
              <w:t>67</w:t>
            </w:r>
            <w:r w:rsidRPr="00DD5354">
              <w:rPr>
                <w:rFonts w:cs="Arial"/>
                <w:color w:val="002060"/>
                <w:sz w:val="16"/>
                <w:szCs w:val="16"/>
              </w:rPr>
              <w:t>% of documents received electronically</w:t>
            </w:r>
          </w:p>
          <w:p w:rsidR="00100231" w:rsidRPr="00DD5354" w:rsidRDefault="00100231" w:rsidP="00100231">
            <w:pPr>
              <w:rPr>
                <w:rFonts w:cs="Arial"/>
                <w:color w:val="002060"/>
                <w:sz w:val="16"/>
                <w:szCs w:val="16"/>
              </w:rPr>
            </w:pPr>
          </w:p>
          <w:p w:rsidR="00100231" w:rsidRPr="00DD5354" w:rsidRDefault="00100231" w:rsidP="00100231">
            <w:pPr>
              <w:rPr>
                <w:rFonts w:cs="Arial"/>
                <w:color w:val="002060"/>
                <w:sz w:val="16"/>
                <w:szCs w:val="16"/>
              </w:rPr>
            </w:pPr>
            <w:r>
              <w:rPr>
                <w:rFonts w:cs="Arial"/>
                <w:color w:val="002060"/>
                <w:sz w:val="16"/>
                <w:szCs w:val="16"/>
              </w:rPr>
              <w:t>158,717</w:t>
            </w:r>
            <w:r w:rsidRPr="00DD5354">
              <w:rPr>
                <w:rFonts w:cs="Arial"/>
                <w:color w:val="002060"/>
                <w:sz w:val="16"/>
                <w:szCs w:val="16"/>
              </w:rPr>
              <w:t xml:space="preserve"> email notifications</w:t>
            </w:r>
          </w:p>
          <w:p w:rsidR="00100231" w:rsidRPr="00DD5354" w:rsidRDefault="00100231" w:rsidP="00100231">
            <w:pPr>
              <w:rPr>
                <w:rFonts w:cs="Arial"/>
                <w:color w:val="002060"/>
                <w:sz w:val="16"/>
                <w:szCs w:val="16"/>
              </w:rPr>
            </w:pPr>
          </w:p>
          <w:p w:rsidR="00100231" w:rsidRPr="00DD5354" w:rsidRDefault="00100231" w:rsidP="00100231">
            <w:pPr>
              <w:rPr>
                <w:rFonts w:cs="Arial"/>
                <w:color w:val="002060"/>
                <w:sz w:val="16"/>
                <w:szCs w:val="16"/>
              </w:rPr>
            </w:pPr>
            <w:r>
              <w:rPr>
                <w:rFonts w:cs="Arial"/>
                <w:color w:val="002060"/>
                <w:sz w:val="16"/>
                <w:szCs w:val="16"/>
              </w:rPr>
              <w:t xml:space="preserve">714 </w:t>
            </w:r>
            <w:r w:rsidRPr="00DD5354">
              <w:rPr>
                <w:rFonts w:cs="Arial"/>
                <w:color w:val="002060"/>
                <w:sz w:val="16"/>
                <w:szCs w:val="16"/>
              </w:rPr>
              <w:t xml:space="preserve"> MPM Clients</w:t>
            </w:r>
          </w:p>
          <w:p w:rsidR="00100231" w:rsidRPr="00DD5354" w:rsidRDefault="00100231" w:rsidP="00100231">
            <w:pPr>
              <w:rPr>
                <w:rFonts w:cs="Arial"/>
                <w:color w:val="002060"/>
                <w:sz w:val="16"/>
                <w:szCs w:val="16"/>
              </w:rPr>
            </w:pPr>
          </w:p>
          <w:p w:rsidR="00100231" w:rsidRPr="00111222" w:rsidRDefault="00100231" w:rsidP="00100231">
            <w:pPr>
              <w:rPr>
                <w:rFonts w:cs="Arial"/>
                <w:i/>
                <w:color w:val="002060"/>
                <w:sz w:val="16"/>
                <w:szCs w:val="16"/>
              </w:rPr>
            </w:pPr>
            <w:r>
              <w:rPr>
                <w:rFonts w:cs="Arial"/>
                <w:color w:val="002060"/>
                <w:sz w:val="16"/>
                <w:szCs w:val="16"/>
              </w:rPr>
              <w:t>16</w:t>
            </w:r>
            <w:r w:rsidRPr="00DD5354">
              <w:rPr>
                <w:rFonts w:cs="Arial"/>
                <w:color w:val="002060"/>
                <w:sz w:val="16"/>
                <w:szCs w:val="16"/>
              </w:rPr>
              <w:t xml:space="preserve"> Offices sending XML</w:t>
            </w:r>
            <w:r>
              <w:rPr>
                <w:rFonts w:cs="Arial"/>
                <w:color w:val="002060"/>
                <w:sz w:val="16"/>
                <w:szCs w:val="16"/>
              </w:rPr>
              <w:t xml:space="preserve"> </w:t>
            </w:r>
          </w:p>
          <w:p w:rsidR="00100231" w:rsidRPr="0005539E" w:rsidRDefault="00100231" w:rsidP="00100231">
            <w:pPr>
              <w:rPr>
                <w:rFonts w:cs="Arial"/>
                <w:color w:val="002060"/>
                <w:sz w:val="16"/>
                <w:szCs w:val="16"/>
              </w:rPr>
            </w:pPr>
          </w:p>
          <w:p w:rsidR="00100231" w:rsidRPr="0005539E" w:rsidRDefault="00100231" w:rsidP="00100231">
            <w:pPr>
              <w:rPr>
                <w:rFonts w:cs="Arial"/>
                <w:sz w:val="16"/>
                <w:szCs w:val="16"/>
              </w:rPr>
            </w:pPr>
            <w:r>
              <w:rPr>
                <w:rFonts w:cs="Arial"/>
                <w:i/>
                <w:sz w:val="16"/>
                <w:szCs w:val="16"/>
              </w:rPr>
              <w:t>Original Baseline P&amp;B 2013/14</w:t>
            </w:r>
            <w:r w:rsidRPr="0005539E">
              <w:rPr>
                <w:rFonts w:cs="Arial"/>
                <w:i/>
                <w:sz w:val="16"/>
                <w:szCs w:val="16"/>
              </w:rPr>
              <w:t>:</w:t>
            </w:r>
          </w:p>
          <w:p w:rsidR="00100231" w:rsidRPr="0005539E" w:rsidRDefault="00100231" w:rsidP="00100231">
            <w:pPr>
              <w:rPr>
                <w:rFonts w:cs="Arial"/>
                <w:sz w:val="16"/>
                <w:szCs w:val="16"/>
              </w:rPr>
            </w:pPr>
            <w:r w:rsidRPr="007C742A">
              <w:rPr>
                <w:rFonts w:cs="Arial"/>
                <w:sz w:val="16"/>
                <w:szCs w:val="16"/>
              </w:rPr>
              <w:t xml:space="preserve">60% of documents received electronically; 85,000 marks notified by email; 200 clients using the MPM; 17 </w:t>
            </w:r>
            <w:r>
              <w:rPr>
                <w:rFonts w:cs="Arial"/>
                <w:sz w:val="16"/>
                <w:szCs w:val="16"/>
              </w:rPr>
              <w:t>O</w:t>
            </w:r>
            <w:r w:rsidRPr="007C742A">
              <w:rPr>
                <w:rFonts w:cs="Arial"/>
                <w:sz w:val="16"/>
                <w:szCs w:val="16"/>
              </w:rPr>
              <w:t>ffices sending applications in XML</w:t>
            </w:r>
          </w:p>
        </w:tc>
        <w:tc>
          <w:tcPr>
            <w:tcW w:w="818" w:type="pct"/>
            <w:tcBorders>
              <w:top w:val="nil"/>
              <w:left w:val="nil"/>
              <w:bottom w:val="nil"/>
              <w:right w:val="nil"/>
            </w:tcBorders>
            <w:shd w:val="clear" w:color="auto" w:fill="auto"/>
            <w:tcMar>
              <w:top w:w="110" w:type="dxa"/>
            </w:tcMar>
          </w:tcPr>
          <w:p w:rsidR="00100231" w:rsidRPr="0005539E" w:rsidRDefault="00100231" w:rsidP="00100231">
            <w:pPr>
              <w:rPr>
                <w:rFonts w:cs="Arial"/>
                <w:sz w:val="16"/>
                <w:szCs w:val="16"/>
              </w:rPr>
            </w:pPr>
            <w:r w:rsidRPr="007C742A">
              <w:rPr>
                <w:rFonts w:cs="Arial"/>
                <w:sz w:val="16"/>
                <w:szCs w:val="16"/>
                <w:lang w:bidi="th-TH"/>
              </w:rPr>
              <w:t>70% of documents received electronically; 110,000 marks notified by email; 1</w:t>
            </w:r>
            <w:r w:rsidR="00B37D53">
              <w:rPr>
                <w:rFonts w:cs="Arial"/>
                <w:sz w:val="16"/>
                <w:szCs w:val="16"/>
                <w:lang w:bidi="th-TH"/>
              </w:rPr>
              <w:t>,</w:t>
            </w:r>
            <w:r w:rsidRPr="007C742A">
              <w:rPr>
                <w:rFonts w:cs="Arial"/>
                <w:sz w:val="16"/>
                <w:szCs w:val="16"/>
                <w:lang w:bidi="th-TH"/>
              </w:rPr>
              <w:t xml:space="preserve">000 clients using the MPM; 23 </w:t>
            </w:r>
            <w:r>
              <w:rPr>
                <w:rFonts w:cs="Arial"/>
                <w:sz w:val="16"/>
                <w:szCs w:val="16"/>
                <w:lang w:bidi="th-TH"/>
              </w:rPr>
              <w:t>O</w:t>
            </w:r>
            <w:r w:rsidRPr="007C742A">
              <w:rPr>
                <w:rFonts w:cs="Arial"/>
                <w:sz w:val="16"/>
                <w:szCs w:val="16"/>
                <w:lang w:bidi="th-TH"/>
              </w:rPr>
              <w:t>ffices sending applications in XML</w:t>
            </w:r>
          </w:p>
        </w:tc>
        <w:tc>
          <w:tcPr>
            <w:tcW w:w="1155" w:type="pct"/>
            <w:tcBorders>
              <w:top w:val="nil"/>
              <w:left w:val="nil"/>
              <w:bottom w:val="nil"/>
              <w:right w:val="nil"/>
            </w:tcBorders>
            <w:shd w:val="clear" w:color="auto" w:fill="FFFFFF"/>
            <w:tcMar>
              <w:top w:w="110" w:type="dxa"/>
            </w:tcMar>
          </w:tcPr>
          <w:p w:rsidR="00100231" w:rsidRDefault="00100231" w:rsidP="00100231">
            <w:pPr>
              <w:rPr>
                <w:rFonts w:cs="Arial"/>
                <w:color w:val="000000"/>
                <w:sz w:val="16"/>
                <w:szCs w:val="16"/>
              </w:rPr>
            </w:pPr>
            <w:r w:rsidRPr="0074199E">
              <w:rPr>
                <w:rFonts w:cs="Arial"/>
                <w:color w:val="000000"/>
                <w:sz w:val="16"/>
                <w:szCs w:val="16"/>
              </w:rPr>
              <w:t>70% of documents received electronically</w:t>
            </w:r>
            <w:r w:rsidRPr="0074199E">
              <w:rPr>
                <w:rFonts w:cs="Arial"/>
                <w:color w:val="000000"/>
                <w:sz w:val="16"/>
                <w:szCs w:val="16"/>
              </w:rPr>
              <w:br/>
            </w:r>
            <w:r w:rsidRPr="0074199E">
              <w:rPr>
                <w:rFonts w:cs="Arial"/>
                <w:color w:val="000000"/>
                <w:sz w:val="16"/>
                <w:szCs w:val="16"/>
              </w:rPr>
              <w:br/>
              <w:t>220,000 email notifications</w:t>
            </w:r>
            <w:r w:rsidRPr="0074199E">
              <w:rPr>
                <w:rFonts w:cs="Arial"/>
                <w:color w:val="000000"/>
                <w:sz w:val="16"/>
                <w:szCs w:val="16"/>
              </w:rPr>
              <w:br/>
            </w:r>
            <w:r w:rsidRPr="0074199E">
              <w:rPr>
                <w:rFonts w:cs="Arial"/>
                <w:color w:val="000000"/>
                <w:sz w:val="16"/>
                <w:szCs w:val="16"/>
              </w:rPr>
              <w:br/>
              <w:t>1</w:t>
            </w:r>
            <w:r>
              <w:rPr>
                <w:rFonts w:cs="Arial"/>
                <w:color w:val="000000"/>
                <w:sz w:val="16"/>
                <w:szCs w:val="16"/>
              </w:rPr>
              <w:t>,</w:t>
            </w:r>
            <w:r w:rsidRPr="0074199E">
              <w:rPr>
                <w:rFonts w:cs="Arial"/>
                <w:color w:val="000000"/>
                <w:sz w:val="16"/>
                <w:szCs w:val="16"/>
              </w:rPr>
              <w:t>800 MPM Clients</w:t>
            </w:r>
            <w:r w:rsidRPr="0074199E">
              <w:rPr>
                <w:rFonts w:cs="Arial"/>
                <w:color w:val="000000"/>
                <w:sz w:val="16"/>
                <w:szCs w:val="16"/>
              </w:rPr>
              <w:br/>
            </w:r>
          </w:p>
          <w:p w:rsidR="00100231" w:rsidRPr="0005539E" w:rsidRDefault="00100231" w:rsidP="00100231">
            <w:pPr>
              <w:rPr>
                <w:rFonts w:cs="Arial"/>
                <w:sz w:val="16"/>
                <w:szCs w:val="16"/>
                <w:lang w:bidi="th-TH"/>
              </w:rPr>
            </w:pPr>
            <w:r w:rsidRPr="0074199E">
              <w:rPr>
                <w:rFonts w:cs="Arial"/>
                <w:color w:val="000000"/>
                <w:sz w:val="16"/>
                <w:szCs w:val="16"/>
              </w:rPr>
              <w:t>17 Offices sending XML</w:t>
            </w:r>
            <w:r w:rsidRPr="0074199E">
              <w:rPr>
                <w:rFonts w:cs="Arial"/>
                <w:color w:val="000000"/>
                <w:sz w:val="16"/>
                <w:szCs w:val="16"/>
              </w:rPr>
              <w:br/>
            </w:r>
          </w:p>
        </w:tc>
        <w:tc>
          <w:tcPr>
            <w:tcW w:w="522" w:type="pct"/>
            <w:tcBorders>
              <w:top w:val="nil"/>
              <w:left w:val="nil"/>
              <w:bottom w:val="nil"/>
              <w:right w:val="single" w:sz="4" w:space="0" w:color="auto"/>
            </w:tcBorders>
            <w:shd w:val="clear" w:color="auto" w:fill="auto"/>
            <w:tcMar>
              <w:top w:w="110" w:type="dxa"/>
            </w:tcMar>
          </w:tcPr>
          <w:p w:rsidR="00100231" w:rsidRPr="00EA4470" w:rsidRDefault="00100231" w:rsidP="00100231">
            <w:pPr>
              <w:jc w:val="center"/>
              <w:rPr>
                <w:rStyle w:val="Style5"/>
                <w:rFonts w:ascii="Arial" w:hAnsi="Arial" w:cs="Arial"/>
                <w:b/>
                <w:color w:val="00B050"/>
                <w:sz w:val="16"/>
                <w:szCs w:val="16"/>
              </w:rPr>
            </w:pPr>
            <w:r w:rsidRPr="00EA4470">
              <w:rPr>
                <w:rStyle w:val="Style5"/>
                <w:rFonts w:ascii="Arial" w:hAnsi="Arial" w:cs="Arial"/>
                <w:b/>
                <w:color w:val="00B050"/>
                <w:sz w:val="16"/>
                <w:szCs w:val="16"/>
              </w:rPr>
              <w:t>On track</w:t>
            </w:r>
          </w:p>
          <w:p w:rsidR="00100231" w:rsidRDefault="00100231" w:rsidP="00100231">
            <w:pPr>
              <w:jc w:val="center"/>
              <w:rPr>
                <w:rStyle w:val="Style5"/>
                <w:rFonts w:ascii="Arial" w:hAnsi="Arial" w:cs="Arial"/>
                <w:b/>
                <w:color w:val="00B050"/>
                <w:sz w:val="16"/>
                <w:szCs w:val="16"/>
              </w:rPr>
            </w:pPr>
          </w:p>
          <w:p w:rsidR="00100231" w:rsidRDefault="00100231" w:rsidP="00100231">
            <w:pPr>
              <w:jc w:val="center"/>
              <w:rPr>
                <w:rStyle w:val="Style5"/>
                <w:rFonts w:ascii="Arial" w:hAnsi="Arial" w:cs="Arial"/>
                <w:b/>
                <w:color w:val="00B050"/>
                <w:sz w:val="16"/>
                <w:szCs w:val="16"/>
              </w:rPr>
            </w:pPr>
          </w:p>
          <w:p w:rsidR="00100231" w:rsidRPr="00EA4470" w:rsidRDefault="00100231" w:rsidP="00100231">
            <w:pPr>
              <w:jc w:val="center"/>
              <w:rPr>
                <w:rStyle w:val="Style5"/>
                <w:rFonts w:ascii="Arial" w:hAnsi="Arial" w:cs="Arial"/>
                <w:b/>
                <w:color w:val="00B050"/>
                <w:sz w:val="16"/>
                <w:szCs w:val="16"/>
              </w:rPr>
            </w:pPr>
            <w:r w:rsidRPr="00EA4470">
              <w:rPr>
                <w:rStyle w:val="Style5"/>
                <w:rFonts w:ascii="Arial" w:hAnsi="Arial" w:cs="Arial"/>
                <w:b/>
                <w:color w:val="00B050"/>
                <w:sz w:val="16"/>
                <w:szCs w:val="16"/>
              </w:rPr>
              <w:t>On track</w:t>
            </w:r>
          </w:p>
          <w:p w:rsidR="00100231" w:rsidRDefault="00100231" w:rsidP="00100231">
            <w:pPr>
              <w:jc w:val="center"/>
              <w:rPr>
                <w:rStyle w:val="Style5"/>
                <w:rFonts w:ascii="Arial" w:hAnsi="Arial" w:cs="Arial"/>
                <w:b/>
                <w:color w:val="00B050"/>
                <w:sz w:val="16"/>
                <w:szCs w:val="16"/>
              </w:rPr>
            </w:pPr>
          </w:p>
          <w:p w:rsidR="00100231" w:rsidRPr="00EA4470" w:rsidRDefault="00100231" w:rsidP="00100231">
            <w:pPr>
              <w:jc w:val="center"/>
              <w:rPr>
                <w:rStyle w:val="Style5"/>
                <w:rFonts w:ascii="Arial" w:hAnsi="Arial" w:cs="Arial"/>
                <w:b/>
                <w:color w:val="00B050"/>
                <w:sz w:val="16"/>
                <w:szCs w:val="16"/>
              </w:rPr>
            </w:pPr>
            <w:r w:rsidRPr="00EA4470">
              <w:rPr>
                <w:rStyle w:val="Style5"/>
                <w:rFonts w:ascii="Arial" w:hAnsi="Arial" w:cs="Arial"/>
                <w:b/>
                <w:color w:val="00B050"/>
                <w:sz w:val="16"/>
                <w:szCs w:val="16"/>
              </w:rPr>
              <w:t>On track</w:t>
            </w:r>
          </w:p>
          <w:p w:rsidR="00100231" w:rsidRDefault="00100231" w:rsidP="00100231">
            <w:pPr>
              <w:jc w:val="center"/>
              <w:rPr>
                <w:rStyle w:val="Style5"/>
                <w:rFonts w:ascii="Arial" w:hAnsi="Arial" w:cs="Arial"/>
                <w:b/>
                <w:color w:val="FF0000"/>
                <w:sz w:val="16"/>
                <w:szCs w:val="16"/>
              </w:rPr>
            </w:pPr>
          </w:p>
          <w:p w:rsidR="00100231" w:rsidRPr="00EA4470" w:rsidRDefault="00100231" w:rsidP="00100231">
            <w:pPr>
              <w:jc w:val="center"/>
              <w:rPr>
                <w:rStyle w:val="Style5"/>
                <w:rFonts w:ascii="Arial" w:hAnsi="Arial" w:cs="Arial"/>
                <w:b/>
                <w:color w:val="FF0000"/>
                <w:sz w:val="16"/>
                <w:szCs w:val="16"/>
              </w:rPr>
            </w:pPr>
            <w:r w:rsidRPr="00EA4470">
              <w:rPr>
                <w:rStyle w:val="Style5"/>
                <w:rFonts w:ascii="Arial" w:hAnsi="Arial" w:cs="Arial"/>
                <w:b/>
                <w:color w:val="FF0000"/>
                <w:sz w:val="16"/>
                <w:szCs w:val="16"/>
              </w:rPr>
              <w:t xml:space="preserve">Not </w:t>
            </w:r>
            <w:r>
              <w:rPr>
                <w:rStyle w:val="Style5"/>
                <w:rFonts w:ascii="Arial" w:hAnsi="Arial" w:cs="Arial"/>
                <w:b/>
                <w:color w:val="FF0000"/>
                <w:sz w:val="16"/>
                <w:szCs w:val="16"/>
              </w:rPr>
              <w:br/>
            </w:r>
            <w:r w:rsidRPr="00EA4470">
              <w:rPr>
                <w:rStyle w:val="Style5"/>
                <w:rFonts w:ascii="Arial" w:hAnsi="Arial" w:cs="Arial"/>
                <w:b/>
                <w:color w:val="FF0000"/>
                <w:sz w:val="16"/>
                <w:szCs w:val="16"/>
              </w:rPr>
              <w:t>on track</w:t>
            </w:r>
          </w:p>
          <w:p w:rsidR="00100231" w:rsidRPr="00EA4470" w:rsidRDefault="00100231" w:rsidP="00100231">
            <w:pPr>
              <w:jc w:val="center"/>
              <w:rPr>
                <w:rStyle w:val="Style5"/>
                <w:rFonts w:ascii="Arial" w:hAnsi="Arial" w:cs="Arial"/>
                <w:b/>
                <w:color w:val="00B050"/>
                <w:sz w:val="16"/>
                <w:szCs w:val="16"/>
              </w:rPr>
            </w:pPr>
          </w:p>
          <w:p w:rsidR="00100231" w:rsidRPr="00EA4470" w:rsidRDefault="00100231" w:rsidP="00100231">
            <w:pPr>
              <w:jc w:val="center"/>
              <w:rPr>
                <w:rStyle w:val="Style5"/>
                <w:rFonts w:ascii="Arial" w:hAnsi="Arial" w:cs="Arial"/>
                <w:b/>
                <w:color w:val="00B050"/>
                <w:sz w:val="16"/>
                <w:szCs w:val="16"/>
              </w:rPr>
            </w:pPr>
          </w:p>
          <w:p w:rsidR="00100231" w:rsidRPr="00EA4470" w:rsidRDefault="00100231" w:rsidP="00100231">
            <w:pPr>
              <w:rPr>
                <w:rFonts w:cs="Arial"/>
                <w:bCs/>
                <w:color w:val="008000"/>
                <w:sz w:val="16"/>
                <w:szCs w:val="16"/>
              </w:rPr>
            </w:pPr>
          </w:p>
        </w:tc>
      </w:tr>
      <w:tr w:rsidR="00100231" w:rsidRPr="0005539E" w:rsidTr="00100231">
        <w:trPr>
          <w:cantSplit/>
        </w:trPr>
        <w:tc>
          <w:tcPr>
            <w:tcW w:w="1140" w:type="pct"/>
            <w:tcBorders>
              <w:top w:val="nil"/>
              <w:left w:val="single" w:sz="4" w:space="0" w:color="auto"/>
              <w:bottom w:val="nil"/>
            </w:tcBorders>
            <w:shd w:val="clear" w:color="auto" w:fill="auto"/>
          </w:tcPr>
          <w:p w:rsidR="00100231" w:rsidRPr="0005539E" w:rsidRDefault="00100231" w:rsidP="008D1891">
            <w:pPr>
              <w:keepNext/>
              <w:keepLines/>
              <w:rPr>
                <w:rFonts w:cs="Arial"/>
                <w:sz w:val="16"/>
                <w:szCs w:val="16"/>
              </w:rPr>
            </w:pPr>
            <w:r w:rsidRPr="007C742A">
              <w:rPr>
                <w:rFonts w:cs="Arial"/>
                <w:sz w:val="16"/>
                <w:szCs w:val="16"/>
              </w:rPr>
              <w:t>Refinement of the electronic means of communication and publication under the Lisbon procedures</w:t>
            </w:r>
          </w:p>
        </w:tc>
        <w:tc>
          <w:tcPr>
            <w:tcW w:w="1365" w:type="pct"/>
            <w:tcBorders>
              <w:top w:val="nil"/>
              <w:bottom w:val="nil"/>
            </w:tcBorders>
            <w:shd w:val="clear" w:color="auto" w:fill="auto"/>
          </w:tcPr>
          <w:p w:rsidR="00100231" w:rsidRPr="0005539E" w:rsidRDefault="00100231" w:rsidP="008D1891">
            <w:pPr>
              <w:keepNext/>
              <w:keepLines/>
              <w:rPr>
                <w:rFonts w:cs="Arial"/>
                <w:sz w:val="16"/>
                <w:szCs w:val="16"/>
              </w:rPr>
            </w:pPr>
            <w:r w:rsidRPr="007C742A">
              <w:rPr>
                <w:rFonts w:cs="Arial"/>
                <w:sz w:val="16"/>
                <w:szCs w:val="16"/>
              </w:rPr>
              <w:t>The electronic means in place at the end of 2013</w:t>
            </w:r>
          </w:p>
        </w:tc>
        <w:tc>
          <w:tcPr>
            <w:tcW w:w="818" w:type="pct"/>
            <w:tcBorders>
              <w:top w:val="nil"/>
              <w:bottom w:val="nil"/>
            </w:tcBorders>
            <w:shd w:val="clear" w:color="auto" w:fill="auto"/>
            <w:tcMar>
              <w:top w:w="110" w:type="dxa"/>
            </w:tcMar>
          </w:tcPr>
          <w:p w:rsidR="00100231" w:rsidRPr="004C7D99" w:rsidRDefault="00100231" w:rsidP="008D1891">
            <w:pPr>
              <w:keepNext/>
              <w:keepLines/>
              <w:rPr>
                <w:rFonts w:cs="Arial"/>
                <w:sz w:val="16"/>
                <w:szCs w:val="16"/>
              </w:rPr>
            </w:pPr>
            <w:r w:rsidRPr="007C742A">
              <w:rPr>
                <w:rFonts w:cs="Arial"/>
                <w:sz w:val="16"/>
                <w:szCs w:val="16"/>
              </w:rPr>
              <w:t>Electronic filing system and incorporation of the Lisbon Bulletin into the Lisbon Express database</w:t>
            </w:r>
          </w:p>
        </w:tc>
        <w:tc>
          <w:tcPr>
            <w:tcW w:w="1155" w:type="pct"/>
            <w:tcBorders>
              <w:top w:val="nil"/>
              <w:bottom w:val="nil"/>
            </w:tcBorders>
            <w:shd w:val="clear" w:color="auto" w:fill="FFFFFF"/>
            <w:tcMar>
              <w:top w:w="110" w:type="dxa"/>
            </w:tcMar>
          </w:tcPr>
          <w:p w:rsidR="00100231" w:rsidRDefault="00100231" w:rsidP="008D1891">
            <w:pPr>
              <w:keepNext/>
              <w:keepLines/>
              <w:rPr>
                <w:rFonts w:cs="Arial"/>
                <w:sz w:val="16"/>
                <w:szCs w:val="16"/>
              </w:rPr>
            </w:pPr>
            <w:r w:rsidRPr="007C742A">
              <w:rPr>
                <w:rFonts w:cs="Arial"/>
                <w:sz w:val="16"/>
                <w:szCs w:val="16"/>
              </w:rPr>
              <w:t>Streamlined procedure for notifications implemented</w:t>
            </w:r>
            <w:r>
              <w:rPr>
                <w:rFonts w:cs="Arial"/>
                <w:sz w:val="16"/>
                <w:szCs w:val="16"/>
              </w:rPr>
              <w:t xml:space="preserve"> via the </w:t>
            </w:r>
            <w:r w:rsidRPr="009B63C6">
              <w:rPr>
                <w:rFonts w:cs="Arial"/>
                <w:sz w:val="16"/>
                <w:szCs w:val="16"/>
              </w:rPr>
              <w:t xml:space="preserve">WIPO Inquiry Notification System </w:t>
            </w:r>
            <w:r>
              <w:rPr>
                <w:rFonts w:cs="Arial"/>
                <w:sz w:val="16"/>
                <w:szCs w:val="16"/>
              </w:rPr>
              <w:t xml:space="preserve">(WINS) notification system. </w:t>
            </w:r>
          </w:p>
          <w:p w:rsidR="00100231" w:rsidRPr="0005539E" w:rsidRDefault="00100231" w:rsidP="008D1891">
            <w:pPr>
              <w:keepNext/>
              <w:keepLines/>
              <w:rPr>
                <w:rFonts w:cs="Arial"/>
                <w:sz w:val="16"/>
                <w:szCs w:val="16"/>
              </w:rPr>
            </w:pPr>
          </w:p>
        </w:tc>
        <w:tc>
          <w:tcPr>
            <w:tcW w:w="522" w:type="pct"/>
            <w:tcBorders>
              <w:top w:val="nil"/>
              <w:bottom w:val="nil"/>
              <w:right w:val="single" w:sz="4" w:space="0" w:color="auto"/>
            </w:tcBorders>
            <w:shd w:val="clear" w:color="auto" w:fill="auto"/>
          </w:tcPr>
          <w:p w:rsidR="00100231" w:rsidRPr="00EA4470" w:rsidRDefault="00100231" w:rsidP="008D1891">
            <w:pPr>
              <w:keepNext/>
              <w:keepLines/>
              <w:jc w:val="center"/>
              <w:rPr>
                <w:rStyle w:val="Style5"/>
                <w:rFonts w:ascii="Arial" w:hAnsi="Arial" w:cs="Arial"/>
                <w:b/>
                <w:color w:val="00B050"/>
                <w:sz w:val="16"/>
              </w:rPr>
            </w:pPr>
            <w:r w:rsidRPr="00EA4470">
              <w:rPr>
                <w:rStyle w:val="Style5"/>
                <w:rFonts w:ascii="Arial" w:hAnsi="Arial" w:cs="Arial"/>
                <w:b/>
                <w:color w:val="00B050"/>
                <w:sz w:val="16"/>
                <w:szCs w:val="16"/>
              </w:rPr>
              <w:t>On track</w:t>
            </w:r>
          </w:p>
        </w:tc>
      </w:tr>
      <w:tr w:rsidR="00100231" w:rsidRPr="0005539E" w:rsidTr="00100231">
        <w:trPr>
          <w:cantSplit/>
        </w:trPr>
        <w:tc>
          <w:tcPr>
            <w:tcW w:w="1140" w:type="pct"/>
            <w:tcBorders>
              <w:top w:val="nil"/>
              <w:left w:val="single" w:sz="4" w:space="0" w:color="auto"/>
              <w:bottom w:val="single" w:sz="4" w:space="0" w:color="auto"/>
            </w:tcBorders>
            <w:shd w:val="clear" w:color="auto" w:fill="auto"/>
          </w:tcPr>
          <w:p w:rsidR="00100231" w:rsidRPr="0005539E" w:rsidRDefault="00100231" w:rsidP="008D1891">
            <w:pPr>
              <w:keepNext/>
              <w:keepLines/>
              <w:rPr>
                <w:rFonts w:cs="Arial"/>
                <w:sz w:val="16"/>
                <w:szCs w:val="16"/>
              </w:rPr>
            </w:pPr>
            <w:r w:rsidRPr="00350D51">
              <w:rPr>
                <w:rFonts w:cs="Arial"/>
                <w:sz w:val="16"/>
                <w:szCs w:val="16"/>
              </w:rPr>
              <w:t>Refinement of the electronic Intern</w:t>
            </w:r>
            <w:r>
              <w:rPr>
                <w:rFonts w:cs="Arial"/>
                <w:sz w:val="16"/>
                <w:szCs w:val="16"/>
              </w:rPr>
              <w:t>ational Register of the Lisbon S</w:t>
            </w:r>
            <w:r w:rsidRPr="00350D51">
              <w:rPr>
                <w:rFonts w:cs="Arial"/>
                <w:sz w:val="16"/>
                <w:szCs w:val="16"/>
              </w:rPr>
              <w:t>ystem</w:t>
            </w:r>
          </w:p>
        </w:tc>
        <w:tc>
          <w:tcPr>
            <w:tcW w:w="1365" w:type="pct"/>
            <w:tcBorders>
              <w:top w:val="nil"/>
              <w:bottom w:val="single" w:sz="4" w:space="0" w:color="auto"/>
            </w:tcBorders>
            <w:shd w:val="clear" w:color="auto" w:fill="auto"/>
          </w:tcPr>
          <w:p w:rsidR="00100231" w:rsidRPr="00111222" w:rsidRDefault="00100231" w:rsidP="008D1891">
            <w:pPr>
              <w:keepNext/>
              <w:keepLines/>
              <w:rPr>
                <w:rFonts w:cs="Arial"/>
                <w:i/>
                <w:color w:val="002060"/>
                <w:sz w:val="16"/>
                <w:szCs w:val="16"/>
              </w:rPr>
            </w:pPr>
            <w:r>
              <w:rPr>
                <w:rFonts w:cs="Arial"/>
                <w:i/>
                <w:color w:val="002060"/>
                <w:sz w:val="16"/>
                <w:szCs w:val="16"/>
              </w:rPr>
              <w:t>Updated Baseline end 2013</w:t>
            </w:r>
            <w:r w:rsidRPr="0005539E">
              <w:rPr>
                <w:rFonts w:cs="Arial"/>
                <w:i/>
                <w:color w:val="002060"/>
                <w:sz w:val="16"/>
                <w:szCs w:val="16"/>
              </w:rPr>
              <w:t>:</w:t>
            </w:r>
            <w:r>
              <w:rPr>
                <w:rFonts w:cs="Arial"/>
                <w:color w:val="002060"/>
                <w:sz w:val="16"/>
                <w:szCs w:val="16"/>
              </w:rPr>
              <w:t xml:space="preserve">  IT applications for an electronic International Register in use since the Summer 2013</w:t>
            </w:r>
          </w:p>
          <w:p w:rsidR="00100231" w:rsidRPr="0005539E" w:rsidRDefault="00100231" w:rsidP="008D1891">
            <w:pPr>
              <w:keepNext/>
              <w:keepLines/>
              <w:rPr>
                <w:rFonts w:cs="Arial"/>
                <w:color w:val="002060"/>
                <w:sz w:val="16"/>
                <w:szCs w:val="16"/>
              </w:rPr>
            </w:pPr>
          </w:p>
          <w:p w:rsidR="00100231" w:rsidRPr="0005539E" w:rsidRDefault="00100231" w:rsidP="008D1891">
            <w:pPr>
              <w:keepNext/>
              <w:keepLines/>
              <w:rPr>
                <w:rFonts w:cs="Arial"/>
                <w:sz w:val="16"/>
                <w:szCs w:val="16"/>
              </w:rPr>
            </w:pPr>
            <w:r>
              <w:rPr>
                <w:rFonts w:cs="Arial"/>
                <w:i/>
                <w:sz w:val="16"/>
                <w:szCs w:val="16"/>
              </w:rPr>
              <w:t>Original Baseline P&amp;B 2013/14</w:t>
            </w:r>
            <w:r w:rsidRPr="0005539E">
              <w:rPr>
                <w:rFonts w:cs="Arial"/>
                <w:i/>
                <w:sz w:val="16"/>
                <w:szCs w:val="16"/>
              </w:rPr>
              <w:t>:</w:t>
            </w:r>
          </w:p>
          <w:p w:rsidR="00100231" w:rsidRPr="0005539E" w:rsidRDefault="00100231" w:rsidP="008D1891">
            <w:pPr>
              <w:keepNext/>
              <w:keepLines/>
              <w:rPr>
                <w:rFonts w:cs="Arial"/>
                <w:sz w:val="16"/>
                <w:szCs w:val="16"/>
              </w:rPr>
            </w:pPr>
            <w:r w:rsidRPr="00350D51">
              <w:rPr>
                <w:rFonts w:cs="Arial"/>
                <w:sz w:val="16"/>
                <w:szCs w:val="16"/>
              </w:rPr>
              <w:t>The electronic International Register (to be) established in 2013</w:t>
            </w:r>
          </w:p>
        </w:tc>
        <w:tc>
          <w:tcPr>
            <w:tcW w:w="818" w:type="pct"/>
            <w:tcBorders>
              <w:top w:val="nil"/>
              <w:bottom w:val="single" w:sz="4" w:space="0" w:color="auto"/>
            </w:tcBorders>
            <w:shd w:val="clear" w:color="auto" w:fill="auto"/>
            <w:tcMar>
              <w:top w:w="110" w:type="dxa"/>
            </w:tcMar>
          </w:tcPr>
          <w:p w:rsidR="00100231" w:rsidRPr="008539B9" w:rsidRDefault="00100231" w:rsidP="008D1891">
            <w:pPr>
              <w:keepNext/>
              <w:keepLines/>
              <w:rPr>
                <w:rFonts w:cs="Arial"/>
                <w:sz w:val="16"/>
                <w:szCs w:val="16"/>
                <w:lang w:bidi="th-TH"/>
              </w:rPr>
            </w:pPr>
            <w:r w:rsidRPr="00350D51">
              <w:rPr>
                <w:rFonts w:cs="Arial"/>
                <w:sz w:val="16"/>
                <w:szCs w:val="16"/>
                <w:lang w:bidi="th-TH"/>
              </w:rPr>
              <w:t>Electronic system linking International Register and Lisbon Express database on the WIPO website</w:t>
            </w:r>
          </w:p>
        </w:tc>
        <w:tc>
          <w:tcPr>
            <w:tcW w:w="1155" w:type="pct"/>
            <w:tcBorders>
              <w:top w:val="nil"/>
              <w:bottom w:val="single" w:sz="4" w:space="0" w:color="auto"/>
            </w:tcBorders>
            <w:shd w:val="clear" w:color="auto" w:fill="FFFFFF"/>
            <w:tcMar>
              <w:top w:w="110" w:type="dxa"/>
            </w:tcMar>
          </w:tcPr>
          <w:p w:rsidR="00100231" w:rsidRPr="008539B9" w:rsidRDefault="00100231" w:rsidP="008D1891">
            <w:pPr>
              <w:keepNext/>
              <w:keepLines/>
              <w:rPr>
                <w:rFonts w:cs="Arial"/>
                <w:sz w:val="16"/>
                <w:szCs w:val="16"/>
                <w:lang w:bidi="th-TH"/>
              </w:rPr>
            </w:pPr>
            <w:r w:rsidRPr="000B734F">
              <w:rPr>
                <w:rFonts w:cs="Arial"/>
                <w:sz w:val="16"/>
                <w:szCs w:val="16"/>
                <w:lang w:bidi="th-TH"/>
              </w:rPr>
              <w:t xml:space="preserve">Electronic interface linking </w:t>
            </w:r>
            <w:r>
              <w:rPr>
                <w:rFonts w:cs="Arial"/>
                <w:sz w:val="16"/>
                <w:szCs w:val="16"/>
                <w:lang w:bidi="th-TH"/>
              </w:rPr>
              <w:t xml:space="preserve">the </w:t>
            </w:r>
            <w:r w:rsidRPr="000B734F">
              <w:rPr>
                <w:rFonts w:cs="Arial"/>
                <w:sz w:val="16"/>
                <w:szCs w:val="16"/>
                <w:lang w:bidi="th-TH"/>
              </w:rPr>
              <w:t xml:space="preserve">International Register and Lisbon Express database on the WIPO website </w:t>
            </w:r>
            <w:r>
              <w:rPr>
                <w:rFonts w:cs="Arial"/>
                <w:sz w:val="16"/>
                <w:szCs w:val="16"/>
                <w:lang w:bidi="th-TH"/>
              </w:rPr>
              <w:t>was completed and deployed in 2014</w:t>
            </w:r>
            <w:r w:rsidRPr="00F26E03">
              <w:rPr>
                <w:rFonts w:cs="Arial"/>
                <w:sz w:val="16"/>
                <w:szCs w:val="16"/>
                <w:lang w:bidi="th-TH"/>
              </w:rPr>
              <w:t xml:space="preserve">, </w:t>
            </w:r>
          </w:p>
        </w:tc>
        <w:tc>
          <w:tcPr>
            <w:tcW w:w="522" w:type="pct"/>
            <w:tcBorders>
              <w:top w:val="nil"/>
              <w:bottom w:val="single" w:sz="4" w:space="0" w:color="auto"/>
              <w:right w:val="single" w:sz="4" w:space="0" w:color="auto"/>
            </w:tcBorders>
            <w:shd w:val="clear" w:color="auto" w:fill="auto"/>
            <w:tcMar>
              <w:top w:w="110" w:type="dxa"/>
            </w:tcMar>
          </w:tcPr>
          <w:p w:rsidR="00100231" w:rsidRPr="00EA4470" w:rsidRDefault="00100231" w:rsidP="008D1891">
            <w:pPr>
              <w:keepNext/>
              <w:keepLines/>
              <w:jc w:val="center"/>
              <w:rPr>
                <w:rStyle w:val="Style5"/>
                <w:rFonts w:ascii="Arial" w:hAnsi="Arial" w:cs="Arial"/>
                <w:b/>
                <w:color w:val="00B050"/>
                <w:sz w:val="16"/>
              </w:rPr>
            </w:pPr>
            <w:r w:rsidRPr="00EA4470">
              <w:rPr>
                <w:rStyle w:val="Style5"/>
                <w:rFonts w:ascii="Arial" w:hAnsi="Arial" w:cs="Arial"/>
                <w:b/>
                <w:color w:val="00B050"/>
                <w:sz w:val="16"/>
                <w:szCs w:val="16"/>
              </w:rPr>
              <w:t>On track</w:t>
            </w:r>
          </w:p>
        </w:tc>
      </w:tr>
    </w:tbl>
    <w:p w:rsidR="00100231" w:rsidRDefault="00100231">
      <w:pPr>
        <w:rPr>
          <w:rFonts w:cs="Arial"/>
          <w:color w:val="000000"/>
          <w:sz w:val="22"/>
          <w:szCs w:val="22"/>
        </w:rPr>
      </w:pPr>
    </w:p>
    <w:p w:rsidR="00100231" w:rsidRDefault="00100231">
      <w:pPr>
        <w:rPr>
          <w:rFonts w:cs="Arial"/>
          <w:color w:val="000000"/>
          <w:sz w:val="22"/>
          <w:szCs w:val="22"/>
        </w:rPr>
      </w:pPr>
    </w:p>
    <w:p w:rsidR="00100231" w:rsidRDefault="00100231" w:rsidP="00845557">
      <w:pPr>
        <w:keepNext/>
        <w:keepLines/>
        <w:rPr>
          <w:b/>
          <w:sz w:val="18"/>
          <w:szCs w:val="18"/>
        </w:rPr>
      </w:pPr>
      <w:r>
        <w:rPr>
          <w:rFonts w:cs="Arial"/>
          <w:color w:val="000000"/>
          <w:sz w:val="22"/>
          <w:szCs w:val="22"/>
        </w:rPr>
        <w:t>RESOURCE UTILIZATION</w:t>
      </w:r>
      <w:r>
        <w:rPr>
          <w:rFonts w:cs="Arial"/>
          <w:color w:val="000000"/>
          <w:sz w:val="22"/>
          <w:szCs w:val="22"/>
        </w:rPr>
        <w:tab/>
      </w:r>
    </w:p>
    <w:p w:rsidR="00100231" w:rsidRPr="008F4A6D" w:rsidRDefault="00100231" w:rsidP="00845557">
      <w:pPr>
        <w:keepNext/>
        <w:keepLines/>
        <w:rPr>
          <w:szCs w:val="20"/>
        </w:rPr>
      </w:pPr>
    </w:p>
    <w:p w:rsidR="00100231" w:rsidRPr="00383D2D" w:rsidRDefault="00100231" w:rsidP="00845557">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(by result) </w:t>
      </w:r>
    </w:p>
    <w:p w:rsidR="00100231" w:rsidRDefault="00100231" w:rsidP="00845557">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100231" w:rsidRPr="00383D2D" w:rsidRDefault="00100231" w:rsidP="00845557">
      <w:pPr>
        <w:pStyle w:val="NormalWeb"/>
        <w:keepNext/>
        <w:keepLines/>
        <w:spacing w:before="0" w:beforeAutospacing="0" w:after="0" w:afterAutospacing="0"/>
        <w:jc w:val="center"/>
        <w:rPr>
          <w:sz w:val="20"/>
          <w:szCs w:val="20"/>
        </w:rPr>
      </w:pPr>
    </w:p>
    <w:p w:rsidR="00100231" w:rsidRDefault="00100231" w:rsidP="00845557">
      <w:pPr>
        <w:keepNext/>
        <w:keepLines/>
        <w:jc w:val="center"/>
      </w:pPr>
      <w:r w:rsidRPr="00AD35E1">
        <w:rPr>
          <w:noProof/>
        </w:rPr>
        <w:drawing>
          <wp:inline distT="0" distB="0" distL="0" distR="0" wp14:anchorId="571FF3D9" wp14:editId="7FDAA644">
            <wp:extent cx="5546785" cy="1357348"/>
            <wp:effectExtent l="0" t="0" r="0" b="0"/>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60963" cy="1360817"/>
                    </a:xfrm>
                    <a:prstGeom prst="rect">
                      <a:avLst/>
                    </a:prstGeom>
                    <a:noFill/>
                    <a:ln>
                      <a:noFill/>
                    </a:ln>
                  </pic:spPr>
                </pic:pic>
              </a:graphicData>
            </a:graphic>
          </wp:inline>
        </w:drawing>
      </w:r>
    </w:p>
    <w:p w:rsidR="00100231" w:rsidRDefault="00100231" w:rsidP="00845557">
      <w:pPr>
        <w:keepNext/>
        <w:keepLines/>
      </w:pPr>
    </w:p>
    <w:p w:rsidR="00100231" w:rsidRDefault="00100231"/>
    <w:p w:rsidR="00100231" w:rsidRPr="00383D2D" w:rsidRDefault="00100231" w:rsidP="00383D2D">
      <w:pPr>
        <w:pStyle w:val="NormalWeb"/>
        <w:keepNext/>
        <w:keepLines/>
        <w:spacing w:before="0" w:beforeAutospacing="0" w:after="0" w:afterAutospacing="0"/>
        <w:jc w:val="center"/>
        <w:rPr>
          <w:sz w:val="20"/>
          <w:szCs w:val="20"/>
        </w:rPr>
      </w:pPr>
      <w:r w:rsidRPr="00383D2D">
        <w:rPr>
          <w:color w:val="000000"/>
          <w:sz w:val="20"/>
          <w:szCs w:val="20"/>
        </w:rPr>
        <w:lastRenderedPageBreak/>
        <w:t xml:space="preserve">Budget and Actual Expenditure (personnel and non-personnel) </w:t>
      </w:r>
    </w:p>
    <w:p w:rsidR="00100231" w:rsidRPr="00383D2D" w:rsidRDefault="00100231" w:rsidP="00383D2D">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100231" w:rsidRDefault="00100231" w:rsidP="00383D2D">
      <w:pPr>
        <w:pStyle w:val="NormalWeb"/>
        <w:keepNext/>
        <w:keepLines/>
        <w:spacing w:before="0" w:beforeAutospacing="0" w:after="0" w:afterAutospacing="0"/>
        <w:jc w:val="center"/>
      </w:pPr>
    </w:p>
    <w:p w:rsidR="00100231" w:rsidRDefault="00100231" w:rsidP="008D1891">
      <w:pPr>
        <w:jc w:val="center"/>
        <w:rPr>
          <w:sz w:val="16"/>
          <w:szCs w:val="16"/>
        </w:rPr>
      </w:pPr>
      <w:r w:rsidRPr="00AD35E1">
        <w:rPr>
          <w:noProof/>
        </w:rPr>
        <w:drawing>
          <wp:inline distT="0" distB="0" distL="0" distR="0" wp14:anchorId="02298820" wp14:editId="0E57EC0D">
            <wp:extent cx="5607170" cy="1226569"/>
            <wp:effectExtent l="0" t="0" r="0" b="0"/>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14716" cy="1228220"/>
                    </a:xfrm>
                    <a:prstGeom prst="rect">
                      <a:avLst/>
                    </a:prstGeom>
                    <a:noFill/>
                    <a:ln>
                      <a:noFill/>
                    </a:ln>
                  </pic:spPr>
                </pic:pic>
              </a:graphicData>
            </a:graphic>
          </wp:inline>
        </w:drawing>
      </w:r>
    </w:p>
    <w:p w:rsidR="00100231" w:rsidRPr="009C736D" w:rsidRDefault="00100231" w:rsidP="008D1891">
      <w:pPr>
        <w:keepNext/>
        <w:autoSpaceDE w:val="0"/>
        <w:autoSpaceDN w:val="0"/>
        <w:rPr>
          <w:i/>
          <w:sz w:val="16"/>
          <w:szCs w:val="16"/>
        </w:rPr>
      </w:pPr>
      <w:r w:rsidRPr="009C736D">
        <w:rPr>
          <w:i/>
          <w:sz w:val="16"/>
          <w:szCs w:val="16"/>
        </w:rPr>
        <w:t>NOTE: The 2014/15 Budget after Transfers reflects transfers as of March 31, 2015 to address needs during the 2014/15 biennium in line with Financial Regulation 5.5.</w:t>
      </w:r>
    </w:p>
    <w:p w:rsidR="00100231" w:rsidRPr="008F4A6D" w:rsidRDefault="00100231" w:rsidP="00420F90">
      <w:pPr>
        <w:widowControl w:val="0"/>
        <w:autoSpaceDE w:val="0"/>
        <w:autoSpaceDN w:val="0"/>
        <w:adjustRightInd w:val="0"/>
        <w:rPr>
          <w:rFonts w:cs="Arial"/>
          <w:szCs w:val="20"/>
        </w:rPr>
      </w:pPr>
    </w:p>
    <w:p w:rsidR="00100231" w:rsidRPr="001C6F4D" w:rsidRDefault="00100231" w:rsidP="00420F90">
      <w:pPr>
        <w:widowControl w:val="0"/>
        <w:autoSpaceDE w:val="0"/>
        <w:autoSpaceDN w:val="0"/>
        <w:adjustRightInd w:val="0"/>
        <w:rPr>
          <w:rFonts w:cs="Arial"/>
          <w:szCs w:val="20"/>
        </w:rPr>
      </w:pPr>
    </w:p>
    <w:p w:rsidR="00100231" w:rsidRDefault="00100231" w:rsidP="00A93FCA">
      <w:pPr>
        <w:rPr>
          <w:rFonts w:cs="Arial"/>
          <w:u w:val="single"/>
        </w:rPr>
      </w:pPr>
      <w:r w:rsidRPr="00420F90">
        <w:rPr>
          <w:rFonts w:cs="Arial"/>
          <w:szCs w:val="20"/>
        </w:rPr>
        <w:t>A.</w:t>
      </w:r>
      <w:r w:rsidRPr="00420F90">
        <w:rPr>
          <w:rFonts w:cs="Arial"/>
        </w:rPr>
        <w:tab/>
      </w:r>
      <w:r w:rsidRPr="00420F90">
        <w:rPr>
          <w:rFonts w:cs="Arial"/>
          <w:u w:val="single"/>
        </w:rPr>
        <w:t>Budget after Transfers 201</w:t>
      </w:r>
      <w:r>
        <w:rPr>
          <w:rFonts w:cs="Arial"/>
          <w:u w:val="single"/>
        </w:rPr>
        <w:t>4/15</w:t>
      </w:r>
    </w:p>
    <w:p w:rsidR="00100231" w:rsidRPr="00420F90" w:rsidRDefault="00100231" w:rsidP="00A93FCA">
      <w:pPr>
        <w:rPr>
          <w:rFonts w:cs="Arial"/>
          <w:u w:val="single"/>
        </w:rPr>
      </w:pPr>
    </w:p>
    <w:p w:rsidR="00100231" w:rsidRDefault="00100231" w:rsidP="00100231">
      <w:pPr>
        <w:pStyle w:val="ListParagraph"/>
        <w:numPr>
          <w:ilvl w:val="0"/>
          <w:numId w:val="60"/>
        </w:numPr>
        <w:tabs>
          <w:tab w:val="left" w:pos="709"/>
        </w:tabs>
        <w:ind w:left="0" w:firstLine="0"/>
        <w:jc w:val="both"/>
        <w:rPr>
          <w:rFonts w:cs="Arial"/>
          <w:lang w:eastAsia="ko-KR"/>
        </w:rPr>
      </w:pPr>
      <w:r>
        <w:rPr>
          <w:rFonts w:cs="Arial"/>
          <w:lang w:eastAsia="ko-KR"/>
        </w:rPr>
        <w:t>The Budget after Transfers under Result II.6 (Wider and better use of the Madrid and Lisbon Systems) reflects an upward adjustment primarily due to the expansion of the Madrid Fellowship Program.</w:t>
      </w:r>
    </w:p>
    <w:p w:rsidR="00100231" w:rsidRDefault="00100231" w:rsidP="008D1891">
      <w:pPr>
        <w:autoSpaceDE w:val="0"/>
        <w:autoSpaceDN w:val="0"/>
        <w:jc w:val="both"/>
        <w:rPr>
          <w:rFonts w:cs="Arial"/>
          <w:szCs w:val="20"/>
          <w:lang w:eastAsia="ko-KR"/>
        </w:rPr>
      </w:pPr>
    </w:p>
    <w:p w:rsidR="00100231" w:rsidRDefault="00100231" w:rsidP="00100231">
      <w:pPr>
        <w:pStyle w:val="ListParagraph"/>
        <w:numPr>
          <w:ilvl w:val="0"/>
          <w:numId w:val="60"/>
        </w:numPr>
        <w:tabs>
          <w:tab w:val="left" w:pos="709"/>
        </w:tabs>
        <w:ind w:left="0" w:firstLine="0"/>
        <w:jc w:val="both"/>
        <w:rPr>
          <w:rFonts w:cs="Arial"/>
          <w:lang w:eastAsia="ko-KR"/>
        </w:rPr>
      </w:pPr>
      <w:r>
        <w:rPr>
          <w:rFonts w:cs="Arial"/>
        </w:rPr>
        <w:t>The</w:t>
      </w:r>
      <w:r>
        <w:rPr>
          <w:rFonts w:cs="Arial"/>
          <w:lang w:eastAsia="ko-KR"/>
        </w:rPr>
        <w:t xml:space="preserve"> shift from personnel to non-personnel resources in the 2014/15 Budget after Transfers reflects a move towards move flexible and agile resourcing of Madrid Operations as part of the Madrid Reform initiative.  </w:t>
      </w:r>
    </w:p>
    <w:p w:rsidR="00100231" w:rsidRDefault="00100231" w:rsidP="008D1891">
      <w:pPr>
        <w:autoSpaceDE w:val="0"/>
        <w:autoSpaceDN w:val="0"/>
        <w:jc w:val="both"/>
        <w:rPr>
          <w:rFonts w:cs="Arial"/>
          <w:szCs w:val="20"/>
          <w:lang w:eastAsia="ko-KR"/>
        </w:rPr>
      </w:pPr>
    </w:p>
    <w:p w:rsidR="00100231" w:rsidRDefault="00100231" w:rsidP="008D1891">
      <w:pPr>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Budget utilization 2014</w:t>
      </w:r>
    </w:p>
    <w:p w:rsidR="00100231" w:rsidRDefault="00100231" w:rsidP="00383D2D">
      <w:pPr>
        <w:tabs>
          <w:tab w:val="left" w:pos="709"/>
        </w:tabs>
        <w:jc w:val="both"/>
        <w:rPr>
          <w:rFonts w:cs="Arial"/>
          <w:szCs w:val="20"/>
          <w:u w:val="single"/>
          <w:lang w:eastAsia="ko-KR"/>
        </w:rPr>
      </w:pPr>
    </w:p>
    <w:p w:rsidR="00100231" w:rsidRDefault="00100231" w:rsidP="00100231">
      <w:pPr>
        <w:pStyle w:val="ListParagraph"/>
        <w:numPr>
          <w:ilvl w:val="0"/>
          <w:numId w:val="60"/>
        </w:numPr>
        <w:tabs>
          <w:tab w:val="left" w:pos="709"/>
        </w:tabs>
        <w:ind w:left="0" w:firstLine="0"/>
        <w:jc w:val="both"/>
        <w:rPr>
          <w:rFonts w:ascii="Calibri" w:hAnsi="Calibri"/>
          <w:sz w:val="22"/>
          <w:szCs w:val="22"/>
        </w:rPr>
      </w:pPr>
      <w:r>
        <w:rPr>
          <w:rFonts w:cs="Arial"/>
          <w:lang w:eastAsia="ko-KR"/>
        </w:rPr>
        <w:t xml:space="preserve">Budget utilization is within the expected range of 40-60 per cent for the first year of the biennium and is on track. </w:t>
      </w:r>
    </w:p>
    <w:p w:rsidR="00100231" w:rsidRDefault="00100231" w:rsidP="00295D7D">
      <w:pPr>
        <w:autoSpaceDE w:val="0"/>
        <w:autoSpaceDN w:val="0"/>
        <w:jc w:val="both"/>
      </w:pPr>
    </w:p>
    <w:p w:rsidR="009F72A7" w:rsidRDefault="009F72A7" w:rsidP="00E023E5"/>
    <w:p w:rsidR="009F72A7" w:rsidRDefault="009F72A7" w:rsidP="00E023E5"/>
    <w:p w:rsidR="009F72A7" w:rsidRPr="0054556A" w:rsidRDefault="009F72A7" w:rsidP="00E023E5"/>
    <w:p w:rsidR="009F72A7" w:rsidRDefault="009F72A7">
      <w:r>
        <w:br w:type="page"/>
      </w:r>
    </w:p>
    <w:p w:rsidR="009F72A7" w:rsidRPr="00FA0C5A" w:rsidRDefault="009F72A7" w:rsidP="00FA0C5A">
      <w:pPr>
        <w:pStyle w:val="StyleHeading3BoldNounderline"/>
        <w:rPr>
          <w:b/>
        </w:rPr>
      </w:pPr>
      <w:bookmarkStart w:id="57" w:name="_Toc422210485"/>
      <w:r w:rsidRPr="00FA0C5A">
        <w:rPr>
          <w:b/>
        </w:rPr>
        <w:lastRenderedPageBreak/>
        <w:t>Program 6 Annex:    Indicators of Madrid Operations</w:t>
      </w:r>
      <w:bookmarkEnd w:id="57"/>
    </w:p>
    <w:p w:rsidR="00E023E5" w:rsidRDefault="00E023E5"/>
    <w:p w:rsidR="009F72A7" w:rsidRDefault="009F72A7"/>
    <w:p w:rsidR="009F72A7" w:rsidRPr="00990B8A" w:rsidRDefault="009F72A7" w:rsidP="009F72A7">
      <w:pPr>
        <w:rPr>
          <w:lang w:bidi="th-TH"/>
        </w:rPr>
      </w:pPr>
      <w:r w:rsidRPr="00990B8A">
        <w:rPr>
          <w:lang w:bidi="th-TH"/>
        </w:rPr>
        <w:t>PERFORMANCE INDICATORS FOR THE EXPECTED RESULT</w:t>
      </w:r>
    </w:p>
    <w:p w:rsidR="009F72A7" w:rsidRPr="00990B8A" w:rsidRDefault="009F72A7" w:rsidP="009F72A7">
      <w:pPr>
        <w:tabs>
          <w:tab w:val="left" w:pos="1525"/>
          <w:tab w:val="right" w:pos="2835"/>
        </w:tabs>
        <w:spacing w:after="60"/>
      </w:pPr>
      <w:r w:rsidRPr="00990B8A">
        <w:t>“</w:t>
      </w:r>
      <w:r w:rsidRPr="00990B8A">
        <w:rPr>
          <w:lang w:bidi="th-TH"/>
        </w:rPr>
        <w:t>IMPROVED PRODUCTIVITY AND SERVICE QUALITY OF</w:t>
      </w:r>
      <w:r w:rsidRPr="00990B8A">
        <w:t xml:space="preserve"> MADRID OPERATIONS”</w:t>
      </w:r>
    </w:p>
    <w:p w:rsidR="009F72A7" w:rsidRPr="00990B8A" w:rsidRDefault="009F72A7" w:rsidP="009F72A7">
      <w:pPr>
        <w:rPr>
          <w:b/>
        </w:rPr>
      </w:pPr>
    </w:p>
    <w:p w:rsidR="009F72A7" w:rsidRPr="00990B8A" w:rsidRDefault="009F72A7" w:rsidP="00520CAA">
      <w:pPr>
        <w:pStyle w:val="ListParagraph"/>
        <w:numPr>
          <w:ilvl w:val="0"/>
          <w:numId w:val="17"/>
        </w:numPr>
        <w:tabs>
          <w:tab w:val="left" w:pos="567"/>
        </w:tabs>
        <w:ind w:left="0" w:firstLine="0"/>
        <w:contextualSpacing/>
        <w:jc w:val="both"/>
        <w:rPr>
          <w:rFonts w:cs="Arial"/>
        </w:rPr>
      </w:pPr>
      <w:r w:rsidRPr="00990B8A">
        <w:rPr>
          <w:rFonts w:cs="Arial"/>
        </w:rPr>
        <w:t>As background for the performance indicators for the expected result “</w:t>
      </w:r>
      <w:r w:rsidRPr="00990B8A">
        <w:rPr>
          <w:rFonts w:cs="Arial"/>
          <w:lang w:eastAsia="zh-CN" w:bidi="th-TH"/>
        </w:rPr>
        <w:t>improved productivity and service quality of</w:t>
      </w:r>
      <w:r w:rsidRPr="00990B8A">
        <w:rPr>
          <w:rFonts w:cs="Arial"/>
        </w:rPr>
        <w:t xml:space="preserve"> Madrid operations”, the evolution of the following factors needs to be considered:</w:t>
      </w:r>
    </w:p>
    <w:p w:rsidR="009F72A7" w:rsidRPr="00990B8A" w:rsidRDefault="009F72A7" w:rsidP="009F72A7">
      <w:pPr>
        <w:jc w:val="both"/>
      </w:pPr>
    </w:p>
    <w:p w:rsidR="009F72A7" w:rsidRPr="00990B8A" w:rsidRDefault="009F72A7" w:rsidP="00520CAA">
      <w:pPr>
        <w:numPr>
          <w:ilvl w:val="0"/>
          <w:numId w:val="11"/>
        </w:numPr>
        <w:tabs>
          <w:tab w:val="clear" w:pos="720"/>
          <w:tab w:val="num" w:pos="1701"/>
        </w:tabs>
        <w:spacing w:after="120"/>
        <w:ind w:left="1701" w:hanging="567"/>
        <w:jc w:val="both"/>
      </w:pPr>
      <w:r w:rsidRPr="00990B8A">
        <w:t>Madrid workloads;</w:t>
      </w:r>
    </w:p>
    <w:p w:rsidR="009F72A7" w:rsidRPr="00990B8A" w:rsidRDefault="009F72A7" w:rsidP="00520CAA">
      <w:pPr>
        <w:numPr>
          <w:ilvl w:val="0"/>
          <w:numId w:val="11"/>
        </w:numPr>
        <w:tabs>
          <w:tab w:val="clear" w:pos="720"/>
          <w:tab w:val="num" w:pos="1701"/>
        </w:tabs>
        <w:spacing w:after="120"/>
        <w:ind w:left="1701" w:hanging="567"/>
        <w:jc w:val="both"/>
      </w:pPr>
      <w:r w:rsidRPr="00990B8A">
        <w:t>Composition of those workloads;</w:t>
      </w:r>
    </w:p>
    <w:p w:rsidR="009F72A7" w:rsidRPr="00990B8A" w:rsidRDefault="009F72A7" w:rsidP="00520CAA">
      <w:pPr>
        <w:numPr>
          <w:ilvl w:val="0"/>
          <w:numId w:val="11"/>
        </w:numPr>
        <w:tabs>
          <w:tab w:val="clear" w:pos="720"/>
          <w:tab w:val="num" w:pos="1701"/>
        </w:tabs>
        <w:spacing w:after="120"/>
        <w:ind w:left="1701" w:hanging="567"/>
        <w:jc w:val="both"/>
      </w:pPr>
      <w:r w:rsidRPr="00990B8A">
        <w:t>Number of staff assigned to process those workloads;</w:t>
      </w:r>
    </w:p>
    <w:p w:rsidR="009F72A7" w:rsidRPr="00990B8A" w:rsidRDefault="009F72A7" w:rsidP="00520CAA">
      <w:pPr>
        <w:numPr>
          <w:ilvl w:val="0"/>
          <w:numId w:val="11"/>
        </w:numPr>
        <w:tabs>
          <w:tab w:val="clear" w:pos="720"/>
          <w:tab w:val="num" w:pos="1701"/>
        </w:tabs>
        <w:spacing w:after="120"/>
        <w:ind w:left="1701" w:hanging="567"/>
        <w:jc w:val="both"/>
      </w:pPr>
      <w:r w:rsidRPr="00990B8A">
        <w:t>Level of automation;  and</w:t>
      </w:r>
    </w:p>
    <w:p w:rsidR="009F72A7" w:rsidRPr="00990B8A" w:rsidRDefault="009F72A7" w:rsidP="00520CAA">
      <w:pPr>
        <w:numPr>
          <w:ilvl w:val="0"/>
          <w:numId w:val="11"/>
        </w:numPr>
        <w:tabs>
          <w:tab w:val="clear" w:pos="720"/>
          <w:tab w:val="num" w:pos="1701"/>
        </w:tabs>
        <w:ind w:left="1701" w:hanging="567"/>
        <w:jc w:val="both"/>
      </w:pPr>
      <w:r w:rsidRPr="00990B8A">
        <w:t>Total cost of production.</w:t>
      </w:r>
    </w:p>
    <w:p w:rsidR="009F72A7" w:rsidRPr="00990B8A" w:rsidRDefault="009F72A7" w:rsidP="009F72A7">
      <w:pPr>
        <w:ind w:left="360"/>
        <w:jc w:val="both"/>
      </w:pPr>
    </w:p>
    <w:p w:rsidR="009F72A7" w:rsidRPr="00990B8A" w:rsidRDefault="009F72A7" w:rsidP="00520CAA">
      <w:pPr>
        <w:pStyle w:val="ListParagraph"/>
        <w:numPr>
          <w:ilvl w:val="0"/>
          <w:numId w:val="10"/>
        </w:numPr>
        <w:ind w:left="360" w:hanging="360"/>
        <w:contextualSpacing/>
        <w:jc w:val="both"/>
        <w:rPr>
          <w:rFonts w:cs="Arial"/>
          <w:b/>
        </w:rPr>
      </w:pPr>
      <w:r w:rsidRPr="00990B8A">
        <w:rPr>
          <w:rFonts w:cs="Arial"/>
          <w:b/>
        </w:rPr>
        <w:t>Incoming documents</w:t>
      </w:r>
    </w:p>
    <w:p w:rsidR="009F72A7" w:rsidRPr="00990B8A" w:rsidRDefault="009F72A7" w:rsidP="009F72A7">
      <w:pPr>
        <w:pStyle w:val="ListParagraph"/>
        <w:ind w:left="1080"/>
        <w:jc w:val="both"/>
        <w:rPr>
          <w:rFonts w:cs="Arial"/>
        </w:rPr>
      </w:pPr>
    </w:p>
    <w:p w:rsidR="009F72A7" w:rsidRPr="00990B8A" w:rsidRDefault="009F72A7" w:rsidP="00520CAA">
      <w:pPr>
        <w:pStyle w:val="ListParagraph"/>
        <w:numPr>
          <w:ilvl w:val="0"/>
          <w:numId w:val="17"/>
        </w:numPr>
        <w:tabs>
          <w:tab w:val="left" w:pos="567"/>
        </w:tabs>
        <w:ind w:left="0" w:firstLine="0"/>
        <w:contextualSpacing/>
        <w:jc w:val="both"/>
        <w:rPr>
          <w:rFonts w:cs="Arial"/>
        </w:rPr>
      </w:pPr>
      <w:r w:rsidRPr="00990B8A">
        <w:rPr>
          <w:rFonts w:cs="Arial"/>
        </w:rPr>
        <w:t>The International Bureau (IB) receives six different categories of documents, namely international applications, renewals, subsequent designations, modifications, decisions and corrections. The latest trend for each of these documents is presented below. Additional information on applications, such as their average number of classes and average number of words is also provided. For technical reasons, some indicators show data based on processed documents rather than on incoming documents. Backlogs in processing may therefore affect some indicators.</w:t>
      </w:r>
    </w:p>
    <w:p w:rsidR="009F72A7" w:rsidRPr="00990B8A" w:rsidRDefault="009F72A7" w:rsidP="009F72A7">
      <w:pPr>
        <w:pStyle w:val="ListParagraph"/>
        <w:ind w:left="0"/>
        <w:jc w:val="both"/>
        <w:rPr>
          <w:rFonts w:cs="Arial"/>
        </w:rPr>
      </w:pPr>
    </w:p>
    <w:p w:rsidR="009F72A7" w:rsidRPr="009049DD" w:rsidRDefault="009F72A7" w:rsidP="009F72A7">
      <w:pPr>
        <w:pStyle w:val="ListParagraph"/>
        <w:ind w:left="0"/>
        <w:jc w:val="both"/>
        <w:rPr>
          <w:rFonts w:cs="Arial"/>
          <w:u w:val="single"/>
        </w:rPr>
      </w:pPr>
      <w:r w:rsidRPr="009049DD">
        <w:rPr>
          <w:rFonts w:cs="Arial"/>
          <w:u w:val="single"/>
        </w:rPr>
        <w:t xml:space="preserve">International applications </w:t>
      </w:r>
    </w:p>
    <w:p w:rsidR="009F72A7" w:rsidRPr="00990B8A" w:rsidRDefault="009F72A7" w:rsidP="009F72A7">
      <w:pPr>
        <w:jc w:val="center"/>
      </w:pPr>
      <w:r w:rsidRPr="00990B8A">
        <w:rPr>
          <w:noProof/>
        </w:rPr>
        <w:drawing>
          <wp:inline distT="0" distB="0" distL="0" distR="0" wp14:anchorId="5E075995" wp14:editId="5B049613">
            <wp:extent cx="5375082" cy="2432000"/>
            <wp:effectExtent l="0" t="0" r="0" b="698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72465" cy="2430816"/>
                    </a:xfrm>
                    <a:prstGeom prst="rect">
                      <a:avLst/>
                    </a:prstGeom>
                    <a:noFill/>
                  </pic:spPr>
                </pic:pic>
              </a:graphicData>
            </a:graphic>
          </wp:inline>
        </w:drawing>
      </w:r>
    </w:p>
    <w:p w:rsidR="009F72A7" w:rsidRPr="00990B8A" w:rsidRDefault="009F72A7" w:rsidP="009F72A7">
      <w:pPr>
        <w:pStyle w:val="ListParagraph"/>
        <w:tabs>
          <w:tab w:val="left" w:pos="993"/>
        </w:tabs>
        <w:ind w:left="567"/>
        <w:jc w:val="both"/>
        <w:rPr>
          <w:rFonts w:cs="Arial"/>
        </w:rPr>
      </w:pPr>
    </w:p>
    <w:p w:rsidR="009F72A7" w:rsidRPr="00990B8A" w:rsidRDefault="009F72A7" w:rsidP="00520CAA">
      <w:pPr>
        <w:numPr>
          <w:ilvl w:val="0"/>
          <w:numId w:val="11"/>
        </w:numPr>
        <w:tabs>
          <w:tab w:val="clear" w:pos="720"/>
          <w:tab w:val="num" w:pos="1560"/>
        </w:tabs>
        <w:spacing w:after="120"/>
        <w:ind w:left="993" w:hanging="426"/>
        <w:jc w:val="both"/>
      </w:pPr>
      <w:r w:rsidRPr="00990B8A">
        <w:t xml:space="preserve">The IB received 47,885 applications in 2014, representing an increase of 2.3 per cent compared to 2013. </w:t>
      </w:r>
    </w:p>
    <w:p w:rsidR="009F72A7" w:rsidRPr="00990B8A" w:rsidRDefault="009F72A7" w:rsidP="00520CAA">
      <w:pPr>
        <w:numPr>
          <w:ilvl w:val="0"/>
          <w:numId w:val="11"/>
        </w:numPr>
        <w:tabs>
          <w:tab w:val="clear" w:pos="720"/>
          <w:tab w:val="num" w:pos="1560"/>
        </w:tabs>
        <w:spacing w:after="120"/>
        <w:ind w:left="993" w:hanging="426"/>
        <w:jc w:val="both"/>
      </w:pPr>
      <w:r w:rsidRPr="00990B8A">
        <w:t>The numbers of applications received have increased continuously since 2010.</w:t>
      </w:r>
    </w:p>
    <w:p w:rsidR="009F72A7" w:rsidRPr="00990B8A" w:rsidRDefault="009F72A7" w:rsidP="009F72A7">
      <w:pPr>
        <w:pStyle w:val="ListParagraph"/>
        <w:ind w:left="1418"/>
        <w:jc w:val="both"/>
        <w:rPr>
          <w:rFonts w:cs="Arial"/>
        </w:rPr>
      </w:pPr>
    </w:p>
    <w:p w:rsidR="009F72A7" w:rsidRPr="009049DD" w:rsidRDefault="009F72A7" w:rsidP="009F72A7">
      <w:pPr>
        <w:pStyle w:val="ListParagraph"/>
        <w:keepNext/>
        <w:keepLines/>
        <w:tabs>
          <w:tab w:val="left" w:pos="1701"/>
        </w:tabs>
        <w:ind w:left="567"/>
        <w:jc w:val="both"/>
        <w:rPr>
          <w:rFonts w:cs="Arial"/>
          <w:i/>
        </w:rPr>
      </w:pPr>
      <w:r w:rsidRPr="009049DD">
        <w:rPr>
          <w:rFonts w:cs="Arial"/>
          <w:i/>
        </w:rPr>
        <w:lastRenderedPageBreak/>
        <w:t>Distribution of applications by language of filing</w:t>
      </w:r>
    </w:p>
    <w:p w:rsidR="009F72A7" w:rsidRPr="00990B8A" w:rsidRDefault="009F72A7" w:rsidP="009F72A7">
      <w:pPr>
        <w:pStyle w:val="ListParagraph"/>
        <w:keepNext/>
        <w:keepLines/>
        <w:tabs>
          <w:tab w:val="left" w:pos="1701"/>
        </w:tabs>
        <w:ind w:left="1134"/>
        <w:jc w:val="both"/>
        <w:rPr>
          <w:rFonts w:cs="Arial"/>
        </w:rPr>
      </w:pPr>
    </w:p>
    <w:p w:rsidR="009F72A7" w:rsidRPr="00990B8A" w:rsidRDefault="009F72A7" w:rsidP="009F72A7">
      <w:pPr>
        <w:keepNext/>
        <w:keepLines/>
        <w:jc w:val="center"/>
      </w:pPr>
      <w:r w:rsidRPr="00990B8A">
        <w:rPr>
          <w:noProof/>
        </w:rPr>
        <w:drawing>
          <wp:inline distT="0" distB="0" distL="0" distR="0" wp14:anchorId="59FE34C9" wp14:editId="083BF3B7">
            <wp:extent cx="5193102" cy="2565550"/>
            <wp:effectExtent l="0" t="0" r="7620" b="635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194619" cy="2566300"/>
                    </a:xfrm>
                    <a:prstGeom prst="rect">
                      <a:avLst/>
                    </a:prstGeom>
                    <a:noFill/>
                  </pic:spPr>
                </pic:pic>
              </a:graphicData>
            </a:graphic>
          </wp:inline>
        </w:drawing>
      </w:r>
    </w:p>
    <w:p w:rsidR="009F72A7" w:rsidRPr="00990B8A" w:rsidRDefault="009F72A7" w:rsidP="00520CAA">
      <w:pPr>
        <w:keepNext/>
        <w:keepLines/>
        <w:numPr>
          <w:ilvl w:val="0"/>
          <w:numId w:val="11"/>
        </w:numPr>
        <w:tabs>
          <w:tab w:val="clear" w:pos="720"/>
          <w:tab w:val="num" w:pos="993"/>
        </w:tabs>
        <w:spacing w:after="120"/>
        <w:ind w:left="993" w:hanging="426"/>
        <w:jc w:val="both"/>
      </w:pPr>
      <w:r w:rsidRPr="00990B8A">
        <w:t xml:space="preserve">In 2014, 80 per cent of all applications were filed in English. </w:t>
      </w:r>
      <w:r>
        <w:t xml:space="preserve"> </w:t>
      </w:r>
      <w:r w:rsidRPr="00990B8A">
        <w:t>This share grew by 15</w:t>
      </w:r>
      <w:r>
        <w:t> </w:t>
      </w:r>
      <w:r w:rsidRPr="00990B8A">
        <w:t>percentage points from 65 per cent in 2008 to 80 per cent in 2014.</w:t>
      </w:r>
    </w:p>
    <w:p w:rsidR="009F72A7" w:rsidRDefault="009F72A7" w:rsidP="009F72A7">
      <w:pPr>
        <w:jc w:val="both"/>
      </w:pPr>
    </w:p>
    <w:p w:rsidR="009F72A7" w:rsidRPr="00990B8A" w:rsidRDefault="009F72A7" w:rsidP="009F72A7">
      <w:pPr>
        <w:jc w:val="both"/>
      </w:pPr>
    </w:p>
    <w:p w:rsidR="009F72A7" w:rsidRPr="009049DD" w:rsidRDefault="009F72A7" w:rsidP="009F72A7">
      <w:pPr>
        <w:pStyle w:val="ListParagraph"/>
        <w:keepNext/>
        <w:keepLines/>
        <w:tabs>
          <w:tab w:val="left" w:pos="1701"/>
        </w:tabs>
        <w:ind w:left="567"/>
        <w:jc w:val="both"/>
        <w:rPr>
          <w:rFonts w:cs="Arial"/>
          <w:i/>
        </w:rPr>
      </w:pPr>
      <w:r w:rsidRPr="009049DD">
        <w:rPr>
          <w:rFonts w:cs="Arial"/>
          <w:i/>
        </w:rPr>
        <w:t>Average</w:t>
      </w:r>
      <w:r w:rsidRPr="00990B8A">
        <w:rPr>
          <w:rFonts w:cs="Arial"/>
        </w:rPr>
        <w:t xml:space="preserve"> </w:t>
      </w:r>
      <w:r w:rsidRPr="009049DD">
        <w:rPr>
          <w:rFonts w:cs="Arial"/>
          <w:i/>
        </w:rPr>
        <w:t>number of designations per registration</w:t>
      </w:r>
    </w:p>
    <w:p w:rsidR="009F72A7" w:rsidRPr="00990B8A" w:rsidRDefault="009F72A7" w:rsidP="009F72A7">
      <w:pPr>
        <w:jc w:val="center"/>
      </w:pPr>
      <w:r w:rsidRPr="00990B8A">
        <w:rPr>
          <w:noProof/>
        </w:rPr>
        <w:drawing>
          <wp:inline distT="0" distB="0" distL="0" distR="0" wp14:anchorId="7F016E25" wp14:editId="74EB8A42">
            <wp:extent cx="5400136" cy="2592419"/>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99478" cy="2592103"/>
                    </a:xfrm>
                    <a:prstGeom prst="rect">
                      <a:avLst/>
                    </a:prstGeom>
                    <a:noFill/>
                  </pic:spPr>
                </pic:pic>
              </a:graphicData>
            </a:graphic>
          </wp:inline>
        </w:drawing>
      </w:r>
    </w:p>
    <w:p w:rsidR="009F72A7" w:rsidRPr="00990B8A" w:rsidRDefault="009F72A7" w:rsidP="00520CAA">
      <w:pPr>
        <w:numPr>
          <w:ilvl w:val="0"/>
          <w:numId w:val="11"/>
        </w:numPr>
        <w:tabs>
          <w:tab w:val="clear" w:pos="720"/>
          <w:tab w:val="num" w:pos="1134"/>
        </w:tabs>
        <w:spacing w:after="120"/>
        <w:ind w:left="993" w:hanging="426"/>
        <w:jc w:val="both"/>
      </w:pPr>
      <w:r w:rsidRPr="00990B8A">
        <w:t>An average 6.9 designations were made in applications registered in 2014.</w:t>
      </w:r>
    </w:p>
    <w:p w:rsidR="009F72A7" w:rsidRDefault="009F72A7" w:rsidP="00520CAA">
      <w:pPr>
        <w:numPr>
          <w:ilvl w:val="0"/>
          <w:numId w:val="11"/>
        </w:numPr>
        <w:tabs>
          <w:tab w:val="clear" w:pos="720"/>
          <w:tab w:val="num" w:pos="1134"/>
        </w:tabs>
        <w:spacing w:after="120"/>
        <w:ind w:left="993" w:hanging="426"/>
        <w:jc w:val="both"/>
      </w:pPr>
      <w:r w:rsidRPr="00990B8A">
        <w:t>The average number of designations per registration has remained almost unchanged since 2010.</w:t>
      </w:r>
    </w:p>
    <w:p w:rsidR="009F72A7" w:rsidRPr="00990B8A" w:rsidRDefault="009F72A7" w:rsidP="009F72A7">
      <w:pPr>
        <w:tabs>
          <w:tab w:val="num" w:pos="1134"/>
        </w:tabs>
        <w:spacing w:after="120"/>
        <w:ind w:left="993" w:hanging="426"/>
        <w:jc w:val="both"/>
      </w:pPr>
    </w:p>
    <w:p w:rsidR="009F72A7" w:rsidRPr="009049DD" w:rsidRDefault="009F72A7" w:rsidP="009F72A7">
      <w:pPr>
        <w:pStyle w:val="ListParagraph"/>
        <w:keepNext/>
        <w:keepLines/>
        <w:tabs>
          <w:tab w:val="left" w:pos="1701"/>
        </w:tabs>
        <w:ind w:left="567"/>
        <w:jc w:val="both"/>
        <w:rPr>
          <w:rFonts w:cs="Arial"/>
          <w:i/>
        </w:rPr>
      </w:pPr>
      <w:r w:rsidRPr="009049DD">
        <w:rPr>
          <w:rFonts w:cs="Arial"/>
          <w:i/>
        </w:rPr>
        <w:lastRenderedPageBreak/>
        <w:t>Average number of classes per registration</w:t>
      </w:r>
    </w:p>
    <w:p w:rsidR="009F72A7" w:rsidRPr="00990B8A" w:rsidRDefault="009F72A7" w:rsidP="009F72A7">
      <w:pPr>
        <w:keepNext/>
        <w:keepLines/>
        <w:jc w:val="center"/>
      </w:pPr>
      <w:r w:rsidRPr="00990B8A">
        <w:rPr>
          <w:noProof/>
        </w:rPr>
        <w:drawing>
          <wp:inline distT="0" distB="0" distL="0" distR="0" wp14:anchorId="0B23F9BF" wp14:editId="7E30B9EC">
            <wp:extent cx="5391510" cy="2468237"/>
            <wp:effectExtent l="0" t="0" r="0" b="889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96023" cy="2470303"/>
                    </a:xfrm>
                    <a:prstGeom prst="rect">
                      <a:avLst/>
                    </a:prstGeom>
                    <a:noFill/>
                  </pic:spPr>
                </pic:pic>
              </a:graphicData>
            </a:graphic>
          </wp:inline>
        </w:drawing>
      </w:r>
    </w:p>
    <w:p w:rsidR="009F72A7" w:rsidRPr="00990B8A" w:rsidRDefault="009F72A7" w:rsidP="00520CAA">
      <w:pPr>
        <w:keepNext/>
        <w:keepLines/>
        <w:numPr>
          <w:ilvl w:val="0"/>
          <w:numId w:val="11"/>
        </w:numPr>
        <w:tabs>
          <w:tab w:val="clear" w:pos="720"/>
          <w:tab w:val="num" w:pos="993"/>
        </w:tabs>
        <w:spacing w:after="120"/>
        <w:ind w:left="993" w:hanging="426"/>
        <w:jc w:val="both"/>
      </w:pPr>
      <w:r w:rsidRPr="00990B8A">
        <w:t xml:space="preserve">On average, 2.5 classes were specified in all applications registered in 2014. </w:t>
      </w:r>
    </w:p>
    <w:p w:rsidR="009F72A7" w:rsidRPr="00990B8A" w:rsidRDefault="009F72A7" w:rsidP="009F72A7">
      <w:pPr>
        <w:jc w:val="both"/>
      </w:pPr>
    </w:p>
    <w:p w:rsidR="009F72A7" w:rsidRPr="009049DD" w:rsidRDefault="009F72A7" w:rsidP="009F72A7">
      <w:pPr>
        <w:pStyle w:val="ListParagraph"/>
        <w:tabs>
          <w:tab w:val="left" w:pos="1701"/>
        </w:tabs>
        <w:ind w:left="567"/>
        <w:jc w:val="both"/>
        <w:rPr>
          <w:rFonts w:cs="Arial"/>
          <w:i/>
        </w:rPr>
      </w:pPr>
      <w:r w:rsidRPr="009049DD">
        <w:rPr>
          <w:rFonts w:cs="Arial"/>
          <w:i/>
        </w:rPr>
        <w:t xml:space="preserve">Average length of applications </w:t>
      </w:r>
    </w:p>
    <w:p w:rsidR="009F72A7" w:rsidRPr="00990B8A" w:rsidRDefault="009F72A7" w:rsidP="009F72A7">
      <w:pPr>
        <w:pStyle w:val="ListParagraph"/>
        <w:ind w:left="1980"/>
        <w:jc w:val="both"/>
        <w:rPr>
          <w:rFonts w:cs="Arial"/>
        </w:rPr>
      </w:pPr>
    </w:p>
    <w:p w:rsidR="009F72A7" w:rsidRPr="00990B8A" w:rsidRDefault="009F72A7" w:rsidP="00520CAA">
      <w:pPr>
        <w:pStyle w:val="ListParagraph"/>
        <w:numPr>
          <w:ilvl w:val="0"/>
          <w:numId w:val="17"/>
        </w:numPr>
        <w:tabs>
          <w:tab w:val="left" w:pos="567"/>
        </w:tabs>
        <w:ind w:left="0" w:firstLine="0"/>
        <w:contextualSpacing/>
        <w:jc w:val="both"/>
        <w:rPr>
          <w:rFonts w:cs="Arial"/>
        </w:rPr>
      </w:pPr>
      <w:r w:rsidRPr="00990B8A">
        <w:rPr>
          <w:rFonts w:cs="Arial"/>
        </w:rPr>
        <w:t xml:space="preserve">The length of an application is determined by the total number of words used by applicants to describe their mark, by the basic list of goods and services and by any accompanying limitations. These three elements are translated by the IB into two languages (English, French or Spanish). </w:t>
      </w:r>
    </w:p>
    <w:p w:rsidR="009F72A7" w:rsidRPr="00990B8A" w:rsidRDefault="009F72A7" w:rsidP="009F72A7">
      <w:pPr>
        <w:jc w:val="both"/>
      </w:pPr>
    </w:p>
    <w:p w:rsidR="009F72A7" w:rsidRPr="00990B8A" w:rsidRDefault="009F72A7" w:rsidP="00520CAA">
      <w:pPr>
        <w:pStyle w:val="ListParagraph"/>
        <w:numPr>
          <w:ilvl w:val="0"/>
          <w:numId w:val="17"/>
        </w:numPr>
        <w:tabs>
          <w:tab w:val="left" w:pos="567"/>
        </w:tabs>
        <w:ind w:left="0" w:firstLine="0"/>
        <w:contextualSpacing/>
        <w:jc w:val="both"/>
        <w:rPr>
          <w:rFonts w:cs="Arial"/>
        </w:rPr>
      </w:pPr>
      <w:r w:rsidRPr="00990B8A">
        <w:rPr>
          <w:rFonts w:cs="Arial"/>
        </w:rPr>
        <w:t xml:space="preserve">The length of applications has an impact on the workload of examiners, which includes classifying the goods and/or services in the application according to the Nice Classification. </w:t>
      </w:r>
    </w:p>
    <w:p w:rsidR="009F72A7" w:rsidRPr="00990B8A" w:rsidRDefault="009F72A7" w:rsidP="009F72A7">
      <w:pPr>
        <w:jc w:val="both"/>
      </w:pPr>
    </w:p>
    <w:p w:rsidR="009F72A7" w:rsidRPr="00990B8A" w:rsidRDefault="009F72A7" w:rsidP="00520CAA">
      <w:pPr>
        <w:pStyle w:val="ListParagraph"/>
        <w:numPr>
          <w:ilvl w:val="0"/>
          <w:numId w:val="17"/>
        </w:numPr>
        <w:tabs>
          <w:tab w:val="left" w:pos="567"/>
        </w:tabs>
        <w:ind w:left="0" w:firstLine="0"/>
        <w:contextualSpacing/>
        <w:jc w:val="both"/>
        <w:rPr>
          <w:rFonts w:cs="Arial"/>
        </w:rPr>
      </w:pPr>
      <w:r w:rsidRPr="00990B8A">
        <w:rPr>
          <w:rFonts w:cs="Arial"/>
        </w:rPr>
        <w:t>The average length of an application is determined by the total number of words in basic lists of goods and services, limitations and descriptions divided by the number of applications registered.</w:t>
      </w:r>
    </w:p>
    <w:p w:rsidR="009F72A7" w:rsidRPr="00990B8A" w:rsidRDefault="009F72A7" w:rsidP="009F72A7">
      <w:pPr>
        <w:jc w:val="center"/>
      </w:pPr>
      <w:r w:rsidRPr="00990B8A">
        <w:rPr>
          <w:noProof/>
        </w:rPr>
        <w:drawing>
          <wp:inline distT="0" distB="0" distL="0" distR="0" wp14:anchorId="2E599303" wp14:editId="3D69B2BB">
            <wp:extent cx="5357004" cy="2643824"/>
            <wp:effectExtent l="0" t="0" r="0" b="444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64153" cy="2647352"/>
                    </a:xfrm>
                    <a:prstGeom prst="rect">
                      <a:avLst/>
                    </a:prstGeom>
                    <a:noFill/>
                  </pic:spPr>
                </pic:pic>
              </a:graphicData>
            </a:graphic>
          </wp:inline>
        </w:drawing>
      </w:r>
    </w:p>
    <w:p w:rsidR="009F72A7" w:rsidRPr="00990B8A" w:rsidRDefault="009F72A7" w:rsidP="009F72A7">
      <w:pPr>
        <w:jc w:val="both"/>
      </w:pPr>
    </w:p>
    <w:p w:rsidR="009F72A7" w:rsidRPr="00990B8A" w:rsidRDefault="009F72A7" w:rsidP="00520CAA">
      <w:pPr>
        <w:numPr>
          <w:ilvl w:val="0"/>
          <w:numId w:val="11"/>
        </w:numPr>
        <w:tabs>
          <w:tab w:val="clear" w:pos="720"/>
          <w:tab w:val="num" w:pos="993"/>
        </w:tabs>
        <w:spacing w:after="120"/>
        <w:ind w:left="993" w:hanging="426"/>
        <w:jc w:val="both"/>
      </w:pPr>
      <w:r w:rsidRPr="00990B8A">
        <w:t>In 2014, the average length of an application was 239 words. This represents an increase of 12 per cent compared to 2013.</w:t>
      </w:r>
    </w:p>
    <w:p w:rsidR="009F72A7" w:rsidRPr="00990B8A" w:rsidRDefault="009F72A7" w:rsidP="00520CAA">
      <w:pPr>
        <w:numPr>
          <w:ilvl w:val="0"/>
          <w:numId w:val="11"/>
        </w:numPr>
        <w:tabs>
          <w:tab w:val="clear" w:pos="720"/>
          <w:tab w:val="num" w:pos="993"/>
        </w:tabs>
        <w:spacing w:after="120"/>
        <w:ind w:left="993" w:hanging="426"/>
        <w:jc w:val="both"/>
      </w:pPr>
      <w:r w:rsidRPr="00990B8A">
        <w:t>While certain aspects of the translation and classification work are automated, significant increases in the length of applications has a large impact on the workload of the IB.</w:t>
      </w:r>
    </w:p>
    <w:p w:rsidR="009F72A7" w:rsidRPr="00990B8A" w:rsidRDefault="009F72A7" w:rsidP="009F72A7">
      <w:pPr>
        <w:pStyle w:val="ListParagraph"/>
        <w:jc w:val="both"/>
        <w:rPr>
          <w:rFonts w:cs="Arial"/>
        </w:rPr>
      </w:pPr>
    </w:p>
    <w:p w:rsidR="009F72A7" w:rsidRPr="00990B8A" w:rsidRDefault="009F72A7" w:rsidP="009F72A7">
      <w:pPr>
        <w:pStyle w:val="ListParagraph"/>
        <w:jc w:val="both"/>
        <w:rPr>
          <w:rFonts w:cs="Arial"/>
        </w:rPr>
      </w:pPr>
    </w:p>
    <w:p w:rsidR="009F72A7" w:rsidRPr="009049DD" w:rsidRDefault="009F72A7" w:rsidP="009F72A7">
      <w:pPr>
        <w:pStyle w:val="ListParagraph"/>
        <w:keepNext/>
        <w:keepLines/>
        <w:tabs>
          <w:tab w:val="left" w:pos="1701"/>
        </w:tabs>
        <w:ind w:left="567"/>
        <w:jc w:val="both"/>
        <w:rPr>
          <w:rFonts w:cs="Arial"/>
          <w:i/>
        </w:rPr>
      </w:pPr>
      <w:r w:rsidRPr="009049DD">
        <w:rPr>
          <w:rFonts w:cs="Arial"/>
          <w:i/>
        </w:rPr>
        <w:lastRenderedPageBreak/>
        <w:t xml:space="preserve">Distribution of regular and irregular applications </w:t>
      </w:r>
    </w:p>
    <w:p w:rsidR="009F72A7" w:rsidRPr="00990B8A" w:rsidRDefault="009F72A7" w:rsidP="009F72A7">
      <w:pPr>
        <w:jc w:val="center"/>
      </w:pPr>
      <w:r w:rsidRPr="00990B8A">
        <w:rPr>
          <w:noProof/>
        </w:rPr>
        <w:drawing>
          <wp:inline distT="0" distB="0" distL="0" distR="0" wp14:anchorId="1AFA8534" wp14:editId="17D4EA7E">
            <wp:extent cx="5764696" cy="2892040"/>
            <wp:effectExtent l="0" t="0" r="7620" b="381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9370" cy="2894385"/>
                    </a:xfrm>
                    <a:prstGeom prst="rect">
                      <a:avLst/>
                    </a:prstGeom>
                    <a:noFill/>
                  </pic:spPr>
                </pic:pic>
              </a:graphicData>
            </a:graphic>
          </wp:inline>
        </w:drawing>
      </w:r>
    </w:p>
    <w:p w:rsidR="009F72A7" w:rsidRPr="00990B8A" w:rsidRDefault="009F72A7" w:rsidP="00520CAA">
      <w:pPr>
        <w:numPr>
          <w:ilvl w:val="0"/>
          <w:numId w:val="11"/>
        </w:numPr>
        <w:tabs>
          <w:tab w:val="clear" w:pos="720"/>
          <w:tab w:val="num" w:pos="993"/>
        </w:tabs>
        <w:spacing w:after="120"/>
        <w:ind w:left="993" w:hanging="426"/>
        <w:jc w:val="both"/>
      </w:pPr>
      <w:r w:rsidRPr="00990B8A">
        <w:t xml:space="preserve">The share of regular applications has remained more or less the same since 2011. </w:t>
      </w:r>
    </w:p>
    <w:p w:rsidR="009F72A7" w:rsidRPr="00990B8A" w:rsidRDefault="009F72A7" w:rsidP="009F72A7">
      <w:pPr>
        <w:jc w:val="both"/>
      </w:pPr>
    </w:p>
    <w:p w:rsidR="009F72A7" w:rsidRPr="009049DD" w:rsidRDefault="009F72A7" w:rsidP="009F72A7">
      <w:pPr>
        <w:pStyle w:val="ListParagraph"/>
        <w:ind w:left="0"/>
        <w:jc w:val="both"/>
        <w:rPr>
          <w:rFonts w:cs="Arial"/>
          <w:u w:val="single"/>
        </w:rPr>
      </w:pPr>
      <w:r w:rsidRPr="009049DD">
        <w:rPr>
          <w:rFonts w:cs="Arial"/>
          <w:u w:val="single"/>
        </w:rPr>
        <w:t xml:space="preserve">Renewals </w:t>
      </w:r>
    </w:p>
    <w:p w:rsidR="009F72A7" w:rsidRPr="00990B8A" w:rsidRDefault="009F72A7" w:rsidP="009F72A7">
      <w:pPr>
        <w:jc w:val="center"/>
      </w:pPr>
      <w:r w:rsidRPr="00990B8A">
        <w:rPr>
          <w:noProof/>
        </w:rPr>
        <w:drawing>
          <wp:inline distT="0" distB="0" distL="0" distR="0" wp14:anchorId="5E34AC01" wp14:editId="25B7801A">
            <wp:extent cx="5390984" cy="2639730"/>
            <wp:effectExtent l="0" t="0" r="635" b="825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90352" cy="2639420"/>
                    </a:xfrm>
                    <a:prstGeom prst="rect">
                      <a:avLst/>
                    </a:prstGeom>
                    <a:noFill/>
                  </pic:spPr>
                </pic:pic>
              </a:graphicData>
            </a:graphic>
          </wp:inline>
        </w:drawing>
      </w:r>
    </w:p>
    <w:p w:rsidR="009F72A7" w:rsidRPr="00990B8A" w:rsidRDefault="009F72A7" w:rsidP="00520CAA">
      <w:pPr>
        <w:numPr>
          <w:ilvl w:val="0"/>
          <w:numId w:val="11"/>
        </w:numPr>
        <w:tabs>
          <w:tab w:val="clear" w:pos="720"/>
          <w:tab w:val="num" w:pos="1560"/>
        </w:tabs>
        <w:spacing w:after="120"/>
        <w:ind w:left="993" w:hanging="426"/>
        <w:jc w:val="both"/>
      </w:pPr>
      <w:r w:rsidRPr="00990B8A">
        <w:t xml:space="preserve">In 2014, the IB registered 25,729 renewals, up 12 per cent from 2013. </w:t>
      </w:r>
    </w:p>
    <w:p w:rsidR="009F72A7" w:rsidRDefault="009F72A7" w:rsidP="00520CAA">
      <w:pPr>
        <w:numPr>
          <w:ilvl w:val="0"/>
          <w:numId w:val="11"/>
        </w:numPr>
        <w:tabs>
          <w:tab w:val="clear" w:pos="720"/>
          <w:tab w:val="num" w:pos="1560"/>
        </w:tabs>
        <w:spacing w:after="120"/>
        <w:ind w:left="993" w:hanging="426"/>
        <w:jc w:val="both"/>
      </w:pPr>
      <w:r w:rsidRPr="00990B8A">
        <w:t>Despite the increase in renewals between 2009 and 2014, the numbers of renewals processed manually have remained relatively stable. In 2014, 59 per cent of renewals were processed automatically.</w:t>
      </w:r>
    </w:p>
    <w:p w:rsidR="009F72A7" w:rsidRPr="00990B8A" w:rsidRDefault="009F72A7" w:rsidP="009F72A7">
      <w:pPr>
        <w:spacing w:after="120"/>
        <w:ind w:left="993" w:hanging="426"/>
        <w:jc w:val="both"/>
      </w:pPr>
    </w:p>
    <w:p w:rsidR="009F72A7" w:rsidRPr="009049DD" w:rsidRDefault="009F72A7" w:rsidP="009F72A7">
      <w:pPr>
        <w:pStyle w:val="ListParagraph"/>
        <w:keepNext/>
        <w:keepLines/>
        <w:ind w:left="0"/>
        <w:jc w:val="both"/>
        <w:rPr>
          <w:rFonts w:cs="Arial"/>
          <w:u w:val="single"/>
        </w:rPr>
      </w:pPr>
      <w:r w:rsidRPr="009049DD">
        <w:rPr>
          <w:rFonts w:cs="Arial"/>
          <w:u w:val="single"/>
        </w:rPr>
        <w:lastRenderedPageBreak/>
        <w:t xml:space="preserve">Subsequent Designations </w:t>
      </w:r>
    </w:p>
    <w:p w:rsidR="009F72A7" w:rsidRPr="00BF43CC" w:rsidRDefault="009F72A7" w:rsidP="009F72A7">
      <w:pPr>
        <w:keepNext/>
        <w:keepLines/>
        <w:jc w:val="center"/>
        <w:rPr>
          <w:highlight w:val="yellow"/>
        </w:rPr>
      </w:pPr>
      <w:r w:rsidRPr="00990B8A">
        <w:rPr>
          <w:noProof/>
          <w:color w:val="FF0000"/>
        </w:rPr>
        <w:drawing>
          <wp:inline distT="0" distB="0" distL="0" distR="0" wp14:anchorId="0BBA21D7" wp14:editId="7EB0F803">
            <wp:extent cx="5494352" cy="2888314"/>
            <wp:effectExtent l="0" t="0" r="0" b="762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96763" cy="2889582"/>
                    </a:xfrm>
                    <a:prstGeom prst="rect">
                      <a:avLst/>
                    </a:prstGeom>
                    <a:noFill/>
                  </pic:spPr>
                </pic:pic>
              </a:graphicData>
            </a:graphic>
          </wp:inline>
        </w:drawing>
      </w:r>
    </w:p>
    <w:p w:rsidR="009F72A7" w:rsidRPr="00460795" w:rsidRDefault="009F72A7" w:rsidP="009F72A7">
      <w:pPr>
        <w:keepNext/>
        <w:keepLines/>
        <w:jc w:val="both"/>
        <w:rPr>
          <w:highlight w:val="yellow"/>
        </w:rPr>
      </w:pPr>
    </w:p>
    <w:p w:rsidR="009F72A7" w:rsidRPr="0043175E" w:rsidRDefault="009F72A7" w:rsidP="00520CAA">
      <w:pPr>
        <w:keepNext/>
        <w:keepLines/>
        <w:numPr>
          <w:ilvl w:val="0"/>
          <w:numId w:val="11"/>
        </w:numPr>
        <w:tabs>
          <w:tab w:val="clear" w:pos="720"/>
          <w:tab w:val="num" w:pos="993"/>
        </w:tabs>
        <w:spacing w:after="120"/>
        <w:ind w:left="993" w:hanging="426"/>
        <w:jc w:val="both"/>
      </w:pPr>
      <w:r w:rsidRPr="0043175E">
        <w:t xml:space="preserve">In 2014, the IB recorded 17,316 subsequent designations, down 2.5 per cent from 2013. </w:t>
      </w:r>
    </w:p>
    <w:p w:rsidR="009F72A7" w:rsidRPr="0043175E" w:rsidRDefault="009F72A7" w:rsidP="00520CAA">
      <w:pPr>
        <w:keepNext/>
        <w:keepLines/>
        <w:numPr>
          <w:ilvl w:val="0"/>
          <w:numId w:val="11"/>
        </w:numPr>
        <w:tabs>
          <w:tab w:val="clear" w:pos="720"/>
          <w:tab w:val="num" w:pos="993"/>
        </w:tabs>
        <w:ind w:left="993" w:hanging="426"/>
        <w:jc w:val="both"/>
        <w:rPr>
          <w:b/>
        </w:rPr>
      </w:pPr>
      <w:r w:rsidRPr="0043175E">
        <w:t xml:space="preserve">In 2014, a new web form called E-Subsequent Designation was made available to applicants. </w:t>
      </w:r>
      <w:r>
        <w:t xml:space="preserve"> </w:t>
      </w:r>
      <w:r w:rsidRPr="0043175E">
        <w:t xml:space="preserve">This electronic form enabled the IB to process 14 per cent of all subsequent designations automatically. </w:t>
      </w:r>
    </w:p>
    <w:p w:rsidR="009F72A7" w:rsidRDefault="009F72A7" w:rsidP="009F72A7">
      <w:pPr>
        <w:pStyle w:val="ListParagraph"/>
        <w:ind w:left="1418"/>
        <w:jc w:val="both"/>
        <w:rPr>
          <w:rFonts w:cs="Arial"/>
          <w:b/>
        </w:rPr>
      </w:pPr>
    </w:p>
    <w:p w:rsidR="009F72A7" w:rsidRPr="0043175E" w:rsidRDefault="009F72A7" w:rsidP="009F72A7">
      <w:pPr>
        <w:pStyle w:val="ListParagraph"/>
        <w:ind w:left="1418"/>
        <w:jc w:val="both"/>
        <w:rPr>
          <w:rFonts w:cs="Arial"/>
          <w:b/>
        </w:rPr>
      </w:pPr>
    </w:p>
    <w:p w:rsidR="009F72A7" w:rsidRPr="009049DD" w:rsidRDefault="009F72A7" w:rsidP="009F72A7">
      <w:pPr>
        <w:pStyle w:val="ListParagraph"/>
        <w:ind w:left="0"/>
        <w:jc w:val="both"/>
        <w:rPr>
          <w:rFonts w:cs="Arial"/>
          <w:u w:val="single"/>
        </w:rPr>
      </w:pPr>
      <w:r w:rsidRPr="009049DD">
        <w:rPr>
          <w:rFonts w:cs="Arial"/>
          <w:u w:val="single"/>
        </w:rPr>
        <w:t>Modifications</w:t>
      </w:r>
    </w:p>
    <w:p w:rsidR="009F72A7" w:rsidRPr="00990B8A" w:rsidRDefault="009F72A7" w:rsidP="009F72A7">
      <w:pPr>
        <w:ind w:left="360"/>
        <w:jc w:val="center"/>
      </w:pPr>
      <w:r w:rsidRPr="00990B8A">
        <w:rPr>
          <w:noProof/>
        </w:rPr>
        <w:drawing>
          <wp:inline distT="0" distB="0" distL="0" distR="0" wp14:anchorId="66279328" wp14:editId="17456057">
            <wp:extent cx="5097638" cy="2560320"/>
            <wp:effectExtent l="0" t="0" r="825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097105" cy="2560052"/>
                    </a:xfrm>
                    <a:prstGeom prst="rect">
                      <a:avLst/>
                    </a:prstGeom>
                    <a:noFill/>
                  </pic:spPr>
                </pic:pic>
              </a:graphicData>
            </a:graphic>
          </wp:inline>
        </w:drawing>
      </w:r>
    </w:p>
    <w:p w:rsidR="009F72A7" w:rsidRDefault="009F72A7" w:rsidP="00520CAA">
      <w:pPr>
        <w:numPr>
          <w:ilvl w:val="0"/>
          <w:numId w:val="11"/>
        </w:numPr>
        <w:tabs>
          <w:tab w:val="clear" w:pos="720"/>
          <w:tab w:val="num" w:pos="993"/>
        </w:tabs>
        <w:spacing w:after="120"/>
        <w:ind w:left="993" w:hanging="426"/>
        <w:jc w:val="both"/>
      </w:pPr>
      <w:r w:rsidRPr="00990B8A">
        <w:t xml:space="preserve">In 2014, the IB received 38,817 requests for modification, up 5.5 per cent from 2013. </w:t>
      </w:r>
    </w:p>
    <w:p w:rsidR="009F72A7" w:rsidRPr="00990B8A" w:rsidRDefault="009F72A7" w:rsidP="009F72A7">
      <w:pPr>
        <w:spacing w:after="120"/>
        <w:ind w:left="1560"/>
        <w:jc w:val="both"/>
      </w:pPr>
    </w:p>
    <w:p w:rsidR="009F72A7" w:rsidRPr="009049DD" w:rsidRDefault="009F72A7" w:rsidP="009F72A7">
      <w:pPr>
        <w:pStyle w:val="ListParagraph"/>
        <w:keepNext/>
        <w:keepLines/>
        <w:ind w:left="0"/>
        <w:jc w:val="both"/>
        <w:rPr>
          <w:rFonts w:cs="Arial"/>
          <w:u w:val="single"/>
        </w:rPr>
      </w:pPr>
      <w:r w:rsidRPr="009049DD">
        <w:rPr>
          <w:rFonts w:cs="Arial"/>
          <w:u w:val="single"/>
        </w:rPr>
        <w:lastRenderedPageBreak/>
        <w:t>Decisions</w:t>
      </w:r>
    </w:p>
    <w:p w:rsidR="009F72A7" w:rsidRPr="00990B8A" w:rsidRDefault="009F72A7" w:rsidP="009F72A7">
      <w:pPr>
        <w:keepNext/>
        <w:keepLines/>
        <w:jc w:val="center"/>
      </w:pPr>
      <w:r w:rsidRPr="00990B8A">
        <w:rPr>
          <w:noProof/>
        </w:rPr>
        <w:drawing>
          <wp:inline distT="0" distB="0" distL="0" distR="0" wp14:anchorId="5B8DB847" wp14:editId="66E3715A">
            <wp:extent cx="5812403" cy="2969036"/>
            <wp:effectExtent l="0" t="0" r="0" b="317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12139" cy="2968901"/>
                    </a:xfrm>
                    <a:prstGeom prst="rect">
                      <a:avLst/>
                    </a:prstGeom>
                    <a:noFill/>
                  </pic:spPr>
                </pic:pic>
              </a:graphicData>
            </a:graphic>
          </wp:inline>
        </w:drawing>
      </w:r>
    </w:p>
    <w:p w:rsidR="009F72A7" w:rsidRPr="00990B8A" w:rsidRDefault="009F72A7" w:rsidP="00520CAA">
      <w:pPr>
        <w:keepNext/>
        <w:keepLines/>
        <w:numPr>
          <w:ilvl w:val="0"/>
          <w:numId w:val="11"/>
        </w:numPr>
        <w:tabs>
          <w:tab w:val="clear" w:pos="720"/>
          <w:tab w:val="num" w:pos="993"/>
        </w:tabs>
        <w:spacing w:after="120"/>
        <w:ind w:left="993" w:hanging="426"/>
        <w:jc w:val="both"/>
      </w:pPr>
      <w:r w:rsidRPr="00990B8A">
        <w:t xml:space="preserve">In 2014, the number of decisions registered decreased by 0.3 per cent compared to 2013, totaling 521,208. </w:t>
      </w:r>
      <w:r>
        <w:t xml:space="preserve"> </w:t>
      </w:r>
      <w:r w:rsidRPr="00990B8A">
        <w:t>The number of decisions processed has rapidly increased since 2010.</w:t>
      </w:r>
    </w:p>
    <w:p w:rsidR="009F72A7" w:rsidRPr="00990B8A" w:rsidRDefault="009F72A7" w:rsidP="00520CAA">
      <w:pPr>
        <w:numPr>
          <w:ilvl w:val="0"/>
          <w:numId w:val="11"/>
        </w:numPr>
        <w:tabs>
          <w:tab w:val="clear" w:pos="720"/>
          <w:tab w:val="num" w:pos="993"/>
        </w:tabs>
        <w:spacing w:after="120"/>
        <w:ind w:left="993" w:hanging="426"/>
        <w:jc w:val="both"/>
      </w:pPr>
      <w:r w:rsidRPr="00990B8A">
        <w:t xml:space="preserve">In 2014, 62 per cent of decisions were processed automatically. </w:t>
      </w:r>
      <w:r>
        <w:t xml:space="preserve"> </w:t>
      </w:r>
      <w:r w:rsidRPr="00990B8A">
        <w:t>The majority of decisions have been processed automatically since 2011.</w:t>
      </w:r>
    </w:p>
    <w:p w:rsidR="009F72A7" w:rsidRPr="00990B8A" w:rsidRDefault="009F72A7" w:rsidP="009F72A7">
      <w:pPr>
        <w:jc w:val="both"/>
      </w:pPr>
    </w:p>
    <w:p w:rsidR="009F72A7" w:rsidRPr="009049DD" w:rsidRDefault="009F72A7" w:rsidP="009F72A7">
      <w:pPr>
        <w:pStyle w:val="ListParagraph"/>
        <w:ind w:left="0"/>
        <w:jc w:val="both"/>
        <w:rPr>
          <w:rFonts w:cs="Arial"/>
          <w:u w:val="single"/>
        </w:rPr>
      </w:pPr>
      <w:r w:rsidRPr="009049DD">
        <w:rPr>
          <w:rFonts w:cs="Arial"/>
          <w:u w:val="single"/>
        </w:rPr>
        <w:t>Corrections</w:t>
      </w:r>
    </w:p>
    <w:p w:rsidR="009F72A7" w:rsidRPr="00990B8A" w:rsidRDefault="009F72A7" w:rsidP="009F72A7">
      <w:pPr>
        <w:jc w:val="center"/>
      </w:pPr>
      <w:r w:rsidRPr="00990B8A">
        <w:rPr>
          <w:noProof/>
        </w:rPr>
        <w:drawing>
          <wp:inline distT="0" distB="0" distL="0" distR="0" wp14:anchorId="3E8089AC" wp14:editId="642E6E9D">
            <wp:extent cx="5645426" cy="265493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46937" cy="2655646"/>
                    </a:xfrm>
                    <a:prstGeom prst="rect">
                      <a:avLst/>
                    </a:prstGeom>
                    <a:noFill/>
                  </pic:spPr>
                </pic:pic>
              </a:graphicData>
            </a:graphic>
          </wp:inline>
        </w:drawing>
      </w:r>
    </w:p>
    <w:p w:rsidR="009F72A7" w:rsidRPr="00990B8A" w:rsidRDefault="009F72A7" w:rsidP="00520CAA">
      <w:pPr>
        <w:numPr>
          <w:ilvl w:val="0"/>
          <w:numId w:val="11"/>
        </w:numPr>
        <w:tabs>
          <w:tab w:val="clear" w:pos="720"/>
          <w:tab w:val="num" w:pos="993"/>
        </w:tabs>
        <w:spacing w:after="120"/>
        <w:ind w:left="993" w:hanging="426"/>
        <w:jc w:val="both"/>
      </w:pPr>
      <w:r w:rsidRPr="00990B8A">
        <w:t xml:space="preserve">In 2014, the IB recorded approximately 6,000 corrections. </w:t>
      </w:r>
      <w:r>
        <w:t xml:space="preserve"> </w:t>
      </w:r>
      <w:r w:rsidRPr="00990B8A">
        <w:t>This represents an increase of 17 per cent compared to 2013.</w:t>
      </w:r>
    </w:p>
    <w:p w:rsidR="009F72A7" w:rsidRPr="00460795" w:rsidRDefault="009F72A7" w:rsidP="00520CAA">
      <w:pPr>
        <w:pStyle w:val="ListParagraph"/>
        <w:keepNext/>
        <w:keepLines/>
        <w:numPr>
          <w:ilvl w:val="0"/>
          <w:numId w:val="10"/>
        </w:numPr>
        <w:ind w:left="540" w:hanging="540"/>
        <w:contextualSpacing/>
        <w:jc w:val="both"/>
        <w:rPr>
          <w:rFonts w:cs="Arial"/>
          <w:b/>
        </w:rPr>
      </w:pPr>
      <w:r w:rsidRPr="00460795">
        <w:rPr>
          <w:rFonts w:cs="Arial"/>
          <w:b/>
        </w:rPr>
        <w:t>Total workload</w:t>
      </w:r>
    </w:p>
    <w:p w:rsidR="009F72A7" w:rsidRPr="00990B8A" w:rsidRDefault="009F72A7" w:rsidP="009F72A7">
      <w:pPr>
        <w:keepNext/>
        <w:keepLines/>
        <w:jc w:val="both"/>
      </w:pPr>
    </w:p>
    <w:p w:rsidR="009F72A7" w:rsidRPr="00990B8A" w:rsidRDefault="009F72A7" w:rsidP="00520CAA">
      <w:pPr>
        <w:pStyle w:val="ListParagraph"/>
        <w:keepNext/>
        <w:keepLines/>
        <w:numPr>
          <w:ilvl w:val="0"/>
          <w:numId w:val="17"/>
        </w:numPr>
        <w:tabs>
          <w:tab w:val="left" w:pos="567"/>
        </w:tabs>
        <w:ind w:left="0" w:firstLine="0"/>
        <w:contextualSpacing/>
        <w:jc w:val="both"/>
        <w:rPr>
          <w:rFonts w:cs="Arial"/>
        </w:rPr>
      </w:pPr>
      <w:r w:rsidRPr="00990B8A">
        <w:rPr>
          <w:rFonts w:cs="Arial"/>
        </w:rPr>
        <w:t xml:space="preserve">The total workload represents the weighted total number of documents processed by the IB. </w:t>
      </w:r>
      <w:r>
        <w:rPr>
          <w:rFonts w:cs="Arial"/>
        </w:rPr>
        <w:t xml:space="preserve"> </w:t>
      </w:r>
      <w:r w:rsidRPr="00990B8A">
        <w:rPr>
          <w:rFonts w:cs="Arial"/>
        </w:rPr>
        <w:t>All six categories of documents are included (applications, renewals, subsequent designations, modifications, decisions and corrections).</w:t>
      </w:r>
    </w:p>
    <w:p w:rsidR="009F72A7" w:rsidRPr="00990B8A" w:rsidRDefault="009F72A7" w:rsidP="009F72A7">
      <w:pPr>
        <w:keepNext/>
        <w:keepLines/>
        <w:jc w:val="both"/>
      </w:pPr>
    </w:p>
    <w:p w:rsidR="009F72A7" w:rsidRPr="00990B8A" w:rsidRDefault="009F72A7" w:rsidP="00520CAA">
      <w:pPr>
        <w:pStyle w:val="ListParagraph"/>
        <w:keepNext/>
        <w:keepLines/>
        <w:numPr>
          <w:ilvl w:val="0"/>
          <w:numId w:val="17"/>
        </w:numPr>
        <w:tabs>
          <w:tab w:val="left" w:pos="567"/>
        </w:tabs>
        <w:ind w:left="0" w:firstLine="0"/>
        <w:contextualSpacing/>
        <w:jc w:val="both"/>
        <w:rPr>
          <w:rFonts w:cs="Arial"/>
        </w:rPr>
      </w:pPr>
      <w:r w:rsidRPr="00990B8A">
        <w:rPr>
          <w:rFonts w:cs="Arial"/>
        </w:rPr>
        <w:t>As processing these types of documents do not require equal resources, they are each weighted differently.  According to this weighted system, during the time required to process an international application, an examiner can process 1.6 renewals, 1.8 subsequent designat</w:t>
      </w:r>
      <w:r>
        <w:rPr>
          <w:rFonts w:cs="Arial"/>
        </w:rPr>
        <w:t>ions, 1.8 </w:t>
      </w:r>
      <w:r w:rsidRPr="00990B8A">
        <w:rPr>
          <w:rFonts w:cs="Arial"/>
        </w:rPr>
        <w:t>modifications or 10 decisions. Similarly, during the time required to process an international application, an employee involved in the automation process can be deemed to process 17</w:t>
      </w:r>
      <w:r>
        <w:rPr>
          <w:rFonts w:cs="Arial"/>
        </w:rPr>
        <w:t> </w:t>
      </w:r>
      <w:r w:rsidRPr="00990B8A">
        <w:rPr>
          <w:rFonts w:cs="Arial"/>
        </w:rPr>
        <w:t xml:space="preserve">documents. </w:t>
      </w:r>
    </w:p>
    <w:p w:rsidR="009F72A7" w:rsidRPr="00990B8A" w:rsidRDefault="009F72A7" w:rsidP="009F72A7">
      <w:pPr>
        <w:jc w:val="both"/>
        <w:rPr>
          <w:sz w:val="16"/>
          <w:szCs w:val="16"/>
        </w:rPr>
      </w:pPr>
    </w:p>
    <w:p w:rsidR="009F72A7" w:rsidRPr="00990B8A" w:rsidRDefault="009F72A7" w:rsidP="009F72A7">
      <w:pPr>
        <w:jc w:val="center"/>
      </w:pPr>
      <w:r w:rsidRPr="00990B8A">
        <w:rPr>
          <w:noProof/>
        </w:rPr>
        <w:lastRenderedPageBreak/>
        <w:drawing>
          <wp:inline distT="0" distB="0" distL="0" distR="0" wp14:anchorId="645662C9" wp14:editId="6118AC7B">
            <wp:extent cx="5210132" cy="2259106"/>
            <wp:effectExtent l="0" t="0" r="0" b="825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218726" cy="2262832"/>
                    </a:xfrm>
                    <a:prstGeom prst="rect">
                      <a:avLst/>
                    </a:prstGeom>
                    <a:noFill/>
                  </pic:spPr>
                </pic:pic>
              </a:graphicData>
            </a:graphic>
          </wp:inline>
        </w:drawing>
      </w:r>
    </w:p>
    <w:p w:rsidR="009F72A7" w:rsidRPr="00990B8A" w:rsidRDefault="009F72A7" w:rsidP="00520CAA">
      <w:pPr>
        <w:numPr>
          <w:ilvl w:val="0"/>
          <w:numId w:val="11"/>
        </w:numPr>
        <w:tabs>
          <w:tab w:val="clear" w:pos="720"/>
          <w:tab w:val="num" w:pos="993"/>
        </w:tabs>
        <w:spacing w:after="120"/>
        <w:ind w:left="993" w:hanging="426"/>
        <w:jc w:val="both"/>
      </w:pPr>
      <w:r w:rsidRPr="00990B8A">
        <w:t>In 2014, the total workload remained stable compared to 2013. Applications, decisions and modifications represented nearly 80 per cent of the total workload.</w:t>
      </w:r>
    </w:p>
    <w:p w:rsidR="009F72A7" w:rsidRPr="00990B8A" w:rsidRDefault="009F72A7" w:rsidP="00520CAA">
      <w:pPr>
        <w:numPr>
          <w:ilvl w:val="0"/>
          <w:numId w:val="11"/>
        </w:numPr>
        <w:tabs>
          <w:tab w:val="clear" w:pos="720"/>
          <w:tab w:val="num" w:pos="993"/>
        </w:tabs>
        <w:spacing w:after="120"/>
        <w:ind w:left="993" w:hanging="426"/>
        <w:jc w:val="both"/>
      </w:pPr>
      <w:r w:rsidRPr="00990B8A">
        <w:t>Between 2011 and 2013, the workload increased sharply, mainly due to the increasing number of decisions.</w:t>
      </w:r>
    </w:p>
    <w:p w:rsidR="009F72A7" w:rsidRPr="00990B8A" w:rsidRDefault="009F72A7" w:rsidP="009F72A7">
      <w:pPr>
        <w:pStyle w:val="ListParagraph"/>
        <w:ind w:left="1080"/>
        <w:jc w:val="both"/>
        <w:rPr>
          <w:rFonts w:cs="Arial"/>
          <w:sz w:val="16"/>
          <w:szCs w:val="16"/>
        </w:rPr>
      </w:pPr>
    </w:p>
    <w:p w:rsidR="009F72A7" w:rsidRPr="00990B8A" w:rsidRDefault="009F72A7" w:rsidP="009F72A7">
      <w:pPr>
        <w:pStyle w:val="ListParagraph"/>
        <w:ind w:left="1080"/>
        <w:jc w:val="both"/>
        <w:rPr>
          <w:rFonts w:cs="Arial"/>
          <w:sz w:val="16"/>
          <w:szCs w:val="16"/>
        </w:rPr>
      </w:pPr>
    </w:p>
    <w:p w:rsidR="009F72A7" w:rsidRDefault="009F72A7" w:rsidP="00520CAA">
      <w:pPr>
        <w:pStyle w:val="ListParagraph"/>
        <w:numPr>
          <w:ilvl w:val="0"/>
          <w:numId w:val="10"/>
        </w:numPr>
        <w:ind w:left="567" w:hanging="567"/>
        <w:contextualSpacing/>
        <w:jc w:val="both"/>
        <w:rPr>
          <w:rFonts w:cs="Arial"/>
          <w:b/>
        </w:rPr>
      </w:pPr>
      <w:r w:rsidRPr="00460795">
        <w:rPr>
          <w:rFonts w:cs="Arial"/>
          <w:b/>
        </w:rPr>
        <w:t xml:space="preserve">Medium of Transmission of Incoming Documents </w:t>
      </w:r>
    </w:p>
    <w:p w:rsidR="009F72A7" w:rsidRPr="00460795" w:rsidRDefault="009F72A7" w:rsidP="009F72A7">
      <w:pPr>
        <w:pStyle w:val="ListParagraph"/>
        <w:ind w:left="1080"/>
        <w:jc w:val="both"/>
        <w:rPr>
          <w:rFonts w:cs="Arial"/>
          <w:b/>
        </w:rPr>
      </w:pPr>
    </w:p>
    <w:p w:rsidR="009F72A7" w:rsidRPr="00990B8A" w:rsidRDefault="009F72A7" w:rsidP="009F72A7">
      <w:pPr>
        <w:jc w:val="center"/>
        <w:rPr>
          <w:noProof/>
        </w:rPr>
      </w:pPr>
      <w:r w:rsidRPr="00990B8A">
        <w:rPr>
          <w:noProof/>
        </w:rPr>
        <w:drawing>
          <wp:inline distT="0" distB="0" distL="0" distR="0" wp14:anchorId="0A9DE75E" wp14:editId="66C1BE37">
            <wp:extent cx="5167222" cy="2373329"/>
            <wp:effectExtent l="0" t="0" r="0" b="825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75109" cy="2376951"/>
                    </a:xfrm>
                    <a:prstGeom prst="rect">
                      <a:avLst/>
                    </a:prstGeom>
                    <a:noFill/>
                  </pic:spPr>
                </pic:pic>
              </a:graphicData>
            </a:graphic>
          </wp:inline>
        </w:drawing>
      </w:r>
    </w:p>
    <w:p w:rsidR="009F72A7" w:rsidRPr="00990B8A" w:rsidRDefault="009F72A7" w:rsidP="00520CAA">
      <w:pPr>
        <w:numPr>
          <w:ilvl w:val="0"/>
          <w:numId w:val="11"/>
        </w:numPr>
        <w:tabs>
          <w:tab w:val="clear" w:pos="720"/>
          <w:tab w:val="num" w:pos="993"/>
        </w:tabs>
        <w:spacing w:after="120"/>
        <w:ind w:left="993" w:hanging="426"/>
        <w:jc w:val="both"/>
      </w:pPr>
      <w:r w:rsidRPr="00990B8A">
        <w:t xml:space="preserve">In 2014, 66 per cent of all incoming documents were transmitted electronically to the IB. </w:t>
      </w:r>
    </w:p>
    <w:p w:rsidR="009F72A7" w:rsidRDefault="009F72A7" w:rsidP="00520CAA">
      <w:pPr>
        <w:pStyle w:val="ListParagraph"/>
        <w:numPr>
          <w:ilvl w:val="0"/>
          <w:numId w:val="13"/>
        </w:numPr>
        <w:tabs>
          <w:tab w:val="num" w:pos="993"/>
        </w:tabs>
        <w:spacing w:after="200"/>
        <w:ind w:left="993" w:hanging="426"/>
        <w:contextualSpacing/>
        <w:jc w:val="both"/>
        <w:rPr>
          <w:rFonts w:cs="Arial"/>
        </w:rPr>
      </w:pPr>
      <w:r w:rsidRPr="00990B8A">
        <w:rPr>
          <w:rFonts w:cs="Arial"/>
        </w:rPr>
        <w:t>The share of documents transmitted electronically has been stable since 2012.</w:t>
      </w:r>
    </w:p>
    <w:p w:rsidR="009F72A7" w:rsidRPr="00372816" w:rsidRDefault="009F72A7" w:rsidP="00246C7E">
      <w:pPr>
        <w:tabs>
          <w:tab w:val="num" w:pos="993"/>
        </w:tabs>
        <w:jc w:val="both"/>
      </w:pPr>
    </w:p>
    <w:p w:rsidR="009F72A7" w:rsidRPr="0006197C" w:rsidRDefault="009F72A7" w:rsidP="00520CAA">
      <w:pPr>
        <w:pStyle w:val="ListParagraph"/>
        <w:numPr>
          <w:ilvl w:val="0"/>
          <w:numId w:val="10"/>
        </w:numPr>
        <w:ind w:left="567" w:hanging="567"/>
        <w:contextualSpacing/>
        <w:jc w:val="both"/>
        <w:rPr>
          <w:rFonts w:cs="Arial"/>
          <w:b/>
        </w:rPr>
      </w:pPr>
      <w:r w:rsidRPr="0006197C">
        <w:rPr>
          <w:rFonts w:cs="Arial"/>
          <w:b/>
        </w:rPr>
        <w:t>Processing</w:t>
      </w:r>
    </w:p>
    <w:p w:rsidR="009F72A7" w:rsidRPr="00990B8A" w:rsidRDefault="009F72A7" w:rsidP="00246C7E">
      <w:pPr>
        <w:jc w:val="both"/>
      </w:pPr>
    </w:p>
    <w:p w:rsidR="009F72A7" w:rsidRDefault="009F72A7" w:rsidP="00246C7E">
      <w:pPr>
        <w:pStyle w:val="ListParagraph"/>
        <w:ind w:left="0"/>
        <w:jc w:val="both"/>
        <w:rPr>
          <w:rFonts w:cs="Arial"/>
          <w:u w:val="single"/>
        </w:rPr>
      </w:pPr>
      <w:r w:rsidRPr="009049DD">
        <w:rPr>
          <w:rFonts w:cs="Arial"/>
          <w:u w:val="single"/>
        </w:rPr>
        <w:t>Total cost of production</w:t>
      </w:r>
    </w:p>
    <w:p w:rsidR="00246C7E" w:rsidRPr="009049DD" w:rsidRDefault="00246C7E" w:rsidP="00246C7E">
      <w:pPr>
        <w:pStyle w:val="ListParagraph"/>
        <w:ind w:left="0"/>
        <w:jc w:val="both"/>
        <w:rPr>
          <w:rFonts w:cs="Arial"/>
          <w:u w:val="single"/>
        </w:rPr>
      </w:pPr>
    </w:p>
    <w:p w:rsidR="009F72A7" w:rsidRPr="00990B8A" w:rsidRDefault="009F72A7" w:rsidP="00520CAA">
      <w:pPr>
        <w:pStyle w:val="ListParagraph"/>
        <w:numPr>
          <w:ilvl w:val="0"/>
          <w:numId w:val="17"/>
        </w:numPr>
        <w:tabs>
          <w:tab w:val="left" w:pos="567"/>
        </w:tabs>
        <w:ind w:left="0" w:firstLine="0"/>
        <w:contextualSpacing/>
        <w:jc w:val="both"/>
        <w:rPr>
          <w:rFonts w:cs="Arial"/>
        </w:rPr>
      </w:pPr>
      <w:r w:rsidRPr="00990B8A">
        <w:rPr>
          <w:rFonts w:cs="Arial"/>
        </w:rPr>
        <w:t>The total cost of production has direct and indirect components.</w:t>
      </w:r>
      <w:r>
        <w:rPr>
          <w:rFonts w:cs="Arial"/>
        </w:rPr>
        <w:t xml:space="preserve"> </w:t>
      </w:r>
      <w:r w:rsidRPr="00990B8A">
        <w:rPr>
          <w:rFonts w:cs="Arial"/>
        </w:rPr>
        <w:t xml:space="preserve"> Direct costs reflect expenditure incurred by the IB in administering the Madrid System (such as management, translation and registration). Indirect costs reflect expenditure for supporting activities (such as those associated with buildings and information technology). Indirect costs are weighted to take into account only the share attributable to the Madrid System.</w:t>
      </w:r>
    </w:p>
    <w:p w:rsidR="009F72A7" w:rsidRPr="00990B8A" w:rsidRDefault="009F72A7" w:rsidP="009F72A7">
      <w:pPr>
        <w:jc w:val="center"/>
      </w:pPr>
      <w:r w:rsidRPr="00990B8A">
        <w:rPr>
          <w:noProof/>
        </w:rPr>
        <w:lastRenderedPageBreak/>
        <w:drawing>
          <wp:inline distT="0" distB="0" distL="0" distR="0" wp14:anchorId="31AB1F3F" wp14:editId="0CDA7082">
            <wp:extent cx="4951562" cy="2798222"/>
            <wp:effectExtent l="0" t="0" r="1905" b="254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950441" cy="2797589"/>
                    </a:xfrm>
                    <a:prstGeom prst="rect">
                      <a:avLst/>
                    </a:prstGeom>
                    <a:noFill/>
                  </pic:spPr>
                </pic:pic>
              </a:graphicData>
            </a:graphic>
          </wp:inline>
        </w:drawing>
      </w:r>
    </w:p>
    <w:p w:rsidR="009F72A7" w:rsidRDefault="009F72A7" w:rsidP="00520CAA">
      <w:pPr>
        <w:pStyle w:val="ListParagraph"/>
        <w:numPr>
          <w:ilvl w:val="0"/>
          <w:numId w:val="14"/>
        </w:numPr>
        <w:spacing w:after="120"/>
        <w:ind w:left="1134" w:hanging="567"/>
        <w:contextualSpacing/>
        <w:rPr>
          <w:rFonts w:cs="Arial"/>
        </w:rPr>
      </w:pPr>
      <w:r w:rsidRPr="00990B8A">
        <w:rPr>
          <w:rFonts w:cs="Arial"/>
        </w:rPr>
        <w:t xml:space="preserve">The total cost of production is estimated at 41.8 million Swiss </w:t>
      </w:r>
      <w:r>
        <w:rPr>
          <w:rFonts w:cs="Arial"/>
        </w:rPr>
        <w:t>f</w:t>
      </w:r>
      <w:r w:rsidRPr="00990B8A">
        <w:rPr>
          <w:rFonts w:cs="Arial"/>
        </w:rPr>
        <w:t>rancs in 2014.</w:t>
      </w:r>
      <w:r>
        <w:rPr>
          <w:rFonts w:cs="Arial"/>
        </w:rPr>
        <w:t xml:space="preserve"> </w:t>
      </w:r>
      <w:r w:rsidRPr="00990B8A">
        <w:rPr>
          <w:rFonts w:cs="Arial"/>
        </w:rPr>
        <w:t xml:space="preserve"> This</w:t>
      </w:r>
      <w:r w:rsidR="00246C7E">
        <w:rPr>
          <w:rFonts w:cs="Arial"/>
        </w:rPr>
        <w:t> </w:t>
      </w:r>
      <w:r w:rsidRPr="00990B8A">
        <w:rPr>
          <w:rFonts w:cs="Arial"/>
        </w:rPr>
        <w:t xml:space="preserve">represents a slight increase of 0.1 per cent compared to 2013. </w:t>
      </w:r>
    </w:p>
    <w:p w:rsidR="00246C7E" w:rsidRPr="00246C7E" w:rsidRDefault="00246C7E" w:rsidP="00246C7E">
      <w:pPr>
        <w:pStyle w:val="ListParagraph"/>
        <w:spacing w:after="120"/>
        <w:ind w:left="1134"/>
        <w:contextualSpacing/>
        <w:rPr>
          <w:rFonts w:cs="Arial"/>
          <w:sz w:val="16"/>
        </w:rPr>
      </w:pPr>
    </w:p>
    <w:p w:rsidR="009F72A7" w:rsidRPr="00990B8A" w:rsidRDefault="009F72A7" w:rsidP="00520CAA">
      <w:pPr>
        <w:pStyle w:val="ListParagraph"/>
        <w:numPr>
          <w:ilvl w:val="0"/>
          <w:numId w:val="14"/>
        </w:numPr>
        <w:ind w:left="1134" w:hanging="567"/>
        <w:contextualSpacing/>
        <w:jc w:val="both"/>
        <w:rPr>
          <w:rFonts w:cs="Arial"/>
        </w:rPr>
      </w:pPr>
      <w:r w:rsidRPr="00990B8A">
        <w:rPr>
          <w:rFonts w:cs="Arial"/>
        </w:rPr>
        <w:t xml:space="preserve">In 2014, the direct costs accounted for 61 per cent of total costs. </w:t>
      </w:r>
    </w:p>
    <w:p w:rsidR="009F72A7" w:rsidRPr="00990B8A" w:rsidRDefault="009F72A7" w:rsidP="009F72A7">
      <w:pPr>
        <w:ind w:left="1134" w:hanging="567"/>
        <w:jc w:val="both"/>
      </w:pPr>
    </w:p>
    <w:p w:rsidR="009F72A7" w:rsidRPr="00990B8A" w:rsidRDefault="009F72A7" w:rsidP="009F72A7">
      <w:pPr>
        <w:ind w:left="1080"/>
        <w:jc w:val="both"/>
      </w:pPr>
    </w:p>
    <w:p w:rsidR="009F72A7" w:rsidRPr="009049DD" w:rsidRDefault="009F72A7" w:rsidP="009F72A7">
      <w:pPr>
        <w:pStyle w:val="ListParagraph"/>
        <w:ind w:left="0"/>
        <w:jc w:val="both"/>
        <w:rPr>
          <w:rFonts w:cs="Arial"/>
          <w:u w:val="single"/>
        </w:rPr>
      </w:pPr>
      <w:r w:rsidRPr="009049DD">
        <w:rPr>
          <w:rFonts w:cs="Arial"/>
          <w:u w:val="single"/>
        </w:rPr>
        <w:t xml:space="preserve">Unit cost </w:t>
      </w:r>
    </w:p>
    <w:p w:rsidR="009F72A7" w:rsidRPr="00990B8A" w:rsidRDefault="009F72A7" w:rsidP="009F72A7">
      <w:pPr>
        <w:jc w:val="both"/>
      </w:pPr>
    </w:p>
    <w:p w:rsidR="009F72A7" w:rsidRPr="00990B8A" w:rsidRDefault="009F72A7" w:rsidP="00520CAA">
      <w:pPr>
        <w:pStyle w:val="ListParagraph"/>
        <w:numPr>
          <w:ilvl w:val="0"/>
          <w:numId w:val="17"/>
        </w:numPr>
        <w:tabs>
          <w:tab w:val="left" w:pos="567"/>
        </w:tabs>
        <w:ind w:left="0" w:firstLine="0"/>
        <w:contextualSpacing/>
        <w:jc w:val="both"/>
        <w:rPr>
          <w:rFonts w:cs="Arial"/>
        </w:rPr>
      </w:pPr>
      <w:r w:rsidRPr="00990B8A">
        <w:rPr>
          <w:rFonts w:cs="Arial"/>
        </w:rPr>
        <w:t>The IB’s efficiency in processing transactions can be measured by the unit cost, defined as the average cost of producing one unit of output.</w:t>
      </w:r>
    </w:p>
    <w:p w:rsidR="009F72A7" w:rsidRPr="00990B8A" w:rsidRDefault="009F72A7" w:rsidP="009F72A7">
      <w:pPr>
        <w:contextualSpacing/>
        <w:jc w:val="both"/>
      </w:pPr>
    </w:p>
    <w:p w:rsidR="009F72A7" w:rsidRDefault="009F72A7" w:rsidP="00520CAA">
      <w:pPr>
        <w:pStyle w:val="ListParagraph"/>
        <w:numPr>
          <w:ilvl w:val="0"/>
          <w:numId w:val="17"/>
        </w:numPr>
        <w:tabs>
          <w:tab w:val="left" w:pos="567"/>
        </w:tabs>
        <w:ind w:left="0" w:firstLine="0"/>
        <w:contextualSpacing/>
        <w:jc w:val="both"/>
        <w:rPr>
          <w:rFonts w:cs="Arial"/>
        </w:rPr>
      </w:pPr>
      <w:r w:rsidRPr="00990B8A">
        <w:rPr>
          <w:rFonts w:cs="Arial"/>
        </w:rPr>
        <w:t>As the IB registers new applications and maintains existing registrations, it is relevant to have a unit of output which includes a set of transactions.</w:t>
      </w:r>
      <w:r>
        <w:rPr>
          <w:rFonts w:cs="Arial"/>
        </w:rPr>
        <w:t xml:space="preserve"> </w:t>
      </w:r>
      <w:r w:rsidRPr="00990B8A">
        <w:rPr>
          <w:rFonts w:cs="Arial"/>
        </w:rPr>
        <w:t xml:space="preserve"> Two unit cost indicators are presented below using two different units of output.</w:t>
      </w:r>
    </w:p>
    <w:p w:rsidR="009F72A7" w:rsidRPr="00990B8A" w:rsidRDefault="009F72A7" w:rsidP="009F72A7">
      <w:pPr>
        <w:pStyle w:val="ListParagraph"/>
        <w:tabs>
          <w:tab w:val="left" w:pos="567"/>
        </w:tabs>
        <w:ind w:left="0"/>
        <w:jc w:val="both"/>
        <w:rPr>
          <w:rFonts w:cs="Arial"/>
        </w:rPr>
      </w:pPr>
    </w:p>
    <w:p w:rsidR="009F72A7" w:rsidRDefault="009F72A7" w:rsidP="00520CAA">
      <w:pPr>
        <w:pStyle w:val="ListParagraph"/>
        <w:numPr>
          <w:ilvl w:val="0"/>
          <w:numId w:val="17"/>
        </w:numPr>
        <w:tabs>
          <w:tab w:val="left" w:pos="567"/>
        </w:tabs>
        <w:ind w:left="0" w:firstLine="0"/>
        <w:contextualSpacing/>
        <w:jc w:val="both"/>
        <w:rPr>
          <w:rFonts w:cs="Arial"/>
        </w:rPr>
      </w:pPr>
      <w:r w:rsidRPr="00990B8A">
        <w:rPr>
          <w:rFonts w:cs="Arial"/>
        </w:rPr>
        <w:t>As part of the IB’s efforts to continuously refine the methodology for calculating unit costs, the methodology has been revised in the Program and Budget 2016/17 to reflect more accurately the cost of processing Madrid workloads at the IB:</w:t>
      </w:r>
    </w:p>
    <w:p w:rsidR="009F72A7" w:rsidRPr="00990B8A" w:rsidRDefault="009F72A7" w:rsidP="009F72A7">
      <w:pPr>
        <w:pStyle w:val="ListParagraph"/>
        <w:tabs>
          <w:tab w:val="left" w:pos="567"/>
        </w:tabs>
        <w:ind w:left="0"/>
        <w:jc w:val="both"/>
        <w:rPr>
          <w:rFonts w:cs="Arial"/>
        </w:rPr>
      </w:pPr>
    </w:p>
    <w:p w:rsidR="009F72A7" w:rsidRPr="00990B8A" w:rsidRDefault="009F72A7" w:rsidP="00520CAA">
      <w:pPr>
        <w:pStyle w:val="ListParagraph"/>
        <w:numPr>
          <w:ilvl w:val="0"/>
          <w:numId w:val="12"/>
        </w:numPr>
        <w:spacing w:after="200"/>
        <w:ind w:left="1134" w:hanging="567"/>
        <w:contextualSpacing/>
        <w:jc w:val="both"/>
        <w:rPr>
          <w:rFonts w:cs="Arial"/>
        </w:rPr>
      </w:pPr>
      <w:r w:rsidRPr="00990B8A">
        <w:rPr>
          <w:rFonts w:cs="Arial"/>
        </w:rPr>
        <w:t xml:space="preserve">The methodology for calculating direct and indirect Madrid costs have been aligned with the methodologies for calculating PCT and </w:t>
      </w:r>
      <w:proofErr w:type="gramStart"/>
      <w:r w:rsidRPr="00990B8A">
        <w:rPr>
          <w:rFonts w:cs="Arial"/>
        </w:rPr>
        <w:t>the</w:t>
      </w:r>
      <w:proofErr w:type="gramEnd"/>
      <w:r w:rsidRPr="00990B8A">
        <w:rPr>
          <w:rFonts w:cs="Arial"/>
        </w:rPr>
        <w:t xml:space="preserve"> Hague unit costs.</w:t>
      </w:r>
    </w:p>
    <w:p w:rsidR="009F72A7" w:rsidRPr="00990B8A" w:rsidRDefault="009F72A7" w:rsidP="009F72A7">
      <w:pPr>
        <w:pStyle w:val="ListParagraph"/>
        <w:ind w:left="1134" w:hanging="567"/>
        <w:jc w:val="both"/>
        <w:rPr>
          <w:rFonts w:cs="Arial"/>
        </w:rPr>
      </w:pPr>
    </w:p>
    <w:p w:rsidR="009F72A7" w:rsidRPr="00990B8A" w:rsidRDefault="009F72A7" w:rsidP="00520CAA">
      <w:pPr>
        <w:pStyle w:val="ListParagraph"/>
        <w:numPr>
          <w:ilvl w:val="0"/>
          <w:numId w:val="12"/>
        </w:numPr>
        <w:spacing w:after="200"/>
        <w:ind w:left="1134" w:hanging="567"/>
        <w:contextualSpacing/>
        <w:jc w:val="both"/>
        <w:rPr>
          <w:rFonts w:cs="Arial"/>
        </w:rPr>
      </w:pPr>
      <w:r w:rsidRPr="00990B8A">
        <w:rPr>
          <w:rFonts w:cs="Arial"/>
        </w:rPr>
        <w:t>A weighted system has been introduced to better approximate the actual work required to process the six categories of documents, taking into account that certain of these documents are more labor-intensive than others.</w:t>
      </w:r>
      <w:r w:rsidRPr="00990B8A">
        <w:rPr>
          <w:rStyle w:val="FootnoteReference"/>
          <w:rFonts w:cs="Arial"/>
        </w:rPr>
        <w:footnoteReference w:id="13"/>
      </w:r>
    </w:p>
    <w:p w:rsidR="009F72A7" w:rsidRPr="00990B8A" w:rsidRDefault="009F72A7" w:rsidP="009F72A7">
      <w:pPr>
        <w:pStyle w:val="ListParagraph"/>
        <w:ind w:left="1134" w:hanging="567"/>
        <w:jc w:val="both"/>
        <w:rPr>
          <w:rFonts w:cs="Arial"/>
        </w:rPr>
      </w:pPr>
    </w:p>
    <w:p w:rsidR="009F72A7" w:rsidRPr="00990B8A" w:rsidRDefault="009F72A7" w:rsidP="00520CAA">
      <w:pPr>
        <w:pStyle w:val="ListParagraph"/>
        <w:numPr>
          <w:ilvl w:val="0"/>
          <w:numId w:val="12"/>
        </w:numPr>
        <w:spacing w:after="200"/>
        <w:ind w:left="1134" w:hanging="567"/>
        <w:contextualSpacing/>
        <w:jc w:val="both"/>
        <w:rPr>
          <w:rFonts w:cs="Arial"/>
        </w:rPr>
      </w:pPr>
      <w:r w:rsidRPr="00990B8A">
        <w:rPr>
          <w:rFonts w:cs="Arial"/>
        </w:rPr>
        <w:t xml:space="preserve">The first unit cost has been redefined to include only new international registrations and renewals (the unit cost in the Program and Budget 2014/15 also included subsequent designations). </w:t>
      </w:r>
      <w:r>
        <w:rPr>
          <w:rFonts w:cs="Arial"/>
        </w:rPr>
        <w:t xml:space="preserve"> </w:t>
      </w:r>
      <w:r w:rsidRPr="00990B8A">
        <w:rPr>
          <w:rFonts w:cs="Arial"/>
        </w:rPr>
        <w:t xml:space="preserve">The rationale for removing subsequent designations as a component of this unit cost is a sharper focus on the core Madrid outputs, namely the international registration and its renewal. </w:t>
      </w:r>
      <w:r>
        <w:rPr>
          <w:rFonts w:cs="Arial"/>
        </w:rPr>
        <w:t xml:space="preserve"> </w:t>
      </w:r>
      <w:r w:rsidRPr="00990B8A">
        <w:rPr>
          <w:rFonts w:cs="Arial"/>
        </w:rPr>
        <w:t>All other Madrid transactions (subsequent designations, modifications, decisions and corrections) can be considered secondary to these two core transactions.  Furthermore, there is no real justification for including one of these secondary transactions as a component of unit costs, while not including the others.</w:t>
      </w:r>
    </w:p>
    <w:p w:rsidR="009F72A7" w:rsidRPr="00990B8A" w:rsidRDefault="009F72A7" w:rsidP="009F72A7">
      <w:pPr>
        <w:pStyle w:val="ListParagraph"/>
        <w:ind w:left="1134" w:hanging="567"/>
        <w:rPr>
          <w:rFonts w:cs="Arial"/>
        </w:rPr>
      </w:pPr>
    </w:p>
    <w:p w:rsidR="009F72A7" w:rsidRDefault="009F72A7" w:rsidP="00520CAA">
      <w:pPr>
        <w:pStyle w:val="ListParagraph"/>
        <w:numPr>
          <w:ilvl w:val="0"/>
          <w:numId w:val="12"/>
        </w:numPr>
        <w:ind w:left="1134" w:hanging="567"/>
        <w:contextualSpacing/>
        <w:jc w:val="both"/>
        <w:rPr>
          <w:rFonts w:cs="Arial"/>
        </w:rPr>
      </w:pPr>
      <w:r w:rsidRPr="00990B8A">
        <w:rPr>
          <w:rFonts w:cs="Arial"/>
        </w:rPr>
        <w:t>The second unit cost is based on the number of documents inscribed in the register rather than the number of inscriptions due to the different levels of efforts required to process the various documents.</w:t>
      </w:r>
    </w:p>
    <w:p w:rsidR="009F72A7" w:rsidRPr="0043175E" w:rsidRDefault="009F72A7" w:rsidP="009F72A7">
      <w:pPr>
        <w:jc w:val="both"/>
      </w:pPr>
    </w:p>
    <w:p w:rsidR="009F72A7" w:rsidRPr="00990B8A" w:rsidRDefault="009F72A7" w:rsidP="00520CAA">
      <w:pPr>
        <w:pStyle w:val="ListParagraph"/>
        <w:numPr>
          <w:ilvl w:val="0"/>
          <w:numId w:val="17"/>
        </w:numPr>
        <w:tabs>
          <w:tab w:val="left" w:pos="567"/>
        </w:tabs>
        <w:ind w:left="0" w:firstLine="0"/>
        <w:contextualSpacing/>
        <w:jc w:val="both"/>
        <w:rPr>
          <w:rFonts w:cs="Arial"/>
        </w:rPr>
      </w:pPr>
      <w:r w:rsidRPr="00990B8A">
        <w:rPr>
          <w:rFonts w:cs="Arial"/>
        </w:rPr>
        <w:lastRenderedPageBreak/>
        <w:t>For ease of comparison, the graphs below depict the evolution of the two unit costs from 2008 to 2014 using the old methodology and from 2012 to 2014 using the new methodology, including a breakdown of the contribution of direct and indirect costs.</w:t>
      </w:r>
    </w:p>
    <w:p w:rsidR="009F72A7" w:rsidRPr="00990B8A" w:rsidRDefault="009F72A7" w:rsidP="009F72A7">
      <w:pPr>
        <w:jc w:val="both"/>
      </w:pPr>
    </w:p>
    <w:p w:rsidR="009F72A7" w:rsidRPr="009049DD" w:rsidRDefault="009F72A7" w:rsidP="009F72A7">
      <w:pPr>
        <w:pStyle w:val="ListParagraph"/>
        <w:keepNext/>
        <w:keepLines/>
        <w:tabs>
          <w:tab w:val="left" w:pos="1701"/>
        </w:tabs>
        <w:ind w:left="567"/>
        <w:jc w:val="both"/>
        <w:rPr>
          <w:rFonts w:cs="Arial"/>
          <w:i/>
        </w:rPr>
      </w:pPr>
      <w:r w:rsidRPr="009049DD">
        <w:rPr>
          <w:rFonts w:cs="Arial"/>
          <w:i/>
        </w:rPr>
        <w:t>Unit cost per new/renewed international registration</w:t>
      </w:r>
    </w:p>
    <w:p w:rsidR="009F72A7" w:rsidRPr="00990B8A" w:rsidRDefault="009F72A7" w:rsidP="009F72A7">
      <w:pPr>
        <w:jc w:val="both"/>
      </w:pPr>
    </w:p>
    <w:p w:rsidR="009F72A7" w:rsidRPr="00990B8A" w:rsidRDefault="009F72A7" w:rsidP="00520CAA">
      <w:pPr>
        <w:pStyle w:val="ListParagraph"/>
        <w:numPr>
          <w:ilvl w:val="0"/>
          <w:numId w:val="17"/>
        </w:numPr>
        <w:tabs>
          <w:tab w:val="left" w:pos="567"/>
        </w:tabs>
        <w:ind w:left="0" w:firstLine="0"/>
        <w:contextualSpacing/>
        <w:jc w:val="both"/>
        <w:rPr>
          <w:rFonts w:cs="Arial"/>
        </w:rPr>
      </w:pPr>
      <w:r w:rsidRPr="00990B8A">
        <w:rPr>
          <w:rFonts w:cs="Arial"/>
        </w:rPr>
        <w:t>New international registrations consist of applications that are registered within a given year, and renewed international registrations consist of existing registrations that are renewed within a given year. Combined, these two types of transactions reflect the core business of the IB.</w:t>
      </w:r>
    </w:p>
    <w:p w:rsidR="009F72A7" w:rsidRPr="00990B8A" w:rsidRDefault="009F72A7" w:rsidP="009F72A7">
      <w:pPr>
        <w:jc w:val="both"/>
      </w:pPr>
    </w:p>
    <w:p w:rsidR="009F72A7" w:rsidRPr="00990B8A" w:rsidRDefault="009F72A7" w:rsidP="00520CAA">
      <w:pPr>
        <w:pStyle w:val="ListParagraph"/>
        <w:numPr>
          <w:ilvl w:val="0"/>
          <w:numId w:val="17"/>
        </w:numPr>
        <w:tabs>
          <w:tab w:val="left" w:pos="567"/>
        </w:tabs>
        <w:ind w:left="0" w:firstLine="0"/>
        <w:contextualSpacing/>
        <w:jc w:val="both"/>
        <w:rPr>
          <w:rFonts w:cs="Arial"/>
        </w:rPr>
      </w:pPr>
      <w:r w:rsidRPr="00990B8A">
        <w:rPr>
          <w:rFonts w:cs="Arial"/>
        </w:rPr>
        <w:t>As processing these two types of transactions do not require equal resources, they are each weighted differently.</w:t>
      </w:r>
      <w:r w:rsidRPr="00990B8A">
        <w:rPr>
          <w:rStyle w:val="FootnoteReference"/>
          <w:rFonts w:cs="Arial"/>
        </w:rPr>
        <w:t xml:space="preserve"> </w:t>
      </w:r>
      <w:r w:rsidRPr="00990B8A">
        <w:rPr>
          <w:rStyle w:val="FootnoteReference"/>
          <w:rFonts w:cs="Arial"/>
        </w:rPr>
        <w:footnoteReference w:id="14"/>
      </w:r>
      <w:r w:rsidRPr="00990B8A">
        <w:rPr>
          <w:rFonts w:cs="Arial"/>
        </w:rPr>
        <w:t xml:space="preserve"> The unit cost is calculated by dividing the total cost of production by the number of new/renewed international registrations.  </w:t>
      </w:r>
    </w:p>
    <w:p w:rsidR="009F72A7" w:rsidRPr="00990B8A" w:rsidRDefault="009F72A7" w:rsidP="009F72A7"/>
    <w:tbl>
      <w:tblPr>
        <w:tblStyle w:val="TableGrid"/>
        <w:tblW w:w="0" w:type="auto"/>
        <w:tblLook w:val="04A0" w:firstRow="1" w:lastRow="0" w:firstColumn="1" w:lastColumn="0" w:noHBand="0" w:noVBand="1"/>
      </w:tblPr>
      <w:tblGrid>
        <w:gridCol w:w="5029"/>
        <w:gridCol w:w="4542"/>
      </w:tblGrid>
      <w:tr w:rsidR="009F72A7" w:rsidRPr="00990B8A" w:rsidTr="00017954">
        <w:trPr>
          <w:cantSplit/>
        </w:trPr>
        <w:tc>
          <w:tcPr>
            <w:tcW w:w="4788" w:type="dxa"/>
          </w:tcPr>
          <w:p w:rsidR="009F72A7" w:rsidRPr="00990B8A" w:rsidRDefault="009F72A7" w:rsidP="00017954">
            <w:pPr>
              <w:jc w:val="center"/>
            </w:pPr>
            <w:r w:rsidRPr="00990B8A">
              <w:t>Old method</w:t>
            </w:r>
          </w:p>
        </w:tc>
        <w:tc>
          <w:tcPr>
            <w:tcW w:w="4788" w:type="dxa"/>
          </w:tcPr>
          <w:p w:rsidR="009F72A7" w:rsidRPr="00990B8A" w:rsidRDefault="009F72A7" w:rsidP="00017954">
            <w:pPr>
              <w:jc w:val="center"/>
            </w:pPr>
            <w:r w:rsidRPr="00990B8A">
              <w:t>New method</w:t>
            </w:r>
          </w:p>
        </w:tc>
      </w:tr>
      <w:tr w:rsidR="009F72A7" w:rsidRPr="00990B8A" w:rsidTr="00017954">
        <w:trPr>
          <w:cantSplit/>
        </w:trPr>
        <w:tc>
          <w:tcPr>
            <w:tcW w:w="4788" w:type="dxa"/>
          </w:tcPr>
          <w:p w:rsidR="009F72A7" w:rsidRPr="00990B8A" w:rsidRDefault="009F72A7" w:rsidP="00017954">
            <w:pPr>
              <w:jc w:val="center"/>
            </w:pPr>
            <w:r w:rsidRPr="00990B8A">
              <w:rPr>
                <w:noProof/>
              </w:rPr>
              <w:drawing>
                <wp:inline distT="0" distB="0" distL="0" distR="0" wp14:anchorId="331ADCAE" wp14:editId="2890D48E">
                  <wp:extent cx="3096666" cy="1999654"/>
                  <wp:effectExtent l="0" t="0" r="8890" b="63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097809" cy="2000392"/>
                          </a:xfrm>
                          <a:prstGeom prst="rect">
                            <a:avLst/>
                          </a:prstGeom>
                          <a:noFill/>
                        </pic:spPr>
                      </pic:pic>
                    </a:graphicData>
                  </a:graphic>
                </wp:inline>
              </w:drawing>
            </w:r>
          </w:p>
        </w:tc>
        <w:tc>
          <w:tcPr>
            <w:tcW w:w="4788" w:type="dxa"/>
          </w:tcPr>
          <w:p w:rsidR="009F72A7" w:rsidRPr="00990B8A" w:rsidRDefault="009F72A7" w:rsidP="00017954">
            <w:pPr>
              <w:jc w:val="center"/>
            </w:pPr>
            <w:r w:rsidRPr="00990B8A">
              <w:rPr>
                <w:noProof/>
              </w:rPr>
              <w:drawing>
                <wp:inline distT="0" distB="0" distL="0" distR="0" wp14:anchorId="57372127" wp14:editId="78FFBFA3">
                  <wp:extent cx="2790908" cy="2073144"/>
                  <wp:effectExtent l="0" t="0" r="0" b="381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00790" cy="2080485"/>
                          </a:xfrm>
                          <a:prstGeom prst="rect">
                            <a:avLst/>
                          </a:prstGeom>
                          <a:noFill/>
                        </pic:spPr>
                      </pic:pic>
                    </a:graphicData>
                  </a:graphic>
                </wp:inline>
              </w:drawing>
            </w:r>
          </w:p>
        </w:tc>
      </w:tr>
    </w:tbl>
    <w:p w:rsidR="009F72A7" w:rsidRPr="00990B8A" w:rsidRDefault="009F72A7" w:rsidP="009F72A7"/>
    <w:p w:rsidR="009F72A7" w:rsidRPr="00990B8A" w:rsidRDefault="009F72A7" w:rsidP="00520CAA">
      <w:pPr>
        <w:pStyle w:val="ListParagraph"/>
        <w:numPr>
          <w:ilvl w:val="0"/>
          <w:numId w:val="15"/>
        </w:numPr>
        <w:ind w:left="851" w:hanging="284"/>
        <w:contextualSpacing/>
        <w:jc w:val="both"/>
        <w:rPr>
          <w:rFonts w:cs="Arial"/>
        </w:rPr>
      </w:pPr>
      <w:r w:rsidRPr="00990B8A">
        <w:rPr>
          <w:rFonts w:cs="Arial"/>
        </w:rPr>
        <w:t xml:space="preserve">The average cost of processing a new/renewed international registration was 837 Swiss </w:t>
      </w:r>
      <w:r>
        <w:rPr>
          <w:rFonts w:cs="Arial"/>
        </w:rPr>
        <w:t>f</w:t>
      </w:r>
      <w:r w:rsidRPr="00990B8A">
        <w:rPr>
          <w:rFonts w:cs="Arial"/>
        </w:rPr>
        <w:t>rancs in 2014. This represents an increase of 2.6 per cent compared to 2013. The increase was mainly due to a processing cost that remained relatively stable, combined with a decrease of 4.5 per cent in the number of international applications registered.</w:t>
      </w:r>
    </w:p>
    <w:p w:rsidR="009F72A7" w:rsidRPr="00990B8A" w:rsidRDefault="009F72A7" w:rsidP="009F72A7">
      <w:pPr>
        <w:keepNext/>
        <w:keepLines/>
        <w:jc w:val="center"/>
      </w:pPr>
    </w:p>
    <w:p w:rsidR="009F72A7" w:rsidRPr="009049DD" w:rsidRDefault="009F72A7" w:rsidP="009F72A7">
      <w:pPr>
        <w:pStyle w:val="ListParagraph"/>
        <w:keepNext/>
        <w:keepLines/>
        <w:tabs>
          <w:tab w:val="left" w:pos="1701"/>
        </w:tabs>
        <w:ind w:left="567"/>
        <w:jc w:val="both"/>
        <w:rPr>
          <w:rFonts w:cs="Arial"/>
          <w:i/>
        </w:rPr>
      </w:pPr>
      <w:r w:rsidRPr="009049DD">
        <w:rPr>
          <w:rFonts w:cs="Arial"/>
          <w:i/>
        </w:rPr>
        <w:t>Unit cost per document inscribed in the register</w:t>
      </w:r>
    </w:p>
    <w:p w:rsidR="009F72A7" w:rsidRPr="00990B8A" w:rsidRDefault="009F72A7" w:rsidP="009F72A7">
      <w:pPr>
        <w:keepNext/>
        <w:keepLines/>
        <w:jc w:val="both"/>
      </w:pPr>
    </w:p>
    <w:p w:rsidR="009F72A7" w:rsidRPr="00990B8A" w:rsidRDefault="009F72A7" w:rsidP="00520CAA">
      <w:pPr>
        <w:pStyle w:val="ListParagraph"/>
        <w:keepNext/>
        <w:keepLines/>
        <w:numPr>
          <w:ilvl w:val="0"/>
          <w:numId w:val="17"/>
        </w:numPr>
        <w:tabs>
          <w:tab w:val="left" w:pos="567"/>
        </w:tabs>
        <w:ind w:left="0" w:firstLine="0"/>
        <w:contextualSpacing/>
        <w:jc w:val="both"/>
        <w:rPr>
          <w:rFonts w:cs="Arial"/>
        </w:rPr>
      </w:pPr>
      <w:r w:rsidRPr="00990B8A">
        <w:rPr>
          <w:rFonts w:cs="Arial"/>
        </w:rPr>
        <w:t xml:space="preserve">The documents inscribed in the register correspond to the total volume of workload (see “Total volume of workload” above). </w:t>
      </w:r>
    </w:p>
    <w:p w:rsidR="009F72A7" w:rsidRPr="00990B8A" w:rsidRDefault="009F72A7" w:rsidP="009F72A7">
      <w:pPr>
        <w:keepNext/>
        <w:keepLines/>
        <w:jc w:val="center"/>
      </w:pPr>
    </w:p>
    <w:tbl>
      <w:tblPr>
        <w:tblStyle w:val="TableGrid"/>
        <w:tblW w:w="9606" w:type="dxa"/>
        <w:tblLayout w:type="fixed"/>
        <w:tblLook w:val="04A0" w:firstRow="1" w:lastRow="0" w:firstColumn="1" w:lastColumn="0" w:noHBand="0" w:noVBand="1"/>
      </w:tblPr>
      <w:tblGrid>
        <w:gridCol w:w="5177"/>
        <w:gridCol w:w="4429"/>
      </w:tblGrid>
      <w:tr w:rsidR="009F72A7" w:rsidRPr="00990B8A" w:rsidTr="00017954">
        <w:trPr>
          <w:cantSplit/>
          <w:trHeight w:val="273"/>
        </w:trPr>
        <w:tc>
          <w:tcPr>
            <w:tcW w:w="5177" w:type="dxa"/>
          </w:tcPr>
          <w:p w:rsidR="009F72A7" w:rsidRPr="00990B8A" w:rsidRDefault="009F72A7" w:rsidP="00017954">
            <w:pPr>
              <w:keepNext/>
              <w:keepLines/>
              <w:jc w:val="center"/>
            </w:pPr>
            <w:r w:rsidRPr="00990B8A">
              <w:t>Old method</w:t>
            </w:r>
          </w:p>
        </w:tc>
        <w:tc>
          <w:tcPr>
            <w:tcW w:w="4429" w:type="dxa"/>
          </w:tcPr>
          <w:p w:rsidR="009F72A7" w:rsidRPr="00990B8A" w:rsidRDefault="009F72A7" w:rsidP="00017954">
            <w:pPr>
              <w:keepNext/>
              <w:keepLines/>
              <w:jc w:val="center"/>
            </w:pPr>
            <w:r w:rsidRPr="00990B8A">
              <w:t>New method</w:t>
            </w:r>
          </w:p>
        </w:tc>
      </w:tr>
      <w:tr w:rsidR="009F72A7" w:rsidRPr="00990B8A" w:rsidTr="00017954">
        <w:trPr>
          <w:cantSplit/>
          <w:trHeight w:val="3013"/>
        </w:trPr>
        <w:tc>
          <w:tcPr>
            <w:tcW w:w="5177" w:type="dxa"/>
          </w:tcPr>
          <w:p w:rsidR="009F72A7" w:rsidRPr="00990B8A" w:rsidRDefault="009F72A7" w:rsidP="00017954">
            <w:pPr>
              <w:keepNext/>
              <w:keepLines/>
              <w:jc w:val="center"/>
            </w:pPr>
            <w:r w:rsidRPr="00990B8A">
              <w:rPr>
                <w:noProof/>
              </w:rPr>
              <w:drawing>
                <wp:inline distT="0" distB="0" distL="0" distR="0" wp14:anchorId="0667D4B1" wp14:editId="5857432C">
                  <wp:extent cx="3150454" cy="2014416"/>
                  <wp:effectExtent l="0" t="0" r="0" b="508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154922" cy="2017273"/>
                          </a:xfrm>
                          <a:prstGeom prst="rect">
                            <a:avLst/>
                          </a:prstGeom>
                          <a:noFill/>
                        </pic:spPr>
                      </pic:pic>
                    </a:graphicData>
                  </a:graphic>
                </wp:inline>
              </w:drawing>
            </w:r>
          </w:p>
        </w:tc>
        <w:tc>
          <w:tcPr>
            <w:tcW w:w="4429" w:type="dxa"/>
          </w:tcPr>
          <w:p w:rsidR="009F72A7" w:rsidRPr="00990B8A" w:rsidRDefault="009F72A7" w:rsidP="00017954">
            <w:pPr>
              <w:keepNext/>
              <w:keepLines/>
              <w:jc w:val="center"/>
            </w:pPr>
            <w:r w:rsidRPr="00990B8A">
              <w:rPr>
                <w:noProof/>
              </w:rPr>
              <w:drawing>
                <wp:inline distT="0" distB="0" distL="0" distR="0" wp14:anchorId="26B8C3A8" wp14:editId="1936C140">
                  <wp:extent cx="2723279" cy="2036125"/>
                  <wp:effectExtent l="0" t="0" r="1270" b="254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31244" cy="2042080"/>
                          </a:xfrm>
                          <a:prstGeom prst="rect">
                            <a:avLst/>
                          </a:prstGeom>
                          <a:noFill/>
                        </pic:spPr>
                      </pic:pic>
                    </a:graphicData>
                  </a:graphic>
                </wp:inline>
              </w:drawing>
            </w:r>
          </w:p>
        </w:tc>
      </w:tr>
    </w:tbl>
    <w:p w:rsidR="009F72A7" w:rsidRPr="00990B8A" w:rsidRDefault="009F72A7" w:rsidP="009F72A7">
      <w:pPr>
        <w:keepNext/>
        <w:keepLines/>
        <w:jc w:val="center"/>
      </w:pPr>
    </w:p>
    <w:p w:rsidR="009F72A7" w:rsidRPr="00990B8A" w:rsidRDefault="009F72A7" w:rsidP="00520CAA">
      <w:pPr>
        <w:pStyle w:val="ListParagraph"/>
        <w:keepNext/>
        <w:keepLines/>
        <w:numPr>
          <w:ilvl w:val="0"/>
          <w:numId w:val="15"/>
        </w:numPr>
        <w:contextualSpacing/>
        <w:jc w:val="both"/>
        <w:rPr>
          <w:rFonts w:cs="Arial"/>
        </w:rPr>
      </w:pPr>
      <w:r w:rsidRPr="00990B8A">
        <w:rPr>
          <w:rFonts w:cs="Arial"/>
        </w:rPr>
        <w:t xml:space="preserve">The average cost of inscribing a document in the register increased slightly from 320 </w:t>
      </w:r>
      <w:r>
        <w:rPr>
          <w:rFonts w:cs="Arial"/>
        </w:rPr>
        <w:t>Swiss francs</w:t>
      </w:r>
      <w:r w:rsidRPr="00990B8A">
        <w:rPr>
          <w:rFonts w:cs="Arial"/>
        </w:rPr>
        <w:t xml:space="preserve"> in 2012 to 322 </w:t>
      </w:r>
      <w:r>
        <w:rPr>
          <w:rFonts w:cs="Arial"/>
        </w:rPr>
        <w:t>Swiss francs</w:t>
      </w:r>
      <w:r w:rsidRPr="00990B8A">
        <w:rPr>
          <w:rFonts w:cs="Arial"/>
        </w:rPr>
        <w:t xml:space="preserve"> in 2014. </w:t>
      </w:r>
    </w:p>
    <w:p w:rsidR="009F72A7" w:rsidRPr="00990B8A" w:rsidRDefault="009F72A7" w:rsidP="009F72A7">
      <w:pPr>
        <w:pStyle w:val="ListParagraph"/>
        <w:ind w:left="1417"/>
        <w:jc w:val="both"/>
        <w:rPr>
          <w:rFonts w:cs="Arial"/>
        </w:rPr>
      </w:pPr>
    </w:p>
    <w:p w:rsidR="009F72A7" w:rsidRPr="00990B8A" w:rsidRDefault="009F72A7" w:rsidP="009F72A7">
      <w:pPr>
        <w:jc w:val="both"/>
      </w:pPr>
    </w:p>
    <w:p w:rsidR="009F72A7" w:rsidRPr="00641133" w:rsidRDefault="009F72A7" w:rsidP="00520CAA">
      <w:pPr>
        <w:pStyle w:val="ListParagraph"/>
        <w:numPr>
          <w:ilvl w:val="0"/>
          <w:numId w:val="10"/>
        </w:numPr>
        <w:ind w:left="567" w:hanging="567"/>
        <w:contextualSpacing/>
        <w:jc w:val="both"/>
        <w:rPr>
          <w:rFonts w:cs="Arial"/>
          <w:b/>
        </w:rPr>
      </w:pPr>
      <w:r w:rsidRPr="00641133">
        <w:rPr>
          <w:rFonts w:cs="Arial"/>
          <w:b/>
        </w:rPr>
        <w:t>Productivity of examination</w:t>
      </w:r>
    </w:p>
    <w:p w:rsidR="009F72A7" w:rsidRPr="00990B8A" w:rsidRDefault="009F72A7" w:rsidP="009F72A7">
      <w:pPr>
        <w:jc w:val="both"/>
      </w:pPr>
    </w:p>
    <w:p w:rsidR="009F72A7" w:rsidRPr="00990B8A" w:rsidRDefault="009F72A7" w:rsidP="00520CAA">
      <w:pPr>
        <w:pStyle w:val="ListParagraph"/>
        <w:numPr>
          <w:ilvl w:val="0"/>
          <w:numId w:val="17"/>
        </w:numPr>
        <w:tabs>
          <w:tab w:val="left" w:pos="567"/>
        </w:tabs>
        <w:ind w:left="0" w:firstLine="0"/>
        <w:contextualSpacing/>
        <w:jc w:val="both"/>
        <w:rPr>
          <w:rFonts w:cs="Arial"/>
        </w:rPr>
      </w:pPr>
      <w:r w:rsidRPr="00990B8A">
        <w:rPr>
          <w:rFonts w:cs="Arial"/>
        </w:rPr>
        <w:t>The definition of examination productivity is the number of new/renewed international registrations processed by examiners divided by the number of personnel involved in examination.</w:t>
      </w:r>
      <w:r w:rsidRPr="00990B8A">
        <w:rPr>
          <w:rStyle w:val="FootnoteReference"/>
          <w:rFonts w:cs="Arial"/>
        </w:rPr>
        <w:t xml:space="preserve"> </w:t>
      </w:r>
      <w:r>
        <w:rPr>
          <w:rFonts w:cs="Arial"/>
        </w:rPr>
        <w:t xml:space="preserve"> </w:t>
      </w:r>
      <w:r w:rsidRPr="00990B8A">
        <w:rPr>
          <w:rFonts w:cs="Arial"/>
        </w:rPr>
        <w:t xml:space="preserve">The number of personnel includes fellows, interns and external contractors. </w:t>
      </w:r>
    </w:p>
    <w:p w:rsidR="009F72A7" w:rsidRPr="00990B8A" w:rsidRDefault="009F72A7" w:rsidP="009F72A7">
      <w:pPr>
        <w:jc w:val="both"/>
        <w:rPr>
          <w:noProof/>
        </w:rPr>
      </w:pPr>
    </w:p>
    <w:p w:rsidR="009F72A7" w:rsidRPr="00990B8A" w:rsidRDefault="009F72A7" w:rsidP="009F72A7">
      <w:pPr>
        <w:jc w:val="center"/>
      </w:pPr>
      <w:r w:rsidRPr="00990B8A">
        <w:rPr>
          <w:noProof/>
        </w:rPr>
        <w:drawing>
          <wp:inline distT="0" distB="0" distL="0" distR="0" wp14:anchorId="64A07716" wp14:editId="7B0561BA">
            <wp:extent cx="5812403" cy="2816969"/>
            <wp:effectExtent l="0" t="0" r="0" b="254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16191" cy="2818805"/>
                    </a:xfrm>
                    <a:prstGeom prst="rect">
                      <a:avLst/>
                    </a:prstGeom>
                    <a:noFill/>
                  </pic:spPr>
                </pic:pic>
              </a:graphicData>
            </a:graphic>
          </wp:inline>
        </w:drawing>
      </w:r>
    </w:p>
    <w:p w:rsidR="009F72A7" w:rsidRPr="00990B8A" w:rsidRDefault="009F72A7" w:rsidP="009F72A7">
      <w:pPr>
        <w:jc w:val="both"/>
      </w:pPr>
    </w:p>
    <w:p w:rsidR="009F72A7" w:rsidRPr="00990B8A" w:rsidRDefault="009F72A7" w:rsidP="00520CAA">
      <w:pPr>
        <w:pStyle w:val="ListParagraph"/>
        <w:numPr>
          <w:ilvl w:val="0"/>
          <w:numId w:val="15"/>
        </w:numPr>
        <w:ind w:left="1134" w:hanging="567"/>
        <w:contextualSpacing/>
        <w:jc w:val="both"/>
        <w:rPr>
          <w:rFonts w:cs="Arial"/>
        </w:rPr>
      </w:pPr>
      <w:r w:rsidRPr="00990B8A">
        <w:rPr>
          <w:rFonts w:cs="Arial"/>
        </w:rPr>
        <w:t>The productivity of examination remained relatively stable in 2014 compared to 2013.</w:t>
      </w:r>
    </w:p>
    <w:p w:rsidR="009F72A7" w:rsidRPr="00990B8A" w:rsidRDefault="009F72A7" w:rsidP="009F72A7">
      <w:pPr>
        <w:pStyle w:val="ListParagraph"/>
        <w:jc w:val="both"/>
        <w:rPr>
          <w:rFonts w:cs="Arial"/>
        </w:rPr>
      </w:pPr>
    </w:p>
    <w:p w:rsidR="009F72A7" w:rsidRPr="00990B8A" w:rsidRDefault="009F72A7" w:rsidP="009F72A7">
      <w:pPr>
        <w:pStyle w:val="ListParagraph"/>
        <w:keepNext/>
        <w:keepLines/>
        <w:jc w:val="both"/>
        <w:rPr>
          <w:rFonts w:cs="Arial"/>
        </w:rPr>
      </w:pPr>
    </w:p>
    <w:p w:rsidR="009F72A7" w:rsidRPr="00641133" w:rsidRDefault="009F72A7" w:rsidP="00520CAA">
      <w:pPr>
        <w:pStyle w:val="ListParagraph"/>
        <w:keepNext/>
        <w:keepLines/>
        <w:numPr>
          <w:ilvl w:val="0"/>
          <w:numId w:val="10"/>
        </w:numPr>
        <w:ind w:left="567" w:hanging="567"/>
        <w:contextualSpacing/>
        <w:jc w:val="both"/>
        <w:rPr>
          <w:rFonts w:cs="Arial"/>
          <w:b/>
        </w:rPr>
      </w:pPr>
      <w:r w:rsidRPr="00641133">
        <w:rPr>
          <w:rFonts w:cs="Arial"/>
          <w:b/>
        </w:rPr>
        <w:t>Personnel</w:t>
      </w:r>
    </w:p>
    <w:p w:rsidR="009F72A7" w:rsidRPr="00990B8A" w:rsidRDefault="009F72A7" w:rsidP="009F72A7">
      <w:pPr>
        <w:pStyle w:val="ListParagraph"/>
        <w:keepNext/>
        <w:keepLines/>
        <w:ind w:left="1440"/>
        <w:jc w:val="both"/>
        <w:rPr>
          <w:rFonts w:cs="Arial"/>
        </w:rPr>
      </w:pPr>
    </w:p>
    <w:p w:rsidR="009F72A7" w:rsidRPr="009565B7" w:rsidRDefault="009F72A7" w:rsidP="009F72A7">
      <w:pPr>
        <w:keepNext/>
        <w:keepLines/>
        <w:jc w:val="center"/>
      </w:pPr>
      <w:r w:rsidRPr="00990B8A">
        <w:rPr>
          <w:noProof/>
          <w:color w:val="FF0000"/>
        </w:rPr>
        <w:drawing>
          <wp:inline distT="0" distB="0" distL="0" distR="0" wp14:anchorId="18831B80" wp14:editId="78C2CBCC">
            <wp:extent cx="5319422" cy="2474586"/>
            <wp:effectExtent l="0" t="0" r="0" b="254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17996" cy="2473923"/>
                    </a:xfrm>
                    <a:prstGeom prst="rect">
                      <a:avLst/>
                    </a:prstGeom>
                    <a:noFill/>
                  </pic:spPr>
                </pic:pic>
              </a:graphicData>
            </a:graphic>
          </wp:inline>
        </w:drawing>
      </w:r>
    </w:p>
    <w:p w:rsidR="009F72A7" w:rsidRPr="00990B8A" w:rsidRDefault="009F72A7" w:rsidP="009F72A7">
      <w:pPr>
        <w:keepNext/>
        <w:keepLines/>
        <w:jc w:val="both"/>
      </w:pPr>
    </w:p>
    <w:p w:rsidR="009F72A7" w:rsidRPr="00990B8A" w:rsidRDefault="009F72A7" w:rsidP="00520CAA">
      <w:pPr>
        <w:pStyle w:val="ListParagraph"/>
        <w:numPr>
          <w:ilvl w:val="0"/>
          <w:numId w:val="15"/>
        </w:numPr>
        <w:spacing w:after="120"/>
        <w:ind w:left="993" w:hanging="426"/>
        <w:jc w:val="both"/>
        <w:rPr>
          <w:rFonts w:cs="Arial"/>
        </w:rPr>
      </w:pPr>
      <w:r w:rsidRPr="00990B8A">
        <w:rPr>
          <w:rFonts w:cs="Arial"/>
        </w:rPr>
        <w:t>The number of staff has remained relatively stable since 2010, while the number of flexible resources has increased from 1 in 2012 to 12 in 2014.</w:t>
      </w:r>
    </w:p>
    <w:p w:rsidR="009F72A7" w:rsidRPr="00990B8A" w:rsidRDefault="009F72A7" w:rsidP="00520CAA">
      <w:pPr>
        <w:pStyle w:val="ListParagraph"/>
        <w:numPr>
          <w:ilvl w:val="0"/>
          <w:numId w:val="15"/>
        </w:numPr>
        <w:spacing w:after="120"/>
        <w:ind w:left="993" w:hanging="426"/>
        <w:jc w:val="both"/>
        <w:rPr>
          <w:rFonts w:cs="Arial"/>
        </w:rPr>
      </w:pPr>
      <w:r w:rsidRPr="00990B8A">
        <w:rPr>
          <w:rFonts w:cs="Arial"/>
        </w:rPr>
        <w:t>Personnel of outsourcing companies not working on WIPO premises are not included in this indicator.</w:t>
      </w:r>
    </w:p>
    <w:p w:rsidR="009F72A7" w:rsidRPr="00990B8A" w:rsidRDefault="009F72A7" w:rsidP="009F72A7">
      <w:pPr>
        <w:ind w:left="567" w:hanging="567"/>
        <w:rPr>
          <w:b/>
          <w:u w:val="single"/>
        </w:rPr>
      </w:pPr>
    </w:p>
    <w:p w:rsidR="009F72A7" w:rsidRPr="009565B7" w:rsidRDefault="009F72A7" w:rsidP="00520CAA">
      <w:pPr>
        <w:pStyle w:val="ListParagraph"/>
        <w:keepNext/>
        <w:keepLines/>
        <w:numPr>
          <w:ilvl w:val="0"/>
          <w:numId w:val="10"/>
        </w:numPr>
        <w:ind w:left="567" w:hanging="567"/>
        <w:contextualSpacing/>
        <w:jc w:val="both"/>
        <w:rPr>
          <w:rFonts w:cs="Arial"/>
          <w:b/>
        </w:rPr>
      </w:pPr>
      <w:r w:rsidRPr="009565B7">
        <w:rPr>
          <w:rFonts w:cs="Arial"/>
          <w:b/>
        </w:rPr>
        <w:lastRenderedPageBreak/>
        <w:t>Pendency</w:t>
      </w:r>
    </w:p>
    <w:p w:rsidR="009F72A7" w:rsidRPr="00990B8A" w:rsidRDefault="009F72A7" w:rsidP="00246C7E">
      <w:pPr>
        <w:pStyle w:val="ListParagraph"/>
        <w:keepNext/>
        <w:keepLines/>
        <w:ind w:left="567" w:hanging="567"/>
        <w:jc w:val="both"/>
        <w:rPr>
          <w:rFonts w:cs="Arial"/>
        </w:rPr>
      </w:pPr>
    </w:p>
    <w:p w:rsidR="009F72A7" w:rsidRPr="00990B8A" w:rsidRDefault="009F72A7" w:rsidP="00520CAA">
      <w:pPr>
        <w:pStyle w:val="ListParagraph"/>
        <w:keepNext/>
        <w:keepLines/>
        <w:numPr>
          <w:ilvl w:val="0"/>
          <w:numId w:val="17"/>
        </w:numPr>
        <w:tabs>
          <w:tab w:val="left" w:pos="567"/>
        </w:tabs>
        <w:ind w:left="0" w:firstLine="0"/>
        <w:contextualSpacing/>
        <w:jc w:val="both"/>
        <w:rPr>
          <w:rFonts w:cs="Arial"/>
        </w:rPr>
      </w:pPr>
      <w:r w:rsidRPr="00990B8A">
        <w:rPr>
          <w:rFonts w:cs="Arial"/>
        </w:rPr>
        <w:t>The average pendency for each of the six transactions performed by the IB is shown below. The pendency is calculated from the date a document is received to the date it is inscribed.</w:t>
      </w:r>
    </w:p>
    <w:p w:rsidR="009F72A7" w:rsidRPr="00990B8A" w:rsidRDefault="009F72A7" w:rsidP="00246C7E">
      <w:pPr>
        <w:pStyle w:val="ListParagraph"/>
        <w:keepNext/>
        <w:keepLines/>
        <w:ind w:left="0"/>
        <w:jc w:val="both"/>
        <w:rPr>
          <w:rFonts w:cs="Arial"/>
        </w:rPr>
      </w:pPr>
    </w:p>
    <w:tbl>
      <w:tblPr>
        <w:tblStyle w:val="TableGrid"/>
        <w:tblW w:w="0" w:type="auto"/>
        <w:jc w:val="center"/>
        <w:tblLook w:val="04A0" w:firstRow="1" w:lastRow="0" w:firstColumn="1" w:lastColumn="0" w:noHBand="0" w:noVBand="1"/>
      </w:tblPr>
      <w:tblGrid>
        <w:gridCol w:w="4770"/>
        <w:gridCol w:w="4801"/>
      </w:tblGrid>
      <w:tr w:rsidR="009F72A7" w:rsidRPr="00990B8A" w:rsidTr="00017954">
        <w:trPr>
          <w:trHeight w:val="3298"/>
          <w:jc w:val="center"/>
        </w:trPr>
        <w:tc>
          <w:tcPr>
            <w:tcW w:w="4560" w:type="dxa"/>
          </w:tcPr>
          <w:p w:rsidR="009F72A7" w:rsidRPr="00990B8A" w:rsidRDefault="009F72A7" w:rsidP="00246C7E">
            <w:pPr>
              <w:keepNext/>
              <w:keepLines/>
              <w:jc w:val="both"/>
            </w:pPr>
            <w:r w:rsidRPr="00990B8A">
              <w:rPr>
                <w:noProof/>
              </w:rPr>
              <w:drawing>
                <wp:inline distT="0" distB="0" distL="0" distR="0" wp14:anchorId="64114A31" wp14:editId="06582806">
                  <wp:extent cx="2886323" cy="2195565"/>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885407" cy="2194869"/>
                          </a:xfrm>
                          <a:prstGeom prst="rect">
                            <a:avLst/>
                          </a:prstGeom>
                          <a:noFill/>
                        </pic:spPr>
                      </pic:pic>
                    </a:graphicData>
                  </a:graphic>
                </wp:inline>
              </w:drawing>
            </w:r>
          </w:p>
        </w:tc>
        <w:tc>
          <w:tcPr>
            <w:tcW w:w="4591" w:type="dxa"/>
          </w:tcPr>
          <w:p w:rsidR="009F72A7" w:rsidRPr="00990B8A" w:rsidRDefault="009F72A7" w:rsidP="00246C7E">
            <w:pPr>
              <w:keepNext/>
              <w:keepLines/>
              <w:jc w:val="both"/>
            </w:pPr>
            <w:r w:rsidRPr="00990B8A">
              <w:rPr>
                <w:noProof/>
              </w:rPr>
              <w:drawing>
                <wp:inline distT="0" distB="0" distL="0" distR="0" wp14:anchorId="7F042912" wp14:editId="5DA88EE6">
                  <wp:extent cx="2949934" cy="2181805"/>
                  <wp:effectExtent l="0" t="0" r="3175" b="9525"/>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955783" cy="2186131"/>
                          </a:xfrm>
                          <a:prstGeom prst="rect">
                            <a:avLst/>
                          </a:prstGeom>
                          <a:noFill/>
                        </pic:spPr>
                      </pic:pic>
                    </a:graphicData>
                  </a:graphic>
                </wp:inline>
              </w:drawing>
            </w:r>
          </w:p>
        </w:tc>
      </w:tr>
      <w:tr w:rsidR="009F72A7" w:rsidRPr="00990B8A" w:rsidTr="00017954">
        <w:trPr>
          <w:trHeight w:val="3418"/>
          <w:jc w:val="center"/>
        </w:trPr>
        <w:tc>
          <w:tcPr>
            <w:tcW w:w="4560" w:type="dxa"/>
          </w:tcPr>
          <w:p w:rsidR="009F72A7" w:rsidRPr="00990B8A" w:rsidRDefault="009F72A7" w:rsidP="00246C7E">
            <w:pPr>
              <w:keepNext/>
              <w:keepLines/>
              <w:jc w:val="both"/>
            </w:pPr>
            <w:r w:rsidRPr="00990B8A">
              <w:rPr>
                <w:noProof/>
              </w:rPr>
              <w:drawing>
                <wp:inline distT="0" distB="0" distL="0" distR="0" wp14:anchorId="267EF508" wp14:editId="6F8B07D3">
                  <wp:extent cx="3013544" cy="2162755"/>
                  <wp:effectExtent l="0" t="0" r="0" b="9525"/>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015879" cy="2164431"/>
                          </a:xfrm>
                          <a:prstGeom prst="rect">
                            <a:avLst/>
                          </a:prstGeom>
                          <a:noFill/>
                        </pic:spPr>
                      </pic:pic>
                    </a:graphicData>
                  </a:graphic>
                </wp:inline>
              </w:drawing>
            </w:r>
          </w:p>
        </w:tc>
        <w:tc>
          <w:tcPr>
            <w:tcW w:w="4591" w:type="dxa"/>
          </w:tcPr>
          <w:p w:rsidR="009F72A7" w:rsidRPr="00990B8A" w:rsidRDefault="009F72A7" w:rsidP="00246C7E">
            <w:pPr>
              <w:keepNext/>
              <w:keepLines/>
              <w:jc w:val="both"/>
              <w:rPr>
                <w:color w:val="FF0000"/>
              </w:rPr>
            </w:pPr>
            <w:r w:rsidRPr="00990B8A">
              <w:rPr>
                <w:noProof/>
                <w:color w:val="FF0000"/>
              </w:rPr>
              <w:drawing>
                <wp:inline distT="0" distB="0" distL="0" distR="0" wp14:anchorId="43B81447" wp14:editId="07EEAD8E">
                  <wp:extent cx="2933802" cy="2162755"/>
                  <wp:effectExtent l="0" t="0" r="0" b="9525"/>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944753" cy="2170828"/>
                          </a:xfrm>
                          <a:prstGeom prst="rect">
                            <a:avLst/>
                          </a:prstGeom>
                          <a:noFill/>
                        </pic:spPr>
                      </pic:pic>
                    </a:graphicData>
                  </a:graphic>
                </wp:inline>
              </w:drawing>
            </w:r>
          </w:p>
        </w:tc>
      </w:tr>
      <w:tr w:rsidR="009F72A7" w:rsidRPr="00990B8A" w:rsidTr="00017954">
        <w:trPr>
          <w:trHeight w:val="3194"/>
          <w:jc w:val="center"/>
        </w:trPr>
        <w:tc>
          <w:tcPr>
            <w:tcW w:w="4560" w:type="dxa"/>
          </w:tcPr>
          <w:p w:rsidR="009F72A7" w:rsidRPr="00990B8A" w:rsidRDefault="009F72A7" w:rsidP="00246C7E">
            <w:pPr>
              <w:keepNext/>
              <w:keepLines/>
              <w:jc w:val="both"/>
            </w:pPr>
            <w:r w:rsidRPr="00990B8A">
              <w:rPr>
                <w:noProof/>
              </w:rPr>
              <w:drawing>
                <wp:inline distT="0" distB="0" distL="0" distR="0" wp14:anchorId="6A84D82E" wp14:editId="05665460">
                  <wp:extent cx="3010418" cy="2075291"/>
                  <wp:effectExtent l="0" t="0" r="0" b="1270"/>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012419" cy="2076671"/>
                          </a:xfrm>
                          <a:prstGeom prst="rect">
                            <a:avLst/>
                          </a:prstGeom>
                          <a:noFill/>
                        </pic:spPr>
                      </pic:pic>
                    </a:graphicData>
                  </a:graphic>
                </wp:inline>
              </w:drawing>
            </w:r>
          </w:p>
        </w:tc>
        <w:tc>
          <w:tcPr>
            <w:tcW w:w="4591" w:type="dxa"/>
          </w:tcPr>
          <w:p w:rsidR="009F72A7" w:rsidRPr="00990B8A" w:rsidRDefault="009F72A7" w:rsidP="00246C7E">
            <w:pPr>
              <w:keepNext/>
              <w:keepLines/>
              <w:jc w:val="both"/>
            </w:pPr>
            <w:r w:rsidRPr="00990B8A">
              <w:rPr>
                <w:noProof/>
              </w:rPr>
              <w:drawing>
                <wp:inline distT="0" distB="0" distL="0" distR="0" wp14:anchorId="41BF9D6C" wp14:editId="6F071B10">
                  <wp:extent cx="3034221" cy="2075291"/>
                  <wp:effectExtent l="0" t="0" r="0" b="1270"/>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041191" cy="2080058"/>
                          </a:xfrm>
                          <a:prstGeom prst="rect">
                            <a:avLst/>
                          </a:prstGeom>
                          <a:noFill/>
                        </pic:spPr>
                      </pic:pic>
                    </a:graphicData>
                  </a:graphic>
                </wp:inline>
              </w:drawing>
            </w:r>
          </w:p>
        </w:tc>
      </w:tr>
    </w:tbl>
    <w:p w:rsidR="009F72A7" w:rsidRPr="00990B8A" w:rsidRDefault="009F72A7" w:rsidP="00246C7E">
      <w:pPr>
        <w:keepNext/>
        <w:keepLines/>
        <w:jc w:val="both"/>
      </w:pPr>
    </w:p>
    <w:p w:rsidR="009F72A7" w:rsidRPr="00990B8A" w:rsidRDefault="009F72A7" w:rsidP="00520CAA">
      <w:pPr>
        <w:pStyle w:val="ListParagraph"/>
        <w:numPr>
          <w:ilvl w:val="0"/>
          <w:numId w:val="16"/>
        </w:numPr>
        <w:spacing w:after="120"/>
        <w:ind w:left="993" w:hanging="426"/>
        <w:jc w:val="both"/>
        <w:rPr>
          <w:rFonts w:cs="Arial"/>
        </w:rPr>
      </w:pPr>
      <w:r w:rsidRPr="00990B8A">
        <w:rPr>
          <w:rFonts w:cs="Arial"/>
        </w:rPr>
        <w:t xml:space="preserve">Compared to 2013, the average pendency in 2014 increased for applications, corrections, modifications and subsequent designations. </w:t>
      </w:r>
      <w:r>
        <w:rPr>
          <w:rFonts w:cs="Arial"/>
        </w:rPr>
        <w:t xml:space="preserve"> </w:t>
      </w:r>
      <w:r w:rsidRPr="00990B8A">
        <w:rPr>
          <w:rFonts w:cs="Arial"/>
        </w:rPr>
        <w:t>The average pendency time for renewals remained stable, whereas that for decisions decreased for the second consecutive year.</w:t>
      </w:r>
    </w:p>
    <w:p w:rsidR="009F72A7" w:rsidRPr="00990B8A" w:rsidRDefault="009F72A7" w:rsidP="00520CAA">
      <w:pPr>
        <w:pStyle w:val="ListParagraph"/>
        <w:numPr>
          <w:ilvl w:val="0"/>
          <w:numId w:val="16"/>
        </w:numPr>
        <w:spacing w:after="200"/>
        <w:ind w:left="993" w:hanging="426"/>
        <w:contextualSpacing/>
        <w:jc w:val="both"/>
        <w:rPr>
          <w:rFonts w:cs="Arial"/>
        </w:rPr>
      </w:pPr>
      <w:r w:rsidRPr="00990B8A">
        <w:rPr>
          <w:rFonts w:cs="Arial"/>
        </w:rPr>
        <w:t>Improving and stabilizing pendency across all transactions is a major objective of the IB.</w:t>
      </w:r>
    </w:p>
    <w:p w:rsidR="009F72A7" w:rsidRDefault="009F72A7" w:rsidP="009F72A7">
      <w:pPr>
        <w:autoSpaceDE w:val="0"/>
        <w:autoSpaceDN w:val="0"/>
        <w:adjustRightInd w:val="0"/>
      </w:pPr>
    </w:p>
    <w:p w:rsidR="00DB4599" w:rsidRDefault="00DB4599">
      <w:r>
        <w:br w:type="page"/>
      </w:r>
    </w:p>
    <w:p w:rsidR="00DB4599" w:rsidRPr="001243AF" w:rsidRDefault="00DB4599" w:rsidP="00DB4599">
      <w:pPr>
        <w:pStyle w:val="Heading2"/>
        <w:tabs>
          <w:tab w:val="clear" w:pos="567"/>
          <w:tab w:val="left" w:pos="1985"/>
        </w:tabs>
        <w:ind w:left="1985" w:hanging="1985"/>
      </w:pPr>
      <w:bookmarkStart w:id="58" w:name="_Toc422210486"/>
      <w:r w:rsidRPr="001243AF">
        <w:lastRenderedPageBreak/>
        <w:t xml:space="preserve">PROGRAM </w:t>
      </w:r>
      <w:r>
        <w:t>31</w:t>
      </w:r>
      <w:r>
        <w:tab/>
        <w:t>THE HAGUE SYSTEM</w:t>
      </w:r>
      <w:bookmarkEnd w:id="58"/>
    </w:p>
    <w:p w:rsidR="00DB4599" w:rsidRPr="00383D2D" w:rsidRDefault="00DB4599" w:rsidP="00DB4599">
      <w:pPr>
        <w:rPr>
          <w:szCs w:val="20"/>
        </w:rPr>
      </w:pPr>
    </w:p>
    <w:p w:rsidR="00DB4599" w:rsidRPr="00DB4599" w:rsidRDefault="00DB4599" w:rsidP="00DB4599">
      <w:pPr>
        <w:tabs>
          <w:tab w:val="left" w:pos="1985"/>
        </w:tabs>
        <w:rPr>
          <w:b/>
          <w:szCs w:val="22"/>
        </w:rPr>
      </w:pPr>
      <w:r w:rsidRPr="00DB4599">
        <w:rPr>
          <w:b/>
          <w:szCs w:val="22"/>
        </w:rPr>
        <w:t>Program Manager</w:t>
      </w:r>
      <w:r w:rsidRPr="00DB4599">
        <w:rPr>
          <w:b/>
          <w:szCs w:val="22"/>
        </w:rPr>
        <w:tab/>
        <w:t>Ms. B. Wang</w:t>
      </w:r>
    </w:p>
    <w:p w:rsidR="00DB4599" w:rsidRDefault="00DB4599" w:rsidP="009F72A7">
      <w:pPr>
        <w:autoSpaceDE w:val="0"/>
        <w:autoSpaceDN w:val="0"/>
        <w:adjustRightInd w:val="0"/>
      </w:pPr>
    </w:p>
    <w:p w:rsidR="00B1072F" w:rsidRPr="001C6F4D" w:rsidRDefault="00B1072F" w:rsidP="000E148D">
      <w:pPr>
        <w:rPr>
          <w:szCs w:val="20"/>
        </w:rPr>
      </w:pPr>
    </w:p>
    <w:p w:rsidR="00B1072F" w:rsidRPr="005E6AFC" w:rsidRDefault="00B1072F" w:rsidP="000E148D">
      <w:pPr>
        <w:rPr>
          <w:bCs/>
          <w:sz w:val="22"/>
          <w:szCs w:val="22"/>
        </w:rPr>
      </w:pPr>
      <w:r>
        <w:rPr>
          <w:bCs/>
          <w:sz w:val="22"/>
          <w:szCs w:val="22"/>
        </w:rPr>
        <w:t>OVERVIEW OF PROGRESS IN 2014</w:t>
      </w:r>
    </w:p>
    <w:p w:rsidR="00B1072F" w:rsidRPr="00383D2D" w:rsidRDefault="00B1072F" w:rsidP="000E148D">
      <w:pPr>
        <w:rPr>
          <w:szCs w:val="20"/>
        </w:rPr>
      </w:pPr>
    </w:p>
    <w:p w:rsidR="00B1072F" w:rsidRPr="00383D2D" w:rsidRDefault="00B1072F" w:rsidP="00A8525E">
      <w:pPr>
        <w:jc w:val="both"/>
        <w:rPr>
          <w:rFonts w:cs="Arial"/>
          <w:szCs w:val="20"/>
        </w:rPr>
      </w:pPr>
    </w:p>
    <w:p w:rsidR="00B1072F" w:rsidRPr="000C1926" w:rsidRDefault="00B1072F" w:rsidP="00B1072F">
      <w:pPr>
        <w:pStyle w:val="ListParagraph"/>
        <w:numPr>
          <w:ilvl w:val="0"/>
          <w:numId w:val="64"/>
        </w:numPr>
        <w:tabs>
          <w:tab w:val="left" w:pos="709"/>
        </w:tabs>
        <w:ind w:left="0" w:firstLine="0"/>
        <w:jc w:val="both"/>
      </w:pPr>
      <w:r w:rsidRPr="00E641BB">
        <w:t xml:space="preserve">In 2014, </w:t>
      </w:r>
      <w:r w:rsidRPr="000C1926">
        <w:t>the Republic of Korea became party to the Geneva (1999) Act of the Hague Agreement Concerning the International Registration of Industrial Designs (hereinafter referred to as “the 1999 Act</w:t>
      </w:r>
      <w:r>
        <w:t>”</w:t>
      </w:r>
      <w:r w:rsidRPr="000C1926">
        <w:t xml:space="preserve">).  The accessions of other prospective members, notably Japan and the United States of America, </w:t>
      </w:r>
      <w:r w:rsidRPr="00E641BB">
        <w:t>were postponed to 2015</w:t>
      </w:r>
      <w:r w:rsidRPr="000C1926">
        <w:t xml:space="preserve">, resulting in a lower than anticipated growth rate in membership in 2014.  Furthermore, by the end of 2014, three consents were still required for the termination of the 1934 Act, and four Contracting Parties outside the EU and OAPI remained bound by the 1960 Act.    </w:t>
      </w:r>
    </w:p>
    <w:p w:rsidR="00B1072F" w:rsidRPr="006C11BF" w:rsidRDefault="00B1072F" w:rsidP="008D1891">
      <w:pPr>
        <w:tabs>
          <w:tab w:val="left" w:pos="709"/>
        </w:tabs>
        <w:jc w:val="both"/>
        <w:rPr>
          <w:szCs w:val="20"/>
        </w:rPr>
      </w:pPr>
    </w:p>
    <w:p w:rsidR="00B1072F" w:rsidRPr="000C1926" w:rsidRDefault="00B1072F" w:rsidP="00B1072F">
      <w:pPr>
        <w:pStyle w:val="ListParagraph"/>
        <w:numPr>
          <w:ilvl w:val="0"/>
          <w:numId w:val="64"/>
        </w:numPr>
        <w:tabs>
          <w:tab w:val="left" w:pos="709"/>
        </w:tabs>
        <w:ind w:left="0" w:firstLine="0"/>
        <w:jc w:val="both"/>
      </w:pPr>
      <w:r w:rsidRPr="00E641BB">
        <w:t xml:space="preserve">Significant progress towards the enhancement of the legal framework of the Hague </w:t>
      </w:r>
      <w:r w:rsidRPr="000C1926">
        <w:t xml:space="preserve">System was achieved in 2014. Notably, following the fourth session of the </w:t>
      </w:r>
      <w:r w:rsidRPr="000C1926">
        <w:rPr>
          <w:lang w:val="en"/>
        </w:rPr>
        <w:t>Working Group on the Legal Development of the Hague System for the International Registration of Industrial Designs</w:t>
      </w:r>
      <w:r w:rsidRPr="000C1926">
        <w:t xml:space="preserve">, </w:t>
      </w:r>
      <w:proofErr w:type="gramStart"/>
      <w:r w:rsidRPr="000C1926">
        <w:t>the</w:t>
      </w:r>
      <w:proofErr w:type="gramEnd"/>
      <w:r w:rsidRPr="000C1926">
        <w:t xml:space="preserve"> Hague Union Assembly adopted provisions that introduced a “feedback mechanism”.  In addition, changes to the Administrative Instructions were introduced with a view to giving users more flexibility in respect of the formal disclosure of their designs.  These two developments provide the foundation for moving forward with the long-awaited expansion to jurisdictions where substantive examination is undertaken.  Together with the changes made to the electronic filing interface to cater for the accession of the Republic of Korea, the System should be better equipped to cope with the additional complexities arising from the anticipated accessions.  </w:t>
      </w:r>
    </w:p>
    <w:p w:rsidR="00B1072F" w:rsidRPr="006C11BF" w:rsidRDefault="00B1072F" w:rsidP="008D1891">
      <w:pPr>
        <w:tabs>
          <w:tab w:val="left" w:pos="709"/>
        </w:tabs>
        <w:jc w:val="both"/>
        <w:rPr>
          <w:szCs w:val="20"/>
        </w:rPr>
      </w:pPr>
    </w:p>
    <w:p w:rsidR="00B1072F" w:rsidRPr="000C1926" w:rsidRDefault="00B1072F" w:rsidP="00B1072F">
      <w:pPr>
        <w:pStyle w:val="ListParagraph"/>
        <w:numPr>
          <w:ilvl w:val="0"/>
          <w:numId w:val="64"/>
        </w:numPr>
        <w:tabs>
          <w:tab w:val="left" w:pos="709"/>
        </w:tabs>
        <w:ind w:left="0" w:firstLine="0"/>
        <w:jc w:val="both"/>
      </w:pPr>
      <w:r w:rsidRPr="00E641BB">
        <w:t xml:space="preserve">Filings also remained considerably below the forecasted figure for 2014, in spite of a general increase in terms of designs filed and recorded international registrations. </w:t>
      </w:r>
      <w:r w:rsidRPr="000C1926">
        <w:t xml:space="preserve">As a result, progress was limited with respect to the introduction of greater flexibility in the database, which was meant to be pursued only after experience with an expanded membership was gained.  Nonetheless, progress towards introducing more automated processes in the existing information technology platform continued on track, with one additional process (Statement of Grant </w:t>
      </w:r>
      <w:r w:rsidR="009A33E5">
        <w:t>of Protection</w:t>
      </w:r>
      <w:r w:rsidRPr="000C1926">
        <w:t>) being automated in 2014, for a total of three automated processes.</w:t>
      </w:r>
    </w:p>
    <w:p w:rsidR="00B1072F" w:rsidRDefault="00B1072F" w:rsidP="008D1891">
      <w:pPr>
        <w:tabs>
          <w:tab w:val="left" w:pos="709"/>
        </w:tabs>
        <w:jc w:val="both"/>
        <w:rPr>
          <w:szCs w:val="20"/>
        </w:rPr>
      </w:pPr>
    </w:p>
    <w:p w:rsidR="00B1072F" w:rsidRPr="00E641BB" w:rsidRDefault="00B1072F" w:rsidP="00B1072F">
      <w:pPr>
        <w:pStyle w:val="ListParagraph"/>
        <w:numPr>
          <w:ilvl w:val="0"/>
          <w:numId w:val="64"/>
        </w:numPr>
        <w:tabs>
          <w:tab w:val="left" w:pos="709"/>
        </w:tabs>
        <w:ind w:left="0" w:firstLine="0"/>
        <w:jc w:val="both"/>
      </w:pPr>
      <w:r w:rsidRPr="00E641BB">
        <w:rPr>
          <w:rFonts w:cs="Arial"/>
          <w:bCs/>
        </w:rPr>
        <w:t>The design, planning and implementation of activities by Program 31 were informed and guided by the relevant Recommendations, in particular Recommendations 1 and 6.</w:t>
      </w:r>
    </w:p>
    <w:p w:rsidR="00B1072F" w:rsidRPr="006C11BF" w:rsidRDefault="00B1072F" w:rsidP="008D1891">
      <w:pPr>
        <w:tabs>
          <w:tab w:val="left" w:pos="709"/>
        </w:tabs>
        <w:rPr>
          <w:bCs/>
          <w:szCs w:val="20"/>
        </w:rPr>
      </w:pPr>
    </w:p>
    <w:p w:rsidR="00B1072F" w:rsidRDefault="00B1072F" w:rsidP="008D1891">
      <w:pPr>
        <w:rPr>
          <w:rFonts w:cs="Arial"/>
          <w:sz w:val="22"/>
          <w:szCs w:val="22"/>
        </w:rPr>
      </w:pPr>
    </w:p>
    <w:p w:rsidR="00B1072F" w:rsidRPr="00191037" w:rsidRDefault="00B1072F" w:rsidP="008D1891">
      <w:pPr>
        <w:rPr>
          <w:rFonts w:cs="Arial"/>
          <w:sz w:val="22"/>
          <w:szCs w:val="22"/>
        </w:rPr>
      </w:pPr>
      <w:r w:rsidRPr="00191037">
        <w:rPr>
          <w:rFonts w:cs="Arial"/>
          <w:sz w:val="22"/>
          <w:szCs w:val="22"/>
        </w:rPr>
        <w:t>PERFORMANCE DATA</w:t>
      </w:r>
    </w:p>
    <w:p w:rsidR="00B1072F" w:rsidRDefault="00B1072F" w:rsidP="00C3728B">
      <w:pPr>
        <w:rPr>
          <w:bCs/>
          <w:sz w:val="22"/>
          <w:szCs w:val="22"/>
        </w:rPr>
      </w:pPr>
    </w:p>
    <w:tbl>
      <w:tblPr>
        <w:tblW w:w="4796"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84"/>
        <w:gridCol w:w="2257"/>
        <w:gridCol w:w="1541"/>
        <w:gridCol w:w="2341"/>
        <w:gridCol w:w="958"/>
      </w:tblGrid>
      <w:tr w:rsidR="00B1072F" w:rsidRPr="008539B9" w:rsidTr="008D1891">
        <w:trPr>
          <w:cantSplit/>
        </w:trPr>
        <w:tc>
          <w:tcPr>
            <w:tcW w:w="5000" w:type="pct"/>
            <w:gridSpan w:val="5"/>
            <w:tcBorders>
              <w:top w:val="single" w:sz="4" w:space="0" w:color="auto"/>
              <w:bottom w:val="single" w:sz="4" w:space="0" w:color="auto"/>
            </w:tcBorders>
            <w:shd w:val="clear" w:color="auto" w:fill="CCFFFF"/>
            <w:vAlign w:val="center"/>
          </w:tcPr>
          <w:p w:rsidR="00B1072F" w:rsidRPr="008539B9" w:rsidRDefault="00B1072F" w:rsidP="008D1891">
            <w:pPr>
              <w:keepNext/>
              <w:keepLines/>
              <w:tabs>
                <w:tab w:val="left" w:pos="1452"/>
              </w:tabs>
              <w:spacing w:before="120" w:after="120"/>
              <w:ind w:left="1452" w:hanging="1452"/>
              <w:rPr>
                <w:rFonts w:cs="Arial"/>
                <w:b/>
                <w:bCs/>
                <w:sz w:val="16"/>
                <w:szCs w:val="16"/>
              </w:rPr>
            </w:pPr>
            <w:r w:rsidRPr="008539B9">
              <w:rPr>
                <w:rFonts w:cs="Arial"/>
                <w:b/>
                <w:bCs/>
                <w:sz w:val="16"/>
                <w:szCs w:val="16"/>
              </w:rPr>
              <w:t>Expected Result:</w:t>
            </w:r>
            <w:r w:rsidRPr="008539B9">
              <w:rPr>
                <w:rFonts w:cs="Arial"/>
                <w:b/>
                <w:bCs/>
                <w:sz w:val="16"/>
                <w:szCs w:val="16"/>
              </w:rPr>
              <w:tab/>
            </w:r>
            <w:r w:rsidRPr="00D93226">
              <w:rPr>
                <w:rFonts w:cs="Arial"/>
                <w:color w:val="000000"/>
                <w:sz w:val="16"/>
                <w:szCs w:val="16"/>
              </w:rPr>
              <w:t>II.4 Wider and better use of the Hague system, including by developing countries and LDCs</w:t>
            </w:r>
          </w:p>
        </w:tc>
      </w:tr>
      <w:tr w:rsidR="00B1072F" w:rsidRPr="008539B9" w:rsidTr="00B1072F">
        <w:trPr>
          <w:cantSplit/>
        </w:trPr>
        <w:tc>
          <w:tcPr>
            <w:tcW w:w="1135" w:type="pct"/>
            <w:tcBorders>
              <w:top w:val="single" w:sz="4" w:space="0" w:color="auto"/>
            </w:tcBorders>
            <w:shd w:val="clear" w:color="auto" w:fill="auto"/>
            <w:vAlign w:val="center"/>
          </w:tcPr>
          <w:p w:rsidR="00B1072F" w:rsidRPr="008539B9" w:rsidRDefault="00B1072F" w:rsidP="008D1891">
            <w:pPr>
              <w:rPr>
                <w:rFonts w:cs="Arial"/>
                <w:sz w:val="16"/>
                <w:szCs w:val="16"/>
              </w:rPr>
            </w:pPr>
            <w:r w:rsidRPr="008539B9">
              <w:rPr>
                <w:rFonts w:cs="Arial"/>
                <w:b/>
                <w:bCs/>
                <w:sz w:val="16"/>
                <w:szCs w:val="16"/>
              </w:rPr>
              <w:t>Performance Indicators</w:t>
            </w:r>
          </w:p>
        </w:tc>
        <w:tc>
          <w:tcPr>
            <w:tcW w:w="1229" w:type="pct"/>
            <w:tcBorders>
              <w:top w:val="single" w:sz="4" w:space="0" w:color="auto"/>
            </w:tcBorders>
            <w:shd w:val="clear" w:color="auto" w:fill="auto"/>
            <w:vAlign w:val="center"/>
          </w:tcPr>
          <w:p w:rsidR="00B1072F" w:rsidRPr="008539B9" w:rsidRDefault="00B1072F" w:rsidP="008D1891">
            <w:pPr>
              <w:rPr>
                <w:rFonts w:cs="Arial"/>
                <w:b/>
                <w:bCs/>
                <w:sz w:val="16"/>
                <w:szCs w:val="16"/>
              </w:rPr>
            </w:pPr>
            <w:r w:rsidRPr="008539B9">
              <w:rPr>
                <w:rFonts w:cs="Arial"/>
                <w:b/>
                <w:bCs/>
                <w:sz w:val="16"/>
                <w:szCs w:val="16"/>
              </w:rPr>
              <w:t>Baselines</w:t>
            </w:r>
          </w:p>
        </w:tc>
        <w:tc>
          <w:tcPr>
            <w:tcW w:w="839" w:type="pct"/>
            <w:tcBorders>
              <w:top w:val="single" w:sz="4" w:space="0" w:color="auto"/>
            </w:tcBorders>
            <w:shd w:val="clear" w:color="auto" w:fill="auto"/>
            <w:tcMar>
              <w:top w:w="110" w:type="dxa"/>
            </w:tcMar>
            <w:vAlign w:val="center"/>
          </w:tcPr>
          <w:p w:rsidR="00B1072F" w:rsidRPr="008539B9" w:rsidRDefault="00B1072F" w:rsidP="008D1891">
            <w:pPr>
              <w:rPr>
                <w:rFonts w:cs="Arial"/>
                <w:b/>
                <w:sz w:val="16"/>
                <w:szCs w:val="16"/>
              </w:rPr>
            </w:pPr>
            <w:r w:rsidRPr="008539B9">
              <w:rPr>
                <w:rFonts w:cs="Arial"/>
                <w:b/>
                <w:sz w:val="16"/>
                <w:szCs w:val="16"/>
              </w:rPr>
              <w:t>Targets</w:t>
            </w:r>
          </w:p>
        </w:tc>
        <w:tc>
          <w:tcPr>
            <w:tcW w:w="1275" w:type="pct"/>
            <w:tcBorders>
              <w:top w:val="single" w:sz="4" w:space="0" w:color="auto"/>
            </w:tcBorders>
            <w:shd w:val="clear" w:color="auto" w:fill="FFFFFF"/>
            <w:tcMar>
              <w:top w:w="110" w:type="dxa"/>
            </w:tcMar>
            <w:vAlign w:val="center"/>
          </w:tcPr>
          <w:p w:rsidR="00B1072F" w:rsidRPr="008539B9" w:rsidRDefault="00B1072F" w:rsidP="008D1891">
            <w:pPr>
              <w:rPr>
                <w:rFonts w:cs="Arial"/>
                <w:sz w:val="16"/>
                <w:szCs w:val="16"/>
              </w:rPr>
            </w:pPr>
            <w:r w:rsidRPr="008539B9">
              <w:rPr>
                <w:rFonts w:cs="Arial"/>
                <w:b/>
                <w:bCs/>
                <w:sz w:val="16"/>
                <w:szCs w:val="16"/>
              </w:rPr>
              <w:t>Performance Data</w:t>
            </w:r>
          </w:p>
        </w:tc>
        <w:tc>
          <w:tcPr>
            <w:tcW w:w="522" w:type="pct"/>
            <w:tcBorders>
              <w:top w:val="single" w:sz="4" w:space="0" w:color="auto"/>
            </w:tcBorders>
            <w:shd w:val="clear" w:color="auto" w:fill="auto"/>
            <w:tcMar>
              <w:top w:w="110" w:type="dxa"/>
            </w:tcMar>
            <w:vAlign w:val="center"/>
          </w:tcPr>
          <w:p w:rsidR="00B1072F" w:rsidRPr="008539B9" w:rsidRDefault="00B1072F" w:rsidP="008D1891">
            <w:pPr>
              <w:keepNext/>
              <w:keepLines/>
              <w:jc w:val="center"/>
              <w:rPr>
                <w:rFonts w:cs="Arial"/>
                <w:b/>
                <w:bCs/>
                <w:sz w:val="16"/>
                <w:szCs w:val="16"/>
              </w:rPr>
            </w:pPr>
            <w:r w:rsidRPr="008539B9">
              <w:rPr>
                <w:rFonts w:cs="Arial"/>
                <w:b/>
                <w:bCs/>
                <w:sz w:val="16"/>
                <w:szCs w:val="16"/>
              </w:rPr>
              <w:t>TLS</w:t>
            </w:r>
          </w:p>
        </w:tc>
      </w:tr>
      <w:tr w:rsidR="00B1072F" w:rsidRPr="008539B9" w:rsidTr="00B1072F">
        <w:trPr>
          <w:cantSplit/>
          <w:trHeight w:val="1492"/>
        </w:trPr>
        <w:tc>
          <w:tcPr>
            <w:tcW w:w="1135" w:type="pct"/>
            <w:tcBorders>
              <w:bottom w:val="nil"/>
            </w:tcBorders>
            <w:shd w:val="clear" w:color="auto" w:fill="auto"/>
          </w:tcPr>
          <w:p w:rsidR="00B1072F" w:rsidRPr="008539B9" w:rsidRDefault="00B1072F" w:rsidP="008D1891">
            <w:pPr>
              <w:rPr>
                <w:rFonts w:cs="Arial"/>
                <w:color w:val="000000"/>
                <w:sz w:val="16"/>
                <w:szCs w:val="16"/>
              </w:rPr>
            </w:pPr>
            <w:r w:rsidRPr="00D93226">
              <w:rPr>
                <w:rFonts w:cs="Arial"/>
                <w:color w:val="000000"/>
                <w:sz w:val="16"/>
                <w:szCs w:val="16"/>
              </w:rPr>
              <w:t>Membership of the Geneva (1999) Act</w:t>
            </w:r>
          </w:p>
        </w:tc>
        <w:tc>
          <w:tcPr>
            <w:tcW w:w="1229" w:type="pct"/>
            <w:tcBorders>
              <w:bottom w:val="nil"/>
            </w:tcBorders>
            <w:shd w:val="clear" w:color="auto" w:fill="auto"/>
          </w:tcPr>
          <w:p w:rsidR="00B1072F" w:rsidRPr="00733128" w:rsidRDefault="00B1072F" w:rsidP="008D1891">
            <w:pPr>
              <w:rPr>
                <w:rFonts w:cs="Arial"/>
                <w:color w:val="002060"/>
                <w:sz w:val="16"/>
                <w:szCs w:val="16"/>
              </w:rPr>
            </w:pPr>
            <w:r w:rsidRPr="008539B9">
              <w:rPr>
                <w:rFonts w:cs="Arial"/>
                <w:i/>
                <w:color w:val="002060"/>
                <w:sz w:val="16"/>
                <w:szCs w:val="16"/>
              </w:rPr>
              <w:t>Updated Baseline end 201</w:t>
            </w:r>
            <w:r>
              <w:rPr>
                <w:rFonts w:cs="Arial"/>
                <w:i/>
                <w:color w:val="002060"/>
                <w:sz w:val="16"/>
                <w:szCs w:val="16"/>
              </w:rPr>
              <w:t>3</w:t>
            </w:r>
            <w:r w:rsidRPr="008539B9">
              <w:rPr>
                <w:rFonts w:cs="Arial"/>
                <w:i/>
                <w:color w:val="002060"/>
                <w:sz w:val="16"/>
                <w:szCs w:val="16"/>
              </w:rPr>
              <w:t xml:space="preserve">:  </w:t>
            </w:r>
            <w:r w:rsidRPr="00733128">
              <w:rPr>
                <w:rFonts w:cs="Arial"/>
                <w:i/>
                <w:color w:val="002060"/>
                <w:sz w:val="16"/>
                <w:szCs w:val="16"/>
              </w:rPr>
              <w:t>46 Contracting Parties (end 2013)</w:t>
            </w:r>
          </w:p>
          <w:p w:rsidR="00B1072F" w:rsidRDefault="00B1072F" w:rsidP="008D1891">
            <w:pPr>
              <w:rPr>
                <w:rFonts w:cs="Arial"/>
                <w:color w:val="000000"/>
                <w:sz w:val="16"/>
                <w:szCs w:val="16"/>
              </w:rPr>
            </w:pPr>
          </w:p>
          <w:p w:rsidR="00B1072F" w:rsidRPr="008539B9" w:rsidRDefault="00B1072F" w:rsidP="008D1891">
            <w:pPr>
              <w:rPr>
                <w:rFonts w:cs="Arial"/>
                <w:i/>
                <w:color w:val="002060"/>
                <w:sz w:val="8"/>
                <w:szCs w:val="8"/>
              </w:rPr>
            </w:pPr>
          </w:p>
          <w:p w:rsidR="00B1072F" w:rsidRPr="008539B9" w:rsidRDefault="00B1072F" w:rsidP="008D1891">
            <w:pPr>
              <w:rPr>
                <w:rFonts w:cs="Arial"/>
                <w:color w:val="000000"/>
                <w:sz w:val="16"/>
                <w:szCs w:val="16"/>
              </w:rPr>
            </w:pPr>
            <w:r w:rsidRPr="008539B9">
              <w:rPr>
                <w:rFonts w:cs="Arial"/>
                <w:i/>
                <w:sz w:val="16"/>
                <w:szCs w:val="16"/>
              </w:rPr>
              <w:t>Original Baseline P&amp;B 201</w:t>
            </w:r>
            <w:r>
              <w:rPr>
                <w:rFonts w:cs="Arial"/>
                <w:i/>
                <w:sz w:val="16"/>
                <w:szCs w:val="16"/>
              </w:rPr>
              <w:t>4</w:t>
            </w:r>
            <w:r w:rsidRPr="008539B9">
              <w:rPr>
                <w:rFonts w:cs="Arial"/>
                <w:i/>
                <w:sz w:val="16"/>
                <w:szCs w:val="16"/>
              </w:rPr>
              <w:t>/1</w:t>
            </w:r>
            <w:r>
              <w:rPr>
                <w:rFonts w:cs="Arial"/>
                <w:i/>
                <w:sz w:val="16"/>
                <w:szCs w:val="16"/>
              </w:rPr>
              <w:t>5</w:t>
            </w:r>
            <w:r w:rsidRPr="008539B9">
              <w:rPr>
                <w:rFonts w:cs="Arial"/>
                <w:i/>
                <w:sz w:val="16"/>
                <w:szCs w:val="16"/>
              </w:rPr>
              <w:t>:</w:t>
            </w:r>
            <w:r>
              <w:rPr>
                <w:rFonts w:cs="Arial"/>
                <w:i/>
                <w:sz w:val="16"/>
                <w:szCs w:val="16"/>
              </w:rPr>
              <w:t xml:space="preserve"> </w:t>
            </w:r>
            <w:r w:rsidRPr="00D93226">
              <w:rPr>
                <w:rFonts w:cs="Arial"/>
                <w:color w:val="000000"/>
                <w:sz w:val="16"/>
                <w:szCs w:val="16"/>
              </w:rPr>
              <w:t>45 Contracting Parties</w:t>
            </w:r>
          </w:p>
        </w:tc>
        <w:tc>
          <w:tcPr>
            <w:tcW w:w="839" w:type="pct"/>
            <w:tcBorders>
              <w:bottom w:val="nil"/>
            </w:tcBorders>
            <w:shd w:val="clear" w:color="auto" w:fill="auto"/>
            <w:tcMar>
              <w:top w:w="110" w:type="dxa"/>
            </w:tcMar>
          </w:tcPr>
          <w:p w:rsidR="00B1072F" w:rsidRPr="008539B9" w:rsidRDefault="00B1072F" w:rsidP="008D1891">
            <w:pPr>
              <w:rPr>
                <w:rFonts w:cs="Arial"/>
                <w:color w:val="000000"/>
                <w:sz w:val="16"/>
                <w:szCs w:val="16"/>
              </w:rPr>
            </w:pPr>
            <w:r w:rsidRPr="00904E35">
              <w:rPr>
                <w:rFonts w:cs="Arial"/>
                <w:sz w:val="16"/>
                <w:szCs w:val="16"/>
              </w:rPr>
              <w:t>58 Contracting Parties</w:t>
            </w:r>
          </w:p>
        </w:tc>
        <w:tc>
          <w:tcPr>
            <w:tcW w:w="1275" w:type="pct"/>
            <w:tcBorders>
              <w:bottom w:val="nil"/>
            </w:tcBorders>
            <w:shd w:val="clear" w:color="auto" w:fill="FFFFFF"/>
            <w:tcMar>
              <w:top w:w="110" w:type="dxa"/>
            </w:tcMar>
          </w:tcPr>
          <w:p w:rsidR="00B1072F" w:rsidRPr="00904E35" w:rsidRDefault="00B1072F" w:rsidP="008D1891">
            <w:pPr>
              <w:rPr>
                <w:rFonts w:cs="Arial"/>
                <w:sz w:val="16"/>
                <w:szCs w:val="16"/>
                <w:lang w:bidi="th-TH"/>
              </w:rPr>
            </w:pPr>
            <w:r w:rsidRPr="00904E35">
              <w:rPr>
                <w:rFonts w:cs="Arial"/>
                <w:sz w:val="16"/>
                <w:szCs w:val="16"/>
                <w:lang w:bidi="th-TH"/>
              </w:rPr>
              <w:t xml:space="preserve">47 Contracting Parties to the Geneva Act </w:t>
            </w:r>
            <w:r>
              <w:rPr>
                <w:rFonts w:cs="Arial"/>
                <w:sz w:val="16"/>
                <w:szCs w:val="16"/>
                <w:lang w:bidi="th-TH"/>
              </w:rPr>
              <w:t>(end 2014)</w:t>
            </w:r>
          </w:p>
          <w:p w:rsidR="00B1072F" w:rsidRPr="00904E35" w:rsidRDefault="00B1072F" w:rsidP="008D1891">
            <w:pPr>
              <w:rPr>
                <w:rFonts w:cs="Arial"/>
                <w:sz w:val="16"/>
                <w:szCs w:val="16"/>
                <w:lang w:bidi="th-TH"/>
              </w:rPr>
            </w:pPr>
          </w:p>
          <w:p w:rsidR="00B1072F" w:rsidRPr="008539B9" w:rsidRDefault="00B1072F" w:rsidP="008D1891">
            <w:pPr>
              <w:rPr>
                <w:rFonts w:cs="Arial"/>
                <w:sz w:val="16"/>
                <w:szCs w:val="16"/>
              </w:rPr>
            </w:pPr>
          </w:p>
        </w:tc>
        <w:tc>
          <w:tcPr>
            <w:tcW w:w="522" w:type="pct"/>
            <w:tcBorders>
              <w:bottom w:val="nil"/>
            </w:tcBorders>
            <w:shd w:val="clear" w:color="auto" w:fill="auto"/>
            <w:tcMar>
              <w:top w:w="110" w:type="dxa"/>
            </w:tcMar>
          </w:tcPr>
          <w:p w:rsidR="00B1072F" w:rsidRPr="000C1926" w:rsidRDefault="00B1072F" w:rsidP="008D1891">
            <w:pPr>
              <w:keepNext/>
              <w:keepLines/>
              <w:jc w:val="center"/>
              <w:rPr>
                <w:rFonts w:cs="Arial"/>
                <w:b/>
                <w:bCs/>
                <w:color w:val="808080"/>
                <w:sz w:val="16"/>
                <w:szCs w:val="16"/>
              </w:rPr>
            </w:pPr>
            <w:r w:rsidRPr="000C1926">
              <w:rPr>
                <w:b/>
                <w:bCs/>
                <w:color w:val="FF0000"/>
                <w:sz w:val="16"/>
                <w:szCs w:val="16"/>
              </w:rPr>
              <w:t xml:space="preserve">Not </w:t>
            </w:r>
            <w:r w:rsidRPr="000C1926">
              <w:rPr>
                <w:b/>
                <w:bCs/>
                <w:color w:val="FF0000"/>
                <w:sz w:val="16"/>
                <w:szCs w:val="16"/>
              </w:rPr>
              <w:br/>
              <w:t>on track</w:t>
            </w:r>
          </w:p>
        </w:tc>
      </w:tr>
      <w:tr w:rsidR="00B1072F" w:rsidRPr="008539B9" w:rsidTr="00B1072F">
        <w:trPr>
          <w:cantSplit/>
        </w:trPr>
        <w:tc>
          <w:tcPr>
            <w:tcW w:w="1135" w:type="pct"/>
            <w:tcBorders>
              <w:top w:val="nil"/>
              <w:left w:val="single" w:sz="4" w:space="0" w:color="auto"/>
              <w:bottom w:val="single" w:sz="4" w:space="0" w:color="auto"/>
            </w:tcBorders>
            <w:shd w:val="clear" w:color="auto" w:fill="auto"/>
          </w:tcPr>
          <w:p w:rsidR="00B1072F" w:rsidRPr="008539B9" w:rsidRDefault="00B1072F" w:rsidP="008D1891">
            <w:pPr>
              <w:rPr>
                <w:rFonts w:cs="Arial"/>
                <w:sz w:val="16"/>
                <w:szCs w:val="16"/>
              </w:rPr>
            </w:pPr>
            <w:r w:rsidRPr="00B41908">
              <w:rPr>
                <w:rFonts w:cs="Arial"/>
                <w:sz w:val="16"/>
                <w:szCs w:val="16"/>
              </w:rPr>
              <w:t xml:space="preserve">Share of Offices concerned providing information on the Hague system </w:t>
            </w:r>
          </w:p>
        </w:tc>
        <w:tc>
          <w:tcPr>
            <w:tcW w:w="1229" w:type="pct"/>
            <w:tcBorders>
              <w:top w:val="nil"/>
              <w:bottom w:val="single" w:sz="4" w:space="0" w:color="auto"/>
            </w:tcBorders>
            <w:shd w:val="clear" w:color="auto" w:fill="auto"/>
          </w:tcPr>
          <w:p w:rsidR="00B1072F" w:rsidRDefault="00B1072F" w:rsidP="008D1891">
            <w:pPr>
              <w:rPr>
                <w:rFonts w:cs="Arial"/>
                <w:i/>
                <w:sz w:val="16"/>
                <w:szCs w:val="16"/>
              </w:rPr>
            </w:pPr>
            <w:r w:rsidRPr="008539B9">
              <w:rPr>
                <w:rFonts w:cs="Arial"/>
                <w:i/>
                <w:color w:val="002060"/>
                <w:sz w:val="16"/>
                <w:szCs w:val="16"/>
              </w:rPr>
              <w:t>Updated Baseline end 201</w:t>
            </w:r>
            <w:r>
              <w:rPr>
                <w:rFonts w:cs="Arial"/>
                <w:i/>
                <w:color w:val="002060"/>
                <w:sz w:val="16"/>
                <w:szCs w:val="16"/>
              </w:rPr>
              <w:t>3</w:t>
            </w:r>
            <w:r w:rsidRPr="008539B9">
              <w:rPr>
                <w:rFonts w:cs="Arial"/>
                <w:i/>
                <w:color w:val="002060"/>
                <w:sz w:val="16"/>
                <w:szCs w:val="16"/>
              </w:rPr>
              <w:t xml:space="preserve">:  </w:t>
            </w:r>
            <w:r w:rsidRPr="00B41908">
              <w:rPr>
                <w:rFonts w:cs="Arial"/>
                <w:i/>
                <w:color w:val="002060"/>
                <w:sz w:val="16"/>
                <w:szCs w:val="16"/>
              </w:rPr>
              <w:t>42 national or regional Offices were providing adequate information on the Hague System.  Nine Offices h</w:t>
            </w:r>
            <w:r>
              <w:rPr>
                <w:rFonts w:cs="Arial"/>
                <w:i/>
                <w:color w:val="002060"/>
                <w:sz w:val="16"/>
                <w:szCs w:val="16"/>
              </w:rPr>
              <w:t>ad</w:t>
            </w:r>
            <w:r w:rsidRPr="00B41908">
              <w:rPr>
                <w:rFonts w:cs="Arial"/>
                <w:i/>
                <w:color w:val="002060"/>
                <w:sz w:val="16"/>
                <w:szCs w:val="16"/>
              </w:rPr>
              <w:t xml:space="preserve"> no web site.</w:t>
            </w:r>
          </w:p>
          <w:p w:rsidR="00B1072F" w:rsidRDefault="00B1072F" w:rsidP="008D1891">
            <w:pPr>
              <w:rPr>
                <w:rFonts w:cs="Arial"/>
                <w:i/>
                <w:sz w:val="16"/>
                <w:szCs w:val="16"/>
              </w:rPr>
            </w:pPr>
          </w:p>
          <w:p w:rsidR="00B1072F" w:rsidRDefault="00B1072F" w:rsidP="008D1891">
            <w:pPr>
              <w:rPr>
                <w:rFonts w:cs="Arial"/>
                <w:i/>
                <w:sz w:val="16"/>
                <w:szCs w:val="16"/>
              </w:rPr>
            </w:pPr>
            <w:r w:rsidRPr="008539B9">
              <w:rPr>
                <w:rFonts w:cs="Arial"/>
                <w:i/>
                <w:sz w:val="16"/>
                <w:szCs w:val="16"/>
              </w:rPr>
              <w:t>Original Baseline P&amp;B 201</w:t>
            </w:r>
            <w:r>
              <w:rPr>
                <w:rFonts w:cs="Arial"/>
                <w:i/>
                <w:sz w:val="16"/>
                <w:szCs w:val="16"/>
              </w:rPr>
              <w:t>4</w:t>
            </w:r>
            <w:r w:rsidRPr="008539B9">
              <w:rPr>
                <w:rFonts w:cs="Arial"/>
                <w:i/>
                <w:sz w:val="16"/>
                <w:szCs w:val="16"/>
              </w:rPr>
              <w:t>/1</w:t>
            </w:r>
            <w:r>
              <w:rPr>
                <w:rFonts w:cs="Arial"/>
                <w:i/>
                <w:sz w:val="16"/>
                <w:szCs w:val="16"/>
              </w:rPr>
              <w:t>5</w:t>
            </w:r>
            <w:r w:rsidRPr="008539B9">
              <w:rPr>
                <w:rFonts w:cs="Arial"/>
                <w:i/>
                <w:sz w:val="16"/>
                <w:szCs w:val="16"/>
              </w:rPr>
              <w:t>:</w:t>
            </w:r>
            <w:r>
              <w:rPr>
                <w:rFonts w:cs="Arial"/>
                <w:i/>
                <w:sz w:val="16"/>
                <w:szCs w:val="16"/>
              </w:rPr>
              <w:t xml:space="preserve"> Share of </w:t>
            </w:r>
            <w:r w:rsidRPr="00B41908">
              <w:rPr>
                <w:rFonts w:cs="Arial"/>
                <w:i/>
                <w:sz w:val="16"/>
                <w:szCs w:val="16"/>
              </w:rPr>
              <w:t>Offices providing such information</w:t>
            </w:r>
          </w:p>
          <w:p w:rsidR="00B1072F" w:rsidRPr="008539B9" w:rsidRDefault="00B1072F" w:rsidP="008D1891">
            <w:pPr>
              <w:rPr>
                <w:rFonts w:cs="Arial"/>
                <w:sz w:val="16"/>
                <w:szCs w:val="16"/>
              </w:rPr>
            </w:pPr>
          </w:p>
        </w:tc>
        <w:tc>
          <w:tcPr>
            <w:tcW w:w="839" w:type="pct"/>
            <w:tcBorders>
              <w:top w:val="nil"/>
              <w:bottom w:val="single" w:sz="4" w:space="0" w:color="auto"/>
            </w:tcBorders>
            <w:shd w:val="clear" w:color="auto" w:fill="auto"/>
            <w:tcMar>
              <w:top w:w="110" w:type="dxa"/>
            </w:tcMar>
          </w:tcPr>
          <w:p w:rsidR="00B1072F" w:rsidRPr="008539B9" w:rsidRDefault="00B1072F" w:rsidP="008D1891">
            <w:pPr>
              <w:rPr>
                <w:rFonts w:cs="Arial"/>
                <w:color w:val="993300"/>
                <w:sz w:val="16"/>
                <w:szCs w:val="16"/>
                <w:lang w:bidi="th-TH"/>
              </w:rPr>
            </w:pPr>
            <w:r w:rsidRPr="00B41908">
              <w:rPr>
                <w:rFonts w:cs="Arial"/>
                <w:sz w:val="16"/>
                <w:szCs w:val="16"/>
              </w:rPr>
              <w:t>Increased share</w:t>
            </w:r>
          </w:p>
        </w:tc>
        <w:tc>
          <w:tcPr>
            <w:tcW w:w="1275" w:type="pct"/>
            <w:tcBorders>
              <w:top w:val="nil"/>
              <w:bottom w:val="single" w:sz="4" w:space="0" w:color="auto"/>
            </w:tcBorders>
            <w:shd w:val="clear" w:color="auto" w:fill="FFFFFF"/>
            <w:tcMar>
              <w:top w:w="110" w:type="dxa"/>
            </w:tcMar>
          </w:tcPr>
          <w:p w:rsidR="00B1072F" w:rsidRPr="008539B9" w:rsidRDefault="00B1072F" w:rsidP="008D1891">
            <w:pPr>
              <w:rPr>
                <w:rFonts w:cs="Arial"/>
                <w:sz w:val="16"/>
                <w:szCs w:val="16"/>
                <w:lang w:bidi="th-TH"/>
              </w:rPr>
            </w:pPr>
            <w:r>
              <w:rPr>
                <w:sz w:val="16"/>
                <w:szCs w:val="16"/>
              </w:rPr>
              <w:t xml:space="preserve">38 national or regional Offices were providing information on the Hague System at the end of 2014. Ten Offices had no website (end 2014) </w:t>
            </w:r>
          </w:p>
        </w:tc>
        <w:tc>
          <w:tcPr>
            <w:tcW w:w="522" w:type="pct"/>
            <w:tcBorders>
              <w:top w:val="nil"/>
              <w:bottom w:val="single" w:sz="4" w:space="0" w:color="auto"/>
              <w:right w:val="single" w:sz="4" w:space="0" w:color="auto"/>
            </w:tcBorders>
            <w:shd w:val="clear" w:color="auto" w:fill="auto"/>
            <w:tcMar>
              <w:top w:w="110" w:type="dxa"/>
            </w:tcMar>
          </w:tcPr>
          <w:p w:rsidR="00B1072F" w:rsidRPr="000C1926" w:rsidRDefault="00B1072F">
            <w:pPr>
              <w:keepNext/>
              <w:keepLines/>
              <w:jc w:val="center"/>
              <w:rPr>
                <w:rFonts w:cs="Arial"/>
                <w:b/>
                <w:bCs/>
                <w:color w:val="808080"/>
                <w:sz w:val="16"/>
                <w:szCs w:val="16"/>
              </w:rPr>
            </w:pPr>
            <w:r w:rsidRPr="000C1926">
              <w:rPr>
                <w:b/>
                <w:bCs/>
                <w:color w:val="FF0000"/>
                <w:sz w:val="16"/>
                <w:szCs w:val="16"/>
              </w:rPr>
              <w:t>Not</w:t>
            </w:r>
            <w:r>
              <w:rPr>
                <w:b/>
                <w:bCs/>
                <w:color w:val="FF0000"/>
                <w:sz w:val="16"/>
                <w:szCs w:val="16"/>
              </w:rPr>
              <w:br/>
            </w:r>
            <w:r w:rsidRPr="000C1926">
              <w:rPr>
                <w:b/>
                <w:bCs/>
                <w:color w:val="FF0000"/>
                <w:sz w:val="16"/>
                <w:szCs w:val="16"/>
              </w:rPr>
              <w:t>on track</w:t>
            </w:r>
          </w:p>
        </w:tc>
      </w:tr>
    </w:tbl>
    <w:p w:rsidR="00B1072F" w:rsidRDefault="00B1072F">
      <w:r>
        <w:br w:type="page"/>
      </w:r>
    </w:p>
    <w:tbl>
      <w:tblPr>
        <w:tblW w:w="4796"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85"/>
        <w:gridCol w:w="7"/>
        <w:gridCol w:w="33"/>
        <w:gridCol w:w="2124"/>
        <w:gridCol w:w="92"/>
        <w:gridCol w:w="1541"/>
        <w:gridCol w:w="39"/>
        <w:gridCol w:w="29"/>
        <w:gridCol w:w="2273"/>
        <w:gridCol w:w="958"/>
      </w:tblGrid>
      <w:tr w:rsidR="00B1072F" w:rsidRPr="008539B9" w:rsidTr="00B1072F">
        <w:trPr>
          <w:cantSplit/>
        </w:trPr>
        <w:tc>
          <w:tcPr>
            <w:tcW w:w="1135" w:type="pct"/>
            <w:tcBorders>
              <w:top w:val="single" w:sz="4" w:space="0" w:color="auto"/>
              <w:left w:val="single" w:sz="4" w:space="0" w:color="auto"/>
              <w:bottom w:val="nil"/>
            </w:tcBorders>
            <w:shd w:val="clear" w:color="auto" w:fill="auto"/>
            <w:vAlign w:val="center"/>
          </w:tcPr>
          <w:p w:rsidR="00B1072F" w:rsidRPr="008539B9" w:rsidRDefault="00B1072F" w:rsidP="008D1891">
            <w:pPr>
              <w:rPr>
                <w:rFonts w:cs="Arial"/>
                <w:sz w:val="16"/>
                <w:szCs w:val="16"/>
              </w:rPr>
            </w:pPr>
            <w:r w:rsidRPr="008539B9">
              <w:rPr>
                <w:rFonts w:cs="Arial"/>
                <w:b/>
                <w:bCs/>
                <w:sz w:val="16"/>
                <w:szCs w:val="16"/>
              </w:rPr>
              <w:lastRenderedPageBreak/>
              <w:t>Performance Indicators</w:t>
            </w:r>
          </w:p>
        </w:tc>
        <w:tc>
          <w:tcPr>
            <w:tcW w:w="1229" w:type="pct"/>
            <w:gridSpan w:val="4"/>
            <w:tcBorders>
              <w:top w:val="single" w:sz="4" w:space="0" w:color="auto"/>
              <w:bottom w:val="nil"/>
            </w:tcBorders>
            <w:shd w:val="clear" w:color="auto" w:fill="auto"/>
            <w:vAlign w:val="center"/>
          </w:tcPr>
          <w:p w:rsidR="00B1072F" w:rsidRPr="008539B9" w:rsidRDefault="00B1072F" w:rsidP="008D1891">
            <w:pPr>
              <w:rPr>
                <w:rFonts w:cs="Arial"/>
                <w:b/>
                <w:bCs/>
                <w:sz w:val="16"/>
                <w:szCs w:val="16"/>
              </w:rPr>
            </w:pPr>
            <w:r w:rsidRPr="008539B9">
              <w:rPr>
                <w:rFonts w:cs="Arial"/>
                <w:b/>
                <w:bCs/>
                <w:sz w:val="16"/>
                <w:szCs w:val="16"/>
              </w:rPr>
              <w:t>Baselines</w:t>
            </w:r>
          </w:p>
        </w:tc>
        <w:tc>
          <w:tcPr>
            <w:tcW w:w="839" w:type="pct"/>
            <w:tcBorders>
              <w:top w:val="single" w:sz="4" w:space="0" w:color="auto"/>
              <w:bottom w:val="nil"/>
            </w:tcBorders>
            <w:shd w:val="clear" w:color="auto" w:fill="auto"/>
            <w:tcMar>
              <w:top w:w="110" w:type="dxa"/>
            </w:tcMar>
            <w:vAlign w:val="center"/>
          </w:tcPr>
          <w:p w:rsidR="00B1072F" w:rsidRPr="008539B9" w:rsidRDefault="00B1072F" w:rsidP="008D1891">
            <w:pPr>
              <w:rPr>
                <w:rFonts w:cs="Arial"/>
                <w:b/>
                <w:sz w:val="16"/>
                <w:szCs w:val="16"/>
              </w:rPr>
            </w:pPr>
            <w:r w:rsidRPr="008539B9">
              <w:rPr>
                <w:rFonts w:cs="Arial"/>
                <w:b/>
                <w:sz w:val="16"/>
                <w:szCs w:val="16"/>
              </w:rPr>
              <w:t>Targets</w:t>
            </w:r>
          </w:p>
        </w:tc>
        <w:tc>
          <w:tcPr>
            <w:tcW w:w="1275" w:type="pct"/>
            <w:gridSpan w:val="3"/>
            <w:tcBorders>
              <w:top w:val="single" w:sz="4" w:space="0" w:color="auto"/>
              <w:bottom w:val="nil"/>
            </w:tcBorders>
            <w:shd w:val="clear" w:color="auto" w:fill="FFFFFF"/>
            <w:tcMar>
              <w:top w:w="110" w:type="dxa"/>
            </w:tcMar>
            <w:vAlign w:val="center"/>
          </w:tcPr>
          <w:p w:rsidR="00B1072F" w:rsidRPr="008539B9" w:rsidRDefault="00B1072F" w:rsidP="008D1891">
            <w:pPr>
              <w:rPr>
                <w:rFonts w:cs="Arial"/>
                <w:sz w:val="16"/>
                <w:szCs w:val="16"/>
              </w:rPr>
            </w:pPr>
            <w:r w:rsidRPr="008539B9">
              <w:rPr>
                <w:rFonts w:cs="Arial"/>
                <w:b/>
                <w:bCs/>
                <w:sz w:val="16"/>
                <w:szCs w:val="16"/>
              </w:rPr>
              <w:t>Performance Data</w:t>
            </w:r>
          </w:p>
        </w:tc>
        <w:tc>
          <w:tcPr>
            <w:tcW w:w="522" w:type="pct"/>
            <w:tcBorders>
              <w:top w:val="single" w:sz="4" w:space="0" w:color="auto"/>
              <w:bottom w:val="nil"/>
              <w:right w:val="single" w:sz="4" w:space="0" w:color="auto"/>
            </w:tcBorders>
            <w:shd w:val="clear" w:color="auto" w:fill="auto"/>
            <w:tcMar>
              <w:top w:w="110" w:type="dxa"/>
            </w:tcMar>
            <w:vAlign w:val="center"/>
          </w:tcPr>
          <w:p w:rsidR="00B1072F" w:rsidRPr="008539B9" w:rsidRDefault="00B1072F" w:rsidP="008D1891">
            <w:pPr>
              <w:keepNext/>
              <w:keepLines/>
              <w:jc w:val="center"/>
              <w:rPr>
                <w:rFonts w:cs="Arial"/>
                <w:b/>
                <w:bCs/>
                <w:sz w:val="16"/>
                <w:szCs w:val="16"/>
              </w:rPr>
            </w:pPr>
            <w:r w:rsidRPr="008539B9">
              <w:rPr>
                <w:rFonts w:cs="Arial"/>
                <w:b/>
                <w:bCs/>
                <w:sz w:val="16"/>
                <w:szCs w:val="16"/>
              </w:rPr>
              <w:t>TLS</w:t>
            </w:r>
          </w:p>
        </w:tc>
      </w:tr>
      <w:tr w:rsidR="00B1072F" w:rsidRPr="008539B9" w:rsidTr="00B1072F">
        <w:trPr>
          <w:cantSplit/>
        </w:trPr>
        <w:tc>
          <w:tcPr>
            <w:tcW w:w="1135" w:type="pct"/>
            <w:tcBorders>
              <w:top w:val="nil"/>
              <w:left w:val="single" w:sz="4" w:space="0" w:color="auto"/>
              <w:bottom w:val="nil"/>
            </w:tcBorders>
            <w:shd w:val="clear" w:color="auto" w:fill="auto"/>
          </w:tcPr>
          <w:p w:rsidR="00B1072F" w:rsidRPr="00BD2F1C" w:rsidRDefault="00B1072F" w:rsidP="008D1891">
            <w:pPr>
              <w:rPr>
                <w:rFonts w:cs="Arial"/>
                <w:sz w:val="16"/>
                <w:szCs w:val="16"/>
              </w:rPr>
            </w:pPr>
            <w:r w:rsidRPr="00B27A6A">
              <w:rPr>
                <w:rFonts w:cs="Arial"/>
                <w:sz w:val="16"/>
                <w:szCs w:val="16"/>
              </w:rPr>
              <w:t xml:space="preserve">Hague filings and renewals </w:t>
            </w:r>
          </w:p>
        </w:tc>
        <w:tc>
          <w:tcPr>
            <w:tcW w:w="1229" w:type="pct"/>
            <w:gridSpan w:val="4"/>
            <w:tcBorders>
              <w:top w:val="nil"/>
              <w:bottom w:val="nil"/>
            </w:tcBorders>
            <w:shd w:val="clear" w:color="auto" w:fill="auto"/>
          </w:tcPr>
          <w:p w:rsidR="00B1072F" w:rsidRPr="000C1926" w:rsidRDefault="00B1072F" w:rsidP="008D1891">
            <w:pPr>
              <w:rPr>
                <w:rFonts w:cs="Arial"/>
                <w:i/>
                <w:color w:val="002060"/>
                <w:sz w:val="16"/>
                <w:szCs w:val="16"/>
              </w:rPr>
            </w:pPr>
            <w:r w:rsidRPr="000C1926">
              <w:rPr>
                <w:rFonts w:cs="Arial"/>
                <w:i/>
                <w:color w:val="002060"/>
                <w:sz w:val="16"/>
                <w:szCs w:val="16"/>
              </w:rPr>
              <w:t>Updated Baseline end 2013:  Applications:</w:t>
            </w:r>
          </w:p>
          <w:p w:rsidR="00B1072F" w:rsidRPr="000C1926" w:rsidRDefault="00B1072F" w:rsidP="008D1891">
            <w:pPr>
              <w:rPr>
                <w:rFonts w:cs="Arial"/>
                <w:i/>
                <w:color w:val="002060"/>
                <w:sz w:val="16"/>
                <w:szCs w:val="16"/>
              </w:rPr>
            </w:pPr>
            <w:r w:rsidRPr="000C1926">
              <w:rPr>
                <w:rFonts w:cs="Arial"/>
                <w:i/>
                <w:color w:val="002060"/>
                <w:sz w:val="16"/>
                <w:szCs w:val="16"/>
              </w:rPr>
              <w:t>2,990</w:t>
            </w:r>
          </w:p>
          <w:p w:rsidR="00B1072F" w:rsidRPr="000C1926" w:rsidRDefault="00B1072F" w:rsidP="008D1891">
            <w:pPr>
              <w:rPr>
                <w:rFonts w:cs="Arial"/>
                <w:i/>
                <w:color w:val="002060"/>
                <w:sz w:val="16"/>
                <w:szCs w:val="16"/>
              </w:rPr>
            </w:pPr>
            <w:r w:rsidRPr="000C1926">
              <w:rPr>
                <w:rFonts w:cs="Arial"/>
                <w:i/>
                <w:color w:val="002060"/>
                <w:sz w:val="16"/>
                <w:szCs w:val="16"/>
              </w:rPr>
              <w:t>Designs contained:   13,172</w:t>
            </w:r>
          </w:p>
          <w:p w:rsidR="00B1072F" w:rsidRPr="000C1926" w:rsidRDefault="00B1072F" w:rsidP="008D1891">
            <w:pPr>
              <w:rPr>
                <w:rFonts w:cs="Arial"/>
                <w:i/>
                <w:color w:val="002060"/>
                <w:sz w:val="16"/>
                <w:szCs w:val="16"/>
              </w:rPr>
            </w:pPr>
            <w:r w:rsidRPr="000C1926">
              <w:rPr>
                <w:rFonts w:cs="Arial"/>
                <w:i/>
                <w:color w:val="002060"/>
                <w:sz w:val="16"/>
                <w:szCs w:val="16"/>
              </w:rPr>
              <w:t>Renewals:  2,859</w:t>
            </w:r>
          </w:p>
          <w:p w:rsidR="00B1072F" w:rsidRPr="00B27A6A" w:rsidRDefault="00B1072F" w:rsidP="008D1891">
            <w:pPr>
              <w:rPr>
                <w:rFonts w:cs="Arial"/>
                <w:i/>
                <w:sz w:val="16"/>
                <w:szCs w:val="16"/>
              </w:rPr>
            </w:pPr>
            <w:r w:rsidRPr="000C1926">
              <w:rPr>
                <w:rFonts w:cs="Arial"/>
                <w:i/>
                <w:color w:val="002060"/>
                <w:sz w:val="16"/>
                <w:szCs w:val="16"/>
              </w:rPr>
              <w:t>(2013)</w:t>
            </w:r>
          </w:p>
          <w:p w:rsidR="00B1072F" w:rsidRPr="00BD2F1C" w:rsidRDefault="00B1072F" w:rsidP="008D1891">
            <w:pPr>
              <w:rPr>
                <w:rFonts w:cs="Arial"/>
                <w:i/>
                <w:sz w:val="16"/>
                <w:szCs w:val="16"/>
              </w:rPr>
            </w:pPr>
          </w:p>
          <w:p w:rsidR="00B1072F" w:rsidRPr="00B27A6A" w:rsidRDefault="00B1072F" w:rsidP="008D1891">
            <w:pPr>
              <w:rPr>
                <w:rFonts w:cs="Arial"/>
                <w:i/>
                <w:sz w:val="16"/>
                <w:szCs w:val="16"/>
              </w:rPr>
            </w:pPr>
            <w:r w:rsidRPr="00B27A6A">
              <w:rPr>
                <w:rFonts w:cs="Arial"/>
                <w:i/>
                <w:sz w:val="16"/>
                <w:szCs w:val="16"/>
              </w:rPr>
              <w:t xml:space="preserve">Original Baseline P&amp;B 2014/15: Applications: 2,604 </w:t>
            </w:r>
          </w:p>
          <w:p w:rsidR="00B1072F" w:rsidRPr="00B27A6A" w:rsidRDefault="00B1072F" w:rsidP="008D1891">
            <w:pPr>
              <w:rPr>
                <w:rFonts w:cs="Arial"/>
                <w:i/>
                <w:sz w:val="16"/>
                <w:szCs w:val="16"/>
              </w:rPr>
            </w:pPr>
            <w:r w:rsidRPr="00B27A6A">
              <w:rPr>
                <w:rFonts w:cs="Arial"/>
                <w:i/>
                <w:sz w:val="16"/>
                <w:szCs w:val="16"/>
              </w:rPr>
              <w:t>Designs contained: 12,454</w:t>
            </w:r>
            <w:r w:rsidRPr="00B27A6A">
              <w:rPr>
                <w:rStyle w:val="FootnoteReference"/>
                <w:rFonts w:cs="Arial"/>
                <w:i/>
                <w:sz w:val="16"/>
                <w:szCs w:val="16"/>
              </w:rPr>
              <w:footnoteReference w:id="15"/>
            </w:r>
            <w:r w:rsidRPr="00B27A6A">
              <w:rPr>
                <w:rFonts w:cs="Arial"/>
                <w:i/>
                <w:sz w:val="16"/>
                <w:szCs w:val="16"/>
              </w:rPr>
              <w:t xml:space="preserve"> </w:t>
            </w:r>
          </w:p>
          <w:p w:rsidR="00B1072F" w:rsidRPr="00B27A6A" w:rsidRDefault="00B1072F" w:rsidP="008D1891">
            <w:pPr>
              <w:rPr>
                <w:rFonts w:cs="Arial"/>
                <w:i/>
                <w:sz w:val="16"/>
                <w:szCs w:val="16"/>
              </w:rPr>
            </w:pPr>
            <w:r w:rsidRPr="00BD2F1C">
              <w:rPr>
                <w:rFonts w:cs="Arial"/>
                <w:i/>
                <w:sz w:val="16"/>
                <w:szCs w:val="16"/>
              </w:rPr>
              <w:t>Renewals</w:t>
            </w:r>
            <w:r w:rsidRPr="00EF19ED">
              <w:rPr>
                <w:rFonts w:cs="Arial"/>
                <w:i/>
                <w:sz w:val="16"/>
                <w:szCs w:val="16"/>
              </w:rPr>
              <w:t>:</w:t>
            </w:r>
            <w:r w:rsidRPr="00B27A6A">
              <w:rPr>
                <w:rFonts w:cs="Arial"/>
                <w:i/>
                <w:sz w:val="16"/>
                <w:szCs w:val="16"/>
              </w:rPr>
              <w:t xml:space="preserve"> 3,120 </w:t>
            </w:r>
          </w:p>
          <w:p w:rsidR="00B1072F" w:rsidRPr="00B27A6A" w:rsidRDefault="00B1072F" w:rsidP="008D1891">
            <w:pPr>
              <w:rPr>
                <w:rFonts w:cs="Arial"/>
                <w:sz w:val="16"/>
                <w:szCs w:val="16"/>
              </w:rPr>
            </w:pPr>
            <w:r w:rsidRPr="00B27A6A">
              <w:rPr>
                <w:rFonts w:cs="Arial"/>
                <w:i/>
                <w:sz w:val="16"/>
                <w:szCs w:val="16"/>
              </w:rPr>
              <w:t>(2012)</w:t>
            </w:r>
          </w:p>
        </w:tc>
        <w:tc>
          <w:tcPr>
            <w:tcW w:w="839" w:type="pct"/>
            <w:tcBorders>
              <w:top w:val="nil"/>
              <w:bottom w:val="nil"/>
            </w:tcBorders>
            <w:shd w:val="clear" w:color="auto" w:fill="auto"/>
            <w:tcMar>
              <w:top w:w="110" w:type="dxa"/>
            </w:tcMar>
          </w:tcPr>
          <w:p w:rsidR="00B1072F" w:rsidRPr="00B41908" w:rsidRDefault="00B1072F" w:rsidP="008D1891">
            <w:pPr>
              <w:rPr>
                <w:rFonts w:cs="Arial"/>
                <w:sz w:val="16"/>
                <w:szCs w:val="16"/>
              </w:rPr>
            </w:pPr>
            <w:r w:rsidRPr="00B41908">
              <w:rPr>
                <w:rFonts w:cs="Arial"/>
                <w:sz w:val="16"/>
                <w:szCs w:val="16"/>
              </w:rPr>
              <w:t xml:space="preserve">2014: </w:t>
            </w:r>
          </w:p>
          <w:p w:rsidR="00B1072F" w:rsidRPr="00B41908" w:rsidRDefault="00B1072F" w:rsidP="008D1891">
            <w:pPr>
              <w:rPr>
                <w:rFonts w:cs="Arial"/>
                <w:sz w:val="16"/>
                <w:szCs w:val="16"/>
              </w:rPr>
            </w:pPr>
            <w:r w:rsidRPr="00B41908">
              <w:rPr>
                <w:rFonts w:cs="Arial"/>
                <w:sz w:val="16"/>
                <w:szCs w:val="16"/>
              </w:rPr>
              <w:t xml:space="preserve">Applications: </w:t>
            </w:r>
          </w:p>
          <w:p w:rsidR="00B1072F" w:rsidRPr="00B41908" w:rsidRDefault="00B1072F" w:rsidP="008D1891">
            <w:pPr>
              <w:rPr>
                <w:rFonts w:cs="Arial"/>
                <w:sz w:val="16"/>
                <w:szCs w:val="16"/>
              </w:rPr>
            </w:pPr>
            <w:r w:rsidRPr="00B41908">
              <w:rPr>
                <w:rFonts w:cs="Arial"/>
                <w:sz w:val="16"/>
                <w:szCs w:val="16"/>
              </w:rPr>
              <w:t xml:space="preserve">33.9% increase </w:t>
            </w:r>
          </w:p>
          <w:p w:rsidR="00B1072F" w:rsidRPr="00B41908" w:rsidRDefault="00B1072F" w:rsidP="008D1891">
            <w:pPr>
              <w:rPr>
                <w:rFonts w:cs="Arial"/>
                <w:sz w:val="16"/>
                <w:szCs w:val="16"/>
              </w:rPr>
            </w:pPr>
            <w:r w:rsidRPr="00B41908">
              <w:rPr>
                <w:rFonts w:cs="Arial"/>
                <w:sz w:val="16"/>
                <w:szCs w:val="16"/>
              </w:rPr>
              <w:t xml:space="preserve">Designs contained: 33% increase Renewals: </w:t>
            </w:r>
          </w:p>
          <w:p w:rsidR="00B1072F" w:rsidRPr="00B41908" w:rsidRDefault="00B1072F" w:rsidP="008D1891">
            <w:pPr>
              <w:rPr>
                <w:rFonts w:cs="Arial"/>
                <w:sz w:val="16"/>
                <w:szCs w:val="16"/>
              </w:rPr>
            </w:pPr>
            <w:r w:rsidRPr="00B41908">
              <w:rPr>
                <w:rFonts w:cs="Arial"/>
                <w:sz w:val="16"/>
                <w:szCs w:val="16"/>
              </w:rPr>
              <w:t xml:space="preserve">2.9% decrease </w:t>
            </w:r>
          </w:p>
          <w:p w:rsidR="00B1072F" w:rsidRPr="00B41908" w:rsidRDefault="00B1072F" w:rsidP="008D1891">
            <w:pPr>
              <w:rPr>
                <w:rFonts w:cs="Arial"/>
                <w:sz w:val="16"/>
                <w:szCs w:val="16"/>
              </w:rPr>
            </w:pPr>
          </w:p>
          <w:p w:rsidR="00B1072F" w:rsidRPr="00B41908" w:rsidRDefault="00B1072F" w:rsidP="008D1891">
            <w:pPr>
              <w:rPr>
                <w:rFonts w:cs="Arial"/>
                <w:sz w:val="16"/>
                <w:szCs w:val="16"/>
              </w:rPr>
            </w:pPr>
            <w:r w:rsidRPr="00B41908">
              <w:rPr>
                <w:rFonts w:cs="Arial"/>
                <w:sz w:val="16"/>
                <w:szCs w:val="16"/>
              </w:rPr>
              <w:t xml:space="preserve">2015: </w:t>
            </w:r>
          </w:p>
          <w:p w:rsidR="00B1072F" w:rsidRPr="00B41908" w:rsidRDefault="00B1072F" w:rsidP="008D1891">
            <w:pPr>
              <w:rPr>
                <w:rFonts w:cs="Arial"/>
                <w:sz w:val="16"/>
                <w:szCs w:val="16"/>
              </w:rPr>
            </w:pPr>
            <w:r w:rsidRPr="00B41908">
              <w:rPr>
                <w:rFonts w:cs="Arial"/>
                <w:sz w:val="16"/>
                <w:szCs w:val="16"/>
              </w:rPr>
              <w:t xml:space="preserve">Applications:  </w:t>
            </w:r>
          </w:p>
          <w:p w:rsidR="00B1072F" w:rsidRPr="00B41908" w:rsidRDefault="00B1072F" w:rsidP="008D1891">
            <w:pPr>
              <w:rPr>
                <w:rFonts w:cs="Arial"/>
                <w:sz w:val="16"/>
                <w:szCs w:val="16"/>
              </w:rPr>
            </w:pPr>
            <w:r w:rsidRPr="00B41908">
              <w:rPr>
                <w:rFonts w:cs="Arial"/>
                <w:sz w:val="16"/>
                <w:szCs w:val="16"/>
              </w:rPr>
              <w:t xml:space="preserve">23.4% increase Designs contained:  23.5% increase Renewals: </w:t>
            </w:r>
          </w:p>
          <w:p w:rsidR="00B1072F" w:rsidRDefault="00B1072F" w:rsidP="008D1891">
            <w:pPr>
              <w:rPr>
                <w:rFonts w:cs="Arial"/>
                <w:sz w:val="16"/>
                <w:szCs w:val="16"/>
              </w:rPr>
            </w:pPr>
            <w:r w:rsidRPr="00B41908">
              <w:rPr>
                <w:rFonts w:cs="Arial"/>
                <w:sz w:val="16"/>
                <w:szCs w:val="16"/>
              </w:rPr>
              <w:t>5.5% increase</w:t>
            </w:r>
          </w:p>
          <w:p w:rsidR="00B1072F" w:rsidRPr="008539B9" w:rsidRDefault="00B1072F" w:rsidP="008D1891">
            <w:pPr>
              <w:rPr>
                <w:rFonts w:cs="Arial"/>
                <w:sz w:val="16"/>
                <w:szCs w:val="16"/>
              </w:rPr>
            </w:pPr>
          </w:p>
        </w:tc>
        <w:tc>
          <w:tcPr>
            <w:tcW w:w="1275" w:type="pct"/>
            <w:gridSpan w:val="3"/>
            <w:tcBorders>
              <w:top w:val="nil"/>
              <w:bottom w:val="nil"/>
            </w:tcBorders>
            <w:shd w:val="clear" w:color="auto" w:fill="FFFFFF"/>
            <w:tcMar>
              <w:top w:w="110" w:type="dxa"/>
            </w:tcMar>
          </w:tcPr>
          <w:p w:rsidR="00B1072F" w:rsidRDefault="00B1072F" w:rsidP="008D1891">
            <w:pPr>
              <w:rPr>
                <w:rFonts w:cs="Arial"/>
                <w:sz w:val="16"/>
                <w:szCs w:val="16"/>
                <w:lang w:bidi="th-TH"/>
              </w:rPr>
            </w:pPr>
            <w:r>
              <w:rPr>
                <w:rFonts w:cs="Arial"/>
                <w:sz w:val="16"/>
                <w:szCs w:val="16"/>
                <w:lang w:bidi="th-TH"/>
              </w:rPr>
              <w:t>2014:</w:t>
            </w:r>
          </w:p>
          <w:p w:rsidR="00B1072F" w:rsidRPr="00B41908" w:rsidRDefault="00B1072F" w:rsidP="008D1891">
            <w:pPr>
              <w:rPr>
                <w:rFonts w:cs="Arial"/>
                <w:sz w:val="16"/>
                <w:szCs w:val="16"/>
                <w:lang w:bidi="th-TH"/>
              </w:rPr>
            </w:pPr>
            <w:r w:rsidRPr="00B41908">
              <w:rPr>
                <w:rFonts w:cs="Arial"/>
                <w:sz w:val="16"/>
                <w:szCs w:val="16"/>
                <w:lang w:bidi="th-TH"/>
              </w:rPr>
              <w:t>Applications:</w:t>
            </w:r>
          </w:p>
          <w:p w:rsidR="00B1072F" w:rsidRPr="00B41908" w:rsidRDefault="00B1072F" w:rsidP="008D1891">
            <w:pPr>
              <w:rPr>
                <w:rFonts w:cs="Arial"/>
                <w:sz w:val="16"/>
                <w:szCs w:val="16"/>
                <w:lang w:bidi="th-TH"/>
              </w:rPr>
            </w:pPr>
            <w:r w:rsidRPr="00B41908">
              <w:rPr>
                <w:rFonts w:cs="Arial"/>
                <w:sz w:val="16"/>
                <w:szCs w:val="16"/>
                <w:lang w:bidi="th-TH"/>
              </w:rPr>
              <w:t>2.2% decrease (2</w:t>
            </w:r>
            <w:r>
              <w:rPr>
                <w:rFonts w:cs="Arial"/>
                <w:sz w:val="16"/>
                <w:szCs w:val="16"/>
                <w:lang w:bidi="th-TH"/>
              </w:rPr>
              <w:t>,</w:t>
            </w:r>
            <w:r w:rsidRPr="00B41908">
              <w:rPr>
                <w:rFonts w:cs="Arial"/>
                <w:sz w:val="16"/>
                <w:szCs w:val="16"/>
                <w:lang w:bidi="th-TH"/>
              </w:rPr>
              <w:t>924)</w:t>
            </w:r>
          </w:p>
          <w:p w:rsidR="00B1072F" w:rsidRPr="00B41908" w:rsidRDefault="00B1072F" w:rsidP="008D1891">
            <w:pPr>
              <w:rPr>
                <w:rFonts w:cs="Arial"/>
                <w:sz w:val="16"/>
                <w:szCs w:val="16"/>
                <w:lang w:bidi="th-TH"/>
              </w:rPr>
            </w:pPr>
          </w:p>
          <w:p w:rsidR="00B1072F" w:rsidRPr="00B41908" w:rsidRDefault="00B1072F" w:rsidP="008D1891">
            <w:pPr>
              <w:rPr>
                <w:rFonts w:cs="Arial"/>
                <w:sz w:val="16"/>
                <w:szCs w:val="16"/>
                <w:lang w:bidi="th-TH"/>
              </w:rPr>
            </w:pPr>
            <w:r w:rsidRPr="00B41908">
              <w:rPr>
                <w:rFonts w:cs="Arial"/>
                <w:sz w:val="16"/>
                <w:szCs w:val="16"/>
                <w:lang w:bidi="th-TH"/>
              </w:rPr>
              <w:t>Designs contained:</w:t>
            </w:r>
          </w:p>
          <w:p w:rsidR="00B1072F" w:rsidRPr="00B41908" w:rsidRDefault="00B1072F" w:rsidP="008D1891">
            <w:pPr>
              <w:rPr>
                <w:rFonts w:cs="Arial"/>
                <w:sz w:val="16"/>
                <w:szCs w:val="16"/>
                <w:lang w:bidi="th-TH"/>
              </w:rPr>
            </w:pPr>
            <w:r w:rsidRPr="00B41908">
              <w:rPr>
                <w:rFonts w:cs="Arial"/>
                <w:sz w:val="16"/>
                <w:szCs w:val="16"/>
                <w:lang w:bidi="th-TH"/>
              </w:rPr>
              <w:t>9.6% increase (14,441)</w:t>
            </w:r>
          </w:p>
          <w:p w:rsidR="00B1072F" w:rsidRPr="00B41908" w:rsidRDefault="00B1072F" w:rsidP="008D1891">
            <w:pPr>
              <w:rPr>
                <w:rFonts w:cs="Arial"/>
                <w:sz w:val="16"/>
                <w:szCs w:val="16"/>
                <w:lang w:bidi="th-TH"/>
              </w:rPr>
            </w:pPr>
          </w:p>
          <w:p w:rsidR="00B1072F" w:rsidRPr="00B41908" w:rsidRDefault="00B1072F" w:rsidP="008D1891">
            <w:pPr>
              <w:rPr>
                <w:rFonts w:cs="Arial"/>
                <w:sz w:val="16"/>
                <w:szCs w:val="16"/>
                <w:lang w:bidi="th-TH"/>
              </w:rPr>
            </w:pPr>
            <w:r w:rsidRPr="00B41908">
              <w:rPr>
                <w:rFonts w:cs="Arial"/>
                <w:sz w:val="16"/>
                <w:szCs w:val="16"/>
                <w:lang w:bidi="th-TH"/>
              </w:rPr>
              <w:t>Renewals:</w:t>
            </w:r>
          </w:p>
          <w:p w:rsidR="00B1072F" w:rsidRPr="008539B9" w:rsidRDefault="00B1072F" w:rsidP="008D1891">
            <w:pPr>
              <w:rPr>
                <w:rFonts w:cs="Arial"/>
                <w:sz w:val="16"/>
                <w:szCs w:val="16"/>
              </w:rPr>
            </w:pPr>
            <w:r w:rsidRPr="00B41908">
              <w:rPr>
                <w:rFonts w:cs="Arial"/>
                <w:sz w:val="16"/>
                <w:szCs w:val="16"/>
                <w:lang w:bidi="th-TH"/>
              </w:rPr>
              <w:t>5.5% decrease (2</w:t>
            </w:r>
            <w:r>
              <w:rPr>
                <w:rFonts w:cs="Arial"/>
                <w:sz w:val="16"/>
                <w:szCs w:val="16"/>
                <w:lang w:bidi="th-TH"/>
              </w:rPr>
              <w:t>,</w:t>
            </w:r>
            <w:r w:rsidRPr="00B41908">
              <w:rPr>
                <w:rFonts w:cs="Arial"/>
                <w:sz w:val="16"/>
                <w:szCs w:val="16"/>
                <w:lang w:bidi="th-TH"/>
              </w:rPr>
              <w:t>70</w:t>
            </w:r>
            <w:r>
              <w:rPr>
                <w:rFonts w:cs="Arial"/>
                <w:sz w:val="16"/>
                <w:szCs w:val="16"/>
                <w:lang w:bidi="th-TH"/>
              </w:rPr>
              <w:t>3</w:t>
            </w:r>
            <w:r w:rsidRPr="00B41908">
              <w:rPr>
                <w:rFonts w:cs="Arial"/>
                <w:sz w:val="16"/>
                <w:szCs w:val="16"/>
                <w:lang w:bidi="th-TH"/>
              </w:rPr>
              <w:t>)</w:t>
            </w:r>
          </w:p>
        </w:tc>
        <w:tc>
          <w:tcPr>
            <w:tcW w:w="522" w:type="pct"/>
            <w:tcBorders>
              <w:top w:val="nil"/>
              <w:bottom w:val="nil"/>
              <w:right w:val="single" w:sz="4" w:space="0" w:color="auto"/>
            </w:tcBorders>
            <w:shd w:val="clear" w:color="auto" w:fill="auto"/>
            <w:tcMar>
              <w:top w:w="110" w:type="dxa"/>
            </w:tcMar>
          </w:tcPr>
          <w:p w:rsidR="00B1072F" w:rsidRPr="000C1926" w:rsidRDefault="00B1072F" w:rsidP="008D1891">
            <w:pPr>
              <w:keepNext/>
              <w:keepLines/>
              <w:jc w:val="center"/>
              <w:rPr>
                <w:rFonts w:cs="Arial"/>
                <w:b/>
                <w:bCs/>
                <w:color w:val="808080"/>
                <w:sz w:val="16"/>
                <w:szCs w:val="16"/>
              </w:rPr>
            </w:pPr>
            <w:r w:rsidRPr="000C1926">
              <w:rPr>
                <w:b/>
                <w:bCs/>
                <w:color w:val="FF0000"/>
                <w:sz w:val="16"/>
                <w:szCs w:val="16"/>
              </w:rPr>
              <w:t xml:space="preserve">Not </w:t>
            </w:r>
            <w:r w:rsidRPr="000C1926">
              <w:rPr>
                <w:b/>
                <w:bCs/>
                <w:color w:val="FF0000"/>
                <w:sz w:val="16"/>
                <w:szCs w:val="16"/>
              </w:rPr>
              <w:br/>
              <w:t>on track</w:t>
            </w:r>
          </w:p>
        </w:tc>
      </w:tr>
      <w:tr w:rsidR="00B1072F" w:rsidRPr="008539B9" w:rsidTr="008D1891">
        <w:trPr>
          <w:cantSplit/>
        </w:trPr>
        <w:tc>
          <w:tcPr>
            <w:tcW w:w="5000" w:type="pct"/>
            <w:gridSpan w:val="10"/>
            <w:tcBorders>
              <w:top w:val="nil"/>
              <w:bottom w:val="single" w:sz="4" w:space="0" w:color="auto"/>
            </w:tcBorders>
            <w:shd w:val="clear" w:color="auto" w:fill="CCFFFF"/>
            <w:vAlign w:val="center"/>
          </w:tcPr>
          <w:p w:rsidR="00B1072F" w:rsidRPr="008539B9" w:rsidRDefault="00B1072F" w:rsidP="008D1891">
            <w:pPr>
              <w:keepNext/>
              <w:keepLines/>
              <w:tabs>
                <w:tab w:val="left" w:pos="1452"/>
              </w:tabs>
              <w:spacing w:before="120" w:after="120"/>
              <w:ind w:left="1452" w:hanging="1452"/>
              <w:rPr>
                <w:rFonts w:cs="Arial"/>
                <w:b/>
                <w:bCs/>
                <w:sz w:val="16"/>
                <w:szCs w:val="16"/>
              </w:rPr>
            </w:pPr>
            <w:r w:rsidRPr="008539B9">
              <w:rPr>
                <w:rFonts w:cs="Arial"/>
                <w:b/>
                <w:bCs/>
                <w:sz w:val="16"/>
                <w:szCs w:val="16"/>
              </w:rPr>
              <w:t>Expected Result:</w:t>
            </w:r>
            <w:r w:rsidRPr="008539B9">
              <w:rPr>
                <w:rFonts w:cs="Arial"/>
                <w:b/>
                <w:bCs/>
                <w:sz w:val="16"/>
                <w:szCs w:val="16"/>
              </w:rPr>
              <w:tab/>
            </w:r>
            <w:r w:rsidRPr="00D93226">
              <w:rPr>
                <w:rFonts w:cs="Arial"/>
                <w:color w:val="000000"/>
                <w:sz w:val="16"/>
                <w:szCs w:val="16"/>
              </w:rPr>
              <w:t xml:space="preserve"> II.5 Improved productivity and service quality of Hague operations</w:t>
            </w:r>
          </w:p>
        </w:tc>
      </w:tr>
      <w:tr w:rsidR="00B1072F" w:rsidRPr="00724EA5" w:rsidTr="00B1072F">
        <w:trPr>
          <w:cantSplit/>
        </w:trPr>
        <w:tc>
          <w:tcPr>
            <w:tcW w:w="1139" w:type="pct"/>
            <w:gridSpan w:val="2"/>
            <w:tcBorders>
              <w:top w:val="single" w:sz="4" w:space="0" w:color="auto"/>
            </w:tcBorders>
            <w:shd w:val="clear" w:color="auto" w:fill="auto"/>
            <w:vAlign w:val="center"/>
          </w:tcPr>
          <w:p w:rsidR="00B1072F" w:rsidRPr="00724EA5" w:rsidRDefault="00B1072F" w:rsidP="008D1891">
            <w:pPr>
              <w:rPr>
                <w:rFonts w:cs="Arial"/>
                <w:sz w:val="16"/>
                <w:szCs w:val="16"/>
              </w:rPr>
            </w:pPr>
            <w:r w:rsidRPr="00724EA5">
              <w:rPr>
                <w:rFonts w:cs="Arial"/>
                <w:b/>
                <w:bCs/>
                <w:sz w:val="16"/>
                <w:szCs w:val="16"/>
              </w:rPr>
              <w:t>Performance Indicators</w:t>
            </w:r>
          </w:p>
        </w:tc>
        <w:tc>
          <w:tcPr>
            <w:tcW w:w="1225" w:type="pct"/>
            <w:gridSpan w:val="3"/>
            <w:tcBorders>
              <w:top w:val="single" w:sz="4" w:space="0" w:color="auto"/>
            </w:tcBorders>
            <w:shd w:val="clear" w:color="auto" w:fill="auto"/>
            <w:vAlign w:val="center"/>
          </w:tcPr>
          <w:p w:rsidR="00B1072F" w:rsidRPr="00724EA5" w:rsidRDefault="00B1072F" w:rsidP="008D1891">
            <w:pPr>
              <w:rPr>
                <w:rFonts w:cs="Arial"/>
                <w:b/>
                <w:bCs/>
                <w:sz w:val="16"/>
                <w:szCs w:val="16"/>
              </w:rPr>
            </w:pPr>
            <w:r w:rsidRPr="00724EA5">
              <w:rPr>
                <w:rFonts w:cs="Arial"/>
                <w:b/>
                <w:bCs/>
                <w:sz w:val="16"/>
                <w:szCs w:val="16"/>
              </w:rPr>
              <w:t>Baselines</w:t>
            </w:r>
          </w:p>
        </w:tc>
        <w:tc>
          <w:tcPr>
            <w:tcW w:w="860" w:type="pct"/>
            <w:gridSpan w:val="2"/>
            <w:tcBorders>
              <w:top w:val="single" w:sz="4" w:space="0" w:color="auto"/>
            </w:tcBorders>
            <w:shd w:val="clear" w:color="auto" w:fill="auto"/>
            <w:tcMar>
              <w:top w:w="110" w:type="dxa"/>
            </w:tcMar>
            <w:vAlign w:val="center"/>
          </w:tcPr>
          <w:p w:rsidR="00B1072F" w:rsidRPr="00724EA5" w:rsidRDefault="00B1072F" w:rsidP="008D1891">
            <w:pPr>
              <w:rPr>
                <w:rFonts w:cs="Arial"/>
                <w:b/>
                <w:sz w:val="16"/>
                <w:szCs w:val="16"/>
              </w:rPr>
            </w:pPr>
            <w:r w:rsidRPr="00724EA5">
              <w:rPr>
                <w:rFonts w:cs="Arial"/>
                <w:b/>
                <w:sz w:val="16"/>
                <w:szCs w:val="16"/>
              </w:rPr>
              <w:t>Targets</w:t>
            </w:r>
          </w:p>
        </w:tc>
        <w:tc>
          <w:tcPr>
            <w:tcW w:w="1254" w:type="pct"/>
            <w:gridSpan w:val="2"/>
            <w:tcBorders>
              <w:top w:val="single" w:sz="4" w:space="0" w:color="auto"/>
            </w:tcBorders>
            <w:shd w:val="clear" w:color="auto" w:fill="FFFFFF"/>
            <w:tcMar>
              <w:top w:w="110" w:type="dxa"/>
            </w:tcMar>
            <w:vAlign w:val="center"/>
          </w:tcPr>
          <w:p w:rsidR="00B1072F" w:rsidRPr="00724EA5" w:rsidRDefault="00B1072F" w:rsidP="008D1891">
            <w:pPr>
              <w:rPr>
                <w:rFonts w:cs="Arial"/>
                <w:sz w:val="16"/>
                <w:szCs w:val="16"/>
              </w:rPr>
            </w:pPr>
            <w:r w:rsidRPr="00724EA5">
              <w:rPr>
                <w:rFonts w:cs="Arial"/>
                <w:b/>
                <w:bCs/>
                <w:sz w:val="16"/>
                <w:szCs w:val="16"/>
              </w:rPr>
              <w:t>Performance Data</w:t>
            </w:r>
          </w:p>
        </w:tc>
        <w:tc>
          <w:tcPr>
            <w:tcW w:w="522" w:type="pct"/>
            <w:tcBorders>
              <w:top w:val="single" w:sz="4" w:space="0" w:color="auto"/>
            </w:tcBorders>
            <w:shd w:val="clear" w:color="auto" w:fill="auto"/>
            <w:tcMar>
              <w:top w:w="110" w:type="dxa"/>
            </w:tcMar>
            <w:vAlign w:val="center"/>
          </w:tcPr>
          <w:p w:rsidR="00B1072F" w:rsidRPr="00724EA5" w:rsidRDefault="00B1072F" w:rsidP="008D1891">
            <w:pPr>
              <w:keepNext/>
              <w:keepLines/>
              <w:jc w:val="center"/>
              <w:rPr>
                <w:rFonts w:cs="Arial"/>
                <w:b/>
                <w:bCs/>
                <w:sz w:val="16"/>
                <w:szCs w:val="16"/>
              </w:rPr>
            </w:pPr>
            <w:r w:rsidRPr="00724EA5">
              <w:rPr>
                <w:rFonts w:cs="Arial"/>
                <w:b/>
                <w:bCs/>
                <w:sz w:val="16"/>
                <w:szCs w:val="16"/>
              </w:rPr>
              <w:t>TLS</w:t>
            </w:r>
          </w:p>
        </w:tc>
      </w:tr>
      <w:tr w:rsidR="00B1072F" w:rsidRPr="008539B9" w:rsidTr="00B1072F">
        <w:trPr>
          <w:cantSplit/>
        </w:trPr>
        <w:tc>
          <w:tcPr>
            <w:tcW w:w="1139" w:type="pct"/>
            <w:gridSpan w:val="2"/>
            <w:shd w:val="clear" w:color="auto" w:fill="auto"/>
          </w:tcPr>
          <w:p w:rsidR="00B1072F" w:rsidRPr="008539B9" w:rsidRDefault="00B1072F" w:rsidP="008D1891">
            <w:pPr>
              <w:rPr>
                <w:rFonts w:cs="Arial"/>
                <w:sz w:val="16"/>
                <w:szCs w:val="16"/>
              </w:rPr>
            </w:pPr>
            <w:r w:rsidRPr="00B41908">
              <w:rPr>
                <w:rFonts w:cs="Arial"/>
                <w:sz w:val="16"/>
                <w:szCs w:val="16"/>
              </w:rPr>
              <w:t>Predominance of the Geneva (1999) Act in the Hague system</w:t>
            </w:r>
          </w:p>
        </w:tc>
        <w:tc>
          <w:tcPr>
            <w:tcW w:w="1225" w:type="pct"/>
            <w:gridSpan w:val="3"/>
            <w:shd w:val="clear" w:color="auto" w:fill="auto"/>
          </w:tcPr>
          <w:p w:rsidR="00B1072F" w:rsidRPr="00733128" w:rsidRDefault="00B1072F" w:rsidP="008D1891">
            <w:pPr>
              <w:rPr>
                <w:rFonts w:cs="Arial"/>
                <w:color w:val="002060"/>
                <w:sz w:val="16"/>
                <w:szCs w:val="16"/>
              </w:rPr>
            </w:pPr>
            <w:r w:rsidRPr="008539B9">
              <w:rPr>
                <w:rFonts w:cs="Arial"/>
                <w:i/>
                <w:color w:val="002060"/>
                <w:sz w:val="16"/>
                <w:szCs w:val="16"/>
              </w:rPr>
              <w:t>Updated Baseline end 201</w:t>
            </w:r>
            <w:r>
              <w:rPr>
                <w:rFonts w:cs="Arial"/>
                <w:i/>
                <w:color w:val="002060"/>
                <w:sz w:val="16"/>
                <w:szCs w:val="16"/>
              </w:rPr>
              <w:t>3</w:t>
            </w:r>
            <w:r w:rsidRPr="008539B9">
              <w:rPr>
                <w:rFonts w:cs="Arial"/>
                <w:i/>
                <w:color w:val="002060"/>
                <w:sz w:val="16"/>
                <w:szCs w:val="16"/>
              </w:rPr>
              <w:t xml:space="preserve">:  </w:t>
            </w:r>
            <w:r>
              <w:rPr>
                <w:rFonts w:cs="Arial"/>
                <w:i/>
                <w:color w:val="002060"/>
                <w:sz w:val="16"/>
                <w:szCs w:val="16"/>
              </w:rPr>
              <w:t>T</w:t>
            </w:r>
            <w:r w:rsidRPr="00B41908">
              <w:rPr>
                <w:rFonts w:cs="Arial"/>
                <w:i/>
                <w:color w:val="002060"/>
                <w:sz w:val="16"/>
                <w:szCs w:val="16"/>
              </w:rPr>
              <w:t>hree consents were still required for the termination of the 1934 Act, and four Contracting Parties outside the EU and OAPI remained bound by the 1960 Act</w:t>
            </w:r>
          </w:p>
          <w:p w:rsidR="00B1072F" w:rsidRDefault="00B1072F" w:rsidP="008D1891">
            <w:pPr>
              <w:rPr>
                <w:rFonts w:cs="Arial"/>
                <w:color w:val="000000"/>
                <w:sz w:val="16"/>
                <w:szCs w:val="16"/>
              </w:rPr>
            </w:pPr>
          </w:p>
          <w:p w:rsidR="00B1072F" w:rsidRPr="008539B9" w:rsidRDefault="00B1072F" w:rsidP="008D1891">
            <w:pPr>
              <w:rPr>
                <w:rFonts w:cs="Arial"/>
                <w:i/>
                <w:color w:val="002060"/>
                <w:sz w:val="8"/>
                <w:szCs w:val="8"/>
              </w:rPr>
            </w:pPr>
          </w:p>
          <w:p w:rsidR="00B1072F" w:rsidRPr="008539B9" w:rsidRDefault="00B1072F" w:rsidP="005C01F3">
            <w:pPr>
              <w:rPr>
                <w:rFonts w:cs="Arial"/>
                <w:color w:val="000000"/>
                <w:sz w:val="16"/>
                <w:szCs w:val="16"/>
              </w:rPr>
            </w:pPr>
            <w:r w:rsidRPr="008539B9">
              <w:rPr>
                <w:rFonts w:cs="Arial"/>
                <w:i/>
                <w:sz w:val="16"/>
                <w:szCs w:val="16"/>
              </w:rPr>
              <w:t>Original Baseline P&amp;B 201</w:t>
            </w:r>
            <w:r>
              <w:rPr>
                <w:rFonts w:cs="Arial"/>
                <w:i/>
                <w:sz w:val="16"/>
                <w:szCs w:val="16"/>
              </w:rPr>
              <w:t>4</w:t>
            </w:r>
            <w:r w:rsidRPr="008539B9">
              <w:rPr>
                <w:rFonts w:cs="Arial"/>
                <w:i/>
                <w:sz w:val="16"/>
                <w:szCs w:val="16"/>
              </w:rPr>
              <w:t>/1</w:t>
            </w:r>
            <w:r>
              <w:rPr>
                <w:rFonts w:cs="Arial"/>
                <w:i/>
                <w:sz w:val="16"/>
                <w:szCs w:val="16"/>
              </w:rPr>
              <w:t>5</w:t>
            </w:r>
            <w:r w:rsidRPr="008539B9">
              <w:rPr>
                <w:rFonts w:cs="Arial"/>
                <w:i/>
                <w:sz w:val="16"/>
                <w:szCs w:val="16"/>
              </w:rPr>
              <w:t>:</w:t>
            </w:r>
            <w:r>
              <w:rPr>
                <w:rFonts w:cs="Arial"/>
                <w:i/>
                <w:sz w:val="16"/>
                <w:szCs w:val="16"/>
              </w:rPr>
              <w:t xml:space="preserve"> </w:t>
            </w:r>
            <w:r w:rsidRPr="00B41908">
              <w:rPr>
                <w:rFonts w:cs="Arial"/>
                <w:i/>
                <w:color w:val="000000"/>
                <w:sz w:val="16"/>
                <w:szCs w:val="16"/>
              </w:rPr>
              <w:t xml:space="preserve">15 Hague members still not bound by the Geneva (1999) Act; </w:t>
            </w:r>
            <w:r w:rsidR="005C01F3">
              <w:rPr>
                <w:rFonts w:cs="Arial"/>
                <w:i/>
                <w:color w:val="000000"/>
                <w:sz w:val="16"/>
                <w:szCs w:val="16"/>
              </w:rPr>
              <w:t>Five</w:t>
            </w:r>
            <w:r w:rsidRPr="00B41908">
              <w:rPr>
                <w:rFonts w:cs="Arial"/>
                <w:i/>
                <w:color w:val="000000"/>
                <w:sz w:val="16"/>
                <w:szCs w:val="16"/>
              </w:rPr>
              <w:t xml:space="preserve"> consents to termination of the 1934 Act </w:t>
            </w:r>
            <w:r w:rsidR="005C01F3">
              <w:rPr>
                <w:rFonts w:cs="Arial"/>
                <w:i/>
                <w:color w:val="000000"/>
                <w:sz w:val="16"/>
                <w:szCs w:val="16"/>
              </w:rPr>
              <w:t>still outstanding (end 2012)</w:t>
            </w:r>
          </w:p>
        </w:tc>
        <w:tc>
          <w:tcPr>
            <w:tcW w:w="860" w:type="pct"/>
            <w:gridSpan w:val="2"/>
            <w:shd w:val="clear" w:color="auto" w:fill="auto"/>
            <w:tcMar>
              <w:top w:w="110" w:type="dxa"/>
            </w:tcMar>
          </w:tcPr>
          <w:p w:rsidR="00B1072F" w:rsidRPr="008539B9" w:rsidRDefault="00B1072F" w:rsidP="008D1891">
            <w:pPr>
              <w:rPr>
                <w:rFonts w:cs="Arial"/>
                <w:sz w:val="16"/>
                <w:szCs w:val="16"/>
                <w:lang w:bidi="th-TH"/>
              </w:rPr>
            </w:pPr>
            <w:r w:rsidRPr="00B41908">
              <w:rPr>
                <w:rFonts w:cs="Arial"/>
                <w:sz w:val="16"/>
                <w:szCs w:val="16"/>
                <w:lang w:bidi="th-TH"/>
              </w:rPr>
              <w:t>No (zero) countries bound only by the Hague (1960) Act outside the EU or OAPI; all the remaining consents (five) to termination of the 1934 Act received</w:t>
            </w:r>
          </w:p>
        </w:tc>
        <w:tc>
          <w:tcPr>
            <w:tcW w:w="1254" w:type="pct"/>
            <w:gridSpan w:val="2"/>
            <w:shd w:val="clear" w:color="auto" w:fill="FFFFFF"/>
            <w:tcMar>
              <w:top w:w="110" w:type="dxa"/>
            </w:tcMar>
          </w:tcPr>
          <w:p w:rsidR="00B1072F" w:rsidRPr="008539B9" w:rsidRDefault="00B1072F" w:rsidP="008D1891">
            <w:pPr>
              <w:rPr>
                <w:rFonts w:cs="Arial"/>
                <w:sz w:val="16"/>
                <w:szCs w:val="16"/>
                <w:lang w:bidi="th-TH"/>
              </w:rPr>
            </w:pPr>
            <w:r w:rsidRPr="00B41908">
              <w:rPr>
                <w:rFonts w:cs="Arial"/>
                <w:sz w:val="16"/>
                <w:szCs w:val="16"/>
                <w:lang w:bidi="th-TH"/>
              </w:rPr>
              <w:t>Three consents</w:t>
            </w:r>
            <w:r>
              <w:rPr>
                <w:rFonts w:cs="Arial"/>
                <w:sz w:val="16"/>
                <w:szCs w:val="16"/>
                <w:lang w:bidi="th-TH"/>
              </w:rPr>
              <w:t xml:space="preserve"> still required for</w:t>
            </w:r>
            <w:r w:rsidRPr="00B41908">
              <w:rPr>
                <w:rFonts w:cs="Arial"/>
                <w:sz w:val="16"/>
                <w:szCs w:val="16"/>
                <w:lang w:bidi="th-TH"/>
              </w:rPr>
              <w:t xml:space="preserve"> the termination of the 1934 Act</w:t>
            </w:r>
            <w:r>
              <w:rPr>
                <w:rFonts w:cs="Arial"/>
                <w:sz w:val="16"/>
                <w:szCs w:val="16"/>
                <w:lang w:bidi="th-TH"/>
              </w:rPr>
              <w:t xml:space="preserve">, </w:t>
            </w:r>
            <w:proofErr w:type="gramStart"/>
            <w:r>
              <w:rPr>
                <w:rFonts w:cs="Arial"/>
                <w:sz w:val="16"/>
                <w:szCs w:val="16"/>
                <w:lang w:bidi="th-TH"/>
              </w:rPr>
              <w:t>and  f</w:t>
            </w:r>
            <w:r w:rsidRPr="00B41908">
              <w:rPr>
                <w:rFonts w:cs="Arial"/>
                <w:sz w:val="16"/>
                <w:szCs w:val="16"/>
                <w:lang w:bidi="th-TH"/>
              </w:rPr>
              <w:t>our</w:t>
            </w:r>
            <w:proofErr w:type="gramEnd"/>
            <w:r w:rsidRPr="00B41908">
              <w:rPr>
                <w:rFonts w:cs="Arial"/>
                <w:sz w:val="16"/>
                <w:szCs w:val="16"/>
                <w:lang w:bidi="th-TH"/>
              </w:rPr>
              <w:t xml:space="preserve"> </w:t>
            </w:r>
            <w:r w:rsidRPr="001B4532">
              <w:rPr>
                <w:rFonts w:cs="Arial"/>
                <w:sz w:val="16"/>
                <w:szCs w:val="16"/>
                <w:lang w:bidi="th-TH"/>
              </w:rPr>
              <w:t xml:space="preserve">Contracting Parties </w:t>
            </w:r>
            <w:r w:rsidRPr="00B41908">
              <w:rPr>
                <w:rFonts w:cs="Arial"/>
                <w:sz w:val="16"/>
                <w:szCs w:val="16"/>
                <w:lang w:bidi="th-TH"/>
              </w:rPr>
              <w:t xml:space="preserve">outside the EU </w:t>
            </w:r>
            <w:r>
              <w:rPr>
                <w:rFonts w:cs="Arial"/>
                <w:sz w:val="16"/>
                <w:szCs w:val="16"/>
                <w:lang w:bidi="th-TH"/>
              </w:rPr>
              <w:t>and</w:t>
            </w:r>
            <w:r w:rsidRPr="00B41908">
              <w:rPr>
                <w:rFonts w:cs="Arial"/>
                <w:sz w:val="16"/>
                <w:szCs w:val="16"/>
                <w:lang w:bidi="th-TH"/>
              </w:rPr>
              <w:t xml:space="preserve"> OAPI still bound only by the 1960 Act.  </w:t>
            </w:r>
          </w:p>
        </w:tc>
        <w:tc>
          <w:tcPr>
            <w:tcW w:w="522" w:type="pct"/>
            <w:shd w:val="clear" w:color="auto" w:fill="auto"/>
            <w:tcMar>
              <w:top w:w="110" w:type="dxa"/>
            </w:tcMar>
          </w:tcPr>
          <w:p w:rsidR="00B1072F" w:rsidRPr="000C1926" w:rsidRDefault="00B1072F" w:rsidP="008D1891">
            <w:pPr>
              <w:keepNext/>
              <w:keepLines/>
              <w:jc w:val="center"/>
              <w:rPr>
                <w:rFonts w:cs="Arial"/>
                <w:b/>
                <w:bCs/>
                <w:color w:val="808080"/>
                <w:sz w:val="16"/>
                <w:szCs w:val="16"/>
              </w:rPr>
            </w:pPr>
            <w:r w:rsidRPr="000C1926">
              <w:rPr>
                <w:b/>
                <w:bCs/>
                <w:color w:val="FF0000"/>
                <w:sz w:val="16"/>
                <w:szCs w:val="16"/>
              </w:rPr>
              <w:t xml:space="preserve">Not </w:t>
            </w:r>
            <w:r>
              <w:rPr>
                <w:b/>
                <w:bCs/>
                <w:color w:val="FF0000"/>
                <w:sz w:val="16"/>
                <w:szCs w:val="16"/>
              </w:rPr>
              <w:br/>
            </w:r>
            <w:r w:rsidRPr="000C1926">
              <w:rPr>
                <w:b/>
                <w:bCs/>
                <w:color w:val="FF0000"/>
                <w:sz w:val="16"/>
                <w:szCs w:val="16"/>
              </w:rPr>
              <w:t>on track</w:t>
            </w:r>
          </w:p>
        </w:tc>
      </w:tr>
      <w:tr w:rsidR="00B1072F" w:rsidRPr="008539B9" w:rsidTr="008D1891">
        <w:trPr>
          <w:cantSplit/>
        </w:trPr>
        <w:tc>
          <w:tcPr>
            <w:tcW w:w="1139" w:type="pct"/>
            <w:gridSpan w:val="2"/>
            <w:shd w:val="clear" w:color="auto" w:fill="auto"/>
          </w:tcPr>
          <w:p w:rsidR="00B1072F" w:rsidRPr="008539B9" w:rsidRDefault="00B1072F" w:rsidP="008D1891">
            <w:pPr>
              <w:rPr>
                <w:rFonts w:cs="Arial"/>
                <w:color w:val="000000"/>
                <w:sz w:val="16"/>
                <w:szCs w:val="16"/>
              </w:rPr>
            </w:pPr>
            <w:r w:rsidRPr="00CF17C5">
              <w:rPr>
                <w:rFonts w:cs="Arial"/>
                <w:color w:val="000000"/>
                <w:sz w:val="16"/>
                <w:szCs w:val="16"/>
              </w:rPr>
              <w:t>Progress towards the enhancement of the legal framework</w:t>
            </w:r>
          </w:p>
        </w:tc>
        <w:tc>
          <w:tcPr>
            <w:tcW w:w="1225" w:type="pct"/>
            <w:gridSpan w:val="3"/>
            <w:shd w:val="clear" w:color="auto" w:fill="auto"/>
          </w:tcPr>
          <w:p w:rsidR="00B1072F" w:rsidRPr="00733128" w:rsidRDefault="00B1072F" w:rsidP="008D1891">
            <w:pPr>
              <w:rPr>
                <w:rFonts w:cs="Arial"/>
                <w:color w:val="002060"/>
                <w:sz w:val="16"/>
                <w:szCs w:val="16"/>
              </w:rPr>
            </w:pPr>
            <w:r w:rsidRPr="008539B9">
              <w:rPr>
                <w:rFonts w:cs="Arial"/>
                <w:i/>
                <w:color w:val="002060"/>
                <w:sz w:val="16"/>
                <w:szCs w:val="16"/>
              </w:rPr>
              <w:t>Updated Baseline end 201</w:t>
            </w:r>
            <w:r>
              <w:rPr>
                <w:rFonts w:cs="Arial"/>
                <w:i/>
                <w:color w:val="002060"/>
                <w:sz w:val="16"/>
                <w:szCs w:val="16"/>
              </w:rPr>
              <w:t>3</w:t>
            </w:r>
            <w:r w:rsidRPr="008539B9">
              <w:rPr>
                <w:rFonts w:cs="Arial"/>
                <w:i/>
                <w:color w:val="002060"/>
                <w:sz w:val="16"/>
                <w:szCs w:val="16"/>
              </w:rPr>
              <w:t xml:space="preserve">:  </w:t>
            </w:r>
          </w:p>
          <w:p w:rsidR="00B1072F" w:rsidRDefault="00B1072F" w:rsidP="008D1891">
            <w:pPr>
              <w:rPr>
                <w:rFonts w:cs="Arial"/>
                <w:color w:val="000000"/>
                <w:sz w:val="16"/>
                <w:szCs w:val="16"/>
              </w:rPr>
            </w:pPr>
          </w:p>
          <w:p w:rsidR="00B1072F" w:rsidRPr="008539B9" w:rsidRDefault="00B1072F" w:rsidP="008D1891">
            <w:pPr>
              <w:rPr>
                <w:rFonts w:cs="Arial"/>
                <w:i/>
                <w:color w:val="002060"/>
                <w:sz w:val="8"/>
                <w:szCs w:val="8"/>
              </w:rPr>
            </w:pPr>
          </w:p>
          <w:p w:rsidR="00B1072F" w:rsidRPr="008539B9" w:rsidRDefault="00B1072F" w:rsidP="008D1891">
            <w:pPr>
              <w:rPr>
                <w:rFonts w:cs="Arial"/>
                <w:sz w:val="16"/>
                <w:szCs w:val="16"/>
              </w:rPr>
            </w:pPr>
            <w:r w:rsidRPr="008539B9">
              <w:rPr>
                <w:rFonts w:cs="Arial"/>
                <w:i/>
                <w:sz w:val="16"/>
                <w:szCs w:val="16"/>
              </w:rPr>
              <w:t>Original Baseline P&amp;B 201</w:t>
            </w:r>
            <w:r>
              <w:rPr>
                <w:rFonts w:cs="Arial"/>
                <w:i/>
                <w:sz w:val="16"/>
                <w:szCs w:val="16"/>
              </w:rPr>
              <w:t>4</w:t>
            </w:r>
            <w:r w:rsidRPr="008539B9">
              <w:rPr>
                <w:rFonts w:cs="Arial"/>
                <w:i/>
                <w:sz w:val="16"/>
                <w:szCs w:val="16"/>
              </w:rPr>
              <w:t>/1</w:t>
            </w:r>
            <w:r>
              <w:rPr>
                <w:rFonts w:cs="Arial"/>
                <w:i/>
                <w:sz w:val="16"/>
                <w:szCs w:val="16"/>
              </w:rPr>
              <w:t>5</w:t>
            </w:r>
            <w:r w:rsidRPr="008539B9">
              <w:rPr>
                <w:rFonts w:cs="Arial"/>
                <w:i/>
                <w:sz w:val="16"/>
                <w:szCs w:val="16"/>
              </w:rPr>
              <w:t>:</w:t>
            </w:r>
            <w:r>
              <w:rPr>
                <w:rFonts w:cs="Arial"/>
                <w:i/>
                <w:sz w:val="16"/>
                <w:szCs w:val="16"/>
              </w:rPr>
              <w:t xml:space="preserve"> </w:t>
            </w:r>
            <w:r w:rsidRPr="00CF17C5">
              <w:rPr>
                <w:rFonts w:cs="Arial"/>
                <w:i/>
                <w:sz w:val="16"/>
                <w:szCs w:val="16"/>
              </w:rPr>
              <w:t>Current legal framework</w:t>
            </w:r>
          </w:p>
        </w:tc>
        <w:tc>
          <w:tcPr>
            <w:tcW w:w="876" w:type="pct"/>
            <w:gridSpan w:val="3"/>
            <w:shd w:val="clear" w:color="auto" w:fill="auto"/>
            <w:tcMar>
              <w:top w:w="110" w:type="dxa"/>
            </w:tcMar>
          </w:tcPr>
          <w:p w:rsidR="00B1072F" w:rsidRPr="00724EA5" w:rsidRDefault="00B1072F" w:rsidP="008D1891">
            <w:pPr>
              <w:autoSpaceDE w:val="0"/>
              <w:autoSpaceDN w:val="0"/>
              <w:adjustRightInd w:val="0"/>
              <w:rPr>
                <w:rFonts w:cs="Arial"/>
                <w:sz w:val="16"/>
                <w:szCs w:val="16"/>
              </w:rPr>
            </w:pPr>
            <w:r w:rsidRPr="00CF17C5">
              <w:rPr>
                <w:rFonts w:cs="Arial"/>
                <w:sz w:val="16"/>
                <w:szCs w:val="16"/>
              </w:rPr>
              <w:t>Amendments to the Hague Regulations and Administrative Instructions as well as new features introduced following accessions of some new Contracting Parties.</w:t>
            </w:r>
          </w:p>
        </w:tc>
        <w:tc>
          <w:tcPr>
            <w:tcW w:w="1238" w:type="pct"/>
            <w:shd w:val="clear" w:color="auto" w:fill="FFFFFF"/>
            <w:tcMar>
              <w:top w:w="110" w:type="dxa"/>
            </w:tcMar>
          </w:tcPr>
          <w:p w:rsidR="00B1072F" w:rsidRPr="00724EA5" w:rsidRDefault="00B1072F" w:rsidP="00B1072F">
            <w:pPr>
              <w:rPr>
                <w:rFonts w:cs="Arial"/>
                <w:sz w:val="16"/>
                <w:szCs w:val="16"/>
              </w:rPr>
            </w:pPr>
            <w:r>
              <w:rPr>
                <w:sz w:val="16"/>
                <w:szCs w:val="16"/>
              </w:rPr>
              <w:t>Amendments to the Common Regulations, among others, introducing a "feedback mechanism", were adopted by the Hague Union Assembly in 2014, and will come into force on January 1, 2015.</w:t>
            </w:r>
            <w:r>
              <w:rPr>
                <w:rStyle w:val="CommentReference"/>
                <w:rFonts w:cs="Arial"/>
                <w:szCs w:val="20"/>
              </w:rPr>
              <w:t> </w:t>
            </w:r>
            <w:r>
              <w:rPr>
                <w:rFonts w:cs="Arial"/>
                <w:sz w:val="16"/>
                <w:szCs w:val="16"/>
              </w:rPr>
              <w:t xml:space="preserve">  </w:t>
            </w:r>
            <w:r>
              <w:rPr>
                <w:color w:val="000000"/>
                <w:sz w:val="16"/>
                <w:szCs w:val="16"/>
              </w:rPr>
              <w:t>Amendments to the Administrative Instructions</w:t>
            </w:r>
            <w:r>
              <w:rPr>
                <w:sz w:val="16"/>
                <w:szCs w:val="16"/>
              </w:rPr>
              <w:t>, among others, relaxing certain requirements concerning reproductions and representations, came</w:t>
            </w:r>
            <w:r>
              <w:rPr>
                <w:color w:val="000000"/>
                <w:sz w:val="16"/>
                <w:szCs w:val="16"/>
              </w:rPr>
              <w:t xml:space="preserve"> into force </w:t>
            </w:r>
            <w:r w:rsidRPr="00764E37">
              <w:rPr>
                <w:color w:val="000000"/>
                <w:sz w:val="16"/>
                <w:szCs w:val="16"/>
              </w:rPr>
              <w:t>on July 1, 2014.</w:t>
            </w:r>
            <w:r>
              <w:rPr>
                <w:color w:val="000000"/>
                <w:sz w:val="16"/>
                <w:szCs w:val="16"/>
              </w:rPr>
              <w:t xml:space="preserve"> </w:t>
            </w:r>
            <w:r>
              <w:rPr>
                <w:rStyle w:val="CommentReference"/>
                <w:rFonts w:cs="Arial"/>
                <w:szCs w:val="20"/>
              </w:rPr>
              <w:t> </w:t>
            </w:r>
            <w:r>
              <w:rPr>
                <w:rStyle w:val="CommentReference"/>
                <w:rFonts w:cs="Arial"/>
              </w:rPr>
              <w:t> </w:t>
            </w:r>
          </w:p>
        </w:tc>
        <w:tc>
          <w:tcPr>
            <w:tcW w:w="522" w:type="pct"/>
            <w:shd w:val="clear" w:color="auto" w:fill="auto"/>
            <w:tcMar>
              <w:top w:w="110" w:type="dxa"/>
            </w:tcMar>
          </w:tcPr>
          <w:p w:rsidR="00B1072F" w:rsidRPr="000C1926" w:rsidRDefault="00B1072F" w:rsidP="008D1891">
            <w:pPr>
              <w:keepNext/>
              <w:keepLines/>
              <w:jc w:val="center"/>
              <w:rPr>
                <w:rFonts w:cs="Arial"/>
                <w:b/>
                <w:bCs/>
                <w:color w:val="808080"/>
                <w:sz w:val="16"/>
                <w:szCs w:val="16"/>
              </w:rPr>
            </w:pPr>
            <w:r w:rsidRPr="000C1926">
              <w:rPr>
                <w:rFonts w:cs="Arial"/>
                <w:b/>
                <w:bCs/>
                <w:color w:val="00B050"/>
                <w:sz w:val="16"/>
                <w:szCs w:val="16"/>
              </w:rPr>
              <w:t>On track</w:t>
            </w:r>
          </w:p>
        </w:tc>
      </w:tr>
      <w:tr w:rsidR="00B1072F" w:rsidRPr="008539B9" w:rsidTr="008D1891">
        <w:trPr>
          <w:cantSplit/>
        </w:trPr>
        <w:tc>
          <w:tcPr>
            <w:tcW w:w="1139" w:type="pct"/>
            <w:gridSpan w:val="2"/>
            <w:tcBorders>
              <w:bottom w:val="nil"/>
            </w:tcBorders>
            <w:shd w:val="clear" w:color="auto" w:fill="auto"/>
          </w:tcPr>
          <w:p w:rsidR="00B1072F" w:rsidRPr="008539B9" w:rsidRDefault="00B1072F" w:rsidP="008D1891">
            <w:pPr>
              <w:rPr>
                <w:rFonts w:cs="Arial"/>
                <w:sz w:val="16"/>
                <w:szCs w:val="16"/>
              </w:rPr>
            </w:pPr>
            <w:r w:rsidRPr="00CF17C5">
              <w:rPr>
                <w:rFonts w:cs="Arial"/>
                <w:sz w:val="16"/>
                <w:szCs w:val="16"/>
              </w:rPr>
              <w:t>Flexibility of data recorded in the International Register</w:t>
            </w:r>
          </w:p>
        </w:tc>
        <w:tc>
          <w:tcPr>
            <w:tcW w:w="1225" w:type="pct"/>
            <w:gridSpan w:val="3"/>
            <w:tcBorders>
              <w:bottom w:val="nil"/>
            </w:tcBorders>
            <w:shd w:val="clear" w:color="auto" w:fill="auto"/>
          </w:tcPr>
          <w:p w:rsidR="00B1072F" w:rsidRPr="008539B9" w:rsidRDefault="00B1072F" w:rsidP="008D1891">
            <w:pPr>
              <w:rPr>
                <w:rFonts w:cs="Arial"/>
                <w:sz w:val="16"/>
                <w:szCs w:val="16"/>
              </w:rPr>
            </w:pPr>
            <w:r w:rsidRPr="008539B9">
              <w:rPr>
                <w:rFonts w:cs="Arial"/>
                <w:i/>
                <w:sz w:val="16"/>
                <w:szCs w:val="16"/>
              </w:rPr>
              <w:t>Original Baseline P&amp;B 201</w:t>
            </w:r>
            <w:r>
              <w:rPr>
                <w:rFonts w:cs="Arial"/>
                <w:i/>
                <w:sz w:val="16"/>
                <w:szCs w:val="16"/>
              </w:rPr>
              <w:t>4</w:t>
            </w:r>
            <w:r w:rsidRPr="008539B9">
              <w:rPr>
                <w:rFonts w:cs="Arial"/>
                <w:i/>
                <w:sz w:val="16"/>
                <w:szCs w:val="16"/>
              </w:rPr>
              <w:t>/1</w:t>
            </w:r>
            <w:r>
              <w:rPr>
                <w:rFonts w:cs="Arial"/>
                <w:i/>
                <w:sz w:val="16"/>
                <w:szCs w:val="16"/>
              </w:rPr>
              <w:t>5</w:t>
            </w:r>
            <w:r w:rsidRPr="008539B9">
              <w:rPr>
                <w:rFonts w:cs="Arial"/>
                <w:i/>
                <w:sz w:val="16"/>
                <w:szCs w:val="16"/>
              </w:rPr>
              <w:t>:</w:t>
            </w:r>
            <w:r>
              <w:rPr>
                <w:rFonts w:cs="Arial"/>
                <w:i/>
                <w:sz w:val="16"/>
                <w:szCs w:val="16"/>
              </w:rPr>
              <w:t xml:space="preserve"> </w:t>
            </w:r>
            <w:r w:rsidRPr="00CF17C5">
              <w:rPr>
                <w:rFonts w:cs="Arial"/>
                <w:i/>
                <w:sz w:val="16"/>
                <w:szCs w:val="16"/>
              </w:rPr>
              <w:t>Inability to record granular design information</w:t>
            </w:r>
          </w:p>
        </w:tc>
        <w:tc>
          <w:tcPr>
            <w:tcW w:w="876" w:type="pct"/>
            <w:gridSpan w:val="3"/>
            <w:tcBorders>
              <w:bottom w:val="nil"/>
            </w:tcBorders>
            <w:shd w:val="clear" w:color="auto" w:fill="auto"/>
            <w:tcMar>
              <w:top w:w="110" w:type="dxa"/>
            </w:tcMar>
          </w:tcPr>
          <w:p w:rsidR="00B1072F" w:rsidRPr="008539B9" w:rsidRDefault="00B1072F" w:rsidP="008D1891">
            <w:pPr>
              <w:rPr>
                <w:rFonts w:cs="Arial"/>
                <w:sz w:val="16"/>
                <w:szCs w:val="16"/>
              </w:rPr>
            </w:pPr>
            <w:r w:rsidRPr="00CF17C5">
              <w:rPr>
                <w:rFonts w:cs="Arial"/>
                <w:sz w:val="16"/>
                <w:szCs w:val="16"/>
              </w:rPr>
              <w:t>Ability to record granular design information</w:t>
            </w:r>
          </w:p>
        </w:tc>
        <w:tc>
          <w:tcPr>
            <w:tcW w:w="1238" w:type="pct"/>
            <w:tcBorders>
              <w:bottom w:val="nil"/>
            </w:tcBorders>
            <w:shd w:val="clear" w:color="auto" w:fill="FFFFFF"/>
            <w:tcMar>
              <w:top w:w="110" w:type="dxa"/>
            </w:tcMar>
          </w:tcPr>
          <w:p w:rsidR="00B1072F" w:rsidRPr="008539B9" w:rsidRDefault="00B1072F" w:rsidP="008D1891">
            <w:pPr>
              <w:rPr>
                <w:rFonts w:cs="Arial"/>
                <w:sz w:val="16"/>
                <w:szCs w:val="16"/>
              </w:rPr>
            </w:pPr>
            <w:r w:rsidRPr="00CF17C5">
              <w:rPr>
                <w:rFonts w:cs="Arial"/>
                <w:sz w:val="16"/>
                <w:szCs w:val="16"/>
                <w:lang w:bidi="th-TH"/>
              </w:rPr>
              <w:t>Postponement due to legacy system adjustments for new accessions, and delay in Modernization Program implementation</w:t>
            </w:r>
          </w:p>
        </w:tc>
        <w:tc>
          <w:tcPr>
            <w:tcW w:w="522" w:type="pct"/>
            <w:tcBorders>
              <w:bottom w:val="nil"/>
            </w:tcBorders>
            <w:shd w:val="clear" w:color="auto" w:fill="auto"/>
            <w:tcMar>
              <w:top w:w="110" w:type="dxa"/>
            </w:tcMar>
          </w:tcPr>
          <w:p w:rsidR="00B1072F" w:rsidRPr="000C1926" w:rsidRDefault="00B1072F">
            <w:pPr>
              <w:keepNext/>
              <w:keepLines/>
              <w:jc w:val="center"/>
              <w:rPr>
                <w:rFonts w:cs="Arial"/>
                <w:b/>
                <w:bCs/>
                <w:color w:val="808080"/>
                <w:sz w:val="16"/>
                <w:szCs w:val="16"/>
              </w:rPr>
            </w:pPr>
            <w:r w:rsidRPr="000C1926">
              <w:rPr>
                <w:rFonts w:cs="Arial"/>
                <w:b/>
                <w:bCs/>
                <w:color w:val="FF0000"/>
                <w:sz w:val="16"/>
                <w:szCs w:val="16"/>
              </w:rPr>
              <w:t>Not</w:t>
            </w:r>
            <w:r>
              <w:rPr>
                <w:rFonts w:cs="Arial"/>
                <w:b/>
                <w:bCs/>
                <w:color w:val="FF0000"/>
                <w:sz w:val="16"/>
                <w:szCs w:val="16"/>
              </w:rPr>
              <w:br/>
            </w:r>
            <w:r w:rsidRPr="000C1926">
              <w:rPr>
                <w:rFonts w:cs="Arial"/>
                <w:b/>
                <w:bCs/>
                <w:color w:val="FF0000"/>
                <w:sz w:val="16"/>
                <w:szCs w:val="16"/>
              </w:rPr>
              <w:t>on track</w:t>
            </w:r>
            <w:r w:rsidRPr="009A24E0" w:rsidDel="008F5063">
              <w:rPr>
                <w:rStyle w:val="Style5"/>
                <w:rFonts w:ascii="Arial" w:hAnsi="Arial" w:cs="Arial"/>
                <w:b/>
                <w:color w:val="FF0000"/>
                <w:sz w:val="16"/>
                <w:szCs w:val="16"/>
              </w:rPr>
              <w:t xml:space="preserve"> </w:t>
            </w:r>
          </w:p>
        </w:tc>
      </w:tr>
      <w:tr w:rsidR="00B1072F" w:rsidRPr="008539B9" w:rsidTr="008D1891">
        <w:trPr>
          <w:cantSplit/>
        </w:trPr>
        <w:tc>
          <w:tcPr>
            <w:tcW w:w="1157" w:type="pct"/>
            <w:gridSpan w:val="3"/>
            <w:tcBorders>
              <w:top w:val="nil"/>
              <w:bottom w:val="single" w:sz="4" w:space="0" w:color="auto"/>
            </w:tcBorders>
            <w:shd w:val="clear" w:color="auto" w:fill="auto"/>
          </w:tcPr>
          <w:p w:rsidR="00B1072F" w:rsidRPr="008539B9" w:rsidRDefault="00B1072F" w:rsidP="008D1891">
            <w:pPr>
              <w:keepNext/>
              <w:keepLines/>
              <w:rPr>
                <w:rFonts w:cs="Arial"/>
                <w:sz w:val="16"/>
                <w:szCs w:val="16"/>
              </w:rPr>
            </w:pPr>
            <w:r w:rsidRPr="00B41908">
              <w:rPr>
                <w:rFonts w:cs="Arial"/>
                <w:color w:val="000000"/>
                <w:sz w:val="16"/>
                <w:szCs w:val="16"/>
              </w:rPr>
              <w:t>No. of automated processes</w:t>
            </w:r>
          </w:p>
        </w:tc>
        <w:tc>
          <w:tcPr>
            <w:tcW w:w="1157" w:type="pct"/>
            <w:tcBorders>
              <w:top w:val="nil"/>
              <w:bottom w:val="single" w:sz="4" w:space="0" w:color="auto"/>
            </w:tcBorders>
            <w:shd w:val="clear" w:color="auto" w:fill="auto"/>
          </w:tcPr>
          <w:p w:rsidR="00B1072F" w:rsidRPr="00CF17C5" w:rsidRDefault="00B1072F" w:rsidP="008D1891">
            <w:pPr>
              <w:rPr>
                <w:rFonts w:cs="Arial"/>
                <w:color w:val="002060"/>
                <w:sz w:val="16"/>
                <w:szCs w:val="16"/>
              </w:rPr>
            </w:pPr>
            <w:r w:rsidRPr="008539B9">
              <w:rPr>
                <w:rFonts w:cs="Arial"/>
                <w:i/>
                <w:color w:val="002060"/>
                <w:sz w:val="16"/>
                <w:szCs w:val="16"/>
              </w:rPr>
              <w:t>Updated Baseline end 201</w:t>
            </w:r>
            <w:r>
              <w:rPr>
                <w:rFonts w:cs="Arial"/>
                <w:i/>
                <w:color w:val="002060"/>
                <w:sz w:val="16"/>
                <w:szCs w:val="16"/>
              </w:rPr>
              <w:t>3</w:t>
            </w:r>
            <w:r w:rsidRPr="008539B9">
              <w:rPr>
                <w:rFonts w:cs="Arial"/>
                <w:i/>
                <w:color w:val="002060"/>
                <w:sz w:val="16"/>
                <w:szCs w:val="16"/>
              </w:rPr>
              <w:t xml:space="preserve">:  </w:t>
            </w:r>
            <w:r w:rsidRPr="00CF17C5">
              <w:rPr>
                <w:rFonts w:cs="Arial"/>
                <w:i/>
                <w:color w:val="002060"/>
                <w:sz w:val="16"/>
                <w:szCs w:val="16"/>
              </w:rPr>
              <w:t>Two (</w:t>
            </w:r>
            <w:r>
              <w:rPr>
                <w:rFonts w:cs="Arial"/>
                <w:i/>
                <w:color w:val="002060"/>
                <w:sz w:val="16"/>
                <w:szCs w:val="16"/>
              </w:rPr>
              <w:t>e- Filing and e-R</w:t>
            </w:r>
            <w:r w:rsidRPr="00CF17C5">
              <w:rPr>
                <w:rFonts w:cs="Arial"/>
                <w:i/>
                <w:color w:val="002060"/>
                <w:sz w:val="16"/>
                <w:szCs w:val="16"/>
              </w:rPr>
              <w:t>enewal)</w:t>
            </w:r>
            <w:r>
              <w:rPr>
                <w:rStyle w:val="FootnoteReference"/>
                <w:rFonts w:cs="Arial"/>
                <w:i/>
                <w:color w:val="002060"/>
                <w:sz w:val="16"/>
                <w:szCs w:val="16"/>
              </w:rPr>
              <w:footnoteReference w:id="16"/>
            </w:r>
          </w:p>
          <w:p w:rsidR="00B1072F" w:rsidRDefault="00B1072F" w:rsidP="008D1891">
            <w:pPr>
              <w:keepNext/>
              <w:keepLines/>
              <w:rPr>
                <w:rFonts w:cs="Arial"/>
                <w:i/>
                <w:sz w:val="16"/>
                <w:szCs w:val="16"/>
              </w:rPr>
            </w:pPr>
          </w:p>
          <w:p w:rsidR="00B1072F" w:rsidRDefault="00B1072F" w:rsidP="008D1891">
            <w:pPr>
              <w:keepNext/>
              <w:keepLines/>
              <w:rPr>
                <w:rFonts w:cs="Arial"/>
                <w:i/>
                <w:sz w:val="16"/>
                <w:szCs w:val="16"/>
              </w:rPr>
            </w:pPr>
            <w:r w:rsidRPr="008539B9">
              <w:rPr>
                <w:rFonts w:cs="Arial"/>
                <w:i/>
                <w:sz w:val="16"/>
                <w:szCs w:val="16"/>
              </w:rPr>
              <w:t>Original Baseline P&amp;B 201</w:t>
            </w:r>
            <w:r>
              <w:rPr>
                <w:rFonts w:cs="Arial"/>
                <w:i/>
                <w:sz w:val="16"/>
                <w:szCs w:val="16"/>
              </w:rPr>
              <w:t>4</w:t>
            </w:r>
            <w:r w:rsidRPr="008539B9">
              <w:rPr>
                <w:rFonts w:cs="Arial"/>
                <w:i/>
                <w:sz w:val="16"/>
                <w:szCs w:val="16"/>
              </w:rPr>
              <w:t>/1</w:t>
            </w:r>
            <w:r>
              <w:rPr>
                <w:rFonts w:cs="Arial"/>
                <w:i/>
                <w:sz w:val="16"/>
                <w:szCs w:val="16"/>
              </w:rPr>
              <w:t>5: 2</w:t>
            </w:r>
          </w:p>
          <w:p w:rsidR="00B1072F" w:rsidRPr="008539B9" w:rsidRDefault="00B1072F" w:rsidP="008D1891">
            <w:pPr>
              <w:keepNext/>
              <w:keepLines/>
              <w:rPr>
                <w:rFonts w:cs="Arial"/>
                <w:sz w:val="16"/>
                <w:szCs w:val="16"/>
              </w:rPr>
            </w:pPr>
          </w:p>
        </w:tc>
        <w:tc>
          <w:tcPr>
            <w:tcW w:w="926" w:type="pct"/>
            <w:gridSpan w:val="4"/>
            <w:tcBorders>
              <w:top w:val="nil"/>
              <w:bottom w:val="single" w:sz="4" w:space="0" w:color="auto"/>
            </w:tcBorders>
            <w:shd w:val="clear" w:color="auto" w:fill="auto"/>
            <w:tcMar>
              <w:top w:w="110" w:type="dxa"/>
            </w:tcMar>
          </w:tcPr>
          <w:p w:rsidR="00B1072F" w:rsidRPr="008539B9" w:rsidRDefault="00B1072F" w:rsidP="008D1891">
            <w:pPr>
              <w:keepNext/>
              <w:keepLines/>
              <w:autoSpaceDE w:val="0"/>
              <w:autoSpaceDN w:val="0"/>
              <w:adjustRightInd w:val="0"/>
              <w:rPr>
                <w:rFonts w:cs="Arial"/>
                <w:sz w:val="16"/>
                <w:szCs w:val="16"/>
              </w:rPr>
            </w:pPr>
            <w:r>
              <w:rPr>
                <w:rFonts w:cs="Arial"/>
                <w:sz w:val="16"/>
                <w:szCs w:val="16"/>
              </w:rPr>
              <w:t>4</w:t>
            </w:r>
          </w:p>
        </w:tc>
        <w:tc>
          <w:tcPr>
            <w:tcW w:w="1238" w:type="pct"/>
            <w:tcBorders>
              <w:top w:val="nil"/>
              <w:bottom w:val="single" w:sz="4" w:space="0" w:color="auto"/>
            </w:tcBorders>
            <w:shd w:val="clear" w:color="auto" w:fill="FFFFFF"/>
            <w:tcMar>
              <w:top w:w="110" w:type="dxa"/>
            </w:tcMar>
          </w:tcPr>
          <w:p w:rsidR="00B1072F" w:rsidRPr="008824A6" w:rsidRDefault="00B1072F" w:rsidP="008D1891">
            <w:pPr>
              <w:rPr>
                <w:rFonts w:cs="Arial"/>
                <w:sz w:val="16"/>
                <w:szCs w:val="16"/>
              </w:rPr>
            </w:pPr>
            <w:r w:rsidRPr="008824A6">
              <w:rPr>
                <w:rFonts w:cs="Arial"/>
                <w:sz w:val="16"/>
                <w:szCs w:val="16"/>
              </w:rPr>
              <w:t xml:space="preserve">1 additional </w:t>
            </w:r>
            <w:r>
              <w:rPr>
                <w:rFonts w:cs="Arial"/>
                <w:sz w:val="16"/>
                <w:szCs w:val="16"/>
              </w:rPr>
              <w:t xml:space="preserve">automated </w:t>
            </w:r>
            <w:r w:rsidRPr="008824A6">
              <w:rPr>
                <w:rFonts w:cs="Arial"/>
                <w:sz w:val="16"/>
                <w:szCs w:val="16"/>
              </w:rPr>
              <w:t>process (Statement of Grant</w:t>
            </w:r>
            <w:r w:rsidR="009A33E5">
              <w:rPr>
                <w:rFonts w:cs="Arial"/>
                <w:sz w:val="16"/>
                <w:szCs w:val="16"/>
              </w:rPr>
              <w:t xml:space="preserve"> of</w:t>
            </w:r>
            <w:r w:rsidRPr="008824A6">
              <w:rPr>
                <w:rFonts w:cs="Arial"/>
                <w:sz w:val="16"/>
                <w:szCs w:val="16"/>
              </w:rPr>
              <w:t xml:space="preserve"> Protection)</w:t>
            </w:r>
          </w:p>
          <w:p w:rsidR="00B1072F" w:rsidRPr="008539B9" w:rsidRDefault="00B1072F" w:rsidP="008D1891">
            <w:pPr>
              <w:rPr>
                <w:rFonts w:cs="Arial"/>
                <w:sz w:val="16"/>
                <w:szCs w:val="16"/>
              </w:rPr>
            </w:pPr>
            <w:r w:rsidRPr="008824A6">
              <w:rPr>
                <w:rFonts w:cs="Arial"/>
                <w:sz w:val="16"/>
                <w:szCs w:val="16"/>
              </w:rPr>
              <w:t>(3 cumulative)</w:t>
            </w:r>
          </w:p>
        </w:tc>
        <w:tc>
          <w:tcPr>
            <w:tcW w:w="522" w:type="pct"/>
            <w:tcBorders>
              <w:top w:val="nil"/>
              <w:bottom w:val="single" w:sz="4" w:space="0" w:color="auto"/>
            </w:tcBorders>
            <w:shd w:val="clear" w:color="auto" w:fill="auto"/>
            <w:tcMar>
              <w:top w:w="110" w:type="dxa"/>
            </w:tcMar>
          </w:tcPr>
          <w:p w:rsidR="00B1072F" w:rsidRPr="000C1926" w:rsidRDefault="00B1072F" w:rsidP="008D1891">
            <w:pPr>
              <w:keepNext/>
              <w:keepLines/>
              <w:jc w:val="center"/>
              <w:rPr>
                <w:rFonts w:cs="Arial"/>
                <w:b/>
                <w:bCs/>
                <w:color w:val="808080"/>
                <w:sz w:val="16"/>
                <w:szCs w:val="16"/>
              </w:rPr>
            </w:pPr>
            <w:r w:rsidRPr="000C1926">
              <w:rPr>
                <w:rFonts w:cs="Arial"/>
                <w:b/>
                <w:bCs/>
                <w:color w:val="00B050"/>
                <w:sz w:val="16"/>
                <w:szCs w:val="16"/>
              </w:rPr>
              <w:t>On</w:t>
            </w:r>
            <w:r>
              <w:rPr>
                <w:rFonts w:cs="Arial"/>
                <w:b/>
                <w:bCs/>
                <w:color w:val="00B050"/>
                <w:sz w:val="16"/>
                <w:szCs w:val="16"/>
              </w:rPr>
              <w:t xml:space="preserve"> </w:t>
            </w:r>
            <w:r w:rsidRPr="000C1926">
              <w:rPr>
                <w:rFonts w:cs="Arial"/>
                <w:b/>
                <w:bCs/>
                <w:color w:val="00B050"/>
                <w:sz w:val="16"/>
                <w:szCs w:val="16"/>
              </w:rPr>
              <w:t xml:space="preserve"> track</w:t>
            </w:r>
          </w:p>
        </w:tc>
      </w:tr>
    </w:tbl>
    <w:p w:rsidR="00B1072F" w:rsidRDefault="00B1072F" w:rsidP="00C3728B">
      <w:pPr>
        <w:rPr>
          <w:bCs/>
          <w:sz w:val="22"/>
          <w:szCs w:val="22"/>
        </w:rPr>
      </w:pPr>
    </w:p>
    <w:p w:rsidR="00B1072F" w:rsidRDefault="00B1072F">
      <w:pPr>
        <w:rPr>
          <w:rFonts w:cs="Arial"/>
          <w:color w:val="000000"/>
          <w:sz w:val="22"/>
          <w:szCs w:val="22"/>
        </w:rPr>
      </w:pPr>
    </w:p>
    <w:p w:rsidR="00B1072F" w:rsidRDefault="00B1072F" w:rsidP="00A8525E">
      <w:pPr>
        <w:rPr>
          <w:b/>
          <w:sz w:val="18"/>
          <w:szCs w:val="18"/>
        </w:rPr>
      </w:pPr>
      <w:r>
        <w:rPr>
          <w:rFonts w:cs="Arial"/>
          <w:color w:val="000000"/>
          <w:sz w:val="22"/>
          <w:szCs w:val="22"/>
        </w:rPr>
        <w:t>RESOURCE UTILIZATION</w:t>
      </w:r>
    </w:p>
    <w:p w:rsidR="00B1072F" w:rsidRPr="008F4A6D" w:rsidRDefault="00B1072F">
      <w:pPr>
        <w:rPr>
          <w:szCs w:val="20"/>
        </w:rPr>
      </w:pPr>
    </w:p>
    <w:p w:rsidR="00B1072F" w:rsidRPr="00383D2D" w:rsidRDefault="00B1072F" w:rsidP="004611B9">
      <w:pPr>
        <w:pStyle w:val="NormalWeb"/>
        <w:spacing w:before="0" w:beforeAutospacing="0" w:after="0" w:afterAutospacing="0"/>
        <w:jc w:val="center"/>
        <w:rPr>
          <w:sz w:val="20"/>
          <w:szCs w:val="20"/>
        </w:rPr>
      </w:pPr>
      <w:r w:rsidRPr="00383D2D">
        <w:rPr>
          <w:color w:val="000000"/>
          <w:sz w:val="20"/>
          <w:szCs w:val="20"/>
        </w:rPr>
        <w:t xml:space="preserve">Budget and Actual Expenditure (by result) </w:t>
      </w:r>
    </w:p>
    <w:p w:rsidR="00B1072F" w:rsidRDefault="00B1072F" w:rsidP="004611B9">
      <w:pPr>
        <w:pStyle w:val="NormalWeb"/>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B1072F" w:rsidRDefault="00B1072F"/>
    <w:p w:rsidR="00B1072F" w:rsidRDefault="00B1072F" w:rsidP="008D1891">
      <w:pPr>
        <w:jc w:val="center"/>
      </w:pPr>
      <w:r w:rsidRPr="00125300">
        <w:rPr>
          <w:noProof/>
        </w:rPr>
        <w:drawing>
          <wp:inline distT="0" distB="0" distL="0" distR="0" wp14:anchorId="7EA6250D" wp14:editId="46E867AC">
            <wp:extent cx="5239910" cy="1461749"/>
            <wp:effectExtent l="0" t="0" r="0" b="0"/>
            <wp:docPr id="842" name="Picture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51221" cy="1464904"/>
                    </a:xfrm>
                    <a:prstGeom prst="rect">
                      <a:avLst/>
                    </a:prstGeom>
                    <a:noFill/>
                    <a:ln>
                      <a:noFill/>
                    </a:ln>
                  </pic:spPr>
                </pic:pic>
              </a:graphicData>
            </a:graphic>
          </wp:inline>
        </w:drawing>
      </w:r>
    </w:p>
    <w:p w:rsidR="00B1072F" w:rsidRDefault="00B1072F"/>
    <w:p w:rsidR="00B1072F" w:rsidRDefault="00B1072F" w:rsidP="00383D2D">
      <w:pPr>
        <w:pStyle w:val="NormalWeb"/>
        <w:keepNext/>
        <w:keepLines/>
        <w:spacing w:before="0" w:beforeAutospacing="0" w:after="0" w:afterAutospacing="0"/>
        <w:jc w:val="center"/>
        <w:rPr>
          <w:color w:val="000000"/>
          <w:sz w:val="20"/>
          <w:szCs w:val="20"/>
        </w:rPr>
      </w:pPr>
    </w:p>
    <w:p w:rsidR="00B1072F" w:rsidRPr="00383D2D" w:rsidRDefault="00B1072F" w:rsidP="00383D2D">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B1072F" w:rsidRPr="00383D2D" w:rsidRDefault="00B1072F" w:rsidP="00383D2D">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B1072F" w:rsidRDefault="00B1072F" w:rsidP="00383D2D">
      <w:pPr>
        <w:pStyle w:val="NormalWeb"/>
        <w:keepNext/>
        <w:keepLines/>
        <w:spacing w:before="0" w:beforeAutospacing="0" w:after="0" w:afterAutospacing="0"/>
        <w:jc w:val="center"/>
      </w:pPr>
    </w:p>
    <w:p w:rsidR="00B1072F" w:rsidRPr="00383D2D" w:rsidRDefault="00B1072F" w:rsidP="008D1891">
      <w:pPr>
        <w:jc w:val="center"/>
        <w:rPr>
          <w:szCs w:val="20"/>
        </w:rPr>
      </w:pPr>
      <w:r w:rsidRPr="00125300">
        <w:rPr>
          <w:noProof/>
        </w:rPr>
        <w:drawing>
          <wp:inline distT="0" distB="0" distL="0" distR="0" wp14:anchorId="5CDE0660" wp14:editId="4CA7895C">
            <wp:extent cx="5311472" cy="1191133"/>
            <wp:effectExtent l="0" t="0" r="3810" b="9525"/>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35264" cy="1196469"/>
                    </a:xfrm>
                    <a:prstGeom prst="rect">
                      <a:avLst/>
                    </a:prstGeom>
                    <a:noFill/>
                    <a:ln>
                      <a:noFill/>
                    </a:ln>
                  </pic:spPr>
                </pic:pic>
              </a:graphicData>
            </a:graphic>
          </wp:inline>
        </w:drawing>
      </w:r>
    </w:p>
    <w:p w:rsidR="00B1072F" w:rsidRPr="004312A2" w:rsidRDefault="00B1072F">
      <w:pPr>
        <w:keepNext/>
        <w:autoSpaceDE w:val="0"/>
        <w:autoSpaceDN w:val="0"/>
        <w:rPr>
          <w:sz w:val="16"/>
          <w:szCs w:val="16"/>
        </w:rPr>
      </w:pPr>
      <w:r w:rsidRPr="000C1926">
        <w:rPr>
          <w:i/>
          <w:sz w:val="16"/>
          <w:szCs w:val="16"/>
        </w:rPr>
        <w:t>NOTE: The 2014/15 Budget after Transfers reflects transfers as of March 31, 2015 to address needs during the 2014/15 biennium in line with Financial Regulation 5.5</w:t>
      </w:r>
      <w:r w:rsidRPr="0057155A">
        <w:rPr>
          <w:sz w:val="16"/>
          <w:szCs w:val="16"/>
        </w:rPr>
        <w:t>.</w:t>
      </w:r>
    </w:p>
    <w:p w:rsidR="00B1072F" w:rsidRDefault="00B1072F">
      <w:pPr>
        <w:widowControl w:val="0"/>
        <w:autoSpaceDE w:val="0"/>
        <w:autoSpaceDN w:val="0"/>
        <w:adjustRightInd w:val="0"/>
        <w:rPr>
          <w:rFonts w:cs="Arial"/>
          <w:szCs w:val="20"/>
        </w:rPr>
      </w:pPr>
    </w:p>
    <w:p w:rsidR="00B1072F" w:rsidRPr="008F4A6D" w:rsidRDefault="00B1072F">
      <w:pPr>
        <w:widowControl w:val="0"/>
        <w:autoSpaceDE w:val="0"/>
        <w:autoSpaceDN w:val="0"/>
        <w:adjustRightInd w:val="0"/>
        <w:rPr>
          <w:rFonts w:cs="Arial"/>
          <w:szCs w:val="20"/>
        </w:rPr>
      </w:pPr>
    </w:p>
    <w:p w:rsidR="00B1072F" w:rsidRDefault="00B1072F" w:rsidP="00A93FCA">
      <w:pPr>
        <w:rPr>
          <w:rFonts w:cs="Arial"/>
          <w:u w:val="single"/>
        </w:rPr>
      </w:pPr>
      <w:r w:rsidRPr="00420F90">
        <w:rPr>
          <w:rFonts w:cs="Arial"/>
          <w:szCs w:val="20"/>
        </w:rPr>
        <w:t>A.</w:t>
      </w:r>
      <w:r w:rsidRPr="00420F90">
        <w:rPr>
          <w:rFonts w:cs="Arial"/>
        </w:rPr>
        <w:tab/>
      </w:r>
      <w:r w:rsidRPr="00420F90">
        <w:rPr>
          <w:rFonts w:cs="Arial"/>
          <w:u w:val="single"/>
        </w:rPr>
        <w:t>Budget after Transfers 201</w:t>
      </w:r>
      <w:r>
        <w:rPr>
          <w:rFonts w:cs="Arial"/>
          <w:u w:val="single"/>
        </w:rPr>
        <w:t>4/15</w:t>
      </w:r>
    </w:p>
    <w:p w:rsidR="00B1072F" w:rsidRPr="000C1926" w:rsidRDefault="00B1072F" w:rsidP="008D1891">
      <w:pPr>
        <w:pStyle w:val="ListParagraph"/>
        <w:tabs>
          <w:tab w:val="left" w:pos="709"/>
        </w:tabs>
        <w:ind w:left="0"/>
        <w:jc w:val="both"/>
      </w:pPr>
    </w:p>
    <w:p w:rsidR="00B1072F" w:rsidRDefault="00B1072F" w:rsidP="00B1072F">
      <w:pPr>
        <w:pStyle w:val="ListParagraph"/>
        <w:numPr>
          <w:ilvl w:val="0"/>
          <w:numId w:val="64"/>
        </w:numPr>
        <w:tabs>
          <w:tab w:val="left" w:pos="709"/>
        </w:tabs>
        <w:ind w:left="0" w:firstLine="0"/>
        <w:jc w:val="both"/>
      </w:pPr>
      <w:r w:rsidRPr="000C1926">
        <w:t xml:space="preserve">The </w:t>
      </w:r>
      <w:r>
        <w:t xml:space="preserve">2014/15 </w:t>
      </w:r>
      <w:r w:rsidRPr="000C1926">
        <w:t>Budget after Transfer</w:t>
      </w:r>
      <w:r>
        <w:t>s</w:t>
      </w:r>
      <w:r w:rsidRPr="000C1926">
        <w:t xml:space="preserve"> reflects a net increase in personnel resources primarily due to the temporary transfer of a staff member from Program 10 to Program 31 to provide additional support for the Working Group meetings and promotion</w:t>
      </w:r>
      <w:r>
        <w:t>al</w:t>
      </w:r>
      <w:r w:rsidRPr="000C1926">
        <w:t xml:space="preserve"> activities.  This is reflected under Result II.5 (Improved productivity and service quality of the Hague operations).  </w:t>
      </w:r>
    </w:p>
    <w:p w:rsidR="00B1072F" w:rsidRDefault="00B1072F" w:rsidP="008D1891">
      <w:pPr>
        <w:pStyle w:val="ListParagraph"/>
        <w:tabs>
          <w:tab w:val="left" w:pos="709"/>
        </w:tabs>
        <w:ind w:left="0"/>
        <w:jc w:val="both"/>
      </w:pPr>
    </w:p>
    <w:p w:rsidR="00B1072F" w:rsidRPr="000C1926" w:rsidRDefault="00B1072F" w:rsidP="00B1072F">
      <w:pPr>
        <w:pStyle w:val="ListParagraph"/>
        <w:numPr>
          <w:ilvl w:val="0"/>
          <w:numId w:val="64"/>
        </w:numPr>
        <w:tabs>
          <w:tab w:val="left" w:pos="709"/>
        </w:tabs>
        <w:ind w:left="0" w:firstLine="0"/>
        <w:jc w:val="both"/>
      </w:pPr>
      <w:r w:rsidRPr="000C1926">
        <w:t>The net decrease in non-personnel resources is primarily due to:</w:t>
      </w:r>
      <w:r>
        <w:t xml:space="preserve"> </w:t>
      </w:r>
      <w:r w:rsidRPr="000C1926">
        <w:t xml:space="preserve"> (</w:t>
      </w:r>
      <w:proofErr w:type="spellStart"/>
      <w:r w:rsidRPr="000C1926">
        <w:t>i</w:t>
      </w:r>
      <w:proofErr w:type="spellEnd"/>
      <w:r w:rsidRPr="000C1926">
        <w:t>) the transfer of non-personnel resources for an intern (to Program 23 which centrally manages interns)</w:t>
      </w:r>
      <w:r>
        <w:t xml:space="preserve"> </w:t>
      </w:r>
      <w:r w:rsidRPr="000C1926">
        <w:t>to support the work on new accessions under Result</w:t>
      </w:r>
      <w:r>
        <w:t xml:space="preserve"> II.4</w:t>
      </w:r>
      <w:r w:rsidRPr="000C1926">
        <w:t xml:space="preserve"> (Wider and better use of the Hague System)</w:t>
      </w:r>
      <w:proofErr w:type="gramStart"/>
      <w:r w:rsidRPr="000C1926">
        <w:t xml:space="preserve">; </w:t>
      </w:r>
      <w:r>
        <w:t xml:space="preserve"> </w:t>
      </w:r>
      <w:r w:rsidRPr="000C1926">
        <w:t>and</w:t>
      </w:r>
      <w:proofErr w:type="gramEnd"/>
      <w:r w:rsidRPr="000C1926">
        <w:t xml:space="preserve"> (ii) a slight downward adjustment made for cost efficiency gains. </w:t>
      </w:r>
    </w:p>
    <w:p w:rsidR="00B1072F" w:rsidRDefault="00B1072F" w:rsidP="008D1891">
      <w:pPr>
        <w:autoSpaceDE w:val="0"/>
        <w:autoSpaceDN w:val="0"/>
        <w:jc w:val="both"/>
        <w:rPr>
          <w:rFonts w:cs="Arial"/>
          <w:szCs w:val="20"/>
          <w:lang w:eastAsia="ko-KR"/>
        </w:rPr>
      </w:pPr>
    </w:p>
    <w:p w:rsidR="00B1072F" w:rsidRDefault="00B1072F" w:rsidP="008D1891">
      <w:pPr>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Budget utilization 2014</w:t>
      </w:r>
    </w:p>
    <w:p w:rsidR="00B1072F" w:rsidRDefault="00B1072F" w:rsidP="00383D2D">
      <w:pPr>
        <w:tabs>
          <w:tab w:val="left" w:pos="709"/>
        </w:tabs>
        <w:jc w:val="both"/>
        <w:rPr>
          <w:rFonts w:cs="Arial"/>
          <w:szCs w:val="20"/>
          <w:u w:val="single"/>
          <w:lang w:eastAsia="ko-KR"/>
        </w:rPr>
      </w:pPr>
    </w:p>
    <w:p w:rsidR="00B1072F" w:rsidRDefault="00B1072F" w:rsidP="00B1072F">
      <w:pPr>
        <w:pStyle w:val="ListParagraph"/>
        <w:numPr>
          <w:ilvl w:val="0"/>
          <w:numId w:val="64"/>
        </w:numPr>
        <w:tabs>
          <w:tab w:val="left" w:pos="709"/>
        </w:tabs>
        <w:ind w:left="0" w:firstLine="0"/>
        <w:jc w:val="both"/>
      </w:pPr>
      <w:r w:rsidRPr="00E967B5">
        <w:t xml:space="preserve">The non-personnel budget utilization rate for the Program amounted to </w:t>
      </w:r>
      <w:r>
        <w:t>29</w:t>
      </w:r>
      <w:r w:rsidRPr="00E967B5">
        <w:t xml:space="preserve"> per cent of the </w:t>
      </w:r>
      <w:r>
        <w:t>2014/15</w:t>
      </w:r>
      <w:r w:rsidRPr="00E967B5">
        <w:t xml:space="preserve">Budget after Transfers.  This resulted primarily from a delay in IT-related work due to the postponement </w:t>
      </w:r>
      <w:r>
        <w:t>of</w:t>
      </w:r>
      <w:r w:rsidRPr="00E967B5">
        <w:t xml:space="preserve"> the accessions of certain Contracting Parties under Result II.</w:t>
      </w:r>
      <w:r>
        <w:t>4</w:t>
      </w:r>
      <w:r w:rsidRPr="00E967B5">
        <w:t xml:space="preserve"> (</w:t>
      </w:r>
      <w:r>
        <w:t>Wider and b</w:t>
      </w:r>
      <w:r w:rsidRPr="00E967B5">
        <w:t xml:space="preserve">etter </w:t>
      </w:r>
      <w:r>
        <w:t>use</w:t>
      </w:r>
      <w:r w:rsidRPr="00E967B5">
        <w:t xml:space="preserve"> of the Hague System).</w:t>
      </w:r>
    </w:p>
    <w:p w:rsidR="00DB4599" w:rsidRDefault="00DB4599" w:rsidP="009F72A7">
      <w:pPr>
        <w:autoSpaceDE w:val="0"/>
        <w:autoSpaceDN w:val="0"/>
        <w:adjustRightInd w:val="0"/>
      </w:pPr>
    </w:p>
    <w:p w:rsidR="00B1072F" w:rsidRDefault="00B1072F" w:rsidP="009F72A7">
      <w:pPr>
        <w:autoSpaceDE w:val="0"/>
        <w:autoSpaceDN w:val="0"/>
        <w:adjustRightInd w:val="0"/>
      </w:pPr>
    </w:p>
    <w:p w:rsidR="00017954" w:rsidRDefault="00017954">
      <w:r>
        <w:br w:type="page"/>
      </w:r>
    </w:p>
    <w:p w:rsidR="00017954" w:rsidRPr="00FA0C5A" w:rsidRDefault="00017954" w:rsidP="00FA0C5A">
      <w:pPr>
        <w:pStyle w:val="StyleHeading3BoldNounderline"/>
        <w:rPr>
          <w:b/>
        </w:rPr>
      </w:pPr>
      <w:bookmarkStart w:id="59" w:name="_Toc422210487"/>
      <w:r w:rsidRPr="00FA0C5A">
        <w:rPr>
          <w:b/>
        </w:rPr>
        <w:lastRenderedPageBreak/>
        <w:t>Program 31 Annex:    Indicators of the Hague System Operations</w:t>
      </w:r>
      <w:bookmarkEnd w:id="59"/>
    </w:p>
    <w:p w:rsidR="00017954" w:rsidRPr="00FA0C5A" w:rsidRDefault="00017954" w:rsidP="009F72A7">
      <w:pPr>
        <w:autoSpaceDE w:val="0"/>
        <w:autoSpaceDN w:val="0"/>
        <w:adjustRightInd w:val="0"/>
        <w:rPr>
          <w:b/>
        </w:rPr>
      </w:pPr>
    </w:p>
    <w:p w:rsidR="00017954" w:rsidRDefault="00017954" w:rsidP="009F72A7">
      <w:pPr>
        <w:autoSpaceDE w:val="0"/>
        <w:autoSpaceDN w:val="0"/>
        <w:adjustRightInd w:val="0"/>
      </w:pPr>
    </w:p>
    <w:p w:rsidR="00017954" w:rsidRPr="00DC6A4E" w:rsidRDefault="00017954" w:rsidP="00017954">
      <w:r w:rsidRPr="00DC6A4E">
        <w:t>PERFORMANCE INDICATORS FOR THE EXPECTED RESULT</w:t>
      </w:r>
    </w:p>
    <w:p w:rsidR="00017954" w:rsidRPr="00DC6A4E" w:rsidRDefault="00017954" w:rsidP="00017954">
      <w:r w:rsidRPr="00DC6A4E">
        <w:t>“IMPROVED PRODUCTIVITY AND SERVICE QUALITY OF THE HAGUE OPERATIONS”</w:t>
      </w:r>
    </w:p>
    <w:p w:rsidR="00017954" w:rsidRPr="00DC6A4E" w:rsidRDefault="00017954" w:rsidP="00017954">
      <w:pPr>
        <w:rPr>
          <w:b/>
        </w:rPr>
      </w:pPr>
    </w:p>
    <w:p w:rsidR="00017954" w:rsidRPr="00DC6A4E" w:rsidRDefault="00017954" w:rsidP="00017954"/>
    <w:p w:rsidR="00017954" w:rsidRDefault="00017954" w:rsidP="00520CAA">
      <w:pPr>
        <w:pStyle w:val="ListParagraph"/>
        <w:numPr>
          <w:ilvl w:val="0"/>
          <w:numId w:val="27"/>
        </w:numPr>
        <w:tabs>
          <w:tab w:val="left" w:pos="0"/>
          <w:tab w:val="left" w:pos="567"/>
        </w:tabs>
        <w:ind w:left="0" w:firstLine="0"/>
        <w:contextualSpacing/>
        <w:jc w:val="both"/>
        <w:rPr>
          <w:rFonts w:cs="Arial"/>
        </w:rPr>
      </w:pPr>
      <w:r w:rsidRPr="00DC6A4E">
        <w:rPr>
          <w:rFonts w:cs="Arial"/>
        </w:rPr>
        <w:t>As background for the performance indicators for the expected result “improved productivity and service quality of the Hague operations”, the evolution of the following factors needs to be considered:</w:t>
      </w:r>
    </w:p>
    <w:p w:rsidR="00017954" w:rsidRPr="00DC6A4E" w:rsidRDefault="00017954" w:rsidP="00017954">
      <w:pPr>
        <w:pStyle w:val="ListParagraph"/>
        <w:tabs>
          <w:tab w:val="left" w:pos="0"/>
          <w:tab w:val="left" w:pos="567"/>
        </w:tabs>
        <w:ind w:left="0"/>
        <w:jc w:val="both"/>
        <w:rPr>
          <w:rFonts w:cs="Arial"/>
        </w:rPr>
      </w:pPr>
    </w:p>
    <w:p w:rsidR="00017954" w:rsidRPr="00DC6A4E" w:rsidRDefault="00017954" w:rsidP="00520CAA">
      <w:pPr>
        <w:numPr>
          <w:ilvl w:val="0"/>
          <w:numId w:val="11"/>
        </w:numPr>
        <w:spacing w:after="120"/>
        <w:ind w:left="1134" w:firstLine="0"/>
        <w:jc w:val="both"/>
      </w:pPr>
      <w:r w:rsidRPr="00DC6A4E">
        <w:t>The Hague System workloads;</w:t>
      </w:r>
    </w:p>
    <w:p w:rsidR="00017954" w:rsidRPr="00DC6A4E" w:rsidRDefault="00017954" w:rsidP="00520CAA">
      <w:pPr>
        <w:numPr>
          <w:ilvl w:val="0"/>
          <w:numId w:val="11"/>
        </w:numPr>
        <w:spacing w:after="120"/>
        <w:ind w:left="1134" w:firstLine="0"/>
        <w:jc w:val="both"/>
      </w:pPr>
      <w:r w:rsidRPr="00DC6A4E">
        <w:t>The composition of those workloads;</w:t>
      </w:r>
    </w:p>
    <w:p w:rsidR="00017954" w:rsidRPr="00DC6A4E" w:rsidRDefault="00017954" w:rsidP="00520CAA">
      <w:pPr>
        <w:numPr>
          <w:ilvl w:val="0"/>
          <w:numId w:val="11"/>
        </w:numPr>
        <w:spacing w:after="120"/>
        <w:ind w:left="1134" w:firstLine="0"/>
        <w:jc w:val="both"/>
      </w:pPr>
      <w:r w:rsidRPr="00DC6A4E">
        <w:t>The level of automation; and</w:t>
      </w:r>
    </w:p>
    <w:p w:rsidR="00017954" w:rsidRPr="00DC6A4E" w:rsidRDefault="00017954" w:rsidP="00520CAA">
      <w:pPr>
        <w:numPr>
          <w:ilvl w:val="0"/>
          <w:numId w:val="11"/>
        </w:numPr>
        <w:ind w:left="1134" w:firstLine="0"/>
        <w:jc w:val="both"/>
      </w:pPr>
      <w:r w:rsidRPr="00DC6A4E">
        <w:t>The resources assigned to cope with the workload.</w:t>
      </w:r>
    </w:p>
    <w:p w:rsidR="00017954" w:rsidRPr="00DC6A4E" w:rsidRDefault="00017954" w:rsidP="00017954">
      <w:pPr>
        <w:jc w:val="both"/>
      </w:pPr>
    </w:p>
    <w:p w:rsidR="00017954" w:rsidRDefault="00017954" w:rsidP="00520CAA">
      <w:pPr>
        <w:pStyle w:val="ListParagraph"/>
        <w:numPr>
          <w:ilvl w:val="0"/>
          <w:numId w:val="27"/>
        </w:numPr>
        <w:tabs>
          <w:tab w:val="left" w:pos="0"/>
          <w:tab w:val="left" w:pos="567"/>
        </w:tabs>
        <w:ind w:left="0" w:firstLine="0"/>
        <w:contextualSpacing/>
        <w:jc w:val="both"/>
        <w:rPr>
          <w:rFonts w:cs="Arial"/>
        </w:rPr>
      </w:pPr>
      <w:r w:rsidRPr="00DC6A4E">
        <w:rPr>
          <w:rFonts w:cs="Arial"/>
        </w:rPr>
        <w:t xml:space="preserve">The International Bureau (IB) receives four main types of documents, namely international applications, renewals, changes and decisions. </w:t>
      </w:r>
      <w:r>
        <w:rPr>
          <w:rFonts w:cs="Arial"/>
        </w:rPr>
        <w:t xml:space="preserve"> </w:t>
      </w:r>
      <w:r w:rsidRPr="00DC6A4E">
        <w:rPr>
          <w:rFonts w:cs="Arial"/>
        </w:rPr>
        <w:t xml:space="preserve">The latest trend for each of these documents is presented below. </w:t>
      </w:r>
      <w:r>
        <w:rPr>
          <w:rFonts w:cs="Arial"/>
        </w:rPr>
        <w:t xml:space="preserve"> </w:t>
      </w:r>
      <w:r w:rsidRPr="00DC6A4E">
        <w:rPr>
          <w:rFonts w:cs="Arial"/>
        </w:rPr>
        <w:t xml:space="preserve">Additional information on the applications received, such as their average number of designs, are also provided. For technical reasons, the indicator on the irregularities issued shows data based on processed documents rather than on incoming documents. </w:t>
      </w:r>
    </w:p>
    <w:p w:rsidR="00017954" w:rsidRDefault="00017954" w:rsidP="00017954">
      <w:pPr>
        <w:pStyle w:val="ListParagraph"/>
        <w:tabs>
          <w:tab w:val="left" w:pos="0"/>
          <w:tab w:val="left" w:pos="567"/>
        </w:tabs>
        <w:ind w:left="0"/>
        <w:jc w:val="both"/>
        <w:rPr>
          <w:rFonts w:cs="Arial"/>
        </w:rPr>
      </w:pPr>
    </w:p>
    <w:p w:rsidR="00017954" w:rsidRPr="007138E9" w:rsidRDefault="00017954" w:rsidP="00017954">
      <w:pPr>
        <w:tabs>
          <w:tab w:val="left" w:pos="567"/>
        </w:tabs>
        <w:spacing w:before="120" w:after="240"/>
        <w:rPr>
          <w:b/>
        </w:rPr>
      </w:pPr>
      <w:r>
        <w:rPr>
          <w:b/>
        </w:rPr>
        <w:t>I.</w:t>
      </w:r>
      <w:r>
        <w:rPr>
          <w:b/>
        </w:rPr>
        <w:tab/>
      </w:r>
      <w:r w:rsidRPr="007138E9">
        <w:rPr>
          <w:b/>
        </w:rPr>
        <w:t>Incoming Documents</w:t>
      </w:r>
    </w:p>
    <w:p w:rsidR="00017954" w:rsidRPr="007138E9" w:rsidRDefault="00017954" w:rsidP="00017954">
      <w:pPr>
        <w:spacing w:before="120" w:after="240"/>
        <w:rPr>
          <w:u w:val="single"/>
        </w:rPr>
      </w:pPr>
      <w:r w:rsidRPr="007138E9">
        <w:rPr>
          <w:u w:val="single"/>
        </w:rPr>
        <w:t xml:space="preserve">Applications received </w:t>
      </w:r>
    </w:p>
    <w:p w:rsidR="00017954" w:rsidRPr="00DC6A4E" w:rsidRDefault="00017954" w:rsidP="00017954">
      <w:pPr>
        <w:spacing w:before="120" w:after="240"/>
        <w:jc w:val="center"/>
      </w:pPr>
      <w:r w:rsidRPr="00DC6A4E">
        <w:rPr>
          <w:noProof/>
        </w:rPr>
        <w:drawing>
          <wp:inline distT="0" distB="0" distL="0" distR="0" wp14:anchorId="524D6B42" wp14:editId="7F189ED6">
            <wp:extent cx="4238744" cy="2771775"/>
            <wp:effectExtent l="0" t="0" r="9525" b="0"/>
            <wp:docPr id="805"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246531" cy="2776867"/>
                    </a:xfrm>
                    <a:prstGeom prst="rect">
                      <a:avLst/>
                    </a:prstGeom>
                    <a:noFill/>
                  </pic:spPr>
                </pic:pic>
              </a:graphicData>
            </a:graphic>
          </wp:inline>
        </w:drawing>
      </w:r>
    </w:p>
    <w:p w:rsidR="00017954" w:rsidRPr="00DC6A4E" w:rsidRDefault="00017954" w:rsidP="00520CAA">
      <w:pPr>
        <w:pStyle w:val="ListParagraph"/>
        <w:numPr>
          <w:ilvl w:val="0"/>
          <w:numId w:val="19"/>
        </w:numPr>
        <w:spacing w:after="120"/>
        <w:ind w:left="992" w:hanging="425"/>
        <w:jc w:val="both"/>
        <w:rPr>
          <w:rFonts w:cs="Arial"/>
        </w:rPr>
      </w:pPr>
      <w:r w:rsidRPr="00DC6A4E">
        <w:rPr>
          <w:rFonts w:cs="Arial"/>
        </w:rPr>
        <w:t xml:space="preserve">In 2014, the IB received 2,924 international applications, down 2.2 per cent from 2013. </w:t>
      </w:r>
      <w:r>
        <w:rPr>
          <w:rFonts w:cs="Arial"/>
        </w:rPr>
        <w:t xml:space="preserve"> </w:t>
      </w:r>
      <w:r w:rsidRPr="00DC6A4E">
        <w:rPr>
          <w:rFonts w:cs="Arial"/>
        </w:rPr>
        <w:t>In</w:t>
      </w:r>
      <w:r>
        <w:rPr>
          <w:rFonts w:cs="Arial"/>
        </w:rPr>
        <w:t> </w:t>
      </w:r>
      <w:r w:rsidRPr="00DC6A4E">
        <w:rPr>
          <w:rFonts w:cs="Arial"/>
        </w:rPr>
        <w:t>2013, applications received sharply grew by 15 per cent.</w:t>
      </w:r>
    </w:p>
    <w:p w:rsidR="00017954" w:rsidRPr="00DC6A4E" w:rsidRDefault="00017954" w:rsidP="00520CAA">
      <w:pPr>
        <w:pStyle w:val="ListParagraph"/>
        <w:numPr>
          <w:ilvl w:val="0"/>
          <w:numId w:val="19"/>
        </w:numPr>
        <w:spacing w:after="200"/>
        <w:ind w:left="993" w:hanging="426"/>
        <w:contextualSpacing/>
        <w:jc w:val="both"/>
        <w:rPr>
          <w:rFonts w:cs="Arial"/>
        </w:rPr>
      </w:pPr>
      <w:r w:rsidRPr="00DC6A4E">
        <w:rPr>
          <w:rFonts w:cs="Arial"/>
        </w:rPr>
        <w:t>In 2014, 89 per cent of applications were filed electronically. The share of electronic filings increased by 10 percentage points from 2011 to 2014, from 79 per cent in 2011 to 89 per cent in 2014.</w:t>
      </w:r>
    </w:p>
    <w:p w:rsidR="00017954" w:rsidRPr="00DC6A4E" w:rsidRDefault="00017954" w:rsidP="00017954"/>
    <w:p w:rsidR="00017954" w:rsidRPr="007138E9" w:rsidRDefault="00017954" w:rsidP="00017954">
      <w:pPr>
        <w:pStyle w:val="ListParagraph"/>
        <w:keepNext/>
        <w:keepLines/>
        <w:ind w:left="567"/>
        <w:rPr>
          <w:rFonts w:cs="Arial"/>
          <w:i/>
        </w:rPr>
      </w:pPr>
      <w:r w:rsidRPr="007138E9">
        <w:rPr>
          <w:rFonts w:cs="Arial"/>
          <w:i/>
        </w:rPr>
        <w:lastRenderedPageBreak/>
        <w:t>Average number of designs per application</w:t>
      </w:r>
    </w:p>
    <w:p w:rsidR="00017954" w:rsidRPr="00DC6A4E" w:rsidRDefault="00017954" w:rsidP="00017954">
      <w:pPr>
        <w:keepNext/>
        <w:keepLines/>
        <w:spacing w:before="120" w:after="240"/>
        <w:jc w:val="center"/>
      </w:pPr>
      <w:r w:rsidRPr="00DC6A4E">
        <w:rPr>
          <w:noProof/>
        </w:rPr>
        <w:drawing>
          <wp:inline distT="0" distB="0" distL="0" distR="0" wp14:anchorId="6E926C1A" wp14:editId="024A2519">
            <wp:extent cx="4029075" cy="2634670"/>
            <wp:effectExtent l="0" t="0" r="0" b="0"/>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034368" cy="2638131"/>
                    </a:xfrm>
                    <a:prstGeom prst="rect">
                      <a:avLst/>
                    </a:prstGeom>
                    <a:noFill/>
                  </pic:spPr>
                </pic:pic>
              </a:graphicData>
            </a:graphic>
          </wp:inline>
        </w:drawing>
      </w:r>
    </w:p>
    <w:p w:rsidR="00017954" w:rsidRPr="00DC6A4E" w:rsidRDefault="00017954" w:rsidP="00520CAA">
      <w:pPr>
        <w:pStyle w:val="ListParagraph"/>
        <w:numPr>
          <w:ilvl w:val="0"/>
          <w:numId w:val="20"/>
        </w:numPr>
        <w:spacing w:after="200"/>
        <w:ind w:left="993" w:hanging="426"/>
        <w:contextualSpacing/>
        <w:jc w:val="both"/>
        <w:rPr>
          <w:rFonts w:cs="Arial"/>
        </w:rPr>
      </w:pPr>
      <w:r w:rsidRPr="00DC6A4E">
        <w:rPr>
          <w:rFonts w:cs="Arial"/>
        </w:rPr>
        <w:t>In 2014, an application contained, on average, nearly five designs. Between 2011 and 2014, the average number of designs per application varied between 4.5 and 5 designs.</w:t>
      </w:r>
    </w:p>
    <w:p w:rsidR="00017954" w:rsidRDefault="00017954" w:rsidP="00017954">
      <w:pPr>
        <w:pStyle w:val="ListParagraph"/>
        <w:ind w:left="1418"/>
        <w:jc w:val="both"/>
        <w:rPr>
          <w:rFonts w:cs="Arial"/>
        </w:rPr>
      </w:pPr>
    </w:p>
    <w:p w:rsidR="00017954" w:rsidRPr="00DC6A4E" w:rsidRDefault="00017954" w:rsidP="00017954">
      <w:pPr>
        <w:pStyle w:val="ListParagraph"/>
        <w:ind w:left="1418"/>
        <w:jc w:val="both"/>
        <w:rPr>
          <w:rFonts w:cs="Arial"/>
        </w:rPr>
      </w:pPr>
    </w:p>
    <w:p w:rsidR="00017954" w:rsidRPr="00CD5999" w:rsidRDefault="00017954" w:rsidP="00017954">
      <w:pPr>
        <w:pStyle w:val="ListParagraph"/>
        <w:keepNext/>
        <w:keepLines/>
        <w:ind w:left="567"/>
        <w:rPr>
          <w:rFonts w:cs="Arial"/>
          <w:i/>
        </w:rPr>
      </w:pPr>
      <w:r w:rsidRPr="00CD5999">
        <w:rPr>
          <w:rFonts w:cs="Arial"/>
          <w:i/>
        </w:rPr>
        <w:t>Average number of designations per application</w:t>
      </w:r>
    </w:p>
    <w:p w:rsidR="00017954" w:rsidRPr="00DC6A4E" w:rsidRDefault="00017954" w:rsidP="00017954">
      <w:pPr>
        <w:spacing w:before="120" w:after="240"/>
        <w:jc w:val="center"/>
      </w:pPr>
      <w:r w:rsidRPr="00DC6A4E">
        <w:rPr>
          <w:noProof/>
        </w:rPr>
        <w:drawing>
          <wp:inline distT="0" distB="0" distL="0" distR="0" wp14:anchorId="717DE91A" wp14:editId="06646D0F">
            <wp:extent cx="3920947" cy="2563963"/>
            <wp:effectExtent l="0" t="0" r="3810" b="8255"/>
            <wp:docPr id="807"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929634" cy="2569644"/>
                    </a:xfrm>
                    <a:prstGeom prst="rect">
                      <a:avLst/>
                    </a:prstGeom>
                    <a:noFill/>
                  </pic:spPr>
                </pic:pic>
              </a:graphicData>
            </a:graphic>
          </wp:inline>
        </w:drawing>
      </w:r>
    </w:p>
    <w:p w:rsidR="00017954" w:rsidRDefault="00017954" w:rsidP="00520CAA">
      <w:pPr>
        <w:pStyle w:val="ListParagraph"/>
        <w:numPr>
          <w:ilvl w:val="0"/>
          <w:numId w:val="20"/>
        </w:numPr>
        <w:spacing w:after="200"/>
        <w:ind w:left="993" w:hanging="426"/>
        <w:contextualSpacing/>
        <w:jc w:val="both"/>
        <w:rPr>
          <w:rFonts w:cs="Arial"/>
        </w:rPr>
      </w:pPr>
      <w:r w:rsidRPr="00DC6A4E">
        <w:rPr>
          <w:rFonts w:cs="Arial"/>
        </w:rPr>
        <w:t>In 2014, an application contained, on average, nearly five designations.</w:t>
      </w:r>
    </w:p>
    <w:p w:rsidR="00017954" w:rsidRPr="007138E9" w:rsidRDefault="00017954" w:rsidP="00017954">
      <w:pPr>
        <w:jc w:val="both"/>
      </w:pPr>
    </w:p>
    <w:p w:rsidR="00017954" w:rsidRPr="007138E9" w:rsidRDefault="00017954" w:rsidP="00017954">
      <w:pPr>
        <w:pStyle w:val="ListParagraph"/>
        <w:keepNext/>
        <w:keepLines/>
        <w:spacing w:before="120" w:after="240"/>
        <w:ind w:left="567"/>
        <w:rPr>
          <w:rFonts w:cs="Arial"/>
          <w:i/>
        </w:rPr>
      </w:pPr>
      <w:r w:rsidRPr="007138E9">
        <w:rPr>
          <w:rFonts w:cs="Arial"/>
          <w:i/>
        </w:rPr>
        <w:lastRenderedPageBreak/>
        <w:t>Trend of irregularities in applications</w:t>
      </w:r>
    </w:p>
    <w:p w:rsidR="00017954" w:rsidRPr="00DC6A4E" w:rsidRDefault="00017954" w:rsidP="00520CAA">
      <w:pPr>
        <w:pStyle w:val="ListParagraph"/>
        <w:keepNext/>
        <w:keepLines/>
        <w:numPr>
          <w:ilvl w:val="0"/>
          <w:numId w:val="27"/>
        </w:numPr>
        <w:tabs>
          <w:tab w:val="left" w:pos="0"/>
          <w:tab w:val="left" w:pos="567"/>
        </w:tabs>
        <w:ind w:left="0" w:firstLine="0"/>
        <w:contextualSpacing/>
        <w:jc w:val="both"/>
        <w:rPr>
          <w:rFonts w:cs="Arial"/>
        </w:rPr>
      </w:pPr>
      <w:r w:rsidRPr="00DC6A4E">
        <w:rPr>
          <w:rFonts w:cs="Arial"/>
        </w:rPr>
        <w:t xml:space="preserve">Irregularities in applications are grouped among the ten categories shown below. </w:t>
      </w:r>
    </w:p>
    <w:p w:rsidR="00017954" w:rsidRPr="00DC6A4E" w:rsidRDefault="00017954" w:rsidP="00017954">
      <w:pPr>
        <w:keepNext/>
        <w:keepLines/>
        <w:spacing w:before="120" w:after="240"/>
        <w:jc w:val="center"/>
      </w:pPr>
      <w:r w:rsidRPr="00DC6A4E">
        <w:rPr>
          <w:noProof/>
        </w:rPr>
        <w:drawing>
          <wp:inline distT="0" distB="0" distL="0" distR="0" wp14:anchorId="55B87DFD" wp14:editId="21C62CD4">
            <wp:extent cx="4657725" cy="2847443"/>
            <wp:effectExtent l="0" t="0" r="0" b="0"/>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660819" cy="2849335"/>
                    </a:xfrm>
                    <a:prstGeom prst="rect">
                      <a:avLst/>
                    </a:prstGeom>
                    <a:noFill/>
                  </pic:spPr>
                </pic:pic>
              </a:graphicData>
            </a:graphic>
          </wp:inline>
        </w:drawing>
      </w:r>
    </w:p>
    <w:p w:rsidR="00017954" w:rsidRPr="00DC6A4E" w:rsidRDefault="00017954" w:rsidP="00520CAA">
      <w:pPr>
        <w:pStyle w:val="ListParagraph"/>
        <w:numPr>
          <w:ilvl w:val="0"/>
          <w:numId w:val="20"/>
        </w:numPr>
        <w:spacing w:after="120"/>
        <w:ind w:left="992" w:hanging="425"/>
        <w:jc w:val="both"/>
        <w:rPr>
          <w:rFonts w:cs="Arial"/>
        </w:rPr>
      </w:pPr>
      <w:r w:rsidRPr="00DC6A4E">
        <w:rPr>
          <w:rFonts w:cs="Arial"/>
        </w:rPr>
        <w:t xml:space="preserve">In 2014, the IB identified 1,557 irregularities in applications, down 14 per cent over 2013. </w:t>
      </w:r>
    </w:p>
    <w:p w:rsidR="00017954" w:rsidRPr="00DC6A4E" w:rsidRDefault="00017954" w:rsidP="00520CAA">
      <w:pPr>
        <w:pStyle w:val="ListParagraph"/>
        <w:numPr>
          <w:ilvl w:val="0"/>
          <w:numId w:val="20"/>
        </w:numPr>
        <w:spacing w:after="200"/>
        <w:ind w:left="993" w:hanging="426"/>
        <w:contextualSpacing/>
        <w:jc w:val="both"/>
        <w:rPr>
          <w:rFonts w:cs="Arial"/>
        </w:rPr>
      </w:pPr>
      <w:r w:rsidRPr="00DC6A4E">
        <w:rPr>
          <w:rFonts w:cs="Arial"/>
        </w:rPr>
        <w:t xml:space="preserve">Despite this sharp decrease, the irregularities related to product indications increased for the third consecutive year. </w:t>
      </w:r>
      <w:r>
        <w:rPr>
          <w:rFonts w:cs="Arial"/>
        </w:rPr>
        <w:t xml:space="preserve"> </w:t>
      </w:r>
      <w:r w:rsidRPr="00DC6A4E">
        <w:rPr>
          <w:rFonts w:cs="Arial"/>
        </w:rPr>
        <w:t>Together with irregularities of payment, they nearly accounted for half of total irregularities in 2014.</w:t>
      </w:r>
    </w:p>
    <w:p w:rsidR="00017954" w:rsidRPr="00DC6A4E" w:rsidRDefault="00017954" w:rsidP="00017954">
      <w:pPr>
        <w:spacing w:before="120"/>
      </w:pPr>
    </w:p>
    <w:p w:rsidR="00017954" w:rsidRPr="007138E9" w:rsidRDefault="00017954" w:rsidP="00017954">
      <w:pPr>
        <w:spacing w:before="120"/>
        <w:rPr>
          <w:u w:val="single"/>
        </w:rPr>
      </w:pPr>
      <w:r w:rsidRPr="007138E9">
        <w:rPr>
          <w:u w:val="single"/>
        </w:rPr>
        <w:t xml:space="preserve">Renewals </w:t>
      </w:r>
    </w:p>
    <w:p w:rsidR="00017954" w:rsidRPr="00DC6A4E" w:rsidRDefault="00017954" w:rsidP="00017954">
      <w:pPr>
        <w:spacing w:before="120" w:after="240"/>
        <w:jc w:val="center"/>
      </w:pPr>
      <w:r w:rsidRPr="00DC6A4E">
        <w:rPr>
          <w:noProof/>
        </w:rPr>
        <w:drawing>
          <wp:inline distT="0" distB="0" distL="0" distR="0" wp14:anchorId="4AB2734B" wp14:editId="3AFDD984">
            <wp:extent cx="4067251" cy="2655585"/>
            <wp:effectExtent l="0" t="0" r="9525" b="0"/>
            <wp:docPr id="809"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067611" cy="2655820"/>
                    </a:xfrm>
                    <a:prstGeom prst="rect">
                      <a:avLst/>
                    </a:prstGeom>
                    <a:noFill/>
                  </pic:spPr>
                </pic:pic>
              </a:graphicData>
            </a:graphic>
          </wp:inline>
        </w:drawing>
      </w:r>
    </w:p>
    <w:p w:rsidR="00017954" w:rsidRPr="00DC6A4E" w:rsidRDefault="00017954" w:rsidP="00520CAA">
      <w:pPr>
        <w:pStyle w:val="ListParagraph"/>
        <w:numPr>
          <w:ilvl w:val="0"/>
          <w:numId w:val="21"/>
        </w:numPr>
        <w:spacing w:after="120"/>
        <w:ind w:left="992" w:hanging="425"/>
        <w:jc w:val="both"/>
        <w:rPr>
          <w:rFonts w:cs="Arial"/>
        </w:rPr>
      </w:pPr>
      <w:r w:rsidRPr="00DC6A4E">
        <w:rPr>
          <w:rFonts w:cs="Arial"/>
        </w:rPr>
        <w:t xml:space="preserve">The number of renewals decreased </w:t>
      </w:r>
      <w:r>
        <w:rPr>
          <w:rFonts w:cs="Arial"/>
        </w:rPr>
        <w:t>for the second consecutive year</w:t>
      </w:r>
      <w:r w:rsidRPr="00DC6A4E">
        <w:rPr>
          <w:rFonts w:cs="Arial"/>
        </w:rPr>
        <w:t xml:space="preserve"> to </w:t>
      </w:r>
      <w:r>
        <w:rPr>
          <w:rFonts w:cs="Arial"/>
        </w:rPr>
        <w:t>2,703</w:t>
      </w:r>
      <w:r w:rsidRPr="00DC6A4E">
        <w:rPr>
          <w:rFonts w:cs="Arial"/>
        </w:rPr>
        <w:t xml:space="preserve"> renewals in</w:t>
      </w:r>
      <w:r>
        <w:rPr>
          <w:rFonts w:cs="Arial"/>
        </w:rPr>
        <w:t> </w:t>
      </w:r>
      <w:r w:rsidRPr="00DC6A4E">
        <w:rPr>
          <w:rFonts w:cs="Arial"/>
        </w:rPr>
        <w:t xml:space="preserve">2014. </w:t>
      </w:r>
      <w:r>
        <w:rPr>
          <w:rFonts w:cs="Arial"/>
        </w:rPr>
        <w:t xml:space="preserve"> </w:t>
      </w:r>
      <w:r w:rsidRPr="00DC6A4E">
        <w:rPr>
          <w:rFonts w:cs="Arial"/>
        </w:rPr>
        <w:t xml:space="preserve">This represented a </w:t>
      </w:r>
      <w:r>
        <w:rPr>
          <w:rFonts w:cs="Arial"/>
        </w:rPr>
        <w:t xml:space="preserve">5 </w:t>
      </w:r>
      <w:r w:rsidRPr="00DC6A4E">
        <w:rPr>
          <w:rFonts w:cs="Arial"/>
        </w:rPr>
        <w:t xml:space="preserve">per cent drop on 2013. </w:t>
      </w:r>
    </w:p>
    <w:p w:rsidR="00017954" w:rsidRPr="000D2666" w:rsidRDefault="00017954" w:rsidP="00520CAA">
      <w:pPr>
        <w:pStyle w:val="ListParagraph"/>
        <w:numPr>
          <w:ilvl w:val="0"/>
          <w:numId w:val="21"/>
        </w:numPr>
        <w:spacing w:after="200"/>
        <w:ind w:left="993" w:hanging="426"/>
        <w:contextualSpacing/>
        <w:jc w:val="both"/>
        <w:rPr>
          <w:rFonts w:cs="Arial"/>
          <w:u w:val="single"/>
        </w:rPr>
      </w:pPr>
      <w:r w:rsidRPr="000D2666">
        <w:rPr>
          <w:rFonts w:cs="Arial"/>
        </w:rPr>
        <w:t>Since 2013, a majority of renewals were processed automatically.  They accounted for 60 per cent of total renewals in 2014</w:t>
      </w:r>
    </w:p>
    <w:p w:rsidR="00017954" w:rsidRPr="000D2666" w:rsidRDefault="00017954" w:rsidP="00017954">
      <w:pPr>
        <w:spacing w:after="200"/>
        <w:jc w:val="both"/>
        <w:rPr>
          <w:u w:val="single"/>
        </w:rPr>
      </w:pPr>
    </w:p>
    <w:p w:rsidR="00017954" w:rsidRPr="007138E9" w:rsidRDefault="00017954" w:rsidP="00017954">
      <w:pPr>
        <w:keepNext/>
        <w:keepLines/>
        <w:spacing w:before="120"/>
        <w:rPr>
          <w:u w:val="single"/>
        </w:rPr>
      </w:pPr>
      <w:r w:rsidRPr="007138E9">
        <w:rPr>
          <w:u w:val="single"/>
        </w:rPr>
        <w:lastRenderedPageBreak/>
        <w:t xml:space="preserve">Changes </w:t>
      </w:r>
    </w:p>
    <w:p w:rsidR="00017954" w:rsidRPr="007138E9" w:rsidRDefault="00017954" w:rsidP="00017954">
      <w:pPr>
        <w:keepNext/>
        <w:keepLines/>
        <w:spacing w:before="120" w:after="240"/>
        <w:jc w:val="center"/>
        <w:rPr>
          <w:sz w:val="18"/>
        </w:rPr>
      </w:pPr>
      <w:r w:rsidRPr="00DC6A4E">
        <w:rPr>
          <w:noProof/>
        </w:rPr>
        <w:drawing>
          <wp:inline distT="0" distB="0" distL="0" distR="0" wp14:anchorId="378E6B8E" wp14:editId="6DC0EED0">
            <wp:extent cx="3724275" cy="2435356"/>
            <wp:effectExtent l="0" t="0" r="0" b="3175"/>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731197" cy="2439882"/>
                    </a:xfrm>
                    <a:prstGeom prst="rect">
                      <a:avLst/>
                    </a:prstGeom>
                    <a:noFill/>
                  </pic:spPr>
                </pic:pic>
              </a:graphicData>
            </a:graphic>
          </wp:inline>
        </w:drawing>
      </w:r>
    </w:p>
    <w:p w:rsidR="00017954" w:rsidRPr="00DC6A4E" w:rsidRDefault="00017954" w:rsidP="00520CAA">
      <w:pPr>
        <w:pStyle w:val="ListParagraph"/>
        <w:keepNext/>
        <w:keepLines/>
        <w:numPr>
          <w:ilvl w:val="0"/>
          <w:numId w:val="21"/>
        </w:numPr>
        <w:ind w:left="992" w:hanging="425"/>
        <w:jc w:val="both"/>
        <w:rPr>
          <w:rFonts w:cs="Arial"/>
        </w:rPr>
      </w:pPr>
      <w:r w:rsidRPr="00DC6A4E">
        <w:rPr>
          <w:rFonts w:cs="Arial"/>
        </w:rPr>
        <w:t xml:space="preserve">Applicants requested 1,063 changes in international registrations in 2014, up </w:t>
      </w:r>
      <w:r>
        <w:rPr>
          <w:rFonts w:cs="Arial"/>
        </w:rPr>
        <w:t>8</w:t>
      </w:r>
      <w:r w:rsidRPr="00DC6A4E">
        <w:rPr>
          <w:rFonts w:cs="Arial"/>
        </w:rPr>
        <w:t xml:space="preserve"> per cent from 2013. </w:t>
      </w:r>
    </w:p>
    <w:p w:rsidR="00017954" w:rsidRPr="00DC6A4E" w:rsidRDefault="00017954" w:rsidP="00017954"/>
    <w:p w:rsidR="00017954" w:rsidRPr="007138E9" w:rsidRDefault="00017954" w:rsidP="00017954">
      <w:pPr>
        <w:rPr>
          <w:u w:val="single"/>
        </w:rPr>
      </w:pPr>
      <w:r w:rsidRPr="007138E9">
        <w:rPr>
          <w:u w:val="single"/>
        </w:rPr>
        <w:t xml:space="preserve">Decisions </w:t>
      </w:r>
    </w:p>
    <w:p w:rsidR="00017954" w:rsidRPr="007138E9" w:rsidRDefault="00017954" w:rsidP="00017954">
      <w:pPr>
        <w:spacing w:before="120" w:after="240"/>
        <w:jc w:val="center"/>
        <w:rPr>
          <w:sz w:val="18"/>
        </w:rPr>
      </w:pPr>
      <w:r w:rsidRPr="00DC6A4E">
        <w:rPr>
          <w:noProof/>
        </w:rPr>
        <w:drawing>
          <wp:inline distT="0" distB="0" distL="0" distR="0" wp14:anchorId="1D96A5AA" wp14:editId="375E273A">
            <wp:extent cx="3952875" cy="2584841"/>
            <wp:effectExtent l="0" t="0" r="0" b="6350"/>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959273" cy="2589025"/>
                    </a:xfrm>
                    <a:prstGeom prst="rect">
                      <a:avLst/>
                    </a:prstGeom>
                    <a:noFill/>
                  </pic:spPr>
                </pic:pic>
              </a:graphicData>
            </a:graphic>
          </wp:inline>
        </w:drawing>
      </w:r>
    </w:p>
    <w:p w:rsidR="00017954" w:rsidRPr="00DC6A4E" w:rsidRDefault="00017954" w:rsidP="00520CAA">
      <w:pPr>
        <w:pStyle w:val="ListParagraph"/>
        <w:numPr>
          <w:ilvl w:val="0"/>
          <w:numId w:val="25"/>
        </w:numPr>
        <w:spacing w:after="120"/>
        <w:ind w:left="992" w:hanging="425"/>
        <w:rPr>
          <w:rFonts w:cs="Arial"/>
        </w:rPr>
      </w:pPr>
      <w:r w:rsidRPr="00DC6A4E">
        <w:rPr>
          <w:rFonts w:cs="Arial"/>
        </w:rPr>
        <w:t xml:space="preserve">The number of decisions received in 2014 increased by 10 per cent, to 3,169 decisions. </w:t>
      </w:r>
    </w:p>
    <w:p w:rsidR="00017954" w:rsidRPr="00DC6A4E" w:rsidRDefault="00017954" w:rsidP="00520CAA">
      <w:pPr>
        <w:pStyle w:val="ListParagraph"/>
        <w:numPr>
          <w:ilvl w:val="0"/>
          <w:numId w:val="25"/>
        </w:numPr>
        <w:spacing w:after="200"/>
        <w:ind w:left="993" w:hanging="426"/>
        <w:contextualSpacing/>
        <w:rPr>
          <w:rFonts w:cs="Arial"/>
        </w:rPr>
      </w:pPr>
      <w:r w:rsidRPr="00DC6A4E">
        <w:rPr>
          <w:rFonts w:cs="Arial"/>
        </w:rPr>
        <w:t>Between 68 per cent and 72 per cent of decisions were processed automatically since</w:t>
      </w:r>
      <w:r>
        <w:rPr>
          <w:rFonts w:cs="Arial"/>
        </w:rPr>
        <w:t> </w:t>
      </w:r>
      <w:r w:rsidRPr="00DC6A4E">
        <w:rPr>
          <w:rFonts w:cs="Arial"/>
        </w:rPr>
        <w:t>2011.</w:t>
      </w:r>
    </w:p>
    <w:p w:rsidR="00017954" w:rsidRDefault="00017954" w:rsidP="00017954">
      <w:pPr>
        <w:pStyle w:val="ListParagraph"/>
        <w:rPr>
          <w:rFonts w:cs="Arial"/>
        </w:rPr>
      </w:pPr>
    </w:p>
    <w:p w:rsidR="00017954" w:rsidRPr="00DC6A4E" w:rsidRDefault="00017954" w:rsidP="00017954">
      <w:pPr>
        <w:pStyle w:val="ListParagraph"/>
        <w:rPr>
          <w:rFonts w:cs="Arial"/>
        </w:rPr>
      </w:pPr>
    </w:p>
    <w:p w:rsidR="00017954" w:rsidRPr="00CD5999" w:rsidRDefault="00017954" w:rsidP="00017954">
      <w:pPr>
        <w:tabs>
          <w:tab w:val="left" w:pos="567"/>
        </w:tabs>
        <w:rPr>
          <w:b/>
        </w:rPr>
      </w:pPr>
      <w:r w:rsidRPr="00CD5999">
        <w:rPr>
          <w:b/>
        </w:rPr>
        <w:t>II.</w:t>
      </w:r>
      <w:r w:rsidRPr="00CD5999">
        <w:rPr>
          <w:b/>
        </w:rPr>
        <w:tab/>
        <w:t xml:space="preserve">Total workload </w:t>
      </w:r>
    </w:p>
    <w:p w:rsidR="00017954" w:rsidRPr="00DC6A4E" w:rsidRDefault="00017954" w:rsidP="00017954">
      <w:pPr>
        <w:pStyle w:val="ListParagraph"/>
        <w:ind w:left="1080"/>
        <w:jc w:val="both"/>
        <w:rPr>
          <w:rFonts w:cs="Arial"/>
        </w:rPr>
      </w:pPr>
    </w:p>
    <w:p w:rsidR="00017954" w:rsidRPr="00DC6A4E" w:rsidRDefault="00017954" w:rsidP="00520CAA">
      <w:pPr>
        <w:pStyle w:val="ListParagraph"/>
        <w:numPr>
          <w:ilvl w:val="0"/>
          <w:numId w:val="27"/>
        </w:numPr>
        <w:tabs>
          <w:tab w:val="left" w:pos="0"/>
          <w:tab w:val="left" w:pos="567"/>
        </w:tabs>
        <w:ind w:left="0" w:firstLine="0"/>
        <w:contextualSpacing/>
        <w:jc w:val="both"/>
        <w:rPr>
          <w:rFonts w:cs="Arial"/>
        </w:rPr>
      </w:pPr>
      <w:r w:rsidRPr="00DC6A4E">
        <w:rPr>
          <w:rFonts w:cs="Arial"/>
        </w:rPr>
        <w:t xml:space="preserve">The total workload represents the weighted total number of documents received at the IB. </w:t>
      </w:r>
      <w:r>
        <w:rPr>
          <w:rFonts w:cs="Arial"/>
        </w:rPr>
        <w:t xml:space="preserve"> </w:t>
      </w:r>
      <w:r w:rsidRPr="00DC6A4E">
        <w:rPr>
          <w:rFonts w:cs="Arial"/>
        </w:rPr>
        <w:t>All four categories of documents are included (applications, renewals, changes and decisions).</w:t>
      </w:r>
    </w:p>
    <w:p w:rsidR="00017954" w:rsidRPr="00DC6A4E" w:rsidRDefault="00017954" w:rsidP="00017954">
      <w:pPr>
        <w:jc w:val="both"/>
      </w:pPr>
    </w:p>
    <w:p w:rsidR="00017954" w:rsidRPr="00DC6A4E" w:rsidRDefault="00017954" w:rsidP="00520CAA">
      <w:pPr>
        <w:pStyle w:val="ListParagraph"/>
        <w:numPr>
          <w:ilvl w:val="0"/>
          <w:numId w:val="27"/>
        </w:numPr>
        <w:tabs>
          <w:tab w:val="left" w:pos="0"/>
          <w:tab w:val="left" w:pos="567"/>
        </w:tabs>
        <w:ind w:left="0" w:firstLine="0"/>
        <w:contextualSpacing/>
        <w:jc w:val="both"/>
        <w:rPr>
          <w:rFonts w:cs="Arial"/>
        </w:rPr>
      </w:pPr>
      <w:r w:rsidRPr="00DC6A4E">
        <w:rPr>
          <w:rFonts w:cs="Arial"/>
        </w:rPr>
        <w:t xml:space="preserve">As processing these types of documents does not require equal resources, they are each weighted differently.  According to this weighting, during the time required to process an international application, an examiner can process eight renewals, four changes or four decisions. </w:t>
      </w:r>
      <w:r>
        <w:rPr>
          <w:rFonts w:cs="Arial"/>
        </w:rPr>
        <w:t xml:space="preserve"> </w:t>
      </w:r>
      <w:r w:rsidRPr="00DC6A4E">
        <w:rPr>
          <w:rFonts w:cs="Arial"/>
        </w:rPr>
        <w:t xml:space="preserve">Similarly, during the time required to process an international application, an employee involved in the automation process can be deemed to process 13 documents. </w:t>
      </w:r>
    </w:p>
    <w:p w:rsidR="00017954" w:rsidRPr="00DC6A4E" w:rsidRDefault="00017954" w:rsidP="00017954">
      <w:pPr>
        <w:jc w:val="center"/>
      </w:pPr>
      <w:r w:rsidRPr="00DC6A4E">
        <w:rPr>
          <w:noProof/>
        </w:rPr>
        <w:lastRenderedPageBreak/>
        <w:drawing>
          <wp:inline distT="0" distB="0" distL="0" distR="0" wp14:anchorId="3213A5F3" wp14:editId="36D238DD">
            <wp:extent cx="5143500" cy="2230215"/>
            <wp:effectExtent l="0" t="0" r="0" b="0"/>
            <wp:docPr id="812" name="Picture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143325" cy="2230139"/>
                    </a:xfrm>
                    <a:prstGeom prst="rect">
                      <a:avLst/>
                    </a:prstGeom>
                    <a:noFill/>
                  </pic:spPr>
                </pic:pic>
              </a:graphicData>
            </a:graphic>
          </wp:inline>
        </w:drawing>
      </w:r>
    </w:p>
    <w:p w:rsidR="00017954" w:rsidRPr="00DC6A4E" w:rsidRDefault="00017954" w:rsidP="00520CAA">
      <w:pPr>
        <w:pStyle w:val="ListParagraph"/>
        <w:numPr>
          <w:ilvl w:val="0"/>
          <w:numId w:val="22"/>
        </w:numPr>
        <w:spacing w:after="120"/>
        <w:ind w:left="992" w:hanging="425"/>
        <w:jc w:val="both"/>
        <w:rPr>
          <w:rFonts w:cs="Arial"/>
        </w:rPr>
      </w:pPr>
      <w:r w:rsidRPr="00DC6A4E">
        <w:rPr>
          <w:rFonts w:cs="Arial"/>
        </w:rPr>
        <w:t>In 2014, the total workload remained stable compared to 2013. In 2014, applications alone represented 76 per cent of the total workload.</w:t>
      </w:r>
    </w:p>
    <w:p w:rsidR="00017954" w:rsidRPr="00DC6A4E" w:rsidRDefault="00017954" w:rsidP="00520CAA">
      <w:pPr>
        <w:pStyle w:val="ListParagraph"/>
        <w:numPr>
          <w:ilvl w:val="0"/>
          <w:numId w:val="22"/>
        </w:numPr>
        <w:spacing w:after="200"/>
        <w:ind w:left="993" w:hanging="426"/>
        <w:contextualSpacing/>
        <w:jc w:val="both"/>
        <w:rPr>
          <w:rFonts w:cs="Arial"/>
        </w:rPr>
      </w:pPr>
      <w:r w:rsidRPr="00DC6A4E">
        <w:rPr>
          <w:rFonts w:cs="Arial"/>
        </w:rPr>
        <w:t>Between 2011 and 2013, the increase in workload was mainly due to the increase in the number of applications received.</w:t>
      </w:r>
    </w:p>
    <w:p w:rsidR="00017954" w:rsidRPr="00DC6A4E" w:rsidRDefault="00017954" w:rsidP="00017954"/>
    <w:p w:rsidR="00017954" w:rsidRPr="00613F8E" w:rsidRDefault="00017954" w:rsidP="00017954">
      <w:pPr>
        <w:tabs>
          <w:tab w:val="left" w:pos="567"/>
        </w:tabs>
        <w:rPr>
          <w:b/>
        </w:rPr>
      </w:pPr>
      <w:r>
        <w:rPr>
          <w:b/>
        </w:rPr>
        <w:t>III.</w:t>
      </w:r>
      <w:r>
        <w:rPr>
          <w:b/>
        </w:rPr>
        <w:tab/>
      </w:r>
      <w:r w:rsidRPr="00613F8E">
        <w:rPr>
          <w:b/>
        </w:rPr>
        <w:t>Cost of Processing</w:t>
      </w:r>
    </w:p>
    <w:p w:rsidR="00017954" w:rsidRPr="00DC6A4E" w:rsidRDefault="00017954" w:rsidP="00017954">
      <w:pPr>
        <w:pStyle w:val="ListParagraph"/>
        <w:ind w:left="1080"/>
        <w:rPr>
          <w:rFonts w:cs="Arial"/>
        </w:rPr>
      </w:pPr>
    </w:p>
    <w:p w:rsidR="00017954" w:rsidRPr="00613F8E" w:rsidRDefault="00017954" w:rsidP="00017954">
      <w:pPr>
        <w:rPr>
          <w:u w:val="single"/>
        </w:rPr>
      </w:pPr>
      <w:r w:rsidRPr="00613F8E">
        <w:rPr>
          <w:u w:val="single"/>
        </w:rPr>
        <w:t>Total cost of production</w:t>
      </w:r>
    </w:p>
    <w:p w:rsidR="00017954" w:rsidRPr="00DC6A4E" w:rsidRDefault="00017954" w:rsidP="00017954">
      <w:pPr>
        <w:pStyle w:val="ListParagraph"/>
        <w:ind w:left="1080"/>
        <w:jc w:val="both"/>
        <w:rPr>
          <w:rFonts w:cs="Arial"/>
        </w:rPr>
      </w:pPr>
    </w:p>
    <w:p w:rsidR="00017954" w:rsidRPr="00DC6A4E" w:rsidRDefault="00017954" w:rsidP="00520CAA">
      <w:pPr>
        <w:pStyle w:val="ListParagraph"/>
        <w:numPr>
          <w:ilvl w:val="0"/>
          <w:numId w:val="27"/>
        </w:numPr>
        <w:tabs>
          <w:tab w:val="left" w:pos="0"/>
          <w:tab w:val="left" w:pos="567"/>
        </w:tabs>
        <w:ind w:left="0" w:firstLine="0"/>
        <w:contextualSpacing/>
        <w:jc w:val="both"/>
        <w:rPr>
          <w:rFonts w:cs="Arial"/>
        </w:rPr>
      </w:pPr>
      <w:r w:rsidRPr="00DC6A4E">
        <w:rPr>
          <w:rFonts w:cs="Arial"/>
        </w:rPr>
        <w:t>The total cost of production is the total Hague System expenditure, plus a proportion of expenditure on support and management activities.</w:t>
      </w:r>
      <w:r>
        <w:rPr>
          <w:rFonts w:cs="Arial"/>
        </w:rPr>
        <w:t xml:space="preserve"> </w:t>
      </w:r>
      <w:r w:rsidRPr="00DC6A4E">
        <w:rPr>
          <w:rFonts w:cs="Arial"/>
        </w:rPr>
        <w:t xml:space="preserve"> It has direct and indirect components. Direct costs reflect expenditure incurred by the IB in administering the Hague System.</w:t>
      </w:r>
      <w:r w:rsidRPr="00DC6A4E">
        <w:rPr>
          <w:rStyle w:val="FootnoteReference"/>
          <w:rFonts w:cs="Arial"/>
        </w:rPr>
        <w:footnoteReference w:id="17"/>
      </w:r>
      <w:r w:rsidRPr="00DC6A4E">
        <w:rPr>
          <w:rFonts w:cs="Arial"/>
        </w:rPr>
        <w:t xml:space="preserve"> </w:t>
      </w:r>
      <w:r>
        <w:rPr>
          <w:rFonts w:cs="Arial"/>
        </w:rPr>
        <w:t xml:space="preserve"> </w:t>
      </w:r>
      <w:r w:rsidRPr="00DC6A4E">
        <w:rPr>
          <w:rFonts w:cs="Arial"/>
        </w:rPr>
        <w:t>Indirect costs reflect expenditure for supporting activities (such as buildings and information technology). Indirect costs are weighted to take into account only the share attributable to the Hague System.</w:t>
      </w:r>
    </w:p>
    <w:p w:rsidR="00017954" w:rsidRPr="00DC6A4E" w:rsidRDefault="00017954" w:rsidP="00017954">
      <w:pPr>
        <w:pStyle w:val="ListParagraph"/>
        <w:ind w:left="1080"/>
        <w:jc w:val="both"/>
        <w:rPr>
          <w:rFonts w:cs="Arial"/>
        </w:rPr>
      </w:pPr>
    </w:p>
    <w:p w:rsidR="00017954" w:rsidRPr="00613F8E" w:rsidRDefault="00017954" w:rsidP="00017954">
      <w:pPr>
        <w:pStyle w:val="ListParagraph"/>
        <w:ind w:left="1080"/>
        <w:rPr>
          <w:rFonts w:cs="Arial"/>
        </w:rPr>
      </w:pPr>
      <w:r w:rsidRPr="00DC6A4E">
        <w:rPr>
          <w:rFonts w:cs="Arial"/>
          <w:noProof/>
          <w:color w:val="FF0000"/>
        </w:rPr>
        <w:drawing>
          <wp:inline distT="0" distB="0" distL="0" distR="0" wp14:anchorId="39DC4B1B" wp14:editId="533A15F6">
            <wp:extent cx="4452730" cy="2665951"/>
            <wp:effectExtent l="0" t="0" r="5080" b="1270"/>
            <wp:docPr id="813" name="Pict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455224" cy="2667444"/>
                    </a:xfrm>
                    <a:prstGeom prst="rect">
                      <a:avLst/>
                    </a:prstGeom>
                    <a:noFill/>
                  </pic:spPr>
                </pic:pic>
              </a:graphicData>
            </a:graphic>
          </wp:inline>
        </w:drawing>
      </w:r>
    </w:p>
    <w:p w:rsidR="00017954" w:rsidRPr="00DC6A4E" w:rsidRDefault="00017954" w:rsidP="00520CAA">
      <w:pPr>
        <w:pStyle w:val="ListParagraph"/>
        <w:numPr>
          <w:ilvl w:val="0"/>
          <w:numId w:val="23"/>
        </w:numPr>
        <w:spacing w:after="120"/>
        <w:ind w:left="992" w:hanging="425"/>
        <w:jc w:val="both"/>
        <w:rPr>
          <w:rFonts w:cs="Arial"/>
        </w:rPr>
      </w:pPr>
      <w:r w:rsidRPr="00DC6A4E">
        <w:rPr>
          <w:rFonts w:cs="Arial"/>
        </w:rPr>
        <w:t>The total expenditures related to the processing of the Hague System are estimated at 5.7</w:t>
      </w:r>
      <w:r>
        <w:rPr>
          <w:rFonts w:cs="Arial"/>
        </w:rPr>
        <w:t> </w:t>
      </w:r>
      <w:r w:rsidRPr="00DC6A4E">
        <w:rPr>
          <w:rFonts w:cs="Arial"/>
        </w:rPr>
        <w:t xml:space="preserve">million Swiss </w:t>
      </w:r>
      <w:r>
        <w:rPr>
          <w:rFonts w:cs="Arial"/>
        </w:rPr>
        <w:t>f</w:t>
      </w:r>
      <w:r w:rsidRPr="00DC6A4E">
        <w:rPr>
          <w:rFonts w:cs="Arial"/>
        </w:rPr>
        <w:t xml:space="preserve">rancs in 2014. </w:t>
      </w:r>
      <w:r>
        <w:rPr>
          <w:rFonts w:cs="Arial"/>
        </w:rPr>
        <w:t xml:space="preserve"> </w:t>
      </w:r>
      <w:r w:rsidRPr="00DC6A4E">
        <w:rPr>
          <w:rFonts w:cs="Arial"/>
        </w:rPr>
        <w:t>This represents a decrease of 5.7 per cent on 2013. Direct and indirect costs have decreased, by respectively 8.1 per cent and 2 per cent.</w:t>
      </w:r>
    </w:p>
    <w:p w:rsidR="00017954" w:rsidRPr="00DC6A4E" w:rsidRDefault="00017954" w:rsidP="00520CAA">
      <w:pPr>
        <w:pStyle w:val="ListParagraph"/>
        <w:numPr>
          <w:ilvl w:val="0"/>
          <w:numId w:val="23"/>
        </w:numPr>
        <w:spacing w:after="200"/>
        <w:ind w:left="993" w:hanging="426"/>
        <w:contextualSpacing/>
        <w:jc w:val="both"/>
        <w:rPr>
          <w:rFonts w:cs="Arial"/>
        </w:rPr>
      </w:pPr>
      <w:r w:rsidRPr="00DC6A4E">
        <w:rPr>
          <w:rFonts w:cs="Arial"/>
        </w:rPr>
        <w:t xml:space="preserve">In 2014, the direct costs accounted for 60 per cent of total expenditures. </w:t>
      </w:r>
    </w:p>
    <w:p w:rsidR="00017954" w:rsidRPr="00DC6A4E" w:rsidRDefault="00017954" w:rsidP="00017954">
      <w:pPr>
        <w:pStyle w:val="ListParagraph"/>
        <w:ind w:left="993" w:hanging="426"/>
        <w:rPr>
          <w:rFonts w:cs="Arial"/>
        </w:rPr>
      </w:pPr>
    </w:p>
    <w:p w:rsidR="00017954" w:rsidRDefault="00017954" w:rsidP="00017954">
      <w:pPr>
        <w:keepNext/>
        <w:keepLines/>
        <w:rPr>
          <w:u w:val="single"/>
        </w:rPr>
      </w:pPr>
      <w:r w:rsidRPr="00613F8E">
        <w:rPr>
          <w:u w:val="single"/>
        </w:rPr>
        <w:lastRenderedPageBreak/>
        <w:t xml:space="preserve">Unit cost </w:t>
      </w:r>
    </w:p>
    <w:p w:rsidR="00017954" w:rsidRPr="00613F8E" w:rsidRDefault="00017954" w:rsidP="00017954">
      <w:pPr>
        <w:keepNext/>
        <w:keepLines/>
        <w:rPr>
          <w:u w:val="single"/>
        </w:rPr>
      </w:pPr>
    </w:p>
    <w:p w:rsidR="00017954" w:rsidRPr="00DC6A4E" w:rsidRDefault="00017954" w:rsidP="00520CAA">
      <w:pPr>
        <w:pStyle w:val="ListParagraph"/>
        <w:keepNext/>
        <w:keepLines/>
        <w:numPr>
          <w:ilvl w:val="0"/>
          <w:numId w:val="27"/>
        </w:numPr>
        <w:tabs>
          <w:tab w:val="left" w:pos="0"/>
          <w:tab w:val="left" w:pos="567"/>
        </w:tabs>
        <w:ind w:left="0" w:firstLine="0"/>
        <w:contextualSpacing/>
        <w:jc w:val="both"/>
        <w:rPr>
          <w:rFonts w:cs="Arial"/>
        </w:rPr>
      </w:pPr>
      <w:r w:rsidRPr="00DC6A4E">
        <w:rPr>
          <w:rFonts w:cs="Arial"/>
        </w:rPr>
        <w:t>The IB’s efficiency in processing transactions can be measured by the unit cost, defined as the average cost of producing one unit of output.</w:t>
      </w:r>
    </w:p>
    <w:p w:rsidR="00017954" w:rsidRPr="00DC6A4E" w:rsidRDefault="00017954" w:rsidP="00017954">
      <w:pPr>
        <w:contextualSpacing/>
        <w:jc w:val="both"/>
      </w:pPr>
    </w:p>
    <w:p w:rsidR="00017954" w:rsidRDefault="00017954" w:rsidP="00520CAA">
      <w:pPr>
        <w:pStyle w:val="ListParagraph"/>
        <w:numPr>
          <w:ilvl w:val="0"/>
          <w:numId w:val="27"/>
        </w:numPr>
        <w:tabs>
          <w:tab w:val="left" w:pos="0"/>
          <w:tab w:val="left" w:pos="567"/>
        </w:tabs>
        <w:ind w:left="0" w:firstLine="0"/>
        <w:contextualSpacing/>
        <w:jc w:val="both"/>
        <w:rPr>
          <w:rFonts w:cs="Arial"/>
        </w:rPr>
      </w:pPr>
      <w:r w:rsidRPr="00DC6A4E">
        <w:rPr>
          <w:rFonts w:cs="Arial"/>
        </w:rPr>
        <w:t xml:space="preserve">As the IB registers new applications and maintains existing registrations, it is relevant to have a unit of output which includes a set of transactions. </w:t>
      </w:r>
      <w:r>
        <w:rPr>
          <w:rFonts w:cs="Arial"/>
        </w:rPr>
        <w:t xml:space="preserve"> </w:t>
      </w:r>
      <w:r w:rsidRPr="00DC6A4E">
        <w:rPr>
          <w:rFonts w:cs="Arial"/>
        </w:rPr>
        <w:t>Two unit cost indicators are presented below using two different units of output.</w:t>
      </w:r>
    </w:p>
    <w:p w:rsidR="00017954" w:rsidRPr="00DC6A4E" w:rsidRDefault="00017954" w:rsidP="00017954">
      <w:pPr>
        <w:pStyle w:val="ListParagraph"/>
        <w:tabs>
          <w:tab w:val="left" w:pos="0"/>
          <w:tab w:val="left" w:pos="567"/>
        </w:tabs>
        <w:ind w:left="0"/>
        <w:jc w:val="both"/>
        <w:rPr>
          <w:rFonts w:cs="Arial"/>
        </w:rPr>
      </w:pPr>
    </w:p>
    <w:p w:rsidR="00017954" w:rsidRDefault="00017954" w:rsidP="00520CAA">
      <w:pPr>
        <w:pStyle w:val="ListParagraph"/>
        <w:numPr>
          <w:ilvl w:val="0"/>
          <w:numId w:val="27"/>
        </w:numPr>
        <w:tabs>
          <w:tab w:val="left" w:pos="0"/>
          <w:tab w:val="left" w:pos="567"/>
        </w:tabs>
        <w:ind w:left="0" w:firstLine="0"/>
        <w:contextualSpacing/>
        <w:jc w:val="both"/>
        <w:rPr>
          <w:rFonts w:cs="Arial"/>
        </w:rPr>
      </w:pPr>
      <w:r w:rsidRPr="00DC6A4E">
        <w:rPr>
          <w:rFonts w:cs="Arial"/>
        </w:rPr>
        <w:t xml:space="preserve">As part of the IB’s efforts to continuously refine the methodology for calculating unit costs, the methodology has been revised in the Program and Budget to reflect more accurately the cost of processing Hague workloads at the IB. </w:t>
      </w:r>
    </w:p>
    <w:p w:rsidR="00017954" w:rsidRPr="00DC6A4E" w:rsidRDefault="00017954" w:rsidP="00017954">
      <w:pPr>
        <w:pStyle w:val="ListParagraph"/>
        <w:tabs>
          <w:tab w:val="left" w:pos="0"/>
          <w:tab w:val="left" w:pos="567"/>
        </w:tabs>
        <w:ind w:left="0"/>
        <w:jc w:val="both"/>
        <w:rPr>
          <w:rFonts w:cs="Arial"/>
        </w:rPr>
      </w:pPr>
    </w:p>
    <w:p w:rsidR="00017954" w:rsidRDefault="00017954" w:rsidP="00520CAA">
      <w:pPr>
        <w:pStyle w:val="ListParagraph"/>
        <w:numPr>
          <w:ilvl w:val="0"/>
          <w:numId w:val="27"/>
        </w:numPr>
        <w:tabs>
          <w:tab w:val="left" w:pos="0"/>
          <w:tab w:val="left" w:pos="567"/>
        </w:tabs>
        <w:ind w:left="0" w:firstLine="0"/>
        <w:contextualSpacing/>
        <w:jc w:val="both"/>
        <w:rPr>
          <w:rFonts w:cs="Arial"/>
        </w:rPr>
      </w:pPr>
      <w:r w:rsidRPr="00DC6A4E">
        <w:rPr>
          <w:rFonts w:cs="Arial"/>
        </w:rPr>
        <w:t>The revisions in question are the following:</w:t>
      </w:r>
    </w:p>
    <w:p w:rsidR="00017954" w:rsidRPr="00DC6A4E" w:rsidRDefault="00017954" w:rsidP="00017954">
      <w:pPr>
        <w:pStyle w:val="ListParagraph"/>
        <w:tabs>
          <w:tab w:val="left" w:pos="0"/>
          <w:tab w:val="left" w:pos="567"/>
        </w:tabs>
        <w:spacing w:after="120"/>
        <w:ind w:left="0"/>
        <w:jc w:val="both"/>
        <w:rPr>
          <w:rFonts w:cs="Arial"/>
        </w:rPr>
      </w:pPr>
    </w:p>
    <w:p w:rsidR="00017954" w:rsidRPr="00DC6A4E" w:rsidRDefault="00017954" w:rsidP="00520CAA">
      <w:pPr>
        <w:pStyle w:val="ListParagraph"/>
        <w:numPr>
          <w:ilvl w:val="0"/>
          <w:numId w:val="26"/>
        </w:numPr>
        <w:spacing w:after="120"/>
        <w:ind w:left="1134" w:hanging="567"/>
        <w:jc w:val="both"/>
        <w:rPr>
          <w:rFonts w:cs="Arial"/>
        </w:rPr>
      </w:pPr>
      <w:r w:rsidRPr="00DC6A4E">
        <w:rPr>
          <w:rFonts w:cs="Arial"/>
        </w:rPr>
        <w:t xml:space="preserve">The methodology for calculating direct and indirect costs for </w:t>
      </w:r>
      <w:proofErr w:type="gramStart"/>
      <w:r w:rsidRPr="00DC6A4E">
        <w:rPr>
          <w:rFonts w:cs="Arial"/>
          <w:bCs/>
        </w:rPr>
        <w:t>the</w:t>
      </w:r>
      <w:proofErr w:type="gramEnd"/>
      <w:r w:rsidRPr="00DC6A4E">
        <w:rPr>
          <w:rFonts w:cs="Arial"/>
          <w:bCs/>
        </w:rPr>
        <w:t xml:space="preserve"> Hague</w:t>
      </w:r>
      <w:r w:rsidRPr="00DC6A4E">
        <w:rPr>
          <w:rFonts w:cs="Arial"/>
        </w:rPr>
        <w:t xml:space="preserve"> have been aligned with the methodologies for calculating PCT and Madrid unit costs.</w:t>
      </w:r>
    </w:p>
    <w:p w:rsidR="00017954" w:rsidRPr="00DC6A4E" w:rsidRDefault="00017954" w:rsidP="00520CAA">
      <w:pPr>
        <w:pStyle w:val="ListParagraph"/>
        <w:numPr>
          <w:ilvl w:val="0"/>
          <w:numId w:val="12"/>
        </w:numPr>
        <w:spacing w:after="120"/>
        <w:ind w:left="1134" w:hanging="567"/>
        <w:jc w:val="both"/>
        <w:rPr>
          <w:rFonts w:cs="Arial"/>
        </w:rPr>
      </w:pPr>
      <w:r w:rsidRPr="00DC6A4E">
        <w:rPr>
          <w:rFonts w:cs="Arial"/>
        </w:rPr>
        <w:t>A weighted System has been introduced to better approximate the actual work required to process the four categories of documents, taking into account that certain of these documents are more labor-intensive than others.</w:t>
      </w:r>
      <w:r w:rsidRPr="00DC6A4E">
        <w:rPr>
          <w:rStyle w:val="FootnoteReference"/>
          <w:rFonts w:cs="Arial"/>
        </w:rPr>
        <w:footnoteReference w:id="18"/>
      </w:r>
    </w:p>
    <w:p w:rsidR="00017954" w:rsidRPr="00DC6A4E" w:rsidRDefault="00017954" w:rsidP="00520CAA">
      <w:pPr>
        <w:pStyle w:val="ListParagraph"/>
        <w:numPr>
          <w:ilvl w:val="0"/>
          <w:numId w:val="12"/>
        </w:numPr>
        <w:spacing w:after="120"/>
        <w:ind w:left="1134" w:hanging="567"/>
        <w:jc w:val="both"/>
        <w:rPr>
          <w:rFonts w:cs="Arial"/>
        </w:rPr>
      </w:pPr>
      <w:r w:rsidRPr="00DC6A4E">
        <w:rPr>
          <w:rFonts w:cs="Arial"/>
        </w:rPr>
        <w:t xml:space="preserve">The first unit cost has been redefined to include designs contained in new international registrations and in renewals (the unit cost in the Program and Budget 2014/15 included only designs contained in new international registrations). </w:t>
      </w:r>
      <w:r>
        <w:rPr>
          <w:rFonts w:cs="Arial"/>
        </w:rPr>
        <w:t xml:space="preserve"> </w:t>
      </w:r>
      <w:r w:rsidRPr="00DC6A4E">
        <w:rPr>
          <w:rFonts w:cs="Arial"/>
        </w:rPr>
        <w:t xml:space="preserve">The rationale for adding designs contained in renewals as a component of this unit cost is a sharper focus on the core Hague outputs, namely the international registration and its renewal. </w:t>
      </w:r>
    </w:p>
    <w:p w:rsidR="00017954" w:rsidRDefault="00017954" w:rsidP="00520CAA">
      <w:pPr>
        <w:pStyle w:val="ListParagraph"/>
        <w:numPr>
          <w:ilvl w:val="0"/>
          <w:numId w:val="12"/>
        </w:numPr>
        <w:spacing w:after="200"/>
        <w:ind w:left="1134" w:hanging="567"/>
        <w:contextualSpacing/>
        <w:jc w:val="both"/>
        <w:rPr>
          <w:rFonts w:cs="Arial"/>
        </w:rPr>
      </w:pPr>
      <w:r w:rsidRPr="00DC6A4E">
        <w:rPr>
          <w:rFonts w:cs="Arial"/>
        </w:rPr>
        <w:t>The second unit cost is based on the number of documents processed and recorded in the register rather than the number of recordings due to the different levels of efforts required to process the various documents.</w:t>
      </w:r>
    </w:p>
    <w:p w:rsidR="00017954" w:rsidRPr="00DC6A4E" w:rsidRDefault="00017954" w:rsidP="00017954">
      <w:pPr>
        <w:pStyle w:val="ListParagraph"/>
        <w:jc w:val="both"/>
        <w:rPr>
          <w:rFonts w:cs="Arial"/>
        </w:rPr>
      </w:pPr>
    </w:p>
    <w:p w:rsidR="00017954" w:rsidRDefault="00017954" w:rsidP="00520CAA">
      <w:pPr>
        <w:pStyle w:val="ListParagraph"/>
        <w:numPr>
          <w:ilvl w:val="0"/>
          <w:numId w:val="27"/>
        </w:numPr>
        <w:tabs>
          <w:tab w:val="left" w:pos="0"/>
          <w:tab w:val="left" w:pos="567"/>
        </w:tabs>
        <w:ind w:left="0" w:firstLine="0"/>
        <w:contextualSpacing/>
        <w:jc w:val="both"/>
        <w:rPr>
          <w:rFonts w:cs="Arial"/>
        </w:rPr>
      </w:pPr>
      <w:r w:rsidRPr="00DC6A4E">
        <w:rPr>
          <w:rFonts w:cs="Arial"/>
        </w:rPr>
        <w:t>For ease of comparison, the graphs below depict the evolution of the two unit costs from 2008 to 2014 using the old methodology and from 2012 to 2014 using the new methodology, including a breakdown of the contribution of direct and indirect costs.</w:t>
      </w:r>
    </w:p>
    <w:p w:rsidR="00017954" w:rsidRPr="00DC6A4E" w:rsidRDefault="00017954" w:rsidP="00017954">
      <w:pPr>
        <w:pStyle w:val="ListParagraph"/>
        <w:tabs>
          <w:tab w:val="left" w:pos="0"/>
          <w:tab w:val="left" w:pos="567"/>
        </w:tabs>
        <w:ind w:left="0"/>
        <w:jc w:val="both"/>
        <w:rPr>
          <w:rFonts w:cs="Arial"/>
        </w:rPr>
      </w:pPr>
    </w:p>
    <w:p w:rsidR="00017954" w:rsidRPr="00613F8E" w:rsidRDefault="00017954" w:rsidP="00017954">
      <w:pPr>
        <w:jc w:val="both"/>
        <w:rPr>
          <w:i/>
        </w:rPr>
      </w:pPr>
      <w:r w:rsidRPr="00613F8E">
        <w:rPr>
          <w:i/>
        </w:rPr>
        <w:t>Unit cost per new/renewed design</w:t>
      </w:r>
    </w:p>
    <w:p w:rsidR="00017954" w:rsidRPr="00DC6A4E" w:rsidRDefault="00017954" w:rsidP="00017954">
      <w:pPr>
        <w:jc w:val="both"/>
      </w:pPr>
    </w:p>
    <w:p w:rsidR="00017954" w:rsidRPr="00DC6A4E" w:rsidRDefault="00017954" w:rsidP="00520CAA">
      <w:pPr>
        <w:pStyle w:val="ListParagraph"/>
        <w:numPr>
          <w:ilvl w:val="0"/>
          <w:numId w:val="27"/>
        </w:numPr>
        <w:tabs>
          <w:tab w:val="left" w:pos="0"/>
          <w:tab w:val="left" w:pos="567"/>
        </w:tabs>
        <w:ind w:left="0" w:firstLine="0"/>
        <w:contextualSpacing/>
        <w:jc w:val="both"/>
        <w:rPr>
          <w:rFonts w:cs="Arial"/>
        </w:rPr>
      </w:pPr>
      <w:r w:rsidRPr="00DC6A4E">
        <w:rPr>
          <w:rFonts w:cs="Arial"/>
        </w:rPr>
        <w:t xml:space="preserve">New designs consist of designs in international applications that are registered within a given year, and renewed designs consist of existing designs in international registrations that are renewed within a given year. </w:t>
      </w:r>
      <w:r>
        <w:rPr>
          <w:rFonts w:cs="Arial"/>
        </w:rPr>
        <w:t xml:space="preserve"> </w:t>
      </w:r>
      <w:r w:rsidRPr="00DC6A4E">
        <w:rPr>
          <w:rFonts w:cs="Arial"/>
        </w:rPr>
        <w:t>Combined, designs contained in these two types of transactions reflect the core business of the IB.</w:t>
      </w:r>
    </w:p>
    <w:p w:rsidR="00017954" w:rsidRPr="00DC6A4E" w:rsidRDefault="00017954" w:rsidP="00017954">
      <w:pPr>
        <w:jc w:val="both"/>
      </w:pPr>
    </w:p>
    <w:p w:rsidR="00017954" w:rsidRDefault="00017954" w:rsidP="00520CAA">
      <w:pPr>
        <w:pStyle w:val="ListParagraph"/>
        <w:numPr>
          <w:ilvl w:val="0"/>
          <w:numId w:val="27"/>
        </w:numPr>
        <w:tabs>
          <w:tab w:val="left" w:pos="0"/>
          <w:tab w:val="left" w:pos="567"/>
        </w:tabs>
        <w:ind w:left="0" w:firstLine="0"/>
        <w:contextualSpacing/>
        <w:jc w:val="both"/>
        <w:rPr>
          <w:rFonts w:cs="Arial"/>
        </w:rPr>
      </w:pPr>
      <w:r w:rsidRPr="00DC6A4E">
        <w:rPr>
          <w:rFonts w:cs="Arial"/>
        </w:rPr>
        <w:t>As processing designs contained in these two types of documents do not require equal resources, they are each weighted differently.</w:t>
      </w:r>
      <w:r w:rsidRPr="00DC6A4E">
        <w:rPr>
          <w:rStyle w:val="FootnoteReference"/>
          <w:rFonts w:cs="Arial"/>
        </w:rPr>
        <w:footnoteReference w:id="19"/>
      </w:r>
      <w:r w:rsidRPr="00DC6A4E">
        <w:rPr>
          <w:rFonts w:cs="Arial"/>
        </w:rPr>
        <w:t xml:space="preserve"> </w:t>
      </w:r>
      <w:r>
        <w:rPr>
          <w:rFonts w:cs="Arial"/>
        </w:rPr>
        <w:t xml:space="preserve"> </w:t>
      </w:r>
      <w:r w:rsidRPr="00DC6A4E">
        <w:rPr>
          <w:rFonts w:cs="Arial"/>
        </w:rPr>
        <w:t xml:space="preserve">The unit cost is calculated by dividing the total cost of production by the number of new/renewed designs.  </w:t>
      </w:r>
    </w:p>
    <w:p w:rsidR="00017954" w:rsidRPr="00DC6A4E" w:rsidRDefault="00017954" w:rsidP="00017954">
      <w:pPr>
        <w:pStyle w:val="ListParagraph"/>
        <w:tabs>
          <w:tab w:val="left" w:pos="0"/>
          <w:tab w:val="left" w:pos="567"/>
        </w:tabs>
        <w:ind w:left="0"/>
        <w:contextualSpacing/>
        <w:jc w:val="both"/>
        <w:rPr>
          <w:rFonts w:cs="Arial"/>
        </w:rPr>
      </w:pPr>
    </w:p>
    <w:tbl>
      <w:tblPr>
        <w:tblStyle w:val="TableGrid"/>
        <w:tblW w:w="0" w:type="auto"/>
        <w:tblLook w:val="04A0" w:firstRow="1" w:lastRow="0" w:firstColumn="1" w:lastColumn="0" w:noHBand="0" w:noVBand="1"/>
      </w:tblPr>
      <w:tblGrid>
        <w:gridCol w:w="4483"/>
        <w:gridCol w:w="5088"/>
      </w:tblGrid>
      <w:tr w:rsidR="00017954" w:rsidRPr="00DC6A4E" w:rsidTr="00017954">
        <w:tc>
          <w:tcPr>
            <w:tcW w:w="4483" w:type="dxa"/>
          </w:tcPr>
          <w:p w:rsidR="00017954" w:rsidRPr="00DC6A4E" w:rsidRDefault="00017954" w:rsidP="00017954">
            <w:pPr>
              <w:keepNext/>
              <w:keepLines/>
              <w:spacing w:after="200" w:line="276" w:lineRule="auto"/>
              <w:jc w:val="center"/>
              <w:rPr>
                <w:szCs w:val="20"/>
              </w:rPr>
            </w:pPr>
            <w:r w:rsidRPr="00DC6A4E">
              <w:rPr>
                <w:szCs w:val="20"/>
              </w:rPr>
              <w:lastRenderedPageBreak/>
              <w:t>Old method</w:t>
            </w:r>
          </w:p>
        </w:tc>
        <w:tc>
          <w:tcPr>
            <w:tcW w:w="5088" w:type="dxa"/>
          </w:tcPr>
          <w:p w:rsidR="00017954" w:rsidRPr="00DC6A4E" w:rsidRDefault="00017954" w:rsidP="00017954">
            <w:pPr>
              <w:keepNext/>
              <w:keepLines/>
              <w:spacing w:after="200" w:line="276" w:lineRule="auto"/>
              <w:jc w:val="center"/>
              <w:rPr>
                <w:szCs w:val="20"/>
              </w:rPr>
            </w:pPr>
            <w:r w:rsidRPr="00DC6A4E">
              <w:rPr>
                <w:szCs w:val="20"/>
              </w:rPr>
              <w:t>New method</w:t>
            </w:r>
          </w:p>
        </w:tc>
      </w:tr>
      <w:tr w:rsidR="00017954" w:rsidRPr="00DC6A4E" w:rsidTr="00017954">
        <w:tc>
          <w:tcPr>
            <w:tcW w:w="4483" w:type="dxa"/>
          </w:tcPr>
          <w:p w:rsidR="00017954" w:rsidRPr="00DC6A4E" w:rsidRDefault="00017954" w:rsidP="00017954">
            <w:pPr>
              <w:keepNext/>
              <w:keepLines/>
              <w:spacing w:after="200" w:line="276" w:lineRule="auto"/>
              <w:jc w:val="center"/>
              <w:rPr>
                <w:szCs w:val="20"/>
              </w:rPr>
            </w:pPr>
            <w:r w:rsidRPr="00DC6A4E">
              <w:rPr>
                <w:noProof/>
              </w:rPr>
              <w:drawing>
                <wp:inline distT="0" distB="0" distL="0" distR="0" wp14:anchorId="76695F52" wp14:editId="437ACEA4">
                  <wp:extent cx="2743200" cy="1911578"/>
                  <wp:effectExtent l="0" t="0" r="0" b="0"/>
                  <wp:docPr id="814"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744985" cy="1912822"/>
                          </a:xfrm>
                          <a:prstGeom prst="rect">
                            <a:avLst/>
                          </a:prstGeom>
                          <a:noFill/>
                        </pic:spPr>
                      </pic:pic>
                    </a:graphicData>
                  </a:graphic>
                </wp:inline>
              </w:drawing>
            </w:r>
          </w:p>
        </w:tc>
        <w:tc>
          <w:tcPr>
            <w:tcW w:w="5088" w:type="dxa"/>
          </w:tcPr>
          <w:p w:rsidR="00017954" w:rsidRPr="00DC6A4E" w:rsidRDefault="00017954" w:rsidP="00017954">
            <w:pPr>
              <w:keepNext/>
              <w:keepLines/>
              <w:spacing w:after="200" w:line="276" w:lineRule="auto"/>
              <w:jc w:val="center"/>
              <w:rPr>
                <w:szCs w:val="20"/>
              </w:rPr>
            </w:pPr>
            <w:r w:rsidRPr="00DC6A4E">
              <w:rPr>
                <w:noProof/>
              </w:rPr>
              <w:drawing>
                <wp:inline distT="0" distB="0" distL="0" distR="0" wp14:anchorId="59563B2C" wp14:editId="5C28FFC4">
                  <wp:extent cx="3132814" cy="1985526"/>
                  <wp:effectExtent l="0" t="0" r="0" b="0"/>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139448" cy="1989730"/>
                          </a:xfrm>
                          <a:prstGeom prst="rect">
                            <a:avLst/>
                          </a:prstGeom>
                          <a:noFill/>
                        </pic:spPr>
                      </pic:pic>
                    </a:graphicData>
                  </a:graphic>
                </wp:inline>
              </w:drawing>
            </w:r>
          </w:p>
        </w:tc>
      </w:tr>
    </w:tbl>
    <w:p w:rsidR="00017954" w:rsidRPr="006A0DF9" w:rsidRDefault="00017954" w:rsidP="00017954">
      <w:pPr>
        <w:pStyle w:val="ListParagraph"/>
        <w:spacing w:before="120" w:after="120"/>
        <w:ind w:left="1080"/>
        <w:jc w:val="center"/>
        <w:rPr>
          <w:rFonts w:cs="Arial"/>
        </w:rPr>
      </w:pPr>
    </w:p>
    <w:p w:rsidR="00017954" w:rsidRPr="00DC6A4E" w:rsidRDefault="00017954" w:rsidP="00520CAA">
      <w:pPr>
        <w:pStyle w:val="ListParagraph"/>
        <w:numPr>
          <w:ilvl w:val="0"/>
          <w:numId w:val="24"/>
        </w:numPr>
        <w:ind w:left="993" w:hanging="426"/>
        <w:contextualSpacing/>
        <w:jc w:val="both"/>
        <w:rPr>
          <w:rFonts w:cs="Arial"/>
        </w:rPr>
      </w:pPr>
      <w:r w:rsidRPr="00DC6A4E">
        <w:rPr>
          <w:rFonts w:cs="Arial"/>
        </w:rPr>
        <w:t xml:space="preserve">The average cost of processing a new/renewed design was of 366 Swiss </w:t>
      </w:r>
      <w:r>
        <w:rPr>
          <w:rFonts w:cs="Arial"/>
        </w:rPr>
        <w:t>f</w:t>
      </w:r>
      <w:r w:rsidRPr="00DC6A4E">
        <w:rPr>
          <w:rFonts w:cs="Arial"/>
        </w:rPr>
        <w:t xml:space="preserve">rancs in 2014, down 12.8 per cent from 2013. </w:t>
      </w:r>
      <w:r>
        <w:rPr>
          <w:rFonts w:cs="Arial"/>
        </w:rPr>
        <w:t xml:space="preserve"> </w:t>
      </w:r>
      <w:r w:rsidRPr="00DC6A4E">
        <w:rPr>
          <w:rFonts w:cs="Arial"/>
        </w:rPr>
        <w:t>This decrease was mainly due to a decrease of 5.7 per cent of the cost of production combined with an increase of 8.2 per cent of the number of new/renewed designs.</w:t>
      </w:r>
    </w:p>
    <w:p w:rsidR="00017954" w:rsidRPr="00DC6A4E" w:rsidRDefault="00017954" w:rsidP="00017954">
      <w:pPr>
        <w:jc w:val="center"/>
      </w:pPr>
    </w:p>
    <w:p w:rsidR="00017954" w:rsidRPr="00613F8E" w:rsidRDefault="00017954" w:rsidP="00017954">
      <w:pPr>
        <w:jc w:val="both"/>
        <w:rPr>
          <w:i/>
        </w:rPr>
      </w:pPr>
      <w:r w:rsidRPr="00613F8E">
        <w:rPr>
          <w:i/>
        </w:rPr>
        <w:t>Unit cost per document recorded in the register</w:t>
      </w:r>
    </w:p>
    <w:p w:rsidR="00017954" w:rsidRPr="00DC6A4E" w:rsidRDefault="00017954" w:rsidP="00017954">
      <w:pPr>
        <w:jc w:val="both"/>
      </w:pPr>
    </w:p>
    <w:p w:rsidR="00017954" w:rsidRPr="00DC6A4E" w:rsidRDefault="00017954" w:rsidP="00520CAA">
      <w:pPr>
        <w:pStyle w:val="ListParagraph"/>
        <w:numPr>
          <w:ilvl w:val="0"/>
          <w:numId w:val="27"/>
        </w:numPr>
        <w:tabs>
          <w:tab w:val="left" w:pos="0"/>
          <w:tab w:val="left" w:pos="567"/>
        </w:tabs>
        <w:ind w:left="0" w:firstLine="0"/>
        <w:contextualSpacing/>
        <w:jc w:val="both"/>
        <w:rPr>
          <w:rFonts w:cs="Arial"/>
        </w:rPr>
      </w:pPr>
      <w:r w:rsidRPr="00DC6A4E">
        <w:rPr>
          <w:rFonts w:cs="Arial"/>
        </w:rPr>
        <w:t xml:space="preserve">The documents recorded in the register correspond to the total workload (see “Total workload” above). </w:t>
      </w:r>
    </w:p>
    <w:p w:rsidR="00017954" w:rsidRPr="00DC6A4E" w:rsidRDefault="00017954" w:rsidP="00017954">
      <w:pPr>
        <w:keepNext/>
        <w:keepLines/>
        <w:jc w:val="both"/>
      </w:pPr>
    </w:p>
    <w:tbl>
      <w:tblPr>
        <w:tblStyle w:val="TableGrid"/>
        <w:tblW w:w="0" w:type="auto"/>
        <w:tblLook w:val="04A0" w:firstRow="1" w:lastRow="0" w:firstColumn="1" w:lastColumn="0" w:noHBand="0" w:noVBand="1"/>
      </w:tblPr>
      <w:tblGrid>
        <w:gridCol w:w="4593"/>
        <w:gridCol w:w="4978"/>
      </w:tblGrid>
      <w:tr w:rsidR="00017954" w:rsidRPr="00DC6A4E" w:rsidTr="00017954">
        <w:tc>
          <w:tcPr>
            <w:tcW w:w="4788" w:type="dxa"/>
          </w:tcPr>
          <w:p w:rsidR="00017954" w:rsidRPr="00DC6A4E" w:rsidRDefault="00017954" w:rsidP="00017954">
            <w:pPr>
              <w:keepNext/>
              <w:keepLines/>
              <w:spacing w:after="200" w:line="276" w:lineRule="auto"/>
              <w:jc w:val="center"/>
              <w:rPr>
                <w:szCs w:val="20"/>
              </w:rPr>
            </w:pPr>
            <w:r w:rsidRPr="00DC6A4E">
              <w:rPr>
                <w:szCs w:val="20"/>
              </w:rPr>
              <w:t>Old method</w:t>
            </w:r>
          </w:p>
        </w:tc>
        <w:tc>
          <w:tcPr>
            <w:tcW w:w="4788" w:type="dxa"/>
          </w:tcPr>
          <w:p w:rsidR="00017954" w:rsidRPr="00DC6A4E" w:rsidRDefault="00017954" w:rsidP="00017954">
            <w:pPr>
              <w:keepNext/>
              <w:keepLines/>
              <w:spacing w:after="200" w:line="276" w:lineRule="auto"/>
              <w:jc w:val="center"/>
              <w:rPr>
                <w:szCs w:val="20"/>
              </w:rPr>
            </w:pPr>
            <w:r w:rsidRPr="00DC6A4E">
              <w:rPr>
                <w:szCs w:val="20"/>
              </w:rPr>
              <w:t>New method</w:t>
            </w:r>
          </w:p>
        </w:tc>
      </w:tr>
      <w:tr w:rsidR="00017954" w:rsidRPr="00DC6A4E" w:rsidTr="00017954">
        <w:tc>
          <w:tcPr>
            <w:tcW w:w="4788" w:type="dxa"/>
          </w:tcPr>
          <w:p w:rsidR="00017954" w:rsidRPr="00DC6A4E" w:rsidRDefault="00017954" w:rsidP="00017954">
            <w:pPr>
              <w:keepNext/>
              <w:keepLines/>
              <w:spacing w:after="200" w:line="276" w:lineRule="auto"/>
              <w:jc w:val="center"/>
              <w:rPr>
                <w:szCs w:val="20"/>
              </w:rPr>
            </w:pPr>
            <w:r w:rsidRPr="00DC6A4E">
              <w:rPr>
                <w:noProof/>
              </w:rPr>
              <w:drawing>
                <wp:inline distT="0" distB="0" distL="0" distR="0" wp14:anchorId="2BE8FAEA" wp14:editId="23EEAE63">
                  <wp:extent cx="2806979" cy="1956021"/>
                  <wp:effectExtent l="0" t="0" r="0" b="6350"/>
                  <wp:docPr id="816" name="Pictur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807895" cy="1956660"/>
                          </a:xfrm>
                          <a:prstGeom prst="rect">
                            <a:avLst/>
                          </a:prstGeom>
                          <a:noFill/>
                        </pic:spPr>
                      </pic:pic>
                    </a:graphicData>
                  </a:graphic>
                </wp:inline>
              </w:drawing>
            </w:r>
          </w:p>
        </w:tc>
        <w:tc>
          <w:tcPr>
            <w:tcW w:w="4788" w:type="dxa"/>
          </w:tcPr>
          <w:p w:rsidR="00017954" w:rsidRPr="00DC6A4E" w:rsidRDefault="00017954" w:rsidP="00017954">
            <w:pPr>
              <w:keepNext/>
              <w:keepLines/>
              <w:spacing w:after="200" w:line="276" w:lineRule="auto"/>
              <w:jc w:val="center"/>
              <w:rPr>
                <w:szCs w:val="20"/>
              </w:rPr>
            </w:pPr>
            <w:r w:rsidRPr="00DC6A4E">
              <w:rPr>
                <w:noProof/>
              </w:rPr>
              <w:drawing>
                <wp:inline distT="0" distB="0" distL="0" distR="0" wp14:anchorId="16A4DB77" wp14:editId="4D84335B">
                  <wp:extent cx="3053301" cy="2002299"/>
                  <wp:effectExtent l="0" t="0" r="0" b="0"/>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059480" cy="2006351"/>
                          </a:xfrm>
                          <a:prstGeom prst="rect">
                            <a:avLst/>
                          </a:prstGeom>
                          <a:noFill/>
                        </pic:spPr>
                      </pic:pic>
                    </a:graphicData>
                  </a:graphic>
                </wp:inline>
              </w:drawing>
            </w:r>
          </w:p>
        </w:tc>
      </w:tr>
    </w:tbl>
    <w:p w:rsidR="00017954" w:rsidRPr="00DC6A4E" w:rsidRDefault="00017954" w:rsidP="00017954">
      <w:pPr>
        <w:keepNext/>
        <w:keepLines/>
        <w:jc w:val="center"/>
      </w:pPr>
    </w:p>
    <w:p w:rsidR="00017954" w:rsidRPr="00DC6A4E" w:rsidRDefault="00017954" w:rsidP="00520CAA">
      <w:pPr>
        <w:pStyle w:val="ListParagraph"/>
        <w:keepNext/>
        <w:keepLines/>
        <w:numPr>
          <w:ilvl w:val="0"/>
          <w:numId w:val="24"/>
        </w:numPr>
        <w:ind w:left="993" w:hanging="426"/>
        <w:contextualSpacing/>
        <w:jc w:val="both"/>
        <w:rPr>
          <w:rFonts w:cs="Arial"/>
        </w:rPr>
      </w:pPr>
      <w:r w:rsidRPr="00DC6A4E">
        <w:rPr>
          <w:rFonts w:cs="Arial"/>
        </w:rPr>
        <w:t xml:space="preserve">The average cost of recording a document in the register decreased to 1,483 Swiss </w:t>
      </w:r>
      <w:r>
        <w:rPr>
          <w:rFonts w:cs="Arial"/>
        </w:rPr>
        <w:t>f</w:t>
      </w:r>
      <w:r w:rsidRPr="00DC6A4E">
        <w:rPr>
          <w:rFonts w:cs="Arial"/>
        </w:rPr>
        <w:t>rancs in 2014. This is due to the decrease of 5.7 per cent of the cost of production.</w:t>
      </w:r>
    </w:p>
    <w:p w:rsidR="00017954" w:rsidRPr="00DC6A4E" w:rsidRDefault="00017954" w:rsidP="00017954">
      <w:pPr>
        <w:pStyle w:val="ListParagraph"/>
        <w:ind w:left="0"/>
        <w:jc w:val="both"/>
        <w:rPr>
          <w:rFonts w:cs="Arial"/>
        </w:rPr>
      </w:pPr>
    </w:p>
    <w:p w:rsidR="00017954" w:rsidRPr="00DC6A4E" w:rsidRDefault="00017954" w:rsidP="00017954">
      <w:pPr>
        <w:pStyle w:val="ListParagraph"/>
        <w:ind w:left="0"/>
        <w:rPr>
          <w:rFonts w:cs="Arial"/>
        </w:rPr>
      </w:pPr>
    </w:p>
    <w:p w:rsidR="00017954" w:rsidRPr="00CD5999" w:rsidRDefault="00017954" w:rsidP="00017954">
      <w:pPr>
        <w:tabs>
          <w:tab w:val="left" w:pos="567"/>
        </w:tabs>
        <w:spacing w:before="120" w:after="240"/>
        <w:rPr>
          <w:b/>
        </w:rPr>
      </w:pPr>
      <w:r w:rsidRPr="00CD5999">
        <w:rPr>
          <w:b/>
        </w:rPr>
        <w:t>III.</w:t>
      </w:r>
      <w:r w:rsidRPr="00CD5999">
        <w:rPr>
          <w:b/>
        </w:rPr>
        <w:tab/>
        <w:t>Timeliness to process international applications</w:t>
      </w:r>
    </w:p>
    <w:p w:rsidR="00017954" w:rsidRPr="00DC6A4E" w:rsidRDefault="00017954" w:rsidP="00520CAA">
      <w:pPr>
        <w:pStyle w:val="ListParagraph"/>
        <w:numPr>
          <w:ilvl w:val="0"/>
          <w:numId w:val="27"/>
        </w:numPr>
        <w:tabs>
          <w:tab w:val="left" w:pos="0"/>
          <w:tab w:val="left" w:pos="567"/>
        </w:tabs>
        <w:ind w:left="0" w:firstLine="0"/>
        <w:contextualSpacing/>
        <w:jc w:val="both"/>
        <w:rPr>
          <w:rFonts w:cs="Arial"/>
        </w:rPr>
      </w:pPr>
      <w:r w:rsidRPr="00DC6A4E">
        <w:rPr>
          <w:rFonts w:cs="Arial"/>
        </w:rPr>
        <w:t>This indicator reflects the time required by the IB to process regular applications. The timeliness is calculated between the time elapsed between the date of receipt of an application and the date it was registered.</w:t>
      </w:r>
    </w:p>
    <w:p w:rsidR="00017954" w:rsidRPr="00DC6A4E" w:rsidRDefault="00017954" w:rsidP="00017954">
      <w:pPr>
        <w:spacing w:before="120" w:after="240"/>
        <w:jc w:val="center"/>
      </w:pPr>
      <w:r w:rsidRPr="00DC6A4E">
        <w:rPr>
          <w:noProof/>
        </w:rPr>
        <w:lastRenderedPageBreak/>
        <w:drawing>
          <wp:inline distT="0" distB="0" distL="0" distR="0" wp14:anchorId="63B2FCB4" wp14:editId="64956CA4">
            <wp:extent cx="5077398" cy="2941070"/>
            <wp:effectExtent l="0" t="0" r="0" b="0"/>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086370" cy="2946267"/>
                    </a:xfrm>
                    <a:prstGeom prst="rect">
                      <a:avLst/>
                    </a:prstGeom>
                    <a:noFill/>
                  </pic:spPr>
                </pic:pic>
              </a:graphicData>
            </a:graphic>
          </wp:inline>
        </w:drawing>
      </w:r>
    </w:p>
    <w:p w:rsidR="00017954" w:rsidRPr="00DC6A4E" w:rsidRDefault="00017954" w:rsidP="00520CAA">
      <w:pPr>
        <w:pStyle w:val="ListParagraph"/>
        <w:numPr>
          <w:ilvl w:val="0"/>
          <w:numId w:val="24"/>
        </w:numPr>
        <w:spacing w:after="120"/>
        <w:ind w:left="992" w:hanging="425"/>
        <w:jc w:val="both"/>
        <w:rPr>
          <w:rFonts w:cs="Arial"/>
        </w:rPr>
      </w:pPr>
      <w:r w:rsidRPr="00DC6A4E">
        <w:rPr>
          <w:rFonts w:cs="Arial"/>
        </w:rPr>
        <w:t>The share of applications processed within less than one week constantly increased since</w:t>
      </w:r>
      <w:r>
        <w:rPr>
          <w:rFonts w:cs="Arial"/>
        </w:rPr>
        <w:t> </w:t>
      </w:r>
      <w:r w:rsidRPr="00DC6A4E">
        <w:rPr>
          <w:rFonts w:cs="Arial"/>
        </w:rPr>
        <w:t>2011, to 45 per cent of applications in 2014.</w:t>
      </w:r>
    </w:p>
    <w:p w:rsidR="00017954" w:rsidRDefault="00017954" w:rsidP="00520CAA">
      <w:pPr>
        <w:pStyle w:val="ListParagraph"/>
        <w:numPr>
          <w:ilvl w:val="0"/>
          <w:numId w:val="24"/>
        </w:numPr>
        <w:spacing w:after="120"/>
        <w:ind w:left="993" w:hanging="426"/>
        <w:jc w:val="both"/>
        <w:rPr>
          <w:rFonts w:cs="Arial"/>
        </w:rPr>
      </w:pPr>
      <w:r w:rsidRPr="00DC6A4E">
        <w:rPr>
          <w:rFonts w:cs="Arial"/>
        </w:rPr>
        <w:t>In 2014, 85 per cent of applications were processed within 2 weeks from the date of receipt at the IB.</w:t>
      </w:r>
    </w:p>
    <w:p w:rsidR="00017954" w:rsidRDefault="00017954" w:rsidP="00017954">
      <w:pPr>
        <w:autoSpaceDE w:val="0"/>
        <w:autoSpaceDN w:val="0"/>
        <w:adjustRightInd w:val="0"/>
      </w:pPr>
    </w:p>
    <w:p w:rsidR="00017954" w:rsidRDefault="00017954" w:rsidP="00017954"/>
    <w:p w:rsidR="00DB4599" w:rsidRDefault="00DB4599" w:rsidP="009F72A7">
      <w:pPr>
        <w:autoSpaceDE w:val="0"/>
        <w:autoSpaceDN w:val="0"/>
        <w:adjustRightInd w:val="0"/>
      </w:pPr>
    </w:p>
    <w:p w:rsidR="009A04DE" w:rsidRDefault="009A04DE">
      <w:r>
        <w:br w:type="page"/>
      </w:r>
    </w:p>
    <w:p w:rsidR="009A04DE" w:rsidRPr="001243AF" w:rsidRDefault="009A04DE" w:rsidP="00017954">
      <w:pPr>
        <w:pStyle w:val="Heading2"/>
        <w:tabs>
          <w:tab w:val="clear" w:pos="567"/>
          <w:tab w:val="left" w:pos="1985"/>
        </w:tabs>
      </w:pPr>
      <w:bookmarkStart w:id="60" w:name="_Toc422210488"/>
      <w:r w:rsidRPr="001243AF">
        <w:lastRenderedPageBreak/>
        <w:t xml:space="preserve">PROGRAM </w:t>
      </w:r>
      <w:r>
        <w:t>7</w:t>
      </w:r>
      <w:r>
        <w:tab/>
      </w:r>
      <w:r>
        <w:tab/>
        <w:t>ARBITRATION, MEDIATION AND DOMAIN NAMES</w:t>
      </w:r>
      <w:bookmarkEnd w:id="60"/>
    </w:p>
    <w:p w:rsidR="009A04DE" w:rsidRPr="00383D2D" w:rsidRDefault="009A04DE" w:rsidP="00017954">
      <w:pPr>
        <w:rPr>
          <w:szCs w:val="20"/>
        </w:rPr>
      </w:pPr>
    </w:p>
    <w:p w:rsidR="009A04DE" w:rsidRPr="00813B88" w:rsidRDefault="009A04DE" w:rsidP="00017954">
      <w:pPr>
        <w:tabs>
          <w:tab w:val="left" w:pos="1985"/>
        </w:tabs>
        <w:rPr>
          <w:b/>
          <w:szCs w:val="22"/>
        </w:rPr>
      </w:pPr>
      <w:r w:rsidRPr="00813B88">
        <w:rPr>
          <w:b/>
          <w:szCs w:val="22"/>
        </w:rPr>
        <w:t>Program Manager</w:t>
      </w:r>
      <w:r w:rsidRPr="00813B88">
        <w:rPr>
          <w:b/>
          <w:szCs w:val="22"/>
        </w:rPr>
        <w:tab/>
        <w:t>Mr. J. Sandage</w:t>
      </w:r>
    </w:p>
    <w:p w:rsidR="009A04DE" w:rsidRPr="00813B88" w:rsidRDefault="009A04DE" w:rsidP="00017954">
      <w:pPr>
        <w:rPr>
          <w:sz w:val="18"/>
          <w:szCs w:val="20"/>
        </w:rPr>
      </w:pPr>
    </w:p>
    <w:p w:rsidR="009A04DE" w:rsidRPr="001C6F4D" w:rsidRDefault="009A04DE" w:rsidP="00017954">
      <w:pPr>
        <w:rPr>
          <w:szCs w:val="20"/>
        </w:rPr>
      </w:pPr>
    </w:p>
    <w:p w:rsidR="009A04DE" w:rsidRDefault="009A04DE" w:rsidP="00017954">
      <w:pPr>
        <w:rPr>
          <w:bCs/>
          <w:sz w:val="22"/>
          <w:szCs w:val="22"/>
        </w:rPr>
      </w:pPr>
      <w:r>
        <w:rPr>
          <w:bCs/>
          <w:sz w:val="22"/>
          <w:szCs w:val="22"/>
        </w:rPr>
        <w:t>OVERVIEW OF PROGRESS IN 2014</w:t>
      </w:r>
    </w:p>
    <w:p w:rsidR="009A04DE" w:rsidRDefault="009A04DE" w:rsidP="00017954">
      <w:pPr>
        <w:pStyle w:val="ListParagraph"/>
        <w:tabs>
          <w:tab w:val="left" w:pos="709"/>
        </w:tabs>
        <w:ind w:left="0"/>
        <w:jc w:val="both"/>
        <w:rPr>
          <w:rFonts w:cs="Arial"/>
        </w:rPr>
      </w:pPr>
    </w:p>
    <w:p w:rsidR="009A04DE" w:rsidRDefault="009A04DE" w:rsidP="00520CAA">
      <w:pPr>
        <w:pStyle w:val="ListParagraph"/>
        <w:numPr>
          <w:ilvl w:val="0"/>
          <w:numId w:val="18"/>
        </w:numPr>
        <w:tabs>
          <w:tab w:val="left" w:pos="709"/>
        </w:tabs>
        <w:ind w:left="0" w:firstLine="0"/>
        <w:jc w:val="both"/>
        <w:rPr>
          <w:rFonts w:cs="Arial"/>
        </w:rPr>
      </w:pPr>
      <w:r w:rsidRPr="00813B88">
        <w:rPr>
          <w:rFonts w:cs="Arial"/>
        </w:rPr>
        <w:t xml:space="preserve">The WIPO Arbitration and Mediation Center (WIPO Center) is recognized as a global resource for timely and cost effective alternatives to court litigation of IP disputes, acting as a provider of legal and organizational expertise and as an administrator of cases.  This also includes the provision of services for Internet domain name disputes.  </w:t>
      </w:r>
    </w:p>
    <w:p w:rsidR="009A04DE" w:rsidRDefault="009A04DE" w:rsidP="00017954">
      <w:pPr>
        <w:pStyle w:val="ListParagraph"/>
        <w:tabs>
          <w:tab w:val="left" w:pos="709"/>
        </w:tabs>
        <w:ind w:left="0"/>
        <w:jc w:val="both"/>
        <w:rPr>
          <w:rFonts w:cs="Arial"/>
        </w:rPr>
      </w:pPr>
    </w:p>
    <w:p w:rsidR="009A04DE" w:rsidRDefault="009A04DE" w:rsidP="00520CAA">
      <w:pPr>
        <w:pStyle w:val="ListParagraph"/>
        <w:numPr>
          <w:ilvl w:val="0"/>
          <w:numId w:val="18"/>
        </w:numPr>
        <w:tabs>
          <w:tab w:val="left" w:pos="709"/>
        </w:tabs>
        <w:ind w:left="0" w:firstLine="0"/>
        <w:jc w:val="both"/>
        <w:rPr>
          <w:rFonts w:cs="Arial"/>
        </w:rPr>
      </w:pPr>
      <w:r w:rsidRPr="00813B88">
        <w:rPr>
          <w:rFonts w:cs="Arial"/>
        </w:rPr>
        <w:t xml:space="preserve">Building on the findings of the WIPO Center’s 2013 International Survey on Dispute Resolution in International Technology Transactions, the WIPO Center in 2014 worked to optimize the potential of its procedures to meet the needs of IP right holders and users.  The WIPO Center also held tailored and regular arbitration and mediation workshops.  </w:t>
      </w:r>
    </w:p>
    <w:p w:rsidR="009A04DE" w:rsidRPr="00813B88" w:rsidRDefault="009A04DE" w:rsidP="00017954">
      <w:pPr>
        <w:pStyle w:val="ListParagraph"/>
        <w:tabs>
          <w:tab w:val="left" w:pos="709"/>
        </w:tabs>
        <w:ind w:left="0"/>
        <w:jc w:val="both"/>
        <w:rPr>
          <w:rFonts w:cs="Arial"/>
        </w:rPr>
      </w:pPr>
    </w:p>
    <w:p w:rsidR="009A04DE" w:rsidRDefault="009A04DE" w:rsidP="00520CAA">
      <w:pPr>
        <w:pStyle w:val="ListParagraph"/>
        <w:numPr>
          <w:ilvl w:val="0"/>
          <w:numId w:val="18"/>
        </w:numPr>
        <w:tabs>
          <w:tab w:val="left" w:pos="709"/>
        </w:tabs>
        <w:ind w:left="0" w:firstLine="0"/>
        <w:jc w:val="both"/>
        <w:rPr>
          <w:rFonts w:cs="Arial"/>
        </w:rPr>
      </w:pPr>
      <w:r w:rsidRPr="00813B88">
        <w:rPr>
          <w:rFonts w:cs="Arial"/>
        </w:rPr>
        <w:t>The WIPO Center actively managed WIPO cases in different IP areas using up-to-date case administration infrastructure, in particular the WIPO Electronic Case Facility (ECAF).  Following international consultations, the WIPO Center developed and launched revised WIPO Arbitration and Mediation Rules</w:t>
      </w:r>
      <w:r>
        <w:rPr>
          <w:rStyle w:val="FootnoteReference"/>
          <w:rFonts w:cs="Arial"/>
        </w:rPr>
        <w:footnoteReference w:id="20"/>
      </w:r>
      <w:r w:rsidRPr="00813B88">
        <w:rPr>
          <w:rFonts w:cs="Arial"/>
        </w:rPr>
        <w:t xml:space="preserve">.  Effective June 1, 2014, these Rules incorporate recent developments in alternative dispute resolution (ADR), enhancing the basis for proceedings that are time and cost efficient. </w:t>
      </w:r>
    </w:p>
    <w:p w:rsidR="009A04DE" w:rsidRPr="00813B88" w:rsidRDefault="009A04DE" w:rsidP="00017954">
      <w:pPr>
        <w:pStyle w:val="ListParagraph"/>
        <w:tabs>
          <w:tab w:val="left" w:pos="709"/>
        </w:tabs>
        <w:ind w:left="0"/>
        <w:jc w:val="both"/>
        <w:rPr>
          <w:rFonts w:cs="Arial"/>
        </w:rPr>
      </w:pPr>
    </w:p>
    <w:p w:rsidR="009A04DE" w:rsidRPr="00813B88" w:rsidRDefault="009A04DE" w:rsidP="00520CAA">
      <w:pPr>
        <w:pStyle w:val="ListParagraph"/>
        <w:numPr>
          <w:ilvl w:val="0"/>
          <w:numId w:val="18"/>
        </w:numPr>
        <w:tabs>
          <w:tab w:val="left" w:pos="709"/>
        </w:tabs>
        <w:ind w:left="0" w:firstLine="0"/>
        <w:jc w:val="both"/>
        <w:rPr>
          <w:rFonts w:cs="Arial"/>
          <w:u w:val="single"/>
          <w:lang w:val="en-GB"/>
        </w:rPr>
      </w:pPr>
      <w:r w:rsidRPr="00813B88">
        <w:rPr>
          <w:rFonts w:cs="Arial"/>
        </w:rPr>
        <w:t xml:space="preserve">National courts and competition authorities in some jurisdictions have been encouraging parties involved in standards-related disputes involving telecom patents in multiple jurisdictions to resolve such disputes through mediation and arbitration.  As a result, 2014 saw an increase in the number of party queries regarding the use of WIPO’s tailored agreements to refer a dispute concerning fair, reasonable and non-discriminatory (FRAND) licensing terms to WIPO Mediation and Arbitration.  </w:t>
      </w:r>
    </w:p>
    <w:p w:rsidR="009A04DE" w:rsidRPr="00813B88" w:rsidRDefault="009A04DE" w:rsidP="009A04DE">
      <w:pPr>
        <w:pStyle w:val="BodyText"/>
        <w:rPr>
          <w:lang w:val="en-GB"/>
        </w:rPr>
      </w:pPr>
    </w:p>
    <w:p w:rsidR="009A04DE" w:rsidRDefault="009A04DE" w:rsidP="00520CAA">
      <w:pPr>
        <w:pStyle w:val="ListParagraph"/>
        <w:numPr>
          <w:ilvl w:val="0"/>
          <w:numId w:val="18"/>
        </w:numPr>
        <w:tabs>
          <w:tab w:val="left" w:pos="709"/>
        </w:tabs>
        <w:ind w:left="0" w:firstLine="0"/>
        <w:jc w:val="both"/>
      </w:pPr>
      <w:r w:rsidRPr="00813B88">
        <w:t>In 2014, the WIPO Center concluded Memoranda of Understanding (</w:t>
      </w:r>
      <w:proofErr w:type="spellStart"/>
      <w:r w:rsidRPr="00813B88">
        <w:t>MoUs</w:t>
      </w:r>
      <w:proofErr w:type="spellEnd"/>
      <w:r w:rsidRPr="00813B88">
        <w:t xml:space="preserve">) with </w:t>
      </w:r>
      <w:r w:rsidRPr="00813B88">
        <w:rPr>
          <w:rStyle w:val="ONUMEChar"/>
          <w:szCs w:val="22"/>
        </w:rPr>
        <w:t xml:space="preserve">the Spanish Franchisors Association (AEF), </w:t>
      </w:r>
      <w:r w:rsidRPr="00813B88">
        <w:t xml:space="preserve">the National Copyright Directorate of Colombia (DNDA), the Directorate General of Intellectual Property Rights of Indonesia (DGIPR), the Mexican Institute of Industrial Property (IMPI), and the Intellectual Property Office of the Philippines (IPOPHL), adding to existing Member State collaborations.  These collaborations concern the development of optional ADR frameworks that provide cost-effective and flexible options for parties to resolve their disputes before such Offices in relation to pending applications or granted rights. </w:t>
      </w:r>
    </w:p>
    <w:p w:rsidR="009A04DE" w:rsidRPr="00813B88" w:rsidRDefault="009A04DE" w:rsidP="009A04DE">
      <w:pPr>
        <w:pStyle w:val="BodyText"/>
        <w:rPr>
          <w:rFonts w:cs="Arial"/>
        </w:rPr>
      </w:pPr>
    </w:p>
    <w:p w:rsidR="009A04DE" w:rsidRPr="00813B88" w:rsidRDefault="009A04DE" w:rsidP="00520CAA">
      <w:pPr>
        <w:pStyle w:val="ListParagraph"/>
        <w:numPr>
          <w:ilvl w:val="0"/>
          <w:numId w:val="18"/>
        </w:numPr>
        <w:tabs>
          <w:tab w:val="left" w:pos="709"/>
        </w:tabs>
        <w:ind w:left="0" w:firstLine="0"/>
        <w:jc w:val="both"/>
        <w:rPr>
          <w:rFonts w:cs="Arial"/>
        </w:rPr>
      </w:pPr>
      <w:r w:rsidRPr="00813B88">
        <w:rPr>
          <w:rFonts w:cs="Arial"/>
        </w:rPr>
        <w:t>The WIPO Center continued to strive to provide leadership in the development of ADR solutions in relation to the unauthorized use of IP on the Internet.  WIPO continued to engage in IP-related policy activity in relation to the introduction, in 2013, by the Internet Corporation for Assigned Names and Numbers (ICANN) of up to 1,400 new generic Top-Level Domains (</w:t>
      </w:r>
      <w:proofErr w:type="spellStart"/>
      <w:r w:rsidRPr="00813B88">
        <w:rPr>
          <w:rFonts w:cs="Arial"/>
        </w:rPr>
        <w:t>gTLDs</w:t>
      </w:r>
      <w:proofErr w:type="spellEnd"/>
      <w:r w:rsidRPr="00813B88">
        <w:rPr>
          <w:rFonts w:cs="Arial"/>
        </w:rPr>
        <w:t xml:space="preserve">).  In 2014, the WIPO Center implemented the ICANN </w:t>
      </w:r>
      <w:hyperlink r:id="rId99" w:tgtFrame="_self" w:history="1">
        <w:r w:rsidRPr="00813B88">
          <w:rPr>
            <w:rFonts w:cs="Arial"/>
          </w:rPr>
          <w:t>Post-Delegation Dispute Resolution Procedure</w:t>
        </w:r>
      </w:hyperlink>
      <w:r w:rsidRPr="00813B88">
        <w:rPr>
          <w:rFonts w:cs="Arial"/>
        </w:rPr>
        <w:t>, a trademark-based mechanism aiming to encourage responsible registry operator conduct once a domain has become operational.</w:t>
      </w:r>
    </w:p>
    <w:p w:rsidR="009A04DE" w:rsidRPr="00813B88" w:rsidRDefault="009A04DE" w:rsidP="00017954">
      <w:pPr>
        <w:pStyle w:val="ListParagraph"/>
        <w:tabs>
          <w:tab w:val="left" w:pos="709"/>
        </w:tabs>
        <w:ind w:left="0"/>
        <w:jc w:val="both"/>
        <w:rPr>
          <w:rFonts w:cs="Arial"/>
        </w:rPr>
      </w:pPr>
    </w:p>
    <w:p w:rsidR="009A04DE" w:rsidRPr="00813B88" w:rsidRDefault="009A04DE" w:rsidP="00520CAA">
      <w:pPr>
        <w:pStyle w:val="ListParagraph"/>
        <w:numPr>
          <w:ilvl w:val="0"/>
          <w:numId w:val="18"/>
        </w:numPr>
        <w:tabs>
          <w:tab w:val="left" w:pos="709"/>
        </w:tabs>
        <w:ind w:left="0" w:firstLine="0"/>
        <w:jc w:val="both"/>
        <w:rPr>
          <w:bCs/>
        </w:rPr>
      </w:pPr>
      <w:r w:rsidRPr="00813B88">
        <w:rPr>
          <w:rFonts w:cs="Arial"/>
        </w:rPr>
        <w:t xml:space="preserve">The year 2014 marked the 15th anniversary of the WIPO-developed Uniform Domain Name Dispute Resolution Policy (UDRP).  Since the WIPO Center administered the first UDRP case in 1999, total WIPO case filings in 2014 passed the 30,000 mark (27,189 </w:t>
      </w:r>
      <w:proofErr w:type="spellStart"/>
      <w:r w:rsidRPr="00813B88">
        <w:rPr>
          <w:rFonts w:cs="Arial"/>
        </w:rPr>
        <w:t>gTLD</w:t>
      </w:r>
      <w:proofErr w:type="spellEnd"/>
      <w:r w:rsidRPr="00813B88">
        <w:rPr>
          <w:rFonts w:cs="Arial"/>
        </w:rPr>
        <w:t xml:space="preserve"> and 3,134 </w:t>
      </w:r>
      <w:proofErr w:type="spellStart"/>
      <w:r w:rsidRPr="00813B88">
        <w:rPr>
          <w:rFonts w:cs="Arial"/>
        </w:rPr>
        <w:t>ccTLD</w:t>
      </w:r>
      <w:proofErr w:type="spellEnd"/>
      <w:r w:rsidRPr="00813B88">
        <w:rPr>
          <w:rFonts w:cs="Arial"/>
        </w:rPr>
        <w:t xml:space="preserve"> cases), encompassing almost 57,000 domain names.  In 2014, cybersquatting case filings with WIPO increased by 2 per cent from the 2013 level, with 2,634 cases concerning 5,591 domain names lodged by trademark owners alleging abuse of their mark.  This included the first UDRP cases in relation to registrations in new</w:t>
      </w:r>
      <w:r>
        <w:rPr>
          <w:rFonts w:cs="Arial"/>
        </w:rPr>
        <w:t> </w:t>
      </w:r>
      <w:proofErr w:type="spellStart"/>
      <w:r w:rsidRPr="00813B88">
        <w:rPr>
          <w:rFonts w:cs="Arial"/>
        </w:rPr>
        <w:t>gTLDs</w:t>
      </w:r>
      <w:proofErr w:type="spellEnd"/>
      <w:r w:rsidRPr="00813B88">
        <w:rPr>
          <w:rFonts w:cs="Arial"/>
        </w:rPr>
        <w:t>.</w:t>
      </w:r>
      <w:r w:rsidRPr="00813B88">
        <w:rPr>
          <w:bCs/>
        </w:rPr>
        <w:t xml:space="preserve"> </w:t>
      </w:r>
    </w:p>
    <w:p w:rsidR="009A04DE" w:rsidRPr="00813B88" w:rsidRDefault="009A04DE" w:rsidP="00017954">
      <w:pPr>
        <w:pStyle w:val="ListParagraph"/>
        <w:tabs>
          <w:tab w:val="left" w:pos="709"/>
        </w:tabs>
        <w:ind w:left="0"/>
        <w:jc w:val="both"/>
        <w:rPr>
          <w:bCs/>
        </w:rPr>
      </w:pPr>
    </w:p>
    <w:p w:rsidR="009A04DE" w:rsidRDefault="009A04DE" w:rsidP="00520CAA">
      <w:pPr>
        <w:pStyle w:val="ListParagraph"/>
        <w:numPr>
          <w:ilvl w:val="0"/>
          <w:numId w:val="18"/>
        </w:numPr>
        <w:tabs>
          <w:tab w:val="left" w:pos="709"/>
        </w:tabs>
        <w:ind w:left="0" w:firstLine="0"/>
        <w:jc w:val="both"/>
        <w:rPr>
          <w:rFonts w:cs="Arial"/>
        </w:rPr>
      </w:pPr>
      <w:r w:rsidRPr="00813B88">
        <w:rPr>
          <w:rFonts w:cs="Arial"/>
        </w:rPr>
        <w:t>The WIPO Center liaised with the administrators of country code Top-Level Domains (</w:t>
      </w:r>
      <w:proofErr w:type="spellStart"/>
      <w:r w:rsidRPr="00813B88">
        <w:rPr>
          <w:rFonts w:cs="Arial"/>
        </w:rPr>
        <w:t>ccTLDs</w:t>
      </w:r>
      <w:proofErr w:type="spellEnd"/>
      <w:r w:rsidRPr="00813B88">
        <w:rPr>
          <w:rFonts w:cs="Arial"/>
        </w:rPr>
        <w:t xml:space="preserve">) in different regions in relation to dispute resolution policies.  In 2014, the WIPO Center became a provider for the .VG (Virgin Islands (British)) and .GQ (Equatorial Guinea) domains, bringing the total of </w:t>
      </w:r>
      <w:proofErr w:type="spellStart"/>
      <w:r w:rsidRPr="00813B88">
        <w:rPr>
          <w:rFonts w:cs="Arial"/>
        </w:rPr>
        <w:t>ccTLDs</w:t>
      </w:r>
      <w:proofErr w:type="spellEnd"/>
      <w:r w:rsidRPr="00813B88">
        <w:rPr>
          <w:rFonts w:cs="Arial"/>
        </w:rPr>
        <w:t xml:space="preserve">, for which WIPO provides such services, to 72.  </w:t>
      </w:r>
    </w:p>
    <w:p w:rsidR="009A04DE" w:rsidRPr="00813B88" w:rsidRDefault="009A04DE" w:rsidP="00017954">
      <w:pPr>
        <w:pStyle w:val="ListParagraph"/>
        <w:tabs>
          <w:tab w:val="left" w:pos="709"/>
        </w:tabs>
        <w:ind w:left="0"/>
        <w:jc w:val="both"/>
        <w:rPr>
          <w:rFonts w:cs="Arial"/>
        </w:rPr>
      </w:pPr>
    </w:p>
    <w:p w:rsidR="009A04DE" w:rsidRDefault="009A04DE" w:rsidP="00520CAA">
      <w:pPr>
        <w:pStyle w:val="ListParagraph"/>
        <w:numPr>
          <w:ilvl w:val="0"/>
          <w:numId w:val="18"/>
        </w:numPr>
        <w:tabs>
          <w:tab w:val="left" w:pos="709"/>
        </w:tabs>
        <w:ind w:left="0" w:firstLine="0"/>
        <w:jc w:val="both"/>
        <w:rPr>
          <w:rFonts w:cs="Arial"/>
        </w:rPr>
      </w:pPr>
      <w:r w:rsidRPr="00813B88">
        <w:rPr>
          <w:rFonts w:cs="Arial"/>
        </w:rPr>
        <w:t xml:space="preserve">The design, planning and implementation of WIPO Center activities were informed and guided by the relevant DA Recommendations, in particular Recommendations 1, 6 and 10.  Notably, this concerned </w:t>
      </w:r>
      <w:r w:rsidRPr="00813B88">
        <w:rPr>
          <w:rFonts w:cs="Arial"/>
        </w:rPr>
        <w:lastRenderedPageBreak/>
        <w:t>the WIPO Center’s organization of tailor</w:t>
      </w:r>
      <w:r w:rsidRPr="00813B88">
        <w:rPr>
          <w:rFonts w:cs="Arial"/>
        </w:rPr>
        <w:noBreakHyphen/>
        <w:t xml:space="preserve">made arbitration and mediation programs for IP officials and practitioners, assistance to IP Offices in establishing optional ADR frameworks for disputes pending before them, and assistance to </w:t>
      </w:r>
      <w:proofErr w:type="spellStart"/>
      <w:r w:rsidRPr="00813B88">
        <w:rPr>
          <w:rFonts w:cs="Arial"/>
        </w:rPr>
        <w:t>ccTLD</w:t>
      </w:r>
      <w:proofErr w:type="spellEnd"/>
      <w:r w:rsidRPr="00813B88">
        <w:rPr>
          <w:rFonts w:cs="Arial"/>
        </w:rPr>
        <w:t xml:space="preserve"> authorities in the establishment of best registry practices and dispute resolution mechanisms, as relevant to developing countries and countries with economies in transition. </w:t>
      </w:r>
    </w:p>
    <w:p w:rsidR="009A04DE" w:rsidRDefault="009A04DE" w:rsidP="00017954">
      <w:pPr>
        <w:tabs>
          <w:tab w:val="left" w:pos="709"/>
        </w:tabs>
        <w:jc w:val="both"/>
        <w:rPr>
          <w:rFonts w:cs="Arial"/>
        </w:rPr>
      </w:pPr>
    </w:p>
    <w:p w:rsidR="009A04DE" w:rsidRPr="00A37BBA" w:rsidRDefault="009A04DE" w:rsidP="00017954">
      <w:pPr>
        <w:tabs>
          <w:tab w:val="left" w:pos="709"/>
        </w:tabs>
        <w:jc w:val="both"/>
        <w:rPr>
          <w:rFonts w:cs="Arial"/>
        </w:rPr>
      </w:pPr>
    </w:p>
    <w:p w:rsidR="009A04DE" w:rsidRDefault="009A04DE" w:rsidP="00017954">
      <w:pPr>
        <w:jc w:val="both"/>
        <w:rPr>
          <w:rFonts w:cs="Arial"/>
          <w:szCs w:val="20"/>
        </w:rPr>
      </w:pPr>
      <w:r>
        <w:rPr>
          <w:rFonts w:cs="Arial"/>
          <w:color w:val="000000"/>
          <w:sz w:val="22"/>
          <w:szCs w:val="22"/>
        </w:rPr>
        <w:t>PERFORMANCE DATA</w:t>
      </w:r>
      <w:r w:rsidRPr="00090F32">
        <w:rPr>
          <w:rFonts w:cs="Arial"/>
          <w:szCs w:val="20"/>
        </w:rPr>
        <w:t xml:space="preserve"> </w:t>
      </w:r>
    </w:p>
    <w:p w:rsidR="009A04DE" w:rsidRDefault="009A04DE" w:rsidP="00017954">
      <w:pPr>
        <w:jc w:val="both"/>
        <w:rPr>
          <w:rFonts w:cs="Arial"/>
          <w:szCs w:val="20"/>
        </w:rPr>
      </w:pPr>
    </w:p>
    <w:tbl>
      <w:tblPr>
        <w:tblW w:w="488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3"/>
        <w:gridCol w:w="2264"/>
        <w:gridCol w:w="1703"/>
        <w:gridCol w:w="2264"/>
        <w:gridCol w:w="985"/>
      </w:tblGrid>
      <w:tr w:rsidR="009A04DE" w:rsidRPr="001A1334" w:rsidTr="00017954">
        <w:trPr>
          <w:cantSplit/>
          <w:trHeight w:val="549"/>
        </w:trPr>
        <w:tc>
          <w:tcPr>
            <w:tcW w:w="5000" w:type="pct"/>
            <w:gridSpan w:val="5"/>
            <w:tcBorders>
              <w:top w:val="single" w:sz="4" w:space="0" w:color="auto"/>
              <w:bottom w:val="single" w:sz="4" w:space="0" w:color="auto"/>
            </w:tcBorders>
            <w:shd w:val="clear" w:color="auto" w:fill="CCFFFF"/>
            <w:vAlign w:val="center"/>
          </w:tcPr>
          <w:p w:rsidR="009A04DE" w:rsidRPr="001A1334" w:rsidRDefault="009A04DE" w:rsidP="00017954">
            <w:pPr>
              <w:keepNext/>
              <w:keepLines/>
              <w:tabs>
                <w:tab w:val="left" w:pos="1452"/>
              </w:tabs>
              <w:ind w:left="1452" w:hanging="1452"/>
              <w:rPr>
                <w:rFonts w:cs="Arial"/>
                <w:b/>
                <w:bCs/>
                <w:sz w:val="16"/>
                <w:szCs w:val="16"/>
              </w:rPr>
            </w:pPr>
            <w:r w:rsidRPr="001A1334">
              <w:rPr>
                <w:rFonts w:cs="Arial"/>
                <w:b/>
                <w:bCs/>
                <w:sz w:val="16"/>
                <w:szCs w:val="16"/>
              </w:rPr>
              <w:t>Expected Result:</w:t>
            </w:r>
            <w:r w:rsidRPr="001A1334">
              <w:rPr>
                <w:rFonts w:cs="Arial"/>
                <w:b/>
                <w:bCs/>
                <w:sz w:val="16"/>
                <w:szCs w:val="16"/>
              </w:rPr>
              <w:tab/>
            </w:r>
            <w:r w:rsidRPr="00AD7E93">
              <w:rPr>
                <w:rFonts w:cs="Arial"/>
                <w:sz w:val="16"/>
                <w:szCs w:val="16"/>
                <w:lang w:bidi="th-TH"/>
              </w:rPr>
              <w:t>II.8 International and domestic intellectual property disputes are increasingly prevented or resolved through WIPO mediation, arbitration and other alternative dispute resolution methods</w:t>
            </w:r>
          </w:p>
        </w:tc>
      </w:tr>
      <w:tr w:rsidR="009A04DE" w:rsidRPr="001A1334" w:rsidTr="00F54CA4">
        <w:trPr>
          <w:cantSplit/>
        </w:trPr>
        <w:tc>
          <w:tcPr>
            <w:tcW w:w="1140" w:type="pct"/>
            <w:tcBorders>
              <w:top w:val="single" w:sz="4" w:space="0" w:color="auto"/>
            </w:tcBorders>
            <w:shd w:val="clear" w:color="auto" w:fill="auto"/>
            <w:vAlign w:val="center"/>
          </w:tcPr>
          <w:p w:rsidR="009A04DE" w:rsidRPr="001A1334" w:rsidRDefault="009A04DE" w:rsidP="00017954">
            <w:pPr>
              <w:rPr>
                <w:rFonts w:cs="Arial"/>
                <w:sz w:val="16"/>
                <w:szCs w:val="16"/>
              </w:rPr>
            </w:pPr>
            <w:r w:rsidRPr="001A1334">
              <w:rPr>
                <w:rFonts w:cs="Arial"/>
                <w:b/>
                <w:bCs/>
                <w:sz w:val="16"/>
                <w:szCs w:val="16"/>
              </w:rPr>
              <w:t xml:space="preserve">Performance </w:t>
            </w:r>
            <w:r>
              <w:rPr>
                <w:rFonts w:cs="Arial"/>
                <w:b/>
                <w:bCs/>
                <w:sz w:val="16"/>
                <w:szCs w:val="16"/>
              </w:rPr>
              <w:t>I</w:t>
            </w:r>
            <w:r w:rsidRPr="001A1334">
              <w:rPr>
                <w:rFonts w:cs="Arial"/>
                <w:b/>
                <w:bCs/>
                <w:sz w:val="16"/>
                <w:szCs w:val="16"/>
              </w:rPr>
              <w:t>ndicators</w:t>
            </w:r>
          </w:p>
        </w:tc>
        <w:tc>
          <w:tcPr>
            <w:tcW w:w="1211" w:type="pct"/>
            <w:tcBorders>
              <w:top w:val="single" w:sz="4" w:space="0" w:color="auto"/>
            </w:tcBorders>
            <w:shd w:val="clear" w:color="auto" w:fill="auto"/>
            <w:vAlign w:val="center"/>
          </w:tcPr>
          <w:p w:rsidR="009A04DE" w:rsidRPr="001A1334" w:rsidRDefault="009A04DE" w:rsidP="00017954">
            <w:pPr>
              <w:rPr>
                <w:rFonts w:cs="Arial"/>
                <w:b/>
                <w:bCs/>
                <w:sz w:val="16"/>
                <w:szCs w:val="16"/>
              </w:rPr>
            </w:pPr>
            <w:r w:rsidRPr="001A1334">
              <w:rPr>
                <w:rFonts w:cs="Arial"/>
                <w:b/>
                <w:bCs/>
                <w:sz w:val="16"/>
                <w:szCs w:val="16"/>
              </w:rPr>
              <w:t>Baselines</w:t>
            </w:r>
          </w:p>
        </w:tc>
        <w:tc>
          <w:tcPr>
            <w:tcW w:w="911" w:type="pct"/>
            <w:tcBorders>
              <w:top w:val="single" w:sz="4" w:space="0" w:color="auto"/>
            </w:tcBorders>
            <w:shd w:val="clear" w:color="auto" w:fill="auto"/>
            <w:tcMar>
              <w:top w:w="110" w:type="dxa"/>
            </w:tcMar>
            <w:vAlign w:val="center"/>
          </w:tcPr>
          <w:p w:rsidR="009A04DE" w:rsidRPr="001A1334" w:rsidRDefault="009A04DE" w:rsidP="00017954">
            <w:pPr>
              <w:rPr>
                <w:rFonts w:cs="Arial"/>
                <w:b/>
                <w:sz w:val="16"/>
                <w:szCs w:val="16"/>
              </w:rPr>
            </w:pPr>
            <w:r w:rsidRPr="001A1334">
              <w:rPr>
                <w:rFonts w:cs="Arial"/>
                <w:b/>
                <w:sz w:val="16"/>
                <w:szCs w:val="16"/>
              </w:rPr>
              <w:t>Targets</w:t>
            </w:r>
          </w:p>
        </w:tc>
        <w:tc>
          <w:tcPr>
            <w:tcW w:w="1211" w:type="pct"/>
            <w:tcBorders>
              <w:top w:val="single" w:sz="4" w:space="0" w:color="auto"/>
            </w:tcBorders>
            <w:shd w:val="clear" w:color="auto" w:fill="auto"/>
            <w:tcMar>
              <w:top w:w="110" w:type="dxa"/>
            </w:tcMar>
            <w:vAlign w:val="center"/>
          </w:tcPr>
          <w:p w:rsidR="009A04DE" w:rsidRPr="001A1334" w:rsidRDefault="009A04DE" w:rsidP="00017954">
            <w:pPr>
              <w:rPr>
                <w:rFonts w:cs="Arial"/>
                <w:sz w:val="16"/>
                <w:szCs w:val="16"/>
              </w:rPr>
            </w:pPr>
            <w:r w:rsidRPr="001A1334">
              <w:rPr>
                <w:rFonts w:cs="Arial"/>
                <w:b/>
                <w:bCs/>
                <w:sz w:val="16"/>
                <w:szCs w:val="16"/>
              </w:rPr>
              <w:t>Performance Data</w:t>
            </w:r>
          </w:p>
        </w:tc>
        <w:tc>
          <w:tcPr>
            <w:tcW w:w="527" w:type="pct"/>
            <w:tcBorders>
              <w:top w:val="single" w:sz="4" w:space="0" w:color="auto"/>
            </w:tcBorders>
            <w:shd w:val="clear" w:color="auto" w:fill="auto"/>
            <w:tcMar>
              <w:top w:w="110" w:type="dxa"/>
            </w:tcMar>
            <w:vAlign w:val="center"/>
          </w:tcPr>
          <w:p w:rsidR="009A04DE" w:rsidRPr="001A1334" w:rsidRDefault="009A04DE" w:rsidP="00017954">
            <w:pPr>
              <w:keepNext/>
              <w:keepLines/>
              <w:jc w:val="center"/>
              <w:rPr>
                <w:rFonts w:cs="Arial"/>
                <w:b/>
                <w:bCs/>
                <w:sz w:val="16"/>
                <w:szCs w:val="16"/>
              </w:rPr>
            </w:pPr>
            <w:r w:rsidRPr="001A1334">
              <w:rPr>
                <w:rFonts w:cs="Arial"/>
                <w:b/>
                <w:bCs/>
                <w:sz w:val="16"/>
                <w:szCs w:val="16"/>
              </w:rPr>
              <w:t>TLS</w:t>
            </w:r>
          </w:p>
        </w:tc>
      </w:tr>
      <w:tr w:rsidR="009A04DE" w:rsidRPr="001A1334" w:rsidTr="00F54CA4">
        <w:trPr>
          <w:cantSplit/>
        </w:trPr>
        <w:tc>
          <w:tcPr>
            <w:tcW w:w="1140" w:type="pct"/>
            <w:shd w:val="clear" w:color="auto" w:fill="auto"/>
          </w:tcPr>
          <w:p w:rsidR="009A04DE" w:rsidRPr="001A1334" w:rsidRDefault="009A04DE" w:rsidP="00017954">
            <w:pPr>
              <w:rPr>
                <w:rFonts w:cs="Arial"/>
                <w:sz w:val="16"/>
                <w:szCs w:val="16"/>
              </w:rPr>
            </w:pPr>
            <w:r w:rsidRPr="00AD7E93">
              <w:rPr>
                <w:rFonts w:cs="Arial"/>
                <w:color w:val="000000"/>
                <w:sz w:val="16"/>
                <w:szCs w:val="16"/>
              </w:rPr>
              <w:t>Increased consideration of the use of alternative dispute resolution services in intellectual property transactions, including through the use of WIPO procedures</w:t>
            </w:r>
          </w:p>
        </w:tc>
        <w:tc>
          <w:tcPr>
            <w:tcW w:w="1211" w:type="pct"/>
            <w:shd w:val="clear" w:color="auto" w:fill="auto"/>
          </w:tcPr>
          <w:p w:rsidR="009A04DE" w:rsidRPr="007F7ED1" w:rsidRDefault="009A04DE" w:rsidP="00017954">
            <w:pPr>
              <w:rPr>
                <w:rFonts w:cs="Arial"/>
                <w:color w:val="002060"/>
                <w:sz w:val="16"/>
                <w:szCs w:val="16"/>
              </w:rPr>
            </w:pPr>
            <w:r>
              <w:rPr>
                <w:rFonts w:cs="Arial"/>
                <w:i/>
                <w:color w:val="002060"/>
                <w:sz w:val="16"/>
                <w:szCs w:val="16"/>
              </w:rPr>
              <w:t>Updated Baseline end 2013</w:t>
            </w:r>
            <w:r w:rsidRPr="001A1334">
              <w:rPr>
                <w:rFonts w:cs="Arial"/>
                <w:i/>
                <w:color w:val="002060"/>
                <w:sz w:val="16"/>
                <w:szCs w:val="16"/>
              </w:rPr>
              <w:t xml:space="preserve">:  </w:t>
            </w:r>
            <w:r w:rsidRPr="007F7ED1">
              <w:rPr>
                <w:rFonts w:cs="Arial"/>
                <w:color w:val="002060"/>
                <w:sz w:val="16"/>
                <w:szCs w:val="16"/>
              </w:rPr>
              <w:t xml:space="preserve">375 disputes and 95 </w:t>
            </w:r>
            <w:proofErr w:type="spellStart"/>
            <w:r w:rsidRPr="007F7ED1">
              <w:rPr>
                <w:rFonts w:cs="Arial"/>
                <w:color w:val="002060"/>
                <w:sz w:val="16"/>
                <w:szCs w:val="16"/>
              </w:rPr>
              <w:t>bons</w:t>
            </w:r>
            <w:proofErr w:type="spellEnd"/>
            <w:r w:rsidRPr="007F7ED1">
              <w:rPr>
                <w:rFonts w:cs="Arial"/>
                <w:color w:val="002060"/>
                <w:sz w:val="16"/>
                <w:szCs w:val="16"/>
              </w:rPr>
              <w:t xml:space="preserve"> offices (cumulative per end 2013) </w:t>
            </w:r>
          </w:p>
          <w:p w:rsidR="009A04DE" w:rsidRPr="007F7ED1" w:rsidRDefault="009A04DE" w:rsidP="00017954">
            <w:pPr>
              <w:rPr>
                <w:rFonts w:cs="Arial"/>
                <w:color w:val="002060"/>
                <w:sz w:val="16"/>
                <w:szCs w:val="16"/>
              </w:rPr>
            </w:pPr>
            <w:r w:rsidRPr="007F7ED1">
              <w:rPr>
                <w:rFonts w:cs="Arial"/>
                <w:color w:val="002060"/>
                <w:sz w:val="16"/>
                <w:szCs w:val="16"/>
              </w:rPr>
              <w:t>4,000 incoming queries (2012/13)</w:t>
            </w:r>
          </w:p>
          <w:p w:rsidR="009A04DE" w:rsidRPr="007F7ED1" w:rsidRDefault="009A04DE" w:rsidP="00017954">
            <w:pPr>
              <w:rPr>
                <w:rFonts w:cs="Arial"/>
                <w:color w:val="002060"/>
                <w:sz w:val="16"/>
                <w:szCs w:val="16"/>
              </w:rPr>
            </w:pPr>
            <w:r w:rsidRPr="007F7ED1">
              <w:rPr>
                <w:rFonts w:cs="Arial"/>
                <w:color w:val="002060"/>
                <w:sz w:val="16"/>
                <w:szCs w:val="16"/>
              </w:rPr>
              <w:t xml:space="preserve">3.5 million Web visits (2012/13) </w:t>
            </w:r>
          </w:p>
          <w:p w:rsidR="009A04DE" w:rsidRPr="007F7ED1" w:rsidRDefault="009A04DE" w:rsidP="00017954">
            <w:pPr>
              <w:rPr>
                <w:rFonts w:cs="Arial"/>
                <w:color w:val="002060"/>
                <w:sz w:val="16"/>
                <w:szCs w:val="16"/>
              </w:rPr>
            </w:pPr>
            <w:r w:rsidRPr="007F7ED1">
              <w:rPr>
                <w:rFonts w:cs="Arial"/>
                <w:color w:val="002060"/>
                <w:sz w:val="16"/>
                <w:szCs w:val="16"/>
              </w:rPr>
              <w:t>408 participants at Center standard events (2012/13)</w:t>
            </w:r>
          </w:p>
          <w:p w:rsidR="009A04DE" w:rsidRPr="007F7ED1" w:rsidRDefault="009A04DE" w:rsidP="00017954">
            <w:pPr>
              <w:rPr>
                <w:rFonts w:cs="Arial"/>
                <w:color w:val="002060"/>
                <w:sz w:val="16"/>
                <w:szCs w:val="16"/>
                <w:lang w:bidi="th-TH"/>
              </w:rPr>
            </w:pPr>
            <w:r w:rsidRPr="007F7ED1">
              <w:rPr>
                <w:rFonts w:cs="Arial"/>
                <w:color w:val="002060"/>
                <w:sz w:val="16"/>
                <w:szCs w:val="16"/>
              </w:rPr>
              <w:t>4,000 participants at Center external events (2012/13)</w:t>
            </w:r>
          </w:p>
          <w:p w:rsidR="009A04DE" w:rsidRPr="001A1334" w:rsidRDefault="009A04DE" w:rsidP="00017954">
            <w:pPr>
              <w:rPr>
                <w:rFonts w:cs="Arial"/>
                <w:i/>
                <w:sz w:val="8"/>
                <w:szCs w:val="8"/>
              </w:rPr>
            </w:pPr>
          </w:p>
          <w:p w:rsidR="009A04DE" w:rsidRPr="007F7ED1" w:rsidRDefault="009A04DE" w:rsidP="00017954">
            <w:pPr>
              <w:rPr>
                <w:rFonts w:cs="Arial"/>
                <w:sz w:val="16"/>
                <w:szCs w:val="16"/>
              </w:rPr>
            </w:pPr>
            <w:r>
              <w:rPr>
                <w:rFonts w:cs="Arial"/>
                <w:i/>
                <w:sz w:val="16"/>
                <w:szCs w:val="16"/>
              </w:rPr>
              <w:t>Original Baseline P&amp;B 2014/15</w:t>
            </w:r>
            <w:r w:rsidRPr="001A1334">
              <w:rPr>
                <w:rFonts w:cs="Arial"/>
                <w:i/>
                <w:sz w:val="16"/>
                <w:szCs w:val="16"/>
              </w:rPr>
              <w:t>:</w:t>
            </w:r>
            <w:r>
              <w:rPr>
                <w:rFonts w:cs="Arial"/>
                <w:i/>
                <w:sz w:val="16"/>
                <w:szCs w:val="16"/>
              </w:rPr>
              <w:t xml:space="preserve"> </w:t>
            </w:r>
            <w:r w:rsidRPr="007F7ED1">
              <w:rPr>
                <w:rFonts w:cs="Arial"/>
                <w:sz w:val="16"/>
                <w:szCs w:val="16"/>
              </w:rPr>
              <w:t xml:space="preserve">284 disputes and 79 </w:t>
            </w:r>
            <w:proofErr w:type="spellStart"/>
            <w:r w:rsidRPr="007F7ED1">
              <w:rPr>
                <w:rFonts w:cs="Arial"/>
                <w:sz w:val="16"/>
                <w:szCs w:val="16"/>
              </w:rPr>
              <w:t>bons</w:t>
            </w:r>
            <w:proofErr w:type="spellEnd"/>
            <w:r w:rsidRPr="007F7ED1">
              <w:rPr>
                <w:rFonts w:cs="Arial"/>
                <w:sz w:val="16"/>
                <w:szCs w:val="16"/>
              </w:rPr>
              <w:t xml:space="preserve"> offices (cumulative per end 2012) </w:t>
            </w:r>
          </w:p>
          <w:p w:rsidR="009A04DE" w:rsidRPr="007F7ED1" w:rsidRDefault="009A04DE" w:rsidP="00017954">
            <w:pPr>
              <w:rPr>
                <w:rFonts w:cs="Arial"/>
                <w:sz w:val="16"/>
                <w:szCs w:val="16"/>
              </w:rPr>
            </w:pPr>
            <w:r w:rsidRPr="007F7ED1">
              <w:rPr>
                <w:rFonts w:cs="Arial"/>
                <w:sz w:val="16"/>
                <w:szCs w:val="16"/>
              </w:rPr>
              <w:t xml:space="preserve">4,000 incoming queries (2010/11) </w:t>
            </w:r>
          </w:p>
          <w:p w:rsidR="009A04DE" w:rsidRPr="007F7ED1" w:rsidRDefault="009A04DE" w:rsidP="00017954">
            <w:pPr>
              <w:rPr>
                <w:rFonts w:cs="Arial"/>
                <w:sz w:val="16"/>
                <w:szCs w:val="16"/>
              </w:rPr>
            </w:pPr>
            <w:r w:rsidRPr="007F7ED1">
              <w:rPr>
                <w:rFonts w:cs="Arial"/>
                <w:sz w:val="16"/>
                <w:szCs w:val="16"/>
              </w:rPr>
              <w:t>Web visits 30 million (cum</w:t>
            </w:r>
            <w:r w:rsidR="00B37D53">
              <w:rPr>
                <w:rFonts w:cs="Arial"/>
                <w:sz w:val="16"/>
                <w:szCs w:val="16"/>
              </w:rPr>
              <w:t>ulative</w:t>
            </w:r>
            <w:r w:rsidRPr="007F7ED1">
              <w:rPr>
                <w:rFonts w:cs="Arial"/>
                <w:sz w:val="16"/>
                <w:szCs w:val="16"/>
              </w:rPr>
              <w:t xml:space="preserve"> per end 2012) </w:t>
            </w:r>
          </w:p>
          <w:p w:rsidR="009A04DE" w:rsidRPr="007F7ED1" w:rsidRDefault="009A04DE" w:rsidP="00017954">
            <w:pPr>
              <w:rPr>
                <w:rFonts w:cs="Arial"/>
                <w:sz w:val="16"/>
                <w:szCs w:val="16"/>
              </w:rPr>
            </w:pPr>
            <w:r w:rsidRPr="007F7ED1">
              <w:rPr>
                <w:rFonts w:cs="Arial"/>
                <w:sz w:val="16"/>
                <w:szCs w:val="16"/>
              </w:rPr>
              <w:t xml:space="preserve">276 participants at Center standard events (2010/11); </w:t>
            </w:r>
          </w:p>
          <w:p w:rsidR="009A04DE" w:rsidRPr="001A1334" w:rsidRDefault="009A04DE" w:rsidP="00017954">
            <w:pPr>
              <w:rPr>
                <w:rFonts w:cs="Arial"/>
                <w:sz w:val="16"/>
                <w:szCs w:val="16"/>
              </w:rPr>
            </w:pPr>
            <w:r w:rsidRPr="007F7ED1">
              <w:rPr>
                <w:rFonts w:cs="Arial"/>
                <w:sz w:val="16"/>
                <w:szCs w:val="16"/>
              </w:rPr>
              <w:t>3,000 participants at Center external events (2010/11)</w:t>
            </w:r>
          </w:p>
        </w:tc>
        <w:tc>
          <w:tcPr>
            <w:tcW w:w="911" w:type="pct"/>
            <w:shd w:val="clear" w:color="auto" w:fill="auto"/>
            <w:tcMar>
              <w:top w:w="110" w:type="dxa"/>
            </w:tcMar>
          </w:tcPr>
          <w:p w:rsidR="009A04DE" w:rsidRPr="00AD7E93" w:rsidRDefault="009A04DE" w:rsidP="00017954">
            <w:pPr>
              <w:autoSpaceDE w:val="0"/>
              <w:autoSpaceDN w:val="0"/>
              <w:adjustRightInd w:val="0"/>
              <w:rPr>
                <w:rFonts w:cs="Arial"/>
                <w:sz w:val="16"/>
                <w:szCs w:val="16"/>
              </w:rPr>
            </w:pPr>
            <w:r w:rsidRPr="00AD7E93">
              <w:rPr>
                <w:rFonts w:cs="Arial"/>
                <w:sz w:val="16"/>
                <w:szCs w:val="16"/>
              </w:rPr>
              <w:t xml:space="preserve">40 additional disputes and </w:t>
            </w:r>
            <w:proofErr w:type="spellStart"/>
            <w:r w:rsidRPr="00AD7E93">
              <w:rPr>
                <w:rFonts w:cs="Arial"/>
                <w:sz w:val="16"/>
                <w:szCs w:val="16"/>
              </w:rPr>
              <w:t>bons</w:t>
            </w:r>
            <w:proofErr w:type="spellEnd"/>
            <w:r w:rsidRPr="00AD7E93">
              <w:rPr>
                <w:rFonts w:cs="Arial"/>
                <w:sz w:val="16"/>
                <w:szCs w:val="16"/>
              </w:rPr>
              <w:t xml:space="preserve"> offices</w:t>
            </w:r>
          </w:p>
          <w:p w:rsidR="009A04DE" w:rsidRPr="00AD7E93" w:rsidRDefault="009A04DE" w:rsidP="00017954">
            <w:pPr>
              <w:autoSpaceDE w:val="0"/>
              <w:autoSpaceDN w:val="0"/>
              <w:adjustRightInd w:val="0"/>
              <w:rPr>
                <w:rFonts w:cs="Arial"/>
                <w:sz w:val="16"/>
                <w:szCs w:val="16"/>
              </w:rPr>
            </w:pPr>
          </w:p>
          <w:p w:rsidR="009A04DE" w:rsidRPr="00AD7E93" w:rsidRDefault="009A04DE" w:rsidP="00017954">
            <w:pPr>
              <w:autoSpaceDE w:val="0"/>
              <w:autoSpaceDN w:val="0"/>
              <w:adjustRightInd w:val="0"/>
              <w:rPr>
                <w:rFonts w:cs="Arial"/>
                <w:sz w:val="16"/>
                <w:szCs w:val="16"/>
              </w:rPr>
            </w:pPr>
            <w:r w:rsidRPr="00AD7E93">
              <w:rPr>
                <w:rFonts w:cs="Arial"/>
                <w:sz w:val="16"/>
                <w:szCs w:val="16"/>
              </w:rPr>
              <w:t>4,000 additional queries</w:t>
            </w:r>
          </w:p>
          <w:p w:rsidR="009A04DE" w:rsidRPr="00AD7E93" w:rsidRDefault="009A04DE" w:rsidP="00017954">
            <w:pPr>
              <w:autoSpaceDE w:val="0"/>
              <w:autoSpaceDN w:val="0"/>
              <w:adjustRightInd w:val="0"/>
              <w:rPr>
                <w:rFonts w:cs="Arial"/>
                <w:sz w:val="16"/>
                <w:szCs w:val="16"/>
              </w:rPr>
            </w:pPr>
          </w:p>
          <w:p w:rsidR="009A04DE" w:rsidRPr="00AD7E93" w:rsidRDefault="009A04DE" w:rsidP="00017954">
            <w:pPr>
              <w:autoSpaceDE w:val="0"/>
              <w:autoSpaceDN w:val="0"/>
              <w:adjustRightInd w:val="0"/>
              <w:rPr>
                <w:rFonts w:cs="Arial"/>
                <w:sz w:val="16"/>
                <w:szCs w:val="16"/>
              </w:rPr>
            </w:pPr>
            <w:r w:rsidRPr="00AD7E93">
              <w:rPr>
                <w:rFonts w:cs="Arial"/>
                <w:sz w:val="16"/>
                <w:szCs w:val="16"/>
              </w:rPr>
              <w:t>3.5 million additional visits</w:t>
            </w:r>
          </w:p>
          <w:p w:rsidR="009A04DE" w:rsidRPr="00AD7E93" w:rsidRDefault="009A04DE" w:rsidP="00017954">
            <w:pPr>
              <w:autoSpaceDE w:val="0"/>
              <w:autoSpaceDN w:val="0"/>
              <w:adjustRightInd w:val="0"/>
              <w:rPr>
                <w:rFonts w:cs="Arial"/>
                <w:sz w:val="16"/>
                <w:szCs w:val="16"/>
              </w:rPr>
            </w:pPr>
          </w:p>
          <w:p w:rsidR="009A04DE" w:rsidRDefault="009A04DE" w:rsidP="00017954">
            <w:pPr>
              <w:autoSpaceDE w:val="0"/>
              <w:autoSpaceDN w:val="0"/>
              <w:adjustRightInd w:val="0"/>
              <w:rPr>
                <w:rFonts w:cs="Arial"/>
                <w:sz w:val="16"/>
                <w:szCs w:val="16"/>
              </w:rPr>
            </w:pPr>
            <w:r w:rsidRPr="00AD7E93">
              <w:rPr>
                <w:rFonts w:cs="Arial"/>
                <w:sz w:val="16"/>
                <w:szCs w:val="16"/>
              </w:rPr>
              <w:t xml:space="preserve">250 participants at Center standard events  </w:t>
            </w:r>
          </w:p>
          <w:p w:rsidR="009A04DE" w:rsidRPr="00AD7E93" w:rsidRDefault="009A04DE" w:rsidP="00017954">
            <w:pPr>
              <w:autoSpaceDE w:val="0"/>
              <w:autoSpaceDN w:val="0"/>
              <w:adjustRightInd w:val="0"/>
              <w:rPr>
                <w:rFonts w:cs="Arial"/>
                <w:sz w:val="16"/>
                <w:szCs w:val="16"/>
              </w:rPr>
            </w:pPr>
          </w:p>
          <w:p w:rsidR="009A04DE" w:rsidRPr="001A1334" w:rsidRDefault="009A04DE" w:rsidP="00017954">
            <w:pPr>
              <w:autoSpaceDE w:val="0"/>
              <w:autoSpaceDN w:val="0"/>
              <w:adjustRightInd w:val="0"/>
              <w:rPr>
                <w:rFonts w:cs="Arial"/>
                <w:sz w:val="16"/>
                <w:szCs w:val="16"/>
              </w:rPr>
            </w:pPr>
            <w:r w:rsidRPr="00AD7E93">
              <w:rPr>
                <w:rFonts w:cs="Arial"/>
                <w:sz w:val="16"/>
                <w:szCs w:val="16"/>
              </w:rPr>
              <w:t>6,000 participants at Center external events</w:t>
            </w:r>
          </w:p>
        </w:tc>
        <w:tc>
          <w:tcPr>
            <w:tcW w:w="1211" w:type="pct"/>
            <w:shd w:val="clear" w:color="auto" w:fill="auto"/>
            <w:tcMar>
              <w:top w:w="110" w:type="dxa"/>
            </w:tcMar>
          </w:tcPr>
          <w:p w:rsidR="009A04DE" w:rsidRPr="007F7ED1" w:rsidRDefault="009A04DE" w:rsidP="00017954">
            <w:pPr>
              <w:rPr>
                <w:rFonts w:cs="Arial"/>
                <w:sz w:val="16"/>
                <w:szCs w:val="16"/>
                <w:lang w:bidi="th-TH"/>
              </w:rPr>
            </w:pPr>
            <w:r>
              <w:rPr>
                <w:rFonts w:cs="Arial"/>
                <w:sz w:val="16"/>
                <w:szCs w:val="16"/>
                <w:lang w:bidi="th-TH"/>
              </w:rPr>
              <w:t>1</w:t>
            </w:r>
            <w:r w:rsidRPr="007F7ED1">
              <w:rPr>
                <w:rFonts w:cs="Arial"/>
                <w:sz w:val="16"/>
                <w:szCs w:val="16"/>
                <w:lang w:bidi="th-TH"/>
              </w:rPr>
              <w:t xml:space="preserve">8 additional disputes and 53 additional </w:t>
            </w:r>
            <w:proofErr w:type="spellStart"/>
            <w:r w:rsidRPr="007F7ED1">
              <w:rPr>
                <w:rFonts w:cs="Arial"/>
                <w:sz w:val="16"/>
                <w:szCs w:val="16"/>
                <w:lang w:bidi="th-TH"/>
              </w:rPr>
              <w:t>bons</w:t>
            </w:r>
            <w:proofErr w:type="spellEnd"/>
            <w:r w:rsidRPr="007F7ED1">
              <w:rPr>
                <w:rFonts w:cs="Arial"/>
                <w:sz w:val="16"/>
                <w:szCs w:val="16"/>
                <w:lang w:bidi="th-TH"/>
              </w:rPr>
              <w:t xml:space="preserve"> offices (2014)</w:t>
            </w:r>
          </w:p>
          <w:p w:rsidR="009A04DE" w:rsidRPr="007F7ED1" w:rsidRDefault="009A04DE" w:rsidP="00017954">
            <w:pPr>
              <w:rPr>
                <w:rFonts w:cs="Arial"/>
                <w:sz w:val="16"/>
                <w:szCs w:val="16"/>
                <w:lang w:bidi="th-TH"/>
              </w:rPr>
            </w:pPr>
          </w:p>
          <w:p w:rsidR="009A04DE" w:rsidRDefault="009A04DE" w:rsidP="00017954">
            <w:pPr>
              <w:rPr>
                <w:rFonts w:cs="Arial"/>
                <w:sz w:val="16"/>
                <w:szCs w:val="16"/>
                <w:lang w:bidi="th-TH"/>
              </w:rPr>
            </w:pPr>
          </w:p>
          <w:p w:rsidR="009A04DE" w:rsidRPr="007F7ED1" w:rsidRDefault="009A04DE" w:rsidP="00017954">
            <w:pPr>
              <w:rPr>
                <w:rFonts w:cs="Arial"/>
                <w:sz w:val="16"/>
                <w:szCs w:val="16"/>
                <w:lang w:bidi="th-TH"/>
              </w:rPr>
            </w:pPr>
            <w:r w:rsidRPr="007F7ED1">
              <w:rPr>
                <w:rFonts w:cs="Arial"/>
                <w:sz w:val="16"/>
                <w:szCs w:val="16"/>
                <w:lang w:bidi="th-TH"/>
              </w:rPr>
              <w:t xml:space="preserve">3,725 </w:t>
            </w:r>
            <w:r>
              <w:rPr>
                <w:rFonts w:cs="Arial"/>
                <w:sz w:val="16"/>
                <w:szCs w:val="16"/>
                <w:lang w:bidi="th-TH"/>
              </w:rPr>
              <w:t xml:space="preserve">additional </w:t>
            </w:r>
            <w:r w:rsidRPr="007F7ED1">
              <w:rPr>
                <w:rFonts w:cs="Arial"/>
                <w:sz w:val="16"/>
                <w:szCs w:val="16"/>
                <w:lang w:bidi="th-TH"/>
              </w:rPr>
              <w:t>incoming queries (2014)</w:t>
            </w:r>
          </w:p>
          <w:p w:rsidR="009A04DE" w:rsidRPr="007F7ED1" w:rsidRDefault="009A04DE" w:rsidP="00017954">
            <w:pPr>
              <w:rPr>
                <w:rFonts w:cs="Arial"/>
                <w:sz w:val="16"/>
                <w:szCs w:val="16"/>
                <w:lang w:bidi="th-TH"/>
              </w:rPr>
            </w:pPr>
          </w:p>
          <w:p w:rsidR="009A04DE" w:rsidRDefault="009A04DE" w:rsidP="00017954">
            <w:pPr>
              <w:rPr>
                <w:rFonts w:cs="Arial"/>
                <w:sz w:val="16"/>
                <w:szCs w:val="16"/>
                <w:lang w:bidi="th-TH"/>
              </w:rPr>
            </w:pPr>
          </w:p>
          <w:p w:rsidR="009A04DE" w:rsidRPr="007F7ED1" w:rsidRDefault="009A04DE" w:rsidP="00017954">
            <w:pPr>
              <w:rPr>
                <w:rFonts w:cs="Arial"/>
                <w:sz w:val="16"/>
                <w:szCs w:val="16"/>
                <w:lang w:bidi="th-TH"/>
              </w:rPr>
            </w:pPr>
            <w:r w:rsidRPr="007F7ED1">
              <w:rPr>
                <w:rFonts w:cs="Arial"/>
                <w:sz w:val="16"/>
                <w:szCs w:val="16"/>
                <w:lang w:bidi="th-TH"/>
              </w:rPr>
              <w:t>1.553 million Web visits (2014)</w:t>
            </w:r>
          </w:p>
          <w:p w:rsidR="009A04DE" w:rsidRPr="007F7ED1" w:rsidRDefault="009A04DE" w:rsidP="00017954">
            <w:pPr>
              <w:rPr>
                <w:rFonts w:cs="Arial"/>
                <w:sz w:val="16"/>
                <w:szCs w:val="16"/>
                <w:lang w:bidi="th-TH"/>
              </w:rPr>
            </w:pPr>
          </w:p>
          <w:p w:rsidR="009A04DE" w:rsidRDefault="009A04DE" w:rsidP="00017954">
            <w:pPr>
              <w:rPr>
                <w:rFonts w:cs="Arial"/>
                <w:sz w:val="16"/>
                <w:szCs w:val="16"/>
                <w:lang w:bidi="th-TH"/>
              </w:rPr>
            </w:pPr>
          </w:p>
          <w:p w:rsidR="009A04DE" w:rsidRPr="007F7ED1" w:rsidRDefault="009A04DE" w:rsidP="00017954">
            <w:pPr>
              <w:rPr>
                <w:rFonts w:cs="Arial"/>
                <w:sz w:val="16"/>
                <w:szCs w:val="16"/>
                <w:lang w:bidi="th-TH"/>
              </w:rPr>
            </w:pPr>
            <w:r w:rsidRPr="007F7ED1">
              <w:rPr>
                <w:rFonts w:cs="Arial"/>
                <w:sz w:val="16"/>
                <w:szCs w:val="16"/>
                <w:lang w:bidi="th-TH"/>
              </w:rPr>
              <w:t>138 participants at Center events (2014)</w:t>
            </w:r>
          </w:p>
          <w:p w:rsidR="009A04DE" w:rsidRPr="007F7ED1" w:rsidRDefault="009A04DE" w:rsidP="00017954">
            <w:pPr>
              <w:rPr>
                <w:rFonts w:cs="Arial"/>
                <w:sz w:val="16"/>
                <w:szCs w:val="16"/>
                <w:lang w:bidi="th-TH"/>
              </w:rPr>
            </w:pPr>
          </w:p>
          <w:p w:rsidR="009A04DE" w:rsidRDefault="009A04DE" w:rsidP="00017954">
            <w:pPr>
              <w:rPr>
                <w:rFonts w:cs="Arial"/>
                <w:sz w:val="16"/>
                <w:szCs w:val="16"/>
                <w:lang w:bidi="th-TH"/>
              </w:rPr>
            </w:pPr>
          </w:p>
          <w:p w:rsidR="009A04DE" w:rsidRDefault="009A04DE" w:rsidP="00017954">
            <w:pPr>
              <w:rPr>
                <w:rFonts w:cs="Arial"/>
                <w:sz w:val="16"/>
                <w:szCs w:val="16"/>
                <w:lang w:bidi="th-TH"/>
              </w:rPr>
            </w:pPr>
          </w:p>
          <w:p w:rsidR="009A04DE" w:rsidRPr="001A1334" w:rsidRDefault="009A04DE" w:rsidP="00017954">
            <w:pPr>
              <w:rPr>
                <w:rFonts w:cs="Arial"/>
                <w:sz w:val="16"/>
                <w:szCs w:val="16"/>
              </w:rPr>
            </w:pPr>
            <w:r w:rsidRPr="007F7ED1">
              <w:rPr>
                <w:rFonts w:cs="Arial"/>
                <w:sz w:val="16"/>
                <w:szCs w:val="16"/>
                <w:lang w:bidi="th-TH"/>
              </w:rPr>
              <w:t>4,300 participants at events involving Center representation (2014)</w:t>
            </w:r>
          </w:p>
        </w:tc>
        <w:tc>
          <w:tcPr>
            <w:tcW w:w="527" w:type="pct"/>
            <w:shd w:val="clear" w:color="auto" w:fill="auto"/>
            <w:tcMar>
              <w:top w:w="110" w:type="dxa"/>
            </w:tcMar>
          </w:tcPr>
          <w:p w:rsidR="009A04DE" w:rsidRPr="00EF26A9" w:rsidRDefault="009A04DE" w:rsidP="00017954">
            <w:pPr>
              <w:keepNext/>
              <w:keepLines/>
              <w:jc w:val="center"/>
              <w:rPr>
                <w:rFonts w:cs="Arial"/>
                <w:b/>
                <w:bCs/>
                <w:color w:val="00B050"/>
                <w:sz w:val="16"/>
                <w:szCs w:val="16"/>
              </w:rPr>
            </w:pPr>
            <w:r w:rsidRPr="00EF26A9">
              <w:rPr>
                <w:rStyle w:val="Style5"/>
                <w:rFonts w:ascii="Arial" w:hAnsi="Arial" w:cs="Arial"/>
                <w:b/>
                <w:color w:val="00B050"/>
                <w:sz w:val="16"/>
                <w:szCs w:val="16"/>
              </w:rPr>
              <w:t>On track</w:t>
            </w:r>
          </w:p>
        </w:tc>
      </w:tr>
      <w:tr w:rsidR="009A04DE" w:rsidRPr="001A1334" w:rsidTr="00F54CA4">
        <w:trPr>
          <w:cantSplit/>
        </w:trPr>
        <w:tc>
          <w:tcPr>
            <w:tcW w:w="1140" w:type="pct"/>
            <w:shd w:val="clear" w:color="auto" w:fill="auto"/>
          </w:tcPr>
          <w:p w:rsidR="009A04DE" w:rsidRPr="001A1334" w:rsidRDefault="009A04DE" w:rsidP="00017954">
            <w:pPr>
              <w:rPr>
                <w:rFonts w:cs="Arial"/>
                <w:sz w:val="16"/>
                <w:szCs w:val="16"/>
              </w:rPr>
            </w:pPr>
            <w:r w:rsidRPr="00EF26A9">
              <w:rPr>
                <w:rFonts w:cs="Arial"/>
                <w:color w:val="000000"/>
                <w:sz w:val="16"/>
                <w:szCs w:val="16"/>
              </w:rPr>
              <w:t>Alternative dispute resolution policies to the development and implementation of which policies the Center has contributed</w:t>
            </w:r>
          </w:p>
        </w:tc>
        <w:tc>
          <w:tcPr>
            <w:tcW w:w="1211" w:type="pct"/>
            <w:shd w:val="clear" w:color="auto" w:fill="auto"/>
          </w:tcPr>
          <w:p w:rsidR="009A04DE" w:rsidRPr="001A1334" w:rsidRDefault="009A04DE" w:rsidP="00017954">
            <w:pPr>
              <w:rPr>
                <w:rFonts w:cs="Arial"/>
                <w:color w:val="002060"/>
                <w:sz w:val="16"/>
                <w:szCs w:val="16"/>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r w:rsidRPr="00EF26A9">
              <w:rPr>
                <w:rFonts w:cs="Arial"/>
                <w:color w:val="002060"/>
                <w:sz w:val="16"/>
                <w:szCs w:val="16"/>
              </w:rPr>
              <w:t>10 schemes adopted (AGICOA, EGEDA, ETSI, Film and Media, ICOM, INPI-BR, IPAG, IPOS(M), IPOS(ED), ITPGRFA) (cumulative per end 2013)</w:t>
            </w:r>
          </w:p>
          <w:p w:rsidR="009A04DE" w:rsidRPr="001A1334" w:rsidRDefault="009A04DE" w:rsidP="00017954">
            <w:pPr>
              <w:rPr>
                <w:rFonts w:cs="Arial"/>
                <w:sz w:val="8"/>
                <w:szCs w:val="8"/>
              </w:rPr>
            </w:pPr>
          </w:p>
          <w:p w:rsidR="009A04DE" w:rsidRPr="001A1334" w:rsidRDefault="009A04DE" w:rsidP="00017954">
            <w:pPr>
              <w:rPr>
                <w:rFonts w:cs="Arial"/>
                <w:sz w:val="16"/>
                <w:szCs w:val="16"/>
              </w:rPr>
            </w:pPr>
            <w:r>
              <w:rPr>
                <w:rFonts w:cs="Arial"/>
                <w:sz w:val="16"/>
                <w:szCs w:val="16"/>
              </w:rPr>
              <w:t>Original Baseline P&amp;B 2014/15</w:t>
            </w:r>
            <w:r w:rsidRPr="001A1334">
              <w:rPr>
                <w:rFonts w:cs="Arial"/>
                <w:sz w:val="16"/>
                <w:szCs w:val="16"/>
              </w:rPr>
              <w:t>:</w:t>
            </w:r>
            <w:r>
              <w:rPr>
                <w:rFonts w:cs="Arial"/>
                <w:sz w:val="16"/>
                <w:szCs w:val="16"/>
              </w:rPr>
              <w:t xml:space="preserve"> </w:t>
            </w:r>
            <w:r w:rsidRPr="00EF26A9">
              <w:rPr>
                <w:rFonts w:cs="Arial"/>
                <w:sz w:val="16"/>
                <w:szCs w:val="16"/>
              </w:rPr>
              <w:t>6 schemes adopted (AGICOA, EGEDA, Film and Media, ICOM, IPOS, ITPGRFA) (cumulative per end 2012)</w:t>
            </w:r>
            <w:r w:rsidRPr="001A1334">
              <w:rPr>
                <w:rFonts w:cs="Arial"/>
                <w:sz w:val="16"/>
                <w:szCs w:val="16"/>
              </w:rPr>
              <w:br/>
            </w:r>
          </w:p>
        </w:tc>
        <w:tc>
          <w:tcPr>
            <w:tcW w:w="911" w:type="pct"/>
            <w:shd w:val="clear" w:color="auto" w:fill="auto"/>
            <w:tcMar>
              <w:top w:w="110" w:type="dxa"/>
            </w:tcMar>
          </w:tcPr>
          <w:p w:rsidR="009A04DE" w:rsidRPr="001A1334" w:rsidRDefault="009A04DE" w:rsidP="00017954">
            <w:pPr>
              <w:rPr>
                <w:rFonts w:cs="Arial"/>
                <w:i/>
                <w:sz w:val="16"/>
                <w:szCs w:val="16"/>
              </w:rPr>
            </w:pPr>
            <w:r>
              <w:rPr>
                <w:rFonts w:cs="Arial"/>
                <w:sz w:val="16"/>
                <w:szCs w:val="16"/>
              </w:rPr>
              <w:t>1 to 3</w:t>
            </w:r>
            <w:r w:rsidRPr="00EF26A9">
              <w:rPr>
                <w:rFonts w:cs="Arial"/>
                <w:sz w:val="16"/>
                <w:szCs w:val="16"/>
              </w:rPr>
              <w:t xml:space="preserve"> additional schemes</w:t>
            </w:r>
          </w:p>
        </w:tc>
        <w:tc>
          <w:tcPr>
            <w:tcW w:w="1211" w:type="pct"/>
            <w:shd w:val="clear" w:color="auto" w:fill="auto"/>
            <w:tcMar>
              <w:top w:w="110" w:type="dxa"/>
            </w:tcMar>
          </w:tcPr>
          <w:p w:rsidR="009A04DE" w:rsidRPr="001A1334" w:rsidRDefault="009A04DE" w:rsidP="00017954">
            <w:pPr>
              <w:rPr>
                <w:rFonts w:cs="Arial"/>
                <w:sz w:val="16"/>
                <w:szCs w:val="16"/>
              </w:rPr>
            </w:pPr>
            <w:r w:rsidRPr="00EF26A9">
              <w:rPr>
                <w:rFonts w:cs="Arial"/>
                <w:sz w:val="16"/>
                <w:szCs w:val="16"/>
                <w:lang w:bidi="th-TH"/>
              </w:rPr>
              <w:t xml:space="preserve">5 </w:t>
            </w:r>
            <w:r>
              <w:rPr>
                <w:rFonts w:cs="Arial"/>
                <w:sz w:val="16"/>
                <w:szCs w:val="16"/>
                <w:lang w:bidi="th-TH"/>
              </w:rPr>
              <w:t xml:space="preserve">additional </w:t>
            </w:r>
            <w:r w:rsidRPr="00EF26A9">
              <w:rPr>
                <w:rFonts w:cs="Arial"/>
                <w:sz w:val="16"/>
                <w:szCs w:val="16"/>
                <w:lang w:bidi="th-TH"/>
              </w:rPr>
              <w:t>schemes adopted (AEF, DGIPR, DNDA, IMPI, IPOPHL)</w:t>
            </w:r>
          </w:p>
        </w:tc>
        <w:tc>
          <w:tcPr>
            <w:tcW w:w="527" w:type="pct"/>
            <w:shd w:val="clear" w:color="auto" w:fill="auto"/>
            <w:tcMar>
              <w:top w:w="110" w:type="dxa"/>
            </w:tcMar>
          </w:tcPr>
          <w:p w:rsidR="009A04DE" w:rsidRPr="001A1334" w:rsidRDefault="009A04DE" w:rsidP="00017954">
            <w:pPr>
              <w:keepNext/>
              <w:keepLines/>
              <w:jc w:val="center"/>
              <w:rPr>
                <w:rFonts w:cs="Arial"/>
                <w:bCs/>
                <w:color w:val="808080"/>
                <w:sz w:val="16"/>
                <w:szCs w:val="16"/>
              </w:rPr>
            </w:pPr>
            <w:r w:rsidRPr="00EF26A9">
              <w:rPr>
                <w:rStyle w:val="Style5"/>
                <w:rFonts w:ascii="Arial" w:hAnsi="Arial" w:cs="Arial"/>
                <w:b/>
                <w:color w:val="00B050"/>
                <w:sz w:val="16"/>
                <w:szCs w:val="16"/>
              </w:rPr>
              <w:t>On track</w:t>
            </w:r>
          </w:p>
        </w:tc>
      </w:tr>
      <w:tr w:rsidR="009A04DE" w:rsidRPr="001A1334" w:rsidTr="00017954">
        <w:trPr>
          <w:cantSplit/>
          <w:trHeight w:val="399"/>
        </w:trPr>
        <w:tc>
          <w:tcPr>
            <w:tcW w:w="5000" w:type="pct"/>
            <w:gridSpan w:val="5"/>
            <w:tcBorders>
              <w:top w:val="single" w:sz="4" w:space="0" w:color="auto"/>
              <w:bottom w:val="single" w:sz="4" w:space="0" w:color="auto"/>
            </w:tcBorders>
            <w:shd w:val="clear" w:color="auto" w:fill="CCFFFF"/>
            <w:vAlign w:val="center"/>
          </w:tcPr>
          <w:p w:rsidR="009A04DE" w:rsidRPr="001A1334" w:rsidRDefault="009A04DE" w:rsidP="00017954">
            <w:pPr>
              <w:keepNext/>
              <w:keepLines/>
              <w:tabs>
                <w:tab w:val="left" w:pos="1452"/>
              </w:tabs>
              <w:ind w:left="1452" w:hanging="1452"/>
              <w:rPr>
                <w:rFonts w:cs="Arial"/>
                <w:b/>
                <w:bCs/>
                <w:sz w:val="16"/>
                <w:szCs w:val="16"/>
              </w:rPr>
            </w:pPr>
            <w:r w:rsidRPr="001A1334">
              <w:rPr>
                <w:rFonts w:cs="Arial"/>
                <w:b/>
                <w:bCs/>
                <w:sz w:val="16"/>
                <w:szCs w:val="16"/>
              </w:rPr>
              <w:t>Expected Result:</w:t>
            </w:r>
            <w:r w:rsidRPr="001A1334">
              <w:rPr>
                <w:rFonts w:cs="Arial"/>
                <w:b/>
                <w:bCs/>
                <w:sz w:val="16"/>
                <w:szCs w:val="16"/>
              </w:rPr>
              <w:tab/>
            </w:r>
            <w:r w:rsidRPr="00EF26A9">
              <w:rPr>
                <w:rFonts w:cs="Arial"/>
                <w:color w:val="000000"/>
                <w:sz w:val="16"/>
                <w:szCs w:val="16"/>
              </w:rPr>
              <w:t xml:space="preserve">II.9 Effective intellectual property protection in the </w:t>
            </w:r>
            <w:proofErr w:type="spellStart"/>
            <w:r w:rsidRPr="00EF26A9">
              <w:rPr>
                <w:rFonts w:cs="Arial"/>
                <w:color w:val="000000"/>
                <w:sz w:val="16"/>
                <w:szCs w:val="16"/>
              </w:rPr>
              <w:t>gTLDs</w:t>
            </w:r>
            <w:proofErr w:type="spellEnd"/>
            <w:r w:rsidRPr="00EF26A9">
              <w:rPr>
                <w:rFonts w:cs="Arial"/>
                <w:color w:val="000000"/>
                <w:sz w:val="16"/>
                <w:szCs w:val="16"/>
              </w:rPr>
              <w:t xml:space="preserve"> and the </w:t>
            </w:r>
            <w:proofErr w:type="spellStart"/>
            <w:r w:rsidRPr="00EF26A9">
              <w:rPr>
                <w:rFonts w:cs="Arial"/>
                <w:color w:val="000000"/>
                <w:sz w:val="16"/>
                <w:szCs w:val="16"/>
              </w:rPr>
              <w:t>ccTLDs</w:t>
            </w:r>
            <w:proofErr w:type="spellEnd"/>
          </w:p>
        </w:tc>
      </w:tr>
      <w:tr w:rsidR="009A04DE" w:rsidRPr="001A1334" w:rsidTr="00F54CA4">
        <w:trPr>
          <w:cantSplit/>
        </w:trPr>
        <w:tc>
          <w:tcPr>
            <w:tcW w:w="1140" w:type="pct"/>
            <w:tcBorders>
              <w:top w:val="single" w:sz="4" w:space="0" w:color="auto"/>
            </w:tcBorders>
            <w:shd w:val="clear" w:color="auto" w:fill="auto"/>
            <w:vAlign w:val="center"/>
          </w:tcPr>
          <w:p w:rsidR="009A04DE" w:rsidRPr="001A1334" w:rsidRDefault="009A04DE" w:rsidP="00017954">
            <w:pPr>
              <w:keepNext/>
              <w:keepLines/>
              <w:rPr>
                <w:rFonts w:cs="Arial"/>
                <w:sz w:val="16"/>
                <w:szCs w:val="16"/>
              </w:rPr>
            </w:pPr>
            <w:r w:rsidRPr="001A1334">
              <w:rPr>
                <w:rFonts w:cs="Arial"/>
                <w:b/>
                <w:bCs/>
                <w:sz w:val="16"/>
                <w:szCs w:val="16"/>
              </w:rPr>
              <w:t>Performance Indicators</w:t>
            </w:r>
          </w:p>
        </w:tc>
        <w:tc>
          <w:tcPr>
            <w:tcW w:w="1211" w:type="pct"/>
            <w:tcBorders>
              <w:top w:val="single" w:sz="4" w:space="0" w:color="auto"/>
            </w:tcBorders>
            <w:shd w:val="clear" w:color="auto" w:fill="auto"/>
            <w:vAlign w:val="center"/>
          </w:tcPr>
          <w:p w:rsidR="009A04DE" w:rsidRPr="001A1334" w:rsidRDefault="009A04DE" w:rsidP="00017954">
            <w:pPr>
              <w:keepNext/>
              <w:keepLines/>
              <w:rPr>
                <w:rFonts w:cs="Arial"/>
                <w:b/>
                <w:bCs/>
                <w:sz w:val="16"/>
                <w:szCs w:val="16"/>
              </w:rPr>
            </w:pPr>
            <w:r w:rsidRPr="001A1334">
              <w:rPr>
                <w:rFonts w:cs="Arial"/>
                <w:b/>
                <w:bCs/>
                <w:sz w:val="16"/>
                <w:szCs w:val="16"/>
              </w:rPr>
              <w:t>Baselines</w:t>
            </w:r>
          </w:p>
        </w:tc>
        <w:tc>
          <w:tcPr>
            <w:tcW w:w="911" w:type="pct"/>
            <w:tcBorders>
              <w:top w:val="single" w:sz="4" w:space="0" w:color="auto"/>
            </w:tcBorders>
            <w:shd w:val="clear" w:color="auto" w:fill="auto"/>
            <w:tcMar>
              <w:top w:w="110" w:type="dxa"/>
            </w:tcMar>
            <w:vAlign w:val="center"/>
          </w:tcPr>
          <w:p w:rsidR="009A04DE" w:rsidRPr="001A1334" w:rsidRDefault="009A04DE" w:rsidP="00017954">
            <w:pPr>
              <w:keepNext/>
              <w:keepLines/>
              <w:rPr>
                <w:rFonts w:cs="Arial"/>
                <w:b/>
                <w:sz w:val="16"/>
                <w:szCs w:val="16"/>
              </w:rPr>
            </w:pPr>
            <w:r w:rsidRPr="001A1334">
              <w:rPr>
                <w:rFonts w:cs="Arial"/>
                <w:b/>
                <w:sz w:val="16"/>
                <w:szCs w:val="16"/>
              </w:rPr>
              <w:t>Targets</w:t>
            </w:r>
          </w:p>
        </w:tc>
        <w:tc>
          <w:tcPr>
            <w:tcW w:w="1211" w:type="pct"/>
            <w:tcBorders>
              <w:top w:val="single" w:sz="4" w:space="0" w:color="auto"/>
            </w:tcBorders>
            <w:shd w:val="clear" w:color="auto" w:fill="auto"/>
            <w:tcMar>
              <w:top w:w="110" w:type="dxa"/>
            </w:tcMar>
            <w:vAlign w:val="center"/>
          </w:tcPr>
          <w:p w:rsidR="009A04DE" w:rsidRPr="001A1334" w:rsidRDefault="009A04DE" w:rsidP="00017954">
            <w:pPr>
              <w:keepNext/>
              <w:keepLines/>
              <w:rPr>
                <w:rFonts w:cs="Arial"/>
                <w:sz w:val="16"/>
                <w:szCs w:val="16"/>
              </w:rPr>
            </w:pPr>
            <w:r w:rsidRPr="001A1334">
              <w:rPr>
                <w:rFonts w:cs="Arial"/>
                <w:b/>
                <w:bCs/>
                <w:sz w:val="16"/>
                <w:szCs w:val="16"/>
              </w:rPr>
              <w:t>Performance Data</w:t>
            </w:r>
          </w:p>
        </w:tc>
        <w:tc>
          <w:tcPr>
            <w:tcW w:w="527" w:type="pct"/>
            <w:tcBorders>
              <w:top w:val="single" w:sz="4" w:space="0" w:color="auto"/>
            </w:tcBorders>
            <w:shd w:val="clear" w:color="auto" w:fill="auto"/>
            <w:tcMar>
              <w:top w:w="110" w:type="dxa"/>
            </w:tcMar>
            <w:vAlign w:val="center"/>
          </w:tcPr>
          <w:p w:rsidR="009A04DE" w:rsidRPr="001A1334" w:rsidRDefault="009A04DE" w:rsidP="00017954">
            <w:pPr>
              <w:keepNext/>
              <w:keepLines/>
              <w:jc w:val="center"/>
              <w:rPr>
                <w:rFonts w:cs="Arial"/>
                <w:b/>
                <w:bCs/>
                <w:sz w:val="16"/>
                <w:szCs w:val="16"/>
              </w:rPr>
            </w:pPr>
            <w:r w:rsidRPr="001A1334">
              <w:rPr>
                <w:rFonts w:cs="Arial"/>
                <w:b/>
                <w:bCs/>
                <w:sz w:val="16"/>
                <w:szCs w:val="16"/>
              </w:rPr>
              <w:t>TLS</w:t>
            </w:r>
          </w:p>
        </w:tc>
      </w:tr>
      <w:tr w:rsidR="009A04DE" w:rsidRPr="001A1334" w:rsidTr="00F54CA4">
        <w:trPr>
          <w:cantSplit/>
        </w:trPr>
        <w:tc>
          <w:tcPr>
            <w:tcW w:w="1140" w:type="pct"/>
            <w:shd w:val="clear" w:color="auto" w:fill="auto"/>
          </w:tcPr>
          <w:p w:rsidR="009A04DE" w:rsidRPr="001A1334" w:rsidRDefault="009A04DE" w:rsidP="00017954">
            <w:pPr>
              <w:rPr>
                <w:rFonts w:cs="Arial"/>
                <w:sz w:val="16"/>
                <w:szCs w:val="16"/>
                <w:lang w:bidi="th-TH"/>
              </w:rPr>
            </w:pPr>
            <w:r w:rsidRPr="00EF26A9">
              <w:rPr>
                <w:rFonts w:cs="Arial"/>
                <w:color w:val="000000"/>
                <w:sz w:val="16"/>
                <w:szCs w:val="16"/>
              </w:rPr>
              <w:t xml:space="preserve">No. of </w:t>
            </w:r>
            <w:proofErr w:type="spellStart"/>
            <w:r w:rsidRPr="00EF26A9">
              <w:rPr>
                <w:rFonts w:cs="Arial"/>
                <w:color w:val="000000"/>
                <w:sz w:val="16"/>
                <w:szCs w:val="16"/>
              </w:rPr>
              <w:t>gTLD</w:t>
            </w:r>
            <w:proofErr w:type="spellEnd"/>
            <w:r w:rsidRPr="00EF26A9">
              <w:rPr>
                <w:rFonts w:cs="Arial"/>
                <w:color w:val="000000"/>
                <w:sz w:val="16"/>
                <w:szCs w:val="16"/>
              </w:rPr>
              <w:t xml:space="preserve"> UDRP cases administered</w:t>
            </w:r>
          </w:p>
        </w:tc>
        <w:tc>
          <w:tcPr>
            <w:tcW w:w="1211" w:type="pct"/>
            <w:shd w:val="clear" w:color="auto" w:fill="auto"/>
          </w:tcPr>
          <w:p w:rsidR="009A04DE" w:rsidRPr="001A1334" w:rsidRDefault="009A04DE" w:rsidP="00017954">
            <w:pPr>
              <w:rPr>
                <w:rFonts w:cs="Arial"/>
                <w:i/>
                <w:color w:val="002060"/>
                <w:sz w:val="16"/>
                <w:szCs w:val="16"/>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r w:rsidRPr="00EF26A9">
              <w:rPr>
                <w:rFonts w:cs="Arial"/>
                <w:color w:val="002060"/>
                <w:sz w:val="16"/>
                <w:szCs w:val="16"/>
              </w:rPr>
              <w:t xml:space="preserve">24,901 </w:t>
            </w:r>
            <w:proofErr w:type="spellStart"/>
            <w:r w:rsidRPr="00EF26A9">
              <w:rPr>
                <w:rFonts w:cs="Arial"/>
                <w:color w:val="002060"/>
                <w:sz w:val="16"/>
                <w:szCs w:val="16"/>
              </w:rPr>
              <w:t>gTLD</w:t>
            </w:r>
            <w:proofErr w:type="spellEnd"/>
            <w:r w:rsidRPr="00EF26A9">
              <w:rPr>
                <w:rFonts w:cs="Arial"/>
                <w:color w:val="002060"/>
                <w:sz w:val="16"/>
                <w:szCs w:val="16"/>
              </w:rPr>
              <w:t xml:space="preserve"> cases administered by the Center(cumulative per end 201</w:t>
            </w:r>
            <w:r>
              <w:rPr>
                <w:rFonts w:cs="Arial"/>
                <w:color w:val="002060"/>
                <w:sz w:val="16"/>
                <w:szCs w:val="16"/>
              </w:rPr>
              <w:t>3</w:t>
            </w:r>
            <w:r w:rsidRPr="00EF26A9">
              <w:rPr>
                <w:rFonts w:cs="Arial"/>
                <w:color w:val="002060"/>
                <w:sz w:val="16"/>
                <w:szCs w:val="16"/>
              </w:rPr>
              <w:t>)</w:t>
            </w:r>
            <w:r>
              <w:rPr>
                <w:rFonts w:cs="Arial"/>
                <w:color w:val="002060"/>
                <w:sz w:val="16"/>
                <w:szCs w:val="16"/>
              </w:rPr>
              <w:t xml:space="preserve"> </w:t>
            </w:r>
          </w:p>
          <w:p w:rsidR="009A04DE" w:rsidRPr="001A1334" w:rsidRDefault="009A04DE" w:rsidP="00017954">
            <w:pPr>
              <w:rPr>
                <w:rFonts w:cs="Arial"/>
                <w:i/>
                <w:sz w:val="8"/>
                <w:szCs w:val="8"/>
              </w:rPr>
            </w:pPr>
          </w:p>
          <w:p w:rsidR="009A04DE" w:rsidRPr="001A1334" w:rsidRDefault="009A04DE" w:rsidP="00017954">
            <w:pPr>
              <w:rPr>
                <w:rFonts w:cs="Arial"/>
                <w:sz w:val="16"/>
                <w:szCs w:val="16"/>
              </w:rPr>
            </w:pPr>
            <w:r>
              <w:rPr>
                <w:rFonts w:cs="Arial"/>
                <w:i/>
                <w:sz w:val="16"/>
                <w:szCs w:val="16"/>
              </w:rPr>
              <w:t>Original Baseline P&amp;B 2014/15</w:t>
            </w:r>
            <w:r w:rsidRPr="001A1334">
              <w:rPr>
                <w:rFonts w:cs="Arial"/>
                <w:i/>
                <w:sz w:val="16"/>
                <w:szCs w:val="16"/>
              </w:rPr>
              <w:t>:</w:t>
            </w:r>
            <w:r>
              <w:rPr>
                <w:rFonts w:cs="Arial"/>
                <w:i/>
                <w:sz w:val="16"/>
                <w:szCs w:val="16"/>
              </w:rPr>
              <w:t xml:space="preserve"> </w:t>
            </w:r>
            <w:r w:rsidRPr="00EF26A9">
              <w:rPr>
                <w:rFonts w:cs="Arial"/>
                <w:sz w:val="16"/>
                <w:szCs w:val="16"/>
              </w:rPr>
              <w:t xml:space="preserve">22,644 </w:t>
            </w:r>
            <w:proofErr w:type="spellStart"/>
            <w:r w:rsidRPr="00EF26A9">
              <w:rPr>
                <w:rFonts w:cs="Arial"/>
                <w:sz w:val="16"/>
                <w:szCs w:val="16"/>
              </w:rPr>
              <w:t>gTLD</w:t>
            </w:r>
            <w:proofErr w:type="spellEnd"/>
            <w:r w:rsidRPr="00EF26A9">
              <w:rPr>
                <w:rFonts w:cs="Arial"/>
                <w:sz w:val="16"/>
                <w:szCs w:val="16"/>
              </w:rPr>
              <w:t xml:space="preserve"> cases administered by the Center(cumulative per end 2012)</w:t>
            </w:r>
          </w:p>
          <w:p w:rsidR="009A04DE" w:rsidRPr="001A1334" w:rsidRDefault="009A04DE" w:rsidP="00017954">
            <w:pPr>
              <w:rPr>
                <w:rFonts w:cs="Arial"/>
                <w:sz w:val="16"/>
                <w:szCs w:val="16"/>
              </w:rPr>
            </w:pPr>
          </w:p>
        </w:tc>
        <w:tc>
          <w:tcPr>
            <w:tcW w:w="911" w:type="pct"/>
            <w:shd w:val="clear" w:color="auto" w:fill="auto"/>
            <w:tcMar>
              <w:top w:w="110" w:type="dxa"/>
            </w:tcMar>
          </w:tcPr>
          <w:p w:rsidR="009A04DE" w:rsidRPr="00483CBD" w:rsidRDefault="009A04DE" w:rsidP="00017954">
            <w:pPr>
              <w:autoSpaceDE w:val="0"/>
              <w:autoSpaceDN w:val="0"/>
              <w:adjustRightInd w:val="0"/>
              <w:rPr>
                <w:rFonts w:cs="Arial"/>
                <w:sz w:val="16"/>
                <w:szCs w:val="16"/>
              </w:rPr>
            </w:pPr>
            <w:r w:rsidRPr="00EF26A9">
              <w:rPr>
                <w:rFonts w:cs="Arial"/>
                <w:sz w:val="16"/>
                <w:szCs w:val="16"/>
              </w:rPr>
              <w:t>3,000 additional cases</w:t>
            </w:r>
          </w:p>
        </w:tc>
        <w:tc>
          <w:tcPr>
            <w:tcW w:w="1211" w:type="pct"/>
            <w:shd w:val="clear" w:color="auto" w:fill="auto"/>
            <w:tcMar>
              <w:top w:w="110" w:type="dxa"/>
            </w:tcMar>
          </w:tcPr>
          <w:p w:rsidR="009A04DE" w:rsidRDefault="009A04DE" w:rsidP="00017954">
            <w:pPr>
              <w:rPr>
                <w:rFonts w:cs="Arial"/>
                <w:sz w:val="16"/>
                <w:szCs w:val="16"/>
                <w:lang w:bidi="th-TH"/>
              </w:rPr>
            </w:pPr>
            <w:r w:rsidRPr="00EF26A9">
              <w:rPr>
                <w:rFonts w:cs="Arial"/>
                <w:sz w:val="16"/>
                <w:szCs w:val="16"/>
                <w:lang w:bidi="th-TH"/>
              </w:rPr>
              <w:t xml:space="preserve">2,288 </w:t>
            </w:r>
            <w:proofErr w:type="spellStart"/>
            <w:r w:rsidRPr="00EF26A9">
              <w:rPr>
                <w:rFonts w:cs="Arial"/>
                <w:sz w:val="16"/>
                <w:szCs w:val="16"/>
                <w:lang w:bidi="th-TH"/>
              </w:rPr>
              <w:t>gTLD</w:t>
            </w:r>
            <w:proofErr w:type="spellEnd"/>
            <w:r w:rsidRPr="00EF26A9">
              <w:rPr>
                <w:rFonts w:cs="Arial"/>
                <w:sz w:val="16"/>
                <w:szCs w:val="16"/>
                <w:lang w:bidi="th-TH"/>
              </w:rPr>
              <w:t xml:space="preserve"> </w:t>
            </w:r>
            <w:r>
              <w:rPr>
                <w:rFonts w:cs="Arial"/>
                <w:sz w:val="16"/>
                <w:szCs w:val="16"/>
                <w:lang w:bidi="th-TH"/>
              </w:rPr>
              <w:t xml:space="preserve">additional </w:t>
            </w:r>
            <w:r w:rsidRPr="00EF26A9">
              <w:rPr>
                <w:rFonts w:cs="Arial"/>
                <w:sz w:val="16"/>
                <w:szCs w:val="16"/>
                <w:lang w:bidi="th-TH"/>
              </w:rPr>
              <w:t>cases (2014)</w:t>
            </w:r>
          </w:p>
          <w:p w:rsidR="009A04DE" w:rsidRPr="00483CBD" w:rsidRDefault="009A04DE" w:rsidP="00017954">
            <w:pPr>
              <w:rPr>
                <w:rFonts w:cs="Arial"/>
                <w:sz w:val="16"/>
                <w:szCs w:val="16"/>
                <w:lang w:bidi="th-TH"/>
              </w:rPr>
            </w:pPr>
            <w:r>
              <w:rPr>
                <w:rFonts w:cs="Arial"/>
                <w:sz w:val="16"/>
                <w:szCs w:val="16"/>
                <w:lang w:bidi="th-TH"/>
              </w:rPr>
              <w:t xml:space="preserve">(27,189 </w:t>
            </w:r>
            <w:proofErr w:type="spellStart"/>
            <w:r>
              <w:rPr>
                <w:rFonts w:cs="Arial"/>
                <w:sz w:val="16"/>
                <w:szCs w:val="16"/>
                <w:lang w:bidi="th-TH"/>
              </w:rPr>
              <w:t>gTLD</w:t>
            </w:r>
            <w:proofErr w:type="spellEnd"/>
            <w:r>
              <w:rPr>
                <w:rFonts w:cs="Arial"/>
                <w:sz w:val="16"/>
                <w:szCs w:val="16"/>
                <w:lang w:bidi="th-TH"/>
              </w:rPr>
              <w:t xml:space="preserve"> cases cumulative)</w:t>
            </w:r>
          </w:p>
        </w:tc>
        <w:tc>
          <w:tcPr>
            <w:tcW w:w="527" w:type="pct"/>
            <w:shd w:val="clear" w:color="auto" w:fill="auto"/>
            <w:tcMar>
              <w:top w:w="110" w:type="dxa"/>
            </w:tcMar>
          </w:tcPr>
          <w:p w:rsidR="009A04DE" w:rsidRPr="001A1334" w:rsidRDefault="009A04DE" w:rsidP="00017954">
            <w:pPr>
              <w:keepNext/>
              <w:keepLines/>
              <w:jc w:val="center"/>
              <w:rPr>
                <w:rFonts w:cs="Arial"/>
                <w:bCs/>
                <w:color w:val="008000"/>
                <w:sz w:val="16"/>
                <w:szCs w:val="16"/>
              </w:rPr>
            </w:pPr>
            <w:r w:rsidRPr="00EF26A9">
              <w:rPr>
                <w:rStyle w:val="Style5"/>
                <w:rFonts w:ascii="Arial" w:hAnsi="Arial" w:cs="Arial"/>
                <w:b/>
                <w:color w:val="00B050"/>
                <w:sz w:val="16"/>
                <w:szCs w:val="16"/>
              </w:rPr>
              <w:t>On track</w:t>
            </w:r>
          </w:p>
        </w:tc>
      </w:tr>
      <w:tr w:rsidR="00A2049F" w:rsidRPr="001A1334" w:rsidTr="00F54CA4">
        <w:trPr>
          <w:cantSplit/>
        </w:trPr>
        <w:tc>
          <w:tcPr>
            <w:tcW w:w="1140" w:type="pct"/>
            <w:shd w:val="clear" w:color="auto" w:fill="auto"/>
            <w:vAlign w:val="center"/>
          </w:tcPr>
          <w:p w:rsidR="00A2049F" w:rsidRPr="001A1334" w:rsidRDefault="00A2049F" w:rsidP="00A2049F">
            <w:pPr>
              <w:keepNext/>
              <w:keepLines/>
              <w:rPr>
                <w:rFonts w:cs="Arial"/>
                <w:sz w:val="16"/>
                <w:szCs w:val="16"/>
              </w:rPr>
            </w:pPr>
            <w:r w:rsidRPr="001A1334">
              <w:rPr>
                <w:rFonts w:cs="Arial"/>
                <w:b/>
                <w:bCs/>
                <w:sz w:val="16"/>
                <w:szCs w:val="16"/>
              </w:rPr>
              <w:lastRenderedPageBreak/>
              <w:t xml:space="preserve">Performance </w:t>
            </w:r>
            <w:r>
              <w:rPr>
                <w:rFonts w:cs="Arial"/>
                <w:b/>
                <w:bCs/>
                <w:sz w:val="16"/>
                <w:szCs w:val="16"/>
              </w:rPr>
              <w:t>I</w:t>
            </w:r>
            <w:r w:rsidRPr="001A1334">
              <w:rPr>
                <w:rFonts w:cs="Arial"/>
                <w:b/>
                <w:bCs/>
                <w:sz w:val="16"/>
                <w:szCs w:val="16"/>
              </w:rPr>
              <w:t>ndicators</w:t>
            </w:r>
          </w:p>
        </w:tc>
        <w:tc>
          <w:tcPr>
            <w:tcW w:w="1211" w:type="pct"/>
            <w:shd w:val="clear" w:color="auto" w:fill="auto"/>
            <w:vAlign w:val="center"/>
          </w:tcPr>
          <w:p w:rsidR="00A2049F" w:rsidRPr="001A1334" w:rsidRDefault="00A2049F" w:rsidP="00A2049F">
            <w:pPr>
              <w:keepNext/>
              <w:keepLines/>
              <w:rPr>
                <w:rFonts w:cs="Arial"/>
                <w:b/>
                <w:bCs/>
                <w:sz w:val="16"/>
                <w:szCs w:val="16"/>
              </w:rPr>
            </w:pPr>
            <w:r w:rsidRPr="001A1334">
              <w:rPr>
                <w:rFonts w:cs="Arial"/>
                <w:b/>
                <w:bCs/>
                <w:sz w:val="16"/>
                <w:szCs w:val="16"/>
              </w:rPr>
              <w:t>Baselines</w:t>
            </w:r>
          </w:p>
        </w:tc>
        <w:tc>
          <w:tcPr>
            <w:tcW w:w="911" w:type="pct"/>
            <w:shd w:val="clear" w:color="auto" w:fill="auto"/>
            <w:tcMar>
              <w:top w:w="110" w:type="dxa"/>
            </w:tcMar>
            <w:vAlign w:val="center"/>
          </w:tcPr>
          <w:p w:rsidR="00A2049F" w:rsidRPr="001A1334" w:rsidRDefault="00A2049F" w:rsidP="00A2049F">
            <w:pPr>
              <w:keepNext/>
              <w:keepLines/>
              <w:rPr>
                <w:rFonts w:cs="Arial"/>
                <w:b/>
                <w:sz w:val="16"/>
                <w:szCs w:val="16"/>
              </w:rPr>
            </w:pPr>
            <w:r w:rsidRPr="001A1334">
              <w:rPr>
                <w:rFonts w:cs="Arial"/>
                <w:b/>
                <w:sz w:val="16"/>
                <w:szCs w:val="16"/>
              </w:rPr>
              <w:t>Targets</w:t>
            </w:r>
          </w:p>
        </w:tc>
        <w:tc>
          <w:tcPr>
            <w:tcW w:w="1211" w:type="pct"/>
            <w:shd w:val="clear" w:color="auto" w:fill="auto"/>
            <w:tcMar>
              <w:top w:w="110" w:type="dxa"/>
            </w:tcMar>
            <w:vAlign w:val="center"/>
          </w:tcPr>
          <w:p w:rsidR="00A2049F" w:rsidRPr="001A1334" w:rsidRDefault="00A2049F" w:rsidP="00A2049F">
            <w:pPr>
              <w:keepNext/>
              <w:keepLines/>
              <w:rPr>
                <w:rFonts w:cs="Arial"/>
                <w:sz w:val="16"/>
                <w:szCs w:val="16"/>
              </w:rPr>
            </w:pPr>
            <w:r w:rsidRPr="001A1334">
              <w:rPr>
                <w:rFonts w:cs="Arial"/>
                <w:b/>
                <w:bCs/>
                <w:sz w:val="16"/>
                <w:szCs w:val="16"/>
              </w:rPr>
              <w:t>Performance Data</w:t>
            </w:r>
          </w:p>
        </w:tc>
        <w:tc>
          <w:tcPr>
            <w:tcW w:w="527" w:type="pct"/>
            <w:shd w:val="clear" w:color="auto" w:fill="auto"/>
            <w:vAlign w:val="center"/>
          </w:tcPr>
          <w:p w:rsidR="00A2049F" w:rsidRPr="001A1334" w:rsidRDefault="00A2049F" w:rsidP="00A2049F">
            <w:pPr>
              <w:keepNext/>
              <w:keepLines/>
              <w:jc w:val="center"/>
              <w:rPr>
                <w:rFonts w:cs="Arial"/>
                <w:b/>
                <w:bCs/>
                <w:sz w:val="16"/>
                <w:szCs w:val="16"/>
              </w:rPr>
            </w:pPr>
            <w:r w:rsidRPr="001A1334">
              <w:rPr>
                <w:rFonts w:cs="Arial"/>
                <w:b/>
                <w:bCs/>
                <w:sz w:val="16"/>
                <w:szCs w:val="16"/>
              </w:rPr>
              <w:t>TLS</w:t>
            </w:r>
          </w:p>
        </w:tc>
      </w:tr>
      <w:tr w:rsidR="00A2049F" w:rsidRPr="001A1334" w:rsidTr="00F54CA4">
        <w:trPr>
          <w:cantSplit/>
        </w:trPr>
        <w:tc>
          <w:tcPr>
            <w:tcW w:w="1140" w:type="pct"/>
            <w:shd w:val="clear" w:color="auto" w:fill="auto"/>
          </w:tcPr>
          <w:p w:rsidR="00A2049F" w:rsidRPr="001A1334" w:rsidRDefault="00A2049F" w:rsidP="00A2049F">
            <w:pPr>
              <w:keepNext/>
              <w:keepLines/>
              <w:rPr>
                <w:rFonts w:cs="Arial"/>
                <w:sz w:val="16"/>
                <w:szCs w:val="16"/>
                <w:lang w:bidi="th-TH"/>
              </w:rPr>
            </w:pPr>
            <w:r w:rsidRPr="00EF26A9">
              <w:rPr>
                <w:rFonts w:cs="Arial"/>
                <w:color w:val="000000"/>
                <w:sz w:val="16"/>
                <w:szCs w:val="16"/>
              </w:rPr>
              <w:t xml:space="preserve">No. of </w:t>
            </w:r>
            <w:proofErr w:type="spellStart"/>
            <w:r w:rsidRPr="00EF26A9">
              <w:rPr>
                <w:rFonts w:cs="Arial"/>
                <w:color w:val="000000"/>
                <w:sz w:val="16"/>
                <w:szCs w:val="16"/>
              </w:rPr>
              <w:t>ccTLD</w:t>
            </w:r>
            <w:proofErr w:type="spellEnd"/>
            <w:r w:rsidRPr="00EF26A9">
              <w:rPr>
                <w:rFonts w:cs="Arial"/>
                <w:color w:val="000000"/>
                <w:sz w:val="16"/>
                <w:szCs w:val="16"/>
              </w:rPr>
              <w:t xml:space="preserve"> UDRP based cases administered</w:t>
            </w:r>
          </w:p>
        </w:tc>
        <w:tc>
          <w:tcPr>
            <w:tcW w:w="1211" w:type="pct"/>
            <w:shd w:val="clear" w:color="auto" w:fill="auto"/>
          </w:tcPr>
          <w:p w:rsidR="00A2049F" w:rsidRPr="001A1334" w:rsidRDefault="00A2049F" w:rsidP="00A2049F">
            <w:pPr>
              <w:keepNext/>
              <w:keepLines/>
              <w:rPr>
                <w:rFonts w:cs="Arial"/>
                <w:i/>
                <w:color w:val="002060"/>
                <w:sz w:val="16"/>
                <w:szCs w:val="16"/>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r w:rsidRPr="00EF26A9">
              <w:rPr>
                <w:rFonts w:cs="Arial"/>
                <w:color w:val="002060"/>
                <w:sz w:val="16"/>
                <w:szCs w:val="16"/>
              </w:rPr>
              <w:t xml:space="preserve">2,788 </w:t>
            </w:r>
            <w:proofErr w:type="spellStart"/>
            <w:r w:rsidRPr="00EF26A9">
              <w:rPr>
                <w:rFonts w:cs="Arial"/>
                <w:color w:val="002060"/>
                <w:sz w:val="16"/>
                <w:szCs w:val="16"/>
              </w:rPr>
              <w:t>ccTLD</w:t>
            </w:r>
            <w:proofErr w:type="spellEnd"/>
            <w:r w:rsidRPr="00EF26A9">
              <w:rPr>
                <w:rFonts w:cs="Arial"/>
                <w:color w:val="002060"/>
                <w:sz w:val="16"/>
                <w:szCs w:val="16"/>
              </w:rPr>
              <w:t>-only cases administered by the Center (cumulative per end 201</w:t>
            </w:r>
            <w:r>
              <w:rPr>
                <w:rFonts w:cs="Arial"/>
                <w:color w:val="002060"/>
                <w:sz w:val="16"/>
                <w:szCs w:val="16"/>
              </w:rPr>
              <w:t>3</w:t>
            </w:r>
            <w:r w:rsidRPr="00EF26A9">
              <w:rPr>
                <w:rFonts w:cs="Arial"/>
                <w:color w:val="002060"/>
                <w:sz w:val="16"/>
                <w:szCs w:val="16"/>
              </w:rPr>
              <w:t>)</w:t>
            </w:r>
          </w:p>
          <w:p w:rsidR="00A2049F" w:rsidRPr="001A1334" w:rsidRDefault="00A2049F" w:rsidP="00A2049F">
            <w:pPr>
              <w:keepNext/>
              <w:keepLines/>
              <w:rPr>
                <w:rFonts w:cs="Arial"/>
                <w:i/>
                <w:sz w:val="8"/>
                <w:szCs w:val="8"/>
              </w:rPr>
            </w:pPr>
          </w:p>
          <w:p w:rsidR="00A2049F" w:rsidRPr="001A1334" w:rsidRDefault="00A2049F" w:rsidP="00A2049F">
            <w:pPr>
              <w:keepNext/>
              <w:keepLines/>
              <w:rPr>
                <w:rFonts w:cs="Arial"/>
                <w:sz w:val="16"/>
                <w:szCs w:val="16"/>
              </w:rPr>
            </w:pPr>
            <w:r>
              <w:rPr>
                <w:rFonts w:cs="Arial"/>
                <w:i/>
                <w:sz w:val="16"/>
                <w:szCs w:val="16"/>
              </w:rPr>
              <w:t>Original Baseline P&amp;B 2014/15</w:t>
            </w:r>
            <w:r w:rsidRPr="001A1334">
              <w:rPr>
                <w:rFonts w:cs="Arial"/>
                <w:i/>
                <w:sz w:val="16"/>
                <w:szCs w:val="16"/>
              </w:rPr>
              <w:t>:</w:t>
            </w:r>
            <w:r>
              <w:rPr>
                <w:rFonts w:cs="Arial"/>
                <w:i/>
                <w:sz w:val="16"/>
                <w:szCs w:val="16"/>
              </w:rPr>
              <w:t xml:space="preserve"> </w:t>
            </w:r>
            <w:r w:rsidRPr="00EF26A9">
              <w:rPr>
                <w:rFonts w:cs="Arial"/>
                <w:sz w:val="16"/>
                <w:szCs w:val="16"/>
              </w:rPr>
              <w:t xml:space="preserve">2,470 </w:t>
            </w:r>
            <w:proofErr w:type="spellStart"/>
            <w:r w:rsidRPr="00EF26A9">
              <w:rPr>
                <w:rFonts w:cs="Arial"/>
                <w:sz w:val="16"/>
                <w:szCs w:val="16"/>
              </w:rPr>
              <w:t>ccTLD</w:t>
            </w:r>
            <w:proofErr w:type="spellEnd"/>
            <w:r w:rsidRPr="00EF26A9">
              <w:rPr>
                <w:rFonts w:cs="Arial"/>
                <w:sz w:val="16"/>
                <w:szCs w:val="16"/>
              </w:rPr>
              <w:t>-only cases administered by the Center (cumulative per end 2012</w:t>
            </w:r>
          </w:p>
          <w:p w:rsidR="00A2049F" w:rsidRPr="001A1334" w:rsidRDefault="00A2049F" w:rsidP="00A2049F">
            <w:pPr>
              <w:keepNext/>
              <w:keepLines/>
              <w:rPr>
                <w:rFonts w:cs="Arial"/>
                <w:sz w:val="16"/>
                <w:szCs w:val="16"/>
              </w:rPr>
            </w:pPr>
          </w:p>
        </w:tc>
        <w:tc>
          <w:tcPr>
            <w:tcW w:w="911" w:type="pct"/>
            <w:shd w:val="clear" w:color="auto" w:fill="auto"/>
            <w:tcMar>
              <w:top w:w="110" w:type="dxa"/>
            </w:tcMar>
          </w:tcPr>
          <w:p w:rsidR="00A2049F" w:rsidRPr="001A1334" w:rsidRDefault="00A2049F" w:rsidP="00A2049F">
            <w:pPr>
              <w:keepNext/>
              <w:keepLines/>
              <w:rPr>
                <w:rFonts w:cs="Arial"/>
                <w:sz w:val="16"/>
                <w:szCs w:val="16"/>
              </w:rPr>
            </w:pPr>
            <w:r w:rsidRPr="00EF26A9">
              <w:rPr>
                <w:rFonts w:cs="Arial"/>
                <w:sz w:val="16"/>
                <w:szCs w:val="16"/>
              </w:rPr>
              <w:t>350 additional cases</w:t>
            </w:r>
          </w:p>
        </w:tc>
        <w:tc>
          <w:tcPr>
            <w:tcW w:w="1211" w:type="pct"/>
            <w:shd w:val="clear" w:color="auto" w:fill="auto"/>
            <w:tcMar>
              <w:top w:w="110" w:type="dxa"/>
            </w:tcMar>
          </w:tcPr>
          <w:p w:rsidR="00A2049F" w:rsidRDefault="00A2049F" w:rsidP="00A2049F">
            <w:pPr>
              <w:keepNext/>
              <w:keepLines/>
              <w:rPr>
                <w:rFonts w:cs="Arial"/>
                <w:sz w:val="16"/>
                <w:szCs w:val="16"/>
                <w:lang w:bidi="th-TH"/>
              </w:rPr>
            </w:pPr>
            <w:r w:rsidRPr="00EF26A9">
              <w:rPr>
                <w:rFonts w:cs="Arial"/>
                <w:sz w:val="16"/>
                <w:szCs w:val="16"/>
                <w:lang w:bidi="th-TH"/>
              </w:rPr>
              <w:t>346</w:t>
            </w:r>
            <w:r>
              <w:rPr>
                <w:rFonts w:cs="Arial"/>
                <w:sz w:val="16"/>
                <w:szCs w:val="16"/>
                <w:lang w:bidi="th-TH"/>
              </w:rPr>
              <w:t xml:space="preserve"> additional </w:t>
            </w:r>
            <w:r w:rsidRPr="00EF26A9">
              <w:rPr>
                <w:rFonts w:cs="Arial"/>
                <w:sz w:val="16"/>
                <w:szCs w:val="16"/>
                <w:lang w:bidi="th-TH"/>
              </w:rPr>
              <w:t xml:space="preserve"> </w:t>
            </w:r>
            <w:proofErr w:type="spellStart"/>
            <w:r w:rsidRPr="00EF26A9">
              <w:rPr>
                <w:rFonts w:cs="Arial"/>
                <w:sz w:val="16"/>
                <w:szCs w:val="16"/>
                <w:lang w:bidi="th-TH"/>
              </w:rPr>
              <w:t>ccTLD</w:t>
            </w:r>
            <w:proofErr w:type="spellEnd"/>
            <w:r w:rsidRPr="00EF26A9">
              <w:rPr>
                <w:rFonts w:cs="Arial"/>
                <w:sz w:val="16"/>
                <w:szCs w:val="16"/>
                <w:lang w:bidi="th-TH"/>
              </w:rPr>
              <w:t>-only cases (2014)</w:t>
            </w:r>
          </w:p>
          <w:p w:rsidR="00A2049F" w:rsidRPr="001A1334" w:rsidRDefault="00A2049F" w:rsidP="00A2049F">
            <w:pPr>
              <w:keepNext/>
              <w:keepLines/>
              <w:rPr>
                <w:rFonts w:cs="Arial"/>
                <w:sz w:val="16"/>
                <w:szCs w:val="16"/>
                <w:lang w:bidi="th-TH"/>
              </w:rPr>
            </w:pPr>
            <w:r>
              <w:rPr>
                <w:rFonts w:cs="Arial"/>
                <w:sz w:val="16"/>
                <w:szCs w:val="16"/>
                <w:lang w:bidi="th-TH"/>
              </w:rPr>
              <w:t>(3,134 cumulative)</w:t>
            </w:r>
          </w:p>
        </w:tc>
        <w:tc>
          <w:tcPr>
            <w:tcW w:w="527" w:type="pct"/>
            <w:shd w:val="clear" w:color="auto" w:fill="auto"/>
          </w:tcPr>
          <w:p w:rsidR="00A2049F" w:rsidRPr="001A1334" w:rsidRDefault="00A2049F" w:rsidP="00A2049F">
            <w:pPr>
              <w:keepNext/>
              <w:keepLines/>
              <w:jc w:val="center"/>
              <w:rPr>
                <w:rFonts w:cs="Arial"/>
                <w:b/>
                <w:bCs/>
                <w:color w:val="333333"/>
                <w:sz w:val="16"/>
                <w:szCs w:val="16"/>
              </w:rPr>
            </w:pPr>
            <w:r w:rsidRPr="00EF26A9">
              <w:rPr>
                <w:rStyle w:val="Style5"/>
                <w:rFonts w:ascii="Arial" w:hAnsi="Arial" w:cs="Arial"/>
                <w:b/>
                <w:color w:val="00B050"/>
                <w:sz w:val="16"/>
                <w:szCs w:val="16"/>
              </w:rPr>
              <w:t>On track</w:t>
            </w:r>
          </w:p>
        </w:tc>
      </w:tr>
      <w:tr w:rsidR="00A2049F" w:rsidRPr="001A1334" w:rsidTr="00F54CA4">
        <w:trPr>
          <w:cantSplit/>
        </w:trPr>
        <w:tc>
          <w:tcPr>
            <w:tcW w:w="1140" w:type="pct"/>
            <w:shd w:val="clear" w:color="auto" w:fill="auto"/>
          </w:tcPr>
          <w:p w:rsidR="00A2049F" w:rsidRDefault="00A2049F" w:rsidP="00017954">
            <w:pPr>
              <w:rPr>
                <w:rFonts w:cs="Arial"/>
                <w:sz w:val="16"/>
                <w:szCs w:val="16"/>
                <w:lang w:bidi="th-TH"/>
              </w:rPr>
            </w:pPr>
            <w:r w:rsidRPr="00EF26A9">
              <w:rPr>
                <w:rFonts w:cs="Arial"/>
                <w:color w:val="000000"/>
                <w:sz w:val="16"/>
                <w:szCs w:val="16"/>
              </w:rPr>
              <w:t>Dispute resolution policies in the Domain Name System to the development and implementation of which policies the Center has contributed</w:t>
            </w:r>
          </w:p>
          <w:p w:rsidR="00A2049F" w:rsidRPr="00EF26A9" w:rsidRDefault="00A2049F" w:rsidP="00017954">
            <w:pPr>
              <w:rPr>
                <w:rFonts w:cs="Arial"/>
                <w:sz w:val="16"/>
                <w:szCs w:val="16"/>
                <w:lang w:bidi="th-TH"/>
              </w:rPr>
            </w:pPr>
          </w:p>
          <w:p w:rsidR="00A2049F" w:rsidRPr="00EF26A9" w:rsidRDefault="00A2049F" w:rsidP="00017954">
            <w:pPr>
              <w:rPr>
                <w:rFonts w:cs="Arial"/>
                <w:sz w:val="16"/>
                <w:szCs w:val="16"/>
                <w:lang w:bidi="th-TH"/>
              </w:rPr>
            </w:pPr>
          </w:p>
          <w:p w:rsidR="00A2049F" w:rsidRPr="00EF26A9" w:rsidRDefault="00A2049F" w:rsidP="00017954">
            <w:pPr>
              <w:rPr>
                <w:rFonts w:cs="Arial"/>
                <w:sz w:val="16"/>
                <w:szCs w:val="16"/>
                <w:lang w:bidi="th-TH"/>
              </w:rPr>
            </w:pPr>
          </w:p>
          <w:p w:rsidR="00A2049F" w:rsidRPr="00EF26A9" w:rsidRDefault="00A2049F" w:rsidP="00017954">
            <w:pPr>
              <w:rPr>
                <w:rFonts w:cs="Arial"/>
                <w:sz w:val="16"/>
                <w:szCs w:val="16"/>
                <w:lang w:bidi="th-TH"/>
              </w:rPr>
            </w:pPr>
          </w:p>
        </w:tc>
        <w:tc>
          <w:tcPr>
            <w:tcW w:w="1211" w:type="pct"/>
            <w:shd w:val="clear" w:color="auto" w:fill="auto"/>
          </w:tcPr>
          <w:p w:rsidR="00A2049F" w:rsidRPr="001A1334" w:rsidRDefault="00A2049F" w:rsidP="00017954">
            <w:pPr>
              <w:rPr>
                <w:rFonts w:cs="Arial"/>
                <w:i/>
                <w:color w:val="002060"/>
                <w:sz w:val="16"/>
                <w:szCs w:val="16"/>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r w:rsidRPr="00EF26A9">
              <w:rPr>
                <w:rFonts w:cs="Arial"/>
                <w:color w:val="002060"/>
                <w:sz w:val="16"/>
                <w:szCs w:val="16"/>
              </w:rPr>
              <w:t>UDRP, Pre-Delegation Dispute Resolution Policy, Trademark Post-Delegation Dispute Resolution Procedure (cumulative per end 2013)</w:t>
            </w:r>
          </w:p>
          <w:p w:rsidR="00A2049F" w:rsidRPr="001A1334" w:rsidRDefault="00A2049F" w:rsidP="00017954">
            <w:pPr>
              <w:rPr>
                <w:rFonts w:cs="Arial"/>
                <w:i/>
                <w:sz w:val="8"/>
                <w:szCs w:val="8"/>
              </w:rPr>
            </w:pPr>
          </w:p>
          <w:p w:rsidR="00A2049F" w:rsidRDefault="00A2049F" w:rsidP="00017954">
            <w:pPr>
              <w:rPr>
                <w:rFonts w:cs="Arial"/>
                <w:sz w:val="16"/>
                <w:szCs w:val="16"/>
              </w:rPr>
            </w:pPr>
            <w:r>
              <w:rPr>
                <w:rFonts w:cs="Arial"/>
                <w:i/>
                <w:sz w:val="16"/>
                <w:szCs w:val="16"/>
              </w:rPr>
              <w:t>Original Baseline P&amp;B 2014/15</w:t>
            </w:r>
            <w:r w:rsidRPr="001A1334">
              <w:rPr>
                <w:rFonts w:cs="Arial"/>
                <w:i/>
                <w:sz w:val="16"/>
                <w:szCs w:val="16"/>
              </w:rPr>
              <w:t>:</w:t>
            </w:r>
            <w:r>
              <w:rPr>
                <w:rFonts w:cs="Arial"/>
                <w:i/>
                <w:sz w:val="16"/>
                <w:szCs w:val="16"/>
              </w:rPr>
              <w:t xml:space="preserve"> </w:t>
            </w:r>
            <w:r w:rsidRPr="00EF26A9">
              <w:rPr>
                <w:rFonts w:cs="Arial"/>
                <w:sz w:val="16"/>
                <w:szCs w:val="16"/>
              </w:rPr>
              <w:t>UDRP, Pre-Delegation Dispute Resolution Policy (cumulative per end 2012)</w:t>
            </w:r>
          </w:p>
          <w:p w:rsidR="00A2049F" w:rsidRPr="001A1334" w:rsidRDefault="00A2049F" w:rsidP="00017954">
            <w:pPr>
              <w:rPr>
                <w:rFonts w:cs="Arial"/>
                <w:sz w:val="16"/>
                <w:szCs w:val="16"/>
              </w:rPr>
            </w:pPr>
          </w:p>
        </w:tc>
        <w:tc>
          <w:tcPr>
            <w:tcW w:w="911" w:type="pct"/>
            <w:shd w:val="clear" w:color="auto" w:fill="auto"/>
            <w:tcMar>
              <w:top w:w="110" w:type="dxa"/>
            </w:tcMar>
          </w:tcPr>
          <w:p w:rsidR="00A2049F" w:rsidRDefault="00A2049F" w:rsidP="00017954">
            <w:pPr>
              <w:rPr>
                <w:rFonts w:cs="Arial"/>
                <w:sz w:val="16"/>
                <w:szCs w:val="16"/>
              </w:rPr>
            </w:pPr>
            <w:r w:rsidRPr="00EF26A9">
              <w:rPr>
                <w:rFonts w:cs="Arial"/>
                <w:sz w:val="16"/>
                <w:szCs w:val="16"/>
              </w:rPr>
              <w:t>Implementation in the Domain Name System of WIPO policy and process recommendations</w:t>
            </w:r>
          </w:p>
          <w:p w:rsidR="00A2049F" w:rsidRDefault="00A2049F" w:rsidP="00017954">
            <w:pPr>
              <w:rPr>
                <w:rFonts w:cs="Arial"/>
                <w:sz w:val="16"/>
                <w:szCs w:val="16"/>
              </w:rPr>
            </w:pPr>
          </w:p>
          <w:p w:rsidR="00A2049F" w:rsidRDefault="00A2049F" w:rsidP="00017954">
            <w:pPr>
              <w:rPr>
                <w:rFonts w:cs="Arial"/>
                <w:sz w:val="16"/>
                <w:szCs w:val="16"/>
              </w:rPr>
            </w:pPr>
          </w:p>
          <w:p w:rsidR="00A2049F" w:rsidRDefault="00A2049F" w:rsidP="00017954">
            <w:pPr>
              <w:rPr>
                <w:rFonts w:cs="Arial"/>
                <w:sz w:val="16"/>
                <w:szCs w:val="16"/>
              </w:rPr>
            </w:pPr>
          </w:p>
          <w:p w:rsidR="00A2049F" w:rsidRDefault="00A2049F" w:rsidP="00017954">
            <w:pPr>
              <w:rPr>
                <w:rFonts w:cs="Arial"/>
                <w:sz w:val="16"/>
                <w:szCs w:val="16"/>
              </w:rPr>
            </w:pPr>
          </w:p>
          <w:p w:rsidR="00A2049F" w:rsidRDefault="00A2049F" w:rsidP="00017954">
            <w:pPr>
              <w:rPr>
                <w:rFonts w:cs="Arial"/>
                <w:sz w:val="16"/>
                <w:szCs w:val="16"/>
              </w:rPr>
            </w:pPr>
          </w:p>
          <w:p w:rsidR="00A2049F" w:rsidRPr="001A1334" w:rsidRDefault="00A2049F" w:rsidP="00017954">
            <w:pPr>
              <w:rPr>
                <w:rFonts w:cs="Arial"/>
                <w:sz w:val="16"/>
                <w:szCs w:val="16"/>
              </w:rPr>
            </w:pPr>
          </w:p>
        </w:tc>
        <w:tc>
          <w:tcPr>
            <w:tcW w:w="1211" w:type="pct"/>
            <w:shd w:val="clear" w:color="auto" w:fill="auto"/>
            <w:tcMar>
              <w:top w:w="110" w:type="dxa"/>
            </w:tcMar>
          </w:tcPr>
          <w:p w:rsidR="00A2049F" w:rsidRPr="001A1334" w:rsidRDefault="00A2049F" w:rsidP="00017954">
            <w:pPr>
              <w:rPr>
                <w:rFonts w:cs="Arial"/>
                <w:sz w:val="16"/>
                <w:szCs w:val="16"/>
                <w:lang w:bidi="th-TH"/>
              </w:rPr>
            </w:pPr>
            <w:r w:rsidRPr="00EF26A9">
              <w:rPr>
                <w:rFonts w:cs="Arial"/>
                <w:sz w:val="16"/>
                <w:szCs w:val="16"/>
                <w:lang w:bidi="th-TH"/>
              </w:rPr>
              <w:t xml:space="preserve">Continued applicability of UDRP, </w:t>
            </w:r>
            <w:r>
              <w:rPr>
                <w:rFonts w:cs="Arial"/>
                <w:sz w:val="16"/>
                <w:szCs w:val="16"/>
                <w:lang w:bidi="th-TH"/>
              </w:rPr>
              <w:t xml:space="preserve">ICANN </w:t>
            </w:r>
            <w:r w:rsidRPr="00EF26A9">
              <w:rPr>
                <w:rFonts w:cs="Arial"/>
                <w:sz w:val="16"/>
                <w:szCs w:val="16"/>
                <w:lang w:bidi="th-TH"/>
              </w:rPr>
              <w:t xml:space="preserve">Pre-Delegation Dispute Resolution Policy, </w:t>
            </w:r>
            <w:proofErr w:type="gramStart"/>
            <w:r>
              <w:rPr>
                <w:rFonts w:cs="Arial"/>
                <w:sz w:val="16"/>
                <w:szCs w:val="16"/>
                <w:lang w:bidi="th-TH"/>
              </w:rPr>
              <w:t>ICANN</w:t>
            </w:r>
            <w:proofErr w:type="gramEnd"/>
            <w:r>
              <w:rPr>
                <w:rFonts w:cs="Arial"/>
                <w:sz w:val="16"/>
                <w:szCs w:val="16"/>
                <w:lang w:bidi="th-TH"/>
              </w:rPr>
              <w:t xml:space="preserve"> </w:t>
            </w:r>
            <w:r w:rsidRPr="00EF26A9">
              <w:rPr>
                <w:rFonts w:cs="Arial"/>
                <w:sz w:val="16"/>
                <w:szCs w:val="16"/>
                <w:lang w:bidi="th-TH"/>
              </w:rPr>
              <w:t>Trademark Post-Delegation Dispute Resolution Procedure (cumulative per end 2014); no additional policies or recommendations to be implemented.</w:t>
            </w:r>
          </w:p>
        </w:tc>
        <w:tc>
          <w:tcPr>
            <w:tcW w:w="527" w:type="pct"/>
            <w:shd w:val="clear" w:color="auto" w:fill="auto"/>
            <w:tcMar>
              <w:top w:w="110" w:type="dxa"/>
            </w:tcMar>
          </w:tcPr>
          <w:p w:rsidR="00A2049F" w:rsidRPr="00CD26D6" w:rsidRDefault="00A2049F" w:rsidP="00017954">
            <w:pPr>
              <w:keepNext/>
              <w:keepLines/>
              <w:jc w:val="center"/>
              <w:rPr>
                <w:rFonts w:cs="Arial"/>
                <w:b/>
                <w:bCs/>
                <w:sz w:val="16"/>
                <w:szCs w:val="16"/>
              </w:rPr>
            </w:pPr>
            <w:r w:rsidRPr="00EF26A9">
              <w:rPr>
                <w:rStyle w:val="Style5"/>
                <w:rFonts w:ascii="Arial" w:hAnsi="Arial" w:cs="Arial"/>
                <w:b/>
                <w:color w:val="00B050"/>
                <w:sz w:val="16"/>
                <w:szCs w:val="16"/>
              </w:rPr>
              <w:t>On track</w:t>
            </w:r>
          </w:p>
        </w:tc>
      </w:tr>
      <w:tr w:rsidR="00A2049F" w:rsidRPr="001A1334" w:rsidTr="00F54CA4">
        <w:trPr>
          <w:cantSplit/>
        </w:trPr>
        <w:tc>
          <w:tcPr>
            <w:tcW w:w="1140" w:type="pct"/>
            <w:shd w:val="clear" w:color="auto" w:fill="auto"/>
          </w:tcPr>
          <w:p w:rsidR="00A2049F" w:rsidRPr="00EF26A9" w:rsidRDefault="00A2049F" w:rsidP="00017954">
            <w:pPr>
              <w:rPr>
                <w:rFonts w:cs="Arial"/>
                <w:color w:val="000000"/>
                <w:sz w:val="16"/>
                <w:szCs w:val="16"/>
              </w:rPr>
            </w:pPr>
            <w:r w:rsidRPr="007F7ED1">
              <w:rPr>
                <w:rFonts w:cs="Arial"/>
                <w:color w:val="000000"/>
                <w:sz w:val="16"/>
                <w:szCs w:val="16"/>
              </w:rPr>
              <w:t xml:space="preserve">No. of </w:t>
            </w:r>
            <w:proofErr w:type="spellStart"/>
            <w:r w:rsidRPr="007F7ED1">
              <w:rPr>
                <w:rFonts w:cs="Arial"/>
                <w:color w:val="000000"/>
                <w:sz w:val="16"/>
                <w:szCs w:val="16"/>
              </w:rPr>
              <w:t>ccTLD</w:t>
            </w:r>
            <w:proofErr w:type="spellEnd"/>
            <w:r w:rsidRPr="007F7ED1">
              <w:rPr>
                <w:rFonts w:cs="Arial"/>
                <w:color w:val="000000"/>
                <w:sz w:val="16"/>
                <w:szCs w:val="16"/>
              </w:rPr>
              <w:t xml:space="preserve"> administrators with WIPO assisted design or administration of intellectual property protection mechanisms in accordance with international standards</w:t>
            </w:r>
          </w:p>
        </w:tc>
        <w:tc>
          <w:tcPr>
            <w:tcW w:w="1211" w:type="pct"/>
            <w:shd w:val="clear" w:color="auto" w:fill="auto"/>
          </w:tcPr>
          <w:p w:rsidR="00A2049F" w:rsidRPr="001A1334" w:rsidRDefault="00A2049F" w:rsidP="00017954">
            <w:pPr>
              <w:rPr>
                <w:rFonts w:cs="Arial"/>
                <w:i/>
                <w:color w:val="002060"/>
                <w:sz w:val="16"/>
                <w:szCs w:val="16"/>
              </w:rPr>
            </w:pPr>
            <w:r>
              <w:rPr>
                <w:rFonts w:cs="Arial"/>
                <w:i/>
                <w:color w:val="002060"/>
                <w:sz w:val="16"/>
                <w:szCs w:val="16"/>
              </w:rPr>
              <w:t>Updated Baseline end 2013</w:t>
            </w:r>
            <w:r w:rsidRPr="001A1334">
              <w:rPr>
                <w:rFonts w:cs="Arial"/>
                <w:i/>
                <w:color w:val="002060"/>
                <w:sz w:val="16"/>
                <w:szCs w:val="16"/>
              </w:rPr>
              <w:t>:</w:t>
            </w:r>
            <w:r>
              <w:rPr>
                <w:rFonts w:cs="Arial"/>
                <w:color w:val="002060"/>
                <w:sz w:val="16"/>
                <w:szCs w:val="16"/>
              </w:rPr>
              <w:t xml:space="preserve">  </w:t>
            </w:r>
            <w:r w:rsidRPr="007F7ED1">
              <w:rPr>
                <w:rFonts w:cs="Arial"/>
                <w:color w:val="002060"/>
                <w:sz w:val="16"/>
                <w:szCs w:val="16"/>
              </w:rPr>
              <w:t xml:space="preserve">70 </w:t>
            </w:r>
            <w:proofErr w:type="spellStart"/>
            <w:r w:rsidRPr="007F7ED1">
              <w:rPr>
                <w:rFonts w:cs="Arial"/>
                <w:color w:val="002060"/>
                <w:sz w:val="16"/>
                <w:szCs w:val="16"/>
              </w:rPr>
              <w:t>ccTLD</w:t>
            </w:r>
            <w:proofErr w:type="spellEnd"/>
            <w:r w:rsidRPr="007F7ED1">
              <w:rPr>
                <w:rFonts w:cs="Arial"/>
                <w:color w:val="002060"/>
                <w:sz w:val="16"/>
                <w:szCs w:val="16"/>
              </w:rPr>
              <w:t xml:space="preserve"> administrators (cumulative per end 2013)</w:t>
            </w:r>
          </w:p>
          <w:p w:rsidR="00A2049F" w:rsidRPr="001A1334" w:rsidRDefault="00A2049F" w:rsidP="00017954">
            <w:pPr>
              <w:rPr>
                <w:rFonts w:cs="Arial"/>
                <w:i/>
                <w:sz w:val="8"/>
                <w:szCs w:val="8"/>
              </w:rPr>
            </w:pPr>
          </w:p>
          <w:p w:rsidR="00A2049F" w:rsidRDefault="00A2049F" w:rsidP="00017954">
            <w:pPr>
              <w:rPr>
                <w:rFonts w:cs="Arial"/>
                <w:i/>
                <w:color w:val="002060"/>
                <w:sz w:val="16"/>
                <w:szCs w:val="16"/>
              </w:rPr>
            </w:pPr>
            <w:r>
              <w:rPr>
                <w:rFonts w:cs="Arial"/>
                <w:i/>
                <w:sz w:val="16"/>
                <w:szCs w:val="16"/>
              </w:rPr>
              <w:t>Original Baseline P&amp;B 2014/15</w:t>
            </w:r>
            <w:r w:rsidRPr="001A1334">
              <w:rPr>
                <w:rFonts w:cs="Arial"/>
                <w:i/>
                <w:sz w:val="16"/>
                <w:szCs w:val="16"/>
              </w:rPr>
              <w:t>:</w:t>
            </w:r>
            <w:r>
              <w:rPr>
                <w:rFonts w:cs="Arial"/>
                <w:i/>
                <w:sz w:val="16"/>
                <w:szCs w:val="16"/>
              </w:rPr>
              <w:t xml:space="preserve"> </w:t>
            </w:r>
            <w:r w:rsidRPr="007F7ED1">
              <w:rPr>
                <w:rFonts w:cs="Arial"/>
                <w:sz w:val="16"/>
                <w:szCs w:val="16"/>
              </w:rPr>
              <w:t xml:space="preserve">67 </w:t>
            </w:r>
            <w:proofErr w:type="spellStart"/>
            <w:r w:rsidRPr="007F7ED1">
              <w:rPr>
                <w:rFonts w:cs="Arial"/>
                <w:sz w:val="16"/>
                <w:szCs w:val="16"/>
              </w:rPr>
              <w:t>ccTLD</w:t>
            </w:r>
            <w:proofErr w:type="spellEnd"/>
            <w:r w:rsidRPr="007F7ED1">
              <w:rPr>
                <w:rFonts w:cs="Arial"/>
                <w:sz w:val="16"/>
                <w:szCs w:val="16"/>
              </w:rPr>
              <w:t xml:space="preserve"> administrators (cumulative per end 2012)</w:t>
            </w:r>
          </w:p>
        </w:tc>
        <w:tc>
          <w:tcPr>
            <w:tcW w:w="911" w:type="pct"/>
            <w:shd w:val="clear" w:color="auto" w:fill="auto"/>
            <w:tcMar>
              <w:top w:w="110" w:type="dxa"/>
            </w:tcMar>
          </w:tcPr>
          <w:p w:rsidR="00A2049F" w:rsidRPr="00EF26A9" w:rsidRDefault="00A2049F" w:rsidP="00017954">
            <w:pPr>
              <w:rPr>
                <w:rFonts w:cs="Arial"/>
                <w:sz w:val="16"/>
                <w:szCs w:val="16"/>
              </w:rPr>
            </w:pPr>
            <w:r>
              <w:rPr>
                <w:rFonts w:cs="Arial"/>
                <w:sz w:val="16"/>
                <w:szCs w:val="16"/>
              </w:rPr>
              <w:t xml:space="preserve">Four </w:t>
            </w:r>
            <w:r w:rsidRPr="007F7ED1">
              <w:rPr>
                <w:rFonts w:cs="Arial"/>
                <w:sz w:val="16"/>
                <w:szCs w:val="16"/>
              </w:rPr>
              <w:t>new administrators</w:t>
            </w:r>
          </w:p>
        </w:tc>
        <w:tc>
          <w:tcPr>
            <w:tcW w:w="1211" w:type="pct"/>
            <w:shd w:val="clear" w:color="auto" w:fill="auto"/>
            <w:tcMar>
              <w:top w:w="110" w:type="dxa"/>
            </w:tcMar>
          </w:tcPr>
          <w:p w:rsidR="00A2049F" w:rsidRDefault="00A2049F" w:rsidP="00017954">
            <w:pPr>
              <w:rPr>
                <w:rFonts w:cs="Arial"/>
                <w:sz w:val="16"/>
                <w:szCs w:val="16"/>
                <w:lang w:bidi="th-TH"/>
              </w:rPr>
            </w:pPr>
            <w:r w:rsidRPr="007F7ED1">
              <w:rPr>
                <w:rFonts w:cs="Arial"/>
                <w:sz w:val="16"/>
                <w:szCs w:val="16"/>
                <w:lang w:bidi="th-TH"/>
              </w:rPr>
              <w:t>2 new administrators (.GQ, .VG) (2014</w:t>
            </w:r>
            <w:r>
              <w:rPr>
                <w:rFonts w:cs="Arial"/>
                <w:sz w:val="16"/>
                <w:szCs w:val="16"/>
                <w:lang w:bidi="th-TH"/>
              </w:rPr>
              <w:t>)</w:t>
            </w:r>
          </w:p>
          <w:p w:rsidR="00A2049F" w:rsidRPr="00EF26A9" w:rsidRDefault="00A2049F" w:rsidP="00017954">
            <w:pPr>
              <w:rPr>
                <w:rFonts w:cs="Arial"/>
                <w:sz w:val="16"/>
                <w:szCs w:val="16"/>
                <w:lang w:bidi="th-TH"/>
              </w:rPr>
            </w:pPr>
            <w:r>
              <w:rPr>
                <w:rFonts w:cs="Arial"/>
                <w:sz w:val="16"/>
                <w:szCs w:val="16"/>
                <w:lang w:bidi="th-TH"/>
              </w:rPr>
              <w:t>(72 cumulative)</w:t>
            </w:r>
          </w:p>
        </w:tc>
        <w:tc>
          <w:tcPr>
            <w:tcW w:w="527" w:type="pct"/>
            <w:shd w:val="clear" w:color="auto" w:fill="auto"/>
            <w:tcMar>
              <w:top w:w="110" w:type="dxa"/>
            </w:tcMar>
          </w:tcPr>
          <w:p w:rsidR="00A2049F" w:rsidRPr="00EF26A9" w:rsidRDefault="00A2049F" w:rsidP="00017954">
            <w:pPr>
              <w:keepNext/>
              <w:keepLines/>
              <w:jc w:val="center"/>
              <w:rPr>
                <w:rStyle w:val="Style5"/>
                <w:rFonts w:ascii="Arial" w:hAnsi="Arial" w:cs="Arial"/>
                <w:b/>
                <w:color w:val="00B050"/>
                <w:sz w:val="16"/>
                <w:szCs w:val="16"/>
              </w:rPr>
            </w:pPr>
            <w:r w:rsidRPr="00EF26A9">
              <w:rPr>
                <w:rStyle w:val="Style5"/>
                <w:rFonts w:ascii="Arial" w:hAnsi="Arial" w:cs="Arial"/>
                <w:b/>
                <w:color w:val="00B050"/>
                <w:sz w:val="16"/>
                <w:szCs w:val="16"/>
              </w:rPr>
              <w:t>On track</w:t>
            </w:r>
          </w:p>
        </w:tc>
      </w:tr>
    </w:tbl>
    <w:p w:rsidR="009A04DE" w:rsidRPr="00090F32" w:rsidRDefault="009A04DE" w:rsidP="00017954">
      <w:pPr>
        <w:jc w:val="both"/>
        <w:rPr>
          <w:rFonts w:cs="Arial"/>
          <w:szCs w:val="20"/>
        </w:rPr>
      </w:pPr>
    </w:p>
    <w:p w:rsidR="009A04DE" w:rsidRDefault="009A04DE" w:rsidP="00017954">
      <w:pPr>
        <w:rPr>
          <w:rFonts w:cs="Arial"/>
          <w:color w:val="000000"/>
          <w:sz w:val="22"/>
          <w:szCs w:val="22"/>
        </w:rPr>
      </w:pPr>
    </w:p>
    <w:p w:rsidR="009A04DE" w:rsidRDefault="009A04DE" w:rsidP="00017954">
      <w:pPr>
        <w:rPr>
          <w:b/>
          <w:sz w:val="18"/>
          <w:szCs w:val="18"/>
        </w:rPr>
      </w:pPr>
      <w:r>
        <w:rPr>
          <w:rFonts w:cs="Arial"/>
          <w:color w:val="000000"/>
          <w:sz w:val="22"/>
          <w:szCs w:val="22"/>
        </w:rPr>
        <w:t>RESOURCE UTILIZATION</w:t>
      </w:r>
      <w:r>
        <w:rPr>
          <w:rFonts w:cs="Arial"/>
          <w:color w:val="000000"/>
          <w:sz w:val="22"/>
          <w:szCs w:val="22"/>
        </w:rPr>
        <w:tab/>
      </w:r>
    </w:p>
    <w:p w:rsidR="009A04DE" w:rsidRPr="008F4A6D" w:rsidRDefault="009A04DE" w:rsidP="00017954">
      <w:pPr>
        <w:rPr>
          <w:szCs w:val="20"/>
        </w:rPr>
      </w:pPr>
    </w:p>
    <w:p w:rsidR="009A04DE" w:rsidRPr="00383D2D" w:rsidRDefault="009A04DE" w:rsidP="00017954">
      <w:pPr>
        <w:pStyle w:val="NormalWeb"/>
        <w:spacing w:before="0" w:beforeAutospacing="0" w:after="0" w:afterAutospacing="0"/>
        <w:jc w:val="center"/>
        <w:rPr>
          <w:sz w:val="20"/>
          <w:szCs w:val="20"/>
        </w:rPr>
      </w:pPr>
      <w:r w:rsidRPr="00383D2D">
        <w:rPr>
          <w:color w:val="000000"/>
          <w:sz w:val="20"/>
          <w:szCs w:val="20"/>
        </w:rPr>
        <w:t xml:space="preserve">Budget and Actual Expenditure (by result) </w:t>
      </w:r>
    </w:p>
    <w:p w:rsidR="009A04DE" w:rsidRDefault="009A04DE" w:rsidP="00017954">
      <w:pPr>
        <w:pStyle w:val="NormalWeb"/>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9A04DE" w:rsidRPr="00383D2D" w:rsidRDefault="009A04DE" w:rsidP="00017954">
      <w:pPr>
        <w:pStyle w:val="NormalWeb"/>
        <w:spacing w:before="0" w:beforeAutospacing="0" w:after="0" w:afterAutospacing="0"/>
        <w:jc w:val="center"/>
        <w:rPr>
          <w:sz w:val="20"/>
          <w:szCs w:val="20"/>
        </w:rPr>
      </w:pPr>
    </w:p>
    <w:p w:rsidR="009A04DE" w:rsidRDefault="009A04DE" w:rsidP="00017954">
      <w:pPr>
        <w:jc w:val="center"/>
      </w:pPr>
      <w:r w:rsidRPr="00C9006A">
        <w:rPr>
          <w:noProof/>
        </w:rPr>
        <w:drawing>
          <wp:inline distT="0" distB="0" distL="0" distR="0" wp14:anchorId="5375B4F5" wp14:editId="65ABEBA0">
            <wp:extent cx="5538159" cy="1519561"/>
            <wp:effectExtent l="0" t="0" r="571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546986" cy="1521983"/>
                    </a:xfrm>
                    <a:prstGeom prst="rect">
                      <a:avLst/>
                    </a:prstGeom>
                    <a:noFill/>
                    <a:ln>
                      <a:noFill/>
                    </a:ln>
                  </pic:spPr>
                </pic:pic>
              </a:graphicData>
            </a:graphic>
          </wp:inline>
        </w:drawing>
      </w:r>
    </w:p>
    <w:p w:rsidR="009A04DE" w:rsidRDefault="009A04DE" w:rsidP="00017954"/>
    <w:p w:rsidR="009A04DE" w:rsidRPr="00383D2D" w:rsidRDefault="009A04DE" w:rsidP="00017954">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9A04DE" w:rsidRPr="00383D2D" w:rsidRDefault="009A04DE" w:rsidP="00017954">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9A04DE" w:rsidRDefault="009A04DE" w:rsidP="00017954">
      <w:pPr>
        <w:pStyle w:val="NormalWeb"/>
        <w:keepNext/>
        <w:keepLines/>
        <w:spacing w:before="0" w:beforeAutospacing="0" w:after="0" w:afterAutospacing="0"/>
        <w:jc w:val="center"/>
      </w:pPr>
    </w:p>
    <w:p w:rsidR="009A04DE" w:rsidRPr="00383D2D" w:rsidRDefault="009A04DE" w:rsidP="00017954">
      <w:pPr>
        <w:jc w:val="center"/>
        <w:rPr>
          <w:szCs w:val="20"/>
        </w:rPr>
      </w:pPr>
      <w:r w:rsidRPr="00C9006A">
        <w:rPr>
          <w:noProof/>
        </w:rPr>
        <w:drawing>
          <wp:inline distT="0" distB="0" distL="0" distR="0" wp14:anchorId="0F7B440D" wp14:editId="06EE61EB">
            <wp:extent cx="5693434" cy="1278442"/>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689283" cy="1277510"/>
                    </a:xfrm>
                    <a:prstGeom prst="rect">
                      <a:avLst/>
                    </a:prstGeom>
                    <a:noFill/>
                    <a:ln>
                      <a:noFill/>
                    </a:ln>
                  </pic:spPr>
                </pic:pic>
              </a:graphicData>
            </a:graphic>
          </wp:inline>
        </w:drawing>
      </w:r>
    </w:p>
    <w:p w:rsidR="009A04DE" w:rsidRDefault="009A04DE" w:rsidP="00017954">
      <w:pPr>
        <w:widowControl w:val="0"/>
        <w:autoSpaceDE w:val="0"/>
        <w:autoSpaceDN w:val="0"/>
        <w:adjustRightInd w:val="0"/>
        <w:rPr>
          <w:sz w:val="16"/>
          <w:szCs w:val="16"/>
        </w:rPr>
      </w:pPr>
      <w:r w:rsidRPr="00813B88">
        <w:rPr>
          <w:i/>
          <w:sz w:val="16"/>
          <w:szCs w:val="16"/>
        </w:rPr>
        <w:t>NOTE: The 2014/15 Budget after Transfers reflects transfers as of March 31, 2015 to address needs during the 2014/15 biennium in line with Financial Regulation 5.5</w:t>
      </w:r>
      <w:r w:rsidRPr="003F30C5">
        <w:rPr>
          <w:sz w:val="16"/>
          <w:szCs w:val="16"/>
        </w:rPr>
        <w:t>.</w:t>
      </w:r>
    </w:p>
    <w:p w:rsidR="009A04DE" w:rsidRDefault="009A04DE" w:rsidP="00017954">
      <w:pPr>
        <w:widowControl w:val="0"/>
        <w:autoSpaceDE w:val="0"/>
        <w:autoSpaceDN w:val="0"/>
        <w:adjustRightInd w:val="0"/>
        <w:rPr>
          <w:sz w:val="16"/>
          <w:szCs w:val="16"/>
        </w:rPr>
      </w:pPr>
    </w:p>
    <w:p w:rsidR="009A04DE" w:rsidRPr="001C6F4D" w:rsidRDefault="009A04DE" w:rsidP="00017954">
      <w:pPr>
        <w:widowControl w:val="0"/>
        <w:autoSpaceDE w:val="0"/>
        <w:autoSpaceDN w:val="0"/>
        <w:adjustRightInd w:val="0"/>
        <w:rPr>
          <w:rFonts w:cs="Arial"/>
          <w:szCs w:val="20"/>
        </w:rPr>
      </w:pPr>
    </w:p>
    <w:p w:rsidR="009A04DE" w:rsidRDefault="009A04DE" w:rsidP="00017954">
      <w:pPr>
        <w:rPr>
          <w:rFonts w:cs="Arial"/>
          <w:u w:val="single"/>
        </w:rPr>
      </w:pPr>
      <w:r w:rsidRPr="00420F90">
        <w:rPr>
          <w:rFonts w:cs="Arial"/>
          <w:szCs w:val="20"/>
        </w:rPr>
        <w:t>A.</w:t>
      </w:r>
      <w:r w:rsidRPr="00420F90">
        <w:rPr>
          <w:rFonts w:cs="Arial"/>
        </w:rPr>
        <w:tab/>
      </w:r>
      <w:r w:rsidRPr="00420F90">
        <w:rPr>
          <w:rFonts w:cs="Arial"/>
          <w:u w:val="single"/>
        </w:rPr>
        <w:t>Budget after Transfers 201</w:t>
      </w:r>
      <w:r>
        <w:rPr>
          <w:rFonts w:cs="Arial"/>
          <w:u w:val="single"/>
        </w:rPr>
        <w:t>4/15</w:t>
      </w:r>
    </w:p>
    <w:p w:rsidR="009A04DE" w:rsidRDefault="009A04DE" w:rsidP="00017954">
      <w:pPr>
        <w:rPr>
          <w:rFonts w:cs="Arial"/>
          <w:u w:val="single"/>
        </w:rPr>
      </w:pPr>
    </w:p>
    <w:p w:rsidR="009A04DE" w:rsidRDefault="009A04DE" w:rsidP="00520CAA">
      <w:pPr>
        <w:pStyle w:val="ListParagraph"/>
        <w:numPr>
          <w:ilvl w:val="0"/>
          <w:numId w:val="18"/>
        </w:numPr>
        <w:tabs>
          <w:tab w:val="left" w:pos="709"/>
        </w:tabs>
        <w:ind w:left="0" w:firstLine="0"/>
        <w:jc w:val="both"/>
        <w:rPr>
          <w:rFonts w:cs="Arial"/>
        </w:rPr>
      </w:pPr>
      <w:r w:rsidRPr="00721846">
        <w:rPr>
          <w:rFonts w:cs="Arial"/>
        </w:rPr>
        <w:t xml:space="preserve">The </w:t>
      </w:r>
      <w:r>
        <w:rPr>
          <w:rFonts w:cs="Arial"/>
        </w:rPr>
        <w:t xml:space="preserve">increase in resources </w:t>
      </w:r>
      <w:r w:rsidRPr="00721846">
        <w:rPr>
          <w:rFonts w:cs="Arial"/>
        </w:rPr>
        <w:t xml:space="preserve">under </w:t>
      </w:r>
      <w:r w:rsidRPr="00C81255">
        <w:rPr>
          <w:rFonts w:cs="Arial"/>
        </w:rPr>
        <w:t>ER II.8</w:t>
      </w:r>
      <w:r>
        <w:rPr>
          <w:rFonts w:cs="Arial"/>
        </w:rPr>
        <w:t xml:space="preserve"> </w:t>
      </w:r>
      <w:r w:rsidRPr="00C81255">
        <w:rPr>
          <w:rFonts w:cs="Arial"/>
        </w:rPr>
        <w:t>(International and domestic IP disputes)</w:t>
      </w:r>
      <w:r>
        <w:rPr>
          <w:rFonts w:cs="Arial"/>
        </w:rPr>
        <w:t xml:space="preserve"> </w:t>
      </w:r>
      <w:r w:rsidRPr="00721846">
        <w:rPr>
          <w:rFonts w:cs="Arial"/>
        </w:rPr>
        <w:t>reflect</w:t>
      </w:r>
      <w:r>
        <w:rPr>
          <w:rFonts w:cs="Arial"/>
        </w:rPr>
        <w:t>s a shift in the Center’s personnel resources to better manage the demand for WIPO’s ADR Services.</w:t>
      </w:r>
      <w:r w:rsidRPr="00721846">
        <w:rPr>
          <w:rFonts w:cs="Arial"/>
        </w:rPr>
        <w:t xml:space="preserve"> </w:t>
      </w:r>
    </w:p>
    <w:p w:rsidR="009A04DE" w:rsidRPr="00721846" w:rsidRDefault="009A04DE" w:rsidP="00017954">
      <w:pPr>
        <w:pStyle w:val="ListParagraph"/>
        <w:tabs>
          <w:tab w:val="left" w:pos="709"/>
        </w:tabs>
        <w:ind w:left="0"/>
        <w:jc w:val="both"/>
        <w:rPr>
          <w:rFonts w:cs="Arial"/>
        </w:rPr>
      </w:pPr>
    </w:p>
    <w:p w:rsidR="009A04DE" w:rsidRDefault="009A04DE" w:rsidP="00017954">
      <w:pPr>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 xml:space="preserve">Budget utilization 2014 </w:t>
      </w:r>
    </w:p>
    <w:p w:rsidR="009A04DE" w:rsidRDefault="009A04DE" w:rsidP="00017954">
      <w:pPr>
        <w:jc w:val="both"/>
        <w:rPr>
          <w:rFonts w:cs="Arial"/>
          <w:szCs w:val="20"/>
          <w:u w:val="single"/>
          <w:lang w:eastAsia="ko-KR"/>
        </w:rPr>
      </w:pPr>
    </w:p>
    <w:p w:rsidR="009A04DE" w:rsidRPr="0071720B" w:rsidRDefault="009A04DE" w:rsidP="00520CAA">
      <w:pPr>
        <w:pStyle w:val="ListParagraph"/>
        <w:numPr>
          <w:ilvl w:val="0"/>
          <w:numId w:val="18"/>
        </w:numPr>
        <w:tabs>
          <w:tab w:val="left" w:pos="709"/>
        </w:tabs>
        <w:ind w:left="0" w:firstLine="0"/>
        <w:jc w:val="both"/>
        <w:rPr>
          <w:rFonts w:cs="Arial"/>
          <w:lang w:eastAsia="ko-KR"/>
        </w:rPr>
      </w:pPr>
      <w:r w:rsidRPr="00721846">
        <w:rPr>
          <w:rFonts w:cs="Arial"/>
        </w:rPr>
        <w:t>Budget utilization is within the expected range of 40-60 per cent for the first year of the biennium and is on track.</w:t>
      </w:r>
    </w:p>
    <w:p w:rsidR="009F72A7" w:rsidRDefault="009F72A7"/>
    <w:p w:rsidR="00794EDE" w:rsidRDefault="00794EDE"/>
    <w:p w:rsidR="00B03EDF" w:rsidRDefault="00B03EDF">
      <w:r>
        <w:br w:type="page"/>
      </w:r>
    </w:p>
    <w:p w:rsidR="00B03EDF" w:rsidRPr="00E07FBB" w:rsidRDefault="00B03EDF" w:rsidP="00C1753F">
      <w:pPr>
        <w:pStyle w:val="StyleHeading214ptAuto"/>
        <w:rPr>
          <w:rFonts w:ascii="Arial" w:hAnsi="Arial"/>
          <w:bCs w:val="0"/>
          <w:caps w:val="0"/>
          <w:sz w:val="20"/>
          <w:szCs w:val="24"/>
          <w:lang w:val="en-US" w:eastAsia="en-US"/>
        </w:rPr>
      </w:pPr>
      <w:bookmarkStart w:id="61" w:name="_Toc422210489"/>
      <w:r w:rsidRPr="00E07FBB">
        <w:rPr>
          <w:rFonts w:ascii="Arial" w:hAnsi="Arial"/>
          <w:bCs w:val="0"/>
          <w:caps w:val="0"/>
          <w:sz w:val="20"/>
          <w:szCs w:val="24"/>
          <w:lang w:val="en-US" w:eastAsia="en-US"/>
        </w:rPr>
        <w:lastRenderedPageBreak/>
        <w:t>STRATEGIC GOAL III</w:t>
      </w:r>
      <w:bookmarkEnd w:id="61"/>
      <w:r w:rsidRPr="00E07FBB">
        <w:rPr>
          <w:rFonts w:ascii="Arial" w:hAnsi="Arial"/>
          <w:bCs w:val="0"/>
          <w:caps w:val="0"/>
          <w:sz w:val="20"/>
          <w:szCs w:val="24"/>
          <w:lang w:val="en-US" w:eastAsia="en-US"/>
        </w:rPr>
        <w:t xml:space="preserve"> </w:t>
      </w:r>
    </w:p>
    <w:p w:rsidR="00B03EDF" w:rsidRDefault="00B03EDF" w:rsidP="00845557"/>
    <w:p w:rsidR="00B03EDF" w:rsidRPr="00304D88" w:rsidRDefault="00B03EDF" w:rsidP="00845557">
      <w:pPr>
        <w:jc w:val="center"/>
      </w:pPr>
      <w:r w:rsidRPr="00845557">
        <w:rPr>
          <w:b/>
        </w:rPr>
        <w:t>FACILITATING THE USE OF IP FOR DEVELOPMENT</w:t>
      </w:r>
    </w:p>
    <w:p w:rsidR="00B03EDF" w:rsidRPr="00086E9E" w:rsidRDefault="00B03EDF" w:rsidP="00845557">
      <w:pPr>
        <w:jc w:val="center"/>
      </w:pPr>
    </w:p>
    <w:p w:rsidR="00B03EDF" w:rsidRPr="00B03EDF" w:rsidRDefault="00B03EDF">
      <w:pPr>
        <w:jc w:val="center"/>
        <w:rPr>
          <w:b/>
        </w:rPr>
      </w:pPr>
      <w:r w:rsidRPr="00B03EDF">
        <w:rPr>
          <w:b/>
        </w:rPr>
        <w:t>Mid-term Performance Dashboard (2014)</w:t>
      </w:r>
    </w:p>
    <w:p w:rsidR="00B03EDF" w:rsidRPr="00845557" w:rsidRDefault="00B03EDF" w:rsidP="00845557">
      <w:pPr>
        <w:rPr>
          <w:b/>
        </w:rPr>
      </w:pPr>
    </w:p>
    <w:p w:rsidR="00B03EDF" w:rsidRDefault="00B03EDF" w:rsidP="00C1753F">
      <w:pPr>
        <w:jc w:val="both"/>
        <w:rPr>
          <w:rFonts w:cs="Arial"/>
        </w:rPr>
      </w:pPr>
      <w:r>
        <w:t>The dashboard below provides a summary of the progress towards th</w:t>
      </w:r>
      <w:r w:rsidR="004C53FA">
        <w:t>e achievement of the Results in </w:t>
      </w:r>
      <w:r>
        <w:t>2014 as measured by the indicators under the Programs contributing to this Strategic Goal.</w:t>
      </w:r>
    </w:p>
    <w:p w:rsidR="00B03EDF" w:rsidRDefault="00B03EDF" w:rsidP="00C1753F">
      <w:pPr>
        <w:jc w:val="both"/>
        <w:rPr>
          <w:rFonts w:cs="Arial"/>
        </w:rPr>
      </w:pPr>
    </w:p>
    <w:p w:rsidR="00B03EDF" w:rsidRDefault="00B03EDF" w:rsidP="00C1753F">
      <w:pPr>
        <w:jc w:val="center"/>
      </w:pPr>
      <w:r>
        <w:rPr>
          <w:noProof/>
        </w:rPr>
        <w:drawing>
          <wp:inline distT="0" distB="0" distL="0" distR="0" wp14:anchorId="022F3AE2" wp14:editId="68F2A0A7">
            <wp:extent cx="4572635" cy="2743200"/>
            <wp:effectExtent l="0" t="0" r="0" b="0"/>
            <wp:docPr id="870" name="Picture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B03EDF" w:rsidRDefault="00B03EDF" w:rsidP="00C1753F">
      <w:pPr>
        <w:jc w:val="both"/>
      </w:pPr>
    </w:p>
    <w:tbl>
      <w:tblPr>
        <w:tblW w:w="4941"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20"/>
        <w:gridCol w:w="4092"/>
        <w:gridCol w:w="1460"/>
        <w:gridCol w:w="986"/>
      </w:tblGrid>
      <w:tr w:rsidR="00B03EDF" w:rsidRPr="0016774F" w:rsidTr="00C1753F">
        <w:trPr>
          <w:cantSplit/>
          <w:tblHeader/>
        </w:trPr>
        <w:tc>
          <w:tcPr>
            <w:tcW w:w="1544" w:type="pct"/>
            <w:tcBorders>
              <w:top w:val="single" w:sz="4" w:space="0" w:color="auto"/>
              <w:bottom w:val="single" w:sz="4" w:space="0" w:color="auto"/>
            </w:tcBorders>
            <w:shd w:val="clear" w:color="auto" w:fill="CCFFFF"/>
            <w:tcMar>
              <w:top w:w="113" w:type="dxa"/>
              <w:bottom w:w="57" w:type="dxa"/>
            </w:tcMar>
            <w:vAlign w:val="center"/>
          </w:tcPr>
          <w:p w:rsidR="00B03EDF" w:rsidRPr="0016774F" w:rsidRDefault="00B03EDF" w:rsidP="00C1753F">
            <w:pPr>
              <w:spacing w:after="120"/>
              <w:jc w:val="center"/>
              <w:rPr>
                <w:rFonts w:cs="Arial"/>
                <w:b/>
                <w:bCs/>
                <w:sz w:val="16"/>
                <w:szCs w:val="16"/>
              </w:rPr>
            </w:pPr>
            <w:r w:rsidRPr="0016774F">
              <w:rPr>
                <w:rFonts w:cs="Arial"/>
                <w:b/>
                <w:bCs/>
                <w:sz w:val="16"/>
                <w:szCs w:val="16"/>
              </w:rPr>
              <w:t>Expected Results</w:t>
            </w:r>
          </w:p>
        </w:tc>
        <w:tc>
          <w:tcPr>
            <w:tcW w:w="2163" w:type="pct"/>
            <w:tcBorders>
              <w:top w:val="single" w:sz="4" w:space="0" w:color="auto"/>
              <w:bottom w:val="single" w:sz="4" w:space="0" w:color="auto"/>
            </w:tcBorders>
            <w:shd w:val="clear" w:color="auto" w:fill="CCFFFF"/>
            <w:tcMar>
              <w:top w:w="113" w:type="dxa"/>
              <w:bottom w:w="57" w:type="dxa"/>
            </w:tcMar>
            <w:vAlign w:val="center"/>
          </w:tcPr>
          <w:p w:rsidR="00B03EDF" w:rsidRPr="0016774F" w:rsidRDefault="00B03EDF" w:rsidP="00C1753F">
            <w:pPr>
              <w:spacing w:after="120"/>
              <w:jc w:val="center"/>
              <w:rPr>
                <w:rFonts w:cs="Arial"/>
                <w:b/>
                <w:bCs/>
                <w:sz w:val="16"/>
                <w:szCs w:val="16"/>
              </w:rPr>
            </w:pPr>
            <w:r w:rsidRPr="0016774F">
              <w:rPr>
                <w:rFonts w:cs="Arial"/>
                <w:b/>
                <w:bCs/>
                <w:sz w:val="16"/>
                <w:szCs w:val="16"/>
              </w:rPr>
              <w:t>Performance Indicators</w:t>
            </w:r>
          </w:p>
        </w:tc>
        <w:tc>
          <w:tcPr>
            <w:tcW w:w="772" w:type="pct"/>
            <w:tcBorders>
              <w:top w:val="single" w:sz="4" w:space="0" w:color="auto"/>
              <w:bottom w:val="single" w:sz="4" w:space="0" w:color="auto"/>
            </w:tcBorders>
            <w:shd w:val="clear" w:color="auto" w:fill="CCFFFF"/>
            <w:tcMar>
              <w:top w:w="113" w:type="dxa"/>
              <w:bottom w:w="57" w:type="dxa"/>
            </w:tcMar>
            <w:vAlign w:val="center"/>
          </w:tcPr>
          <w:p w:rsidR="00B03EDF" w:rsidRPr="0016774F" w:rsidRDefault="00B03EDF" w:rsidP="00C1753F">
            <w:pPr>
              <w:spacing w:after="120"/>
              <w:ind w:left="85"/>
              <w:jc w:val="center"/>
              <w:rPr>
                <w:rFonts w:cs="Arial"/>
                <w:b/>
                <w:bCs/>
                <w:sz w:val="16"/>
                <w:szCs w:val="16"/>
              </w:rPr>
            </w:pPr>
            <w:r w:rsidRPr="0016774F">
              <w:rPr>
                <w:rFonts w:cs="Arial"/>
                <w:b/>
                <w:bCs/>
                <w:sz w:val="16"/>
                <w:szCs w:val="16"/>
              </w:rPr>
              <w:t>Responsible Program(s)</w:t>
            </w:r>
          </w:p>
        </w:tc>
        <w:tc>
          <w:tcPr>
            <w:tcW w:w="521" w:type="pct"/>
            <w:tcBorders>
              <w:top w:val="single" w:sz="4" w:space="0" w:color="auto"/>
              <w:bottom w:val="single" w:sz="4" w:space="0" w:color="auto"/>
            </w:tcBorders>
            <w:shd w:val="clear" w:color="auto" w:fill="CCFFFF"/>
            <w:vAlign w:val="center"/>
          </w:tcPr>
          <w:p w:rsidR="00B03EDF" w:rsidRPr="0016774F" w:rsidRDefault="00B03EDF" w:rsidP="00C1753F">
            <w:pPr>
              <w:spacing w:after="120"/>
              <w:ind w:left="85"/>
              <w:jc w:val="center"/>
              <w:rPr>
                <w:rFonts w:cs="Arial"/>
                <w:b/>
                <w:bCs/>
                <w:sz w:val="16"/>
                <w:szCs w:val="16"/>
              </w:rPr>
            </w:pPr>
            <w:r>
              <w:rPr>
                <w:rFonts w:cs="Arial"/>
                <w:b/>
                <w:bCs/>
                <w:sz w:val="16"/>
                <w:szCs w:val="16"/>
              </w:rPr>
              <w:t>TLS</w:t>
            </w:r>
          </w:p>
        </w:tc>
      </w:tr>
      <w:tr w:rsidR="00B03EDF" w:rsidRPr="0016774F" w:rsidTr="00C1753F">
        <w:trPr>
          <w:cantSplit/>
        </w:trPr>
        <w:tc>
          <w:tcPr>
            <w:tcW w:w="1544" w:type="pct"/>
            <w:tcBorders>
              <w:top w:val="single" w:sz="4" w:space="0" w:color="auto"/>
            </w:tcBorders>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III.1</w:t>
            </w:r>
            <w:r>
              <w:rPr>
                <w:rFonts w:cs="Arial"/>
                <w:sz w:val="16"/>
                <w:szCs w:val="16"/>
              </w:rPr>
              <w:t xml:space="preserve"> </w:t>
            </w:r>
            <w:r w:rsidRPr="0016774F">
              <w:rPr>
                <w:rFonts w:cs="Arial"/>
                <w:sz w:val="16"/>
                <w:szCs w:val="16"/>
              </w:rPr>
              <w:t xml:space="preserve"> National innovation and IP strategies and plans consistent with national development objectives</w:t>
            </w:r>
            <w:r w:rsidRPr="0016774F">
              <w:rPr>
                <w:rFonts w:cs="Arial"/>
                <w:sz w:val="15"/>
                <w:szCs w:val="15"/>
              </w:rPr>
              <w:t xml:space="preserve"> </w:t>
            </w:r>
          </w:p>
        </w:tc>
        <w:tc>
          <w:tcPr>
            <w:tcW w:w="2163" w:type="pct"/>
            <w:tcBorders>
              <w:top w:val="single" w:sz="4" w:space="0" w:color="auto"/>
            </w:tcBorders>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No. of countries which are in the process of formulating/adopting national IP strategies and/or development plans</w:t>
            </w:r>
          </w:p>
        </w:tc>
        <w:tc>
          <w:tcPr>
            <w:tcW w:w="772" w:type="pct"/>
            <w:tcBorders>
              <w:top w:val="single" w:sz="4" w:space="0" w:color="auto"/>
            </w:tcBorders>
            <w:shd w:val="clear" w:color="auto" w:fill="FFFFFF"/>
            <w:tcMar>
              <w:top w:w="113" w:type="dxa"/>
              <w:bottom w:w="57" w:type="dxa"/>
            </w:tcMar>
          </w:tcPr>
          <w:p w:rsidR="00B03EDF" w:rsidRPr="0016774F" w:rsidRDefault="00B03EDF" w:rsidP="00C1753F">
            <w:pPr>
              <w:ind w:left="441"/>
              <w:jc w:val="center"/>
              <w:rPr>
                <w:rFonts w:cs="Arial"/>
                <w:sz w:val="16"/>
                <w:szCs w:val="16"/>
                <w:lang w:bidi="th-TH"/>
              </w:rPr>
            </w:pPr>
            <w:r w:rsidRPr="0016774F">
              <w:rPr>
                <w:rFonts w:cs="Arial"/>
                <w:sz w:val="16"/>
                <w:szCs w:val="16"/>
                <w:lang w:bidi="th-TH"/>
              </w:rPr>
              <w:t>Program 9</w:t>
            </w:r>
          </w:p>
        </w:tc>
        <w:tc>
          <w:tcPr>
            <w:tcW w:w="521" w:type="pct"/>
            <w:tcBorders>
              <w:top w:val="single" w:sz="4" w:space="0" w:color="auto"/>
            </w:tcBorders>
            <w:shd w:val="clear" w:color="auto" w:fill="FFFFFF"/>
          </w:tcPr>
          <w:p w:rsidR="00B03EDF" w:rsidRDefault="00B03EDF" w:rsidP="00C1753F">
            <w:pPr>
              <w:jc w:val="center"/>
            </w:pP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p>
        </w:tc>
      </w:tr>
      <w:tr w:rsidR="00B03EDF" w:rsidRPr="0016774F" w:rsidTr="00C1753F">
        <w:trPr>
          <w:cantSplit/>
          <w:trHeight w:val="556"/>
        </w:trPr>
        <w:tc>
          <w:tcPr>
            <w:tcW w:w="1544" w:type="pct"/>
            <w:shd w:val="clear" w:color="auto" w:fill="auto"/>
            <w:tcMar>
              <w:top w:w="113" w:type="dxa"/>
              <w:bottom w:w="57" w:type="dxa"/>
            </w:tcMar>
          </w:tcPr>
          <w:p w:rsidR="00B03EDF" w:rsidRPr="0016774F" w:rsidRDefault="00B03EDF" w:rsidP="00C1753F">
            <w:pPr>
              <w:rPr>
                <w:rFonts w:cs="Arial"/>
                <w:sz w:val="16"/>
                <w:szCs w:val="16"/>
              </w:rPr>
            </w:pPr>
          </w:p>
        </w:tc>
        <w:tc>
          <w:tcPr>
            <w:tcW w:w="2163" w:type="pct"/>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No. of countries which have adopted and are implementing national IP strategies and/or development plans</w:t>
            </w:r>
          </w:p>
        </w:tc>
        <w:tc>
          <w:tcPr>
            <w:tcW w:w="772" w:type="pct"/>
            <w:shd w:val="clear" w:color="auto" w:fill="FFFFFF"/>
            <w:tcMar>
              <w:top w:w="113" w:type="dxa"/>
              <w:bottom w:w="57" w:type="dxa"/>
            </w:tcMar>
          </w:tcPr>
          <w:p w:rsidR="00B03EDF" w:rsidRPr="0016774F" w:rsidRDefault="00B03EDF" w:rsidP="00C1753F">
            <w:pPr>
              <w:ind w:left="441"/>
              <w:jc w:val="right"/>
              <w:rPr>
                <w:rFonts w:cs="Arial"/>
                <w:sz w:val="16"/>
                <w:szCs w:val="16"/>
                <w:lang w:bidi="th-TH"/>
              </w:rPr>
            </w:pPr>
            <w:r w:rsidRPr="0016774F">
              <w:rPr>
                <w:rFonts w:cs="Arial"/>
                <w:sz w:val="16"/>
                <w:szCs w:val="16"/>
                <w:lang w:bidi="th-TH"/>
              </w:rPr>
              <w:t>Program 9</w:t>
            </w:r>
          </w:p>
        </w:tc>
        <w:tc>
          <w:tcPr>
            <w:tcW w:w="521" w:type="pct"/>
            <w:shd w:val="clear" w:color="auto" w:fill="FFFFFF"/>
          </w:tcPr>
          <w:p w:rsidR="00B03EDF" w:rsidRDefault="00B03EDF" w:rsidP="00C1753F">
            <w:pPr>
              <w:jc w:val="center"/>
              <w:rPr>
                <w:rFonts w:cs="Arial"/>
                <w:color w:val="FF0000"/>
                <w:sz w:val="22"/>
                <w:szCs w:val="22"/>
              </w:rPr>
            </w:pPr>
            <w:r w:rsidRPr="005F33CE">
              <w:rPr>
                <w:rFonts w:cs="Arial"/>
                <w:color w:val="008000"/>
                <w:sz w:val="22"/>
                <w:szCs w:val="22"/>
              </w:rPr>
              <w:sym w:font="Wingdings" w:char="F06C"/>
            </w:r>
            <w:r w:rsidRPr="00167066">
              <w:rPr>
                <w:rFonts w:cs="Arial"/>
                <w:color w:val="FF0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p>
          <w:p w:rsidR="00B03EDF" w:rsidRDefault="00B03EDF" w:rsidP="00C1753F">
            <w:pPr>
              <w:jc w:val="center"/>
            </w:pPr>
          </w:p>
        </w:tc>
      </w:tr>
      <w:tr w:rsidR="00B03EDF" w:rsidRPr="0016774F" w:rsidTr="00C1753F">
        <w:trPr>
          <w:cantSplit/>
          <w:trHeight w:val="368"/>
        </w:trPr>
        <w:tc>
          <w:tcPr>
            <w:tcW w:w="1544" w:type="pct"/>
            <w:shd w:val="clear" w:color="auto" w:fill="auto"/>
            <w:tcMar>
              <w:top w:w="113" w:type="dxa"/>
              <w:bottom w:w="57" w:type="dxa"/>
            </w:tcMar>
          </w:tcPr>
          <w:p w:rsidR="00B03EDF" w:rsidRPr="0016774F" w:rsidRDefault="00B03EDF" w:rsidP="00C1753F">
            <w:pPr>
              <w:rPr>
                <w:rFonts w:cs="Arial"/>
                <w:sz w:val="16"/>
                <w:szCs w:val="16"/>
              </w:rPr>
            </w:pPr>
          </w:p>
        </w:tc>
        <w:tc>
          <w:tcPr>
            <w:tcW w:w="2163" w:type="pct"/>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No. of Universities having developed IP policies</w:t>
            </w:r>
          </w:p>
        </w:tc>
        <w:tc>
          <w:tcPr>
            <w:tcW w:w="772" w:type="pct"/>
            <w:shd w:val="clear" w:color="auto" w:fill="FFFFFF"/>
            <w:tcMar>
              <w:top w:w="113" w:type="dxa"/>
              <w:bottom w:w="57" w:type="dxa"/>
            </w:tcMar>
          </w:tcPr>
          <w:p w:rsidR="00B03EDF" w:rsidRPr="0016774F" w:rsidRDefault="00B03EDF" w:rsidP="00C1753F">
            <w:pPr>
              <w:jc w:val="right"/>
              <w:rPr>
                <w:rFonts w:cs="Arial"/>
                <w:sz w:val="16"/>
                <w:szCs w:val="16"/>
                <w:lang w:bidi="th-TH"/>
              </w:rPr>
            </w:pPr>
            <w:r>
              <w:rPr>
                <w:rFonts w:cs="Arial"/>
                <w:sz w:val="16"/>
                <w:szCs w:val="16"/>
                <w:lang w:bidi="th-TH"/>
              </w:rPr>
              <w:t>Program</w:t>
            </w:r>
            <w:r w:rsidRPr="0016774F">
              <w:rPr>
                <w:rFonts w:cs="Arial"/>
                <w:sz w:val="16"/>
                <w:szCs w:val="16"/>
                <w:lang w:bidi="th-TH"/>
              </w:rPr>
              <w:t>10</w:t>
            </w:r>
          </w:p>
        </w:tc>
        <w:tc>
          <w:tcPr>
            <w:tcW w:w="521" w:type="pct"/>
            <w:shd w:val="clear" w:color="auto" w:fill="FFFFFF"/>
          </w:tcPr>
          <w:p w:rsidR="00B03EDF" w:rsidRDefault="00B03EDF" w:rsidP="00C1753F">
            <w:pPr>
              <w:jc w:val="center"/>
            </w:pPr>
            <w:r w:rsidRPr="005F33CE">
              <w:rPr>
                <w:rFonts w:cs="Arial"/>
                <w:color w:val="008000"/>
                <w:sz w:val="22"/>
                <w:szCs w:val="22"/>
              </w:rPr>
              <w:sym w:font="Wingdings" w:char="F06C"/>
            </w:r>
          </w:p>
        </w:tc>
      </w:tr>
      <w:tr w:rsidR="00B03EDF" w:rsidRPr="0016774F" w:rsidTr="00C1753F">
        <w:trPr>
          <w:cantSplit/>
          <w:trHeight w:val="539"/>
        </w:trPr>
        <w:tc>
          <w:tcPr>
            <w:tcW w:w="1544" w:type="pct"/>
            <w:vMerge w:val="restart"/>
            <w:shd w:val="clear" w:color="auto" w:fill="auto"/>
            <w:tcMar>
              <w:top w:w="113" w:type="dxa"/>
              <w:bottom w:w="57" w:type="dxa"/>
            </w:tcMar>
          </w:tcPr>
          <w:p w:rsidR="00B03EDF" w:rsidRPr="0016774F" w:rsidRDefault="00B03EDF" w:rsidP="00C1753F">
            <w:pPr>
              <w:rPr>
                <w:rFonts w:cs="Arial"/>
                <w:sz w:val="16"/>
                <w:szCs w:val="16"/>
              </w:rPr>
            </w:pPr>
          </w:p>
        </w:tc>
        <w:tc>
          <w:tcPr>
            <w:tcW w:w="2163" w:type="pct"/>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No. of countries having developed national IP strategies/plans</w:t>
            </w:r>
          </w:p>
        </w:tc>
        <w:tc>
          <w:tcPr>
            <w:tcW w:w="772" w:type="pct"/>
            <w:shd w:val="clear" w:color="auto" w:fill="FFFFFF"/>
            <w:tcMar>
              <w:top w:w="113" w:type="dxa"/>
              <w:bottom w:w="57" w:type="dxa"/>
            </w:tcMar>
          </w:tcPr>
          <w:p w:rsidR="00B03EDF" w:rsidRDefault="00B03EDF" w:rsidP="00C1753F">
            <w:pPr>
              <w:jc w:val="right"/>
              <w:rPr>
                <w:rFonts w:cs="Arial"/>
                <w:sz w:val="16"/>
                <w:szCs w:val="16"/>
                <w:lang w:bidi="th-TH"/>
              </w:rPr>
            </w:pPr>
            <w:r w:rsidRPr="0016774F">
              <w:rPr>
                <w:rFonts w:cs="Arial"/>
                <w:sz w:val="16"/>
                <w:szCs w:val="16"/>
                <w:lang w:bidi="th-TH"/>
              </w:rPr>
              <w:t>Program 10</w:t>
            </w:r>
          </w:p>
          <w:p w:rsidR="00B03EDF" w:rsidRDefault="00B03EDF" w:rsidP="00C1753F">
            <w:pPr>
              <w:ind w:left="441"/>
              <w:jc w:val="right"/>
              <w:rPr>
                <w:rFonts w:cs="Arial"/>
                <w:sz w:val="16"/>
                <w:szCs w:val="16"/>
                <w:lang w:bidi="th-TH"/>
              </w:rPr>
            </w:pPr>
          </w:p>
          <w:p w:rsidR="00B03EDF" w:rsidRPr="0016774F" w:rsidRDefault="00B03EDF" w:rsidP="00C1753F">
            <w:pPr>
              <w:jc w:val="right"/>
              <w:rPr>
                <w:rFonts w:cs="Arial"/>
                <w:sz w:val="16"/>
                <w:szCs w:val="16"/>
                <w:lang w:bidi="th-TH"/>
              </w:rPr>
            </w:pPr>
          </w:p>
        </w:tc>
        <w:tc>
          <w:tcPr>
            <w:tcW w:w="521" w:type="pct"/>
            <w:shd w:val="clear" w:color="auto" w:fill="FFFFFF"/>
          </w:tcPr>
          <w:p w:rsidR="00B03EDF" w:rsidRDefault="00B03EDF" w:rsidP="00C1753F">
            <w:pPr>
              <w:jc w:val="center"/>
            </w:pPr>
            <w:r w:rsidRPr="005F33CE">
              <w:rPr>
                <w:rFonts w:cs="Arial"/>
                <w:color w:val="008000"/>
                <w:sz w:val="22"/>
                <w:szCs w:val="22"/>
              </w:rPr>
              <w:sym w:font="Wingdings" w:char="F06C"/>
            </w:r>
          </w:p>
        </w:tc>
      </w:tr>
      <w:tr w:rsidR="00B03EDF" w:rsidRPr="0016774F" w:rsidTr="00C1753F">
        <w:trPr>
          <w:cantSplit/>
          <w:trHeight w:val="538"/>
        </w:trPr>
        <w:tc>
          <w:tcPr>
            <w:tcW w:w="1544" w:type="pct"/>
            <w:vMerge/>
            <w:shd w:val="clear" w:color="auto" w:fill="auto"/>
            <w:tcMar>
              <w:top w:w="113" w:type="dxa"/>
              <w:bottom w:w="57" w:type="dxa"/>
            </w:tcMar>
          </w:tcPr>
          <w:p w:rsidR="00B03EDF" w:rsidRPr="0016774F" w:rsidRDefault="00B03EDF" w:rsidP="00C1753F">
            <w:pPr>
              <w:rPr>
                <w:rFonts w:cs="Arial"/>
                <w:sz w:val="16"/>
                <w:szCs w:val="16"/>
              </w:rPr>
            </w:pPr>
          </w:p>
        </w:tc>
        <w:tc>
          <w:tcPr>
            <w:tcW w:w="2163" w:type="pct"/>
            <w:shd w:val="clear" w:color="auto" w:fill="auto"/>
            <w:tcMar>
              <w:top w:w="113" w:type="dxa"/>
              <w:bottom w:w="57" w:type="dxa"/>
            </w:tcMar>
          </w:tcPr>
          <w:p w:rsidR="00B03EDF" w:rsidRPr="0016774F" w:rsidRDefault="00B03EDF" w:rsidP="00C1753F">
            <w:pPr>
              <w:rPr>
                <w:rFonts w:cs="Arial"/>
                <w:sz w:val="16"/>
                <w:szCs w:val="16"/>
              </w:rPr>
            </w:pPr>
            <w:r>
              <w:rPr>
                <w:rFonts w:cs="Arial"/>
                <w:sz w:val="16"/>
                <w:szCs w:val="16"/>
              </w:rPr>
              <w:t>No. of countries with national innovation policies initiated, in progress or adopted</w:t>
            </w:r>
          </w:p>
        </w:tc>
        <w:tc>
          <w:tcPr>
            <w:tcW w:w="772" w:type="pct"/>
            <w:shd w:val="clear" w:color="auto" w:fill="FFFFFF"/>
            <w:tcMar>
              <w:top w:w="113" w:type="dxa"/>
              <w:bottom w:w="57" w:type="dxa"/>
            </w:tcMar>
          </w:tcPr>
          <w:p w:rsidR="00B03EDF" w:rsidRPr="0016774F" w:rsidRDefault="00B03EDF" w:rsidP="00C1753F">
            <w:pPr>
              <w:jc w:val="right"/>
              <w:rPr>
                <w:rFonts w:cs="Arial"/>
                <w:sz w:val="16"/>
                <w:szCs w:val="16"/>
                <w:lang w:bidi="th-TH"/>
              </w:rPr>
            </w:pPr>
            <w:r>
              <w:rPr>
                <w:rFonts w:cs="Arial"/>
                <w:sz w:val="16"/>
                <w:szCs w:val="16"/>
                <w:lang w:bidi="th-TH"/>
              </w:rPr>
              <w:t>Program 3</w:t>
            </w:r>
            <w:r w:rsidRPr="0016774F">
              <w:rPr>
                <w:rFonts w:cs="Arial"/>
                <w:sz w:val="16"/>
                <w:szCs w:val="16"/>
                <w:lang w:bidi="th-TH"/>
              </w:rPr>
              <w:t>0</w:t>
            </w:r>
          </w:p>
        </w:tc>
        <w:tc>
          <w:tcPr>
            <w:tcW w:w="521" w:type="pct"/>
            <w:shd w:val="clear" w:color="auto" w:fill="FFFFFF"/>
          </w:tcPr>
          <w:p w:rsidR="00B03EDF" w:rsidRPr="00F718E6" w:rsidRDefault="00B03EDF" w:rsidP="00C1753F">
            <w:pPr>
              <w:jc w:val="center"/>
              <w:rPr>
                <w:rFonts w:cs="Arial"/>
                <w:color w:val="A6A6A6" w:themeColor="background1" w:themeShade="A6"/>
                <w:sz w:val="22"/>
                <w:szCs w:val="22"/>
              </w:rPr>
            </w:pPr>
            <w:r w:rsidRPr="005F33CE">
              <w:rPr>
                <w:rFonts w:cs="Arial"/>
                <w:color w:val="008000"/>
                <w:sz w:val="22"/>
                <w:szCs w:val="22"/>
              </w:rPr>
              <w:sym w:font="Wingdings" w:char="F06C"/>
            </w:r>
          </w:p>
        </w:tc>
      </w:tr>
      <w:tr w:rsidR="00B03EDF" w:rsidRPr="0016774F" w:rsidTr="00C1753F">
        <w:trPr>
          <w:cantSplit/>
          <w:trHeight w:val="850"/>
        </w:trPr>
        <w:tc>
          <w:tcPr>
            <w:tcW w:w="1544" w:type="pct"/>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III.2</w:t>
            </w:r>
            <w:r>
              <w:rPr>
                <w:rFonts w:cs="Arial"/>
                <w:sz w:val="16"/>
                <w:szCs w:val="16"/>
              </w:rPr>
              <w:t xml:space="preserve"> </w:t>
            </w:r>
            <w:r w:rsidRPr="0016774F">
              <w:rPr>
                <w:rFonts w:cs="Arial"/>
                <w:sz w:val="16"/>
                <w:szCs w:val="16"/>
              </w:rPr>
              <w:t xml:space="preserve"> Enhanced human resource capacities able to deal with the broad range of requirements for the effective use of IP for development in developing countries, LDCs and countries with economies in transition</w:t>
            </w:r>
          </w:p>
        </w:tc>
        <w:tc>
          <w:tcPr>
            <w:tcW w:w="2163" w:type="pct"/>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No. of governments and CMOs signing an agreement with WIPO to develop a new transparency, accountability and governance quality assurance standard</w:t>
            </w:r>
          </w:p>
        </w:tc>
        <w:tc>
          <w:tcPr>
            <w:tcW w:w="772" w:type="pct"/>
            <w:shd w:val="clear" w:color="auto" w:fill="FFFFFF"/>
            <w:tcMar>
              <w:top w:w="113" w:type="dxa"/>
              <w:bottom w:w="57" w:type="dxa"/>
            </w:tcMar>
          </w:tcPr>
          <w:p w:rsidR="00B03EDF" w:rsidRPr="0016774F" w:rsidRDefault="00B03EDF" w:rsidP="00C1753F">
            <w:pPr>
              <w:ind w:left="441"/>
              <w:jc w:val="right"/>
              <w:rPr>
                <w:rFonts w:cs="Arial"/>
                <w:sz w:val="16"/>
                <w:szCs w:val="16"/>
                <w:lang w:bidi="th-TH"/>
              </w:rPr>
            </w:pPr>
            <w:r w:rsidRPr="0016774F">
              <w:rPr>
                <w:rFonts w:cs="Arial"/>
                <w:sz w:val="16"/>
                <w:szCs w:val="16"/>
                <w:lang w:bidi="th-TH"/>
              </w:rPr>
              <w:t>Program 3</w:t>
            </w:r>
          </w:p>
        </w:tc>
        <w:tc>
          <w:tcPr>
            <w:tcW w:w="521" w:type="pct"/>
            <w:shd w:val="clear" w:color="auto" w:fill="FFFFFF"/>
          </w:tcPr>
          <w:p w:rsidR="00B03EDF" w:rsidRPr="00C7257F" w:rsidRDefault="00B03EDF" w:rsidP="00C1753F">
            <w:pPr>
              <w:jc w:val="center"/>
              <w:rPr>
                <w:rFonts w:cs="Arial"/>
                <w:color w:val="008000"/>
                <w:sz w:val="22"/>
                <w:szCs w:val="22"/>
              </w:rPr>
            </w:pPr>
            <w:r w:rsidRPr="00C7257F">
              <w:rPr>
                <w:rFonts w:cs="Arial"/>
                <w:color w:val="008000"/>
                <w:sz w:val="22"/>
                <w:szCs w:val="22"/>
              </w:rPr>
              <w:sym w:font="Wingdings" w:char="F06C"/>
            </w:r>
          </w:p>
          <w:p w:rsidR="00B03EDF" w:rsidRDefault="00B03EDF" w:rsidP="00C1753F">
            <w:pPr>
              <w:jc w:val="center"/>
              <w:rPr>
                <w:rFonts w:cs="Arial"/>
                <w:color w:val="FF0000"/>
                <w:sz w:val="22"/>
                <w:szCs w:val="22"/>
              </w:rPr>
            </w:pPr>
          </w:p>
          <w:p w:rsidR="00B03EDF" w:rsidRDefault="00B03EDF" w:rsidP="00C1753F">
            <w:pPr>
              <w:jc w:val="center"/>
              <w:rPr>
                <w:rFonts w:cs="Arial"/>
                <w:color w:val="FF0000"/>
                <w:sz w:val="22"/>
                <w:szCs w:val="22"/>
              </w:rPr>
            </w:pPr>
          </w:p>
          <w:p w:rsidR="00B03EDF" w:rsidRDefault="00B03EDF" w:rsidP="00C1753F">
            <w:pPr>
              <w:jc w:val="center"/>
            </w:pPr>
          </w:p>
        </w:tc>
      </w:tr>
      <w:tr w:rsidR="00B03EDF" w:rsidRPr="0016774F" w:rsidTr="00C1753F">
        <w:trPr>
          <w:cantSplit/>
          <w:trHeight w:val="702"/>
        </w:trPr>
        <w:tc>
          <w:tcPr>
            <w:tcW w:w="1544" w:type="pct"/>
            <w:shd w:val="clear" w:color="auto" w:fill="auto"/>
            <w:tcMar>
              <w:top w:w="113" w:type="dxa"/>
              <w:bottom w:w="57" w:type="dxa"/>
            </w:tcMar>
          </w:tcPr>
          <w:p w:rsidR="00B03EDF" w:rsidRPr="0016774F" w:rsidRDefault="00B03EDF" w:rsidP="00C1753F">
            <w:pPr>
              <w:rPr>
                <w:rFonts w:cs="Arial"/>
                <w:sz w:val="16"/>
                <w:szCs w:val="16"/>
              </w:rPr>
            </w:pPr>
          </w:p>
        </w:tc>
        <w:tc>
          <w:tcPr>
            <w:tcW w:w="2163" w:type="pct"/>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 of creators satisfied with the training provided on using copyright data and information for the efficient management of their copyright</w:t>
            </w:r>
          </w:p>
        </w:tc>
        <w:tc>
          <w:tcPr>
            <w:tcW w:w="772" w:type="pct"/>
            <w:shd w:val="clear" w:color="auto" w:fill="FFFFFF"/>
            <w:tcMar>
              <w:top w:w="113" w:type="dxa"/>
              <w:bottom w:w="57" w:type="dxa"/>
            </w:tcMar>
          </w:tcPr>
          <w:p w:rsidR="00B03EDF" w:rsidRPr="0016774F" w:rsidRDefault="00B03EDF" w:rsidP="00C1753F">
            <w:pPr>
              <w:ind w:left="441"/>
              <w:jc w:val="right"/>
              <w:rPr>
                <w:rFonts w:cs="Arial"/>
                <w:sz w:val="16"/>
                <w:szCs w:val="16"/>
                <w:lang w:bidi="th-TH"/>
              </w:rPr>
            </w:pPr>
            <w:r w:rsidRPr="0016774F">
              <w:rPr>
                <w:rFonts w:cs="Arial"/>
                <w:sz w:val="16"/>
                <w:szCs w:val="16"/>
                <w:lang w:bidi="th-TH"/>
              </w:rPr>
              <w:t>Program 3</w:t>
            </w:r>
          </w:p>
        </w:tc>
        <w:tc>
          <w:tcPr>
            <w:tcW w:w="521" w:type="pct"/>
            <w:shd w:val="clear" w:color="auto" w:fill="FFFFFF"/>
          </w:tcPr>
          <w:p w:rsidR="00B03EDF" w:rsidRDefault="00B03EDF" w:rsidP="00C1753F">
            <w:pPr>
              <w:spacing w:before="40"/>
              <w:jc w:val="center"/>
            </w:pPr>
            <w:r w:rsidRPr="00167066">
              <w:rPr>
                <w:rFonts w:cs="Arial"/>
                <w:color w:val="008000"/>
                <w:sz w:val="22"/>
                <w:szCs w:val="22"/>
              </w:rPr>
              <w:sym w:font="Wingdings" w:char="F06C"/>
            </w:r>
          </w:p>
        </w:tc>
      </w:tr>
      <w:tr w:rsidR="00B03EDF" w:rsidRPr="0016774F" w:rsidTr="00C1753F">
        <w:trPr>
          <w:cantSplit/>
          <w:trHeight w:val="540"/>
        </w:trPr>
        <w:tc>
          <w:tcPr>
            <w:tcW w:w="1544" w:type="pct"/>
            <w:shd w:val="clear" w:color="auto" w:fill="auto"/>
            <w:tcMar>
              <w:top w:w="113" w:type="dxa"/>
              <w:bottom w:w="57" w:type="dxa"/>
            </w:tcMar>
          </w:tcPr>
          <w:p w:rsidR="00B03EDF" w:rsidRPr="0016774F" w:rsidRDefault="00B03EDF" w:rsidP="00C1753F">
            <w:pPr>
              <w:rPr>
                <w:rFonts w:cs="Arial"/>
                <w:sz w:val="16"/>
                <w:szCs w:val="16"/>
              </w:rPr>
            </w:pPr>
          </w:p>
        </w:tc>
        <w:tc>
          <w:tcPr>
            <w:tcW w:w="2163" w:type="pct"/>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 of participants’ positive rating of the usefulness of copyright related capacity building meetings and workshops</w:t>
            </w:r>
          </w:p>
        </w:tc>
        <w:tc>
          <w:tcPr>
            <w:tcW w:w="772" w:type="pct"/>
            <w:shd w:val="clear" w:color="auto" w:fill="FFFFFF"/>
            <w:tcMar>
              <w:top w:w="113" w:type="dxa"/>
              <w:bottom w:w="57" w:type="dxa"/>
            </w:tcMar>
          </w:tcPr>
          <w:p w:rsidR="00B03EDF" w:rsidRPr="0016774F" w:rsidRDefault="00B03EDF" w:rsidP="00C1753F">
            <w:pPr>
              <w:ind w:left="441"/>
              <w:jc w:val="right"/>
              <w:rPr>
                <w:rFonts w:cs="Arial"/>
                <w:sz w:val="16"/>
                <w:szCs w:val="16"/>
                <w:lang w:bidi="th-TH"/>
              </w:rPr>
            </w:pPr>
            <w:r w:rsidRPr="0016774F">
              <w:rPr>
                <w:rFonts w:cs="Arial"/>
                <w:sz w:val="16"/>
                <w:szCs w:val="16"/>
                <w:lang w:bidi="th-TH"/>
              </w:rPr>
              <w:t>Program 3</w:t>
            </w:r>
          </w:p>
        </w:tc>
        <w:tc>
          <w:tcPr>
            <w:tcW w:w="521" w:type="pct"/>
            <w:shd w:val="clear" w:color="auto" w:fill="FFFFFF"/>
          </w:tcPr>
          <w:p w:rsidR="00B03EDF" w:rsidRDefault="00B03EDF" w:rsidP="00C1753F">
            <w:pPr>
              <w:spacing w:before="40"/>
              <w:jc w:val="center"/>
            </w:pPr>
            <w:r w:rsidRPr="00167066">
              <w:rPr>
                <w:rFonts w:cs="Arial"/>
                <w:color w:val="008000"/>
                <w:sz w:val="22"/>
                <w:szCs w:val="22"/>
              </w:rPr>
              <w:sym w:font="Wingdings" w:char="F06C"/>
            </w:r>
          </w:p>
        </w:tc>
      </w:tr>
      <w:tr w:rsidR="00B03EDF" w:rsidRPr="0016774F" w:rsidTr="00C1753F">
        <w:trPr>
          <w:cantSplit/>
          <w:trHeight w:val="800"/>
        </w:trPr>
        <w:tc>
          <w:tcPr>
            <w:tcW w:w="1544" w:type="pct"/>
            <w:shd w:val="clear" w:color="auto" w:fill="auto"/>
            <w:tcMar>
              <w:top w:w="113" w:type="dxa"/>
              <w:bottom w:w="57" w:type="dxa"/>
            </w:tcMar>
          </w:tcPr>
          <w:p w:rsidR="00B03EDF" w:rsidRPr="0016774F" w:rsidRDefault="00B03EDF" w:rsidP="00C1753F">
            <w:pPr>
              <w:rPr>
                <w:rFonts w:cs="Arial"/>
                <w:sz w:val="16"/>
                <w:szCs w:val="16"/>
              </w:rPr>
            </w:pPr>
          </w:p>
        </w:tc>
        <w:tc>
          <w:tcPr>
            <w:tcW w:w="2163" w:type="pct"/>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No. of Member States that take initiatives to improve their use of the copyright system to exploit the economic potentials of their cultural works and products</w:t>
            </w:r>
          </w:p>
        </w:tc>
        <w:tc>
          <w:tcPr>
            <w:tcW w:w="772" w:type="pct"/>
            <w:shd w:val="clear" w:color="auto" w:fill="FFFFFF"/>
            <w:tcMar>
              <w:top w:w="113" w:type="dxa"/>
              <w:bottom w:w="57" w:type="dxa"/>
            </w:tcMar>
          </w:tcPr>
          <w:p w:rsidR="00B03EDF" w:rsidRPr="0016774F" w:rsidRDefault="00B03EDF" w:rsidP="00C1753F">
            <w:pPr>
              <w:ind w:left="441"/>
              <w:jc w:val="right"/>
              <w:rPr>
                <w:rFonts w:cs="Arial"/>
                <w:sz w:val="16"/>
                <w:szCs w:val="16"/>
                <w:lang w:bidi="th-TH"/>
              </w:rPr>
            </w:pPr>
            <w:r w:rsidRPr="0016774F">
              <w:rPr>
                <w:rFonts w:cs="Arial"/>
                <w:sz w:val="16"/>
                <w:szCs w:val="16"/>
                <w:lang w:bidi="th-TH"/>
              </w:rPr>
              <w:t>Program 3</w:t>
            </w:r>
          </w:p>
        </w:tc>
        <w:tc>
          <w:tcPr>
            <w:tcW w:w="521" w:type="pct"/>
            <w:shd w:val="clear" w:color="auto" w:fill="FFFFFF"/>
          </w:tcPr>
          <w:p w:rsidR="00B03EDF" w:rsidRDefault="00B03EDF" w:rsidP="00C1753F">
            <w:pPr>
              <w:spacing w:before="40"/>
              <w:jc w:val="center"/>
            </w:pPr>
            <w:r w:rsidRPr="00167066">
              <w:rPr>
                <w:rFonts w:cs="Arial"/>
                <w:color w:val="008000"/>
                <w:sz w:val="22"/>
                <w:szCs w:val="22"/>
              </w:rPr>
              <w:sym w:font="Wingdings" w:char="F06C"/>
            </w:r>
          </w:p>
        </w:tc>
      </w:tr>
      <w:tr w:rsidR="00B03EDF" w:rsidRPr="0016774F" w:rsidTr="00C1753F">
        <w:trPr>
          <w:cantSplit/>
          <w:trHeight w:val="800"/>
        </w:trPr>
        <w:tc>
          <w:tcPr>
            <w:tcW w:w="1544" w:type="pct"/>
            <w:shd w:val="clear" w:color="auto" w:fill="auto"/>
            <w:tcMar>
              <w:top w:w="113" w:type="dxa"/>
              <w:bottom w:w="57" w:type="dxa"/>
            </w:tcMar>
          </w:tcPr>
          <w:p w:rsidR="00B03EDF" w:rsidRPr="0016774F" w:rsidRDefault="00B03EDF" w:rsidP="00C1753F">
            <w:pPr>
              <w:rPr>
                <w:rFonts w:cs="Arial"/>
                <w:sz w:val="16"/>
                <w:szCs w:val="16"/>
              </w:rPr>
            </w:pPr>
          </w:p>
        </w:tc>
        <w:tc>
          <w:tcPr>
            <w:tcW w:w="2163" w:type="pct"/>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 of participants in WIPO activities which report enhanced capacity to understand and use IP principles, systems and tools for the protection of TK and TCEs, and for management of the interface between IP and GRs</w:t>
            </w:r>
          </w:p>
        </w:tc>
        <w:tc>
          <w:tcPr>
            <w:tcW w:w="772" w:type="pct"/>
            <w:shd w:val="clear" w:color="auto" w:fill="FFFFFF"/>
            <w:tcMar>
              <w:top w:w="113" w:type="dxa"/>
              <w:bottom w:w="57" w:type="dxa"/>
            </w:tcMar>
          </w:tcPr>
          <w:p w:rsidR="00B03EDF" w:rsidRPr="0016774F" w:rsidRDefault="00B03EDF" w:rsidP="00C1753F">
            <w:pPr>
              <w:ind w:left="441"/>
              <w:jc w:val="right"/>
              <w:rPr>
                <w:rFonts w:cs="Arial"/>
                <w:sz w:val="16"/>
                <w:szCs w:val="16"/>
                <w:lang w:bidi="th-TH"/>
              </w:rPr>
            </w:pPr>
            <w:r w:rsidRPr="0016774F">
              <w:rPr>
                <w:rFonts w:cs="Arial"/>
                <w:sz w:val="16"/>
                <w:szCs w:val="16"/>
                <w:lang w:bidi="th-TH"/>
              </w:rPr>
              <w:t>Program 4</w:t>
            </w:r>
          </w:p>
        </w:tc>
        <w:tc>
          <w:tcPr>
            <w:tcW w:w="521" w:type="pct"/>
            <w:shd w:val="clear" w:color="auto" w:fill="FFFFFF"/>
          </w:tcPr>
          <w:p w:rsidR="00B03EDF" w:rsidRDefault="00B03EDF" w:rsidP="00C1753F">
            <w:pPr>
              <w:spacing w:before="40"/>
              <w:jc w:val="center"/>
            </w:pPr>
            <w:r w:rsidRPr="00804FA0">
              <w:rPr>
                <w:rFonts w:cs="Arial"/>
                <w:color w:val="008000"/>
                <w:sz w:val="22"/>
                <w:szCs w:val="22"/>
              </w:rPr>
              <w:sym w:font="Wingdings" w:char="F06C"/>
            </w:r>
          </w:p>
        </w:tc>
      </w:tr>
      <w:tr w:rsidR="00B03EDF" w:rsidRPr="0016774F" w:rsidTr="00C1753F">
        <w:trPr>
          <w:cantSplit/>
          <w:trHeight w:val="550"/>
        </w:trPr>
        <w:tc>
          <w:tcPr>
            <w:tcW w:w="1544" w:type="pct"/>
            <w:shd w:val="clear" w:color="auto" w:fill="auto"/>
            <w:tcMar>
              <w:top w:w="113" w:type="dxa"/>
              <w:bottom w:w="57" w:type="dxa"/>
            </w:tcMar>
          </w:tcPr>
          <w:p w:rsidR="00B03EDF" w:rsidRPr="0016774F" w:rsidRDefault="00B03EDF" w:rsidP="00C1753F">
            <w:pPr>
              <w:rPr>
                <w:rFonts w:cs="Arial"/>
                <w:sz w:val="16"/>
                <w:szCs w:val="16"/>
              </w:rPr>
            </w:pPr>
          </w:p>
        </w:tc>
        <w:tc>
          <w:tcPr>
            <w:tcW w:w="2163" w:type="pct"/>
            <w:shd w:val="clear" w:color="auto" w:fill="auto"/>
            <w:tcMar>
              <w:top w:w="113" w:type="dxa"/>
              <w:bottom w:w="57" w:type="dxa"/>
            </w:tcMar>
          </w:tcPr>
          <w:p w:rsidR="00B03EDF" w:rsidRPr="0016774F" w:rsidRDefault="00B03EDF" w:rsidP="00C1753F">
            <w:pPr>
              <w:rPr>
                <w:rFonts w:cs="Arial"/>
                <w:sz w:val="16"/>
                <w:szCs w:val="16"/>
              </w:rPr>
            </w:pPr>
            <w:r w:rsidRPr="00DC0B8E">
              <w:rPr>
                <w:rFonts w:cs="Arial"/>
                <w:sz w:val="16"/>
                <w:szCs w:val="16"/>
              </w:rPr>
              <w:t>% of participants in WIPO events who express satisfaction with the content and organization of the</w:t>
            </w:r>
            <w:r>
              <w:rPr>
                <w:rFonts w:cs="Arial"/>
                <w:sz w:val="16"/>
                <w:szCs w:val="16"/>
              </w:rPr>
              <w:t>se</w:t>
            </w:r>
            <w:r w:rsidRPr="00DC0B8E">
              <w:rPr>
                <w:rFonts w:cs="Arial"/>
                <w:sz w:val="16"/>
                <w:szCs w:val="16"/>
              </w:rPr>
              <w:t xml:space="preserve"> events</w:t>
            </w:r>
          </w:p>
        </w:tc>
        <w:tc>
          <w:tcPr>
            <w:tcW w:w="772" w:type="pct"/>
            <w:shd w:val="clear" w:color="auto" w:fill="FFFFFF"/>
            <w:tcMar>
              <w:top w:w="113" w:type="dxa"/>
              <w:bottom w:w="57" w:type="dxa"/>
            </w:tcMar>
          </w:tcPr>
          <w:p w:rsidR="00B03EDF" w:rsidRPr="0016774F" w:rsidRDefault="00B03EDF" w:rsidP="00C1753F">
            <w:pPr>
              <w:ind w:left="441"/>
              <w:jc w:val="right"/>
              <w:rPr>
                <w:rFonts w:cs="Arial"/>
                <w:sz w:val="16"/>
                <w:szCs w:val="16"/>
                <w:lang w:bidi="th-TH"/>
              </w:rPr>
            </w:pPr>
            <w:r w:rsidRPr="0016774F">
              <w:rPr>
                <w:rFonts w:cs="Arial"/>
                <w:sz w:val="16"/>
                <w:szCs w:val="16"/>
                <w:lang w:bidi="th-TH"/>
              </w:rPr>
              <w:t>Program 9</w:t>
            </w:r>
          </w:p>
        </w:tc>
        <w:tc>
          <w:tcPr>
            <w:tcW w:w="521" w:type="pct"/>
            <w:shd w:val="clear" w:color="auto" w:fill="FFFFFF"/>
          </w:tcPr>
          <w:p w:rsidR="00B03EDF" w:rsidRDefault="00B03EDF" w:rsidP="00C1753F">
            <w:pPr>
              <w:jc w:val="center"/>
            </w:pPr>
            <w:r w:rsidRPr="00804FA0">
              <w:rPr>
                <w:rFonts w:cs="Arial"/>
                <w:color w:val="008000"/>
                <w:sz w:val="22"/>
                <w:szCs w:val="22"/>
              </w:rPr>
              <w:sym w:font="Wingdings" w:char="F06C"/>
            </w:r>
            <w:r w:rsidRPr="00804FA0">
              <w:rPr>
                <w:rFonts w:cs="Arial"/>
                <w:color w:val="0070C0"/>
                <w:sz w:val="22"/>
                <w:szCs w:val="22"/>
              </w:rPr>
              <w:sym w:font="Wingdings" w:char="F06C"/>
            </w:r>
            <w:r w:rsidRPr="00804FA0">
              <w:rPr>
                <w:rFonts w:cs="Arial"/>
                <w:color w:val="008000"/>
                <w:sz w:val="22"/>
                <w:szCs w:val="22"/>
              </w:rPr>
              <w:sym w:font="Wingdings" w:char="F06C"/>
            </w:r>
            <w:r w:rsidRPr="00804FA0">
              <w:rPr>
                <w:rFonts w:cs="Arial"/>
                <w:color w:val="0070C0"/>
                <w:sz w:val="22"/>
                <w:szCs w:val="22"/>
              </w:rPr>
              <w:sym w:font="Wingdings" w:char="F06C"/>
            </w:r>
            <w:r w:rsidRPr="00804FA0">
              <w:rPr>
                <w:rFonts w:cs="Arial"/>
                <w:color w:val="008000"/>
                <w:sz w:val="22"/>
                <w:szCs w:val="22"/>
              </w:rPr>
              <w:sym w:font="Wingdings" w:char="F06C"/>
            </w:r>
          </w:p>
        </w:tc>
      </w:tr>
      <w:tr w:rsidR="00B03EDF" w:rsidRPr="0016774F" w:rsidTr="00C1753F">
        <w:trPr>
          <w:cantSplit/>
          <w:trHeight w:val="554"/>
        </w:trPr>
        <w:tc>
          <w:tcPr>
            <w:tcW w:w="1544" w:type="pct"/>
            <w:shd w:val="clear" w:color="auto" w:fill="auto"/>
            <w:tcMar>
              <w:top w:w="113" w:type="dxa"/>
              <w:bottom w:w="57" w:type="dxa"/>
            </w:tcMar>
          </w:tcPr>
          <w:p w:rsidR="00B03EDF" w:rsidRPr="0016774F" w:rsidRDefault="00B03EDF" w:rsidP="00C1753F">
            <w:pPr>
              <w:rPr>
                <w:rFonts w:cs="Arial"/>
                <w:sz w:val="16"/>
                <w:szCs w:val="16"/>
              </w:rPr>
            </w:pPr>
          </w:p>
        </w:tc>
        <w:tc>
          <w:tcPr>
            <w:tcW w:w="2163" w:type="pct"/>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 of participants in WIPO workshops who apply the skills learned in their work/enterprise</w:t>
            </w:r>
          </w:p>
        </w:tc>
        <w:tc>
          <w:tcPr>
            <w:tcW w:w="772" w:type="pct"/>
            <w:shd w:val="clear" w:color="auto" w:fill="FFFFFF"/>
            <w:tcMar>
              <w:top w:w="113" w:type="dxa"/>
              <w:bottom w:w="57" w:type="dxa"/>
            </w:tcMar>
          </w:tcPr>
          <w:p w:rsidR="00B03EDF" w:rsidRPr="0016774F" w:rsidRDefault="00B03EDF" w:rsidP="00C1753F">
            <w:pPr>
              <w:ind w:left="441"/>
              <w:jc w:val="right"/>
              <w:rPr>
                <w:rFonts w:cs="Arial"/>
                <w:sz w:val="16"/>
                <w:szCs w:val="16"/>
                <w:lang w:bidi="th-TH"/>
              </w:rPr>
            </w:pPr>
            <w:r w:rsidRPr="0016774F">
              <w:rPr>
                <w:rFonts w:cs="Arial"/>
                <w:sz w:val="16"/>
                <w:szCs w:val="16"/>
                <w:lang w:bidi="th-TH"/>
              </w:rPr>
              <w:t>Program 9</w:t>
            </w:r>
          </w:p>
        </w:tc>
        <w:tc>
          <w:tcPr>
            <w:tcW w:w="521" w:type="pct"/>
            <w:shd w:val="clear" w:color="auto" w:fill="FFFFFF"/>
          </w:tcPr>
          <w:p w:rsidR="00B03EDF" w:rsidRDefault="00B03EDF" w:rsidP="00C1753F">
            <w:pPr>
              <w:jc w:val="center"/>
            </w:pPr>
            <w:r w:rsidRPr="00804FA0">
              <w:rPr>
                <w:rFonts w:cs="Arial"/>
                <w:color w:val="008000"/>
                <w:sz w:val="22"/>
                <w:szCs w:val="22"/>
              </w:rPr>
              <w:sym w:font="Wingdings" w:char="F06C"/>
            </w:r>
            <w:r w:rsidRPr="00804FA0">
              <w:rPr>
                <w:rFonts w:cs="Arial"/>
                <w:color w:val="0070C0"/>
                <w:sz w:val="22"/>
                <w:szCs w:val="22"/>
              </w:rPr>
              <w:sym w:font="Wingdings" w:char="F06C"/>
            </w:r>
            <w:r w:rsidRPr="00804FA0">
              <w:rPr>
                <w:rFonts w:cs="Arial"/>
                <w:color w:val="008000"/>
                <w:sz w:val="22"/>
                <w:szCs w:val="22"/>
              </w:rPr>
              <w:sym w:font="Wingdings" w:char="F06C"/>
            </w:r>
            <w:r w:rsidRPr="00804FA0">
              <w:rPr>
                <w:rFonts w:cs="Arial"/>
                <w:color w:val="0070C0"/>
                <w:sz w:val="22"/>
                <w:szCs w:val="22"/>
              </w:rPr>
              <w:sym w:font="Wingdings" w:char="F06C"/>
            </w:r>
            <w:r w:rsidRPr="00804FA0">
              <w:rPr>
                <w:rFonts w:cs="Arial"/>
                <w:color w:val="008000"/>
                <w:sz w:val="22"/>
                <w:szCs w:val="22"/>
              </w:rPr>
              <w:sym w:font="Wingdings" w:char="F06C"/>
            </w:r>
          </w:p>
        </w:tc>
      </w:tr>
      <w:tr w:rsidR="00B03EDF" w:rsidRPr="0016774F" w:rsidTr="00C1753F">
        <w:trPr>
          <w:cantSplit/>
          <w:trHeight w:val="532"/>
        </w:trPr>
        <w:tc>
          <w:tcPr>
            <w:tcW w:w="1544" w:type="pct"/>
            <w:shd w:val="clear" w:color="auto" w:fill="auto"/>
            <w:tcMar>
              <w:top w:w="113" w:type="dxa"/>
              <w:bottom w:w="57" w:type="dxa"/>
            </w:tcMar>
          </w:tcPr>
          <w:p w:rsidR="00B03EDF" w:rsidRPr="0016774F" w:rsidRDefault="00B03EDF" w:rsidP="00C1753F">
            <w:pPr>
              <w:rPr>
                <w:rFonts w:cs="Arial"/>
                <w:sz w:val="16"/>
                <w:szCs w:val="16"/>
              </w:rPr>
            </w:pPr>
          </w:p>
        </w:tc>
        <w:tc>
          <w:tcPr>
            <w:tcW w:w="2163" w:type="pct"/>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 of national/regional IP experts are used as resource persons in WIPO events</w:t>
            </w:r>
          </w:p>
        </w:tc>
        <w:tc>
          <w:tcPr>
            <w:tcW w:w="772" w:type="pct"/>
            <w:shd w:val="clear" w:color="auto" w:fill="FFFFFF"/>
            <w:tcMar>
              <w:top w:w="113" w:type="dxa"/>
              <w:bottom w:w="57" w:type="dxa"/>
            </w:tcMar>
          </w:tcPr>
          <w:p w:rsidR="00B03EDF" w:rsidRPr="0016774F" w:rsidRDefault="00B03EDF" w:rsidP="00C1753F">
            <w:pPr>
              <w:ind w:left="441"/>
              <w:jc w:val="right"/>
              <w:rPr>
                <w:rFonts w:cs="Arial"/>
                <w:sz w:val="16"/>
                <w:szCs w:val="16"/>
                <w:lang w:bidi="th-TH"/>
              </w:rPr>
            </w:pPr>
            <w:r w:rsidRPr="0016774F">
              <w:rPr>
                <w:rFonts w:cs="Arial"/>
                <w:sz w:val="16"/>
                <w:szCs w:val="16"/>
                <w:lang w:bidi="th-TH"/>
              </w:rPr>
              <w:t>Program 9</w:t>
            </w:r>
          </w:p>
        </w:tc>
        <w:tc>
          <w:tcPr>
            <w:tcW w:w="521" w:type="pct"/>
            <w:shd w:val="clear" w:color="auto" w:fill="FFFFFF"/>
          </w:tcPr>
          <w:p w:rsidR="00B03EDF" w:rsidRDefault="00B03EDF" w:rsidP="00C1753F">
            <w:pPr>
              <w:jc w:val="center"/>
            </w:pPr>
            <w:r w:rsidRPr="00804FA0">
              <w:rPr>
                <w:rFonts w:cs="Arial"/>
                <w:color w:val="008000"/>
                <w:sz w:val="22"/>
                <w:szCs w:val="22"/>
              </w:rPr>
              <w:sym w:font="Wingdings" w:char="F06C"/>
            </w:r>
            <w:r w:rsidRPr="00353CA3">
              <w:rPr>
                <w:rFonts w:cs="Arial"/>
                <w:color w:val="FF0000"/>
                <w:sz w:val="22"/>
                <w:szCs w:val="22"/>
              </w:rPr>
              <w:sym w:font="Wingdings" w:char="F06C"/>
            </w:r>
            <w:r w:rsidRPr="00804FA0">
              <w:rPr>
                <w:rFonts w:cs="Arial"/>
                <w:color w:val="008000"/>
                <w:sz w:val="22"/>
                <w:szCs w:val="22"/>
              </w:rPr>
              <w:sym w:font="Wingdings" w:char="F06C"/>
            </w:r>
            <w:r w:rsidRPr="00804FA0">
              <w:rPr>
                <w:rFonts w:cs="Arial"/>
                <w:color w:val="008000"/>
                <w:sz w:val="22"/>
                <w:szCs w:val="22"/>
              </w:rPr>
              <w:sym w:font="Wingdings" w:char="F06C"/>
            </w:r>
            <w:r w:rsidRPr="00804FA0">
              <w:rPr>
                <w:rFonts w:cs="Arial"/>
                <w:color w:val="008000"/>
                <w:sz w:val="22"/>
                <w:szCs w:val="22"/>
              </w:rPr>
              <w:sym w:font="Wingdings" w:char="F06C"/>
            </w:r>
          </w:p>
        </w:tc>
      </w:tr>
      <w:tr w:rsidR="00B03EDF" w:rsidRPr="0016774F" w:rsidTr="00C1753F">
        <w:trPr>
          <w:cantSplit/>
          <w:trHeight w:val="547"/>
        </w:trPr>
        <w:tc>
          <w:tcPr>
            <w:tcW w:w="1544" w:type="pct"/>
            <w:shd w:val="clear" w:color="auto" w:fill="auto"/>
            <w:tcMar>
              <w:top w:w="113" w:type="dxa"/>
              <w:bottom w:w="57" w:type="dxa"/>
            </w:tcMar>
          </w:tcPr>
          <w:p w:rsidR="00B03EDF" w:rsidRPr="0016774F" w:rsidRDefault="00B03EDF" w:rsidP="00C1753F">
            <w:pPr>
              <w:rPr>
                <w:rFonts w:cs="Arial"/>
                <w:sz w:val="16"/>
                <w:szCs w:val="16"/>
              </w:rPr>
            </w:pPr>
          </w:p>
        </w:tc>
        <w:tc>
          <w:tcPr>
            <w:tcW w:w="2163" w:type="pct"/>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 xml:space="preserve">No. of countries in transition having established annual IP training programs and/or courses  for IP professionals </w:t>
            </w:r>
          </w:p>
        </w:tc>
        <w:tc>
          <w:tcPr>
            <w:tcW w:w="772" w:type="pct"/>
            <w:shd w:val="clear" w:color="auto" w:fill="FFFFFF"/>
            <w:tcMar>
              <w:top w:w="113" w:type="dxa"/>
              <w:bottom w:w="57" w:type="dxa"/>
            </w:tcMar>
          </w:tcPr>
          <w:p w:rsidR="00B03EDF" w:rsidRPr="0016774F" w:rsidRDefault="00B03EDF" w:rsidP="00C1753F">
            <w:pPr>
              <w:jc w:val="right"/>
              <w:rPr>
                <w:rFonts w:cs="Arial"/>
                <w:sz w:val="16"/>
                <w:szCs w:val="16"/>
                <w:lang w:bidi="th-TH"/>
              </w:rPr>
            </w:pPr>
            <w:r w:rsidRPr="0016774F">
              <w:rPr>
                <w:rFonts w:cs="Arial"/>
                <w:sz w:val="16"/>
                <w:szCs w:val="16"/>
                <w:lang w:bidi="th-TH"/>
              </w:rPr>
              <w:t>Program 10</w:t>
            </w:r>
          </w:p>
        </w:tc>
        <w:tc>
          <w:tcPr>
            <w:tcW w:w="521" w:type="pct"/>
            <w:shd w:val="clear" w:color="auto" w:fill="FFFFFF"/>
          </w:tcPr>
          <w:p w:rsidR="00B03EDF" w:rsidRDefault="00B03EDF" w:rsidP="00C1753F">
            <w:pPr>
              <w:jc w:val="center"/>
            </w:pPr>
            <w:r w:rsidRPr="005F33CE">
              <w:rPr>
                <w:rFonts w:cs="Arial"/>
                <w:color w:val="008000"/>
                <w:sz w:val="22"/>
                <w:szCs w:val="22"/>
              </w:rPr>
              <w:sym w:font="Wingdings" w:char="F06C"/>
            </w:r>
          </w:p>
        </w:tc>
      </w:tr>
      <w:tr w:rsidR="00B03EDF" w:rsidRPr="0016774F" w:rsidTr="00C1753F">
        <w:trPr>
          <w:cantSplit/>
          <w:trHeight w:val="226"/>
        </w:trPr>
        <w:tc>
          <w:tcPr>
            <w:tcW w:w="1544" w:type="pct"/>
            <w:vMerge w:val="restart"/>
            <w:shd w:val="clear" w:color="auto" w:fill="auto"/>
            <w:tcMar>
              <w:top w:w="113" w:type="dxa"/>
              <w:bottom w:w="57" w:type="dxa"/>
            </w:tcMar>
          </w:tcPr>
          <w:p w:rsidR="00B03EDF" w:rsidRPr="0016774F" w:rsidRDefault="00B03EDF" w:rsidP="00C1753F">
            <w:pPr>
              <w:rPr>
                <w:rFonts w:cs="Arial"/>
                <w:sz w:val="16"/>
                <w:szCs w:val="16"/>
              </w:rPr>
            </w:pPr>
          </w:p>
        </w:tc>
        <w:tc>
          <w:tcPr>
            <w:tcW w:w="2163" w:type="pct"/>
            <w:vMerge w:val="restart"/>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 of trained IP professionals and IP Office officials using upgraded skills in their work</w:t>
            </w:r>
          </w:p>
        </w:tc>
        <w:tc>
          <w:tcPr>
            <w:tcW w:w="772" w:type="pct"/>
            <w:shd w:val="clear" w:color="auto" w:fill="FFFFFF"/>
            <w:tcMar>
              <w:top w:w="113" w:type="dxa"/>
              <w:bottom w:w="57" w:type="dxa"/>
            </w:tcMar>
          </w:tcPr>
          <w:p w:rsidR="00B03EDF" w:rsidRPr="0016774F" w:rsidRDefault="00B03EDF" w:rsidP="00C1753F">
            <w:pPr>
              <w:jc w:val="right"/>
              <w:rPr>
                <w:rFonts w:cs="Arial"/>
                <w:sz w:val="16"/>
                <w:szCs w:val="16"/>
                <w:lang w:bidi="th-TH"/>
              </w:rPr>
            </w:pPr>
            <w:r w:rsidRPr="0016774F">
              <w:rPr>
                <w:rFonts w:cs="Arial"/>
                <w:sz w:val="16"/>
                <w:szCs w:val="16"/>
                <w:lang w:bidi="th-TH"/>
              </w:rPr>
              <w:t>Program 10</w:t>
            </w:r>
          </w:p>
        </w:tc>
        <w:tc>
          <w:tcPr>
            <w:tcW w:w="521" w:type="pct"/>
            <w:shd w:val="clear" w:color="auto" w:fill="FFFFFF"/>
          </w:tcPr>
          <w:p w:rsidR="00B03EDF" w:rsidRDefault="00B03EDF" w:rsidP="00C1753F">
            <w:pPr>
              <w:jc w:val="center"/>
            </w:pPr>
            <w:r w:rsidRPr="005F33CE">
              <w:rPr>
                <w:rFonts w:cs="Arial"/>
                <w:color w:val="008000"/>
                <w:sz w:val="22"/>
                <w:szCs w:val="22"/>
              </w:rPr>
              <w:sym w:font="Wingdings" w:char="F06C"/>
            </w:r>
          </w:p>
        </w:tc>
      </w:tr>
      <w:tr w:rsidR="00B03EDF" w:rsidRPr="0016774F" w:rsidTr="00C1753F">
        <w:trPr>
          <w:cantSplit/>
          <w:trHeight w:val="225"/>
        </w:trPr>
        <w:tc>
          <w:tcPr>
            <w:tcW w:w="1544" w:type="pct"/>
            <w:vMerge/>
            <w:shd w:val="clear" w:color="auto" w:fill="auto"/>
            <w:tcMar>
              <w:top w:w="113" w:type="dxa"/>
              <w:bottom w:w="57" w:type="dxa"/>
            </w:tcMar>
          </w:tcPr>
          <w:p w:rsidR="00B03EDF" w:rsidRPr="0016774F" w:rsidRDefault="00B03EDF" w:rsidP="00C1753F">
            <w:pPr>
              <w:rPr>
                <w:rFonts w:cs="Arial"/>
                <w:sz w:val="16"/>
                <w:szCs w:val="16"/>
              </w:rPr>
            </w:pPr>
          </w:p>
        </w:tc>
        <w:tc>
          <w:tcPr>
            <w:tcW w:w="2163" w:type="pct"/>
            <w:vMerge/>
            <w:shd w:val="clear" w:color="auto" w:fill="auto"/>
            <w:tcMar>
              <w:top w:w="113" w:type="dxa"/>
              <w:bottom w:w="57" w:type="dxa"/>
            </w:tcMar>
          </w:tcPr>
          <w:p w:rsidR="00B03EDF" w:rsidRPr="0016774F" w:rsidRDefault="00B03EDF" w:rsidP="00C1753F">
            <w:pPr>
              <w:rPr>
                <w:rFonts w:cs="Arial"/>
                <w:sz w:val="16"/>
                <w:szCs w:val="16"/>
              </w:rPr>
            </w:pPr>
          </w:p>
        </w:tc>
        <w:tc>
          <w:tcPr>
            <w:tcW w:w="772" w:type="pct"/>
            <w:shd w:val="clear" w:color="auto" w:fill="FFFFFF"/>
            <w:tcMar>
              <w:top w:w="113" w:type="dxa"/>
              <w:bottom w:w="57" w:type="dxa"/>
            </w:tcMar>
          </w:tcPr>
          <w:p w:rsidR="00B03EDF" w:rsidRPr="0016774F" w:rsidRDefault="00B03EDF" w:rsidP="00C1753F">
            <w:pPr>
              <w:jc w:val="right"/>
              <w:rPr>
                <w:rFonts w:cs="Arial"/>
                <w:sz w:val="16"/>
                <w:szCs w:val="16"/>
                <w:lang w:bidi="th-TH"/>
              </w:rPr>
            </w:pPr>
            <w:r>
              <w:rPr>
                <w:rFonts w:cs="Arial"/>
                <w:sz w:val="16"/>
                <w:szCs w:val="16"/>
                <w:lang w:bidi="th-TH"/>
              </w:rPr>
              <w:t>Program 30</w:t>
            </w:r>
          </w:p>
        </w:tc>
        <w:tc>
          <w:tcPr>
            <w:tcW w:w="521" w:type="pct"/>
            <w:shd w:val="clear" w:color="auto" w:fill="FFFFFF"/>
          </w:tcPr>
          <w:p w:rsidR="00B03EDF" w:rsidRPr="005F33CE" w:rsidRDefault="00B03EDF" w:rsidP="00C1753F">
            <w:pPr>
              <w:jc w:val="center"/>
              <w:rPr>
                <w:rFonts w:cs="Arial"/>
                <w:color w:val="008000"/>
                <w:sz w:val="22"/>
                <w:szCs w:val="22"/>
              </w:rPr>
            </w:pPr>
            <w:r w:rsidRPr="005F33CE">
              <w:rPr>
                <w:rFonts w:cs="Arial"/>
                <w:color w:val="008000"/>
                <w:sz w:val="22"/>
                <w:szCs w:val="22"/>
              </w:rPr>
              <w:sym w:font="Wingdings" w:char="F06C"/>
            </w:r>
          </w:p>
        </w:tc>
      </w:tr>
      <w:tr w:rsidR="00B03EDF" w:rsidRPr="0016774F" w:rsidTr="00C1753F">
        <w:trPr>
          <w:cantSplit/>
          <w:trHeight w:val="800"/>
        </w:trPr>
        <w:tc>
          <w:tcPr>
            <w:tcW w:w="1544" w:type="pct"/>
            <w:shd w:val="clear" w:color="auto" w:fill="auto"/>
            <w:tcMar>
              <w:top w:w="113" w:type="dxa"/>
              <w:bottom w:w="57" w:type="dxa"/>
            </w:tcMar>
          </w:tcPr>
          <w:p w:rsidR="00B03EDF" w:rsidRPr="0016774F" w:rsidRDefault="00B03EDF" w:rsidP="00C1753F">
            <w:pPr>
              <w:rPr>
                <w:rFonts w:cs="Arial"/>
                <w:sz w:val="16"/>
                <w:szCs w:val="16"/>
              </w:rPr>
            </w:pPr>
          </w:p>
        </w:tc>
        <w:tc>
          <w:tcPr>
            <w:tcW w:w="2163" w:type="pct"/>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Revised Portfolio of training courses on IP for developing countries, LDCs and CETs / Relevance of content of training courses to capacity building requirements of developing countries, LDCs and CETs</w:t>
            </w:r>
          </w:p>
        </w:tc>
        <w:tc>
          <w:tcPr>
            <w:tcW w:w="772" w:type="pct"/>
            <w:shd w:val="clear" w:color="auto" w:fill="FFFFFF"/>
            <w:tcMar>
              <w:top w:w="113" w:type="dxa"/>
              <w:bottom w:w="57" w:type="dxa"/>
            </w:tcMar>
          </w:tcPr>
          <w:p w:rsidR="00B03EDF" w:rsidRPr="0016774F" w:rsidRDefault="00B03EDF" w:rsidP="00C1753F">
            <w:pPr>
              <w:jc w:val="right"/>
              <w:rPr>
                <w:rFonts w:cs="Arial"/>
                <w:sz w:val="16"/>
                <w:szCs w:val="16"/>
                <w:lang w:bidi="th-TH"/>
              </w:rPr>
            </w:pPr>
            <w:r w:rsidRPr="0016774F">
              <w:rPr>
                <w:rFonts w:cs="Arial"/>
                <w:sz w:val="16"/>
                <w:szCs w:val="16"/>
                <w:lang w:bidi="th-TH"/>
              </w:rPr>
              <w:t>Program 11</w:t>
            </w:r>
          </w:p>
        </w:tc>
        <w:tc>
          <w:tcPr>
            <w:tcW w:w="521" w:type="pct"/>
            <w:shd w:val="clear" w:color="auto" w:fill="FFFFFF"/>
          </w:tcPr>
          <w:p w:rsidR="00B03EDF" w:rsidRDefault="00B03EDF" w:rsidP="00C1753F">
            <w:pPr>
              <w:jc w:val="center"/>
            </w:pPr>
            <w:r w:rsidRPr="005F33CE">
              <w:rPr>
                <w:rFonts w:cs="Arial"/>
                <w:color w:val="008000"/>
                <w:sz w:val="22"/>
                <w:szCs w:val="22"/>
              </w:rPr>
              <w:sym w:font="Wingdings" w:char="F06C"/>
            </w:r>
          </w:p>
        </w:tc>
      </w:tr>
      <w:tr w:rsidR="00B03EDF" w:rsidRPr="0016774F" w:rsidTr="00C1753F">
        <w:trPr>
          <w:cantSplit/>
          <w:trHeight w:val="800"/>
        </w:trPr>
        <w:tc>
          <w:tcPr>
            <w:tcW w:w="1544" w:type="pct"/>
            <w:shd w:val="clear" w:color="auto" w:fill="auto"/>
            <w:tcMar>
              <w:top w:w="113" w:type="dxa"/>
              <w:bottom w:w="57" w:type="dxa"/>
            </w:tcMar>
          </w:tcPr>
          <w:p w:rsidR="00B03EDF" w:rsidRPr="0016774F" w:rsidRDefault="00B03EDF" w:rsidP="00C1753F">
            <w:pPr>
              <w:rPr>
                <w:rFonts w:cs="Arial"/>
                <w:sz w:val="16"/>
                <w:szCs w:val="16"/>
              </w:rPr>
            </w:pPr>
          </w:p>
        </w:tc>
        <w:tc>
          <w:tcPr>
            <w:tcW w:w="2163" w:type="pct"/>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Enhanced and multilingual acces</w:t>
            </w:r>
            <w:r>
              <w:rPr>
                <w:rFonts w:cs="Arial"/>
                <w:sz w:val="16"/>
                <w:szCs w:val="16"/>
              </w:rPr>
              <w:t>s</w:t>
            </w:r>
            <w:r w:rsidRPr="0016774F">
              <w:rPr>
                <w:rFonts w:cs="Arial"/>
                <w:sz w:val="16"/>
                <w:szCs w:val="16"/>
              </w:rPr>
              <w:t xml:space="preserve"> to e</w:t>
            </w:r>
            <w:r>
              <w:rPr>
                <w:rFonts w:cs="Arial"/>
                <w:sz w:val="16"/>
                <w:szCs w:val="16"/>
              </w:rPr>
              <w:noBreakHyphen/>
            </w:r>
            <w:r w:rsidRPr="0016774F">
              <w:rPr>
                <w:rFonts w:cs="Arial"/>
                <w:sz w:val="16"/>
                <w:szCs w:val="16"/>
              </w:rPr>
              <w:t>learning on various IP aspects for developing countries, LDC and CETs / Relevance of content of portfolio of e-learning courses to the capacity building requirements of developing countries, LDCs and CETs</w:t>
            </w:r>
          </w:p>
        </w:tc>
        <w:tc>
          <w:tcPr>
            <w:tcW w:w="772" w:type="pct"/>
            <w:shd w:val="clear" w:color="auto" w:fill="FFFFFF"/>
            <w:tcMar>
              <w:top w:w="113" w:type="dxa"/>
              <w:bottom w:w="57" w:type="dxa"/>
            </w:tcMar>
          </w:tcPr>
          <w:p w:rsidR="00B03EDF" w:rsidRPr="0016774F" w:rsidRDefault="00B03EDF" w:rsidP="00C1753F">
            <w:pPr>
              <w:jc w:val="right"/>
              <w:rPr>
                <w:rFonts w:cs="Arial"/>
                <w:sz w:val="16"/>
                <w:szCs w:val="16"/>
                <w:lang w:bidi="th-TH"/>
              </w:rPr>
            </w:pPr>
            <w:r w:rsidRPr="0016774F">
              <w:rPr>
                <w:rFonts w:cs="Arial"/>
                <w:sz w:val="16"/>
                <w:szCs w:val="16"/>
                <w:lang w:bidi="th-TH"/>
              </w:rPr>
              <w:t>Program 11</w:t>
            </w:r>
          </w:p>
        </w:tc>
        <w:tc>
          <w:tcPr>
            <w:tcW w:w="521" w:type="pct"/>
            <w:shd w:val="clear" w:color="auto" w:fill="FFFFFF"/>
          </w:tcPr>
          <w:p w:rsidR="00B03EDF" w:rsidRDefault="00B03EDF" w:rsidP="00C1753F">
            <w:pPr>
              <w:jc w:val="center"/>
            </w:pPr>
            <w:r w:rsidRPr="005F33CE">
              <w:rPr>
                <w:rFonts w:cs="Arial"/>
                <w:color w:val="008000"/>
                <w:sz w:val="22"/>
                <w:szCs w:val="22"/>
              </w:rPr>
              <w:sym w:font="Wingdings" w:char="F06C"/>
            </w:r>
          </w:p>
        </w:tc>
      </w:tr>
      <w:tr w:rsidR="00B03EDF" w:rsidRPr="0016774F" w:rsidTr="00C1753F">
        <w:trPr>
          <w:cantSplit/>
          <w:trHeight w:val="800"/>
        </w:trPr>
        <w:tc>
          <w:tcPr>
            <w:tcW w:w="1544" w:type="pct"/>
            <w:shd w:val="clear" w:color="auto" w:fill="auto"/>
            <w:tcMar>
              <w:top w:w="113" w:type="dxa"/>
              <w:bottom w:w="57" w:type="dxa"/>
            </w:tcMar>
          </w:tcPr>
          <w:p w:rsidR="00B03EDF" w:rsidRPr="0016774F" w:rsidRDefault="00B03EDF" w:rsidP="00C1753F">
            <w:pPr>
              <w:rPr>
                <w:rFonts w:cs="Arial"/>
                <w:sz w:val="16"/>
                <w:szCs w:val="16"/>
              </w:rPr>
            </w:pPr>
          </w:p>
        </w:tc>
        <w:tc>
          <w:tcPr>
            <w:tcW w:w="2163" w:type="pct"/>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Improved access to higher education on IP on the part of developing countries, LDCs and CETs / Number of universities in developing countries, LDCs and CETs, offering new teaching programs on IP</w:t>
            </w:r>
          </w:p>
        </w:tc>
        <w:tc>
          <w:tcPr>
            <w:tcW w:w="772" w:type="pct"/>
            <w:shd w:val="clear" w:color="auto" w:fill="FFFFFF"/>
            <w:tcMar>
              <w:top w:w="113" w:type="dxa"/>
              <w:bottom w:w="57" w:type="dxa"/>
            </w:tcMar>
          </w:tcPr>
          <w:p w:rsidR="00B03EDF" w:rsidRPr="0016774F" w:rsidRDefault="00B03EDF" w:rsidP="00C1753F">
            <w:pPr>
              <w:jc w:val="right"/>
              <w:rPr>
                <w:rFonts w:cs="Arial"/>
                <w:sz w:val="16"/>
                <w:szCs w:val="16"/>
                <w:lang w:bidi="th-TH"/>
              </w:rPr>
            </w:pPr>
            <w:r w:rsidRPr="0016774F">
              <w:rPr>
                <w:rFonts w:cs="Arial"/>
                <w:sz w:val="16"/>
                <w:szCs w:val="16"/>
                <w:lang w:bidi="th-TH"/>
              </w:rPr>
              <w:t>Program 11</w:t>
            </w:r>
          </w:p>
        </w:tc>
        <w:tc>
          <w:tcPr>
            <w:tcW w:w="521" w:type="pct"/>
            <w:shd w:val="clear" w:color="auto" w:fill="FFFFFF"/>
          </w:tcPr>
          <w:p w:rsidR="00B03EDF" w:rsidRDefault="00B03EDF" w:rsidP="00C1753F">
            <w:pPr>
              <w:jc w:val="center"/>
            </w:pPr>
            <w:r w:rsidRPr="005F33CE">
              <w:rPr>
                <w:rFonts w:cs="Arial"/>
                <w:color w:val="008000"/>
                <w:sz w:val="22"/>
                <w:szCs w:val="22"/>
              </w:rPr>
              <w:sym w:font="Wingdings" w:char="F06C"/>
            </w:r>
          </w:p>
        </w:tc>
      </w:tr>
      <w:tr w:rsidR="00B03EDF" w:rsidRPr="0016774F" w:rsidTr="00C1753F">
        <w:trPr>
          <w:cantSplit/>
          <w:trHeight w:val="588"/>
        </w:trPr>
        <w:tc>
          <w:tcPr>
            <w:tcW w:w="1544" w:type="pct"/>
            <w:shd w:val="clear" w:color="auto" w:fill="auto"/>
            <w:tcMar>
              <w:top w:w="113" w:type="dxa"/>
              <w:bottom w:w="57" w:type="dxa"/>
            </w:tcMar>
          </w:tcPr>
          <w:p w:rsidR="00B03EDF" w:rsidRPr="0016774F" w:rsidRDefault="00B03EDF" w:rsidP="00C1753F">
            <w:pPr>
              <w:rPr>
                <w:rFonts w:cs="Arial"/>
                <w:sz w:val="16"/>
                <w:szCs w:val="16"/>
              </w:rPr>
            </w:pPr>
          </w:p>
        </w:tc>
        <w:tc>
          <w:tcPr>
            <w:tcW w:w="2163" w:type="pct"/>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Progressive establishment of a network of IP experts in developing countries, LDCs and CETs</w:t>
            </w:r>
          </w:p>
        </w:tc>
        <w:tc>
          <w:tcPr>
            <w:tcW w:w="772" w:type="pct"/>
            <w:shd w:val="clear" w:color="auto" w:fill="FFFFFF"/>
            <w:tcMar>
              <w:top w:w="113" w:type="dxa"/>
              <w:bottom w:w="57" w:type="dxa"/>
            </w:tcMar>
          </w:tcPr>
          <w:p w:rsidR="00B03EDF" w:rsidRPr="0016774F" w:rsidRDefault="00B03EDF" w:rsidP="00C1753F">
            <w:pPr>
              <w:jc w:val="right"/>
              <w:rPr>
                <w:rFonts w:cs="Arial"/>
                <w:sz w:val="16"/>
                <w:szCs w:val="16"/>
                <w:lang w:bidi="th-TH"/>
              </w:rPr>
            </w:pPr>
            <w:r w:rsidRPr="0016774F">
              <w:rPr>
                <w:rFonts w:cs="Arial"/>
                <w:sz w:val="16"/>
                <w:szCs w:val="16"/>
                <w:lang w:bidi="th-TH"/>
              </w:rPr>
              <w:t>Program 11</w:t>
            </w:r>
          </w:p>
        </w:tc>
        <w:tc>
          <w:tcPr>
            <w:tcW w:w="521" w:type="pct"/>
            <w:shd w:val="clear" w:color="auto" w:fill="FFFFFF"/>
          </w:tcPr>
          <w:p w:rsidR="00B03EDF" w:rsidRDefault="00B03EDF" w:rsidP="00C1753F">
            <w:pPr>
              <w:jc w:val="center"/>
            </w:pPr>
            <w:r w:rsidRPr="005F33CE">
              <w:rPr>
                <w:rFonts w:cs="Arial"/>
                <w:color w:val="008000"/>
                <w:sz w:val="22"/>
                <w:szCs w:val="22"/>
              </w:rPr>
              <w:sym w:font="Wingdings" w:char="F06C"/>
            </w:r>
          </w:p>
        </w:tc>
      </w:tr>
      <w:tr w:rsidR="00B03EDF" w:rsidRPr="0016774F" w:rsidTr="00C1753F">
        <w:trPr>
          <w:cantSplit/>
          <w:trHeight w:val="588"/>
        </w:trPr>
        <w:tc>
          <w:tcPr>
            <w:tcW w:w="1544" w:type="pct"/>
            <w:shd w:val="clear" w:color="auto" w:fill="auto"/>
            <w:tcMar>
              <w:top w:w="113" w:type="dxa"/>
              <w:bottom w:w="57" w:type="dxa"/>
            </w:tcMar>
          </w:tcPr>
          <w:p w:rsidR="00B03EDF" w:rsidRPr="0016774F" w:rsidRDefault="00B03EDF" w:rsidP="00C1753F">
            <w:pPr>
              <w:rPr>
                <w:rFonts w:cs="Arial"/>
                <w:sz w:val="16"/>
                <w:szCs w:val="16"/>
              </w:rPr>
            </w:pPr>
          </w:p>
        </w:tc>
        <w:tc>
          <w:tcPr>
            <w:tcW w:w="2163" w:type="pct"/>
            <w:shd w:val="clear" w:color="auto" w:fill="auto"/>
            <w:tcMar>
              <w:top w:w="113" w:type="dxa"/>
              <w:bottom w:w="57" w:type="dxa"/>
            </w:tcMar>
          </w:tcPr>
          <w:p w:rsidR="00B03EDF" w:rsidRPr="0016774F" w:rsidRDefault="00B03EDF" w:rsidP="00C1753F">
            <w:pPr>
              <w:rPr>
                <w:rFonts w:cs="Arial"/>
                <w:sz w:val="16"/>
                <w:szCs w:val="16"/>
              </w:rPr>
            </w:pPr>
            <w:r w:rsidRPr="004E24C9">
              <w:rPr>
                <w:rFonts w:cs="Arial"/>
                <w:bCs/>
                <w:sz w:val="16"/>
                <w:szCs w:val="16"/>
              </w:rPr>
              <w:t>No. of new start-up academies projects initiated after the conclusion of the Pilot Phase</w:t>
            </w:r>
          </w:p>
        </w:tc>
        <w:tc>
          <w:tcPr>
            <w:tcW w:w="772" w:type="pct"/>
            <w:shd w:val="clear" w:color="auto" w:fill="FFFFFF"/>
            <w:tcMar>
              <w:top w:w="113" w:type="dxa"/>
              <w:bottom w:w="57" w:type="dxa"/>
            </w:tcMar>
          </w:tcPr>
          <w:p w:rsidR="00B03EDF" w:rsidRPr="0016774F" w:rsidRDefault="00B03EDF" w:rsidP="00C1753F">
            <w:pPr>
              <w:jc w:val="right"/>
              <w:rPr>
                <w:rFonts w:cs="Arial"/>
                <w:sz w:val="16"/>
                <w:szCs w:val="16"/>
                <w:lang w:bidi="th-TH"/>
              </w:rPr>
            </w:pPr>
            <w:r w:rsidRPr="0016774F">
              <w:rPr>
                <w:rFonts w:cs="Arial"/>
                <w:sz w:val="16"/>
                <w:szCs w:val="16"/>
                <w:lang w:bidi="th-TH"/>
              </w:rPr>
              <w:t>Program 11</w:t>
            </w:r>
          </w:p>
        </w:tc>
        <w:tc>
          <w:tcPr>
            <w:tcW w:w="521" w:type="pct"/>
            <w:shd w:val="clear" w:color="auto" w:fill="FFFFFF"/>
          </w:tcPr>
          <w:p w:rsidR="00B03EDF" w:rsidRDefault="00B03EDF" w:rsidP="00C1753F">
            <w:pPr>
              <w:jc w:val="center"/>
            </w:pPr>
            <w:r w:rsidRPr="005F33CE">
              <w:rPr>
                <w:rFonts w:cs="Arial"/>
                <w:color w:val="008000"/>
                <w:sz w:val="22"/>
                <w:szCs w:val="22"/>
              </w:rPr>
              <w:sym w:font="Wingdings" w:char="F06C"/>
            </w:r>
          </w:p>
        </w:tc>
      </w:tr>
      <w:tr w:rsidR="00B03EDF" w:rsidRPr="0016774F" w:rsidTr="00C1753F">
        <w:trPr>
          <w:cantSplit/>
          <w:trHeight w:val="726"/>
        </w:trPr>
        <w:tc>
          <w:tcPr>
            <w:tcW w:w="1544" w:type="pct"/>
            <w:shd w:val="clear" w:color="auto" w:fill="auto"/>
            <w:tcMar>
              <w:top w:w="113" w:type="dxa"/>
              <w:bottom w:w="57" w:type="dxa"/>
            </w:tcMar>
          </w:tcPr>
          <w:p w:rsidR="00B03EDF" w:rsidRPr="0016774F" w:rsidRDefault="00B03EDF" w:rsidP="00C1753F">
            <w:pPr>
              <w:rPr>
                <w:rFonts w:cs="Arial"/>
                <w:sz w:val="16"/>
                <w:szCs w:val="16"/>
              </w:rPr>
            </w:pPr>
          </w:p>
        </w:tc>
        <w:tc>
          <w:tcPr>
            <w:tcW w:w="2163" w:type="pct"/>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 of trained participants that report satisfaction with the usefulness and relevance of the training provided for their professional life</w:t>
            </w:r>
          </w:p>
        </w:tc>
        <w:tc>
          <w:tcPr>
            <w:tcW w:w="772" w:type="pct"/>
            <w:shd w:val="clear" w:color="auto" w:fill="FFFFFF"/>
            <w:tcMar>
              <w:top w:w="113" w:type="dxa"/>
              <w:bottom w:w="57" w:type="dxa"/>
            </w:tcMar>
          </w:tcPr>
          <w:p w:rsidR="00B03EDF" w:rsidRPr="0016774F" w:rsidRDefault="00B03EDF" w:rsidP="00C1753F">
            <w:pPr>
              <w:jc w:val="right"/>
              <w:rPr>
                <w:rFonts w:cs="Arial"/>
                <w:sz w:val="16"/>
                <w:szCs w:val="16"/>
                <w:lang w:bidi="th-TH"/>
              </w:rPr>
            </w:pPr>
            <w:r w:rsidRPr="0016774F">
              <w:rPr>
                <w:rFonts w:cs="Arial"/>
                <w:sz w:val="16"/>
                <w:szCs w:val="16"/>
                <w:lang w:bidi="th-TH"/>
              </w:rPr>
              <w:t>Program 17</w:t>
            </w:r>
          </w:p>
        </w:tc>
        <w:tc>
          <w:tcPr>
            <w:tcW w:w="521" w:type="pct"/>
            <w:shd w:val="clear" w:color="auto" w:fill="FFFFFF"/>
          </w:tcPr>
          <w:p w:rsidR="00B03EDF" w:rsidRDefault="00B03EDF" w:rsidP="00C1753F">
            <w:pPr>
              <w:jc w:val="center"/>
            </w:pPr>
            <w:r w:rsidRPr="005F33CE">
              <w:rPr>
                <w:rFonts w:cs="Arial"/>
                <w:color w:val="008000"/>
                <w:sz w:val="22"/>
                <w:szCs w:val="22"/>
              </w:rPr>
              <w:sym w:font="Wingdings" w:char="F06C"/>
            </w:r>
          </w:p>
        </w:tc>
      </w:tr>
      <w:tr w:rsidR="00B03EDF" w:rsidRPr="0016774F" w:rsidTr="00C1753F">
        <w:trPr>
          <w:cantSplit/>
          <w:trHeight w:val="543"/>
        </w:trPr>
        <w:tc>
          <w:tcPr>
            <w:tcW w:w="1544" w:type="pct"/>
            <w:tcBorders>
              <w:bottom w:val="single" w:sz="4" w:space="0" w:color="auto"/>
            </w:tcBorders>
            <w:shd w:val="clear" w:color="auto" w:fill="auto"/>
            <w:tcMar>
              <w:top w:w="113" w:type="dxa"/>
              <w:bottom w:w="57" w:type="dxa"/>
            </w:tcMar>
          </w:tcPr>
          <w:p w:rsidR="00B03EDF" w:rsidRPr="0016774F" w:rsidRDefault="00B03EDF" w:rsidP="00C1753F">
            <w:pPr>
              <w:rPr>
                <w:rFonts w:cs="Arial"/>
                <w:sz w:val="16"/>
                <w:szCs w:val="16"/>
              </w:rPr>
            </w:pPr>
          </w:p>
        </w:tc>
        <w:tc>
          <w:tcPr>
            <w:tcW w:w="2163" w:type="pct"/>
            <w:tcBorders>
              <w:bottom w:val="single" w:sz="4" w:space="0" w:color="auto"/>
            </w:tcBorders>
            <w:shd w:val="clear" w:color="auto" w:fill="auto"/>
            <w:tcMar>
              <w:top w:w="113" w:type="dxa"/>
              <w:bottom w:w="57" w:type="dxa"/>
            </w:tcMar>
          </w:tcPr>
          <w:p w:rsidR="00B03EDF" w:rsidRPr="0016774F" w:rsidRDefault="00B03EDF" w:rsidP="00C1753F">
            <w:pPr>
              <w:rPr>
                <w:rFonts w:cs="Arial"/>
                <w:sz w:val="16"/>
                <w:szCs w:val="16"/>
              </w:rPr>
            </w:pPr>
            <w:r w:rsidRPr="00DC5B92">
              <w:rPr>
                <w:rFonts w:cs="Arial"/>
                <w:sz w:val="16"/>
                <w:szCs w:val="16"/>
              </w:rPr>
              <w:t xml:space="preserve">% of targeted audience who have demonstrated a basic knowledge of </w:t>
            </w:r>
            <w:r>
              <w:rPr>
                <w:rFonts w:cs="Arial"/>
                <w:sz w:val="16"/>
                <w:szCs w:val="16"/>
              </w:rPr>
              <w:t xml:space="preserve">a balanced </w:t>
            </w:r>
            <w:r w:rsidRPr="00DC5B92">
              <w:rPr>
                <w:rFonts w:cs="Arial"/>
                <w:sz w:val="16"/>
                <w:szCs w:val="16"/>
              </w:rPr>
              <w:t xml:space="preserve">IP </w:t>
            </w:r>
            <w:r>
              <w:rPr>
                <w:rFonts w:cs="Arial"/>
                <w:sz w:val="16"/>
                <w:szCs w:val="16"/>
              </w:rPr>
              <w:t>system</w:t>
            </w:r>
            <w:r w:rsidRPr="00DC5B92">
              <w:rPr>
                <w:rFonts w:cs="Arial"/>
                <w:sz w:val="16"/>
                <w:szCs w:val="16"/>
              </w:rPr>
              <w:t xml:space="preserve"> further to WIPO activities</w:t>
            </w:r>
          </w:p>
        </w:tc>
        <w:tc>
          <w:tcPr>
            <w:tcW w:w="772" w:type="pct"/>
            <w:tcBorders>
              <w:bottom w:val="single" w:sz="4" w:space="0" w:color="auto"/>
            </w:tcBorders>
            <w:shd w:val="clear" w:color="auto" w:fill="FFFFFF"/>
            <w:tcMar>
              <w:top w:w="113" w:type="dxa"/>
              <w:bottom w:w="57" w:type="dxa"/>
            </w:tcMar>
          </w:tcPr>
          <w:p w:rsidR="00B03EDF" w:rsidRPr="0016774F" w:rsidRDefault="00B03EDF" w:rsidP="00C1753F">
            <w:pPr>
              <w:jc w:val="right"/>
              <w:rPr>
                <w:rFonts w:cs="Arial"/>
                <w:sz w:val="16"/>
                <w:szCs w:val="16"/>
                <w:lang w:bidi="th-TH"/>
              </w:rPr>
            </w:pPr>
            <w:r w:rsidRPr="0016774F">
              <w:rPr>
                <w:rFonts w:cs="Arial"/>
                <w:sz w:val="16"/>
                <w:szCs w:val="16"/>
                <w:lang w:bidi="th-TH"/>
              </w:rPr>
              <w:t>Program 17</w:t>
            </w:r>
          </w:p>
        </w:tc>
        <w:tc>
          <w:tcPr>
            <w:tcW w:w="521" w:type="pct"/>
            <w:tcBorders>
              <w:bottom w:val="single" w:sz="4" w:space="0" w:color="auto"/>
            </w:tcBorders>
            <w:shd w:val="clear" w:color="auto" w:fill="FFFFFF"/>
          </w:tcPr>
          <w:p w:rsidR="00B03EDF" w:rsidRDefault="00B03EDF" w:rsidP="00C1753F">
            <w:pPr>
              <w:jc w:val="center"/>
            </w:pPr>
            <w:r w:rsidRPr="005F33CE">
              <w:rPr>
                <w:rFonts w:cs="Arial"/>
                <w:color w:val="008000"/>
                <w:sz w:val="22"/>
                <w:szCs w:val="22"/>
              </w:rPr>
              <w:sym w:font="Wingdings" w:char="F06C"/>
            </w:r>
          </w:p>
        </w:tc>
      </w:tr>
      <w:tr w:rsidR="00B03EDF" w:rsidRPr="0016774F" w:rsidTr="00C1753F">
        <w:trPr>
          <w:cantSplit/>
          <w:trHeight w:val="369"/>
        </w:trPr>
        <w:tc>
          <w:tcPr>
            <w:tcW w:w="1544" w:type="pct"/>
            <w:tcBorders>
              <w:top w:val="single" w:sz="4" w:space="0" w:color="auto"/>
              <w:left w:val="single" w:sz="4" w:space="0" w:color="auto"/>
              <w:bottom w:val="nil"/>
            </w:tcBorders>
            <w:shd w:val="clear" w:color="auto" w:fill="auto"/>
            <w:tcMar>
              <w:top w:w="113" w:type="dxa"/>
              <w:bottom w:w="57" w:type="dxa"/>
            </w:tcMar>
          </w:tcPr>
          <w:p w:rsidR="00B03EDF" w:rsidRPr="0016774F" w:rsidRDefault="00B03EDF" w:rsidP="00C1753F">
            <w:pPr>
              <w:rPr>
                <w:rFonts w:cs="Arial"/>
                <w:sz w:val="16"/>
                <w:szCs w:val="16"/>
              </w:rPr>
            </w:pPr>
          </w:p>
        </w:tc>
        <w:tc>
          <w:tcPr>
            <w:tcW w:w="2163" w:type="pct"/>
            <w:tcBorders>
              <w:top w:val="single" w:sz="4" w:space="0" w:color="auto"/>
              <w:bottom w:val="nil"/>
            </w:tcBorders>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No. of countries participating in WIPO Awards Program</w:t>
            </w:r>
          </w:p>
        </w:tc>
        <w:tc>
          <w:tcPr>
            <w:tcW w:w="772" w:type="pct"/>
            <w:tcBorders>
              <w:top w:val="single" w:sz="4" w:space="0" w:color="auto"/>
              <w:bottom w:val="nil"/>
            </w:tcBorders>
            <w:shd w:val="clear" w:color="auto" w:fill="FFFFFF"/>
            <w:tcMar>
              <w:top w:w="113" w:type="dxa"/>
              <w:bottom w:w="57" w:type="dxa"/>
            </w:tcMar>
          </w:tcPr>
          <w:p w:rsidR="00B03EDF" w:rsidRPr="0016774F" w:rsidRDefault="00B03EDF" w:rsidP="00C1753F">
            <w:pPr>
              <w:jc w:val="right"/>
              <w:rPr>
                <w:rFonts w:cs="Arial"/>
                <w:sz w:val="16"/>
                <w:szCs w:val="16"/>
                <w:lang w:bidi="th-TH"/>
              </w:rPr>
            </w:pPr>
            <w:r w:rsidRPr="0016774F">
              <w:rPr>
                <w:rFonts w:cs="Arial"/>
                <w:sz w:val="16"/>
                <w:szCs w:val="16"/>
                <w:lang w:bidi="th-TH"/>
              </w:rPr>
              <w:t>Program 17</w:t>
            </w:r>
          </w:p>
        </w:tc>
        <w:tc>
          <w:tcPr>
            <w:tcW w:w="521" w:type="pct"/>
            <w:tcBorders>
              <w:top w:val="single" w:sz="4" w:space="0" w:color="auto"/>
              <w:bottom w:val="nil"/>
              <w:right w:val="single" w:sz="4" w:space="0" w:color="auto"/>
            </w:tcBorders>
            <w:shd w:val="clear" w:color="auto" w:fill="FFFFFF"/>
          </w:tcPr>
          <w:p w:rsidR="00B03EDF" w:rsidRDefault="00B03EDF" w:rsidP="00C1753F">
            <w:pPr>
              <w:jc w:val="center"/>
            </w:pPr>
            <w:r w:rsidRPr="005F33CE">
              <w:rPr>
                <w:rFonts w:cs="Arial"/>
                <w:color w:val="008000"/>
                <w:sz w:val="22"/>
                <w:szCs w:val="22"/>
              </w:rPr>
              <w:sym w:font="Wingdings" w:char="F06C"/>
            </w:r>
          </w:p>
        </w:tc>
      </w:tr>
      <w:tr w:rsidR="00B03EDF" w:rsidRPr="0016774F" w:rsidTr="00C1753F">
        <w:trPr>
          <w:cantSplit/>
          <w:trHeight w:val="492"/>
        </w:trPr>
        <w:tc>
          <w:tcPr>
            <w:tcW w:w="1544" w:type="pct"/>
            <w:tcBorders>
              <w:top w:val="nil"/>
              <w:left w:val="single" w:sz="4" w:space="0" w:color="auto"/>
              <w:bottom w:val="nil"/>
            </w:tcBorders>
            <w:shd w:val="clear" w:color="auto" w:fill="auto"/>
            <w:tcMar>
              <w:top w:w="113" w:type="dxa"/>
              <w:bottom w:w="57" w:type="dxa"/>
            </w:tcMar>
          </w:tcPr>
          <w:p w:rsidR="00B03EDF" w:rsidRPr="0016774F" w:rsidRDefault="00B03EDF" w:rsidP="00C1753F">
            <w:pPr>
              <w:rPr>
                <w:rFonts w:cs="Arial"/>
                <w:sz w:val="16"/>
                <w:szCs w:val="16"/>
              </w:rPr>
            </w:pPr>
          </w:p>
        </w:tc>
        <w:tc>
          <w:tcPr>
            <w:tcW w:w="2163" w:type="pct"/>
            <w:tcBorders>
              <w:top w:val="nil"/>
              <w:bottom w:val="nil"/>
            </w:tcBorders>
            <w:shd w:val="clear" w:color="auto" w:fill="auto"/>
            <w:tcMar>
              <w:top w:w="113" w:type="dxa"/>
              <w:bottom w:w="57" w:type="dxa"/>
            </w:tcMar>
          </w:tcPr>
          <w:p w:rsidR="00B03EDF" w:rsidRPr="0016774F" w:rsidRDefault="00B03EDF" w:rsidP="00C1753F">
            <w:pPr>
              <w:rPr>
                <w:rFonts w:cs="Arial"/>
                <w:sz w:val="16"/>
                <w:szCs w:val="16"/>
              </w:rPr>
            </w:pPr>
            <w:r>
              <w:rPr>
                <w:rFonts w:cs="Arial"/>
                <w:sz w:val="16"/>
                <w:szCs w:val="16"/>
              </w:rPr>
              <w:t>No. of hosting arrangements of developing country scientists</w:t>
            </w:r>
          </w:p>
        </w:tc>
        <w:tc>
          <w:tcPr>
            <w:tcW w:w="772" w:type="pct"/>
            <w:tcBorders>
              <w:top w:val="nil"/>
              <w:bottom w:val="nil"/>
            </w:tcBorders>
            <w:shd w:val="clear" w:color="auto" w:fill="FFFFFF"/>
            <w:tcMar>
              <w:top w:w="113" w:type="dxa"/>
              <w:bottom w:w="57" w:type="dxa"/>
            </w:tcMar>
          </w:tcPr>
          <w:p w:rsidR="00B03EDF" w:rsidRPr="0016774F" w:rsidRDefault="00B03EDF" w:rsidP="00C1753F">
            <w:pPr>
              <w:jc w:val="right"/>
              <w:rPr>
                <w:rFonts w:cs="Arial"/>
                <w:sz w:val="16"/>
                <w:szCs w:val="16"/>
                <w:lang w:bidi="th-TH"/>
              </w:rPr>
            </w:pPr>
            <w:r>
              <w:rPr>
                <w:rFonts w:cs="Arial"/>
                <w:sz w:val="16"/>
                <w:szCs w:val="16"/>
                <w:lang w:bidi="th-TH"/>
              </w:rPr>
              <w:t>Program 18</w:t>
            </w:r>
          </w:p>
        </w:tc>
        <w:tc>
          <w:tcPr>
            <w:tcW w:w="521" w:type="pct"/>
            <w:tcBorders>
              <w:top w:val="nil"/>
              <w:bottom w:val="nil"/>
              <w:right w:val="single" w:sz="4" w:space="0" w:color="auto"/>
            </w:tcBorders>
            <w:shd w:val="clear" w:color="auto" w:fill="FFFFFF"/>
          </w:tcPr>
          <w:p w:rsidR="00B03EDF" w:rsidRDefault="00B03EDF" w:rsidP="00C1753F">
            <w:pPr>
              <w:jc w:val="center"/>
            </w:pPr>
            <w:r w:rsidRPr="00535B20">
              <w:rPr>
                <w:rFonts w:cs="Arial"/>
                <w:color w:val="FF0000"/>
                <w:sz w:val="22"/>
                <w:szCs w:val="22"/>
              </w:rPr>
              <w:sym w:font="Wingdings" w:char="F06C"/>
            </w:r>
          </w:p>
        </w:tc>
      </w:tr>
      <w:tr w:rsidR="00B03EDF" w:rsidRPr="0016774F" w:rsidTr="00C1753F">
        <w:trPr>
          <w:cantSplit/>
          <w:trHeight w:val="770"/>
        </w:trPr>
        <w:tc>
          <w:tcPr>
            <w:tcW w:w="1544" w:type="pct"/>
            <w:vMerge w:val="restart"/>
            <w:tcBorders>
              <w:top w:val="nil"/>
              <w:left w:val="single" w:sz="4" w:space="0" w:color="auto"/>
              <w:bottom w:val="nil"/>
            </w:tcBorders>
            <w:shd w:val="clear" w:color="auto" w:fill="auto"/>
            <w:tcMar>
              <w:top w:w="113" w:type="dxa"/>
              <w:bottom w:w="57" w:type="dxa"/>
            </w:tcMar>
          </w:tcPr>
          <w:p w:rsidR="00B03EDF" w:rsidRPr="0016774F" w:rsidRDefault="00B03EDF" w:rsidP="00C1753F">
            <w:pPr>
              <w:rPr>
                <w:rFonts w:cs="Arial"/>
                <w:sz w:val="16"/>
                <w:szCs w:val="16"/>
              </w:rPr>
            </w:pPr>
          </w:p>
        </w:tc>
        <w:tc>
          <w:tcPr>
            <w:tcW w:w="2163" w:type="pct"/>
            <w:tcBorders>
              <w:top w:val="nil"/>
              <w:bottom w:val="nil"/>
            </w:tcBorders>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 of policy makers, government officials, IP practitioners and participants in targeted workshops with enhanced understanding of CMOs and how to effectively use IP for developmen</w:t>
            </w:r>
            <w:r>
              <w:rPr>
                <w:rFonts w:cs="Arial"/>
                <w:sz w:val="16"/>
                <w:szCs w:val="16"/>
              </w:rPr>
              <w:t>t</w:t>
            </w:r>
          </w:p>
        </w:tc>
        <w:tc>
          <w:tcPr>
            <w:tcW w:w="772" w:type="pct"/>
            <w:tcBorders>
              <w:top w:val="nil"/>
              <w:bottom w:val="nil"/>
            </w:tcBorders>
            <w:shd w:val="clear" w:color="auto" w:fill="FFFFFF"/>
            <w:tcMar>
              <w:top w:w="113" w:type="dxa"/>
              <w:bottom w:w="57" w:type="dxa"/>
            </w:tcMar>
          </w:tcPr>
          <w:p w:rsidR="00B03EDF" w:rsidRDefault="00B03EDF" w:rsidP="00C1753F">
            <w:pPr>
              <w:jc w:val="right"/>
              <w:rPr>
                <w:rFonts w:cs="Arial"/>
                <w:sz w:val="16"/>
                <w:szCs w:val="16"/>
                <w:lang w:bidi="th-TH"/>
              </w:rPr>
            </w:pPr>
            <w:r w:rsidRPr="0016774F">
              <w:rPr>
                <w:rFonts w:cs="Arial"/>
                <w:sz w:val="16"/>
                <w:szCs w:val="16"/>
                <w:lang w:bidi="th-TH"/>
              </w:rPr>
              <w:t>Program 20</w:t>
            </w:r>
          </w:p>
          <w:p w:rsidR="00B03EDF" w:rsidRDefault="00B03EDF" w:rsidP="00C1753F">
            <w:pPr>
              <w:ind w:left="551"/>
              <w:jc w:val="right"/>
              <w:rPr>
                <w:rFonts w:cs="Arial"/>
                <w:sz w:val="16"/>
                <w:szCs w:val="16"/>
                <w:lang w:bidi="th-TH"/>
              </w:rPr>
            </w:pPr>
          </w:p>
          <w:p w:rsidR="00B03EDF" w:rsidRDefault="00B03EDF" w:rsidP="00C1753F">
            <w:pPr>
              <w:ind w:left="551"/>
              <w:jc w:val="right"/>
              <w:rPr>
                <w:rFonts w:cs="Arial"/>
                <w:sz w:val="16"/>
                <w:szCs w:val="16"/>
                <w:lang w:bidi="th-TH"/>
              </w:rPr>
            </w:pPr>
          </w:p>
          <w:p w:rsidR="00B03EDF" w:rsidRPr="0016774F" w:rsidRDefault="00B03EDF" w:rsidP="00C1753F">
            <w:pPr>
              <w:jc w:val="right"/>
              <w:rPr>
                <w:rFonts w:cs="Arial"/>
                <w:sz w:val="16"/>
                <w:szCs w:val="16"/>
                <w:lang w:bidi="th-TH"/>
              </w:rPr>
            </w:pPr>
          </w:p>
        </w:tc>
        <w:tc>
          <w:tcPr>
            <w:tcW w:w="521" w:type="pct"/>
            <w:tcBorders>
              <w:top w:val="nil"/>
              <w:bottom w:val="nil"/>
              <w:right w:val="single" w:sz="4" w:space="0" w:color="auto"/>
            </w:tcBorders>
            <w:shd w:val="clear" w:color="auto" w:fill="FFFFFF"/>
          </w:tcPr>
          <w:p w:rsidR="00B03EDF" w:rsidRDefault="00B03EDF" w:rsidP="00C1753F">
            <w:pPr>
              <w:jc w:val="center"/>
            </w:pPr>
            <w:r w:rsidRPr="005F33CE">
              <w:rPr>
                <w:rFonts w:cs="Arial"/>
                <w:color w:val="008000"/>
                <w:sz w:val="22"/>
                <w:szCs w:val="22"/>
              </w:rPr>
              <w:sym w:font="Wingdings" w:char="F06C"/>
            </w:r>
            <w:r w:rsidRPr="00973579">
              <w:rPr>
                <w:rFonts w:cs="Arial"/>
                <w:color w:val="0070C0"/>
                <w:sz w:val="22"/>
                <w:szCs w:val="22"/>
              </w:rPr>
              <w:sym w:font="Wingdings" w:char="F06C"/>
            </w:r>
            <w:r w:rsidRPr="005F33CE">
              <w:rPr>
                <w:rFonts w:cs="Arial"/>
                <w:color w:val="008000"/>
                <w:sz w:val="22"/>
                <w:szCs w:val="22"/>
              </w:rPr>
              <w:sym w:font="Wingdings" w:char="F06C"/>
            </w:r>
          </w:p>
        </w:tc>
      </w:tr>
      <w:tr w:rsidR="00B03EDF" w:rsidRPr="0016774F" w:rsidTr="00C1753F">
        <w:trPr>
          <w:cantSplit/>
          <w:trHeight w:val="613"/>
        </w:trPr>
        <w:tc>
          <w:tcPr>
            <w:tcW w:w="1544" w:type="pct"/>
            <w:vMerge/>
            <w:tcBorders>
              <w:top w:val="nil"/>
              <w:left w:val="single" w:sz="4" w:space="0" w:color="auto"/>
              <w:bottom w:val="nil"/>
            </w:tcBorders>
            <w:shd w:val="clear" w:color="auto" w:fill="auto"/>
            <w:tcMar>
              <w:top w:w="113" w:type="dxa"/>
              <w:bottom w:w="57" w:type="dxa"/>
            </w:tcMar>
          </w:tcPr>
          <w:p w:rsidR="00B03EDF" w:rsidRPr="0016774F" w:rsidRDefault="00B03EDF" w:rsidP="00C1753F">
            <w:pPr>
              <w:rPr>
                <w:rFonts w:cs="Arial"/>
                <w:sz w:val="16"/>
                <w:szCs w:val="16"/>
              </w:rPr>
            </w:pPr>
          </w:p>
        </w:tc>
        <w:tc>
          <w:tcPr>
            <w:tcW w:w="2163" w:type="pct"/>
            <w:tcBorders>
              <w:top w:val="nil"/>
              <w:bottom w:val="nil"/>
            </w:tcBorders>
            <w:shd w:val="clear" w:color="auto" w:fill="auto"/>
            <w:tcMar>
              <w:top w:w="113" w:type="dxa"/>
              <w:bottom w:w="57" w:type="dxa"/>
            </w:tcMar>
          </w:tcPr>
          <w:p w:rsidR="00B03EDF" w:rsidRDefault="00B03EDF" w:rsidP="00C1753F">
            <w:pPr>
              <w:rPr>
                <w:rFonts w:cs="Arial"/>
                <w:sz w:val="16"/>
                <w:szCs w:val="16"/>
              </w:rPr>
            </w:pPr>
            <w:r>
              <w:rPr>
                <w:rFonts w:cs="Arial"/>
                <w:sz w:val="16"/>
                <w:szCs w:val="16"/>
              </w:rPr>
              <w:t>% of trained IP professionals using upgraded skills in their work</w:t>
            </w:r>
          </w:p>
          <w:p w:rsidR="00B03EDF" w:rsidRPr="0016774F" w:rsidRDefault="00B03EDF" w:rsidP="00C1753F">
            <w:pPr>
              <w:rPr>
                <w:rFonts w:cs="Arial"/>
                <w:sz w:val="16"/>
                <w:szCs w:val="16"/>
              </w:rPr>
            </w:pPr>
          </w:p>
        </w:tc>
        <w:tc>
          <w:tcPr>
            <w:tcW w:w="772" w:type="pct"/>
            <w:tcBorders>
              <w:top w:val="nil"/>
              <w:bottom w:val="nil"/>
            </w:tcBorders>
            <w:shd w:val="clear" w:color="auto" w:fill="FFFFFF"/>
            <w:tcMar>
              <w:top w:w="113" w:type="dxa"/>
              <w:bottom w:w="57" w:type="dxa"/>
            </w:tcMar>
          </w:tcPr>
          <w:p w:rsidR="00B03EDF" w:rsidRPr="0016774F" w:rsidRDefault="00B03EDF" w:rsidP="00C1753F">
            <w:pPr>
              <w:jc w:val="right"/>
              <w:rPr>
                <w:rFonts w:cs="Arial"/>
                <w:sz w:val="16"/>
                <w:szCs w:val="16"/>
                <w:lang w:bidi="th-TH"/>
              </w:rPr>
            </w:pPr>
            <w:r w:rsidRPr="0016774F">
              <w:rPr>
                <w:rFonts w:cs="Arial"/>
                <w:sz w:val="16"/>
                <w:szCs w:val="16"/>
                <w:lang w:bidi="th-TH"/>
              </w:rPr>
              <w:t xml:space="preserve">Program </w:t>
            </w:r>
            <w:r>
              <w:rPr>
                <w:rFonts w:cs="Arial"/>
                <w:sz w:val="16"/>
                <w:szCs w:val="16"/>
                <w:lang w:bidi="th-TH"/>
              </w:rPr>
              <w:t>3</w:t>
            </w:r>
            <w:r w:rsidRPr="0016774F">
              <w:rPr>
                <w:rFonts w:cs="Arial"/>
                <w:sz w:val="16"/>
                <w:szCs w:val="16"/>
                <w:lang w:bidi="th-TH"/>
              </w:rPr>
              <w:t>0</w:t>
            </w:r>
          </w:p>
        </w:tc>
        <w:tc>
          <w:tcPr>
            <w:tcW w:w="521" w:type="pct"/>
            <w:tcBorders>
              <w:top w:val="nil"/>
              <w:bottom w:val="nil"/>
              <w:right w:val="single" w:sz="4" w:space="0" w:color="auto"/>
            </w:tcBorders>
            <w:shd w:val="clear" w:color="auto" w:fill="FFFFFF"/>
          </w:tcPr>
          <w:p w:rsidR="00B03EDF" w:rsidRPr="00F718E6" w:rsidRDefault="00B03EDF" w:rsidP="00C1753F">
            <w:pPr>
              <w:jc w:val="center"/>
              <w:rPr>
                <w:rFonts w:cs="Arial"/>
                <w:color w:val="A6A6A6" w:themeColor="background1" w:themeShade="A6"/>
                <w:sz w:val="22"/>
                <w:szCs w:val="22"/>
              </w:rPr>
            </w:pPr>
            <w:r w:rsidRPr="005F33CE">
              <w:rPr>
                <w:rFonts w:cs="Arial"/>
                <w:color w:val="008000"/>
                <w:sz w:val="22"/>
                <w:szCs w:val="22"/>
              </w:rPr>
              <w:sym w:font="Wingdings" w:char="F06C"/>
            </w:r>
          </w:p>
        </w:tc>
      </w:tr>
      <w:tr w:rsidR="00B03EDF" w:rsidRPr="0016774F" w:rsidTr="00C1753F">
        <w:trPr>
          <w:cantSplit/>
          <w:trHeight w:val="539"/>
        </w:trPr>
        <w:tc>
          <w:tcPr>
            <w:tcW w:w="1544" w:type="pct"/>
            <w:vMerge w:val="restart"/>
            <w:tcBorders>
              <w:top w:val="nil"/>
              <w:left w:val="single" w:sz="4" w:space="0" w:color="auto"/>
              <w:bottom w:val="nil"/>
            </w:tcBorders>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 xml:space="preserve">III.3 </w:t>
            </w:r>
            <w:r>
              <w:rPr>
                <w:rFonts w:cs="Arial"/>
                <w:sz w:val="16"/>
                <w:szCs w:val="16"/>
              </w:rPr>
              <w:t xml:space="preserve"> </w:t>
            </w:r>
            <w:r w:rsidRPr="0016774F">
              <w:rPr>
                <w:rFonts w:cs="Arial"/>
                <w:sz w:val="16"/>
                <w:szCs w:val="16"/>
              </w:rPr>
              <w:t>Mainstreaming of the DA recommendations in the work of WIPO</w:t>
            </w:r>
          </w:p>
        </w:tc>
        <w:tc>
          <w:tcPr>
            <w:tcW w:w="2163" w:type="pct"/>
            <w:tcBorders>
              <w:top w:val="nil"/>
              <w:bottom w:val="nil"/>
            </w:tcBorders>
            <w:shd w:val="clear" w:color="auto" w:fill="auto"/>
            <w:tcMar>
              <w:top w:w="113" w:type="dxa"/>
              <w:bottom w:w="57" w:type="dxa"/>
            </w:tcMar>
          </w:tcPr>
          <w:p w:rsidR="00B03EDF" w:rsidRDefault="00B03EDF" w:rsidP="00C1753F">
            <w:pPr>
              <w:rPr>
                <w:rFonts w:cs="Arial"/>
                <w:sz w:val="16"/>
                <w:szCs w:val="16"/>
              </w:rPr>
            </w:pPr>
            <w:r w:rsidRPr="0016774F">
              <w:rPr>
                <w:rFonts w:cs="Arial"/>
                <w:sz w:val="16"/>
                <w:szCs w:val="16"/>
              </w:rPr>
              <w:t>No. of DA recommendations that have been addressed by the CDIP through projects, activities and studies</w:t>
            </w:r>
          </w:p>
          <w:p w:rsidR="00B03EDF" w:rsidRPr="0016774F" w:rsidRDefault="00B03EDF" w:rsidP="00C1753F">
            <w:pPr>
              <w:rPr>
                <w:rFonts w:cs="Arial"/>
                <w:sz w:val="16"/>
                <w:szCs w:val="16"/>
              </w:rPr>
            </w:pPr>
          </w:p>
        </w:tc>
        <w:tc>
          <w:tcPr>
            <w:tcW w:w="772" w:type="pct"/>
            <w:tcBorders>
              <w:top w:val="nil"/>
              <w:bottom w:val="nil"/>
            </w:tcBorders>
            <w:shd w:val="clear" w:color="auto" w:fill="FFFFFF"/>
            <w:tcMar>
              <w:top w:w="113" w:type="dxa"/>
              <w:bottom w:w="57" w:type="dxa"/>
            </w:tcMar>
          </w:tcPr>
          <w:p w:rsidR="00B03EDF" w:rsidRPr="0016774F" w:rsidRDefault="00B03EDF" w:rsidP="00C1753F">
            <w:pPr>
              <w:jc w:val="right"/>
              <w:rPr>
                <w:rFonts w:cs="Arial"/>
                <w:sz w:val="16"/>
                <w:szCs w:val="16"/>
                <w:lang w:bidi="th-TH"/>
              </w:rPr>
            </w:pPr>
            <w:r w:rsidRPr="0016774F">
              <w:rPr>
                <w:rFonts w:cs="Arial"/>
                <w:sz w:val="16"/>
                <w:szCs w:val="16"/>
                <w:lang w:bidi="th-TH"/>
              </w:rPr>
              <w:t>Program 8</w:t>
            </w:r>
          </w:p>
        </w:tc>
        <w:tc>
          <w:tcPr>
            <w:tcW w:w="521" w:type="pct"/>
            <w:tcBorders>
              <w:top w:val="nil"/>
              <w:bottom w:val="nil"/>
              <w:right w:val="single" w:sz="4" w:space="0" w:color="auto"/>
            </w:tcBorders>
            <w:shd w:val="clear" w:color="auto" w:fill="FFFFFF"/>
          </w:tcPr>
          <w:p w:rsidR="00B03EDF" w:rsidRDefault="00B03EDF" w:rsidP="00C1753F">
            <w:pPr>
              <w:jc w:val="center"/>
            </w:pPr>
            <w:r w:rsidRPr="005F33CE">
              <w:rPr>
                <w:rFonts w:cs="Arial"/>
                <w:color w:val="008000"/>
                <w:sz w:val="22"/>
                <w:szCs w:val="22"/>
              </w:rPr>
              <w:sym w:font="Wingdings" w:char="F06C"/>
            </w:r>
          </w:p>
        </w:tc>
      </w:tr>
      <w:tr w:rsidR="00B03EDF" w:rsidRPr="0016774F" w:rsidTr="00C1753F">
        <w:trPr>
          <w:cantSplit/>
          <w:trHeight w:val="538"/>
        </w:trPr>
        <w:tc>
          <w:tcPr>
            <w:tcW w:w="1544" w:type="pct"/>
            <w:vMerge/>
            <w:tcBorders>
              <w:top w:val="nil"/>
              <w:left w:val="single" w:sz="4" w:space="0" w:color="auto"/>
              <w:bottom w:val="nil"/>
            </w:tcBorders>
            <w:shd w:val="clear" w:color="auto" w:fill="auto"/>
            <w:tcMar>
              <w:top w:w="113" w:type="dxa"/>
              <w:bottom w:w="57" w:type="dxa"/>
            </w:tcMar>
          </w:tcPr>
          <w:p w:rsidR="00B03EDF" w:rsidRPr="0016774F" w:rsidRDefault="00B03EDF" w:rsidP="00C1753F">
            <w:pPr>
              <w:rPr>
                <w:rFonts w:cs="Arial"/>
                <w:sz w:val="16"/>
                <w:szCs w:val="16"/>
              </w:rPr>
            </w:pPr>
          </w:p>
        </w:tc>
        <w:tc>
          <w:tcPr>
            <w:tcW w:w="2163" w:type="pct"/>
            <w:tcBorders>
              <w:top w:val="nil"/>
              <w:bottom w:val="nil"/>
            </w:tcBorders>
            <w:shd w:val="clear" w:color="auto" w:fill="auto"/>
            <w:tcMar>
              <w:top w:w="113" w:type="dxa"/>
              <w:bottom w:w="57" w:type="dxa"/>
            </w:tcMar>
          </w:tcPr>
          <w:p w:rsidR="00B03EDF" w:rsidRDefault="00B03EDF" w:rsidP="00C1753F">
            <w:pPr>
              <w:rPr>
                <w:rFonts w:cs="Arial"/>
                <w:sz w:val="16"/>
                <w:szCs w:val="16"/>
              </w:rPr>
            </w:pPr>
            <w:r>
              <w:rPr>
                <w:rFonts w:cs="Arial"/>
                <w:sz w:val="16"/>
                <w:szCs w:val="16"/>
              </w:rPr>
              <w:t xml:space="preserve">Rate of satisfaction among Member States with the results of the projects, activities and studies   </w:t>
            </w:r>
          </w:p>
          <w:p w:rsidR="00B03EDF" w:rsidRPr="0016774F" w:rsidRDefault="00B03EDF" w:rsidP="00C1753F">
            <w:pPr>
              <w:rPr>
                <w:rFonts w:cs="Arial"/>
                <w:sz w:val="16"/>
                <w:szCs w:val="16"/>
              </w:rPr>
            </w:pPr>
          </w:p>
        </w:tc>
        <w:tc>
          <w:tcPr>
            <w:tcW w:w="772" w:type="pct"/>
            <w:tcBorders>
              <w:top w:val="nil"/>
              <w:bottom w:val="nil"/>
            </w:tcBorders>
            <w:shd w:val="clear" w:color="auto" w:fill="FFFFFF"/>
            <w:tcMar>
              <w:top w:w="113" w:type="dxa"/>
              <w:bottom w:w="57" w:type="dxa"/>
            </w:tcMar>
          </w:tcPr>
          <w:p w:rsidR="00B03EDF" w:rsidRDefault="00B03EDF" w:rsidP="00C1753F">
            <w:pPr>
              <w:jc w:val="right"/>
              <w:rPr>
                <w:rFonts w:cs="Arial"/>
                <w:sz w:val="16"/>
                <w:szCs w:val="16"/>
                <w:lang w:bidi="th-TH"/>
              </w:rPr>
            </w:pPr>
            <w:r w:rsidRPr="0016774F">
              <w:rPr>
                <w:rFonts w:cs="Arial"/>
                <w:sz w:val="16"/>
                <w:szCs w:val="16"/>
                <w:lang w:bidi="th-TH"/>
              </w:rPr>
              <w:t>Program 8</w:t>
            </w:r>
          </w:p>
          <w:p w:rsidR="00B03EDF" w:rsidRPr="0016774F" w:rsidRDefault="00B03EDF" w:rsidP="00C1753F">
            <w:pPr>
              <w:ind w:left="551"/>
              <w:jc w:val="right"/>
              <w:rPr>
                <w:rFonts w:cs="Arial"/>
                <w:sz w:val="16"/>
                <w:szCs w:val="16"/>
                <w:lang w:bidi="th-TH"/>
              </w:rPr>
            </w:pPr>
          </w:p>
        </w:tc>
        <w:tc>
          <w:tcPr>
            <w:tcW w:w="521" w:type="pct"/>
            <w:tcBorders>
              <w:top w:val="nil"/>
              <w:bottom w:val="nil"/>
              <w:right w:val="single" w:sz="4" w:space="0" w:color="auto"/>
            </w:tcBorders>
            <w:shd w:val="clear" w:color="auto" w:fill="FFFFFF"/>
          </w:tcPr>
          <w:p w:rsidR="00B03EDF" w:rsidRPr="00F718E6" w:rsidRDefault="00B03EDF" w:rsidP="00C1753F">
            <w:pPr>
              <w:jc w:val="center"/>
              <w:rPr>
                <w:rFonts w:cs="Arial"/>
                <w:color w:val="A6A6A6" w:themeColor="background1" w:themeShade="A6"/>
                <w:sz w:val="22"/>
                <w:szCs w:val="22"/>
              </w:rPr>
            </w:pPr>
            <w:r w:rsidRPr="00973579">
              <w:rPr>
                <w:rFonts w:cs="Arial"/>
                <w:color w:val="0070C0"/>
                <w:sz w:val="22"/>
                <w:szCs w:val="22"/>
              </w:rPr>
              <w:sym w:font="Wingdings" w:char="F06C"/>
            </w:r>
          </w:p>
        </w:tc>
      </w:tr>
      <w:tr w:rsidR="00B03EDF" w:rsidRPr="0016774F" w:rsidTr="00C1753F">
        <w:trPr>
          <w:cantSplit/>
          <w:trHeight w:val="547"/>
        </w:trPr>
        <w:tc>
          <w:tcPr>
            <w:tcW w:w="1544" w:type="pct"/>
            <w:tcBorders>
              <w:top w:val="nil"/>
              <w:left w:val="single" w:sz="4" w:space="0" w:color="auto"/>
              <w:bottom w:val="nil"/>
            </w:tcBorders>
            <w:shd w:val="clear" w:color="auto" w:fill="auto"/>
            <w:tcMar>
              <w:top w:w="113" w:type="dxa"/>
              <w:bottom w:w="57" w:type="dxa"/>
            </w:tcMar>
          </w:tcPr>
          <w:p w:rsidR="00B03EDF" w:rsidRPr="0016774F" w:rsidRDefault="00B03EDF" w:rsidP="00C1753F">
            <w:pPr>
              <w:rPr>
                <w:rFonts w:cs="Arial"/>
                <w:sz w:val="16"/>
                <w:szCs w:val="16"/>
              </w:rPr>
            </w:pPr>
          </w:p>
        </w:tc>
        <w:tc>
          <w:tcPr>
            <w:tcW w:w="2163" w:type="pct"/>
            <w:tcBorders>
              <w:top w:val="nil"/>
              <w:bottom w:val="nil"/>
            </w:tcBorders>
            <w:shd w:val="clear" w:color="auto" w:fill="auto"/>
            <w:tcMar>
              <w:top w:w="113" w:type="dxa"/>
              <w:bottom w:w="57" w:type="dxa"/>
            </w:tcMar>
          </w:tcPr>
          <w:p w:rsidR="00B03EDF" w:rsidRPr="0016774F" w:rsidRDefault="00B03EDF" w:rsidP="00C1753F">
            <w:pPr>
              <w:rPr>
                <w:rFonts w:cs="Arial"/>
                <w:sz w:val="16"/>
                <w:szCs w:val="16"/>
              </w:rPr>
            </w:pPr>
            <w:r w:rsidRPr="0016774F">
              <w:rPr>
                <w:rFonts w:cs="Arial"/>
                <w:sz w:val="16"/>
                <w:szCs w:val="16"/>
              </w:rPr>
              <w:t>Implementation of the coordination mechanism as approved by Member States</w:t>
            </w:r>
          </w:p>
        </w:tc>
        <w:tc>
          <w:tcPr>
            <w:tcW w:w="772" w:type="pct"/>
            <w:tcBorders>
              <w:top w:val="nil"/>
              <w:bottom w:val="nil"/>
            </w:tcBorders>
            <w:shd w:val="clear" w:color="auto" w:fill="FFFFFF"/>
            <w:tcMar>
              <w:top w:w="113" w:type="dxa"/>
              <w:bottom w:w="57" w:type="dxa"/>
            </w:tcMar>
          </w:tcPr>
          <w:p w:rsidR="00B03EDF" w:rsidRPr="0016774F" w:rsidRDefault="00B03EDF" w:rsidP="00C1753F">
            <w:pPr>
              <w:jc w:val="right"/>
              <w:rPr>
                <w:rFonts w:cs="Arial"/>
                <w:sz w:val="16"/>
                <w:szCs w:val="16"/>
                <w:lang w:bidi="th-TH"/>
              </w:rPr>
            </w:pPr>
            <w:r w:rsidRPr="0016774F">
              <w:rPr>
                <w:rFonts w:cs="Arial"/>
                <w:sz w:val="16"/>
                <w:szCs w:val="16"/>
                <w:lang w:bidi="th-TH"/>
              </w:rPr>
              <w:t>Program 8</w:t>
            </w:r>
          </w:p>
        </w:tc>
        <w:tc>
          <w:tcPr>
            <w:tcW w:w="521" w:type="pct"/>
            <w:tcBorders>
              <w:top w:val="nil"/>
              <w:bottom w:val="nil"/>
              <w:right w:val="single" w:sz="4" w:space="0" w:color="auto"/>
            </w:tcBorders>
            <w:shd w:val="clear" w:color="auto" w:fill="FFFFFF"/>
          </w:tcPr>
          <w:p w:rsidR="00B03EDF" w:rsidRDefault="00B03EDF" w:rsidP="00C1753F">
            <w:pPr>
              <w:jc w:val="center"/>
            </w:pPr>
            <w:r w:rsidRPr="005F33CE">
              <w:rPr>
                <w:rFonts w:cs="Arial"/>
                <w:color w:val="008000"/>
                <w:sz w:val="22"/>
                <w:szCs w:val="22"/>
              </w:rPr>
              <w:sym w:font="Wingdings" w:char="F06C"/>
            </w:r>
          </w:p>
        </w:tc>
      </w:tr>
      <w:tr w:rsidR="00B03EDF" w:rsidRPr="0016774F" w:rsidTr="00C1753F">
        <w:trPr>
          <w:cantSplit/>
          <w:trHeight w:val="547"/>
        </w:trPr>
        <w:tc>
          <w:tcPr>
            <w:tcW w:w="1544" w:type="pct"/>
            <w:tcBorders>
              <w:top w:val="nil"/>
              <w:left w:val="single" w:sz="4" w:space="0" w:color="auto"/>
              <w:bottom w:val="nil"/>
            </w:tcBorders>
            <w:shd w:val="clear" w:color="auto" w:fill="auto"/>
            <w:tcMar>
              <w:top w:w="113" w:type="dxa"/>
              <w:bottom w:w="57" w:type="dxa"/>
            </w:tcMar>
          </w:tcPr>
          <w:p w:rsidR="00B03EDF" w:rsidRPr="0016774F" w:rsidRDefault="00B03EDF" w:rsidP="00C1753F">
            <w:pPr>
              <w:rPr>
                <w:rFonts w:cs="Arial"/>
                <w:sz w:val="16"/>
                <w:szCs w:val="16"/>
              </w:rPr>
            </w:pPr>
          </w:p>
        </w:tc>
        <w:tc>
          <w:tcPr>
            <w:tcW w:w="2163" w:type="pct"/>
            <w:tcBorders>
              <w:top w:val="nil"/>
              <w:bottom w:val="nil"/>
            </w:tcBorders>
            <w:shd w:val="clear" w:color="auto" w:fill="auto"/>
            <w:tcMar>
              <w:top w:w="113" w:type="dxa"/>
              <w:bottom w:w="57" w:type="dxa"/>
            </w:tcMar>
          </w:tcPr>
          <w:p w:rsidR="00B03EDF" w:rsidRPr="0016774F" w:rsidRDefault="00B03EDF" w:rsidP="00C1753F">
            <w:pPr>
              <w:rPr>
                <w:rFonts w:cs="Arial"/>
                <w:sz w:val="16"/>
                <w:szCs w:val="16"/>
              </w:rPr>
            </w:pPr>
            <w:r>
              <w:rPr>
                <w:rFonts w:cs="Arial"/>
                <w:sz w:val="16"/>
                <w:szCs w:val="16"/>
              </w:rPr>
              <w:t>No. of Programs in which DA r</w:t>
            </w:r>
            <w:r w:rsidRPr="000679F7">
              <w:rPr>
                <w:rFonts w:cs="Arial"/>
                <w:sz w:val="16"/>
                <w:szCs w:val="16"/>
              </w:rPr>
              <w:t>ecommendations are mainstreamed into the regular work of WIPO</w:t>
            </w:r>
          </w:p>
        </w:tc>
        <w:tc>
          <w:tcPr>
            <w:tcW w:w="772" w:type="pct"/>
            <w:tcBorders>
              <w:top w:val="nil"/>
              <w:bottom w:val="nil"/>
            </w:tcBorders>
            <w:shd w:val="clear" w:color="auto" w:fill="FFFFFF"/>
            <w:tcMar>
              <w:top w:w="113" w:type="dxa"/>
              <w:bottom w:w="57" w:type="dxa"/>
            </w:tcMar>
          </w:tcPr>
          <w:p w:rsidR="00B03EDF" w:rsidRPr="0016774F" w:rsidRDefault="00B03EDF" w:rsidP="00C1753F">
            <w:pPr>
              <w:jc w:val="right"/>
              <w:rPr>
                <w:rFonts w:cs="Arial"/>
                <w:sz w:val="16"/>
                <w:szCs w:val="16"/>
                <w:lang w:bidi="th-TH"/>
              </w:rPr>
            </w:pPr>
            <w:r w:rsidRPr="0016774F">
              <w:rPr>
                <w:rFonts w:cs="Arial"/>
                <w:sz w:val="16"/>
                <w:szCs w:val="16"/>
                <w:lang w:bidi="th-TH"/>
              </w:rPr>
              <w:t>Program 8</w:t>
            </w:r>
          </w:p>
        </w:tc>
        <w:tc>
          <w:tcPr>
            <w:tcW w:w="521" w:type="pct"/>
            <w:tcBorders>
              <w:top w:val="nil"/>
              <w:bottom w:val="nil"/>
              <w:right w:val="single" w:sz="4" w:space="0" w:color="auto"/>
            </w:tcBorders>
            <w:shd w:val="clear" w:color="auto" w:fill="FFFFFF"/>
          </w:tcPr>
          <w:p w:rsidR="00B03EDF" w:rsidRDefault="00B03EDF" w:rsidP="00C1753F">
            <w:pPr>
              <w:jc w:val="center"/>
            </w:pPr>
            <w:r w:rsidRPr="005F33CE">
              <w:rPr>
                <w:rFonts w:cs="Arial"/>
                <w:color w:val="008000"/>
                <w:sz w:val="22"/>
                <w:szCs w:val="22"/>
              </w:rPr>
              <w:sym w:font="Wingdings" w:char="F06C"/>
            </w:r>
          </w:p>
        </w:tc>
      </w:tr>
      <w:tr w:rsidR="00B03EDF" w:rsidRPr="0016774F" w:rsidTr="00C1753F">
        <w:trPr>
          <w:cantSplit/>
          <w:trHeight w:val="547"/>
        </w:trPr>
        <w:tc>
          <w:tcPr>
            <w:tcW w:w="1544" w:type="pct"/>
            <w:tcBorders>
              <w:top w:val="nil"/>
              <w:left w:val="single" w:sz="4" w:space="0" w:color="auto"/>
              <w:bottom w:val="nil"/>
            </w:tcBorders>
            <w:shd w:val="clear" w:color="auto" w:fill="auto"/>
            <w:tcMar>
              <w:top w:w="113" w:type="dxa"/>
              <w:bottom w:w="57" w:type="dxa"/>
            </w:tcMar>
          </w:tcPr>
          <w:p w:rsidR="00B03EDF" w:rsidRPr="0016774F" w:rsidRDefault="00B03EDF" w:rsidP="00C1753F">
            <w:pPr>
              <w:rPr>
                <w:rFonts w:cs="Arial"/>
                <w:sz w:val="16"/>
                <w:szCs w:val="16"/>
              </w:rPr>
            </w:pPr>
          </w:p>
        </w:tc>
        <w:tc>
          <w:tcPr>
            <w:tcW w:w="2163" w:type="pct"/>
            <w:tcBorders>
              <w:top w:val="nil"/>
              <w:bottom w:val="nil"/>
            </w:tcBorders>
            <w:shd w:val="clear" w:color="auto" w:fill="auto"/>
            <w:tcMar>
              <w:top w:w="113" w:type="dxa"/>
              <w:bottom w:w="57" w:type="dxa"/>
            </w:tcMar>
          </w:tcPr>
          <w:p w:rsidR="00B03EDF" w:rsidRPr="0016774F" w:rsidRDefault="00B03EDF" w:rsidP="00C1753F">
            <w:pPr>
              <w:rPr>
                <w:rFonts w:cs="Arial"/>
                <w:sz w:val="16"/>
                <w:szCs w:val="16"/>
              </w:rPr>
            </w:pPr>
            <w:r w:rsidRPr="000679F7">
              <w:rPr>
                <w:rFonts w:cs="Arial"/>
                <w:sz w:val="16"/>
                <w:szCs w:val="16"/>
              </w:rPr>
              <w:t>No. of DA projects</w:t>
            </w:r>
            <w:r>
              <w:rPr>
                <w:rFonts w:cs="Arial"/>
                <w:sz w:val="16"/>
                <w:szCs w:val="16"/>
              </w:rPr>
              <w:t xml:space="preserve"> and the manner in</w:t>
            </w:r>
            <w:r w:rsidRPr="000679F7">
              <w:rPr>
                <w:rFonts w:cs="Arial"/>
                <w:sz w:val="16"/>
                <w:szCs w:val="16"/>
              </w:rPr>
              <w:t xml:space="preserve"> which </w:t>
            </w:r>
            <w:r>
              <w:rPr>
                <w:rFonts w:cs="Arial"/>
                <w:sz w:val="16"/>
                <w:szCs w:val="16"/>
              </w:rPr>
              <w:t xml:space="preserve">they </w:t>
            </w:r>
            <w:r w:rsidRPr="000679F7">
              <w:rPr>
                <w:rFonts w:cs="Arial"/>
                <w:sz w:val="16"/>
                <w:szCs w:val="16"/>
              </w:rPr>
              <w:t>have been mainstreamed into the regular work of WIPO (norm-setting, technical assistance and service delivery)</w:t>
            </w:r>
          </w:p>
        </w:tc>
        <w:tc>
          <w:tcPr>
            <w:tcW w:w="772" w:type="pct"/>
            <w:tcBorders>
              <w:top w:val="nil"/>
              <w:bottom w:val="nil"/>
            </w:tcBorders>
            <w:shd w:val="clear" w:color="auto" w:fill="FFFFFF"/>
            <w:tcMar>
              <w:top w:w="113" w:type="dxa"/>
              <w:bottom w:w="57" w:type="dxa"/>
            </w:tcMar>
          </w:tcPr>
          <w:p w:rsidR="00B03EDF" w:rsidRPr="0016774F" w:rsidRDefault="00B03EDF" w:rsidP="00C1753F">
            <w:pPr>
              <w:jc w:val="right"/>
              <w:rPr>
                <w:rFonts w:cs="Arial"/>
                <w:sz w:val="16"/>
                <w:szCs w:val="16"/>
                <w:lang w:bidi="th-TH"/>
              </w:rPr>
            </w:pPr>
            <w:r w:rsidRPr="0016774F">
              <w:rPr>
                <w:rFonts w:cs="Arial"/>
                <w:sz w:val="16"/>
                <w:szCs w:val="16"/>
                <w:lang w:bidi="th-TH"/>
              </w:rPr>
              <w:t>Program 8</w:t>
            </w:r>
          </w:p>
        </w:tc>
        <w:tc>
          <w:tcPr>
            <w:tcW w:w="521" w:type="pct"/>
            <w:tcBorders>
              <w:top w:val="nil"/>
              <w:bottom w:val="nil"/>
              <w:right w:val="single" w:sz="4" w:space="0" w:color="auto"/>
            </w:tcBorders>
            <w:shd w:val="clear" w:color="auto" w:fill="FFFFFF"/>
          </w:tcPr>
          <w:p w:rsidR="00B03EDF" w:rsidRDefault="00B03EDF" w:rsidP="00C1753F">
            <w:pPr>
              <w:jc w:val="center"/>
            </w:pPr>
            <w:r w:rsidRPr="005F33CE">
              <w:rPr>
                <w:rFonts w:cs="Arial"/>
                <w:color w:val="008000"/>
                <w:sz w:val="22"/>
                <w:szCs w:val="22"/>
              </w:rPr>
              <w:sym w:font="Wingdings" w:char="F06C"/>
            </w:r>
          </w:p>
        </w:tc>
      </w:tr>
      <w:tr w:rsidR="00B03EDF" w:rsidRPr="0016774F" w:rsidTr="00C1753F">
        <w:trPr>
          <w:cantSplit/>
          <w:trHeight w:val="464"/>
        </w:trPr>
        <w:tc>
          <w:tcPr>
            <w:tcW w:w="1544" w:type="pct"/>
            <w:vMerge w:val="restart"/>
            <w:tcBorders>
              <w:top w:val="nil"/>
              <w:left w:val="single" w:sz="4" w:space="0" w:color="auto"/>
              <w:bottom w:val="nil"/>
            </w:tcBorders>
            <w:shd w:val="clear" w:color="auto" w:fill="auto"/>
            <w:tcMar>
              <w:top w:w="113" w:type="dxa"/>
              <w:bottom w:w="57" w:type="dxa"/>
            </w:tcMar>
          </w:tcPr>
          <w:p w:rsidR="00B03EDF" w:rsidRPr="0016774F" w:rsidRDefault="00B03EDF" w:rsidP="00C1753F">
            <w:pPr>
              <w:rPr>
                <w:rFonts w:cs="Arial"/>
                <w:sz w:val="16"/>
                <w:szCs w:val="16"/>
              </w:rPr>
            </w:pPr>
          </w:p>
        </w:tc>
        <w:tc>
          <w:tcPr>
            <w:tcW w:w="2163" w:type="pct"/>
            <w:tcBorders>
              <w:top w:val="nil"/>
              <w:bottom w:val="nil"/>
            </w:tcBorders>
            <w:shd w:val="clear" w:color="auto" w:fill="auto"/>
            <w:tcMar>
              <w:top w:w="113" w:type="dxa"/>
              <w:bottom w:w="57" w:type="dxa"/>
            </w:tcMar>
          </w:tcPr>
          <w:p w:rsidR="00B03EDF" w:rsidRDefault="00B03EDF" w:rsidP="00C1753F">
            <w:pPr>
              <w:rPr>
                <w:rFonts w:cs="Arial"/>
                <w:sz w:val="16"/>
                <w:szCs w:val="16"/>
              </w:rPr>
            </w:pPr>
            <w:r w:rsidRPr="00534297">
              <w:rPr>
                <w:rFonts w:cs="Arial"/>
                <w:sz w:val="16"/>
                <w:szCs w:val="16"/>
              </w:rPr>
              <w:t>Effective system in place for the planning, monitoring and evaluation of the implementation of DA recommendations</w:t>
            </w:r>
          </w:p>
          <w:p w:rsidR="00B03EDF" w:rsidRPr="00534297" w:rsidRDefault="00B03EDF" w:rsidP="00C1753F">
            <w:pPr>
              <w:keepNext/>
              <w:keepLines/>
              <w:rPr>
                <w:rFonts w:cs="Arial"/>
                <w:sz w:val="16"/>
                <w:szCs w:val="16"/>
              </w:rPr>
            </w:pPr>
          </w:p>
        </w:tc>
        <w:tc>
          <w:tcPr>
            <w:tcW w:w="772" w:type="pct"/>
            <w:tcBorders>
              <w:top w:val="nil"/>
              <w:bottom w:val="nil"/>
            </w:tcBorders>
            <w:shd w:val="clear" w:color="auto" w:fill="FFFFFF"/>
            <w:tcMar>
              <w:top w:w="113" w:type="dxa"/>
              <w:bottom w:w="57" w:type="dxa"/>
            </w:tcMar>
          </w:tcPr>
          <w:p w:rsidR="00B03EDF" w:rsidRPr="0016774F" w:rsidRDefault="00B03EDF" w:rsidP="00C1753F">
            <w:pPr>
              <w:jc w:val="right"/>
              <w:rPr>
                <w:rFonts w:cs="Arial"/>
                <w:sz w:val="16"/>
                <w:szCs w:val="16"/>
                <w:lang w:bidi="th-TH"/>
              </w:rPr>
            </w:pPr>
            <w:r w:rsidRPr="0016774F">
              <w:rPr>
                <w:rFonts w:cs="Arial"/>
                <w:sz w:val="16"/>
                <w:szCs w:val="16"/>
                <w:lang w:bidi="th-TH"/>
              </w:rPr>
              <w:t>Program 8</w:t>
            </w:r>
          </w:p>
        </w:tc>
        <w:tc>
          <w:tcPr>
            <w:tcW w:w="521" w:type="pct"/>
            <w:tcBorders>
              <w:top w:val="nil"/>
              <w:bottom w:val="nil"/>
              <w:right w:val="single" w:sz="4" w:space="0" w:color="auto"/>
            </w:tcBorders>
            <w:shd w:val="clear" w:color="auto" w:fill="FFFFFF"/>
          </w:tcPr>
          <w:p w:rsidR="00B03EDF" w:rsidRDefault="00B03EDF" w:rsidP="00C1753F">
            <w:pPr>
              <w:jc w:val="center"/>
            </w:pPr>
            <w:r w:rsidRPr="005F33CE">
              <w:rPr>
                <w:rFonts w:cs="Arial"/>
                <w:color w:val="008000"/>
                <w:sz w:val="22"/>
                <w:szCs w:val="22"/>
              </w:rPr>
              <w:sym w:font="Wingdings" w:char="F06C"/>
            </w:r>
          </w:p>
        </w:tc>
      </w:tr>
      <w:tr w:rsidR="00B03EDF" w:rsidRPr="0016774F" w:rsidTr="00C1753F">
        <w:trPr>
          <w:cantSplit/>
          <w:trHeight w:val="463"/>
        </w:trPr>
        <w:tc>
          <w:tcPr>
            <w:tcW w:w="1544" w:type="pct"/>
            <w:vMerge/>
            <w:tcBorders>
              <w:top w:val="nil"/>
              <w:left w:val="single" w:sz="4" w:space="0" w:color="auto"/>
              <w:bottom w:val="nil"/>
            </w:tcBorders>
            <w:shd w:val="clear" w:color="auto" w:fill="auto"/>
            <w:tcMar>
              <w:top w:w="113" w:type="dxa"/>
              <w:bottom w:w="57" w:type="dxa"/>
            </w:tcMar>
          </w:tcPr>
          <w:p w:rsidR="00B03EDF" w:rsidRPr="0016774F" w:rsidRDefault="00B03EDF" w:rsidP="00C1753F">
            <w:pPr>
              <w:rPr>
                <w:rFonts w:cs="Arial"/>
                <w:sz w:val="16"/>
                <w:szCs w:val="16"/>
              </w:rPr>
            </w:pPr>
          </w:p>
        </w:tc>
        <w:tc>
          <w:tcPr>
            <w:tcW w:w="2163" w:type="pct"/>
            <w:tcBorders>
              <w:top w:val="nil"/>
              <w:bottom w:val="nil"/>
            </w:tcBorders>
            <w:shd w:val="clear" w:color="auto" w:fill="auto"/>
            <w:tcMar>
              <w:top w:w="113" w:type="dxa"/>
              <w:bottom w:w="57" w:type="dxa"/>
            </w:tcMar>
          </w:tcPr>
          <w:p w:rsidR="00B03EDF" w:rsidRPr="00534297" w:rsidRDefault="00B03EDF" w:rsidP="00C1753F">
            <w:pPr>
              <w:rPr>
                <w:rFonts w:cs="Arial"/>
                <w:sz w:val="16"/>
                <w:szCs w:val="16"/>
              </w:rPr>
            </w:pPr>
            <w:r>
              <w:rPr>
                <w:rFonts w:cs="Arial"/>
                <w:sz w:val="16"/>
                <w:szCs w:val="16"/>
              </w:rPr>
              <w:t>% of DA projects which have been independently evaluated</w:t>
            </w:r>
          </w:p>
        </w:tc>
        <w:tc>
          <w:tcPr>
            <w:tcW w:w="772" w:type="pct"/>
            <w:tcBorders>
              <w:top w:val="nil"/>
              <w:bottom w:val="nil"/>
            </w:tcBorders>
            <w:shd w:val="clear" w:color="auto" w:fill="FFFFFF"/>
            <w:tcMar>
              <w:top w:w="113" w:type="dxa"/>
              <w:bottom w:w="57" w:type="dxa"/>
            </w:tcMar>
          </w:tcPr>
          <w:p w:rsidR="00B03EDF" w:rsidRPr="0016774F" w:rsidRDefault="00B03EDF" w:rsidP="00C1753F">
            <w:pPr>
              <w:jc w:val="right"/>
              <w:rPr>
                <w:rFonts w:cs="Arial"/>
                <w:sz w:val="16"/>
                <w:szCs w:val="16"/>
                <w:lang w:bidi="th-TH"/>
              </w:rPr>
            </w:pPr>
            <w:r w:rsidRPr="0016774F">
              <w:rPr>
                <w:rFonts w:cs="Arial"/>
                <w:sz w:val="16"/>
                <w:szCs w:val="16"/>
                <w:lang w:bidi="th-TH"/>
              </w:rPr>
              <w:t>Program 8</w:t>
            </w:r>
          </w:p>
        </w:tc>
        <w:tc>
          <w:tcPr>
            <w:tcW w:w="521" w:type="pct"/>
            <w:tcBorders>
              <w:top w:val="nil"/>
              <w:bottom w:val="nil"/>
              <w:right w:val="single" w:sz="4" w:space="0" w:color="auto"/>
            </w:tcBorders>
            <w:shd w:val="clear" w:color="auto" w:fill="FFFFFF"/>
          </w:tcPr>
          <w:p w:rsidR="00B03EDF" w:rsidRPr="00F718E6" w:rsidRDefault="00B03EDF" w:rsidP="00C1753F">
            <w:pPr>
              <w:jc w:val="center"/>
              <w:rPr>
                <w:rFonts w:cs="Arial"/>
                <w:color w:val="A6A6A6" w:themeColor="background1" w:themeShade="A6"/>
                <w:sz w:val="22"/>
                <w:szCs w:val="22"/>
              </w:rPr>
            </w:pPr>
            <w:r w:rsidRPr="005F33CE">
              <w:rPr>
                <w:rFonts w:cs="Arial"/>
                <w:color w:val="008000"/>
                <w:sz w:val="22"/>
                <w:szCs w:val="22"/>
              </w:rPr>
              <w:sym w:font="Wingdings" w:char="F06C"/>
            </w:r>
          </w:p>
        </w:tc>
      </w:tr>
      <w:tr w:rsidR="00B03EDF" w:rsidRPr="0016774F" w:rsidTr="00C1753F">
        <w:trPr>
          <w:cantSplit/>
          <w:trHeight w:val="463"/>
        </w:trPr>
        <w:tc>
          <w:tcPr>
            <w:tcW w:w="1544" w:type="pct"/>
            <w:tcBorders>
              <w:top w:val="nil"/>
              <w:left w:val="single" w:sz="4" w:space="0" w:color="auto"/>
              <w:bottom w:val="nil"/>
            </w:tcBorders>
            <w:shd w:val="clear" w:color="auto" w:fill="auto"/>
            <w:tcMar>
              <w:top w:w="113" w:type="dxa"/>
              <w:bottom w:w="57" w:type="dxa"/>
            </w:tcMar>
          </w:tcPr>
          <w:p w:rsidR="00B03EDF" w:rsidRPr="0016774F" w:rsidRDefault="00B03EDF" w:rsidP="00C1753F">
            <w:pPr>
              <w:keepNext/>
              <w:keepLines/>
              <w:tabs>
                <w:tab w:val="right" w:pos="2835"/>
              </w:tabs>
              <w:spacing w:after="60"/>
              <w:rPr>
                <w:rFonts w:cs="Arial"/>
                <w:sz w:val="15"/>
                <w:szCs w:val="15"/>
              </w:rPr>
            </w:pPr>
            <w:r w:rsidRPr="0016774F">
              <w:rPr>
                <w:rFonts w:cs="Arial"/>
                <w:sz w:val="16"/>
                <w:szCs w:val="16"/>
              </w:rPr>
              <w:t xml:space="preserve">III.4 </w:t>
            </w:r>
            <w:r>
              <w:rPr>
                <w:rFonts w:cs="Arial"/>
                <w:sz w:val="16"/>
                <w:szCs w:val="16"/>
              </w:rPr>
              <w:t xml:space="preserve"> </w:t>
            </w:r>
            <w:r w:rsidRPr="0016774F">
              <w:rPr>
                <w:rFonts w:cs="Arial"/>
                <w:sz w:val="16"/>
                <w:szCs w:val="16"/>
              </w:rPr>
              <w:t>Strengthened cooperation mechanisms and programs tailored to the needs of developing countries and LDCs</w:t>
            </w:r>
          </w:p>
          <w:p w:rsidR="00B03EDF" w:rsidRPr="0016774F" w:rsidRDefault="00B03EDF" w:rsidP="00C1753F">
            <w:pPr>
              <w:keepNext/>
              <w:keepLines/>
              <w:rPr>
                <w:rFonts w:cs="Arial"/>
                <w:sz w:val="16"/>
                <w:szCs w:val="16"/>
              </w:rPr>
            </w:pPr>
          </w:p>
        </w:tc>
        <w:tc>
          <w:tcPr>
            <w:tcW w:w="2163" w:type="pct"/>
            <w:tcBorders>
              <w:top w:val="nil"/>
              <w:bottom w:val="nil"/>
            </w:tcBorders>
            <w:shd w:val="clear" w:color="auto" w:fill="auto"/>
            <w:tcMar>
              <w:top w:w="113" w:type="dxa"/>
              <w:bottom w:w="57" w:type="dxa"/>
            </w:tcMar>
          </w:tcPr>
          <w:p w:rsidR="00B03EDF" w:rsidRPr="0016774F" w:rsidRDefault="00B03EDF" w:rsidP="00C1753F">
            <w:pPr>
              <w:keepNext/>
              <w:keepLines/>
              <w:rPr>
                <w:rFonts w:cs="Arial"/>
                <w:sz w:val="16"/>
                <w:szCs w:val="16"/>
              </w:rPr>
            </w:pPr>
            <w:r w:rsidRPr="0016774F">
              <w:rPr>
                <w:rFonts w:cs="Arial"/>
                <w:sz w:val="16"/>
                <w:szCs w:val="16"/>
              </w:rPr>
              <w:t>No. of new or strengthened cooperation mechanisms, programs or partnerships supported to promote/strengthen sub-regional or regional cooperation in IP</w:t>
            </w:r>
          </w:p>
        </w:tc>
        <w:tc>
          <w:tcPr>
            <w:tcW w:w="772" w:type="pct"/>
            <w:tcBorders>
              <w:top w:val="nil"/>
              <w:bottom w:val="nil"/>
            </w:tcBorders>
            <w:shd w:val="clear" w:color="auto" w:fill="FFFFFF"/>
            <w:tcMar>
              <w:top w:w="113" w:type="dxa"/>
              <w:bottom w:w="57" w:type="dxa"/>
            </w:tcMar>
          </w:tcPr>
          <w:p w:rsidR="00B03EDF" w:rsidRPr="0016774F" w:rsidRDefault="00B03EDF" w:rsidP="00C1753F">
            <w:pPr>
              <w:jc w:val="right"/>
              <w:rPr>
                <w:rFonts w:cs="Arial"/>
                <w:sz w:val="16"/>
                <w:szCs w:val="16"/>
                <w:lang w:bidi="th-TH"/>
              </w:rPr>
            </w:pPr>
            <w:r w:rsidRPr="0016774F">
              <w:rPr>
                <w:rFonts w:cs="Arial"/>
                <w:sz w:val="16"/>
                <w:szCs w:val="16"/>
                <w:lang w:bidi="th-TH"/>
              </w:rPr>
              <w:t>Program 9</w:t>
            </w:r>
          </w:p>
        </w:tc>
        <w:tc>
          <w:tcPr>
            <w:tcW w:w="521" w:type="pct"/>
            <w:tcBorders>
              <w:top w:val="nil"/>
              <w:bottom w:val="nil"/>
              <w:right w:val="single" w:sz="4" w:space="0" w:color="auto"/>
            </w:tcBorders>
            <w:shd w:val="clear" w:color="auto" w:fill="FFFFFF"/>
          </w:tcPr>
          <w:p w:rsidR="00B03EDF" w:rsidRDefault="00B03EDF" w:rsidP="00C1753F">
            <w:pPr>
              <w:jc w:val="center"/>
            </w:pP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p>
        </w:tc>
      </w:tr>
      <w:tr w:rsidR="00B03EDF" w:rsidRPr="0016774F" w:rsidTr="00C1753F">
        <w:trPr>
          <w:cantSplit/>
          <w:trHeight w:val="463"/>
        </w:trPr>
        <w:tc>
          <w:tcPr>
            <w:tcW w:w="1544" w:type="pct"/>
            <w:tcBorders>
              <w:top w:val="nil"/>
              <w:left w:val="single" w:sz="4" w:space="0" w:color="auto"/>
              <w:bottom w:val="nil"/>
            </w:tcBorders>
            <w:shd w:val="clear" w:color="auto" w:fill="auto"/>
            <w:tcMar>
              <w:top w:w="113" w:type="dxa"/>
              <w:bottom w:w="57" w:type="dxa"/>
            </w:tcMar>
          </w:tcPr>
          <w:p w:rsidR="00B03EDF" w:rsidRPr="0016774F" w:rsidRDefault="00B03EDF" w:rsidP="00C1753F">
            <w:pPr>
              <w:rPr>
                <w:rFonts w:cs="Arial"/>
                <w:sz w:val="16"/>
                <w:szCs w:val="16"/>
              </w:rPr>
            </w:pPr>
          </w:p>
        </w:tc>
        <w:tc>
          <w:tcPr>
            <w:tcW w:w="2163" w:type="pct"/>
            <w:tcBorders>
              <w:top w:val="nil"/>
              <w:bottom w:val="nil"/>
            </w:tcBorders>
            <w:shd w:val="clear" w:color="auto" w:fill="auto"/>
            <w:tcMar>
              <w:top w:w="113" w:type="dxa"/>
              <w:bottom w:w="57" w:type="dxa"/>
            </w:tcMar>
          </w:tcPr>
          <w:p w:rsidR="00B03EDF" w:rsidRPr="0016774F" w:rsidRDefault="00B03EDF" w:rsidP="00C1753F">
            <w:pPr>
              <w:keepNext/>
              <w:keepLines/>
              <w:rPr>
                <w:rFonts w:cs="Arial"/>
                <w:sz w:val="16"/>
                <w:szCs w:val="16"/>
              </w:rPr>
            </w:pPr>
            <w:r w:rsidRPr="0016774F">
              <w:rPr>
                <w:rFonts w:cs="Arial"/>
                <w:sz w:val="16"/>
                <w:szCs w:val="16"/>
              </w:rPr>
              <w:t>No. of established partnerships where the party offering assistance originates from a developed country</w:t>
            </w:r>
          </w:p>
        </w:tc>
        <w:tc>
          <w:tcPr>
            <w:tcW w:w="772" w:type="pct"/>
            <w:tcBorders>
              <w:top w:val="nil"/>
              <w:bottom w:val="nil"/>
            </w:tcBorders>
            <w:shd w:val="clear" w:color="auto" w:fill="FFFFFF"/>
            <w:tcMar>
              <w:top w:w="113" w:type="dxa"/>
              <w:bottom w:w="57" w:type="dxa"/>
            </w:tcMar>
          </w:tcPr>
          <w:p w:rsidR="00B03EDF" w:rsidRPr="00AF5E7C" w:rsidRDefault="00B03EDF" w:rsidP="00C1753F">
            <w:pPr>
              <w:jc w:val="right"/>
              <w:rPr>
                <w:rFonts w:cs="Arial"/>
                <w:sz w:val="16"/>
                <w:szCs w:val="16"/>
                <w:lang w:bidi="th-TH"/>
              </w:rPr>
            </w:pPr>
            <w:r w:rsidRPr="0016774F">
              <w:rPr>
                <w:rFonts w:cs="Arial"/>
                <w:sz w:val="16"/>
                <w:szCs w:val="16"/>
                <w:lang w:bidi="th-TH"/>
              </w:rPr>
              <w:t>Program 10</w:t>
            </w:r>
          </w:p>
        </w:tc>
        <w:tc>
          <w:tcPr>
            <w:tcW w:w="521" w:type="pct"/>
            <w:tcBorders>
              <w:top w:val="nil"/>
              <w:bottom w:val="nil"/>
              <w:right w:val="single" w:sz="4" w:space="0" w:color="auto"/>
            </w:tcBorders>
            <w:shd w:val="clear" w:color="auto" w:fill="FFFFFF"/>
          </w:tcPr>
          <w:p w:rsidR="00B03EDF" w:rsidRDefault="00B03EDF" w:rsidP="00C1753F">
            <w:pPr>
              <w:jc w:val="center"/>
            </w:pPr>
            <w:r w:rsidRPr="005F33CE">
              <w:rPr>
                <w:rFonts w:cs="Arial"/>
                <w:color w:val="008000"/>
                <w:sz w:val="22"/>
                <w:szCs w:val="22"/>
              </w:rPr>
              <w:sym w:font="Wingdings" w:char="F06C"/>
            </w:r>
            <w:r w:rsidRPr="005F33CE">
              <w:rPr>
                <w:rFonts w:cs="Arial"/>
                <w:color w:val="FF0000"/>
                <w:sz w:val="22"/>
                <w:szCs w:val="22"/>
              </w:rPr>
              <w:sym w:font="Wingdings" w:char="F06C"/>
            </w:r>
          </w:p>
        </w:tc>
      </w:tr>
      <w:tr w:rsidR="00B03EDF" w:rsidRPr="0016774F" w:rsidTr="00C1753F">
        <w:trPr>
          <w:cantSplit/>
          <w:trHeight w:val="463"/>
        </w:trPr>
        <w:tc>
          <w:tcPr>
            <w:tcW w:w="1544" w:type="pct"/>
            <w:tcBorders>
              <w:top w:val="nil"/>
              <w:left w:val="single" w:sz="4" w:space="0" w:color="auto"/>
              <w:bottom w:val="nil"/>
            </w:tcBorders>
            <w:shd w:val="clear" w:color="auto" w:fill="auto"/>
            <w:tcMar>
              <w:top w:w="113" w:type="dxa"/>
              <w:bottom w:w="57" w:type="dxa"/>
            </w:tcMar>
          </w:tcPr>
          <w:p w:rsidR="00B03EDF" w:rsidRPr="00534297" w:rsidRDefault="00B03EDF" w:rsidP="00C1753F">
            <w:pPr>
              <w:keepNext/>
              <w:keepLines/>
              <w:rPr>
                <w:rFonts w:cs="Arial"/>
                <w:sz w:val="16"/>
                <w:szCs w:val="16"/>
              </w:rPr>
            </w:pPr>
            <w:r>
              <w:rPr>
                <w:rFonts w:cs="Arial"/>
                <w:sz w:val="16"/>
                <w:szCs w:val="16"/>
              </w:rPr>
              <w:t>III.5</w:t>
            </w:r>
            <w:r w:rsidRPr="00534297">
              <w:rPr>
                <w:rFonts w:cs="Arial"/>
                <w:sz w:val="16"/>
                <w:szCs w:val="16"/>
              </w:rPr>
              <w:t xml:space="preserve"> Enhanced understanding of the DA by Member States, IGOs, civil society and other stakeholders</w:t>
            </w:r>
          </w:p>
        </w:tc>
        <w:tc>
          <w:tcPr>
            <w:tcW w:w="2163" w:type="pct"/>
            <w:tcBorders>
              <w:top w:val="nil"/>
              <w:bottom w:val="nil"/>
            </w:tcBorders>
            <w:shd w:val="clear" w:color="auto" w:fill="auto"/>
            <w:tcMar>
              <w:top w:w="113" w:type="dxa"/>
              <w:bottom w:w="57" w:type="dxa"/>
            </w:tcMar>
          </w:tcPr>
          <w:p w:rsidR="00B03EDF" w:rsidRPr="0016774F" w:rsidRDefault="00B03EDF" w:rsidP="00C1753F">
            <w:pPr>
              <w:keepNext/>
              <w:keepLines/>
              <w:rPr>
                <w:rFonts w:cs="Arial"/>
                <w:sz w:val="16"/>
                <w:szCs w:val="16"/>
              </w:rPr>
            </w:pPr>
            <w:r w:rsidRPr="007A2BFD">
              <w:rPr>
                <w:rFonts w:cs="Arial"/>
                <w:sz w:val="16"/>
                <w:szCs w:val="16"/>
              </w:rPr>
              <w:t>No. of countries requesting technical assistance through DA projects and expressing interest in DA related activities</w:t>
            </w:r>
          </w:p>
        </w:tc>
        <w:tc>
          <w:tcPr>
            <w:tcW w:w="772" w:type="pct"/>
            <w:tcBorders>
              <w:top w:val="nil"/>
              <w:bottom w:val="nil"/>
            </w:tcBorders>
            <w:shd w:val="clear" w:color="auto" w:fill="FFFFFF"/>
            <w:tcMar>
              <w:top w:w="113" w:type="dxa"/>
              <w:bottom w:w="57" w:type="dxa"/>
            </w:tcMar>
          </w:tcPr>
          <w:p w:rsidR="00B03EDF" w:rsidRPr="0016774F" w:rsidRDefault="00B03EDF" w:rsidP="00C1753F">
            <w:pPr>
              <w:jc w:val="right"/>
              <w:rPr>
                <w:rFonts w:cs="Arial"/>
                <w:sz w:val="16"/>
                <w:szCs w:val="16"/>
                <w:lang w:bidi="th-TH"/>
              </w:rPr>
            </w:pPr>
            <w:r w:rsidRPr="0016774F">
              <w:rPr>
                <w:rFonts w:cs="Arial"/>
                <w:sz w:val="16"/>
                <w:szCs w:val="16"/>
                <w:lang w:bidi="th-TH"/>
              </w:rPr>
              <w:t>Program 8</w:t>
            </w:r>
          </w:p>
        </w:tc>
        <w:tc>
          <w:tcPr>
            <w:tcW w:w="521" w:type="pct"/>
            <w:tcBorders>
              <w:top w:val="nil"/>
              <w:bottom w:val="nil"/>
              <w:right w:val="single" w:sz="4" w:space="0" w:color="auto"/>
            </w:tcBorders>
            <w:shd w:val="clear" w:color="auto" w:fill="FFFFFF"/>
          </w:tcPr>
          <w:p w:rsidR="00B03EDF" w:rsidRDefault="00B03EDF" w:rsidP="00C1753F">
            <w:pPr>
              <w:jc w:val="center"/>
            </w:pPr>
            <w:r w:rsidRPr="005F33CE">
              <w:rPr>
                <w:rFonts w:cs="Arial"/>
                <w:color w:val="008000"/>
                <w:sz w:val="22"/>
                <w:szCs w:val="22"/>
              </w:rPr>
              <w:sym w:font="Wingdings" w:char="F06C"/>
            </w:r>
          </w:p>
        </w:tc>
      </w:tr>
      <w:tr w:rsidR="00B03EDF" w:rsidRPr="0016774F" w:rsidTr="00C1753F">
        <w:trPr>
          <w:cantSplit/>
          <w:trHeight w:val="463"/>
        </w:trPr>
        <w:tc>
          <w:tcPr>
            <w:tcW w:w="1544" w:type="pct"/>
            <w:tcBorders>
              <w:top w:val="nil"/>
              <w:left w:val="single" w:sz="4" w:space="0" w:color="auto"/>
              <w:bottom w:val="nil"/>
            </w:tcBorders>
            <w:shd w:val="clear" w:color="auto" w:fill="auto"/>
            <w:tcMar>
              <w:top w:w="113" w:type="dxa"/>
              <w:bottom w:w="57" w:type="dxa"/>
            </w:tcMar>
          </w:tcPr>
          <w:p w:rsidR="00B03EDF" w:rsidRPr="0016774F" w:rsidRDefault="00B03EDF" w:rsidP="00C1753F">
            <w:pPr>
              <w:rPr>
                <w:rFonts w:cs="Arial"/>
                <w:sz w:val="16"/>
                <w:szCs w:val="16"/>
              </w:rPr>
            </w:pPr>
          </w:p>
        </w:tc>
        <w:tc>
          <w:tcPr>
            <w:tcW w:w="2163" w:type="pct"/>
            <w:tcBorders>
              <w:top w:val="nil"/>
              <w:bottom w:val="nil"/>
            </w:tcBorders>
            <w:shd w:val="clear" w:color="auto" w:fill="auto"/>
            <w:tcMar>
              <w:top w:w="113" w:type="dxa"/>
              <w:bottom w:w="57" w:type="dxa"/>
            </w:tcMar>
          </w:tcPr>
          <w:p w:rsidR="00B03EDF" w:rsidRPr="00534297" w:rsidRDefault="00B03EDF" w:rsidP="00C1753F">
            <w:pPr>
              <w:keepNext/>
              <w:keepLines/>
              <w:rPr>
                <w:rFonts w:cs="Arial"/>
                <w:sz w:val="16"/>
                <w:szCs w:val="16"/>
              </w:rPr>
            </w:pPr>
            <w:r w:rsidRPr="00534297">
              <w:rPr>
                <w:rFonts w:cs="Arial"/>
                <w:sz w:val="16"/>
                <w:szCs w:val="16"/>
              </w:rPr>
              <w:t>% of participants in WIPO meetings (Member States, IGOs, civil society and other stakeholders) satisfied with information received on the DA recommendations</w:t>
            </w:r>
          </w:p>
        </w:tc>
        <w:tc>
          <w:tcPr>
            <w:tcW w:w="772" w:type="pct"/>
            <w:tcBorders>
              <w:top w:val="nil"/>
              <w:bottom w:val="nil"/>
            </w:tcBorders>
            <w:shd w:val="clear" w:color="auto" w:fill="FFFFFF"/>
            <w:tcMar>
              <w:top w:w="113" w:type="dxa"/>
              <w:bottom w:w="57" w:type="dxa"/>
            </w:tcMar>
          </w:tcPr>
          <w:p w:rsidR="00B03EDF" w:rsidRPr="0016774F" w:rsidRDefault="00B03EDF" w:rsidP="00C1753F">
            <w:pPr>
              <w:jc w:val="right"/>
              <w:rPr>
                <w:rFonts w:cs="Arial"/>
                <w:sz w:val="16"/>
                <w:szCs w:val="16"/>
                <w:lang w:bidi="th-TH"/>
              </w:rPr>
            </w:pPr>
            <w:r w:rsidRPr="0016774F">
              <w:rPr>
                <w:rFonts w:cs="Arial"/>
                <w:sz w:val="16"/>
                <w:szCs w:val="16"/>
                <w:lang w:bidi="th-TH"/>
              </w:rPr>
              <w:t>Program 8</w:t>
            </w:r>
          </w:p>
        </w:tc>
        <w:tc>
          <w:tcPr>
            <w:tcW w:w="521" w:type="pct"/>
            <w:tcBorders>
              <w:top w:val="nil"/>
              <w:bottom w:val="nil"/>
              <w:right w:val="single" w:sz="4" w:space="0" w:color="auto"/>
            </w:tcBorders>
            <w:shd w:val="clear" w:color="auto" w:fill="FFFFFF"/>
          </w:tcPr>
          <w:p w:rsidR="00B03EDF" w:rsidRDefault="00B03EDF" w:rsidP="00C1753F">
            <w:pPr>
              <w:jc w:val="center"/>
            </w:pPr>
            <w:r w:rsidRPr="00973579">
              <w:rPr>
                <w:rFonts w:cs="Arial"/>
                <w:color w:val="0070C0"/>
                <w:sz w:val="22"/>
                <w:szCs w:val="22"/>
              </w:rPr>
              <w:sym w:font="Wingdings" w:char="F06C"/>
            </w:r>
          </w:p>
        </w:tc>
      </w:tr>
      <w:tr w:rsidR="00B03EDF" w:rsidRPr="0016774F" w:rsidTr="00C1753F">
        <w:trPr>
          <w:cantSplit/>
          <w:trHeight w:val="463"/>
        </w:trPr>
        <w:tc>
          <w:tcPr>
            <w:tcW w:w="1544" w:type="pct"/>
            <w:tcBorders>
              <w:top w:val="nil"/>
              <w:left w:val="single" w:sz="4" w:space="0" w:color="auto"/>
              <w:bottom w:val="single" w:sz="4" w:space="0" w:color="auto"/>
            </w:tcBorders>
            <w:shd w:val="clear" w:color="auto" w:fill="auto"/>
            <w:tcMar>
              <w:top w:w="113" w:type="dxa"/>
              <w:bottom w:w="57" w:type="dxa"/>
            </w:tcMar>
          </w:tcPr>
          <w:p w:rsidR="00B03EDF" w:rsidRPr="0016774F" w:rsidRDefault="00B03EDF" w:rsidP="00C1753F">
            <w:pPr>
              <w:rPr>
                <w:rFonts w:cs="Arial"/>
                <w:sz w:val="16"/>
                <w:szCs w:val="16"/>
              </w:rPr>
            </w:pPr>
            <w:r>
              <w:rPr>
                <w:rFonts w:cs="Arial"/>
                <w:sz w:val="16"/>
                <w:szCs w:val="16"/>
              </w:rPr>
              <w:t>III.6</w:t>
            </w:r>
            <w:r w:rsidRPr="00603EFF">
              <w:rPr>
                <w:rFonts w:cs="Arial"/>
                <w:sz w:val="16"/>
                <w:szCs w:val="16"/>
              </w:rPr>
              <w:t xml:space="preserve"> Increased capacity of SMEs to successfully use IP to support innovation</w:t>
            </w:r>
          </w:p>
        </w:tc>
        <w:tc>
          <w:tcPr>
            <w:tcW w:w="2163" w:type="pct"/>
            <w:tcBorders>
              <w:top w:val="nil"/>
              <w:bottom w:val="single" w:sz="4" w:space="0" w:color="auto"/>
            </w:tcBorders>
            <w:shd w:val="clear" w:color="auto" w:fill="auto"/>
            <w:tcMar>
              <w:top w:w="113" w:type="dxa"/>
              <w:bottom w:w="57" w:type="dxa"/>
            </w:tcMar>
          </w:tcPr>
          <w:p w:rsidR="00B03EDF" w:rsidRDefault="00B03EDF" w:rsidP="00C1753F">
            <w:pPr>
              <w:rPr>
                <w:rFonts w:cs="Arial"/>
                <w:sz w:val="16"/>
                <w:szCs w:val="16"/>
                <w:lang w:bidi="th-TH"/>
              </w:rPr>
            </w:pPr>
            <w:r w:rsidRPr="00DC0B8E">
              <w:rPr>
                <w:rFonts w:cs="Arial"/>
                <w:sz w:val="16"/>
                <w:szCs w:val="16"/>
              </w:rPr>
              <w:t xml:space="preserve">% of participants in </w:t>
            </w:r>
            <w:r>
              <w:rPr>
                <w:rFonts w:cs="Arial"/>
                <w:sz w:val="16"/>
                <w:szCs w:val="16"/>
              </w:rPr>
              <w:t xml:space="preserve">training programs targeting  SME support institutions </w:t>
            </w:r>
            <w:r w:rsidRPr="00DC0B8E">
              <w:rPr>
                <w:rFonts w:cs="Arial"/>
                <w:sz w:val="16"/>
                <w:szCs w:val="16"/>
              </w:rPr>
              <w:t>who express satisfaction with the content and organization of the</w:t>
            </w:r>
            <w:r>
              <w:rPr>
                <w:rFonts w:cs="Arial"/>
                <w:sz w:val="16"/>
                <w:szCs w:val="16"/>
              </w:rPr>
              <w:t>se</w:t>
            </w:r>
            <w:r w:rsidRPr="00DC0B8E">
              <w:rPr>
                <w:rFonts w:cs="Arial"/>
                <w:sz w:val="16"/>
                <w:szCs w:val="16"/>
              </w:rPr>
              <w:t xml:space="preserve"> events</w:t>
            </w:r>
          </w:p>
          <w:p w:rsidR="00B03EDF" w:rsidRPr="00534297" w:rsidRDefault="00B03EDF" w:rsidP="00C1753F">
            <w:pPr>
              <w:rPr>
                <w:rFonts w:cs="Arial"/>
                <w:sz w:val="16"/>
                <w:szCs w:val="16"/>
              </w:rPr>
            </w:pPr>
          </w:p>
        </w:tc>
        <w:tc>
          <w:tcPr>
            <w:tcW w:w="772" w:type="pct"/>
            <w:tcBorders>
              <w:top w:val="nil"/>
              <w:bottom w:val="single" w:sz="4" w:space="0" w:color="auto"/>
            </w:tcBorders>
            <w:shd w:val="clear" w:color="auto" w:fill="FFFFFF"/>
            <w:tcMar>
              <w:top w:w="113" w:type="dxa"/>
              <w:bottom w:w="57" w:type="dxa"/>
            </w:tcMar>
          </w:tcPr>
          <w:p w:rsidR="00B03EDF" w:rsidRDefault="00B03EDF" w:rsidP="00C1753F">
            <w:pPr>
              <w:jc w:val="right"/>
              <w:rPr>
                <w:rFonts w:cs="Arial"/>
                <w:sz w:val="16"/>
                <w:szCs w:val="16"/>
                <w:lang w:bidi="th-TH"/>
              </w:rPr>
            </w:pPr>
            <w:r>
              <w:rPr>
                <w:rFonts w:cs="Arial"/>
                <w:sz w:val="16"/>
                <w:szCs w:val="16"/>
                <w:lang w:bidi="th-TH"/>
              </w:rPr>
              <w:t>Program 10</w:t>
            </w:r>
          </w:p>
          <w:p w:rsidR="00B03EDF" w:rsidRPr="0016774F" w:rsidRDefault="00B03EDF" w:rsidP="00C1753F">
            <w:pPr>
              <w:ind w:left="551"/>
              <w:jc w:val="right"/>
              <w:rPr>
                <w:rFonts w:cs="Arial"/>
                <w:sz w:val="16"/>
                <w:szCs w:val="16"/>
                <w:lang w:bidi="th-TH"/>
              </w:rPr>
            </w:pPr>
          </w:p>
        </w:tc>
        <w:tc>
          <w:tcPr>
            <w:tcW w:w="521" w:type="pct"/>
            <w:tcBorders>
              <w:top w:val="nil"/>
              <w:bottom w:val="single" w:sz="4" w:space="0" w:color="auto"/>
              <w:right w:val="single" w:sz="4" w:space="0" w:color="auto"/>
            </w:tcBorders>
            <w:shd w:val="clear" w:color="auto" w:fill="FFFFFF"/>
          </w:tcPr>
          <w:p w:rsidR="00B03EDF" w:rsidRPr="00F718E6" w:rsidRDefault="00B03EDF" w:rsidP="00C1753F">
            <w:pPr>
              <w:jc w:val="center"/>
              <w:rPr>
                <w:rFonts w:cs="Arial"/>
                <w:color w:val="A6A6A6" w:themeColor="background1" w:themeShade="A6"/>
                <w:sz w:val="22"/>
                <w:szCs w:val="22"/>
              </w:rPr>
            </w:pPr>
            <w:r w:rsidRPr="005F33CE">
              <w:rPr>
                <w:rFonts w:cs="Arial"/>
                <w:color w:val="008000"/>
                <w:sz w:val="22"/>
                <w:szCs w:val="22"/>
              </w:rPr>
              <w:sym w:font="Wingdings" w:char="F06C"/>
            </w:r>
          </w:p>
        </w:tc>
      </w:tr>
      <w:tr w:rsidR="00B03EDF" w:rsidRPr="0016774F" w:rsidTr="00C1753F">
        <w:trPr>
          <w:cantSplit/>
          <w:trHeight w:val="463"/>
        </w:trPr>
        <w:tc>
          <w:tcPr>
            <w:tcW w:w="1544" w:type="pct"/>
            <w:tcBorders>
              <w:top w:val="single" w:sz="4" w:space="0" w:color="auto"/>
              <w:left w:val="single" w:sz="4" w:space="0" w:color="auto"/>
              <w:bottom w:val="nil"/>
            </w:tcBorders>
            <w:shd w:val="clear" w:color="auto" w:fill="auto"/>
            <w:tcMar>
              <w:top w:w="113" w:type="dxa"/>
              <w:bottom w:w="57" w:type="dxa"/>
            </w:tcMar>
          </w:tcPr>
          <w:p w:rsidR="00B03EDF" w:rsidRPr="0016774F" w:rsidRDefault="00B03EDF" w:rsidP="00845557">
            <w:pPr>
              <w:keepNext/>
              <w:keepLines/>
              <w:rPr>
                <w:rFonts w:cs="Arial"/>
                <w:sz w:val="16"/>
                <w:szCs w:val="16"/>
              </w:rPr>
            </w:pPr>
          </w:p>
        </w:tc>
        <w:tc>
          <w:tcPr>
            <w:tcW w:w="2163" w:type="pct"/>
            <w:tcBorders>
              <w:top w:val="single" w:sz="4" w:space="0" w:color="auto"/>
              <w:bottom w:val="nil"/>
            </w:tcBorders>
            <w:shd w:val="clear" w:color="auto" w:fill="auto"/>
            <w:tcMar>
              <w:top w:w="113" w:type="dxa"/>
              <w:bottom w:w="57" w:type="dxa"/>
            </w:tcMar>
          </w:tcPr>
          <w:p w:rsidR="00B03EDF" w:rsidRDefault="00B03EDF" w:rsidP="00845557">
            <w:pPr>
              <w:keepNext/>
              <w:keepLines/>
              <w:rPr>
                <w:rFonts w:cs="Arial"/>
                <w:sz w:val="16"/>
                <w:szCs w:val="16"/>
              </w:rPr>
            </w:pPr>
            <w:r w:rsidRPr="0022507F">
              <w:rPr>
                <w:rFonts w:cs="Arial"/>
                <w:sz w:val="16"/>
                <w:szCs w:val="16"/>
                <w:lang w:bidi="th-TH"/>
              </w:rPr>
              <w:t xml:space="preserve">% of </w:t>
            </w:r>
            <w:r>
              <w:rPr>
                <w:rFonts w:cs="Arial"/>
                <w:sz w:val="16"/>
                <w:szCs w:val="16"/>
                <w:lang w:bidi="th-TH"/>
              </w:rPr>
              <w:t xml:space="preserve">trained </w:t>
            </w:r>
            <w:r w:rsidRPr="0022507F">
              <w:rPr>
                <w:rFonts w:cs="Arial"/>
                <w:sz w:val="16"/>
                <w:szCs w:val="16"/>
                <w:lang w:bidi="th-TH"/>
              </w:rPr>
              <w:t>SME support institutions who provide information, support and advisory/consulting services on IP asset management</w:t>
            </w:r>
          </w:p>
          <w:p w:rsidR="00B03EDF" w:rsidRPr="00534297" w:rsidRDefault="00B03EDF" w:rsidP="00845557">
            <w:pPr>
              <w:keepNext/>
              <w:keepLines/>
              <w:rPr>
                <w:rFonts w:cs="Arial"/>
                <w:sz w:val="16"/>
                <w:szCs w:val="16"/>
              </w:rPr>
            </w:pPr>
          </w:p>
        </w:tc>
        <w:tc>
          <w:tcPr>
            <w:tcW w:w="772" w:type="pct"/>
            <w:tcBorders>
              <w:top w:val="single" w:sz="4" w:space="0" w:color="auto"/>
              <w:bottom w:val="nil"/>
            </w:tcBorders>
            <w:shd w:val="clear" w:color="auto" w:fill="FFFFFF"/>
            <w:tcMar>
              <w:top w:w="113" w:type="dxa"/>
              <w:bottom w:w="57" w:type="dxa"/>
            </w:tcMar>
          </w:tcPr>
          <w:p w:rsidR="00B03EDF" w:rsidRDefault="00B03EDF" w:rsidP="00845557">
            <w:pPr>
              <w:keepNext/>
              <w:keepLines/>
              <w:jc w:val="right"/>
              <w:rPr>
                <w:rFonts w:cs="Arial"/>
                <w:sz w:val="16"/>
                <w:szCs w:val="16"/>
                <w:lang w:bidi="th-TH"/>
              </w:rPr>
            </w:pPr>
            <w:r>
              <w:rPr>
                <w:rFonts w:cs="Arial"/>
                <w:sz w:val="16"/>
                <w:szCs w:val="16"/>
                <w:lang w:bidi="th-TH"/>
              </w:rPr>
              <w:t>Program 10</w:t>
            </w:r>
          </w:p>
          <w:p w:rsidR="00B03EDF" w:rsidRPr="0016774F" w:rsidRDefault="00B03EDF" w:rsidP="00845557">
            <w:pPr>
              <w:keepNext/>
              <w:keepLines/>
              <w:ind w:left="551"/>
              <w:jc w:val="right"/>
              <w:rPr>
                <w:rFonts w:cs="Arial"/>
                <w:sz w:val="16"/>
                <w:szCs w:val="16"/>
                <w:lang w:bidi="th-TH"/>
              </w:rPr>
            </w:pPr>
          </w:p>
        </w:tc>
        <w:tc>
          <w:tcPr>
            <w:tcW w:w="521" w:type="pct"/>
            <w:tcBorders>
              <w:top w:val="single" w:sz="4" w:space="0" w:color="auto"/>
              <w:bottom w:val="nil"/>
              <w:right w:val="single" w:sz="4" w:space="0" w:color="auto"/>
            </w:tcBorders>
            <w:shd w:val="clear" w:color="auto" w:fill="FFFFFF"/>
          </w:tcPr>
          <w:p w:rsidR="00B03EDF" w:rsidRPr="00F718E6" w:rsidRDefault="00B03EDF" w:rsidP="00845557">
            <w:pPr>
              <w:keepNext/>
              <w:keepLines/>
              <w:jc w:val="center"/>
              <w:rPr>
                <w:rFonts w:cs="Arial"/>
                <w:color w:val="A6A6A6" w:themeColor="background1" w:themeShade="A6"/>
                <w:sz w:val="22"/>
                <w:szCs w:val="22"/>
              </w:rPr>
            </w:pPr>
            <w:r w:rsidRPr="005F33CE">
              <w:rPr>
                <w:rFonts w:cs="Arial"/>
                <w:color w:val="008000"/>
                <w:sz w:val="22"/>
                <w:szCs w:val="22"/>
              </w:rPr>
              <w:sym w:font="Wingdings" w:char="F06C"/>
            </w:r>
          </w:p>
        </w:tc>
      </w:tr>
      <w:tr w:rsidR="00B03EDF" w:rsidRPr="0016774F" w:rsidTr="00C1753F">
        <w:trPr>
          <w:cantSplit/>
          <w:trHeight w:val="463"/>
        </w:trPr>
        <w:tc>
          <w:tcPr>
            <w:tcW w:w="1544" w:type="pct"/>
            <w:tcBorders>
              <w:top w:val="nil"/>
              <w:left w:val="single" w:sz="4" w:space="0" w:color="auto"/>
              <w:bottom w:val="nil"/>
            </w:tcBorders>
            <w:shd w:val="clear" w:color="auto" w:fill="auto"/>
            <w:tcMar>
              <w:top w:w="113" w:type="dxa"/>
              <w:bottom w:w="57" w:type="dxa"/>
            </w:tcMar>
          </w:tcPr>
          <w:p w:rsidR="00B03EDF" w:rsidRPr="0016774F" w:rsidRDefault="00B03EDF" w:rsidP="00845557">
            <w:pPr>
              <w:keepNext/>
              <w:keepLines/>
              <w:rPr>
                <w:rFonts w:cs="Arial"/>
                <w:sz w:val="16"/>
                <w:szCs w:val="16"/>
              </w:rPr>
            </w:pPr>
          </w:p>
        </w:tc>
        <w:tc>
          <w:tcPr>
            <w:tcW w:w="2163" w:type="pct"/>
            <w:tcBorders>
              <w:top w:val="nil"/>
              <w:bottom w:val="nil"/>
            </w:tcBorders>
            <w:shd w:val="clear" w:color="auto" w:fill="auto"/>
            <w:tcMar>
              <w:top w:w="113" w:type="dxa"/>
              <w:bottom w:w="57" w:type="dxa"/>
            </w:tcMar>
          </w:tcPr>
          <w:p w:rsidR="00B03EDF" w:rsidRDefault="00B03EDF" w:rsidP="00845557">
            <w:pPr>
              <w:keepNext/>
              <w:keepLines/>
              <w:rPr>
                <w:rFonts w:cs="Arial"/>
                <w:sz w:val="16"/>
                <w:szCs w:val="16"/>
              </w:rPr>
            </w:pPr>
            <w:r>
              <w:rPr>
                <w:rFonts w:cs="Arial"/>
                <w:sz w:val="16"/>
                <w:szCs w:val="16"/>
              </w:rPr>
              <w:t>No.</w:t>
            </w:r>
            <w:r w:rsidRPr="008B3B36">
              <w:rPr>
                <w:rFonts w:cs="Arial"/>
                <w:sz w:val="16"/>
                <w:szCs w:val="16"/>
              </w:rPr>
              <w:t xml:space="preserve"> of countries </w:t>
            </w:r>
            <w:r>
              <w:rPr>
                <w:rFonts w:cs="Arial"/>
                <w:sz w:val="16"/>
                <w:szCs w:val="16"/>
              </w:rPr>
              <w:t xml:space="preserve">having established </w:t>
            </w:r>
            <w:r w:rsidRPr="008B3B36">
              <w:rPr>
                <w:rFonts w:cs="Arial"/>
                <w:sz w:val="16"/>
                <w:szCs w:val="16"/>
              </w:rPr>
              <w:t xml:space="preserve">IP training </w:t>
            </w:r>
            <w:r w:rsidRPr="00556E80">
              <w:rPr>
                <w:rFonts w:cs="Arial"/>
                <w:sz w:val="16"/>
                <w:szCs w:val="16"/>
              </w:rPr>
              <w:t>programs for SMEs</w:t>
            </w:r>
          </w:p>
          <w:p w:rsidR="00B03EDF" w:rsidRPr="00534297" w:rsidRDefault="00B03EDF" w:rsidP="00845557">
            <w:pPr>
              <w:keepNext/>
              <w:keepLines/>
              <w:rPr>
                <w:rFonts w:cs="Arial"/>
                <w:sz w:val="16"/>
                <w:szCs w:val="16"/>
              </w:rPr>
            </w:pPr>
          </w:p>
        </w:tc>
        <w:tc>
          <w:tcPr>
            <w:tcW w:w="772" w:type="pct"/>
            <w:tcBorders>
              <w:top w:val="nil"/>
              <w:bottom w:val="nil"/>
            </w:tcBorders>
            <w:shd w:val="clear" w:color="auto" w:fill="FFFFFF"/>
            <w:tcMar>
              <w:top w:w="113" w:type="dxa"/>
              <w:bottom w:w="57" w:type="dxa"/>
            </w:tcMar>
          </w:tcPr>
          <w:p w:rsidR="00B03EDF" w:rsidRDefault="00B03EDF" w:rsidP="00845557">
            <w:pPr>
              <w:keepNext/>
              <w:keepLines/>
              <w:jc w:val="right"/>
              <w:rPr>
                <w:rFonts w:cs="Arial"/>
                <w:sz w:val="16"/>
                <w:szCs w:val="16"/>
                <w:lang w:bidi="th-TH"/>
              </w:rPr>
            </w:pPr>
            <w:r>
              <w:rPr>
                <w:rFonts w:cs="Arial"/>
                <w:sz w:val="16"/>
                <w:szCs w:val="16"/>
                <w:lang w:bidi="th-TH"/>
              </w:rPr>
              <w:t>Program 10</w:t>
            </w:r>
          </w:p>
          <w:p w:rsidR="00B03EDF" w:rsidRPr="0016774F" w:rsidRDefault="00B03EDF" w:rsidP="00845557">
            <w:pPr>
              <w:keepNext/>
              <w:keepLines/>
              <w:ind w:left="551"/>
              <w:jc w:val="right"/>
              <w:rPr>
                <w:rFonts w:cs="Arial"/>
                <w:sz w:val="16"/>
                <w:szCs w:val="16"/>
                <w:lang w:bidi="th-TH"/>
              </w:rPr>
            </w:pPr>
          </w:p>
        </w:tc>
        <w:tc>
          <w:tcPr>
            <w:tcW w:w="521" w:type="pct"/>
            <w:tcBorders>
              <w:top w:val="nil"/>
              <w:bottom w:val="nil"/>
              <w:right w:val="single" w:sz="4" w:space="0" w:color="auto"/>
            </w:tcBorders>
            <w:shd w:val="clear" w:color="auto" w:fill="FFFFFF"/>
          </w:tcPr>
          <w:p w:rsidR="00B03EDF" w:rsidRPr="00F718E6" w:rsidRDefault="00B03EDF" w:rsidP="00845557">
            <w:pPr>
              <w:keepNext/>
              <w:keepLines/>
              <w:jc w:val="center"/>
              <w:rPr>
                <w:rFonts w:cs="Arial"/>
                <w:color w:val="A6A6A6" w:themeColor="background1" w:themeShade="A6"/>
                <w:sz w:val="22"/>
                <w:szCs w:val="22"/>
              </w:rPr>
            </w:pPr>
            <w:r w:rsidRPr="005F33CE">
              <w:rPr>
                <w:rFonts w:cs="Arial"/>
                <w:color w:val="008000"/>
                <w:sz w:val="22"/>
                <w:szCs w:val="22"/>
              </w:rPr>
              <w:sym w:font="Wingdings" w:char="F06C"/>
            </w:r>
          </w:p>
        </w:tc>
      </w:tr>
      <w:tr w:rsidR="00B03EDF" w:rsidRPr="0016774F" w:rsidTr="00C1753F">
        <w:trPr>
          <w:cantSplit/>
          <w:trHeight w:val="463"/>
        </w:trPr>
        <w:tc>
          <w:tcPr>
            <w:tcW w:w="1544" w:type="pct"/>
            <w:tcBorders>
              <w:top w:val="nil"/>
              <w:left w:val="single" w:sz="4" w:space="0" w:color="auto"/>
              <w:bottom w:val="nil"/>
            </w:tcBorders>
            <w:shd w:val="clear" w:color="auto" w:fill="auto"/>
            <w:tcMar>
              <w:top w:w="113" w:type="dxa"/>
              <w:bottom w:w="57" w:type="dxa"/>
            </w:tcMar>
          </w:tcPr>
          <w:p w:rsidR="00B03EDF" w:rsidRPr="0016774F" w:rsidRDefault="00B03EDF" w:rsidP="00845557">
            <w:pPr>
              <w:keepNext/>
              <w:keepLines/>
              <w:rPr>
                <w:rFonts w:cs="Arial"/>
                <w:sz w:val="16"/>
                <w:szCs w:val="16"/>
              </w:rPr>
            </w:pPr>
          </w:p>
        </w:tc>
        <w:tc>
          <w:tcPr>
            <w:tcW w:w="2163" w:type="pct"/>
            <w:tcBorders>
              <w:top w:val="nil"/>
              <w:bottom w:val="nil"/>
            </w:tcBorders>
            <w:shd w:val="clear" w:color="auto" w:fill="auto"/>
            <w:tcMar>
              <w:top w:w="113" w:type="dxa"/>
              <w:bottom w:w="57" w:type="dxa"/>
            </w:tcMar>
          </w:tcPr>
          <w:p w:rsidR="00B03EDF" w:rsidRPr="004F41E4" w:rsidRDefault="00B03EDF">
            <w:pPr>
              <w:keepNext/>
              <w:keepLines/>
              <w:rPr>
                <w:rFonts w:cs="Arial"/>
                <w:sz w:val="16"/>
                <w:szCs w:val="16"/>
              </w:rPr>
            </w:pPr>
            <w:r w:rsidRPr="00E917A6">
              <w:rPr>
                <w:rFonts w:cs="Arial"/>
                <w:sz w:val="16"/>
                <w:szCs w:val="16"/>
                <w:lang w:bidi="th-TH"/>
              </w:rPr>
              <w:t>No. of subscriptions to the SME Newsletter</w:t>
            </w:r>
          </w:p>
        </w:tc>
        <w:tc>
          <w:tcPr>
            <w:tcW w:w="772" w:type="pct"/>
            <w:tcBorders>
              <w:top w:val="nil"/>
              <w:bottom w:val="nil"/>
            </w:tcBorders>
            <w:shd w:val="clear" w:color="auto" w:fill="FFFFFF"/>
            <w:tcMar>
              <w:top w:w="113" w:type="dxa"/>
              <w:bottom w:w="57" w:type="dxa"/>
            </w:tcMar>
          </w:tcPr>
          <w:p w:rsidR="00B03EDF" w:rsidRDefault="00B03EDF" w:rsidP="00845557">
            <w:pPr>
              <w:keepNext/>
              <w:keepLines/>
              <w:jc w:val="right"/>
              <w:rPr>
                <w:rFonts w:cs="Arial"/>
                <w:sz w:val="16"/>
                <w:szCs w:val="16"/>
                <w:lang w:bidi="th-TH"/>
              </w:rPr>
            </w:pPr>
            <w:r>
              <w:rPr>
                <w:rFonts w:cs="Arial"/>
                <w:sz w:val="16"/>
                <w:szCs w:val="16"/>
                <w:lang w:bidi="th-TH"/>
              </w:rPr>
              <w:t>Program 30</w:t>
            </w:r>
          </w:p>
        </w:tc>
        <w:tc>
          <w:tcPr>
            <w:tcW w:w="521" w:type="pct"/>
            <w:tcBorders>
              <w:top w:val="nil"/>
              <w:bottom w:val="nil"/>
              <w:right w:val="single" w:sz="4" w:space="0" w:color="auto"/>
            </w:tcBorders>
            <w:shd w:val="clear" w:color="auto" w:fill="FFFFFF"/>
          </w:tcPr>
          <w:p w:rsidR="00B03EDF" w:rsidRDefault="00B03EDF" w:rsidP="00845557">
            <w:pPr>
              <w:keepNext/>
              <w:keepLines/>
              <w:jc w:val="center"/>
            </w:pPr>
            <w:r w:rsidRPr="005F33CE">
              <w:rPr>
                <w:rFonts w:cs="Arial"/>
                <w:color w:val="008000"/>
                <w:sz w:val="22"/>
                <w:szCs w:val="22"/>
              </w:rPr>
              <w:sym w:font="Wingdings" w:char="F06C"/>
            </w:r>
          </w:p>
        </w:tc>
      </w:tr>
      <w:tr w:rsidR="00B03EDF" w:rsidRPr="0016774F" w:rsidTr="00C1753F">
        <w:trPr>
          <w:cantSplit/>
          <w:trHeight w:val="463"/>
        </w:trPr>
        <w:tc>
          <w:tcPr>
            <w:tcW w:w="1544" w:type="pct"/>
            <w:tcBorders>
              <w:top w:val="nil"/>
              <w:left w:val="single" w:sz="4" w:space="0" w:color="auto"/>
              <w:bottom w:val="nil"/>
            </w:tcBorders>
            <w:shd w:val="clear" w:color="auto" w:fill="auto"/>
            <w:tcMar>
              <w:top w:w="113" w:type="dxa"/>
              <w:bottom w:w="57" w:type="dxa"/>
            </w:tcMar>
          </w:tcPr>
          <w:p w:rsidR="00B03EDF" w:rsidRPr="0016774F" w:rsidRDefault="00B03EDF" w:rsidP="00C1753F">
            <w:pPr>
              <w:rPr>
                <w:rFonts w:cs="Arial"/>
                <w:sz w:val="16"/>
                <w:szCs w:val="16"/>
              </w:rPr>
            </w:pPr>
          </w:p>
        </w:tc>
        <w:tc>
          <w:tcPr>
            <w:tcW w:w="2163" w:type="pct"/>
            <w:tcBorders>
              <w:top w:val="nil"/>
              <w:bottom w:val="nil"/>
            </w:tcBorders>
            <w:shd w:val="clear" w:color="auto" w:fill="auto"/>
            <w:tcMar>
              <w:top w:w="113" w:type="dxa"/>
              <w:bottom w:w="57" w:type="dxa"/>
            </w:tcMar>
          </w:tcPr>
          <w:p w:rsidR="00B03EDF" w:rsidRPr="004F41E4" w:rsidRDefault="00B03EDF" w:rsidP="00C1753F">
            <w:pPr>
              <w:keepNext/>
              <w:keepLines/>
              <w:rPr>
                <w:rFonts w:cs="Arial"/>
                <w:sz w:val="16"/>
                <w:szCs w:val="16"/>
              </w:rPr>
            </w:pPr>
            <w:r w:rsidRPr="00E917A6">
              <w:rPr>
                <w:rFonts w:cs="Arial"/>
                <w:sz w:val="16"/>
                <w:szCs w:val="16"/>
                <w:lang w:bidi="th-TH"/>
              </w:rPr>
              <w:t xml:space="preserve">No. of downloads of topical SME </w:t>
            </w:r>
            <w:r>
              <w:rPr>
                <w:rFonts w:cs="Arial"/>
                <w:sz w:val="16"/>
                <w:szCs w:val="16"/>
                <w:lang w:bidi="th-TH"/>
              </w:rPr>
              <w:t>material</w:t>
            </w:r>
            <w:r w:rsidRPr="00E917A6">
              <w:rPr>
                <w:rFonts w:cs="Arial"/>
                <w:sz w:val="16"/>
                <w:szCs w:val="16"/>
                <w:lang w:bidi="th-TH"/>
              </w:rPr>
              <w:t xml:space="preserve"> and guidelines </w:t>
            </w:r>
          </w:p>
        </w:tc>
        <w:tc>
          <w:tcPr>
            <w:tcW w:w="772" w:type="pct"/>
            <w:tcBorders>
              <w:top w:val="nil"/>
              <w:bottom w:val="nil"/>
            </w:tcBorders>
            <w:shd w:val="clear" w:color="auto" w:fill="FFFFFF"/>
            <w:tcMar>
              <w:top w:w="113" w:type="dxa"/>
              <w:bottom w:w="57" w:type="dxa"/>
            </w:tcMar>
          </w:tcPr>
          <w:p w:rsidR="00B03EDF" w:rsidRDefault="00B03EDF" w:rsidP="00C1753F">
            <w:pPr>
              <w:jc w:val="right"/>
              <w:rPr>
                <w:rFonts w:cs="Arial"/>
                <w:sz w:val="16"/>
                <w:szCs w:val="16"/>
                <w:lang w:bidi="th-TH"/>
              </w:rPr>
            </w:pPr>
            <w:r>
              <w:rPr>
                <w:rFonts w:cs="Arial"/>
                <w:sz w:val="16"/>
                <w:szCs w:val="16"/>
                <w:lang w:bidi="th-TH"/>
              </w:rPr>
              <w:t>Program 30</w:t>
            </w:r>
          </w:p>
        </w:tc>
        <w:tc>
          <w:tcPr>
            <w:tcW w:w="521" w:type="pct"/>
            <w:tcBorders>
              <w:top w:val="nil"/>
              <w:bottom w:val="nil"/>
              <w:right w:val="single" w:sz="4" w:space="0" w:color="auto"/>
            </w:tcBorders>
            <w:shd w:val="clear" w:color="auto" w:fill="FFFFFF"/>
          </w:tcPr>
          <w:p w:rsidR="00B03EDF" w:rsidRDefault="00B03EDF" w:rsidP="00C1753F">
            <w:pPr>
              <w:jc w:val="center"/>
            </w:pPr>
            <w:r w:rsidRPr="00F718E6">
              <w:rPr>
                <w:rFonts w:cs="Arial"/>
                <w:color w:val="A6A6A6" w:themeColor="background1" w:themeShade="A6"/>
                <w:sz w:val="22"/>
                <w:szCs w:val="22"/>
              </w:rPr>
              <w:sym w:font="Wingdings" w:char="F06C"/>
            </w:r>
          </w:p>
        </w:tc>
      </w:tr>
      <w:tr w:rsidR="00B03EDF" w:rsidRPr="0016774F" w:rsidTr="00C1753F">
        <w:trPr>
          <w:cantSplit/>
          <w:trHeight w:val="463"/>
        </w:trPr>
        <w:tc>
          <w:tcPr>
            <w:tcW w:w="1544" w:type="pct"/>
            <w:tcBorders>
              <w:top w:val="nil"/>
              <w:left w:val="single" w:sz="4" w:space="0" w:color="auto"/>
              <w:bottom w:val="nil"/>
            </w:tcBorders>
            <w:shd w:val="clear" w:color="auto" w:fill="auto"/>
            <w:tcMar>
              <w:top w:w="113" w:type="dxa"/>
              <w:bottom w:w="57" w:type="dxa"/>
            </w:tcMar>
          </w:tcPr>
          <w:p w:rsidR="00B03EDF" w:rsidRPr="0016774F" w:rsidRDefault="00B03EDF" w:rsidP="00C1753F">
            <w:pPr>
              <w:rPr>
                <w:rFonts w:cs="Arial"/>
                <w:sz w:val="16"/>
                <w:szCs w:val="16"/>
              </w:rPr>
            </w:pPr>
          </w:p>
        </w:tc>
        <w:tc>
          <w:tcPr>
            <w:tcW w:w="2163" w:type="pct"/>
            <w:tcBorders>
              <w:top w:val="nil"/>
              <w:bottom w:val="nil"/>
            </w:tcBorders>
            <w:shd w:val="clear" w:color="auto" w:fill="auto"/>
            <w:tcMar>
              <w:top w:w="113" w:type="dxa"/>
              <w:bottom w:w="57" w:type="dxa"/>
            </w:tcMar>
          </w:tcPr>
          <w:p w:rsidR="00B03EDF" w:rsidRDefault="00B03EDF" w:rsidP="00C1753F">
            <w:pPr>
              <w:keepNext/>
              <w:keepLines/>
              <w:rPr>
                <w:rFonts w:cs="Arial"/>
                <w:sz w:val="16"/>
                <w:szCs w:val="16"/>
              </w:rPr>
            </w:pPr>
            <w:r w:rsidRPr="00E917A6">
              <w:rPr>
                <w:rFonts w:cs="Arial"/>
                <w:sz w:val="16"/>
                <w:szCs w:val="16"/>
                <w:lang w:bidi="th-TH"/>
              </w:rPr>
              <w:t xml:space="preserve">No. of SME related case-studies accessed via the </w:t>
            </w:r>
            <w:proofErr w:type="spellStart"/>
            <w:r w:rsidRPr="00E917A6">
              <w:rPr>
                <w:rFonts w:cs="Arial"/>
                <w:sz w:val="16"/>
                <w:szCs w:val="16"/>
              </w:rPr>
              <w:t>IpAdvantage</w:t>
            </w:r>
            <w:proofErr w:type="spellEnd"/>
            <w:r w:rsidRPr="00E917A6">
              <w:rPr>
                <w:rFonts w:cs="Arial"/>
                <w:sz w:val="16"/>
                <w:szCs w:val="16"/>
              </w:rPr>
              <w:t xml:space="preserve"> and/or other relevant databases</w:t>
            </w:r>
          </w:p>
          <w:p w:rsidR="00B03EDF" w:rsidRPr="00E917A6" w:rsidRDefault="00B03EDF" w:rsidP="00C1753F">
            <w:pPr>
              <w:keepNext/>
              <w:keepLines/>
              <w:rPr>
                <w:rFonts w:cs="Arial"/>
                <w:sz w:val="16"/>
                <w:szCs w:val="16"/>
                <w:lang w:bidi="th-TH"/>
              </w:rPr>
            </w:pPr>
          </w:p>
        </w:tc>
        <w:tc>
          <w:tcPr>
            <w:tcW w:w="772" w:type="pct"/>
            <w:tcBorders>
              <w:top w:val="nil"/>
              <w:bottom w:val="nil"/>
            </w:tcBorders>
            <w:shd w:val="clear" w:color="auto" w:fill="FFFFFF"/>
            <w:tcMar>
              <w:top w:w="113" w:type="dxa"/>
              <w:bottom w:w="57" w:type="dxa"/>
            </w:tcMar>
          </w:tcPr>
          <w:p w:rsidR="00B03EDF" w:rsidRDefault="00B03EDF" w:rsidP="00C1753F">
            <w:pPr>
              <w:jc w:val="right"/>
              <w:rPr>
                <w:rFonts w:cs="Arial"/>
                <w:sz w:val="16"/>
                <w:szCs w:val="16"/>
                <w:lang w:bidi="th-TH"/>
              </w:rPr>
            </w:pPr>
            <w:r>
              <w:rPr>
                <w:rFonts w:cs="Arial"/>
                <w:sz w:val="16"/>
                <w:szCs w:val="16"/>
                <w:lang w:bidi="th-TH"/>
              </w:rPr>
              <w:t>Program 30</w:t>
            </w:r>
          </w:p>
        </w:tc>
        <w:tc>
          <w:tcPr>
            <w:tcW w:w="521" w:type="pct"/>
            <w:tcBorders>
              <w:top w:val="nil"/>
              <w:bottom w:val="nil"/>
              <w:right w:val="single" w:sz="4" w:space="0" w:color="auto"/>
            </w:tcBorders>
            <w:shd w:val="clear" w:color="auto" w:fill="FFFFFF"/>
          </w:tcPr>
          <w:p w:rsidR="00B03EDF" w:rsidRDefault="00B03EDF" w:rsidP="00C1753F">
            <w:pPr>
              <w:jc w:val="center"/>
            </w:pPr>
            <w:r w:rsidRPr="00F718E6">
              <w:rPr>
                <w:rFonts w:cs="Arial"/>
                <w:color w:val="A6A6A6" w:themeColor="background1" w:themeShade="A6"/>
                <w:sz w:val="22"/>
                <w:szCs w:val="22"/>
              </w:rPr>
              <w:sym w:font="Wingdings" w:char="F06C"/>
            </w:r>
          </w:p>
        </w:tc>
      </w:tr>
      <w:tr w:rsidR="00B03EDF" w:rsidRPr="0016774F" w:rsidTr="00C1753F">
        <w:trPr>
          <w:cantSplit/>
          <w:trHeight w:val="463"/>
        </w:trPr>
        <w:tc>
          <w:tcPr>
            <w:tcW w:w="1544" w:type="pct"/>
            <w:tcBorders>
              <w:top w:val="nil"/>
              <w:left w:val="single" w:sz="4" w:space="0" w:color="auto"/>
              <w:bottom w:val="nil"/>
            </w:tcBorders>
            <w:shd w:val="clear" w:color="auto" w:fill="auto"/>
            <w:tcMar>
              <w:top w:w="113" w:type="dxa"/>
              <w:bottom w:w="57" w:type="dxa"/>
            </w:tcMar>
          </w:tcPr>
          <w:p w:rsidR="00B03EDF" w:rsidRPr="0016774F" w:rsidRDefault="00B03EDF" w:rsidP="00C1753F">
            <w:pPr>
              <w:rPr>
                <w:rFonts w:cs="Arial"/>
                <w:sz w:val="16"/>
                <w:szCs w:val="16"/>
              </w:rPr>
            </w:pPr>
          </w:p>
        </w:tc>
        <w:tc>
          <w:tcPr>
            <w:tcW w:w="2163" w:type="pct"/>
            <w:tcBorders>
              <w:top w:val="nil"/>
              <w:bottom w:val="nil"/>
            </w:tcBorders>
            <w:shd w:val="clear" w:color="auto" w:fill="auto"/>
            <w:tcMar>
              <w:top w:w="113" w:type="dxa"/>
              <w:bottom w:w="57" w:type="dxa"/>
            </w:tcMar>
          </w:tcPr>
          <w:p w:rsidR="00B03EDF" w:rsidRDefault="00B03EDF" w:rsidP="00C1753F">
            <w:pPr>
              <w:rPr>
                <w:rFonts w:cs="Arial"/>
                <w:sz w:val="16"/>
                <w:szCs w:val="16"/>
                <w:lang w:bidi="th-TH"/>
              </w:rPr>
            </w:pPr>
            <w:r w:rsidRPr="00DC0B8E">
              <w:rPr>
                <w:rFonts w:cs="Arial"/>
                <w:sz w:val="16"/>
                <w:szCs w:val="16"/>
              </w:rPr>
              <w:t xml:space="preserve">% of participants in </w:t>
            </w:r>
            <w:r>
              <w:rPr>
                <w:rFonts w:cs="Arial"/>
                <w:sz w:val="16"/>
                <w:szCs w:val="16"/>
              </w:rPr>
              <w:t xml:space="preserve">training programs targeting  SME support institutions </w:t>
            </w:r>
            <w:r w:rsidRPr="00DC0B8E">
              <w:rPr>
                <w:rFonts w:cs="Arial"/>
                <w:sz w:val="16"/>
                <w:szCs w:val="16"/>
              </w:rPr>
              <w:t>who express satisfaction with the content and organization of the</w:t>
            </w:r>
            <w:r>
              <w:rPr>
                <w:rFonts w:cs="Arial"/>
                <w:sz w:val="16"/>
                <w:szCs w:val="16"/>
              </w:rPr>
              <w:t>se</w:t>
            </w:r>
            <w:r w:rsidRPr="00DC0B8E">
              <w:rPr>
                <w:rFonts w:cs="Arial"/>
                <w:sz w:val="16"/>
                <w:szCs w:val="16"/>
              </w:rPr>
              <w:t xml:space="preserve"> events</w:t>
            </w:r>
          </w:p>
          <w:p w:rsidR="00B03EDF" w:rsidRPr="00E917A6" w:rsidRDefault="00B03EDF" w:rsidP="00C1753F">
            <w:pPr>
              <w:keepNext/>
              <w:keepLines/>
              <w:rPr>
                <w:rFonts w:cs="Arial"/>
                <w:sz w:val="16"/>
                <w:szCs w:val="16"/>
                <w:lang w:bidi="th-TH"/>
              </w:rPr>
            </w:pPr>
          </w:p>
        </w:tc>
        <w:tc>
          <w:tcPr>
            <w:tcW w:w="772" w:type="pct"/>
            <w:tcBorders>
              <w:top w:val="nil"/>
              <w:bottom w:val="nil"/>
            </w:tcBorders>
            <w:shd w:val="clear" w:color="auto" w:fill="FFFFFF"/>
            <w:tcMar>
              <w:top w:w="113" w:type="dxa"/>
              <w:bottom w:w="57" w:type="dxa"/>
            </w:tcMar>
          </w:tcPr>
          <w:p w:rsidR="00B03EDF" w:rsidRDefault="00B03EDF" w:rsidP="00C1753F">
            <w:pPr>
              <w:jc w:val="right"/>
              <w:rPr>
                <w:rFonts w:cs="Arial"/>
                <w:sz w:val="16"/>
                <w:szCs w:val="16"/>
                <w:lang w:bidi="th-TH"/>
              </w:rPr>
            </w:pPr>
            <w:r>
              <w:rPr>
                <w:rFonts w:cs="Arial"/>
                <w:sz w:val="16"/>
                <w:szCs w:val="16"/>
                <w:lang w:bidi="th-TH"/>
              </w:rPr>
              <w:t>Program 30</w:t>
            </w:r>
          </w:p>
        </w:tc>
        <w:tc>
          <w:tcPr>
            <w:tcW w:w="521" w:type="pct"/>
            <w:tcBorders>
              <w:top w:val="nil"/>
              <w:bottom w:val="nil"/>
              <w:right w:val="single" w:sz="4" w:space="0" w:color="auto"/>
            </w:tcBorders>
            <w:shd w:val="clear" w:color="auto" w:fill="FFFFFF"/>
          </w:tcPr>
          <w:p w:rsidR="00B03EDF" w:rsidRDefault="00B03EDF" w:rsidP="00C1753F">
            <w:pPr>
              <w:jc w:val="center"/>
            </w:pPr>
            <w:r w:rsidRPr="005F33CE">
              <w:rPr>
                <w:rFonts w:cs="Arial"/>
                <w:color w:val="008000"/>
                <w:sz w:val="22"/>
                <w:szCs w:val="22"/>
              </w:rPr>
              <w:sym w:font="Wingdings" w:char="F06C"/>
            </w:r>
          </w:p>
        </w:tc>
      </w:tr>
      <w:tr w:rsidR="00B03EDF" w:rsidRPr="0016774F" w:rsidTr="00C1753F">
        <w:trPr>
          <w:cantSplit/>
          <w:trHeight w:val="463"/>
        </w:trPr>
        <w:tc>
          <w:tcPr>
            <w:tcW w:w="1544" w:type="pct"/>
            <w:tcBorders>
              <w:top w:val="nil"/>
              <w:left w:val="single" w:sz="4" w:space="0" w:color="auto"/>
              <w:bottom w:val="nil"/>
            </w:tcBorders>
            <w:shd w:val="clear" w:color="auto" w:fill="auto"/>
            <w:tcMar>
              <w:top w:w="113" w:type="dxa"/>
              <w:bottom w:w="57" w:type="dxa"/>
            </w:tcMar>
          </w:tcPr>
          <w:p w:rsidR="00B03EDF" w:rsidRPr="0016774F" w:rsidRDefault="00B03EDF" w:rsidP="00C1753F">
            <w:pPr>
              <w:rPr>
                <w:rFonts w:cs="Arial"/>
                <w:sz w:val="16"/>
                <w:szCs w:val="16"/>
              </w:rPr>
            </w:pPr>
          </w:p>
        </w:tc>
        <w:tc>
          <w:tcPr>
            <w:tcW w:w="2163" w:type="pct"/>
            <w:tcBorders>
              <w:top w:val="nil"/>
              <w:bottom w:val="nil"/>
            </w:tcBorders>
            <w:shd w:val="clear" w:color="auto" w:fill="auto"/>
            <w:tcMar>
              <w:top w:w="113" w:type="dxa"/>
              <w:bottom w:w="57" w:type="dxa"/>
            </w:tcMar>
          </w:tcPr>
          <w:p w:rsidR="00B03EDF" w:rsidRDefault="00B03EDF" w:rsidP="00C1753F">
            <w:pPr>
              <w:rPr>
                <w:rFonts w:cs="Arial"/>
                <w:sz w:val="16"/>
                <w:szCs w:val="16"/>
              </w:rPr>
            </w:pPr>
            <w:r w:rsidRPr="0022507F">
              <w:rPr>
                <w:rFonts w:cs="Arial"/>
                <w:sz w:val="16"/>
                <w:szCs w:val="16"/>
                <w:lang w:bidi="th-TH"/>
              </w:rPr>
              <w:t xml:space="preserve">% of </w:t>
            </w:r>
            <w:r>
              <w:rPr>
                <w:rFonts w:cs="Arial"/>
                <w:sz w:val="16"/>
                <w:szCs w:val="16"/>
                <w:lang w:bidi="th-TH"/>
              </w:rPr>
              <w:t xml:space="preserve">trained </w:t>
            </w:r>
            <w:r w:rsidRPr="0022507F">
              <w:rPr>
                <w:rFonts w:cs="Arial"/>
                <w:sz w:val="16"/>
                <w:szCs w:val="16"/>
                <w:lang w:bidi="th-TH"/>
              </w:rPr>
              <w:t>SME support institutions who provide information, support and advisory/consulting services on IP asset management</w:t>
            </w:r>
          </w:p>
          <w:p w:rsidR="00B03EDF" w:rsidRPr="00E917A6" w:rsidRDefault="00B03EDF" w:rsidP="00C1753F">
            <w:pPr>
              <w:keepNext/>
              <w:keepLines/>
              <w:rPr>
                <w:rFonts w:cs="Arial"/>
                <w:sz w:val="16"/>
                <w:szCs w:val="16"/>
                <w:lang w:bidi="th-TH"/>
              </w:rPr>
            </w:pPr>
          </w:p>
        </w:tc>
        <w:tc>
          <w:tcPr>
            <w:tcW w:w="772" w:type="pct"/>
            <w:tcBorders>
              <w:top w:val="nil"/>
              <w:bottom w:val="nil"/>
            </w:tcBorders>
            <w:shd w:val="clear" w:color="auto" w:fill="FFFFFF"/>
            <w:tcMar>
              <w:top w:w="113" w:type="dxa"/>
              <w:bottom w:w="57" w:type="dxa"/>
            </w:tcMar>
          </w:tcPr>
          <w:p w:rsidR="00B03EDF" w:rsidRDefault="00B03EDF" w:rsidP="00C1753F">
            <w:pPr>
              <w:jc w:val="right"/>
              <w:rPr>
                <w:rFonts w:cs="Arial"/>
                <w:sz w:val="16"/>
                <w:szCs w:val="16"/>
                <w:lang w:bidi="th-TH"/>
              </w:rPr>
            </w:pPr>
            <w:r>
              <w:rPr>
                <w:rFonts w:cs="Arial"/>
                <w:sz w:val="16"/>
                <w:szCs w:val="16"/>
                <w:lang w:bidi="th-TH"/>
              </w:rPr>
              <w:t>Program 30</w:t>
            </w:r>
          </w:p>
        </w:tc>
        <w:tc>
          <w:tcPr>
            <w:tcW w:w="521" w:type="pct"/>
            <w:tcBorders>
              <w:top w:val="nil"/>
              <w:bottom w:val="nil"/>
              <w:right w:val="single" w:sz="4" w:space="0" w:color="auto"/>
            </w:tcBorders>
            <w:shd w:val="clear" w:color="auto" w:fill="FFFFFF"/>
          </w:tcPr>
          <w:p w:rsidR="00B03EDF" w:rsidRDefault="00B03EDF" w:rsidP="00C1753F">
            <w:pPr>
              <w:jc w:val="center"/>
            </w:pPr>
            <w:r w:rsidRPr="005F33CE">
              <w:rPr>
                <w:rFonts w:cs="Arial"/>
                <w:color w:val="008000"/>
                <w:sz w:val="22"/>
                <w:szCs w:val="22"/>
              </w:rPr>
              <w:sym w:font="Wingdings" w:char="F06C"/>
            </w:r>
          </w:p>
        </w:tc>
      </w:tr>
      <w:tr w:rsidR="00B03EDF" w:rsidRPr="0016774F" w:rsidTr="00C1753F">
        <w:trPr>
          <w:cantSplit/>
          <w:trHeight w:val="463"/>
        </w:trPr>
        <w:tc>
          <w:tcPr>
            <w:tcW w:w="1544" w:type="pct"/>
            <w:tcBorders>
              <w:top w:val="nil"/>
              <w:left w:val="single" w:sz="4" w:space="0" w:color="auto"/>
              <w:bottom w:val="single" w:sz="4" w:space="0" w:color="auto"/>
            </w:tcBorders>
            <w:shd w:val="clear" w:color="auto" w:fill="auto"/>
            <w:tcMar>
              <w:top w:w="113" w:type="dxa"/>
              <w:bottom w:w="57" w:type="dxa"/>
            </w:tcMar>
          </w:tcPr>
          <w:p w:rsidR="00B03EDF" w:rsidRPr="0016774F" w:rsidRDefault="00B03EDF" w:rsidP="00C1753F">
            <w:pPr>
              <w:rPr>
                <w:rFonts w:cs="Arial"/>
                <w:sz w:val="16"/>
                <w:szCs w:val="16"/>
              </w:rPr>
            </w:pPr>
          </w:p>
        </w:tc>
        <w:tc>
          <w:tcPr>
            <w:tcW w:w="2163" w:type="pct"/>
            <w:tcBorders>
              <w:top w:val="nil"/>
              <w:bottom w:val="single" w:sz="4" w:space="0" w:color="auto"/>
            </w:tcBorders>
            <w:shd w:val="clear" w:color="auto" w:fill="auto"/>
            <w:tcMar>
              <w:top w:w="113" w:type="dxa"/>
              <w:bottom w:w="57" w:type="dxa"/>
            </w:tcMar>
          </w:tcPr>
          <w:p w:rsidR="00B03EDF" w:rsidRDefault="00B03EDF" w:rsidP="00C1753F">
            <w:pPr>
              <w:rPr>
                <w:rFonts w:cs="Arial"/>
                <w:sz w:val="16"/>
                <w:szCs w:val="16"/>
              </w:rPr>
            </w:pPr>
            <w:r>
              <w:rPr>
                <w:rFonts w:cs="Arial"/>
                <w:sz w:val="16"/>
                <w:szCs w:val="16"/>
              </w:rPr>
              <w:t>No.</w:t>
            </w:r>
            <w:r w:rsidRPr="008B3B36">
              <w:rPr>
                <w:rFonts w:cs="Arial"/>
                <w:sz w:val="16"/>
                <w:szCs w:val="16"/>
              </w:rPr>
              <w:t xml:space="preserve"> of countries </w:t>
            </w:r>
            <w:r>
              <w:rPr>
                <w:rFonts w:cs="Arial"/>
                <w:sz w:val="16"/>
                <w:szCs w:val="16"/>
              </w:rPr>
              <w:t xml:space="preserve">having established </w:t>
            </w:r>
            <w:r w:rsidRPr="008B3B36">
              <w:rPr>
                <w:rFonts w:cs="Arial"/>
                <w:sz w:val="16"/>
                <w:szCs w:val="16"/>
              </w:rPr>
              <w:t xml:space="preserve">IP training </w:t>
            </w:r>
            <w:r w:rsidRPr="00556E80">
              <w:rPr>
                <w:rFonts w:cs="Arial"/>
                <w:sz w:val="16"/>
                <w:szCs w:val="16"/>
              </w:rPr>
              <w:t>programs for SMEs</w:t>
            </w:r>
          </w:p>
          <w:p w:rsidR="00B03EDF" w:rsidRPr="00E917A6" w:rsidRDefault="00B03EDF" w:rsidP="00C1753F">
            <w:pPr>
              <w:keepNext/>
              <w:keepLines/>
              <w:rPr>
                <w:rFonts w:cs="Arial"/>
                <w:sz w:val="16"/>
                <w:szCs w:val="16"/>
                <w:lang w:bidi="th-TH"/>
              </w:rPr>
            </w:pPr>
          </w:p>
        </w:tc>
        <w:tc>
          <w:tcPr>
            <w:tcW w:w="772" w:type="pct"/>
            <w:tcBorders>
              <w:top w:val="nil"/>
              <w:bottom w:val="single" w:sz="4" w:space="0" w:color="auto"/>
            </w:tcBorders>
            <w:shd w:val="clear" w:color="auto" w:fill="FFFFFF"/>
            <w:tcMar>
              <w:top w:w="113" w:type="dxa"/>
              <w:bottom w:w="57" w:type="dxa"/>
            </w:tcMar>
          </w:tcPr>
          <w:p w:rsidR="00B03EDF" w:rsidRDefault="00B03EDF" w:rsidP="00C1753F">
            <w:pPr>
              <w:jc w:val="right"/>
              <w:rPr>
                <w:rFonts w:cs="Arial"/>
                <w:sz w:val="16"/>
                <w:szCs w:val="16"/>
                <w:lang w:bidi="th-TH"/>
              </w:rPr>
            </w:pPr>
            <w:r>
              <w:rPr>
                <w:rFonts w:cs="Arial"/>
                <w:sz w:val="16"/>
                <w:szCs w:val="16"/>
                <w:lang w:bidi="th-TH"/>
              </w:rPr>
              <w:t>Program 30</w:t>
            </w:r>
          </w:p>
        </w:tc>
        <w:tc>
          <w:tcPr>
            <w:tcW w:w="521" w:type="pct"/>
            <w:tcBorders>
              <w:top w:val="nil"/>
              <w:bottom w:val="single" w:sz="4" w:space="0" w:color="auto"/>
              <w:right w:val="single" w:sz="4" w:space="0" w:color="auto"/>
            </w:tcBorders>
            <w:shd w:val="clear" w:color="auto" w:fill="FFFFFF"/>
          </w:tcPr>
          <w:p w:rsidR="00B03EDF" w:rsidRDefault="00B03EDF" w:rsidP="00C1753F">
            <w:pPr>
              <w:jc w:val="center"/>
            </w:pPr>
            <w:r w:rsidRPr="00F718E6">
              <w:rPr>
                <w:rFonts w:cs="Arial"/>
                <w:color w:val="A6A6A6" w:themeColor="background1" w:themeShade="A6"/>
                <w:sz w:val="22"/>
                <w:szCs w:val="22"/>
              </w:rPr>
              <w:sym w:font="Wingdings" w:char="F06C"/>
            </w:r>
          </w:p>
        </w:tc>
      </w:tr>
    </w:tbl>
    <w:p w:rsidR="00B03EDF" w:rsidRPr="00331E22" w:rsidRDefault="00B03EDF" w:rsidP="00C1753F"/>
    <w:p w:rsidR="00B03EDF" w:rsidRDefault="00B03EDF"/>
    <w:p w:rsidR="00B03EDF" w:rsidRDefault="00B03EDF"/>
    <w:p w:rsidR="00B03EDF" w:rsidRDefault="00B03EDF"/>
    <w:p w:rsidR="00B03EDF" w:rsidRDefault="00B03EDF"/>
    <w:p w:rsidR="00EE4AA1" w:rsidRDefault="00EE4AA1">
      <w:r>
        <w:br w:type="page"/>
      </w:r>
    </w:p>
    <w:p w:rsidR="00EE4AA1" w:rsidRPr="003254F5" w:rsidRDefault="00EE4AA1" w:rsidP="008D1891">
      <w:pPr>
        <w:pStyle w:val="Heading2"/>
        <w:tabs>
          <w:tab w:val="clear" w:pos="567"/>
          <w:tab w:val="left" w:pos="1985"/>
          <w:tab w:val="left" w:pos="2268"/>
        </w:tabs>
        <w:jc w:val="both"/>
        <w:rPr>
          <w:szCs w:val="20"/>
        </w:rPr>
      </w:pPr>
      <w:bookmarkStart w:id="62" w:name="_Toc422210490"/>
      <w:r w:rsidRPr="003254F5">
        <w:rPr>
          <w:szCs w:val="20"/>
        </w:rPr>
        <w:lastRenderedPageBreak/>
        <w:t>PROGRAM 8</w:t>
      </w:r>
      <w:r w:rsidRPr="003254F5">
        <w:rPr>
          <w:szCs w:val="20"/>
        </w:rPr>
        <w:tab/>
      </w:r>
      <w:r w:rsidRPr="003254F5">
        <w:rPr>
          <w:szCs w:val="20"/>
        </w:rPr>
        <w:tab/>
        <w:t>DEVELOPMENT AGENDA COORDINATION</w:t>
      </w:r>
      <w:bookmarkEnd w:id="62"/>
    </w:p>
    <w:p w:rsidR="00EE4AA1" w:rsidRPr="006D1EA0" w:rsidRDefault="00EE4AA1" w:rsidP="008D1891">
      <w:pPr>
        <w:tabs>
          <w:tab w:val="left" w:pos="1985"/>
        </w:tabs>
        <w:jc w:val="both"/>
        <w:rPr>
          <w:rFonts w:cs="Arial"/>
          <w:szCs w:val="20"/>
        </w:rPr>
      </w:pPr>
    </w:p>
    <w:p w:rsidR="00EE4AA1" w:rsidRPr="006D1EA0" w:rsidRDefault="00EE4AA1" w:rsidP="008D1891">
      <w:pPr>
        <w:tabs>
          <w:tab w:val="left" w:pos="1985"/>
        </w:tabs>
        <w:jc w:val="both"/>
        <w:rPr>
          <w:rFonts w:cs="Arial"/>
          <w:b/>
          <w:szCs w:val="20"/>
        </w:rPr>
      </w:pPr>
      <w:r w:rsidRPr="006D1EA0">
        <w:rPr>
          <w:rFonts w:cs="Arial"/>
          <w:b/>
          <w:szCs w:val="20"/>
        </w:rPr>
        <w:t>Program Manager</w:t>
      </w:r>
      <w:r w:rsidRPr="006D1EA0">
        <w:rPr>
          <w:rFonts w:cs="Arial"/>
          <w:b/>
          <w:szCs w:val="20"/>
        </w:rPr>
        <w:tab/>
        <w:t>Mr. M</w:t>
      </w:r>
      <w:r>
        <w:rPr>
          <w:rFonts w:cs="Arial"/>
          <w:b/>
          <w:szCs w:val="20"/>
        </w:rPr>
        <w:t>.</w:t>
      </w:r>
      <w:r w:rsidRPr="006D1EA0">
        <w:rPr>
          <w:rFonts w:cs="Arial"/>
          <w:b/>
          <w:szCs w:val="20"/>
        </w:rPr>
        <w:t xml:space="preserve"> Matus</w:t>
      </w:r>
    </w:p>
    <w:p w:rsidR="00EE4AA1" w:rsidRPr="006D1EA0" w:rsidRDefault="00EE4AA1" w:rsidP="008D1891">
      <w:pPr>
        <w:jc w:val="both"/>
        <w:rPr>
          <w:rFonts w:cs="Arial"/>
          <w:szCs w:val="20"/>
        </w:rPr>
      </w:pPr>
    </w:p>
    <w:p w:rsidR="00EE4AA1" w:rsidRPr="006D1EA0" w:rsidRDefault="00EE4AA1" w:rsidP="008D1891">
      <w:pPr>
        <w:jc w:val="both"/>
        <w:rPr>
          <w:rFonts w:cs="Arial"/>
          <w:szCs w:val="20"/>
        </w:rPr>
      </w:pPr>
    </w:p>
    <w:p w:rsidR="00EE4AA1" w:rsidRPr="003254F5" w:rsidRDefault="00EE4AA1" w:rsidP="008D1891">
      <w:pPr>
        <w:jc w:val="both"/>
        <w:rPr>
          <w:rFonts w:cs="Arial"/>
          <w:bCs/>
          <w:sz w:val="22"/>
          <w:szCs w:val="20"/>
        </w:rPr>
      </w:pPr>
      <w:r w:rsidRPr="003254F5">
        <w:rPr>
          <w:rFonts w:cs="Arial"/>
          <w:bCs/>
          <w:sz w:val="22"/>
          <w:szCs w:val="20"/>
        </w:rPr>
        <w:t>OVERVIEW OF PROGRESS IN 2014</w:t>
      </w:r>
    </w:p>
    <w:p w:rsidR="00EE4AA1" w:rsidRPr="003254F5" w:rsidRDefault="00EE4AA1" w:rsidP="008D1891">
      <w:pPr>
        <w:jc w:val="both"/>
        <w:rPr>
          <w:rFonts w:cs="Arial"/>
          <w:sz w:val="22"/>
          <w:szCs w:val="20"/>
        </w:rPr>
      </w:pPr>
    </w:p>
    <w:p w:rsidR="00EE4AA1" w:rsidRPr="003254F5" w:rsidRDefault="00EE4AA1" w:rsidP="00EE4AA1">
      <w:pPr>
        <w:pStyle w:val="ListParagraph"/>
        <w:numPr>
          <w:ilvl w:val="0"/>
          <w:numId w:val="52"/>
        </w:numPr>
        <w:tabs>
          <w:tab w:val="left" w:pos="709"/>
        </w:tabs>
        <w:ind w:left="0" w:firstLine="0"/>
        <w:jc w:val="both"/>
        <w:rPr>
          <w:rFonts w:cs="Arial"/>
        </w:rPr>
      </w:pPr>
      <w:r w:rsidRPr="003254F5">
        <w:rPr>
          <w:rFonts w:cs="Arial"/>
        </w:rPr>
        <w:t xml:space="preserve">In 2014, the Program continued to coordinate the WIPO Development Agenda implementation, notably through facilitating the work of the Committee on Development and Intellectual Property (CDIP) at the thirteenth and fourteenth sessions of the Committee held in 2014; the project-based implementation of the DA recommendations; an effective mainstreaming of the DA principles into the work of the Organization; </w:t>
      </w:r>
      <w:r>
        <w:rPr>
          <w:rFonts w:cs="Arial"/>
        </w:rPr>
        <w:t xml:space="preserve"> </w:t>
      </w:r>
      <w:r w:rsidRPr="003254F5">
        <w:rPr>
          <w:rFonts w:cs="Arial"/>
        </w:rPr>
        <w:t xml:space="preserve">and a number of activities to support Member States in deriving benefits from the implementation of the DA.  </w:t>
      </w:r>
    </w:p>
    <w:p w:rsidR="00EE4AA1" w:rsidRPr="006D1EA0" w:rsidRDefault="00EE4AA1" w:rsidP="008D1891">
      <w:pPr>
        <w:tabs>
          <w:tab w:val="left" w:pos="709"/>
        </w:tabs>
        <w:jc w:val="both"/>
        <w:rPr>
          <w:rFonts w:cs="Arial"/>
          <w:szCs w:val="20"/>
        </w:rPr>
      </w:pPr>
    </w:p>
    <w:p w:rsidR="00EE4AA1" w:rsidRPr="003254F5" w:rsidRDefault="00EE4AA1" w:rsidP="00EE4AA1">
      <w:pPr>
        <w:pStyle w:val="ListParagraph"/>
        <w:numPr>
          <w:ilvl w:val="0"/>
          <w:numId w:val="52"/>
        </w:numPr>
        <w:tabs>
          <w:tab w:val="left" w:pos="709"/>
        </w:tabs>
        <w:ind w:left="0" w:firstLine="0"/>
        <w:jc w:val="both"/>
        <w:rPr>
          <w:rFonts w:cs="Arial"/>
        </w:rPr>
      </w:pPr>
      <w:r w:rsidRPr="003254F5">
        <w:rPr>
          <w:rFonts w:cs="Arial"/>
        </w:rPr>
        <w:t xml:space="preserve">In 2014, the CDIP considered: </w:t>
      </w:r>
      <w:r>
        <w:rPr>
          <w:rFonts w:cs="Arial"/>
        </w:rPr>
        <w:t xml:space="preserve"> </w:t>
      </w:r>
      <w:r w:rsidRPr="003254F5">
        <w:rPr>
          <w:rFonts w:cs="Arial"/>
        </w:rPr>
        <w:t>(</w:t>
      </w:r>
      <w:proofErr w:type="spellStart"/>
      <w:r w:rsidRPr="003254F5">
        <w:rPr>
          <w:rFonts w:cs="Arial"/>
        </w:rPr>
        <w:t>i</w:t>
      </w:r>
      <w:proofErr w:type="spellEnd"/>
      <w:r w:rsidRPr="003254F5">
        <w:rPr>
          <w:rFonts w:cs="Arial"/>
        </w:rPr>
        <w:t>) the annual Director General’s Report on Implementation of the Development Agenda</w:t>
      </w:r>
      <w:proofErr w:type="gramStart"/>
      <w:r w:rsidRPr="003254F5">
        <w:rPr>
          <w:rFonts w:cs="Arial"/>
        </w:rPr>
        <w:t xml:space="preserve">; </w:t>
      </w:r>
      <w:r>
        <w:rPr>
          <w:rFonts w:cs="Arial"/>
        </w:rPr>
        <w:t xml:space="preserve"> </w:t>
      </w:r>
      <w:r w:rsidRPr="003254F5">
        <w:rPr>
          <w:rFonts w:cs="Arial"/>
        </w:rPr>
        <w:t>(</w:t>
      </w:r>
      <w:proofErr w:type="gramEnd"/>
      <w:r w:rsidRPr="003254F5">
        <w:rPr>
          <w:rFonts w:cs="Arial"/>
        </w:rPr>
        <w:t xml:space="preserve">ii) a Progress Report on the Implementation of Recommendations for Immediate Implementation and DA Projects; </w:t>
      </w:r>
      <w:r>
        <w:rPr>
          <w:rFonts w:cs="Arial"/>
        </w:rPr>
        <w:t xml:space="preserve"> </w:t>
      </w:r>
      <w:r w:rsidRPr="003254F5">
        <w:rPr>
          <w:rFonts w:cs="Arial"/>
        </w:rPr>
        <w:t>(iii) eight independent and one self-evaluation reports of DA projects; and (iv) a document on WIPO General Assembly Decision on CDIP related matters.</w:t>
      </w:r>
      <w:r>
        <w:rPr>
          <w:rFonts w:cs="Arial"/>
        </w:rPr>
        <w:t xml:space="preserve"> </w:t>
      </w:r>
      <w:r w:rsidRPr="003254F5">
        <w:rPr>
          <w:rFonts w:cs="Arial"/>
        </w:rPr>
        <w:t xml:space="preserve"> In addition, the Committee approved second phases for two completed and evaluated projects, approved new activities Related to Using Copyright to Promote Access to Information and Creative content, and considered a project proposal by the Arab Republic of Egypt on IP and Tourism.  The Committee discussed: </w:t>
      </w:r>
      <w:r>
        <w:rPr>
          <w:rFonts w:cs="Arial"/>
        </w:rPr>
        <w:t xml:space="preserve"> </w:t>
      </w:r>
      <w:r w:rsidRPr="003254F5">
        <w:rPr>
          <w:rFonts w:cs="Arial"/>
        </w:rPr>
        <w:t>(</w:t>
      </w:r>
      <w:proofErr w:type="spellStart"/>
      <w:r w:rsidRPr="003254F5">
        <w:rPr>
          <w:rFonts w:cs="Arial"/>
        </w:rPr>
        <w:t>i</w:t>
      </w:r>
      <w:proofErr w:type="spellEnd"/>
      <w:r w:rsidRPr="003254F5">
        <w:rPr>
          <w:rFonts w:cs="Arial"/>
        </w:rPr>
        <w:t>)</w:t>
      </w:r>
      <w:r>
        <w:rPr>
          <w:rFonts w:cs="Arial"/>
        </w:rPr>
        <w:t> </w:t>
      </w:r>
      <w:r w:rsidRPr="003254F5">
        <w:rPr>
          <w:rFonts w:cs="Arial"/>
        </w:rPr>
        <w:t>a</w:t>
      </w:r>
      <w:r>
        <w:rPr>
          <w:rFonts w:cs="Arial"/>
        </w:rPr>
        <w:t> </w:t>
      </w:r>
      <w:r w:rsidRPr="003254F5">
        <w:rPr>
          <w:rFonts w:cs="Arial"/>
        </w:rPr>
        <w:t xml:space="preserve">document forwarded by the General Assembly on the Description of the Contribution of the Relevant WIPO Bodies on the Implementation of respective Development Agenda Recommendations and (ii) a Revised Report on the Measurement of the Millennium Development Goals (MDGs) in Other United Nations Agencies and Specialized Agencies, and on the Contribution of WIPO to the Implementation of the MDGs. </w:t>
      </w:r>
      <w:r w:rsidRPr="003254F5" w:rsidDel="00250986">
        <w:rPr>
          <w:rFonts w:cs="Arial"/>
        </w:rPr>
        <w:t xml:space="preserve"> </w:t>
      </w:r>
      <w:r w:rsidRPr="003254F5">
        <w:rPr>
          <w:rFonts w:cs="Arial"/>
        </w:rPr>
        <w:t>The Committee also continued to discuss Patent-Related Flexibilities in the Multilateral Legal Framework and their Legislative Implementation at the National and Regional Levels and agreed on a Future Work Program on Flexibilities in the Intellectual Property System.  It also continued its discussions on the External Review of WIPO Technical Assistance in the Area of Cooperation for Development together with the Management Response and the Joint Proposal by the Development Agenda and African Groups.  Furthermore, the Committee approved the Terms of Reference (TORs) for the Independent Review of the Implementation of the DA Recommendations and the convening of the International Conference on Intellectual Property and Development.  In addition, the Committee discussed:</w:t>
      </w:r>
      <w:r>
        <w:rPr>
          <w:rFonts w:cs="Arial"/>
        </w:rPr>
        <w:t xml:space="preserve"> </w:t>
      </w:r>
      <w:r w:rsidRPr="003254F5">
        <w:rPr>
          <w:rFonts w:cs="Arial"/>
        </w:rPr>
        <w:t xml:space="preserve"> (</w:t>
      </w:r>
      <w:proofErr w:type="spellStart"/>
      <w:r w:rsidRPr="003254F5">
        <w:rPr>
          <w:rFonts w:cs="Arial"/>
        </w:rPr>
        <w:t>i</w:t>
      </w:r>
      <w:proofErr w:type="spellEnd"/>
      <w:r w:rsidRPr="003254F5">
        <w:rPr>
          <w:rFonts w:cs="Arial"/>
        </w:rPr>
        <w:t xml:space="preserve">) seven studies undertaken in the context of the Project on IP and Socio-Economic Development; </w:t>
      </w:r>
      <w:r>
        <w:rPr>
          <w:rFonts w:cs="Arial"/>
        </w:rPr>
        <w:t xml:space="preserve"> </w:t>
      </w:r>
      <w:r w:rsidRPr="003254F5">
        <w:rPr>
          <w:rFonts w:cs="Arial"/>
        </w:rPr>
        <w:t xml:space="preserve">(ii) six studies undertaken under the Project on Intellectual Property and Technology Transfer: Common Challenges – Building Solutions; </w:t>
      </w:r>
      <w:r>
        <w:rPr>
          <w:rFonts w:cs="Arial"/>
        </w:rPr>
        <w:t xml:space="preserve"> </w:t>
      </w:r>
      <w:r w:rsidRPr="003254F5">
        <w:rPr>
          <w:rFonts w:cs="Arial"/>
        </w:rPr>
        <w:t>(iii) two studies undertaken under the Project in Open Collaborative Projects and IP-Based Models;</w:t>
      </w:r>
      <w:r>
        <w:rPr>
          <w:rFonts w:cs="Arial"/>
        </w:rPr>
        <w:t xml:space="preserve"> </w:t>
      </w:r>
      <w:r w:rsidRPr="003254F5">
        <w:rPr>
          <w:rFonts w:cs="Arial"/>
        </w:rPr>
        <w:t xml:space="preserve"> (iv) four studies under the Project Intellectual Property and Informal Economy; </w:t>
      </w:r>
      <w:r>
        <w:rPr>
          <w:rFonts w:cs="Arial"/>
        </w:rPr>
        <w:t xml:space="preserve"> </w:t>
      </w:r>
      <w:r w:rsidRPr="003254F5">
        <w:rPr>
          <w:rFonts w:cs="Arial"/>
        </w:rPr>
        <w:t>and (v)</w:t>
      </w:r>
      <w:r>
        <w:rPr>
          <w:rFonts w:cs="Arial"/>
        </w:rPr>
        <w:t> </w:t>
      </w:r>
      <w:r w:rsidRPr="003254F5">
        <w:rPr>
          <w:rFonts w:cs="Arial"/>
        </w:rPr>
        <w:t>one study undertaken under the project on Strengthening and Development of the Audiovisual Sector in Burkina Faso and Certain African Countries.  The CDIP continued to benefit from an increasing participation of IGO’s and NGO’s.  By the end of 2014, fifty nine observers participated in the work of the</w:t>
      </w:r>
      <w:r>
        <w:rPr>
          <w:rFonts w:cs="Arial"/>
        </w:rPr>
        <w:t> </w:t>
      </w:r>
      <w:r w:rsidRPr="003254F5">
        <w:rPr>
          <w:rFonts w:cs="Arial"/>
        </w:rPr>
        <w:t>Committee.</w:t>
      </w:r>
    </w:p>
    <w:p w:rsidR="00EE4AA1" w:rsidRPr="006D1EA0" w:rsidRDefault="00EE4AA1" w:rsidP="008D1891">
      <w:pPr>
        <w:tabs>
          <w:tab w:val="left" w:pos="709"/>
        </w:tabs>
        <w:jc w:val="both"/>
        <w:rPr>
          <w:rFonts w:cs="Arial"/>
          <w:szCs w:val="20"/>
        </w:rPr>
      </w:pPr>
    </w:p>
    <w:p w:rsidR="00EE4AA1" w:rsidRPr="003254F5" w:rsidRDefault="00EE4AA1" w:rsidP="00EE4AA1">
      <w:pPr>
        <w:pStyle w:val="ListParagraph"/>
        <w:numPr>
          <w:ilvl w:val="0"/>
          <w:numId w:val="52"/>
        </w:numPr>
        <w:tabs>
          <w:tab w:val="left" w:pos="709"/>
        </w:tabs>
        <w:ind w:left="0" w:firstLine="0"/>
        <w:jc w:val="both"/>
        <w:rPr>
          <w:rFonts w:cs="Arial"/>
        </w:rPr>
      </w:pPr>
      <w:r w:rsidRPr="003254F5">
        <w:rPr>
          <w:rFonts w:cs="Arial"/>
        </w:rPr>
        <w:t xml:space="preserve">The Program continued to ensure that DA related activities and projects were properly implemented, monitored, evaluated and reported upon. In this regard, efforts continued to ensure an effective implementation of the 19 Recommendations for immediate implementation. </w:t>
      </w:r>
      <w:r>
        <w:rPr>
          <w:rFonts w:cs="Arial"/>
        </w:rPr>
        <w:t xml:space="preserve"> </w:t>
      </w:r>
      <w:r w:rsidRPr="003254F5">
        <w:rPr>
          <w:rFonts w:cs="Arial"/>
        </w:rPr>
        <w:t xml:space="preserve">In addition, the Program continued to coordinate the monitoring, evaluation and reporting on the implementation of the projects approved by CDIP and is responsible for the coordination of the implementation of all 45 WIPO DA Recommendations. </w:t>
      </w:r>
    </w:p>
    <w:p w:rsidR="00EE4AA1" w:rsidRDefault="00EE4AA1" w:rsidP="008D1891">
      <w:pPr>
        <w:autoSpaceDE w:val="0"/>
        <w:autoSpaceDN w:val="0"/>
        <w:adjustRightInd w:val="0"/>
        <w:jc w:val="both"/>
        <w:rPr>
          <w:rFonts w:cs="Arial"/>
          <w:szCs w:val="20"/>
        </w:rPr>
      </w:pPr>
    </w:p>
    <w:p w:rsidR="00EE4AA1" w:rsidRDefault="00EE4AA1" w:rsidP="008D1891">
      <w:pPr>
        <w:autoSpaceDE w:val="0"/>
        <w:autoSpaceDN w:val="0"/>
        <w:adjustRightInd w:val="0"/>
        <w:jc w:val="both"/>
        <w:rPr>
          <w:rFonts w:cs="Arial"/>
          <w:szCs w:val="20"/>
        </w:rPr>
      </w:pPr>
    </w:p>
    <w:p w:rsidR="00EE4AA1" w:rsidRDefault="00EE4AA1">
      <w:pPr>
        <w:rPr>
          <w:rFonts w:cs="Arial"/>
          <w:szCs w:val="20"/>
        </w:rPr>
      </w:pPr>
      <w:r>
        <w:rPr>
          <w:rFonts w:cs="Arial"/>
          <w:szCs w:val="20"/>
        </w:rPr>
        <w:br w:type="page"/>
      </w:r>
    </w:p>
    <w:p w:rsidR="00EE4AA1" w:rsidRPr="006D1EA0" w:rsidRDefault="00EE4AA1" w:rsidP="008D1891">
      <w:pPr>
        <w:autoSpaceDE w:val="0"/>
        <w:autoSpaceDN w:val="0"/>
        <w:adjustRightInd w:val="0"/>
        <w:jc w:val="both"/>
        <w:rPr>
          <w:rFonts w:cs="Arial"/>
          <w:szCs w:val="20"/>
        </w:rPr>
      </w:pPr>
      <w:r w:rsidRPr="006D1EA0">
        <w:rPr>
          <w:rFonts w:cs="Arial"/>
          <w:szCs w:val="20"/>
        </w:rPr>
        <w:lastRenderedPageBreak/>
        <w:t>PERFORMANCE DATA</w:t>
      </w:r>
    </w:p>
    <w:p w:rsidR="00EE4AA1" w:rsidRPr="006D1EA0" w:rsidRDefault="00EE4AA1" w:rsidP="008D1891">
      <w:pPr>
        <w:jc w:val="both"/>
        <w:rPr>
          <w:rFonts w:cs="Arial"/>
          <w:bCs/>
          <w:szCs w:val="20"/>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1"/>
        <w:gridCol w:w="2126"/>
        <w:gridCol w:w="1983"/>
        <w:gridCol w:w="2266"/>
        <w:gridCol w:w="992"/>
      </w:tblGrid>
      <w:tr w:rsidR="00EE4AA1" w:rsidRPr="006D1EA0" w:rsidTr="00845557">
        <w:trPr>
          <w:cantSplit/>
        </w:trPr>
        <w:tc>
          <w:tcPr>
            <w:tcW w:w="5000" w:type="pct"/>
            <w:gridSpan w:val="5"/>
            <w:tcBorders>
              <w:top w:val="single" w:sz="4" w:space="0" w:color="auto"/>
              <w:bottom w:val="single" w:sz="4" w:space="0" w:color="auto"/>
            </w:tcBorders>
            <w:shd w:val="clear" w:color="auto" w:fill="CCFFFF"/>
            <w:vAlign w:val="center"/>
          </w:tcPr>
          <w:p w:rsidR="00EE4AA1" w:rsidRPr="006D1EA0" w:rsidRDefault="00EE4AA1" w:rsidP="008D1891">
            <w:pPr>
              <w:keepNext/>
              <w:keepLines/>
              <w:tabs>
                <w:tab w:val="left" w:pos="1452"/>
              </w:tabs>
              <w:spacing w:before="120" w:after="120"/>
              <w:ind w:left="1452" w:hanging="1452"/>
              <w:jc w:val="both"/>
              <w:rPr>
                <w:rFonts w:cs="Arial"/>
                <w:b/>
                <w:bCs/>
                <w:sz w:val="16"/>
                <w:szCs w:val="16"/>
              </w:rPr>
            </w:pPr>
            <w:r w:rsidRPr="006D1EA0">
              <w:rPr>
                <w:rFonts w:cs="Arial"/>
                <w:b/>
                <w:bCs/>
                <w:sz w:val="16"/>
                <w:szCs w:val="16"/>
              </w:rPr>
              <w:t>Expected Result:</w:t>
            </w:r>
            <w:r w:rsidRPr="006D1EA0">
              <w:rPr>
                <w:rFonts w:cs="Arial"/>
                <w:b/>
                <w:bCs/>
                <w:sz w:val="16"/>
                <w:szCs w:val="16"/>
              </w:rPr>
              <w:tab/>
            </w:r>
            <w:r w:rsidRPr="006D1EA0">
              <w:rPr>
                <w:rFonts w:cs="Arial"/>
                <w:sz w:val="16"/>
                <w:szCs w:val="16"/>
                <w:lang w:bidi="th-TH"/>
              </w:rPr>
              <w:t>III.3 Mainstreaming of the DA recommendations in the work of WIPO</w:t>
            </w:r>
          </w:p>
        </w:tc>
      </w:tr>
      <w:tr w:rsidR="00EE4AA1" w:rsidRPr="006D1EA0" w:rsidTr="00845557">
        <w:trPr>
          <w:cantSplit/>
        </w:trPr>
        <w:tc>
          <w:tcPr>
            <w:tcW w:w="1122" w:type="pct"/>
            <w:tcBorders>
              <w:top w:val="single" w:sz="4" w:space="0" w:color="auto"/>
              <w:left w:val="single" w:sz="4" w:space="0" w:color="auto"/>
              <w:bottom w:val="nil"/>
            </w:tcBorders>
            <w:shd w:val="clear" w:color="auto" w:fill="auto"/>
            <w:vAlign w:val="center"/>
          </w:tcPr>
          <w:p w:rsidR="00EE4AA1" w:rsidRPr="006D1EA0" w:rsidRDefault="00EE4AA1" w:rsidP="008D1891">
            <w:pPr>
              <w:jc w:val="both"/>
              <w:rPr>
                <w:rFonts w:cs="Arial"/>
                <w:sz w:val="16"/>
                <w:szCs w:val="16"/>
              </w:rPr>
            </w:pPr>
            <w:r w:rsidRPr="006D1EA0">
              <w:rPr>
                <w:rFonts w:cs="Arial"/>
                <w:b/>
                <w:bCs/>
                <w:sz w:val="16"/>
                <w:szCs w:val="16"/>
              </w:rPr>
              <w:t>Performance Indicators</w:t>
            </w:r>
          </w:p>
        </w:tc>
        <w:tc>
          <w:tcPr>
            <w:tcW w:w="1119" w:type="pct"/>
            <w:tcBorders>
              <w:top w:val="single" w:sz="4" w:space="0" w:color="auto"/>
              <w:bottom w:val="nil"/>
            </w:tcBorders>
            <w:shd w:val="clear" w:color="auto" w:fill="auto"/>
            <w:vAlign w:val="center"/>
          </w:tcPr>
          <w:p w:rsidR="00EE4AA1" w:rsidRPr="006D1EA0" w:rsidRDefault="00EE4AA1" w:rsidP="008D1891">
            <w:pPr>
              <w:jc w:val="both"/>
              <w:rPr>
                <w:rFonts w:cs="Arial"/>
                <w:b/>
                <w:bCs/>
                <w:sz w:val="16"/>
                <w:szCs w:val="16"/>
              </w:rPr>
            </w:pPr>
            <w:r w:rsidRPr="006D1EA0">
              <w:rPr>
                <w:rFonts w:cs="Arial"/>
                <w:b/>
                <w:bCs/>
                <w:sz w:val="16"/>
                <w:szCs w:val="16"/>
              </w:rPr>
              <w:t>Baselines</w:t>
            </w:r>
          </w:p>
        </w:tc>
        <w:tc>
          <w:tcPr>
            <w:tcW w:w="1044" w:type="pct"/>
            <w:tcBorders>
              <w:top w:val="single" w:sz="4" w:space="0" w:color="auto"/>
              <w:bottom w:val="nil"/>
            </w:tcBorders>
            <w:shd w:val="clear" w:color="auto" w:fill="auto"/>
            <w:tcMar>
              <w:top w:w="110" w:type="dxa"/>
            </w:tcMar>
            <w:vAlign w:val="center"/>
          </w:tcPr>
          <w:p w:rsidR="00EE4AA1" w:rsidRPr="006D1EA0" w:rsidRDefault="00EE4AA1" w:rsidP="008D1891">
            <w:pPr>
              <w:jc w:val="both"/>
              <w:rPr>
                <w:rFonts w:cs="Arial"/>
                <w:b/>
                <w:sz w:val="16"/>
                <w:szCs w:val="16"/>
              </w:rPr>
            </w:pPr>
            <w:r w:rsidRPr="006D1EA0">
              <w:rPr>
                <w:rFonts w:cs="Arial"/>
                <w:b/>
                <w:sz w:val="16"/>
                <w:szCs w:val="16"/>
              </w:rPr>
              <w:t>Targets</w:t>
            </w:r>
          </w:p>
        </w:tc>
        <w:tc>
          <w:tcPr>
            <w:tcW w:w="1193" w:type="pct"/>
            <w:tcBorders>
              <w:top w:val="single" w:sz="4" w:space="0" w:color="auto"/>
              <w:bottom w:val="nil"/>
            </w:tcBorders>
            <w:shd w:val="clear" w:color="auto" w:fill="FFFFFF"/>
            <w:tcMar>
              <w:top w:w="110" w:type="dxa"/>
            </w:tcMar>
            <w:vAlign w:val="center"/>
          </w:tcPr>
          <w:p w:rsidR="00EE4AA1" w:rsidRPr="006D1EA0" w:rsidRDefault="00EE4AA1" w:rsidP="008D1891">
            <w:pPr>
              <w:jc w:val="both"/>
              <w:rPr>
                <w:rFonts w:cs="Arial"/>
                <w:sz w:val="16"/>
                <w:szCs w:val="16"/>
              </w:rPr>
            </w:pPr>
            <w:r w:rsidRPr="006D1EA0">
              <w:rPr>
                <w:rFonts w:cs="Arial"/>
                <w:b/>
                <w:bCs/>
                <w:sz w:val="16"/>
                <w:szCs w:val="16"/>
              </w:rPr>
              <w:t>Performance Data</w:t>
            </w:r>
          </w:p>
        </w:tc>
        <w:tc>
          <w:tcPr>
            <w:tcW w:w="522" w:type="pct"/>
            <w:tcBorders>
              <w:top w:val="single" w:sz="4" w:space="0" w:color="auto"/>
              <w:bottom w:val="nil"/>
              <w:right w:val="single" w:sz="4" w:space="0" w:color="auto"/>
            </w:tcBorders>
            <w:shd w:val="clear" w:color="auto" w:fill="auto"/>
            <w:tcMar>
              <w:top w:w="110" w:type="dxa"/>
            </w:tcMar>
            <w:vAlign w:val="center"/>
          </w:tcPr>
          <w:p w:rsidR="00EE4AA1" w:rsidRPr="006D1EA0" w:rsidRDefault="00EE4AA1" w:rsidP="008D1891">
            <w:pPr>
              <w:keepNext/>
              <w:keepLines/>
              <w:jc w:val="center"/>
              <w:rPr>
                <w:rFonts w:cs="Arial"/>
                <w:b/>
                <w:bCs/>
                <w:sz w:val="16"/>
                <w:szCs w:val="16"/>
              </w:rPr>
            </w:pPr>
            <w:r w:rsidRPr="006D1EA0">
              <w:rPr>
                <w:rFonts w:cs="Arial"/>
                <w:b/>
                <w:bCs/>
                <w:sz w:val="16"/>
                <w:szCs w:val="16"/>
              </w:rPr>
              <w:t>TLS</w:t>
            </w:r>
          </w:p>
        </w:tc>
      </w:tr>
      <w:tr w:rsidR="00EE4AA1" w:rsidRPr="006D1EA0" w:rsidTr="00845557">
        <w:trPr>
          <w:cantSplit/>
        </w:trPr>
        <w:tc>
          <w:tcPr>
            <w:tcW w:w="1122" w:type="pct"/>
            <w:tcBorders>
              <w:top w:val="nil"/>
              <w:left w:val="single" w:sz="4" w:space="0" w:color="auto"/>
              <w:bottom w:val="nil"/>
            </w:tcBorders>
            <w:shd w:val="clear" w:color="auto" w:fill="auto"/>
          </w:tcPr>
          <w:p w:rsidR="00EE4AA1" w:rsidRPr="006D1EA0" w:rsidRDefault="00EE4AA1" w:rsidP="008D1891">
            <w:pPr>
              <w:rPr>
                <w:rFonts w:cs="Arial"/>
                <w:sz w:val="16"/>
                <w:szCs w:val="16"/>
                <w:lang w:bidi="th-TH"/>
              </w:rPr>
            </w:pPr>
            <w:r w:rsidRPr="006D1EA0">
              <w:rPr>
                <w:rFonts w:cs="Arial"/>
                <w:sz w:val="16"/>
                <w:szCs w:val="16"/>
                <w:lang w:bidi="th-TH"/>
              </w:rPr>
              <w:t>N</w:t>
            </w:r>
            <w:r>
              <w:rPr>
                <w:rFonts w:cs="Arial"/>
                <w:sz w:val="16"/>
                <w:szCs w:val="16"/>
                <w:lang w:bidi="th-TH"/>
              </w:rPr>
              <w:t>o.</w:t>
            </w:r>
            <w:r w:rsidRPr="006D1EA0">
              <w:rPr>
                <w:rFonts w:cs="Arial"/>
                <w:sz w:val="16"/>
                <w:szCs w:val="16"/>
                <w:lang w:bidi="th-TH"/>
              </w:rPr>
              <w:t xml:space="preserve"> of DA recommendations that have been addressed by the CDIP through projects, activities and studies</w:t>
            </w:r>
          </w:p>
        </w:tc>
        <w:tc>
          <w:tcPr>
            <w:tcW w:w="1119" w:type="pct"/>
            <w:tcBorders>
              <w:top w:val="nil"/>
              <w:bottom w:val="nil"/>
            </w:tcBorders>
            <w:shd w:val="clear" w:color="auto" w:fill="auto"/>
          </w:tcPr>
          <w:p w:rsidR="00EE4AA1" w:rsidRPr="006D1EA0" w:rsidRDefault="00EE4AA1" w:rsidP="008D1891">
            <w:pPr>
              <w:rPr>
                <w:rFonts w:cs="Arial"/>
                <w:color w:val="002060"/>
                <w:sz w:val="16"/>
                <w:szCs w:val="16"/>
                <w:lang w:bidi="th-TH"/>
              </w:rPr>
            </w:pPr>
            <w:r w:rsidRPr="006D1EA0">
              <w:rPr>
                <w:rFonts w:cs="Arial"/>
                <w:i/>
                <w:color w:val="002060"/>
                <w:sz w:val="16"/>
                <w:szCs w:val="16"/>
              </w:rPr>
              <w:t>Updated Baseline end</w:t>
            </w:r>
            <w:r>
              <w:rPr>
                <w:rFonts w:cs="Arial"/>
                <w:i/>
                <w:color w:val="002060"/>
                <w:sz w:val="16"/>
                <w:szCs w:val="16"/>
              </w:rPr>
              <w:t> </w:t>
            </w:r>
            <w:r w:rsidRPr="006D1EA0">
              <w:rPr>
                <w:rFonts w:cs="Arial"/>
                <w:i/>
                <w:color w:val="002060"/>
                <w:sz w:val="16"/>
                <w:szCs w:val="16"/>
              </w:rPr>
              <w:t xml:space="preserve">2013:  </w:t>
            </w:r>
            <w:r w:rsidRPr="001D2E83">
              <w:rPr>
                <w:rFonts w:cs="Arial"/>
                <w:sz w:val="16"/>
                <w:szCs w:val="16"/>
                <w:lang w:bidi="th-TH"/>
              </w:rPr>
              <w:t>45 DA recommendations</w:t>
            </w:r>
          </w:p>
          <w:p w:rsidR="00EE4AA1" w:rsidRPr="006D1EA0" w:rsidRDefault="00EE4AA1" w:rsidP="008D1891">
            <w:pPr>
              <w:rPr>
                <w:rFonts w:cs="Arial"/>
                <w:i/>
                <w:color w:val="002060"/>
                <w:sz w:val="16"/>
                <w:szCs w:val="16"/>
              </w:rPr>
            </w:pPr>
          </w:p>
          <w:p w:rsidR="00EE4AA1" w:rsidRPr="006D1EA0" w:rsidRDefault="00EE4AA1" w:rsidP="008D1891">
            <w:pPr>
              <w:rPr>
                <w:rFonts w:cs="Arial"/>
                <w:sz w:val="16"/>
                <w:szCs w:val="16"/>
              </w:rPr>
            </w:pPr>
            <w:r w:rsidRPr="006D1EA0">
              <w:rPr>
                <w:rFonts w:cs="Arial"/>
                <w:i/>
                <w:sz w:val="16"/>
                <w:szCs w:val="16"/>
              </w:rPr>
              <w:t>Original Baseline P&amp;B</w:t>
            </w:r>
            <w:r>
              <w:rPr>
                <w:rFonts w:cs="Arial"/>
                <w:i/>
                <w:sz w:val="16"/>
                <w:szCs w:val="16"/>
              </w:rPr>
              <w:t> </w:t>
            </w:r>
            <w:r w:rsidRPr="006D1EA0">
              <w:rPr>
                <w:rFonts w:cs="Arial"/>
                <w:i/>
                <w:sz w:val="16"/>
                <w:szCs w:val="16"/>
              </w:rPr>
              <w:t>2014/15:</w:t>
            </w:r>
            <w:r w:rsidRPr="006D1EA0">
              <w:rPr>
                <w:rFonts w:cs="Arial"/>
                <w:sz w:val="16"/>
                <w:szCs w:val="16"/>
              </w:rPr>
              <w:t xml:space="preserve">  </w:t>
            </w:r>
            <w:r w:rsidRPr="00092734">
              <w:rPr>
                <w:rFonts w:cs="Arial"/>
                <w:sz w:val="16"/>
                <w:szCs w:val="16"/>
              </w:rPr>
              <w:t>42 recommendations addressed by the Committee in December 2011</w:t>
            </w:r>
          </w:p>
          <w:p w:rsidR="00EE4AA1" w:rsidRPr="006D1EA0" w:rsidRDefault="00EE4AA1" w:rsidP="008D1891">
            <w:pPr>
              <w:rPr>
                <w:rFonts w:cs="Arial"/>
                <w:sz w:val="16"/>
                <w:szCs w:val="16"/>
              </w:rPr>
            </w:pPr>
          </w:p>
        </w:tc>
        <w:tc>
          <w:tcPr>
            <w:tcW w:w="1044" w:type="pct"/>
            <w:tcBorders>
              <w:top w:val="nil"/>
              <w:bottom w:val="nil"/>
            </w:tcBorders>
            <w:shd w:val="clear" w:color="auto" w:fill="auto"/>
            <w:tcMar>
              <w:top w:w="110" w:type="dxa"/>
            </w:tcMar>
          </w:tcPr>
          <w:p w:rsidR="00EE4AA1" w:rsidRPr="006D1EA0" w:rsidRDefault="00EE4AA1" w:rsidP="008D1891">
            <w:pPr>
              <w:rPr>
                <w:rFonts w:cs="Arial"/>
                <w:sz w:val="16"/>
                <w:szCs w:val="16"/>
                <w:lang w:bidi="th-TH"/>
              </w:rPr>
            </w:pPr>
            <w:r>
              <w:rPr>
                <w:rFonts w:cs="Arial"/>
                <w:sz w:val="16"/>
                <w:szCs w:val="16"/>
              </w:rPr>
              <w:t>45</w:t>
            </w:r>
            <w:r w:rsidRPr="006D1EA0">
              <w:rPr>
                <w:rFonts w:cs="Arial"/>
                <w:sz w:val="16"/>
                <w:szCs w:val="16"/>
              </w:rPr>
              <w:t xml:space="preserve"> recommendations to be addressed by the CDIP</w:t>
            </w:r>
          </w:p>
        </w:tc>
        <w:tc>
          <w:tcPr>
            <w:tcW w:w="1193" w:type="pct"/>
            <w:tcBorders>
              <w:top w:val="nil"/>
              <w:bottom w:val="nil"/>
            </w:tcBorders>
            <w:shd w:val="clear" w:color="auto" w:fill="FFFFFF"/>
            <w:tcMar>
              <w:top w:w="110" w:type="dxa"/>
            </w:tcMar>
          </w:tcPr>
          <w:p w:rsidR="00EE4AA1" w:rsidRPr="006D1EA0" w:rsidRDefault="00EE4AA1" w:rsidP="008D1891">
            <w:pPr>
              <w:rPr>
                <w:rFonts w:cs="Arial"/>
                <w:sz w:val="16"/>
                <w:szCs w:val="16"/>
                <w:lang w:bidi="th-TH"/>
              </w:rPr>
            </w:pPr>
            <w:r>
              <w:rPr>
                <w:rFonts w:cs="Arial"/>
                <w:sz w:val="16"/>
                <w:szCs w:val="16"/>
                <w:lang w:bidi="th-TH"/>
              </w:rPr>
              <w:t xml:space="preserve">45 DA recommendations addressed as per the </w:t>
            </w:r>
            <w:r w:rsidRPr="006D1EA0">
              <w:rPr>
                <w:rFonts w:cs="Arial"/>
                <w:sz w:val="16"/>
                <w:szCs w:val="16"/>
                <w:lang w:bidi="th-TH"/>
              </w:rPr>
              <w:t>Progress Report</w:t>
            </w:r>
            <w:r>
              <w:rPr>
                <w:rFonts w:cs="Arial"/>
                <w:sz w:val="16"/>
                <w:szCs w:val="16"/>
                <w:lang w:bidi="th-TH"/>
              </w:rPr>
              <w:t xml:space="preserve"> (CDIP/14/2)</w:t>
            </w:r>
          </w:p>
        </w:tc>
        <w:tc>
          <w:tcPr>
            <w:tcW w:w="522" w:type="pct"/>
            <w:tcBorders>
              <w:top w:val="nil"/>
              <w:bottom w:val="nil"/>
              <w:right w:val="single" w:sz="4" w:space="0" w:color="auto"/>
            </w:tcBorders>
            <w:shd w:val="clear" w:color="auto" w:fill="auto"/>
            <w:tcMar>
              <w:top w:w="110" w:type="dxa"/>
            </w:tcMar>
          </w:tcPr>
          <w:p w:rsidR="00EE4AA1" w:rsidRPr="006D1EA0" w:rsidRDefault="00EE4AA1" w:rsidP="008D1891">
            <w:pPr>
              <w:keepNext/>
              <w:keepLines/>
              <w:jc w:val="center"/>
              <w:rPr>
                <w:rFonts w:cs="Arial"/>
                <w:b/>
                <w:bCs/>
                <w:color w:val="00B050"/>
                <w:sz w:val="16"/>
                <w:szCs w:val="16"/>
              </w:rPr>
            </w:pPr>
            <w:r w:rsidRPr="006D1EA0">
              <w:rPr>
                <w:rFonts w:cs="Arial"/>
                <w:b/>
                <w:bCs/>
                <w:color w:val="00B050"/>
                <w:sz w:val="16"/>
                <w:szCs w:val="16"/>
              </w:rPr>
              <w:t>On track</w:t>
            </w:r>
          </w:p>
        </w:tc>
      </w:tr>
      <w:tr w:rsidR="00EE4AA1" w:rsidRPr="006D1EA0" w:rsidTr="00845557">
        <w:trPr>
          <w:cantSplit/>
        </w:trPr>
        <w:tc>
          <w:tcPr>
            <w:tcW w:w="1122" w:type="pct"/>
            <w:tcBorders>
              <w:top w:val="nil"/>
              <w:left w:val="single" w:sz="4" w:space="0" w:color="auto"/>
              <w:bottom w:val="nil"/>
            </w:tcBorders>
            <w:shd w:val="clear" w:color="auto" w:fill="auto"/>
          </w:tcPr>
          <w:p w:rsidR="00EE4AA1" w:rsidRPr="006D1EA0" w:rsidRDefault="00EE4AA1" w:rsidP="008D1891">
            <w:pPr>
              <w:rPr>
                <w:rFonts w:cs="Arial"/>
                <w:sz w:val="16"/>
                <w:szCs w:val="16"/>
                <w:lang w:bidi="th-TH"/>
              </w:rPr>
            </w:pPr>
            <w:r>
              <w:rPr>
                <w:rFonts w:cs="Arial"/>
                <w:sz w:val="16"/>
                <w:szCs w:val="16"/>
                <w:lang w:bidi="th-TH"/>
              </w:rPr>
              <w:t>Rate of satisfaction among Member States with the results of the projects, activities and studies</w:t>
            </w:r>
          </w:p>
        </w:tc>
        <w:tc>
          <w:tcPr>
            <w:tcW w:w="1119" w:type="pct"/>
            <w:tcBorders>
              <w:top w:val="nil"/>
              <w:bottom w:val="nil"/>
            </w:tcBorders>
            <w:shd w:val="clear" w:color="auto" w:fill="auto"/>
          </w:tcPr>
          <w:p w:rsidR="00EE4AA1" w:rsidRPr="006D1EA0" w:rsidRDefault="00EE4AA1" w:rsidP="008D1891">
            <w:pPr>
              <w:rPr>
                <w:rFonts w:cs="Arial"/>
                <w:sz w:val="16"/>
                <w:szCs w:val="16"/>
              </w:rPr>
            </w:pPr>
            <w:r>
              <w:rPr>
                <w:rFonts w:cs="Arial"/>
                <w:sz w:val="16"/>
                <w:szCs w:val="16"/>
              </w:rPr>
              <w:t>80%</w:t>
            </w:r>
          </w:p>
          <w:p w:rsidR="00EE4AA1" w:rsidRPr="006D1EA0" w:rsidRDefault="00EE4AA1" w:rsidP="008D1891">
            <w:pPr>
              <w:rPr>
                <w:rFonts w:cs="Arial"/>
                <w:i/>
                <w:color w:val="002060"/>
                <w:sz w:val="16"/>
                <w:szCs w:val="16"/>
              </w:rPr>
            </w:pPr>
          </w:p>
        </w:tc>
        <w:tc>
          <w:tcPr>
            <w:tcW w:w="1044" w:type="pct"/>
            <w:tcBorders>
              <w:top w:val="nil"/>
              <w:bottom w:val="nil"/>
            </w:tcBorders>
            <w:shd w:val="clear" w:color="auto" w:fill="auto"/>
            <w:tcMar>
              <w:top w:w="110" w:type="dxa"/>
            </w:tcMar>
          </w:tcPr>
          <w:p w:rsidR="00EE4AA1" w:rsidRPr="006D1EA0" w:rsidRDefault="00EE4AA1" w:rsidP="008D1891">
            <w:pPr>
              <w:autoSpaceDE w:val="0"/>
              <w:autoSpaceDN w:val="0"/>
              <w:adjustRightInd w:val="0"/>
              <w:rPr>
                <w:rFonts w:cs="Arial"/>
                <w:sz w:val="16"/>
                <w:szCs w:val="16"/>
              </w:rPr>
            </w:pPr>
            <w:r>
              <w:rPr>
                <w:rFonts w:cs="Arial"/>
                <w:sz w:val="16"/>
                <w:szCs w:val="16"/>
              </w:rPr>
              <w:t>80%</w:t>
            </w:r>
          </w:p>
        </w:tc>
        <w:tc>
          <w:tcPr>
            <w:tcW w:w="1193" w:type="pct"/>
            <w:tcBorders>
              <w:top w:val="nil"/>
              <w:bottom w:val="nil"/>
            </w:tcBorders>
            <w:shd w:val="clear" w:color="auto" w:fill="FFFFFF"/>
            <w:tcMar>
              <w:top w:w="110" w:type="dxa"/>
            </w:tcMar>
          </w:tcPr>
          <w:p w:rsidR="00EE4AA1" w:rsidRPr="00972A0D" w:rsidRDefault="00EE4AA1" w:rsidP="008D1891">
            <w:pPr>
              <w:rPr>
                <w:rFonts w:cs="Arial"/>
                <w:sz w:val="16"/>
                <w:szCs w:val="16"/>
                <w:lang w:bidi="th-TH"/>
              </w:rPr>
            </w:pPr>
            <w:r>
              <w:rPr>
                <w:rFonts w:cs="Arial"/>
                <w:sz w:val="16"/>
                <w:szCs w:val="16"/>
              </w:rPr>
              <w:t>Survey conducted on a biennial basis</w:t>
            </w:r>
          </w:p>
        </w:tc>
        <w:tc>
          <w:tcPr>
            <w:tcW w:w="522" w:type="pct"/>
            <w:tcBorders>
              <w:top w:val="nil"/>
              <w:bottom w:val="nil"/>
              <w:right w:val="single" w:sz="4" w:space="0" w:color="auto"/>
            </w:tcBorders>
            <w:shd w:val="clear" w:color="auto" w:fill="auto"/>
            <w:tcMar>
              <w:top w:w="110" w:type="dxa"/>
            </w:tcMar>
          </w:tcPr>
          <w:p w:rsidR="00EE4AA1" w:rsidRPr="00105C3E" w:rsidRDefault="00EE4AA1" w:rsidP="008D1891">
            <w:pPr>
              <w:keepNext/>
              <w:keepLines/>
              <w:jc w:val="center"/>
              <w:rPr>
                <w:rFonts w:cs="Arial"/>
                <w:b/>
                <w:bCs/>
                <w:color w:val="0070C0"/>
                <w:sz w:val="16"/>
                <w:szCs w:val="16"/>
              </w:rPr>
            </w:pPr>
            <w:r w:rsidRPr="00105C3E">
              <w:rPr>
                <w:rFonts w:cs="Arial"/>
                <w:b/>
                <w:bCs/>
                <w:color w:val="0070C0"/>
                <w:sz w:val="16"/>
                <w:szCs w:val="16"/>
              </w:rPr>
              <w:t>N/A 2014</w:t>
            </w:r>
          </w:p>
        </w:tc>
      </w:tr>
      <w:tr w:rsidR="00EE4AA1" w:rsidRPr="006D1EA0" w:rsidTr="00845557">
        <w:trPr>
          <w:cantSplit/>
        </w:trPr>
        <w:tc>
          <w:tcPr>
            <w:tcW w:w="1122" w:type="pct"/>
            <w:tcBorders>
              <w:top w:val="nil"/>
              <w:left w:val="single" w:sz="4" w:space="0" w:color="auto"/>
              <w:bottom w:val="nil"/>
            </w:tcBorders>
            <w:shd w:val="clear" w:color="auto" w:fill="auto"/>
          </w:tcPr>
          <w:p w:rsidR="00EE4AA1" w:rsidRPr="006D1EA0" w:rsidRDefault="00EE4AA1" w:rsidP="008D1891">
            <w:pPr>
              <w:rPr>
                <w:rFonts w:cs="Arial"/>
                <w:sz w:val="16"/>
                <w:szCs w:val="16"/>
                <w:lang w:bidi="th-TH"/>
              </w:rPr>
            </w:pPr>
            <w:r w:rsidRPr="006D1EA0">
              <w:rPr>
                <w:rFonts w:cs="Arial"/>
                <w:sz w:val="16"/>
                <w:szCs w:val="16"/>
                <w:lang w:bidi="th-TH"/>
              </w:rPr>
              <w:t>Implementation of the  coordination mechanism as approved by Member States</w:t>
            </w:r>
          </w:p>
        </w:tc>
        <w:tc>
          <w:tcPr>
            <w:tcW w:w="1119" w:type="pct"/>
            <w:tcBorders>
              <w:top w:val="nil"/>
              <w:bottom w:val="nil"/>
            </w:tcBorders>
            <w:shd w:val="clear" w:color="auto" w:fill="auto"/>
          </w:tcPr>
          <w:p w:rsidR="00EE4AA1" w:rsidRPr="006D1EA0" w:rsidRDefault="00EE4AA1" w:rsidP="008D1891">
            <w:pPr>
              <w:rPr>
                <w:rFonts w:cs="Arial"/>
                <w:color w:val="002060"/>
                <w:sz w:val="16"/>
                <w:szCs w:val="16"/>
                <w:lang w:bidi="th-TH"/>
              </w:rPr>
            </w:pPr>
            <w:r w:rsidRPr="006D1EA0">
              <w:rPr>
                <w:rFonts w:cs="Arial"/>
                <w:i/>
                <w:color w:val="002060"/>
                <w:sz w:val="16"/>
                <w:szCs w:val="16"/>
              </w:rPr>
              <w:t xml:space="preserve">Updated Baseline end 2013:  </w:t>
            </w:r>
            <w:r w:rsidRPr="001D2E83">
              <w:rPr>
                <w:rFonts w:cs="Arial"/>
                <w:sz w:val="16"/>
                <w:szCs w:val="16"/>
              </w:rPr>
              <w:t xml:space="preserve"> Two A</w:t>
            </w:r>
            <w:r w:rsidRPr="001D2E83">
              <w:rPr>
                <w:rFonts w:cs="Arial"/>
                <w:sz w:val="16"/>
                <w:szCs w:val="16"/>
                <w:lang w:bidi="th-TH"/>
              </w:rPr>
              <w:t>nnual reports to the Assemblies on the description of the contribution of WIPO Bodies to the implementation of the respective Development Agenda Recommendations discussed by the CDIP (</w:t>
            </w:r>
            <w:r w:rsidRPr="001D2E83">
              <w:rPr>
                <w:rFonts w:cs="Arial"/>
                <w:sz w:val="16"/>
                <w:szCs w:val="16"/>
              </w:rPr>
              <w:t>WO/GA/41/12 and WO/GA/43/10)</w:t>
            </w:r>
            <w:r>
              <w:rPr>
                <w:rFonts w:cs="Arial"/>
                <w:sz w:val="16"/>
                <w:szCs w:val="16"/>
              </w:rPr>
              <w:t>.</w:t>
            </w:r>
            <w:r w:rsidRPr="001D2E83">
              <w:rPr>
                <w:rStyle w:val="FootnoteReference"/>
                <w:rFonts w:cs="Arial"/>
                <w:sz w:val="16"/>
                <w:szCs w:val="16"/>
                <w:lang w:bidi="th-TH"/>
              </w:rPr>
              <w:footnoteReference w:id="21"/>
            </w:r>
          </w:p>
          <w:p w:rsidR="00EE4AA1" w:rsidRPr="006D1EA0" w:rsidRDefault="00EE4AA1" w:rsidP="008D1891">
            <w:pPr>
              <w:rPr>
                <w:rFonts w:cs="Arial"/>
                <w:i/>
                <w:color w:val="002060"/>
                <w:sz w:val="16"/>
                <w:szCs w:val="16"/>
              </w:rPr>
            </w:pPr>
          </w:p>
          <w:p w:rsidR="00EE4AA1" w:rsidRPr="006D1EA0" w:rsidRDefault="00EE4AA1" w:rsidP="008D1891">
            <w:pPr>
              <w:rPr>
                <w:rFonts w:cs="Arial"/>
                <w:sz w:val="16"/>
                <w:szCs w:val="16"/>
                <w:lang w:bidi="th-TH"/>
              </w:rPr>
            </w:pPr>
            <w:r w:rsidRPr="006D1EA0">
              <w:rPr>
                <w:rFonts w:cs="Arial"/>
                <w:i/>
                <w:sz w:val="16"/>
                <w:szCs w:val="16"/>
              </w:rPr>
              <w:t>Original Baseline P&amp;B</w:t>
            </w:r>
            <w:r>
              <w:rPr>
                <w:rFonts w:cs="Arial"/>
                <w:i/>
                <w:sz w:val="16"/>
                <w:szCs w:val="16"/>
              </w:rPr>
              <w:t> </w:t>
            </w:r>
            <w:r w:rsidRPr="006D1EA0">
              <w:rPr>
                <w:rFonts w:cs="Arial"/>
                <w:i/>
                <w:sz w:val="16"/>
                <w:szCs w:val="16"/>
              </w:rPr>
              <w:t>2014/15:</w:t>
            </w:r>
            <w:r w:rsidRPr="006D1EA0">
              <w:rPr>
                <w:rFonts w:cs="Arial"/>
                <w:sz w:val="16"/>
                <w:szCs w:val="16"/>
              </w:rPr>
              <w:t xml:space="preserve">  Coordination Mechanisms and Monitoring, Assessing and Reporting Modalities approved by the Committee in April 2010</w:t>
            </w:r>
          </w:p>
        </w:tc>
        <w:tc>
          <w:tcPr>
            <w:tcW w:w="1044" w:type="pct"/>
            <w:tcBorders>
              <w:top w:val="nil"/>
              <w:bottom w:val="nil"/>
            </w:tcBorders>
            <w:shd w:val="clear" w:color="auto" w:fill="auto"/>
            <w:tcMar>
              <w:top w:w="110" w:type="dxa"/>
            </w:tcMar>
          </w:tcPr>
          <w:p w:rsidR="00EE4AA1" w:rsidRPr="006D1EA0" w:rsidRDefault="00EE4AA1" w:rsidP="008D1891">
            <w:pPr>
              <w:autoSpaceDE w:val="0"/>
              <w:autoSpaceDN w:val="0"/>
              <w:adjustRightInd w:val="0"/>
              <w:rPr>
                <w:rFonts w:cs="Arial"/>
                <w:sz w:val="16"/>
                <w:szCs w:val="16"/>
              </w:rPr>
            </w:pPr>
            <w:r w:rsidRPr="006D1EA0">
              <w:rPr>
                <w:rFonts w:cs="Arial"/>
                <w:sz w:val="16"/>
                <w:szCs w:val="16"/>
              </w:rPr>
              <w:t>Coordination Mechanisms implemented in accordance with the decision of Member States</w:t>
            </w:r>
          </w:p>
        </w:tc>
        <w:tc>
          <w:tcPr>
            <w:tcW w:w="1193" w:type="pct"/>
            <w:tcBorders>
              <w:top w:val="nil"/>
              <w:bottom w:val="nil"/>
            </w:tcBorders>
            <w:shd w:val="clear" w:color="auto" w:fill="FFFFFF"/>
            <w:tcMar>
              <w:top w:w="110" w:type="dxa"/>
            </w:tcMar>
          </w:tcPr>
          <w:p w:rsidR="00EE4AA1" w:rsidRPr="006D1EA0" w:rsidRDefault="00EE4AA1" w:rsidP="008D1891">
            <w:pPr>
              <w:rPr>
                <w:rFonts w:cs="Arial"/>
                <w:sz w:val="16"/>
                <w:szCs w:val="16"/>
                <w:lang w:bidi="th-TH"/>
              </w:rPr>
            </w:pPr>
            <w:r w:rsidRPr="00972A0D">
              <w:rPr>
                <w:rFonts w:cs="Arial"/>
                <w:sz w:val="16"/>
                <w:szCs w:val="16"/>
                <w:lang w:bidi="th-TH"/>
              </w:rPr>
              <w:t>Coordination Mechanisms implemented in accordance with the decision of Member States</w:t>
            </w:r>
            <w:r>
              <w:rPr>
                <w:rFonts w:cs="Arial"/>
                <w:sz w:val="16"/>
                <w:szCs w:val="16"/>
                <w:lang w:bidi="th-TH"/>
              </w:rPr>
              <w:t xml:space="preserve"> as detailed in the Director General’s Report on the Implementation of the DA (CDIP/15/2)</w:t>
            </w:r>
            <w:r w:rsidRPr="00972A0D">
              <w:rPr>
                <w:rFonts w:cs="Arial"/>
                <w:sz w:val="16"/>
                <w:szCs w:val="16"/>
                <w:lang w:bidi="th-TH"/>
              </w:rPr>
              <w:t xml:space="preserve"> </w:t>
            </w:r>
          </w:p>
        </w:tc>
        <w:tc>
          <w:tcPr>
            <w:tcW w:w="522" w:type="pct"/>
            <w:tcBorders>
              <w:top w:val="nil"/>
              <w:bottom w:val="nil"/>
              <w:right w:val="single" w:sz="4" w:space="0" w:color="auto"/>
            </w:tcBorders>
            <w:shd w:val="clear" w:color="auto" w:fill="auto"/>
            <w:tcMar>
              <w:top w:w="110" w:type="dxa"/>
            </w:tcMar>
          </w:tcPr>
          <w:p w:rsidR="00EE4AA1" w:rsidRPr="006D1EA0" w:rsidRDefault="00EE4AA1" w:rsidP="008D1891">
            <w:pPr>
              <w:keepNext/>
              <w:keepLines/>
              <w:jc w:val="center"/>
              <w:rPr>
                <w:rFonts w:cs="Arial"/>
                <w:bCs/>
                <w:sz w:val="16"/>
                <w:szCs w:val="16"/>
              </w:rPr>
            </w:pPr>
            <w:r w:rsidRPr="006D1EA0">
              <w:rPr>
                <w:rFonts w:cs="Arial"/>
                <w:b/>
                <w:bCs/>
                <w:color w:val="00B050"/>
                <w:sz w:val="16"/>
                <w:szCs w:val="16"/>
              </w:rPr>
              <w:t>On track</w:t>
            </w:r>
          </w:p>
        </w:tc>
      </w:tr>
      <w:tr w:rsidR="00EE4AA1" w:rsidRPr="006D1EA0" w:rsidTr="00845557">
        <w:trPr>
          <w:cantSplit/>
        </w:trPr>
        <w:tc>
          <w:tcPr>
            <w:tcW w:w="1122" w:type="pct"/>
            <w:tcBorders>
              <w:top w:val="nil"/>
              <w:left w:val="single" w:sz="4" w:space="0" w:color="auto"/>
              <w:bottom w:val="single" w:sz="4" w:space="0" w:color="auto"/>
            </w:tcBorders>
            <w:shd w:val="clear" w:color="auto" w:fill="auto"/>
          </w:tcPr>
          <w:p w:rsidR="00EE4AA1" w:rsidRPr="006D1EA0" w:rsidRDefault="00EE4AA1" w:rsidP="008D1891">
            <w:pPr>
              <w:rPr>
                <w:rFonts w:cs="Arial"/>
                <w:sz w:val="16"/>
                <w:szCs w:val="16"/>
                <w:lang w:bidi="th-TH"/>
              </w:rPr>
            </w:pPr>
            <w:r w:rsidRPr="006D1EA0">
              <w:rPr>
                <w:rFonts w:cs="Arial"/>
                <w:sz w:val="16"/>
                <w:szCs w:val="16"/>
                <w:lang w:bidi="th-TH"/>
              </w:rPr>
              <w:t>No. of Programs in which DA Recommendations are mainstreamed into the regular work of WIPO</w:t>
            </w:r>
          </w:p>
        </w:tc>
        <w:tc>
          <w:tcPr>
            <w:tcW w:w="1119" w:type="pct"/>
            <w:tcBorders>
              <w:top w:val="nil"/>
              <w:bottom w:val="single" w:sz="4" w:space="0" w:color="auto"/>
            </w:tcBorders>
            <w:shd w:val="clear" w:color="auto" w:fill="auto"/>
          </w:tcPr>
          <w:p w:rsidR="00EE4AA1" w:rsidRPr="006D1EA0" w:rsidRDefault="00EE4AA1" w:rsidP="008D1891">
            <w:pPr>
              <w:rPr>
                <w:rFonts w:cs="Arial"/>
                <w:color w:val="002060"/>
                <w:sz w:val="16"/>
                <w:szCs w:val="16"/>
                <w:lang w:bidi="th-TH"/>
              </w:rPr>
            </w:pPr>
            <w:r w:rsidRPr="006D1EA0">
              <w:rPr>
                <w:rFonts w:cs="Arial"/>
                <w:i/>
                <w:color w:val="002060"/>
                <w:sz w:val="16"/>
                <w:szCs w:val="16"/>
              </w:rPr>
              <w:t xml:space="preserve">Updated Baseline end 2013:  </w:t>
            </w:r>
            <w:r w:rsidRPr="006D1EA0">
              <w:rPr>
                <w:rFonts w:cs="Arial"/>
                <w:color w:val="002060"/>
                <w:sz w:val="16"/>
                <w:szCs w:val="16"/>
                <w:lang w:bidi="th-TH"/>
              </w:rPr>
              <w:t>23 programs have DA related activities (fully or partly)</w:t>
            </w:r>
          </w:p>
          <w:p w:rsidR="00EE4AA1" w:rsidRPr="006D1EA0" w:rsidRDefault="00EE4AA1" w:rsidP="008D1891">
            <w:pPr>
              <w:rPr>
                <w:rFonts w:cs="Arial"/>
                <w:i/>
                <w:color w:val="002060"/>
                <w:sz w:val="16"/>
                <w:szCs w:val="16"/>
              </w:rPr>
            </w:pPr>
          </w:p>
          <w:p w:rsidR="00EE4AA1" w:rsidRPr="006D1EA0" w:rsidRDefault="00EE4AA1" w:rsidP="008D1891">
            <w:pPr>
              <w:rPr>
                <w:rFonts w:cs="Arial"/>
                <w:sz w:val="16"/>
                <w:szCs w:val="16"/>
              </w:rPr>
            </w:pPr>
            <w:r w:rsidRPr="006D1EA0">
              <w:rPr>
                <w:rFonts w:cs="Arial"/>
                <w:i/>
                <w:sz w:val="16"/>
                <w:szCs w:val="16"/>
              </w:rPr>
              <w:t>Original Baseline P&amp;B</w:t>
            </w:r>
            <w:r>
              <w:rPr>
                <w:rFonts w:cs="Arial"/>
                <w:i/>
                <w:sz w:val="16"/>
                <w:szCs w:val="16"/>
              </w:rPr>
              <w:t> </w:t>
            </w:r>
            <w:r w:rsidRPr="006D1EA0">
              <w:rPr>
                <w:rFonts w:cs="Arial"/>
                <w:i/>
                <w:sz w:val="16"/>
                <w:szCs w:val="16"/>
              </w:rPr>
              <w:t>2014/15:</w:t>
            </w:r>
            <w:r w:rsidRPr="006D1EA0">
              <w:rPr>
                <w:rFonts w:cs="Arial"/>
                <w:sz w:val="16"/>
                <w:szCs w:val="16"/>
              </w:rPr>
              <w:t xml:space="preserve">  </w:t>
            </w:r>
            <w:proofErr w:type="spellStart"/>
            <w:r w:rsidRPr="006D1EA0">
              <w:rPr>
                <w:rFonts w:cs="Arial"/>
                <w:sz w:val="16"/>
                <w:szCs w:val="16"/>
              </w:rPr>
              <w:t>tbd</w:t>
            </w:r>
            <w:proofErr w:type="spellEnd"/>
          </w:p>
          <w:p w:rsidR="00EE4AA1" w:rsidRPr="006D1EA0" w:rsidRDefault="00EE4AA1" w:rsidP="008D1891">
            <w:pPr>
              <w:rPr>
                <w:rFonts w:cs="Arial"/>
                <w:sz w:val="16"/>
                <w:szCs w:val="16"/>
                <w:lang w:bidi="th-TH"/>
              </w:rPr>
            </w:pPr>
          </w:p>
        </w:tc>
        <w:tc>
          <w:tcPr>
            <w:tcW w:w="1044" w:type="pct"/>
            <w:tcBorders>
              <w:top w:val="nil"/>
              <w:bottom w:val="single" w:sz="4" w:space="0" w:color="auto"/>
            </w:tcBorders>
            <w:shd w:val="clear" w:color="auto" w:fill="auto"/>
            <w:tcMar>
              <w:top w:w="110" w:type="dxa"/>
            </w:tcMar>
          </w:tcPr>
          <w:p w:rsidR="00EE4AA1" w:rsidRPr="006D1EA0" w:rsidRDefault="00EE4AA1" w:rsidP="008D1891">
            <w:pPr>
              <w:autoSpaceDE w:val="0"/>
              <w:autoSpaceDN w:val="0"/>
              <w:adjustRightInd w:val="0"/>
              <w:rPr>
                <w:rFonts w:cs="Arial"/>
                <w:sz w:val="16"/>
                <w:szCs w:val="16"/>
              </w:rPr>
            </w:pPr>
            <w:r w:rsidRPr="006D1EA0">
              <w:rPr>
                <w:rFonts w:cs="Arial"/>
                <w:sz w:val="16"/>
                <w:szCs w:val="16"/>
              </w:rPr>
              <w:t>20</w:t>
            </w:r>
          </w:p>
        </w:tc>
        <w:tc>
          <w:tcPr>
            <w:tcW w:w="1193" w:type="pct"/>
            <w:tcBorders>
              <w:top w:val="nil"/>
              <w:bottom w:val="single" w:sz="4" w:space="0" w:color="auto"/>
            </w:tcBorders>
            <w:shd w:val="clear" w:color="auto" w:fill="FFFFFF"/>
            <w:tcMar>
              <w:top w:w="110" w:type="dxa"/>
            </w:tcMar>
          </w:tcPr>
          <w:p w:rsidR="00EE4AA1" w:rsidRPr="006D1EA0" w:rsidRDefault="00EE4AA1" w:rsidP="008D1891">
            <w:pPr>
              <w:rPr>
                <w:rFonts w:cs="Arial"/>
                <w:sz w:val="16"/>
                <w:szCs w:val="16"/>
              </w:rPr>
            </w:pPr>
            <w:r w:rsidRPr="006D1EA0">
              <w:rPr>
                <w:rFonts w:cs="Arial"/>
                <w:sz w:val="16"/>
                <w:szCs w:val="16"/>
              </w:rPr>
              <w:t>23 programs</w:t>
            </w:r>
          </w:p>
          <w:p w:rsidR="00EE4AA1" w:rsidRPr="006D1EA0" w:rsidRDefault="00EE4AA1" w:rsidP="008D1891">
            <w:pPr>
              <w:rPr>
                <w:rFonts w:cs="Arial"/>
                <w:sz w:val="16"/>
                <w:szCs w:val="16"/>
              </w:rPr>
            </w:pPr>
            <w:r w:rsidRPr="006D1EA0">
              <w:rPr>
                <w:rFonts w:cs="Arial"/>
                <w:sz w:val="16"/>
                <w:szCs w:val="16"/>
              </w:rPr>
              <w:t>contained in the PB</w:t>
            </w:r>
          </w:p>
          <w:p w:rsidR="00EE4AA1" w:rsidRPr="006D1EA0" w:rsidRDefault="00EE4AA1" w:rsidP="008D1891">
            <w:pPr>
              <w:rPr>
                <w:rFonts w:cs="Arial"/>
                <w:sz w:val="16"/>
                <w:szCs w:val="16"/>
              </w:rPr>
            </w:pPr>
            <w:r w:rsidRPr="006D1EA0">
              <w:rPr>
                <w:rFonts w:cs="Arial"/>
                <w:sz w:val="16"/>
                <w:szCs w:val="16"/>
              </w:rPr>
              <w:t>2014</w:t>
            </w:r>
            <w:r>
              <w:rPr>
                <w:rFonts w:cs="Arial"/>
                <w:sz w:val="16"/>
                <w:szCs w:val="16"/>
              </w:rPr>
              <w:t>/</w:t>
            </w:r>
            <w:r w:rsidRPr="006D1EA0">
              <w:rPr>
                <w:rFonts w:cs="Arial"/>
                <w:sz w:val="16"/>
                <w:szCs w:val="16"/>
              </w:rPr>
              <w:t>15 reflect the</w:t>
            </w:r>
          </w:p>
          <w:p w:rsidR="00EE4AA1" w:rsidRPr="006D1EA0" w:rsidRDefault="00EE4AA1" w:rsidP="008D1891">
            <w:pPr>
              <w:rPr>
                <w:rFonts w:cs="Arial"/>
                <w:sz w:val="16"/>
                <w:szCs w:val="16"/>
              </w:rPr>
            </w:pPr>
            <w:r w:rsidRPr="006D1EA0">
              <w:rPr>
                <w:rFonts w:cs="Arial"/>
                <w:sz w:val="16"/>
                <w:szCs w:val="16"/>
              </w:rPr>
              <w:t>mainstreaming of DA</w:t>
            </w:r>
          </w:p>
          <w:p w:rsidR="00EE4AA1" w:rsidRPr="006D1EA0" w:rsidRDefault="00EE4AA1" w:rsidP="008D1891">
            <w:pPr>
              <w:rPr>
                <w:rFonts w:cs="Arial"/>
                <w:sz w:val="16"/>
                <w:szCs w:val="16"/>
              </w:rPr>
            </w:pPr>
            <w:r w:rsidRPr="006D1EA0">
              <w:rPr>
                <w:rFonts w:cs="Arial"/>
                <w:sz w:val="16"/>
                <w:szCs w:val="16"/>
              </w:rPr>
              <w:t>activities</w:t>
            </w:r>
          </w:p>
        </w:tc>
        <w:tc>
          <w:tcPr>
            <w:tcW w:w="522" w:type="pct"/>
            <w:tcBorders>
              <w:top w:val="nil"/>
              <w:bottom w:val="single" w:sz="4" w:space="0" w:color="auto"/>
              <w:right w:val="single" w:sz="4" w:space="0" w:color="auto"/>
            </w:tcBorders>
            <w:shd w:val="clear" w:color="auto" w:fill="auto"/>
            <w:tcMar>
              <w:top w:w="110" w:type="dxa"/>
            </w:tcMar>
          </w:tcPr>
          <w:p w:rsidR="00EE4AA1" w:rsidRPr="006D1EA0" w:rsidRDefault="00EE4AA1" w:rsidP="008D1891">
            <w:pPr>
              <w:keepNext/>
              <w:keepLines/>
              <w:jc w:val="center"/>
              <w:rPr>
                <w:rFonts w:cs="Arial"/>
                <w:bCs/>
                <w:sz w:val="16"/>
                <w:szCs w:val="16"/>
              </w:rPr>
            </w:pPr>
            <w:r w:rsidRPr="006D1EA0">
              <w:rPr>
                <w:rFonts w:cs="Arial"/>
                <w:b/>
                <w:bCs/>
                <w:color w:val="00B050"/>
                <w:sz w:val="16"/>
                <w:szCs w:val="16"/>
              </w:rPr>
              <w:t>On track</w:t>
            </w:r>
          </w:p>
        </w:tc>
      </w:tr>
    </w:tbl>
    <w:p w:rsidR="00EE4AA1" w:rsidRDefault="00EE4AA1">
      <w:r>
        <w:br w:type="page"/>
      </w: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1"/>
        <w:gridCol w:w="2126"/>
        <w:gridCol w:w="1983"/>
        <w:gridCol w:w="2266"/>
        <w:gridCol w:w="992"/>
      </w:tblGrid>
      <w:tr w:rsidR="00EE4AA1" w:rsidRPr="006D1EA0" w:rsidTr="00EE4AA1">
        <w:trPr>
          <w:cantSplit/>
        </w:trPr>
        <w:tc>
          <w:tcPr>
            <w:tcW w:w="1122" w:type="pct"/>
            <w:tcBorders>
              <w:top w:val="single" w:sz="4" w:space="0" w:color="auto"/>
              <w:left w:val="single" w:sz="4" w:space="0" w:color="auto"/>
              <w:bottom w:val="nil"/>
            </w:tcBorders>
            <w:shd w:val="clear" w:color="auto" w:fill="auto"/>
            <w:vAlign w:val="center"/>
          </w:tcPr>
          <w:p w:rsidR="00EE4AA1" w:rsidRPr="006D1EA0" w:rsidRDefault="00EE4AA1" w:rsidP="008D1891">
            <w:pPr>
              <w:jc w:val="both"/>
              <w:rPr>
                <w:rFonts w:cs="Arial"/>
                <w:sz w:val="16"/>
                <w:szCs w:val="16"/>
              </w:rPr>
            </w:pPr>
            <w:r w:rsidRPr="006D1EA0">
              <w:rPr>
                <w:rFonts w:cs="Arial"/>
                <w:b/>
                <w:bCs/>
                <w:sz w:val="16"/>
                <w:szCs w:val="16"/>
              </w:rPr>
              <w:lastRenderedPageBreak/>
              <w:t>Performance Indicators</w:t>
            </w:r>
          </w:p>
        </w:tc>
        <w:tc>
          <w:tcPr>
            <w:tcW w:w="1119" w:type="pct"/>
            <w:tcBorders>
              <w:top w:val="single" w:sz="4" w:space="0" w:color="auto"/>
              <w:bottom w:val="nil"/>
            </w:tcBorders>
            <w:shd w:val="clear" w:color="auto" w:fill="auto"/>
            <w:vAlign w:val="center"/>
          </w:tcPr>
          <w:p w:rsidR="00EE4AA1" w:rsidRPr="006D1EA0" w:rsidRDefault="00EE4AA1" w:rsidP="008D1891">
            <w:pPr>
              <w:jc w:val="both"/>
              <w:rPr>
                <w:rFonts w:cs="Arial"/>
                <w:b/>
                <w:bCs/>
                <w:sz w:val="16"/>
                <w:szCs w:val="16"/>
              </w:rPr>
            </w:pPr>
            <w:r w:rsidRPr="006D1EA0">
              <w:rPr>
                <w:rFonts w:cs="Arial"/>
                <w:b/>
                <w:bCs/>
                <w:sz w:val="16"/>
                <w:szCs w:val="16"/>
              </w:rPr>
              <w:t>Baselines</w:t>
            </w:r>
          </w:p>
        </w:tc>
        <w:tc>
          <w:tcPr>
            <w:tcW w:w="1044" w:type="pct"/>
            <w:tcBorders>
              <w:top w:val="single" w:sz="4" w:space="0" w:color="auto"/>
              <w:bottom w:val="nil"/>
            </w:tcBorders>
            <w:shd w:val="clear" w:color="auto" w:fill="auto"/>
            <w:tcMar>
              <w:top w:w="110" w:type="dxa"/>
            </w:tcMar>
            <w:vAlign w:val="center"/>
          </w:tcPr>
          <w:p w:rsidR="00EE4AA1" w:rsidRPr="006D1EA0" w:rsidRDefault="00EE4AA1" w:rsidP="008D1891">
            <w:pPr>
              <w:jc w:val="both"/>
              <w:rPr>
                <w:rFonts w:cs="Arial"/>
                <w:b/>
                <w:sz w:val="16"/>
                <w:szCs w:val="16"/>
              </w:rPr>
            </w:pPr>
            <w:r w:rsidRPr="006D1EA0">
              <w:rPr>
                <w:rFonts w:cs="Arial"/>
                <w:b/>
                <w:sz w:val="16"/>
                <w:szCs w:val="16"/>
              </w:rPr>
              <w:t>Targets</w:t>
            </w:r>
          </w:p>
        </w:tc>
        <w:tc>
          <w:tcPr>
            <w:tcW w:w="1193" w:type="pct"/>
            <w:tcBorders>
              <w:top w:val="single" w:sz="4" w:space="0" w:color="auto"/>
              <w:bottom w:val="nil"/>
            </w:tcBorders>
            <w:shd w:val="clear" w:color="auto" w:fill="FFFFFF"/>
            <w:tcMar>
              <w:top w:w="110" w:type="dxa"/>
            </w:tcMar>
            <w:vAlign w:val="center"/>
          </w:tcPr>
          <w:p w:rsidR="00EE4AA1" w:rsidRPr="006D1EA0" w:rsidRDefault="00EE4AA1" w:rsidP="008D1891">
            <w:pPr>
              <w:jc w:val="both"/>
              <w:rPr>
                <w:rFonts w:cs="Arial"/>
                <w:sz w:val="16"/>
                <w:szCs w:val="16"/>
              </w:rPr>
            </w:pPr>
            <w:r w:rsidRPr="006D1EA0">
              <w:rPr>
                <w:rFonts w:cs="Arial"/>
                <w:b/>
                <w:bCs/>
                <w:sz w:val="16"/>
                <w:szCs w:val="16"/>
              </w:rPr>
              <w:t>Performance Data</w:t>
            </w:r>
          </w:p>
        </w:tc>
        <w:tc>
          <w:tcPr>
            <w:tcW w:w="522" w:type="pct"/>
            <w:tcBorders>
              <w:top w:val="single" w:sz="4" w:space="0" w:color="auto"/>
              <w:bottom w:val="nil"/>
              <w:right w:val="single" w:sz="4" w:space="0" w:color="auto"/>
            </w:tcBorders>
            <w:shd w:val="clear" w:color="auto" w:fill="auto"/>
            <w:tcMar>
              <w:top w:w="110" w:type="dxa"/>
            </w:tcMar>
            <w:vAlign w:val="center"/>
          </w:tcPr>
          <w:p w:rsidR="00EE4AA1" w:rsidRPr="006D1EA0" w:rsidRDefault="00EE4AA1" w:rsidP="008D1891">
            <w:pPr>
              <w:keepNext/>
              <w:keepLines/>
              <w:jc w:val="center"/>
              <w:rPr>
                <w:rFonts w:cs="Arial"/>
                <w:b/>
                <w:bCs/>
                <w:sz w:val="16"/>
                <w:szCs w:val="16"/>
              </w:rPr>
            </w:pPr>
            <w:r w:rsidRPr="006D1EA0">
              <w:rPr>
                <w:rFonts w:cs="Arial"/>
                <w:b/>
                <w:bCs/>
                <w:sz w:val="16"/>
                <w:szCs w:val="16"/>
              </w:rPr>
              <w:t>TLS</w:t>
            </w:r>
          </w:p>
        </w:tc>
      </w:tr>
      <w:tr w:rsidR="00EE4AA1" w:rsidRPr="006D1EA0" w:rsidTr="00845557">
        <w:trPr>
          <w:cantSplit/>
        </w:trPr>
        <w:tc>
          <w:tcPr>
            <w:tcW w:w="1122" w:type="pct"/>
            <w:tcBorders>
              <w:top w:val="nil"/>
              <w:left w:val="single" w:sz="4" w:space="0" w:color="auto"/>
              <w:bottom w:val="nil"/>
            </w:tcBorders>
            <w:shd w:val="clear" w:color="auto" w:fill="auto"/>
          </w:tcPr>
          <w:p w:rsidR="00EE4AA1" w:rsidRPr="006D1EA0" w:rsidRDefault="00EE4AA1" w:rsidP="008D1891">
            <w:pPr>
              <w:rPr>
                <w:rFonts w:cs="Arial"/>
                <w:sz w:val="16"/>
                <w:szCs w:val="16"/>
                <w:lang w:bidi="th-TH"/>
              </w:rPr>
            </w:pPr>
            <w:r w:rsidRPr="006D1EA0">
              <w:rPr>
                <w:rFonts w:cs="Arial"/>
                <w:sz w:val="16"/>
                <w:szCs w:val="16"/>
                <w:lang w:bidi="th-TH"/>
              </w:rPr>
              <w:t>No. of DA projects, and the manner in which, they have been mainstreamed into the regular work of WIPO (norm-setting, technical assistance and service delivery)</w:t>
            </w:r>
          </w:p>
        </w:tc>
        <w:tc>
          <w:tcPr>
            <w:tcW w:w="1119" w:type="pct"/>
            <w:tcBorders>
              <w:top w:val="nil"/>
              <w:bottom w:val="nil"/>
            </w:tcBorders>
            <w:shd w:val="clear" w:color="auto" w:fill="auto"/>
          </w:tcPr>
          <w:p w:rsidR="00EE4AA1" w:rsidRPr="006D1EA0" w:rsidRDefault="00EE4AA1" w:rsidP="008D1891">
            <w:pPr>
              <w:rPr>
                <w:rFonts w:cs="Arial"/>
                <w:color w:val="002060"/>
                <w:sz w:val="16"/>
                <w:szCs w:val="16"/>
                <w:lang w:bidi="th-TH"/>
              </w:rPr>
            </w:pPr>
            <w:r w:rsidRPr="006D1EA0">
              <w:rPr>
                <w:rFonts w:cs="Arial"/>
                <w:i/>
                <w:color w:val="002060"/>
                <w:sz w:val="16"/>
                <w:szCs w:val="16"/>
              </w:rPr>
              <w:t xml:space="preserve">Updated Baseline end 2013:  </w:t>
            </w:r>
            <w:r w:rsidRPr="006D1EA0">
              <w:rPr>
                <w:rFonts w:cs="Arial"/>
                <w:color w:val="002060"/>
                <w:sz w:val="16"/>
                <w:szCs w:val="16"/>
                <w:lang w:bidi="th-TH"/>
              </w:rPr>
              <w:t>6 DA projects mainstreamed in WIPO regular work</w:t>
            </w:r>
          </w:p>
          <w:p w:rsidR="00EE4AA1" w:rsidRPr="006D1EA0" w:rsidRDefault="00EE4AA1" w:rsidP="008D1891">
            <w:pPr>
              <w:rPr>
                <w:rFonts w:cs="Arial"/>
                <w:i/>
                <w:color w:val="002060"/>
                <w:sz w:val="16"/>
                <w:szCs w:val="16"/>
              </w:rPr>
            </w:pPr>
          </w:p>
          <w:p w:rsidR="00EE4AA1" w:rsidRPr="006D1EA0" w:rsidRDefault="00EE4AA1" w:rsidP="008D1891">
            <w:pPr>
              <w:rPr>
                <w:rFonts w:cs="Arial"/>
                <w:sz w:val="16"/>
                <w:szCs w:val="16"/>
              </w:rPr>
            </w:pPr>
            <w:r w:rsidRPr="006D1EA0">
              <w:rPr>
                <w:rFonts w:cs="Arial"/>
                <w:i/>
                <w:sz w:val="16"/>
                <w:szCs w:val="16"/>
              </w:rPr>
              <w:t>Original Baseline P&amp;B</w:t>
            </w:r>
            <w:r>
              <w:rPr>
                <w:rFonts w:cs="Arial"/>
                <w:i/>
                <w:sz w:val="16"/>
                <w:szCs w:val="16"/>
              </w:rPr>
              <w:t> </w:t>
            </w:r>
            <w:r w:rsidRPr="006D1EA0">
              <w:rPr>
                <w:rFonts w:cs="Arial"/>
                <w:i/>
                <w:sz w:val="16"/>
                <w:szCs w:val="16"/>
              </w:rPr>
              <w:t>2014/15:</w:t>
            </w:r>
            <w:r w:rsidRPr="006D1EA0">
              <w:rPr>
                <w:rFonts w:cs="Arial"/>
                <w:sz w:val="16"/>
                <w:szCs w:val="16"/>
              </w:rPr>
              <w:t xml:space="preserve">  </w:t>
            </w:r>
            <w:proofErr w:type="spellStart"/>
            <w:r w:rsidRPr="006D1EA0">
              <w:rPr>
                <w:rFonts w:cs="Arial"/>
                <w:sz w:val="16"/>
                <w:szCs w:val="16"/>
              </w:rPr>
              <w:t>tbd</w:t>
            </w:r>
            <w:proofErr w:type="spellEnd"/>
          </w:p>
          <w:p w:rsidR="00EE4AA1" w:rsidRPr="006D1EA0" w:rsidRDefault="00EE4AA1" w:rsidP="008D1891">
            <w:pPr>
              <w:rPr>
                <w:rFonts w:cs="Arial"/>
                <w:i/>
                <w:color w:val="002060"/>
                <w:sz w:val="16"/>
                <w:szCs w:val="16"/>
              </w:rPr>
            </w:pPr>
          </w:p>
        </w:tc>
        <w:tc>
          <w:tcPr>
            <w:tcW w:w="1044" w:type="pct"/>
            <w:tcBorders>
              <w:top w:val="nil"/>
              <w:bottom w:val="nil"/>
            </w:tcBorders>
            <w:shd w:val="clear" w:color="auto" w:fill="auto"/>
            <w:tcMar>
              <w:top w:w="110" w:type="dxa"/>
            </w:tcMar>
          </w:tcPr>
          <w:p w:rsidR="00EE4AA1" w:rsidRPr="006D1EA0" w:rsidRDefault="00EE4AA1" w:rsidP="008D1891">
            <w:pPr>
              <w:autoSpaceDE w:val="0"/>
              <w:autoSpaceDN w:val="0"/>
              <w:adjustRightInd w:val="0"/>
              <w:rPr>
                <w:rFonts w:cs="Arial"/>
                <w:sz w:val="16"/>
                <w:szCs w:val="16"/>
              </w:rPr>
            </w:pPr>
            <w:r w:rsidRPr="006D1EA0">
              <w:rPr>
                <w:rFonts w:cs="Arial"/>
                <w:sz w:val="16"/>
                <w:szCs w:val="16"/>
              </w:rPr>
              <w:t>12</w:t>
            </w:r>
          </w:p>
        </w:tc>
        <w:tc>
          <w:tcPr>
            <w:tcW w:w="1193" w:type="pct"/>
            <w:tcBorders>
              <w:top w:val="nil"/>
              <w:bottom w:val="nil"/>
            </w:tcBorders>
            <w:shd w:val="clear" w:color="auto" w:fill="FFFFFF"/>
            <w:tcMar>
              <w:top w:w="110" w:type="dxa"/>
            </w:tcMar>
          </w:tcPr>
          <w:p w:rsidR="00EE4AA1" w:rsidRDefault="00EE4AA1" w:rsidP="008D1891">
            <w:pPr>
              <w:rPr>
                <w:rFonts w:cs="Arial"/>
                <w:sz w:val="16"/>
                <w:szCs w:val="16"/>
              </w:rPr>
            </w:pPr>
            <w:r>
              <w:rPr>
                <w:rFonts w:cs="Arial"/>
                <w:sz w:val="16"/>
                <w:szCs w:val="16"/>
              </w:rPr>
              <w:t>Four additional</w:t>
            </w:r>
            <w:r w:rsidRPr="006D1EA0">
              <w:rPr>
                <w:rFonts w:cs="Arial"/>
                <w:sz w:val="16"/>
                <w:szCs w:val="16"/>
              </w:rPr>
              <w:t xml:space="preserve"> DA projects </w:t>
            </w:r>
            <w:r>
              <w:rPr>
                <w:rFonts w:cs="Arial"/>
                <w:sz w:val="16"/>
                <w:szCs w:val="16"/>
              </w:rPr>
              <w:t xml:space="preserve">were </w:t>
            </w:r>
            <w:r w:rsidRPr="006D1EA0">
              <w:rPr>
                <w:rFonts w:cs="Arial"/>
                <w:sz w:val="16"/>
                <w:szCs w:val="16"/>
              </w:rPr>
              <w:t>mainstreamed</w:t>
            </w:r>
            <w:r>
              <w:rPr>
                <w:rFonts w:cs="Arial"/>
                <w:sz w:val="16"/>
                <w:szCs w:val="16"/>
              </w:rPr>
              <w:t xml:space="preserve"> in 2014. (10 cumulative)</w:t>
            </w:r>
          </w:p>
          <w:p w:rsidR="00EE4AA1" w:rsidRPr="001A6111" w:rsidRDefault="00EE4AA1" w:rsidP="00EE4AA1">
            <w:pPr>
              <w:pStyle w:val="ListParagraph"/>
              <w:numPr>
                <w:ilvl w:val="0"/>
                <w:numId w:val="51"/>
              </w:numPr>
              <w:rPr>
                <w:rFonts w:cs="Arial"/>
                <w:sz w:val="16"/>
                <w:szCs w:val="16"/>
              </w:rPr>
            </w:pPr>
            <w:r w:rsidRPr="001A6111">
              <w:rPr>
                <w:rFonts w:cs="Arial"/>
                <w:sz w:val="16"/>
                <w:szCs w:val="16"/>
              </w:rPr>
              <w:t>National Start up Academies in</w:t>
            </w:r>
            <w:r>
              <w:rPr>
                <w:rFonts w:cs="Arial"/>
                <w:sz w:val="16"/>
                <w:szCs w:val="16"/>
              </w:rPr>
              <w:t xml:space="preserve"> Program 11  (technical assistance and capacity building)</w:t>
            </w:r>
          </w:p>
          <w:p w:rsidR="00EE4AA1" w:rsidRPr="001A6111" w:rsidRDefault="00EE4AA1" w:rsidP="00EE4AA1">
            <w:pPr>
              <w:pStyle w:val="ListParagraph"/>
              <w:numPr>
                <w:ilvl w:val="0"/>
                <w:numId w:val="51"/>
              </w:numPr>
              <w:rPr>
                <w:rFonts w:cs="Arial"/>
                <w:sz w:val="16"/>
                <w:szCs w:val="16"/>
              </w:rPr>
            </w:pPr>
            <w:r w:rsidRPr="001A6111">
              <w:rPr>
                <w:rFonts w:cs="Arial"/>
                <w:sz w:val="16"/>
                <w:szCs w:val="16"/>
              </w:rPr>
              <w:t xml:space="preserve">Specialized Databases Access and Support in Program 14 </w:t>
            </w:r>
            <w:r>
              <w:rPr>
                <w:rFonts w:cs="Arial"/>
                <w:sz w:val="16"/>
                <w:szCs w:val="16"/>
              </w:rPr>
              <w:t xml:space="preserve"> (technical assistance)</w:t>
            </w:r>
          </w:p>
          <w:p w:rsidR="00EE4AA1" w:rsidRPr="001A6111" w:rsidRDefault="00EE4AA1" w:rsidP="00EE4AA1">
            <w:pPr>
              <w:pStyle w:val="ListParagraph"/>
              <w:numPr>
                <w:ilvl w:val="0"/>
                <w:numId w:val="51"/>
              </w:numPr>
              <w:rPr>
                <w:rFonts w:cs="Arial"/>
                <w:sz w:val="16"/>
                <w:szCs w:val="16"/>
              </w:rPr>
            </w:pPr>
            <w:r w:rsidRPr="001A6111">
              <w:rPr>
                <w:rFonts w:cs="Arial"/>
                <w:sz w:val="16"/>
                <w:szCs w:val="16"/>
              </w:rPr>
              <w:t>Developing Tools for Access to Patent Information in Program 14</w:t>
            </w:r>
            <w:r>
              <w:rPr>
                <w:rFonts w:cs="Arial"/>
                <w:sz w:val="16"/>
                <w:szCs w:val="16"/>
              </w:rPr>
              <w:t xml:space="preserve"> (Access to knowledge)</w:t>
            </w:r>
          </w:p>
          <w:p w:rsidR="00EE4AA1" w:rsidRPr="001A6111" w:rsidRDefault="00EE4AA1" w:rsidP="00EE4AA1">
            <w:pPr>
              <w:pStyle w:val="ListParagraph"/>
              <w:numPr>
                <w:ilvl w:val="0"/>
                <w:numId w:val="51"/>
              </w:numPr>
              <w:rPr>
                <w:rFonts w:cs="Arial"/>
                <w:sz w:val="16"/>
                <w:szCs w:val="16"/>
              </w:rPr>
            </w:pPr>
            <w:r w:rsidRPr="001A6111">
              <w:rPr>
                <w:rFonts w:cs="Arial"/>
                <w:sz w:val="16"/>
                <w:szCs w:val="16"/>
              </w:rPr>
              <w:t xml:space="preserve">IP and Product Branding in Program 9 </w:t>
            </w:r>
            <w:r>
              <w:rPr>
                <w:rFonts w:cs="Arial"/>
                <w:sz w:val="16"/>
                <w:szCs w:val="16"/>
              </w:rPr>
              <w:t xml:space="preserve"> (technical assistance and capacity building)</w:t>
            </w:r>
          </w:p>
          <w:p w:rsidR="00EE4AA1" w:rsidRPr="001A6111" w:rsidRDefault="00EE4AA1" w:rsidP="008D1891">
            <w:pPr>
              <w:pStyle w:val="ListParagraph"/>
              <w:ind w:left="360"/>
              <w:rPr>
                <w:rFonts w:cs="Arial"/>
                <w:sz w:val="16"/>
                <w:szCs w:val="16"/>
              </w:rPr>
            </w:pPr>
          </w:p>
        </w:tc>
        <w:tc>
          <w:tcPr>
            <w:tcW w:w="522" w:type="pct"/>
            <w:tcBorders>
              <w:top w:val="nil"/>
              <w:bottom w:val="nil"/>
              <w:right w:val="single" w:sz="4" w:space="0" w:color="auto"/>
            </w:tcBorders>
            <w:shd w:val="clear" w:color="auto" w:fill="auto"/>
            <w:tcMar>
              <w:top w:w="110" w:type="dxa"/>
            </w:tcMar>
          </w:tcPr>
          <w:p w:rsidR="00EE4AA1" w:rsidRPr="006D1EA0" w:rsidRDefault="00EE4AA1" w:rsidP="008D1891">
            <w:pPr>
              <w:keepNext/>
              <w:keepLines/>
              <w:jc w:val="center"/>
              <w:rPr>
                <w:rFonts w:cs="Arial"/>
                <w:bCs/>
                <w:sz w:val="16"/>
                <w:szCs w:val="16"/>
              </w:rPr>
            </w:pPr>
            <w:r w:rsidRPr="006D1EA0">
              <w:rPr>
                <w:rFonts w:cs="Arial"/>
                <w:b/>
                <w:bCs/>
                <w:color w:val="00B050"/>
                <w:sz w:val="16"/>
                <w:szCs w:val="16"/>
              </w:rPr>
              <w:t>On track</w:t>
            </w:r>
          </w:p>
        </w:tc>
      </w:tr>
      <w:tr w:rsidR="00EE4AA1" w:rsidRPr="006D1EA0" w:rsidTr="00845557">
        <w:trPr>
          <w:cantSplit/>
        </w:trPr>
        <w:tc>
          <w:tcPr>
            <w:tcW w:w="1122" w:type="pct"/>
            <w:tcBorders>
              <w:top w:val="nil"/>
              <w:left w:val="single" w:sz="4" w:space="0" w:color="auto"/>
              <w:bottom w:val="nil"/>
            </w:tcBorders>
            <w:shd w:val="clear" w:color="auto" w:fill="auto"/>
            <w:vAlign w:val="center"/>
          </w:tcPr>
          <w:p w:rsidR="00EE4AA1" w:rsidRPr="006D1EA0" w:rsidRDefault="00EE4AA1" w:rsidP="008D1891">
            <w:pPr>
              <w:jc w:val="both"/>
              <w:rPr>
                <w:rFonts w:cs="Arial"/>
                <w:sz w:val="16"/>
                <w:szCs w:val="16"/>
              </w:rPr>
            </w:pPr>
            <w:r w:rsidRPr="006D1EA0">
              <w:rPr>
                <w:rFonts w:cs="Arial"/>
                <w:b/>
                <w:bCs/>
                <w:sz w:val="16"/>
                <w:szCs w:val="16"/>
              </w:rPr>
              <w:t>Performance Indicators</w:t>
            </w:r>
          </w:p>
        </w:tc>
        <w:tc>
          <w:tcPr>
            <w:tcW w:w="1119" w:type="pct"/>
            <w:tcBorders>
              <w:top w:val="nil"/>
              <w:bottom w:val="nil"/>
            </w:tcBorders>
            <w:shd w:val="clear" w:color="auto" w:fill="auto"/>
            <w:vAlign w:val="center"/>
          </w:tcPr>
          <w:p w:rsidR="00EE4AA1" w:rsidRPr="006D1EA0" w:rsidRDefault="00EE4AA1" w:rsidP="008D1891">
            <w:pPr>
              <w:jc w:val="both"/>
              <w:rPr>
                <w:rFonts w:cs="Arial"/>
                <w:b/>
                <w:bCs/>
                <w:sz w:val="16"/>
                <w:szCs w:val="16"/>
              </w:rPr>
            </w:pPr>
            <w:r w:rsidRPr="006D1EA0">
              <w:rPr>
                <w:rFonts w:cs="Arial"/>
                <w:b/>
                <w:bCs/>
                <w:sz w:val="16"/>
                <w:szCs w:val="16"/>
              </w:rPr>
              <w:t>Baselines</w:t>
            </w:r>
          </w:p>
        </w:tc>
        <w:tc>
          <w:tcPr>
            <w:tcW w:w="1044" w:type="pct"/>
            <w:tcBorders>
              <w:top w:val="nil"/>
              <w:bottom w:val="nil"/>
            </w:tcBorders>
            <w:shd w:val="clear" w:color="auto" w:fill="auto"/>
            <w:tcMar>
              <w:top w:w="110" w:type="dxa"/>
            </w:tcMar>
            <w:vAlign w:val="center"/>
          </w:tcPr>
          <w:p w:rsidR="00EE4AA1" w:rsidRPr="006D1EA0" w:rsidRDefault="00EE4AA1" w:rsidP="008D1891">
            <w:pPr>
              <w:jc w:val="both"/>
              <w:rPr>
                <w:rFonts w:cs="Arial"/>
                <w:b/>
                <w:sz w:val="16"/>
                <w:szCs w:val="16"/>
              </w:rPr>
            </w:pPr>
            <w:r w:rsidRPr="006D1EA0">
              <w:rPr>
                <w:rFonts w:cs="Arial"/>
                <w:b/>
                <w:sz w:val="16"/>
                <w:szCs w:val="16"/>
              </w:rPr>
              <w:t>Targets</w:t>
            </w:r>
          </w:p>
        </w:tc>
        <w:tc>
          <w:tcPr>
            <w:tcW w:w="1193" w:type="pct"/>
            <w:tcBorders>
              <w:top w:val="nil"/>
              <w:bottom w:val="nil"/>
            </w:tcBorders>
            <w:shd w:val="clear" w:color="auto" w:fill="FFFFFF"/>
            <w:tcMar>
              <w:top w:w="110" w:type="dxa"/>
            </w:tcMar>
            <w:vAlign w:val="center"/>
          </w:tcPr>
          <w:p w:rsidR="00EE4AA1" w:rsidRPr="006D1EA0" w:rsidRDefault="00EE4AA1" w:rsidP="008D1891">
            <w:pPr>
              <w:jc w:val="both"/>
              <w:rPr>
                <w:rFonts w:cs="Arial"/>
                <w:sz w:val="16"/>
                <w:szCs w:val="16"/>
              </w:rPr>
            </w:pPr>
            <w:r w:rsidRPr="006D1EA0">
              <w:rPr>
                <w:rFonts w:cs="Arial"/>
                <w:b/>
                <w:bCs/>
                <w:sz w:val="16"/>
                <w:szCs w:val="16"/>
              </w:rPr>
              <w:t>Performance Data</w:t>
            </w:r>
          </w:p>
        </w:tc>
        <w:tc>
          <w:tcPr>
            <w:tcW w:w="522" w:type="pct"/>
            <w:tcBorders>
              <w:top w:val="nil"/>
              <w:bottom w:val="nil"/>
              <w:right w:val="single" w:sz="4" w:space="0" w:color="auto"/>
            </w:tcBorders>
            <w:shd w:val="clear" w:color="auto" w:fill="auto"/>
            <w:tcMar>
              <w:top w:w="110" w:type="dxa"/>
            </w:tcMar>
            <w:vAlign w:val="center"/>
          </w:tcPr>
          <w:p w:rsidR="00EE4AA1" w:rsidRPr="006D1EA0" w:rsidRDefault="00EE4AA1" w:rsidP="008D1891">
            <w:pPr>
              <w:keepNext/>
              <w:keepLines/>
              <w:jc w:val="center"/>
              <w:rPr>
                <w:rFonts w:cs="Arial"/>
                <w:b/>
                <w:bCs/>
                <w:sz w:val="16"/>
                <w:szCs w:val="16"/>
              </w:rPr>
            </w:pPr>
            <w:r w:rsidRPr="006D1EA0">
              <w:rPr>
                <w:rFonts w:cs="Arial"/>
                <w:b/>
                <w:bCs/>
                <w:sz w:val="16"/>
                <w:szCs w:val="16"/>
              </w:rPr>
              <w:t>TLS</w:t>
            </w:r>
          </w:p>
        </w:tc>
      </w:tr>
      <w:tr w:rsidR="00EE4AA1" w:rsidRPr="006D1EA0" w:rsidTr="00845557">
        <w:trPr>
          <w:cantSplit/>
        </w:trPr>
        <w:tc>
          <w:tcPr>
            <w:tcW w:w="1122" w:type="pct"/>
            <w:tcBorders>
              <w:top w:val="nil"/>
              <w:left w:val="single" w:sz="4" w:space="0" w:color="auto"/>
              <w:bottom w:val="nil"/>
            </w:tcBorders>
            <w:shd w:val="clear" w:color="auto" w:fill="auto"/>
          </w:tcPr>
          <w:p w:rsidR="00EE4AA1" w:rsidRPr="006D1EA0" w:rsidRDefault="00EE4AA1" w:rsidP="008D1891">
            <w:pPr>
              <w:rPr>
                <w:rFonts w:cs="Arial"/>
                <w:sz w:val="16"/>
                <w:szCs w:val="16"/>
                <w:lang w:bidi="th-TH"/>
              </w:rPr>
            </w:pPr>
            <w:r w:rsidRPr="006D1EA0">
              <w:rPr>
                <w:rFonts w:cs="Arial"/>
                <w:sz w:val="16"/>
                <w:szCs w:val="16"/>
                <w:lang w:bidi="th-TH"/>
              </w:rPr>
              <w:t>Effective system in place for the planning, monitoring and evaluation of the implementation of DA recommendations</w:t>
            </w:r>
          </w:p>
        </w:tc>
        <w:tc>
          <w:tcPr>
            <w:tcW w:w="1119" w:type="pct"/>
            <w:tcBorders>
              <w:top w:val="nil"/>
              <w:bottom w:val="nil"/>
            </w:tcBorders>
            <w:shd w:val="clear" w:color="auto" w:fill="auto"/>
          </w:tcPr>
          <w:p w:rsidR="00EE4AA1" w:rsidRPr="006D1EA0" w:rsidRDefault="00EE4AA1" w:rsidP="008D1891">
            <w:pPr>
              <w:rPr>
                <w:rFonts w:cs="Arial"/>
                <w:color w:val="002060"/>
                <w:sz w:val="16"/>
                <w:szCs w:val="16"/>
                <w:lang w:bidi="th-TH"/>
              </w:rPr>
            </w:pPr>
            <w:r w:rsidRPr="006D1EA0">
              <w:rPr>
                <w:rFonts w:cs="Arial"/>
                <w:i/>
                <w:color w:val="002060"/>
                <w:sz w:val="16"/>
                <w:szCs w:val="16"/>
              </w:rPr>
              <w:t xml:space="preserve">Updated Baseline end 2013:  </w:t>
            </w:r>
            <w:r w:rsidRPr="006D1EA0">
              <w:rPr>
                <w:rFonts w:cs="Arial"/>
                <w:color w:val="002060"/>
                <w:sz w:val="16"/>
                <w:szCs w:val="16"/>
                <w:lang w:bidi="th-TH"/>
              </w:rPr>
              <w:t>Effective centralized system for planning monitoring and evaluation of the implementation of DA recommendation</w:t>
            </w:r>
          </w:p>
          <w:p w:rsidR="00EE4AA1" w:rsidRPr="006D1EA0" w:rsidRDefault="00EE4AA1" w:rsidP="008D1891">
            <w:pPr>
              <w:rPr>
                <w:rFonts w:cs="Arial"/>
                <w:i/>
                <w:color w:val="002060"/>
                <w:sz w:val="16"/>
                <w:szCs w:val="16"/>
              </w:rPr>
            </w:pPr>
          </w:p>
          <w:p w:rsidR="00EE4AA1" w:rsidRPr="006D1EA0" w:rsidRDefault="00EE4AA1" w:rsidP="008D1891">
            <w:pPr>
              <w:rPr>
                <w:rFonts w:cs="Arial"/>
                <w:sz w:val="16"/>
                <w:szCs w:val="16"/>
              </w:rPr>
            </w:pPr>
            <w:r w:rsidRPr="006D1EA0">
              <w:rPr>
                <w:rFonts w:cs="Arial"/>
                <w:i/>
                <w:sz w:val="16"/>
                <w:szCs w:val="16"/>
              </w:rPr>
              <w:t>Original Baseline P&amp;B</w:t>
            </w:r>
            <w:r>
              <w:rPr>
                <w:rFonts w:cs="Arial"/>
                <w:i/>
                <w:sz w:val="16"/>
                <w:szCs w:val="16"/>
              </w:rPr>
              <w:t xml:space="preserve"> </w:t>
            </w:r>
            <w:r w:rsidRPr="006D1EA0">
              <w:rPr>
                <w:rFonts w:cs="Arial"/>
                <w:i/>
                <w:sz w:val="16"/>
                <w:szCs w:val="16"/>
              </w:rPr>
              <w:t>2014/15:</w:t>
            </w:r>
            <w:r w:rsidRPr="006D1EA0">
              <w:rPr>
                <w:rFonts w:cs="Arial"/>
                <w:sz w:val="16"/>
                <w:szCs w:val="16"/>
              </w:rPr>
              <w:t xml:space="preserve">  </w:t>
            </w:r>
            <w:proofErr w:type="spellStart"/>
            <w:r w:rsidRPr="006D1EA0">
              <w:rPr>
                <w:rFonts w:cs="Arial"/>
                <w:sz w:val="16"/>
                <w:szCs w:val="16"/>
              </w:rPr>
              <w:t>tbd</w:t>
            </w:r>
            <w:proofErr w:type="spellEnd"/>
          </w:p>
          <w:p w:rsidR="00EE4AA1" w:rsidRPr="006D1EA0" w:rsidRDefault="00EE4AA1" w:rsidP="008D1891">
            <w:pPr>
              <w:rPr>
                <w:rFonts w:cs="Arial"/>
                <w:i/>
                <w:color w:val="002060"/>
                <w:sz w:val="16"/>
                <w:szCs w:val="16"/>
              </w:rPr>
            </w:pPr>
          </w:p>
        </w:tc>
        <w:tc>
          <w:tcPr>
            <w:tcW w:w="1044" w:type="pct"/>
            <w:tcBorders>
              <w:top w:val="nil"/>
              <w:bottom w:val="nil"/>
            </w:tcBorders>
            <w:shd w:val="clear" w:color="auto" w:fill="auto"/>
            <w:tcMar>
              <w:top w:w="110" w:type="dxa"/>
            </w:tcMar>
          </w:tcPr>
          <w:p w:rsidR="00EE4AA1" w:rsidRPr="006D1EA0" w:rsidRDefault="00EE4AA1" w:rsidP="008D1891">
            <w:pPr>
              <w:autoSpaceDE w:val="0"/>
              <w:autoSpaceDN w:val="0"/>
              <w:adjustRightInd w:val="0"/>
              <w:rPr>
                <w:rFonts w:cs="Arial"/>
                <w:sz w:val="16"/>
                <w:szCs w:val="16"/>
              </w:rPr>
            </w:pPr>
            <w:r w:rsidRPr="006D1EA0">
              <w:rPr>
                <w:rFonts w:cs="Arial"/>
                <w:sz w:val="16"/>
                <w:szCs w:val="16"/>
              </w:rPr>
              <w:t>All Programs have in place an effective planning, monitoring and evaluation system on the implementation of DA</w:t>
            </w:r>
            <w:r>
              <w:rPr>
                <w:rFonts w:cs="Arial"/>
                <w:sz w:val="16"/>
                <w:szCs w:val="16"/>
              </w:rPr>
              <w:t xml:space="preserve"> </w:t>
            </w:r>
            <w:r w:rsidRPr="006D1EA0">
              <w:rPr>
                <w:rFonts w:cs="Arial"/>
                <w:sz w:val="16"/>
                <w:szCs w:val="16"/>
              </w:rPr>
              <w:t>recommendations</w:t>
            </w:r>
          </w:p>
        </w:tc>
        <w:tc>
          <w:tcPr>
            <w:tcW w:w="1193" w:type="pct"/>
            <w:tcBorders>
              <w:top w:val="nil"/>
              <w:bottom w:val="nil"/>
            </w:tcBorders>
            <w:shd w:val="clear" w:color="auto" w:fill="FFFFFF"/>
            <w:tcMar>
              <w:top w:w="110" w:type="dxa"/>
            </w:tcMar>
          </w:tcPr>
          <w:p w:rsidR="00EE4AA1" w:rsidRPr="006D1EA0" w:rsidRDefault="00EE4AA1" w:rsidP="008D1891">
            <w:pPr>
              <w:rPr>
                <w:rFonts w:cs="Arial"/>
                <w:sz w:val="16"/>
                <w:szCs w:val="16"/>
              </w:rPr>
            </w:pPr>
            <w:r w:rsidRPr="006D1EA0">
              <w:rPr>
                <w:rFonts w:cs="Arial"/>
                <w:sz w:val="16"/>
                <w:szCs w:val="16"/>
              </w:rPr>
              <w:t>All relevant</w:t>
            </w:r>
            <w:r>
              <w:rPr>
                <w:rFonts w:cs="Arial"/>
                <w:sz w:val="16"/>
                <w:szCs w:val="16"/>
              </w:rPr>
              <w:t xml:space="preserve"> P</w:t>
            </w:r>
            <w:r w:rsidRPr="006D1EA0">
              <w:rPr>
                <w:rFonts w:cs="Arial"/>
                <w:sz w:val="16"/>
                <w:szCs w:val="16"/>
              </w:rPr>
              <w:t>rograms have in place an effective planning, monitoring and evaluation system on the implementation of DA</w:t>
            </w:r>
            <w:r>
              <w:rPr>
                <w:rFonts w:cs="Arial"/>
                <w:sz w:val="16"/>
                <w:szCs w:val="16"/>
              </w:rPr>
              <w:t xml:space="preserve"> </w:t>
            </w:r>
            <w:r w:rsidRPr="006D1EA0">
              <w:rPr>
                <w:rFonts w:cs="Arial"/>
                <w:sz w:val="16"/>
                <w:szCs w:val="16"/>
              </w:rPr>
              <w:t>recommendations</w:t>
            </w:r>
            <w:r w:rsidRPr="006D1EA0" w:rsidDel="006E7476">
              <w:rPr>
                <w:rFonts w:cs="Arial"/>
                <w:sz w:val="16"/>
                <w:szCs w:val="16"/>
              </w:rPr>
              <w:t xml:space="preserve"> </w:t>
            </w:r>
          </w:p>
        </w:tc>
        <w:tc>
          <w:tcPr>
            <w:tcW w:w="522" w:type="pct"/>
            <w:tcBorders>
              <w:top w:val="nil"/>
              <w:bottom w:val="nil"/>
              <w:right w:val="single" w:sz="4" w:space="0" w:color="auto"/>
            </w:tcBorders>
            <w:shd w:val="clear" w:color="auto" w:fill="auto"/>
            <w:tcMar>
              <w:top w:w="110" w:type="dxa"/>
            </w:tcMar>
          </w:tcPr>
          <w:p w:rsidR="00EE4AA1" w:rsidRPr="006D1EA0" w:rsidRDefault="00EE4AA1" w:rsidP="008D1891">
            <w:pPr>
              <w:keepNext/>
              <w:keepLines/>
              <w:jc w:val="center"/>
              <w:rPr>
                <w:rFonts w:cs="Arial"/>
                <w:bCs/>
                <w:sz w:val="16"/>
                <w:szCs w:val="16"/>
              </w:rPr>
            </w:pPr>
            <w:r w:rsidRPr="006D1EA0">
              <w:rPr>
                <w:rFonts w:cs="Arial"/>
                <w:b/>
                <w:bCs/>
                <w:color w:val="00B050"/>
                <w:sz w:val="16"/>
                <w:szCs w:val="16"/>
              </w:rPr>
              <w:t>On track</w:t>
            </w:r>
          </w:p>
        </w:tc>
      </w:tr>
      <w:tr w:rsidR="00EE4AA1" w:rsidRPr="006D1EA0" w:rsidTr="00845557">
        <w:trPr>
          <w:cantSplit/>
        </w:trPr>
        <w:tc>
          <w:tcPr>
            <w:tcW w:w="1122" w:type="pct"/>
            <w:tcBorders>
              <w:top w:val="nil"/>
              <w:left w:val="single" w:sz="4" w:space="0" w:color="auto"/>
              <w:bottom w:val="nil"/>
            </w:tcBorders>
            <w:shd w:val="clear" w:color="auto" w:fill="auto"/>
          </w:tcPr>
          <w:p w:rsidR="00EE4AA1" w:rsidRPr="007752BD" w:rsidRDefault="00EE4AA1" w:rsidP="008D1891">
            <w:pPr>
              <w:rPr>
                <w:rFonts w:cs="Arial"/>
                <w:sz w:val="16"/>
                <w:szCs w:val="16"/>
                <w:lang w:bidi="th-TH"/>
              </w:rPr>
            </w:pPr>
            <w:r w:rsidRPr="007752BD">
              <w:rPr>
                <w:rFonts w:cs="Arial"/>
                <w:sz w:val="16"/>
                <w:szCs w:val="16"/>
                <w:lang w:bidi="th-TH"/>
              </w:rPr>
              <w:t>% of DA projects which have been</w:t>
            </w:r>
          </w:p>
          <w:p w:rsidR="00EE4AA1" w:rsidRPr="006D1EA0" w:rsidRDefault="00EE4AA1" w:rsidP="008D1891">
            <w:pPr>
              <w:rPr>
                <w:rFonts w:cs="Arial"/>
                <w:sz w:val="16"/>
                <w:szCs w:val="16"/>
                <w:lang w:bidi="th-TH"/>
              </w:rPr>
            </w:pPr>
            <w:r w:rsidRPr="007752BD">
              <w:rPr>
                <w:rFonts w:cs="Arial"/>
                <w:sz w:val="16"/>
                <w:szCs w:val="16"/>
                <w:lang w:bidi="th-TH"/>
              </w:rPr>
              <w:t>independently evaluated</w:t>
            </w:r>
          </w:p>
        </w:tc>
        <w:tc>
          <w:tcPr>
            <w:tcW w:w="1119" w:type="pct"/>
            <w:tcBorders>
              <w:top w:val="nil"/>
              <w:bottom w:val="nil"/>
            </w:tcBorders>
            <w:shd w:val="clear" w:color="auto" w:fill="auto"/>
          </w:tcPr>
          <w:p w:rsidR="00EE4AA1" w:rsidRPr="006D1EA0" w:rsidRDefault="00EE4AA1" w:rsidP="008D1891">
            <w:pPr>
              <w:rPr>
                <w:rFonts w:cs="Arial"/>
                <w:color w:val="002060"/>
                <w:sz w:val="16"/>
                <w:szCs w:val="16"/>
                <w:lang w:bidi="th-TH"/>
              </w:rPr>
            </w:pPr>
            <w:r w:rsidRPr="006D1EA0">
              <w:rPr>
                <w:rFonts w:cs="Arial"/>
                <w:i/>
                <w:color w:val="002060"/>
                <w:sz w:val="16"/>
                <w:szCs w:val="16"/>
              </w:rPr>
              <w:t xml:space="preserve">Updated Baseline end 2013:  </w:t>
            </w:r>
            <w:r w:rsidRPr="001D2E83">
              <w:rPr>
                <w:rFonts w:cs="Arial"/>
                <w:sz w:val="16"/>
                <w:szCs w:val="16"/>
                <w:lang w:bidi="th-TH"/>
              </w:rPr>
              <w:t xml:space="preserve">100%; </w:t>
            </w:r>
            <w:r>
              <w:rPr>
                <w:rFonts w:cs="Arial"/>
                <w:sz w:val="16"/>
                <w:szCs w:val="16"/>
                <w:lang w:bidi="th-TH"/>
              </w:rPr>
              <w:t>14</w:t>
            </w:r>
            <w:r w:rsidRPr="001D2E83">
              <w:rPr>
                <w:rFonts w:cs="Arial"/>
                <w:sz w:val="16"/>
                <w:szCs w:val="16"/>
                <w:lang w:bidi="th-TH"/>
              </w:rPr>
              <w:t xml:space="preserve"> evaluation reports discussed by the CDIP</w:t>
            </w:r>
            <w:r>
              <w:rPr>
                <w:rFonts w:cs="Arial"/>
                <w:sz w:val="16"/>
                <w:szCs w:val="16"/>
                <w:lang w:bidi="th-TH"/>
              </w:rPr>
              <w:t>. (evaluated during the biennium 2012/13)</w:t>
            </w:r>
          </w:p>
          <w:p w:rsidR="00EE4AA1" w:rsidRPr="006D1EA0" w:rsidRDefault="00EE4AA1" w:rsidP="008D1891">
            <w:pPr>
              <w:rPr>
                <w:rFonts w:cs="Arial"/>
                <w:i/>
                <w:color w:val="002060"/>
                <w:sz w:val="16"/>
                <w:szCs w:val="16"/>
              </w:rPr>
            </w:pPr>
          </w:p>
          <w:p w:rsidR="00EE4AA1" w:rsidRPr="006D1EA0" w:rsidRDefault="00EE4AA1" w:rsidP="008D1891">
            <w:pPr>
              <w:rPr>
                <w:rFonts w:cs="Arial"/>
                <w:sz w:val="16"/>
                <w:szCs w:val="16"/>
              </w:rPr>
            </w:pPr>
            <w:r w:rsidRPr="006D1EA0">
              <w:rPr>
                <w:rFonts w:cs="Arial"/>
                <w:i/>
                <w:sz w:val="16"/>
                <w:szCs w:val="16"/>
              </w:rPr>
              <w:t>Original Baseline P&amp;B</w:t>
            </w:r>
            <w:r>
              <w:rPr>
                <w:rFonts w:cs="Arial"/>
                <w:i/>
                <w:sz w:val="16"/>
                <w:szCs w:val="16"/>
              </w:rPr>
              <w:t> </w:t>
            </w:r>
            <w:r w:rsidRPr="006D1EA0">
              <w:rPr>
                <w:rFonts w:cs="Arial"/>
                <w:i/>
                <w:sz w:val="16"/>
                <w:szCs w:val="16"/>
              </w:rPr>
              <w:t>2014/15:</w:t>
            </w:r>
            <w:r w:rsidRPr="006D1EA0">
              <w:rPr>
                <w:rFonts w:cs="Arial"/>
                <w:sz w:val="16"/>
                <w:szCs w:val="16"/>
              </w:rPr>
              <w:t xml:space="preserve">  </w:t>
            </w:r>
            <w:r>
              <w:rPr>
                <w:rFonts w:cs="Arial"/>
                <w:sz w:val="16"/>
                <w:szCs w:val="16"/>
              </w:rPr>
              <w:t>100%</w:t>
            </w:r>
          </w:p>
          <w:p w:rsidR="00EE4AA1" w:rsidRPr="006D1EA0" w:rsidRDefault="00EE4AA1" w:rsidP="008D1891">
            <w:pPr>
              <w:rPr>
                <w:rFonts w:cs="Arial"/>
                <w:i/>
                <w:color w:val="002060"/>
                <w:sz w:val="16"/>
                <w:szCs w:val="16"/>
              </w:rPr>
            </w:pPr>
          </w:p>
        </w:tc>
        <w:tc>
          <w:tcPr>
            <w:tcW w:w="1044" w:type="pct"/>
            <w:tcBorders>
              <w:top w:val="nil"/>
              <w:bottom w:val="nil"/>
            </w:tcBorders>
            <w:shd w:val="clear" w:color="auto" w:fill="auto"/>
            <w:tcMar>
              <w:top w:w="110" w:type="dxa"/>
            </w:tcMar>
          </w:tcPr>
          <w:p w:rsidR="00EE4AA1" w:rsidRPr="006D1EA0" w:rsidRDefault="00EE4AA1" w:rsidP="008D1891">
            <w:pPr>
              <w:autoSpaceDE w:val="0"/>
              <w:autoSpaceDN w:val="0"/>
              <w:adjustRightInd w:val="0"/>
              <w:rPr>
                <w:rFonts w:cs="Arial"/>
                <w:sz w:val="16"/>
                <w:szCs w:val="16"/>
              </w:rPr>
            </w:pPr>
            <w:r>
              <w:rPr>
                <w:rFonts w:cs="Arial"/>
                <w:sz w:val="16"/>
                <w:szCs w:val="16"/>
              </w:rPr>
              <w:t>100%</w:t>
            </w:r>
          </w:p>
        </w:tc>
        <w:tc>
          <w:tcPr>
            <w:tcW w:w="1193" w:type="pct"/>
            <w:tcBorders>
              <w:top w:val="nil"/>
              <w:bottom w:val="nil"/>
            </w:tcBorders>
            <w:shd w:val="clear" w:color="auto" w:fill="FFFFFF"/>
            <w:tcMar>
              <w:top w:w="110" w:type="dxa"/>
            </w:tcMar>
          </w:tcPr>
          <w:p w:rsidR="00EE4AA1" w:rsidRPr="006D1EA0" w:rsidRDefault="00EE4AA1" w:rsidP="008D1891">
            <w:pPr>
              <w:rPr>
                <w:rFonts w:cs="Arial"/>
                <w:sz w:val="16"/>
                <w:szCs w:val="16"/>
              </w:rPr>
            </w:pPr>
            <w:r w:rsidRPr="007752BD">
              <w:rPr>
                <w:rFonts w:cs="Arial"/>
                <w:sz w:val="16"/>
                <w:szCs w:val="16"/>
              </w:rPr>
              <w:t>100%</w:t>
            </w:r>
            <w:r>
              <w:rPr>
                <w:rFonts w:cs="Arial"/>
                <w:sz w:val="16"/>
                <w:szCs w:val="16"/>
              </w:rPr>
              <w:t xml:space="preserve">: Eight </w:t>
            </w:r>
            <w:r w:rsidRPr="007752BD">
              <w:rPr>
                <w:rFonts w:cs="Arial"/>
                <w:sz w:val="16"/>
                <w:szCs w:val="16"/>
              </w:rPr>
              <w:t>completed projects</w:t>
            </w:r>
            <w:r>
              <w:rPr>
                <w:rFonts w:cs="Arial"/>
                <w:sz w:val="16"/>
                <w:szCs w:val="16"/>
              </w:rPr>
              <w:t xml:space="preserve"> were </w:t>
            </w:r>
            <w:r w:rsidRPr="007752BD">
              <w:rPr>
                <w:rFonts w:cs="Arial"/>
                <w:sz w:val="16"/>
                <w:szCs w:val="16"/>
              </w:rPr>
              <w:t>independently</w:t>
            </w:r>
            <w:r>
              <w:rPr>
                <w:rFonts w:cs="Arial"/>
                <w:sz w:val="16"/>
                <w:szCs w:val="16"/>
              </w:rPr>
              <w:t xml:space="preserve"> </w:t>
            </w:r>
            <w:r w:rsidRPr="007752BD">
              <w:rPr>
                <w:rFonts w:cs="Arial"/>
                <w:sz w:val="16"/>
                <w:szCs w:val="16"/>
              </w:rPr>
              <w:t>evaluated</w:t>
            </w:r>
            <w:r>
              <w:rPr>
                <w:rFonts w:cs="Arial"/>
                <w:sz w:val="16"/>
                <w:szCs w:val="16"/>
              </w:rPr>
              <w:t xml:space="preserve"> and discussed by the CDIP in 2014.</w:t>
            </w:r>
          </w:p>
        </w:tc>
        <w:tc>
          <w:tcPr>
            <w:tcW w:w="522" w:type="pct"/>
            <w:tcBorders>
              <w:top w:val="nil"/>
              <w:bottom w:val="nil"/>
              <w:right w:val="single" w:sz="4" w:space="0" w:color="auto"/>
            </w:tcBorders>
            <w:shd w:val="clear" w:color="auto" w:fill="auto"/>
            <w:tcMar>
              <w:top w:w="110" w:type="dxa"/>
            </w:tcMar>
          </w:tcPr>
          <w:p w:rsidR="00EE4AA1" w:rsidRPr="006D1EA0" w:rsidRDefault="00EE4AA1" w:rsidP="008D1891">
            <w:pPr>
              <w:keepNext/>
              <w:keepLines/>
              <w:jc w:val="center"/>
              <w:rPr>
                <w:rFonts w:cs="Arial"/>
                <w:b/>
                <w:bCs/>
                <w:color w:val="00B050"/>
                <w:sz w:val="16"/>
                <w:szCs w:val="16"/>
              </w:rPr>
            </w:pPr>
            <w:r w:rsidRPr="006D1EA0">
              <w:rPr>
                <w:rFonts w:cs="Arial"/>
                <w:b/>
                <w:bCs/>
                <w:color w:val="00B050"/>
                <w:sz w:val="16"/>
                <w:szCs w:val="16"/>
              </w:rPr>
              <w:t>On track</w:t>
            </w:r>
          </w:p>
        </w:tc>
      </w:tr>
      <w:tr w:rsidR="00EE4AA1" w:rsidRPr="006D1EA0" w:rsidTr="00845557">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EE4AA1" w:rsidRPr="006D1EA0" w:rsidRDefault="00EE4AA1" w:rsidP="008D1891">
            <w:pPr>
              <w:keepNext/>
              <w:keepLines/>
              <w:tabs>
                <w:tab w:val="left" w:pos="1452"/>
              </w:tabs>
              <w:spacing w:before="120" w:after="120"/>
              <w:ind w:left="1452" w:hanging="1452"/>
              <w:rPr>
                <w:rFonts w:cs="Arial"/>
                <w:b/>
                <w:bCs/>
                <w:sz w:val="16"/>
                <w:szCs w:val="16"/>
              </w:rPr>
            </w:pPr>
            <w:r w:rsidRPr="006D1EA0">
              <w:rPr>
                <w:rFonts w:cs="Arial"/>
                <w:b/>
                <w:bCs/>
                <w:sz w:val="16"/>
                <w:szCs w:val="16"/>
              </w:rPr>
              <w:t>Expected Result:</w:t>
            </w:r>
            <w:r w:rsidRPr="006D1EA0">
              <w:rPr>
                <w:rFonts w:cs="Arial"/>
                <w:b/>
                <w:bCs/>
                <w:sz w:val="16"/>
                <w:szCs w:val="16"/>
              </w:rPr>
              <w:tab/>
            </w:r>
            <w:r w:rsidRPr="006D1EA0">
              <w:rPr>
                <w:rFonts w:cs="Arial"/>
                <w:sz w:val="16"/>
                <w:szCs w:val="16"/>
                <w:lang w:bidi="th-TH"/>
              </w:rPr>
              <w:t>III.5 Enhanced understanding of the DA by Member States, IGOs, civil society and other stakeholders</w:t>
            </w:r>
          </w:p>
        </w:tc>
      </w:tr>
      <w:tr w:rsidR="00EE4AA1" w:rsidRPr="006D1EA0" w:rsidTr="00845557">
        <w:trPr>
          <w:cantSplit/>
        </w:trPr>
        <w:tc>
          <w:tcPr>
            <w:tcW w:w="1122" w:type="pct"/>
            <w:tcBorders>
              <w:top w:val="single" w:sz="4" w:space="0" w:color="auto"/>
              <w:left w:val="single" w:sz="4" w:space="0" w:color="auto"/>
              <w:bottom w:val="nil"/>
            </w:tcBorders>
            <w:shd w:val="clear" w:color="auto" w:fill="auto"/>
            <w:vAlign w:val="center"/>
          </w:tcPr>
          <w:p w:rsidR="00EE4AA1" w:rsidRPr="006D1EA0" w:rsidRDefault="00EE4AA1" w:rsidP="008D1891">
            <w:pPr>
              <w:spacing w:after="40"/>
              <w:rPr>
                <w:rFonts w:cs="Arial"/>
                <w:sz w:val="16"/>
                <w:szCs w:val="16"/>
              </w:rPr>
            </w:pPr>
            <w:r w:rsidRPr="006D1EA0">
              <w:rPr>
                <w:rFonts w:cs="Arial"/>
                <w:b/>
                <w:bCs/>
                <w:sz w:val="16"/>
                <w:szCs w:val="16"/>
              </w:rPr>
              <w:t>Performance Indicators</w:t>
            </w:r>
          </w:p>
        </w:tc>
        <w:tc>
          <w:tcPr>
            <w:tcW w:w="1119" w:type="pct"/>
            <w:tcBorders>
              <w:top w:val="single" w:sz="4" w:space="0" w:color="auto"/>
              <w:bottom w:val="nil"/>
            </w:tcBorders>
            <w:shd w:val="clear" w:color="auto" w:fill="auto"/>
            <w:vAlign w:val="center"/>
          </w:tcPr>
          <w:p w:rsidR="00EE4AA1" w:rsidRPr="006D1EA0" w:rsidRDefault="00EE4AA1" w:rsidP="008D1891">
            <w:pPr>
              <w:spacing w:after="40"/>
              <w:rPr>
                <w:rFonts w:cs="Arial"/>
                <w:b/>
                <w:bCs/>
                <w:sz w:val="16"/>
                <w:szCs w:val="16"/>
              </w:rPr>
            </w:pPr>
            <w:r w:rsidRPr="006D1EA0">
              <w:rPr>
                <w:rFonts w:cs="Arial"/>
                <w:b/>
                <w:bCs/>
                <w:sz w:val="16"/>
                <w:szCs w:val="16"/>
              </w:rPr>
              <w:t>Baselines</w:t>
            </w:r>
          </w:p>
        </w:tc>
        <w:tc>
          <w:tcPr>
            <w:tcW w:w="1044" w:type="pct"/>
            <w:tcBorders>
              <w:top w:val="single" w:sz="4" w:space="0" w:color="auto"/>
              <w:bottom w:val="nil"/>
            </w:tcBorders>
            <w:shd w:val="clear" w:color="auto" w:fill="auto"/>
            <w:tcMar>
              <w:top w:w="110" w:type="dxa"/>
            </w:tcMar>
            <w:vAlign w:val="center"/>
          </w:tcPr>
          <w:p w:rsidR="00EE4AA1" w:rsidRPr="006D1EA0" w:rsidRDefault="00EE4AA1" w:rsidP="008D1891">
            <w:pPr>
              <w:spacing w:after="40"/>
              <w:rPr>
                <w:rFonts w:cs="Arial"/>
                <w:b/>
                <w:sz w:val="16"/>
                <w:szCs w:val="16"/>
              </w:rPr>
            </w:pPr>
            <w:r w:rsidRPr="006D1EA0">
              <w:rPr>
                <w:rFonts w:cs="Arial"/>
                <w:b/>
                <w:sz w:val="16"/>
                <w:szCs w:val="16"/>
              </w:rPr>
              <w:t>Targets</w:t>
            </w:r>
          </w:p>
        </w:tc>
        <w:tc>
          <w:tcPr>
            <w:tcW w:w="1193" w:type="pct"/>
            <w:tcBorders>
              <w:top w:val="single" w:sz="4" w:space="0" w:color="auto"/>
              <w:bottom w:val="nil"/>
            </w:tcBorders>
            <w:shd w:val="clear" w:color="auto" w:fill="FFFFFF"/>
            <w:tcMar>
              <w:top w:w="110" w:type="dxa"/>
            </w:tcMar>
            <w:vAlign w:val="center"/>
          </w:tcPr>
          <w:p w:rsidR="00EE4AA1" w:rsidRPr="006D1EA0" w:rsidRDefault="00EE4AA1" w:rsidP="008D1891">
            <w:pPr>
              <w:spacing w:after="40"/>
              <w:rPr>
                <w:rFonts w:cs="Arial"/>
                <w:sz w:val="16"/>
                <w:szCs w:val="16"/>
              </w:rPr>
            </w:pPr>
            <w:r w:rsidRPr="006D1EA0">
              <w:rPr>
                <w:rFonts w:cs="Arial"/>
                <w:b/>
                <w:bCs/>
                <w:sz w:val="16"/>
                <w:szCs w:val="16"/>
              </w:rPr>
              <w:t>Performance Data</w:t>
            </w:r>
          </w:p>
        </w:tc>
        <w:tc>
          <w:tcPr>
            <w:tcW w:w="522" w:type="pct"/>
            <w:tcBorders>
              <w:top w:val="single" w:sz="4" w:space="0" w:color="auto"/>
              <w:bottom w:val="nil"/>
              <w:right w:val="single" w:sz="4" w:space="0" w:color="auto"/>
            </w:tcBorders>
            <w:shd w:val="clear" w:color="auto" w:fill="auto"/>
            <w:tcMar>
              <w:top w:w="110" w:type="dxa"/>
            </w:tcMar>
            <w:vAlign w:val="center"/>
          </w:tcPr>
          <w:p w:rsidR="00EE4AA1" w:rsidRPr="006D1EA0" w:rsidRDefault="00EE4AA1" w:rsidP="008D1891">
            <w:pPr>
              <w:keepNext/>
              <w:keepLines/>
              <w:spacing w:after="40"/>
              <w:jc w:val="center"/>
              <w:rPr>
                <w:rFonts w:cs="Arial"/>
                <w:b/>
                <w:bCs/>
                <w:sz w:val="16"/>
                <w:szCs w:val="16"/>
              </w:rPr>
            </w:pPr>
            <w:r w:rsidRPr="006D1EA0">
              <w:rPr>
                <w:rFonts w:cs="Arial"/>
                <w:b/>
                <w:bCs/>
                <w:sz w:val="16"/>
                <w:szCs w:val="16"/>
              </w:rPr>
              <w:t>TLS</w:t>
            </w:r>
          </w:p>
        </w:tc>
      </w:tr>
      <w:tr w:rsidR="00EE4AA1" w:rsidRPr="006D1EA0" w:rsidTr="00845557">
        <w:trPr>
          <w:cantSplit/>
        </w:trPr>
        <w:tc>
          <w:tcPr>
            <w:tcW w:w="1122" w:type="pct"/>
            <w:tcBorders>
              <w:top w:val="nil"/>
              <w:left w:val="single" w:sz="4" w:space="0" w:color="auto"/>
              <w:bottom w:val="nil"/>
            </w:tcBorders>
            <w:shd w:val="clear" w:color="auto" w:fill="FFFFFF"/>
          </w:tcPr>
          <w:p w:rsidR="00EE4AA1" w:rsidRPr="006D1EA0" w:rsidRDefault="00EE4AA1" w:rsidP="008D1891">
            <w:pPr>
              <w:rPr>
                <w:rFonts w:cs="Arial"/>
                <w:sz w:val="16"/>
                <w:szCs w:val="16"/>
                <w:lang w:bidi="th-TH"/>
              </w:rPr>
            </w:pPr>
            <w:r w:rsidRPr="006D1EA0">
              <w:rPr>
                <w:rFonts w:cs="Arial"/>
                <w:sz w:val="16"/>
                <w:szCs w:val="16"/>
                <w:lang w:bidi="th-TH"/>
              </w:rPr>
              <w:t>No. of countries requesting technical assistance through DA projects and expressing interest in DA related activities</w:t>
            </w:r>
          </w:p>
        </w:tc>
        <w:tc>
          <w:tcPr>
            <w:tcW w:w="1119" w:type="pct"/>
            <w:tcBorders>
              <w:top w:val="nil"/>
              <w:bottom w:val="nil"/>
            </w:tcBorders>
            <w:shd w:val="clear" w:color="auto" w:fill="auto"/>
          </w:tcPr>
          <w:p w:rsidR="00EE4AA1" w:rsidRPr="006D1EA0" w:rsidRDefault="00EE4AA1" w:rsidP="008D1891">
            <w:pPr>
              <w:rPr>
                <w:rFonts w:cs="Arial"/>
                <w:color w:val="002060"/>
                <w:sz w:val="16"/>
                <w:szCs w:val="16"/>
                <w:lang w:bidi="th-TH"/>
              </w:rPr>
            </w:pPr>
            <w:r w:rsidRPr="006D1EA0">
              <w:rPr>
                <w:rFonts w:cs="Arial"/>
                <w:i/>
                <w:color w:val="002060"/>
                <w:sz w:val="16"/>
                <w:szCs w:val="16"/>
              </w:rPr>
              <w:t xml:space="preserve">Updated Baseline end 2013:  </w:t>
            </w:r>
            <w:r w:rsidRPr="00845557">
              <w:rPr>
                <w:rFonts w:cs="Arial"/>
                <w:color w:val="002060"/>
                <w:sz w:val="16"/>
                <w:szCs w:val="16"/>
                <w:lang w:bidi="th-TH"/>
              </w:rPr>
              <w:t xml:space="preserve">Projects and DA related activities in </w:t>
            </w:r>
            <w:r w:rsidRPr="00E77B4E">
              <w:rPr>
                <w:rFonts w:cs="Arial"/>
                <w:color w:val="002060"/>
                <w:sz w:val="16"/>
                <w:szCs w:val="16"/>
              </w:rPr>
              <w:t>50</w:t>
            </w:r>
            <w:r>
              <w:rPr>
                <w:rFonts w:cs="Arial"/>
                <w:color w:val="002060"/>
                <w:sz w:val="16"/>
                <w:szCs w:val="16"/>
              </w:rPr>
              <w:t> </w:t>
            </w:r>
            <w:r w:rsidRPr="00E77B4E">
              <w:rPr>
                <w:rFonts w:cs="Arial"/>
                <w:color w:val="002060"/>
                <w:sz w:val="16"/>
                <w:szCs w:val="16"/>
              </w:rPr>
              <w:t>countries</w:t>
            </w:r>
          </w:p>
          <w:p w:rsidR="00EE4AA1" w:rsidRPr="006D1EA0" w:rsidRDefault="00EE4AA1" w:rsidP="008D1891">
            <w:pPr>
              <w:rPr>
                <w:rFonts w:cs="Arial"/>
                <w:i/>
                <w:color w:val="002060"/>
                <w:sz w:val="16"/>
                <w:szCs w:val="16"/>
              </w:rPr>
            </w:pPr>
          </w:p>
          <w:p w:rsidR="00EE4AA1" w:rsidRPr="006D1EA0" w:rsidRDefault="00EE4AA1" w:rsidP="008D1891">
            <w:pPr>
              <w:rPr>
                <w:rFonts w:cs="Arial"/>
                <w:sz w:val="16"/>
                <w:szCs w:val="16"/>
                <w:lang w:bidi="th-TH"/>
              </w:rPr>
            </w:pPr>
            <w:r w:rsidRPr="006D1EA0">
              <w:rPr>
                <w:rFonts w:cs="Arial"/>
                <w:i/>
                <w:sz w:val="16"/>
                <w:szCs w:val="16"/>
              </w:rPr>
              <w:t>Original Baseline P&amp;B 2014/15:</w:t>
            </w:r>
            <w:r w:rsidRPr="006D1EA0">
              <w:rPr>
                <w:rFonts w:cs="Arial"/>
                <w:sz w:val="16"/>
                <w:szCs w:val="16"/>
              </w:rPr>
              <w:t xml:space="preserve">  Projects and DA related activities in 43 countries (April 2013)</w:t>
            </w:r>
          </w:p>
        </w:tc>
        <w:tc>
          <w:tcPr>
            <w:tcW w:w="1044" w:type="pct"/>
            <w:tcBorders>
              <w:top w:val="nil"/>
              <w:bottom w:val="nil"/>
            </w:tcBorders>
            <w:shd w:val="clear" w:color="auto" w:fill="auto"/>
            <w:tcMar>
              <w:top w:w="110" w:type="dxa"/>
            </w:tcMar>
          </w:tcPr>
          <w:p w:rsidR="00EE4AA1" w:rsidRPr="006D1EA0" w:rsidRDefault="00EE4AA1" w:rsidP="008D1891">
            <w:pPr>
              <w:rPr>
                <w:rFonts w:cs="Arial"/>
                <w:sz w:val="16"/>
                <w:szCs w:val="16"/>
                <w:lang w:bidi="th-TH"/>
              </w:rPr>
            </w:pPr>
            <w:r w:rsidRPr="00E77B4E">
              <w:rPr>
                <w:rFonts w:cs="Arial"/>
                <w:sz w:val="16"/>
                <w:szCs w:val="16"/>
                <w:lang w:bidi="th-TH"/>
              </w:rPr>
              <w:t>Projects and DA related activities in 50 countries</w:t>
            </w:r>
          </w:p>
        </w:tc>
        <w:tc>
          <w:tcPr>
            <w:tcW w:w="1193" w:type="pct"/>
            <w:tcBorders>
              <w:top w:val="nil"/>
              <w:bottom w:val="nil"/>
            </w:tcBorders>
            <w:shd w:val="clear" w:color="auto" w:fill="FFFFFF"/>
            <w:tcMar>
              <w:top w:w="110" w:type="dxa"/>
            </w:tcMar>
          </w:tcPr>
          <w:p w:rsidR="00EE4AA1" w:rsidRPr="006D1EA0" w:rsidRDefault="00EE4AA1" w:rsidP="008D1891">
            <w:pPr>
              <w:rPr>
                <w:rFonts w:cs="Arial"/>
                <w:sz w:val="16"/>
                <w:szCs w:val="16"/>
                <w:lang w:bidi="th-TH"/>
              </w:rPr>
            </w:pPr>
            <w:r w:rsidRPr="006D1EA0">
              <w:rPr>
                <w:rFonts w:cs="Arial"/>
                <w:sz w:val="16"/>
                <w:szCs w:val="16"/>
                <w:lang w:bidi="th-TH"/>
              </w:rPr>
              <w:t xml:space="preserve">53 </w:t>
            </w:r>
            <w:r>
              <w:rPr>
                <w:rFonts w:cs="Arial"/>
                <w:sz w:val="16"/>
                <w:szCs w:val="16"/>
                <w:lang w:bidi="th-TH"/>
              </w:rPr>
              <w:t>d</w:t>
            </w:r>
            <w:r w:rsidRPr="006D1EA0">
              <w:rPr>
                <w:rFonts w:cs="Arial"/>
                <w:sz w:val="16"/>
                <w:szCs w:val="16"/>
                <w:lang w:bidi="th-TH"/>
              </w:rPr>
              <w:t>eveloping</w:t>
            </w:r>
            <w:r>
              <w:rPr>
                <w:rFonts w:cs="Arial"/>
                <w:sz w:val="16"/>
                <w:szCs w:val="16"/>
                <w:lang w:bidi="th-TH"/>
              </w:rPr>
              <w:t xml:space="preserve"> c</w:t>
            </w:r>
            <w:r w:rsidRPr="006D1EA0">
              <w:rPr>
                <w:rFonts w:cs="Arial"/>
                <w:sz w:val="16"/>
                <w:szCs w:val="16"/>
                <w:lang w:bidi="th-TH"/>
              </w:rPr>
              <w:t>ountries</w:t>
            </w:r>
            <w:r>
              <w:rPr>
                <w:rFonts w:cs="Arial"/>
                <w:sz w:val="16"/>
                <w:szCs w:val="16"/>
                <w:lang w:bidi="th-TH"/>
              </w:rPr>
              <w:t xml:space="preserve"> </w:t>
            </w:r>
            <w:r w:rsidRPr="006D1EA0">
              <w:rPr>
                <w:rFonts w:cs="Arial"/>
                <w:sz w:val="16"/>
                <w:szCs w:val="16"/>
                <w:lang w:bidi="th-TH"/>
              </w:rPr>
              <w:t>participated in the</w:t>
            </w:r>
            <w:r>
              <w:rPr>
                <w:rFonts w:cs="Arial"/>
                <w:sz w:val="16"/>
                <w:szCs w:val="16"/>
                <w:lang w:bidi="th-TH"/>
              </w:rPr>
              <w:t xml:space="preserve"> </w:t>
            </w:r>
            <w:r w:rsidRPr="006D1EA0">
              <w:rPr>
                <w:rFonts w:cs="Arial"/>
                <w:sz w:val="16"/>
                <w:szCs w:val="16"/>
                <w:lang w:bidi="th-TH"/>
              </w:rPr>
              <w:t>context of DA</w:t>
            </w:r>
            <w:r>
              <w:rPr>
                <w:rFonts w:cs="Arial"/>
                <w:sz w:val="16"/>
                <w:szCs w:val="16"/>
                <w:lang w:bidi="th-TH"/>
              </w:rPr>
              <w:t xml:space="preserve"> </w:t>
            </w:r>
            <w:r w:rsidRPr="006D1EA0">
              <w:rPr>
                <w:rFonts w:cs="Arial"/>
                <w:sz w:val="16"/>
                <w:szCs w:val="16"/>
                <w:lang w:bidi="th-TH"/>
              </w:rPr>
              <w:t xml:space="preserve">projects, </w:t>
            </w:r>
            <w:r>
              <w:rPr>
                <w:rFonts w:cs="Arial"/>
                <w:sz w:val="16"/>
                <w:szCs w:val="16"/>
                <w:lang w:bidi="th-TH"/>
              </w:rPr>
              <w:t xml:space="preserve">of </w:t>
            </w:r>
            <w:r w:rsidRPr="006D1EA0">
              <w:rPr>
                <w:rFonts w:cs="Arial"/>
                <w:sz w:val="16"/>
                <w:szCs w:val="16"/>
                <w:lang w:bidi="th-TH"/>
              </w:rPr>
              <w:t>which 11</w:t>
            </w:r>
            <w:r>
              <w:rPr>
                <w:rFonts w:cs="Arial"/>
                <w:sz w:val="16"/>
                <w:szCs w:val="16"/>
                <w:lang w:bidi="th-TH"/>
              </w:rPr>
              <w:t> </w:t>
            </w:r>
            <w:r w:rsidRPr="006D1EA0">
              <w:rPr>
                <w:rFonts w:cs="Arial"/>
                <w:sz w:val="16"/>
                <w:szCs w:val="16"/>
                <w:lang w:bidi="th-TH"/>
              </w:rPr>
              <w:t>participants</w:t>
            </w:r>
            <w:r>
              <w:rPr>
                <w:rFonts w:cs="Arial"/>
                <w:sz w:val="16"/>
                <w:szCs w:val="16"/>
                <w:lang w:bidi="th-TH"/>
              </w:rPr>
              <w:t xml:space="preserve"> </w:t>
            </w:r>
            <w:r w:rsidRPr="006D1EA0">
              <w:rPr>
                <w:rFonts w:cs="Arial"/>
                <w:sz w:val="16"/>
                <w:szCs w:val="16"/>
                <w:lang w:bidi="th-TH"/>
              </w:rPr>
              <w:t>were financed.</w:t>
            </w:r>
          </w:p>
        </w:tc>
        <w:tc>
          <w:tcPr>
            <w:tcW w:w="522" w:type="pct"/>
            <w:tcBorders>
              <w:top w:val="nil"/>
              <w:bottom w:val="nil"/>
              <w:right w:val="single" w:sz="4" w:space="0" w:color="auto"/>
            </w:tcBorders>
            <w:shd w:val="clear" w:color="auto" w:fill="auto"/>
            <w:tcMar>
              <w:top w:w="110" w:type="dxa"/>
            </w:tcMar>
          </w:tcPr>
          <w:p w:rsidR="00EE4AA1" w:rsidRPr="006D1EA0" w:rsidRDefault="00EE4AA1" w:rsidP="008D1891">
            <w:pPr>
              <w:keepNext/>
              <w:keepLines/>
              <w:jc w:val="center"/>
              <w:rPr>
                <w:rFonts w:cs="Arial"/>
                <w:bCs/>
                <w:sz w:val="16"/>
                <w:szCs w:val="16"/>
              </w:rPr>
            </w:pPr>
            <w:r w:rsidRPr="006D1EA0">
              <w:rPr>
                <w:rFonts w:cs="Arial"/>
                <w:b/>
                <w:bCs/>
                <w:color w:val="00B050"/>
                <w:sz w:val="16"/>
                <w:szCs w:val="16"/>
              </w:rPr>
              <w:t>On track</w:t>
            </w:r>
          </w:p>
        </w:tc>
      </w:tr>
      <w:tr w:rsidR="00EE4AA1" w:rsidRPr="006D1EA0" w:rsidTr="00845557">
        <w:trPr>
          <w:cantSplit/>
        </w:trPr>
        <w:tc>
          <w:tcPr>
            <w:tcW w:w="1122" w:type="pct"/>
            <w:tcBorders>
              <w:top w:val="nil"/>
              <w:left w:val="single" w:sz="4" w:space="0" w:color="auto"/>
              <w:bottom w:val="single" w:sz="4" w:space="0" w:color="auto"/>
            </w:tcBorders>
            <w:shd w:val="clear" w:color="auto" w:fill="auto"/>
          </w:tcPr>
          <w:p w:rsidR="00EE4AA1" w:rsidRPr="006D1EA0" w:rsidRDefault="00EE4AA1" w:rsidP="008D1891">
            <w:pPr>
              <w:rPr>
                <w:rFonts w:cs="Arial"/>
                <w:sz w:val="16"/>
                <w:szCs w:val="16"/>
                <w:lang w:bidi="th-TH"/>
              </w:rPr>
            </w:pPr>
            <w:r w:rsidRPr="006D1EA0">
              <w:rPr>
                <w:rFonts w:cs="Arial"/>
                <w:sz w:val="16"/>
                <w:szCs w:val="16"/>
                <w:lang w:bidi="th-TH"/>
              </w:rPr>
              <w:t>% of participants in WIPO meetings (Member States, IGOs, civil society and other stakeholders) satisfied with information received on the DA recommendations</w:t>
            </w:r>
          </w:p>
        </w:tc>
        <w:tc>
          <w:tcPr>
            <w:tcW w:w="1119" w:type="pct"/>
            <w:tcBorders>
              <w:top w:val="nil"/>
              <w:bottom w:val="single" w:sz="4" w:space="0" w:color="auto"/>
            </w:tcBorders>
            <w:shd w:val="clear" w:color="auto" w:fill="auto"/>
          </w:tcPr>
          <w:p w:rsidR="00EE4AA1" w:rsidRPr="006D1EA0" w:rsidRDefault="00EE4AA1" w:rsidP="008D1891">
            <w:pPr>
              <w:rPr>
                <w:rFonts w:cs="Arial"/>
                <w:sz w:val="16"/>
                <w:szCs w:val="16"/>
                <w:lang w:bidi="th-TH"/>
              </w:rPr>
            </w:pPr>
            <w:r w:rsidRPr="006D1EA0">
              <w:rPr>
                <w:rFonts w:cs="Arial"/>
                <w:sz w:val="16"/>
                <w:szCs w:val="16"/>
              </w:rPr>
              <w:t>n/a</w:t>
            </w:r>
          </w:p>
        </w:tc>
        <w:tc>
          <w:tcPr>
            <w:tcW w:w="1044" w:type="pct"/>
            <w:tcBorders>
              <w:top w:val="nil"/>
              <w:bottom w:val="single" w:sz="4" w:space="0" w:color="auto"/>
            </w:tcBorders>
            <w:shd w:val="clear" w:color="auto" w:fill="auto"/>
            <w:tcMar>
              <w:top w:w="110" w:type="dxa"/>
            </w:tcMar>
          </w:tcPr>
          <w:p w:rsidR="00EE4AA1" w:rsidRPr="006D1EA0" w:rsidRDefault="00EE4AA1" w:rsidP="008D1891">
            <w:pPr>
              <w:rPr>
                <w:rFonts w:cs="Arial"/>
                <w:sz w:val="16"/>
                <w:szCs w:val="16"/>
                <w:lang w:bidi="th-TH"/>
              </w:rPr>
            </w:pPr>
            <w:r w:rsidRPr="006D1EA0">
              <w:rPr>
                <w:rFonts w:cs="Arial"/>
                <w:sz w:val="16"/>
                <w:szCs w:val="16"/>
                <w:lang w:bidi="th-TH"/>
              </w:rPr>
              <w:t>80%</w:t>
            </w:r>
          </w:p>
        </w:tc>
        <w:tc>
          <w:tcPr>
            <w:tcW w:w="1193" w:type="pct"/>
            <w:tcBorders>
              <w:top w:val="nil"/>
              <w:bottom w:val="single" w:sz="4" w:space="0" w:color="auto"/>
            </w:tcBorders>
            <w:shd w:val="clear" w:color="auto" w:fill="FFFFFF"/>
            <w:tcMar>
              <w:top w:w="110" w:type="dxa"/>
            </w:tcMar>
          </w:tcPr>
          <w:p w:rsidR="00EE4AA1" w:rsidRPr="006D1EA0" w:rsidRDefault="00EE4AA1" w:rsidP="008D1891">
            <w:pPr>
              <w:rPr>
                <w:rFonts w:cs="Arial"/>
                <w:sz w:val="16"/>
                <w:szCs w:val="16"/>
                <w:lang w:bidi="th-TH"/>
              </w:rPr>
            </w:pPr>
            <w:r>
              <w:rPr>
                <w:rFonts w:cs="Arial"/>
                <w:sz w:val="16"/>
                <w:szCs w:val="16"/>
              </w:rPr>
              <w:t>Survey conducted on a biennial basis</w:t>
            </w:r>
          </w:p>
        </w:tc>
        <w:tc>
          <w:tcPr>
            <w:tcW w:w="522" w:type="pct"/>
            <w:tcBorders>
              <w:top w:val="nil"/>
              <w:bottom w:val="single" w:sz="4" w:space="0" w:color="auto"/>
              <w:right w:val="single" w:sz="4" w:space="0" w:color="auto"/>
            </w:tcBorders>
            <w:shd w:val="clear" w:color="auto" w:fill="auto"/>
          </w:tcPr>
          <w:p w:rsidR="00EE4AA1" w:rsidRPr="006D1EA0" w:rsidRDefault="00EE4AA1" w:rsidP="008D1891">
            <w:pPr>
              <w:keepNext/>
              <w:keepLines/>
              <w:jc w:val="center"/>
              <w:rPr>
                <w:rFonts w:cs="Arial"/>
                <w:b/>
                <w:bCs/>
                <w:color w:val="808080"/>
                <w:sz w:val="16"/>
                <w:szCs w:val="16"/>
              </w:rPr>
            </w:pPr>
            <w:r w:rsidRPr="003254F5">
              <w:rPr>
                <w:rFonts w:cs="Arial"/>
                <w:b/>
                <w:bCs/>
                <w:color w:val="0070C0"/>
                <w:sz w:val="16"/>
                <w:szCs w:val="16"/>
              </w:rPr>
              <w:t>N/A 2014</w:t>
            </w:r>
          </w:p>
        </w:tc>
      </w:tr>
    </w:tbl>
    <w:p w:rsidR="00EE4AA1" w:rsidRPr="006D1EA0" w:rsidRDefault="00EE4AA1" w:rsidP="008D1891">
      <w:pPr>
        <w:jc w:val="both"/>
        <w:rPr>
          <w:rFonts w:cs="Arial"/>
          <w:bCs/>
          <w:szCs w:val="20"/>
        </w:rPr>
      </w:pPr>
    </w:p>
    <w:p w:rsidR="00EE4AA1" w:rsidRPr="006D1EA0" w:rsidRDefault="00EE4AA1" w:rsidP="008D1891">
      <w:pPr>
        <w:jc w:val="both"/>
        <w:rPr>
          <w:rFonts w:cs="Arial"/>
          <w:color w:val="000000"/>
          <w:szCs w:val="20"/>
        </w:rPr>
      </w:pPr>
      <w:r w:rsidRPr="006D1EA0">
        <w:rPr>
          <w:rFonts w:cs="Arial"/>
          <w:color w:val="000000"/>
          <w:szCs w:val="20"/>
        </w:rPr>
        <w:br w:type="page"/>
      </w:r>
    </w:p>
    <w:p w:rsidR="00EE4AA1" w:rsidRPr="005D06A6" w:rsidRDefault="00EE4AA1" w:rsidP="008D1891">
      <w:pPr>
        <w:jc w:val="both"/>
        <w:rPr>
          <w:rFonts w:cs="Arial"/>
          <w:b/>
          <w:sz w:val="22"/>
          <w:szCs w:val="20"/>
        </w:rPr>
      </w:pPr>
      <w:r w:rsidRPr="005D06A6">
        <w:rPr>
          <w:rFonts w:cs="Arial"/>
          <w:color w:val="000000"/>
          <w:sz w:val="22"/>
          <w:szCs w:val="20"/>
        </w:rPr>
        <w:lastRenderedPageBreak/>
        <w:t>RESOURCE UTILIZATION</w:t>
      </w:r>
      <w:r w:rsidRPr="005D06A6">
        <w:rPr>
          <w:rFonts w:cs="Arial"/>
          <w:color w:val="000000"/>
          <w:sz w:val="22"/>
          <w:szCs w:val="20"/>
        </w:rPr>
        <w:tab/>
      </w:r>
    </w:p>
    <w:p w:rsidR="00EE4AA1" w:rsidRPr="006D1EA0" w:rsidRDefault="00EE4AA1" w:rsidP="008D1891">
      <w:pPr>
        <w:jc w:val="both"/>
        <w:rPr>
          <w:rFonts w:cs="Arial"/>
          <w:szCs w:val="20"/>
        </w:rPr>
      </w:pPr>
    </w:p>
    <w:p w:rsidR="00EE4AA1" w:rsidRPr="006D1EA0" w:rsidRDefault="00EE4AA1" w:rsidP="00845557">
      <w:pPr>
        <w:pStyle w:val="NormalWeb"/>
        <w:spacing w:before="0" w:beforeAutospacing="0" w:after="0" w:afterAutospacing="0"/>
        <w:jc w:val="center"/>
        <w:rPr>
          <w:sz w:val="20"/>
          <w:szCs w:val="20"/>
        </w:rPr>
      </w:pPr>
      <w:r w:rsidRPr="006D1EA0">
        <w:rPr>
          <w:color w:val="000000"/>
          <w:sz w:val="20"/>
          <w:szCs w:val="20"/>
        </w:rPr>
        <w:t>Budget and Actual Expenditure (by result)</w:t>
      </w:r>
    </w:p>
    <w:p w:rsidR="00EE4AA1" w:rsidRPr="006D1EA0" w:rsidRDefault="00EE4AA1" w:rsidP="008D1891">
      <w:pPr>
        <w:pStyle w:val="NormalWeb"/>
        <w:spacing w:before="0" w:beforeAutospacing="0" w:after="0" w:afterAutospacing="0"/>
        <w:jc w:val="center"/>
        <w:rPr>
          <w:i/>
          <w:iCs/>
          <w:color w:val="000000"/>
          <w:sz w:val="20"/>
          <w:szCs w:val="20"/>
        </w:rPr>
      </w:pPr>
      <w:r w:rsidRPr="006D1EA0">
        <w:rPr>
          <w:i/>
          <w:iCs/>
          <w:color w:val="000000"/>
          <w:sz w:val="20"/>
          <w:szCs w:val="20"/>
        </w:rPr>
        <w:t>(</w:t>
      </w:r>
      <w:proofErr w:type="gramStart"/>
      <w:r w:rsidRPr="006D1EA0">
        <w:rPr>
          <w:i/>
          <w:iCs/>
          <w:color w:val="000000"/>
          <w:sz w:val="20"/>
          <w:szCs w:val="20"/>
        </w:rPr>
        <w:t>in</w:t>
      </w:r>
      <w:proofErr w:type="gramEnd"/>
      <w:r w:rsidRPr="006D1EA0">
        <w:rPr>
          <w:i/>
          <w:iCs/>
          <w:color w:val="000000"/>
          <w:sz w:val="20"/>
          <w:szCs w:val="20"/>
        </w:rPr>
        <w:t xml:space="preserve"> thousands of Swiss francs)</w:t>
      </w:r>
    </w:p>
    <w:p w:rsidR="00EE4AA1" w:rsidRPr="006D1EA0" w:rsidRDefault="00EE4AA1" w:rsidP="008D1891">
      <w:pPr>
        <w:pStyle w:val="NormalWeb"/>
        <w:spacing w:before="0" w:beforeAutospacing="0" w:after="0" w:afterAutospacing="0"/>
        <w:jc w:val="both"/>
        <w:rPr>
          <w:sz w:val="20"/>
          <w:szCs w:val="20"/>
        </w:rPr>
      </w:pPr>
    </w:p>
    <w:p w:rsidR="00EE4AA1" w:rsidRPr="006D1EA0" w:rsidRDefault="00EE4AA1" w:rsidP="008D1891">
      <w:pPr>
        <w:jc w:val="center"/>
        <w:rPr>
          <w:rFonts w:cs="Arial"/>
          <w:szCs w:val="20"/>
        </w:rPr>
      </w:pPr>
      <w:r w:rsidRPr="002C1E01">
        <w:rPr>
          <w:noProof/>
        </w:rPr>
        <w:drawing>
          <wp:inline distT="0" distB="0" distL="0" distR="0" wp14:anchorId="3F0A1B7C" wp14:editId="01CD3559">
            <wp:extent cx="5574030" cy="1503045"/>
            <wp:effectExtent l="0" t="0" r="7620" b="190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574030" cy="1503045"/>
                    </a:xfrm>
                    <a:prstGeom prst="rect">
                      <a:avLst/>
                    </a:prstGeom>
                    <a:noFill/>
                    <a:ln>
                      <a:noFill/>
                    </a:ln>
                  </pic:spPr>
                </pic:pic>
              </a:graphicData>
            </a:graphic>
          </wp:inline>
        </w:drawing>
      </w:r>
      <w:r w:rsidRPr="002C1E01" w:rsidDel="002C1E01">
        <w:t xml:space="preserve"> </w:t>
      </w:r>
    </w:p>
    <w:p w:rsidR="00EE4AA1" w:rsidRPr="006D1EA0" w:rsidRDefault="00EE4AA1" w:rsidP="008D1891">
      <w:pPr>
        <w:jc w:val="both"/>
        <w:rPr>
          <w:rFonts w:cs="Arial"/>
          <w:szCs w:val="20"/>
        </w:rPr>
      </w:pPr>
    </w:p>
    <w:p w:rsidR="00EE4AA1" w:rsidRPr="006D1EA0" w:rsidRDefault="00EE4AA1" w:rsidP="008D1891">
      <w:pPr>
        <w:jc w:val="both"/>
        <w:rPr>
          <w:rFonts w:cs="Arial"/>
          <w:szCs w:val="20"/>
        </w:rPr>
      </w:pPr>
    </w:p>
    <w:p w:rsidR="00EE4AA1" w:rsidRPr="006D1EA0" w:rsidRDefault="00EE4AA1" w:rsidP="008D1891">
      <w:pPr>
        <w:pStyle w:val="NormalWeb"/>
        <w:keepNext/>
        <w:keepLines/>
        <w:spacing w:before="0" w:beforeAutospacing="0" w:after="0" w:afterAutospacing="0"/>
        <w:jc w:val="center"/>
        <w:rPr>
          <w:sz w:val="20"/>
          <w:szCs w:val="20"/>
        </w:rPr>
      </w:pPr>
      <w:r w:rsidRPr="006D1EA0">
        <w:rPr>
          <w:color w:val="000000"/>
          <w:sz w:val="20"/>
          <w:szCs w:val="20"/>
        </w:rPr>
        <w:t>Budget and Actual Expenditure (personnel and non-personnel)</w:t>
      </w:r>
    </w:p>
    <w:p w:rsidR="00EE4AA1" w:rsidRPr="006D1EA0" w:rsidRDefault="00EE4AA1" w:rsidP="008D1891">
      <w:pPr>
        <w:pStyle w:val="NormalWeb"/>
        <w:keepNext/>
        <w:keepLines/>
        <w:spacing w:before="0" w:beforeAutospacing="0" w:after="0" w:afterAutospacing="0"/>
        <w:jc w:val="center"/>
        <w:rPr>
          <w:i/>
          <w:iCs/>
          <w:color w:val="000000"/>
          <w:sz w:val="20"/>
          <w:szCs w:val="20"/>
        </w:rPr>
      </w:pPr>
      <w:r w:rsidRPr="006D1EA0">
        <w:rPr>
          <w:i/>
          <w:iCs/>
          <w:color w:val="000000"/>
          <w:sz w:val="20"/>
          <w:szCs w:val="20"/>
        </w:rPr>
        <w:t>(</w:t>
      </w:r>
      <w:proofErr w:type="gramStart"/>
      <w:r w:rsidRPr="006D1EA0">
        <w:rPr>
          <w:i/>
          <w:iCs/>
          <w:color w:val="000000"/>
          <w:sz w:val="20"/>
          <w:szCs w:val="20"/>
        </w:rPr>
        <w:t>in</w:t>
      </w:r>
      <w:proofErr w:type="gramEnd"/>
      <w:r w:rsidRPr="006D1EA0">
        <w:rPr>
          <w:i/>
          <w:iCs/>
          <w:color w:val="000000"/>
          <w:sz w:val="20"/>
          <w:szCs w:val="20"/>
        </w:rPr>
        <w:t xml:space="preserve"> thousands of Swiss francs)</w:t>
      </w:r>
    </w:p>
    <w:p w:rsidR="00EE4AA1" w:rsidRPr="006D1EA0" w:rsidRDefault="00EE4AA1" w:rsidP="008D1891">
      <w:pPr>
        <w:pStyle w:val="NormalWeb"/>
        <w:keepNext/>
        <w:keepLines/>
        <w:spacing w:before="0" w:beforeAutospacing="0" w:after="0" w:afterAutospacing="0"/>
        <w:jc w:val="center"/>
        <w:rPr>
          <w:sz w:val="20"/>
          <w:szCs w:val="20"/>
        </w:rPr>
      </w:pPr>
    </w:p>
    <w:p w:rsidR="00EE4AA1" w:rsidRPr="006D1EA0" w:rsidRDefault="00EE4AA1" w:rsidP="008D1891">
      <w:pPr>
        <w:jc w:val="center"/>
        <w:rPr>
          <w:rFonts w:cs="Arial"/>
          <w:szCs w:val="20"/>
        </w:rPr>
      </w:pPr>
      <w:r w:rsidRPr="006D1EA0">
        <w:rPr>
          <w:rFonts w:cs="Arial"/>
          <w:noProof/>
          <w:szCs w:val="20"/>
        </w:rPr>
        <w:drawing>
          <wp:inline distT="0" distB="0" distL="0" distR="0" wp14:anchorId="38844DE1" wp14:editId="46AC9392">
            <wp:extent cx="5737366" cy="1273125"/>
            <wp:effectExtent l="0" t="0" r="0" b="381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33878" cy="1272351"/>
                    </a:xfrm>
                    <a:prstGeom prst="rect">
                      <a:avLst/>
                    </a:prstGeom>
                    <a:noFill/>
                    <a:ln>
                      <a:noFill/>
                    </a:ln>
                  </pic:spPr>
                </pic:pic>
              </a:graphicData>
            </a:graphic>
          </wp:inline>
        </w:drawing>
      </w:r>
    </w:p>
    <w:p w:rsidR="00EE4AA1" w:rsidRPr="006D1EA0" w:rsidRDefault="00EE4AA1" w:rsidP="008D1891">
      <w:pPr>
        <w:keepNext/>
        <w:autoSpaceDE w:val="0"/>
        <w:autoSpaceDN w:val="0"/>
        <w:jc w:val="both"/>
        <w:rPr>
          <w:rFonts w:cs="Arial"/>
          <w:szCs w:val="20"/>
        </w:rPr>
      </w:pPr>
      <w:r w:rsidRPr="003254F5">
        <w:rPr>
          <w:rFonts w:cs="Arial"/>
          <w:i/>
          <w:sz w:val="16"/>
          <w:szCs w:val="16"/>
        </w:rPr>
        <w:t>NOTE: The 2014/15 Budget after Transfers reflects transfers as of March 31, 2015 to address needs during the 2014/15 biennium in line with Financial Regulation 5.5</w:t>
      </w:r>
      <w:r w:rsidRPr="00624BCB">
        <w:rPr>
          <w:rFonts w:cs="Arial"/>
          <w:sz w:val="16"/>
          <w:szCs w:val="16"/>
        </w:rPr>
        <w:t>.</w:t>
      </w:r>
    </w:p>
    <w:p w:rsidR="00EE4AA1" w:rsidRPr="006D1EA0" w:rsidRDefault="00EE4AA1" w:rsidP="008D1891">
      <w:pPr>
        <w:widowControl w:val="0"/>
        <w:autoSpaceDE w:val="0"/>
        <w:autoSpaceDN w:val="0"/>
        <w:adjustRightInd w:val="0"/>
        <w:jc w:val="both"/>
        <w:rPr>
          <w:rFonts w:cs="Arial"/>
          <w:szCs w:val="20"/>
        </w:rPr>
      </w:pPr>
    </w:p>
    <w:p w:rsidR="00EE4AA1" w:rsidRPr="006D1EA0" w:rsidRDefault="00EE4AA1" w:rsidP="008D1891">
      <w:pPr>
        <w:widowControl w:val="0"/>
        <w:autoSpaceDE w:val="0"/>
        <w:autoSpaceDN w:val="0"/>
        <w:adjustRightInd w:val="0"/>
        <w:jc w:val="both"/>
        <w:rPr>
          <w:rFonts w:cs="Arial"/>
          <w:szCs w:val="20"/>
        </w:rPr>
      </w:pPr>
    </w:p>
    <w:p w:rsidR="00EE4AA1" w:rsidRPr="006D1EA0" w:rsidRDefault="00EE4AA1" w:rsidP="008D1891">
      <w:pPr>
        <w:jc w:val="both"/>
        <w:rPr>
          <w:rFonts w:cs="Arial"/>
          <w:szCs w:val="20"/>
          <w:u w:val="single"/>
        </w:rPr>
      </w:pPr>
      <w:r w:rsidRPr="006D1EA0">
        <w:rPr>
          <w:rFonts w:cs="Arial"/>
          <w:szCs w:val="20"/>
        </w:rPr>
        <w:t>A.</w:t>
      </w:r>
      <w:r w:rsidRPr="006D1EA0">
        <w:rPr>
          <w:rFonts w:cs="Arial"/>
          <w:szCs w:val="20"/>
        </w:rPr>
        <w:tab/>
      </w:r>
      <w:r w:rsidRPr="006D1EA0">
        <w:rPr>
          <w:rFonts w:cs="Arial"/>
          <w:szCs w:val="20"/>
          <w:u w:val="single"/>
        </w:rPr>
        <w:t>Budget after Transfers 2014/15</w:t>
      </w:r>
    </w:p>
    <w:p w:rsidR="00EE4AA1" w:rsidRPr="006D1EA0" w:rsidRDefault="00EE4AA1" w:rsidP="008D1891">
      <w:pPr>
        <w:jc w:val="both"/>
        <w:rPr>
          <w:rFonts w:cs="Arial"/>
          <w:szCs w:val="20"/>
          <w:u w:val="single"/>
        </w:rPr>
      </w:pPr>
    </w:p>
    <w:p w:rsidR="00EE4AA1" w:rsidRPr="006A08FE" w:rsidRDefault="00EE4AA1" w:rsidP="00EE4AA1">
      <w:pPr>
        <w:pStyle w:val="ListParagraph"/>
        <w:numPr>
          <w:ilvl w:val="0"/>
          <w:numId w:val="52"/>
        </w:numPr>
        <w:tabs>
          <w:tab w:val="left" w:pos="709"/>
        </w:tabs>
        <w:ind w:left="0" w:firstLine="0"/>
        <w:jc w:val="both"/>
        <w:rPr>
          <w:rFonts w:cs="Arial"/>
          <w:lang w:eastAsia="ko-KR"/>
        </w:rPr>
      </w:pPr>
      <w:r w:rsidRPr="006A08FE">
        <w:rPr>
          <w:rFonts w:cs="Arial"/>
          <w:lang w:eastAsia="ko-KR"/>
        </w:rPr>
        <w:t xml:space="preserve">The 2014/15 Budget after Transfers is primarily due to the redeployment of personnel resources </w:t>
      </w:r>
      <w:r>
        <w:rPr>
          <w:rFonts w:cs="Arial"/>
          <w:lang w:eastAsia="ko-KR"/>
        </w:rPr>
        <w:t>(one post) out of t</w:t>
      </w:r>
      <w:r w:rsidRPr="006A08FE">
        <w:rPr>
          <w:rFonts w:cs="Arial"/>
          <w:lang w:eastAsia="ko-KR"/>
        </w:rPr>
        <w:t>he Program</w:t>
      </w:r>
      <w:r>
        <w:rPr>
          <w:rFonts w:cs="Arial"/>
          <w:lang w:eastAsia="ko-KR"/>
        </w:rPr>
        <w:t>.</w:t>
      </w:r>
      <w:r w:rsidRPr="006A08FE">
        <w:rPr>
          <w:rFonts w:cs="Arial"/>
          <w:lang w:eastAsia="ko-KR"/>
        </w:rPr>
        <w:t xml:space="preserve">  </w:t>
      </w:r>
    </w:p>
    <w:p w:rsidR="00EE4AA1" w:rsidRPr="006D1EA0" w:rsidRDefault="00EE4AA1" w:rsidP="008D1891">
      <w:pPr>
        <w:autoSpaceDE w:val="0"/>
        <w:autoSpaceDN w:val="0"/>
        <w:jc w:val="both"/>
        <w:rPr>
          <w:rFonts w:cs="Arial"/>
          <w:szCs w:val="20"/>
          <w:lang w:eastAsia="ko-KR"/>
        </w:rPr>
      </w:pPr>
    </w:p>
    <w:p w:rsidR="00EE4AA1" w:rsidRPr="006D1EA0" w:rsidRDefault="00EE4AA1" w:rsidP="008D1891">
      <w:pPr>
        <w:jc w:val="both"/>
        <w:rPr>
          <w:rFonts w:cs="Arial"/>
          <w:szCs w:val="20"/>
          <w:u w:val="single"/>
          <w:lang w:eastAsia="ko-KR"/>
        </w:rPr>
      </w:pPr>
      <w:r w:rsidRPr="006D1EA0">
        <w:rPr>
          <w:rFonts w:cs="Arial"/>
          <w:szCs w:val="20"/>
          <w:lang w:eastAsia="ko-KR"/>
        </w:rPr>
        <w:t>B.</w:t>
      </w:r>
      <w:r w:rsidRPr="006D1EA0">
        <w:rPr>
          <w:rFonts w:cs="Arial"/>
          <w:szCs w:val="20"/>
          <w:lang w:eastAsia="ko-KR"/>
        </w:rPr>
        <w:tab/>
      </w:r>
      <w:r w:rsidRPr="006D1EA0">
        <w:rPr>
          <w:rFonts w:cs="Arial"/>
          <w:szCs w:val="20"/>
          <w:u w:val="single"/>
          <w:lang w:eastAsia="ko-KR"/>
        </w:rPr>
        <w:t>Budget utilization 2014</w:t>
      </w:r>
    </w:p>
    <w:p w:rsidR="00EE4AA1" w:rsidRPr="006D1EA0" w:rsidRDefault="00EE4AA1" w:rsidP="008D1891">
      <w:pPr>
        <w:autoSpaceDE w:val="0"/>
        <w:autoSpaceDN w:val="0"/>
        <w:jc w:val="both"/>
        <w:rPr>
          <w:rFonts w:cs="Arial"/>
          <w:szCs w:val="20"/>
        </w:rPr>
      </w:pPr>
    </w:p>
    <w:p w:rsidR="00EE4AA1" w:rsidRPr="00845557" w:rsidRDefault="00EE4AA1" w:rsidP="00EE4AA1">
      <w:pPr>
        <w:pStyle w:val="ListParagraph"/>
        <w:numPr>
          <w:ilvl w:val="0"/>
          <w:numId w:val="52"/>
        </w:numPr>
        <w:tabs>
          <w:tab w:val="left" w:pos="709"/>
        </w:tabs>
        <w:ind w:left="0" w:firstLine="0"/>
        <w:jc w:val="both"/>
        <w:rPr>
          <w:rFonts w:cs="Arial"/>
        </w:rPr>
      </w:pPr>
      <w:r w:rsidRPr="00845557">
        <w:rPr>
          <w:rFonts w:cs="Arial"/>
        </w:rPr>
        <w:t xml:space="preserve">Budget utilization is within the expected range of 40-60 per cent for the first year of the biennium and is on track. </w:t>
      </w:r>
    </w:p>
    <w:p w:rsidR="00EE4AA1" w:rsidRPr="006D1EA0" w:rsidRDefault="00EE4AA1" w:rsidP="008D1891">
      <w:pPr>
        <w:autoSpaceDE w:val="0"/>
        <w:autoSpaceDN w:val="0"/>
        <w:jc w:val="both"/>
        <w:rPr>
          <w:rFonts w:cs="Arial"/>
          <w:szCs w:val="20"/>
        </w:rPr>
      </w:pPr>
    </w:p>
    <w:p w:rsidR="00EE4AA1" w:rsidRDefault="00EE4AA1"/>
    <w:p w:rsidR="00EE4AA1" w:rsidRDefault="00EE4AA1"/>
    <w:p w:rsidR="00F54CA4" w:rsidRDefault="00F54CA4"/>
    <w:p w:rsidR="00F54CA4" w:rsidRDefault="00F54CA4">
      <w:r>
        <w:br w:type="page"/>
      </w:r>
    </w:p>
    <w:p w:rsidR="00F54CA4" w:rsidRDefault="00F54CA4" w:rsidP="00F54CA4">
      <w:pPr>
        <w:tabs>
          <w:tab w:val="left" w:pos="1985"/>
        </w:tabs>
        <w:rPr>
          <w:bCs/>
        </w:rPr>
      </w:pPr>
    </w:p>
    <w:p w:rsidR="00F54CA4" w:rsidRPr="003978F9" w:rsidRDefault="00F54CA4" w:rsidP="00F54CA4">
      <w:pPr>
        <w:pStyle w:val="Heading2"/>
        <w:tabs>
          <w:tab w:val="left" w:pos="2268"/>
        </w:tabs>
        <w:ind w:left="1985" w:hanging="1985"/>
        <w:rPr>
          <w:b w:val="0"/>
          <w:caps/>
        </w:rPr>
      </w:pPr>
      <w:bookmarkStart w:id="63" w:name="_Toc422210491"/>
      <w:bookmarkStart w:id="64" w:name="_Toc392610038"/>
      <w:r w:rsidRPr="003978F9">
        <w:t>PROGRAM 9</w:t>
      </w:r>
      <w:r w:rsidRPr="003978F9">
        <w:tab/>
        <w:t>AFRICA, ARAB, ASIA AND THE PACIFIC, LATIN AMERICA AND THE CARIBBEAN COUNTRIES, LEAST DEVELOPED COUNTRIES</w:t>
      </w:r>
      <w:bookmarkEnd w:id="63"/>
    </w:p>
    <w:p w:rsidR="00F54CA4" w:rsidRPr="00383D2D" w:rsidRDefault="00F54CA4" w:rsidP="00F54CA4">
      <w:pPr>
        <w:tabs>
          <w:tab w:val="left" w:pos="1985"/>
        </w:tabs>
      </w:pPr>
    </w:p>
    <w:p w:rsidR="00F54CA4" w:rsidRPr="0023662D" w:rsidRDefault="00F54CA4" w:rsidP="00F54CA4">
      <w:pPr>
        <w:tabs>
          <w:tab w:val="left" w:pos="1985"/>
        </w:tabs>
        <w:rPr>
          <w:b/>
          <w:szCs w:val="22"/>
        </w:rPr>
      </w:pPr>
      <w:r w:rsidRPr="0023662D">
        <w:rPr>
          <w:b/>
          <w:szCs w:val="22"/>
        </w:rPr>
        <w:t>Program Manager</w:t>
      </w:r>
      <w:r w:rsidRPr="0023662D">
        <w:rPr>
          <w:b/>
          <w:szCs w:val="22"/>
        </w:rPr>
        <w:tab/>
        <w:t>Mr. M. Matus</w:t>
      </w:r>
    </w:p>
    <w:p w:rsidR="00F54CA4" w:rsidRPr="008F4A6D" w:rsidRDefault="00F54CA4" w:rsidP="00F54CA4"/>
    <w:p w:rsidR="00F54CA4" w:rsidRPr="001C6F4D" w:rsidRDefault="00F54CA4" w:rsidP="00F54CA4"/>
    <w:p w:rsidR="00F54CA4" w:rsidRPr="00531530" w:rsidRDefault="00F54CA4" w:rsidP="00F54CA4">
      <w:pPr>
        <w:rPr>
          <w:bCs/>
          <w:sz w:val="22"/>
        </w:rPr>
      </w:pPr>
      <w:r w:rsidRPr="00531530">
        <w:rPr>
          <w:bCs/>
          <w:sz w:val="22"/>
          <w:szCs w:val="22"/>
        </w:rPr>
        <w:t>OVERVIEW OF PROGRESS IN 2014</w:t>
      </w:r>
      <w:bookmarkEnd w:id="64"/>
    </w:p>
    <w:p w:rsidR="00F54CA4" w:rsidRDefault="00F54CA4" w:rsidP="00F54CA4">
      <w:pPr>
        <w:rPr>
          <w:bCs/>
        </w:rPr>
      </w:pPr>
    </w:p>
    <w:p w:rsidR="00F54CA4" w:rsidRPr="006D2B5E" w:rsidRDefault="00F54CA4" w:rsidP="00520CAA">
      <w:pPr>
        <w:pStyle w:val="ListParagraph"/>
        <w:numPr>
          <w:ilvl w:val="0"/>
          <w:numId w:val="36"/>
        </w:numPr>
        <w:tabs>
          <w:tab w:val="left" w:pos="709"/>
        </w:tabs>
        <w:ind w:left="0" w:firstLine="0"/>
        <w:contextualSpacing/>
        <w:jc w:val="both"/>
        <w:rPr>
          <w:rFonts w:eastAsia="SimSun"/>
          <w:lang w:eastAsia="zh-CN"/>
        </w:rPr>
      </w:pPr>
      <w:r>
        <w:rPr>
          <w:rFonts w:eastAsia="SimSun"/>
          <w:bCs/>
          <w:lang w:eastAsia="zh-CN"/>
        </w:rPr>
        <w:t>In line with WIPO’s</w:t>
      </w:r>
      <w:r w:rsidRPr="003978F9">
        <w:rPr>
          <w:rFonts w:eastAsia="SimSun"/>
          <w:bCs/>
          <w:lang w:eastAsia="zh-CN"/>
        </w:rPr>
        <w:t xml:space="preserve"> Strategic Goal III</w:t>
      </w:r>
      <w:r>
        <w:rPr>
          <w:rFonts w:eastAsia="SimSun"/>
          <w:bCs/>
          <w:lang w:eastAsia="zh-CN"/>
        </w:rPr>
        <w:t>, f</w:t>
      </w:r>
      <w:r w:rsidRPr="003978F9">
        <w:rPr>
          <w:rFonts w:eastAsia="SimSun"/>
          <w:bCs/>
          <w:lang w:eastAsia="zh-CN"/>
        </w:rPr>
        <w:t>acilitating the use of IP for social, cultural and economic development</w:t>
      </w:r>
      <w:r>
        <w:rPr>
          <w:rFonts w:eastAsia="SimSun"/>
          <w:bCs/>
          <w:lang w:eastAsia="zh-CN"/>
        </w:rPr>
        <w:t xml:space="preserve"> and </w:t>
      </w:r>
      <w:r w:rsidRPr="003978F9">
        <w:rPr>
          <w:rFonts w:eastAsia="SimSun"/>
          <w:bCs/>
          <w:lang w:eastAsia="zh-CN"/>
        </w:rPr>
        <w:t>empowering developing countries and LDCs</w:t>
      </w:r>
      <w:r>
        <w:rPr>
          <w:rFonts w:eastAsia="SimSun"/>
          <w:bCs/>
          <w:lang w:eastAsia="zh-CN"/>
        </w:rPr>
        <w:t xml:space="preserve"> </w:t>
      </w:r>
      <w:r w:rsidRPr="003978F9">
        <w:rPr>
          <w:rFonts w:eastAsia="SimSun"/>
          <w:bCs/>
          <w:lang w:eastAsia="zh-CN"/>
        </w:rPr>
        <w:t xml:space="preserve">to harness IP for enhancing national innovation potential and capacities </w:t>
      </w:r>
      <w:r>
        <w:rPr>
          <w:rFonts w:eastAsia="SimSun"/>
          <w:bCs/>
          <w:lang w:eastAsia="zh-CN"/>
        </w:rPr>
        <w:t>continued to drive the work of the Program in 2014.   Serving</w:t>
      </w:r>
      <w:r w:rsidRPr="003751A8">
        <w:rPr>
          <w:rFonts w:eastAsia="SimSun"/>
          <w:bCs/>
          <w:lang w:eastAsia="zh-CN"/>
        </w:rPr>
        <w:t xml:space="preserve"> as the primary interface between the</w:t>
      </w:r>
      <w:r>
        <w:rPr>
          <w:rFonts w:eastAsia="SimSun"/>
          <w:bCs/>
          <w:lang w:eastAsia="zh-CN"/>
        </w:rPr>
        <w:t xml:space="preserve"> beneficiary</w:t>
      </w:r>
      <w:r w:rsidRPr="003751A8">
        <w:rPr>
          <w:rFonts w:eastAsia="SimSun"/>
          <w:bCs/>
          <w:lang w:eastAsia="zh-CN"/>
        </w:rPr>
        <w:t xml:space="preserve"> Member States and the </w:t>
      </w:r>
      <w:r>
        <w:rPr>
          <w:rFonts w:eastAsia="SimSun"/>
          <w:bCs/>
          <w:lang w:eastAsia="zh-CN"/>
        </w:rPr>
        <w:t>various Programs of WIPO</w:t>
      </w:r>
      <w:r w:rsidRPr="003751A8">
        <w:rPr>
          <w:rFonts w:eastAsia="SimSun"/>
          <w:bCs/>
          <w:lang w:eastAsia="zh-CN"/>
        </w:rPr>
        <w:t xml:space="preserve">, Program </w:t>
      </w:r>
      <w:r>
        <w:rPr>
          <w:rFonts w:eastAsia="SimSun"/>
          <w:bCs/>
          <w:lang w:eastAsia="zh-CN"/>
        </w:rPr>
        <w:t>9 continued to ensure country-specific, needs-based, coherent and well-coordinated delivery of technical assistance throughout the year</w:t>
      </w:r>
      <w:r w:rsidRPr="003978F9">
        <w:rPr>
          <w:rFonts w:eastAsia="SimSun"/>
          <w:bCs/>
          <w:lang w:eastAsia="zh-CN"/>
        </w:rPr>
        <w:t xml:space="preserve">.  </w:t>
      </w:r>
      <w:r w:rsidRPr="003751A8">
        <w:rPr>
          <w:rFonts w:eastAsia="SimSun"/>
          <w:bCs/>
          <w:lang w:eastAsia="zh-CN"/>
        </w:rPr>
        <w:t>Overall, t</w:t>
      </w:r>
      <w:r w:rsidRPr="003751A8">
        <w:rPr>
          <w:rFonts w:cs="Arial"/>
        </w:rPr>
        <w:t xml:space="preserve">he design, planning and implementation of technical cooperation activities </w:t>
      </w:r>
      <w:r>
        <w:rPr>
          <w:rFonts w:cs="Arial"/>
        </w:rPr>
        <w:t xml:space="preserve">were </w:t>
      </w:r>
      <w:r w:rsidRPr="009B4A78">
        <w:rPr>
          <w:rFonts w:cs="Arial"/>
        </w:rPr>
        <w:t>informed</w:t>
      </w:r>
      <w:r w:rsidRPr="003751A8">
        <w:rPr>
          <w:rFonts w:cs="Arial"/>
        </w:rPr>
        <w:t xml:space="preserve"> and guided by the relevant DA Recommendations, in particular </w:t>
      </w:r>
      <w:r>
        <w:rPr>
          <w:rFonts w:cs="Arial"/>
        </w:rPr>
        <w:t xml:space="preserve">the </w:t>
      </w:r>
      <w:r w:rsidRPr="003751A8">
        <w:rPr>
          <w:rFonts w:cs="Arial"/>
        </w:rPr>
        <w:t xml:space="preserve">Recommendations under Cluster </w:t>
      </w:r>
      <w:proofErr w:type="gramStart"/>
      <w:r w:rsidRPr="003751A8">
        <w:rPr>
          <w:rFonts w:cs="Arial"/>
        </w:rPr>
        <w:t>A</w:t>
      </w:r>
      <w:proofErr w:type="gramEnd"/>
      <w:r w:rsidRPr="003751A8">
        <w:rPr>
          <w:rFonts w:cs="Arial"/>
        </w:rPr>
        <w:t xml:space="preserve"> on WIPO’s technical assistance and capacity building.</w:t>
      </w:r>
      <w:r>
        <w:rPr>
          <w:rFonts w:cs="Arial"/>
        </w:rPr>
        <w:t xml:space="preserve">  Also in line with the DA Recommendations, delivery of development-oriented activities to developing countries and LDCs continued to be mainstreamed across the various specialized Programs of the Organization in 2014 to further strengthen WIPO’s technical cooperation.</w:t>
      </w:r>
    </w:p>
    <w:p w:rsidR="00F54CA4" w:rsidRPr="003978F9" w:rsidRDefault="00F54CA4" w:rsidP="00F54CA4">
      <w:pPr>
        <w:tabs>
          <w:tab w:val="left" w:pos="709"/>
        </w:tabs>
        <w:jc w:val="both"/>
        <w:rPr>
          <w:rFonts w:eastAsia="SimSun"/>
          <w:bCs/>
          <w:lang w:eastAsia="zh-CN"/>
        </w:rPr>
      </w:pPr>
    </w:p>
    <w:p w:rsidR="00F54CA4" w:rsidRPr="0023662D" w:rsidRDefault="00F54CA4" w:rsidP="00520CAA">
      <w:pPr>
        <w:pStyle w:val="ListParagraph"/>
        <w:numPr>
          <w:ilvl w:val="0"/>
          <w:numId w:val="36"/>
        </w:numPr>
        <w:tabs>
          <w:tab w:val="left" w:pos="709"/>
        </w:tabs>
        <w:ind w:left="0" w:firstLine="0"/>
        <w:jc w:val="both"/>
        <w:rPr>
          <w:rFonts w:eastAsia="SimSun"/>
          <w:bCs/>
          <w:lang w:eastAsia="zh-CN"/>
        </w:rPr>
      </w:pPr>
      <w:r w:rsidRPr="0023662D">
        <w:rPr>
          <w:rFonts w:eastAsia="SimSun"/>
          <w:bCs/>
          <w:lang w:eastAsia="zh-CN"/>
        </w:rPr>
        <w:t xml:space="preserve">In 2014, existing partnerships with sub-regional/regional and multilateral institutions were further strengthened, and exchanges of experiences and expertise among countries in the different regions and through horizontal cooperation, with the aim of enhancing synergies for greater development results, continued to be fostered.  In May 2014, a new </w:t>
      </w:r>
      <w:proofErr w:type="spellStart"/>
      <w:r w:rsidRPr="0023662D">
        <w:rPr>
          <w:rFonts w:eastAsia="SimSun"/>
          <w:bCs/>
          <w:lang w:eastAsia="zh-CN"/>
        </w:rPr>
        <w:t>MoU</w:t>
      </w:r>
      <w:proofErr w:type="spellEnd"/>
      <w:r w:rsidRPr="0023662D">
        <w:rPr>
          <w:rFonts w:eastAsia="SimSun"/>
          <w:bCs/>
          <w:lang w:eastAsia="zh-CN"/>
        </w:rPr>
        <w:t xml:space="preserve"> was signed with </w:t>
      </w:r>
      <w:proofErr w:type="spellStart"/>
      <w:r w:rsidRPr="0023662D">
        <w:rPr>
          <w:rFonts w:eastAsia="SimSun"/>
          <w:bCs/>
          <w:i/>
          <w:lang w:eastAsia="zh-CN"/>
        </w:rPr>
        <w:t>l’Organisation</w:t>
      </w:r>
      <w:proofErr w:type="spellEnd"/>
      <w:r w:rsidRPr="0023662D">
        <w:rPr>
          <w:rFonts w:eastAsia="SimSun"/>
          <w:bCs/>
          <w:i/>
          <w:lang w:eastAsia="zh-CN"/>
        </w:rPr>
        <w:t xml:space="preserve"> </w:t>
      </w:r>
      <w:proofErr w:type="spellStart"/>
      <w:r w:rsidRPr="0023662D">
        <w:rPr>
          <w:rFonts w:eastAsia="SimSun"/>
          <w:bCs/>
          <w:i/>
          <w:lang w:eastAsia="zh-CN"/>
        </w:rPr>
        <w:t>Internationale</w:t>
      </w:r>
      <w:proofErr w:type="spellEnd"/>
      <w:r w:rsidRPr="0023662D">
        <w:rPr>
          <w:rFonts w:eastAsia="SimSun"/>
          <w:bCs/>
          <w:i/>
          <w:lang w:eastAsia="zh-CN"/>
        </w:rPr>
        <w:t xml:space="preserve"> de la Francophonie</w:t>
      </w:r>
      <w:r w:rsidRPr="0023662D">
        <w:rPr>
          <w:rFonts w:eastAsia="SimSun"/>
          <w:bCs/>
          <w:lang w:eastAsia="zh-CN"/>
        </w:rPr>
        <w:t xml:space="preserve"> (OIF).</w:t>
      </w:r>
    </w:p>
    <w:p w:rsidR="00F54CA4" w:rsidRDefault="00F54CA4" w:rsidP="00F54CA4">
      <w:pPr>
        <w:tabs>
          <w:tab w:val="left" w:pos="709"/>
        </w:tabs>
        <w:jc w:val="both"/>
        <w:rPr>
          <w:rFonts w:eastAsia="SimSun"/>
          <w:bCs/>
          <w:lang w:eastAsia="zh-CN"/>
        </w:rPr>
      </w:pPr>
    </w:p>
    <w:p w:rsidR="00F54CA4" w:rsidRPr="0023662D" w:rsidRDefault="00F54CA4" w:rsidP="00520CAA">
      <w:pPr>
        <w:pStyle w:val="ListParagraph"/>
        <w:numPr>
          <w:ilvl w:val="0"/>
          <w:numId w:val="36"/>
        </w:numPr>
        <w:tabs>
          <w:tab w:val="left" w:pos="709"/>
        </w:tabs>
        <w:ind w:left="0" w:firstLine="0"/>
        <w:jc w:val="both"/>
        <w:rPr>
          <w:rFonts w:eastAsia="SimSun"/>
          <w:bCs/>
          <w:lang w:eastAsia="zh-CN"/>
        </w:rPr>
      </w:pPr>
      <w:r w:rsidRPr="0023662D">
        <w:rPr>
          <w:rFonts w:eastAsia="SimSun"/>
          <w:bCs/>
          <w:lang w:eastAsia="zh-CN"/>
        </w:rPr>
        <w:t>WIPO continued to assist developing countries and LDCs in the design, development and implementation of National IP Strategies that are both consistent with their overall development plans and able to foster innovation and creativity.  The application of the standardized, yet flexible, methodology and set of practical tools for the formulation of national IP strategies and plans, developed as part of the DA project on Improvement of National, Sub-regional and Regional IP Institutional and User Capacity in 2012, continued to guide the process.  As a result, nine countries (six in Africa, two in Asia and the Pacific and one in Latin America and the Caribbean), initiated the process of formulating national IP strategies/development plans, and 18 countries (six in Africa, three in the Arab region, four in Asia and the Pacific, and five in Latin America and the Caribbean) were still in the process of formulation and/or adoption at the end of 2014.  At the end of 2014, national IP strategies/development plans had been adopted and/or were under implementation in a total of 37 countries (21 in Africa, two in the Arab region, eight in Asia and the Pacific and six in Latin America and the Caribbean), of which 17 in LDCs.</w:t>
      </w:r>
    </w:p>
    <w:p w:rsidR="00F54CA4" w:rsidRDefault="00F54CA4" w:rsidP="00F54CA4">
      <w:pPr>
        <w:tabs>
          <w:tab w:val="left" w:pos="709"/>
        </w:tabs>
        <w:jc w:val="both"/>
        <w:rPr>
          <w:rFonts w:eastAsia="SimSun"/>
          <w:bCs/>
          <w:lang w:eastAsia="zh-CN"/>
        </w:rPr>
      </w:pPr>
    </w:p>
    <w:p w:rsidR="00F54CA4" w:rsidRPr="0023662D" w:rsidRDefault="00F54CA4" w:rsidP="00520CAA">
      <w:pPr>
        <w:pStyle w:val="ListParagraph"/>
        <w:numPr>
          <w:ilvl w:val="0"/>
          <w:numId w:val="36"/>
        </w:numPr>
        <w:tabs>
          <w:tab w:val="left" w:pos="709"/>
        </w:tabs>
        <w:ind w:left="0" w:firstLine="0"/>
        <w:jc w:val="both"/>
        <w:rPr>
          <w:rFonts w:eastAsia="SimSun"/>
          <w:bCs/>
          <w:lang w:eastAsia="zh-CN"/>
        </w:rPr>
      </w:pPr>
      <w:r w:rsidRPr="0023662D">
        <w:rPr>
          <w:rFonts w:eastAsia="SimSun"/>
          <w:bCs/>
          <w:lang w:eastAsia="zh-CN"/>
        </w:rPr>
        <w:t xml:space="preserve">In October 2014, one focal point from each of the Association of Southeast Asian Nations (ASEAN) countries participated in a brainstorming workshop for the development of the ASEAN IPR Strategic Plan for 2016-2025, in line with the ASEAN Economic Community (AEC) 2016- 2025 strategy.  This collaboration represented the first time that WIPO had been so extensively involved in assisting a regional group in the formulation of a comprehensive regional IP framework.  </w:t>
      </w:r>
    </w:p>
    <w:p w:rsidR="00F54CA4" w:rsidRPr="003978F9" w:rsidRDefault="00F54CA4" w:rsidP="00F54CA4">
      <w:pPr>
        <w:tabs>
          <w:tab w:val="left" w:pos="709"/>
        </w:tabs>
        <w:jc w:val="both"/>
        <w:rPr>
          <w:rFonts w:eastAsia="SimSun"/>
          <w:bCs/>
          <w:lang w:eastAsia="zh-CN"/>
        </w:rPr>
      </w:pPr>
    </w:p>
    <w:p w:rsidR="00F54CA4" w:rsidRPr="0023662D" w:rsidRDefault="00F54CA4" w:rsidP="00520CAA">
      <w:pPr>
        <w:pStyle w:val="ListParagraph"/>
        <w:numPr>
          <w:ilvl w:val="0"/>
          <w:numId w:val="36"/>
        </w:numPr>
        <w:tabs>
          <w:tab w:val="left" w:pos="709"/>
        </w:tabs>
        <w:ind w:left="0" w:firstLine="0"/>
        <w:jc w:val="both"/>
        <w:rPr>
          <w:rFonts w:eastAsia="SimSun"/>
          <w:bCs/>
          <w:lang w:eastAsia="zh-CN"/>
        </w:rPr>
      </w:pPr>
      <w:r w:rsidRPr="0023662D">
        <w:rPr>
          <w:rFonts w:eastAsia="SimSun"/>
          <w:bCs/>
          <w:lang w:eastAsia="zh-CN"/>
        </w:rPr>
        <w:t xml:space="preserve">The Program continued to coordinate and facilitate technical assistance to developing countries and LDCs in formulating and modernizing legislation in the field of IP, taking into account specific national requirements and international flexibilities.  To enable Member States to make more informed choices as regards WIPO’s priority areas, the </w:t>
      </w:r>
      <w:r w:rsidRPr="0023662D">
        <w:rPr>
          <w:rFonts w:eastAsia="SimSun"/>
          <w:bCs/>
          <w:i/>
          <w:lang w:eastAsia="zh-CN"/>
        </w:rPr>
        <w:t>Manual on Delivery of WIPO Technical Assistance</w:t>
      </w:r>
      <w:r w:rsidRPr="0023662D">
        <w:rPr>
          <w:rFonts w:eastAsia="SimSun"/>
          <w:bCs/>
          <w:lang w:eastAsia="zh-CN"/>
        </w:rPr>
        <w:t xml:space="preserve"> (finalized in 2013) was published in all six official UN languages in 2014 and made available online</w:t>
      </w:r>
      <w:r>
        <w:rPr>
          <w:rStyle w:val="FootnoteReference"/>
          <w:rFonts w:eastAsia="SimSun"/>
          <w:bCs/>
          <w:lang w:eastAsia="zh-CN"/>
        </w:rPr>
        <w:footnoteReference w:id="22"/>
      </w:r>
      <w:r w:rsidRPr="0023662D">
        <w:rPr>
          <w:rFonts w:eastAsia="SimSun"/>
          <w:bCs/>
          <w:lang w:eastAsia="zh-CN"/>
        </w:rPr>
        <w:t xml:space="preserve"> (for more details see Programs 1, 2, 3 and 4). </w:t>
      </w:r>
    </w:p>
    <w:p w:rsidR="00F54CA4" w:rsidRPr="003978F9" w:rsidRDefault="00F54CA4" w:rsidP="00F54CA4">
      <w:pPr>
        <w:tabs>
          <w:tab w:val="left" w:pos="709"/>
        </w:tabs>
        <w:jc w:val="both"/>
        <w:rPr>
          <w:rFonts w:eastAsia="SimSun"/>
          <w:bCs/>
          <w:lang w:eastAsia="zh-CN"/>
        </w:rPr>
      </w:pPr>
    </w:p>
    <w:p w:rsidR="00F54CA4" w:rsidRPr="0023662D" w:rsidRDefault="00F54CA4" w:rsidP="00520CAA">
      <w:pPr>
        <w:pStyle w:val="ListParagraph"/>
        <w:numPr>
          <w:ilvl w:val="0"/>
          <w:numId w:val="36"/>
        </w:numPr>
        <w:tabs>
          <w:tab w:val="left" w:pos="709"/>
        </w:tabs>
        <w:ind w:left="0" w:firstLine="0"/>
        <w:jc w:val="both"/>
        <w:rPr>
          <w:rFonts w:eastAsia="SimSun"/>
          <w:bCs/>
          <w:lang w:eastAsia="zh-CN"/>
        </w:rPr>
      </w:pPr>
      <w:r w:rsidRPr="0023662D">
        <w:rPr>
          <w:rFonts w:eastAsia="SimSun"/>
          <w:bCs/>
          <w:lang w:eastAsia="zh-CN"/>
        </w:rPr>
        <w:t>Enhancing human resource capabilities to deal with the broad range of requirements for the effective use of IP for development and fostering innovation and creativity remained a priority in 2014.  Focused capacity building and skills development programs were delivered to specific target groups such as government officials, policy-makers, IP professionals, enforcement officials, researchers and academics, entrepreneurs and industrialists, as well as SMEs, at the national, sub-regional and regional levels.</w:t>
      </w:r>
    </w:p>
    <w:p w:rsidR="00F54CA4" w:rsidRPr="003978F9" w:rsidRDefault="00F54CA4" w:rsidP="00F54CA4">
      <w:pPr>
        <w:tabs>
          <w:tab w:val="left" w:pos="709"/>
        </w:tabs>
        <w:jc w:val="both"/>
        <w:rPr>
          <w:rFonts w:eastAsia="SimSun"/>
          <w:bCs/>
          <w:lang w:eastAsia="zh-CN"/>
        </w:rPr>
      </w:pPr>
    </w:p>
    <w:p w:rsidR="00F54CA4" w:rsidRPr="0023662D" w:rsidRDefault="00F54CA4" w:rsidP="00520CAA">
      <w:pPr>
        <w:pStyle w:val="ListParagraph"/>
        <w:numPr>
          <w:ilvl w:val="0"/>
          <w:numId w:val="36"/>
        </w:numPr>
        <w:tabs>
          <w:tab w:val="left" w:pos="709"/>
        </w:tabs>
        <w:ind w:left="0" w:firstLine="0"/>
        <w:jc w:val="both"/>
        <w:rPr>
          <w:rFonts w:eastAsia="SimSun"/>
          <w:bCs/>
          <w:lang w:eastAsia="zh-CN"/>
        </w:rPr>
      </w:pPr>
      <w:r w:rsidRPr="0023662D">
        <w:rPr>
          <w:rFonts w:eastAsia="SimSun"/>
          <w:bCs/>
          <w:lang w:eastAsia="zh-CN"/>
        </w:rPr>
        <w:t xml:space="preserve">In 2014, WIPO continued to strengthen its assistance to IP Offices in developing countries and LDCs to enable them to provide cost-effective and high-quality IP modernization and technical infrastructure services to their stakeholders, creating a more favorable environment for the effective use of IP information, particularly by the institutions in charge of the administration of IP rights, the national innovation system and the productive sector.  By the end of 2014, some 62 Offices were using WIPO IP Office Systems in the different regions: </w:t>
      </w:r>
      <w:r>
        <w:rPr>
          <w:rFonts w:eastAsia="SimSun"/>
          <w:bCs/>
          <w:lang w:eastAsia="zh-CN"/>
        </w:rPr>
        <w:t xml:space="preserve"> </w:t>
      </w:r>
      <w:r w:rsidRPr="0023662D">
        <w:rPr>
          <w:rFonts w:eastAsia="SimSun"/>
          <w:bCs/>
          <w:lang w:eastAsia="zh-CN"/>
        </w:rPr>
        <w:t>19 in Africa, 14 in the Arab region, 13 in Asia and the Pacific and 16 in Latin America and the Caribbean (for more details see Program 15)</w:t>
      </w:r>
    </w:p>
    <w:p w:rsidR="00F54CA4" w:rsidRPr="003978F9" w:rsidRDefault="00F54CA4" w:rsidP="00F54CA4">
      <w:pPr>
        <w:tabs>
          <w:tab w:val="left" w:pos="709"/>
        </w:tabs>
        <w:jc w:val="both"/>
        <w:rPr>
          <w:rFonts w:eastAsia="SimSun"/>
          <w:bCs/>
          <w:lang w:eastAsia="zh-CN"/>
        </w:rPr>
      </w:pPr>
    </w:p>
    <w:p w:rsidR="00F54CA4" w:rsidRPr="0023662D" w:rsidRDefault="00F54CA4" w:rsidP="00520CAA">
      <w:pPr>
        <w:pStyle w:val="ListParagraph"/>
        <w:numPr>
          <w:ilvl w:val="0"/>
          <w:numId w:val="36"/>
        </w:numPr>
        <w:tabs>
          <w:tab w:val="left" w:pos="709"/>
        </w:tabs>
        <w:ind w:left="0" w:firstLine="0"/>
        <w:jc w:val="both"/>
        <w:rPr>
          <w:rFonts w:eastAsia="SimSun"/>
          <w:bCs/>
          <w:lang w:eastAsia="zh-CN"/>
        </w:rPr>
      </w:pPr>
      <w:r w:rsidRPr="0023662D">
        <w:rPr>
          <w:rFonts w:eastAsia="SimSun"/>
          <w:bCs/>
          <w:lang w:eastAsia="zh-CN"/>
        </w:rPr>
        <w:t>Facilitating access to global technology information databases also remained a high priority.  In</w:t>
      </w:r>
      <w:r>
        <w:rPr>
          <w:rFonts w:eastAsia="SimSun"/>
          <w:bCs/>
          <w:lang w:eastAsia="zh-CN"/>
        </w:rPr>
        <w:t> </w:t>
      </w:r>
      <w:r w:rsidRPr="0023662D">
        <w:rPr>
          <w:rFonts w:eastAsia="SimSun"/>
          <w:bCs/>
          <w:lang w:eastAsia="zh-CN"/>
        </w:rPr>
        <w:t>2014, increased emphasis was placed on strengthening existing Technology Innovation Support Centers (TISCs) with a view to long-term sustainability.  Out of the 39 established TISCs, some 19 were considered sustainable in 2014:</w:t>
      </w:r>
      <w:r>
        <w:rPr>
          <w:rFonts w:eastAsia="SimSun"/>
          <w:bCs/>
          <w:lang w:eastAsia="zh-CN"/>
        </w:rPr>
        <w:t xml:space="preserve"> </w:t>
      </w:r>
      <w:r w:rsidRPr="0023662D">
        <w:rPr>
          <w:rFonts w:eastAsia="SimSun"/>
          <w:bCs/>
          <w:lang w:eastAsia="zh-CN"/>
        </w:rPr>
        <w:t xml:space="preserve"> nine in Africa (of which six in LDCs); two in the Arab region; three in Asia and the Pacific (of which one in an LDC); and five in Latin America and the Caribbean (for more details see Program 14).</w:t>
      </w:r>
    </w:p>
    <w:p w:rsidR="00F54CA4" w:rsidRPr="003978F9" w:rsidRDefault="00F54CA4" w:rsidP="00F54CA4">
      <w:pPr>
        <w:tabs>
          <w:tab w:val="left" w:pos="709"/>
        </w:tabs>
        <w:jc w:val="both"/>
        <w:rPr>
          <w:rFonts w:eastAsia="SimSun"/>
          <w:bCs/>
          <w:lang w:eastAsia="zh-CN"/>
        </w:rPr>
      </w:pPr>
    </w:p>
    <w:p w:rsidR="00F54CA4" w:rsidRPr="0023662D" w:rsidRDefault="00F54CA4" w:rsidP="00520CAA">
      <w:pPr>
        <w:pStyle w:val="ListParagraph"/>
        <w:numPr>
          <w:ilvl w:val="0"/>
          <w:numId w:val="36"/>
        </w:numPr>
        <w:tabs>
          <w:tab w:val="left" w:pos="709"/>
        </w:tabs>
        <w:ind w:left="0" w:firstLine="0"/>
        <w:jc w:val="both"/>
        <w:rPr>
          <w:rFonts w:eastAsia="SimSun"/>
          <w:bCs/>
          <w:lang w:eastAsia="zh-CN"/>
        </w:rPr>
      </w:pPr>
      <w:r w:rsidRPr="0023662D">
        <w:rPr>
          <w:rFonts w:eastAsia="SimSun"/>
          <w:bCs/>
          <w:lang w:eastAsia="zh-CN"/>
        </w:rPr>
        <w:t xml:space="preserve">In 2014, the Program facilitated and internally coordinated the accession of several countries and regional groups to treaties and conventions administrated by WIPO: </w:t>
      </w:r>
      <w:r>
        <w:rPr>
          <w:rFonts w:eastAsia="SimSun"/>
          <w:bCs/>
          <w:lang w:eastAsia="zh-CN"/>
        </w:rPr>
        <w:t xml:space="preserve"> </w:t>
      </w:r>
      <w:r w:rsidRPr="0023662D">
        <w:rPr>
          <w:rFonts w:eastAsia="SimSun"/>
          <w:bCs/>
          <w:lang w:eastAsia="zh-CN"/>
        </w:rPr>
        <w:t xml:space="preserve">two in Africa (OAPI and Zimbabwe) and two in the Arab region (Kuwait and the United Arab Emirates). </w:t>
      </w:r>
    </w:p>
    <w:p w:rsidR="00F54CA4" w:rsidRPr="003978F9" w:rsidRDefault="00F54CA4" w:rsidP="00F54CA4">
      <w:pPr>
        <w:tabs>
          <w:tab w:val="left" w:pos="709"/>
        </w:tabs>
        <w:jc w:val="both"/>
        <w:rPr>
          <w:rFonts w:eastAsia="SimSun"/>
          <w:bCs/>
          <w:lang w:eastAsia="zh-CN"/>
        </w:rPr>
      </w:pPr>
    </w:p>
    <w:p w:rsidR="00F54CA4" w:rsidRPr="0023662D" w:rsidRDefault="00F54CA4" w:rsidP="00520CAA">
      <w:pPr>
        <w:pStyle w:val="ListParagraph"/>
        <w:numPr>
          <w:ilvl w:val="0"/>
          <w:numId w:val="36"/>
        </w:numPr>
        <w:tabs>
          <w:tab w:val="left" w:pos="709"/>
        </w:tabs>
        <w:ind w:left="0" w:firstLine="0"/>
        <w:jc w:val="both"/>
        <w:rPr>
          <w:rFonts w:eastAsia="SimSun"/>
          <w:bCs/>
          <w:lang w:eastAsia="zh-CN"/>
        </w:rPr>
      </w:pPr>
      <w:r w:rsidRPr="0023662D">
        <w:rPr>
          <w:rFonts w:eastAsia="SimSun"/>
          <w:bCs/>
          <w:lang w:eastAsia="zh-CN"/>
        </w:rPr>
        <w:t xml:space="preserve">With a view to instilling a cohesive, development-oriented and innovation enabling architecture in LDCs, greater focus was given in 2014 to the implementation of the WIPO Deliverables, a set of priority thematic areas for cooperation with LDCs as identified by LDC ministers on the occasion of the Fourth United Nations Conference on the Least Developed Countries (UN LDC IV).  An inter-regional cooperation partnership program was implemented for LDCs with the International Telecommunication Union (ITU), the United Nations Capital Development Fund (UNCDF), and the United Nations Industrial Development organization (UNIDO) on July 29, 2014 at the Ministerial Conference on New Partnerships for Productive Capacity Building in LDCs in </w:t>
      </w:r>
      <w:proofErr w:type="spellStart"/>
      <w:r w:rsidRPr="0023662D">
        <w:rPr>
          <w:rFonts w:eastAsia="SimSun"/>
          <w:bCs/>
          <w:lang w:eastAsia="zh-CN"/>
        </w:rPr>
        <w:t>Cotonou</w:t>
      </w:r>
      <w:proofErr w:type="spellEnd"/>
      <w:r w:rsidRPr="0023662D">
        <w:rPr>
          <w:rFonts w:eastAsia="SimSun"/>
          <w:bCs/>
          <w:lang w:eastAsia="zh-CN"/>
        </w:rPr>
        <w:t>, Benin on the theme “Innovation, Creativity, Technology, Broadband Connectivity and Financing as Vectors for Sustainable Development for LDCs”.</w:t>
      </w:r>
    </w:p>
    <w:p w:rsidR="00F54CA4" w:rsidRPr="003978F9" w:rsidRDefault="00F54CA4" w:rsidP="00F54CA4">
      <w:pPr>
        <w:tabs>
          <w:tab w:val="left" w:pos="709"/>
        </w:tabs>
        <w:jc w:val="both"/>
        <w:rPr>
          <w:rFonts w:eastAsia="SimSun"/>
          <w:bCs/>
          <w:lang w:eastAsia="zh-CN"/>
        </w:rPr>
      </w:pPr>
    </w:p>
    <w:p w:rsidR="00F54CA4" w:rsidRPr="0023662D" w:rsidRDefault="00F54CA4" w:rsidP="00520CAA">
      <w:pPr>
        <w:pStyle w:val="ListParagraph"/>
        <w:numPr>
          <w:ilvl w:val="0"/>
          <w:numId w:val="36"/>
        </w:numPr>
        <w:tabs>
          <w:tab w:val="left" w:pos="709"/>
        </w:tabs>
        <w:ind w:left="0" w:firstLine="0"/>
        <w:jc w:val="both"/>
        <w:rPr>
          <w:rFonts w:eastAsia="SimSun"/>
          <w:bCs/>
          <w:lang w:eastAsia="zh-CN"/>
        </w:rPr>
      </w:pPr>
      <w:r w:rsidRPr="0023662D">
        <w:rPr>
          <w:rFonts w:eastAsia="SimSun"/>
          <w:bCs/>
          <w:lang w:eastAsia="zh-CN"/>
        </w:rPr>
        <w:t>Following the successful completion of Phase I of the DA Project on Capacity</w:t>
      </w:r>
      <w:r w:rsidR="00304D88">
        <w:rPr>
          <w:rFonts w:eastAsia="SimSun"/>
          <w:bCs/>
          <w:lang w:eastAsia="zh-CN"/>
        </w:rPr>
        <w:t xml:space="preserve"> </w:t>
      </w:r>
      <w:r w:rsidRPr="0023662D">
        <w:rPr>
          <w:rFonts w:eastAsia="SimSun"/>
          <w:bCs/>
          <w:lang w:eastAsia="zh-CN"/>
        </w:rPr>
        <w:t xml:space="preserve">Building in the Use of Appropriate Technology-Specific Technical and Scientific Information as a Solution for Identified Development Challenges, Phase II (CDIP/13/9) was approved at the thirteenth session of this CDIP in May, 2014.  Important progress was made during the remainder of the year with regard to establishing </w:t>
      </w:r>
      <w:proofErr w:type="spellStart"/>
      <w:r w:rsidRPr="0023662D">
        <w:rPr>
          <w:rFonts w:eastAsia="SimSun"/>
          <w:bCs/>
          <w:lang w:eastAsia="zh-CN"/>
        </w:rPr>
        <w:t>MoUs</w:t>
      </w:r>
      <w:proofErr w:type="spellEnd"/>
      <w:r w:rsidRPr="0023662D">
        <w:rPr>
          <w:rFonts w:eastAsia="SimSun"/>
          <w:bCs/>
          <w:lang w:eastAsia="zh-CN"/>
        </w:rPr>
        <w:t xml:space="preserve"> clearly identifying the responsibilities of the partners, i.e.</w:t>
      </w:r>
      <w:r>
        <w:rPr>
          <w:rFonts w:eastAsia="SimSun"/>
          <w:bCs/>
          <w:lang w:eastAsia="zh-CN"/>
        </w:rPr>
        <w:t>,</w:t>
      </w:r>
      <w:r w:rsidRPr="0023662D">
        <w:rPr>
          <w:rFonts w:eastAsia="SimSun"/>
          <w:bCs/>
          <w:lang w:eastAsia="zh-CN"/>
        </w:rPr>
        <w:t xml:space="preserve"> WIPO and the beneficiary country (an LDC), in the overall implementation process of the project.  Consultations with the Ministries of Foreign Affairs, Justice, and Science and Technology, Permanent Missions in Geneva, and the IP focal points were held with the four beneficiary countries.  The </w:t>
      </w:r>
      <w:proofErr w:type="spellStart"/>
      <w:r w:rsidRPr="0023662D">
        <w:rPr>
          <w:rFonts w:eastAsia="SimSun"/>
          <w:bCs/>
          <w:lang w:eastAsia="zh-CN"/>
        </w:rPr>
        <w:t>MoUs</w:t>
      </w:r>
      <w:proofErr w:type="spellEnd"/>
      <w:r w:rsidRPr="0023662D">
        <w:rPr>
          <w:rFonts w:eastAsia="SimSun"/>
          <w:bCs/>
          <w:lang w:eastAsia="zh-CN"/>
        </w:rPr>
        <w:t xml:space="preserve"> are expected to be signed in 2015.</w:t>
      </w:r>
    </w:p>
    <w:p w:rsidR="00F54CA4" w:rsidRDefault="00F54CA4" w:rsidP="00F54CA4">
      <w:pPr>
        <w:tabs>
          <w:tab w:val="left" w:pos="709"/>
        </w:tabs>
        <w:jc w:val="both"/>
        <w:rPr>
          <w:rFonts w:eastAsia="SimSun"/>
          <w:bCs/>
          <w:lang w:eastAsia="zh-CN"/>
        </w:rPr>
      </w:pPr>
    </w:p>
    <w:p w:rsidR="00F54CA4" w:rsidRPr="0023662D" w:rsidRDefault="00F54CA4" w:rsidP="00520CAA">
      <w:pPr>
        <w:pStyle w:val="ListParagraph"/>
        <w:numPr>
          <w:ilvl w:val="0"/>
          <w:numId w:val="36"/>
        </w:numPr>
        <w:tabs>
          <w:tab w:val="left" w:pos="709"/>
        </w:tabs>
        <w:ind w:left="0" w:firstLine="0"/>
        <w:jc w:val="both"/>
        <w:rPr>
          <w:rFonts w:eastAsia="SimSun"/>
          <w:bCs/>
          <w:lang w:eastAsia="zh-CN"/>
        </w:rPr>
      </w:pPr>
      <w:r w:rsidRPr="0023662D">
        <w:rPr>
          <w:rFonts w:eastAsia="SimSun"/>
          <w:bCs/>
          <w:lang w:eastAsia="zh-CN"/>
        </w:rPr>
        <w:t>The Project on Enhancing South-South Cooperation on IP and Development among Developing Countries and LDCs was completed and evaluated in 2014. The Committee at its thirteenth session agreed to extend the duration of the Project for one year to allow for the completion of the outstanding activities within the remaining project budget.  In May 2014, the South-South webpage</w:t>
      </w:r>
      <w:r>
        <w:rPr>
          <w:rStyle w:val="FootnoteReference"/>
          <w:rFonts w:eastAsia="SimSun"/>
          <w:bCs/>
          <w:lang w:eastAsia="zh-CN"/>
        </w:rPr>
        <w:footnoteReference w:id="23"/>
      </w:r>
      <w:r w:rsidRPr="0023662D">
        <w:rPr>
          <w:rFonts w:eastAsia="SimSun"/>
          <w:bCs/>
          <w:lang w:eastAsia="zh-CN"/>
        </w:rPr>
        <w:t>, which was completed at the end of 2013, was officially launched.  Amongst other useful information and tools, the webpage features customized South-South web platforms- South-South Technical Assistance (South-South IP</w:t>
      </w:r>
      <w:r w:rsidR="00086E9E">
        <w:rPr>
          <w:rFonts w:eastAsia="SimSun"/>
          <w:bCs/>
          <w:lang w:eastAsia="zh-CN"/>
        </w:rPr>
        <w:t>-</w:t>
      </w:r>
      <w:r w:rsidRPr="0023662D">
        <w:rPr>
          <w:rFonts w:eastAsia="SimSun"/>
          <w:bCs/>
          <w:lang w:eastAsia="zh-CN"/>
        </w:rPr>
        <w:t>TAD) and Roster of Consultants (South-South IP</w:t>
      </w:r>
      <w:r w:rsidR="00086E9E">
        <w:rPr>
          <w:rFonts w:eastAsia="SimSun"/>
          <w:bCs/>
          <w:lang w:eastAsia="zh-CN"/>
        </w:rPr>
        <w:t>-</w:t>
      </w:r>
      <w:r w:rsidRPr="0023662D">
        <w:rPr>
          <w:rFonts w:eastAsia="SimSun"/>
          <w:bCs/>
          <w:lang w:eastAsia="zh-CN"/>
        </w:rPr>
        <w:t>ROC)</w:t>
      </w:r>
      <w:r>
        <w:rPr>
          <w:rFonts w:eastAsia="SimSun"/>
          <w:bCs/>
          <w:lang w:eastAsia="zh-CN"/>
        </w:rPr>
        <w:t xml:space="preserve"> </w:t>
      </w:r>
      <w:r w:rsidRPr="0023662D">
        <w:rPr>
          <w:rFonts w:eastAsia="SimSun"/>
          <w:bCs/>
          <w:lang w:eastAsia="zh-CN"/>
        </w:rPr>
        <w:t>to highlight relevant information on technical assistance activities where both the beneficiary country(</w:t>
      </w:r>
      <w:proofErr w:type="spellStart"/>
      <w:r w:rsidRPr="0023662D">
        <w:rPr>
          <w:rFonts w:eastAsia="SimSun"/>
          <w:bCs/>
          <w:lang w:eastAsia="zh-CN"/>
        </w:rPr>
        <w:t>ies</w:t>
      </w:r>
      <w:proofErr w:type="spellEnd"/>
      <w:r w:rsidRPr="0023662D">
        <w:rPr>
          <w:rFonts w:eastAsia="SimSun"/>
          <w:bCs/>
          <w:lang w:eastAsia="zh-CN"/>
        </w:rPr>
        <w:t xml:space="preserve">) and the host country/provider were a developing country, LDC, or a country in transition and experts and resource persons in developing countries, LDCs and countries in transition, respectively.  </w:t>
      </w:r>
    </w:p>
    <w:p w:rsidR="00F54CA4" w:rsidRPr="003978F9" w:rsidRDefault="00F54CA4" w:rsidP="00F54CA4">
      <w:pPr>
        <w:tabs>
          <w:tab w:val="left" w:pos="709"/>
        </w:tabs>
        <w:jc w:val="both"/>
        <w:rPr>
          <w:rFonts w:eastAsia="SimSun"/>
          <w:bCs/>
          <w:lang w:eastAsia="zh-CN"/>
        </w:rPr>
      </w:pPr>
    </w:p>
    <w:p w:rsidR="00F54CA4" w:rsidRPr="0023662D" w:rsidRDefault="00F54CA4" w:rsidP="00520CAA">
      <w:pPr>
        <w:pStyle w:val="ListParagraph"/>
        <w:numPr>
          <w:ilvl w:val="0"/>
          <w:numId w:val="36"/>
        </w:numPr>
        <w:tabs>
          <w:tab w:val="left" w:pos="709"/>
        </w:tabs>
        <w:ind w:left="0" w:firstLine="0"/>
        <w:jc w:val="both"/>
        <w:rPr>
          <w:rFonts w:eastAsia="SimSun"/>
          <w:bCs/>
          <w:lang w:eastAsia="zh-CN"/>
        </w:rPr>
      </w:pPr>
      <w:r w:rsidRPr="0023662D">
        <w:rPr>
          <w:rFonts w:eastAsia="SimSun"/>
          <w:bCs/>
          <w:lang w:eastAsia="zh-CN"/>
        </w:rPr>
        <w:t xml:space="preserve">The Program also continued to capitalize on the experience of protecting and branding origin-based products in selected developing countries, stemming from the implementation of the DA Project on IP and Product Branding for Business Development in Developing and Least Developed Countries, completed in 2013. </w:t>
      </w:r>
      <w:r>
        <w:rPr>
          <w:rFonts w:eastAsia="SimSun"/>
          <w:bCs/>
          <w:lang w:eastAsia="zh-CN"/>
        </w:rPr>
        <w:t xml:space="preserve"> </w:t>
      </w:r>
      <w:r w:rsidRPr="0023662D">
        <w:rPr>
          <w:rFonts w:eastAsia="SimSun"/>
          <w:bCs/>
          <w:lang w:eastAsia="zh-CN"/>
        </w:rPr>
        <w:t xml:space="preserve">In this context, the focus in 2014 was on conducting specialized training courses in order to enhance stakeholders’ capacities to develop the full brand and market potential of selected origin-linked products.  To complement WIPO’s work in this area the Program collaborated with international and regional partners, notably in the Caribbean region, to address the full range of stakeholder training needs. </w:t>
      </w:r>
    </w:p>
    <w:p w:rsidR="00F54CA4" w:rsidRPr="003978F9" w:rsidRDefault="00F54CA4" w:rsidP="00F54CA4">
      <w:pPr>
        <w:tabs>
          <w:tab w:val="left" w:pos="709"/>
        </w:tabs>
        <w:jc w:val="both"/>
        <w:rPr>
          <w:rFonts w:eastAsia="SimSun"/>
          <w:bCs/>
          <w:lang w:eastAsia="zh-CN"/>
        </w:rPr>
      </w:pPr>
    </w:p>
    <w:p w:rsidR="00F54CA4" w:rsidRPr="0023662D" w:rsidRDefault="00F54CA4" w:rsidP="00520CAA">
      <w:pPr>
        <w:pStyle w:val="ListParagraph"/>
        <w:numPr>
          <w:ilvl w:val="0"/>
          <w:numId w:val="36"/>
        </w:numPr>
        <w:tabs>
          <w:tab w:val="left" w:pos="709"/>
        </w:tabs>
        <w:ind w:left="0" w:firstLine="0"/>
        <w:jc w:val="both"/>
        <w:rPr>
          <w:rFonts w:eastAsia="SimSun"/>
          <w:bCs/>
          <w:lang w:eastAsia="zh-CN"/>
        </w:rPr>
      </w:pPr>
      <w:r w:rsidRPr="0023662D">
        <w:rPr>
          <w:rFonts w:eastAsia="SimSun"/>
          <w:bCs/>
          <w:lang w:eastAsia="zh-CN"/>
        </w:rPr>
        <w:lastRenderedPageBreak/>
        <w:t>Specialized databases continued to be used to support the delivery of technical assistance, in particular the databases on IP Technical Assistance (IP-TAD) and the Roster of Consultants (IP-ROC), including the interfaces to store information on South-South cooperation, and the IP Development Matchmaking Database (IP-DMD). The year 2014 also saw the deployment of the specialized National IP Strategy Database (NIPS-D)</w:t>
      </w:r>
      <w:r>
        <w:rPr>
          <w:rStyle w:val="FootnoteReference"/>
          <w:rFonts w:eastAsia="SimSun"/>
          <w:bCs/>
          <w:lang w:eastAsia="zh-CN"/>
        </w:rPr>
        <w:footnoteReference w:id="24"/>
      </w:r>
      <w:r w:rsidRPr="0023662D">
        <w:rPr>
          <w:rFonts w:eastAsia="SimSun"/>
          <w:bCs/>
          <w:lang w:eastAsia="zh-CN"/>
        </w:rPr>
        <w:t xml:space="preserve">, which was developed in 2013 to capture relevant data for the baseline assessment phase of national IP strategies development, as necessitated by the increasing number of countries using the WIPO methodology to develop IP strategies.  In an effort to maximize the potential of these databases, their usage was closely monitored in 2014, and user-feedback collected to glean insights into further enhancing the systems with a view to making them more user friendly, as well as to identifying more strategic approaches for promoting their uses in different countries.  With respect to IP-DMD, a targeted outreach plan to bolster uploads and catalyze matches in the database was also under development in 2014.  </w:t>
      </w:r>
    </w:p>
    <w:p w:rsidR="00F54CA4" w:rsidRDefault="00F54CA4" w:rsidP="00F54CA4">
      <w:pPr>
        <w:tabs>
          <w:tab w:val="left" w:pos="709"/>
        </w:tabs>
        <w:jc w:val="both"/>
        <w:rPr>
          <w:bCs/>
        </w:rPr>
      </w:pPr>
    </w:p>
    <w:p w:rsidR="00F54CA4" w:rsidRDefault="00F54CA4" w:rsidP="00F54CA4">
      <w:pPr>
        <w:rPr>
          <w:bCs/>
        </w:rPr>
      </w:pPr>
    </w:p>
    <w:p w:rsidR="00F54CA4" w:rsidRPr="0000707D" w:rsidRDefault="00F54CA4" w:rsidP="00F54CA4">
      <w:pPr>
        <w:jc w:val="both"/>
        <w:rPr>
          <w:szCs w:val="22"/>
        </w:rPr>
      </w:pPr>
      <w:r w:rsidRPr="0000707D">
        <w:rPr>
          <w:szCs w:val="22"/>
        </w:rPr>
        <w:t>PERFORMANCE DATA</w:t>
      </w:r>
    </w:p>
    <w:p w:rsidR="00F54CA4" w:rsidRDefault="00F54CA4" w:rsidP="00F54CA4">
      <w:pPr>
        <w:rPr>
          <w:bCs/>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2126"/>
        <w:gridCol w:w="1560"/>
        <w:gridCol w:w="2694"/>
        <w:gridCol w:w="945"/>
      </w:tblGrid>
      <w:tr w:rsidR="00F54CA4" w:rsidRPr="00C215DD" w:rsidTr="00520CAA">
        <w:tc>
          <w:tcPr>
            <w:tcW w:w="9452" w:type="dxa"/>
            <w:gridSpan w:val="5"/>
            <w:tcBorders>
              <w:top w:val="single" w:sz="4" w:space="0" w:color="auto"/>
              <w:bottom w:val="single" w:sz="4" w:space="0" w:color="auto"/>
            </w:tcBorders>
            <w:shd w:val="clear" w:color="auto" w:fill="CCFFFF"/>
            <w:vAlign w:val="center"/>
          </w:tcPr>
          <w:p w:rsidR="00F54CA4" w:rsidRPr="00C215DD" w:rsidRDefault="00F54CA4" w:rsidP="00F54CA4">
            <w:pPr>
              <w:keepNext/>
              <w:keepLines/>
              <w:tabs>
                <w:tab w:val="left" w:pos="1452"/>
              </w:tabs>
              <w:spacing w:before="120" w:after="120"/>
              <w:ind w:left="1452" w:hanging="1452"/>
              <w:rPr>
                <w:b/>
                <w:bCs/>
                <w:sz w:val="16"/>
                <w:szCs w:val="16"/>
              </w:rPr>
            </w:pPr>
            <w:r w:rsidRPr="00C215DD">
              <w:rPr>
                <w:b/>
                <w:bCs/>
                <w:sz w:val="16"/>
                <w:szCs w:val="16"/>
              </w:rPr>
              <w:t>Expected Result:</w:t>
            </w:r>
            <w:r w:rsidRPr="00C215DD">
              <w:rPr>
                <w:b/>
                <w:bCs/>
                <w:sz w:val="16"/>
                <w:szCs w:val="16"/>
              </w:rPr>
              <w:tab/>
            </w:r>
            <w:r w:rsidRPr="00E706B9">
              <w:rPr>
                <w:sz w:val="16"/>
                <w:szCs w:val="16"/>
                <w:lang w:bidi="th-TH"/>
              </w:rPr>
              <w:t>I.2 Tailored and balanced IP legislative, regulatory and policy frameworks</w:t>
            </w:r>
          </w:p>
        </w:tc>
      </w:tr>
      <w:tr w:rsidR="00F54CA4" w:rsidRPr="00C215DD" w:rsidTr="00520CAA">
        <w:tc>
          <w:tcPr>
            <w:tcW w:w="2127" w:type="dxa"/>
            <w:tcBorders>
              <w:top w:val="single" w:sz="4" w:space="0" w:color="auto"/>
            </w:tcBorders>
            <w:shd w:val="clear" w:color="auto" w:fill="auto"/>
            <w:vAlign w:val="center"/>
          </w:tcPr>
          <w:p w:rsidR="00F54CA4" w:rsidRPr="00C215DD" w:rsidRDefault="00F54CA4" w:rsidP="00F54CA4">
            <w:pPr>
              <w:spacing w:before="40" w:after="40"/>
              <w:rPr>
                <w:sz w:val="16"/>
                <w:szCs w:val="16"/>
              </w:rPr>
            </w:pPr>
            <w:r w:rsidRPr="00C215DD">
              <w:rPr>
                <w:b/>
                <w:bCs/>
                <w:sz w:val="16"/>
                <w:szCs w:val="16"/>
              </w:rPr>
              <w:t>Performance Indicators</w:t>
            </w:r>
          </w:p>
        </w:tc>
        <w:tc>
          <w:tcPr>
            <w:tcW w:w="2126" w:type="dxa"/>
            <w:tcBorders>
              <w:top w:val="single" w:sz="4" w:space="0" w:color="auto"/>
            </w:tcBorders>
            <w:shd w:val="clear" w:color="auto" w:fill="auto"/>
            <w:vAlign w:val="center"/>
          </w:tcPr>
          <w:p w:rsidR="00F54CA4" w:rsidRPr="00C215DD" w:rsidRDefault="00F54CA4" w:rsidP="00F54CA4">
            <w:pPr>
              <w:spacing w:before="40" w:after="40"/>
              <w:rPr>
                <w:b/>
                <w:bCs/>
                <w:sz w:val="16"/>
                <w:szCs w:val="16"/>
              </w:rPr>
            </w:pPr>
            <w:r w:rsidRPr="00C215DD">
              <w:rPr>
                <w:b/>
                <w:bCs/>
                <w:sz w:val="16"/>
                <w:szCs w:val="16"/>
              </w:rPr>
              <w:t>Baselines</w:t>
            </w:r>
          </w:p>
        </w:tc>
        <w:tc>
          <w:tcPr>
            <w:tcW w:w="1560" w:type="dxa"/>
            <w:tcBorders>
              <w:top w:val="single" w:sz="4" w:space="0" w:color="auto"/>
            </w:tcBorders>
            <w:shd w:val="clear" w:color="auto" w:fill="auto"/>
            <w:tcMar>
              <w:top w:w="110" w:type="dxa"/>
            </w:tcMar>
            <w:vAlign w:val="center"/>
          </w:tcPr>
          <w:p w:rsidR="00F54CA4" w:rsidRPr="00C215DD" w:rsidRDefault="00F54CA4" w:rsidP="00F54CA4">
            <w:pPr>
              <w:spacing w:before="40" w:after="40"/>
              <w:rPr>
                <w:b/>
                <w:sz w:val="16"/>
                <w:szCs w:val="16"/>
              </w:rPr>
            </w:pPr>
            <w:r w:rsidRPr="00C215DD">
              <w:rPr>
                <w:b/>
                <w:sz w:val="16"/>
                <w:szCs w:val="16"/>
              </w:rPr>
              <w:t>Target</w:t>
            </w:r>
            <w:r>
              <w:rPr>
                <w:b/>
                <w:sz w:val="16"/>
                <w:szCs w:val="16"/>
              </w:rPr>
              <w:t>s</w:t>
            </w:r>
          </w:p>
        </w:tc>
        <w:tc>
          <w:tcPr>
            <w:tcW w:w="2694" w:type="dxa"/>
            <w:tcBorders>
              <w:top w:val="single" w:sz="4" w:space="0" w:color="auto"/>
            </w:tcBorders>
            <w:shd w:val="clear" w:color="auto" w:fill="FFFFFF"/>
            <w:tcMar>
              <w:top w:w="110" w:type="dxa"/>
            </w:tcMar>
            <w:vAlign w:val="center"/>
          </w:tcPr>
          <w:p w:rsidR="00F54CA4" w:rsidRPr="00C215DD" w:rsidRDefault="00F54CA4" w:rsidP="00F54CA4">
            <w:pPr>
              <w:spacing w:before="40" w:after="40"/>
              <w:rPr>
                <w:sz w:val="16"/>
                <w:szCs w:val="16"/>
              </w:rPr>
            </w:pPr>
            <w:r w:rsidRPr="00C215DD">
              <w:rPr>
                <w:b/>
                <w:bCs/>
                <w:sz w:val="16"/>
                <w:szCs w:val="16"/>
              </w:rPr>
              <w:t>Performance Data</w:t>
            </w:r>
          </w:p>
        </w:tc>
        <w:tc>
          <w:tcPr>
            <w:tcW w:w="945" w:type="dxa"/>
            <w:tcBorders>
              <w:top w:val="single" w:sz="4" w:space="0" w:color="auto"/>
            </w:tcBorders>
            <w:shd w:val="clear" w:color="auto" w:fill="auto"/>
            <w:tcMar>
              <w:top w:w="110" w:type="dxa"/>
            </w:tcMar>
            <w:vAlign w:val="center"/>
          </w:tcPr>
          <w:p w:rsidR="00F54CA4" w:rsidRPr="00C215DD" w:rsidRDefault="00F54CA4" w:rsidP="00F54CA4">
            <w:pPr>
              <w:keepNext/>
              <w:keepLines/>
              <w:spacing w:before="40" w:after="40"/>
              <w:jc w:val="center"/>
              <w:rPr>
                <w:b/>
                <w:bCs/>
                <w:sz w:val="16"/>
                <w:szCs w:val="16"/>
              </w:rPr>
            </w:pPr>
            <w:r w:rsidRPr="00C215DD">
              <w:rPr>
                <w:b/>
                <w:bCs/>
                <w:sz w:val="16"/>
                <w:szCs w:val="16"/>
              </w:rPr>
              <w:t>TLS</w:t>
            </w:r>
          </w:p>
        </w:tc>
      </w:tr>
      <w:tr w:rsidR="00F54CA4" w:rsidRPr="00C215DD" w:rsidTr="00520CAA">
        <w:tc>
          <w:tcPr>
            <w:tcW w:w="2127" w:type="dxa"/>
            <w:shd w:val="clear" w:color="auto" w:fill="auto"/>
          </w:tcPr>
          <w:p w:rsidR="00F54CA4" w:rsidRPr="00C215DD" w:rsidRDefault="00F54CA4" w:rsidP="00F54CA4">
            <w:pPr>
              <w:rPr>
                <w:sz w:val="16"/>
                <w:szCs w:val="16"/>
              </w:rPr>
            </w:pPr>
            <w:r w:rsidRPr="008C2A88">
              <w:rPr>
                <w:sz w:val="16"/>
                <w:szCs w:val="16"/>
                <w:lang w:bidi="th-TH"/>
              </w:rPr>
              <w:t>No. and % of Member States which were satisfied with the quality of legal advice related to patents, utility models, trade secrets and integrated circuits</w:t>
            </w:r>
          </w:p>
        </w:tc>
        <w:tc>
          <w:tcPr>
            <w:tcW w:w="2126" w:type="dxa"/>
            <w:shd w:val="clear" w:color="auto" w:fill="auto"/>
          </w:tcPr>
          <w:p w:rsidR="00F54CA4" w:rsidRDefault="00F54CA4" w:rsidP="00F54CA4">
            <w:pPr>
              <w:rPr>
                <w:color w:val="002060"/>
                <w:sz w:val="16"/>
                <w:szCs w:val="16"/>
                <w:lang w:bidi="th-TH"/>
              </w:rPr>
            </w:pPr>
            <w:r>
              <w:rPr>
                <w:i/>
                <w:color w:val="002060"/>
                <w:sz w:val="16"/>
                <w:szCs w:val="16"/>
              </w:rPr>
              <w:t>Updated Baseline</w:t>
            </w:r>
            <w:r>
              <w:rPr>
                <w:i/>
                <w:color w:val="002060"/>
                <w:sz w:val="16"/>
                <w:szCs w:val="16"/>
              </w:rPr>
              <w:br/>
              <w:t>end 2013</w:t>
            </w:r>
            <w:r w:rsidRPr="00B36F18">
              <w:rPr>
                <w:i/>
                <w:color w:val="002060"/>
                <w:sz w:val="16"/>
                <w:szCs w:val="16"/>
              </w:rPr>
              <w:t xml:space="preserve">:  </w:t>
            </w:r>
            <w:r w:rsidRPr="007A411D">
              <w:rPr>
                <w:color w:val="002060"/>
                <w:sz w:val="16"/>
                <w:szCs w:val="16"/>
                <w:lang w:bidi="th-TH"/>
              </w:rPr>
              <w:t xml:space="preserve">9 </w:t>
            </w:r>
            <w:r>
              <w:rPr>
                <w:color w:val="002060"/>
                <w:sz w:val="16"/>
                <w:szCs w:val="16"/>
                <w:lang w:bidi="th-TH"/>
              </w:rPr>
              <w:t>Member States</w:t>
            </w:r>
            <w:r w:rsidRPr="007A411D">
              <w:rPr>
                <w:color w:val="002060"/>
                <w:sz w:val="16"/>
                <w:szCs w:val="16"/>
                <w:lang w:bidi="th-TH"/>
              </w:rPr>
              <w:t xml:space="preserve"> (90%), based on survey conducted by IOD in 2013</w:t>
            </w:r>
          </w:p>
          <w:p w:rsidR="00F54CA4" w:rsidRPr="00B36F18" w:rsidRDefault="00F54CA4" w:rsidP="00F54CA4">
            <w:pPr>
              <w:rPr>
                <w:i/>
                <w:sz w:val="8"/>
                <w:szCs w:val="8"/>
                <w:lang w:bidi="th-TH"/>
              </w:rPr>
            </w:pPr>
          </w:p>
          <w:p w:rsidR="00F54CA4" w:rsidRPr="0008215D" w:rsidRDefault="00F54CA4" w:rsidP="00F54CA4">
            <w:pPr>
              <w:rPr>
                <w:sz w:val="16"/>
                <w:szCs w:val="16"/>
                <w:lang w:bidi="th-TH"/>
              </w:rPr>
            </w:pPr>
            <w:r>
              <w:rPr>
                <w:i/>
                <w:sz w:val="16"/>
                <w:szCs w:val="16"/>
                <w:lang w:bidi="th-TH"/>
              </w:rPr>
              <w:t xml:space="preserve">Original Baseline </w:t>
            </w:r>
            <w:r>
              <w:rPr>
                <w:i/>
                <w:sz w:val="16"/>
                <w:szCs w:val="16"/>
                <w:lang w:bidi="th-TH"/>
              </w:rPr>
              <w:br/>
              <w:t>P&amp;B 2014/15</w:t>
            </w:r>
            <w:r w:rsidRPr="00B36F18">
              <w:rPr>
                <w:i/>
                <w:sz w:val="16"/>
                <w:szCs w:val="16"/>
                <w:lang w:bidi="th-TH"/>
              </w:rPr>
              <w:t xml:space="preserve">: </w:t>
            </w:r>
            <w:r w:rsidR="00520CAA">
              <w:rPr>
                <w:i/>
                <w:sz w:val="16"/>
                <w:szCs w:val="16"/>
                <w:lang w:bidi="th-TH"/>
              </w:rPr>
              <w:t xml:space="preserve"> </w:t>
            </w:r>
            <w:r w:rsidRPr="007A411D">
              <w:rPr>
                <w:sz w:val="16"/>
                <w:szCs w:val="16"/>
                <w:lang w:bidi="th-TH"/>
              </w:rPr>
              <w:t>Surveys 2012</w:t>
            </w:r>
          </w:p>
        </w:tc>
        <w:tc>
          <w:tcPr>
            <w:tcW w:w="1560" w:type="dxa"/>
            <w:shd w:val="clear" w:color="auto" w:fill="auto"/>
            <w:tcMar>
              <w:top w:w="110" w:type="dxa"/>
            </w:tcMar>
          </w:tcPr>
          <w:p w:rsidR="00F54CA4" w:rsidRPr="0008215D" w:rsidRDefault="00F54CA4" w:rsidP="00F54CA4">
            <w:pPr>
              <w:rPr>
                <w:sz w:val="16"/>
                <w:szCs w:val="16"/>
                <w:lang w:bidi="th-TH"/>
              </w:rPr>
            </w:pPr>
            <w:r w:rsidRPr="008C2A88">
              <w:rPr>
                <w:sz w:val="16"/>
                <w:szCs w:val="16"/>
                <w:lang w:bidi="th-TH"/>
              </w:rPr>
              <w:t>90%</w:t>
            </w:r>
          </w:p>
        </w:tc>
        <w:tc>
          <w:tcPr>
            <w:tcW w:w="2694" w:type="dxa"/>
            <w:shd w:val="clear" w:color="auto" w:fill="FFFFFF"/>
            <w:tcMar>
              <w:top w:w="110" w:type="dxa"/>
            </w:tcMar>
          </w:tcPr>
          <w:p w:rsidR="00F54CA4" w:rsidRDefault="00F54CA4" w:rsidP="00F54CA4">
            <w:pPr>
              <w:pStyle w:val="ListParagraph"/>
              <w:ind w:left="0"/>
              <w:rPr>
                <w:rFonts w:cs="Arial"/>
                <w:sz w:val="16"/>
                <w:szCs w:val="16"/>
                <w:lang w:bidi="th-TH"/>
              </w:rPr>
            </w:pPr>
            <w:r w:rsidRPr="00C619A0">
              <w:rPr>
                <w:rFonts w:cs="Arial"/>
                <w:sz w:val="16"/>
                <w:szCs w:val="16"/>
                <w:lang w:bidi="th-TH"/>
              </w:rPr>
              <w:t>F</w:t>
            </w:r>
            <w:r>
              <w:rPr>
                <w:rFonts w:cs="Arial"/>
                <w:sz w:val="16"/>
                <w:szCs w:val="16"/>
                <w:lang w:bidi="th-TH"/>
              </w:rPr>
              <w:t xml:space="preserve">ive </w:t>
            </w:r>
            <w:r w:rsidRPr="00C619A0">
              <w:rPr>
                <w:rFonts w:cs="Arial"/>
                <w:sz w:val="16"/>
                <w:szCs w:val="16"/>
                <w:lang w:bidi="th-TH"/>
              </w:rPr>
              <w:t xml:space="preserve">respondents reported on average a 90% satisfaction rate (Africa-2; Arab-1; </w:t>
            </w:r>
            <w:r>
              <w:rPr>
                <w:rFonts w:cs="Arial"/>
                <w:sz w:val="16"/>
                <w:szCs w:val="16"/>
                <w:lang w:bidi="th-TH"/>
              </w:rPr>
              <w:t xml:space="preserve">Asia and </w:t>
            </w:r>
            <w:r w:rsidR="002C2CA1">
              <w:rPr>
                <w:rFonts w:cs="Arial"/>
                <w:sz w:val="16"/>
                <w:szCs w:val="16"/>
                <w:lang w:bidi="th-TH"/>
              </w:rPr>
              <w:t xml:space="preserve">the </w:t>
            </w:r>
            <w:r>
              <w:rPr>
                <w:rFonts w:cs="Arial"/>
                <w:sz w:val="16"/>
                <w:szCs w:val="16"/>
                <w:lang w:bidi="th-TH"/>
              </w:rPr>
              <w:t xml:space="preserve">Pacific-1; </w:t>
            </w:r>
            <w:r w:rsidRPr="00C619A0">
              <w:rPr>
                <w:rFonts w:cs="Arial"/>
                <w:sz w:val="16"/>
                <w:szCs w:val="16"/>
                <w:lang w:bidi="th-TH"/>
              </w:rPr>
              <w:t>Latin America and the Caribbean-1).</w:t>
            </w:r>
          </w:p>
          <w:p w:rsidR="00F54CA4" w:rsidRDefault="00F54CA4" w:rsidP="00F54CA4">
            <w:pPr>
              <w:pStyle w:val="ListParagraph"/>
              <w:ind w:left="0"/>
              <w:rPr>
                <w:rFonts w:cs="Arial"/>
                <w:sz w:val="16"/>
                <w:szCs w:val="16"/>
                <w:lang w:bidi="th-TH"/>
              </w:rPr>
            </w:pPr>
          </w:p>
          <w:p w:rsidR="00F54CA4" w:rsidRPr="0008215D" w:rsidRDefault="00F54CA4" w:rsidP="00F54CA4">
            <w:pPr>
              <w:pStyle w:val="ListParagraph"/>
              <w:ind w:left="0"/>
              <w:rPr>
                <w:rFonts w:cs="Arial"/>
                <w:sz w:val="16"/>
                <w:szCs w:val="16"/>
              </w:rPr>
            </w:pPr>
          </w:p>
        </w:tc>
        <w:tc>
          <w:tcPr>
            <w:tcW w:w="945" w:type="dxa"/>
            <w:shd w:val="clear" w:color="auto" w:fill="auto"/>
            <w:tcMar>
              <w:top w:w="110" w:type="dxa"/>
            </w:tcMar>
          </w:tcPr>
          <w:p w:rsidR="00F54CA4" w:rsidRPr="008C2A88" w:rsidRDefault="00F54CA4" w:rsidP="00F54CA4">
            <w:pPr>
              <w:keepNext/>
              <w:keepLines/>
              <w:jc w:val="center"/>
              <w:rPr>
                <w:b/>
                <w:bCs/>
                <w:color w:val="00B050"/>
                <w:sz w:val="16"/>
                <w:szCs w:val="16"/>
              </w:rPr>
            </w:pPr>
            <w:r w:rsidRPr="008C2A88">
              <w:rPr>
                <w:b/>
                <w:bCs/>
                <w:color w:val="00B050"/>
                <w:sz w:val="16"/>
                <w:szCs w:val="16"/>
              </w:rPr>
              <w:t>On track</w:t>
            </w:r>
          </w:p>
        </w:tc>
      </w:tr>
      <w:tr w:rsidR="00F54CA4" w:rsidRPr="00C215DD" w:rsidTr="00520CAA">
        <w:tc>
          <w:tcPr>
            <w:tcW w:w="2127" w:type="dxa"/>
            <w:shd w:val="clear" w:color="auto" w:fill="auto"/>
          </w:tcPr>
          <w:p w:rsidR="00F54CA4" w:rsidRPr="00C215DD" w:rsidRDefault="00F54CA4" w:rsidP="00F54CA4">
            <w:pPr>
              <w:rPr>
                <w:sz w:val="16"/>
                <w:szCs w:val="16"/>
              </w:rPr>
            </w:pPr>
            <w:r w:rsidRPr="008C2A88">
              <w:rPr>
                <w:sz w:val="16"/>
                <w:szCs w:val="16"/>
              </w:rPr>
              <w:t>No. and % of Member States/regional organizations providing positive feedback on the legislative advice offered in the area of trademarks, industrial designs and geographical indications</w:t>
            </w:r>
          </w:p>
        </w:tc>
        <w:tc>
          <w:tcPr>
            <w:tcW w:w="2126" w:type="dxa"/>
            <w:shd w:val="clear" w:color="auto" w:fill="auto"/>
          </w:tcPr>
          <w:p w:rsidR="00F54CA4" w:rsidRPr="00335775" w:rsidRDefault="00F54CA4" w:rsidP="00F54CA4">
            <w:pPr>
              <w:ind w:leftChars="-6" w:left="2" w:hangingChars="9" w:hanging="14"/>
              <w:rPr>
                <w:sz w:val="16"/>
                <w:szCs w:val="16"/>
                <w:lang w:bidi="th-TH"/>
              </w:rPr>
            </w:pPr>
            <w:r>
              <w:rPr>
                <w:i/>
                <w:color w:val="002060"/>
                <w:sz w:val="16"/>
                <w:szCs w:val="16"/>
              </w:rPr>
              <w:t>Updated Baseline</w:t>
            </w:r>
            <w:r>
              <w:rPr>
                <w:i/>
                <w:color w:val="002060"/>
                <w:sz w:val="16"/>
                <w:szCs w:val="16"/>
              </w:rPr>
              <w:br/>
              <w:t>end 2013</w:t>
            </w:r>
            <w:r w:rsidRPr="00B36F18">
              <w:rPr>
                <w:i/>
                <w:color w:val="002060"/>
                <w:sz w:val="16"/>
                <w:szCs w:val="16"/>
              </w:rPr>
              <w:t xml:space="preserve">:  </w:t>
            </w:r>
            <w:r w:rsidRPr="00335775">
              <w:rPr>
                <w:color w:val="002060"/>
                <w:sz w:val="16"/>
                <w:szCs w:val="16"/>
              </w:rPr>
              <w:t>Positive feedback received from nine out of 13 countries.  Four countries did not reply.</w:t>
            </w:r>
          </w:p>
          <w:p w:rsidR="00F54CA4" w:rsidRDefault="00F54CA4" w:rsidP="00F54CA4">
            <w:pPr>
              <w:ind w:leftChars="-6" w:left="2" w:hangingChars="9" w:hanging="14"/>
              <w:rPr>
                <w:i/>
                <w:sz w:val="16"/>
                <w:szCs w:val="16"/>
                <w:lang w:bidi="th-TH"/>
              </w:rPr>
            </w:pPr>
          </w:p>
          <w:p w:rsidR="00F54CA4" w:rsidRDefault="00F54CA4" w:rsidP="00F54CA4">
            <w:pPr>
              <w:ind w:leftChars="-6" w:left="2" w:hangingChars="9" w:hanging="14"/>
              <w:rPr>
                <w:sz w:val="16"/>
                <w:szCs w:val="16"/>
                <w:lang w:bidi="th-TH"/>
              </w:rPr>
            </w:pPr>
            <w:r>
              <w:rPr>
                <w:i/>
                <w:sz w:val="16"/>
                <w:szCs w:val="16"/>
                <w:lang w:bidi="th-TH"/>
              </w:rPr>
              <w:t xml:space="preserve">Original Baseline </w:t>
            </w:r>
            <w:r>
              <w:rPr>
                <w:i/>
                <w:sz w:val="16"/>
                <w:szCs w:val="16"/>
                <w:lang w:bidi="th-TH"/>
              </w:rPr>
              <w:br/>
              <w:t>P&amp;B 2014/15</w:t>
            </w:r>
            <w:r w:rsidRPr="00B36F18">
              <w:rPr>
                <w:i/>
                <w:sz w:val="16"/>
                <w:szCs w:val="16"/>
                <w:lang w:bidi="th-TH"/>
              </w:rPr>
              <w:t xml:space="preserve">: </w:t>
            </w:r>
            <w:r w:rsidRPr="008C2A88">
              <w:rPr>
                <w:sz w:val="16"/>
                <w:szCs w:val="16"/>
                <w:lang w:bidi="th-TH"/>
              </w:rPr>
              <w:t>Three Member States/regional organizations having provided positive feedback on legislative advice received in 2012</w:t>
            </w:r>
          </w:p>
          <w:p w:rsidR="00F54CA4" w:rsidRPr="0008215D" w:rsidRDefault="00F54CA4" w:rsidP="00F54CA4">
            <w:pPr>
              <w:ind w:leftChars="-6" w:left="2" w:hangingChars="9" w:hanging="14"/>
              <w:rPr>
                <w:sz w:val="16"/>
                <w:szCs w:val="16"/>
                <w:lang w:bidi="th-TH"/>
              </w:rPr>
            </w:pPr>
          </w:p>
        </w:tc>
        <w:tc>
          <w:tcPr>
            <w:tcW w:w="1560" w:type="dxa"/>
            <w:shd w:val="clear" w:color="auto" w:fill="auto"/>
            <w:tcMar>
              <w:top w:w="110" w:type="dxa"/>
            </w:tcMar>
          </w:tcPr>
          <w:p w:rsidR="00F54CA4" w:rsidRPr="0008215D" w:rsidRDefault="00F54CA4" w:rsidP="00520CAA">
            <w:pPr>
              <w:autoSpaceDE w:val="0"/>
              <w:autoSpaceDN w:val="0"/>
              <w:adjustRightInd w:val="0"/>
              <w:rPr>
                <w:sz w:val="16"/>
                <w:szCs w:val="16"/>
              </w:rPr>
            </w:pPr>
            <w:r w:rsidRPr="008C2A88">
              <w:rPr>
                <w:sz w:val="16"/>
                <w:szCs w:val="16"/>
              </w:rPr>
              <w:t>Positive feedback received from 10</w:t>
            </w:r>
            <w:r w:rsidR="00520CAA">
              <w:rPr>
                <w:sz w:val="16"/>
                <w:szCs w:val="16"/>
              </w:rPr>
              <w:t> </w:t>
            </w:r>
            <w:r w:rsidRPr="008C2A88">
              <w:rPr>
                <w:sz w:val="16"/>
                <w:szCs w:val="16"/>
              </w:rPr>
              <w:t>Member States/regional organizations (regional breakdown)</w:t>
            </w:r>
          </w:p>
        </w:tc>
        <w:tc>
          <w:tcPr>
            <w:tcW w:w="2694" w:type="dxa"/>
            <w:shd w:val="clear" w:color="auto" w:fill="FFFFFF"/>
            <w:tcMar>
              <w:top w:w="110" w:type="dxa"/>
            </w:tcMar>
          </w:tcPr>
          <w:p w:rsidR="00F54CA4" w:rsidRPr="00612FF9" w:rsidRDefault="00F54CA4" w:rsidP="00F54CA4">
            <w:pPr>
              <w:rPr>
                <w:sz w:val="16"/>
                <w:szCs w:val="16"/>
                <w:lang w:bidi="th-TH"/>
              </w:rPr>
            </w:pPr>
            <w:r>
              <w:rPr>
                <w:sz w:val="16"/>
                <w:szCs w:val="16"/>
                <w:lang w:bidi="th-TH"/>
              </w:rPr>
              <w:t xml:space="preserve">Advice was provided to </w:t>
            </w:r>
            <w:r w:rsidRPr="0052430B">
              <w:rPr>
                <w:sz w:val="16"/>
                <w:szCs w:val="16"/>
                <w:lang w:bidi="th-TH"/>
              </w:rPr>
              <w:t>20 Member States/Regional Organizations</w:t>
            </w:r>
            <w:r>
              <w:rPr>
                <w:sz w:val="16"/>
                <w:szCs w:val="16"/>
                <w:lang w:bidi="th-TH"/>
              </w:rPr>
              <w:t xml:space="preserve"> (Africa 7; Arab 1; Asia and the Pacific 11; Latin America and the Caribbean </w:t>
            </w:r>
            <w:r w:rsidRPr="00612FF9">
              <w:rPr>
                <w:sz w:val="16"/>
                <w:szCs w:val="16"/>
                <w:lang w:bidi="th-TH"/>
              </w:rPr>
              <w:t>1</w:t>
            </w:r>
            <w:r>
              <w:rPr>
                <w:sz w:val="16"/>
                <w:szCs w:val="16"/>
                <w:lang w:bidi="th-TH"/>
              </w:rPr>
              <w:t>)</w:t>
            </w:r>
          </w:p>
          <w:p w:rsidR="00F54CA4" w:rsidRDefault="00F54CA4" w:rsidP="00F54CA4">
            <w:pPr>
              <w:rPr>
                <w:sz w:val="16"/>
                <w:szCs w:val="16"/>
                <w:lang w:bidi="th-TH"/>
              </w:rPr>
            </w:pPr>
          </w:p>
          <w:p w:rsidR="00F54CA4" w:rsidRPr="0008215D" w:rsidRDefault="00F54CA4" w:rsidP="00F54CA4">
            <w:pPr>
              <w:rPr>
                <w:sz w:val="16"/>
                <w:szCs w:val="16"/>
              </w:rPr>
            </w:pPr>
            <w:r w:rsidRPr="00C260C3">
              <w:rPr>
                <w:sz w:val="16"/>
                <w:szCs w:val="16"/>
                <w:lang w:bidi="th-TH"/>
              </w:rPr>
              <w:t>Feedback was received from seven respondents, all of whom (100%) reported satisfaction with the advice offered.</w:t>
            </w:r>
          </w:p>
        </w:tc>
        <w:tc>
          <w:tcPr>
            <w:tcW w:w="945" w:type="dxa"/>
            <w:shd w:val="clear" w:color="auto" w:fill="auto"/>
            <w:tcMar>
              <w:top w:w="110" w:type="dxa"/>
            </w:tcMar>
          </w:tcPr>
          <w:p w:rsidR="00F54CA4" w:rsidRPr="00C215DD" w:rsidRDefault="00F54CA4" w:rsidP="00F54CA4">
            <w:pPr>
              <w:keepNext/>
              <w:keepLines/>
              <w:jc w:val="center"/>
              <w:rPr>
                <w:bCs/>
                <w:color w:val="808080"/>
                <w:sz w:val="16"/>
                <w:szCs w:val="16"/>
              </w:rPr>
            </w:pPr>
            <w:r w:rsidRPr="008C2A88">
              <w:rPr>
                <w:b/>
                <w:bCs/>
                <w:color w:val="00B050"/>
                <w:sz w:val="16"/>
                <w:szCs w:val="16"/>
              </w:rPr>
              <w:t>On track</w:t>
            </w:r>
          </w:p>
        </w:tc>
      </w:tr>
      <w:tr w:rsidR="00F54CA4" w:rsidRPr="00C215DD" w:rsidTr="00520CAA">
        <w:tc>
          <w:tcPr>
            <w:tcW w:w="2127" w:type="dxa"/>
            <w:shd w:val="clear" w:color="auto" w:fill="auto"/>
          </w:tcPr>
          <w:p w:rsidR="00F54CA4" w:rsidRDefault="00F54CA4" w:rsidP="00F54CA4">
            <w:pPr>
              <w:rPr>
                <w:sz w:val="16"/>
                <w:szCs w:val="16"/>
              </w:rPr>
            </w:pPr>
            <w:r w:rsidRPr="008C2A88">
              <w:rPr>
                <w:sz w:val="16"/>
                <w:szCs w:val="16"/>
              </w:rPr>
              <w:t>No. and % of countries that have provided positive feedback about WIPO´s  legislative advice</w:t>
            </w:r>
          </w:p>
          <w:p w:rsidR="00F54CA4" w:rsidRPr="00C215DD" w:rsidRDefault="00F54CA4" w:rsidP="00F54CA4">
            <w:pPr>
              <w:rPr>
                <w:sz w:val="16"/>
                <w:szCs w:val="16"/>
              </w:rPr>
            </w:pPr>
          </w:p>
        </w:tc>
        <w:tc>
          <w:tcPr>
            <w:tcW w:w="2126" w:type="dxa"/>
            <w:shd w:val="clear" w:color="auto" w:fill="auto"/>
          </w:tcPr>
          <w:p w:rsidR="00F54CA4" w:rsidRPr="0008215D" w:rsidRDefault="00F54CA4" w:rsidP="00F54CA4">
            <w:pPr>
              <w:ind w:left="1"/>
              <w:rPr>
                <w:sz w:val="16"/>
                <w:szCs w:val="16"/>
                <w:lang w:bidi="th-TH"/>
              </w:rPr>
            </w:pPr>
            <w:r w:rsidRPr="008C2A88">
              <w:rPr>
                <w:sz w:val="16"/>
                <w:szCs w:val="16"/>
                <w:lang w:bidi="th-TH"/>
              </w:rPr>
              <w:t>No feedback information has yet been collected</w:t>
            </w:r>
          </w:p>
        </w:tc>
        <w:tc>
          <w:tcPr>
            <w:tcW w:w="1560" w:type="dxa"/>
            <w:shd w:val="clear" w:color="auto" w:fill="auto"/>
            <w:tcMar>
              <w:top w:w="110" w:type="dxa"/>
            </w:tcMar>
          </w:tcPr>
          <w:p w:rsidR="00F54CA4" w:rsidRPr="0008215D" w:rsidRDefault="00F54CA4" w:rsidP="00F54CA4">
            <w:pPr>
              <w:autoSpaceDE w:val="0"/>
              <w:autoSpaceDN w:val="0"/>
              <w:adjustRightInd w:val="0"/>
              <w:rPr>
                <w:sz w:val="16"/>
                <w:szCs w:val="16"/>
              </w:rPr>
            </w:pPr>
            <w:r w:rsidRPr="008C2A88">
              <w:rPr>
                <w:sz w:val="16"/>
                <w:szCs w:val="16"/>
              </w:rPr>
              <w:t>15 countries (regional breakdown)</w:t>
            </w:r>
          </w:p>
        </w:tc>
        <w:tc>
          <w:tcPr>
            <w:tcW w:w="2694" w:type="dxa"/>
            <w:shd w:val="clear" w:color="auto" w:fill="FFFFFF"/>
            <w:tcMar>
              <w:top w:w="110" w:type="dxa"/>
            </w:tcMar>
          </w:tcPr>
          <w:p w:rsidR="00F54CA4" w:rsidRDefault="00F54CA4" w:rsidP="00F54CA4">
            <w:pPr>
              <w:pStyle w:val="ListParagraph"/>
              <w:ind w:left="0"/>
              <w:rPr>
                <w:rFonts w:cs="Arial"/>
                <w:sz w:val="16"/>
                <w:szCs w:val="16"/>
                <w:lang w:bidi="th-TH"/>
              </w:rPr>
            </w:pPr>
            <w:r w:rsidRPr="007727C2">
              <w:rPr>
                <w:rFonts w:cs="Arial"/>
                <w:sz w:val="16"/>
                <w:szCs w:val="16"/>
                <w:lang w:bidi="th-TH"/>
              </w:rPr>
              <w:t>1</w:t>
            </w:r>
            <w:r>
              <w:rPr>
                <w:rFonts w:cs="Arial"/>
                <w:sz w:val="16"/>
                <w:szCs w:val="16"/>
                <w:lang w:bidi="th-TH"/>
              </w:rPr>
              <w:t>4</w:t>
            </w:r>
            <w:r w:rsidRPr="003B065A">
              <w:rPr>
                <w:rFonts w:cs="Arial"/>
                <w:sz w:val="16"/>
                <w:szCs w:val="16"/>
                <w:lang w:bidi="th-TH"/>
              </w:rPr>
              <w:t xml:space="preserve"> countries received legislative advice in 2014. </w:t>
            </w:r>
            <w:r w:rsidRPr="00DC1E3D">
              <w:rPr>
                <w:rFonts w:cs="Arial"/>
                <w:sz w:val="16"/>
                <w:szCs w:val="16"/>
                <w:lang w:bidi="th-TH"/>
              </w:rPr>
              <w:t xml:space="preserve">(Africa 6; Asia </w:t>
            </w:r>
            <w:r>
              <w:rPr>
                <w:rFonts w:cs="Arial"/>
                <w:sz w:val="16"/>
                <w:szCs w:val="16"/>
                <w:lang w:bidi="th-TH"/>
              </w:rPr>
              <w:t xml:space="preserve">and </w:t>
            </w:r>
            <w:r w:rsidR="002C2CA1">
              <w:rPr>
                <w:rFonts w:cs="Arial"/>
                <w:sz w:val="16"/>
                <w:szCs w:val="16"/>
                <w:lang w:bidi="th-TH"/>
              </w:rPr>
              <w:t xml:space="preserve">the </w:t>
            </w:r>
            <w:r w:rsidRPr="00DC1E3D">
              <w:rPr>
                <w:rFonts w:cs="Arial"/>
                <w:sz w:val="16"/>
                <w:szCs w:val="16"/>
                <w:lang w:bidi="th-TH"/>
              </w:rPr>
              <w:t>Pacific 2; L</w:t>
            </w:r>
            <w:r>
              <w:rPr>
                <w:rFonts w:cs="Arial"/>
                <w:sz w:val="16"/>
                <w:szCs w:val="16"/>
                <w:lang w:bidi="th-TH"/>
              </w:rPr>
              <w:t>atin America and the Caribbean</w:t>
            </w:r>
            <w:r w:rsidRPr="00DC1E3D">
              <w:rPr>
                <w:rFonts w:cs="Arial"/>
                <w:sz w:val="16"/>
                <w:szCs w:val="16"/>
                <w:lang w:bidi="th-TH"/>
              </w:rPr>
              <w:t xml:space="preserve"> 4</w:t>
            </w:r>
            <w:r>
              <w:rPr>
                <w:rFonts w:cs="Arial"/>
                <w:sz w:val="16"/>
                <w:szCs w:val="16"/>
                <w:lang w:bidi="th-TH"/>
              </w:rPr>
              <w:t xml:space="preserve">; Arab 2). </w:t>
            </w:r>
            <w:r w:rsidRPr="00942949">
              <w:rPr>
                <w:rFonts w:cs="Arial"/>
                <w:sz w:val="16"/>
                <w:szCs w:val="16"/>
                <w:lang w:bidi="th-TH"/>
              </w:rPr>
              <w:t>Survey to be conducted in 2015.</w:t>
            </w:r>
          </w:p>
          <w:p w:rsidR="00F54CA4" w:rsidRPr="0008215D" w:rsidRDefault="00F54CA4" w:rsidP="00F54CA4">
            <w:pPr>
              <w:pStyle w:val="ListParagraph"/>
              <w:ind w:left="0"/>
              <w:rPr>
                <w:rFonts w:cs="Arial"/>
                <w:sz w:val="16"/>
                <w:szCs w:val="16"/>
              </w:rPr>
            </w:pPr>
          </w:p>
        </w:tc>
        <w:tc>
          <w:tcPr>
            <w:tcW w:w="945" w:type="dxa"/>
            <w:shd w:val="clear" w:color="auto" w:fill="auto"/>
            <w:tcMar>
              <w:top w:w="110" w:type="dxa"/>
            </w:tcMar>
          </w:tcPr>
          <w:p w:rsidR="00F54CA4" w:rsidRPr="00C215DD" w:rsidRDefault="00F54CA4" w:rsidP="00F54CA4">
            <w:pPr>
              <w:keepNext/>
              <w:keepLines/>
              <w:jc w:val="center"/>
              <w:rPr>
                <w:bCs/>
                <w:color w:val="008000"/>
                <w:sz w:val="16"/>
                <w:szCs w:val="16"/>
              </w:rPr>
            </w:pPr>
            <w:r w:rsidRPr="00335775">
              <w:rPr>
                <w:b/>
                <w:bCs/>
                <w:color w:val="0070C0"/>
                <w:sz w:val="16"/>
                <w:szCs w:val="16"/>
              </w:rPr>
              <w:t>N/A 2014</w:t>
            </w:r>
          </w:p>
        </w:tc>
      </w:tr>
    </w:tbl>
    <w:p w:rsidR="00520CAA" w:rsidRDefault="00520CAA">
      <w:r>
        <w:br w:type="page"/>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1985"/>
        <w:gridCol w:w="1701"/>
        <w:gridCol w:w="2694"/>
        <w:gridCol w:w="945"/>
      </w:tblGrid>
      <w:tr w:rsidR="00F54CA4" w:rsidRPr="00C215DD" w:rsidTr="00520CAA">
        <w:tc>
          <w:tcPr>
            <w:tcW w:w="9452" w:type="dxa"/>
            <w:gridSpan w:val="5"/>
            <w:tcBorders>
              <w:top w:val="single" w:sz="4" w:space="0" w:color="auto"/>
              <w:bottom w:val="single" w:sz="4" w:space="0" w:color="auto"/>
            </w:tcBorders>
            <w:shd w:val="clear" w:color="auto" w:fill="CCFFFF"/>
            <w:vAlign w:val="center"/>
          </w:tcPr>
          <w:p w:rsidR="00F54CA4" w:rsidRPr="00C215DD" w:rsidRDefault="00F54CA4" w:rsidP="00F54CA4">
            <w:pPr>
              <w:keepNext/>
              <w:keepLines/>
              <w:tabs>
                <w:tab w:val="left" w:pos="1452"/>
              </w:tabs>
              <w:spacing w:before="120" w:after="120"/>
              <w:ind w:left="1452" w:hanging="1452"/>
              <w:rPr>
                <w:b/>
                <w:bCs/>
                <w:sz w:val="16"/>
                <w:szCs w:val="16"/>
              </w:rPr>
            </w:pPr>
            <w:r w:rsidRPr="00C215DD">
              <w:rPr>
                <w:b/>
                <w:bCs/>
                <w:sz w:val="16"/>
                <w:szCs w:val="16"/>
              </w:rPr>
              <w:lastRenderedPageBreak/>
              <w:t>Expected Result:</w:t>
            </w:r>
            <w:r w:rsidRPr="00C215DD">
              <w:rPr>
                <w:b/>
                <w:bCs/>
                <w:sz w:val="16"/>
                <w:szCs w:val="16"/>
              </w:rPr>
              <w:tab/>
            </w:r>
            <w:r w:rsidRPr="008C2A88">
              <w:rPr>
                <w:sz w:val="16"/>
                <w:szCs w:val="16"/>
                <w:lang w:bidi="th-TH"/>
              </w:rPr>
              <w:t>III.1 National innovation and IP strategies and plans consistent with national development objectives</w:t>
            </w:r>
          </w:p>
        </w:tc>
      </w:tr>
      <w:tr w:rsidR="00F54CA4" w:rsidRPr="00C215DD" w:rsidTr="00520CAA">
        <w:tc>
          <w:tcPr>
            <w:tcW w:w="2127" w:type="dxa"/>
            <w:tcBorders>
              <w:top w:val="single" w:sz="4" w:space="0" w:color="auto"/>
            </w:tcBorders>
            <w:shd w:val="clear" w:color="auto" w:fill="auto"/>
            <w:vAlign w:val="center"/>
          </w:tcPr>
          <w:p w:rsidR="00F54CA4" w:rsidRPr="00C215DD" w:rsidRDefault="00F54CA4" w:rsidP="00F54CA4">
            <w:pPr>
              <w:spacing w:after="40"/>
              <w:rPr>
                <w:sz w:val="16"/>
                <w:szCs w:val="16"/>
              </w:rPr>
            </w:pPr>
            <w:r w:rsidRPr="00C215DD">
              <w:rPr>
                <w:b/>
                <w:bCs/>
                <w:sz w:val="16"/>
                <w:szCs w:val="16"/>
              </w:rPr>
              <w:t>Performance Indicators</w:t>
            </w:r>
          </w:p>
        </w:tc>
        <w:tc>
          <w:tcPr>
            <w:tcW w:w="1985" w:type="dxa"/>
            <w:tcBorders>
              <w:top w:val="single" w:sz="4" w:space="0" w:color="auto"/>
            </w:tcBorders>
            <w:shd w:val="clear" w:color="auto" w:fill="auto"/>
            <w:vAlign w:val="center"/>
          </w:tcPr>
          <w:p w:rsidR="00F54CA4" w:rsidRPr="00C215DD" w:rsidRDefault="00F54CA4" w:rsidP="00F54CA4">
            <w:pPr>
              <w:spacing w:after="40"/>
              <w:rPr>
                <w:b/>
                <w:bCs/>
                <w:sz w:val="16"/>
                <w:szCs w:val="16"/>
              </w:rPr>
            </w:pPr>
            <w:r w:rsidRPr="00C215DD">
              <w:rPr>
                <w:b/>
                <w:bCs/>
                <w:sz w:val="16"/>
                <w:szCs w:val="16"/>
              </w:rPr>
              <w:t>Baselines</w:t>
            </w:r>
          </w:p>
        </w:tc>
        <w:tc>
          <w:tcPr>
            <w:tcW w:w="1701" w:type="dxa"/>
            <w:tcBorders>
              <w:top w:val="single" w:sz="4" w:space="0" w:color="auto"/>
            </w:tcBorders>
            <w:shd w:val="clear" w:color="auto" w:fill="auto"/>
            <w:tcMar>
              <w:top w:w="110" w:type="dxa"/>
            </w:tcMar>
            <w:vAlign w:val="center"/>
          </w:tcPr>
          <w:p w:rsidR="00F54CA4" w:rsidRPr="00C215DD" w:rsidRDefault="00F54CA4" w:rsidP="00F54CA4">
            <w:pPr>
              <w:spacing w:after="40"/>
              <w:rPr>
                <w:b/>
                <w:sz w:val="16"/>
                <w:szCs w:val="16"/>
              </w:rPr>
            </w:pPr>
            <w:r w:rsidRPr="00C215DD">
              <w:rPr>
                <w:b/>
                <w:sz w:val="16"/>
                <w:szCs w:val="16"/>
              </w:rPr>
              <w:t>Target</w:t>
            </w:r>
            <w:r>
              <w:rPr>
                <w:b/>
                <w:sz w:val="16"/>
                <w:szCs w:val="16"/>
              </w:rPr>
              <w:t>s</w:t>
            </w:r>
          </w:p>
        </w:tc>
        <w:tc>
          <w:tcPr>
            <w:tcW w:w="2694" w:type="dxa"/>
            <w:tcBorders>
              <w:top w:val="single" w:sz="4" w:space="0" w:color="auto"/>
            </w:tcBorders>
            <w:shd w:val="clear" w:color="auto" w:fill="FFFFFF"/>
            <w:tcMar>
              <w:top w:w="110" w:type="dxa"/>
            </w:tcMar>
            <w:vAlign w:val="center"/>
          </w:tcPr>
          <w:p w:rsidR="00F54CA4" w:rsidRPr="00C215DD" w:rsidRDefault="00F54CA4" w:rsidP="00F54CA4">
            <w:pPr>
              <w:spacing w:after="40"/>
              <w:rPr>
                <w:sz w:val="16"/>
                <w:szCs w:val="16"/>
              </w:rPr>
            </w:pPr>
            <w:r w:rsidRPr="00C215DD">
              <w:rPr>
                <w:b/>
                <w:bCs/>
                <w:sz w:val="16"/>
                <w:szCs w:val="16"/>
              </w:rPr>
              <w:t>Performance Data</w:t>
            </w:r>
          </w:p>
        </w:tc>
        <w:tc>
          <w:tcPr>
            <w:tcW w:w="945" w:type="dxa"/>
            <w:tcBorders>
              <w:top w:val="single" w:sz="4" w:space="0" w:color="auto"/>
            </w:tcBorders>
            <w:shd w:val="clear" w:color="auto" w:fill="auto"/>
            <w:tcMar>
              <w:top w:w="110" w:type="dxa"/>
            </w:tcMar>
            <w:vAlign w:val="center"/>
          </w:tcPr>
          <w:p w:rsidR="00F54CA4" w:rsidRPr="00C215DD" w:rsidRDefault="00F54CA4" w:rsidP="00F54CA4">
            <w:pPr>
              <w:keepNext/>
              <w:keepLines/>
              <w:spacing w:after="40"/>
              <w:jc w:val="center"/>
              <w:rPr>
                <w:b/>
                <w:bCs/>
                <w:sz w:val="16"/>
                <w:szCs w:val="16"/>
              </w:rPr>
            </w:pPr>
            <w:r w:rsidRPr="00C215DD">
              <w:rPr>
                <w:b/>
                <w:bCs/>
                <w:sz w:val="16"/>
                <w:szCs w:val="16"/>
              </w:rPr>
              <w:t>TLS</w:t>
            </w:r>
          </w:p>
        </w:tc>
      </w:tr>
      <w:tr w:rsidR="00F54CA4" w:rsidRPr="00C215DD" w:rsidTr="00520CAA">
        <w:tc>
          <w:tcPr>
            <w:tcW w:w="2127" w:type="dxa"/>
            <w:shd w:val="clear" w:color="auto" w:fill="FFFFFF"/>
          </w:tcPr>
          <w:p w:rsidR="00F54CA4" w:rsidRPr="0008215D" w:rsidRDefault="00F54CA4" w:rsidP="00F54CA4">
            <w:pPr>
              <w:rPr>
                <w:sz w:val="16"/>
                <w:szCs w:val="16"/>
                <w:lang w:bidi="th-TH"/>
              </w:rPr>
            </w:pPr>
            <w:r w:rsidRPr="008C2A88">
              <w:rPr>
                <w:sz w:val="16"/>
                <w:szCs w:val="16"/>
                <w:lang w:bidi="th-TH"/>
              </w:rPr>
              <w:t>No. of countries which are in the process of formulating/adopting national IP strategies and/or development plans</w:t>
            </w:r>
          </w:p>
        </w:tc>
        <w:tc>
          <w:tcPr>
            <w:tcW w:w="1985" w:type="dxa"/>
            <w:shd w:val="clear" w:color="auto" w:fill="auto"/>
          </w:tcPr>
          <w:p w:rsidR="00F54CA4" w:rsidRDefault="00F54CA4" w:rsidP="00F54CA4">
            <w:pPr>
              <w:rPr>
                <w:i/>
                <w:color w:val="002060"/>
                <w:sz w:val="16"/>
                <w:szCs w:val="16"/>
              </w:rPr>
            </w:pPr>
            <w:r>
              <w:rPr>
                <w:i/>
                <w:color w:val="002060"/>
                <w:sz w:val="16"/>
                <w:szCs w:val="16"/>
              </w:rPr>
              <w:t>Updated Baseline end 2013</w:t>
            </w:r>
            <w:r w:rsidRPr="0068151C">
              <w:rPr>
                <w:i/>
                <w:color w:val="002060"/>
                <w:sz w:val="16"/>
                <w:szCs w:val="16"/>
              </w:rPr>
              <w:t>:</w:t>
            </w:r>
            <w:r>
              <w:rPr>
                <w:i/>
                <w:color w:val="002060"/>
                <w:sz w:val="16"/>
                <w:szCs w:val="16"/>
              </w:rPr>
              <w:t xml:space="preserve"> </w:t>
            </w:r>
          </w:p>
          <w:p w:rsidR="00F54CA4" w:rsidRPr="007A0211" w:rsidRDefault="00F54CA4" w:rsidP="00F54CA4">
            <w:pPr>
              <w:rPr>
                <w:color w:val="002060"/>
                <w:sz w:val="16"/>
                <w:szCs w:val="16"/>
              </w:rPr>
            </w:pPr>
            <w:r>
              <w:rPr>
                <w:color w:val="002060"/>
                <w:sz w:val="16"/>
                <w:szCs w:val="16"/>
              </w:rPr>
              <w:t xml:space="preserve">Africa: </w:t>
            </w:r>
            <w:r w:rsidRPr="00480B30">
              <w:rPr>
                <w:color w:val="002060"/>
                <w:sz w:val="16"/>
                <w:szCs w:val="16"/>
              </w:rPr>
              <w:t>1</w:t>
            </w:r>
            <w:r>
              <w:rPr>
                <w:color w:val="002060"/>
                <w:sz w:val="16"/>
                <w:szCs w:val="16"/>
              </w:rPr>
              <w:t>8</w:t>
            </w:r>
            <w:r w:rsidRPr="00480B30">
              <w:rPr>
                <w:color w:val="002060"/>
                <w:sz w:val="16"/>
                <w:szCs w:val="16"/>
              </w:rPr>
              <w:t xml:space="preserve"> </w:t>
            </w:r>
            <w:r w:rsidRPr="003F0F40">
              <w:rPr>
                <w:color w:val="002060"/>
                <w:sz w:val="16"/>
                <w:szCs w:val="16"/>
              </w:rPr>
              <w:t>cumulative</w:t>
            </w:r>
            <w:r w:rsidRPr="00480B30">
              <w:rPr>
                <w:color w:val="002060"/>
                <w:sz w:val="16"/>
                <w:szCs w:val="16"/>
              </w:rPr>
              <w:t xml:space="preserve"> (Botswana, Burundi, </w:t>
            </w:r>
            <w:r>
              <w:rPr>
                <w:color w:val="002060"/>
                <w:sz w:val="16"/>
                <w:szCs w:val="16"/>
              </w:rPr>
              <w:t xml:space="preserve">Cameroon, </w:t>
            </w:r>
            <w:r w:rsidRPr="00665159">
              <w:rPr>
                <w:color w:val="002060"/>
                <w:sz w:val="16"/>
                <w:szCs w:val="16"/>
              </w:rPr>
              <w:t>Central African Republic</w:t>
            </w:r>
            <w:r>
              <w:rPr>
                <w:color w:val="002060"/>
                <w:sz w:val="16"/>
                <w:szCs w:val="16"/>
              </w:rPr>
              <w:t xml:space="preserve">, </w:t>
            </w:r>
            <w:r w:rsidRPr="00480B30">
              <w:rPr>
                <w:color w:val="002060"/>
                <w:sz w:val="16"/>
                <w:szCs w:val="16"/>
              </w:rPr>
              <w:t>Chad</w:t>
            </w:r>
            <w:r>
              <w:rPr>
                <w:color w:val="002060"/>
                <w:sz w:val="16"/>
                <w:szCs w:val="16"/>
              </w:rPr>
              <w:t>,</w:t>
            </w:r>
            <w:r w:rsidRPr="00480B30">
              <w:rPr>
                <w:color w:val="002060"/>
                <w:sz w:val="16"/>
                <w:szCs w:val="16"/>
              </w:rPr>
              <w:t xml:space="preserve"> </w:t>
            </w:r>
            <w:r>
              <w:rPr>
                <w:color w:val="002060"/>
                <w:sz w:val="16"/>
                <w:szCs w:val="16"/>
              </w:rPr>
              <w:t xml:space="preserve">the </w:t>
            </w:r>
            <w:r w:rsidRPr="00480B30">
              <w:rPr>
                <w:color w:val="002060"/>
                <w:sz w:val="16"/>
                <w:szCs w:val="16"/>
              </w:rPr>
              <w:t xml:space="preserve">Congo, </w:t>
            </w:r>
            <w:r>
              <w:rPr>
                <w:color w:val="002060"/>
                <w:sz w:val="16"/>
                <w:szCs w:val="16"/>
              </w:rPr>
              <w:t xml:space="preserve">Equatorial Guinea, </w:t>
            </w:r>
            <w:r w:rsidRPr="00480B30">
              <w:rPr>
                <w:color w:val="002060"/>
                <w:sz w:val="16"/>
                <w:szCs w:val="16"/>
              </w:rPr>
              <w:t>Ethiopia</w:t>
            </w:r>
            <w:r>
              <w:rPr>
                <w:rStyle w:val="FootnoteReference"/>
                <w:color w:val="002060"/>
                <w:sz w:val="16"/>
                <w:szCs w:val="16"/>
              </w:rPr>
              <w:footnoteReference w:id="25"/>
            </w:r>
            <w:r>
              <w:rPr>
                <w:color w:val="002060"/>
                <w:sz w:val="16"/>
                <w:szCs w:val="16"/>
              </w:rPr>
              <w:t>,</w:t>
            </w:r>
            <w:r w:rsidRPr="00373F76">
              <w:rPr>
                <w:color w:val="002060"/>
                <w:sz w:val="16"/>
                <w:szCs w:val="16"/>
              </w:rPr>
              <w:t xml:space="preserve"> the Gambia, Kenya, Lesotho, </w:t>
            </w:r>
            <w:r>
              <w:rPr>
                <w:color w:val="002060"/>
                <w:sz w:val="16"/>
                <w:szCs w:val="16"/>
              </w:rPr>
              <w:t xml:space="preserve"> </w:t>
            </w:r>
            <w:r w:rsidRPr="00373F76">
              <w:rPr>
                <w:color w:val="002060"/>
                <w:sz w:val="16"/>
                <w:szCs w:val="16"/>
              </w:rPr>
              <w:t xml:space="preserve">Malawi, </w:t>
            </w:r>
            <w:r>
              <w:rPr>
                <w:color w:val="002060"/>
                <w:sz w:val="16"/>
                <w:szCs w:val="16"/>
              </w:rPr>
              <w:t>Mali,</w:t>
            </w:r>
            <w:r w:rsidRPr="00373F76">
              <w:rPr>
                <w:color w:val="002060"/>
                <w:sz w:val="16"/>
                <w:szCs w:val="16"/>
              </w:rPr>
              <w:t xml:space="preserve"> Mauritius, Seychelles, Sierra Leone, </w:t>
            </w:r>
            <w:r>
              <w:rPr>
                <w:color w:val="002060"/>
                <w:sz w:val="16"/>
                <w:szCs w:val="16"/>
              </w:rPr>
              <w:t xml:space="preserve">Togo, </w:t>
            </w:r>
            <w:r w:rsidRPr="00373F76">
              <w:rPr>
                <w:color w:val="002060"/>
                <w:sz w:val="16"/>
                <w:szCs w:val="16"/>
              </w:rPr>
              <w:t xml:space="preserve">United Republic of </w:t>
            </w:r>
            <w:r w:rsidRPr="007A0211">
              <w:rPr>
                <w:color w:val="002060"/>
                <w:sz w:val="16"/>
                <w:szCs w:val="16"/>
              </w:rPr>
              <w:t>Tanzania)</w:t>
            </w:r>
          </w:p>
          <w:p w:rsidR="00F54CA4" w:rsidRPr="006B4880" w:rsidRDefault="00F54CA4" w:rsidP="00F54CA4">
            <w:pPr>
              <w:rPr>
                <w:color w:val="002060"/>
                <w:sz w:val="16"/>
                <w:szCs w:val="16"/>
              </w:rPr>
            </w:pPr>
          </w:p>
          <w:p w:rsidR="00F54CA4" w:rsidRDefault="00F54CA4" w:rsidP="00F54CA4">
            <w:pPr>
              <w:rPr>
                <w:color w:val="002060"/>
                <w:sz w:val="16"/>
                <w:szCs w:val="16"/>
              </w:rPr>
            </w:pPr>
            <w:r>
              <w:rPr>
                <w:color w:val="002060"/>
                <w:sz w:val="16"/>
                <w:szCs w:val="16"/>
              </w:rPr>
              <w:t>Arab: 6 cumulative</w:t>
            </w:r>
            <w:r>
              <w:rPr>
                <w:rStyle w:val="FootnoteReference"/>
                <w:color w:val="002060"/>
                <w:sz w:val="16"/>
                <w:szCs w:val="16"/>
              </w:rPr>
              <w:footnoteReference w:id="26"/>
            </w:r>
            <w:r w:rsidRPr="00480B30">
              <w:rPr>
                <w:color w:val="002060"/>
                <w:sz w:val="16"/>
                <w:szCs w:val="16"/>
              </w:rPr>
              <w:t xml:space="preserve"> (</w:t>
            </w:r>
            <w:r>
              <w:rPr>
                <w:color w:val="002060"/>
                <w:sz w:val="16"/>
                <w:szCs w:val="16"/>
              </w:rPr>
              <w:t>Algeria</w:t>
            </w:r>
            <w:r>
              <w:rPr>
                <w:rStyle w:val="FootnoteReference"/>
                <w:color w:val="002060"/>
                <w:sz w:val="16"/>
                <w:szCs w:val="16"/>
              </w:rPr>
              <w:footnoteReference w:id="27"/>
            </w:r>
            <w:r>
              <w:rPr>
                <w:color w:val="002060"/>
                <w:sz w:val="16"/>
                <w:szCs w:val="16"/>
              </w:rPr>
              <w:t xml:space="preserve">, </w:t>
            </w:r>
            <w:r w:rsidRPr="00480B30">
              <w:rPr>
                <w:color w:val="002060"/>
                <w:sz w:val="16"/>
                <w:szCs w:val="16"/>
              </w:rPr>
              <w:t>Oman</w:t>
            </w:r>
            <w:r>
              <w:rPr>
                <w:color w:val="002060"/>
                <w:sz w:val="16"/>
                <w:szCs w:val="16"/>
              </w:rPr>
              <w:t>, Qatar</w:t>
            </w:r>
            <w:r>
              <w:rPr>
                <w:rStyle w:val="FootnoteReference"/>
                <w:color w:val="002060"/>
                <w:sz w:val="16"/>
                <w:szCs w:val="16"/>
              </w:rPr>
              <w:footnoteReference w:id="28"/>
            </w:r>
            <w:r>
              <w:rPr>
                <w:color w:val="002060"/>
                <w:sz w:val="16"/>
                <w:szCs w:val="16"/>
              </w:rPr>
              <w:t>, Sudan,</w:t>
            </w:r>
            <w:r w:rsidRPr="00480B30">
              <w:rPr>
                <w:color w:val="002060"/>
                <w:sz w:val="16"/>
                <w:szCs w:val="16"/>
              </w:rPr>
              <w:t xml:space="preserve"> </w:t>
            </w:r>
            <w:r>
              <w:rPr>
                <w:color w:val="002060"/>
                <w:sz w:val="16"/>
                <w:szCs w:val="16"/>
              </w:rPr>
              <w:t>United Arab Emirates,</w:t>
            </w:r>
            <w:r w:rsidRPr="00480B30">
              <w:rPr>
                <w:color w:val="002060"/>
                <w:sz w:val="16"/>
                <w:szCs w:val="16"/>
              </w:rPr>
              <w:t xml:space="preserve"> Yemen)</w:t>
            </w:r>
          </w:p>
          <w:p w:rsidR="00F54CA4" w:rsidRDefault="00F54CA4" w:rsidP="00F54CA4">
            <w:pPr>
              <w:rPr>
                <w:color w:val="002060"/>
                <w:sz w:val="16"/>
                <w:szCs w:val="16"/>
              </w:rPr>
            </w:pPr>
          </w:p>
          <w:p w:rsidR="00F54CA4" w:rsidRDefault="00F54CA4" w:rsidP="00F54CA4">
            <w:pPr>
              <w:rPr>
                <w:color w:val="002060"/>
                <w:sz w:val="16"/>
                <w:szCs w:val="16"/>
              </w:rPr>
            </w:pPr>
            <w:r w:rsidRPr="00480B30">
              <w:rPr>
                <w:color w:val="002060"/>
                <w:sz w:val="16"/>
                <w:szCs w:val="16"/>
              </w:rPr>
              <w:t xml:space="preserve">Asia and </w:t>
            </w:r>
            <w:r w:rsidR="002C2CA1">
              <w:rPr>
                <w:color w:val="002060"/>
                <w:sz w:val="16"/>
                <w:szCs w:val="16"/>
              </w:rPr>
              <w:t xml:space="preserve">the </w:t>
            </w:r>
            <w:r w:rsidRPr="00480B30">
              <w:rPr>
                <w:color w:val="002060"/>
                <w:sz w:val="16"/>
                <w:szCs w:val="16"/>
              </w:rPr>
              <w:t>Pacific</w:t>
            </w:r>
            <w:r>
              <w:rPr>
                <w:color w:val="002060"/>
                <w:sz w:val="16"/>
                <w:szCs w:val="16"/>
              </w:rPr>
              <w:t>: 12</w:t>
            </w:r>
            <w:r w:rsidRPr="00480B30">
              <w:rPr>
                <w:color w:val="002060"/>
                <w:sz w:val="16"/>
                <w:szCs w:val="16"/>
              </w:rPr>
              <w:t xml:space="preserve"> </w:t>
            </w:r>
            <w:r>
              <w:rPr>
                <w:color w:val="002060"/>
                <w:sz w:val="16"/>
                <w:szCs w:val="16"/>
              </w:rPr>
              <w:t xml:space="preserve">cumulative (Bangladesh, </w:t>
            </w:r>
            <w:r w:rsidRPr="00480B30">
              <w:rPr>
                <w:color w:val="002060"/>
                <w:sz w:val="16"/>
                <w:szCs w:val="16"/>
              </w:rPr>
              <w:t>Bhutan, Cambodia, Fiji, Mongolia</w:t>
            </w:r>
            <w:r>
              <w:rPr>
                <w:color w:val="002060"/>
                <w:sz w:val="16"/>
                <w:szCs w:val="16"/>
              </w:rPr>
              <w:t xml:space="preserve">, </w:t>
            </w:r>
            <w:r w:rsidRPr="00480B30">
              <w:rPr>
                <w:color w:val="002060"/>
                <w:sz w:val="16"/>
                <w:szCs w:val="16"/>
              </w:rPr>
              <w:t>Papua N</w:t>
            </w:r>
            <w:r>
              <w:rPr>
                <w:color w:val="002060"/>
                <w:sz w:val="16"/>
                <w:szCs w:val="16"/>
              </w:rPr>
              <w:t>ew Guinea</w:t>
            </w:r>
            <w:r w:rsidRPr="00480B30">
              <w:rPr>
                <w:color w:val="002060"/>
                <w:sz w:val="16"/>
                <w:szCs w:val="16"/>
              </w:rPr>
              <w:t xml:space="preserve">, Samoa, </w:t>
            </w:r>
            <w:r>
              <w:rPr>
                <w:color w:val="002060"/>
                <w:sz w:val="16"/>
                <w:szCs w:val="16"/>
              </w:rPr>
              <w:t xml:space="preserve">Solomon Islands, </w:t>
            </w:r>
            <w:r w:rsidRPr="00480B30">
              <w:rPr>
                <w:color w:val="002060"/>
                <w:sz w:val="16"/>
                <w:szCs w:val="16"/>
              </w:rPr>
              <w:t>Sri Lanka, Tonga, Vanuatu, Viet</w:t>
            </w:r>
            <w:r>
              <w:rPr>
                <w:color w:val="002060"/>
                <w:sz w:val="16"/>
                <w:szCs w:val="16"/>
              </w:rPr>
              <w:t xml:space="preserve"> N</w:t>
            </w:r>
            <w:r w:rsidRPr="00480B30">
              <w:rPr>
                <w:color w:val="002060"/>
                <w:sz w:val="16"/>
                <w:szCs w:val="16"/>
              </w:rPr>
              <w:t>am</w:t>
            </w:r>
            <w:r>
              <w:rPr>
                <w:color w:val="002060"/>
                <w:sz w:val="16"/>
                <w:szCs w:val="16"/>
              </w:rPr>
              <w:t>)</w:t>
            </w:r>
            <w:r w:rsidRPr="00480B30">
              <w:rPr>
                <w:color w:val="002060"/>
                <w:sz w:val="16"/>
                <w:szCs w:val="16"/>
              </w:rPr>
              <w:t xml:space="preserve"> </w:t>
            </w:r>
          </w:p>
          <w:p w:rsidR="00F54CA4" w:rsidRDefault="00F54CA4" w:rsidP="00F54CA4">
            <w:pPr>
              <w:rPr>
                <w:color w:val="002060"/>
                <w:sz w:val="16"/>
                <w:szCs w:val="16"/>
              </w:rPr>
            </w:pPr>
          </w:p>
          <w:p w:rsidR="00F54CA4" w:rsidRPr="008F7B65" w:rsidRDefault="00F54CA4" w:rsidP="00F54CA4">
            <w:pPr>
              <w:rPr>
                <w:color w:val="002060"/>
                <w:sz w:val="16"/>
                <w:szCs w:val="16"/>
                <w:lang w:val="es-ES"/>
              </w:rPr>
            </w:pPr>
            <w:proofErr w:type="spellStart"/>
            <w:r w:rsidRPr="008F7B65">
              <w:rPr>
                <w:color w:val="002060"/>
                <w:sz w:val="16"/>
                <w:szCs w:val="16"/>
                <w:lang w:val="es-ES"/>
              </w:rPr>
              <w:t>Latin</w:t>
            </w:r>
            <w:proofErr w:type="spellEnd"/>
            <w:r w:rsidRPr="008F7B65">
              <w:rPr>
                <w:color w:val="002060"/>
                <w:sz w:val="16"/>
                <w:szCs w:val="16"/>
                <w:lang w:val="es-ES"/>
              </w:rPr>
              <w:t xml:space="preserve"> </w:t>
            </w:r>
            <w:proofErr w:type="spellStart"/>
            <w:r w:rsidRPr="008F7B65">
              <w:rPr>
                <w:color w:val="002060"/>
                <w:sz w:val="16"/>
                <w:szCs w:val="16"/>
                <w:lang w:val="es-ES"/>
              </w:rPr>
              <w:t>America</w:t>
            </w:r>
            <w:proofErr w:type="spellEnd"/>
            <w:r w:rsidRPr="008F7B65">
              <w:rPr>
                <w:color w:val="002060"/>
                <w:sz w:val="16"/>
                <w:szCs w:val="16"/>
                <w:lang w:val="es-ES"/>
              </w:rPr>
              <w:t xml:space="preserve"> and the </w:t>
            </w:r>
            <w:proofErr w:type="spellStart"/>
            <w:r w:rsidRPr="008F7B65">
              <w:rPr>
                <w:color w:val="002060"/>
                <w:sz w:val="16"/>
                <w:szCs w:val="16"/>
                <w:lang w:val="es-ES"/>
              </w:rPr>
              <w:t>Caribbean</w:t>
            </w:r>
            <w:proofErr w:type="spellEnd"/>
            <w:r w:rsidRPr="008F7B65">
              <w:rPr>
                <w:color w:val="002060"/>
                <w:sz w:val="16"/>
                <w:szCs w:val="16"/>
                <w:lang w:val="es-ES"/>
              </w:rPr>
              <w:t xml:space="preserve">: 11 </w:t>
            </w:r>
            <w:proofErr w:type="spellStart"/>
            <w:r w:rsidRPr="008F7B65">
              <w:rPr>
                <w:color w:val="002060"/>
                <w:sz w:val="16"/>
                <w:szCs w:val="16"/>
                <w:lang w:val="es-ES"/>
              </w:rPr>
              <w:t>cumulative</w:t>
            </w:r>
            <w:proofErr w:type="spellEnd"/>
            <w:r w:rsidRPr="008F7B65">
              <w:rPr>
                <w:color w:val="002060"/>
                <w:sz w:val="16"/>
                <w:szCs w:val="16"/>
                <w:lang w:val="es-ES"/>
              </w:rPr>
              <w:t xml:space="preserve"> (</w:t>
            </w:r>
            <w:r w:rsidRPr="008F7B65">
              <w:rPr>
                <w:sz w:val="16"/>
                <w:szCs w:val="16"/>
                <w:lang w:val="es-ES" w:bidi="th-TH"/>
              </w:rPr>
              <w:t xml:space="preserve">Barbados, Costa Rica, </w:t>
            </w:r>
            <w:proofErr w:type="spellStart"/>
            <w:r w:rsidRPr="008F7B65">
              <w:rPr>
                <w:sz w:val="16"/>
                <w:szCs w:val="16"/>
                <w:lang w:val="es-ES" w:bidi="th-TH"/>
              </w:rPr>
              <w:t>Dominican</w:t>
            </w:r>
            <w:proofErr w:type="spellEnd"/>
            <w:r w:rsidRPr="008F7B65">
              <w:rPr>
                <w:sz w:val="16"/>
                <w:szCs w:val="16"/>
                <w:lang w:val="es-ES" w:bidi="th-TH"/>
              </w:rPr>
              <w:t xml:space="preserve"> </w:t>
            </w:r>
            <w:proofErr w:type="spellStart"/>
            <w:r w:rsidRPr="008F7B65">
              <w:rPr>
                <w:sz w:val="16"/>
                <w:szCs w:val="16"/>
                <w:lang w:val="es-ES" w:bidi="th-TH"/>
              </w:rPr>
              <w:t>Republic</w:t>
            </w:r>
            <w:proofErr w:type="spellEnd"/>
            <w:r w:rsidRPr="008F7B65">
              <w:rPr>
                <w:sz w:val="16"/>
                <w:szCs w:val="16"/>
                <w:lang w:val="es-ES" w:bidi="th-TH"/>
              </w:rPr>
              <w:t xml:space="preserve">, Ecuador, El Salvador, Guatemala, Honduras, Nicaragua, </w:t>
            </w:r>
            <w:proofErr w:type="spellStart"/>
            <w:r w:rsidRPr="008F7B65">
              <w:rPr>
                <w:sz w:val="16"/>
                <w:szCs w:val="16"/>
                <w:lang w:val="es-ES" w:bidi="th-TH"/>
              </w:rPr>
              <w:t>Panama</w:t>
            </w:r>
            <w:proofErr w:type="spellEnd"/>
            <w:r w:rsidRPr="008F7B65">
              <w:rPr>
                <w:sz w:val="16"/>
                <w:szCs w:val="16"/>
                <w:lang w:val="es-ES" w:bidi="th-TH"/>
              </w:rPr>
              <w:t xml:space="preserve">, Saint </w:t>
            </w:r>
            <w:proofErr w:type="spellStart"/>
            <w:r w:rsidRPr="008F7B65">
              <w:rPr>
                <w:sz w:val="16"/>
                <w:szCs w:val="16"/>
                <w:lang w:val="es-ES" w:bidi="th-TH"/>
              </w:rPr>
              <w:t>Kitts</w:t>
            </w:r>
            <w:proofErr w:type="spellEnd"/>
            <w:r w:rsidRPr="008F7B65">
              <w:rPr>
                <w:sz w:val="16"/>
                <w:szCs w:val="16"/>
                <w:lang w:val="es-ES" w:bidi="th-TH"/>
              </w:rPr>
              <w:t xml:space="preserve"> &amp; </w:t>
            </w:r>
            <w:proofErr w:type="spellStart"/>
            <w:r w:rsidRPr="008F7B65">
              <w:rPr>
                <w:sz w:val="16"/>
                <w:szCs w:val="16"/>
                <w:lang w:val="es-ES" w:bidi="th-TH"/>
              </w:rPr>
              <w:t>Nevis</w:t>
            </w:r>
            <w:proofErr w:type="spellEnd"/>
            <w:r w:rsidRPr="008F7B65">
              <w:rPr>
                <w:sz w:val="16"/>
                <w:szCs w:val="16"/>
                <w:lang w:val="es-ES" w:bidi="th-TH"/>
              </w:rPr>
              <w:t>, Trinidad &amp; Tobago)</w:t>
            </w:r>
          </w:p>
          <w:p w:rsidR="00F54CA4" w:rsidRPr="008F7B65" w:rsidRDefault="00F54CA4" w:rsidP="00F54CA4">
            <w:pPr>
              <w:rPr>
                <w:color w:val="002060"/>
                <w:sz w:val="16"/>
                <w:szCs w:val="16"/>
                <w:lang w:val="es-ES"/>
              </w:rPr>
            </w:pPr>
          </w:p>
          <w:p w:rsidR="00F54CA4" w:rsidRDefault="00F54CA4" w:rsidP="00F54CA4">
            <w:pPr>
              <w:rPr>
                <w:color w:val="002060"/>
                <w:sz w:val="16"/>
                <w:szCs w:val="16"/>
              </w:rPr>
            </w:pPr>
            <w:r>
              <w:rPr>
                <w:color w:val="002060"/>
                <w:sz w:val="16"/>
                <w:szCs w:val="16"/>
              </w:rPr>
              <w:t>19 LDCs included in the above regional breakdown</w:t>
            </w:r>
          </w:p>
          <w:p w:rsidR="00F54CA4" w:rsidRPr="00480B30" w:rsidRDefault="00F54CA4" w:rsidP="00F54CA4">
            <w:pPr>
              <w:rPr>
                <w:color w:val="002060"/>
                <w:sz w:val="16"/>
                <w:szCs w:val="16"/>
              </w:rPr>
            </w:pPr>
          </w:p>
          <w:p w:rsidR="00F54CA4" w:rsidRPr="00845557" w:rsidRDefault="00F54CA4" w:rsidP="00F54CA4">
            <w:pPr>
              <w:rPr>
                <w:sz w:val="16"/>
                <w:szCs w:val="16"/>
                <w:lang w:bidi="th-TH"/>
              </w:rPr>
            </w:pPr>
            <w:r w:rsidRPr="00845557">
              <w:rPr>
                <w:i/>
                <w:sz w:val="16"/>
                <w:szCs w:val="16"/>
                <w:lang w:bidi="th-TH"/>
              </w:rPr>
              <w:t>Original Baseline</w:t>
            </w:r>
          </w:p>
          <w:p w:rsidR="00F54CA4" w:rsidRPr="00845557" w:rsidRDefault="00F54CA4" w:rsidP="00F54CA4">
            <w:pPr>
              <w:rPr>
                <w:sz w:val="16"/>
                <w:szCs w:val="16"/>
                <w:lang w:bidi="th-TH"/>
              </w:rPr>
            </w:pPr>
            <w:r w:rsidRPr="00845557">
              <w:rPr>
                <w:i/>
                <w:sz w:val="16"/>
                <w:szCs w:val="16"/>
              </w:rPr>
              <w:t>P&amp;B 2014/15:</w:t>
            </w:r>
          </w:p>
          <w:p w:rsidR="00F54CA4" w:rsidRPr="00845557" w:rsidRDefault="00F54CA4" w:rsidP="00F54CA4">
            <w:pPr>
              <w:rPr>
                <w:sz w:val="16"/>
                <w:szCs w:val="16"/>
                <w:lang w:bidi="th-TH"/>
              </w:rPr>
            </w:pPr>
            <w:r w:rsidRPr="00845557">
              <w:rPr>
                <w:sz w:val="16"/>
                <w:szCs w:val="16"/>
                <w:lang w:bidi="th-TH"/>
              </w:rPr>
              <w:t xml:space="preserve">Africa (12 cumulative) </w:t>
            </w:r>
          </w:p>
          <w:p w:rsidR="00F54CA4" w:rsidRPr="00845557" w:rsidRDefault="00F54CA4" w:rsidP="00F54CA4">
            <w:pPr>
              <w:rPr>
                <w:sz w:val="16"/>
                <w:szCs w:val="16"/>
                <w:lang w:bidi="th-TH"/>
              </w:rPr>
            </w:pPr>
          </w:p>
          <w:p w:rsidR="00F54CA4" w:rsidRDefault="00F54CA4" w:rsidP="00F54CA4">
            <w:pPr>
              <w:rPr>
                <w:sz w:val="16"/>
                <w:szCs w:val="16"/>
                <w:lang w:bidi="th-TH"/>
              </w:rPr>
            </w:pPr>
            <w:r>
              <w:rPr>
                <w:sz w:val="16"/>
                <w:szCs w:val="16"/>
                <w:lang w:bidi="th-TH"/>
              </w:rPr>
              <w:t>Arab (4)</w:t>
            </w:r>
          </w:p>
          <w:p w:rsidR="00F54CA4" w:rsidRDefault="00F54CA4" w:rsidP="00F54CA4">
            <w:pPr>
              <w:rPr>
                <w:sz w:val="16"/>
                <w:szCs w:val="16"/>
                <w:lang w:bidi="th-TH"/>
              </w:rPr>
            </w:pPr>
          </w:p>
          <w:p w:rsidR="00F54CA4" w:rsidRDefault="00F54CA4" w:rsidP="00F54CA4">
            <w:pPr>
              <w:rPr>
                <w:sz w:val="16"/>
                <w:szCs w:val="16"/>
                <w:lang w:bidi="th-TH"/>
              </w:rPr>
            </w:pPr>
            <w:r>
              <w:rPr>
                <w:sz w:val="16"/>
                <w:szCs w:val="16"/>
                <w:lang w:bidi="th-TH"/>
              </w:rPr>
              <w:t xml:space="preserve">Asia and </w:t>
            </w:r>
            <w:r w:rsidR="002C2CA1">
              <w:rPr>
                <w:sz w:val="16"/>
                <w:szCs w:val="16"/>
                <w:lang w:bidi="th-TH"/>
              </w:rPr>
              <w:t xml:space="preserve">the </w:t>
            </w:r>
            <w:r>
              <w:rPr>
                <w:sz w:val="16"/>
                <w:szCs w:val="16"/>
                <w:lang w:bidi="th-TH"/>
              </w:rPr>
              <w:t>Pacific (8)</w:t>
            </w:r>
          </w:p>
          <w:p w:rsidR="00F54CA4" w:rsidRDefault="00F54CA4" w:rsidP="00F54CA4">
            <w:pPr>
              <w:rPr>
                <w:sz w:val="16"/>
                <w:szCs w:val="16"/>
                <w:lang w:bidi="th-TH"/>
              </w:rPr>
            </w:pPr>
          </w:p>
          <w:p w:rsidR="00F54CA4" w:rsidRDefault="00F54CA4" w:rsidP="00F54CA4">
            <w:pPr>
              <w:rPr>
                <w:sz w:val="16"/>
                <w:szCs w:val="16"/>
                <w:lang w:bidi="th-TH"/>
              </w:rPr>
            </w:pPr>
            <w:r>
              <w:rPr>
                <w:sz w:val="16"/>
                <w:szCs w:val="16"/>
                <w:lang w:bidi="th-TH"/>
              </w:rPr>
              <w:t>Latin America and the Caribbean (9)</w:t>
            </w:r>
          </w:p>
          <w:p w:rsidR="00F54CA4" w:rsidRDefault="00F54CA4" w:rsidP="00F54CA4">
            <w:pPr>
              <w:rPr>
                <w:sz w:val="16"/>
                <w:szCs w:val="16"/>
                <w:lang w:bidi="th-TH"/>
              </w:rPr>
            </w:pPr>
          </w:p>
          <w:p w:rsidR="00F54CA4" w:rsidRDefault="00F54CA4" w:rsidP="00F54CA4">
            <w:pPr>
              <w:rPr>
                <w:sz w:val="16"/>
                <w:szCs w:val="16"/>
                <w:lang w:bidi="th-TH"/>
              </w:rPr>
            </w:pPr>
            <w:r>
              <w:rPr>
                <w:sz w:val="16"/>
                <w:szCs w:val="16"/>
                <w:lang w:bidi="th-TH"/>
              </w:rPr>
              <w:t>5 LDCs included in the above regional breakdown</w:t>
            </w:r>
          </w:p>
          <w:p w:rsidR="00F54CA4" w:rsidRPr="0008215D" w:rsidRDefault="00F54CA4" w:rsidP="00F54CA4">
            <w:pPr>
              <w:rPr>
                <w:sz w:val="16"/>
                <w:szCs w:val="16"/>
                <w:lang w:bidi="th-TH"/>
              </w:rPr>
            </w:pPr>
          </w:p>
        </w:tc>
        <w:tc>
          <w:tcPr>
            <w:tcW w:w="1701" w:type="dxa"/>
            <w:shd w:val="clear" w:color="auto" w:fill="auto"/>
            <w:tcMar>
              <w:top w:w="110" w:type="dxa"/>
            </w:tcMar>
          </w:tcPr>
          <w:p w:rsidR="00F54CA4" w:rsidRDefault="00F54CA4" w:rsidP="00F54CA4">
            <w:pPr>
              <w:rPr>
                <w:sz w:val="16"/>
                <w:szCs w:val="16"/>
                <w:lang w:bidi="th-TH"/>
              </w:rPr>
            </w:pPr>
            <w:r>
              <w:rPr>
                <w:sz w:val="16"/>
                <w:szCs w:val="16"/>
                <w:lang w:bidi="th-TH"/>
              </w:rPr>
              <w:t>Africa (18 cumulative</w:t>
            </w:r>
          </w:p>
          <w:p w:rsidR="00F54CA4" w:rsidRDefault="00F54CA4" w:rsidP="00F54CA4">
            <w:pPr>
              <w:rPr>
                <w:sz w:val="16"/>
                <w:szCs w:val="16"/>
                <w:lang w:bidi="th-TH"/>
              </w:rPr>
            </w:pPr>
          </w:p>
          <w:p w:rsidR="00F54CA4" w:rsidRDefault="00F54CA4" w:rsidP="00F54CA4">
            <w:pPr>
              <w:rPr>
                <w:sz w:val="16"/>
                <w:szCs w:val="16"/>
                <w:lang w:bidi="th-TH"/>
              </w:rPr>
            </w:pPr>
            <w:r>
              <w:rPr>
                <w:sz w:val="16"/>
                <w:szCs w:val="16"/>
                <w:lang w:bidi="th-TH"/>
              </w:rPr>
              <w:t>Arab (7 cumulative)</w:t>
            </w:r>
          </w:p>
          <w:p w:rsidR="00F54CA4" w:rsidRDefault="00F54CA4" w:rsidP="00F54CA4">
            <w:pPr>
              <w:rPr>
                <w:sz w:val="16"/>
                <w:szCs w:val="16"/>
                <w:lang w:bidi="th-TH"/>
              </w:rPr>
            </w:pPr>
          </w:p>
          <w:p w:rsidR="00F54CA4" w:rsidRDefault="002C2CA1" w:rsidP="00F54CA4">
            <w:pPr>
              <w:rPr>
                <w:sz w:val="16"/>
                <w:szCs w:val="16"/>
                <w:lang w:bidi="th-TH"/>
              </w:rPr>
            </w:pPr>
            <w:r>
              <w:rPr>
                <w:sz w:val="16"/>
                <w:szCs w:val="16"/>
                <w:lang w:bidi="th-TH"/>
              </w:rPr>
              <w:t>Asia and the Pacific</w:t>
            </w:r>
            <w:r w:rsidR="00F54CA4">
              <w:rPr>
                <w:sz w:val="16"/>
                <w:szCs w:val="16"/>
                <w:lang w:bidi="th-TH"/>
              </w:rPr>
              <w:t xml:space="preserve"> (13</w:t>
            </w:r>
            <w:r w:rsidR="00520CAA">
              <w:rPr>
                <w:sz w:val="16"/>
                <w:szCs w:val="16"/>
                <w:lang w:bidi="th-TH"/>
              </w:rPr>
              <w:t> </w:t>
            </w:r>
            <w:r w:rsidR="00F54CA4">
              <w:rPr>
                <w:sz w:val="16"/>
                <w:szCs w:val="16"/>
                <w:lang w:bidi="th-TH"/>
              </w:rPr>
              <w:t>cumulative)</w:t>
            </w:r>
          </w:p>
          <w:p w:rsidR="00F54CA4" w:rsidRDefault="00F54CA4" w:rsidP="00F54CA4">
            <w:pPr>
              <w:rPr>
                <w:sz w:val="16"/>
                <w:szCs w:val="16"/>
                <w:lang w:bidi="th-TH"/>
              </w:rPr>
            </w:pPr>
          </w:p>
          <w:p w:rsidR="00F54CA4" w:rsidRDefault="00F54CA4" w:rsidP="00F54CA4">
            <w:pPr>
              <w:rPr>
                <w:sz w:val="16"/>
                <w:szCs w:val="16"/>
                <w:lang w:bidi="th-TH"/>
              </w:rPr>
            </w:pPr>
            <w:r>
              <w:rPr>
                <w:sz w:val="16"/>
                <w:szCs w:val="16"/>
                <w:lang w:bidi="th-TH"/>
              </w:rPr>
              <w:t>Latin America and the Caribbean (13</w:t>
            </w:r>
            <w:r w:rsidR="00520CAA">
              <w:rPr>
                <w:sz w:val="16"/>
                <w:szCs w:val="16"/>
                <w:lang w:bidi="th-TH"/>
              </w:rPr>
              <w:t> </w:t>
            </w:r>
            <w:r>
              <w:rPr>
                <w:sz w:val="16"/>
                <w:szCs w:val="16"/>
                <w:lang w:bidi="th-TH"/>
              </w:rPr>
              <w:t>cumulative)</w:t>
            </w:r>
          </w:p>
          <w:p w:rsidR="00F54CA4" w:rsidRDefault="00F54CA4" w:rsidP="00F54CA4">
            <w:pPr>
              <w:rPr>
                <w:sz w:val="16"/>
                <w:szCs w:val="16"/>
                <w:lang w:bidi="th-TH"/>
              </w:rPr>
            </w:pPr>
          </w:p>
          <w:p w:rsidR="00F54CA4" w:rsidRDefault="00F54CA4" w:rsidP="00F54CA4">
            <w:pPr>
              <w:rPr>
                <w:sz w:val="16"/>
                <w:szCs w:val="16"/>
                <w:lang w:bidi="th-TH"/>
              </w:rPr>
            </w:pPr>
            <w:r w:rsidRPr="00480B30">
              <w:rPr>
                <w:sz w:val="16"/>
                <w:szCs w:val="16"/>
                <w:lang w:bidi="th-TH"/>
              </w:rPr>
              <w:t>10 LDCs included in the above regional breakdown</w:t>
            </w:r>
          </w:p>
          <w:p w:rsidR="00F54CA4" w:rsidRDefault="00F54CA4" w:rsidP="00F54CA4">
            <w:pPr>
              <w:rPr>
                <w:sz w:val="16"/>
                <w:szCs w:val="16"/>
                <w:lang w:bidi="th-TH"/>
              </w:rPr>
            </w:pPr>
          </w:p>
          <w:p w:rsidR="00F54CA4" w:rsidRPr="0008215D" w:rsidRDefault="00F54CA4" w:rsidP="00F54CA4">
            <w:pPr>
              <w:rPr>
                <w:sz w:val="16"/>
                <w:szCs w:val="16"/>
                <w:lang w:bidi="th-TH"/>
              </w:rPr>
            </w:pPr>
          </w:p>
        </w:tc>
        <w:tc>
          <w:tcPr>
            <w:tcW w:w="2694" w:type="dxa"/>
            <w:shd w:val="clear" w:color="auto" w:fill="FFFFFF"/>
            <w:tcMar>
              <w:top w:w="110" w:type="dxa"/>
            </w:tcMar>
          </w:tcPr>
          <w:p w:rsidR="00F54CA4" w:rsidRDefault="00F54CA4" w:rsidP="00F54CA4">
            <w:pPr>
              <w:rPr>
                <w:sz w:val="16"/>
                <w:szCs w:val="16"/>
                <w:lang w:bidi="th-TH"/>
              </w:rPr>
            </w:pPr>
            <w:r>
              <w:rPr>
                <w:sz w:val="16"/>
                <w:szCs w:val="16"/>
                <w:lang w:bidi="th-TH"/>
              </w:rPr>
              <w:t>Africa (6 additional countries):</w:t>
            </w:r>
            <w:r>
              <w:t xml:space="preserve"> </w:t>
            </w:r>
            <w:r>
              <w:rPr>
                <w:sz w:val="16"/>
                <w:szCs w:val="16"/>
                <w:lang w:bidi="th-TH"/>
              </w:rPr>
              <w:t>Benin</w:t>
            </w:r>
            <w:r w:rsidRPr="00076C91">
              <w:rPr>
                <w:sz w:val="16"/>
                <w:szCs w:val="16"/>
                <w:lang w:bidi="th-TH"/>
              </w:rPr>
              <w:t>, the Democratic Republic of the Congo</w:t>
            </w:r>
            <w:r>
              <w:rPr>
                <w:rStyle w:val="FootnoteReference"/>
                <w:sz w:val="16"/>
                <w:szCs w:val="16"/>
                <w:lang w:bidi="th-TH"/>
              </w:rPr>
              <w:footnoteReference w:id="29"/>
            </w:r>
            <w:r w:rsidRPr="00076C91">
              <w:rPr>
                <w:sz w:val="16"/>
                <w:szCs w:val="16"/>
                <w:lang w:bidi="th-TH"/>
              </w:rPr>
              <w:t xml:space="preserve">, Madagascar, Niger, Swaziland, Uganda </w:t>
            </w:r>
            <w:r>
              <w:rPr>
                <w:sz w:val="16"/>
                <w:szCs w:val="16"/>
                <w:lang w:bidi="th-TH"/>
              </w:rPr>
              <w:t>(24 cumulative</w:t>
            </w:r>
            <w:r w:rsidRPr="007A0211">
              <w:rPr>
                <w:sz w:val="16"/>
                <w:szCs w:val="16"/>
                <w:lang w:bidi="th-TH"/>
              </w:rPr>
              <w:t>)</w:t>
            </w:r>
          </w:p>
          <w:p w:rsidR="00F54CA4" w:rsidRDefault="00F54CA4" w:rsidP="00F54CA4">
            <w:pPr>
              <w:rPr>
                <w:sz w:val="16"/>
                <w:szCs w:val="16"/>
                <w:lang w:bidi="th-TH"/>
              </w:rPr>
            </w:pPr>
          </w:p>
          <w:p w:rsidR="00F54CA4" w:rsidRDefault="00F54CA4" w:rsidP="00F54CA4">
            <w:pPr>
              <w:rPr>
                <w:sz w:val="16"/>
                <w:szCs w:val="16"/>
                <w:lang w:bidi="th-TH"/>
              </w:rPr>
            </w:pPr>
            <w:r>
              <w:rPr>
                <w:sz w:val="16"/>
                <w:szCs w:val="16"/>
                <w:lang w:bidi="th-TH"/>
              </w:rPr>
              <w:t>Arab (no additional countries);</w:t>
            </w:r>
          </w:p>
          <w:p w:rsidR="00F54CA4" w:rsidRDefault="00F54CA4" w:rsidP="00520CAA">
            <w:pPr>
              <w:pStyle w:val="ListParagraph"/>
              <w:numPr>
                <w:ilvl w:val="0"/>
                <w:numId w:val="33"/>
              </w:numPr>
              <w:rPr>
                <w:sz w:val="16"/>
                <w:szCs w:val="16"/>
                <w:lang w:bidi="th-TH"/>
              </w:rPr>
            </w:pPr>
            <w:r w:rsidRPr="0078308F">
              <w:rPr>
                <w:sz w:val="16"/>
                <w:szCs w:val="16"/>
                <w:lang w:bidi="th-TH"/>
              </w:rPr>
              <w:t>United Arab Emirates (no additional movement)</w:t>
            </w:r>
            <w:r w:rsidRPr="0022553E">
              <w:rPr>
                <w:sz w:val="16"/>
                <w:szCs w:val="16"/>
                <w:lang w:bidi="th-TH"/>
              </w:rPr>
              <w:t>;</w:t>
            </w:r>
          </w:p>
          <w:p w:rsidR="00F54CA4" w:rsidRDefault="00F54CA4" w:rsidP="00520CAA">
            <w:pPr>
              <w:pStyle w:val="ListParagraph"/>
              <w:numPr>
                <w:ilvl w:val="0"/>
                <w:numId w:val="33"/>
              </w:numPr>
              <w:rPr>
                <w:lang w:bidi="th-TH"/>
              </w:rPr>
            </w:pPr>
            <w:r w:rsidRPr="0078308F">
              <w:rPr>
                <w:sz w:val="16"/>
                <w:szCs w:val="16"/>
                <w:lang w:bidi="th-TH"/>
              </w:rPr>
              <w:t>Yemen (process delayed due to the political situation)</w:t>
            </w:r>
          </w:p>
          <w:p w:rsidR="00F54CA4" w:rsidRDefault="00F54CA4" w:rsidP="00F54CA4">
            <w:pPr>
              <w:rPr>
                <w:sz w:val="16"/>
                <w:szCs w:val="16"/>
                <w:lang w:bidi="th-TH"/>
              </w:rPr>
            </w:pPr>
          </w:p>
          <w:p w:rsidR="00F54CA4" w:rsidRDefault="00F54CA4" w:rsidP="00F54CA4">
            <w:pPr>
              <w:rPr>
                <w:sz w:val="16"/>
                <w:szCs w:val="16"/>
                <w:lang w:bidi="th-TH"/>
              </w:rPr>
            </w:pPr>
            <w:r>
              <w:rPr>
                <w:sz w:val="16"/>
                <w:szCs w:val="16"/>
                <w:lang w:bidi="th-TH"/>
              </w:rPr>
              <w:t xml:space="preserve">Asia and </w:t>
            </w:r>
            <w:r w:rsidR="002C2CA1">
              <w:rPr>
                <w:sz w:val="16"/>
                <w:szCs w:val="16"/>
                <w:lang w:bidi="th-TH"/>
              </w:rPr>
              <w:t xml:space="preserve">the </w:t>
            </w:r>
            <w:r>
              <w:rPr>
                <w:sz w:val="16"/>
                <w:szCs w:val="16"/>
                <w:lang w:bidi="th-TH"/>
              </w:rPr>
              <w:t xml:space="preserve">Pacific (2 additional countries): Brunei Darussalam and Cook Islands </w:t>
            </w:r>
          </w:p>
          <w:p w:rsidR="00F54CA4" w:rsidRDefault="00F54CA4" w:rsidP="00F54CA4">
            <w:pPr>
              <w:rPr>
                <w:sz w:val="16"/>
                <w:szCs w:val="16"/>
                <w:lang w:bidi="th-TH"/>
              </w:rPr>
            </w:pPr>
            <w:r>
              <w:rPr>
                <w:sz w:val="16"/>
                <w:szCs w:val="16"/>
                <w:lang w:bidi="th-TH"/>
              </w:rPr>
              <w:t>(14 cumulative)</w:t>
            </w:r>
          </w:p>
          <w:p w:rsidR="00F54CA4" w:rsidRDefault="00F54CA4" w:rsidP="00F54CA4">
            <w:pPr>
              <w:rPr>
                <w:sz w:val="16"/>
                <w:szCs w:val="16"/>
                <w:lang w:bidi="th-TH"/>
              </w:rPr>
            </w:pPr>
          </w:p>
          <w:p w:rsidR="00F54CA4" w:rsidRDefault="00F54CA4" w:rsidP="00F54CA4">
            <w:pPr>
              <w:rPr>
                <w:sz w:val="16"/>
                <w:szCs w:val="16"/>
                <w:lang w:bidi="th-TH"/>
              </w:rPr>
            </w:pPr>
            <w:r>
              <w:rPr>
                <w:sz w:val="16"/>
                <w:szCs w:val="16"/>
                <w:lang w:bidi="th-TH"/>
              </w:rPr>
              <w:t>Latin America and the Caribbean (1 additional country)</w:t>
            </w:r>
            <w:r w:rsidRPr="006E58A3">
              <w:rPr>
                <w:sz w:val="16"/>
                <w:szCs w:val="16"/>
                <w:lang w:bidi="th-TH"/>
              </w:rPr>
              <w:t xml:space="preserve">: </w:t>
            </w:r>
            <w:r>
              <w:rPr>
                <w:sz w:val="16"/>
                <w:szCs w:val="16"/>
                <w:lang w:bidi="th-TH"/>
              </w:rPr>
              <w:t>Peru</w:t>
            </w:r>
          </w:p>
          <w:p w:rsidR="00F54CA4" w:rsidRDefault="00F54CA4" w:rsidP="00F54CA4">
            <w:pPr>
              <w:rPr>
                <w:sz w:val="16"/>
                <w:szCs w:val="16"/>
                <w:lang w:bidi="th-TH"/>
              </w:rPr>
            </w:pPr>
            <w:r>
              <w:rPr>
                <w:sz w:val="16"/>
                <w:szCs w:val="16"/>
                <w:lang w:bidi="th-TH"/>
              </w:rPr>
              <w:t>(12 cumulative)</w:t>
            </w:r>
          </w:p>
          <w:p w:rsidR="00F54CA4" w:rsidRDefault="00F54CA4" w:rsidP="00F54CA4">
            <w:pPr>
              <w:rPr>
                <w:sz w:val="16"/>
                <w:szCs w:val="16"/>
                <w:lang w:bidi="th-TH"/>
              </w:rPr>
            </w:pPr>
          </w:p>
          <w:p w:rsidR="00F54CA4" w:rsidRDefault="00F54CA4" w:rsidP="00F54CA4">
            <w:pPr>
              <w:rPr>
                <w:sz w:val="16"/>
                <w:szCs w:val="16"/>
                <w:lang w:bidi="th-TH"/>
              </w:rPr>
            </w:pPr>
            <w:r w:rsidRPr="00335775">
              <w:rPr>
                <w:sz w:val="16"/>
                <w:szCs w:val="16"/>
                <w:lang w:bidi="th-TH"/>
              </w:rPr>
              <w:t>24</w:t>
            </w:r>
            <w:r w:rsidRPr="0001413B">
              <w:rPr>
                <w:sz w:val="16"/>
                <w:szCs w:val="16"/>
                <w:lang w:bidi="th-TH"/>
              </w:rPr>
              <w:t xml:space="preserve"> LDCs included in the above regional breakdown</w:t>
            </w:r>
          </w:p>
          <w:p w:rsidR="00F54CA4" w:rsidRDefault="00F54CA4" w:rsidP="00F54CA4">
            <w:pPr>
              <w:rPr>
                <w:sz w:val="16"/>
                <w:szCs w:val="16"/>
                <w:lang w:bidi="th-TH"/>
              </w:rPr>
            </w:pPr>
          </w:p>
          <w:p w:rsidR="00F54CA4" w:rsidRDefault="00F54CA4" w:rsidP="00F54CA4">
            <w:pPr>
              <w:rPr>
                <w:sz w:val="16"/>
                <w:szCs w:val="16"/>
                <w:lang w:bidi="th-TH"/>
              </w:rPr>
            </w:pPr>
          </w:p>
          <w:p w:rsidR="00F54CA4" w:rsidRPr="0008215D" w:rsidRDefault="00F54CA4" w:rsidP="00F54CA4">
            <w:pPr>
              <w:rPr>
                <w:sz w:val="16"/>
                <w:szCs w:val="16"/>
                <w:lang w:bidi="th-TH"/>
              </w:rPr>
            </w:pPr>
          </w:p>
        </w:tc>
        <w:tc>
          <w:tcPr>
            <w:tcW w:w="945" w:type="dxa"/>
            <w:shd w:val="clear" w:color="auto" w:fill="auto"/>
            <w:tcMar>
              <w:top w:w="110" w:type="dxa"/>
            </w:tcMar>
          </w:tcPr>
          <w:p w:rsidR="00F54CA4" w:rsidRDefault="00F54CA4" w:rsidP="00F54CA4">
            <w:pPr>
              <w:keepNext/>
              <w:keepLines/>
              <w:jc w:val="center"/>
              <w:rPr>
                <w:b/>
                <w:bCs/>
                <w:color w:val="00B050"/>
                <w:sz w:val="16"/>
                <w:szCs w:val="16"/>
              </w:rPr>
            </w:pPr>
            <w:r w:rsidRPr="008C2A88">
              <w:rPr>
                <w:b/>
                <w:bCs/>
                <w:color w:val="00B050"/>
                <w:sz w:val="16"/>
                <w:szCs w:val="16"/>
              </w:rPr>
              <w:t>On track</w:t>
            </w:r>
          </w:p>
          <w:p w:rsidR="00F54CA4" w:rsidRDefault="00F54CA4" w:rsidP="00F54CA4">
            <w:pPr>
              <w:keepNext/>
              <w:keepLines/>
              <w:jc w:val="center"/>
              <w:rPr>
                <w:b/>
                <w:bCs/>
                <w:color w:val="00B050"/>
                <w:sz w:val="16"/>
                <w:szCs w:val="16"/>
              </w:rPr>
            </w:pPr>
          </w:p>
          <w:p w:rsidR="00F54CA4" w:rsidRDefault="00F54CA4" w:rsidP="00F54CA4">
            <w:pPr>
              <w:keepNext/>
              <w:keepLines/>
              <w:jc w:val="center"/>
              <w:rPr>
                <w:b/>
                <w:bCs/>
                <w:color w:val="00B050"/>
                <w:sz w:val="16"/>
                <w:szCs w:val="16"/>
              </w:rPr>
            </w:pPr>
          </w:p>
          <w:p w:rsidR="00F54CA4" w:rsidRDefault="00F54CA4" w:rsidP="00F54CA4">
            <w:pPr>
              <w:keepNext/>
              <w:keepLines/>
              <w:jc w:val="center"/>
              <w:rPr>
                <w:b/>
                <w:bCs/>
                <w:color w:val="00B050"/>
                <w:sz w:val="16"/>
                <w:szCs w:val="16"/>
              </w:rPr>
            </w:pPr>
          </w:p>
          <w:p w:rsidR="00F54CA4" w:rsidRDefault="00F54CA4" w:rsidP="00F54CA4">
            <w:pPr>
              <w:keepNext/>
              <w:keepLines/>
              <w:jc w:val="center"/>
              <w:rPr>
                <w:b/>
                <w:bCs/>
                <w:color w:val="00B050"/>
                <w:sz w:val="16"/>
                <w:szCs w:val="16"/>
              </w:rPr>
            </w:pPr>
          </w:p>
          <w:p w:rsidR="00F54CA4" w:rsidRDefault="00F54CA4" w:rsidP="00F54CA4">
            <w:pPr>
              <w:keepNext/>
              <w:keepLines/>
              <w:jc w:val="center"/>
              <w:rPr>
                <w:b/>
                <w:bCs/>
                <w:color w:val="00B050"/>
                <w:sz w:val="16"/>
                <w:szCs w:val="16"/>
              </w:rPr>
            </w:pPr>
          </w:p>
          <w:p w:rsidR="00F54CA4" w:rsidRDefault="00F54CA4" w:rsidP="00F54CA4">
            <w:pPr>
              <w:keepNext/>
              <w:keepLines/>
              <w:jc w:val="center"/>
              <w:rPr>
                <w:b/>
                <w:bCs/>
                <w:color w:val="00B050"/>
                <w:sz w:val="16"/>
                <w:szCs w:val="16"/>
              </w:rPr>
            </w:pPr>
            <w:r w:rsidRPr="008C2A88">
              <w:rPr>
                <w:b/>
                <w:bCs/>
                <w:color w:val="00B050"/>
                <w:sz w:val="16"/>
                <w:szCs w:val="16"/>
              </w:rPr>
              <w:t>On track</w:t>
            </w:r>
          </w:p>
          <w:p w:rsidR="00F54CA4" w:rsidRDefault="00F54CA4" w:rsidP="00F54CA4">
            <w:pPr>
              <w:keepNext/>
              <w:keepLines/>
              <w:jc w:val="center"/>
              <w:rPr>
                <w:b/>
                <w:bCs/>
                <w:color w:val="00B050"/>
                <w:sz w:val="16"/>
                <w:szCs w:val="16"/>
              </w:rPr>
            </w:pPr>
          </w:p>
          <w:p w:rsidR="00F54CA4" w:rsidRDefault="00F54CA4" w:rsidP="00F54CA4">
            <w:pPr>
              <w:keepNext/>
              <w:keepLines/>
              <w:jc w:val="center"/>
              <w:rPr>
                <w:b/>
                <w:bCs/>
                <w:color w:val="00B050"/>
                <w:sz w:val="16"/>
                <w:szCs w:val="16"/>
              </w:rPr>
            </w:pPr>
          </w:p>
          <w:p w:rsidR="00F54CA4" w:rsidRDefault="00F54CA4" w:rsidP="00F54CA4">
            <w:pPr>
              <w:keepNext/>
              <w:keepLines/>
              <w:jc w:val="center"/>
              <w:rPr>
                <w:b/>
                <w:bCs/>
                <w:color w:val="00B050"/>
                <w:sz w:val="16"/>
                <w:szCs w:val="16"/>
              </w:rPr>
            </w:pPr>
          </w:p>
          <w:p w:rsidR="00F54CA4" w:rsidRDefault="00F54CA4" w:rsidP="00F54CA4">
            <w:pPr>
              <w:keepNext/>
              <w:keepLines/>
              <w:jc w:val="center"/>
              <w:rPr>
                <w:b/>
                <w:bCs/>
                <w:color w:val="00B050"/>
                <w:sz w:val="16"/>
                <w:szCs w:val="16"/>
              </w:rPr>
            </w:pPr>
          </w:p>
          <w:p w:rsidR="00F54CA4" w:rsidRDefault="00F54CA4" w:rsidP="00F54CA4">
            <w:pPr>
              <w:keepNext/>
              <w:keepLines/>
              <w:jc w:val="center"/>
              <w:rPr>
                <w:b/>
                <w:bCs/>
                <w:color w:val="00B050"/>
                <w:sz w:val="16"/>
                <w:szCs w:val="16"/>
              </w:rPr>
            </w:pPr>
          </w:p>
          <w:p w:rsidR="00F54CA4" w:rsidRDefault="00F54CA4" w:rsidP="00F54CA4">
            <w:pPr>
              <w:keepNext/>
              <w:keepLines/>
              <w:jc w:val="center"/>
              <w:rPr>
                <w:b/>
                <w:bCs/>
                <w:color w:val="00B050"/>
                <w:sz w:val="16"/>
                <w:szCs w:val="16"/>
              </w:rPr>
            </w:pPr>
            <w:r w:rsidRPr="008C2A88">
              <w:rPr>
                <w:b/>
                <w:bCs/>
                <w:color w:val="00B050"/>
                <w:sz w:val="16"/>
                <w:szCs w:val="16"/>
              </w:rPr>
              <w:t>On track</w:t>
            </w:r>
          </w:p>
          <w:p w:rsidR="00F54CA4" w:rsidRDefault="00F54CA4" w:rsidP="00F54CA4">
            <w:pPr>
              <w:keepNext/>
              <w:keepLines/>
              <w:jc w:val="center"/>
              <w:rPr>
                <w:b/>
                <w:bCs/>
                <w:color w:val="00B050"/>
                <w:sz w:val="16"/>
                <w:szCs w:val="16"/>
              </w:rPr>
            </w:pPr>
          </w:p>
          <w:p w:rsidR="00F54CA4" w:rsidRDefault="00F54CA4" w:rsidP="00F54CA4">
            <w:pPr>
              <w:keepNext/>
              <w:keepLines/>
              <w:rPr>
                <w:b/>
                <w:bCs/>
                <w:color w:val="00B050"/>
                <w:sz w:val="16"/>
                <w:szCs w:val="16"/>
              </w:rPr>
            </w:pPr>
          </w:p>
          <w:p w:rsidR="00F54CA4" w:rsidRDefault="00F54CA4" w:rsidP="00F54CA4">
            <w:pPr>
              <w:keepNext/>
              <w:keepLines/>
              <w:jc w:val="center"/>
              <w:rPr>
                <w:b/>
                <w:bCs/>
                <w:color w:val="00B050"/>
                <w:sz w:val="16"/>
                <w:szCs w:val="16"/>
              </w:rPr>
            </w:pPr>
          </w:p>
          <w:p w:rsidR="00F54CA4" w:rsidRDefault="00F54CA4" w:rsidP="00F54CA4">
            <w:pPr>
              <w:keepNext/>
              <w:keepLines/>
              <w:jc w:val="center"/>
              <w:rPr>
                <w:b/>
                <w:bCs/>
                <w:color w:val="00B050"/>
                <w:sz w:val="16"/>
                <w:szCs w:val="16"/>
              </w:rPr>
            </w:pPr>
          </w:p>
          <w:p w:rsidR="00F54CA4" w:rsidRDefault="00F54CA4" w:rsidP="00F54CA4">
            <w:pPr>
              <w:keepNext/>
              <w:keepLines/>
              <w:jc w:val="center"/>
              <w:rPr>
                <w:b/>
                <w:bCs/>
                <w:color w:val="00B050"/>
                <w:sz w:val="16"/>
                <w:szCs w:val="16"/>
              </w:rPr>
            </w:pPr>
            <w:r w:rsidRPr="008C2A88">
              <w:rPr>
                <w:b/>
                <w:bCs/>
                <w:color w:val="00B050"/>
                <w:sz w:val="16"/>
                <w:szCs w:val="16"/>
              </w:rPr>
              <w:t>On track</w:t>
            </w:r>
          </w:p>
          <w:p w:rsidR="00F54CA4" w:rsidRDefault="00F54CA4" w:rsidP="00F54CA4">
            <w:pPr>
              <w:keepNext/>
              <w:keepLines/>
              <w:rPr>
                <w:b/>
                <w:bCs/>
                <w:color w:val="00B050"/>
                <w:sz w:val="16"/>
                <w:szCs w:val="16"/>
              </w:rPr>
            </w:pPr>
          </w:p>
          <w:p w:rsidR="00F54CA4" w:rsidRDefault="00F54CA4" w:rsidP="00F54CA4">
            <w:pPr>
              <w:keepNext/>
              <w:keepLines/>
              <w:jc w:val="center"/>
              <w:rPr>
                <w:b/>
                <w:bCs/>
                <w:color w:val="00B050"/>
                <w:sz w:val="16"/>
                <w:szCs w:val="16"/>
              </w:rPr>
            </w:pPr>
          </w:p>
          <w:p w:rsidR="00F54CA4" w:rsidRDefault="00F54CA4" w:rsidP="00F54CA4">
            <w:pPr>
              <w:keepNext/>
              <w:keepLines/>
              <w:jc w:val="center"/>
              <w:rPr>
                <w:b/>
                <w:bCs/>
                <w:color w:val="00B050"/>
                <w:sz w:val="16"/>
                <w:szCs w:val="16"/>
              </w:rPr>
            </w:pPr>
          </w:p>
          <w:p w:rsidR="00F54CA4" w:rsidRDefault="00F54CA4" w:rsidP="00F54CA4">
            <w:pPr>
              <w:keepNext/>
              <w:keepLines/>
              <w:jc w:val="center"/>
              <w:rPr>
                <w:b/>
                <w:bCs/>
                <w:color w:val="00B050"/>
                <w:sz w:val="16"/>
                <w:szCs w:val="16"/>
              </w:rPr>
            </w:pPr>
          </w:p>
          <w:p w:rsidR="00F54CA4" w:rsidRPr="00C215DD" w:rsidRDefault="00F54CA4" w:rsidP="00F54CA4">
            <w:pPr>
              <w:keepNext/>
              <w:keepLines/>
              <w:jc w:val="center"/>
              <w:rPr>
                <w:bCs/>
                <w:color w:val="008000"/>
                <w:sz w:val="16"/>
                <w:szCs w:val="16"/>
              </w:rPr>
            </w:pPr>
            <w:r w:rsidRPr="00A9657F">
              <w:rPr>
                <w:b/>
                <w:bCs/>
                <w:color w:val="00B050"/>
                <w:sz w:val="16"/>
                <w:szCs w:val="16"/>
              </w:rPr>
              <w:t>On track</w:t>
            </w:r>
          </w:p>
        </w:tc>
      </w:tr>
    </w:tbl>
    <w:p w:rsidR="00520CAA" w:rsidRDefault="00520CAA">
      <w:r>
        <w:br w:type="page"/>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1985"/>
        <w:gridCol w:w="1701"/>
        <w:gridCol w:w="142"/>
        <w:gridCol w:w="2552"/>
        <w:gridCol w:w="945"/>
      </w:tblGrid>
      <w:tr w:rsidR="00520CAA" w:rsidRPr="00C215DD" w:rsidTr="00E70E02">
        <w:tc>
          <w:tcPr>
            <w:tcW w:w="2127" w:type="dxa"/>
            <w:shd w:val="clear" w:color="auto" w:fill="auto"/>
            <w:vAlign w:val="center"/>
          </w:tcPr>
          <w:p w:rsidR="00520CAA" w:rsidRPr="00C215DD" w:rsidRDefault="00520CAA" w:rsidP="00E70E02">
            <w:pPr>
              <w:spacing w:before="40" w:after="40"/>
              <w:rPr>
                <w:sz w:val="16"/>
                <w:szCs w:val="16"/>
              </w:rPr>
            </w:pPr>
            <w:r w:rsidRPr="00C215DD">
              <w:rPr>
                <w:b/>
                <w:bCs/>
                <w:sz w:val="16"/>
                <w:szCs w:val="16"/>
              </w:rPr>
              <w:lastRenderedPageBreak/>
              <w:t>Performance Indicators</w:t>
            </w:r>
          </w:p>
        </w:tc>
        <w:tc>
          <w:tcPr>
            <w:tcW w:w="1985" w:type="dxa"/>
            <w:shd w:val="clear" w:color="auto" w:fill="auto"/>
            <w:vAlign w:val="center"/>
          </w:tcPr>
          <w:p w:rsidR="00520CAA" w:rsidRPr="00C215DD" w:rsidRDefault="00520CAA" w:rsidP="00E70E02">
            <w:pPr>
              <w:spacing w:before="40" w:after="40"/>
              <w:rPr>
                <w:b/>
                <w:bCs/>
                <w:sz w:val="16"/>
                <w:szCs w:val="16"/>
              </w:rPr>
            </w:pPr>
            <w:r w:rsidRPr="00C215DD">
              <w:rPr>
                <w:b/>
                <w:bCs/>
                <w:sz w:val="16"/>
                <w:szCs w:val="16"/>
              </w:rPr>
              <w:t>Baselines</w:t>
            </w:r>
          </w:p>
        </w:tc>
        <w:tc>
          <w:tcPr>
            <w:tcW w:w="1701" w:type="dxa"/>
            <w:shd w:val="clear" w:color="auto" w:fill="auto"/>
            <w:tcMar>
              <w:top w:w="110" w:type="dxa"/>
            </w:tcMar>
            <w:vAlign w:val="center"/>
          </w:tcPr>
          <w:p w:rsidR="00520CAA" w:rsidRPr="00C215DD" w:rsidRDefault="00520CAA" w:rsidP="00E70E02">
            <w:pPr>
              <w:spacing w:before="40" w:after="40"/>
              <w:rPr>
                <w:b/>
                <w:sz w:val="16"/>
                <w:szCs w:val="16"/>
              </w:rPr>
            </w:pPr>
            <w:r w:rsidRPr="00C215DD">
              <w:rPr>
                <w:b/>
                <w:sz w:val="16"/>
                <w:szCs w:val="16"/>
              </w:rPr>
              <w:t>Target</w:t>
            </w:r>
            <w:r>
              <w:rPr>
                <w:b/>
                <w:sz w:val="16"/>
                <w:szCs w:val="16"/>
              </w:rPr>
              <w:t>s</w:t>
            </w:r>
          </w:p>
        </w:tc>
        <w:tc>
          <w:tcPr>
            <w:tcW w:w="2694" w:type="dxa"/>
            <w:gridSpan w:val="2"/>
            <w:shd w:val="clear" w:color="auto" w:fill="FFFFFF"/>
            <w:tcMar>
              <w:top w:w="110" w:type="dxa"/>
            </w:tcMar>
            <w:vAlign w:val="center"/>
          </w:tcPr>
          <w:p w:rsidR="00520CAA" w:rsidRPr="00C215DD" w:rsidRDefault="00520CAA" w:rsidP="00E70E02">
            <w:pPr>
              <w:spacing w:before="40" w:after="40"/>
              <w:rPr>
                <w:sz w:val="16"/>
                <w:szCs w:val="16"/>
              </w:rPr>
            </w:pPr>
            <w:r w:rsidRPr="00C215DD">
              <w:rPr>
                <w:b/>
                <w:bCs/>
                <w:sz w:val="16"/>
                <w:szCs w:val="16"/>
              </w:rPr>
              <w:t>Performance Data</w:t>
            </w:r>
          </w:p>
        </w:tc>
        <w:tc>
          <w:tcPr>
            <w:tcW w:w="945" w:type="dxa"/>
            <w:shd w:val="clear" w:color="auto" w:fill="auto"/>
            <w:vAlign w:val="center"/>
          </w:tcPr>
          <w:p w:rsidR="00520CAA" w:rsidRPr="00C215DD" w:rsidRDefault="00520CAA" w:rsidP="00E70E02">
            <w:pPr>
              <w:keepNext/>
              <w:keepLines/>
              <w:spacing w:before="40" w:after="40"/>
              <w:jc w:val="center"/>
              <w:rPr>
                <w:b/>
                <w:bCs/>
                <w:sz w:val="16"/>
                <w:szCs w:val="16"/>
              </w:rPr>
            </w:pPr>
            <w:r w:rsidRPr="00C215DD">
              <w:rPr>
                <w:b/>
                <w:bCs/>
                <w:sz w:val="16"/>
                <w:szCs w:val="16"/>
              </w:rPr>
              <w:t>TLS</w:t>
            </w:r>
          </w:p>
        </w:tc>
      </w:tr>
      <w:tr w:rsidR="00520CAA" w:rsidRPr="00C215DD" w:rsidTr="00520CAA">
        <w:tc>
          <w:tcPr>
            <w:tcW w:w="2127" w:type="dxa"/>
            <w:shd w:val="clear" w:color="auto" w:fill="auto"/>
          </w:tcPr>
          <w:p w:rsidR="00520CAA" w:rsidRPr="00C215DD" w:rsidRDefault="00520CAA" w:rsidP="00F54CA4">
            <w:pPr>
              <w:rPr>
                <w:sz w:val="16"/>
                <w:szCs w:val="16"/>
                <w:lang w:bidi="th-TH"/>
              </w:rPr>
            </w:pPr>
            <w:r w:rsidRPr="006E58A3">
              <w:rPr>
                <w:sz w:val="16"/>
                <w:szCs w:val="16"/>
                <w:lang w:bidi="th-TH"/>
              </w:rPr>
              <w:t>No. of countries which have adopted and are implementing national IP strategies and/or development plans</w:t>
            </w:r>
          </w:p>
        </w:tc>
        <w:tc>
          <w:tcPr>
            <w:tcW w:w="1985" w:type="dxa"/>
            <w:shd w:val="clear" w:color="auto" w:fill="auto"/>
          </w:tcPr>
          <w:p w:rsidR="00520CAA" w:rsidRDefault="00520CAA" w:rsidP="00F54CA4">
            <w:pPr>
              <w:rPr>
                <w:color w:val="002060"/>
                <w:sz w:val="16"/>
                <w:szCs w:val="16"/>
              </w:rPr>
            </w:pPr>
            <w:r>
              <w:rPr>
                <w:i/>
                <w:color w:val="002060"/>
                <w:sz w:val="16"/>
                <w:szCs w:val="16"/>
              </w:rPr>
              <w:t>Updated Baseline end 2013</w:t>
            </w:r>
            <w:r w:rsidRPr="00C215DD">
              <w:rPr>
                <w:i/>
                <w:color w:val="002060"/>
                <w:sz w:val="16"/>
                <w:szCs w:val="16"/>
              </w:rPr>
              <w:t>:</w:t>
            </w:r>
            <w:r>
              <w:rPr>
                <w:color w:val="002060"/>
                <w:sz w:val="16"/>
                <w:szCs w:val="16"/>
              </w:rPr>
              <w:t xml:space="preserve">  </w:t>
            </w:r>
          </w:p>
          <w:p w:rsidR="00520CAA" w:rsidRPr="00B01E02" w:rsidRDefault="00520CAA" w:rsidP="00F54CA4">
            <w:pPr>
              <w:rPr>
                <w:color w:val="002060"/>
                <w:sz w:val="16"/>
                <w:szCs w:val="16"/>
              </w:rPr>
            </w:pPr>
            <w:r w:rsidRPr="00B01E02">
              <w:rPr>
                <w:color w:val="002060"/>
                <w:sz w:val="16"/>
                <w:szCs w:val="16"/>
              </w:rPr>
              <w:t>Africa (9 cumulative): Comoros, Ghana,</w:t>
            </w:r>
            <w:r>
              <w:t xml:space="preserve"> </w:t>
            </w:r>
            <w:r w:rsidRPr="00B01E02">
              <w:rPr>
                <w:color w:val="002060"/>
                <w:sz w:val="16"/>
                <w:szCs w:val="16"/>
              </w:rPr>
              <w:t>Kenya, Liberia, Mauritius, Mozambique, Senegal, Seychelles, Zambia</w:t>
            </w:r>
          </w:p>
          <w:p w:rsidR="00520CAA" w:rsidRDefault="00520CAA" w:rsidP="00F54CA4">
            <w:pPr>
              <w:rPr>
                <w:color w:val="002060"/>
                <w:sz w:val="16"/>
                <w:szCs w:val="16"/>
              </w:rPr>
            </w:pPr>
          </w:p>
          <w:p w:rsidR="00520CAA" w:rsidRDefault="00520CAA" w:rsidP="00F54CA4">
            <w:pPr>
              <w:rPr>
                <w:color w:val="002060"/>
                <w:sz w:val="16"/>
                <w:szCs w:val="16"/>
              </w:rPr>
            </w:pPr>
            <w:r>
              <w:rPr>
                <w:color w:val="002060"/>
                <w:sz w:val="16"/>
                <w:szCs w:val="16"/>
              </w:rPr>
              <w:t xml:space="preserve">Arab </w:t>
            </w:r>
            <w:r w:rsidRPr="006E58A3">
              <w:rPr>
                <w:color w:val="002060"/>
                <w:sz w:val="16"/>
                <w:szCs w:val="16"/>
              </w:rPr>
              <w:t xml:space="preserve">countries </w:t>
            </w:r>
            <w:r>
              <w:rPr>
                <w:color w:val="002060"/>
                <w:sz w:val="16"/>
                <w:szCs w:val="16"/>
              </w:rPr>
              <w:t xml:space="preserve">(2 cumulative): </w:t>
            </w:r>
            <w:r w:rsidRPr="006E58A3">
              <w:rPr>
                <w:color w:val="002060"/>
                <w:sz w:val="16"/>
                <w:szCs w:val="16"/>
              </w:rPr>
              <w:t>(Oman, Sudan)</w:t>
            </w:r>
            <w:r>
              <w:rPr>
                <w:color w:val="002060"/>
                <w:sz w:val="16"/>
                <w:szCs w:val="16"/>
              </w:rPr>
              <w:t>;</w:t>
            </w:r>
          </w:p>
          <w:p w:rsidR="00520CAA" w:rsidRDefault="00520CAA" w:rsidP="00F54CA4">
            <w:pPr>
              <w:rPr>
                <w:color w:val="002060"/>
                <w:sz w:val="16"/>
                <w:szCs w:val="16"/>
              </w:rPr>
            </w:pPr>
          </w:p>
          <w:p w:rsidR="00520CAA" w:rsidRDefault="00520CAA" w:rsidP="00F54CA4">
            <w:pPr>
              <w:rPr>
                <w:color w:val="002060"/>
                <w:sz w:val="16"/>
                <w:szCs w:val="16"/>
              </w:rPr>
            </w:pPr>
            <w:r w:rsidRPr="006E58A3">
              <w:rPr>
                <w:color w:val="002060"/>
                <w:sz w:val="16"/>
                <w:szCs w:val="16"/>
              </w:rPr>
              <w:t>Asia and</w:t>
            </w:r>
            <w:r w:rsidR="002C2CA1">
              <w:rPr>
                <w:color w:val="002060"/>
                <w:sz w:val="16"/>
                <w:szCs w:val="16"/>
              </w:rPr>
              <w:t xml:space="preserve"> the</w:t>
            </w:r>
            <w:r w:rsidRPr="006E58A3">
              <w:rPr>
                <w:color w:val="002060"/>
                <w:sz w:val="16"/>
                <w:szCs w:val="16"/>
              </w:rPr>
              <w:t xml:space="preserve"> Pacific (</w:t>
            </w:r>
            <w:r>
              <w:rPr>
                <w:color w:val="002060"/>
                <w:sz w:val="16"/>
                <w:szCs w:val="16"/>
              </w:rPr>
              <w:t>4 cumulative);</w:t>
            </w:r>
            <w:r w:rsidRPr="006E58A3">
              <w:rPr>
                <w:color w:val="002060"/>
                <w:sz w:val="16"/>
                <w:szCs w:val="16"/>
              </w:rPr>
              <w:t xml:space="preserve"> </w:t>
            </w:r>
            <w:r>
              <w:rPr>
                <w:color w:val="002060"/>
                <w:sz w:val="16"/>
                <w:szCs w:val="16"/>
              </w:rPr>
              <w:t xml:space="preserve">Bangladesh, </w:t>
            </w:r>
            <w:r w:rsidRPr="006E58A3">
              <w:rPr>
                <w:color w:val="002060"/>
                <w:sz w:val="16"/>
                <w:szCs w:val="16"/>
              </w:rPr>
              <w:t>Fiji, Papua N</w:t>
            </w:r>
            <w:r>
              <w:rPr>
                <w:color w:val="002060"/>
                <w:sz w:val="16"/>
                <w:szCs w:val="16"/>
              </w:rPr>
              <w:t>ew Guinea</w:t>
            </w:r>
            <w:r w:rsidRPr="006E58A3">
              <w:rPr>
                <w:color w:val="002060"/>
                <w:sz w:val="16"/>
                <w:szCs w:val="16"/>
              </w:rPr>
              <w:t>, Samoa)</w:t>
            </w:r>
          </w:p>
          <w:p w:rsidR="00520CAA" w:rsidRDefault="00520CAA" w:rsidP="00F54CA4">
            <w:pPr>
              <w:rPr>
                <w:color w:val="002060"/>
                <w:sz w:val="16"/>
                <w:szCs w:val="16"/>
              </w:rPr>
            </w:pPr>
          </w:p>
          <w:p w:rsidR="00520CAA" w:rsidRDefault="00520CAA" w:rsidP="00F54CA4">
            <w:pPr>
              <w:rPr>
                <w:color w:val="002060"/>
                <w:sz w:val="16"/>
                <w:szCs w:val="16"/>
              </w:rPr>
            </w:pPr>
            <w:r w:rsidRPr="00E97ACD">
              <w:rPr>
                <w:color w:val="002060"/>
                <w:sz w:val="16"/>
                <w:szCs w:val="16"/>
              </w:rPr>
              <w:t>Latin America and the Caribbean (</w:t>
            </w:r>
            <w:r>
              <w:rPr>
                <w:color w:val="002060"/>
                <w:sz w:val="16"/>
                <w:szCs w:val="16"/>
              </w:rPr>
              <w:t>3 cumulative</w:t>
            </w:r>
            <w:r w:rsidRPr="00E97ACD">
              <w:rPr>
                <w:color w:val="002060"/>
                <w:sz w:val="16"/>
                <w:szCs w:val="16"/>
              </w:rPr>
              <w:t>)</w:t>
            </w:r>
            <w:r>
              <w:rPr>
                <w:color w:val="002060"/>
                <w:sz w:val="16"/>
                <w:szCs w:val="16"/>
              </w:rPr>
              <w:t xml:space="preserve">: </w:t>
            </w:r>
            <w:r w:rsidRPr="006E58A3">
              <w:rPr>
                <w:sz w:val="16"/>
                <w:szCs w:val="16"/>
                <w:lang w:bidi="th-TH"/>
              </w:rPr>
              <w:t xml:space="preserve">Costa Rica, Dominican Republic, Honduras </w:t>
            </w:r>
          </w:p>
          <w:p w:rsidR="00520CAA" w:rsidRDefault="00520CAA" w:rsidP="00F54CA4">
            <w:pPr>
              <w:rPr>
                <w:color w:val="002060"/>
                <w:sz w:val="16"/>
                <w:szCs w:val="16"/>
              </w:rPr>
            </w:pPr>
          </w:p>
          <w:p w:rsidR="00520CAA" w:rsidRDefault="00520CAA" w:rsidP="00F54CA4">
            <w:pPr>
              <w:rPr>
                <w:sz w:val="16"/>
                <w:szCs w:val="16"/>
                <w:lang w:bidi="th-TH"/>
              </w:rPr>
            </w:pPr>
            <w:r>
              <w:rPr>
                <w:sz w:val="16"/>
                <w:szCs w:val="16"/>
                <w:lang w:bidi="th-TH"/>
              </w:rPr>
              <w:t>7</w:t>
            </w:r>
            <w:r w:rsidRPr="003E4967">
              <w:rPr>
                <w:sz w:val="16"/>
                <w:szCs w:val="16"/>
                <w:lang w:bidi="th-TH"/>
              </w:rPr>
              <w:t xml:space="preserve"> LDCs included in the above regional breakdown</w:t>
            </w:r>
          </w:p>
          <w:p w:rsidR="00520CAA" w:rsidRDefault="00520CAA" w:rsidP="00F54CA4">
            <w:pPr>
              <w:rPr>
                <w:color w:val="002060"/>
                <w:sz w:val="16"/>
                <w:szCs w:val="16"/>
              </w:rPr>
            </w:pPr>
          </w:p>
          <w:p w:rsidR="00520CAA" w:rsidRDefault="00520CAA" w:rsidP="00F54CA4">
            <w:pPr>
              <w:rPr>
                <w:color w:val="002060"/>
                <w:sz w:val="16"/>
                <w:szCs w:val="16"/>
              </w:rPr>
            </w:pPr>
          </w:p>
          <w:p w:rsidR="00520CAA" w:rsidRPr="0068151C" w:rsidRDefault="00520CAA" w:rsidP="00F54CA4">
            <w:pPr>
              <w:rPr>
                <w:sz w:val="16"/>
                <w:szCs w:val="16"/>
                <w:lang w:bidi="th-TH"/>
              </w:rPr>
            </w:pPr>
            <w:r w:rsidRPr="0068151C">
              <w:rPr>
                <w:i/>
                <w:sz w:val="16"/>
                <w:szCs w:val="16"/>
                <w:lang w:bidi="th-TH"/>
              </w:rPr>
              <w:t>Original Baseline</w:t>
            </w:r>
          </w:p>
          <w:p w:rsidR="00520CAA" w:rsidRDefault="00520CAA" w:rsidP="00F54CA4">
            <w:pPr>
              <w:rPr>
                <w:sz w:val="16"/>
                <w:szCs w:val="16"/>
                <w:lang w:bidi="th-TH"/>
              </w:rPr>
            </w:pPr>
            <w:r>
              <w:rPr>
                <w:i/>
                <w:sz w:val="16"/>
                <w:szCs w:val="16"/>
              </w:rPr>
              <w:t>P&amp;B 2014/15</w:t>
            </w:r>
            <w:r w:rsidRPr="0068151C">
              <w:rPr>
                <w:i/>
                <w:sz w:val="16"/>
                <w:szCs w:val="16"/>
              </w:rPr>
              <w:t>:</w:t>
            </w:r>
          </w:p>
          <w:p w:rsidR="00520CAA" w:rsidRPr="006E58A3" w:rsidRDefault="00520CAA" w:rsidP="00F54CA4">
            <w:pPr>
              <w:rPr>
                <w:sz w:val="16"/>
                <w:szCs w:val="16"/>
                <w:lang w:bidi="th-TH"/>
              </w:rPr>
            </w:pPr>
            <w:r w:rsidRPr="006E58A3">
              <w:rPr>
                <w:sz w:val="16"/>
                <w:szCs w:val="16"/>
                <w:lang w:bidi="th-TH"/>
              </w:rPr>
              <w:t>Africa (4)</w:t>
            </w:r>
          </w:p>
          <w:p w:rsidR="00520CAA" w:rsidRDefault="00520CAA" w:rsidP="00F54CA4">
            <w:pPr>
              <w:rPr>
                <w:sz w:val="16"/>
                <w:szCs w:val="16"/>
                <w:lang w:bidi="th-TH"/>
              </w:rPr>
            </w:pPr>
          </w:p>
          <w:p w:rsidR="00520CAA" w:rsidRDefault="00520CAA" w:rsidP="00F54CA4">
            <w:pPr>
              <w:rPr>
                <w:sz w:val="16"/>
                <w:szCs w:val="16"/>
                <w:lang w:bidi="th-TH"/>
              </w:rPr>
            </w:pPr>
            <w:r w:rsidRPr="006E58A3">
              <w:rPr>
                <w:sz w:val="16"/>
                <w:szCs w:val="16"/>
                <w:lang w:bidi="th-TH"/>
              </w:rPr>
              <w:t>Arab (3)</w:t>
            </w:r>
          </w:p>
          <w:p w:rsidR="00520CAA" w:rsidRPr="006E58A3" w:rsidRDefault="00520CAA" w:rsidP="00F54CA4">
            <w:pPr>
              <w:rPr>
                <w:sz w:val="16"/>
                <w:szCs w:val="16"/>
                <w:lang w:bidi="th-TH"/>
              </w:rPr>
            </w:pPr>
          </w:p>
          <w:p w:rsidR="00520CAA" w:rsidRDefault="00520CAA" w:rsidP="00F54CA4">
            <w:pPr>
              <w:rPr>
                <w:sz w:val="16"/>
                <w:szCs w:val="16"/>
                <w:lang w:bidi="th-TH"/>
              </w:rPr>
            </w:pPr>
            <w:r w:rsidRPr="006E58A3">
              <w:rPr>
                <w:sz w:val="16"/>
                <w:szCs w:val="16"/>
                <w:lang w:bidi="th-TH"/>
              </w:rPr>
              <w:t xml:space="preserve">Asia and </w:t>
            </w:r>
            <w:r w:rsidR="002C2CA1">
              <w:rPr>
                <w:sz w:val="16"/>
                <w:szCs w:val="16"/>
                <w:lang w:bidi="th-TH"/>
              </w:rPr>
              <w:t xml:space="preserve">the </w:t>
            </w:r>
            <w:r w:rsidRPr="006E58A3">
              <w:rPr>
                <w:sz w:val="16"/>
                <w:szCs w:val="16"/>
                <w:lang w:bidi="th-TH"/>
              </w:rPr>
              <w:t>Pacific (3)</w:t>
            </w:r>
          </w:p>
          <w:p w:rsidR="00520CAA" w:rsidRPr="006E58A3" w:rsidRDefault="00520CAA" w:rsidP="00F54CA4">
            <w:pPr>
              <w:rPr>
                <w:sz w:val="16"/>
                <w:szCs w:val="16"/>
                <w:lang w:bidi="th-TH"/>
              </w:rPr>
            </w:pPr>
          </w:p>
          <w:p w:rsidR="00520CAA" w:rsidRDefault="00520CAA" w:rsidP="00F54CA4">
            <w:pPr>
              <w:rPr>
                <w:sz w:val="16"/>
                <w:szCs w:val="16"/>
                <w:lang w:bidi="th-TH"/>
              </w:rPr>
            </w:pPr>
            <w:r w:rsidRPr="006E58A3">
              <w:rPr>
                <w:sz w:val="16"/>
                <w:szCs w:val="16"/>
                <w:lang w:bidi="th-TH"/>
              </w:rPr>
              <w:t>Latin America and the Caribbean (4)</w:t>
            </w:r>
          </w:p>
          <w:p w:rsidR="00520CAA" w:rsidRPr="006E58A3" w:rsidRDefault="00520CAA" w:rsidP="00F54CA4">
            <w:pPr>
              <w:rPr>
                <w:sz w:val="16"/>
                <w:szCs w:val="16"/>
                <w:lang w:bidi="th-TH"/>
              </w:rPr>
            </w:pPr>
          </w:p>
          <w:p w:rsidR="00520CAA" w:rsidRDefault="00520CAA" w:rsidP="00F54CA4">
            <w:pPr>
              <w:rPr>
                <w:sz w:val="16"/>
                <w:szCs w:val="16"/>
                <w:lang w:bidi="th-TH"/>
              </w:rPr>
            </w:pPr>
            <w:r w:rsidRPr="006E58A3">
              <w:rPr>
                <w:sz w:val="16"/>
                <w:szCs w:val="16"/>
                <w:lang w:bidi="th-TH"/>
              </w:rPr>
              <w:t>5 LDCs included in the above regional breakdown</w:t>
            </w:r>
          </w:p>
          <w:p w:rsidR="00520CAA" w:rsidRPr="00112987" w:rsidRDefault="00520CAA" w:rsidP="00F54CA4">
            <w:pPr>
              <w:rPr>
                <w:sz w:val="16"/>
                <w:szCs w:val="16"/>
                <w:lang w:bidi="th-TH"/>
              </w:rPr>
            </w:pPr>
          </w:p>
        </w:tc>
        <w:tc>
          <w:tcPr>
            <w:tcW w:w="1701" w:type="dxa"/>
            <w:shd w:val="clear" w:color="auto" w:fill="auto"/>
            <w:tcMar>
              <w:top w:w="110" w:type="dxa"/>
            </w:tcMar>
          </w:tcPr>
          <w:p w:rsidR="00520CAA" w:rsidRDefault="00520CAA" w:rsidP="00F54CA4">
            <w:pPr>
              <w:rPr>
                <w:sz w:val="16"/>
                <w:szCs w:val="16"/>
                <w:lang w:bidi="th-TH"/>
              </w:rPr>
            </w:pPr>
            <w:r w:rsidRPr="006E58A3">
              <w:rPr>
                <w:sz w:val="16"/>
                <w:szCs w:val="16"/>
                <w:lang w:bidi="th-TH"/>
              </w:rPr>
              <w:t>Africa (</w:t>
            </w:r>
            <w:r w:rsidR="00B37D53">
              <w:rPr>
                <w:sz w:val="16"/>
                <w:szCs w:val="16"/>
                <w:lang w:bidi="th-TH"/>
              </w:rPr>
              <w:t>6</w:t>
            </w:r>
            <w:r w:rsidR="00B37D53" w:rsidRPr="006E58A3">
              <w:rPr>
                <w:sz w:val="16"/>
                <w:szCs w:val="16"/>
                <w:lang w:bidi="th-TH"/>
              </w:rPr>
              <w:t xml:space="preserve"> </w:t>
            </w:r>
            <w:r w:rsidRPr="006E58A3">
              <w:rPr>
                <w:sz w:val="16"/>
                <w:szCs w:val="16"/>
                <w:lang w:bidi="th-TH"/>
              </w:rPr>
              <w:t>cumulative)</w:t>
            </w:r>
          </w:p>
          <w:p w:rsidR="00520CAA" w:rsidRDefault="00520CAA" w:rsidP="00F54CA4">
            <w:pPr>
              <w:rPr>
                <w:sz w:val="16"/>
                <w:szCs w:val="16"/>
                <w:lang w:bidi="th-TH"/>
              </w:rPr>
            </w:pPr>
          </w:p>
          <w:p w:rsidR="00520CAA" w:rsidRDefault="00520CAA" w:rsidP="00F54CA4">
            <w:pPr>
              <w:rPr>
                <w:sz w:val="16"/>
                <w:szCs w:val="16"/>
                <w:lang w:bidi="th-TH"/>
              </w:rPr>
            </w:pPr>
            <w:r w:rsidRPr="006E58A3">
              <w:rPr>
                <w:sz w:val="16"/>
                <w:szCs w:val="16"/>
                <w:lang w:bidi="th-TH"/>
              </w:rPr>
              <w:t>Arab (6) cumulative</w:t>
            </w:r>
          </w:p>
          <w:p w:rsidR="00520CAA" w:rsidRDefault="00520CAA" w:rsidP="00F54CA4">
            <w:pPr>
              <w:rPr>
                <w:sz w:val="16"/>
                <w:szCs w:val="16"/>
                <w:lang w:bidi="th-TH"/>
              </w:rPr>
            </w:pPr>
          </w:p>
          <w:p w:rsidR="00520CAA" w:rsidRDefault="00520CAA" w:rsidP="00F54CA4">
            <w:pPr>
              <w:rPr>
                <w:sz w:val="16"/>
                <w:szCs w:val="16"/>
                <w:lang w:bidi="th-TH"/>
              </w:rPr>
            </w:pPr>
            <w:r w:rsidRPr="006E58A3">
              <w:rPr>
                <w:sz w:val="16"/>
                <w:szCs w:val="16"/>
                <w:lang w:bidi="th-TH"/>
              </w:rPr>
              <w:t>Asian and Pacific (7)</w:t>
            </w:r>
            <w:r>
              <w:rPr>
                <w:sz w:val="16"/>
                <w:szCs w:val="16"/>
                <w:lang w:bidi="th-TH"/>
              </w:rPr>
              <w:t xml:space="preserve"> </w:t>
            </w:r>
            <w:r w:rsidRPr="006E58A3">
              <w:rPr>
                <w:sz w:val="16"/>
                <w:szCs w:val="16"/>
                <w:lang w:bidi="th-TH"/>
              </w:rPr>
              <w:t>cumulative</w:t>
            </w:r>
          </w:p>
          <w:p w:rsidR="00520CAA" w:rsidRDefault="00520CAA" w:rsidP="00F54CA4">
            <w:pPr>
              <w:rPr>
                <w:sz w:val="16"/>
                <w:szCs w:val="16"/>
                <w:lang w:bidi="th-TH"/>
              </w:rPr>
            </w:pPr>
          </w:p>
          <w:p w:rsidR="00520CAA" w:rsidRDefault="00520CAA" w:rsidP="00F54CA4">
            <w:pPr>
              <w:rPr>
                <w:sz w:val="16"/>
                <w:szCs w:val="16"/>
                <w:lang w:bidi="th-TH"/>
              </w:rPr>
            </w:pPr>
          </w:p>
          <w:p w:rsidR="00520CAA" w:rsidRDefault="00520CAA" w:rsidP="00F54CA4">
            <w:pPr>
              <w:rPr>
                <w:sz w:val="16"/>
                <w:szCs w:val="16"/>
                <w:lang w:bidi="th-TH"/>
              </w:rPr>
            </w:pPr>
            <w:r w:rsidRPr="006E58A3">
              <w:rPr>
                <w:sz w:val="16"/>
                <w:szCs w:val="16"/>
                <w:lang w:bidi="th-TH"/>
              </w:rPr>
              <w:t>Latin America and the Caribbean (12)</w:t>
            </w:r>
          </w:p>
          <w:p w:rsidR="00520CAA" w:rsidRDefault="00520CAA" w:rsidP="00F54CA4">
            <w:pPr>
              <w:rPr>
                <w:sz w:val="16"/>
                <w:szCs w:val="16"/>
                <w:lang w:bidi="th-TH"/>
              </w:rPr>
            </w:pPr>
          </w:p>
          <w:p w:rsidR="00520CAA" w:rsidRDefault="00520CAA" w:rsidP="00F54CA4">
            <w:pPr>
              <w:rPr>
                <w:sz w:val="16"/>
                <w:szCs w:val="16"/>
                <w:lang w:bidi="th-TH"/>
              </w:rPr>
            </w:pPr>
            <w:r w:rsidRPr="006E58A3">
              <w:rPr>
                <w:sz w:val="16"/>
                <w:szCs w:val="16"/>
                <w:lang w:bidi="th-TH"/>
              </w:rPr>
              <w:t>11 LDCs included in the above regional breakdown</w:t>
            </w:r>
          </w:p>
          <w:p w:rsidR="00520CAA" w:rsidRDefault="00520CAA" w:rsidP="00F54CA4">
            <w:pPr>
              <w:rPr>
                <w:sz w:val="16"/>
                <w:szCs w:val="16"/>
                <w:lang w:bidi="th-TH"/>
              </w:rPr>
            </w:pPr>
          </w:p>
          <w:p w:rsidR="00520CAA" w:rsidRPr="00112987" w:rsidRDefault="00520CAA" w:rsidP="00F54CA4">
            <w:pPr>
              <w:rPr>
                <w:sz w:val="16"/>
                <w:szCs w:val="16"/>
                <w:lang w:bidi="th-TH"/>
              </w:rPr>
            </w:pPr>
          </w:p>
        </w:tc>
        <w:tc>
          <w:tcPr>
            <w:tcW w:w="2694" w:type="dxa"/>
            <w:gridSpan w:val="2"/>
            <w:shd w:val="clear" w:color="auto" w:fill="FFFFFF"/>
            <w:tcMar>
              <w:top w:w="110" w:type="dxa"/>
            </w:tcMar>
          </w:tcPr>
          <w:p w:rsidR="00520CAA" w:rsidRDefault="00520CAA" w:rsidP="00F54CA4">
            <w:pPr>
              <w:rPr>
                <w:sz w:val="16"/>
                <w:szCs w:val="16"/>
                <w:lang w:bidi="th-TH"/>
              </w:rPr>
            </w:pPr>
            <w:r>
              <w:rPr>
                <w:sz w:val="16"/>
                <w:szCs w:val="16"/>
                <w:lang w:bidi="th-TH"/>
              </w:rPr>
              <w:t xml:space="preserve">Africa (12 additional countries): </w:t>
            </w:r>
            <w:r w:rsidRPr="00D17F9E">
              <w:rPr>
                <w:sz w:val="16"/>
                <w:szCs w:val="16"/>
                <w:lang w:bidi="th-TH"/>
              </w:rPr>
              <w:t>Botswana, Burundi</w:t>
            </w:r>
            <w:r>
              <w:rPr>
                <w:sz w:val="16"/>
                <w:szCs w:val="16"/>
                <w:lang w:bidi="th-TH"/>
              </w:rPr>
              <w:t>, Cameroon, Chad, Cote d’Ivoire</w:t>
            </w:r>
            <w:r>
              <w:rPr>
                <w:rStyle w:val="FootnoteReference"/>
                <w:sz w:val="16"/>
                <w:szCs w:val="16"/>
                <w:lang w:bidi="th-TH"/>
              </w:rPr>
              <w:footnoteReference w:id="30"/>
            </w:r>
            <w:r w:rsidRPr="00D17F9E">
              <w:rPr>
                <w:sz w:val="16"/>
                <w:szCs w:val="16"/>
                <w:lang w:bidi="th-TH"/>
              </w:rPr>
              <w:t>, Lesotho, Malawi, Rwanda</w:t>
            </w:r>
            <w:r>
              <w:rPr>
                <w:rStyle w:val="FootnoteReference"/>
                <w:sz w:val="16"/>
                <w:szCs w:val="16"/>
                <w:lang w:bidi="th-TH"/>
              </w:rPr>
              <w:footnoteReference w:id="31"/>
            </w:r>
            <w:r w:rsidRPr="00D17F9E">
              <w:rPr>
                <w:sz w:val="16"/>
                <w:szCs w:val="16"/>
                <w:lang w:bidi="th-TH"/>
              </w:rPr>
              <w:t>, Sao Tome and Principe, Togo, United Republic of Tanzania, Zimbabwe</w:t>
            </w:r>
          </w:p>
          <w:p w:rsidR="00520CAA" w:rsidRDefault="00520CAA" w:rsidP="00F54CA4">
            <w:pPr>
              <w:rPr>
                <w:sz w:val="16"/>
                <w:szCs w:val="16"/>
                <w:lang w:bidi="th-TH"/>
              </w:rPr>
            </w:pPr>
            <w:r>
              <w:rPr>
                <w:sz w:val="16"/>
                <w:szCs w:val="16"/>
                <w:lang w:bidi="th-TH"/>
              </w:rPr>
              <w:t>(21 cumulative)</w:t>
            </w:r>
            <w:r w:rsidRPr="006E58A3" w:rsidDel="003605DE">
              <w:rPr>
                <w:sz w:val="16"/>
                <w:szCs w:val="16"/>
                <w:lang w:bidi="th-TH"/>
              </w:rPr>
              <w:t xml:space="preserve"> </w:t>
            </w:r>
          </w:p>
          <w:p w:rsidR="00520CAA" w:rsidRDefault="00520CAA" w:rsidP="00F54CA4">
            <w:pPr>
              <w:rPr>
                <w:sz w:val="16"/>
                <w:szCs w:val="16"/>
                <w:lang w:bidi="th-TH"/>
              </w:rPr>
            </w:pPr>
          </w:p>
          <w:p w:rsidR="00520CAA" w:rsidRDefault="00520CAA" w:rsidP="00F54CA4">
            <w:pPr>
              <w:rPr>
                <w:sz w:val="16"/>
                <w:szCs w:val="16"/>
                <w:lang w:bidi="th-TH"/>
              </w:rPr>
            </w:pPr>
            <w:r>
              <w:rPr>
                <w:sz w:val="16"/>
                <w:szCs w:val="16"/>
                <w:lang w:bidi="th-TH"/>
              </w:rPr>
              <w:t>Arab (no additional countries)</w:t>
            </w:r>
          </w:p>
          <w:p w:rsidR="00520CAA" w:rsidRDefault="00520CAA" w:rsidP="00F54CA4">
            <w:pPr>
              <w:rPr>
                <w:sz w:val="16"/>
                <w:szCs w:val="16"/>
                <w:lang w:bidi="th-TH"/>
              </w:rPr>
            </w:pPr>
          </w:p>
          <w:p w:rsidR="00520CAA" w:rsidRDefault="00520CAA" w:rsidP="00F54CA4">
            <w:pPr>
              <w:rPr>
                <w:sz w:val="16"/>
                <w:szCs w:val="16"/>
                <w:lang w:bidi="th-TH"/>
              </w:rPr>
            </w:pPr>
            <w:r>
              <w:rPr>
                <w:sz w:val="16"/>
                <w:szCs w:val="16"/>
                <w:lang w:bidi="th-TH"/>
              </w:rPr>
              <w:t xml:space="preserve">Asia and </w:t>
            </w:r>
            <w:r w:rsidR="002C2CA1">
              <w:rPr>
                <w:sz w:val="16"/>
                <w:szCs w:val="16"/>
                <w:lang w:bidi="th-TH"/>
              </w:rPr>
              <w:t xml:space="preserve">the </w:t>
            </w:r>
            <w:r>
              <w:rPr>
                <w:sz w:val="16"/>
                <w:szCs w:val="16"/>
                <w:lang w:bidi="th-TH"/>
              </w:rPr>
              <w:t>Pacific (4 additional countries): Cambodia, Sri Lanka, Tonga, Vanuatu</w:t>
            </w:r>
          </w:p>
          <w:p w:rsidR="00520CAA" w:rsidRDefault="00520CAA" w:rsidP="00F54CA4">
            <w:pPr>
              <w:rPr>
                <w:sz w:val="16"/>
                <w:szCs w:val="16"/>
                <w:lang w:bidi="th-TH"/>
              </w:rPr>
            </w:pPr>
            <w:r>
              <w:rPr>
                <w:sz w:val="16"/>
                <w:szCs w:val="16"/>
                <w:lang w:bidi="th-TH"/>
              </w:rPr>
              <w:t>(8 cumulative)</w:t>
            </w:r>
          </w:p>
          <w:p w:rsidR="00520CAA" w:rsidRDefault="00520CAA" w:rsidP="00F54CA4">
            <w:pPr>
              <w:rPr>
                <w:sz w:val="16"/>
                <w:szCs w:val="16"/>
                <w:lang w:bidi="th-TH"/>
              </w:rPr>
            </w:pPr>
          </w:p>
          <w:p w:rsidR="00520CAA" w:rsidRDefault="00520CAA" w:rsidP="00F54CA4">
            <w:pPr>
              <w:rPr>
                <w:sz w:val="16"/>
                <w:szCs w:val="16"/>
                <w:lang w:bidi="th-TH"/>
              </w:rPr>
            </w:pPr>
            <w:r w:rsidRPr="006E58A3">
              <w:rPr>
                <w:sz w:val="16"/>
                <w:szCs w:val="16"/>
                <w:lang w:bidi="th-TH"/>
              </w:rPr>
              <w:t xml:space="preserve">Latin America and the Caribbean </w:t>
            </w:r>
            <w:r>
              <w:rPr>
                <w:sz w:val="16"/>
                <w:szCs w:val="16"/>
                <w:lang w:bidi="th-TH"/>
              </w:rPr>
              <w:t xml:space="preserve"> (3 additional countries):</w:t>
            </w:r>
            <w:r w:rsidRPr="006E58A3">
              <w:rPr>
                <w:sz w:val="16"/>
                <w:szCs w:val="16"/>
                <w:lang w:bidi="th-TH"/>
              </w:rPr>
              <w:t xml:space="preserve"> </w:t>
            </w:r>
            <w:r>
              <w:rPr>
                <w:sz w:val="16"/>
                <w:szCs w:val="16"/>
                <w:lang w:bidi="th-TH"/>
              </w:rPr>
              <w:t xml:space="preserve">Barbados, </w:t>
            </w:r>
            <w:r w:rsidRPr="006E58A3">
              <w:rPr>
                <w:sz w:val="16"/>
                <w:szCs w:val="16"/>
                <w:lang w:bidi="th-TH"/>
              </w:rPr>
              <w:t>El Salvador</w:t>
            </w:r>
            <w:r>
              <w:rPr>
                <w:sz w:val="16"/>
                <w:szCs w:val="16"/>
                <w:lang w:bidi="th-TH"/>
              </w:rPr>
              <w:t>,  Saint</w:t>
            </w:r>
            <w:r w:rsidRPr="006E58A3">
              <w:rPr>
                <w:sz w:val="16"/>
                <w:szCs w:val="16"/>
                <w:lang w:bidi="th-TH"/>
              </w:rPr>
              <w:t xml:space="preserve"> Kitts and Nevis</w:t>
            </w:r>
          </w:p>
          <w:p w:rsidR="00520CAA" w:rsidRDefault="00520CAA" w:rsidP="00F54CA4">
            <w:pPr>
              <w:rPr>
                <w:sz w:val="16"/>
                <w:szCs w:val="16"/>
                <w:lang w:bidi="th-TH"/>
              </w:rPr>
            </w:pPr>
            <w:r>
              <w:rPr>
                <w:sz w:val="16"/>
                <w:szCs w:val="16"/>
                <w:lang w:bidi="th-TH"/>
              </w:rPr>
              <w:t>(</w:t>
            </w:r>
            <w:r w:rsidRPr="006E58A3">
              <w:rPr>
                <w:sz w:val="16"/>
                <w:szCs w:val="16"/>
                <w:lang w:bidi="th-TH"/>
              </w:rPr>
              <w:t>6</w:t>
            </w:r>
            <w:r>
              <w:rPr>
                <w:sz w:val="16"/>
                <w:szCs w:val="16"/>
                <w:lang w:bidi="th-TH"/>
              </w:rPr>
              <w:t xml:space="preserve"> cumulative)</w:t>
            </w:r>
            <w:r w:rsidRPr="006E58A3">
              <w:rPr>
                <w:sz w:val="16"/>
                <w:szCs w:val="16"/>
                <w:lang w:bidi="th-TH"/>
              </w:rPr>
              <w:t xml:space="preserve">:   </w:t>
            </w:r>
          </w:p>
          <w:p w:rsidR="00520CAA" w:rsidRDefault="00520CAA" w:rsidP="00F54CA4">
            <w:pPr>
              <w:rPr>
                <w:sz w:val="16"/>
                <w:szCs w:val="16"/>
                <w:lang w:bidi="th-TH"/>
              </w:rPr>
            </w:pPr>
          </w:p>
          <w:p w:rsidR="00520CAA" w:rsidRDefault="00520CAA" w:rsidP="00F54CA4">
            <w:pPr>
              <w:rPr>
                <w:sz w:val="16"/>
                <w:szCs w:val="16"/>
                <w:lang w:bidi="th-TH"/>
              </w:rPr>
            </w:pPr>
            <w:r>
              <w:rPr>
                <w:sz w:val="16"/>
                <w:szCs w:val="16"/>
                <w:lang w:bidi="th-TH"/>
              </w:rPr>
              <w:t>17</w:t>
            </w:r>
            <w:r w:rsidRPr="006E58A3">
              <w:rPr>
                <w:sz w:val="16"/>
                <w:szCs w:val="16"/>
                <w:lang w:bidi="th-TH"/>
              </w:rPr>
              <w:t xml:space="preserve"> LDCs included in the above </w:t>
            </w:r>
            <w:r>
              <w:rPr>
                <w:sz w:val="16"/>
                <w:szCs w:val="16"/>
                <w:lang w:bidi="th-TH"/>
              </w:rPr>
              <w:t xml:space="preserve">cumulative </w:t>
            </w:r>
            <w:r w:rsidRPr="006E58A3">
              <w:rPr>
                <w:sz w:val="16"/>
                <w:szCs w:val="16"/>
                <w:lang w:bidi="th-TH"/>
              </w:rPr>
              <w:t>regional breakdown</w:t>
            </w:r>
          </w:p>
          <w:p w:rsidR="00520CAA" w:rsidRDefault="00520CAA" w:rsidP="00F54CA4">
            <w:pPr>
              <w:rPr>
                <w:sz w:val="16"/>
                <w:szCs w:val="16"/>
                <w:lang w:bidi="th-TH"/>
              </w:rPr>
            </w:pPr>
          </w:p>
          <w:p w:rsidR="00520CAA" w:rsidRDefault="00520CAA" w:rsidP="00F54CA4">
            <w:pPr>
              <w:rPr>
                <w:sz w:val="16"/>
                <w:szCs w:val="16"/>
                <w:lang w:bidi="th-TH"/>
              </w:rPr>
            </w:pPr>
          </w:p>
          <w:p w:rsidR="00520CAA" w:rsidRDefault="00520CAA" w:rsidP="00F54CA4">
            <w:pPr>
              <w:rPr>
                <w:sz w:val="16"/>
                <w:szCs w:val="16"/>
                <w:lang w:bidi="th-TH"/>
              </w:rPr>
            </w:pPr>
          </w:p>
          <w:p w:rsidR="00520CAA" w:rsidRDefault="00520CAA" w:rsidP="00F54CA4">
            <w:pPr>
              <w:rPr>
                <w:sz w:val="16"/>
                <w:szCs w:val="16"/>
                <w:lang w:bidi="th-TH"/>
              </w:rPr>
            </w:pPr>
          </w:p>
          <w:p w:rsidR="00520CAA" w:rsidRDefault="00520CAA" w:rsidP="00F54CA4">
            <w:pPr>
              <w:rPr>
                <w:sz w:val="16"/>
                <w:szCs w:val="16"/>
                <w:lang w:bidi="th-TH"/>
              </w:rPr>
            </w:pPr>
          </w:p>
          <w:p w:rsidR="00520CAA" w:rsidRDefault="00520CAA" w:rsidP="00F54CA4">
            <w:pPr>
              <w:rPr>
                <w:sz w:val="16"/>
                <w:szCs w:val="16"/>
                <w:lang w:bidi="th-TH"/>
              </w:rPr>
            </w:pPr>
          </w:p>
          <w:p w:rsidR="00520CAA" w:rsidRDefault="00520CAA" w:rsidP="00F54CA4">
            <w:pPr>
              <w:rPr>
                <w:sz w:val="16"/>
                <w:szCs w:val="16"/>
                <w:lang w:bidi="th-TH"/>
              </w:rPr>
            </w:pPr>
          </w:p>
          <w:p w:rsidR="00520CAA" w:rsidRPr="00112987" w:rsidRDefault="00520CAA" w:rsidP="00F54CA4">
            <w:pPr>
              <w:rPr>
                <w:sz w:val="16"/>
                <w:szCs w:val="16"/>
                <w:lang w:bidi="th-TH"/>
              </w:rPr>
            </w:pPr>
          </w:p>
        </w:tc>
        <w:tc>
          <w:tcPr>
            <w:tcW w:w="945" w:type="dxa"/>
            <w:shd w:val="clear" w:color="auto" w:fill="auto"/>
          </w:tcPr>
          <w:p w:rsidR="00520CAA" w:rsidRDefault="00520CAA" w:rsidP="00F54CA4">
            <w:pPr>
              <w:keepNext/>
              <w:keepLines/>
              <w:spacing w:after="120"/>
              <w:jc w:val="center"/>
              <w:rPr>
                <w:b/>
                <w:bCs/>
                <w:color w:val="00B050"/>
                <w:sz w:val="16"/>
                <w:szCs w:val="16"/>
              </w:rPr>
            </w:pPr>
            <w:r w:rsidRPr="00A9657F">
              <w:rPr>
                <w:b/>
                <w:bCs/>
                <w:color w:val="00B050"/>
                <w:sz w:val="16"/>
                <w:szCs w:val="16"/>
              </w:rPr>
              <w:t>On track</w:t>
            </w:r>
          </w:p>
          <w:p w:rsidR="00520CAA" w:rsidRDefault="00520CAA" w:rsidP="00F54CA4">
            <w:pPr>
              <w:keepNext/>
              <w:keepLines/>
              <w:spacing w:after="120"/>
              <w:rPr>
                <w:b/>
                <w:bCs/>
                <w:color w:val="00B050"/>
                <w:sz w:val="16"/>
                <w:szCs w:val="16"/>
              </w:rPr>
            </w:pPr>
          </w:p>
          <w:p w:rsidR="00520CAA" w:rsidRDefault="00520CAA" w:rsidP="00F54CA4">
            <w:pPr>
              <w:keepNext/>
              <w:keepLines/>
              <w:spacing w:after="120"/>
              <w:rPr>
                <w:b/>
                <w:bCs/>
                <w:color w:val="FF0000"/>
                <w:sz w:val="16"/>
                <w:szCs w:val="16"/>
              </w:rPr>
            </w:pPr>
          </w:p>
          <w:p w:rsidR="00520CAA" w:rsidRDefault="00520CAA" w:rsidP="00F54CA4">
            <w:pPr>
              <w:keepNext/>
              <w:keepLines/>
              <w:spacing w:after="120"/>
              <w:rPr>
                <w:b/>
                <w:bCs/>
                <w:color w:val="FF0000"/>
                <w:sz w:val="16"/>
                <w:szCs w:val="16"/>
              </w:rPr>
            </w:pPr>
          </w:p>
          <w:p w:rsidR="00520CAA" w:rsidRPr="00335775" w:rsidRDefault="00520CAA" w:rsidP="00F54CA4">
            <w:pPr>
              <w:keepNext/>
              <w:keepLines/>
              <w:spacing w:after="120"/>
              <w:jc w:val="center"/>
              <w:rPr>
                <w:b/>
                <w:bCs/>
                <w:color w:val="FF0000"/>
                <w:sz w:val="16"/>
                <w:szCs w:val="16"/>
              </w:rPr>
            </w:pPr>
            <w:r>
              <w:rPr>
                <w:b/>
                <w:bCs/>
                <w:color w:val="FF0000"/>
                <w:sz w:val="16"/>
                <w:szCs w:val="16"/>
              </w:rPr>
              <w:t>Not</w:t>
            </w:r>
            <w:r>
              <w:rPr>
                <w:b/>
                <w:bCs/>
                <w:color w:val="FF0000"/>
                <w:sz w:val="16"/>
                <w:szCs w:val="16"/>
              </w:rPr>
              <w:br/>
              <w:t xml:space="preserve"> on track</w:t>
            </w:r>
          </w:p>
          <w:p w:rsidR="00520CAA" w:rsidRDefault="00520CAA" w:rsidP="00F54CA4">
            <w:pPr>
              <w:keepNext/>
              <w:keepLines/>
              <w:spacing w:after="120"/>
              <w:jc w:val="center"/>
              <w:rPr>
                <w:b/>
                <w:bCs/>
                <w:color w:val="00B050"/>
                <w:sz w:val="16"/>
                <w:szCs w:val="16"/>
              </w:rPr>
            </w:pPr>
          </w:p>
          <w:p w:rsidR="00520CAA" w:rsidRDefault="00520CAA" w:rsidP="00F54CA4">
            <w:pPr>
              <w:keepNext/>
              <w:keepLines/>
              <w:spacing w:after="120"/>
              <w:jc w:val="center"/>
              <w:rPr>
                <w:b/>
                <w:bCs/>
                <w:color w:val="00B050"/>
                <w:sz w:val="16"/>
                <w:szCs w:val="16"/>
              </w:rPr>
            </w:pPr>
            <w:r w:rsidRPr="008C2A88">
              <w:rPr>
                <w:b/>
                <w:bCs/>
                <w:color w:val="00B050"/>
                <w:sz w:val="16"/>
                <w:szCs w:val="16"/>
              </w:rPr>
              <w:t>On track</w:t>
            </w:r>
          </w:p>
          <w:p w:rsidR="00520CAA" w:rsidRDefault="00520CAA" w:rsidP="00F54CA4">
            <w:pPr>
              <w:keepNext/>
              <w:keepLines/>
              <w:spacing w:after="120"/>
              <w:jc w:val="center"/>
              <w:rPr>
                <w:b/>
                <w:bCs/>
                <w:color w:val="00B050"/>
                <w:sz w:val="16"/>
                <w:szCs w:val="16"/>
              </w:rPr>
            </w:pPr>
            <w:r>
              <w:rPr>
                <w:b/>
                <w:bCs/>
                <w:color w:val="00B050"/>
                <w:sz w:val="16"/>
                <w:szCs w:val="16"/>
              </w:rPr>
              <w:br/>
            </w:r>
          </w:p>
          <w:p w:rsidR="00520CAA" w:rsidRDefault="00520CAA" w:rsidP="00F54CA4">
            <w:pPr>
              <w:keepNext/>
              <w:keepLines/>
              <w:spacing w:after="120"/>
              <w:jc w:val="center"/>
              <w:rPr>
                <w:b/>
                <w:bCs/>
                <w:color w:val="00B050"/>
                <w:sz w:val="16"/>
                <w:szCs w:val="16"/>
              </w:rPr>
            </w:pPr>
          </w:p>
          <w:p w:rsidR="00520CAA" w:rsidRDefault="00520CAA" w:rsidP="00F54CA4">
            <w:pPr>
              <w:keepNext/>
              <w:keepLines/>
              <w:spacing w:after="120"/>
              <w:jc w:val="center"/>
              <w:rPr>
                <w:b/>
                <w:bCs/>
                <w:color w:val="00B050"/>
                <w:sz w:val="16"/>
                <w:szCs w:val="16"/>
              </w:rPr>
            </w:pPr>
            <w:r w:rsidRPr="008C2A88">
              <w:rPr>
                <w:b/>
                <w:bCs/>
                <w:color w:val="00B050"/>
                <w:sz w:val="16"/>
                <w:szCs w:val="16"/>
              </w:rPr>
              <w:t>On track</w:t>
            </w:r>
          </w:p>
          <w:p w:rsidR="00520CAA" w:rsidRDefault="00520CAA" w:rsidP="00F54CA4">
            <w:pPr>
              <w:keepNext/>
              <w:keepLines/>
              <w:spacing w:after="120"/>
              <w:rPr>
                <w:b/>
                <w:bCs/>
                <w:color w:val="00B050"/>
                <w:sz w:val="16"/>
                <w:szCs w:val="16"/>
              </w:rPr>
            </w:pPr>
          </w:p>
          <w:p w:rsidR="00520CAA" w:rsidRDefault="00520CAA" w:rsidP="00F54CA4">
            <w:pPr>
              <w:keepNext/>
              <w:keepLines/>
              <w:spacing w:after="120"/>
              <w:rPr>
                <w:b/>
                <w:bCs/>
                <w:color w:val="00B050"/>
                <w:sz w:val="16"/>
                <w:szCs w:val="16"/>
              </w:rPr>
            </w:pPr>
          </w:p>
          <w:p w:rsidR="00520CAA" w:rsidRPr="00C215DD" w:rsidRDefault="00520CAA" w:rsidP="00F54CA4">
            <w:pPr>
              <w:keepNext/>
              <w:keepLines/>
              <w:spacing w:after="120"/>
              <w:jc w:val="center"/>
              <w:rPr>
                <w:bCs/>
                <w:color w:val="008000"/>
                <w:sz w:val="16"/>
                <w:szCs w:val="16"/>
              </w:rPr>
            </w:pPr>
            <w:r>
              <w:rPr>
                <w:b/>
                <w:bCs/>
                <w:color w:val="00B050"/>
                <w:sz w:val="16"/>
                <w:szCs w:val="16"/>
              </w:rPr>
              <w:t>On track</w:t>
            </w:r>
          </w:p>
        </w:tc>
      </w:tr>
      <w:tr w:rsidR="00520CAA" w:rsidRPr="00C215DD" w:rsidTr="00520CAA">
        <w:tc>
          <w:tcPr>
            <w:tcW w:w="9452" w:type="dxa"/>
            <w:gridSpan w:val="6"/>
            <w:tcBorders>
              <w:top w:val="single" w:sz="4" w:space="0" w:color="auto"/>
              <w:bottom w:val="single" w:sz="4" w:space="0" w:color="auto"/>
            </w:tcBorders>
            <w:shd w:val="clear" w:color="auto" w:fill="CCFFFF"/>
            <w:vAlign w:val="center"/>
          </w:tcPr>
          <w:p w:rsidR="00520CAA" w:rsidRPr="00C215DD" w:rsidRDefault="00520CAA" w:rsidP="00F54CA4">
            <w:pPr>
              <w:keepNext/>
              <w:keepLines/>
              <w:tabs>
                <w:tab w:val="left" w:pos="1452"/>
              </w:tabs>
              <w:spacing w:before="120" w:after="120"/>
              <w:ind w:left="1452" w:hanging="1452"/>
              <w:rPr>
                <w:b/>
                <w:bCs/>
                <w:sz w:val="16"/>
                <w:szCs w:val="16"/>
              </w:rPr>
            </w:pPr>
            <w:r w:rsidRPr="00C215DD">
              <w:rPr>
                <w:b/>
                <w:bCs/>
                <w:sz w:val="16"/>
                <w:szCs w:val="16"/>
              </w:rPr>
              <w:t>Expected Result:</w:t>
            </w:r>
            <w:r w:rsidRPr="00C215DD">
              <w:rPr>
                <w:b/>
                <w:bCs/>
                <w:sz w:val="16"/>
                <w:szCs w:val="16"/>
              </w:rPr>
              <w:tab/>
            </w:r>
            <w:r w:rsidRPr="00783036">
              <w:rPr>
                <w:sz w:val="16"/>
                <w:szCs w:val="16"/>
                <w:lang w:bidi="th-TH"/>
              </w:rPr>
              <w:t>III.2 Enhanced human resource capacities able to deal with the broad range of requirements for the effective use of IP for development in developing countries, LDCs and countries with economies in transition</w:t>
            </w:r>
          </w:p>
        </w:tc>
      </w:tr>
      <w:tr w:rsidR="00520CAA" w:rsidRPr="00C215DD" w:rsidTr="00520CAA">
        <w:tc>
          <w:tcPr>
            <w:tcW w:w="2127" w:type="dxa"/>
            <w:tcBorders>
              <w:top w:val="single" w:sz="4" w:space="0" w:color="auto"/>
            </w:tcBorders>
            <w:shd w:val="clear" w:color="auto" w:fill="auto"/>
            <w:vAlign w:val="center"/>
          </w:tcPr>
          <w:p w:rsidR="00520CAA" w:rsidRPr="00C215DD" w:rsidRDefault="00520CAA" w:rsidP="00F54CA4">
            <w:pPr>
              <w:spacing w:after="40"/>
              <w:rPr>
                <w:sz w:val="16"/>
                <w:szCs w:val="16"/>
              </w:rPr>
            </w:pPr>
            <w:r w:rsidRPr="00C215DD">
              <w:rPr>
                <w:b/>
                <w:bCs/>
                <w:sz w:val="16"/>
                <w:szCs w:val="16"/>
              </w:rPr>
              <w:t>Performance Indicators</w:t>
            </w:r>
          </w:p>
        </w:tc>
        <w:tc>
          <w:tcPr>
            <w:tcW w:w="1985" w:type="dxa"/>
            <w:tcBorders>
              <w:top w:val="single" w:sz="4" w:space="0" w:color="auto"/>
            </w:tcBorders>
            <w:shd w:val="clear" w:color="auto" w:fill="auto"/>
            <w:vAlign w:val="center"/>
          </w:tcPr>
          <w:p w:rsidR="00520CAA" w:rsidRPr="00C215DD" w:rsidRDefault="00520CAA" w:rsidP="00F54CA4">
            <w:pPr>
              <w:spacing w:after="40"/>
              <w:rPr>
                <w:b/>
                <w:bCs/>
                <w:sz w:val="16"/>
                <w:szCs w:val="16"/>
              </w:rPr>
            </w:pPr>
            <w:r w:rsidRPr="00C215DD">
              <w:rPr>
                <w:b/>
                <w:bCs/>
                <w:sz w:val="16"/>
                <w:szCs w:val="16"/>
              </w:rPr>
              <w:t>Baselines</w:t>
            </w:r>
          </w:p>
        </w:tc>
        <w:tc>
          <w:tcPr>
            <w:tcW w:w="1843" w:type="dxa"/>
            <w:gridSpan w:val="2"/>
            <w:tcBorders>
              <w:top w:val="single" w:sz="4" w:space="0" w:color="auto"/>
            </w:tcBorders>
            <w:shd w:val="clear" w:color="auto" w:fill="auto"/>
            <w:tcMar>
              <w:top w:w="110" w:type="dxa"/>
            </w:tcMar>
            <w:vAlign w:val="center"/>
          </w:tcPr>
          <w:p w:rsidR="00520CAA" w:rsidRPr="00C215DD" w:rsidRDefault="00520CAA" w:rsidP="00F54CA4">
            <w:pPr>
              <w:spacing w:after="40"/>
              <w:rPr>
                <w:b/>
                <w:sz w:val="16"/>
                <w:szCs w:val="16"/>
              </w:rPr>
            </w:pPr>
            <w:r w:rsidRPr="00C215DD">
              <w:rPr>
                <w:b/>
                <w:sz w:val="16"/>
                <w:szCs w:val="16"/>
              </w:rPr>
              <w:t>Target</w:t>
            </w:r>
            <w:r>
              <w:rPr>
                <w:b/>
                <w:sz w:val="16"/>
                <w:szCs w:val="16"/>
              </w:rPr>
              <w:t>s</w:t>
            </w:r>
          </w:p>
        </w:tc>
        <w:tc>
          <w:tcPr>
            <w:tcW w:w="2552" w:type="dxa"/>
            <w:tcBorders>
              <w:top w:val="single" w:sz="4" w:space="0" w:color="auto"/>
            </w:tcBorders>
            <w:shd w:val="clear" w:color="auto" w:fill="FFFFFF"/>
            <w:tcMar>
              <w:top w:w="110" w:type="dxa"/>
            </w:tcMar>
            <w:vAlign w:val="center"/>
          </w:tcPr>
          <w:p w:rsidR="00520CAA" w:rsidRPr="00C215DD" w:rsidRDefault="00520CAA" w:rsidP="00F54CA4">
            <w:pPr>
              <w:spacing w:after="40"/>
              <w:rPr>
                <w:sz w:val="16"/>
                <w:szCs w:val="16"/>
              </w:rPr>
            </w:pPr>
            <w:r w:rsidRPr="00C215DD">
              <w:rPr>
                <w:b/>
                <w:bCs/>
                <w:sz w:val="16"/>
                <w:szCs w:val="16"/>
              </w:rPr>
              <w:t>Performance Data</w:t>
            </w:r>
          </w:p>
        </w:tc>
        <w:tc>
          <w:tcPr>
            <w:tcW w:w="945" w:type="dxa"/>
            <w:tcBorders>
              <w:top w:val="single" w:sz="4" w:space="0" w:color="auto"/>
            </w:tcBorders>
            <w:shd w:val="clear" w:color="auto" w:fill="auto"/>
            <w:tcMar>
              <w:top w:w="110" w:type="dxa"/>
            </w:tcMar>
            <w:vAlign w:val="center"/>
          </w:tcPr>
          <w:p w:rsidR="00520CAA" w:rsidRPr="00C215DD" w:rsidRDefault="00520CAA" w:rsidP="00F54CA4">
            <w:pPr>
              <w:keepNext/>
              <w:keepLines/>
              <w:spacing w:after="40"/>
              <w:jc w:val="center"/>
              <w:rPr>
                <w:b/>
                <w:bCs/>
                <w:sz w:val="16"/>
                <w:szCs w:val="16"/>
              </w:rPr>
            </w:pPr>
            <w:r w:rsidRPr="00C215DD">
              <w:rPr>
                <w:b/>
                <w:bCs/>
                <w:sz w:val="16"/>
                <w:szCs w:val="16"/>
              </w:rPr>
              <w:t>TLS</w:t>
            </w:r>
          </w:p>
        </w:tc>
      </w:tr>
      <w:tr w:rsidR="00520CAA" w:rsidRPr="00335C36" w:rsidTr="00520CAA">
        <w:tc>
          <w:tcPr>
            <w:tcW w:w="2127" w:type="dxa"/>
            <w:shd w:val="clear" w:color="auto" w:fill="FFFFFF"/>
          </w:tcPr>
          <w:p w:rsidR="00520CAA" w:rsidRPr="00C215DD" w:rsidRDefault="00520CAA" w:rsidP="00F54CA4">
            <w:pPr>
              <w:rPr>
                <w:sz w:val="16"/>
                <w:szCs w:val="16"/>
                <w:lang w:bidi="th-TH"/>
              </w:rPr>
            </w:pPr>
            <w:r w:rsidRPr="00783036">
              <w:rPr>
                <w:sz w:val="16"/>
                <w:szCs w:val="16"/>
                <w:lang w:bidi="th-TH"/>
              </w:rPr>
              <w:t>% of participants in WIPO events who express satisfaction with the content and organization of these events</w:t>
            </w:r>
          </w:p>
        </w:tc>
        <w:tc>
          <w:tcPr>
            <w:tcW w:w="1985" w:type="dxa"/>
            <w:shd w:val="clear" w:color="auto" w:fill="auto"/>
          </w:tcPr>
          <w:p w:rsidR="00520CAA" w:rsidRDefault="00520CAA" w:rsidP="00F54CA4">
            <w:pPr>
              <w:rPr>
                <w:i/>
                <w:color w:val="002060"/>
                <w:sz w:val="16"/>
                <w:szCs w:val="16"/>
              </w:rPr>
            </w:pPr>
            <w:r w:rsidRPr="00C215DD">
              <w:rPr>
                <w:i/>
                <w:color w:val="002060"/>
                <w:sz w:val="16"/>
                <w:szCs w:val="16"/>
              </w:rPr>
              <w:t>Updated Baseline end 201</w:t>
            </w:r>
            <w:r>
              <w:rPr>
                <w:i/>
                <w:color w:val="002060"/>
                <w:sz w:val="16"/>
                <w:szCs w:val="16"/>
              </w:rPr>
              <w:t xml:space="preserve">3: </w:t>
            </w:r>
          </w:p>
          <w:p w:rsidR="00520CAA" w:rsidRDefault="00520CAA" w:rsidP="00F54CA4">
            <w:pPr>
              <w:rPr>
                <w:color w:val="002060"/>
                <w:sz w:val="16"/>
                <w:szCs w:val="16"/>
              </w:rPr>
            </w:pPr>
            <w:r w:rsidRPr="00783036">
              <w:rPr>
                <w:color w:val="002060"/>
                <w:sz w:val="16"/>
                <w:szCs w:val="16"/>
              </w:rPr>
              <w:t>Asia and the Pacific (65%)</w:t>
            </w:r>
            <w:r>
              <w:rPr>
                <w:color w:val="002060"/>
                <w:sz w:val="16"/>
                <w:szCs w:val="16"/>
              </w:rPr>
              <w:t xml:space="preserve">; LDCs </w:t>
            </w:r>
            <w:r w:rsidR="00BA10F4">
              <w:rPr>
                <w:color w:val="002060"/>
                <w:sz w:val="16"/>
                <w:szCs w:val="16"/>
              </w:rPr>
              <w:t>(</w:t>
            </w:r>
            <w:r w:rsidRPr="008648B6">
              <w:rPr>
                <w:color w:val="002060"/>
                <w:sz w:val="16"/>
                <w:szCs w:val="16"/>
              </w:rPr>
              <w:t>60%</w:t>
            </w:r>
            <w:r w:rsidR="00BA10F4">
              <w:rPr>
                <w:color w:val="002060"/>
                <w:sz w:val="16"/>
                <w:szCs w:val="16"/>
              </w:rPr>
              <w:t>)</w:t>
            </w:r>
          </w:p>
          <w:p w:rsidR="00520CAA" w:rsidRPr="00C215DD" w:rsidRDefault="00520CAA" w:rsidP="00F54CA4">
            <w:pPr>
              <w:rPr>
                <w:i/>
                <w:sz w:val="16"/>
                <w:szCs w:val="16"/>
                <w:lang w:bidi="th-TH"/>
              </w:rPr>
            </w:pPr>
          </w:p>
          <w:p w:rsidR="00520CAA" w:rsidRDefault="00520CAA" w:rsidP="00F54CA4">
            <w:pPr>
              <w:rPr>
                <w:sz w:val="16"/>
                <w:szCs w:val="16"/>
                <w:lang w:bidi="th-TH"/>
              </w:rPr>
            </w:pPr>
            <w:r w:rsidRPr="00C215DD">
              <w:rPr>
                <w:i/>
                <w:sz w:val="16"/>
                <w:szCs w:val="16"/>
                <w:lang w:bidi="th-TH"/>
              </w:rPr>
              <w:t xml:space="preserve">Original </w:t>
            </w:r>
            <w:r>
              <w:rPr>
                <w:i/>
                <w:sz w:val="16"/>
                <w:szCs w:val="16"/>
                <w:lang w:bidi="th-TH"/>
              </w:rPr>
              <w:t>Baseline P&amp;B 2014/15</w:t>
            </w:r>
            <w:r w:rsidRPr="00C215DD">
              <w:rPr>
                <w:i/>
                <w:sz w:val="16"/>
                <w:szCs w:val="16"/>
                <w:lang w:bidi="th-TH"/>
              </w:rPr>
              <w:t>:</w:t>
            </w:r>
            <w:r>
              <w:rPr>
                <w:sz w:val="16"/>
                <w:szCs w:val="16"/>
                <w:lang w:bidi="th-TH"/>
              </w:rPr>
              <w:t xml:space="preserve">  No data available</w:t>
            </w:r>
          </w:p>
          <w:p w:rsidR="00520CAA" w:rsidRPr="00C215DD" w:rsidRDefault="00520CAA" w:rsidP="00F54CA4">
            <w:pPr>
              <w:rPr>
                <w:sz w:val="16"/>
                <w:szCs w:val="16"/>
                <w:lang w:bidi="th-TH"/>
              </w:rPr>
            </w:pPr>
          </w:p>
        </w:tc>
        <w:tc>
          <w:tcPr>
            <w:tcW w:w="1843" w:type="dxa"/>
            <w:gridSpan w:val="2"/>
            <w:shd w:val="clear" w:color="auto" w:fill="auto"/>
            <w:tcMar>
              <w:top w:w="110" w:type="dxa"/>
            </w:tcMar>
          </w:tcPr>
          <w:p w:rsidR="00520CAA" w:rsidRDefault="00520CAA" w:rsidP="00F54CA4">
            <w:pPr>
              <w:rPr>
                <w:sz w:val="16"/>
                <w:szCs w:val="16"/>
                <w:lang w:bidi="th-TH"/>
              </w:rPr>
            </w:pPr>
            <w:r w:rsidRPr="008648B6">
              <w:rPr>
                <w:sz w:val="16"/>
                <w:szCs w:val="16"/>
                <w:lang w:bidi="th-TH"/>
              </w:rPr>
              <w:t>Africa (70%)</w:t>
            </w:r>
          </w:p>
          <w:p w:rsidR="00520CAA" w:rsidRDefault="00520CAA" w:rsidP="00F54CA4">
            <w:pPr>
              <w:rPr>
                <w:sz w:val="16"/>
                <w:szCs w:val="16"/>
                <w:lang w:bidi="th-TH"/>
              </w:rPr>
            </w:pPr>
          </w:p>
          <w:p w:rsidR="00520CAA" w:rsidRDefault="00520CAA" w:rsidP="00F54CA4">
            <w:pPr>
              <w:rPr>
                <w:sz w:val="16"/>
                <w:szCs w:val="16"/>
                <w:lang w:bidi="th-TH"/>
              </w:rPr>
            </w:pPr>
            <w:r w:rsidRPr="008648B6">
              <w:rPr>
                <w:sz w:val="16"/>
                <w:szCs w:val="16"/>
                <w:lang w:bidi="th-TH"/>
              </w:rPr>
              <w:t>Arab (80%)</w:t>
            </w:r>
          </w:p>
          <w:p w:rsidR="00520CAA" w:rsidRDefault="00520CAA" w:rsidP="00F54CA4">
            <w:pPr>
              <w:rPr>
                <w:sz w:val="16"/>
                <w:szCs w:val="16"/>
                <w:lang w:bidi="th-TH"/>
              </w:rPr>
            </w:pPr>
          </w:p>
          <w:p w:rsidR="00520CAA" w:rsidRDefault="00520CAA" w:rsidP="00F54CA4">
            <w:pPr>
              <w:rPr>
                <w:sz w:val="16"/>
                <w:szCs w:val="16"/>
                <w:lang w:bidi="th-TH"/>
              </w:rPr>
            </w:pPr>
          </w:p>
          <w:p w:rsidR="00520CAA" w:rsidRDefault="00520CAA" w:rsidP="00F54CA4">
            <w:pPr>
              <w:rPr>
                <w:sz w:val="16"/>
                <w:szCs w:val="16"/>
                <w:lang w:bidi="th-TH"/>
              </w:rPr>
            </w:pPr>
            <w:r w:rsidRPr="008648B6">
              <w:rPr>
                <w:sz w:val="16"/>
                <w:szCs w:val="16"/>
                <w:lang w:bidi="th-TH"/>
              </w:rPr>
              <w:t xml:space="preserve">Asia and </w:t>
            </w:r>
            <w:r w:rsidR="002C2CA1">
              <w:rPr>
                <w:sz w:val="16"/>
                <w:szCs w:val="16"/>
                <w:lang w:bidi="th-TH"/>
              </w:rPr>
              <w:t xml:space="preserve">the </w:t>
            </w:r>
            <w:r w:rsidRPr="008648B6">
              <w:rPr>
                <w:sz w:val="16"/>
                <w:szCs w:val="16"/>
                <w:lang w:bidi="th-TH"/>
              </w:rPr>
              <w:t>Pacific (65%)</w:t>
            </w:r>
          </w:p>
          <w:p w:rsidR="00520CAA" w:rsidRDefault="00520CAA" w:rsidP="00F54CA4">
            <w:pPr>
              <w:rPr>
                <w:sz w:val="16"/>
                <w:szCs w:val="16"/>
                <w:lang w:bidi="th-TH"/>
              </w:rPr>
            </w:pPr>
          </w:p>
          <w:p w:rsidR="00520CAA" w:rsidRDefault="00520CAA" w:rsidP="00F54CA4">
            <w:pPr>
              <w:rPr>
                <w:sz w:val="16"/>
                <w:szCs w:val="16"/>
                <w:lang w:bidi="th-TH"/>
              </w:rPr>
            </w:pPr>
            <w:r w:rsidRPr="008648B6">
              <w:rPr>
                <w:sz w:val="16"/>
                <w:szCs w:val="16"/>
                <w:lang w:bidi="th-TH"/>
              </w:rPr>
              <w:t>Latin America and the Caribbean (80%)</w:t>
            </w:r>
          </w:p>
          <w:p w:rsidR="00520CAA" w:rsidRDefault="00520CAA" w:rsidP="00F54CA4">
            <w:pPr>
              <w:rPr>
                <w:sz w:val="16"/>
                <w:szCs w:val="16"/>
                <w:lang w:bidi="th-TH"/>
              </w:rPr>
            </w:pPr>
          </w:p>
          <w:p w:rsidR="00520CAA" w:rsidRDefault="00520CAA" w:rsidP="00F54CA4">
            <w:pPr>
              <w:rPr>
                <w:sz w:val="16"/>
                <w:szCs w:val="16"/>
                <w:lang w:bidi="th-TH"/>
              </w:rPr>
            </w:pPr>
            <w:r w:rsidRPr="008648B6">
              <w:rPr>
                <w:sz w:val="16"/>
                <w:szCs w:val="16"/>
                <w:lang w:bidi="th-TH"/>
              </w:rPr>
              <w:t>LDCs (80%)</w:t>
            </w:r>
          </w:p>
          <w:p w:rsidR="00520CAA" w:rsidRPr="007E1C6F" w:rsidRDefault="00520CAA" w:rsidP="00F54CA4">
            <w:pPr>
              <w:rPr>
                <w:sz w:val="16"/>
                <w:szCs w:val="16"/>
                <w:lang w:bidi="th-TH"/>
              </w:rPr>
            </w:pPr>
          </w:p>
        </w:tc>
        <w:tc>
          <w:tcPr>
            <w:tcW w:w="2552" w:type="dxa"/>
            <w:shd w:val="clear" w:color="auto" w:fill="FFFFFF"/>
            <w:tcMar>
              <w:top w:w="110" w:type="dxa"/>
            </w:tcMar>
          </w:tcPr>
          <w:p w:rsidR="00520CAA" w:rsidRDefault="00520CAA" w:rsidP="00F54CA4">
            <w:pPr>
              <w:rPr>
                <w:sz w:val="16"/>
                <w:szCs w:val="16"/>
                <w:lang w:bidi="th-TH"/>
              </w:rPr>
            </w:pPr>
            <w:r w:rsidRPr="00B36726">
              <w:rPr>
                <w:sz w:val="16"/>
                <w:szCs w:val="16"/>
                <w:lang w:bidi="th-TH"/>
              </w:rPr>
              <w:t>Africa (70%)</w:t>
            </w:r>
          </w:p>
          <w:p w:rsidR="00520CAA" w:rsidRDefault="00520CAA" w:rsidP="00F54CA4">
            <w:pPr>
              <w:rPr>
                <w:sz w:val="16"/>
                <w:szCs w:val="16"/>
                <w:lang w:bidi="th-TH"/>
              </w:rPr>
            </w:pPr>
          </w:p>
          <w:p w:rsidR="00520CAA" w:rsidRDefault="00520CAA" w:rsidP="00F54CA4">
            <w:pPr>
              <w:rPr>
                <w:sz w:val="16"/>
                <w:szCs w:val="16"/>
                <w:lang w:bidi="th-TH"/>
              </w:rPr>
            </w:pPr>
            <w:r w:rsidRPr="00520309">
              <w:rPr>
                <w:sz w:val="16"/>
                <w:szCs w:val="16"/>
                <w:lang w:bidi="th-TH"/>
              </w:rPr>
              <w:t>Arab (</w:t>
            </w:r>
            <w:r w:rsidRPr="00B36726">
              <w:rPr>
                <w:sz w:val="16"/>
                <w:szCs w:val="16"/>
                <w:lang w:bidi="th-TH"/>
              </w:rPr>
              <w:t>Not available</w:t>
            </w:r>
            <w:r>
              <w:rPr>
                <w:sz w:val="16"/>
                <w:szCs w:val="16"/>
                <w:lang w:bidi="th-TH"/>
              </w:rPr>
              <w:t>; system to be implemented in 2015)</w:t>
            </w:r>
          </w:p>
          <w:p w:rsidR="00520CAA" w:rsidRDefault="00520CAA" w:rsidP="00F54CA4">
            <w:pPr>
              <w:rPr>
                <w:sz w:val="16"/>
                <w:szCs w:val="16"/>
                <w:lang w:bidi="th-TH"/>
              </w:rPr>
            </w:pPr>
          </w:p>
          <w:p w:rsidR="00520CAA" w:rsidRDefault="00520CAA" w:rsidP="00F54CA4">
            <w:pPr>
              <w:rPr>
                <w:sz w:val="16"/>
                <w:szCs w:val="16"/>
                <w:lang w:bidi="th-TH"/>
              </w:rPr>
            </w:pPr>
            <w:r>
              <w:rPr>
                <w:sz w:val="16"/>
                <w:szCs w:val="16"/>
                <w:lang w:bidi="th-TH"/>
              </w:rPr>
              <w:t>Asia and the Pacific (</w:t>
            </w:r>
            <w:r w:rsidRPr="00B36726">
              <w:rPr>
                <w:sz w:val="16"/>
                <w:szCs w:val="16"/>
                <w:lang w:bidi="th-TH"/>
              </w:rPr>
              <w:t>92%</w:t>
            </w:r>
            <w:r>
              <w:rPr>
                <w:sz w:val="16"/>
                <w:szCs w:val="16"/>
                <w:lang w:bidi="th-TH"/>
              </w:rPr>
              <w:t>)</w:t>
            </w:r>
          </w:p>
          <w:p w:rsidR="00520CAA" w:rsidRDefault="00520CAA" w:rsidP="00F54CA4">
            <w:pPr>
              <w:rPr>
                <w:sz w:val="16"/>
                <w:szCs w:val="16"/>
                <w:lang w:bidi="th-TH"/>
              </w:rPr>
            </w:pPr>
          </w:p>
          <w:p w:rsidR="00520CAA" w:rsidRDefault="00520CAA" w:rsidP="00F54CA4">
            <w:pPr>
              <w:rPr>
                <w:sz w:val="16"/>
                <w:szCs w:val="16"/>
                <w:lang w:bidi="th-TH"/>
              </w:rPr>
            </w:pPr>
          </w:p>
          <w:p w:rsidR="00520CAA" w:rsidRDefault="00520CAA" w:rsidP="00F54CA4">
            <w:pPr>
              <w:rPr>
                <w:sz w:val="16"/>
                <w:szCs w:val="16"/>
                <w:lang w:bidi="th-TH"/>
              </w:rPr>
            </w:pPr>
            <w:r w:rsidRPr="004A0BC2">
              <w:rPr>
                <w:sz w:val="16"/>
                <w:szCs w:val="16"/>
                <w:lang w:bidi="th-TH"/>
              </w:rPr>
              <w:t xml:space="preserve">Latin America and the Caribbean </w:t>
            </w:r>
            <w:r>
              <w:rPr>
                <w:sz w:val="16"/>
                <w:szCs w:val="16"/>
                <w:lang w:bidi="th-TH"/>
              </w:rPr>
              <w:t>(</w:t>
            </w:r>
            <w:r w:rsidRPr="00B36726">
              <w:rPr>
                <w:sz w:val="16"/>
                <w:szCs w:val="16"/>
                <w:lang w:bidi="th-TH"/>
              </w:rPr>
              <w:t>Not available</w:t>
            </w:r>
            <w:r>
              <w:rPr>
                <w:sz w:val="16"/>
                <w:szCs w:val="16"/>
                <w:lang w:bidi="th-TH"/>
              </w:rPr>
              <w:t>; system to be implemented in 2015)</w:t>
            </w:r>
          </w:p>
          <w:p w:rsidR="00520CAA" w:rsidRDefault="00520CAA" w:rsidP="00F54CA4">
            <w:pPr>
              <w:rPr>
                <w:sz w:val="16"/>
                <w:szCs w:val="16"/>
                <w:lang w:bidi="th-TH"/>
              </w:rPr>
            </w:pPr>
          </w:p>
          <w:p w:rsidR="00520CAA" w:rsidRDefault="00520CAA" w:rsidP="00F54CA4">
            <w:pPr>
              <w:rPr>
                <w:sz w:val="16"/>
                <w:szCs w:val="16"/>
                <w:lang w:bidi="th-TH"/>
              </w:rPr>
            </w:pPr>
            <w:r>
              <w:rPr>
                <w:sz w:val="16"/>
                <w:szCs w:val="16"/>
                <w:lang w:bidi="th-TH"/>
              </w:rPr>
              <w:t>LDCs (90%)</w:t>
            </w:r>
          </w:p>
          <w:p w:rsidR="00520CAA" w:rsidRPr="00B36726" w:rsidRDefault="00520CAA" w:rsidP="00F54CA4">
            <w:pPr>
              <w:rPr>
                <w:sz w:val="16"/>
                <w:szCs w:val="16"/>
                <w:lang w:bidi="th-TH"/>
              </w:rPr>
            </w:pPr>
          </w:p>
        </w:tc>
        <w:tc>
          <w:tcPr>
            <w:tcW w:w="945" w:type="dxa"/>
            <w:shd w:val="clear" w:color="auto" w:fill="auto"/>
            <w:tcMar>
              <w:top w:w="110" w:type="dxa"/>
            </w:tcMar>
          </w:tcPr>
          <w:p w:rsidR="00520CAA" w:rsidRPr="00335C36" w:rsidRDefault="00520CAA" w:rsidP="00F54CA4">
            <w:pPr>
              <w:keepNext/>
              <w:keepLines/>
              <w:jc w:val="center"/>
              <w:rPr>
                <w:b/>
                <w:bCs/>
                <w:color w:val="00B050"/>
                <w:sz w:val="16"/>
                <w:szCs w:val="16"/>
              </w:rPr>
            </w:pPr>
            <w:r w:rsidRPr="00335C36">
              <w:rPr>
                <w:b/>
                <w:bCs/>
                <w:color w:val="00B050"/>
                <w:sz w:val="16"/>
                <w:szCs w:val="16"/>
              </w:rPr>
              <w:t>On track</w:t>
            </w:r>
          </w:p>
          <w:p w:rsidR="00520CAA" w:rsidRPr="00335C36" w:rsidRDefault="00520CAA" w:rsidP="00F54CA4">
            <w:pPr>
              <w:keepNext/>
              <w:keepLines/>
              <w:jc w:val="center"/>
              <w:rPr>
                <w:b/>
                <w:bCs/>
                <w:color w:val="00B050"/>
                <w:sz w:val="16"/>
                <w:szCs w:val="16"/>
              </w:rPr>
            </w:pPr>
          </w:p>
          <w:p w:rsidR="00520CAA" w:rsidRPr="00335775" w:rsidRDefault="00520CAA" w:rsidP="00F54CA4">
            <w:pPr>
              <w:keepNext/>
              <w:keepLines/>
              <w:jc w:val="center"/>
              <w:rPr>
                <w:b/>
                <w:bCs/>
                <w:color w:val="0070C0"/>
                <w:sz w:val="16"/>
                <w:szCs w:val="16"/>
              </w:rPr>
            </w:pPr>
            <w:r w:rsidRPr="00335775">
              <w:rPr>
                <w:b/>
                <w:bCs/>
                <w:color w:val="0070C0"/>
                <w:sz w:val="16"/>
                <w:szCs w:val="16"/>
              </w:rPr>
              <w:t>N/A 2014</w:t>
            </w:r>
          </w:p>
          <w:p w:rsidR="00520CAA" w:rsidRPr="00335C36" w:rsidRDefault="00520CAA" w:rsidP="00F54CA4">
            <w:pPr>
              <w:keepNext/>
              <w:keepLines/>
              <w:jc w:val="center"/>
              <w:rPr>
                <w:b/>
                <w:bCs/>
                <w:color w:val="00B050"/>
                <w:sz w:val="16"/>
                <w:szCs w:val="16"/>
              </w:rPr>
            </w:pPr>
          </w:p>
          <w:p w:rsidR="00520CAA" w:rsidRPr="00335C36" w:rsidRDefault="00520CAA" w:rsidP="00F54CA4">
            <w:pPr>
              <w:keepNext/>
              <w:keepLines/>
              <w:jc w:val="center"/>
              <w:rPr>
                <w:b/>
                <w:bCs/>
                <w:color w:val="00B050"/>
                <w:sz w:val="16"/>
                <w:szCs w:val="16"/>
              </w:rPr>
            </w:pPr>
          </w:p>
          <w:p w:rsidR="00520CAA" w:rsidRPr="00335C36" w:rsidRDefault="00520CAA" w:rsidP="00F54CA4">
            <w:pPr>
              <w:keepNext/>
              <w:keepLines/>
              <w:jc w:val="center"/>
              <w:rPr>
                <w:b/>
                <w:bCs/>
                <w:color w:val="00B050"/>
                <w:sz w:val="16"/>
                <w:szCs w:val="16"/>
              </w:rPr>
            </w:pPr>
            <w:r w:rsidRPr="00335C36">
              <w:rPr>
                <w:b/>
                <w:bCs/>
                <w:color w:val="00B050"/>
                <w:sz w:val="16"/>
                <w:szCs w:val="16"/>
              </w:rPr>
              <w:t>On track</w:t>
            </w:r>
          </w:p>
          <w:p w:rsidR="00520CAA" w:rsidRPr="00335C36" w:rsidRDefault="00520CAA" w:rsidP="00F54CA4">
            <w:pPr>
              <w:keepNext/>
              <w:keepLines/>
              <w:jc w:val="center"/>
              <w:rPr>
                <w:b/>
                <w:bCs/>
                <w:color w:val="00B050"/>
                <w:sz w:val="16"/>
                <w:szCs w:val="16"/>
              </w:rPr>
            </w:pPr>
          </w:p>
          <w:p w:rsidR="00520CAA" w:rsidRPr="00335C36" w:rsidRDefault="00520CAA" w:rsidP="00F54CA4">
            <w:pPr>
              <w:keepNext/>
              <w:keepLines/>
              <w:jc w:val="center"/>
              <w:rPr>
                <w:b/>
                <w:bCs/>
                <w:color w:val="00B050"/>
                <w:sz w:val="16"/>
                <w:szCs w:val="16"/>
              </w:rPr>
            </w:pPr>
          </w:p>
          <w:p w:rsidR="00520CAA" w:rsidRPr="00335775" w:rsidRDefault="00520CAA" w:rsidP="00F54CA4">
            <w:pPr>
              <w:keepNext/>
              <w:keepLines/>
              <w:jc w:val="center"/>
              <w:rPr>
                <w:b/>
                <w:bCs/>
                <w:color w:val="0070C0"/>
                <w:sz w:val="16"/>
                <w:szCs w:val="16"/>
              </w:rPr>
            </w:pPr>
            <w:r w:rsidRPr="00335775">
              <w:rPr>
                <w:b/>
                <w:bCs/>
                <w:color w:val="0070C0"/>
                <w:sz w:val="16"/>
                <w:szCs w:val="16"/>
              </w:rPr>
              <w:t>N/A 2014</w:t>
            </w:r>
          </w:p>
          <w:p w:rsidR="00520CAA" w:rsidRDefault="00520CAA" w:rsidP="00F54CA4">
            <w:pPr>
              <w:keepNext/>
              <w:keepLines/>
              <w:jc w:val="center"/>
              <w:rPr>
                <w:b/>
                <w:bCs/>
                <w:color w:val="00B050"/>
                <w:sz w:val="16"/>
                <w:szCs w:val="16"/>
              </w:rPr>
            </w:pPr>
          </w:p>
          <w:p w:rsidR="00520CAA" w:rsidRDefault="00520CAA" w:rsidP="00F54CA4">
            <w:pPr>
              <w:keepNext/>
              <w:keepLines/>
              <w:jc w:val="center"/>
              <w:rPr>
                <w:b/>
                <w:bCs/>
                <w:color w:val="00B050"/>
                <w:sz w:val="16"/>
                <w:szCs w:val="16"/>
              </w:rPr>
            </w:pPr>
          </w:p>
          <w:p w:rsidR="00520CAA" w:rsidRDefault="00520CAA" w:rsidP="00F54CA4">
            <w:pPr>
              <w:keepNext/>
              <w:keepLines/>
              <w:jc w:val="center"/>
              <w:rPr>
                <w:b/>
                <w:bCs/>
                <w:color w:val="00B050"/>
                <w:sz w:val="16"/>
                <w:szCs w:val="16"/>
              </w:rPr>
            </w:pPr>
          </w:p>
          <w:p w:rsidR="00520CAA" w:rsidRDefault="00520CAA" w:rsidP="00F54CA4">
            <w:pPr>
              <w:keepNext/>
              <w:keepLines/>
              <w:jc w:val="center"/>
              <w:rPr>
                <w:b/>
                <w:bCs/>
                <w:color w:val="00B050"/>
                <w:sz w:val="16"/>
                <w:szCs w:val="16"/>
              </w:rPr>
            </w:pPr>
          </w:p>
          <w:p w:rsidR="00520CAA" w:rsidRPr="00335775" w:rsidRDefault="00520CAA" w:rsidP="00F54CA4">
            <w:pPr>
              <w:keepNext/>
              <w:keepLines/>
              <w:jc w:val="center"/>
              <w:rPr>
                <w:b/>
                <w:bCs/>
                <w:color w:val="008000"/>
                <w:sz w:val="16"/>
                <w:szCs w:val="16"/>
              </w:rPr>
            </w:pPr>
            <w:r w:rsidRPr="00335C36">
              <w:rPr>
                <w:b/>
                <w:bCs/>
                <w:color w:val="00B050"/>
                <w:sz w:val="16"/>
                <w:szCs w:val="16"/>
              </w:rPr>
              <w:t>On track</w:t>
            </w:r>
          </w:p>
        </w:tc>
      </w:tr>
    </w:tbl>
    <w:p w:rsidR="00520CAA" w:rsidRDefault="00520CAA">
      <w:r>
        <w:br w:type="page"/>
      </w: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2127"/>
        <w:gridCol w:w="1843"/>
        <w:gridCol w:w="2552"/>
        <w:gridCol w:w="945"/>
      </w:tblGrid>
      <w:tr w:rsidR="00520CAA" w:rsidRPr="00C215DD" w:rsidTr="00531530">
        <w:tc>
          <w:tcPr>
            <w:tcW w:w="2127" w:type="dxa"/>
            <w:shd w:val="clear" w:color="auto" w:fill="FFFFFF"/>
            <w:vAlign w:val="center"/>
          </w:tcPr>
          <w:p w:rsidR="00520CAA" w:rsidRPr="00C215DD" w:rsidRDefault="00520CAA" w:rsidP="00E70E02">
            <w:pPr>
              <w:spacing w:before="40" w:after="40"/>
              <w:rPr>
                <w:sz w:val="16"/>
                <w:szCs w:val="16"/>
              </w:rPr>
            </w:pPr>
            <w:r w:rsidRPr="00C215DD">
              <w:rPr>
                <w:b/>
                <w:bCs/>
                <w:sz w:val="16"/>
                <w:szCs w:val="16"/>
              </w:rPr>
              <w:lastRenderedPageBreak/>
              <w:t>Performance Indicators</w:t>
            </w:r>
          </w:p>
        </w:tc>
        <w:tc>
          <w:tcPr>
            <w:tcW w:w="2127" w:type="dxa"/>
            <w:shd w:val="clear" w:color="auto" w:fill="auto"/>
            <w:vAlign w:val="center"/>
          </w:tcPr>
          <w:p w:rsidR="00520CAA" w:rsidRPr="00C215DD" w:rsidRDefault="00520CAA" w:rsidP="00E70E02">
            <w:pPr>
              <w:spacing w:before="40" w:after="40"/>
              <w:rPr>
                <w:b/>
                <w:bCs/>
                <w:sz w:val="16"/>
                <w:szCs w:val="16"/>
              </w:rPr>
            </w:pPr>
            <w:r w:rsidRPr="00C215DD">
              <w:rPr>
                <w:b/>
                <w:bCs/>
                <w:sz w:val="16"/>
                <w:szCs w:val="16"/>
              </w:rPr>
              <w:t>Baselines</w:t>
            </w:r>
          </w:p>
        </w:tc>
        <w:tc>
          <w:tcPr>
            <w:tcW w:w="1843" w:type="dxa"/>
            <w:shd w:val="clear" w:color="auto" w:fill="auto"/>
            <w:tcMar>
              <w:top w:w="110" w:type="dxa"/>
            </w:tcMar>
            <w:vAlign w:val="center"/>
          </w:tcPr>
          <w:p w:rsidR="00520CAA" w:rsidRPr="00C215DD" w:rsidRDefault="00520CAA" w:rsidP="00E70E02">
            <w:pPr>
              <w:spacing w:before="40" w:after="40"/>
              <w:rPr>
                <w:b/>
                <w:sz w:val="16"/>
                <w:szCs w:val="16"/>
              </w:rPr>
            </w:pPr>
            <w:r w:rsidRPr="00C215DD">
              <w:rPr>
                <w:b/>
                <w:sz w:val="16"/>
                <w:szCs w:val="16"/>
              </w:rPr>
              <w:t>Target</w:t>
            </w:r>
            <w:r>
              <w:rPr>
                <w:b/>
                <w:sz w:val="16"/>
                <w:szCs w:val="16"/>
              </w:rPr>
              <w:t>s</w:t>
            </w:r>
          </w:p>
        </w:tc>
        <w:tc>
          <w:tcPr>
            <w:tcW w:w="2552" w:type="dxa"/>
            <w:shd w:val="clear" w:color="auto" w:fill="FFFFFF"/>
            <w:tcMar>
              <w:top w:w="110" w:type="dxa"/>
            </w:tcMar>
            <w:vAlign w:val="center"/>
          </w:tcPr>
          <w:p w:rsidR="00520CAA" w:rsidRPr="00C215DD" w:rsidRDefault="00520CAA" w:rsidP="00E70E02">
            <w:pPr>
              <w:spacing w:before="40" w:after="40"/>
              <w:rPr>
                <w:sz w:val="16"/>
                <w:szCs w:val="16"/>
              </w:rPr>
            </w:pPr>
            <w:r w:rsidRPr="00C215DD">
              <w:rPr>
                <w:b/>
                <w:bCs/>
                <w:sz w:val="16"/>
                <w:szCs w:val="16"/>
              </w:rPr>
              <w:t>Performance Data</w:t>
            </w:r>
          </w:p>
        </w:tc>
        <w:tc>
          <w:tcPr>
            <w:tcW w:w="945" w:type="dxa"/>
            <w:shd w:val="clear" w:color="auto" w:fill="auto"/>
            <w:tcMar>
              <w:top w:w="110" w:type="dxa"/>
            </w:tcMar>
            <w:vAlign w:val="center"/>
          </w:tcPr>
          <w:p w:rsidR="00520CAA" w:rsidRPr="00C215DD" w:rsidRDefault="00520CAA" w:rsidP="00E70E02">
            <w:pPr>
              <w:keepNext/>
              <w:keepLines/>
              <w:spacing w:before="40" w:after="40"/>
              <w:jc w:val="center"/>
              <w:rPr>
                <w:b/>
                <w:bCs/>
                <w:sz w:val="16"/>
                <w:szCs w:val="16"/>
              </w:rPr>
            </w:pPr>
            <w:r w:rsidRPr="00C215DD">
              <w:rPr>
                <w:b/>
                <w:bCs/>
                <w:sz w:val="16"/>
                <w:szCs w:val="16"/>
              </w:rPr>
              <w:t>TLS</w:t>
            </w:r>
          </w:p>
        </w:tc>
      </w:tr>
      <w:tr w:rsidR="00520CAA" w:rsidRPr="00C215DD" w:rsidTr="00531530">
        <w:tc>
          <w:tcPr>
            <w:tcW w:w="2127" w:type="dxa"/>
            <w:shd w:val="clear" w:color="auto" w:fill="FFFFFF"/>
          </w:tcPr>
          <w:p w:rsidR="00520CAA" w:rsidRDefault="00520CAA" w:rsidP="00F54CA4">
            <w:pPr>
              <w:rPr>
                <w:sz w:val="16"/>
                <w:szCs w:val="16"/>
                <w:lang w:bidi="th-TH"/>
              </w:rPr>
            </w:pPr>
            <w:r w:rsidRPr="00B36726">
              <w:rPr>
                <w:sz w:val="16"/>
                <w:szCs w:val="16"/>
                <w:lang w:bidi="th-TH"/>
              </w:rPr>
              <w:t>% of participants in WIPO workshops who apply the skills and knowledge learned in their work/enterprise</w:t>
            </w:r>
          </w:p>
          <w:p w:rsidR="00520CAA" w:rsidRDefault="00520CAA" w:rsidP="00F54CA4">
            <w:pPr>
              <w:rPr>
                <w:sz w:val="16"/>
                <w:szCs w:val="16"/>
                <w:lang w:bidi="th-TH"/>
              </w:rPr>
            </w:pPr>
          </w:p>
          <w:p w:rsidR="00520CAA" w:rsidRDefault="00520CAA" w:rsidP="00F54CA4">
            <w:pPr>
              <w:rPr>
                <w:sz w:val="16"/>
                <w:szCs w:val="16"/>
                <w:lang w:bidi="th-TH"/>
              </w:rPr>
            </w:pPr>
          </w:p>
          <w:p w:rsidR="00520CAA" w:rsidRDefault="00520CAA" w:rsidP="00F54CA4">
            <w:pPr>
              <w:rPr>
                <w:sz w:val="16"/>
                <w:szCs w:val="16"/>
                <w:lang w:bidi="th-TH"/>
              </w:rPr>
            </w:pPr>
          </w:p>
          <w:p w:rsidR="00520CAA" w:rsidRDefault="00520CAA" w:rsidP="00F54CA4">
            <w:pPr>
              <w:rPr>
                <w:sz w:val="16"/>
                <w:szCs w:val="16"/>
                <w:lang w:bidi="th-TH"/>
              </w:rPr>
            </w:pPr>
          </w:p>
          <w:p w:rsidR="00520CAA" w:rsidRDefault="00520CAA" w:rsidP="00F54CA4">
            <w:pPr>
              <w:rPr>
                <w:sz w:val="16"/>
                <w:szCs w:val="16"/>
                <w:lang w:bidi="th-TH"/>
              </w:rPr>
            </w:pPr>
          </w:p>
          <w:p w:rsidR="00520CAA" w:rsidRDefault="00520CAA" w:rsidP="00F54CA4">
            <w:pPr>
              <w:rPr>
                <w:sz w:val="16"/>
                <w:szCs w:val="16"/>
                <w:lang w:bidi="th-TH"/>
              </w:rPr>
            </w:pPr>
          </w:p>
          <w:p w:rsidR="00520CAA" w:rsidRDefault="00520CAA" w:rsidP="00F54CA4">
            <w:pPr>
              <w:rPr>
                <w:sz w:val="16"/>
                <w:szCs w:val="16"/>
                <w:lang w:bidi="th-TH"/>
              </w:rPr>
            </w:pPr>
          </w:p>
          <w:p w:rsidR="00520CAA" w:rsidRDefault="00520CAA" w:rsidP="00F54CA4">
            <w:pPr>
              <w:rPr>
                <w:sz w:val="16"/>
                <w:szCs w:val="16"/>
                <w:lang w:bidi="th-TH"/>
              </w:rPr>
            </w:pPr>
          </w:p>
          <w:p w:rsidR="00520CAA" w:rsidRDefault="00520CAA" w:rsidP="00F54CA4">
            <w:pPr>
              <w:rPr>
                <w:sz w:val="16"/>
                <w:szCs w:val="16"/>
                <w:lang w:bidi="th-TH"/>
              </w:rPr>
            </w:pPr>
          </w:p>
          <w:p w:rsidR="00520CAA" w:rsidRDefault="00520CAA" w:rsidP="00F54CA4">
            <w:pPr>
              <w:rPr>
                <w:sz w:val="16"/>
                <w:szCs w:val="16"/>
                <w:lang w:bidi="th-TH"/>
              </w:rPr>
            </w:pPr>
          </w:p>
          <w:p w:rsidR="00520CAA" w:rsidRDefault="00520CAA" w:rsidP="00F54CA4">
            <w:pPr>
              <w:rPr>
                <w:sz w:val="16"/>
                <w:szCs w:val="16"/>
                <w:lang w:bidi="th-TH"/>
              </w:rPr>
            </w:pPr>
          </w:p>
          <w:p w:rsidR="00520CAA" w:rsidRDefault="00520CAA" w:rsidP="00F54CA4">
            <w:pPr>
              <w:rPr>
                <w:sz w:val="16"/>
                <w:szCs w:val="16"/>
                <w:lang w:bidi="th-TH"/>
              </w:rPr>
            </w:pPr>
          </w:p>
          <w:p w:rsidR="00520CAA" w:rsidRDefault="00520CAA" w:rsidP="00F54CA4">
            <w:pPr>
              <w:rPr>
                <w:sz w:val="16"/>
                <w:szCs w:val="16"/>
                <w:lang w:bidi="th-TH"/>
              </w:rPr>
            </w:pPr>
          </w:p>
          <w:p w:rsidR="00520CAA" w:rsidRDefault="00520CAA" w:rsidP="00F54CA4">
            <w:pPr>
              <w:rPr>
                <w:sz w:val="16"/>
                <w:szCs w:val="16"/>
                <w:lang w:bidi="th-TH"/>
              </w:rPr>
            </w:pPr>
          </w:p>
          <w:p w:rsidR="00520CAA" w:rsidRPr="00783036" w:rsidRDefault="00520CAA" w:rsidP="00F54CA4">
            <w:pPr>
              <w:rPr>
                <w:sz w:val="16"/>
                <w:szCs w:val="16"/>
                <w:lang w:bidi="th-TH"/>
              </w:rPr>
            </w:pPr>
          </w:p>
        </w:tc>
        <w:tc>
          <w:tcPr>
            <w:tcW w:w="2127" w:type="dxa"/>
            <w:shd w:val="clear" w:color="auto" w:fill="auto"/>
          </w:tcPr>
          <w:p w:rsidR="00520CAA" w:rsidRDefault="00520CAA" w:rsidP="00F54CA4">
            <w:pPr>
              <w:rPr>
                <w:color w:val="002060"/>
                <w:sz w:val="16"/>
                <w:szCs w:val="16"/>
              </w:rPr>
            </w:pPr>
            <w:r w:rsidRPr="00C215DD">
              <w:rPr>
                <w:i/>
                <w:color w:val="002060"/>
                <w:sz w:val="16"/>
                <w:szCs w:val="16"/>
              </w:rPr>
              <w:t>Updated Baseline end 201</w:t>
            </w:r>
            <w:r>
              <w:rPr>
                <w:i/>
                <w:color w:val="002060"/>
                <w:sz w:val="16"/>
                <w:szCs w:val="16"/>
              </w:rPr>
              <w:t xml:space="preserve">3:  </w:t>
            </w:r>
            <w:r>
              <w:rPr>
                <w:color w:val="002060"/>
                <w:sz w:val="16"/>
                <w:szCs w:val="16"/>
              </w:rPr>
              <w:t xml:space="preserve">Africa: </w:t>
            </w:r>
            <w:r>
              <w:rPr>
                <w:sz w:val="16"/>
                <w:szCs w:val="16"/>
                <w:lang w:bidi="th-TH"/>
              </w:rPr>
              <w:t>Information not available</w:t>
            </w:r>
          </w:p>
          <w:p w:rsidR="00520CAA" w:rsidRDefault="00520CAA" w:rsidP="00F54CA4">
            <w:pPr>
              <w:rPr>
                <w:color w:val="002060"/>
                <w:sz w:val="16"/>
                <w:szCs w:val="16"/>
              </w:rPr>
            </w:pPr>
            <w:r>
              <w:rPr>
                <w:color w:val="002060"/>
                <w:sz w:val="16"/>
                <w:szCs w:val="16"/>
              </w:rPr>
              <w:t xml:space="preserve">Arab: </w:t>
            </w:r>
            <w:r>
              <w:rPr>
                <w:sz w:val="16"/>
                <w:szCs w:val="16"/>
                <w:lang w:bidi="th-TH"/>
              </w:rPr>
              <w:t>Information not available</w:t>
            </w:r>
          </w:p>
          <w:p w:rsidR="00520CAA" w:rsidRDefault="00520CAA" w:rsidP="00F54CA4">
            <w:pPr>
              <w:rPr>
                <w:color w:val="002060"/>
                <w:sz w:val="16"/>
                <w:szCs w:val="16"/>
              </w:rPr>
            </w:pPr>
            <w:r>
              <w:rPr>
                <w:color w:val="002060"/>
                <w:sz w:val="16"/>
                <w:szCs w:val="16"/>
              </w:rPr>
              <w:t>Asia and the Pacific: 65%;</w:t>
            </w:r>
          </w:p>
          <w:p w:rsidR="00520CAA" w:rsidRDefault="00520CAA" w:rsidP="00F54CA4">
            <w:pPr>
              <w:rPr>
                <w:color w:val="002060"/>
                <w:sz w:val="16"/>
                <w:szCs w:val="16"/>
              </w:rPr>
            </w:pPr>
            <w:r>
              <w:rPr>
                <w:color w:val="002060"/>
                <w:sz w:val="16"/>
                <w:szCs w:val="16"/>
              </w:rPr>
              <w:t xml:space="preserve">Latin American and the Caribbean: </w:t>
            </w:r>
            <w:r>
              <w:rPr>
                <w:sz w:val="16"/>
                <w:szCs w:val="16"/>
                <w:lang w:bidi="th-TH"/>
              </w:rPr>
              <w:t>Information not available</w:t>
            </w:r>
            <w:r>
              <w:rPr>
                <w:color w:val="002060"/>
                <w:sz w:val="16"/>
                <w:szCs w:val="16"/>
              </w:rPr>
              <w:t>;</w:t>
            </w:r>
          </w:p>
          <w:p w:rsidR="00520CAA" w:rsidRPr="004A0BC2" w:rsidRDefault="00520CAA" w:rsidP="00F54CA4">
            <w:pPr>
              <w:rPr>
                <w:color w:val="002060"/>
                <w:sz w:val="16"/>
                <w:szCs w:val="16"/>
              </w:rPr>
            </w:pPr>
            <w:r>
              <w:rPr>
                <w:color w:val="002060"/>
                <w:sz w:val="16"/>
                <w:szCs w:val="16"/>
              </w:rPr>
              <w:t xml:space="preserve">LDCs: </w:t>
            </w:r>
            <w:r>
              <w:rPr>
                <w:sz w:val="16"/>
                <w:szCs w:val="16"/>
                <w:lang w:bidi="th-TH"/>
              </w:rPr>
              <w:t>Information not available</w:t>
            </w:r>
          </w:p>
          <w:p w:rsidR="00520CAA" w:rsidRPr="00C215DD" w:rsidRDefault="00520CAA" w:rsidP="00F54CA4">
            <w:pPr>
              <w:rPr>
                <w:i/>
                <w:sz w:val="16"/>
                <w:szCs w:val="16"/>
                <w:lang w:bidi="th-TH"/>
              </w:rPr>
            </w:pPr>
          </w:p>
          <w:p w:rsidR="00520CAA" w:rsidRDefault="00520CAA" w:rsidP="00F54CA4">
            <w:pPr>
              <w:rPr>
                <w:sz w:val="16"/>
                <w:szCs w:val="16"/>
                <w:lang w:bidi="th-TH"/>
              </w:rPr>
            </w:pPr>
            <w:r w:rsidRPr="00C215DD">
              <w:rPr>
                <w:i/>
                <w:sz w:val="16"/>
                <w:szCs w:val="16"/>
                <w:lang w:bidi="th-TH"/>
              </w:rPr>
              <w:t xml:space="preserve">Original </w:t>
            </w:r>
            <w:r>
              <w:rPr>
                <w:i/>
                <w:sz w:val="16"/>
                <w:szCs w:val="16"/>
                <w:lang w:bidi="th-TH"/>
              </w:rPr>
              <w:t>Baseline P&amp;B 2014/15</w:t>
            </w:r>
            <w:r w:rsidRPr="00C215DD">
              <w:rPr>
                <w:i/>
                <w:sz w:val="16"/>
                <w:szCs w:val="16"/>
                <w:lang w:bidi="th-TH"/>
              </w:rPr>
              <w:t>:</w:t>
            </w:r>
            <w:r>
              <w:rPr>
                <w:sz w:val="16"/>
                <w:szCs w:val="16"/>
                <w:lang w:bidi="th-TH"/>
              </w:rPr>
              <w:t xml:space="preserve">  </w:t>
            </w:r>
          </w:p>
          <w:p w:rsidR="00520CAA" w:rsidRDefault="00520CAA" w:rsidP="00F54CA4">
            <w:pPr>
              <w:rPr>
                <w:sz w:val="16"/>
                <w:szCs w:val="16"/>
                <w:lang w:bidi="th-TH"/>
              </w:rPr>
            </w:pPr>
            <w:r>
              <w:rPr>
                <w:sz w:val="16"/>
                <w:szCs w:val="16"/>
                <w:lang w:bidi="th-TH"/>
              </w:rPr>
              <w:t>Africa: Information not available;</w:t>
            </w:r>
          </w:p>
          <w:p w:rsidR="00520CAA" w:rsidRDefault="00520CAA" w:rsidP="00F54CA4">
            <w:pPr>
              <w:rPr>
                <w:sz w:val="16"/>
                <w:szCs w:val="16"/>
                <w:lang w:bidi="th-TH"/>
              </w:rPr>
            </w:pPr>
            <w:r>
              <w:rPr>
                <w:sz w:val="16"/>
                <w:szCs w:val="16"/>
                <w:lang w:bidi="th-TH"/>
              </w:rPr>
              <w:t>Arab: Information not available;</w:t>
            </w:r>
          </w:p>
          <w:p w:rsidR="00520CAA" w:rsidRDefault="00520CAA" w:rsidP="00F54CA4">
            <w:pPr>
              <w:rPr>
                <w:sz w:val="16"/>
                <w:szCs w:val="16"/>
                <w:lang w:bidi="th-TH"/>
              </w:rPr>
            </w:pPr>
            <w:r>
              <w:rPr>
                <w:sz w:val="16"/>
                <w:szCs w:val="16"/>
                <w:lang w:bidi="th-TH"/>
              </w:rPr>
              <w:t>Asia and the Pacific (65%);</w:t>
            </w:r>
          </w:p>
          <w:p w:rsidR="00520CAA" w:rsidRDefault="00520CAA" w:rsidP="00F54CA4">
            <w:pPr>
              <w:rPr>
                <w:sz w:val="16"/>
                <w:szCs w:val="16"/>
                <w:lang w:bidi="th-TH"/>
              </w:rPr>
            </w:pPr>
            <w:r>
              <w:rPr>
                <w:sz w:val="16"/>
                <w:szCs w:val="16"/>
                <w:lang w:bidi="th-TH"/>
              </w:rPr>
              <w:t>Latin American and the Caribbean: Information not available;</w:t>
            </w:r>
          </w:p>
          <w:p w:rsidR="00520CAA" w:rsidRDefault="00520CAA" w:rsidP="00F54CA4">
            <w:pPr>
              <w:rPr>
                <w:sz w:val="16"/>
                <w:szCs w:val="16"/>
                <w:lang w:bidi="th-TH"/>
              </w:rPr>
            </w:pPr>
            <w:r>
              <w:rPr>
                <w:sz w:val="16"/>
                <w:szCs w:val="16"/>
                <w:lang w:bidi="th-TH"/>
              </w:rPr>
              <w:t>LDCs: Information not available</w:t>
            </w:r>
          </w:p>
          <w:p w:rsidR="00520CAA" w:rsidRPr="00C215DD" w:rsidRDefault="00520CAA" w:rsidP="00F54CA4">
            <w:pPr>
              <w:rPr>
                <w:i/>
                <w:color w:val="002060"/>
                <w:sz w:val="16"/>
                <w:szCs w:val="16"/>
              </w:rPr>
            </w:pPr>
          </w:p>
        </w:tc>
        <w:tc>
          <w:tcPr>
            <w:tcW w:w="1843" w:type="dxa"/>
            <w:shd w:val="clear" w:color="auto" w:fill="auto"/>
            <w:tcMar>
              <w:top w:w="110" w:type="dxa"/>
            </w:tcMar>
          </w:tcPr>
          <w:p w:rsidR="00520CAA" w:rsidRDefault="00520CAA" w:rsidP="00F54CA4">
            <w:pPr>
              <w:rPr>
                <w:sz w:val="16"/>
                <w:szCs w:val="16"/>
                <w:lang w:bidi="th-TH"/>
              </w:rPr>
            </w:pPr>
            <w:r>
              <w:rPr>
                <w:sz w:val="16"/>
                <w:szCs w:val="16"/>
                <w:lang w:bidi="th-TH"/>
              </w:rPr>
              <w:t>Africa (70%)</w:t>
            </w:r>
          </w:p>
          <w:p w:rsidR="00520CAA" w:rsidRDefault="00520CAA" w:rsidP="00F54CA4">
            <w:pPr>
              <w:rPr>
                <w:sz w:val="16"/>
                <w:szCs w:val="16"/>
                <w:lang w:bidi="th-TH"/>
              </w:rPr>
            </w:pPr>
          </w:p>
          <w:p w:rsidR="00520CAA" w:rsidRDefault="00520CAA" w:rsidP="00F54CA4">
            <w:pPr>
              <w:rPr>
                <w:sz w:val="16"/>
                <w:szCs w:val="16"/>
                <w:lang w:bidi="th-TH"/>
              </w:rPr>
            </w:pPr>
            <w:r>
              <w:rPr>
                <w:sz w:val="16"/>
                <w:szCs w:val="16"/>
                <w:lang w:bidi="th-TH"/>
              </w:rPr>
              <w:t>Arab (70%)</w:t>
            </w:r>
          </w:p>
          <w:p w:rsidR="00520CAA" w:rsidRDefault="00520CAA" w:rsidP="00F54CA4">
            <w:pPr>
              <w:rPr>
                <w:sz w:val="16"/>
                <w:szCs w:val="16"/>
                <w:lang w:bidi="th-TH"/>
              </w:rPr>
            </w:pPr>
          </w:p>
          <w:p w:rsidR="00520CAA" w:rsidRDefault="00520CAA" w:rsidP="00F54CA4">
            <w:pPr>
              <w:rPr>
                <w:sz w:val="16"/>
                <w:szCs w:val="16"/>
                <w:lang w:bidi="th-TH"/>
              </w:rPr>
            </w:pPr>
            <w:r w:rsidRPr="004A0BC2">
              <w:rPr>
                <w:sz w:val="16"/>
                <w:szCs w:val="16"/>
                <w:lang w:bidi="th-TH"/>
              </w:rPr>
              <w:t xml:space="preserve">Asia and </w:t>
            </w:r>
            <w:r w:rsidR="002C2CA1">
              <w:rPr>
                <w:sz w:val="16"/>
                <w:szCs w:val="16"/>
                <w:lang w:bidi="th-TH"/>
              </w:rPr>
              <w:t xml:space="preserve">the </w:t>
            </w:r>
            <w:r w:rsidRPr="004A0BC2">
              <w:rPr>
                <w:sz w:val="16"/>
                <w:szCs w:val="16"/>
                <w:lang w:bidi="th-TH"/>
              </w:rPr>
              <w:t>Pacific (65%)</w:t>
            </w:r>
          </w:p>
          <w:p w:rsidR="00520CAA" w:rsidRDefault="00520CAA" w:rsidP="00F54CA4">
            <w:pPr>
              <w:rPr>
                <w:sz w:val="16"/>
                <w:szCs w:val="16"/>
                <w:lang w:bidi="th-TH"/>
              </w:rPr>
            </w:pPr>
          </w:p>
          <w:p w:rsidR="00520CAA" w:rsidRDefault="00520CAA" w:rsidP="00F54CA4">
            <w:pPr>
              <w:rPr>
                <w:sz w:val="16"/>
                <w:szCs w:val="16"/>
                <w:lang w:bidi="th-TH"/>
              </w:rPr>
            </w:pPr>
            <w:r w:rsidRPr="004A0BC2">
              <w:rPr>
                <w:sz w:val="16"/>
                <w:szCs w:val="16"/>
                <w:lang w:bidi="th-TH"/>
              </w:rPr>
              <w:t>Latin America and the Caribbean (30%)</w:t>
            </w:r>
          </w:p>
          <w:p w:rsidR="00520CAA" w:rsidRDefault="00520CAA" w:rsidP="00F54CA4">
            <w:pPr>
              <w:rPr>
                <w:sz w:val="16"/>
                <w:szCs w:val="16"/>
                <w:lang w:bidi="th-TH"/>
              </w:rPr>
            </w:pPr>
          </w:p>
          <w:p w:rsidR="00520CAA" w:rsidRDefault="00520CAA" w:rsidP="00F54CA4">
            <w:pPr>
              <w:rPr>
                <w:sz w:val="16"/>
                <w:szCs w:val="16"/>
                <w:lang w:bidi="th-TH"/>
              </w:rPr>
            </w:pPr>
            <w:r w:rsidRPr="004A0BC2">
              <w:rPr>
                <w:sz w:val="16"/>
                <w:szCs w:val="16"/>
                <w:lang w:bidi="th-TH"/>
              </w:rPr>
              <w:t>LDCs (80%)</w:t>
            </w:r>
          </w:p>
          <w:p w:rsidR="00520CAA" w:rsidRDefault="00520CAA" w:rsidP="00F54CA4">
            <w:pPr>
              <w:rPr>
                <w:sz w:val="16"/>
                <w:szCs w:val="16"/>
                <w:lang w:bidi="th-TH"/>
              </w:rPr>
            </w:pPr>
          </w:p>
          <w:p w:rsidR="00520CAA" w:rsidRPr="008648B6" w:rsidRDefault="00520CAA" w:rsidP="00F54CA4">
            <w:pPr>
              <w:rPr>
                <w:sz w:val="16"/>
                <w:szCs w:val="16"/>
                <w:lang w:bidi="th-TH"/>
              </w:rPr>
            </w:pPr>
          </w:p>
        </w:tc>
        <w:tc>
          <w:tcPr>
            <w:tcW w:w="2552" w:type="dxa"/>
            <w:shd w:val="clear" w:color="auto" w:fill="FFFFFF"/>
            <w:tcMar>
              <w:top w:w="110" w:type="dxa"/>
            </w:tcMar>
          </w:tcPr>
          <w:p w:rsidR="00520CAA" w:rsidRDefault="00520CAA" w:rsidP="00F54CA4">
            <w:pPr>
              <w:rPr>
                <w:sz w:val="16"/>
                <w:szCs w:val="16"/>
                <w:lang w:bidi="th-TH"/>
              </w:rPr>
            </w:pPr>
            <w:r w:rsidRPr="004A0BC2">
              <w:rPr>
                <w:sz w:val="16"/>
                <w:szCs w:val="16"/>
                <w:lang w:bidi="th-TH"/>
              </w:rPr>
              <w:t>Africa (70 %)</w:t>
            </w:r>
          </w:p>
          <w:p w:rsidR="00520CAA" w:rsidRDefault="00520CAA" w:rsidP="00F54CA4">
            <w:pPr>
              <w:rPr>
                <w:sz w:val="16"/>
                <w:szCs w:val="16"/>
                <w:lang w:bidi="th-TH"/>
              </w:rPr>
            </w:pPr>
          </w:p>
          <w:p w:rsidR="00520CAA" w:rsidRDefault="00520CAA" w:rsidP="00F54CA4">
            <w:pPr>
              <w:rPr>
                <w:sz w:val="16"/>
                <w:szCs w:val="16"/>
                <w:lang w:bidi="th-TH"/>
              </w:rPr>
            </w:pPr>
            <w:r>
              <w:rPr>
                <w:sz w:val="16"/>
                <w:szCs w:val="16"/>
                <w:lang w:bidi="th-TH"/>
              </w:rPr>
              <w:t>Arab (</w:t>
            </w:r>
            <w:r w:rsidRPr="00B36726">
              <w:rPr>
                <w:sz w:val="16"/>
                <w:szCs w:val="16"/>
                <w:lang w:bidi="th-TH"/>
              </w:rPr>
              <w:t>Not available</w:t>
            </w:r>
            <w:r>
              <w:rPr>
                <w:sz w:val="16"/>
                <w:szCs w:val="16"/>
                <w:lang w:bidi="th-TH"/>
              </w:rPr>
              <w:t>; system to be implemented in 2015)</w:t>
            </w:r>
          </w:p>
          <w:p w:rsidR="00520CAA" w:rsidRDefault="00520CAA" w:rsidP="00F54CA4">
            <w:pPr>
              <w:rPr>
                <w:sz w:val="16"/>
                <w:szCs w:val="16"/>
                <w:lang w:bidi="th-TH"/>
              </w:rPr>
            </w:pPr>
          </w:p>
          <w:p w:rsidR="00520CAA" w:rsidRDefault="00520CAA" w:rsidP="00F54CA4">
            <w:pPr>
              <w:rPr>
                <w:sz w:val="16"/>
                <w:szCs w:val="16"/>
                <w:lang w:bidi="th-TH"/>
              </w:rPr>
            </w:pPr>
            <w:r>
              <w:rPr>
                <w:sz w:val="16"/>
                <w:szCs w:val="16"/>
                <w:lang w:bidi="th-TH"/>
              </w:rPr>
              <w:t>Asia and the Pacific (</w:t>
            </w:r>
            <w:r w:rsidRPr="004A0BC2">
              <w:rPr>
                <w:sz w:val="16"/>
                <w:szCs w:val="16"/>
                <w:lang w:bidi="th-TH"/>
              </w:rPr>
              <w:t>89%</w:t>
            </w:r>
            <w:r>
              <w:rPr>
                <w:sz w:val="16"/>
                <w:szCs w:val="16"/>
                <w:lang w:bidi="th-TH"/>
              </w:rPr>
              <w:t>)</w:t>
            </w:r>
          </w:p>
          <w:p w:rsidR="00520CAA" w:rsidRDefault="00520CAA" w:rsidP="00F54CA4">
            <w:pPr>
              <w:rPr>
                <w:sz w:val="16"/>
                <w:szCs w:val="16"/>
                <w:lang w:bidi="th-TH"/>
              </w:rPr>
            </w:pPr>
          </w:p>
          <w:p w:rsidR="00520CAA" w:rsidRDefault="00520CAA" w:rsidP="00F54CA4">
            <w:pPr>
              <w:rPr>
                <w:sz w:val="16"/>
                <w:szCs w:val="16"/>
                <w:lang w:bidi="th-TH"/>
              </w:rPr>
            </w:pPr>
          </w:p>
          <w:p w:rsidR="00520CAA" w:rsidRDefault="00520CAA" w:rsidP="00F54CA4">
            <w:pPr>
              <w:rPr>
                <w:sz w:val="16"/>
                <w:szCs w:val="16"/>
                <w:lang w:bidi="th-TH"/>
              </w:rPr>
            </w:pPr>
            <w:r w:rsidRPr="004A0BC2">
              <w:rPr>
                <w:sz w:val="16"/>
                <w:szCs w:val="16"/>
                <w:lang w:bidi="th-TH"/>
              </w:rPr>
              <w:t xml:space="preserve">Latin America and the Caribbean </w:t>
            </w:r>
            <w:r>
              <w:rPr>
                <w:sz w:val="16"/>
                <w:szCs w:val="16"/>
                <w:lang w:bidi="th-TH"/>
              </w:rPr>
              <w:t>(</w:t>
            </w:r>
            <w:r w:rsidRPr="00B36726">
              <w:rPr>
                <w:sz w:val="16"/>
                <w:szCs w:val="16"/>
                <w:lang w:bidi="th-TH"/>
              </w:rPr>
              <w:t>Not available</w:t>
            </w:r>
            <w:r>
              <w:rPr>
                <w:sz w:val="16"/>
                <w:szCs w:val="16"/>
                <w:lang w:bidi="th-TH"/>
              </w:rPr>
              <w:t>; system to be implemented in</w:t>
            </w:r>
            <w:r w:rsidR="00531530">
              <w:rPr>
                <w:sz w:val="16"/>
                <w:szCs w:val="16"/>
                <w:lang w:bidi="th-TH"/>
              </w:rPr>
              <w:t> </w:t>
            </w:r>
            <w:r>
              <w:rPr>
                <w:sz w:val="16"/>
                <w:szCs w:val="16"/>
                <w:lang w:bidi="th-TH"/>
              </w:rPr>
              <w:t>2015)</w:t>
            </w:r>
          </w:p>
          <w:p w:rsidR="00520CAA" w:rsidRPr="004A0BC2" w:rsidRDefault="00520CAA" w:rsidP="00F54CA4">
            <w:pPr>
              <w:rPr>
                <w:sz w:val="16"/>
                <w:szCs w:val="16"/>
                <w:lang w:bidi="th-TH"/>
              </w:rPr>
            </w:pPr>
          </w:p>
          <w:p w:rsidR="00520CAA" w:rsidRPr="004A0BC2" w:rsidRDefault="00520CAA" w:rsidP="00F54CA4">
            <w:pPr>
              <w:rPr>
                <w:sz w:val="16"/>
                <w:szCs w:val="16"/>
                <w:lang w:val="fr-CH" w:bidi="th-TH"/>
              </w:rPr>
            </w:pPr>
            <w:r>
              <w:rPr>
                <w:sz w:val="16"/>
                <w:szCs w:val="16"/>
                <w:lang w:bidi="th-TH"/>
              </w:rPr>
              <w:t>LDCs (95%)</w:t>
            </w:r>
          </w:p>
        </w:tc>
        <w:tc>
          <w:tcPr>
            <w:tcW w:w="945" w:type="dxa"/>
            <w:shd w:val="clear" w:color="auto" w:fill="auto"/>
            <w:tcMar>
              <w:top w:w="110" w:type="dxa"/>
            </w:tcMar>
          </w:tcPr>
          <w:p w:rsidR="00520CAA" w:rsidRPr="00335C36" w:rsidRDefault="00520CAA" w:rsidP="00F54CA4">
            <w:pPr>
              <w:keepNext/>
              <w:keepLines/>
              <w:jc w:val="center"/>
              <w:rPr>
                <w:b/>
                <w:bCs/>
                <w:color w:val="00B050"/>
                <w:sz w:val="16"/>
                <w:szCs w:val="16"/>
              </w:rPr>
            </w:pPr>
            <w:r w:rsidRPr="00335C36">
              <w:rPr>
                <w:b/>
                <w:bCs/>
                <w:color w:val="00B050"/>
                <w:sz w:val="16"/>
                <w:szCs w:val="16"/>
              </w:rPr>
              <w:t>On track</w:t>
            </w:r>
          </w:p>
          <w:p w:rsidR="00520CAA" w:rsidRPr="00335C36" w:rsidRDefault="00520CAA" w:rsidP="00F54CA4">
            <w:pPr>
              <w:keepNext/>
              <w:keepLines/>
              <w:jc w:val="center"/>
              <w:rPr>
                <w:b/>
                <w:bCs/>
                <w:color w:val="00B050"/>
                <w:sz w:val="16"/>
                <w:szCs w:val="16"/>
              </w:rPr>
            </w:pPr>
          </w:p>
          <w:p w:rsidR="00520CAA" w:rsidRPr="00335775" w:rsidRDefault="00520CAA" w:rsidP="00F54CA4">
            <w:pPr>
              <w:keepNext/>
              <w:keepLines/>
              <w:jc w:val="center"/>
              <w:rPr>
                <w:b/>
                <w:bCs/>
                <w:color w:val="0070C0"/>
                <w:sz w:val="16"/>
                <w:szCs w:val="16"/>
              </w:rPr>
            </w:pPr>
            <w:r w:rsidRPr="00335775">
              <w:rPr>
                <w:b/>
                <w:bCs/>
                <w:color w:val="0070C0"/>
                <w:sz w:val="16"/>
                <w:szCs w:val="16"/>
              </w:rPr>
              <w:t>N/A 2014</w:t>
            </w:r>
          </w:p>
          <w:p w:rsidR="00520CAA" w:rsidRPr="00335C36" w:rsidRDefault="00520CAA" w:rsidP="00F54CA4">
            <w:pPr>
              <w:keepNext/>
              <w:keepLines/>
              <w:jc w:val="center"/>
              <w:rPr>
                <w:b/>
                <w:bCs/>
                <w:color w:val="00B050"/>
                <w:sz w:val="16"/>
                <w:szCs w:val="16"/>
              </w:rPr>
            </w:pPr>
          </w:p>
          <w:p w:rsidR="00520CAA" w:rsidRPr="00335C36" w:rsidRDefault="00520CAA" w:rsidP="00F54CA4">
            <w:pPr>
              <w:keepNext/>
              <w:keepLines/>
              <w:jc w:val="center"/>
              <w:rPr>
                <w:b/>
                <w:bCs/>
                <w:color w:val="00B050"/>
                <w:sz w:val="16"/>
                <w:szCs w:val="16"/>
              </w:rPr>
            </w:pPr>
          </w:p>
          <w:p w:rsidR="00520CAA" w:rsidRPr="00335C36" w:rsidRDefault="00520CAA" w:rsidP="00F54CA4">
            <w:pPr>
              <w:keepNext/>
              <w:keepLines/>
              <w:jc w:val="center"/>
              <w:rPr>
                <w:b/>
                <w:bCs/>
                <w:color w:val="00B050"/>
                <w:sz w:val="16"/>
                <w:szCs w:val="16"/>
              </w:rPr>
            </w:pPr>
            <w:r w:rsidRPr="00335C36">
              <w:rPr>
                <w:b/>
                <w:bCs/>
                <w:color w:val="00B050"/>
                <w:sz w:val="16"/>
                <w:szCs w:val="16"/>
              </w:rPr>
              <w:t>On track</w:t>
            </w:r>
          </w:p>
          <w:p w:rsidR="00520CAA" w:rsidRPr="00335C36" w:rsidRDefault="00520CAA" w:rsidP="00F54CA4">
            <w:pPr>
              <w:keepNext/>
              <w:keepLines/>
              <w:jc w:val="center"/>
              <w:rPr>
                <w:b/>
                <w:bCs/>
                <w:color w:val="00B050"/>
                <w:sz w:val="16"/>
                <w:szCs w:val="16"/>
              </w:rPr>
            </w:pPr>
          </w:p>
          <w:p w:rsidR="00520CAA" w:rsidRPr="00335C36" w:rsidRDefault="00520CAA" w:rsidP="00F54CA4">
            <w:pPr>
              <w:keepNext/>
              <w:keepLines/>
              <w:jc w:val="center"/>
              <w:rPr>
                <w:b/>
                <w:bCs/>
                <w:color w:val="00B050"/>
                <w:sz w:val="16"/>
                <w:szCs w:val="16"/>
              </w:rPr>
            </w:pPr>
          </w:p>
          <w:p w:rsidR="00520CAA" w:rsidRDefault="00520CAA" w:rsidP="00F54CA4">
            <w:pPr>
              <w:keepNext/>
              <w:keepLines/>
              <w:jc w:val="center"/>
              <w:rPr>
                <w:b/>
                <w:bCs/>
                <w:sz w:val="16"/>
                <w:szCs w:val="16"/>
              </w:rPr>
            </w:pPr>
            <w:r w:rsidRPr="00335775">
              <w:rPr>
                <w:b/>
                <w:bCs/>
                <w:color w:val="0070C0"/>
                <w:sz w:val="16"/>
                <w:szCs w:val="16"/>
              </w:rPr>
              <w:t>N/A 2014</w:t>
            </w:r>
          </w:p>
          <w:p w:rsidR="00520CAA" w:rsidRDefault="00520CAA" w:rsidP="00F54CA4">
            <w:pPr>
              <w:keepNext/>
              <w:keepLines/>
              <w:jc w:val="center"/>
              <w:rPr>
                <w:b/>
                <w:bCs/>
                <w:sz w:val="16"/>
                <w:szCs w:val="16"/>
              </w:rPr>
            </w:pPr>
          </w:p>
          <w:p w:rsidR="00520CAA" w:rsidRDefault="00520CAA" w:rsidP="00F54CA4">
            <w:pPr>
              <w:keepNext/>
              <w:keepLines/>
              <w:jc w:val="center"/>
              <w:rPr>
                <w:b/>
                <w:bCs/>
                <w:sz w:val="16"/>
                <w:szCs w:val="16"/>
              </w:rPr>
            </w:pPr>
          </w:p>
          <w:p w:rsidR="00520CAA" w:rsidRDefault="00520CAA" w:rsidP="00F54CA4">
            <w:pPr>
              <w:keepNext/>
              <w:keepLines/>
              <w:jc w:val="center"/>
              <w:rPr>
                <w:b/>
                <w:bCs/>
                <w:sz w:val="16"/>
                <w:szCs w:val="16"/>
              </w:rPr>
            </w:pPr>
          </w:p>
          <w:p w:rsidR="009D2DA5" w:rsidRDefault="009D2DA5" w:rsidP="00F54CA4">
            <w:pPr>
              <w:keepNext/>
              <w:keepLines/>
              <w:jc w:val="center"/>
              <w:rPr>
                <w:b/>
                <w:bCs/>
                <w:sz w:val="16"/>
                <w:szCs w:val="16"/>
              </w:rPr>
            </w:pPr>
          </w:p>
          <w:p w:rsidR="00520CAA" w:rsidRPr="00335C36" w:rsidRDefault="00520CAA" w:rsidP="00F54CA4">
            <w:pPr>
              <w:keepNext/>
              <w:keepLines/>
              <w:jc w:val="center"/>
              <w:rPr>
                <w:b/>
                <w:bCs/>
                <w:color w:val="00B050"/>
                <w:sz w:val="16"/>
                <w:szCs w:val="16"/>
              </w:rPr>
            </w:pPr>
            <w:r w:rsidRPr="00335C36">
              <w:rPr>
                <w:b/>
                <w:bCs/>
                <w:color w:val="00B050"/>
                <w:sz w:val="16"/>
                <w:szCs w:val="16"/>
              </w:rPr>
              <w:t>On track</w:t>
            </w:r>
          </w:p>
          <w:p w:rsidR="00520CAA" w:rsidRPr="00335775" w:rsidRDefault="00520CAA" w:rsidP="00F54CA4">
            <w:pPr>
              <w:keepNext/>
              <w:keepLines/>
              <w:jc w:val="center"/>
              <w:rPr>
                <w:b/>
                <w:bCs/>
                <w:sz w:val="16"/>
                <w:szCs w:val="16"/>
              </w:rPr>
            </w:pPr>
          </w:p>
          <w:p w:rsidR="00520CAA" w:rsidRPr="00335C36" w:rsidRDefault="00520CAA" w:rsidP="00F54CA4">
            <w:pPr>
              <w:keepNext/>
              <w:keepLines/>
              <w:jc w:val="center"/>
              <w:rPr>
                <w:b/>
                <w:bCs/>
                <w:color w:val="00B050"/>
                <w:sz w:val="16"/>
                <w:szCs w:val="16"/>
                <w:lang w:val="fr-CH"/>
              </w:rPr>
            </w:pPr>
          </w:p>
        </w:tc>
      </w:tr>
      <w:tr w:rsidR="00520CAA" w:rsidRPr="00C215DD" w:rsidTr="00531530">
        <w:tc>
          <w:tcPr>
            <w:tcW w:w="2127" w:type="dxa"/>
            <w:tcBorders>
              <w:bottom w:val="single" w:sz="4" w:space="0" w:color="auto"/>
            </w:tcBorders>
            <w:shd w:val="clear" w:color="auto" w:fill="FFFFFF"/>
          </w:tcPr>
          <w:p w:rsidR="00520CAA" w:rsidRPr="00716A48" w:rsidRDefault="00520CAA" w:rsidP="00F54CA4">
            <w:pPr>
              <w:rPr>
                <w:sz w:val="16"/>
                <w:szCs w:val="16"/>
                <w:lang w:bidi="th-TH"/>
              </w:rPr>
            </w:pPr>
            <w:r w:rsidRPr="00716A48">
              <w:rPr>
                <w:sz w:val="16"/>
                <w:szCs w:val="16"/>
                <w:lang w:bidi="th-TH"/>
              </w:rPr>
              <w:t>% of national/regional IP experts used as resource persons in WIPO events</w:t>
            </w:r>
          </w:p>
        </w:tc>
        <w:tc>
          <w:tcPr>
            <w:tcW w:w="2127" w:type="dxa"/>
            <w:tcBorders>
              <w:bottom w:val="single" w:sz="4" w:space="0" w:color="auto"/>
            </w:tcBorders>
            <w:shd w:val="clear" w:color="auto" w:fill="auto"/>
          </w:tcPr>
          <w:p w:rsidR="00520CAA" w:rsidRDefault="00520CAA" w:rsidP="00F54CA4">
            <w:pPr>
              <w:rPr>
                <w:i/>
                <w:color w:val="002060"/>
                <w:sz w:val="16"/>
                <w:szCs w:val="16"/>
              </w:rPr>
            </w:pPr>
            <w:r w:rsidRPr="00C215DD">
              <w:rPr>
                <w:i/>
                <w:color w:val="002060"/>
                <w:sz w:val="16"/>
                <w:szCs w:val="16"/>
              </w:rPr>
              <w:t>Updated Baseline end 201</w:t>
            </w:r>
            <w:r>
              <w:rPr>
                <w:i/>
                <w:color w:val="002060"/>
                <w:sz w:val="16"/>
                <w:szCs w:val="16"/>
              </w:rPr>
              <w:t xml:space="preserve">3:  </w:t>
            </w:r>
          </w:p>
          <w:p w:rsidR="00520CAA" w:rsidRDefault="00520CAA" w:rsidP="00F54CA4">
            <w:pPr>
              <w:rPr>
                <w:color w:val="002060"/>
                <w:sz w:val="16"/>
                <w:szCs w:val="16"/>
              </w:rPr>
            </w:pPr>
            <w:r>
              <w:rPr>
                <w:color w:val="002060"/>
                <w:sz w:val="16"/>
                <w:szCs w:val="16"/>
              </w:rPr>
              <w:t>Africa: (</w:t>
            </w:r>
            <w:r w:rsidRPr="00716A48">
              <w:rPr>
                <w:color w:val="002060"/>
                <w:sz w:val="16"/>
                <w:szCs w:val="16"/>
              </w:rPr>
              <w:t>70</w:t>
            </w:r>
            <w:r>
              <w:rPr>
                <w:color w:val="002060"/>
                <w:sz w:val="16"/>
                <w:szCs w:val="16"/>
              </w:rPr>
              <w:t>%)</w:t>
            </w:r>
          </w:p>
          <w:p w:rsidR="00520CAA" w:rsidRDefault="00520CAA" w:rsidP="00F54CA4">
            <w:pPr>
              <w:rPr>
                <w:color w:val="002060"/>
                <w:sz w:val="16"/>
                <w:szCs w:val="16"/>
              </w:rPr>
            </w:pPr>
            <w:r w:rsidRPr="00716A48">
              <w:rPr>
                <w:color w:val="002060"/>
                <w:sz w:val="16"/>
                <w:szCs w:val="16"/>
              </w:rPr>
              <w:t>Arab (50%)</w:t>
            </w:r>
          </w:p>
          <w:p w:rsidR="00520CAA" w:rsidRPr="00845557" w:rsidRDefault="00520CAA" w:rsidP="00F54CA4">
            <w:pPr>
              <w:rPr>
                <w:color w:val="002060"/>
                <w:sz w:val="16"/>
                <w:szCs w:val="16"/>
                <w:lang w:bidi="th-TH"/>
              </w:rPr>
            </w:pPr>
            <w:r w:rsidRPr="00845557">
              <w:rPr>
                <w:color w:val="002060"/>
                <w:sz w:val="16"/>
                <w:szCs w:val="16"/>
                <w:lang w:bidi="th-TH"/>
              </w:rPr>
              <w:t>Asia and the Pacific: Data not available</w:t>
            </w:r>
          </w:p>
          <w:p w:rsidR="00520CAA" w:rsidRPr="00845557" w:rsidRDefault="00520CAA" w:rsidP="00F54CA4">
            <w:pPr>
              <w:rPr>
                <w:color w:val="002060"/>
                <w:sz w:val="16"/>
                <w:szCs w:val="16"/>
                <w:lang w:bidi="th-TH"/>
              </w:rPr>
            </w:pPr>
            <w:r w:rsidRPr="00845557">
              <w:rPr>
                <w:color w:val="002060"/>
                <w:sz w:val="16"/>
                <w:szCs w:val="16"/>
                <w:lang w:bidi="th-TH"/>
              </w:rPr>
              <w:t>Latin America and the Caribbean (70%)</w:t>
            </w:r>
          </w:p>
          <w:p w:rsidR="00520CAA" w:rsidRPr="00BA10F4" w:rsidRDefault="00520CAA" w:rsidP="00F54CA4">
            <w:pPr>
              <w:rPr>
                <w:color w:val="002060"/>
                <w:sz w:val="16"/>
                <w:szCs w:val="16"/>
              </w:rPr>
            </w:pPr>
            <w:r w:rsidRPr="00845557">
              <w:rPr>
                <w:color w:val="002060"/>
                <w:sz w:val="16"/>
                <w:szCs w:val="16"/>
                <w:lang w:bidi="th-TH"/>
              </w:rPr>
              <w:t>LDCs (60%)</w:t>
            </w:r>
          </w:p>
          <w:p w:rsidR="00520CAA" w:rsidRPr="00716A48" w:rsidRDefault="00520CAA" w:rsidP="00F54CA4">
            <w:pPr>
              <w:rPr>
                <w:color w:val="002060"/>
                <w:sz w:val="16"/>
                <w:szCs w:val="16"/>
              </w:rPr>
            </w:pPr>
          </w:p>
          <w:p w:rsidR="00520CAA" w:rsidRDefault="00520CAA" w:rsidP="00F54CA4">
            <w:pPr>
              <w:rPr>
                <w:i/>
                <w:color w:val="002060"/>
                <w:sz w:val="16"/>
                <w:szCs w:val="16"/>
              </w:rPr>
            </w:pPr>
          </w:p>
          <w:p w:rsidR="00520CAA" w:rsidRDefault="00520CAA" w:rsidP="00F54CA4">
            <w:pPr>
              <w:rPr>
                <w:i/>
                <w:sz w:val="16"/>
                <w:szCs w:val="16"/>
                <w:lang w:bidi="th-TH"/>
              </w:rPr>
            </w:pPr>
            <w:r w:rsidRPr="00C215DD">
              <w:rPr>
                <w:i/>
                <w:sz w:val="16"/>
                <w:szCs w:val="16"/>
                <w:lang w:bidi="th-TH"/>
              </w:rPr>
              <w:t xml:space="preserve">Original </w:t>
            </w:r>
            <w:r>
              <w:rPr>
                <w:i/>
                <w:sz w:val="16"/>
                <w:szCs w:val="16"/>
                <w:lang w:bidi="th-TH"/>
              </w:rPr>
              <w:t xml:space="preserve">Baseline P&amp;B 2014/15: </w:t>
            </w:r>
          </w:p>
          <w:p w:rsidR="00520CAA" w:rsidRDefault="00520CAA" w:rsidP="00F54CA4">
            <w:pPr>
              <w:rPr>
                <w:sz w:val="16"/>
                <w:szCs w:val="16"/>
                <w:lang w:bidi="th-TH"/>
              </w:rPr>
            </w:pPr>
            <w:r w:rsidRPr="00716A48">
              <w:rPr>
                <w:sz w:val="16"/>
                <w:szCs w:val="16"/>
                <w:lang w:bidi="th-TH"/>
              </w:rPr>
              <w:t>Africa (65%)</w:t>
            </w:r>
          </w:p>
          <w:p w:rsidR="00520CAA" w:rsidRPr="00716A48" w:rsidRDefault="00520CAA" w:rsidP="00F54CA4">
            <w:pPr>
              <w:rPr>
                <w:sz w:val="16"/>
                <w:szCs w:val="16"/>
                <w:lang w:bidi="th-TH"/>
              </w:rPr>
            </w:pPr>
            <w:r w:rsidRPr="00716A48">
              <w:rPr>
                <w:sz w:val="16"/>
                <w:szCs w:val="16"/>
                <w:lang w:bidi="th-TH"/>
              </w:rPr>
              <w:t>Arab (70%)</w:t>
            </w:r>
          </w:p>
          <w:p w:rsidR="00520CAA" w:rsidRPr="00716A48" w:rsidRDefault="00520CAA" w:rsidP="00F54CA4">
            <w:pPr>
              <w:rPr>
                <w:sz w:val="16"/>
                <w:szCs w:val="16"/>
                <w:lang w:bidi="th-TH"/>
              </w:rPr>
            </w:pPr>
            <w:r w:rsidRPr="00716A48">
              <w:rPr>
                <w:sz w:val="16"/>
                <w:szCs w:val="16"/>
                <w:lang w:bidi="th-TH"/>
              </w:rPr>
              <w:t>Asia and the Pacific: Data not available</w:t>
            </w:r>
          </w:p>
          <w:p w:rsidR="00520CAA" w:rsidRPr="00716A48" w:rsidRDefault="00520CAA" w:rsidP="00F54CA4">
            <w:pPr>
              <w:rPr>
                <w:sz w:val="16"/>
                <w:szCs w:val="16"/>
                <w:lang w:bidi="th-TH"/>
              </w:rPr>
            </w:pPr>
            <w:r w:rsidRPr="00716A48">
              <w:rPr>
                <w:sz w:val="16"/>
                <w:szCs w:val="16"/>
                <w:lang w:bidi="th-TH"/>
              </w:rPr>
              <w:t>Latin America and the Caribbean (70%)</w:t>
            </w:r>
          </w:p>
          <w:p w:rsidR="00520CAA" w:rsidRDefault="00520CAA" w:rsidP="00F54CA4">
            <w:pPr>
              <w:rPr>
                <w:sz w:val="16"/>
                <w:szCs w:val="16"/>
                <w:lang w:bidi="th-TH"/>
              </w:rPr>
            </w:pPr>
            <w:r w:rsidRPr="00716A48">
              <w:rPr>
                <w:sz w:val="16"/>
                <w:szCs w:val="16"/>
                <w:lang w:bidi="th-TH"/>
              </w:rPr>
              <w:t>LDCs (70%)</w:t>
            </w:r>
          </w:p>
          <w:p w:rsidR="00520CAA" w:rsidRPr="00C215DD" w:rsidRDefault="00520CAA" w:rsidP="00F54CA4">
            <w:pPr>
              <w:rPr>
                <w:i/>
                <w:color w:val="002060"/>
                <w:sz w:val="16"/>
                <w:szCs w:val="16"/>
              </w:rPr>
            </w:pPr>
          </w:p>
        </w:tc>
        <w:tc>
          <w:tcPr>
            <w:tcW w:w="1843" w:type="dxa"/>
            <w:tcBorders>
              <w:bottom w:val="single" w:sz="4" w:space="0" w:color="auto"/>
            </w:tcBorders>
            <w:shd w:val="clear" w:color="auto" w:fill="auto"/>
            <w:tcMar>
              <w:top w:w="110" w:type="dxa"/>
            </w:tcMar>
          </w:tcPr>
          <w:p w:rsidR="00520CAA" w:rsidRDefault="00520CAA" w:rsidP="00F54CA4">
            <w:pPr>
              <w:rPr>
                <w:sz w:val="16"/>
                <w:szCs w:val="16"/>
                <w:lang w:bidi="th-TH"/>
              </w:rPr>
            </w:pPr>
            <w:r w:rsidRPr="00716A48">
              <w:rPr>
                <w:sz w:val="16"/>
                <w:szCs w:val="16"/>
                <w:lang w:bidi="th-TH"/>
              </w:rPr>
              <w:t>Africa (75%)</w:t>
            </w:r>
          </w:p>
          <w:p w:rsidR="00520CAA" w:rsidRDefault="00520CAA" w:rsidP="00F54CA4">
            <w:pPr>
              <w:rPr>
                <w:sz w:val="16"/>
                <w:szCs w:val="16"/>
                <w:lang w:bidi="th-TH"/>
              </w:rPr>
            </w:pPr>
          </w:p>
          <w:p w:rsidR="00520CAA" w:rsidRDefault="00520CAA" w:rsidP="00F54CA4">
            <w:pPr>
              <w:rPr>
                <w:sz w:val="16"/>
                <w:szCs w:val="16"/>
                <w:lang w:bidi="th-TH"/>
              </w:rPr>
            </w:pPr>
            <w:r w:rsidRPr="00716A48">
              <w:rPr>
                <w:sz w:val="16"/>
                <w:szCs w:val="16"/>
                <w:lang w:bidi="th-TH"/>
              </w:rPr>
              <w:t>Arab (80%)</w:t>
            </w:r>
          </w:p>
          <w:p w:rsidR="00520CAA" w:rsidRDefault="00520CAA" w:rsidP="00F54CA4">
            <w:pPr>
              <w:rPr>
                <w:sz w:val="16"/>
                <w:szCs w:val="16"/>
                <w:lang w:bidi="th-TH"/>
              </w:rPr>
            </w:pPr>
          </w:p>
          <w:p w:rsidR="00520CAA" w:rsidRDefault="002C2CA1" w:rsidP="00F54CA4">
            <w:pPr>
              <w:rPr>
                <w:sz w:val="16"/>
                <w:szCs w:val="16"/>
                <w:lang w:bidi="th-TH"/>
              </w:rPr>
            </w:pPr>
            <w:r>
              <w:rPr>
                <w:sz w:val="16"/>
                <w:szCs w:val="16"/>
                <w:lang w:bidi="th-TH"/>
              </w:rPr>
              <w:t>Asia and the Pacific</w:t>
            </w:r>
            <w:r w:rsidR="00520CAA" w:rsidRPr="00716A48">
              <w:rPr>
                <w:sz w:val="16"/>
                <w:szCs w:val="16"/>
                <w:lang w:bidi="th-TH"/>
              </w:rPr>
              <w:t xml:space="preserve"> (55%)</w:t>
            </w:r>
          </w:p>
          <w:p w:rsidR="00520CAA" w:rsidRDefault="00520CAA" w:rsidP="00F54CA4">
            <w:pPr>
              <w:rPr>
                <w:sz w:val="16"/>
                <w:szCs w:val="16"/>
                <w:lang w:bidi="th-TH"/>
              </w:rPr>
            </w:pPr>
          </w:p>
          <w:p w:rsidR="00520CAA" w:rsidRDefault="00520CAA" w:rsidP="00F54CA4">
            <w:pPr>
              <w:rPr>
                <w:sz w:val="16"/>
                <w:szCs w:val="16"/>
                <w:lang w:bidi="th-TH"/>
              </w:rPr>
            </w:pPr>
            <w:r w:rsidRPr="00716A48">
              <w:rPr>
                <w:sz w:val="16"/>
                <w:szCs w:val="16"/>
                <w:lang w:bidi="th-TH"/>
              </w:rPr>
              <w:t>Latin America and the</w:t>
            </w:r>
            <w:r>
              <w:rPr>
                <w:sz w:val="16"/>
                <w:szCs w:val="16"/>
                <w:lang w:bidi="th-TH"/>
              </w:rPr>
              <w:t xml:space="preserve"> </w:t>
            </w:r>
            <w:r w:rsidRPr="00716A48">
              <w:rPr>
                <w:sz w:val="16"/>
                <w:szCs w:val="16"/>
                <w:lang w:bidi="th-TH"/>
              </w:rPr>
              <w:t>Caribbean (80%)</w:t>
            </w:r>
          </w:p>
          <w:p w:rsidR="00520CAA" w:rsidRDefault="00520CAA" w:rsidP="00F54CA4">
            <w:pPr>
              <w:rPr>
                <w:sz w:val="16"/>
                <w:szCs w:val="16"/>
                <w:lang w:bidi="th-TH"/>
              </w:rPr>
            </w:pPr>
          </w:p>
          <w:p w:rsidR="00520CAA" w:rsidRPr="00716A48" w:rsidRDefault="00520CAA" w:rsidP="00F54CA4">
            <w:pPr>
              <w:rPr>
                <w:sz w:val="16"/>
                <w:szCs w:val="16"/>
                <w:lang w:bidi="th-TH"/>
              </w:rPr>
            </w:pPr>
            <w:r w:rsidRPr="00716A48">
              <w:rPr>
                <w:sz w:val="16"/>
                <w:szCs w:val="16"/>
                <w:lang w:bidi="th-TH"/>
              </w:rPr>
              <w:t>LDCs (80%)</w:t>
            </w:r>
          </w:p>
        </w:tc>
        <w:tc>
          <w:tcPr>
            <w:tcW w:w="2552" w:type="dxa"/>
            <w:tcBorders>
              <w:bottom w:val="single" w:sz="4" w:space="0" w:color="auto"/>
            </w:tcBorders>
            <w:shd w:val="clear" w:color="auto" w:fill="FFFFFF"/>
            <w:tcMar>
              <w:top w:w="110" w:type="dxa"/>
            </w:tcMar>
          </w:tcPr>
          <w:p w:rsidR="00520CAA" w:rsidRDefault="00520CAA" w:rsidP="00F54CA4">
            <w:pPr>
              <w:rPr>
                <w:sz w:val="16"/>
                <w:szCs w:val="16"/>
                <w:lang w:bidi="th-TH"/>
              </w:rPr>
            </w:pPr>
            <w:r>
              <w:rPr>
                <w:sz w:val="16"/>
                <w:szCs w:val="16"/>
                <w:lang w:bidi="th-TH"/>
              </w:rPr>
              <w:t>Africa (80%)</w:t>
            </w:r>
          </w:p>
          <w:p w:rsidR="00520CAA" w:rsidRDefault="00520CAA" w:rsidP="00F54CA4">
            <w:pPr>
              <w:rPr>
                <w:sz w:val="16"/>
                <w:szCs w:val="16"/>
                <w:lang w:bidi="th-TH"/>
              </w:rPr>
            </w:pPr>
          </w:p>
          <w:p w:rsidR="00520CAA" w:rsidRDefault="00520CAA" w:rsidP="00F54CA4">
            <w:pPr>
              <w:rPr>
                <w:sz w:val="16"/>
                <w:szCs w:val="16"/>
                <w:lang w:bidi="th-TH"/>
              </w:rPr>
            </w:pPr>
            <w:r w:rsidRPr="000F72B6">
              <w:rPr>
                <w:sz w:val="16"/>
                <w:szCs w:val="16"/>
                <w:lang w:bidi="th-TH"/>
              </w:rPr>
              <w:t>Arab (</w:t>
            </w:r>
            <w:r w:rsidRPr="00335775">
              <w:rPr>
                <w:sz w:val="16"/>
                <w:szCs w:val="16"/>
                <w:lang w:bidi="th-TH"/>
              </w:rPr>
              <w:t>35</w:t>
            </w:r>
            <w:r w:rsidRPr="000F72B6">
              <w:rPr>
                <w:sz w:val="16"/>
                <w:szCs w:val="16"/>
                <w:lang w:bidi="th-TH"/>
              </w:rPr>
              <w:t>%)</w:t>
            </w:r>
          </w:p>
          <w:p w:rsidR="00520CAA" w:rsidRDefault="00520CAA" w:rsidP="00F54CA4">
            <w:pPr>
              <w:rPr>
                <w:sz w:val="16"/>
                <w:szCs w:val="16"/>
                <w:lang w:bidi="th-TH"/>
              </w:rPr>
            </w:pPr>
          </w:p>
          <w:p w:rsidR="00520CAA" w:rsidRDefault="00520CAA" w:rsidP="00F54CA4">
            <w:pPr>
              <w:rPr>
                <w:sz w:val="16"/>
                <w:szCs w:val="16"/>
                <w:lang w:bidi="th-TH"/>
              </w:rPr>
            </w:pPr>
            <w:r>
              <w:rPr>
                <w:sz w:val="16"/>
                <w:szCs w:val="16"/>
                <w:lang w:bidi="th-TH"/>
              </w:rPr>
              <w:t>Asia and the Pacific (71%)</w:t>
            </w:r>
          </w:p>
          <w:p w:rsidR="00520CAA" w:rsidRDefault="00520CAA" w:rsidP="00F54CA4">
            <w:pPr>
              <w:rPr>
                <w:sz w:val="16"/>
                <w:szCs w:val="16"/>
                <w:lang w:bidi="th-TH"/>
              </w:rPr>
            </w:pPr>
          </w:p>
          <w:p w:rsidR="00520CAA" w:rsidRDefault="00520CAA" w:rsidP="00F54CA4">
            <w:pPr>
              <w:rPr>
                <w:sz w:val="16"/>
                <w:szCs w:val="16"/>
                <w:lang w:bidi="th-TH"/>
              </w:rPr>
            </w:pPr>
            <w:r>
              <w:rPr>
                <w:sz w:val="16"/>
                <w:szCs w:val="16"/>
                <w:lang w:bidi="th-TH"/>
              </w:rPr>
              <w:t>Latin America and the Caribbean (80%)</w:t>
            </w:r>
          </w:p>
          <w:p w:rsidR="00520CAA" w:rsidRDefault="00520CAA" w:rsidP="00F54CA4">
            <w:pPr>
              <w:rPr>
                <w:sz w:val="16"/>
                <w:szCs w:val="16"/>
                <w:lang w:bidi="th-TH"/>
              </w:rPr>
            </w:pPr>
          </w:p>
          <w:p w:rsidR="00520CAA" w:rsidRPr="004A0BC2" w:rsidRDefault="00520CAA" w:rsidP="00F54CA4">
            <w:pPr>
              <w:rPr>
                <w:sz w:val="16"/>
                <w:szCs w:val="16"/>
                <w:lang w:bidi="th-TH"/>
              </w:rPr>
            </w:pPr>
            <w:r>
              <w:rPr>
                <w:sz w:val="16"/>
                <w:szCs w:val="16"/>
                <w:lang w:bidi="th-TH"/>
              </w:rPr>
              <w:t>LDCs (95%)</w:t>
            </w:r>
          </w:p>
        </w:tc>
        <w:tc>
          <w:tcPr>
            <w:tcW w:w="945" w:type="dxa"/>
            <w:tcBorders>
              <w:bottom w:val="single" w:sz="4" w:space="0" w:color="auto"/>
            </w:tcBorders>
            <w:shd w:val="clear" w:color="auto" w:fill="auto"/>
            <w:tcMar>
              <w:top w:w="110" w:type="dxa"/>
            </w:tcMar>
          </w:tcPr>
          <w:p w:rsidR="00520CAA" w:rsidRDefault="00520CAA" w:rsidP="00F54CA4">
            <w:pPr>
              <w:keepNext/>
              <w:keepLines/>
              <w:jc w:val="center"/>
              <w:rPr>
                <w:b/>
                <w:bCs/>
                <w:color w:val="00B050"/>
                <w:sz w:val="16"/>
                <w:szCs w:val="16"/>
              </w:rPr>
            </w:pPr>
            <w:r w:rsidRPr="00335C36">
              <w:rPr>
                <w:b/>
                <w:bCs/>
                <w:color w:val="00B050"/>
                <w:sz w:val="16"/>
                <w:szCs w:val="16"/>
              </w:rPr>
              <w:t>On track</w:t>
            </w:r>
          </w:p>
          <w:p w:rsidR="00520CAA" w:rsidRDefault="00520CAA" w:rsidP="00F54CA4">
            <w:pPr>
              <w:keepNext/>
              <w:keepLines/>
              <w:rPr>
                <w:b/>
                <w:bCs/>
                <w:color w:val="00B050"/>
                <w:sz w:val="16"/>
                <w:szCs w:val="16"/>
              </w:rPr>
            </w:pPr>
          </w:p>
          <w:p w:rsidR="00520CAA" w:rsidRPr="00335775" w:rsidRDefault="00520CAA" w:rsidP="00F54CA4">
            <w:pPr>
              <w:keepNext/>
              <w:keepLines/>
              <w:jc w:val="center"/>
              <w:rPr>
                <w:b/>
                <w:bCs/>
                <w:color w:val="FF0000"/>
                <w:sz w:val="16"/>
                <w:szCs w:val="16"/>
              </w:rPr>
            </w:pPr>
            <w:r>
              <w:rPr>
                <w:b/>
                <w:bCs/>
                <w:color w:val="FF0000"/>
                <w:sz w:val="16"/>
                <w:szCs w:val="16"/>
              </w:rPr>
              <w:t xml:space="preserve">Not </w:t>
            </w:r>
            <w:r>
              <w:rPr>
                <w:b/>
                <w:bCs/>
                <w:color w:val="FF0000"/>
                <w:sz w:val="16"/>
                <w:szCs w:val="16"/>
              </w:rPr>
              <w:br/>
              <w:t>on track</w:t>
            </w:r>
          </w:p>
          <w:p w:rsidR="00520CAA" w:rsidRDefault="00520CAA" w:rsidP="00F54CA4">
            <w:pPr>
              <w:keepNext/>
              <w:keepLines/>
              <w:jc w:val="center"/>
              <w:rPr>
                <w:b/>
                <w:bCs/>
                <w:color w:val="00B050"/>
                <w:sz w:val="16"/>
                <w:szCs w:val="16"/>
              </w:rPr>
            </w:pPr>
          </w:p>
          <w:p w:rsidR="00520CAA" w:rsidRDefault="00520CAA" w:rsidP="00F54CA4">
            <w:pPr>
              <w:keepNext/>
              <w:keepLines/>
              <w:jc w:val="center"/>
              <w:rPr>
                <w:b/>
                <w:bCs/>
                <w:color w:val="00B050"/>
                <w:sz w:val="16"/>
                <w:szCs w:val="16"/>
              </w:rPr>
            </w:pPr>
            <w:r w:rsidRPr="00335C36">
              <w:rPr>
                <w:b/>
                <w:bCs/>
                <w:color w:val="00B050"/>
                <w:sz w:val="16"/>
                <w:szCs w:val="16"/>
              </w:rPr>
              <w:t>On track</w:t>
            </w:r>
          </w:p>
          <w:p w:rsidR="00520CAA" w:rsidRDefault="00520CAA" w:rsidP="00F54CA4">
            <w:pPr>
              <w:keepNext/>
              <w:keepLines/>
              <w:jc w:val="center"/>
              <w:rPr>
                <w:b/>
                <w:bCs/>
                <w:color w:val="00B050"/>
                <w:sz w:val="16"/>
                <w:szCs w:val="16"/>
              </w:rPr>
            </w:pPr>
          </w:p>
          <w:p w:rsidR="00520CAA" w:rsidRDefault="00520CAA" w:rsidP="00F54CA4">
            <w:pPr>
              <w:keepNext/>
              <w:keepLines/>
              <w:jc w:val="center"/>
              <w:rPr>
                <w:b/>
                <w:bCs/>
                <w:color w:val="00B050"/>
                <w:sz w:val="16"/>
                <w:szCs w:val="16"/>
              </w:rPr>
            </w:pPr>
            <w:r w:rsidRPr="00335C36">
              <w:rPr>
                <w:b/>
                <w:bCs/>
                <w:color w:val="00B050"/>
                <w:sz w:val="16"/>
                <w:szCs w:val="16"/>
              </w:rPr>
              <w:t>On track</w:t>
            </w:r>
          </w:p>
          <w:p w:rsidR="00520CAA" w:rsidRDefault="00520CAA" w:rsidP="00F54CA4">
            <w:pPr>
              <w:keepNext/>
              <w:keepLines/>
              <w:jc w:val="center"/>
              <w:rPr>
                <w:b/>
                <w:bCs/>
                <w:color w:val="00B050"/>
                <w:sz w:val="16"/>
                <w:szCs w:val="16"/>
              </w:rPr>
            </w:pPr>
          </w:p>
          <w:p w:rsidR="00520CAA" w:rsidRPr="00335C36" w:rsidRDefault="00520CAA" w:rsidP="00F54CA4">
            <w:pPr>
              <w:keepNext/>
              <w:keepLines/>
              <w:jc w:val="center"/>
              <w:rPr>
                <w:b/>
                <w:bCs/>
                <w:color w:val="00B050"/>
                <w:sz w:val="16"/>
                <w:szCs w:val="16"/>
              </w:rPr>
            </w:pPr>
            <w:r w:rsidRPr="00335C36">
              <w:rPr>
                <w:b/>
                <w:bCs/>
                <w:color w:val="00B050"/>
                <w:sz w:val="16"/>
                <w:szCs w:val="16"/>
              </w:rPr>
              <w:t>On track</w:t>
            </w:r>
          </w:p>
        </w:tc>
      </w:tr>
      <w:tr w:rsidR="00520CAA" w:rsidRPr="00C215DD" w:rsidTr="00531530">
        <w:tc>
          <w:tcPr>
            <w:tcW w:w="9594" w:type="dxa"/>
            <w:gridSpan w:val="5"/>
            <w:tcBorders>
              <w:top w:val="single" w:sz="4" w:space="0" w:color="auto"/>
              <w:bottom w:val="single" w:sz="4" w:space="0" w:color="auto"/>
            </w:tcBorders>
            <w:shd w:val="clear" w:color="auto" w:fill="CCFFFF"/>
            <w:vAlign w:val="center"/>
          </w:tcPr>
          <w:p w:rsidR="00520CAA" w:rsidRPr="00C215DD" w:rsidRDefault="00520CAA" w:rsidP="00F54CA4">
            <w:pPr>
              <w:keepNext/>
              <w:keepLines/>
              <w:tabs>
                <w:tab w:val="left" w:pos="1452"/>
              </w:tabs>
              <w:spacing w:before="120" w:after="120"/>
              <w:ind w:left="1452" w:hanging="1452"/>
              <w:rPr>
                <w:b/>
                <w:bCs/>
                <w:sz w:val="16"/>
                <w:szCs w:val="16"/>
              </w:rPr>
            </w:pPr>
            <w:r w:rsidRPr="00C215DD">
              <w:rPr>
                <w:b/>
                <w:bCs/>
                <w:sz w:val="16"/>
                <w:szCs w:val="16"/>
              </w:rPr>
              <w:t>Expected Result:</w:t>
            </w:r>
            <w:r w:rsidRPr="00C215DD">
              <w:rPr>
                <w:b/>
                <w:bCs/>
                <w:sz w:val="16"/>
                <w:szCs w:val="16"/>
              </w:rPr>
              <w:tab/>
            </w:r>
            <w:r w:rsidRPr="002B7AFD">
              <w:rPr>
                <w:bCs/>
                <w:sz w:val="16"/>
                <w:szCs w:val="16"/>
              </w:rPr>
              <w:t>III.4 Strengthened cooperation mechanisms and programs tailored to the needs of developing countries and LDCs</w:t>
            </w:r>
          </w:p>
        </w:tc>
      </w:tr>
      <w:tr w:rsidR="00520CAA" w:rsidRPr="00C215DD" w:rsidTr="00782713">
        <w:trPr>
          <w:trHeight w:val="369"/>
        </w:trPr>
        <w:tc>
          <w:tcPr>
            <w:tcW w:w="2127" w:type="dxa"/>
            <w:tcBorders>
              <w:top w:val="single" w:sz="4" w:space="0" w:color="auto"/>
              <w:left w:val="single" w:sz="4" w:space="0" w:color="auto"/>
              <w:bottom w:val="nil"/>
              <w:right w:val="nil"/>
            </w:tcBorders>
            <w:shd w:val="clear" w:color="auto" w:fill="auto"/>
            <w:vAlign w:val="center"/>
          </w:tcPr>
          <w:p w:rsidR="00520CAA" w:rsidRPr="00C215DD" w:rsidRDefault="00520CAA" w:rsidP="00F54CA4">
            <w:pPr>
              <w:spacing w:after="40"/>
              <w:rPr>
                <w:sz w:val="16"/>
                <w:szCs w:val="16"/>
              </w:rPr>
            </w:pPr>
            <w:r w:rsidRPr="00C215DD">
              <w:rPr>
                <w:b/>
                <w:bCs/>
                <w:sz w:val="16"/>
                <w:szCs w:val="16"/>
              </w:rPr>
              <w:t>Performance Indicators</w:t>
            </w:r>
          </w:p>
        </w:tc>
        <w:tc>
          <w:tcPr>
            <w:tcW w:w="2127" w:type="dxa"/>
            <w:tcBorders>
              <w:top w:val="single" w:sz="4" w:space="0" w:color="auto"/>
              <w:left w:val="nil"/>
              <w:bottom w:val="nil"/>
              <w:right w:val="nil"/>
            </w:tcBorders>
            <w:shd w:val="clear" w:color="auto" w:fill="auto"/>
            <w:vAlign w:val="center"/>
          </w:tcPr>
          <w:p w:rsidR="00520CAA" w:rsidRPr="00C215DD" w:rsidRDefault="00520CAA" w:rsidP="00F54CA4">
            <w:pPr>
              <w:spacing w:after="40"/>
              <w:rPr>
                <w:b/>
                <w:bCs/>
                <w:sz w:val="16"/>
                <w:szCs w:val="16"/>
              </w:rPr>
            </w:pPr>
            <w:r w:rsidRPr="00C215DD">
              <w:rPr>
                <w:b/>
                <w:bCs/>
                <w:sz w:val="16"/>
                <w:szCs w:val="16"/>
              </w:rPr>
              <w:t>Baselines</w:t>
            </w:r>
          </w:p>
        </w:tc>
        <w:tc>
          <w:tcPr>
            <w:tcW w:w="1843" w:type="dxa"/>
            <w:tcBorders>
              <w:top w:val="single" w:sz="4" w:space="0" w:color="auto"/>
              <w:left w:val="nil"/>
              <w:bottom w:val="nil"/>
              <w:right w:val="nil"/>
            </w:tcBorders>
            <w:shd w:val="clear" w:color="auto" w:fill="auto"/>
            <w:vAlign w:val="center"/>
          </w:tcPr>
          <w:p w:rsidR="00520CAA" w:rsidRPr="00C215DD" w:rsidRDefault="00520CAA" w:rsidP="00F54CA4">
            <w:pPr>
              <w:spacing w:after="40"/>
              <w:rPr>
                <w:b/>
                <w:sz w:val="16"/>
                <w:szCs w:val="16"/>
              </w:rPr>
            </w:pPr>
            <w:r w:rsidRPr="00C215DD">
              <w:rPr>
                <w:b/>
                <w:sz w:val="16"/>
                <w:szCs w:val="16"/>
              </w:rPr>
              <w:t>Target</w:t>
            </w:r>
            <w:r>
              <w:rPr>
                <w:b/>
                <w:sz w:val="16"/>
                <w:szCs w:val="16"/>
              </w:rPr>
              <w:t>s</w:t>
            </w:r>
          </w:p>
        </w:tc>
        <w:tc>
          <w:tcPr>
            <w:tcW w:w="2552" w:type="dxa"/>
            <w:tcBorders>
              <w:top w:val="single" w:sz="4" w:space="0" w:color="auto"/>
              <w:left w:val="nil"/>
              <w:bottom w:val="nil"/>
              <w:right w:val="nil"/>
            </w:tcBorders>
            <w:shd w:val="clear" w:color="auto" w:fill="auto"/>
            <w:vAlign w:val="center"/>
          </w:tcPr>
          <w:p w:rsidR="00520CAA" w:rsidRPr="00C215DD" w:rsidRDefault="00520CAA" w:rsidP="00F54CA4">
            <w:pPr>
              <w:spacing w:after="40"/>
              <w:rPr>
                <w:sz w:val="16"/>
                <w:szCs w:val="16"/>
              </w:rPr>
            </w:pPr>
            <w:r w:rsidRPr="00C215DD">
              <w:rPr>
                <w:b/>
                <w:bCs/>
                <w:sz w:val="16"/>
                <w:szCs w:val="16"/>
              </w:rPr>
              <w:t>Performance Data</w:t>
            </w:r>
          </w:p>
        </w:tc>
        <w:tc>
          <w:tcPr>
            <w:tcW w:w="945" w:type="dxa"/>
            <w:tcBorders>
              <w:top w:val="single" w:sz="4" w:space="0" w:color="auto"/>
              <w:left w:val="nil"/>
              <w:bottom w:val="nil"/>
              <w:right w:val="single" w:sz="4" w:space="0" w:color="auto"/>
            </w:tcBorders>
            <w:shd w:val="clear" w:color="auto" w:fill="auto"/>
            <w:vAlign w:val="center"/>
          </w:tcPr>
          <w:p w:rsidR="00520CAA" w:rsidRPr="00C215DD" w:rsidRDefault="00520CAA" w:rsidP="00F54CA4">
            <w:pPr>
              <w:keepNext/>
              <w:keepLines/>
              <w:spacing w:after="40"/>
              <w:jc w:val="center"/>
              <w:rPr>
                <w:b/>
                <w:bCs/>
                <w:sz w:val="16"/>
                <w:szCs w:val="16"/>
              </w:rPr>
            </w:pPr>
            <w:r w:rsidRPr="00C215DD">
              <w:rPr>
                <w:b/>
                <w:bCs/>
                <w:sz w:val="16"/>
                <w:szCs w:val="16"/>
              </w:rPr>
              <w:t>TLS</w:t>
            </w:r>
          </w:p>
        </w:tc>
      </w:tr>
      <w:tr w:rsidR="00520CAA" w:rsidRPr="00716A48" w:rsidTr="00782713">
        <w:tc>
          <w:tcPr>
            <w:tcW w:w="2127" w:type="dxa"/>
            <w:tcBorders>
              <w:top w:val="nil"/>
              <w:left w:val="single" w:sz="4" w:space="0" w:color="auto"/>
              <w:bottom w:val="single" w:sz="4" w:space="0" w:color="auto"/>
              <w:right w:val="nil"/>
            </w:tcBorders>
            <w:shd w:val="clear" w:color="auto" w:fill="FFFFFF"/>
          </w:tcPr>
          <w:p w:rsidR="00520CAA" w:rsidRPr="00783036" w:rsidRDefault="00520CAA" w:rsidP="00F54CA4">
            <w:pPr>
              <w:rPr>
                <w:sz w:val="16"/>
                <w:szCs w:val="16"/>
                <w:lang w:bidi="th-TH"/>
              </w:rPr>
            </w:pPr>
            <w:r w:rsidRPr="002B7AFD">
              <w:rPr>
                <w:sz w:val="16"/>
                <w:szCs w:val="16"/>
                <w:lang w:bidi="th-TH"/>
              </w:rPr>
              <w:t>No. of new or strengthened cooperation mechanisms, programs or partnerships supported to promote/strengthen sub-regional or regional cooperation in IP</w:t>
            </w:r>
          </w:p>
        </w:tc>
        <w:tc>
          <w:tcPr>
            <w:tcW w:w="2127" w:type="dxa"/>
            <w:tcBorders>
              <w:top w:val="nil"/>
              <w:left w:val="nil"/>
              <w:bottom w:val="single" w:sz="4" w:space="0" w:color="auto"/>
              <w:right w:val="nil"/>
            </w:tcBorders>
            <w:shd w:val="clear" w:color="auto" w:fill="auto"/>
          </w:tcPr>
          <w:p w:rsidR="00520CAA" w:rsidRPr="002B7AFD" w:rsidRDefault="00520CAA" w:rsidP="00F54CA4">
            <w:pPr>
              <w:rPr>
                <w:sz w:val="16"/>
                <w:szCs w:val="16"/>
                <w:lang w:bidi="th-TH"/>
              </w:rPr>
            </w:pPr>
            <w:r w:rsidRPr="002B7AFD">
              <w:rPr>
                <w:sz w:val="16"/>
                <w:szCs w:val="16"/>
                <w:lang w:bidi="th-TH"/>
              </w:rPr>
              <w:t>Africa (3)</w:t>
            </w:r>
          </w:p>
          <w:p w:rsidR="00520CAA" w:rsidRPr="002B7AFD" w:rsidRDefault="00520CAA" w:rsidP="00F54CA4">
            <w:pPr>
              <w:rPr>
                <w:sz w:val="16"/>
                <w:szCs w:val="16"/>
                <w:lang w:bidi="th-TH"/>
              </w:rPr>
            </w:pPr>
            <w:r w:rsidRPr="002B7AFD">
              <w:rPr>
                <w:sz w:val="16"/>
                <w:szCs w:val="16"/>
                <w:lang w:bidi="th-TH"/>
              </w:rPr>
              <w:t>Arab (2)</w:t>
            </w:r>
          </w:p>
          <w:p w:rsidR="00520CAA" w:rsidRPr="002B7AFD" w:rsidRDefault="002C2CA1" w:rsidP="00F54CA4">
            <w:pPr>
              <w:rPr>
                <w:sz w:val="16"/>
                <w:szCs w:val="16"/>
                <w:lang w:bidi="th-TH"/>
              </w:rPr>
            </w:pPr>
            <w:r>
              <w:rPr>
                <w:sz w:val="16"/>
                <w:szCs w:val="16"/>
                <w:lang w:bidi="th-TH"/>
              </w:rPr>
              <w:t>Asia and the Pacific</w:t>
            </w:r>
            <w:r w:rsidR="00520CAA" w:rsidRPr="002B7AFD">
              <w:rPr>
                <w:sz w:val="16"/>
                <w:szCs w:val="16"/>
                <w:lang w:bidi="th-TH"/>
              </w:rPr>
              <w:t xml:space="preserve"> (4)</w:t>
            </w:r>
          </w:p>
          <w:p w:rsidR="00520CAA" w:rsidRDefault="00520CAA" w:rsidP="00F54CA4">
            <w:pPr>
              <w:rPr>
                <w:sz w:val="16"/>
                <w:szCs w:val="16"/>
                <w:lang w:bidi="th-TH"/>
              </w:rPr>
            </w:pPr>
            <w:r w:rsidRPr="002B7AFD">
              <w:rPr>
                <w:sz w:val="16"/>
                <w:szCs w:val="16"/>
                <w:lang w:bidi="th-TH"/>
              </w:rPr>
              <w:t>Latin America and the Caribbean (3)</w:t>
            </w:r>
          </w:p>
          <w:p w:rsidR="008F2277" w:rsidRPr="002B7AFD" w:rsidRDefault="008F2277" w:rsidP="00F54CA4">
            <w:pPr>
              <w:rPr>
                <w:sz w:val="16"/>
                <w:szCs w:val="16"/>
                <w:lang w:bidi="th-TH"/>
              </w:rPr>
            </w:pPr>
            <w:r>
              <w:rPr>
                <w:sz w:val="16"/>
                <w:szCs w:val="16"/>
                <w:lang w:bidi="th-TH"/>
              </w:rPr>
              <w:t>2 LDCs included in the above regional breakdown</w:t>
            </w:r>
          </w:p>
          <w:p w:rsidR="00520CAA" w:rsidRPr="002B7AFD" w:rsidRDefault="00520CAA" w:rsidP="00F54CA4">
            <w:pPr>
              <w:rPr>
                <w:color w:val="002060"/>
                <w:sz w:val="16"/>
                <w:szCs w:val="16"/>
              </w:rPr>
            </w:pPr>
            <w:r w:rsidRPr="002B7AFD">
              <w:rPr>
                <w:sz w:val="16"/>
                <w:szCs w:val="16"/>
                <w:lang w:bidi="th-TH"/>
              </w:rPr>
              <w:t>Appropriate Technology Projects in 3 LDCs</w:t>
            </w:r>
          </w:p>
        </w:tc>
        <w:tc>
          <w:tcPr>
            <w:tcW w:w="1843" w:type="dxa"/>
            <w:tcBorders>
              <w:top w:val="nil"/>
              <w:left w:val="nil"/>
              <w:bottom w:val="single" w:sz="4" w:space="0" w:color="auto"/>
              <w:right w:val="nil"/>
            </w:tcBorders>
            <w:shd w:val="clear" w:color="auto" w:fill="auto"/>
            <w:tcMar>
              <w:top w:w="110" w:type="dxa"/>
            </w:tcMar>
          </w:tcPr>
          <w:p w:rsidR="00520CAA" w:rsidRDefault="00520CAA" w:rsidP="00F54CA4">
            <w:pPr>
              <w:rPr>
                <w:sz w:val="16"/>
                <w:szCs w:val="16"/>
                <w:lang w:bidi="th-TH"/>
              </w:rPr>
            </w:pPr>
            <w:r w:rsidRPr="002B7AFD">
              <w:rPr>
                <w:sz w:val="16"/>
                <w:szCs w:val="16"/>
                <w:lang w:bidi="th-TH"/>
              </w:rPr>
              <w:t>Africa (2)</w:t>
            </w:r>
          </w:p>
          <w:p w:rsidR="00520CAA" w:rsidRDefault="00520CAA" w:rsidP="00F54CA4">
            <w:pPr>
              <w:rPr>
                <w:sz w:val="16"/>
                <w:szCs w:val="16"/>
                <w:lang w:bidi="th-TH"/>
              </w:rPr>
            </w:pPr>
          </w:p>
          <w:p w:rsidR="007705FF" w:rsidRDefault="007705FF" w:rsidP="00F54CA4">
            <w:pPr>
              <w:rPr>
                <w:sz w:val="16"/>
                <w:szCs w:val="16"/>
                <w:lang w:bidi="th-TH"/>
              </w:rPr>
            </w:pPr>
          </w:p>
          <w:p w:rsidR="007705FF" w:rsidRDefault="007705FF" w:rsidP="00F54CA4">
            <w:pPr>
              <w:rPr>
                <w:sz w:val="16"/>
                <w:szCs w:val="16"/>
                <w:lang w:bidi="th-TH"/>
              </w:rPr>
            </w:pPr>
          </w:p>
          <w:p w:rsidR="007705FF" w:rsidRDefault="007705FF" w:rsidP="00F54CA4">
            <w:pPr>
              <w:rPr>
                <w:sz w:val="16"/>
                <w:szCs w:val="16"/>
                <w:lang w:bidi="th-TH"/>
              </w:rPr>
            </w:pPr>
          </w:p>
          <w:p w:rsidR="00520CAA" w:rsidRDefault="00520CAA" w:rsidP="00F54CA4">
            <w:pPr>
              <w:rPr>
                <w:sz w:val="16"/>
                <w:szCs w:val="16"/>
                <w:lang w:bidi="th-TH"/>
              </w:rPr>
            </w:pPr>
            <w:r w:rsidRPr="002B7AFD">
              <w:rPr>
                <w:sz w:val="16"/>
                <w:szCs w:val="16"/>
                <w:lang w:bidi="th-TH"/>
              </w:rPr>
              <w:t>Arab (1)</w:t>
            </w:r>
          </w:p>
          <w:p w:rsidR="00520CAA" w:rsidRDefault="00520CAA" w:rsidP="00F54CA4">
            <w:pPr>
              <w:rPr>
                <w:sz w:val="16"/>
                <w:szCs w:val="16"/>
                <w:lang w:bidi="th-TH"/>
              </w:rPr>
            </w:pPr>
          </w:p>
          <w:p w:rsidR="007705FF" w:rsidRDefault="007705FF" w:rsidP="00F54CA4">
            <w:pPr>
              <w:rPr>
                <w:sz w:val="16"/>
                <w:szCs w:val="16"/>
                <w:lang w:bidi="th-TH"/>
              </w:rPr>
            </w:pPr>
          </w:p>
          <w:p w:rsidR="007705FF" w:rsidRDefault="007705FF" w:rsidP="00F54CA4">
            <w:pPr>
              <w:rPr>
                <w:sz w:val="16"/>
                <w:szCs w:val="16"/>
                <w:lang w:bidi="th-TH"/>
              </w:rPr>
            </w:pPr>
          </w:p>
          <w:p w:rsidR="007705FF" w:rsidRDefault="007705FF" w:rsidP="00F54CA4">
            <w:pPr>
              <w:rPr>
                <w:sz w:val="16"/>
                <w:szCs w:val="16"/>
                <w:lang w:bidi="th-TH"/>
              </w:rPr>
            </w:pPr>
          </w:p>
          <w:p w:rsidR="007705FF" w:rsidRDefault="007705FF" w:rsidP="00F54CA4">
            <w:pPr>
              <w:rPr>
                <w:sz w:val="16"/>
                <w:szCs w:val="16"/>
                <w:lang w:bidi="th-TH"/>
              </w:rPr>
            </w:pPr>
          </w:p>
          <w:p w:rsidR="007705FF" w:rsidRDefault="007705FF" w:rsidP="00F54CA4">
            <w:pPr>
              <w:rPr>
                <w:sz w:val="16"/>
                <w:szCs w:val="16"/>
                <w:lang w:bidi="th-TH"/>
              </w:rPr>
            </w:pPr>
          </w:p>
          <w:p w:rsidR="00520CAA" w:rsidRDefault="002C2CA1" w:rsidP="00F54CA4">
            <w:pPr>
              <w:rPr>
                <w:sz w:val="16"/>
                <w:szCs w:val="16"/>
                <w:lang w:bidi="th-TH"/>
              </w:rPr>
            </w:pPr>
            <w:r>
              <w:rPr>
                <w:sz w:val="16"/>
                <w:szCs w:val="16"/>
                <w:lang w:bidi="th-TH"/>
              </w:rPr>
              <w:t>Asia and the Pacific</w:t>
            </w:r>
            <w:r w:rsidR="00520CAA" w:rsidRPr="002B7AFD">
              <w:rPr>
                <w:sz w:val="16"/>
                <w:szCs w:val="16"/>
                <w:lang w:bidi="th-TH"/>
              </w:rPr>
              <w:t xml:space="preserve"> (4)</w:t>
            </w:r>
          </w:p>
          <w:p w:rsidR="00520CAA" w:rsidRDefault="00520CAA" w:rsidP="00F54CA4">
            <w:pPr>
              <w:rPr>
                <w:sz w:val="16"/>
                <w:szCs w:val="16"/>
                <w:lang w:bidi="th-TH"/>
              </w:rPr>
            </w:pPr>
          </w:p>
          <w:p w:rsidR="007705FF" w:rsidRDefault="007705FF" w:rsidP="00F54CA4">
            <w:pPr>
              <w:rPr>
                <w:sz w:val="16"/>
                <w:szCs w:val="16"/>
                <w:lang w:bidi="th-TH"/>
              </w:rPr>
            </w:pPr>
          </w:p>
          <w:p w:rsidR="007705FF" w:rsidRDefault="007705FF" w:rsidP="00F54CA4">
            <w:pPr>
              <w:rPr>
                <w:sz w:val="16"/>
                <w:szCs w:val="16"/>
                <w:lang w:bidi="th-TH"/>
              </w:rPr>
            </w:pPr>
          </w:p>
          <w:p w:rsidR="007705FF" w:rsidRDefault="007705FF" w:rsidP="00F54CA4">
            <w:pPr>
              <w:rPr>
                <w:sz w:val="16"/>
                <w:szCs w:val="16"/>
                <w:lang w:bidi="th-TH"/>
              </w:rPr>
            </w:pPr>
          </w:p>
          <w:p w:rsidR="007705FF" w:rsidRDefault="007705FF" w:rsidP="00F54CA4">
            <w:pPr>
              <w:rPr>
                <w:sz w:val="16"/>
                <w:szCs w:val="16"/>
                <w:lang w:bidi="th-TH"/>
              </w:rPr>
            </w:pPr>
          </w:p>
          <w:p w:rsidR="00520CAA" w:rsidRPr="008648B6" w:rsidRDefault="00520CAA" w:rsidP="00F54CA4">
            <w:pPr>
              <w:rPr>
                <w:sz w:val="16"/>
                <w:szCs w:val="16"/>
                <w:lang w:bidi="th-TH"/>
              </w:rPr>
            </w:pPr>
          </w:p>
        </w:tc>
        <w:tc>
          <w:tcPr>
            <w:tcW w:w="2552" w:type="dxa"/>
            <w:tcBorders>
              <w:top w:val="nil"/>
              <w:left w:val="nil"/>
              <w:bottom w:val="single" w:sz="4" w:space="0" w:color="auto"/>
              <w:right w:val="nil"/>
            </w:tcBorders>
            <w:shd w:val="clear" w:color="auto" w:fill="FFFFFF"/>
            <w:tcMar>
              <w:top w:w="110" w:type="dxa"/>
            </w:tcMar>
          </w:tcPr>
          <w:p w:rsidR="00520CAA" w:rsidRDefault="00520CAA" w:rsidP="00F54CA4">
            <w:pPr>
              <w:rPr>
                <w:sz w:val="16"/>
                <w:szCs w:val="16"/>
                <w:lang w:bidi="th-TH"/>
              </w:rPr>
            </w:pPr>
            <w:r>
              <w:rPr>
                <w:sz w:val="16"/>
                <w:szCs w:val="16"/>
                <w:lang w:bidi="th-TH"/>
              </w:rPr>
              <w:t xml:space="preserve">Africa:  </w:t>
            </w:r>
            <w:proofErr w:type="spellStart"/>
            <w:r>
              <w:rPr>
                <w:sz w:val="16"/>
                <w:szCs w:val="16"/>
                <w:lang w:bidi="th-TH"/>
              </w:rPr>
              <w:t>Mo</w:t>
            </w:r>
            <w:r w:rsidRPr="00725546">
              <w:rPr>
                <w:sz w:val="16"/>
                <w:szCs w:val="16"/>
                <w:lang w:bidi="th-TH"/>
              </w:rPr>
              <w:t>U</w:t>
            </w:r>
            <w:proofErr w:type="spellEnd"/>
            <w:r w:rsidRPr="00725546">
              <w:rPr>
                <w:sz w:val="16"/>
                <w:szCs w:val="16"/>
                <w:lang w:bidi="th-TH"/>
              </w:rPr>
              <w:t xml:space="preserve"> signed with </w:t>
            </w:r>
            <w:proofErr w:type="spellStart"/>
            <w:r w:rsidRPr="00335775">
              <w:rPr>
                <w:i/>
                <w:sz w:val="16"/>
                <w:szCs w:val="16"/>
                <w:lang w:bidi="th-TH"/>
              </w:rPr>
              <w:t>l’Organisation</w:t>
            </w:r>
            <w:proofErr w:type="spellEnd"/>
            <w:r w:rsidRPr="00335775">
              <w:rPr>
                <w:i/>
                <w:sz w:val="16"/>
                <w:szCs w:val="16"/>
                <w:lang w:bidi="th-TH"/>
              </w:rPr>
              <w:t xml:space="preserve"> </w:t>
            </w:r>
            <w:proofErr w:type="spellStart"/>
            <w:r w:rsidRPr="00335775">
              <w:rPr>
                <w:i/>
                <w:sz w:val="16"/>
                <w:szCs w:val="16"/>
                <w:lang w:bidi="th-TH"/>
              </w:rPr>
              <w:t>Internationale</w:t>
            </w:r>
            <w:proofErr w:type="spellEnd"/>
            <w:r w:rsidRPr="00335775">
              <w:rPr>
                <w:i/>
                <w:sz w:val="16"/>
                <w:szCs w:val="16"/>
                <w:lang w:bidi="th-TH"/>
              </w:rPr>
              <w:t xml:space="preserve"> de la Francophonie</w:t>
            </w:r>
            <w:r>
              <w:rPr>
                <w:i/>
                <w:sz w:val="16"/>
                <w:szCs w:val="16"/>
                <w:lang w:bidi="th-TH"/>
              </w:rPr>
              <w:t xml:space="preserve"> </w:t>
            </w:r>
            <w:r w:rsidRPr="00335775">
              <w:rPr>
                <w:sz w:val="16"/>
                <w:szCs w:val="16"/>
                <w:lang w:bidi="th-TH"/>
              </w:rPr>
              <w:t>(OIF)</w:t>
            </w:r>
            <w:r w:rsidRPr="00725546">
              <w:rPr>
                <w:sz w:val="16"/>
                <w:szCs w:val="16"/>
                <w:lang w:bidi="th-TH"/>
              </w:rPr>
              <w:t xml:space="preserve"> in May</w:t>
            </w:r>
            <w:r w:rsidR="00531530">
              <w:rPr>
                <w:sz w:val="16"/>
                <w:szCs w:val="16"/>
                <w:lang w:bidi="th-TH"/>
              </w:rPr>
              <w:t> </w:t>
            </w:r>
            <w:r w:rsidRPr="00725546">
              <w:rPr>
                <w:sz w:val="16"/>
                <w:szCs w:val="16"/>
                <w:lang w:bidi="th-TH"/>
              </w:rPr>
              <w:t>2014</w:t>
            </w:r>
            <w:r w:rsidR="00413EEB">
              <w:rPr>
                <w:sz w:val="16"/>
                <w:szCs w:val="16"/>
                <w:lang w:bidi="th-TH"/>
              </w:rPr>
              <w:t>.</w:t>
            </w:r>
          </w:p>
          <w:p w:rsidR="00520CAA" w:rsidRDefault="00520CAA" w:rsidP="00F54CA4">
            <w:pPr>
              <w:rPr>
                <w:sz w:val="16"/>
                <w:szCs w:val="16"/>
                <w:lang w:bidi="th-TH"/>
              </w:rPr>
            </w:pPr>
          </w:p>
          <w:p w:rsidR="00520CAA" w:rsidRDefault="00520CAA" w:rsidP="00F54CA4">
            <w:pPr>
              <w:rPr>
                <w:sz w:val="16"/>
                <w:szCs w:val="16"/>
                <w:lang w:bidi="th-TH"/>
              </w:rPr>
            </w:pPr>
            <w:r>
              <w:rPr>
                <w:sz w:val="16"/>
                <w:szCs w:val="16"/>
                <w:lang w:bidi="th-TH"/>
              </w:rPr>
              <w:t>Arab (1): Awareness</w:t>
            </w:r>
            <w:r w:rsidR="00086E9E">
              <w:rPr>
                <w:sz w:val="16"/>
                <w:szCs w:val="16"/>
                <w:lang w:bidi="th-TH"/>
              </w:rPr>
              <w:t xml:space="preserve"> </w:t>
            </w:r>
            <w:r>
              <w:rPr>
                <w:sz w:val="16"/>
                <w:szCs w:val="16"/>
                <w:lang w:bidi="th-TH"/>
              </w:rPr>
              <w:t>raising cartoon movie program on building respect for IP in cooperation with the League of Arab States (LAS)</w:t>
            </w:r>
          </w:p>
          <w:p w:rsidR="00520CAA" w:rsidRDefault="00520CAA" w:rsidP="00F54CA4">
            <w:pPr>
              <w:rPr>
                <w:sz w:val="16"/>
                <w:szCs w:val="16"/>
                <w:lang w:bidi="th-TH"/>
              </w:rPr>
            </w:pPr>
          </w:p>
          <w:p w:rsidR="00520CAA" w:rsidRDefault="00520CAA" w:rsidP="00F54CA4">
            <w:pPr>
              <w:rPr>
                <w:sz w:val="16"/>
                <w:szCs w:val="16"/>
                <w:lang w:bidi="th-TH"/>
              </w:rPr>
            </w:pPr>
          </w:p>
          <w:p w:rsidR="00520CAA" w:rsidRDefault="002C2CA1" w:rsidP="00F54CA4">
            <w:pPr>
              <w:rPr>
                <w:sz w:val="16"/>
                <w:szCs w:val="16"/>
              </w:rPr>
            </w:pPr>
            <w:r>
              <w:rPr>
                <w:sz w:val="16"/>
                <w:szCs w:val="16"/>
                <w:lang w:bidi="th-TH"/>
              </w:rPr>
              <w:t>Asia and the Pacific</w:t>
            </w:r>
            <w:r w:rsidR="00520CAA" w:rsidRPr="00D60998">
              <w:rPr>
                <w:sz w:val="16"/>
                <w:szCs w:val="16"/>
                <w:lang w:bidi="th-TH"/>
              </w:rPr>
              <w:t xml:space="preserve"> </w:t>
            </w:r>
            <w:r w:rsidR="00520CAA">
              <w:rPr>
                <w:sz w:val="16"/>
                <w:szCs w:val="16"/>
              </w:rPr>
              <w:t>(2): Association of Southeast Asian Nations (ASEAN); South Asia Association for Regional Cooperation (SAARC)</w:t>
            </w:r>
          </w:p>
          <w:p w:rsidR="00520CAA" w:rsidRPr="00716A48" w:rsidRDefault="00520CAA" w:rsidP="00BC5A50">
            <w:pPr>
              <w:rPr>
                <w:sz w:val="16"/>
                <w:szCs w:val="16"/>
                <w:lang w:bidi="th-TH"/>
              </w:rPr>
            </w:pPr>
          </w:p>
        </w:tc>
        <w:tc>
          <w:tcPr>
            <w:tcW w:w="945" w:type="dxa"/>
            <w:tcBorders>
              <w:top w:val="nil"/>
              <w:left w:val="nil"/>
              <w:bottom w:val="single" w:sz="4" w:space="0" w:color="auto"/>
              <w:right w:val="single" w:sz="4" w:space="0" w:color="auto"/>
            </w:tcBorders>
            <w:shd w:val="clear" w:color="auto" w:fill="auto"/>
            <w:tcMar>
              <w:top w:w="110" w:type="dxa"/>
            </w:tcMar>
          </w:tcPr>
          <w:p w:rsidR="00520CAA" w:rsidRDefault="00520CAA" w:rsidP="00F54CA4">
            <w:pPr>
              <w:keepNext/>
              <w:keepLines/>
              <w:jc w:val="center"/>
              <w:rPr>
                <w:b/>
                <w:bCs/>
                <w:color w:val="00B050"/>
                <w:sz w:val="16"/>
                <w:szCs w:val="16"/>
              </w:rPr>
            </w:pPr>
            <w:r w:rsidRPr="008C2A88">
              <w:rPr>
                <w:b/>
                <w:bCs/>
                <w:color w:val="00B050"/>
                <w:sz w:val="16"/>
                <w:szCs w:val="16"/>
              </w:rPr>
              <w:t>On track</w:t>
            </w:r>
          </w:p>
          <w:p w:rsidR="00520CAA" w:rsidRDefault="00520CAA" w:rsidP="00F54CA4">
            <w:pPr>
              <w:keepNext/>
              <w:keepLines/>
              <w:jc w:val="center"/>
              <w:rPr>
                <w:b/>
                <w:bCs/>
                <w:color w:val="00B050"/>
                <w:sz w:val="16"/>
                <w:szCs w:val="16"/>
              </w:rPr>
            </w:pPr>
          </w:p>
          <w:p w:rsidR="00520CAA" w:rsidRDefault="00520CAA" w:rsidP="00F54CA4">
            <w:pPr>
              <w:keepNext/>
              <w:keepLines/>
              <w:jc w:val="center"/>
              <w:rPr>
                <w:b/>
                <w:bCs/>
                <w:color w:val="00B050"/>
                <w:sz w:val="16"/>
                <w:szCs w:val="16"/>
              </w:rPr>
            </w:pPr>
          </w:p>
          <w:p w:rsidR="00520CAA" w:rsidRDefault="00520CAA" w:rsidP="00F54CA4">
            <w:pPr>
              <w:keepNext/>
              <w:keepLines/>
              <w:jc w:val="center"/>
              <w:rPr>
                <w:b/>
                <w:bCs/>
                <w:color w:val="00B050"/>
                <w:sz w:val="16"/>
                <w:szCs w:val="16"/>
              </w:rPr>
            </w:pPr>
          </w:p>
          <w:p w:rsidR="00520CAA" w:rsidRDefault="00520CAA" w:rsidP="00F54CA4">
            <w:pPr>
              <w:keepNext/>
              <w:keepLines/>
              <w:jc w:val="center"/>
              <w:rPr>
                <w:b/>
                <w:bCs/>
                <w:color w:val="00B050"/>
                <w:sz w:val="16"/>
                <w:szCs w:val="16"/>
              </w:rPr>
            </w:pPr>
          </w:p>
          <w:p w:rsidR="007705FF" w:rsidRDefault="007705FF" w:rsidP="00F54CA4">
            <w:pPr>
              <w:keepNext/>
              <w:keepLines/>
              <w:jc w:val="center"/>
              <w:rPr>
                <w:b/>
                <w:bCs/>
                <w:color w:val="00B050"/>
                <w:sz w:val="16"/>
                <w:szCs w:val="16"/>
              </w:rPr>
            </w:pPr>
          </w:p>
          <w:p w:rsidR="00520CAA" w:rsidRDefault="00520CAA" w:rsidP="00F54CA4">
            <w:pPr>
              <w:keepNext/>
              <w:keepLines/>
              <w:jc w:val="center"/>
              <w:rPr>
                <w:b/>
                <w:bCs/>
                <w:color w:val="00B050"/>
                <w:sz w:val="16"/>
                <w:szCs w:val="16"/>
              </w:rPr>
            </w:pPr>
            <w:r w:rsidRPr="008C2A88">
              <w:rPr>
                <w:b/>
                <w:bCs/>
                <w:color w:val="00B050"/>
                <w:sz w:val="16"/>
                <w:szCs w:val="16"/>
              </w:rPr>
              <w:t>On track</w:t>
            </w:r>
          </w:p>
          <w:p w:rsidR="00520CAA" w:rsidRDefault="00520CAA" w:rsidP="00F54CA4">
            <w:pPr>
              <w:keepNext/>
              <w:keepLines/>
              <w:jc w:val="center"/>
              <w:rPr>
                <w:b/>
                <w:bCs/>
                <w:color w:val="00B050"/>
                <w:sz w:val="16"/>
                <w:szCs w:val="16"/>
              </w:rPr>
            </w:pPr>
          </w:p>
          <w:p w:rsidR="00520CAA" w:rsidRDefault="00520CAA" w:rsidP="00F54CA4">
            <w:pPr>
              <w:keepNext/>
              <w:keepLines/>
              <w:jc w:val="center"/>
              <w:rPr>
                <w:b/>
                <w:bCs/>
                <w:color w:val="00B050"/>
                <w:sz w:val="16"/>
                <w:szCs w:val="16"/>
              </w:rPr>
            </w:pPr>
          </w:p>
          <w:p w:rsidR="00520CAA" w:rsidRDefault="00520CAA" w:rsidP="00F54CA4">
            <w:pPr>
              <w:keepNext/>
              <w:keepLines/>
              <w:jc w:val="center"/>
              <w:rPr>
                <w:b/>
                <w:bCs/>
                <w:color w:val="00B050"/>
                <w:sz w:val="16"/>
                <w:szCs w:val="16"/>
              </w:rPr>
            </w:pPr>
          </w:p>
          <w:p w:rsidR="00520CAA" w:rsidRDefault="00520CAA" w:rsidP="00F54CA4">
            <w:pPr>
              <w:keepNext/>
              <w:keepLines/>
              <w:jc w:val="center"/>
              <w:rPr>
                <w:b/>
                <w:bCs/>
                <w:color w:val="00B050"/>
                <w:sz w:val="16"/>
                <w:szCs w:val="16"/>
              </w:rPr>
            </w:pPr>
          </w:p>
          <w:p w:rsidR="00520CAA" w:rsidRDefault="00520CAA" w:rsidP="00F54CA4">
            <w:pPr>
              <w:keepNext/>
              <w:keepLines/>
              <w:jc w:val="center"/>
              <w:rPr>
                <w:b/>
                <w:bCs/>
                <w:color w:val="00B050"/>
                <w:sz w:val="16"/>
                <w:szCs w:val="16"/>
              </w:rPr>
            </w:pPr>
          </w:p>
          <w:p w:rsidR="00520CAA" w:rsidRDefault="00520CAA" w:rsidP="00F54CA4">
            <w:pPr>
              <w:keepNext/>
              <w:keepLines/>
              <w:jc w:val="center"/>
              <w:rPr>
                <w:b/>
                <w:bCs/>
                <w:color w:val="00B050"/>
                <w:sz w:val="16"/>
                <w:szCs w:val="16"/>
              </w:rPr>
            </w:pPr>
            <w:r w:rsidRPr="008C2A88">
              <w:rPr>
                <w:b/>
                <w:bCs/>
                <w:color w:val="00B050"/>
                <w:sz w:val="16"/>
                <w:szCs w:val="16"/>
              </w:rPr>
              <w:t>On track</w:t>
            </w:r>
          </w:p>
          <w:p w:rsidR="00520CAA" w:rsidRDefault="00520CAA" w:rsidP="00F54CA4">
            <w:pPr>
              <w:keepNext/>
              <w:keepLines/>
              <w:jc w:val="center"/>
              <w:rPr>
                <w:b/>
                <w:bCs/>
                <w:color w:val="00B050"/>
                <w:sz w:val="16"/>
                <w:szCs w:val="16"/>
              </w:rPr>
            </w:pPr>
          </w:p>
          <w:p w:rsidR="00520CAA" w:rsidRDefault="00520CAA" w:rsidP="00F54CA4">
            <w:pPr>
              <w:keepNext/>
              <w:keepLines/>
              <w:jc w:val="center"/>
              <w:rPr>
                <w:b/>
                <w:bCs/>
                <w:color w:val="00B050"/>
                <w:sz w:val="16"/>
                <w:szCs w:val="16"/>
              </w:rPr>
            </w:pPr>
          </w:p>
          <w:p w:rsidR="00520CAA" w:rsidRDefault="00520CAA" w:rsidP="00F54CA4">
            <w:pPr>
              <w:keepNext/>
              <w:keepLines/>
              <w:jc w:val="center"/>
              <w:rPr>
                <w:b/>
                <w:bCs/>
                <w:color w:val="00B050"/>
                <w:sz w:val="16"/>
                <w:szCs w:val="16"/>
              </w:rPr>
            </w:pPr>
          </w:p>
          <w:p w:rsidR="00520CAA" w:rsidRDefault="00520CAA" w:rsidP="00F54CA4">
            <w:pPr>
              <w:keepNext/>
              <w:keepLines/>
              <w:jc w:val="center"/>
              <w:rPr>
                <w:b/>
                <w:bCs/>
                <w:color w:val="00B050"/>
                <w:sz w:val="16"/>
                <w:szCs w:val="16"/>
              </w:rPr>
            </w:pPr>
          </w:p>
          <w:p w:rsidR="00520CAA" w:rsidRPr="00ED7C26" w:rsidRDefault="00520CAA" w:rsidP="00BC5A50">
            <w:pPr>
              <w:keepNext/>
              <w:keepLines/>
              <w:jc w:val="center"/>
              <w:rPr>
                <w:b/>
                <w:bCs/>
                <w:color w:val="FF0000"/>
                <w:sz w:val="16"/>
                <w:szCs w:val="16"/>
              </w:rPr>
            </w:pPr>
          </w:p>
        </w:tc>
      </w:tr>
      <w:tr w:rsidR="00BC5A50" w:rsidRPr="00716A48" w:rsidTr="00782713">
        <w:tc>
          <w:tcPr>
            <w:tcW w:w="2127" w:type="dxa"/>
            <w:tcBorders>
              <w:top w:val="single" w:sz="4" w:space="0" w:color="auto"/>
              <w:left w:val="single" w:sz="4" w:space="0" w:color="auto"/>
              <w:bottom w:val="single" w:sz="4" w:space="0" w:color="auto"/>
              <w:right w:val="nil"/>
            </w:tcBorders>
            <w:shd w:val="clear" w:color="auto" w:fill="FFFFFF"/>
          </w:tcPr>
          <w:p w:rsidR="00BC5A50" w:rsidRPr="002B7AFD" w:rsidRDefault="00BC5A50" w:rsidP="00F54CA4">
            <w:pPr>
              <w:rPr>
                <w:sz w:val="16"/>
                <w:szCs w:val="16"/>
                <w:lang w:bidi="th-TH"/>
              </w:rPr>
            </w:pPr>
          </w:p>
        </w:tc>
        <w:tc>
          <w:tcPr>
            <w:tcW w:w="2127" w:type="dxa"/>
            <w:tcBorders>
              <w:top w:val="single" w:sz="4" w:space="0" w:color="auto"/>
              <w:left w:val="nil"/>
              <w:bottom w:val="single" w:sz="4" w:space="0" w:color="auto"/>
              <w:right w:val="nil"/>
            </w:tcBorders>
            <w:shd w:val="clear" w:color="auto" w:fill="auto"/>
          </w:tcPr>
          <w:p w:rsidR="00BC5A50" w:rsidRPr="00C215DD" w:rsidRDefault="00BC5A50" w:rsidP="00F54CA4">
            <w:pPr>
              <w:rPr>
                <w:i/>
                <w:sz w:val="16"/>
                <w:szCs w:val="16"/>
                <w:lang w:bidi="th-TH"/>
              </w:rPr>
            </w:pPr>
          </w:p>
        </w:tc>
        <w:tc>
          <w:tcPr>
            <w:tcW w:w="1843" w:type="dxa"/>
            <w:tcBorders>
              <w:top w:val="single" w:sz="4" w:space="0" w:color="auto"/>
              <w:left w:val="nil"/>
              <w:bottom w:val="single" w:sz="4" w:space="0" w:color="auto"/>
              <w:right w:val="nil"/>
            </w:tcBorders>
            <w:shd w:val="clear" w:color="auto" w:fill="auto"/>
            <w:tcMar>
              <w:top w:w="110" w:type="dxa"/>
            </w:tcMar>
          </w:tcPr>
          <w:p w:rsidR="007705FF" w:rsidRDefault="007705FF" w:rsidP="007705FF">
            <w:pPr>
              <w:rPr>
                <w:sz w:val="16"/>
                <w:szCs w:val="16"/>
                <w:lang w:bidi="th-TH"/>
              </w:rPr>
            </w:pPr>
            <w:r w:rsidRPr="002B7AFD">
              <w:rPr>
                <w:sz w:val="16"/>
                <w:szCs w:val="16"/>
                <w:lang w:bidi="th-TH"/>
              </w:rPr>
              <w:t>Latin America and the Caribbean (7)</w:t>
            </w: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p>
          <w:p w:rsidR="007705FF" w:rsidRDefault="007705FF" w:rsidP="007705FF">
            <w:pPr>
              <w:rPr>
                <w:sz w:val="16"/>
                <w:szCs w:val="16"/>
                <w:lang w:bidi="th-TH"/>
              </w:rPr>
            </w:pPr>
            <w:r>
              <w:rPr>
                <w:sz w:val="16"/>
                <w:szCs w:val="16"/>
                <w:lang w:bidi="th-TH"/>
              </w:rPr>
              <w:t>4 LDCs included in the above regional breakdown</w:t>
            </w:r>
          </w:p>
          <w:p w:rsidR="007705FF" w:rsidRDefault="007705FF" w:rsidP="007705FF">
            <w:pPr>
              <w:rPr>
                <w:sz w:val="16"/>
                <w:szCs w:val="16"/>
                <w:lang w:bidi="th-TH"/>
              </w:rPr>
            </w:pPr>
          </w:p>
          <w:p w:rsidR="007705FF" w:rsidRDefault="007705FF" w:rsidP="007705FF">
            <w:pPr>
              <w:rPr>
                <w:sz w:val="16"/>
                <w:szCs w:val="16"/>
                <w:lang w:bidi="th-TH"/>
              </w:rPr>
            </w:pPr>
            <w:r w:rsidRPr="002B7AFD">
              <w:rPr>
                <w:sz w:val="16"/>
                <w:szCs w:val="16"/>
                <w:lang w:bidi="th-TH"/>
              </w:rPr>
              <w:t>Additional appropriate technology in at least 4 LDCs</w:t>
            </w:r>
          </w:p>
          <w:p w:rsidR="00BC5A50" w:rsidRPr="002B7AFD" w:rsidRDefault="00BC5A50" w:rsidP="00F54CA4">
            <w:pPr>
              <w:rPr>
                <w:sz w:val="16"/>
                <w:szCs w:val="16"/>
                <w:lang w:bidi="th-TH"/>
              </w:rPr>
            </w:pPr>
          </w:p>
        </w:tc>
        <w:tc>
          <w:tcPr>
            <w:tcW w:w="2552" w:type="dxa"/>
            <w:tcBorders>
              <w:top w:val="single" w:sz="4" w:space="0" w:color="auto"/>
              <w:left w:val="nil"/>
              <w:bottom w:val="single" w:sz="4" w:space="0" w:color="auto"/>
              <w:right w:val="nil"/>
            </w:tcBorders>
            <w:shd w:val="clear" w:color="auto" w:fill="FFFFFF"/>
            <w:tcMar>
              <w:top w:w="110" w:type="dxa"/>
            </w:tcMar>
          </w:tcPr>
          <w:p w:rsidR="00EB5EDD" w:rsidRDefault="00BC5A50" w:rsidP="00BC5A50">
            <w:pPr>
              <w:rPr>
                <w:sz w:val="16"/>
                <w:szCs w:val="16"/>
                <w:lang w:bidi="th-TH"/>
              </w:rPr>
            </w:pPr>
            <w:r>
              <w:rPr>
                <w:sz w:val="16"/>
                <w:szCs w:val="16"/>
                <w:lang w:bidi="th-TH"/>
              </w:rPr>
              <w:t>Latin America and the Caribbean (</w:t>
            </w:r>
            <w:r w:rsidRPr="002B7AFD">
              <w:rPr>
                <w:sz w:val="16"/>
                <w:szCs w:val="16"/>
                <w:lang w:bidi="th-TH"/>
              </w:rPr>
              <w:t>6 ongoing projects</w:t>
            </w:r>
            <w:r>
              <w:rPr>
                <w:sz w:val="16"/>
                <w:szCs w:val="16"/>
                <w:lang w:bidi="th-TH"/>
              </w:rPr>
              <w:t xml:space="preserve">): </w:t>
            </w:r>
            <w:r w:rsidRPr="002B7C6D">
              <w:rPr>
                <w:sz w:val="16"/>
                <w:szCs w:val="16"/>
                <w:lang w:bidi="th-TH"/>
              </w:rPr>
              <w:t>(</w:t>
            </w:r>
            <w:proofErr w:type="spellStart"/>
            <w:r>
              <w:rPr>
                <w:sz w:val="16"/>
                <w:szCs w:val="16"/>
                <w:lang w:bidi="th-TH"/>
              </w:rPr>
              <w:t>i</w:t>
            </w:r>
            <w:proofErr w:type="spellEnd"/>
            <w:r w:rsidRPr="002B7C6D">
              <w:rPr>
                <w:sz w:val="16"/>
                <w:szCs w:val="16"/>
                <w:lang w:bidi="th-TH"/>
              </w:rPr>
              <w:t>) Patent &amp; T</w:t>
            </w:r>
            <w:r>
              <w:rPr>
                <w:sz w:val="16"/>
                <w:szCs w:val="16"/>
                <w:lang w:bidi="th-TH"/>
              </w:rPr>
              <w:t>rademark</w:t>
            </w:r>
            <w:r w:rsidRPr="002B7C6D">
              <w:rPr>
                <w:sz w:val="16"/>
                <w:szCs w:val="16"/>
                <w:lang w:bidi="th-TH"/>
              </w:rPr>
              <w:t xml:space="preserve"> harmonization projects in Central America</w:t>
            </w:r>
            <w:r>
              <w:rPr>
                <w:sz w:val="16"/>
                <w:szCs w:val="16"/>
                <w:lang w:bidi="th-TH"/>
              </w:rPr>
              <w:t xml:space="preserve"> </w:t>
            </w:r>
            <w:r w:rsidRPr="00EA1ABE">
              <w:rPr>
                <w:sz w:val="16"/>
                <w:szCs w:val="16"/>
                <w:lang w:bidi="th-TH"/>
              </w:rPr>
              <w:t>jointly with the European Patent Office (EPO), the Spanish Patent and Trademark Office (OEPM), and with the collaboration of the Mexican Institute of Industrial Property (IMPI)</w:t>
            </w:r>
            <w:r w:rsidRPr="002B7C6D">
              <w:rPr>
                <w:sz w:val="16"/>
                <w:szCs w:val="16"/>
                <w:lang w:bidi="th-TH"/>
              </w:rPr>
              <w:t>; (</w:t>
            </w:r>
            <w:r>
              <w:rPr>
                <w:sz w:val="16"/>
                <w:szCs w:val="16"/>
                <w:lang w:bidi="th-TH"/>
              </w:rPr>
              <w:t>ii</w:t>
            </w:r>
            <w:r w:rsidRPr="002B7C6D">
              <w:rPr>
                <w:sz w:val="16"/>
                <w:szCs w:val="16"/>
                <w:lang w:bidi="th-TH"/>
              </w:rPr>
              <w:t>)</w:t>
            </w:r>
            <w:r>
              <w:rPr>
                <w:sz w:val="16"/>
                <w:szCs w:val="16"/>
                <w:lang w:bidi="th-TH"/>
              </w:rPr>
              <w:t xml:space="preserve"> </w:t>
            </w:r>
            <w:r w:rsidRPr="002B7C6D">
              <w:rPr>
                <w:sz w:val="16"/>
                <w:szCs w:val="16"/>
                <w:lang w:bidi="th-TH"/>
              </w:rPr>
              <w:t xml:space="preserve"> LATIPAT</w:t>
            </w:r>
            <w:r>
              <w:rPr>
                <w:sz w:val="16"/>
                <w:szCs w:val="16"/>
                <w:lang w:bidi="th-TH"/>
              </w:rPr>
              <w:t xml:space="preserve"> </w:t>
            </w:r>
            <w:r w:rsidRPr="00EA1ABE">
              <w:rPr>
                <w:sz w:val="16"/>
                <w:szCs w:val="16"/>
                <w:lang w:bidi="th-TH"/>
              </w:rPr>
              <w:t xml:space="preserve">jointly with </w:t>
            </w:r>
            <w:r>
              <w:rPr>
                <w:sz w:val="16"/>
                <w:szCs w:val="16"/>
                <w:lang w:bidi="th-TH"/>
              </w:rPr>
              <w:t>the EPO and OEPM</w:t>
            </w:r>
            <w:r w:rsidRPr="002B7C6D">
              <w:rPr>
                <w:sz w:val="16"/>
                <w:szCs w:val="16"/>
                <w:lang w:bidi="th-TH"/>
              </w:rPr>
              <w:t>;  (</w:t>
            </w:r>
            <w:r>
              <w:rPr>
                <w:sz w:val="16"/>
                <w:szCs w:val="16"/>
                <w:lang w:bidi="th-TH"/>
              </w:rPr>
              <w:t xml:space="preserve">iii) </w:t>
            </w:r>
            <w:r w:rsidRPr="00EA1ABE">
              <w:rPr>
                <w:sz w:val="16"/>
                <w:szCs w:val="16"/>
                <w:lang w:bidi="th-TH"/>
              </w:rPr>
              <w:t>Project on Geographical Indications, Origin Linked Products (OLPs) and Branding in partnership with the Inter-Amer</w:t>
            </w:r>
            <w:r>
              <w:rPr>
                <w:sz w:val="16"/>
                <w:szCs w:val="16"/>
                <w:lang w:bidi="th-TH"/>
              </w:rPr>
              <w:t xml:space="preserve">ican Development Bank (IDB), </w:t>
            </w:r>
            <w:r w:rsidRPr="00EA1ABE">
              <w:rPr>
                <w:sz w:val="16"/>
                <w:szCs w:val="16"/>
                <w:lang w:bidi="th-TH"/>
              </w:rPr>
              <w:t>Caribbean Export Development Agency (CEDA) and Technical Centre for Agricultural and Rural Corporation (CTA)</w:t>
            </w:r>
            <w:r w:rsidRPr="002B7C6D">
              <w:rPr>
                <w:sz w:val="16"/>
                <w:szCs w:val="16"/>
                <w:lang w:bidi="th-TH"/>
              </w:rPr>
              <w:t>;  (</w:t>
            </w:r>
            <w:r>
              <w:rPr>
                <w:sz w:val="16"/>
                <w:szCs w:val="16"/>
                <w:lang w:bidi="th-TH"/>
              </w:rPr>
              <w:t>iv</w:t>
            </w:r>
            <w:r w:rsidRPr="002B7C6D">
              <w:rPr>
                <w:sz w:val="16"/>
                <w:szCs w:val="16"/>
                <w:lang w:bidi="th-TH"/>
              </w:rPr>
              <w:t>) Regional Patent Office in Caribbean</w:t>
            </w:r>
            <w:r>
              <w:rPr>
                <w:sz w:val="16"/>
                <w:szCs w:val="16"/>
                <w:lang w:bidi="th-TH"/>
              </w:rPr>
              <w:t xml:space="preserve"> with </w:t>
            </w:r>
            <w:r w:rsidRPr="00EA1ABE">
              <w:rPr>
                <w:sz w:val="16"/>
                <w:szCs w:val="16"/>
                <w:lang w:bidi="th-TH"/>
              </w:rPr>
              <w:t>Caribbean Patent Administration (CPAS)</w:t>
            </w:r>
            <w:r w:rsidRPr="002B7C6D">
              <w:rPr>
                <w:sz w:val="16"/>
                <w:szCs w:val="16"/>
                <w:lang w:bidi="th-TH"/>
              </w:rPr>
              <w:t>;  (</w:t>
            </w:r>
            <w:r>
              <w:rPr>
                <w:sz w:val="16"/>
                <w:szCs w:val="16"/>
                <w:lang w:bidi="th-TH"/>
              </w:rPr>
              <w:t>v</w:t>
            </w:r>
            <w:r w:rsidRPr="002B7C6D">
              <w:rPr>
                <w:sz w:val="16"/>
                <w:szCs w:val="16"/>
                <w:lang w:bidi="th-TH"/>
              </w:rPr>
              <w:t xml:space="preserve">) </w:t>
            </w:r>
            <w:proofErr w:type="spellStart"/>
            <w:r w:rsidRPr="002B7C6D">
              <w:rPr>
                <w:sz w:val="16"/>
                <w:szCs w:val="16"/>
                <w:lang w:bidi="th-TH"/>
              </w:rPr>
              <w:t>Ibero</w:t>
            </w:r>
            <w:proofErr w:type="spellEnd"/>
            <w:r w:rsidRPr="002B7C6D">
              <w:rPr>
                <w:sz w:val="16"/>
                <w:szCs w:val="16"/>
                <w:lang w:bidi="th-TH"/>
              </w:rPr>
              <w:t>-American Program</w:t>
            </w:r>
            <w:r>
              <w:rPr>
                <w:sz w:val="16"/>
                <w:szCs w:val="16"/>
                <w:lang w:bidi="th-TH"/>
              </w:rPr>
              <w:t xml:space="preserve"> under the Funds-in-Trust</w:t>
            </w:r>
            <w:r w:rsidRPr="002B7C6D">
              <w:rPr>
                <w:sz w:val="16"/>
                <w:szCs w:val="16"/>
                <w:lang w:bidi="th-TH"/>
              </w:rPr>
              <w:t>; (</w:t>
            </w:r>
            <w:r>
              <w:rPr>
                <w:sz w:val="16"/>
                <w:szCs w:val="16"/>
                <w:lang w:bidi="th-TH"/>
              </w:rPr>
              <w:t>vi</w:t>
            </w:r>
            <w:r w:rsidRPr="002B7C6D">
              <w:rPr>
                <w:sz w:val="16"/>
                <w:szCs w:val="16"/>
                <w:lang w:bidi="th-TH"/>
              </w:rPr>
              <w:t xml:space="preserve">) </w:t>
            </w:r>
            <w:r>
              <w:rPr>
                <w:sz w:val="16"/>
                <w:szCs w:val="16"/>
                <w:lang w:bidi="th-TH"/>
              </w:rPr>
              <w:t xml:space="preserve">Continued collaboration on the </w:t>
            </w:r>
            <w:r w:rsidRPr="001A12AC">
              <w:rPr>
                <w:sz w:val="16"/>
                <w:szCs w:val="16"/>
                <w:lang w:bidi="th-TH"/>
              </w:rPr>
              <w:t>Regional Entrepreneurial Asset Commercialization Hub (REACH)</w:t>
            </w:r>
            <w:r>
              <w:rPr>
                <w:sz w:val="16"/>
                <w:szCs w:val="16"/>
                <w:lang w:bidi="th-TH"/>
              </w:rPr>
              <w:t xml:space="preserve"> with IDB and the Young Americas Business Trust (YABT)</w:t>
            </w:r>
          </w:p>
          <w:p w:rsidR="00EB5EDD" w:rsidRDefault="00EB5EDD" w:rsidP="00BC5A50">
            <w:pPr>
              <w:rPr>
                <w:sz w:val="16"/>
                <w:szCs w:val="16"/>
                <w:lang w:bidi="th-TH"/>
              </w:rPr>
            </w:pPr>
          </w:p>
          <w:p w:rsidR="00BC5A50" w:rsidRDefault="004F7691" w:rsidP="00BC5A50">
            <w:pPr>
              <w:rPr>
                <w:sz w:val="16"/>
                <w:szCs w:val="16"/>
                <w:lang w:bidi="th-TH"/>
              </w:rPr>
            </w:pPr>
            <w:r>
              <w:rPr>
                <w:sz w:val="16"/>
                <w:szCs w:val="16"/>
                <w:lang w:bidi="th-TH"/>
              </w:rPr>
              <w:t>3 of the organizations in the above regional breakdown include LDCs</w:t>
            </w:r>
          </w:p>
          <w:p w:rsidR="004F7691" w:rsidRDefault="004F7691" w:rsidP="00BC5A50">
            <w:pPr>
              <w:rPr>
                <w:sz w:val="16"/>
                <w:szCs w:val="16"/>
                <w:lang w:bidi="th-TH"/>
              </w:rPr>
            </w:pPr>
          </w:p>
          <w:p w:rsidR="00BC5A50" w:rsidRDefault="00BC5A50" w:rsidP="00BC5A50">
            <w:pPr>
              <w:rPr>
                <w:sz w:val="16"/>
                <w:szCs w:val="16"/>
                <w:lang w:bidi="th-TH"/>
              </w:rPr>
            </w:pPr>
            <w:r>
              <w:rPr>
                <w:sz w:val="16"/>
                <w:szCs w:val="16"/>
                <w:lang w:bidi="th-TH"/>
              </w:rPr>
              <w:t>As part of Phase II of the DA Project on Capacity</w:t>
            </w:r>
            <w:r w:rsidR="00304D88">
              <w:rPr>
                <w:sz w:val="16"/>
                <w:szCs w:val="16"/>
                <w:lang w:bidi="th-TH"/>
              </w:rPr>
              <w:t xml:space="preserve"> b</w:t>
            </w:r>
            <w:r>
              <w:rPr>
                <w:sz w:val="16"/>
                <w:szCs w:val="16"/>
                <w:lang w:bidi="th-TH"/>
              </w:rPr>
              <w:t>uilding in t</w:t>
            </w:r>
            <w:r w:rsidRPr="00F248D3">
              <w:rPr>
                <w:sz w:val="16"/>
                <w:szCs w:val="16"/>
                <w:lang w:bidi="th-TH"/>
              </w:rPr>
              <w:t xml:space="preserve">he Use </w:t>
            </w:r>
            <w:r>
              <w:rPr>
                <w:sz w:val="16"/>
                <w:szCs w:val="16"/>
                <w:lang w:bidi="th-TH"/>
              </w:rPr>
              <w:t>o</w:t>
            </w:r>
            <w:r w:rsidRPr="00F248D3">
              <w:rPr>
                <w:sz w:val="16"/>
                <w:szCs w:val="16"/>
                <w:lang w:bidi="th-TH"/>
              </w:rPr>
              <w:t>f Appropriate</w:t>
            </w:r>
            <w:r>
              <w:rPr>
                <w:sz w:val="16"/>
                <w:szCs w:val="16"/>
                <w:lang w:bidi="th-TH"/>
              </w:rPr>
              <w:t xml:space="preserve"> Technology Specific Technical and Scientific Information a</w:t>
            </w:r>
            <w:r w:rsidRPr="00F248D3">
              <w:rPr>
                <w:sz w:val="16"/>
                <w:szCs w:val="16"/>
                <w:lang w:bidi="th-TH"/>
              </w:rPr>
              <w:t xml:space="preserve">s </w:t>
            </w:r>
            <w:r>
              <w:rPr>
                <w:sz w:val="16"/>
                <w:szCs w:val="16"/>
                <w:lang w:bidi="th-TH"/>
              </w:rPr>
              <w:t>a</w:t>
            </w:r>
            <w:r w:rsidRPr="00F248D3">
              <w:rPr>
                <w:sz w:val="16"/>
                <w:szCs w:val="16"/>
                <w:lang w:bidi="th-TH"/>
              </w:rPr>
              <w:t xml:space="preserve"> Solution </w:t>
            </w:r>
            <w:r>
              <w:rPr>
                <w:sz w:val="16"/>
                <w:szCs w:val="16"/>
                <w:lang w:bidi="th-TH"/>
              </w:rPr>
              <w:t>f</w:t>
            </w:r>
            <w:r w:rsidRPr="00F248D3">
              <w:rPr>
                <w:sz w:val="16"/>
                <w:szCs w:val="16"/>
                <w:lang w:bidi="th-TH"/>
              </w:rPr>
              <w:t>or Id</w:t>
            </w:r>
            <w:r>
              <w:rPr>
                <w:sz w:val="16"/>
                <w:szCs w:val="16"/>
                <w:lang w:bidi="th-TH"/>
              </w:rPr>
              <w:t xml:space="preserve">entified Development Challenges, important progress was made on the establishment of </w:t>
            </w:r>
            <w:proofErr w:type="spellStart"/>
            <w:r>
              <w:rPr>
                <w:sz w:val="16"/>
                <w:szCs w:val="16"/>
                <w:lang w:bidi="th-TH"/>
              </w:rPr>
              <w:t>MoUs</w:t>
            </w:r>
            <w:proofErr w:type="spellEnd"/>
            <w:r>
              <w:rPr>
                <w:sz w:val="16"/>
                <w:szCs w:val="16"/>
                <w:lang w:bidi="th-TH"/>
              </w:rPr>
              <w:t xml:space="preserve"> with four beneficiary countries.  The </w:t>
            </w:r>
            <w:proofErr w:type="spellStart"/>
            <w:r>
              <w:rPr>
                <w:sz w:val="16"/>
                <w:szCs w:val="16"/>
                <w:lang w:bidi="th-TH"/>
              </w:rPr>
              <w:t>MoUs</w:t>
            </w:r>
            <w:proofErr w:type="spellEnd"/>
            <w:r>
              <w:rPr>
                <w:sz w:val="16"/>
                <w:szCs w:val="16"/>
                <w:lang w:bidi="th-TH"/>
              </w:rPr>
              <w:t xml:space="preserve"> will be signed in 2015.</w:t>
            </w:r>
          </w:p>
          <w:p w:rsidR="00BC5A50" w:rsidRDefault="00BC5A50" w:rsidP="00BC5A50">
            <w:pPr>
              <w:rPr>
                <w:sz w:val="16"/>
                <w:szCs w:val="16"/>
                <w:lang w:bidi="th-TH"/>
              </w:rPr>
            </w:pPr>
          </w:p>
          <w:p w:rsidR="00BC5A50" w:rsidRDefault="00BC5A50" w:rsidP="00BC5A50">
            <w:pPr>
              <w:rPr>
                <w:sz w:val="16"/>
                <w:szCs w:val="16"/>
                <w:lang w:bidi="th-TH"/>
              </w:rPr>
            </w:pPr>
            <w:r w:rsidRPr="00DF4B6D">
              <w:rPr>
                <w:sz w:val="16"/>
                <w:szCs w:val="16"/>
                <w:lang w:bidi="th-TH"/>
              </w:rPr>
              <w:t xml:space="preserve">An inter-regional cooperation partnership program was implemented for LDCs with ITU, UNCDF, and UNIDO on July 29, 2014 at the Ministerial Conference on New Partnerships for Productive Capacity Building in LDCs in </w:t>
            </w:r>
            <w:proofErr w:type="spellStart"/>
            <w:r w:rsidRPr="00DF4B6D">
              <w:rPr>
                <w:sz w:val="16"/>
                <w:szCs w:val="16"/>
                <w:lang w:bidi="th-TH"/>
              </w:rPr>
              <w:t>Cotonou</w:t>
            </w:r>
            <w:proofErr w:type="spellEnd"/>
            <w:r w:rsidRPr="00DF4B6D">
              <w:rPr>
                <w:sz w:val="16"/>
                <w:szCs w:val="16"/>
                <w:lang w:bidi="th-TH"/>
              </w:rPr>
              <w:t>, Benin on the theme “Innovation, Creativity, Technology, Broadband Connectivity and Financing as Vectors for Sustainable Development for LDCs”.</w:t>
            </w:r>
          </w:p>
          <w:p w:rsidR="00BC5A50" w:rsidRDefault="00BC5A50" w:rsidP="00F54CA4">
            <w:pPr>
              <w:rPr>
                <w:sz w:val="16"/>
                <w:szCs w:val="16"/>
                <w:lang w:bidi="th-TH"/>
              </w:rPr>
            </w:pPr>
          </w:p>
        </w:tc>
        <w:tc>
          <w:tcPr>
            <w:tcW w:w="945" w:type="dxa"/>
            <w:tcBorders>
              <w:top w:val="single" w:sz="4" w:space="0" w:color="auto"/>
              <w:left w:val="nil"/>
              <w:bottom w:val="single" w:sz="4" w:space="0" w:color="auto"/>
              <w:right w:val="single" w:sz="4" w:space="0" w:color="auto"/>
            </w:tcBorders>
            <w:shd w:val="clear" w:color="auto" w:fill="auto"/>
            <w:tcMar>
              <w:top w:w="110" w:type="dxa"/>
            </w:tcMar>
          </w:tcPr>
          <w:p w:rsidR="00BC5A50" w:rsidRDefault="00BC5A50" w:rsidP="00BC5A50">
            <w:pPr>
              <w:keepNext/>
              <w:keepLines/>
              <w:jc w:val="center"/>
              <w:rPr>
                <w:b/>
                <w:bCs/>
                <w:color w:val="00B050"/>
                <w:sz w:val="16"/>
                <w:szCs w:val="16"/>
              </w:rPr>
            </w:pPr>
          </w:p>
          <w:p w:rsidR="00BC5A50" w:rsidRDefault="00BC5A50" w:rsidP="00BC5A50">
            <w:pPr>
              <w:keepNext/>
              <w:keepLines/>
              <w:jc w:val="center"/>
              <w:rPr>
                <w:b/>
                <w:bCs/>
                <w:color w:val="00B050"/>
                <w:sz w:val="16"/>
                <w:szCs w:val="16"/>
              </w:rPr>
            </w:pPr>
            <w:r w:rsidRPr="008C2A88">
              <w:rPr>
                <w:b/>
                <w:bCs/>
                <w:color w:val="00B050"/>
                <w:sz w:val="16"/>
                <w:szCs w:val="16"/>
              </w:rPr>
              <w:t>On track</w:t>
            </w:r>
          </w:p>
          <w:p w:rsidR="00BC5A50" w:rsidRDefault="00BC5A50" w:rsidP="00BC5A50">
            <w:pPr>
              <w:keepNext/>
              <w:keepLines/>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413EEB" w:rsidRDefault="00413EEB" w:rsidP="00BC5A50">
            <w:pPr>
              <w:keepNext/>
              <w:keepLines/>
              <w:jc w:val="center"/>
              <w:rPr>
                <w:b/>
                <w:bCs/>
                <w:color w:val="00B050"/>
                <w:sz w:val="16"/>
                <w:szCs w:val="16"/>
              </w:rPr>
            </w:pPr>
          </w:p>
          <w:p w:rsidR="00413EEB" w:rsidRDefault="00413EEB" w:rsidP="00BC5A50">
            <w:pPr>
              <w:keepNext/>
              <w:keepLines/>
              <w:jc w:val="center"/>
              <w:rPr>
                <w:b/>
                <w:bCs/>
                <w:color w:val="00B050"/>
                <w:sz w:val="16"/>
                <w:szCs w:val="16"/>
              </w:rPr>
            </w:pPr>
          </w:p>
          <w:p w:rsidR="00413EEB" w:rsidRDefault="00413EEB" w:rsidP="00BC5A50">
            <w:pPr>
              <w:keepNext/>
              <w:keepLines/>
              <w:jc w:val="center"/>
              <w:rPr>
                <w:b/>
                <w:bCs/>
                <w:color w:val="00B050"/>
                <w:sz w:val="16"/>
                <w:szCs w:val="16"/>
              </w:rPr>
            </w:pPr>
          </w:p>
          <w:p w:rsidR="00413EEB" w:rsidRDefault="00413EEB" w:rsidP="00BC5A50">
            <w:pPr>
              <w:keepNext/>
              <w:keepLines/>
              <w:jc w:val="center"/>
              <w:rPr>
                <w:b/>
                <w:bCs/>
                <w:color w:val="00B050"/>
                <w:sz w:val="16"/>
                <w:szCs w:val="16"/>
              </w:rPr>
            </w:pPr>
          </w:p>
          <w:p w:rsidR="00413EEB" w:rsidRDefault="00413EEB" w:rsidP="00BC5A50">
            <w:pPr>
              <w:keepNext/>
              <w:keepLines/>
              <w:jc w:val="center"/>
              <w:rPr>
                <w:b/>
                <w:bCs/>
                <w:color w:val="00B050"/>
                <w:sz w:val="16"/>
                <w:szCs w:val="16"/>
              </w:rPr>
            </w:pPr>
          </w:p>
          <w:p w:rsidR="004F7691" w:rsidRDefault="004F7691" w:rsidP="004F7691">
            <w:pPr>
              <w:keepNext/>
              <w:keepLines/>
              <w:jc w:val="center"/>
              <w:rPr>
                <w:b/>
                <w:bCs/>
                <w:color w:val="00B050"/>
                <w:sz w:val="16"/>
                <w:szCs w:val="16"/>
              </w:rPr>
            </w:pPr>
            <w:r w:rsidRPr="008C2A88">
              <w:rPr>
                <w:b/>
                <w:bCs/>
                <w:color w:val="00B050"/>
                <w:sz w:val="16"/>
                <w:szCs w:val="16"/>
              </w:rPr>
              <w:t>On track</w:t>
            </w:r>
          </w:p>
          <w:p w:rsidR="00413EEB" w:rsidRDefault="00413EEB" w:rsidP="00BC5A50">
            <w:pPr>
              <w:keepNext/>
              <w:keepLines/>
              <w:jc w:val="center"/>
              <w:rPr>
                <w:b/>
                <w:bCs/>
                <w:color w:val="00B050"/>
                <w:sz w:val="16"/>
                <w:szCs w:val="16"/>
              </w:rPr>
            </w:pPr>
          </w:p>
          <w:p w:rsidR="00413EEB" w:rsidRDefault="00413EEB" w:rsidP="00BC5A50">
            <w:pPr>
              <w:keepNext/>
              <w:keepLines/>
              <w:jc w:val="center"/>
              <w:rPr>
                <w:b/>
                <w:bCs/>
                <w:color w:val="00B050"/>
                <w:sz w:val="16"/>
                <w:szCs w:val="16"/>
              </w:rPr>
            </w:pPr>
          </w:p>
          <w:p w:rsidR="00413EEB" w:rsidRDefault="00413EEB" w:rsidP="00BC5A50">
            <w:pPr>
              <w:keepNext/>
              <w:keepLines/>
              <w:jc w:val="center"/>
              <w:rPr>
                <w:b/>
                <w:bCs/>
                <w:color w:val="00B050"/>
                <w:sz w:val="16"/>
                <w:szCs w:val="16"/>
              </w:rPr>
            </w:pPr>
          </w:p>
          <w:p w:rsidR="00413EEB" w:rsidRDefault="00413EEB" w:rsidP="00BC5A50">
            <w:pPr>
              <w:keepNext/>
              <w:keepLines/>
              <w:jc w:val="center"/>
              <w:rPr>
                <w:b/>
                <w:bCs/>
                <w:color w:val="00B050"/>
                <w:sz w:val="16"/>
                <w:szCs w:val="16"/>
              </w:rPr>
            </w:pPr>
          </w:p>
          <w:p w:rsidR="00413EEB" w:rsidRDefault="00413EEB" w:rsidP="00BC5A50">
            <w:pPr>
              <w:keepNext/>
              <w:keepLines/>
              <w:jc w:val="center"/>
              <w:rPr>
                <w:b/>
                <w:bCs/>
                <w:color w:val="00B050"/>
                <w:sz w:val="16"/>
                <w:szCs w:val="16"/>
              </w:rPr>
            </w:pPr>
          </w:p>
          <w:p w:rsidR="00413EEB" w:rsidRDefault="00413EEB" w:rsidP="00BC5A50">
            <w:pPr>
              <w:keepNext/>
              <w:keepLines/>
              <w:jc w:val="center"/>
              <w:rPr>
                <w:b/>
                <w:bCs/>
                <w:color w:val="00B050"/>
                <w:sz w:val="16"/>
                <w:szCs w:val="16"/>
              </w:rPr>
            </w:pPr>
          </w:p>
          <w:p w:rsidR="00413EEB" w:rsidRDefault="00413EEB" w:rsidP="00BC5A50">
            <w:pPr>
              <w:keepNext/>
              <w:keepLines/>
              <w:jc w:val="center"/>
              <w:rPr>
                <w:b/>
                <w:bCs/>
                <w:color w:val="00B050"/>
                <w:sz w:val="16"/>
                <w:szCs w:val="16"/>
              </w:rPr>
            </w:pPr>
          </w:p>
          <w:p w:rsidR="00413EEB" w:rsidRDefault="00413EEB" w:rsidP="00BC5A50">
            <w:pPr>
              <w:keepNext/>
              <w:keepLines/>
              <w:jc w:val="center"/>
              <w:rPr>
                <w:b/>
                <w:bCs/>
                <w:color w:val="00B050"/>
                <w:sz w:val="16"/>
                <w:szCs w:val="16"/>
              </w:rPr>
            </w:pPr>
          </w:p>
          <w:p w:rsidR="00413EEB" w:rsidRDefault="00413EEB" w:rsidP="00BC5A50">
            <w:pPr>
              <w:keepNext/>
              <w:keepLines/>
              <w:jc w:val="center"/>
              <w:rPr>
                <w:b/>
                <w:bCs/>
                <w:color w:val="00B050"/>
                <w:sz w:val="16"/>
                <w:szCs w:val="16"/>
              </w:rPr>
            </w:pPr>
          </w:p>
          <w:p w:rsidR="00413EEB" w:rsidRDefault="00413EEB" w:rsidP="00BC5A50">
            <w:pPr>
              <w:keepNext/>
              <w:keepLines/>
              <w:jc w:val="center"/>
              <w:rPr>
                <w:b/>
                <w:bCs/>
                <w:color w:val="00B050"/>
                <w:sz w:val="16"/>
                <w:szCs w:val="16"/>
              </w:rPr>
            </w:pPr>
          </w:p>
          <w:p w:rsidR="00413EEB" w:rsidRDefault="00413EEB" w:rsidP="00BC5A50">
            <w:pPr>
              <w:keepNext/>
              <w:keepLines/>
              <w:jc w:val="center"/>
              <w:rPr>
                <w:b/>
                <w:bCs/>
                <w:color w:val="00B050"/>
                <w:sz w:val="16"/>
                <w:szCs w:val="16"/>
              </w:rPr>
            </w:pPr>
          </w:p>
          <w:p w:rsidR="00413EEB" w:rsidRDefault="00413EEB" w:rsidP="00BC5A50">
            <w:pPr>
              <w:keepNext/>
              <w:keepLines/>
              <w:jc w:val="center"/>
              <w:rPr>
                <w:b/>
                <w:bCs/>
                <w:color w:val="00B050"/>
                <w:sz w:val="16"/>
                <w:szCs w:val="16"/>
              </w:rPr>
            </w:pPr>
          </w:p>
          <w:p w:rsidR="002D1472" w:rsidRDefault="002D1472" w:rsidP="00BC5A50">
            <w:pPr>
              <w:keepNext/>
              <w:keepLines/>
              <w:jc w:val="center"/>
              <w:rPr>
                <w:b/>
                <w:bCs/>
                <w:color w:val="00B050"/>
                <w:sz w:val="16"/>
                <w:szCs w:val="16"/>
              </w:rPr>
            </w:pPr>
          </w:p>
          <w:p w:rsidR="009F0F43" w:rsidRDefault="009F0F43" w:rsidP="00BC5A50">
            <w:pPr>
              <w:keepNext/>
              <w:keepLines/>
              <w:jc w:val="center"/>
              <w:rPr>
                <w:b/>
                <w:bCs/>
                <w:color w:val="00B050"/>
                <w:sz w:val="16"/>
                <w:szCs w:val="16"/>
              </w:rPr>
            </w:pPr>
          </w:p>
          <w:p w:rsidR="00BC5A50" w:rsidRDefault="00BC5A50" w:rsidP="00BC5A50">
            <w:pPr>
              <w:keepNext/>
              <w:keepLines/>
              <w:jc w:val="center"/>
              <w:rPr>
                <w:b/>
                <w:bCs/>
                <w:color w:val="00B050"/>
                <w:sz w:val="16"/>
                <w:szCs w:val="16"/>
              </w:rPr>
            </w:pPr>
            <w:r w:rsidRPr="008C2A88">
              <w:rPr>
                <w:b/>
                <w:bCs/>
                <w:color w:val="00B050"/>
                <w:sz w:val="16"/>
                <w:szCs w:val="16"/>
              </w:rPr>
              <w:t>On track</w:t>
            </w: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Default="00BC5A50" w:rsidP="00BC5A50">
            <w:pPr>
              <w:keepNext/>
              <w:keepLines/>
              <w:jc w:val="center"/>
              <w:rPr>
                <w:b/>
                <w:bCs/>
                <w:color w:val="FF0000"/>
                <w:sz w:val="16"/>
                <w:szCs w:val="16"/>
              </w:rPr>
            </w:pPr>
          </w:p>
          <w:p w:rsidR="00BC5A50" w:rsidRPr="008C2A88" w:rsidRDefault="00BC5A50" w:rsidP="00F54CA4">
            <w:pPr>
              <w:keepNext/>
              <w:keepLines/>
              <w:jc w:val="center"/>
              <w:rPr>
                <w:b/>
                <w:bCs/>
                <w:color w:val="00B050"/>
                <w:sz w:val="16"/>
                <w:szCs w:val="16"/>
              </w:rPr>
            </w:pPr>
          </w:p>
        </w:tc>
      </w:tr>
    </w:tbl>
    <w:p w:rsidR="00BC5A50" w:rsidRDefault="00BC5A50">
      <w:r>
        <w:br w:type="page"/>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1749"/>
        <w:gridCol w:w="93"/>
        <w:gridCol w:w="1560"/>
        <w:gridCol w:w="2978"/>
        <w:gridCol w:w="945"/>
      </w:tblGrid>
      <w:tr w:rsidR="00BC5A50" w:rsidRPr="00716A48" w:rsidTr="00520CAA">
        <w:tc>
          <w:tcPr>
            <w:tcW w:w="9452" w:type="dxa"/>
            <w:gridSpan w:val="6"/>
            <w:tcBorders>
              <w:top w:val="single" w:sz="4" w:space="0" w:color="auto"/>
              <w:bottom w:val="single" w:sz="4" w:space="0" w:color="auto"/>
            </w:tcBorders>
            <w:shd w:val="clear" w:color="auto" w:fill="CCFFFF"/>
          </w:tcPr>
          <w:p w:rsidR="00BC5A50" w:rsidRDefault="00BC5A50" w:rsidP="00F54CA4">
            <w:pPr>
              <w:keepNext/>
              <w:keepLines/>
              <w:tabs>
                <w:tab w:val="left" w:pos="1452"/>
              </w:tabs>
              <w:spacing w:before="120" w:after="120"/>
              <w:ind w:left="1452" w:hanging="1452"/>
              <w:rPr>
                <w:b/>
                <w:bCs/>
                <w:color w:val="00B050"/>
                <w:sz w:val="16"/>
                <w:szCs w:val="16"/>
              </w:rPr>
            </w:pPr>
            <w:r w:rsidRPr="00C215DD">
              <w:rPr>
                <w:b/>
                <w:bCs/>
                <w:sz w:val="16"/>
                <w:szCs w:val="16"/>
              </w:rPr>
              <w:lastRenderedPageBreak/>
              <w:t>Expected Result:</w:t>
            </w:r>
            <w:r>
              <w:rPr>
                <w:b/>
                <w:bCs/>
                <w:sz w:val="16"/>
                <w:szCs w:val="16"/>
              </w:rPr>
              <w:t xml:space="preserve">    </w:t>
            </w:r>
            <w:r w:rsidRPr="002B7AFD">
              <w:rPr>
                <w:bCs/>
                <w:sz w:val="16"/>
                <w:szCs w:val="16"/>
              </w:rPr>
              <w:t>IV.2 Enhanced access to, and use of, IP information by IP institutions and the public to promote innovation and creativity</w:t>
            </w:r>
          </w:p>
        </w:tc>
      </w:tr>
      <w:tr w:rsidR="00BC5A50" w:rsidRPr="00716A48" w:rsidTr="00520CAA">
        <w:trPr>
          <w:trHeight w:val="368"/>
        </w:trPr>
        <w:tc>
          <w:tcPr>
            <w:tcW w:w="2127" w:type="dxa"/>
            <w:tcBorders>
              <w:top w:val="single" w:sz="4" w:space="0" w:color="auto"/>
              <w:left w:val="single" w:sz="4" w:space="0" w:color="auto"/>
              <w:bottom w:val="nil"/>
              <w:right w:val="nil"/>
            </w:tcBorders>
            <w:shd w:val="clear" w:color="auto" w:fill="auto"/>
            <w:vAlign w:val="center"/>
          </w:tcPr>
          <w:p w:rsidR="00BC5A50" w:rsidRPr="00C215DD" w:rsidRDefault="00BC5A50" w:rsidP="00F54CA4">
            <w:pPr>
              <w:spacing w:after="40"/>
              <w:rPr>
                <w:sz w:val="16"/>
                <w:szCs w:val="16"/>
              </w:rPr>
            </w:pPr>
            <w:r w:rsidRPr="00C215DD">
              <w:rPr>
                <w:b/>
                <w:bCs/>
                <w:sz w:val="16"/>
                <w:szCs w:val="16"/>
              </w:rPr>
              <w:t>Performance Indicators</w:t>
            </w:r>
          </w:p>
        </w:tc>
        <w:tc>
          <w:tcPr>
            <w:tcW w:w="1842" w:type="dxa"/>
            <w:gridSpan w:val="2"/>
            <w:tcBorders>
              <w:top w:val="single" w:sz="4" w:space="0" w:color="auto"/>
              <w:left w:val="nil"/>
              <w:bottom w:val="nil"/>
              <w:right w:val="nil"/>
            </w:tcBorders>
            <w:shd w:val="clear" w:color="auto" w:fill="auto"/>
            <w:vAlign w:val="center"/>
          </w:tcPr>
          <w:p w:rsidR="00BC5A50" w:rsidRPr="00C215DD" w:rsidRDefault="00BC5A50" w:rsidP="00F54CA4">
            <w:pPr>
              <w:spacing w:after="40"/>
              <w:rPr>
                <w:b/>
                <w:bCs/>
                <w:sz w:val="16"/>
                <w:szCs w:val="16"/>
              </w:rPr>
            </w:pPr>
            <w:r w:rsidRPr="00C215DD">
              <w:rPr>
                <w:b/>
                <w:bCs/>
                <w:sz w:val="16"/>
                <w:szCs w:val="16"/>
              </w:rPr>
              <w:t>Baselines</w:t>
            </w:r>
          </w:p>
        </w:tc>
        <w:tc>
          <w:tcPr>
            <w:tcW w:w="1560" w:type="dxa"/>
            <w:tcBorders>
              <w:top w:val="single" w:sz="4" w:space="0" w:color="auto"/>
              <w:left w:val="nil"/>
              <w:bottom w:val="nil"/>
              <w:right w:val="nil"/>
            </w:tcBorders>
            <w:shd w:val="clear" w:color="auto" w:fill="auto"/>
            <w:vAlign w:val="center"/>
          </w:tcPr>
          <w:p w:rsidR="00BC5A50" w:rsidRPr="00C215DD" w:rsidRDefault="00BC5A50" w:rsidP="00F54CA4">
            <w:pPr>
              <w:spacing w:after="40"/>
              <w:rPr>
                <w:b/>
                <w:sz w:val="16"/>
                <w:szCs w:val="16"/>
              </w:rPr>
            </w:pPr>
            <w:r w:rsidRPr="00C215DD">
              <w:rPr>
                <w:b/>
                <w:sz w:val="16"/>
                <w:szCs w:val="16"/>
              </w:rPr>
              <w:t>Target</w:t>
            </w:r>
            <w:r>
              <w:rPr>
                <w:b/>
                <w:sz w:val="16"/>
                <w:szCs w:val="16"/>
              </w:rPr>
              <w:t>s</w:t>
            </w:r>
          </w:p>
        </w:tc>
        <w:tc>
          <w:tcPr>
            <w:tcW w:w="2978" w:type="dxa"/>
            <w:tcBorders>
              <w:top w:val="single" w:sz="4" w:space="0" w:color="auto"/>
              <w:left w:val="nil"/>
              <w:bottom w:val="nil"/>
              <w:right w:val="nil"/>
            </w:tcBorders>
            <w:shd w:val="clear" w:color="auto" w:fill="auto"/>
            <w:vAlign w:val="center"/>
          </w:tcPr>
          <w:p w:rsidR="00BC5A50" w:rsidRPr="00C215DD" w:rsidRDefault="00BC5A50" w:rsidP="00F54CA4">
            <w:pPr>
              <w:spacing w:after="40"/>
              <w:rPr>
                <w:sz w:val="16"/>
                <w:szCs w:val="16"/>
              </w:rPr>
            </w:pPr>
            <w:r w:rsidRPr="00C215DD">
              <w:rPr>
                <w:b/>
                <w:bCs/>
                <w:sz w:val="16"/>
                <w:szCs w:val="16"/>
              </w:rPr>
              <w:t>Performance Data</w:t>
            </w:r>
          </w:p>
        </w:tc>
        <w:tc>
          <w:tcPr>
            <w:tcW w:w="945" w:type="dxa"/>
            <w:tcBorders>
              <w:top w:val="single" w:sz="4" w:space="0" w:color="auto"/>
              <w:left w:val="nil"/>
              <w:bottom w:val="nil"/>
              <w:right w:val="single" w:sz="4" w:space="0" w:color="auto"/>
            </w:tcBorders>
            <w:shd w:val="clear" w:color="auto" w:fill="auto"/>
            <w:vAlign w:val="center"/>
          </w:tcPr>
          <w:p w:rsidR="00BC5A50" w:rsidRPr="00C215DD" w:rsidRDefault="00BC5A50" w:rsidP="00F54CA4">
            <w:pPr>
              <w:keepNext/>
              <w:keepLines/>
              <w:spacing w:after="40"/>
              <w:jc w:val="center"/>
              <w:rPr>
                <w:b/>
                <w:bCs/>
                <w:sz w:val="16"/>
                <w:szCs w:val="16"/>
              </w:rPr>
            </w:pPr>
            <w:r w:rsidRPr="00C215DD">
              <w:rPr>
                <w:b/>
                <w:bCs/>
                <w:sz w:val="16"/>
                <w:szCs w:val="16"/>
              </w:rPr>
              <w:t>TLS</w:t>
            </w:r>
          </w:p>
        </w:tc>
      </w:tr>
      <w:tr w:rsidR="00BC5A50" w:rsidRPr="00716A48" w:rsidTr="00520CAA">
        <w:tc>
          <w:tcPr>
            <w:tcW w:w="2127" w:type="dxa"/>
            <w:tcBorders>
              <w:top w:val="nil"/>
              <w:left w:val="single" w:sz="4" w:space="0" w:color="auto"/>
              <w:bottom w:val="nil"/>
              <w:right w:val="nil"/>
            </w:tcBorders>
            <w:shd w:val="clear" w:color="auto" w:fill="FFFFFF"/>
          </w:tcPr>
          <w:p w:rsidR="00BC5A50" w:rsidRDefault="00BC5A50" w:rsidP="00F54CA4">
            <w:pPr>
              <w:rPr>
                <w:sz w:val="16"/>
                <w:szCs w:val="16"/>
                <w:lang w:bidi="th-TH"/>
              </w:rPr>
            </w:pPr>
            <w:r w:rsidRPr="00692975">
              <w:rPr>
                <w:sz w:val="16"/>
                <w:szCs w:val="16"/>
                <w:lang w:bidi="th-TH"/>
              </w:rPr>
              <w:t>N</w:t>
            </w:r>
            <w:r>
              <w:rPr>
                <w:sz w:val="16"/>
                <w:szCs w:val="16"/>
                <w:lang w:bidi="th-TH"/>
              </w:rPr>
              <w:t xml:space="preserve">o. </w:t>
            </w:r>
            <w:r w:rsidRPr="00692975">
              <w:rPr>
                <w:sz w:val="16"/>
                <w:szCs w:val="16"/>
                <w:lang w:bidi="th-TH"/>
              </w:rPr>
              <w:t>of sustainable national TISC networks</w:t>
            </w:r>
          </w:p>
        </w:tc>
        <w:tc>
          <w:tcPr>
            <w:tcW w:w="1842" w:type="dxa"/>
            <w:gridSpan w:val="2"/>
            <w:tcBorders>
              <w:top w:val="nil"/>
              <w:left w:val="nil"/>
              <w:bottom w:val="nil"/>
              <w:right w:val="nil"/>
            </w:tcBorders>
            <w:shd w:val="clear" w:color="auto" w:fill="auto"/>
          </w:tcPr>
          <w:p w:rsidR="00BC5A50" w:rsidRPr="00692975" w:rsidRDefault="00BC5A50" w:rsidP="00F54CA4">
            <w:pPr>
              <w:rPr>
                <w:color w:val="002060"/>
                <w:sz w:val="16"/>
                <w:szCs w:val="16"/>
              </w:rPr>
            </w:pPr>
            <w:r w:rsidRPr="00C215DD">
              <w:rPr>
                <w:i/>
                <w:color w:val="002060"/>
                <w:sz w:val="16"/>
                <w:szCs w:val="16"/>
              </w:rPr>
              <w:t>Updated Baseline end 201</w:t>
            </w:r>
            <w:r>
              <w:rPr>
                <w:i/>
                <w:color w:val="002060"/>
                <w:sz w:val="16"/>
                <w:szCs w:val="16"/>
              </w:rPr>
              <w:t xml:space="preserve">3:  </w:t>
            </w:r>
            <w:r w:rsidRPr="00335775">
              <w:rPr>
                <w:color w:val="002060"/>
                <w:sz w:val="16"/>
                <w:szCs w:val="16"/>
              </w:rPr>
              <w:t>14 sustainable (out of 36 established) TISC networks</w:t>
            </w:r>
          </w:p>
          <w:p w:rsidR="00BC5A50" w:rsidRDefault="00BC5A50" w:rsidP="00F54CA4">
            <w:pPr>
              <w:rPr>
                <w:i/>
                <w:color w:val="002060"/>
                <w:sz w:val="16"/>
                <w:szCs w:val="16"/>
              </w:rPr>
            </w:pPr>
          </w:p>
          <w:p w:rsidR="00BC5A50" w:rsidRDefault="00BC5A50" w:rsidP="00F54CA4">
            <w:pPr>
              <w:rPr>
                <w:i/>
                <w:sz w:val="16"/>
                <w:szCs w:val="16"/>
                <w:lang w:bidi="th-TH"/>
              </w:rPr>
            </w:pPr>
            <w:r w:rsidRPr="00C215DD">
              <w:rPr>
                <w:i/>
                <w:sz w:val="16"/>
                <w:szCs w:val="16"/>
                <w:lang w:bidi="th-TH"/>
              </w:rPr>
              <w:t xml:space="preserve">Original </w:t>
            </w:r>
            <w:r>
              <w:rPr>
                <w:i/>
                <w:sz w:val="16"/>
                <w:szCs w:val="16"/>
                <w:lang w:bidi="th-TH"/>
              </w:rPr>
              <w:t>Baseline P&amp;B</w:t>
            </w:r>
            <w:r w:rsidR="00531530">
              <w:rPr>
                <w:i/>
                <w:sz w:val="16"/>
                <w:szCs w:val="16"/>
                <w:lang w:bidi="th-TH"/>
              </w:rPr>
              <w:t> </w:t>
            </w:r>
            <w:r>
              <w:rPr>
                <w:i/>
                <w:sz w:val="16"/>
                <w:szCs w:val="16"/>
                <w:lang w:bidi="th-TH"/>
              </w:rPr>
              <w:t xml:space="preserve">2014/15: </w:t>
            </w:r>
          </w:p>
          <w:p w:rsidR="00B37D53" w:rsidRDefault="00B37D53" w:rsidP="00F54CA4">
            <w:pPr>
              <w:rPr>
                <w:i/>
                <w:sz w:val="16"/>
                <w:szCs w:val="16"/>
                <w:lang w:bidi="th-TH"/>
              </w:rPr>
            </w:pPr>
            <w:r>
              <w:rPr>
                <w:i/>
                <w:sz w:val="16"/>
                <w:szCs w:val="16"/>
                <w:lang w:bidi="th-TH"/>
              </w:rPr>
              <w:t>14 national TISC networks:</w:t>
            </w:r>
          </w:p>
          <w:p w:rsidR="00BC5A50" w:rsidRDefault="00BC5A50" w:rsidP="00F54CA4">
            <w:pPr>
              <w:rPr>
                <w:sz w:val="16"/>
                <w:szCs w:val="16"/>
                <w:lang w:bidi="th-TH"/>
              </w:rPr>
            </w:pPr>
            <w:r w:rsidRPr="00692975">
              <w:rPr>
                <w:sz w:val="16"/>
                <w:szCs w:val="16"/>
                <w:lang w:bidi="th-TH"/>
              </w:rPr>
              <w:t>Africa (6)</w:t>
            </w:r>
          </w:p>
          <w:p w:rsidR="00BC5A50" w:rsidRDefault="00BC5A50" w:rsidP="00F54CA4">
            <w:pPr>
              <w:rPr>
                <w:sz w:val="16"/>
                <w:szCs w:val="16"/>
                <w:lang w:bidi="th-TH"/>
              </w:rPr>
            </w:pPr>
            <w:r w:rsidRPr="00692975">
              <w:rPr>
                <w:sz w:val="16"/>
                <w:szCs w:val="16"/>
                <w:lang w:bidi="th-TH"/>
              </w:rPr>
              <w:t>Arab (2)</w:t>
            </w:r>
          </w:p>
          <w:p w:rsidR="00BC5A50" w:rsidRDefault="002C2CA1" w:rsidP="00F54CA4">
            <w:pPr>
              <w:rPr>
                <w:sz w:val="16"/>
                <w:szCs w:val="16"/>
                <w:lang w:bidi="th-TH"/>
              </w:rPr>
            </w:pPr>
            <w:r>
              <w:rPr>
                <w:sz w:val="16"/>
                <w:szCs w:val="16"/>
                <w:lang w:bidi="th-TH"/>
              </w:rPr>
              <w:t>Asia and the Pacific</w:t>
            </w:r>
            <w:r w:rsidR="00BC5A50" w:rsidRPr="00692975">
              <w:rPr>
                <w:sz w:val="16"/>
                <w:szCs w:val="16"/>
                <w:lang w:bidi="th-TH"/>
              </w:rPr>
              <w:t xml:space="preserve"> (2)</w:t>
            </w:r>
          </w:p>
          <w:p w:rsidR="00BC5A50" w:rsidRDefault="00BC5A50" w:rsidP="00F54CA4">
            <w:pPr>
              <w:rPr>
                <w:sz w:val="16"/>
                <w:szCs w:val="16"/>
                <w:lang w:bidi="th-TH"/>
              </w:rPr>
            </w:pPr>
            <w:r w:rsidRPr="00692975">
              <w:rPr>
                <w:sz w:val="16"/>
                <w:szCs w:val="16"/>
                <w:lang w:bidi="th-TH"/>
              </w:rPr>
              <w:t>Latin America and the Caribbean (4)</w:t>
            </w:r>
          </w:p>
          <w:p w:rsidR="00BC5A50" w:rsidRPr="00692975" w:rsidRDefault="00BC5A50" w:rsidP="00F54CA4">
            <w:pPr>
              <w:rPr>
                <w:sz w:val="16"/>
                <w:szCs w:val="16"/>
                <w:lang w:bidi="th-TH"/>
              </w:rPr>
            </w:pPr>
            <w:r w:rsidRPr="00692975">
              <w:rPr>
                <w:sz w:val="16"/>
                <w:szCs w:val="16"/>
                <w:lang w:bidi="th-TH"/>
              </w:rPr>
              <w:t>6 LDCs included in the above regional breakdown</w:t>
            </w:r>
          </w:p>
          <w:p w:rsidR="00BC5A50" w:rsidRPr="00C215DD" w:rsidRDefault="00BC5A50" w:rsidP="00F54CA4">
            <w:pPr>
              <w:rPr>
                <w:i/>
                <w:color w:val="002060"/>
                <w:sz w:val="16"/>
                <w:szCs w:val="16"/>
              </w:rPr>
            </w:pPr>
          </w:p>
        </w:tc>
        <w:tc>
          <w:tcPr>
            <w:tcW w:w="1560" w:type="dxa"/>
            <w:tcBorders>
              <w:top w:val="nil"/>
              <w:left w:val="nil"/>
              <w:bottom w:val="nil"/>
              <w:right w:val="nil"/>
            </w:tcBorders>
            <w:shd w:val="clear" w:color="auto" w:fill="auto"/>
            <w:tcMar>
              <w:top w:w="110" w:type="dxa"/>
            </w:tcMar>
          </w:tcPr>
          <w:p w:rsidR="00B37D53" w:rsidRDefault="00B37D53" w:rsidP="00F54CA4">
            <w:pPr>
              <w:rPr>
                <w:sz w:val="16"/>
                <w:szCs w:val="16"/>
                <w:lang w:bidi="th-TH"/>
              </w:rPr>
            </w:pPr>
            <w:r>
              <w:rPr>
                <w:sz w:val="16"/>
                <w:szCs w:val="16"/>
                <w:lang w:bidi="th-TH"/>
              </w:rPr>
              <w:t>23 national TISC networks (cumulative):</w:t>
            </w:r>
          </w:p>
          <w:p w:rsidR="00BC5A50" w:rsidRDefault="00BC5A50" w:rsidP="00F54CA4">
            <w:pPr>
              <w:rPr>
                <w:sz w:val="16"/>
                <w:szCs w:val="16"/>
                <w:lang w:bidi="th-TH"/>
              </w:rPr>
            </w:pPr>
            <w:r w:rsidRPr="00692975">
              <w:rPr>
                <w:sz w:val="16"/>
                <w:szCs w:val="16"/>
                <w:lang w:bidi="th-TH"/>
              </w:rPr>
              <w:t>Africa (10</w:t>
            </w:r>
            <w:r w:rsidR="00B37D53">
              <w:rPr>
                <w:sz w:val="16"/>
                <w:szCs w:val="16"/>
                <w:lang w:bidi="th-TH"/>
              </w:rPr>
              <w:t xml:space="preserve"> of which 8 LDCs</w:t>
            </w:r>
            <w:r w:rsidRPr="00692975">
              <w:rPr>
                <w:sz w:val="16"/>
                <w:szCs w:val="16"/>
                <w:lang w:bidi="th-TH"/>
              </w:rPr>
              <w:t>)</w:t>
            </w:r>
          </w:p>
          <w:p w:rsidR="00BC5A50" w:rsidRDefault="00BC5A50" w:rsidP="00F54CA4">
            <w:pPr>
              <w:rPr>
                <w:sz w:val="16"/>
                <w:szCs w:val="16"/>
                <w:lang w:bidi="th-TH"/>
              </w:rPr>
            </w:pPr>
          </w:p>
          <w:p w:rsidR="00BC5A50" w:rsidRDefault="00BC5A50" w:rsidP="00F54CA4">
            <w:pPr>
              <w:rPr>
                <w:sz w:val="16"/>
                <w:szCs w:val="16"/>
                <w:lang w:bidi="th-TH"/>
              </w:rPr>
            </w:pPr>
            <w:r w:rsidRPr="00692975">
              <w:rPr>
                <w:sz w:val="16"/>
                <w:szCs w:val="16"/>
                <w:lang w:bidi="th-TH"/>
              </w:rPr>
              <w:t xml:space="preserve">Arab (3) </w:t>
            </w:r>
          </w:p>
          <w:p w:rsidR="00BC5A50" w:rsidRDefault="00BC5A50" w:rsidP="00F54CA4">
            <w:pPr>
              <w:rPr>
                <w:sz w:val="16"/>
                <w:szCs w:val="16"/>
                <w:lang w:bidi="th-TH"/>
              </w:rPr>
            </w:pPr>
          </w:p>
          <w:p w:rsidR="00BC5A50" w:rsidRDefault="002C2CA1" w:rsidP="00F54CA4">
            <w:pPr>
              <w:rPr>
                <w:sz w:val="16"/>
                <w:szCs w:val="16"/>
                <w:lang w:bidi="th-TH"/>
              </w:rPr>
            </w:pPr>
            <w:r>
              <w:rPr>
                <w:sz w:val="16"/>
                <w:szCs w:val="16"/>
                <w:lang w:bidi="th-TH"/>
              </w:rPr>
              <w:t>Asia and the Pacific</w:t>
            </w:r>
            <w:r w:rsidR="00BC5A50" w:rsidRPr="00692975">
              <w:rPr>
                <w:sz w:val="16"/>
                <w:szCs w:val="16"/>
                <w:lang w:bidi="th-TH"/>
              </w:rPr>
              <w:t xml:space="preserve"> (</w:t>
            </w:r>
            <w:r w:rsidR="00B37D53">
              <w:rPr>
                <w:sz w:val="16"/>
                <w:szCs w:val="16"/>
                <w:lang w:bidi="th-TH"/>
              </w:rPr>
              <w:t xml:space="preserve">4 of which </w:t>
            </w:r>
            <w:r w:rsidR="00BC5A50" w:rsidRPr="00692975">
              <w:rPr>
                <w:sz w:val="16"/>
                <w:szCs w:val="16"/>
                <w:lang w:bidi="th-TH"/>
              </w:rPr>
              <w:t>2</w:t>
            </w:r>
            <w:r w:rsidR="00B37D53">
              <w:rPr>
                <w:sz w:val="16"/>
                <w:szCs w:val="16"/>
                <w:lang w:bidi="th-TH"/>
              </w:rPr>
              <w:t xml:space="preserve"> LDCs</w:t>
            </w:r>
            <w:r w:rsidR="00BC5A50" w:rsidRPr="00692975">
              <w:rPr>
                <w:sz w:val="16"/>
                <w:szCs w:val="16"/>
                <w:lang w:bidi="th-TH"/>
              </w:rPr>
              <w:t>)</w:t>
            </w:r>
          </w:p>
          <w:p w:rsidR="00BC5A50" w:rsidRDefault="00BC5A50" w:rsidP="00F54CA4">
            <w:pPr>
              <w:rPr>
                <w:sz w:val="16"/>
                <w:szCs w:val="16"/>
                <w:lang w:bidi="th-TH"/>
              </w:rPr>
            </w:pPr>
          </w:p>
          <w:p w:rsidR="00BC5A50" w:rsidRDefault="00BC5A50" w:rsidP="00F54CA4">
            <w:pPr>
              <w:rPr>
                <w:sz w:val="16"/>
                <w:szCs w:val="16"/>
                <w:lang w:bidi="th-TH"/>
              </w:rPr>
            </w:pPr>
            <w:r w:rsidRPr="00692975">
              <w:rPr>
                <w:sz w:val="16"/>
                <w:szCs w:val="16"/>
                <w:lang w:bidi="th-TH"/>
              </w:rPr>
              <w:t>Latin America and the Caribbean (6)</w:t>
            </w:r>
          </w:p>
          <w:p w:rsidR="00BC5A50" w:rsidRDefault="00BC5A50" w:rsidP="00F54CA4">
            <w:pPr>
              <w:rPr>
                <w:sz w:val="16"/>
                <w:szCs w:val="16"/>
                <w:lang w:bidi="th-TH"/>
              </w:rPr>
            </w:pPr>
          </w:p>
          <w:p w:rsidR="00BC5A50" w:rsidRPr="002B7AFD" w:rsidRDefault="00BC5A50">
            <w:pPr>
              <w:rPr>
                <w:sz w:val="16"/>
                <w:szCs w:val="16"/>
                <w:lang w:bidi="th-TH"/>
              </w:rPr>
            </w:pPr>
          </w:p>
        </w:tc>
        <w:tc>
          <w:tcPr>
            <w:tcW w:w="2978" w:type="dxa"/>
            <w:tcBorders>
              <w:top w:val="nil"/>
              <w:left w:val="nil"/>
              <w:bottom w:val="nil"/>
              <w:right w:val="nil"/>
            </w:tcBorders>
            <w:shd w:val="clear" w:color="auto" w:fill="FFFFFF"/>
            <w:tcMar>
              <w:top w:w="110" w:type="dxa"/>
            </w:tcMar>
          </w:tcPr>
          <w:p w:rsidR="00BC5A50" w:rsidRPr="0008221B" w:rsidRDefault="00BC5A50" w:rsidP="00F54CA4">
            <w:pPr>
              <w:rPr>
                <w:sz w:val="16"/>
                <w:szCs w:val="16"/>
              </w:rPr>
            </w:pPr>
            <w:r w:rsidRPr="00335775">
              <w:rPr>
                <w:sz w:val="16"/>
                <w:szCs w:val="16"/>
              </w:rPr>
              <w:t>19 sustainable (out of 39 established) TISC networks</w:t>
            </w:r>
            <w:r w:rsidRPr="0008221B">
              <w:rPr>
                <w:sz w:val="16"/>
                <w:szCs w:val="16"/>
              </w:rPr>
              <w:t xml:space="preserve"> </w:t>
            </w:r>
          </w:p>
          <w:p w:rsidR="00BC5A50" w:rsidRPr="00335775" w:rsidRDefault="00BC5A50" w:rsidP="009D2DA5">
            <w:pPr>
              <w:pStyle w:val="ListParagraph"/>
              <w:numPr>
                <w:ilvl w:val="0"/>
                <w:numId w:val="35"/>
              </w:numPr>
              <w:ind w:left="317" w:hanging="317"/>
              <w:rPr>
                <w:sz w:val="16"/>
                <w:szCs w:val="16"/>
              </w:rPr>
            </w:pPr>
            <w:r w:rsidRPr="00335775">
              <w:rPr>
                <w:sz w:val="16"/>
                <w:szCs w:val="16"/>
              </w:rPr>
              <w:t>Africa (9 of which 6 LDCs)</w:t>
            </w:r>
          </w:p>
          <w:p w:rsidR="00BC5A50" w:rsidRPr="00335775" w:rsidRDefault="00BC5A50" w:rsidP="009D2DA5">
            <w:pPr>
              <w:pStyle w:val="ListParagraph"/>
              <w:numPr>
                <w:ilvl w:val="0"/>
                <w:numId w:val="35"/>
              </w:numPr>
              <w:ind w:left="317" w:hanging="317"/>
              <w:rPr>
                <w:sz w:val="16"/>
                <w:szCs w:val="16"/>
              </w:rPr>
            </w:pPr>
            <w:r w:rsidRPr="00335775">
              <w:rPr>
                <w:sz w:val="16"/>
                <w:szCs w:val="16"/>
              </w:rPr>
              <w:t>Arab region (2)</w:t>
            </w:r>
          </w:p>
          <w:p w:rsidR="00BC5A50" w:rsidRDefault="002C2CA1" w:rsidP="009D2DA5">
            <w:pPr>
              <w:pStyle w:val="ListParagraph"/>
              <w:numPr>
                <w:ilvl w:val="0"/>
                <w:numId w:val="35"/>
              </w:numPr>
              <w:ind w:left="317" w:hanging="317"/>
              <w:rPr>
                <w:sz w:val="16"/>
                <w:szCs w:val="16"/>
              </w:rPr>
            </w:pPr>
            <w:r>
              <w:rPr>
                <w:sz w:val="16"/>
                <w:szCs w:val="16"/>
              </w:rPr>
              <w:t>Asia and the Pacific</w:t>
            </w:r>
            <w:r w:rsidR="00BC5A50" w:rsidRPr="00335775">
              <w:rPr>
                <w:sz w:val="16"/>
                <w:szCs w:val="16"/>
              </w:rPr>
              <w:t xml:space="preserve"> (3 of which 1</w:t>
            </w:r>
            <w:r w:rsidR="00531530">
              <w:rPr>
                <w:sz w:val="16"/>
                <w:szCs w:val="16"/>
              </w:rPr>
              <w:t> </w:t>
            </w:r>
            <w:r w:rsidR="00BC5A50" w:rsidRPr="00335775">
              <w:rPr>
                <w:sz w:val="16"/>
                <w:szCs w:val="16"/>
              </w:rPr>
              <w:t xml:space="preserve">LDC) </w:t>
            </w:r>
          </w:p>
          <w:p w:rsidR="00BC5A50" w:rsidRDefault="00BC5A50" w:rsidP="009D2DA5">
            <w:pPr>
              <w:pStyle w:val="ListParagraph"/>
              <w:numPr>
                <w:ilvl w:val="0"/>
                <w:numId w:val="35"/>
              </w:numPr>
              <w:ind w:left="317" w:hanging="317"/>
              <w:rPr>
                <w:sz w:val="16"/>
                <w:szCs w:val="16"/>
              </w:rPr>
            </w:pPr>
            <w:r w:rsidRPr="00335775">
              <w:rPr>
                <w:sz w:val="16"/>
                <w:szCs w:val="16"/>
              </w:rPr>
              <w:t xml:space="preserve"> </w:t>
            </w:r>
            <w:r w:rsidRPr="008C4A11">
              <w:rPr>
                <w:sz w:val="16"/>
                <w:szCs w:val="16"/>
              </w:rPr>
              <w:t>Latin America and the Caribbean (5)</w:t>
            </w:r>
          </w:p>
          <w:p w:rsidR="00BC5A50" w:rsidRPr="00335775" w:rsidRDefault="00BC5A50" w:rsidP="009D2DA5">
            <w:pPr>
              <w:pStyle w:val="ListParagraph"/>
              <w:numPr>
                <w:ilvl w:val="0"/>
                <w:numId w:val="35"/>
              </w:numPr>
              <w:ind w:left="317" w:hanging="317"/>
              <w:rPr>
                <w:sz w:val="16"/>
                <w:szCs w:val="16"/>
              </w:rPr>
            </w:pPr>
            <w:r w:rsidRPr="008C4A11">
              <w:rPr>
                <w:sz w:val="16"/>
                <w:szCs w:val="16"/>
              </w:rPr>
              <w:t>7 LDCs (cumulative)</w:t>
            </w:r>
          </w:p>
          <w:p w:rsidR="00BC5A50" w:rsidRDefault="00BC5A50" w:rsidP="00F54CA4">
            <w:pPr>
              <w:rPr>
                <w:sz w:val="16"/>
                <w:szCs w:val="16"/>
                <w:lang w:bidi="th-TH"/>
              </w:rPr>
            </w:pPr>
          </w:p>
        </w:tc>
        <w:tc>
          <w:tcPr>
            <w:tcW w:w="945" w:type="dxa"/>
            <w:tcBorders>
              <w:top w:val="nil"/>
              <w:left w:val="nil"/>
              <w:bottom w:val="nil"/>
              <w:right w:val="single" w:sz="4" w:space="0" w:color="auto"/>
            </w:tcBorders>
            <w:shd w:val="clear" w:color="auto" w:fill="auto"/>
            <w:tcMar>
              <w:top w:w="110" w:type="dxa"/>
            </w:tcMar>
          </w:tcPr>
          <w:p w:rsidR="00BC5A50" w:rsidRDefault="00BC5A50" w:rsidP="00F54CA4">
            <w:pPr>
              <w:keepNext/>
              <w:keepLines/>
              <w:jc w:val="center"/>
              <w:rPr>
                <w:b/>
                <w:bCs/>
                <w:color w:val="00B050"/>
                <w:sz w:val="16"/>
                <w:szCs w:val="16"/>
              </w:rPr>
            </w:pPr>
            <w:r w:rsidRPr="008C2A88">
              <w:rPr>
                <w:b/>
                <w:bCs/>
                <w:color w:val="00B050"/>
                <w:sz w:val="16"/>
                <w:szCs w:val="16"/>
              </w:rPr>
              <w:t>On track</w:t>
            </w:r>
          </w:p>
          <w:p w:rsidR="00BC5A50" w:rsidRDefault="00BC5A50" w:rsidP="00F54CA4">
            <w:pPr>
              <w:keepNext/>
              <w:keepLines/>
              <w:jc w:val="center"/>
              <w:rPr>
                <w:b/>
                <w:bCs/>
                <w:color w:val="00B050"/>
                <w:sz w:val="16"/>
                <w:szCs w:val="16"/>
              </w:rPr>
            </w:pPr>
          </w:p>
          <w:p w:rsidR="00BC5A50" w:rsidRDefault="00BC5A50" w:rsidP="00F54CA4">
            <w:pPr>
              <w:keepNext/>
              <w:keepLines/>
              <w:jc w:val="center"/>
              <w:rPr>
                <w:b/>
                <w:bCs/>
                <w:color w:val="00B050"/>
                <w:sz w:val="16"/>
                <w:szCs w:val="16"/>
              </w:rPr>
            </w:pPr>
            <w:r w:rsidRPr="008C2A88">
              <w:rPr>
                <w:b/>
                <w:bCs/>
                <w:color w:val="00B050"/>
                <w:sz w:val="16"/>
                <w:szCs w:val="16"/>
              </w:rPr>
              <w:t>On track</w:t>
            </w:r>
          </w:p>
          <w:p w:rsidR="00BC5A50" w:rsidRDefault="00BC5A50" w:rsidP="00F54CA4">
            <w:pPr>
              <w:keepNext/>
              <w:keepLines/>
              <w:rPr>
                <w:b/>
                <w:bCs/>
                <w:color w:val="00B050"/>
                <w:sz w:val="16"/>
                <w:szCs w:val="16"/>
              </w:rPr>
            </w:pPr>
          </w:p>
          <w:p w:rsidR="00BC5A50" w:rsidRDefault="00BC5A50" w:rsidP="00F54CA4">
            <w:pPr>
              <w:keepNext/>
              <w:keepLines/>
              <w:jc w:val="center"/>
              <w:rPr>
                <w:b/>
                <w:bCs/>
                <w:color w:val="00B050"/>
                <w:sz w:val="16"/>
                <w:szCs w:val="16"/>
              </w:rPr>
            </w:pPr>
            <w:r w:rsidRPr="008C2A88">
              <w:rPr>
                <w:b/>
                <w:bCs/>
                <w:color w:val="00B050"/>
                <w:sz w:val="16"/>
                <w:szCs w:val="16"/>
              </w:rPr>
              <w:t>On track</w:t>
            </w:r>
          </w:p>
          <w:p w:rsidR="00BC5A50" w:rsidRDefault="00BC5A50" w:rsidP="00F54CA4">
            <w:pPr>
              <w:keepNext/>
              <w:keepLines/>
              <w:rPr>
                <w:b/>
                <w:bCs/>
                <w:color w:val="00B050"/>
                <w:sz w:val="16"/>
                <w:szCs w:val="16"/>
              </w:rPr>
            </w:pPr>
          </w:p>
          <w:p w:rsidR="00BC5A50" w:rsidRDefault="00BC5A50" w:rsidP="00F54CA4">
            <w:pPr>
              <w:keepNext/>
              <w:keepLines/>
              <w:jc w:val="center"/>
              <w:rPr>
                <w:b/>
                <w:bCs/>
                <w:color w:val="00B050"/>
                <w:sz w:val="16"/>
                <w:szCs w:val="16"/>
              </w:rPr>
            </w:pPr>
            <w:r w:rsidRPr="008C2A88">
              <w:rPr>
                <w:b/>
                <w:bCs/>
                <w:color w:val="00B050"/>
                <w:sz w:val="16"/>
                <w:szCs w:val="16"/>
              </w:rPr>
              <w:t>On track</w:t>
            </w:r>
          </w:p>
          <w:p w:rsidR="00BC5A50" w:rsidRDefault="00BC5A50" w:rsidP="00F54CA4">
            <w:pPr>
              <w:keepNext/>
              <w:keepLines/>
              <w:rPr>
                <w:b/>
                <w:bCs/>
                <w:color w:val="00B050"/>
                <w:sz w:val="16"/>
                <w:szCs w:val="16"/>
              </w:rPr>
            </w:pPr>
          </w:p>
          <w:p w:rsidR="00BC5A50" w:rsidRDefault="00BC5A50" w:rsidP="00F54CA4">
            <w:pPr>
              <w:keepNext/>
              <w:keepLines/>
              <w:jc w:val="center"/>
              <w:rPr>
                <w:b/>
                <w:bCs/>
                <w:color w:val="00B050"/>
                <w:sz w:val="16"/>
                <w:szCs w:val="16"/>
              </w:rPr>
            </w:pPr>
            <w:r w:rsidRPr="008C2A88">
              <w:rPr>
                <w:b/>
                <w:bCs/>
                <w:color w:val="00B050"/>
                <w:sz w:val="16"/>
                <w:szCs w:val="16"/>
              </w:rPr>
              <w:t>On track</w:t>
            </w:r>
          </w:p>
          <w:p w:rsidR="00BC5A50" w:rsidRDefault="00BC5A50" w:rsidP="00F54CA4">
            <w:pPr>
              <w:keepNext/>
              <w:keepLines/>
              <w:jc w:val="center"/>
              <w:rPr>
                <w:b/>
                <w:bCs/>
                <w:color w:val="00B050"/>
                <w:sz w:val="16"/>
                <w:szCs w:val="16"/>
              </w:rPr>
            </w:pPr>
          </w:p>
        </w:tc>
      </w:tr>
      <w:tr w:rsidR="00BC5A50" w:rsidTr="00520CAA">
        <w:tc>
          <w:tcPr>
            <w:tcW w:w="2127" w:type="dxa"/>
            <w:tcBorders>
              <w:top w:val="nil"/>
              <w:left w:val="single" w:sz="4" w:space="0" w:color="auto"/>
              <w:bottom w:val="nil"/>
            </w:tcBorders>
            <w:shd w:val="clear" w:color="auto" w:fill="FFFFFF"/>
          </w:tcPr>
          <w:p w:rsidR="00BC5A50" w:rsidRPr="00692975" w:rsidRDefault="00BC5A50" w:rsidP="00F54CA4">
            <w:pPr>
              <w:rPr>
                <w:sz w:val="16"/>
                <w:szCs w:val="16"/>
                <w:lang w:bidi="th-TH"/>
              </w:rPr>
            </w:pPr>
            <w:r w:rsidRPr="00343F7F">
              <w:rPr>
                <w:sz w:val="16"/>
                <w:szCs w:val="16"/>
                <w:lang w:bidi="th-TH"/>
              </w:rPr>
              <w:t>Average number of users serviced by TISCs per quarter and country</w:t>
            </w:r>
          </w:p>
        </w:tc>
        <w:tc>
          <w:tcPr>
            <w:tcW w:w="1842" w:type="dxa"/>
            <w:gridSpan w:val="2"/>
            <w:tcBorders>
              <w:top w:val="nil"/>
              <w:bottom w:val="nil"/>
            </w:tcBorders>
            <w:shd w:val="clear" w:color="auto" w:fill="auto"/>
          </w:tcPr>
          <w:p w:rsidR="00BC5A50" w:rsidRPr="00692975" w:rsidRDefault="00BC5A50" w:rsidP="00F54CA4">
            <w:pPr>
              <w:rPr>
                <w:color w:val="002060"/>
                <w:sz w:val="16"/>
                <w:szCs w:val="16"/>
              </w:rPr>
            </w:pPr>
            <w:r w:rsidRPr="00C215DD">
              <w:rPr>
                <w:i/>
                <w:color w:val="002060"/>
                <w:sz w:val="16"/>
                <w:szCs w:val="16"/>
              </w:rPr>
              <w:t>Updated Baseline end 201</w:t>
            </w:r>
            <w:r>
              <w:rPr>
                <w:i/>
                <w:color w:val="002060"/>
                <w:sz w:val="16"/>
                <w:szCs w:val="16"/>
              </w:rPr>
              <w:t xml:space="preserve">3:  </w:t>
            </w:r>
            <w:r w:rsidRPr="00B6192E">
              <w:rPr>
                <w:color w:val="002060"/>
                <w:sz w:val="16"/>
                <w:szCs w:val="16"/>
              </w:rPr>
              <w:t>532 (min.) to 1370 (max.) average no. of users serviced by TISCs per day during 2013.</w:t>
            </w:r>
          </w:p>
          <w:p w:rsidR="00BC5A50" w:rsidRDefault="00BC5A50" w:rsidP="00F54CA4">
            <w:pPr>
              <w:rPr>
                <w:i/>
                <w:color w:val="002060"/>
                <w:sz w:val="16"/>
                <w:szCs w:val="16"/>
              </w:rPr>
            </w:pPr>
          </w:p>
          <w:p w:rsidR="00BC5A50" w:rsidRDefault="00BC5A50" w:rsidP="00F54CA4">
            <w:pPr>
              <w:rPr>
                <w:i/>
                <w:sz w:val="16"/>
                <w:szCs w:val="16"/>
                <w:lang w:bidi="th-TH"/>
              </w:rPr>
            </w:pPr>
            <w:r w:rsidRPr="00C215DD">
              <w:rPr>
                <w:i/>
                <w:sz w:val="16"/>
                <w:szCs w:val="16"/>
                <w:lang w:bidi="th-TH"/>
              </w:rPr>
              <w:t xml:space="preserve">Original </w:t>
            </w:r>
            <w:r>
              <w:rPr>
                <w:i/>
                <w:sz w:val="16"/>
                <w:szCs w:val="16"/>
                <w:lang w:bidi="th-TH"/>
              </w:rPr>
              <w:t>Baseline P&amp;B</w:t>
            </w:r>
            <w:r w:rsidR="00531530">
              <w:rPr>
                <w:i/>
                <w:sz w:val="16"/>
                <w:szCs w:val="16"/>
                <w:lang w:bidi="th-TH"/>
              </w:rPr>
              <w:t> </w:t>
            </w:r>
            <w:r>
              <w:rPr>
                <w:i/>
                <w:sz w:val="16"/>
                <w:szCs w:val="16"/>
                <w:lang w:bidi="th-TH"/>
              </w:rPr>
              <w:t>2014/15:</w:t>
            </w:r>
          </w:p>
          <w:p w:rsidR="00BC5A50" w:rsidRDefault="00BC5A50" w:rsidP="00F54CA4">
            <w:pPr>
              <w:rPr>
                <w:i/>
                <w:sz w:val="16"/>
                <w:szCs w:val="16"/>
                <w:lang w:bidi="th-TH"/>
              </w:rPr>
            </w:pPr>
            <w:r w:rsidRPr="00343F7F">
              <w:rPr>
                <w:sz w:val="16"/>
                <w:szCs w:val="16"/>
                <w:lang w:bidi="th-TH"/>
              </w:rPr>
              <w:t>200 (min) – 630 (max)</w:t>
            </w:r>
          </w:p>
          <w:p w:rsidR="00BC5A50" w:rsidRPr="00C215DD" w:rsidRDefault="00BC5A50" w:rsidP="00F54CA4">
            <w:pPr>
              <w:rPr>
                <w:i/>
                <w:color w:val="002060"/>
                <w:sz w:val="16"/>
                <w:szCs w:val="16"/>
              </w:rPr>
            </w:pPr>
          </w:p>
        </w:tc>
        <w:tc>
          <w:tcPr>
            <w:tcW w:w="1560" w:type="dxa"/>
            <w:tcBorders>
              <w:top w:val="nil"/>
              <w:bottom w:val="nil"/>
            </w:tcBorders>
            <w:shd w:val="clear" w:color="auto" w:fill="auto"/>
            <w:tcMar>
              <w:top w:w="110" w:type="dxa"/>
            </w:tcMar>
          </w:tcPr>
          <w:p w:rsidR="00BC5A50" w:rsidRPr="00343F7F" w:rsidRDefault="00BC5A50" w:rsidP="00F54CA4">
            <w:pPr>
              <w:rPr>
                <w:sz w:val="16"/>
                <w:szCs w:val="16"/>
                <w:lang w:bidi="th-TH"/>
              </w:rPr>
            </w:pPr>
            <w:r w:rsidRPr="00343F7F">
              <w:rPr>
                <w:sz w:val="16"/>
                <w:szCs w:val="16"/>
                <w:lang w:bidi="th-TH"/>
              </w:rPr>
              <w:t>300 (min) – 750 (max)</w:t>
            </w:r>
          </w:p>
        </w:tc>
        <w:tc>
          <w:tcPr>
            <w:tcW w:w="2978" w:type="dxa"/>
            <w:tcBorders>
              <w:top w:val="nil"/>
              <w:bottom w:val="nil"/>
            </w:tcBorders>
            <w:shd w:val="clear" w:color="auto" w:fill="FFFFFF"/>
            <w:tcMar>
              <w:top w:w="110" w:type="dxa"/>
            </w:tcMar>
          </w:tcPr>
          <w:p w:rsidR="00BC5A50" w:rsidRDefault="00BC5A50" w:rsidP="00F54CA4">
            <w:pPr>
              <w:rPr>
                <w:sz w:val="16"/>
                <w:szCs w:val="16"/>
                <w:lang w:bidi="th-TH"/>
              </w:rPr>
            </w:pPr>
            <w:r w:rsidRPr="0015377F">
              <w:rPr>
                <w:sz w:val="16"/>
                <w:szCs w:val="16"/>
                <w:lang w:bidi="th-TH"/>
              </w:rPr>
              <w:t>5</w:t>
            </w:r>
            <w:r>
              <w:rPr>
                <w:sz w:val="16"/>
                <w:szCs w:val="16"/>
                <w:lang w:bidi="th-TH"/>
              </w:rPr>
              <w:t>13</w:t>
            </w:r>
            <w:r w:rsidRPr="0015377F">
              <w:rPr>
                <w:sz w:val="16"/>
                <w:szCs w:val="16"/>
                <w:lang w:bidi="th-TH"/>
              </w:rPr>
              <w:t xml:space="preserve"> (min) </w:t>
            </w:r>
            <w:r>
              <w:rPr>
                <w:sz w:val="16"/>
                <w:szCs w:val="16"/>
                <w:lang w:bidi="th-TH"/>
              </w:rPr>
              <w:t>-</w:t>
            </w:r>
            <w:r w:rsidRPr="0015377F">
              <w:rPr>
                <w:sz w:val="16"/>
                <w:szCs w:val="16"/>
                <w:lang w:bidi="th-TH"/>
              </w:rPr>
              <w:t xml:space="preserve"> 1</w:t>
            </w:r>
            <w:r>
              <w:rPr>
                <w:sz w:val="16"/>
                <w:szCs w:val="16"/>
                <w:lang w:bidi="th-TH"/>
              </w:rPr>
              <w:t>521</w:t>
            </w:r>
            <w:r w:rsidRPr="0015377F">
              <w:rPr>
                <w:sz w:val="16"/>
                <w:szCs w:val="16"/>
                <w:lang w:bidi="th-TH"/>
              </w:rPr>
              <w:t xml:space="preserve"> (max)</w:t>
            </w:r>
            <w:r>
              <w:rPr>
                <w:sz w:val="16"/>
                <w:szCs w:val="16"/>
                <w:lang w:bidi="th-TH"/>
              </w:rPr>
              <w:t xml:space="preserve"> </w:t>
            </w:r>
            <w:r w:rsidRPr="00B6192E">
              <w:rPr>
                <w:color w:val="002060"/>
                <w:sz w:val="16"/>
                <w:szCs w:val="16"/>
              </w:rPr>
              <w:t>average no. of users serviced by TISCs per day during 201</w:t>
            </w:r>
            <w:r>
              <w:rPr>
                <w:color w:val="002060"/>
                <w:sz w:val="16"/>
                <w:szCs w:val="16"/>
              </w:rPr>
              <w:t>4.</w:t>
            </w:r>
          </w:p>
        </w:tc>
        <w:tc>
          <w:tcPr>
            <w:tcW w:w="945" w:type="dxa"/>
            <w:tcBorders>
              <w:top w:val="nil"/>
              <w:bottom w:val="nil"/>
              <w:right w:val="single" w:sz="4" w:space="0" w:color="auto"/>
            </w:tcBorders>
            <w:shd w:val="clear" w:color="auto" w:fill="auto"/>
            <w:tcMar>
              <w:top w:w="110" w:type="dxa"/>
            </w:tcMar>
          </w:tcPr>
          <w:p w:rsidR="00BC5A50" w:rsidRDefault="00BC5A50" w:rsidP="00F54CA4">
            <w:pPr>
              <w:keepNext/>
              <w:keepLines/>
              <w:jc w:val="center"/>
              <w:rPr>
                <w:b/>
                <w:bCs/>
                <w:color w:val="00B050"/>
                <w:sz w:val="16"/>
                <w:szCs w:val="16"/>
              </w:rPr>
            </w:pPr>
            <w:r w:rsidRPr="008C2A88">
              <w:rPr>
                <w:b/>
                <w:bCs/>
                <w:color w:val="00B050"/>
                <w:sz w:val="16"/>
                <w:szCs w:val="16"/>
              </w:rPr>
              <w:t>On track</w:t>
            </w:r>
          </w:p>
          <w:p w:rsidR="00BC5A50" w:rsidRDefault="00BC5A50" w:rsidP="00F54CA4">
            <w:pPr>
              <w:keepNext/>
              <w:keepLines/>
              <w:jc w:val="center"/>
              <w:rPr>
                <w:b/>
                <w:bCs/>
                <w:color w:val="00B050"/>
                <w:sz w:val="16"/>
                <w:szCs w:val="16"/>
              </w:rPr>
            </w:pPr>
          </w:p>
          <w:p w:rsidR="00BC5A50" w:rsidRDefault="00BC5A50" w:rsidP="00F54CA4">
            <w:pPr>
              <w:keepNext/>
              <w:keepLines/>
              <w:jc w:val="center"/>
              <w:rPr>
                <w:b/>
                <w:bCs/>
                <w:color w:val="00B050"/>
                <w:sz w:val="16"/>
                <w:szCs w:val="16"/>
              </w:rPr>
            </w:pPr>
          </w:p>
          <w:p w:rsidR="00BC5A50" w:rsidRDefault="00BC5A50" w:rsidP="00F54CA4">
            <w:pPr>
              <w:keepNext/>
              <w:keepLines/>
              <w:jc w:val="center"/>
              <w:rPr>
                <w:b/>
                <w:bCs/>
                <w:color w:val="00B050"/>
                <w:sz w:val="16"/>
                <w:szCs w:val="16"/>
              </w:rPr>
            </w:pPr>
          </w:p>
          <w:p w:rsidR="00BC5A50" w:rsidRDefault="00BC5A50" w:rsidP="00F54CA4">
            <w:pPr>
              <w:keepNext/>
              <w:keepLines/>
              <w:jc w:val="center"/>
              <w:rPr>
                <w:b/>
                <w:bCs/>
                <w:color w:val="00B050"/>
                <w:sz w:val="16"/>
                <w:szCs w:val="16"/>
              </w:rPr>
            </w:pPr>
          </w:p>
          <w:p w:rsidR="00BC5A50" w:rsidRDefault="00BC5A50" w:rsidP="00F54CA4">
            <w:pPr>
              <w:keepNext/>
              <w:keepLines/>
              <w:jc w:val="center"/>
              <w:rPr>
                <w:b/>
                <w:bCs/>
                <w:color w:val="00B050"/>
                <w:sz w:val="16"/>
                <w:szCs w:val="16"/>
              </w:rPr>
            </w:pPr>
          </w:p>
          <w:p w:rsidR="00BC5A50" w:rsidRDefault="00BC5A50" w:rsidP="00F54CA4">
            <w:pPr>
              <w:keepNext/>
              <w:keepLines/>
              <w:jc w:val="center"/>
              <w:rPr>
                <w:b/>
                <w:bCs/>
                <w:color w:val="00B050"/>
                <w:sz w:val="16"/>
                <w:szCs w:val="16"/>
              </w:rPr>
            </w:pPr>
          </w:p>
        </w:tc>
      </w:tr>
      <w:tr w:rsidR="00BC5A50" w:rsidRPr="00716A48" w:rsidTr="00520CAA">
        <w:tc>
          <w:tcPr>
            <w:tcW w:w="2127" w:type="dxa"/>
            <w:tcBorders>
              <w:top w:val="nil"/>
              <w:left w:val="single" w:sz="4" w:space="0" w:color="auto"/>
              <w:bottom w:val="single" w:sz="4" w:space="0" w:color="auto"/>
            </w:tcBorders>
            <w:shd w:val="clear" w:color="auto" w:fill="FFFFFF"/>
          </w:tcPr>
          <w:p w:rsidR="00BC5A50" w:rsidRPr="00692975" w:rsidRDefault="00BC5A50" w:rsidP="00F54CA4">
            <w:pPr>
              <w:rPr>
                <w:sz w:val="16"/>
                <w:szCs w:val="16"/>
                <w:lang w:bidi="th-TH"/>
              </w:rPr>
            </w:pPr>
            <w:r w:rsidRPr="00692975">
              <w:rPr>
                <w:sz w:val="16"/>
                <w:szCs w:val="16"/>
                <w:lang w:bidi="th-TH"/>
              </w:rPr>
              <w:t>No. of countries using IP Technical Assistance Database (IP-TAD), IP Roster of consultants (IP_ROC)</w:t>
            </w:r>
          </w:p>
        </w:tc>
        <w:tc>
          <w:tcPr>
            <w:tcW w:w="1842" w:type="dxa"/>
            <w:gridSpan w:val="2"/>
            <w:tcBorders>
              <w:top w:val="nil"/>
              <w:bottom w:val="single" w:sz="4" w:space="0" w:color="auto"/>
            </w:tcBorders>
            <w:shd w:val="clear" w:color="auto" w:fill="auto"/>
          </w:tcPr>
          <w:p w:rsidR="00BC5A50" w:rsidRDefault="00BC5A50" w:rsidP="00F54CA4">
            <w:pPr>
              <w:rPr>
                <w:i/>
                <w:color w:val="002060"/>
                <w:sz w:val="16"/>
                <w:szCs w:val="16"/>
              </w:rPr>
            </w:pPr>
            <w:r w:rsidRPr="00C215DD">
              <w:rPr>
                <w:i/>
                <w:color w:val="002060"/>
                <w:sz w:val="16"/>
                <w:szCs w:val="16"/>
              </w:rPr>
              <w:t>Updated Baseline end 201</w:t>
            </w:r>
            <w:r>
              <w:rPr>
                <w:i/>
                <w:color w:val="002060"/>
                <w:sz w:val="16"/>
                <w:szCs w:val="16"/>
              </w:rPr>
              <w:t xml:space="preserve">3:  </w:t>
            </w:r>
          </w:p>
          <w:p w:rsidR="00BC5A50" w:rsidRPr="00984505" w:rsidRDefault="00BC5A50" w:rsidP="00F54CA4">
            <w:pPr>
              <w:rPr>
                <w:color w:val="002060"/>
                <w:sz w:val="16"/>
                <w:szCs w:val="16"/>
              </w:rPr>
            </w:pPr>
            <w:r w:rsidRPr="00984505">
              <w:rPr>
                <w:color w:val="002060"/>
                <w:sz w:val="16"/>
                <w:szCs w:val="16"/>
              </w:rPr>
              <w:t xml:space="preserve">IP-TAD: </w:t>
            </w:r>
            <w:r>
              <w:rPr>
                <w:color w:val="002060"/>
                <w:sz w:val="16"/>
                <w:szCs w:val="16"/>
              </w:rPr>
              <w:t>43</w:t>
            </w:r>
            <w:r w:rsidRPr="00984505">
              <w:rPr>
                <w:color w:val="002060"/>
                <w:sz w:val="16"/>
                <w:szCs w:val="16"/>
              </w:rPr>
              <w:t xml:space="preserve"> countries </w:t>
            </w:r>
          </w:p>
          <w:p w:rsidR="00BC5A50" w:rsidRPr="00984505" w:rsidRDefault="00BC5A50" w:rsidP="00F54CA4">
            <w:pPr>
              <w:rPr>
                <w:color w:val="002060"/>
                <w:sz w:val="16"/>
                <w:szCs w:val="16"/>
              </w:rPr>
            </w:pPr>
            <w:r w:rsidRPr="00984505">
              <w:rPr>
                <w:color w:val="002060"/>
                <w:sz w:val="16"/>
                <w:szCs w:val="16"/>
              </w:rPr>
              <w:t xml:space="preserve">IP-ROC: </w:t>
            </w:r>
            <w:r>
              <w:rPr>
                <w:color w:val="002060"/>
                <w:sz w:val="16"/>
                <w:szCs w:val="16"/>
              </w:rPr>
              <w:t>8</w:t>
            </w:r>
            <w:r w:rsidRPr="00984505">
              <w:rPr>
                <w:color w:val="002060"/>
                <w:sz w:val="16"/>
                <w:szCs w:val="16"/>
              </w:rPr>
              <w:t xml:space="preserve"> countries</w:t>
            </w:r>
            <w:r>
              <w:rPr>
                <w:color w:val="002060"/>
                <w:sz w:val="16"/>
                <w:szCs w:val="16"/>
              </w:rPr>
              <w:t xml:space="preserve"> (in 2013)</w:t>
            </w:r>
          </w:p>
          <w:p w:rsidR="00BC5A50" w:rsidRDefault="00BC5A50" w:rsidP="00F54CA4">
            <w:pPr>
              <w:rPr>
                <w:i/>
                <w:color w:val="002060"/>
                <w:sz w:val="16"/>
                <w:szCs w:val="16"/>
              </w:rPr>
            </w:pPr>
          </w:p>
          <w:p w:rsidR="00BC5A50" w:rsidRDefault="00BC5A50" w:rsidP="00F54CA4">
            <w:pPr>
              <w:rPr>
                <w:i/>
                <w:sz w:val="16"/>
                <w:szCs w:val="16"/>
                <w:lang w:bidi="th-TH"/>
              </w:rPr>
            </w:pPr>
            <w:r w:rsidRPr="00C215DD">
              <w:rPr>
                <w:i/>
                <w:sz w:val="16"/>
                <w:szCs w:val="16"/>
                <w:lang w:bidi="th-TH"/>
              </w:rPr>
              <w:t xml:space="preserve">Original </w:t>
            </w:r>
            <w:r>
              <w:rPr>
                <w:i/>
                <w:sz w:val="16"/>
                <w:szCs w:val="16"/>
                <w:lang w:bidi="th-TH"/>
              </w:rPr>
              <w:t>Baseline P&amp;B</w:t>
            </w:r>
            <w:r w:rsidR="00531530">
              <w:rPr>
                <w:i/>
                <w:sz w:val="16"/>
                <w:szCs w:val="16"/>
                <w:lang w:bidi="th-TH"/>
              </w:rPr>
              <w:t> </w:t>
            </w:r>
            <w:r>
              <w:rPr>
                <w:i/>
                <w:sz w:val="16"/>
                <w:szCs w:val="16"/>
                <w:lang w:bidi="th-TH"/>
              </w:rPr>
              <w:t xml:space="preserve">2014/15: </w:t>
            </w:r>
            <w:r w:rsidRPr="00343F7F">
              <w:rPr>
                <w:sz w:val="16"/>
                <w:szCs w:val="16"/>
                <w:lang w:bidi="th-TH"/>
              </w:rPr>
              <w:t>60 (as of 01.03.2013)</w:t>
            </w:r>
          </w:p>
          <w:p w:rsidR="00BC5A50" w:rsidRPr="00C215DD" w:rsidRDefault="00BC5A50" w:rsidP="00F54CA4">
            <w:pPr>
              <w:rPr>
                <w:i/>
                <w:color w:val="002060"/>
                <w:sz w:val="16"/>
                <w:szCs w:val="16"/>
              </w:rPr>
            </w:pPr>
          </w:p>
        </w:tc>
        <w:tc>
          <w:tcPr>
            <w:tcW w:w="1560" w:type="dxa"/>
            <w:tcBorders>
              <w:top w:val="nil"/>
              <w:bottom w:val="single" w:sz="4" w:space="0" w:color="auto"/>
            </w:tcBorders>
            <w:shd w:val="clear" w:color="auto" w:fill="auto"/>
            <w:tcMar>
              <w:top w:w="110" w:type="dxa"/>
            </w:tcMar>
          </w:tcPr>
          <w:p w:rsidR="00BC5A50" w:rsidRPr="00692975" w:rsidRDefault="00BC5A50" w:rsidP="00F54CA4">
            <w:pPr>
              <w:rPr>
                <w:sz w:val="16"/>
                <w:szCs w:val="16"/>
                <w:lang w:bidi="th-TH"/>
              </w:rPr>
            </w:pPr>
            <w:r w:rsidRPr="00343F7F">
              <w:rPr>
                <w:sz w:val="16"/>
                <w:szCs w:val="16"/>
                <w:lang w:bidi="th-TH"/>
              </w:rPr>
              <w:t>70</w:t>
            </w:r>
          </w:p>
        </w:tc>
        <w:tc>
          <w:tcPr>
            <w:tcW w:w="2978" w:type="dxa"/>
            <w:tcBorders>
              <w:top w:val="nil"/>
              <w:bottom w:val="single" w:sz="4" w:space="0" w:color="auto"/>
            </w:tcBorders>
            <w:shd w:val="clear" w:color="auto" w:fill="FFFFFF"/>
            <w:tcMar>
              <w:top w:w="110" w:type="dxa"/>
            </w:tcMar>
          </w:tcPr>
          <w:p w:rsidR="00BC5A50" w:rsidRDefault="00BC5A50" w:rsidP="00F54CA4">
            <w:pPr>
              <w:rPr>
                <w:sz w:val="16"/>
                <w:szCs w:val="16"/>
                <w:lang w:bidi="th-TH"/>
              </w:rPr>
            </w:pPr>
            <w:r w:rsidRPr="00FA0E4F">
              <w:rPr>
                <w:sz w:val="16"/>
                <w:szCs w:val="16"/>
                <w:lang w:bidi="th-TH"/>
              </w:rPr>
              <w:t>IP-TAD: 3</w:t>
            </w:r>
            <w:r>
              <w:rPr>
                <w:sz w:val="16"/>
                <w:szCs w:val="16"/>
                <w:lang w:bidi="th-TH"/>
              </w:rPr>
              <w:t>7</w:t>
            </w:r>
            <w:r w:rsidRPr="00FA0E4F">
              <w:rPr>
                <w:sz w:val="16"/>
                <w:szCs w:val="16"/>
                <w:lang w:bidi="th-TH"/>
              </w:rPr>
              <w:t xml:space="preserve"> countries </w:t>
            </w:r>
          </w:p>
          <w:p w:rsidR="00BC5A50" w:rsidRDefault="00BC5A50" w:rsidP="00F54CA4">
            <w:pPr>
              <w:rPr>
                <w:sz w:val="16"/>
                <w:szCs w:val="16"/>
                <w:lang w:bidi="th-TH"/>
              </w:rPr>
            </w:pPr>
            <w:r w:rsidRPr="00FA0E4F">
              <w:rPr>
                <w:sz w:val="16"/>
                <w:szCs w:val="16"/>
                <w:lang w:bidi="th-TH"/>
              </w:rPr>
              <w:t xml:space="preserve">IP-ROC: </w:t>
            </w:r>
            <w:r>
              <w:rPr>
                <w:sz w:val="16"/>
                <w:szCs w:val="16"/>
                <w:lang w:bidi="th-TH"/>
              </w:rPr>
              <w:t>9</w:t>
            </w:r>
            <w:r w:rsidRPr="00FA0E4F">
              <w:rPr>
                <w:sz w:val="16"/>
                <w:szCs w:val="16"/>
                <w:lang w:bidi="th-TH"/>
              </w:rPr>
              <w:t xml:space="preserve"> countries</w:t>
            </w:r>
          </w:p>
        </w:tc>
        <w:tc>
          <w:tcPr>
            <w:tcW w:w="945" w:type="dxa"/>
            <w:tcBorders>
              <w:top w:val="nil"/>
              <w:bottom w:val="single" w:sz="4" w:space="0" w:color="auto"/>
              <w:right w:val="single" w:sz="4" w:space="0" w:color="auto"/>
            </w:tcBorders>
            <w:shd w:val="clear" w:color="auto" w:fill="auto"/>
            <w:tcMar>
              <w:top w:w="110" w:type="dxa"/>
            </w:tcMar>
          </w:tcPr>
          <w:p w:rsidR="00BC5A50" w:rsidRDefault="00BC5A50" w:rsidP="00F54CA4">
            <w:pPr>
              <w:keepNext/>
              <w:keepLines/>
              <w:jc w:val="center"/>
              <w:rPr>
                <w:b/>
                <w:bCs/>
                <w:color w:val="00B050"/>
                <w:sz w:val="16"/>
                <w:szCs w:val="16"/>
              </w:rPr>
            </w:pPr>
            <w:r w:rsidRPr="00335775">
              <w:rPr>
                <w:b/>
                <w:bCs/>
                <w:color w:val="FF0000"/>
                <w:sz w:val="16"/>
                <w:szCs w:val="16"/>
              </w:rPr>
              <w:t xml:space="preserve">Not </w:t>
            </w:r>
            <w:r>
              <w:rPr>
                <w:b/>
                <w:bCs/>
                <w:color w:val="FF0000"/>
                <w:sz w:val="16"/>
                <w:szCs w:val="16"/>
              </w:rPr>
              <w:br/>
            </w:r>
            <w:r w:rsidRPr="00335775">
              <w:rPr>
                <w:b/>
                <w:bCs/>
                <w:color w:val="FF0000"/>
                <w:sz w:val="16"/>
                <w:szCs w:val="16"/>
              </w:rPr>
              <w:t>on track</w:t>
            </w:r>
          </w:p>
        </w:tc>
      </w:tr>
      <w:tr w:rsidR="00BC5A50" w:rsidRPr="00716A48" w:rsidTr="00520CAA">
        <w:tc>
          <w:tcPr>
            <w:tcW w:w="9452" w:type="dxa"/>
            <w:gridSpan w:val="6"/>
            <w:tcBorders>
              <w:top w:val="single" w:sz="4" w:space="0" w:color="auto"/>
              <w:left w:val="single" w:sz="4" w:space="0" w:color="auto"/>
              <w:bottom w:val="single" w:sz="4" w:space="0" w:color="auto"/>
              <w:right w:val="single" w:sz="4" w:space="0" w:color="auto"/>
            </w:tcBorders>
            <w:shd w:val="clear" w:color="auto" w:fill="CCFFFF"/>
          </w:tcPr>
          <w:p w:rsidR="00BC5A50" w:rsidRPr="008C2A88" w:rsidRDefault="00BC5A50" w:rsidP="00F54CA4">
            <w:pPr>
              <w:keepNext/>
              <w:keepLines/>
              <w:tabs>
                <w:tab w:val="left" w:pos="1452"/>
              </w:tabs>
              <w:spacing w:before="120" w:after="120"/>
              <w:ind w:left="1452" w:hanging="1452"/>
              <w:rPr>
                <w:b/>
                <w:bCs/>
                <w:color w:val="00B050"/>
                <w:sz w:val="16"/>
                <w:szCs w:val="16"/>
              </w:rPr>
            </w:pPr>
            <w:r w:rsidRPr="00C215DD">
              <w:rPr>
                <w:b/>
                <w:bCs/>
                <w:sz w:val="16"/>
                <w:szCs w:val="16"/>
              </w:rPr>
              <w:t>Expected Result:</w:t>
            </w:r>
            <w:r>
              <w:rPr>
                <w:b/>
                <w:bCs/>
                <w:sz w:val="16"/>
                <w:szCs w:val="16"/>
              </w:rPr>
              <w:t xml:space="preserve">    </w:t>
            </w:r>
            <w:r w:rsidRPr="002A3B68">
              <w:rPr>
                <w:bCs/>
                <w:sz w:val="16"/>
                <w:szCs w:val="16"/>
              </w:rPr>
              <w:t>IV.4  Enhanced technical and knowledge infrastructure for IP Offices and other IP institutions leading to better services (cheaper, faster, higher quality) to their stakeholders</w:t>
            </w:r>
          </w:p>
        </w:tc>
      </w:tr>
      <w:tr w:rsidR="00BC5A50" w:rsidRPr="00716A48" w:rsidTr="00520CAA">
        <w:trPr>
          <w:trHeight w:val="291"/>
        </w:trPr>
        <w:tc>
          <w:tcPr>
            <w:tcW w:w="2127" w:type="dxa"/>
            <w:tcBorders>
              <w:top w:val="single" w:sz="4" w:space="0" w:color="auto"/>
              <w:left w:val="single" w:sz="4" w:space="0" w:color="auto"/>
              <w:bottom w:val="nil"/>
              <w:right w:val="nil"/>
            </w:tcBorders>
            <w:shd w:val="clear" w:color="auto" w:fill="FFFFFF"/>
            <w:vAlign w:val="center"/>
          </w:tcPr>
          <w:p w:rsidR="00BC5A50" w:rsidRPr="001E0B69" w:rsidRDefault="00BC5A50" w:rsidP="00F54CA4">
            <w:pPr>
              <w:rPr>
                <w:sz w:val="16"/>
                <w:szCs w:val="16"/>
                <w:lang w:bidi="th-TH"/>
              </w:rPr>
            </w:pPr>
            <w:r w:rsidRPr="00C215DD">
              <w:rPr>
                <w:b/>
                <w:bCs/>
                <w:sz w:val="16"/>
                <w:szCs w:val="16"/>
              </w:rPr>
              <w:t>Performance Indicators</w:t>
            </w:r>
          </w:p>
        </w:tc>
        <w:tc>
          <w:tcPr>
            <w:tcW w:w="1749" w:type="dxa"/>
            <w:tcBorders>
              <w:top w:val="single" w:sz="4" w:space="0" w:color="auto"/>
              <w:left w:val="nil"/>
              <w:bottom w:val="nil"/>
              <w:right w:val="nil"/>
            </w:tcBorders>
            <w:shd w:val="clear" w:color="auto" w:fill="auto"/>
            <w:vAlign w:val="center"/>
          </w:tcPr>
          <w:p w:rsidR="00BC5A50" w:rsidRPr="00C215DD" w:rsidRDefault="00BC5A50" w:rsidP="00F54CA4">
            <w:pPr>
              <w:rPr>
                <w:i/>
                <w:color w:val="002060"/>
                <w:sz w:val="16"/>
                <w:szCs w:val="16"/>
              </w:rPr>
            </w:pPr>
            <w:r w:rsidRPr="00C215DD">
              <w:rPr>
                <w:b/>
                <w:bCs/>
                <w:sz w:val="16"/>
                <w:szCs w:val="16"/>
              </w:rPr>
              <w:t>Baselines</w:t>
            </w:r>
          </w:p>
        </w:tc>
        <w:tc>
          <w:tcPr>
            <w:tcW w:w="1653" w:type="dxa"/>
            <w:gridSpan w:val="2"/>
            <w:tcBorders>
              <w:top w:val="single" w:sz="4" w:space="0" w:color="auto"/>
              <w:left w:val="nil"/>
              <w:bottom w:val="nil"/>
              <w:right w:val="nil"/>
            </w:tcBorders>
            <w:shd w:val="clear" w:color="auto" w:fill="auto"/>
            <w:tcMar>
              <w:top w:w="110" w:type="dxa"/>
            </w:tcMar>
            <w:vAlign w:val="center"/>
          </w:tcPr>
          <w:p w:rsidR="00BC5A50" w:rsidRPr="00343F7F" w:rsidRDefault="00BC5A50" w:rsidP="00F54CA4">
            <w:pPr>
              <w:rPr>
                <w:sz w:val="16"/>
                <w:szCs w:val="16"/>
                <w:lang w:bidi="th-TH"/>
              </w:rPr>
            </w:pPr>
            <w:r w:rsidRPr="00C215DD">
              <w:rPr>
                <w:b/>
                <w:sz w:val="16"/>
                <w:szCs w:val="16"/>
              </w:rPr>
              <w:t>Target</w:t>
            </w:r>
            <w:r>
              <w:rPr>
                <w:b/>
                <w:sz w:val="16"/>
                <w:szCs w:val="16"/>
              </w:rPr>
              <w:t>s</w:t>
            </w:r>
          </w:p>
        </w:tc>
        <w:tc>
          <w:tcPr>
            <w:tcW w:w="2978" w:type="dxa"/>
            <w:tcBorders>
              <w:top w:val="single" w:sz="4" w:space="0" w:color="auto"/>
              <w:left w:val="nil"/>
              <w:bottom w:val="nil"/>
              <w:right w:val="nil"/>
            </w:tcBorders>
            <w:shd w:val="clear" w:color="auto" w:fill="FFFFFF"/>
            <w:tcMar>
              <w:top w:w="110" w:type="dxa"/>
            </w:tcMar>
            <w:vAlign w:val="center"/>
          </w:tcPr>
          <w:p w:rsidR="00BC5A50" w:rsidRDefault="00BC5A50" w:rsidP="00F54CA4">
            <w:pPr>
              <w:rPr>
                <w:sz w:val="16"/>
                <w:szCs w:val="16"/>
                <w:lang w:bidi="th-TH"/>
              </w:rPr>
            </w:pPr>
            <w:r w:rsidRPr="00C215DD">
              <w:rPr>
                <w:b/>
                <w:bCs/>
                <w:sz w:val="16"/>
                <w:szCs w:val="16"/>
              </w:rPr>
              <w:t>Performance Data</w:t>
            </w:r>
          </w:p>
        </w:tc>
        <w:tc>
          <w:tcPr>
            <w:tcW w:w="945" w:type="dxa"/>
            <w:tcBorders>
              <w:top w:val="single" w:sz="4" w:space="0" w:color="auto"/>
              <w:left w:val="nil"/>
              <w:bottom w:val="nil"/>
              <w:right w:val="single" w:sz="4" w:space="0" w:color="auto"/>
            </w:tcBorders>
            <w:shd w:val="clear" w:color="auto" w:fill="auto"/>
            <w:tcMar>
              <w:top w:w="110" w:type="dxa"/>
            </w:tcMar>
            <w:vAlign w:val="center"/>
          </w:tcPr>
          <w:p w:rsidR="00BC5A50" w:rsidRPr="008C2A88" w:rsidRDefault="00BC5A50" w:rsidP="00F54CA4">
            <w:pPr>
              <w:keepNext/>
              <w:keepLines/>
              <w:jc w:val="center"/>
              <w:rPr>
                <w:b/>
                <w:bCs/>
                <w:color w:val="00B050"/>
                <w:sz w:val="16"/>
                <w:szCs w:val="16"/>
              </w:rPr>
            </w:pPr>
            <w:r w:rsidRPr="00C215DD">
              <w:rPr>
                <w:b/>
                <w:bCs/>
                <w:sz w:val="16"/>
                <w:szCs w:val="16"/>
              </w:rPr>
              <w:t>TLS</w:t>
            </w:r>
          </w:p>
        </w:tc>
      </w:tr>
      <w:tr w:rsidR="00BC5A50" w:rsidRPr="00716A48" w:rsidTr="00520CAA">
        <w:tc>
          <w:tcPr>
            <w:tcW w:w="2127" w:type="dxa"/>
            <w:tcBorders>
              <w:top w:val="nil"/>
              <w:left w:val="single" w:sz="4" w:space="0" w:color="auto"/>
              <w:bottom w:val="single" w:sz="4" w:space="0" w:color="auto"/>
              <w:right w:val="nil"/>
            </w:tcBorders>
            <w:shd w:val="clear" w:color="auto" w:fill="FFFFFF"/>
          </w:tcPr>
          <w:p w:rsidR="00BC5A50" w:rsidRPr="00B6192E" w:rsidRDefault="00BC5A50" w:rsidP="00F54CA4">
            <w:pPr>
              <w:rPr>
                <w:sz w:val="16"/>
                <w:szCs w:val="16"/>
                <w:lang w:bidi="th-TH"/>
              </w:rPr>
            </w:pPr>
            <w:r w:rsidRPr="00080B68">
              <w:rPr>
                <w:sz w:val="16"/>
                <w:szCs w:val="16"/>
                <w:lang w:bidi="th-TH"/>
              </w:rPr>
              <w:t>Average Service Level of IP Offices assisted (ranging from 1 to 5)</w:t>
            </w:r>
          </w:p>
        </w:tc>
        <w:tc>
          <w:tcPr>
            <w:tcW w:w="1749" w:type="dxa"/>
            <w:tcBorders>
              <w:top w:val="nil"/>
              <w:left w:val="nil"/>
              <w:bottom w:val="single" w:sz="4" w:space="0" w:color="auto"/>
              <w:right w:val="nil"/>
            </w:tcBorders>
            <w:shd w:val="clear" w:color="auto" w:fill="auto"/>
          </w:tcPr>
          <w:p w:rsidR="00BC5A50" w:rsidRPr="00080B68" w:rsidRDefault="00BC5A50" w:rsidP="00F54CA4">
            <w:pPr>
              <w:rPr>
                <w:color w:val="002060"/>
                <w:sz w:val="16"/>
                <w:szCs w:val="16"/>
              </w:rPr>
            </w:pPr>
            <w:r w:rsidRPr="00EF3AA0">
              <w:rPr>
                <w:i/>
                <w:color w:val="002060"/>
                <w:sz w:val="16"/>
                <w:szCs w:val="16"/>
              </w:rPr>
              <w:t>Updated Baseline end 2013:</w:t>
            </w:r>
            <w:r w:rsidRPr="00F732EC">
              <w:rPr>
                <w:color w:val="002060"/>
                <w:sz w:val="16"/>
                <w:szCs w:val="16"/>
              </w:rPr>
              <w:t xml:space="preserve">  </w:t>
            </w:r>
            <w:r w:rsidRPr="00F732EC">
              <w:rPr>
                <w:color w:val="000000" w:themeColor="text1"/>
                <w:sz w:val="16"/>
                <w:szCs w:val="16"/>
              </w:rPr>
              <w:t>2.8</w:t>
            </w:r>
          </w:p>
          <w:p w:rsidR="00BC5A50" w:rsidRPr="00F732EC" w:rsidRDefault="00BC5A50" w:rsidP="00F54CA4">
            <w:pPr>
              <w:rPr>
                <w:i/>
                <w:color w:val="002060"/>
                <w:sz w:val="16"/>
                <w:szCs w:val="16"/>
              </w:rPr>
            </w:pPr>
          </w:p>
          <w:p w:rsidR="00BC5A50" w:rsidRPr="00B6192E" w:rsidRDefault="00BC5A50" w:rsidP="00F54CA4">
            <w:pPr>
              <w:rPr>
                <w:color w:val="002060"/>
                <w:sz w:val="16"/>
                <w:szCs w:val="16"/>
              </w:rPr>
            </w:pPr>
            <w:r w:rsidRPr="00F732EC">
              <w:rPr>
                <w:i/>
                <w:sz w:val="16"/>
                <w:szCs w:val="16"/>
                <w:lang w:bidi="th-TH"/>
              </w:rPr>
              <w:t xml:space="preserve">Original Baseline P&amp;B </w:t>
            </w:r>
            <w:r>
              <w:rPr>
                <w:i/>
                <w:sz w:val="16"/>
                <w:szCs w:val="16"/>
                <w:lang w:bidi="th-TH"/>
              </w:rPr>
              <w:t>2014/15</w:t>
            </w:r>
            <w:r w:rsidRPr="00080B68">
              <w:rPr>
                <w:i/>
                <w:sz w:val="16"/>
                <w:szCs w:val="16"/>
                <w:lang w:bidi="th-TH"/>
              </w:rPr>
              <w:t>:</w:t>
            </w:r>
            <w:r>
              <w:rPr>
                <w:sz w:val="16"/>
                <w:szCs w:val="16"/>
                <w:lang w:bidi="th-TH"/>
              </w:rPr>
              <w:t xml:space="preserve"> </w:t>
            </w:r>
            <w:proofErr w:type="spellStart"/>
            <w:r w:rsidRPr="00B6192E">
              <w:rPr>
                <w:sz w:val="16"/>
                <w:szCs w:val="16"/>
                <w:lang w:bidi="th-TH"/>
              </w:rPr>
              <w:t>tbd</w:t>
            </w:r>
            <w:proofErr w:type="spellEnd"/>
          </w:p>
        </w:tc>
        <w:tc>
          <w:tcPr>
            <w:tcW w:w="1653" w:type="dxa"/>
            <w:gridSpan w:val="2"/>
            <w:tcBorders>
              <w:top w:val="nil"/>
              <w:left w:val="nil"/>
              <w:bottom w:val="single" w:sz="4" w:space="0" w:color="auto"/>
              <w:right w:val="nil"/>
            </w:tcBorders>
            <w:shd w:val="clear" w:color="auto" w:fill="auto"/>
            <w:tcMar>
              <w:top w:w="110" w:type="dxa"/>
            </w:tcMar>
          </w:tcPr>
          <w:p w:rsidR="00BC5A50" w:rsidRPr="00B6192E" w:rsidRDefault="00BC5A50" w:rsidP="00F54CA4">
            <w:pPr>
              <w:pStyle w:val="Default"/>
              <w:rPr>
                <w:rFonts w:eastAsia="Times New Roman"/>
                <w:color w:val="002060"/>
                <w:sz w:val="16"/>
                <w:szCs w:val="16"/>
                <w:lang w:eastAsia="en-US"/>
              </w:rPr>
            </w:pPr>
            <w:r w:rsidRPr="00B6192E">
              <w:rPr>
                <w:rFonts w:eastAsia="Times New Roman"/>
                <w:i/>
                <w:color w:val="002060"/>
                <w:sz w:val="16"/>
                <w:szCs w:val="16"/>
                <w:lang w:eastAsia="en-US"/>
              </w:rPr>
              <w:t xml:space="preserve">Defined Target: </w:t>
            </w:r>
            <w:r>
              <w:rPr>
                <w:rFonts w:eastAsia="Times New Roman"/>
                <w:i/>
                <w:color w:val="002060"/>
                <w:sz w:val="16"/>
                <w:szCs w:val="16"/>
                <w:lang w:eastAsia="en-US"/>
              </w:rPr>
              <w:t xml:space="preserve"> </w:t>
            </w:r>
            <w:r w:rsidRPr="00B6192E">
              <w:rPr>
                <w:rFonts w:eastAsia="Times New Roman"/>
                <w:color w:val="002060"/>
                <w:sz w:val="16"/>
                <w:szCs w:val="16"/>
                <w:lang w:eastAsia="en-US"/>
              </w:rPr>
              <w:t>3</w:t>
            </w:r>
          </w:p>
          <w:p w:rsidR="00BC5A50" w:rsidRPr="00080B68" w:rsidRDefault="00BC5A50" w:rsidP="00F54CA4">
            <w:pPr>
              <w:pStyle w:val="Default"/>
              <w:rPr>
                <w:rFonts w:eastAsia="Times New Roman"/>
                <w:color w:val="002060"/>
                <w:sz w:val="16"/>
                <w:szCs w:val="16"/>
                <w:lang w:eastAsia="en-US"/>
              </w:rPr>
            </w:pPr>
          </w:p>
          <w:p w:rsidR="00BC5A50" w:rsidRPr="00080B68" w:rsidRDefault="00BC5A50" w:rsidP="00F54CA4">
            <w:pPr>
              <w:rPr>
                <w:sz w:val="16"/>
                <w:szCs w:val="16"/>
                <w:lang w:bidi="th-TH"/>
              </w:rPr>
            </w:pPr>
            <w:r w:rsidRPr="00335775">
              <w:rPr>
                <w:i/>
                <w:sz w:val="16"/>
                <w:szCs w:val="16"/>
              </w:rPr>
              <w:t xml:space="preserve">Original Target P&amp;B 2014/15: </w:t>
            </w:r>
            <w:proofErr w:type="spellStart"/>
            <w:r w:rsidRPr="00335775">
              <w:rPr>
                <w:sz w:val="16"/>
                <w:szCs w:val="16"/>
              </w:rPr>
              <w:t>tbd</w:t>
            </w:r>
            <w:proofErr w:type="spellEnd"/>
          </w:p>
        </w:tc>
        <w:tc>
          <w:tcPr>
            <w:tcW w:w="2978" w:type="dxa"/>
            <w:tcBorders>
              <w:top w:val="nil"/>
              <w:left w:val="nil"/>
              <w:bottom w:val="single" w:sz="4" w:space="0" w:color="auto"/>
              <w:right w:val="nil"/>
            </w:tcBorders>
            <w:shd w:val="clear" w:color="auto" w:fill="FFFFFF"/>
            <w:tcMar>
              <w:top w:w="110" w:type="dxa"/>
            </w:tcMar>
          </w:tcPr>
          <w:p w:rsidR="00BC5A50" w:rsidRDefault="00BC5A50" w:rsidP="00F54CA4">
            <w:pPr>
              <w:rPr>
                <w:color w:val="000000" w:themeColor="text1"/>
                <w:sz w:val="16"/>
                <w:szCs w:val="16"/>
              </w:rPr>
            </w:pPr>
            <w:r>
              <w:rPr>
                <w:color w:val="000000" w:themeColor="text1"/>
                <w:sz w:val="16"/>
                <w:szCs w:val="16"/>
              </w:rPr>
              <w:t>Overall average: 2.9</w:t>
            </w:r>
          </w:p>
          <w:p w:rsidR="00BC5A50" w:rsidRPr="00022AC8" w:rsidRDefault="00BC5A50" w:rsidP="00520CAA">
            <w:pPr>
              <w:pStyle w:val="ListParagraph"/>
              <w:numPr>
                <w:ilvl w:val="0"/>
                <w:numId w:val="34"/>
              </w:numPr>
              <w:rPr>
                <w:color w:val="000000" w:themeColor="text1"/>
                <w:sz w:val="16"/>
                <w:szCs w:val="16"/>
              </w:rPr>
            </w:pPr>
            <w:r w:rsidRPr="00022AC8">
              <w:rPr>
                <w:color w:val="000000" w:themeColor="text1"/>
                <w:sz w:val="16"/>
                <w:szCs w:val="16"/>
              </w:rPr>
              <w:t>Africa: 3</w:t>
            </w:r>
          </w:p>
          <w:p w:rsidR="00BC5A50" w:rsidRPr="00022AC8" w:rsidRDefault="00BC5A50" w:rsidP="00520CAA">
            <w:pPr>
              <w:pStyle w:val="ListParagraph"/>
              <w:numPr>
                <w:ilvl w:val="0"/>
                <w:numId w:val="34"/>
              </w:numPr>
              <w:rPr>
                <w:color w:val="000000" w:themeColor="text1"/>
                <w:sz w:val="16"/>
                <w:szCs w:val="16"/>
              </w:rPr>
            </w:pPr>
            <w:r w:rsidRPr="00022AC8">
              <w:rPr>
                <w:color w:val="000000" w:themeColor="text1"/>
                <w:sz w:val="16"/>
                <w:szCs w:val="16"/>
              </w:rPr>
              <w:t>Arab: 2.7</w:t>
            </w:r>
          </w:p>
          <w:p w:rsidR="00BC5A50" w:rsidRPr="00022AC8" w:rsidRDefault="002C2CA1" w:rsidP="00520CAA">
            <w:pPr>
              <w:pStyle w:val="ListParagraph"/>
              <w:numPr>
                <w:ilvl w:val="0"/>
                <w:numId w:val="34"/>
              </w:numPr>
              <w:rPr>
                <w:color w:val="000000" w:themeColor="text1"/>
                <w:sz w:val="16"/>
                <w:szCs w:val="16"/>
              </w:rPr>
            </w:pPr>
            <w:r>
              <w:rPr>
                <w:color w:val="000000" w:themeColor="text1"/>
                <w:sz w:val="16"/>
                <w:szCs w:val="16"/>
              </w:rPr>
              <w:t>Asia and the Pacific</w:t>
            </w:r>
            <w:r w:rsidR="00BC5A50" w:rsidRPr="00022AC8">
              <w:rPr>
                <w:color w:val="000000" w:themeColor="text1"/>
                <w:sz w:val="16"/>
                <w:szCs w:val="16"/>
              </w:rPr>
              <w:t>: 2.7</w:t>
            </w:r>
          </w:p>
          <w:p w:rsidR="00BC5A50" w:rsidRPr="00022AC8" w:rsidRDefault="00BC5A50" w:rsidP="00520CAA">
            <w:pPr>
              <w:pStyle w:val="ListParagraph"/>
              <w:numPr>
                <w:ilvl w:val="0"/>
                <w:numId w:val="34"/>
              </w:numPr>
              <w:rPr>
                <w:color w:val="000000" w:themeColor="text1"/>
                <w:sz w:val="16"/>
                <w:szCs w:val="16"/>
              </w:rPr>
            </w:pPr>
            <w:r w:rsidRPr="00022AC8">
              <w:rPr>
                <w:color w:val="000000" w:themeColor="text1"/>
                <w:sz w:val="16"/>
                <w:szCs w:val="16"/>
              </w:rPr>
              <w:t>Latin America and the Caribbean: 3.1</w:t>
            </w:r>
          </w:p>
          <w:p w:rsidR="00BC5A50" w:rsidRPr="006B095B" w:rsidRDefault="00BC5A50" w:rsidP="00F54CA4">
            <w:pPr>
              <w:rPr>
                <w:sz w:val="16"/>
                <w:szCs w:val="16"/>
                <w:lang w:bidi="th-TH"/>
              </w:rPr>
            </w:pPr>
          </w:p>
        </w:tc>
        <w:tc>
          <w:tcPr>
            <w:tcW w:w="945" w:type="dxa"/>
            <w:tcBorders>
              <w:top w:val="nil"/>
              <w:left w:val="nil"/>
              <w:bottom w:val="single" w:sz="4" w:space="0" w:color="auto"/>
              <w:right w:val="single" w:sz="4" w:space="0" w:color="auto"/>
            </w:tcBorders>
            <w:shd w:val="clear" w:color="auto" w:fill="auto"/>
            <w:tcMar>
              <w:top w:w="110" w:type="dxa"/>
            </w:tcMar>
          </w:tcPr>
          <w:p w:rsidR="00BC5A50" w:rsidRPr="00F54CA4" w:rsidRDefault="00BC5A50" w:rsidP="00F54CA4">
            <w:pPr>
              <w:keepNext/>
              <w:keepLines/>
              <w:jc w:val="center"/>
              <w:rPr>
                <w:rFonts w:cs="Arial"/>
                <w:b/>
                <w:bCs/>
                <w:color w:val="00B050"/>
                <w:sz w:val="16"/>
                <w:szCs w:val="16"/>
              </w:rPr>
            </w:pPr>
            <w:r w:rsidRPr="00F54CA4">
              <w:rPr>
                <w:rStyle w:val="Style5"/>
                <w:rFonts w:ascii="Arial" w:hAnsi="Arial" w:cs="Arial"/>
                <w:b/>
                <w:color w:val="00B050"/>
                <w:sz w:val="16"/>
                <w:szCs w:val="16"/>
              </w:rPr>
              <w:t>On track</w:t>
            </w:r>
          </w:p>
        </w:tc>
      </w:tr>
    </w:tbl>
    <w:p w:rsidR="00F54CA4" w:rsidRPr="00716A48" w:rsidRDefault="00F54CA4" w:rsidP="00F54CA4">
      <w:pPr>
        <w:rPr>
          <w:bCs/>
        </w:rPr>
      </w:pPr>
    </w:p>
    <w:p w:rsidR="00F54CA4" w:rsidRDefault="00F54CA4">
      <w:pPr>
        <w:rPr>
          <w:color w:val="000000"/>
          <w:szCs w:val="22"/>
        </w:rPr>
      </w:pPr>
    </w:p>
    <w:p w:rsidR="00F54CA4" w:rsidRDefault="00F54CA4" w:rsidP="00BC5A50">
      <w:pPr>
        <w:keepNext/>
        <w:keepLines/>
        <w:rPr>
          <w:b/>
          <w:sz w:val="18"/>
          <w:szCs w:val="18"/>
        </w:rPr>
      </w:pPr>
      <w:r>
        <w:rPr>
          <w:color w:val="000000"/>
          <w:szCs w:val="22"/>
        </w:rPr>
        <w:lastRenderedPageBreak/>
        <w:t>RESOURCE UTILIZATION</w:t>
      </w:r>
      <w:r>
        <w:rPr>
          <w:color w:val="000000"/>
          <w:szCs w:val="22"/>
        </w:rPr>
        <w:tab/>
      </w:r>
    </w:p>
    <w:p w:rsidR="00F54CA4" w:rsidRPr="008F4A6D" w:rsidRDefault="00F54CA4" w:rsidP="00BC5A50">
      <w:pPr>
        <w:keepNext/>
        <w:keepLines/>
      </w:pPr>
    </w:p>
    <w:p w:rsidR="00F54CA4" w:rsidRPr="00383D2D" w:rsidRDefault="00F54CA4" w:rsidP="00BC5A50">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(by result) </w:t>
      </w:r>
    </w:p>
    <w:p w:rsidR="00F54CA4" w:rsidRPr="0015325B" w:rsidRDefault="00F54CA4" w:rsidP="00BC5A50">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F54CA4" w:rsidRDefault="00F54CA4" w:rsidP="00BC5A50">
      <w:pPr>
        <w:keepNext/>
        <w:keepLines/>
        <w:jc w:val="center"/>
        <w:rPr>
          <w:bCs/>
        </w:rPr>
      </w:pPr>
      <w:r w:rsidRPr="0015325B">
        <w:rPr>
          <w:noProof/>
        </w:rPr>
        <w:drawing>
          <wp:inline distT="0" distB="0" distL="0" distR="0" wp14:anchorId="65A628EB" wp14:editId="327CBA41">
            <wp:extent cx="5036189" cy="378477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034443" cy="3783461"/>
                    </a:xfrm>
                    <a:prstGeom prst="rect">
                      <a:avLst/>
                    </a:prstGeom>
                    <a:noFill/>
                    <a:ln>
                      <a:noFill/>
                    </a:ln>
                  </pic:spPr>
                </pic:pic>
              </a:graphicData>
            </a:graphic>
          </wp:inline>
        </w:drawing>
      </w:r>
    </w:p>
    <w:p w:rsidR="00F54CA4" w:rsidRDefault="00F54CA4" w:rsidP="00F54CA4">
      <w:pPr>
        <w:rPr>
          <w:bCs/>
        </w:rPr>
      </w:pPr>
    </w:p>
    <w:p w:rsidR="00F54CA4" w:rsidRDefault="00F54CA4">
      <w:pPr>
        <w:rPr>
          <w:color w:val="000000"/>
        </w:rPr>
      </w:pPr>
    </w:p>
    <w:p w:rsidR="00F54CA4" w:rsidRPr="00383D2D" w:rsidRDefault="00F54CA4" w:rsidP="00F54CA4">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F54CA4" w:rsidRPr="00383D2D" w:rsidRDefault="00F54CA4" w:rsidP="00F54CA4">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F54CA4" w:rsidRPr="0054303A" w:rsidRDefault="00F54CA4" w:rsidP="00F54CA4">
      <w:pPr>
        <w:rPr>
          <w:bCs/>
          <w:sz w:val="18"/>
        </w:rPr>
      </w:pPr>
    </w:p>
    <w:p w:rsidR="00F54CA4" w:rsidRDefault="00F54CA4" w:rsidP="00F54CA4">
      <w:pPr>
        <w:jc w:val="center"/>
        <w:rPr>
          <w:bCs/>
        </w:rPr>
      </w:pPr>
      <w:r w:rsidRPr="0015325B">
        <w:rPr>
          <w:noProof/>
        </w:rPr>
        <w:drawing>
          <wp:inline distT="0" distB="0" distL="0" distR="0" wp14:anchorId="76022541" wp14:editId="4B5C200E">
            <wp:extent cx="5606051" cy="12244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635818" cy="1230987"/>
                    </a:xfrm>
                    <a:prstGeom prst="rect">
                      <a:avLst/>
                    </a:prstGeom>
                    <a:noFill/>
                    <a:ln>
                      <a:noFill/>
                    </a:ln>
                  </pic:spPr>
                </pic:pic>
              </a:graphicData>
            </a:graphic>
          </wp:inline>
        </w:drawing>
      </w:r>
    </w:p>
    <w:p w:rsidR="00F54CA4" w:rsidRPr="008F4A6D" w:rsidRDefault="00F54CA4" w:rsidP="00F54CA4">
      <w:pPr>
        <w:widowControl w:val="0"/>
        <w:autoSpaceDE w:val="0"/>
        <w:autoSpaceDN w:val="0"/>
        <w:adjustRightInd w:val="0"/>
      </w:pPr>
      <w:r w:rsidRPr="007D76A5">
        <w:rPr>
          <w:i/>
          <w:sz w:val="16"/>
          <w:szCs w:val="16"/>
        </w:rPr>
        <w:t>NOTE: The 2014/15 Budget after Transfers reflects transfers as of March 31, 2015 to address needs during the 2014/15 biennium in line with Financial Regulation 5.5.</w:t>
      </w:r>
    </w:p>
    <w:p w:rsidR="00F54CA4" w:rsidRPr="001C6F4D" w:rsidRDefault="00F54CA4" w:rsidP="00F54CA4">
      <w:pPr>
        <w:widowControl w:val="0"/>
        <w:autoSpaceDE w:val="0"/>
        <w:autoSpaceDN w:val="0"/>
        <w:adjustRightInd w:val="0"/>
      </w:pPr>
    </w:p>
    <w:p w:rsidR="00F54CA4" w:rsidRPr="009C700B" w:rsidRDefault="00F54CA4" w:rsidP="00F54CA4">
      <w:pPr>
        <w:tabs>
          <w:tab w:val="left" w:pos="567"/>
        </w:tabs>
        <w:rPr>
          <w:u w:val="single"/>
        </w:rPr>
      </w:pPr>
      <w:r w:rsidRPr="009C700B">
        <w:t>A.</w:t>
      </w:r>
      <w:r>
        <w:tab/>
      </w:r>
      <w:r w:rsidRPr="009C700B">
        <w:rPr>
          <w:u w:val="single"/>
        </w:rPr>
        <w:t>Budget after Transfers 2014/15</w:t>
      </w:r>
    </w:p>
    <w:p w:rsidR="00F54CA4" w:rsidRDefault="00F54CA4" w:rsidP="00F54CA4">
      <w:pPr>
        <w:rPr>
          <w:u w:val="single"/>
        </w:rPr>
      </w:pPr>
    </w:p>
    <w:p w:rsidR="00F54CA4" w:rsidRDefault="00F54CA4" w:rsidP="00520CAA">
      <w:pPr>
        <w:pStyle w:val="ListParagraph"/>
        <w:numPr>
          <w:ilvl w:val="0"/>
          <w:numId w:val="36"/>
        </w:numPr>
        <w:tabs>
          <w:tab w:val="left" w:pos="709"/>
        </w:tabs>
        <w:ind w:left="0" w:firstLine="0"/>
        <w:contextualSpacing/>
        <w:jc w:val="both"/>
      </w:pPr>
      <w:r w:rsidRPr="0054303A">
        <w:rPr>
          <w:rFonts w:eastAsia="SimSun"/>
          <w:bCs/>
          <w:lang w:eastAsia="zh-CN"/>
        </w:rPr>
        <w:t>The</w:t>
      </w:r>
      <w:r>
        <w:t xml:space="preserve"> shift in resources between the Expected Results reflects enhanced focus on the facilitation and coordination of:  (</w:t>
      </w:r>
      <w:proofErr w:type="spellStart"/>
      <w:r>
        <w:t>i</w:t>
      </w:r>
      <w:proofErr w:type="spellEnd"/>
      <w:r>
        <w:t xml:space="preserve">) WIPO’s legislative advice activities in the area of patents, trademarks, industrial designs and copyright (reflected under Expected Result I.2); (ii) WIPO activities on the access to and use of IP information through the increased number of sustainable national TISC networks (reflected under Expected Result IV.2) and (iii) efforts to assist IP Offices and other IP institutions to develop their technical and knowledge infrastructure (reflected under Expected Result IV.4). </w:t>
      </w:r>
    </w:p>
    <w:p w:rsidR="00F54CA4" w:rsidRPr="005E0786" w:rsidRDefault="00F54CA4" w:rsidP="00F54CA4"/>
    <w:p w:rsidR="00F54CA4" w:rsidRPr="004F3E47" w:rsidRDefault="00F54CA4" w:rsidP="00F54CA4">
      <w:pPr>
        <w:tabs>
          <w:tab w:val="left" w:pos="567"/>
        </w:tabs>
        <w:rPr>
          <w:u w:val="single"/>
        </w:rPr>
      </w:pPr>
      <w:r w:rsidRPr="00907AF3">
        <w:t>B</w:t>
      </w:r>
      <w:r w:rsidRPr="009C700B">
        <w:t>.</w:t>
      </w:r>
      <w:r>
        <w:tab/>
      </w:r>
      <w:r w:rsidRPr="004F3E47">
        <w:rPr>
          <w:u w:val="single"/>
        </w:rPr>
        <w:t>Budget Utilization 2014/15</w:t>
      </w:r>
    </w:p>
    <w:p w:rsidR="00F54CA4" w:rsidRPr="00907AF3" w:rsidRDefault="00F54CA4" w:rsidP="00F54CA4"/>
    <w:p w:rsidR="00F54CA4" w:rsidRPr="00907AF3" w:rsidRDefault="00F54CA4" w:rsidP="00520CAA">
      <w:pPr>
        <w:pStyle w:val="ListParagraph"/>
        <w:numPr>
          <w:ilvl w:val="0"/>
          <w:numId w:val="36"/>
        </w:numPr>
        <w:tabs>
          <w:tab w:val="left" w:pos="709"/>
        </w:tabs>
        <w:ind w:left="0" w:firstLine="0"/>
        <w:contextualSpacing/>
        <w:jc w:val="both"/>
      </w:pPr>
      <w:r w:rsidRPr="00907AF3">
        <w:t>The lower than anticipated utilization rate of non-personnel resources was primarily due to the postponement or cancellation of certain planned events/activities at the request of certain Member States or in compliance with UN security guidelines.</w:t>
      </w:r>
    </w:p>
    <w:p w:rsidR="00B11299" w:rsidRDefault="00B11299"/>
    <w:p w:rsidR="00B11299" w:rsidRPr="001243AF" w:rsidRDefault="00B11299" w:rsidP="00B11299">
      <w:pPr>
        <w:pStyle w:val="Heading2"/>
        <w:tabs>
          <w:tab w:val="clear" w:pos="567"/>
          <w:tab w:val="left" w:pos="1985"/>
          <w:tab w:val="left" w:pos="2268"/>
        </w:tabs>
        <w:ind w:left="1985" w:hanging="1985"/>
      </w:pPr>
      <w:bookmarkStart w:id="65" w:name="_Toc422210492"/>
      <w:r w:rsidRPr="001243AF">
        <w:lastRenderedPageBreak/>
        <w:t>PROGRAM 1</w:t>
      </w:r>
      <w:r>
        <w:t>0</w:t>
      </w:r>
      <w:r>
        <w:tab/>
        <w:t>COOPERATIONS WITH CERTAIN COUNTRIES IN EUROPE AND ASIA</w:t>
      </w:r>
      <w:bookmarkEnd w:id="65"/>
    </w:p>
    <w:p w:rsidR="00B11299" w:rsidRPr="00383D2D" w:rsidRDefault="00B11299" w:rsidP="00B11299">
      <w:pPr>
        <w:rPr>
          <w:szCs w:val="20"/>
        </w:rPr>
      </w:pPr>
    </w:p>
    <w:p w:rsidR="00B11299" w:rsidRPr="000C286E" w:rsidRDefault="00B11299" w:rsidP="00B11299">
      <w:pPr>
        <w:tabs>
          <w:tab w:val="left" w:pos="1985"/>
        </w:tabs>
        <w:rPr>
          <w:sz w:val="18"/>
          <w:szCs w:val="20"/>
        </w:rPr>
      </w:pPr>
      <w:r w:rsidRPr="000C286E">
        <w:rPr>
          <w:b/>
          <w:szCs w:val="22"/>
        </w:rPr>
        <w:t>Program Manager</w:t>
      </w:r>
      <w:r w:rsidRPr="000C286E">
        <w:rPr>
          <w:b/>
          <w:szCs w:val="22"/>
        </w:rPr>
        <w:tab/>
        <w:t>Director General</w:t>
      </w:r>
    </w:p>
    <w:p w:rsidR="00B11299" w:rsidRDefault="00B11299" w:rsidP="00B11299">
      <w:pPr>
        <w:jc w:val="both"/>
        <w:rPr>
          <w:rFonts w:cs="Arial"/>
          <w:szCs w:val="20"/>
        </w:rPr>
      </w:pPr>
    </w:p>
    <w:p w:rsidR="00F153C1" w:rsidRDefault="00F153C1" w:rsidP="00FD7155">
      <w:pPr>
        <w:jc w:val="both"/>
        <w:rPr>
          <w:rFonts w:cs="Arial"/>
          <w:szCs w:val="20"/>
        </w:rPr>
      </w:pPr>
    </w:p>
    <w:p w:rsidR="00F153C1" w:rsidRDefault="00F153C1" w:rsidP="00FD7155">
      <w:pPr>
        <w:rPr>
          <w:bCs/>
          <w:sz w:val="22"/>
          <w:szCs w:val="22"/>
        </w:rPr>
      </w:pPr>
      <w:r>
        <w:rPr>
          <w:bCs/>
          <w:sz w:val="22"/>
          <w:szCs w:val="22"/>
        </w:rPr>
        <w:t>OVERVIEW OF PROGRESS IN 2014</w:t>
      </w:r>
    </w:p>
    <w:p w:rsidR="00F153C1" w:rsidRPr="00383D2D" w:rsidRDefault="00F153C1" w:rsidP="00F153C1">
      <w:pPr>
        <w:jc w:val="both"/>
        <w:rPr>
          <w:rFonts w:cs="Arial"/>
          <w:szCs w:val="20"/>
        </w:rPr>
      </w:pPr>
    </w:p>
    <w:p w:rsidR="00F153C1" w:rsidRPr="000C286E" w:rsidRDefault="00F153C1" w:rsidP="00F153C1">
      <w:pPr>
        <w:pStyle w:val="ListParagraph"/>
        <w:numPr>
          <w:ilvl w:val="0"/>
          <w:numId w:val="74"/>
        </w:numPr>
        <w:tabs>
          <w:tab w:val="left" w:pos="709"/>
        </w:tabs>
        <w:ind w:left="0" w:firstLine="0"/>
        <w:jc w:val="both"/>
        <w:rPr>
          <w:color w:val="000000"/>
        </w:rPr>
      </w:pPr>
      <w:r w:rsidRPr="000C286E">
        <w:rPr>
          <w:color w:val="000000"/>
        </w:rPr>
        <w:t xml:space="preserve">Program 10 continued to develop, and in cooperation with all relevant Sectors, coordinate the implementation of country cooperation activities in countries in transition.  To this end, efforts in 2014 were focused on a strategic multi-year planning approach to promoting the use of the IP system to stimulate innovation and creativity for economic, social and cultural development. </w:t>
      </w:r>
    </w:p>
    <w:p w:rsidR="00F153C1" w:rsidRDefault="00F153C1" w:rsidP="00F153C1">
      <w:pPr>
        <w:tabs>
          <w:tab w:val="left" w:pos="709"/>
        </w:tabs>
        <w:jc w:val="both"/>
        <w:rPr>
          <w:color w:val="000000"/>
        </w:rPr>
      </w:pPr>
    </w:p>
    <w:p w:rsidR="00F153C1" w:rsidRPr="000C286E" w:rsidRDefault="00F153C1" w:rsidP="00F153C1">
      <w:pPr>
        <w:pStyle w:val="ListParagraph"/>
        <w:numPr>
          <w:ilvl w:val="0"/>
          <w:numId w:val="74"/>
        </w:numPr>
        <w:tabs>
          <w:tab w:val="left" w:pos="709"/>
        </w:tabs>
        <w:ind w:left="0" w:firstLine="0"/>
        <w:jc w:val="both"/>
        <w:rPr>
          <w:rFonts w:ascii="Times New Roman" w:hAnsi="Times New Roman"/>
          <w:sz w:val="24"/>
        </w:rPr>
      </w:pPr>
      <w:r w:rsidRPr="000C286E">
        <w:rPr>
          <w:color w:val="000000"/>
        </w:rPr>
        <w:t xml:space="preserve">Promotion of the importance of and/or assistance in the development and implementation of long-term and comprehensive national IP strategies to meet the needs of Member States remained a priority in 2014.  Three countries (Slovenia, Tajikistan and Turkey) adopted IP related national strategies and four countries (Bulgaria, Poland, Turkmenistan and Ukraine) initiated the development of a new strategy.  Moreover, the Program conducted post-implementation evaluations in three countries (Belarus, the Republic of Moldova and Serbia) in 2014 in order to assess the outcomes of implementation of the IP strategies and to identify lessons learned. </w:t>
      </w:r>
    </w:p>
    <w:p w:rsidR="00F153C1" w:rsidRDefault="00F153C1" w:rsidP="00F153C1">
      <w:pPr>
        <w:tabs>
          <w:tab w:val="left" w:pos="709"/>
        </w:tabs>
        <w:jc w:val="both"/>
        <w:rPr>
          <w:rFonts w:cs="Arial"/>
          <w:szCs w:val="20"/>
        </w:rPr>
      </w:pPr>
    </w:p>
    <w:p w:rsidR="00F153C1" w:rsidRDefault="00F153C1" w:rsidP="00F153C1">
      <w:pPr>
        <w:pStyle w:val="ListParagraph"/>
        <w:numPr>
          <w:ilvl w:val="0"/>
          <w:numId w:val="74"/>
        </w:numPr>
        <w:tabs>
          <w:tab w:val="left" w:pos="709"/>
        </w:tabs>
        <w:autoSpaceDE w:val="0"/>
        <w:autoSpaceDN w:val="0"/>
        <w:ind w:left="0" w:firstLine="0"/>
        <w:jc w:val="both"/>
      </w:pPr>
      <w:r>
        <w:t xml:space="preserve">In line with cooperation plans and national IP strategies and, following WIPO assistance, including promotional activities, five countries (Kazakhstan, Lithuania, Montenegro, Republic of Moldova, </w:t>
      </w:r>
      <w:proofErr w:type="gramStart"/>
      <w:r>
        <w:t>Tajikistan</w:t>
      </w:r>
      <w:proofErr w:type="gramEnd"/>
      <w:r>
        <w:t xml:space="preserve">) amended their national IP legislation.  Progress was slower than anticipated in certain countries, however, due to political and economic changes.  In line with the Program’s risk mitigation plan, close cooperation with the relevant stakeholders was maintained throughout the year, and a flexible approach in the development and/or implementation of cooperation plans allowed for postponement of certain activities and close monitoring of the situation. </w:t>
      </w:r>
    </w:p>
    <w:p w:rsidR="00F153C1" w:rsidRDefault="00F153C1" w:rsidP="00FD7155">
      <w:pPr>
        <w:tabs>
          <w:tab w:val="left" w:pos="709"/>
        </w:tabs>
        <w:autoSpaceDE w:val="0"/>
        <w:autoSpaceDN w:val="0"/>
        <w:jc w:val="both"/>
      </w:pPr>
    </w:p>
    <w:p w:rsidR="00F153C1" w:rsidRPr="00A42092" w:rsidRDefault="00F153C1" w:rsidP="00F153C1">
      <w:pPr>
        <w:pStyle w:val="ListParagraph"/>
        <w:numPr>
          <w:ilvl w:val="0"/>
          <w:numId w:val="74"/>
        </w:numPr>
        <w:tabs>
          <w:tab w:val="left" w:pos="709"/>
        </w:tabs>
        <w:autoSpaceDE w:val="0"/>
        <w:autoSpaceDN w:val="0"/>
        <w:ind w:left="0" w:firstLine="0"/>
        <w:jc w:val="both"/>
      </w:pPr>
      <w:r>
        <w:t xml:space="preserve">In order to support the development of IP policies in universities, relevant projects and activities were implemented in Estonia, Lithuania, Poland, Russian Federation, Slovakia and Uzbekistan.  With WIPO assistance, one university in the Russian Federation and one university in Uzbekistan </w:t>
      </w:r>
      <w:r w:rsidRPr="00A42092">
        <w:t>developed IP policies</w:t>
      </w:r>
      <w:r>
        <w:t xml:space="preserve"> in 2014.  In addition, o</w:t>
      </w:r>
      <w:r w:rsidRPr="00A42092">
        <w:t>n October 1, 2014, Poland adopted a Law on Higher Education, which made it obligatory for all higher education</w:t>
      </w:r>
      <w:r>
        <w:t>al</w:t>
      </w:r>
      <w:r w:rsidRPr="00A42092">
        <w:t xml:space="preserve"> institutions </w:t>
      </w:r>
      <w:proofErr w:type="gramStart"/>
      <w:r w:rsidRPr="00A42092">
        <w:t>(120 public and 294 non-public)</w:t>
      </w:r>
      <w:proofErr w:type="gramEnd"/>
      <w:r w:rsidRPr="00A42092">
        <w:t xml:space="preserve"> to have in place an up-to-date IP policy by March 31, 2015.  </w:t>
      </w:r>
      <w:r>
        <w:t xml:space="preserve">At the end of 2014, 148 universities had already developed IP policies.  </w:t>
      </w:r>
    </w:p>
    <w:p w:rsidR="00F153C1" w:rsidRDefault="00F153C1" w:rsidP="00FD7155">
      <w:pPr>
        <w:tabs>
          <w:tab w:val="left" w:pos="709"/>
        </w:tabs>
        <w:autoSpaceDE w:val="0"/>
        <w:autoSpaceDN w:val="0"/>
        <w:jc w:val="both"/>
      </w:pPr>
    </w:p>
    <w:p w:rsidR="00F153C1" w:rsidRDefault="00F153C1" w:rsidP="00F153C1">
      <w:pPr>
        <w:pStyle w:val="ListParagraph"/>
        <w:numPr>
          <w:ilvl w:val="0"/>
          <w:numId w:val="74"/>
        </w:numPr>
        <w:tabs>
          <w:tab w:val="left" w:pos="709"/>
        </w:tabs>
        <w:autoSpaceDE w:val="0"/>
        <w:autoSpaceDN w:val="0"/>
        <w:ind w:left="0" w:firstLine="0"/>
        <w:jc w:val="both"/>
      </w:pPr>
      <w:r>
        <w:t xml:space="preserve">The Program continued to support countries in transition in building their national human resource capacities and enhancing awareness and the knowledge base for an effective use of IP.  In 2014, more than 3,400 specialists and experts were trained in tailored IP programs, including on technology transfer, SMEs, enforcement, copyright, IP teaching and WIPO services. Participants in these events provided positive feedback with 80 percent of respondents reporting that the trainings met their objectives and resulted in the upgrading of their day-to-day work skills. </w:t>
      </w:r>
    </w:p>
    <w:p w:rsidR="00F153C1" w:rsidRDefault="00F153C1" w:rsidP="00FD7155">
      <w:pPr>
        <w:tabs>
          <w:tab w:val="left" w:pos="709"/>
        </w:tabs>
        <w:autoSpaceDE w:val="0"/>
        <w:autoSpaceDN w:val="0"/>
        <w:jc w:val="both"/>
      </w:pPr>
    </w:p>
    <w:p w:rsidR="00F153C1" w:rsidRDefault="00F153C1" w:rsidP="00F153C1">
      <w:pPr>
        <w:pStyle w:val="ListParagraph"/>
        <w:numPr>
          <w:ilvl w:val="0"/>
          <w:numId w:val="74"/>
        </w:numPr>
        <w:tabs>
          <w:tab w:val="left" w:pos="709"/>
        </w:tabs>
        <w:autoSpaceDE w:val="0"/>
        <w:autoSpaceDN w:val="0"/>
        <w:ind w:left="0" w:firstLine="0"/>
        <w:jc w:val="both"/>
      </w:pPr>
      <w:r w:rsidRPr="009A2E18">
        <w:t xml:space="preserve">WIPO Summer schools were organized in </w:t>
      </w:r>
      <w:r>
        <w:t xml:space="preserve">Croatia and the </w:t>
      </w:r>
      <w:r w:rsidRPr="009A2E18">
        <w:t>Russian Fed</w:t>
      </w:r>
      <w:r>
        <w:t xml:space="preserve">eration. </w:t>
      </w:r>
    </w:p>
    <w:p w:rsidR="00F153C1" w:rsidRDefault="00F153C1" w:rsidP="00FD7155">
      <w:pPr>
        <w:tabs>
          <w:tab w:val="left" w:pos="709"/>
        </w:tabs>
        <w:jc w:val="both"/>
      </w:pPr>
    </w:p>
    <w:p w:rsidR="00F153C1" w:rsidRDefault="00F153C1" w:rsidP="00F153C1">
      <w:pPr>
        <w:pStyle w:val="ListParagraph"/>
        <w:numPr>
          <w:ilvl w:val="0"/>
          <w:numId w:val="74"/>
        </w:numPr>
        <w:tabs>
          <w:tab w:val="left" w:pos="709"/>
        </w:tabs>
        <w:ind w:left="0" w:firstLine="0"/>
        <w:jc w:val="both"/>
      </w:pPr>
      <w:r>
        <w:t xml:space="preserve">With a view to mainstreaming </w:t>
      </w:r>
      <w:r w:rsidRPr="009A2E18">
        <w:t xml:space="preserve">gender </w:t>
      </w:r>
      <w:r>
        <w:t xml:space="preserve">perspectives into the work of the Program, the excellent cooperation established with the World Women Inventors and Entrepreneurs Association (WWIEA) continued in 2014 and resulted in the co-organization of the International Educational Program on Idea, Invention, Innovation and Intellectual Property – Seed Project 2014, an effective training program for women in Central Asia, in November.  In addition, the Seventh International Conference on Innovation and Creativity of Women, which gathered around 150 participants from 20 countries, was successfully organized in Warsaw, Poland in March.   </w:t>
      </w:r>
    </w:p>
    <w:p w:rsidR="00F153C1" w:rsidRDefault="00F153C1" w:rsidP="00FD7155">
      <w:pPr>
        <w:tabs>
          <w:tab w:val="left" w:pos="709"/>
        </w:tabs>
        <w:jc w:val="both"/>
      </w:pPr>
    </w:p>
    <w:p w:rsidR="00F153C1" w:rsidRPr="000C286E" w:rsidRDefault="00F153C1" w:rsidP="00F153C1">
      <w:pPr>
        <w:pStyle w:val="ListParagraph"/>
        <w:numPr>
          <w:ilvl w:val="0"/>
          <w:numId w:val="74"/>
        </w:numPr>
        <w:tabs>
          <w:tab w:val="left" w:pos="709"/>
        </w:tabs>
        <w:ind w:left="0" w:firstLine="0"/>
        <w:jc w:val="both"/>
        <w:rPr>
          <w:rFonts w:cs="Arial"/>
        </w:rPr>
      </w:pPr>
      <w:r w:rsidRPr="000C286E">
        <w:rPr>
          <w:rFonts w:cs="Arial"/>
        </w:rPr>
        <w:t xml:space="preserve">The Program continued to strengthen efforts to improve the coordination, promotion and delivery of WIPO services, with the objective to increase their use in transition and developed countries.  </w:t>
      </w:r>
    </w:p>
    <w:p w:rsidR="00F153C1" w:rsidRDefault="00F153C1" w:rsidP="00FD7155">
      <w:pPr>
        <w:tabs>
          <w:tab w:val="left" w:pos="709"/>
        </w:tabs>
        <w:jc w:val="both"/>
        <w:rPr>
          <w:rFonts w:cs="Arial"/>
          <w:szCs w:val="20"/>
        </w:rPr>
      </w:pPr>
    </w:p>
    <w:p w:rsidR="00F153C1" w:rsidRPr="000C286E" w:rsidRDefault="00F153C1" w:rsidP="00F153C1">
      <w:pPr>
        <w:pStyle w:val="ListParagraph"/>
        <w:numPr>
          <w:ilvl w:val="0"/>
          <w:numId w:val="74"/>
        </w:numPr>
        <w:tabs>
          <w:tab w:val="left" w:pos="709"/>
        </w:tabs>
        <w:ind w:left="0" w:firstLine="0"/>
        <w:jc w:val="both"/>
        <w:rPr>
          <w:rFonts w:cs="Arial"/>
        </w:rPr>
      </w:pPr>
      <w:r w:rsidRPr="000C286E">
        <w:rPr>
          <w:rFonts w:cs="Arial"/>
        </w:rPr>
        <w:t>In 2014, some 1,320 professionals from 11 countries (Austria, Germany, Ireland, Italy, Japan, Luxembourg, Netherlands</w:t>
      </w:r>
      <w:r>
        <w:rPr>
          <w:rFonts w:cs="Arial"/>
        </w:rPr>
        <w:t>,</w:t>
      </w:r>
      <w:r w:rsidRPr="000C286E">
        <w:rPr>
          <w:rFonts w:cs="Arial"/>
        </w:rPr>
        <w:t xml:space="preserve"> Portugal, Sweden, United Kingdom and United States of America) attended 21 Roving Seminars on WIPO Services and Initiatives.  The seminars were highly perceived with 88 per cent of respondents either agreeing or strongly agreeing that the seminars were relevant for their </w:t>
      </w:r>
      <w:r w:rsidRPr="000C286E">
        <w:rPr>
          <w:rFonts w:cs="Arial"/>
        </w:rPr>
        <w:lastRenderedPageBreak/>
        <w:t xml:space="preserve">professional work.  The format of the Roving Seminars evolved in 2014 to enable greater interaction with local stakeholders, with a view to creating synergies amongst a broader group. </w:t>
      </w:r>
    </w:p>
    <w:p w:rsidR="00F153C1" w:rsidRDefault="00F153C1" w:rsidP="00FD7155">
      <w:pPr>
        <w:tabs>
          <w:tab w:val="left" w:pos="709"/>
        </w:tabs>
        <w:jc w:val="both"/>
        <w:rPr>
          <w:rFonts w:cs="Arial"/>
          <w:szCs w:val="20"/>
        </w:rPr>
      </w:pPr>
    </w:p>
    <w:p w:rsidR="00F153C1" w:rsidRPr="000C286E" w:rsidRDefault="00F153C1" w:rsidP="00F153C1">
      <w:pPr>
        <w:pStyle w:val="ListParagraph"/>
        <w:numPr>
          <w:ilvl w:val="0"/>
          <w:numId w:val="74"/>
        </w:numPr>
        <w:tabs>
          <w:tab w:val="left" w:pos="709"/>
        </w:tabs>
        <w:ind w:left="0" w:firstLine="0"/>
        <w:jc w:val="both"/>
        <w:rPr>
          <w:rFonts w:cs="Arial"/>
        </w:rPr>
      </w:pPr>
      <w:r w:rsidRPr="000C286E">
        <w:rPr>
          <w:rFonts w:cs="Arial"/>
        </w:rPr>
        <w:t xml:space="preserve">Efforts were increased to strengthen institutional ties and promote partnerships with stakeholders in transition and developed countries, including regional Organizations, IP Offices, NGOs and trade associations representing users of WIPO services.  To this end, </w:t>
      </w:r>
      <w:r>
        <w:rPr>
          <w:rFonts w:cs="Arial"/>
        </w:rPr>
        <w:t xml:space="preserve">the Program welcomed numerous visits of stakeholders from the countries concerned and facilitated WIPO briefings on different issues of interest. A number of scoping missions were organized to better evaluate the needs and requests from the countries concerned and </w:t>
      </w:r>
      <w:r w:rsidRPr="000C286E">
        <w:rPr>
          <w:rFonts w:cs="Arial"/>
        </w:rPr>
        <w:t>four new Memoranda of Understanding (</w:t>
      </w:r>
      <w:proofErr w:type="spellStart"/>
      <w:r w:rsidRPr="000C286E">
        <w:rPr>
          <w:rFonts w:cs="Arial"/>
        </w:rPr>
        <w:t>MoUs</w:t>
      </w:r>
      <w:proofErr w:type="spellEnd"/>
      <w:r w:rsidRPr="000C286E">
        <w:rPr>
          <w:rFonts w:cs="Arial"/>
        </w:rPr>
        <w:t xml:space="preserve">) were </w:t>
      </w:r>
      <w:r>
        <w:rPr>
          <w:rFonts w:cs="Arial"/>
        </w:rPr>
        <w:t xml:space="preserve">agreed </w:t>
      </w:r>
      <w:r w:rsidRPr="000C286E">
        <w:rPr>
          <w:rFonts w:cs="Arial"/>
        </w:rPr>
        <w:t xml:space="preserve">in 2014 with </w:t>
      </w:r>
      <w:r>
        <w:rPr>
          <w:rFonts w:cs="Arial"/>
        </w:rPr>
        <w:t xml:space="preserve">stakeholders from </w:t>
      </w:r>
      <w:r w:rsidRPr="000C286E">
        <w:rPr>
          <w:rFonts w:cs="Arial"/>
        </w:rPr>
        <w:t xml:space="preserve">Denmark, Germany, Israel and Spain. </w:t>
      </w:r>
    </w:p>
    <w:p w:rsidR="00F153C1" w:rsidRDefault="00F153C1" w:rsidP="00FD7155">
      <w:pPr>
        <w:tabs>
          <w:tab w:val="left" w:pos="709"/>
        </w:tabs>
        <w:autoSpaceDE w:val="0"/>
        <w:autoSpaceDN w:val="0"/>
        <w:jc w:val="both"/>
      </w:pPr>
    </w:p>
    <w:p w:rsidR="00F153C1" w:rsidRDefault="00F153C1" w:rsidP="00F153C1">
      <w:pPr>
        <w:pStyle w:val="ListParagraph"/>
        <w:numPr>
          <w:ilvl w:val="0"/>
          <w:numId w:val="74"/>
        </w:numPr>
        <w:tabs>
          <w:tab w:val="left" w:pos="709"/>
        </w:tabs>
        <w:autoSpaceDE w:val="0"/>
        <w:autoSpaceDN w:val="0"/>
        <w:ind w:left="0" w:firstLine="0"/>
        <w:jc w:val="both"/>
      </w:pPr>
      <w:r w:rsidRPr="00AB117F">
        <w:t>Program 10 continued to play a key role in the implementation of the WIPO DA in its cooperation with certain countries in Europe and Asia.  This was particularly the case for DA Recommendations relating to WIPO’s technical assistance and capacity building activities, the Recommendations under Cluster A, which continued to shape the design and implementation of activities under Program 10.</w:t>
      </w:r>
    </w:p>
    <w:p w:rsidR="00F153C1" w:rsidRDefault="00F153C1" w:rsidP="00FD7155">
      <w:pPr>
        <w:tabs>
          <w:tab w:val="left" w:pos="709"/>
        </w:tabs>
        <w:jc w:val="both"/>
        <w:rPr>
          <w:rFonts w:cs="Arial"/>
          <w:sz w:val="22"/>
          <w:szCs w:val="22"/>
        </w:rPr>
      </w:pPr>
    </w:p>
    <w:p w:rsidR="00F153C1" w:rsidRDefault="00F153C1" w:rsidP="00FD7155">
      <w:pPr>
        <w:ind w:left="2268" w:hanging="2268"/>
        <w:jc w:val="both"/>
        <w:rPr>
          <w:rFonts w:cs="Arial"/>
          <w:sz w:val="22"/>
          <w:szCs w:val="22"/>
        </w:rPr>
      </w:pPr>
    </w:p>
    <w:p w:rsidR="00F153C1" w:rsidRPr="0027745B" w:rsidRDefault="00F153C1" w:rsidP="00FD7155">
      <w:pPr>
        <w:ind w:left="2268" w:hanging="2268"/>
        <w:rPr>
          <w:rFonts w:cs="Arial"/>
          <w:sz w:val="22"/>
          <w:szCs w:val="22"/>
        </w:rPr>
      </w:pPr>
      <w:r w:rsidRPr="0027745B">
        <w:rPr>
          <w:rFonts w:cs="Arial"/>
          <w:sz w:val="22"/>
          <w:szCs w:val="22"/>
        </w:rPr>
        <w:t>PERFORMANCE DATA</w:t>
      </w:r>
    </w:p>
    <w:p w:rsidR="00F153C1" w:rsidRDefault="00F153C1" w:rsidP="00A8525E">
      <w:pPr>
        <w:rPr>
          <w:b/>
          <w:szCs w:val="20"/>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2412"/>
        <w:gridCol w:w="1561"/>
        <w:gridCol w:w="2416"/>
        <w:gridCol w:w="982"/>
      </w:tblGrid>
      <w:tr w:rsidR="00F153C1" w:rsidRPr="001656CD" w:rsidTr="00F153C1">
        <w:trPr>
          <w:cantSplit/>
          <w:trHeight w:val="441"/>
        </w:trPr>
        <w:tc>
          <w:tcPr>
            <w:tcW w:w="5000" w:type="pct"/>
            <w:gridSpan w:val="5"/>
            <w:tcBorders>
              <w:top w:val="single" w:sz="4" w:space="0" w:color="auto"/>
              <w:bottom w:val="single" w:sz="4" w:space="0" w:color="auto"/>
            </w:tcBorders>
            <w:shd w:val="clear" w:color="auto" w:fill="CCFFFF"/>
            <w:vAlign w:val="center"/>
          </w:tcPr>
          <w:p w:rsidR="00F153C1" w:rsidRPr="001656CD" w:rsidRDefault="00F153C1" w:rsidP="00FD7155">
            <w:pPr>
              <w:keepNext/>
              <w:keepLines/>
              <w:tabs>
                <w:tab w:val="left" w:pos="1452"/>
              </w:tabs>
              <w:ind w:left="1452" w:hanging="1452"/>
              <w:rPr>
                <w:rFonts w:cs="Arial"/>
                <w:b/>
                <w:bCs/>
                <w:sz w:val="16"/>
                <w:szCs w:val="16"/>
              </w:rPr>
            </w:pPr>
            <w:r w:rsidRPr="001656CD">
              <w:rPr>
                <w:rFonts w:cs="Arial"/>
                <w:b/>
                <w:bCs/>
                <w:sz w:val="16"/>
                <w:szCs w:val="16"/>
              </w:rPr>
              <w:t>Expected Result:</w:t>
            </w:r>
            <w:r w:rsidRPr="001656CD">
              <w:rPr>
                <w:rFonts w:cs="Arial"/>
                <w:b/>
                <w:bCs/>
                <w:sz w:val="16"/>
                <w:szCs w:val="16"/>
              </w:rPr>
              <w:tab/>
            </w:r>
            <w:r w:rsidRPr="00C5428C">
              <w:rPr>
                <w:rFonts w:cs="Arial"/>
                <w:sz w:val="16"/>
                <w:szCs w:val="16"/>
                <w:lang w:bidi="th-TH"/>
              </w:rPr>
              <w:t>I.2 Tailored and balanced IP legislative, regulatory and policy frameworks</w:t>
            </w:r>
          </w:p>
        </w:tc>
      </w:tr>
      <w:tr w:rsidR="00F153C1" w:rsidRPr="001656CD" w:rsidTr="00F153C1">
        <w:trPr>
          <w:cantSplit/>
        </w:trPr>
        <w:tc>
          <w:tcPr>
            <w:tcW w:w="1119" w:type="pct"/>
            <w:tcBorders>
              <w:top w:val="single" w:sz="4" w:space="0" w:color="auto"/>
            </w:tcBorders>
            <w:shd w:val="clear" w:color="auto" w:fill="auto"/>
            <w:vAlign w:val="center"/>
          </w:tcPr>
          <w:p w:rsidR="00F153C1" w:rsidRPr="001656CD" w:rsidRDefault="00F153C1" w:rsidP="00FD7155">
            <w:pPr>
              <w:rPr>
                <w:rFonts w:cs="Arial"/>
                <w:sz w:val="16"/>
                <w:szCs w:val="16"/>
              </w:rPr>
            </w:pPr>
            <w:r w:rsidRPr="001656CD">
              <w:rPr>
                <w:rFonts w:cs="Arial"/>
                <w:b/>
                <w:bCs/>
                <w:sz w:val="16"/>
                <w:szCs w:val="16"/>
              </w:rPr>
              <w:t>Performance Indicators</w:t>
            </w:r>
          </w:p>
        </w:tc>
        <w:tc>
          <w:tcPr>
            <w:tcW w:w="1270" w:type="pct"/>
            <w:tcBorders>
              <w:top w:val="single" w:sz="4" w:space="0" w:color="auto"/>
            </w:tcBorders>
            <w:shd w:val="clear" w:color="auto" w:fill="auto"/>
            <w:vAlign w:val="center"/>
          </w:tcPr>
          <w:p w:rsidR="00F153C1" w:rsidRPr="001656CD" w:rsidRDefault="00F153C1" w:rsidP="00FD7155">
            <w:pPr>
              <w:rPr>
                <w:rFonts w:cs="Arial"/>
                <w:b/>
                <w:bCs/>
                <w:sz w:val="16"/>
                <w:szCs w:val="16"/>
              </w:rPr>
            </w:pPr>
            <w:r w:rsidRPr="00083772">
              <w:rPr>
                <w:rFonts w:cs="Arial"/>
                <w:b/>
                <w:bCs/>
                <w:sz w:val="16"/>
                <w:szCs w:val="16"/>
              </w:rPr>
              <w:t>Baselines</w:t>
            </w:r>
          </w:p>
        </w:tc>
        <w:tc>
          <w:tcPr>
            <w:tcW w:w="822" w:type="pct"/>
            <w:tcBorders>
              <w:top w:val="single" w:sz="4" w:space="0" w:color="auto"/>
            </w:tcBorders>
            <w:shd w:val="clear" w:color="auto" w:fill="auto"/>
            <w:tcMar>
              <w:top w:w="110" w:type="dxa"/>
            </w:tcMar>
            <w:vAlign w:val="center"/>
          </w:tcPr>
          <w:p w:rsidR="00F153C1" w:rsidRPr="00083772" w:rsidRDefault="00F153C1" w:rsidP="00FD7155">
            <w:pPr>
              <w:rPr>
                <w:rFonts w:cs="Arial"/>
                <w:b/>
                <w:sz w:val="16"/>
                <w:szCs w:val="16"/>
              </w:rPr>
            </w:pPr>
            <w:r w:rsidRPr="00083772">
              <w:rPr>
                <w:rFonts w:cs="Arial"/>
                <w:b/>
                <w:sz w:val="16"/>
                <w:szCs w:val="16"/>
              </w:rPr>
              <w:t>Target</w:t>
            </w:r>
            <w:r>
              <w:rPr>
                <w:rFonts w:cs="Arial"/>
                <w:b/>
                <w:sz w:val="16"/>
                <w:szCs w:val="16"/>
              </w:rPr>
              <w:t>s</w:t>
            </w:r>
          </w:p>
        </w:tc>
        <w:tc>
          <w:tcPr>
            <w:tcW w:w="1272" w:type="pct"/>
            <w:tcBorders>
              <w:top w:val="single" w:sz="4" w:space="0" w:color="auto"/>
            </w:tcBorders>
            <w:shd w:val="clear" w:color="auto" w:fill="FFFFFF"/>
            <w:tcMar>
              <w:top w:w="110" w:type="dxa"/>
            </w:tcMar>
            <w:vAlign w:val="center"/>
          </w:tcPr>
          <w:p w:rsidR="00F153C1" w:rsidRPr="001656CD" w:rsidRDefault="00F153C1" w:rsidP="00FD7155">
            <w:pPr>
              <w:rPr>
                <w:rFonts w:cs="Arial"/>
                <w:sz w:val="16"/>
                <w:szCs w:val="16"/>
              </w:rPr>
            </w:pPr>
            <w:r w:rsidRPr="001656CD">
              <w:rPr>
                <w:rFonts w:cs="Arial"/>
                <w:b/>
                <w:bCs/>
                <w:sz w:val="16"/>
                <w:szCs w:val="16"/>
              </w:rPr>
              <w:t>Performance Data</w:t>
            </w:r>
          </w:p>
        </w:tc>
        <w:tc>
          <w:tcPr>
            <w:tcW w:w="517" w:type="pct"/>
            <w:tcBorders>
              <w:top w:val="single" w:sz="4" w:space="0" w:color="auto"/>
            </w:tcBorders>
            <w:shd w:val="clear" w:color="auto" w:fill="auto"/>
            <w:tcMar>
              <w:top w:w="110" w:type="dxa"/>
            </w:tcMar>
            <w:vAlign w:val="center"/>
          </w:tcPr>
          <w:p w:rsidR="00F153C1" w:rsidRPr="00083772" w:rsidRDefault="00F153C1" w:rsidP="00FD7155">
            <w:pPr>
              <w:keepNext/>
              <w:keepLines/>
              <w:jc w:val="center"/>
              <w:rPr>
                <w:rFonts w:cs="Arial"/>
                <w:b/>
                <w:bCs/>
                <w:sz w:val="16"/>
                <w:szCs w:val="16"/>
              </w:rPr>
            </w:pPr>
            <w:r w:rsidRPr="001656CD">
              <w:rPr>
                <w:rFonts w:cs="Arial"/>
                <w:b/>
                <w:bCs/>
                <w:sz w:val="16"/>
                <w:szCs w:val="16"/>
              </w:rPr>
              <w:t>TLS</w:t>
            </w:r>
          </w:p>
        </w:tc>
      </w:tr>
      <w:tr w:rsidR="00F153C1" w:rsidRPr="001656CD" w:rsidTr="00F153C1">
        <w:trPr>
          <w:cantSplit/>
        </w:trPr>
        <w:tc>
          <w:tcPr>
            <w:tcW w:w="1119" w:type="pct"/>
            <w:tcBorders>
              <w:bottom w:val="single" w:sz="4" w:space="0" w:color="auto"/>
            </w:tcBorders>
            <w:shd w:val="clear" w:color="auto" w:fill="auto"/>
          </w:tcPr>
          <w:p w:rsidR="00F153C1" w:rsidRPr="001656CD" w:rsidRDefault="00F153C1" w:rsidP="00FD7155">
            <w:pPr>
              <w:rPr>
                <w:rFonts w:cs="Arial"/>
                <w:sz w:val="16"/>
                <w:szCs w:val="16"/>
                <w:lang w:bidi="th-TH"/>
              </w:rPr>
            </w:pPr>
            <w:r w:rsidRPr="00C5428C">
              <w:rPr>
                <w:rFonts w:cs="Arial"/>
                <w:sz w:val="16"/>
                <w:szCs w:val="16"/>
                <w:lang w:bidi="th-TH"/>
              </w:rPr>
              <w:t>No. of countries with updated laws and/or regulations</w:t>
            </w:r>
          </w:p>
        </w:tc>
        <w:tc>
          <w:tcPr>
            <w:tcW w:w="1270" w:type="pct"/>
            <w:tcBorders>
              <w:bottom w:val="single" w:sz="4" w:space="0" w:color="auto"/>
            </w:tcBorders>
            <w:shd w:val="clear" w:color="auto" w:fill="auto"/>
          </w:tcPr>
          <w:p w:rsidR="00F153C1" w:rsidRPr="00C74731" w:rsidRDefault="00F153C1" w:rsidP="00FD7155">
            <w:pPr>
              <w:rPr>
                <w:rFonts w:cs="Arial"/>
                <w:color w:val="002060"/>
                <w:sz w:val="16"/>
                <w:szCs w:val="16"/>
              </w:rPr>
            </w:pPr>
            <w:r w:rsidRPr="00083772">
              <w:rPr>
                <w:rFonts w:cs="Arial"/>
                <w:i/>
                <w:color w:val="002060"/>
                <w:sz w:val="16"/>
                <w:szCs w:val="16"/>
              </w:rPr>
              <w:t>Updated Baseline end 201</w:t>
            </w:r>
            <w:r>
              <w:rPr>
                <w:rFonts w:cs="Arial"/>
                <w:i/>
                <w:color w:val="002060"/>
                <w:sz w:val="16"/>
                <w:szCs w:val="16"/>
              </w:rPr>
              <w:t>3</w:t>
            </w:r>
            <w:r w:rsidRPr="00083772">
              <w:rPr>
                <w:rFonts w:cs="Arial"/>
                <w:i/>
                <w:color w:val="002060"/>
                <w:sz w:val="16"/>
                <w:szCs w:val="16"/>
              </w:rPr>
              <w:t xml:space="preserve">: </w:t>
            </w:r>
            <w:r w:rsidRPr="00C74731">
              <w:rPr>
                <w:rFonts w:cs="Arial"/>
                <w:color w:val="002060"/>
                <w:sz w:val="16"/>
                <w:szCs w:val="16"/>
              </w:rPr>
              <w:t>18 cumulative:</w:t>
            </w:r>
            <w:r>
              <w:rPr>
                <w:rFonts w:cs="Arial"/>
                <w:i/>
                <w:color w:val="002060"/>
                <w:sz w:val="16"/>
                <w:szCs w:val="16"/>
              </w:rPr>
              <w:t xml:space="preserve">  </w:t>
            </w:r>
            <w:r w:rsidRPr="00C74731">
              <w:rPr>
                <w:rFonts w:cs="Arial"/>
                <w:color w:val="002060"/>
                <w:sz w:val="16"/>
                <w:szCs w:val="16"/>
              </w:rPr>
              <w:t>Albania, Armenia, Belarus, Bosnia and Herzegovina, Poland, Romania, Slovenia and Tajikistan updated their national IP legislation</w:t>
            </w:r>
            <w:r>
              <w:rPr>
                <w:rFonts w:cs="Arial"/>
                <w:color w:val="002060"/>
                <w:sz w:val="16"/>
                <w:szCs w:val="16"/>
              </w:rPr>
              <w:t xml:space="preserve"> in 2012/13</w:t>
            </w:r>
            <w:r w:rsidRPr="00C74731">
              <w:rPr>
                <w:rFonts w:cs="Arial"/>
                <w:color w:val="002060"/>
                <w:sz w:val="16"/>
                <w:szCs w:val="16"/>
              </w:rPr>
              <w:t>.</w:t>
            </w:r>
          </w:p>
          <w:p w:rsidR="00F153C1" w:rsidRPr="00C74731" w:rsidRDefault="00F153C1" w:rsidP="00FD7155">
            <w:pPr>
              <w:rPr>
                <w:rFonts w:cs="Arial"/>
                <w:color w:val="002060"/>
                <w:sz w:val="16"/>
                <w:szCs w:val="16"/>
              </w:rPr>
            </w:pPr>
            <w:r w:rsidRPr="00C74731">
              <w:rPr>
                <w:rFonts w:cs="Arial"/>
                <w:color w:val="002060"/>
                <w:sz w:val="16"/>
                <w:szCs w:val="16"/>
              </w:rPr>
              <w:t xml:space="preserve"> </w:t>
            </w:r>
          </w:p>
          <w:p w:rsidR="00F153C1" w:rsidRPr="00C74731" w:rsidRDefault="00F153C1" w:rsidP="00FD7155">
            <w:pPr>
              <w:rPr>
                <w:rFonts w:cs="Arial"/>
                <w:color w:val="002060"/>
                <w:sz w:val="16"/>
                <w:szCs w:val="16"/>
              </w:rPr>
            </w:pPr>
            <w:r w:rsidRPr="00C74731">
              <w:rPr>
                <w:rFonts w:cs="Arial"/>
                <w:color w:val="002060"/>
                <w:sz w:val="16"/>
                <w:szCs w:val="16"/>
              </w:rPr>
              <w:t>Kazakhstan and the Russian Federation have initiated the amendment of their legislation.</w:t>
            </w:r>
          </w:p>
          <w:p w:rsidR="00F153C1" w:rsidRPr="008D3FF3" w:rsidRDefault="00F153C1" w:rsidP="00FD7155">
            <w:pPr>
              <w:rPr>
                <w:rFonts w:cs="Arial"/>
                <w:i/>
                <w:sz w:val="8"/>
                <w:szCs w:val="8"/>
              </w:rPr>
            </w:pPr>
          </w:p>
          <w:p w:rsidR="00F153C1" w:rsidRPr="00083772" w:rsidRDefault="00F153C1" w:rsidP="00FD7155">
            <w:pPr>
              <w:rPr>
                <w:rFonts w:cs="Arial"/>
                <w:sz w:val="16"/>
                <w:szCs w:val="16"/>
                <w:lang w:bidi="th-TH"/>
              </w:rPr>
            </w:pPr>
            <w:r w:rsidRPr="00083772">
              <w:rPr>
                <w:rFonts w:cs="Arial"/>
                <w:i/>
                <w:sz w:val="16"/>
                <w:szCs w:val="16"/>
              </w:rPr>
              <w:t>Original Baseline P&amp;B 201</w:t>
            </w:r>
            <w:r>
              <w:rPr>
                <w:rFonts w:cs="Arial"/>
                <w:i/>
                <w:sz w:val="16"/>
                <w:szCs w:val="16"/>
              </w:rPr>
              <w:t>4/15</w:t>
            </w:r>
            <w:r w:rsidRPr="00083772">
              <w:rPr>
                <w:rFonts w:cs="Arial"/>
                <w:i/>
                <w:sz w:val="16"/>
                <w:szCs w:val="16"/>
              </w:rPr>
              <w:t>:</w:t>
            </w:r>
            <w:r>
              <w:rPr>
                <w:rFonts w:cs="Arial"/>
                <w:i/>
                <w:sz w:val="16"/>
                <w:szCs w:val="16"/>
              </w:rPr>
              <w:t xml:space="preserve"> </w:t>
            </w:r>
            <w:r w:rsidRPr="00C5428C">
              <w:rPr>
                <w:rFonts w:cs="Arial"/>
                <w:sz w:val="16"/>
                <w:szCs w:val="16"/>
              </w:rPr>
              <w:t>18 by end of 2013</w:t>
            </w:r>
            <w:r w:rsidRPr="00C5428C">
              <w:rPr>
                <w:rFonts w:cs="Arial"/>
                <w:sz w:val="16"/>
                <w:szCs w:val="16"/>
              </w:rPr>
              <w:br/>
            </w:r>
          </w:p>
          <w:p w:rsidR="00F153C1" w:rsidRPr="001656CD" w:rsidRDefault="00F153C1" w:rsidP="00FD7155">
            <w:pPr>
              <w:rPr>
                <w:rFonts w:cs="Arial"/>
                <w:sz w:val="16"/>
                <w:szCs w:val="16"/>
              </w:rPr>
            </w:pPr>
          </w:p>
        </w:tc>
        <w:tc>
          <w:tcPr>
            <w:tcW w:w="822" w:type="pct"/>
            <w:tcBorders>
              <w:bottom w:val="single" w:sz="4" w:space="0" w:color="auto"/>
            </w:tcBorders>
            <w:shd w:val="clear" w:color="auto" w:fill="auto"/>
            <w:tcMar>
              <w:top w:w="110" w:type="dxa"/>
            </w:tcMar>
          </w:tcPr>
          <w:p w:rsidR="00F153C1" w:rsidRPr="00083772" w:rsidRDefault="00F153C1" w:rsidP="00FD7155">
            <w:pPr>
              <w:rPr>
                <w:rFonts w:cs="Arial"/>
                <w:sz w:val="16"/>
                <w:szCs w:val="16"/>
              </w:rPr>
            </w:pPr>
            <w:r>
              <w:rPr>
                <w:rFonts w:cs="Arial"/>
                <w:sz w:val="16"/>
                <w:szCs w:val="16"/>
              </w:rPr>
              <w:t>4</w:t>
            </w:r>
            <w:r w:rsidRPr="00C5428C">
              <w:rPr>
                <w:rFonts w:cs="Arial"/>
                <w:sz w:val="16"/>
                <w:szCs w:val="16"/>
              </w:rPr>
              <w:t xml:space="preserve"> additional countries</w:t>
            </w:r>
          </w:p>
        </w:tc>
        <w:tc>
          <w:tcPr>
            <w:tcW w:w="1272" w:type="pct"/>
            <w:tcBorders>
              <w:bottom w:val="single" w:sz="4" w:space="0" w:color="auto"/>
            </w:tcBorders>
            <w:shd w:val="clear" w:color="auto" w:fill="FFFFFF"/>
            <w:tcMar>
              <w:top w:w="110" w:type="dxa"/>
            </w:tcMar>
          </w:tcPr>
          <w:p w:rsidR="00F153C1" w:rsidRPr="001656CD" w:rsidRDefault="00F153C1" w:rsidP="00FD7155">
            <w:pPr>
              <w:rPr>
                <w:rFonts w:cs="Arial"/>
                <w:sz w:val="16"/>
                <w:szCs w:val="16"/>
              </w:rPr>
            </w:pPr>
            <w:r>
              <w:rPr>
                <w:rFonts w:cs="Arial"/>
                <w:sz w:val="16"/>
                <w:szCs w:val="16"/>
                <w:lang w:bidi="th-TH"/>
              </w:rPr>
              <w:t>5</w:t>
            </w:r>
            <w:r w:rsidRPr="00C5428C">
              <w:rPr>
                <w:rFonts w:cs="Arial"/>
                <w:sz w:val="16"/>
                <w:szCs w:val="16"/>
                <w:lang w:bidi="th-TH"/>
              </w:rPr>
              <w:t xml:space="preserve"> (Kazakhstan, Lithuania, Montenegro, Republic of Moldova, Tajikistan</w:t>
            </w:r>
            <w:r>
              <w:rPr>
                <w:rFonts w:cs="Arial"/>
                <w:sz w:val="16"/>
                <w:szCs w:val="16"/>
                <w:lang w:bidi="th-TH"/>
              </w:rPr>
              <w:t>)</w:t>
            </w:r>
          </w:p>
        </w:tc>
        <w:tc>
          <w:tcPr>
            <w:tcW w:w="517" w:type="pct"/>
            <w:tcBorders>
              <w:bottom w:val="single" w:sz="4" w:space="0" w:color="auto"/>
            </w:tcBorders>
            <w:shd w:val="clear" w:color="auto" w:fill="auto"/>
            <w:tcMar>
              <w:top w:w="110" w:type="dxa"/>
            </w:tcMar>
          </w:tcPr>
          <w:p w:rsidR="00F153C1" w:rsidRPr="00C5428C" w:rsidRDefault="00F153C1" w:rsidP="00FD7155">
            <w:pPr>
              <w:keepNext/>
              <w:keepLines/>
              <w:jc w:val="center"/>
              <w:rPr>
                <w:rFonts w:cs="Arial"/>
                <w:b/>
                <w:bCs/>
                <w:color w:val="00B050"/>
                <w:sz w:val="16"/>
                <w:szCs w:val="16"/>
              </w:rPr>
            </w:pPr>
            <w:r w:rsidRPr="00C5428C">
              <w:rPr>
                <w:rFonts w:cs="Arial"/>
                <w:b/>
                <w:bCs/>
                <w:color w:val="00B050"/>
                <w:sz w:val="16"/>
                <w:szCs w:val="16"/>
              </w:rPr>
              <w:t>On track</w:t>
            </w:r>
          </w:p>
        </w:tc>
      </w:tr>
      <w:tr w:rsidR="00F153C1" w:rsidRPr="001656CD" w:rsidTr="00F153C1">
        <w:trPr>
          <w:cantSplit/>
          <w:trHeight w:val="369"/>
        </w:trPr>
        <w:tc>
          <w:tcPr>
            <w:tcW w:w="5000" w:type="pct"/>
            <w:gridSpan w:val="5"/>
            <w:tcBorders>
              <w:top w:val="single" w:sz="4" w:space="0" w:color="auto"/>
              <w:bottom w:val="single" w:sz="4" w:space="0" w:color="auto"/>
            </w:tcBorders>
            <w:shd w:val="clear" w:color="auto" w:fill="CCFFFF"/>
            <w:vAlign w:val="center"/>
          </w:tcPr>
          <w:p w:rsidR="00F153C1" w:rsidRPr="001656CD" w:rsidRDefault="00F153C1" w:rsidP="00FD7155">
            <w:pPr>
              <w:keepNext/>
              <w:keepLines/>
              <w:tabs>
                <w:tab w:val="left" w:pos="1452"/>
              </w:tabs>
              <w:ind w:left="1452" w:hanging="1452"/>
              <w:rPr>
                <w:rFonts w:cs="Arial"/>
                <w:b/>
                <w:bCs/>
                <w:sz w:val="16"/>
                <w:szCs w:val="16"/>
              </w:rPr>
            </w:pPr>
            <w:r w:rsidRPr="001656CD">
              <w:rPr>
                <w:rFonts w:cs="Arial"/>
                <w:b/>
                <w:bCs/>
                <w:sz w:val="16"/>
                <w:szCs w:val="16"/>
              </w:rPr>
              <w:t>Expected Result:</w:t>
            </w:r>
            <w:r w:rsidRPr="001656CD">
              <w:rPr>
                <w:rFonts w:cs="Arial"/>
                <w:b/>
                <w:bCs/>
                <w:sz w:val="16"/>
                <w:szCs w:val="16"/>
              </w:rPr>
              <w:tab/>
            </w:r>
            <w:r w:rsidRPr="00C5428C">
              <w:rPr>
                <w:rFonts w:cs="Arial"/>
                <w:sz w:val="16"/>
                <w:szCs w:val="16"/>
                <w:lang w:bidi="th-TH"/>
              </w:rPr>
              <w:t>II.1 Increased use of the PCT route for filing international patent applications</w:t>
            </w:r>
          </w:p>
        </w:tc>
      </w:tr>
      <w:tr w:rsidR="00F153C1" w:rsidRPr="001656CD" w:rsidTr="00F153C1">
        <w:trPr>
          <w:cantSplit/>
        </w:trPr>
        <w:tc>
          <w:tcPr>
            <w:tcW w:w="1119" w:type="pct"/>
            <w:tcBorders>
              <w:top w:val="single" w:sz="4" w:space="0" w:color="auto"/>
            </w:tcBorders>
            <w:shd w:val="clear" w:color="auto" w:fill="auto"/>
            <w:vAlign w:val="center"/>
          </w:tcPr>
          <w:p w:rsidR="00F153C1" w:rsidRPr="001656CD" w:rsidRDefault="00F153C1" w:rsidP="00FD7155">
            <w:pPr>
              <w:rPr>
                <w:rFonts w:cs="Arial"/>
                <w:sz w:val="16"/>
                <w:szCs w:val="16"/>
              </w:rPr>
            </w:pPr>
            <w:r w:rsidRPr="001656CD">
              <w:rPr>
                <w:rFonts w:cs="Arial"/>
                <w:b/>
                <w:bCs/>
                <w:sz w:val="16"/>
                <w:szCs w:val="16"/>
              </w:rPr>
              <w:t>Performance Indicators</w:t>
            </w:r>
          </w:p>
        </w:tc>
        <w:tc>
          <w:tcPr>
            <w:tcW w:w="1270" w:type="pct"/>
            <w:tcBorders>
              <w:top w:val="single" w:sz="4" w:space="0" w:color="auto"/>
            </w:tcBorders>
            <w:shd w:val="clear" w:color="auto" w:fill="auto"/>
            <w:vAlign w:val="center"/>
          </w:tcPr>
          <w:p w:rsidR="00F153C1" w:rsidRPr="001656CD" w:rsidRDefault="00F153C1" w:rsidP="00FD7155">
            <w:pPr>
              <w:rPr>
                <w:rFonts w:cs="Arial"/>
                <w:b/>
                <w:bCs/>
                <w:sz w:val="16"/>
                <w:szCs w:val="16"/>
              </w:rPr>
            </w:pPr>
            <w:r w:rsidRPr="001656CD">
              <w:rPr>
                <w:rFonts w:cs="Arial"/>
                <w:b/>
                <w:bCs/>
                <w:sz w:val="16"/>
                <w:szCs w:val="16"/>
              </w:rPr>
              <w:t>Baselines</w:t>
            </w:r>
          </w:p>
        </w:tc>
        <w:tc>
          <w:tcPr>
            <w:tcW w:w="822" w:type="pct"/>
            <w:tcBorders>
              <w:top w:val="single" w:sz="4" w:space="0" w:color="auto"/>
            </w:tcBorders>
            <w:shd w:val="clear" w:color="auto" w:fill="auto"/>
            <w:tcMar>
              <w:top w:w="110" w:type="dxa"/>
            </w:tcMar>
            <w:vAlign w:val="center"/>
          </w:tcPr>
          <w:p w:rsidR="00F153C1" w:rsidRPr="00083772" w:rsidRDefault="00F153C1" w:rsidP="00FD7155">
            <w:pPr>
              <w:rPr>
                <w:rFonts w:cs="Arial"/>
                <w:b/>
                <w:sz w:val="16"/>
                <w:szCs w:val="16"/>
              </w:rPr>
            </w:pPr>
            <w:r w:rsidRPr="001656CD">
              <w:rPr>
                <w:rFonts w:cs="Arial"/>
                <w:b/>
                <w:sz w:val="16"/>
                <w:szCs w:val="16"/>
              </w:rPr>
              <w:t>Target</w:t>
            </w:r>
            <w:r>
              <w:rPr>
                <w:rFonts w:cs="Arial"/>
                <w:b/>
                <w:sz w:val="16"/>
                <w:szCs w:val="16"/>
              </w:rPr>
              <w:t>s</w:t>
            </w:r>
          </w:p>
        </w:tc>
        <w:tc>
          <w:tcPr>
            <w:tcW w:w="1272" w:type="pct"/>
            <w:tcBorders>
              <w:top w:val="single" w:sz="4" w:space="0" w:color="auto"/>
            </w:tcBorders>
            <w:shd w:val="clear" w:color="auto" w:fill="FFFFFF"/>
            <w:tcMar>
              <w:top w:w="110" w:type="dxa"/>
            </w:tcMar>
            <w:vAlign w:val="center"/>
          </w:tcPr>
          <w:p w:rsidR="00F153C1" w:rsidRPr="001656CD" w:rsidRDefault="00F153C1" w:rsidP="00FD7155">
            <w:pPr>
              <w:rPr>
                <w:rFonts w:cs="Arial"/>
                <w:sz w:val="16"/>
                <w:szCs w:val="16"/>
              </w:rPr>
            </w:pPr>
            <w:r w:rsidRPr="001656CD">
              <w:rPr>
                <w:rFonts w:cs="Arial"/>
                <w:b/>
                <w:bCs/>
                <w:sz w:val="16"/>
                <w:szCs w:val="16"/>
              </w:rPr>
              <w:t>Performance Data</w:t>
            </w:r>
          </w:p>
        </w:tc>
        <w:tc>
          <w:tcPr>
            <w:tcW w:w="517" w:type="pct"/>
            <w:tcBorders>
              <w:top w:val="single" w:sz="4" w:space="0" w:color="auto"/>
            </w:tcBorders>
            <w:shd w:val="clear" w:color="auto" w:fill="auto"/>
            <w:tcMar>
              <w:top w:w="110" w:type="dxa"/>
            </w:tcMar>
            <w:vAlign w:val="center"/>
          </w:tcPr>
          <w:p w:rsidR="00F153C1" w:rsidRPr="00083772" w:rsidRDefault="00F153C1" w:rsidP="00FD7155">
            <w:pPr>
              <w:keepNext/>
              <w:keepLines/>
              <w:jc w:val="center"/>
              <w:rPr>
                <w:rFonts w:cs="Arial"/>
                <w:b/>
                <w:bCs/>
                <w:sz w:val="16"/>
                <w:szCs w:val="16"/>
              </w:rPr>
            </w:pPr>
            <w:r w:rsidRPr="001656CD">
              <w:rPr>
                <w:rFonts w:cs="Arial"/>
                <w:b/>
                <w:bCs/>
                <w:sz w:val="16"/>
                <w:szCs w:val="16"/>
              </w:rPr>
              <w:t>TLS</w:t>
            </w:r>
          </w:p>
        </w:tc>
      </w:tr>
      <w:tr w:rsidR="00F153C1" w:rsidRPr="001656CD" w:rsidTr="00F153C1">
        <w:trPr>
          <w:cantSplit/>
        </w:trPr>
        <w:tc>
          <w:tcPr>
            <w:tcW w:w="1119" w:type="pct"/>
            <w:shd w:val="clear" w:color="auto" w:fill="auto"/>
          </w:tcPr>
          <w:p w:rsidR="00F153C1" w:rsidRPr="001656CD" w:rsidRDefault="00F153C1" w:rsidP="00FD7155">
            <w:pPr>
              <w:rPr>
                <w:rFonts w:cs="Arial"/>
                <w:sz w:val="16"/>
                <w:szCs w:val="16"/>
              </w:rPr>
            </w:pPr>
            <w:r w:rsidRPr="00C5428C">
              <w:rPr>
                <w:rFonts w:cs="Arial"/>
                <w:sz w:val="16"/>
                <w:szCs w:val="16"/>
                <w:lang w:bidi="th-TH"/>
              </w:rPr>
              <w:t>No. of PCT applications originating from transition and developed countries</w:t>
            </w:r>
          </w:p>
        </w:tc>
        <w:tc>
          <w:tcPr>
            <w:tcW w:w="1270" w:type="pct"/>
            <w:shd w:val="clear" w:color="auto" w:fill="auto"/>
          </w:tcPr>
          <w:p w:rsidR="00F153C1" w:rsidRDefault="00F153C1" w:rsidP="00FD7155">
            <w:pPr>
              <w:rPr>
                <w:rFonts w:cs="Arial"/>
                <w:i/>
                <w:color w:val="002060"/>
                <w:sz w:val="16"/>
                <w:szCs w:val="16"/>
              </w:rPr>
            </w:pPr>
            <w:r w:rsidRPr="00083772">
              <w:rPr>
                <w:rFonts w:cs="Arial"/>
                <w:i/>
                <w:color w:val="002060"/>
                <w:sz w:val="16"/>
                <w:szCs w:val="16"/>
              </w:rPr>
              <w:t>Updated Baseline end 201</w:t>
            </w:r>
            <w:r>
              <w:rPr>
                <w:rFonts w:cs="Arial"/>
                <w:i/>
                <w:color w:val="002060"/>
                <w:sz w:val="16"/>
                <w:szCs w:val="16"/>
              </w:rPr>
              <w:t>3</w:t>
            </w:r>
            <w:r w:rsidRPr="00083772">
              <w:rPr>
                <w:rFonts w:cs="Arial"/>
                <w:i/>
                <w:color w:val="002060"/>
                <w:sz w:val="16"/>
                <w:szCs w:val="16"/>
              </w:rPr>
              <w:t xml:space="preserve">: </w:t>
            </w:r>
          </w:p>
          <w:p w:rsidR="00F153C1" w:rsidRPr="00E30B62" w:rsidRDefault="00F153C1" w:rsidP="00FD7155">
            <w:pPr>
              <w:rPr>
                <w:rFonts w:cs="Arial"/>
                <w:color w:val="002060"/>
                <w:sz w:val="16"/>
                <w:szCs w:val="16"/>
              </w:rPr>
            </w:pPr>
            <w:r>
              <w:rPr>
                <w:rFonts w:cs="Arial"/>
                <w:color w:val="002060"/>
                <w:sz w:val="16"/>
                <w:szCs w:val="16"/>
              </w:rPr>
              <w:t>166,517</w:t>
            </w:r>
            <w:r w:rsidRPr="003149F2">
              <w:rPr>
                <w:rFonts w:cs="Arial"/>
                <w:color w:val="002060"/>
                <w:sz w:val="16"/>
                <w:szCs w:val="16"/>
              </w:rPr>
              <w:t xml:space="preserve"> (</w:t>
            </w:r>
            <w:r>
              <w:rPr>
                <w:rFonts w:cs="Arial"/>
                <w:color w:val="002060"/>
                <w:sz w:val="16"/>
                <w:szCs w:val="16"/>
              </w:rPr>
              <w:t xml:space="preserve">2013) </w:t>
            </w:r>
          </w:p>
          <w:p w:rsidR="00F153C1" w:rsidRPr="00E30B62" w:rsidRDefault="00F153C1" w:rsidP="00FD7155">
            <w:pPr>
              <w:rPr>
                <w:rFonts w:cs="Arial"/>
                <w:color w:val="002060"/>
                <w:sz w:val="16"/>
                <w:szCs w:val="16"/>
              </w:rPr>
            </w:pPr>
            <w:r>
              <w:rPr>
                <w:rFonts w:cs="Arial"/>
                <w:color w:val="002060"/>
                <w:sz w:val="16"/>
                <w:szCs w:val="16"/>
              </w:rPr>
              <w:t xml:space="preserve">160,309 </w:t>
            </w:r>
            <w:r w:rsidRPr="003149F2">
              <w:rPr>
                <w:rFonts w:cs="Arial"/>
                <w:color w:val="002060"/>
                <w:sz w:val="16"/>
                <w:szCs w:val="16"/>
              </w:rPr>
              <w:t>(</w:t>
            </w:r>
            <w:r>
              <w:rPr>
                <w:rFonts w:cs="Arial"/>
                <w:color w:val="002060"/>
                <w:sz w:val="16"/>
                <w:szCs w:val="16"/>
              </w:rPr>
              <w:t xml:space="preserve">2012) </w:t>
            </w:r>
          </w:p>
          <w:p w:rsidR="00F153C1" w:rsidRPr="008D3FF3" w:rsidRDefault="00F153C1" w:rsidP="00FD7155">
            <w:pPr>
              <w:pStyle w:val="ListParagraph"/>
              <w:ind w:left="360"/>
              <w:rPr>
                <w:rFonts w:cs="Arial"/>
                <w:i/>
                <w:sz w:val="8"/>
                <w:szCs w:val="8"/>
              </w:rPr>
            </w:pPr>
          </w:p>
          <w:p w:rsidR="00F153C1" w:rsidRDefault="00F153C1" w:rsidP="00FD7155">
            <w:pPr>
              <w:rPr>
                <w:rFonts w:cs="Arial"/>
                <w:sz w:val="16"/>
                <w:szCs w:val="16"/>
              </w:rPr>
            </w:pPr>
            <w:r w:rsidRPr="00083772">
              <w:rPr>
                <w:rFonts w:cs="Arial"/>
                <w:i/>
                <w:sz w:val="16"/>
                <w:szCs w:val="16"/>
              </w:rPr>
              <w:t>Original Baseline P&amp;B 201</w:t>
            </w:r>
            <w:r>
              <w:rPr>
                <w:rFonts w:cs="Arial"/>
                <w:i/>
                <w:sz w:val="16"/>
                <w:szCs w:val="16"/>
              </w:rPr>
              <w:t>4/15</w:t>
            </w:r>
            <w:r w:rsidRPr="00083772">
              <w:rPr>
                <w:rFonts w:cs="Arial"/>
                <w:i/>
                <w:sz w:val="16"/>
                <w:szCs w:val="16"/>
              </w:rPr>
              <w:t>:</w:t>
            </w:r>
            <w:r>
              <w:rPr>
                <w:rFonts w:cs="Arial"/>
                <w:i/>
                <w:sz w:val="16"/>
                <w:szCs w:val="16"/>
              </w:rPr>
              <w:t xml:space="preserve"> </w:t>
            </w:r>
            <w:proofErr w:type="spellStart"/>
            <w:r>
              <w:rPr>
                <w:rFonts w:cs="Arial"/>
                <w:sz w:val="16"/>
                <w:szCs w:val="16"/>
              </w:rPr>
              <w:t>tbd</w:t>
            </w:r>
            <w:proofErr w:type="spellEnd"/>
          </w:p>
          <w:p w:rsidR="00F153C1" w:rsidRPr="001656CD" w:rsidRDefault="00F153C1" w:rsidP="00FD7155">
            <w:pPr>
              <w:rPr>
                <w:rFonts w:cs="Arial"/>
                <w:sz w:val="16"/>
                <w:szCs w:val="16"/>
                <w:lang w:bidi="th-TH"/>
              </w:rPr>
            </w:pPr>
          </w:p>
        </w:tc>
        <w:tc>
          <w:tcPr>
            <w:tcW w:w="822" w:type="pct"/>
            <w:shd w:val="clear" w:color="auto" w:fill="auto"/>
            <w:tcMar>
              <w:top w:w="110" w:type="dxa"/>
            </w:tcMar>
          </w:tcPr>
          <w:p w:rsidR="00F153C1" w:rsidRPr="00083772" w:rsidRDefault="00F153C1" w:rsidP="00FD7155">
            <w:pPr>
              <w:rPr>
                <w:rFonts w:cs="Arial"/>
                <w:sz w:val="16"/>
                <w:szCs w:val="16"/>
              </w:rPr>
            </w:pPr>
            <w:r w:rsidRPr="00C5428C">
              <w:rPr>
                <w:rFonts w:cs="Arial"/>
                <w:sz w:val="16"/>
                <w:szCs w:val="16"/>
              </w:rPr>
              <w:t>2% increase</w:t>
            </w:r>
          </w:p>
        </w:tc>
        <w:tc>
          <w:tcPr>
            <w:tcW w:w="1272" w:type="pct"/>
            <w:shd w:val="clear" w:color="auto" w:fill="FFFFFF"/>
            <w:tcMar>
              <w:top w:w="110" w:type="dxa"/>
            </w:tcMar>
          </w:tcPr>
          <w:p w:rsidR="00F153C1" w:rsidRDefault="00F153C1" w:rsidP="00FD7155">
            <w:pPr>
              <w:rPr>
                <w:rFonts w:cs="Arial"/>
                <w:sz w:val="16"/>
                <w:szCs w:val="16"/>
                <w:lang w:bidi="th-TH"/>
              </w:rPr>
            </w:pPr>
            <w:r>
              <w:rPr>
                <w:rFonts w:cs="Arial"/>
                <w:sz w:val="16"/>
                <w:szCs w:val="16"/>
                <w:lang w:bidi="th-TH"/>
              </w:rPr>
              <w:t xml:space="preserve">170,317 (2014) </w:t>
            </w:r>
            <w:r w:rsidRPr="00460C25">
              <w:rPr>
                <w:rFonts w:cs="Arial"/>
                <w:sz w:val="16"/>
                <w:szCs w:val="16"/>
                <w:lang w:bidi="th-TH"/>
              </w:rPr>
              <w:t>+2.</w:t>
            </w:r>
            <w:r>
              <w:rPr>
                <w:rFonts w:cs="Arial"/>
                <w:sz w:val="16"/>
                <w:szCs w:val="16"/>
                <w:lang w:bidi="th-TH"/>
              </w:rPr>
              <w:t>28</w:t>
            </w:r>
            <w:r w:rsidRPr="00460C25">
              <w:rPr>
                <w:rFonts w:cs="Arial"/>
                <w:sz w:val="16"/>
                <w:szCs w:val="16"/>
                <w:lang w:bidi="th-TH"/>
              </w:rPr>
              <w:t>%</w:t>
            </w:r>
            <w:r>
              <w:rPr>
                <w:rStyle w:val="FootnoteReference"/>
                <w:rFonts w:cs="Arial"/>
                <w:sz w:val="16"/>
                <w:szCs w:val="16"/>
                <w:lang w:bidi="th-TH"/>
              </w:rPr>
              <w:footnoteReference w:id="32"/>
            </w:r>
          </w:p>
          <w:p w:rsidR="00F153C1" w:rsidRPr="00C5428C" w:rsidRDefault="00F153C1" w:rsidP="00FD7155">
            <w:pPr>
              <w:rPr>
                <w:rFonts w:cs="Arial"/>
                <w:sz w:val="16"/>
                <w:szCs w:val="16"/>
                <w:lang w:bidi="th-TH"/>
              </w:rPr>
            </w:pPr>
          </w:p>
          <w:p w:rsidR="00F153C1" w:rsidRPr="001656CD" w:rsidRDefault="00F153C1" w:rsidP="00FD7155">
            <w:pPr>
              <w:rPr>
                <w:rFonts w:cs="Arial"/>
                <w:sz w:val="16"/>
                <w:szCs w:val="16"/>
              </w:rPr>
            </w:pPr>
          </w:p>
        </w:tc>
        <w:tc>
          <w:tcPr>
            <w:tcW w:w="517" w:type="pct"/>
            <w:shd w:val="clear" w:color="auto" w:fill="auto"/>
            <w:tcMar>
              <w:top w:w="110" w:type="dxa"/>
            </w:tcMar>
          </w:tcPr>
          <w:p w:rsidR="00F153C1" w:rsidRPr="001656CD" w:rsidRDefault="00F153C1" w:rsidP="00FD7155">
            <w:pPr>
              <w:keepNext/>
              <w:keepLines/>
              <w:jc w:val="center"/>
              <w:rPr>
                <w:rFonts w:cs="Arial"/>
                <w:bCs/>
                <w:color w:val="808080"/>
                <w:sz w:val="16"/>
                <w:szCs w:val="16"/>
              </w:rPr>
            </w:pPr>
            <w:r w:rsidRPr="00C5428C">
              <w:rPr>
                <w:rFonts w:cs="Arial"/>
                <w:b/>
                <w:bCs/>
                <w:color w:val="00B050"/>
                <w:sz w:val="16"/>
                <w:szCs w:val="16"/>
              </w:rPr>
              <w:t>On track</w:t>
            </w:r>
          </w:p>
        </w:tc>
      </w:tr>
      <w:tr w:rsidR="00F153C1" w:rsidRPr="001656CD" w:rsidTr="00F153C1">
        <w:trPr>
          <w:cantSplit/>
          <w:trHeight w:val="356"/>
        </w:trPr>
        <w:tc>
          <w:tcPr>
            <w:tcW w:w="5000" w:type="pct"/>
            <w:gridSpan w:val="5"/>
            <w:tcBorders>
              <w:top w:val="single" w:sz="4" w:space="0" w:color="auto"/>
              <w:bottom w:val="single" w:sz="4" w:space="0" w:color="auto"/>
            </w:tcBorders>
            <w:shd w:val="clear" w:color="auto" w:fill="CCFFFF"/>
            <w:vAlign w:val="center"/>
          </w:tcPr>
          <w:p w:rsidR="00F153C1" w:rsidRPr="001656CD" w:rsidRDefault="00F153C1" w:rsidP="00FD7155">
            <w:pPr>
              <w:keepNext/>
              <w:keepLines/>
              <w:tabs>
                <w:tab w:val="left" w:pos="1452"/>
              </w:tabs>
              <w:ind w:left="1452" w:hanging="1452"/>
              <w:rPr>
                <w:rFonts w:cs="Arial"/>
                <w:b/>
                <w:bCs/>
                <w:sz w:val="16"/>
                <w:szCs w:val="16"/>
              </w:rPr>
            </w:pPr>
            <w:r w:rsidRPr="001656CD">
              <w:rPr>
                <w:rFonts w:cs="Arial"/>
                <w:b/>
                <w:bCs/>
                <w:sz w:val="16"/>
                <w:szCs w:val="16"/>
              </w:rPr>
              <w:t>Expected Result:</w:t>
            </w:r>
            <w:r w:rsidRPr="001656CD">
              <w:rPr>
                <w:rFonts w:cs="Arial"/>
                <w:b/>
                <w:bCs/>
                <w:sz w:val="16"/>
                <w:szCs w:val="16"/>
              </w:rPr>
              <w:tab/>
            </w:r>
            <w:r w:rsidRPr="0070523B">
              <w:rPr>
                <w:rFonts w:cs="Arial"/>
                <w:sz w:val="16"/>
                <w:szCs w:val="16"/>
                <w:lang w:bidi="th-TH"/>
              </w:rPr>
              <w:t>II.4 Wider and better use of the Hague system, including by developing countries and LDCs</w:t>
            </w:r>
          </w:p>
        </w:tc>
      </w:tr>
      <w:tr w:rsidR="00F153C1" w:rsidRPr="00BC6547" w:rsidTr="00F153C1">
        <w:trPr>
          <w:cantSplit/>
        </w:trPr>
        <w:tc>
          <w:tcPr>
            <w:tcW w:w="1119" w:type="pct"/>
            <w:tcBorders>
              <w:top w:val="single" w:sz="4" w:space="0" w:color="auto"/>
            </w:tcBorders>
            <w:shd w:val="clear" w:color="auto" w:fill="auto"/>
            <w:vAlign w:val="center"/>
          </w:tcPr>
          <w:p w:rsidR="00F153C1" w:rsidRPr="00BC6547" w:rsidRDefault="00F153C1" w:rsidP="00FD7155">
            <w:pPr>
              <w:keepNext/>
              <w:keepLines/>
              <w:rPr>
                <w:rFonts w:cs="Arial"/>
                <w:sz w:val="16"/>
                <w:szCs w:val="16"/>
              </w:rPr>
            </w:pPr>
            <w:r w:rsidRPr="00BC6547">
              <w:rPr>
                <w:rFonts w:cs="Arial"/>
                <w:b/>
                <w:bCs/>
                <w:sz w:val="16"/>
                <w:szCs w:val="16"/>
              </w:rPr>
              <w:t>Performance Indicators</w:t>
            </w:r>
          </w:p>
        </w:tc>
        <w:tc>
          <w:tcPr>
            <w:tcW w:w="1270" w:type="pct"/>
            <w:tcBorders>
              <w:top w:val="single" w:sz="4" w:space="0" w:color="auto"/>
            </w:tcBorders>
            <w:shd w:val="clear" w:color="auto" w:fill="auto"/>
            <w:vAlign w:val="center"/>
          </w:tcPr>
          <w:p w:rsidR="00F153C1" w:rsidRPr="00BC6547" w:rsidRDefault="00F153C1" w:rsidP="00FD7155">
            <w:pPr>
              <w:keepNext/>
              <w:keepLines/>
              <w:rPr>
                <w:rFonts w:cs="Arial"/>
                <w:b/>
                <w:bCs/>
                <w:sz w:val="16"/>
                <w:szCs w:val="16"/>
              </w:rPr>
            </w:pPr>
            <w:r w:rsidRPr="00BC6547">
              <w:rPr>
                <w:rFonts w:cs="Arial"/>
                <w:b/>
                <w:bCs/>
                <w:sz w:val="16"/>
                <w:szCs w:val="16"/>
              </w:rPr>
              <w:t>Baselines</w:t>
            </w:r>
          </w:p>
        </w:tc>
        <w:tc>
          <w:tcPr>
            <w:tcW w:w="822" w:type="pct"/>
            <w:tcBorders>
              <w:top w:val="single" w:sz="4" w:space="0" w:color="auto"/>
            </w:tcBorders>
            <w:shd w:val="clear" w:color="auto" w:fill="auto"/>
            <w:tcMar>
              <w:top w:w="110" w:type="dxa"/>
            </w:tcMar>
            <w:vAlign w:val="center"/>
          </w:tcPr>
          <w:p w:rsidR="00F153C1" w:rsidRPr="00BC6547" w:rsidRDefault="00F153C1" w:rsidP="00FD7155">
            <w:pPr>
              <w:keepNext/>
              <w:keepLines/>
              <w:rPr>
                <w:rFonts w:cs="Arial"/>
                <w:b/>
                <w:sz w:val="16"/>
                <w:szCs w:val="16"/>
              </w:rPr>
            </w:pPr>
            <w:r w:rsidRPr="00BC6547">
              <w:rPr>
                <w:rFonts w:cs="Arial"/>
                <w:b/>
                <w:sz w:val="16"/>
                <w:szCs w:val="16"/>
              </w:rPr>
              <w:t>Targets</w:t>
            </w:r>
          </w:p>
        </w:tc>
        <w:tc>
          <w:tcPr>
            <w:tcW w:w="1272" w:type="pct"/>
            <w:tcBorders>
              <w:top w:val="single" w:sz="4" w:space="0" w:color="auto"/>
            </w:tcBorders>
            <w:shd w:val="clear" w:color="auto" w:fill="FFFFFF"/>
            <w:tcMar>
              <w:top w:w="110" w:type="dxa"/>
            </w:tcMar>
            <w:vAlign w:val="center"/>
          </w:tcPr>
          <w:p w:rsidR="00F153C1" w:rsidRPr="00BC6547" w:rsidRDefault="00F153C1" w:rsidP="00FD7155">
            <w:pPr>
              <w:keepNext/>
              <w:keepLines/>
              <w:rPr>
                <w:rFonts w:cs="Arial"/>
                <w:sz w:val="16"/>
                <w:szCs w:val="16"/>
              </w:rPr>
            </w:pPr>
            <w:r w:rsidRPr="00BC6547">
              <w:rPr>
                <w:rFonts w:cs="Arial"/>
                <w:b/>
                <w:bCs/>
                <w:sz w:val="16"/>
                <w:szCs w:val="16"/>
              </w:rPr>
              <w:t>Performance Data</w:t>
            </w:r>
          </w:p>
        </w:tc>
        <w:tc>
          <w:tcPr>
            <w:tcW w:w="517" w:type="pct"/>
            <w:tcBorders>
              <w:top w:val="single" w:sz="4" w:space="0" w:color="auto"/>
            </w:tcBorders>
            <w:shd w:val="clear" w:color="auto" w:fill="auto"/>
            <w:tcMar>
              <w:top w:w="110" w:type="dxa"/>
            </w:tcMar>
            <w:vAlign w:val="center"/>
          </w:tcPr>
          <w:p w:rsidR="00F153C1" w:rsidRPr="00CD26D6" w:rsidRDefault="00F153C1" w:rsidP="00FD7155">
            <w:pPr>
              <w:keepNext/>
              <w:keepLines/>
              <w:jc w:val="center"/>
              <w:rPr>
                <w:rFonts w:cs="Arial"/>
                <w:b/>
                <w:bCs/>
                <w:sz w:val="16"/>
                <w:szCs w:val="16"/>
              </w:rPr>
            </w:pPr>
            <w:r w:rsidRPr="00BC6547">
              <w:rPr>
                <w:rFonts w:cs="Arial"/>
                <w:b/>
                <w:bCs/>
                <w:sz w:val="16"/>
                <w:szCs w:val="16"/>
              </w:rPr>
              <w:t>TLS</w:t>
            </w:r>
          </w:p>
        </w:tc>
      </w:tr>
      <w:tr w:rsidR="00F153C1" w:rsidRPr="001656CD" w:rsidTr="00F153C1">
        <w:trPr>
          <w:cantSplit/>
        </w:trPr>
        <w:tc>
          <w:tcPr>
            <w:tcW w:w="1119" w:type="pct"/>
            <w:shd w:val="clear" w:color="auto" w:fill="auto"/>
          </w:tcPr>
          <w:p w:rsidR="00F153C1" w:rsidRPr="00083772" w:rsidRDefault="00F153C1" w:rsidP="00FD7155">
            <w:pPr>
              <w:rPr>
                <w:rFonts w:cs="Arial"/>
                <w:sz w:val="16"/>
                <w:szCs w:val="16"/>
                <w:lang w:bidi="th-TH"/>
              </w:rPr>
            </w:pPr>
            <w:r w:rsidRPr="0070523B">
              <w:rPr>
                <w:rFonts w:cs="Arial"/>
                <w:sz w:val="16"/>
                <w:szCs w:val="16"/>
                <w:lang w:bidi="th-TH"/>
              </w:rPr>
              <w:t xml:space="preserve">No. of Hague </w:t>
            </w:r>
            <w:r>
              <w:rPr>
                <w:rFonts w:cs="Arial"/>
                <w:sz w:val="16"/>
                <w:szCs w:val="16"/>
                <w:lang w:bidi="th-TH"/>
              </w:rPr>
              <w:t>S</w:t>
            </w:r>
            <w:r w:rsidRPr="0070523B">
              <w:rPr>
                <w:rFonts w:cs="Arial"/>
                <w:sz w:val="16"/>
                <w:szCs w:val="16"/>
                <w:lang w:bidi="th-TH"/>
              </w:rPr>
              <w:t>ystem applications originating from transition and developed countries</w:t>
            </w:r>
          </w:p>
        </w:tc>
        <w:tc>
          <w:tcPr>
            <w:tcW w:w="1270" w:type="pct"/>
            <w:shd w:val="clear" w:color="auto" w:fill="auto"/>
          </w:tcPr>
          <w:p w:rsidR="00F153C1" w:rsidRDefault="00F153C1" w:rsidP="00FD7155">
            <w:pPr>
              <w:rPr>
                <w:rFonts w:cs="Arial"/>
                <w:i/>
                <w:color w:val="002060"/>
                <w:sz w:val="16"/>
                <w:szCs w:val="16"/>
              </w:rPr>
            </w:pPr>
            <w:r w:rsidRPr="00083772">
              <w:rPr>
                <w:rFonts w:cs="Arial"/>
                <w:i/>
                <w:color w:val="002060"/>
                <w:sz w:val="16"/>
                <w:szCs w:val="16"/>
              </w:rPr>
              <w:t>Updated Baseline end 201</w:t>
            </w:r>
            <w:r>
              <w:rPr>
                <w:rFonts w:cs="Arial"/>
                <w:i/>
                <w:color w:val="002060"/>
                <w:sz w:val="16"/>
                <w:szCs w:val="16"/>
              </w:rPr>
              <w:t>3</w:t>
            </w:r>
            <w:r w:rsidRPr="00083772">
              <w:rPr>
                <w:rFonts w:cs="Arial"/>
                <w:i/>
                <w:color w:val="002060"/>
                <w:sz w:val="16"/>
                <w:szCs w:val="16"/>
              </w:rPr>
              <w:t xml:space="preserve">:  </w:t>
            </w:r>
          </w:p>
          <w:p w:rsidR="00F153C1" w:rsidRPr="00E30B62" w:rsidRDefault="00F153C1" w:rsidP="00FD7155">
            <w:pPr>
              <w:rPr>
                <w:rFonts w:cs="Arial"/>
                <w:color w:val="002060"/>
                <w:sz w:val="16"/>
                <w:szCs w:val="16"/>
              </w:rPr>
            </w:pPr>
            <w:r w:rsidRPr="00B775C9">
              <w:rPr>
                <w:rFonts w:cs="Arial"/>
                <w:color w:val="002060"/>
                <w:sz w:val="16"/>
                <w:szCs w:val="16"/>
              </w:rPr>
              <w:t>2,9</w:t>
            </w:r>
            <w:r>
              <w:rPr>
                <w:rFonts w:cs="Arial"/>
                <w:color w:val="002060"/>
                <w:sz w:val="16"/>
                <w:szCs w:val="16"/>
              </w:rPr>
              <w:t>27</w:t>
            </w:r>
            <w:r w:rsidRPr="00B775C9">
              <w:rPr>
                <w:rFonts w:cs="Arial"/>
                <w:color w:val="002060"/>
                <w:sz w:val="16"/>
                <w:szCs w:val="16"/>
              </w:rPr>
              <w:t xml:space="preserve"> (</w:t>
            </w:r>
            <w:r>
              <w:rPr>
                <w:rFonts w:cs="Arial"/>
                <w:color w:val="002060"/>
                <w:sz w:val="16"/>
                <w:szCs w:val="16"/>
              </w:rPr>
              <w:t xml:space="preserve">2013) </w:t>
            </w:r>
          </w:p>
          <w:p w:rsidR="00F153C1" w:rsidRPr="00E30B62" w:rsidRDefault="00F153C1" w:rsidP="00FD7155">
            <w:pPr>
              <w:rPr>
                <w:rFonts w:cs="Arial"/>
                <w:color w:val="002060"/>
                <w:sz w:val="16"/>
                <w:szCs w:val="16"/>
              </w:rPr>
            </w:pPr>
            <w:r>
              <w:rPr>
                <w:rFonts w:cs="Arial"/>
                <w:color w:val="002060"/>
                <w:sz w:val="16"/>
                <w:szCs w:val="16"/>
              </w:rPr>
              <w:t xml:space="preserve">2,553 </w:t>
            </w:r>
            <w:r w:rsidRPr="003149F2">
              <w:rPr>
                <w:rFonts w:cs="Arial"/>
                <w:color w:val="002060"/>
                <w:sz w:val="16"/>
                <w:szCs w:val="16"/>
              </w:rPr>
              <w:t>(</w:t>
            </w:r>
            <w:r>
              <w:rPr>
                <w:rFonts w:cs="Arial"/>
                <w:color w:val="002060"/>
                <w:sz w:val="16"/>
                <w:szCs w:val="16"/>
              </w:rPr>
              <w:t>2012)</w:t>
            </w:r>
          </w:p>
          <w:p w:rsidR="00F153C1" w:rsidRPr="00B775C9" w:rsidRDefault="00F153C1" w:rsidP="00FD7155">
            <w:pPr>
              <w:rPr>
                <w:rFonts w:cs="Arial"/>
                <w:color w:val="002060"/>
                <w:sz w:val="16"/>
                <w:szCs w:val="16"/>
              </w:rPr>
            </w:pPr>
          </w:p>
          <w:p w:rsidR="00F153C1" w:rsidRPr="008D3FF3" w:rsidRDefault="00F153C1" w:rsidP="00FD7155">
            <w:pPr>
              <w:rPr>
                <w:rFonts w:cs="Arial"/>
                <w:i/>
                <w:sz w:val="8"/>
                <w:szCs w:val="8"/>
              </w:rPr>
            </w:pPr>
          </w:p>
          <w:p w:rsidR="00F153C1" w:rsidRDefault="00F153C1" w:rsidP="00FD7155">
            <w:pPr>
              <w:rPr>
                <w:rFonts w:cs="Arial"/>
                <w:sz w:val="16"/>
                <w:szCs w:val="16"/>
              </w:rPr>
            </w:pPr>
            <w:r w:rsidRPr="00083772">
              <w:rPr>
                <w:rFonts w:cs="Arial"/>
                <w:i/>
                <w:sz w:val="16"/>
                <w:szCs w:val="16"/>
              </w:rPr>
              <w:t>Original Baseline P&amp;B 201</w:t>
            </w:r>
            <w:r>
              <w:rPr>
                <w:rFonts w:cs="Arial"/>
                <w:i/>
                <w:sz w:val="16"/>
                <w:szCs w:val="16"/>
              </w:rPr>
              <w:t>4/15</w:t>
            </w:r>
            <w:r w:rsidRPr="00083772">
              <w:rPr>
                <w:rFonts w:cs="Arial"/>
                <w:i/>
                <w:sz w:val="16"/>
                <w:szCs w:val="16"/>
              </w:rPr>
              <w:t>:</w:t>
            </w:r>
            <w:r w:rsidRPr="0070523B">
              <w:rPr>
                <w:rFonts w:cs="Arial"/>
                <w:sz w:val="16"/>
                <w:szCs w:val="16"/>
              </w:rPr>
              <w:t xml:space="preserve"> </w:t>
            </w:r>
            <w:proofErr w:type="spellStart"/>
            <w:r w:rsidRPr="0070523B">
              <w:rPr>
                <w:rFonts w:cs="Arial"/>
                <w:sz w:val="16"/>
                <w:szCs w:val="16"/>
              </w:rPr>
              <w:t>tbd</w:t>
            </w:r>
            <w:proofErr w:type="spellEnd"/>
          </w:p>
          <w:p w:rsidR="00F153C1" w:rsidRPr="00083772" w:rsidRDefault="00F153C1" w:rsidP="00FD7155">
            <w:pPr>
              <w:rPr>
                <w:rFonts w:cs="Arial"/>
                <w:sz w:val="16"/>
                <w:szCs w:val="16"/>
                <w:lang w:bidi="th-TH"/>
              </w:rPr>
            </w:pPr>
          </w:p>
        </w:tc>
        <w:tc>
          <w:tcPr>
            <w:tcW w:w="822" w:type="pct"/>
            <w:shd w:val="clear" w:color="auto" w:fill="auto"/>
            <w:tcMar>
              <w:top w:w="110" w:type="dxa"/>
            </w:tcMar>
          </w:tcPr>
          <w:p w:rsidR="00F153C1" w:rsidRPr="00083772" w:rsidRDefault="00F153C1" w:rsidP="00FD7155">
            <w:pPr>
              <w:rPr>
                <w:rFonts w:cs="Arial"/>
                <w:sz w:val="16"/>
                <w:szCs w:val="16"/>
                <w:lang w:bidi="th-TH"/>
              </w:rPr>
            </w:pPr>
            <w:r w:rsidRPr="0070523B">
              <w:rPr>
                <w:rFonts w:cs="Arial"/>
                <w:sz w:val="16"/>
                <w:szCs w:val="16"/>
                <w:lang w:bidi="th-TH"/>
              </w:rPr>
              <w:t>2% increase</w:t>
            </w:r>
          </w:p>
        </w:tc>
        <w:tc>
          <w:tcPr>
            <w:tcW w:w="1272" w:type="pct"/>
            <w:shd w:val="clear" w:color="auto" w:fill="FFFFFF"/>
            <w:tcMar>
              <w:top w:w="110" w:type="dxa"/>
            </w:tcMar>
          </w:tcPr>
          <w:p w:rsidR="00F153C1" w:rsidRPr="0070523B" w:rsidRDefault="00F153C1" w:rsidP="00FD7155">
            <w:pPr>
              <w:rPr>
                <w:rFonts w:cs="Arial"/>
                <w:sz w:val="16"/>
                <w:szCs w:val="16"/>
                <w:lang w:bidi="th-TH"/>
              </w:rPr>
            </w:pPr>
            <w:r>
              <w:rPr>
                <w:rFonts w:cs="Arial"/>
                <w:sz w:val="16"/>
                <w:szCs w:val="16"/>
                <w:lang w:bidi="th-TH"/>
              </w:rPr>
              <w:t>2,776 (</w:t>
            </w:r>
            <w:r w:rsidRPr="0070523B">
              <w:rPr>
                <w:rFonts w:cs="Arial"/>
                <w:sz w:val="16"/>
                <w:szCs w:val="16"/>
                <w:lang w:bidi="th-TH"/>
              </w:rPr>
              <w:t>2014</w:t>
            </w:r>
            <w:r>
              <w:rPr>
                <w:rFonts w:cs="Arial"/>
                <w:sz w:val="16"/>
                <w:szCs w:val="16"/>
                <w:lang w:bidi="th-TH"/>
              </w:rPr>
              <w:t>) -5.16%</w:t>
            </w:r>
            <w:r>
              <w:rPr>
                <w:rStyle w:val="FootnoteReference"/>
                <w:rFonts w:cs="Arial"/>
                <w:sz w:val="16"/>
                <w:szCs w:val="16"/>
                <w:lang w:bidi="th-TH"/>
              </w:rPr>
              <w:footnoteReference w:id="33"/>
            </w:r>
          </w:p>
          <w:p w:rsidR="00F153C1" w:rsidRPr="001656CD" w:rsidRDefault="00F153C1" w:rsidP="00FD7155">
            <w:pPr>
              <w:rPr>
                <w:rFonts w:cs="Arial"/>
                <w:sz w:val="16"/>
                <w:szCs w:val="16"/>
              </w:rPr>
            </w:pPr>
          </w:p>
        </w:tc>
        <w:tc>
          <w:tcPr>
            <w:tcW w:w="517" w:type="pct"/>
            <w:shd w:val="clear" w:color="auto" w:fill="auto"/>
            <w:tcMar>
              <w:top w:w="110" w:type="dxa"/>
            </w:tcMar>
          </w:tcPr>
          <w:p w:rsidR="00F153C1" w:rsidRPr="0070523B" w:rsidRDefault="00F153C1" w:rsidP="00FD7155">
            <w:pPr>
              <w:keepNext/>
              <w:keepLines/>
              <w:jc w:val="center"/>
              <w:rPr>
                <w:rFonts w:cs="Arial"/>
                <w:b/>
                <w:bCs/>
                <w:color w:val="808080"/>
                <w:sz w:val="16"/>
                <w:szCs w:val="16"/>
              </w:rPr>
            </w:pPr>
            <w:r w:rsidRPr="0070523B">
              <w:rPr>
                <w:rFonts w:cs="Arial"/>
                <w:b/>
                <w:bCs/>
                <w:color w:val="FF0000"/>
                <w:sz w:val="16"/>
                <w:szCs w:val="16"/>
              </w:rPr>
              <w:t>Not</w:t>
            </w:r>
            <w:r>
              <w:rPr>
                <w:rFonts w:cs="Arial"/>
                <w:b/>
                <w:bCs/>
                <w:color w:val="FF0000"/>
                <w:sz w:val="16"/>
                <w:szCs w:val="16"/>
              </w:rPr>
              <w:br/>
            </w:r>
            <w:r w:rsidRPr="0070523B">
              <w:rPr>
                <w:rFonts w:cs="Arial"/>
                <w:b/>
                <w:bCs/>
                <w:color w:val="FF0000"/>
                <w:sz w:val="16"/>
                <w:szCs w:val="16"/>
              </w:rPr>
              <w:t>on track</w:t>
            </w:r>
          </w:p>
        </w:tc>
      </w:tr>
    </w:tbl>
    <w:p w:rsidR="00F153C1" w:rsidRDefault="00F153C1"/>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2408"/>
        <w:gridCol w:w="6"/>
        <w:gridCol w:w="1560"/>
        <w:gridCol w:w="6"/>
        <w:gridCol w:w="2405"/>
        <w:gridCol w:w="8"/>
        <w:gridCol w:w="978"/>
      </w:tblGrid>
      <w:tr w:rsidR="00F153C1" w:rsidRPr="001656CD" w:rsidTr="00F153C1">
        <w:trPr>
          <w:cantSplit/>
          <w:trHeight w:val="471"/>
        </w:trPr>
        <w:tc>
          <w:tcPr>
            <w:tcW w:w="5000" w:type="pct"/>
            <w:gridSpan w:val="8"/>
            <w:tcBorders>
              <w:top w:val="single" w:sz="4" w:space="0" w:color="auto"/>
              <w:bottom w:val="single" w:sz="4" w:space="0" w:color="auto"/>
            </w:tcBorders>
            <w:shd w:val="clear" w:color="auto" w:fill="CCFFFF"/>
            <w:vAlign w:val="center"/>
          </w:tcPr>
          <w:p w:rsidR="00F153C1" w:rsidRPr="001656CD" w:rsidRDefault="00F153C1" w:rsidP="00FD7155">
            <w:pPr>
              <w:keepNext/>
              <w:keepLines/>
              <w:tabs>
                <w:tab w:val="left" w:pos="1452"/>
              </w:tabs>
              <w:ind w:left="1452" w:hanging="1452"/>
              <w:rPr>
                <w:rFonts w:cs="Arial"/>
                <w:b/>
                <w:bCs/>
                <w:sz w:val="16"/>
                <w:szCs w:val="16"/>
              </w:rPr>
            </w:pPr>
            <w:r w:rsidRPr="001656CD">
              <w:rPr>
                <w:rFonts w:cs="Arial"/>
                <w:b/>
                <w:bCs/>
                <w:sz w:val="16"/>
                <w:szCs w:val="16"/>
              </w:rPr>
              <w:lastRenderedPageBreak/>
              <w:t>Expected Result:</w:t>
            </w:r>
            <w:r w:rsidRPr="001656CD">
              <w:rPr>
                <w:rFonts w:cs="Arial"/>
                <w:b/>
                <w:bCs/>
                <w:sz w:val="16"/>
                <w:szCs w:val="16"/>
              </w:rPr>
              <w:tab/>
            </w:r>
            <w:r w:rsidRPr="0070523B">
              <w:rPr>
                <w:rFonts w:cs="Arial"/>
                <w:color w:val="000000"/>
                <w:sz w:val="16"/>
                <w:szCs w:val="16"/>
                <w:lang w:bidi="th-TH"/>
              </w:rPr>
              <w:t>II.6 Wider and better use of the Madrid &amp; Lisbon systems, including by developing countries and LDCs</w:t>
            </w:r>
          </w:p>
        </w:tc>
      </w:tr>
      <w:tr w:rsidR="00F153C1" w:rsidRPr="00BC6547" w:rsidTr="00F153C1">
        <w:trPr>
          <w:cantSplit/>
        </w:trPr>
        <w:tc>
          <w:tcPr>
            <w:tcW w:w="1120" w:type="pct"/>
            <w:tcBorders>
              <w:top w:val="single" w:sz="4" w:space="0" w:color="auto"/>
            </w:tcBorders>
            <w:shd w:val="clear" w:color="auto" w:fill="auto"/>
            <w:vAlign w:val="center"/>
          </w:tcPr>
          <w:p w:rsidR="00F153C1" w:rsidRPr="00BC6547" w:rsidRDefault="00F153C1" w:rsidP="00FD7155">
            <w:pPr>
              <w:rPr>
                <w:rFonts w:cs="Arial"/>
                <w:sz w:val="16"/>
                <w:szCs w:val="16"/>
              </w:rPr>
            </w:pPr>
            <w:r w:rsidRPr="00BC6547">
              <w:rPr>
                <w:rFonts w:cs="Arial"/>
                <w:b/>
                <w:bCs/>
                <w:sz w:val="16"/>
                <w:szCs w:val="16"/>
              </w:rPr>
              <w:t>Performance Indicators</w:t>
            </w:r>
          </w:p>
        </w:tc>
        <w:tc>
          <w:tcPr>
            <w:tcW w:w="1271" w:type="pct"/>
            <w:gridSpan w:val="2"/>
            <w:tcBorders>
              <w:top w:val="single" w:sz="4" w:space="0" w:color="auto"/>
            </w:tcBorders>
            <w:shd w:val="clear" w:color="auto" w:fill="auto"/>
            <w:vAlign w:val="center"/>
          </w:tcPr>
          <w:p w:rsidR="00F153C1" w:rsidRPr="00BC6547" w:rsidRDefault="00F153C1" w:rsidP="00FD7155">
            <w:pPr>
              <w:rPr>
                <w:rFonts w:cs="Arial"/>
                <w:b/>
                <w:bCs/>
                <w:sz w:val="16"/>
                <w:szCs w:val="16"/>
              </w:rPr>
            </w:pPr>
            <w:r w:rsidRPr="00BC6547">
              <w:rPr>
                <w:rFonts w:cs="Arial"/>
                <w:b/>
                <w:bCs/>
                <w:sz w:val="16"/>
                <w:szCs w:val="16"/>
              </w:rPr>
              <w:t>Baselines</w:t>
            </w:r>
          </w:p>
        </w:tc>
        <w:tc>
          <w:tcPr>
            <w:tcW w:w="824" w:type="pct"/>
            <w:gridSpan w:val="2"/>
            <w:tcBorders>
              <w:top w:val="single" w:sz="4" w:space="0" w:color="auto"/>
            </w:tcBorders>
            <w:shd w:val="clear" w:color="auto" w:fill="auto"/>
            <w:tcMar>
              <w:top w:w="110" w:type="dxa"/>
            </w:tcMar>
            <w:vAlign w:val="center"/>
          </w:tcPr>
          <w:p w:rsidR="00F153C1" w:rsidRPr="00CD26D6" w:rsidRDefault="00F153C1" w:rsidP="00FD7155">
            <w:pPr>
              <w:rPr>
                <w:rFonts w:cs="Arial"/>
                <w:b/>
                <w:sz w:val="16"/>
                <w:szCs w:val="16"/>
              </w:rPr>
            </w:pPr>
            <w:r w:rsidRPr="00BC6547">
              <w:rPr>
                <w:rFonts w:cs="Arial"/>
                <w:b/>
                <w:sz w:val="16"/>
                <w:szCs w:val="16"/>
              </w:rPr>
              <w:t>Targets</w:t>
            </w:r>
          </w:p>
        </w:tc>
        <w:tc>
          <w:tcPr>
            <w:tcW w:w="1270" w:type="pct"/>
            <w:gridSpan w:val="2"/>
            <w:tcBorders>
              <w:top w:val="single" w:sz="4" w:space="0" w:color="auto"/>
            </w:tcBorders>
            <w:shd w:val="clear" w:color="auto" w:fill="FFFFFF"/>
            <w:tcMar>
              <w:top w:w="110" w:type="dxa"/>
            </w:tcMar>
            <w:vAlign w:val="center"/>
          </w:tcPr>
          <w:p w:rsidR="00F153C1" w:rsidRPr="00BC6547" w:rsidRDefault="00F153C1" w:rsidP="00FD7155">
            <w:pPr>
              <w:rPr>
                <w:rFonts w:cs="Arial"/>
                <w:sz w:val="16"/>
                <w:szCs w:val="16"/>
              </w:rPr>
            </w:pPr>
            <w:r w:rsidRPr="00BC6547">
              <w:rPr>
                <w:rFonts w:cs="Arial"/>
                <w:b/>
                <w:bCs/>
                <w:sz w:val="16"/>
                <w:szCs w:val="16"/>
              </w:rPr>
              <w:t>Performance Data</w:t>
            </w:r>
          </w:p>
        </w:tc>
        <w:tc>
          <w:tcPr>
            <w:tcW w:w="515" w:type="pct"/>
            <w:tcBorders>
              <w:top w:val="single" w:sz="4" w:space="0" w:color="auto"/>
            </w:tcBorders>
            <w:shd w:val="clear" w:color="auto" w:fill="auto"/>
            <w:tcMar>
              <w:top w:w="110" w:type="dxa"/>
            </w:tcMar>
            <w:vAlign w:val="center"/>
          </w:tcPr>
          <w:p w:rsidR="00F153C1" w:rsidRPr="00CD26D6" w:rsidRDefault="00F153C1" w:rsidP="00FD7155">
            <w:pPr>
              <w:keepNext/>
              <w:keepLines/>
              <w:jc w:val="center"/>
              <w:rPr>
                <w:rFonts w:cs="Arial"/>
                <w:b/>
                <w:bCs/>
                <w:sz w:val="16"/>
                <w:szCs w:val="16"/>
              </w:rPr>
            </w:pPr>
            <w:r w:rsidRPr="00BC6547">
              <w:rPr>
                <w:rFonts w:cs="Arial"/>
                <w:b/>
                <w:bCs/>
                <w:sz w:val="16"/>
                <w:szCs w:val="16"/>
              </w:rPr>
              <w:t>TLS</w:t>
            </w:r>
          </w:p>
        </w:tc>
      </w:tr>
      <w:tr w:rsidR="00F153C1" w:rsidRPr="001656CD" w:rsidTr="00F153C1">
        <w:trPr>
          <w:cantSplit/>
        </w:trPr>
        <w:tc>
          <w:tcPr>
            <w:tcW w:w="1120" w:type="pct"/>
            <w:shd w:val="clear" w:color="auto" w:fill="auto"/>
          </w:tcPr>
          <w:p w:rsidR="00F153C1" w:rsidRPr="00083772" w:rsidRDefault="00F153C1" w:rsidP="00FD7155">
            <w:pPr>
              <w:rPr>
                <w:rFonts w:cs="Arial"/>
                <w:sz w:val="16"/>
                <w:szCs w:val="16"/>
                <w:lang w:bidi="th-TH"/>
              </w:rPr>
            </w:pPr>
            <w:r w:rsidRPr="0070523B">
              <w:rPr>
                <w:rFonts w:cs="Arial"/>
                <w:sz w:val="16"/>
                <w:szCs w:val="16"/>
                <w:lang w:bidi="th-TH"/>
              </w:rPr>
              <w:t xml:space="preserve">No. of Madrid &amp; Lisbon </w:t>
            </w:r>
            <w:r w:rsidR="004F7691">
              <w:rPr>
                <w:rFonts w:cs="Arial"/>
                <w:sz w:val="16"/>
                <w:szCs w:val="16"/>
                <w:lang w:bidi="th-TH"/>
              </w:rPr>
              <w:t>S</w:t>
            </w:r>
            <w:r w:rsidRPr="0070523B">
              <w:rPr>
                <w:rFonts w:cs="Arial"/>
                <w:sz w:val="16"/>
                <w:szCs w:val="16"/>
                <w:lang w:bidi="th-TH"/>
              </w:rPr>
              <w:t>ystem applications originating from transition and developed countries</w:t>
            </w:r>
          </w:p>
        </w:tc>
        <w:tc>
          <w:tcPr>
            <w:tcW w:w="1271" w:type="pct"/>
            <w:gridSpan w:val="2"/>
            <w:shd w:val="clear" w:color="auto" w:fill="auto"/>
          </w:tcPr>
          <w:p w:rsidR="00F153C1" w:rsidRDefault="00F153C1" w:rsidP="00FD7155">
            <w:pPr>
              <w:rPr>
                <w:rFonts w:cs="Arial"/>
                <w:i/>
                <w:color w:val="002060"/>
                <w:sz w:val="16"/>
                <w:szCs w:val="16"/>
              </w:rPr>
            </w:pPr>
            <w:r w:rsidRPr="00083772">
              <w:rPr>
                <w:rFonts w:cs="Arial"/>
                <w:i/>
                <w:color w:val="002060"/>
                <w:sz w:val="16"/>
                <w:szCs w:val="16"/>
              </w:rPr>
              <w:t>Updated Baseline end 201</w:t>
            </w:r>
            <w:r>
              <w:rPr>
                <w:rFonts w:cs="Arial"/>
                <w:i/>
                <w:color w:val="002060"/>
                <w:sz w:val="16"/>
                <w:szCs w:val="16"/>
              </w:rPr>
              <w:t>3</w:t>
            </w:r>
            <w:r w:rsidRPr="00083772">
              <w:rPr>
                <w:rFonts w:cs="Arial"/>
                <w:i/>
                <w:color w:val="002060"/>
                <w:sz w:val="16"/>
                <w:szCs w:val="16"/>
              </w:rPr>
              <w:t xml:space="preserve">:  </w:t>
            </w:r>
          </w:p>
          <w:p w:rsidR="00F153C1" w:rsidRDefault="00F153C1" w:rsidP="00FD7155">
            <w:pPr>
              <w:rPr>
                <w:rFonts w:cs="Arial"/>
                <w:color w:val="002060"/>
                <w:sz w:val="16"/>
                <w:szCs w:val="16"/>
              </w:rPr>
            </w:pPr>
            <w:r>
              <w:rPr>
                <w:rFonts w:cs="Arial"/>
                <w:color w:val="002060"/>
                <w:sz w:val="16"/>
                <w:szCs w:val="16"/>
              </w:rPr>
              <w:t>Madrid:</w:t>
            </w:r>
          </w:p>
          <w:p w:rsidR="00F153C1" w:rsidRDefault="00F153C1" w:rsidP="00FD7155">
            <w:pPr>
              <w:rPr>
                <w:rFonts w:cs="Arial"/>
                <w:color w:val="002060"/>
                <w:sz w:val="16"/>
                <w:szCs w:val="16"/>
              </w:rPr>
            </w:pPr>
            <w:r>
              <w:rPr>
                <w:rFonts w:cs="Arial"/>
                <w:color w:val="002060"/>
                <w:sz w:val="16"/>
                <w:szCs w:val="16"/>
              </w:rPr>
              <w:t>43,149</w:t>
            </w:r>
            <w:r w:rsidRPr="003149F2">
              <w:rPr>
                <w:rFonts w:cs="Arial"/>
                <w:color w:val="002060"/>
                <w:sz w:val="16"/>
                <w:szCs w:val="16"/>
              </w:rPr>
              <w:t xml:space="preserve"> (</w:t>
            </w:r>
            <w:r>
              <w:rPr>
                <w:rFonts w:cs="Arial"/>
                <w:color w:val="002060"/>
                <w:sz w:val="16"/>
                <w:szCs w:val="16"/>
              </w:rPr>
              <w:t>2013)</w:t>
            </w:r>
          </w:p>
          <w:p w:rsidR="00F153C1" w:rsidRPr="00E30B62" w:rsidRDefault="00F153C1" w:rsidP="00FD7155">
            <w:pPr>
              <w:rPr>
                <w:rFonts w:cs="Arial"/>
                <w:color w:val="002060"/>
                <w:sz w:val="16"/>
                <w:szCs w:val="16"/>
              </w:rPr>
            </w:pPr>
            <w:r>
              <w:rPr>
                <w:rFonts w:cs="Arial"/>
                <w:color w:val="002060"/>
                <w:sz w:val="16"/>
                <w:szCs w:val="16"/>
              </w:rPr>
              <w:t>40,640 (2012)</w:t>
            </w:r>
          </w:p>
          <w:p w:rsidR="00F153C1" w:rsidRDefault="00F153C1" w:rsidP="00FD7155">
            <w:pPr>
              <w:rPr>
                <w:rFonts w:cs="Arial"/>
                <w:color w:val="002060"/>
                <w:sz w:val="16"/>
                <w:szCs w:val="16"/>
              </w:rPr>
            </w:pPr>
          </w:p>
          <w:p w:rsidR="00F153C1" w:rsidRPr="0070523B" w:rsidRDefault="00F153C1" w:rsidP="00FD7155">
            <w:pPr>
              <w:rPr>
                <w:rFonts w:cs="Arial"/>
                <w:color w:val="002060"/>
                <w:sz w:val="16"/>
                <w:szCs w:val="16"/>
              </w:rPr>
            </w:pPr>
            <w:r>
              <w:rPr>
                <w:rFonts w:cs="Arial"/>
                <w:color w:val="002060"/>
                <w:sz w:val="16"/>
                <w:szCs w:val="16"/>
              </w:rPr>
              <w:t>Lisbon:</w:t>
            </w:r>
          </w:p>
          <w:p w:rsidR="00F153C1" w:rsidRPr="0070523B" w:rsidRDefault="00F153C1" w:rsidP="00FD7155">
            <w:pPr>
              <w:rPr>
                <w:rFonts w:cs="Arial"/>
                <w:color w:val="002060"/>
                <w:sz w:val="16"/>
                <w:szCs w:val="16"/>
              </w:rPr>
            </w:pPr>
            <w:r>
              <w:rPr>
                <w:rFonts w:cs="Arial"/>
                <w:color w:val="002060"/>
                <w:sz w:val="16"/>
                <w:szCs w:val="16"/>
              </w:rPr>
              <w:t>749 out of 816</w:t>
            </w:r>
            <w:r w:rsidRPr="0070523B">
              <w:rPr>
                <w:rFonts w:cs="Arial"/>
                <w:color w:val="002060"/>
                <w:sz w:val="16"/>
                <w:szCs w:val="16"/>
              </w:rPr>
              <w:t xml:space="preserve"> registrations in force </w:t>
            </w:r>
          </w:p>
          <w:p w:rsidR="00F153C1" w:rsidRPr="008D3FF3" w:rsidRDefault="00F153C1" w:rsidP="00FD7155">
            <w:pPr>
              <w:rPr>
                <w:rFonts w:cs="Arial"/>
                <w:i/>
                <w:sz w:val="8"/>
                <w:szCs w:val="8"/>
              </w:rPr>
            </w:pPr>
          </w:p>
          <w:p w:rsidR="00F153C1" w:rsidRPr="00083772" w:rsidRDefault="00F153C1" w:rsidP="00FD7155">
            <w:pPr>
              <w:rPr>
                <w:rFonts w:cs="Arial"/>
                <w:sz w:val="16"/>
                <w:szCs w:val="16"/>
                <w:lang w:bidi="th-TH"/>
              </w:rPr>
            </w:pPr>
            <w:r w:rsidRPr="00083772">
              <w:rPr>
                <w:rFonts w:cs="Arial"/>
                <w:i/>
                <w:sz w:val="16"/>
                <w:szCs w:val="16"/>
              </w:rPr>
              <w:t>Original Baseline P&amp;B 201</w:t>
            </w:r>
            <w:r>
              <w:rPr>
                <w:rFonts w:cs="Arial"/>
                <w:i/>
                <w:sz w:val="16"/>
                <w:szCs w:val="16"/>
              </w:rPr>
              <w:t>4/15</w:t>
            </w:r>
            <w:r w:rsidRPr="00083772">
              <w:rPr>
                <w:rFonts w:cs="Arial"/>
                <w:i/>
                <w:sz w:val="16"/>
                <w:szCs w:val="16"/>
              </w:rPr>
              <w:t>:</w:t>
            </w:r>
            <w:r w:rsidRPr="0070523B">
              <w:rPr>
                <w:rFonts w:cs="Arial"/>
                <w:sz w:val="16"/>
                <w:szCs w:val="16"/>
              </w:rPr>
              <w:t xml:space="preserve"> </w:t>
            </w:r>
            <w:proofErr w:type="spellStart"/>
            <w:r w:rsidRPr="0070523B">
              <w:rPr>
                <w:rFonts w:cs="Arial"/>
                <w:sz w:val="16"/>
                <w:szCs w:val="16"/>
              </w:rPr>
              <w:t>tbd</w:t>
            </w:r>
            <w:proofErr w:type="spellEnd"/>
          </w:p>
        </w:tc>
        <w:tc>
          <w:tcPr>
            <w:tcW w:w="824" w:type="pct"/>
            <w:gridSpan w:val="2"/>
            <w:shd w:val="clear" w:color="auto" w:fill="auto"/>
            <w:tcMar>
              <w:top w:w="110" w:type="dxa"/>
            </w:tcMar>
          </w:tcPr>
          <w:p w:rsidR="00F153C1" w:rsidRPr="00083772" w:rsidRDefault="00F153C1" w:rsidP="00FD7155">
            <w:pPr>
              <w:rPr>
                <w:rFonts w:cs="Arial"/>
                <w:sz w:val="16"/>
                <w:szCs w:val="16"/>
              </w:rPr>
            </w:pPr>
            <w:r w:rsidRPr="0070523B">
              <w:rPr>
                <w:rFonts w:cs="Arial"/>
                <w:sz w:val="16"/>
                <w:szCs w:val="16"/>
                <w:lang w:bidi="th-TH"/>
              </w:rPr>
              <w:t>2% increase</w:t>
            </w:r>
          </w:p>
        </w:tc>
        <w:tc>
          <w:tcPr>
            <w:tcW w:w="1270" w:type="pct"/>
            <w:gridSpan w:val="2"/>
            <w:shd w:val="clear" w:color="auto" w:fill="FFFFFF"/>
            <w:tcMar>
              <w:top w:w="110" w:type="dxa"/>
            </w:tcMar>
          </w:tcPr>
          <w:p w:rsidR="00F153C1" w:rsidRPr="0070523B" w:rsidRDefault="00F153C1" w:rsidP="00FD7155">
            <w:pPr>
              <w:keepNext/>
              <w:keepLines/>
              <w:outlineLvl w:val="4"/>
              <w:rPr>
                <w:rFonts w:cs="Arial"/>
                <w:sz w:val="16"/>
                <w:szCs w:val="16"/>
                <w:lang w:bidi="th-TH"/>
              </w:rPr>
            </w:pPr>
            <w:r w:rsidRPr="0070523B">
              <w:rPr>
                <w:rFonts w:cs="Arial"/>
                <w:sz w:val="16"/>
                <w:szCs w:val="16"/>
                <w:lang w:bidi="th-TH"/>
              </w:rPr>
              <w:t>Madrid:</w:t>
            </w:r>
          </w:p>
          <w:p w:rsidR="00F153C1" w:rsidRPr="0070523B" w:rsidRDefault="00F153C1" w:rsidP="00FD7155">
            <w:pPr>
              <w:rPr>
                <w:rFonts w:cs="Arial"/>
                <w:sz w:val="16"/>
                <w:szCs w:val="16"/>
                <w:lang w:bidi="th-TH"/>
              </w:rPr>
            </w:pPr>
            <w:r>
              <w:rPr>
                <w:rFonts w:cs="Arial"/>
                <w:sz w:val="16"/>
                <w:szCs w:val="16"/>
                <w:lang w:bidi="th-TH"/>
              </w:rPr>
              <w:t>43,748  (</w:t>
            </w:r>
            <w:r w:rsidRPr="0070523B">
              <w:rPr>
                <w:rFonts w:cs="Arial"/>
                <w:sz w:val="16"/>
                <w:szCs w:val="16"/>
                <w:lang w:bidi="th-TH"/>
              </w:rPr>
              <w:t>2014</w:t>
            </w:r>
            <w:r>
              <w:rPr>
                <w:rFonts w:cs="Arial"/>
                <w:sz w:val="16"/>
                <w:szCs w:val="16"/>
                <w:lang w:bidi="th-TH"/>
              </w:rPr>
              <w:t>) +1.39%</w:t>
            </w:r>
            <w:r>
              <w:rPr>
                <w:rStyle w:val="FootnoteReference"/>
                <w:rFonts w:cs="Arial"/>
                <w:sz w:val="16"/>
                <w:szCs w:val="16"/>
                <w:lang w:bidi="th-TH"/>
              </w:rPr>
              <w:footnoteReference w:id="34"/>
            </w:r>
          </w:p>
          <w:p w:rsidR="00F153C1" w:rsidRPr="0070523B" w:rsidRDefault="00F153C1" w:rsidP="00FD7155">
            <w:pPr>
              <w:keepNext/>
              <w:keepLines/>
              <w:outlineLvl w:val="4"/>
              <w:rPr>
                <w:rFonts w:cs="Arial"/>
                <w:sz w:val="16"/>
                <w:szCs w:val="16"/>
                <w:lang w:bidi="th-TH"/>
              </w:rPr>
            </w:pPr>
          </w:p>
          <w:p w:rsidR="00F153C1" w:rsidRDefault="00F153C1" w:rsidP="00FD7155">
            <w:pPr>
              <w:keepNext/>
              <w:keepLines/>
              <w:outlineLvl w:val="4"/>
              <w:rPr>
                <w:rFonts w:cs="Arial"/>
                <w:sz w:val="16"/>
                <w:szCs w:val="16"/>
                <w:lang w:bidi="th-TH"/>
              </w:rPr>
            </w:pPr>
            <w:r w:rsidRPr="0070523B">
              <w:rPr>
                <w:rFonts w:cs="Arial"/>
                <w:sz w:val="16"/>
                <w:szCs w:val="16"/>
                <w:lang w:bidi="th-TH"/>
              </w:rPr>
              <w:t>Lisbon</w:t>
            </w:r>
            <w:r>
              <w:rPr>
                <w:rFonts w:cs="Arial"/>
                <w:sz w:val="16"/>
                <w:szCs w:val="16"/>
                <w:lang w:bidi="th-TH"/>
              </w:rPr>
              <w:t>: 818 out of 896 registrations in force (2014) +9.2%</w:t>
            </w:r>
          </w:p>
          <w:p w:rsidR="00F153C1" w:rsidRPr="0070523B" w:rsidRDefault="00F153C1" w:rsidP="00FD7155">
            <w:pPr>
              <w:keepNext/>
              <w:keepLines/>
              <w:outlineLvl w:val="4"/>
              <w:rPr>
                <w:rFonts w:cs="Arial"/>
                <w:sz w:val="16"/>
                <w:szCs w:val="16"/>
                <w:lang w:bidi="th-TH"/>
              </w:rPr>
            </w:pPr>
          </w:p>
          <w:p w:rsidR="00F153C1" w:rsidRPr="001656CD" w:rsidRDefault="00F153C1" w:rsidP="00FD7155">
            <w:pPr>
              <w:rPr>
                <w:rFonts w:cs="Arial"/>
                <w:sz w:val="16"/>
                <w:szCs w:val="16"/>
              </w:rPr>
            </w:pPr>
          </w:p>
        </w:tc>
        <w:tc>
          <w:tcPr>
            <w:tcW w:w="515" w:type="pct"/>
            <w:shd w:val="clear" w:color="auto" w:fill="auto"/>
            <w:tcMar>
              <w:top w:w="110" w:type="dxa"/>
            </w:tcMar>
          </w:tcPr>
          <w:p w:rsidR="00F153C1" w:rsidRPr="001656CD" w:rsidRDefault="00F153C1" w:rsidP="00FD7155">
            <w:pPr>
              <w:keepNext/>
              <w:keepLines/>
              <w:jc w:val="center"/>
              <w:rPr>
                <w:rFonts w:cs="Arial"/>
                <w:bCs/>
                <w:color w:val="808080"/>
                <w:sz w:val="16"/>
                <w:szCs w:val="16"/>
              </w:rPr>
            </w:pPr>
            <w:r w:rsidRPr="00C5428C">
              <w:rPr>
                <w:rFonts w:cs="Arial"/>
                <w:b/>
                <w:bCs/>
                <w:color w:val="00B050"/>
                <w:sz w:val="16"/>
                <w:szCs w:val="16"/>
              </w:rPr>
              <w:t>On track</w:t>
            </w:r>
          </w:p>
        </w:tc>
      </w:tr>
      <w:tr w:rsidR="00F153C1" w:rsidRPr="001656CD" w:rsidTr="00F153C1">
        <w:trPr>
          <w:cantSplit/>
          <w:trHeight w:val="445"/>
        </w:trPr>
        <w:tc>
          <w:tcPr>
            <w:tcW w:w="5000" w:type="pct"/>
            <w:gridSpan w:val="8"/>
            <w:tcBorders>
              <w:top w:val="single" w:sz="4" w:space="0" w:color="auto"/>
              <w:bottom w:val="single" w:sz="4" w:space="0" w:color="auto"/>
            </w:tcBorders>
            <w:shd w:val="clear" w:color="auto" w:fill="CCFFFF"/>
            <w:vAlign w:val="center"/>
          </w:tcPr>
          <w:p w:rsidR="00F153C1" w:rsidRPr="001656CD" w:rsidRDefault="00F153C1" w:rsidP="00FD7155">
            <w:pPr>
              <w:keepNext/>
              <w:keepLines/>
              <w:tabs>
                <w:tab w:val="left" w:pos="1452"/>
              </w:tabs>
              <w:ind w:left="1452" w:hanging="1452"/>
              <w:rPr>
                <w:rFonts w:cs="Arial"/>
                <w:b/>
                <w:bCs/>
                <w:sz w:val="16"/>
                <w:szCs w:val="16"/>
              </w:rPr>
            </w:pPr>
            <w:r w:rsidRPr="001656CD">
              <w:rPr>
                <w:rFonts w:cs="Arial"/>
                <w:b/>
                <w:bCs/>
                <w:sz w:val="16"/>
                <w:szCs w:val="16"/>
              </w:rPr>
              <w:t>Expected Result:</w:t>
            </w:r>
            <w:r w:rsidRPr="001656CD">
              <w:rPr>
                <w:rFonts w:cs="Arial"/>
                <w:b/>
                <w:bCs/>
                <w:sz w:val="16"/>
                <w:szCs w:val="16"/>
              </w:rPr>
              <w:tab/>
            </w:r>
            <w:r w:rsidRPr="0070523B">
              <w:rPr>
                <w:rFonts w:cs="Arial"/>
                <w:sz w:val="16"/>
                <w:szCs w:val="16"/>
                <w:lang w:bidi="th-TH"/>
              </w:rPr>
              <w:t>II.8 International and domestic intellectual property disputes are increasingly prevented or resolved through WIPO mediation, arbitration and other alternative dispute resolution methods</w:t>
            </w:r>
          </w:p>
        </w:tc>
      </w:tr>
      <w:tr w:rsidR="00F153C1" w:rsidRPr="00BC6547" w:rsidTr="00F153C1">
        <w:trPr>
          <w:cantSplit/>
        </w:trPr>
        <w:tc>
          <w:tcPr>
            <w:tcW w:w="1120" w:type="pct"/>
            <w:tcBorders>
              <w:top w:val="single" w:sz="4" w:space="0" w:color="auto"/>
            </w:tcBorders>
            <w:shd w:val="clear" w:color="auto" w:fill="auto"/>
            <w:vAlign w:val="center"/>
          </w:tcPr>
          <w:p w:rsidR="00F153C1" w:rsidRPr="00BC6547" w:rsidRDefault="00F153C1" w:rsidP="00FD7155">
            <w:pPr>
              <w:keepNext/>
              <w:keepLines/>
              <w:rPr>
                <w:rFonts w:cs="Arial"/>
                <w:sz w:val="16"/>
                <w:szCs w:val="16"/>
              </w:rPr>
            </w:pPr>
            <w:r w:rsidRPr="00BC6547">
              <w:rPr>
                <w:rFonts w:cs="Arial"/>
                <w:b/>
                <w:bCs/>
                <w:sz w:val="16"/>
                <w:szCs w:val="16"/>
              </w:rPr>
              <w:t>Performance Indicators</w:t>
            </w:r>
          </w:p>
        </w:tc>
        <w:tc>
          <w:tcPr>
            <w:tcW w:w="1271" w:type="pct"/>
            <w:gridSpan w:val="2"/>
            <w:tcBorders>
              <w:top w:val="single" w:sz="4" w:space="0" w:color="auto"/>
            </w:tcBorders>
            <w:shd w:val="clear" w:color="auto" w:fill="auto"/>
            <w:vAlign w:val="center"/>
          </w:tcPr>
          <w:p w:rsidR="00F153C1" w:rsidRPr="00BC6547" w:rsidRDefault="00F153C1" w:rsidP="00FD7155">
            <w:pPr>
              <w:keepNext/>
              <w:keepLines/>
              <w:rPr>
                <w:rFonts w:cs="Arial"/>
                <w:b/>
                <w:bCs/>
                <w:sz w:val="16"/>
                <w:szCs w:val="16"/>
              </w:rPr>
            </w:pPr>
            <w:r w:rsidRPr="00BC6547">
              <w:rPr>
                <w:rFonts w:cs="Arial"/>
                <w:b/>
                <w:bCs/>
                <w:sz w:val="16"/>
                <w:szCs w:val="16"/>
              </w:rPr>
              <w:t>Baselines</w:t>
            </w:r>
          </w:p>
        </w:tc>
        <w:tc>
          <w:tcPr>
            <w:tcW w:w="824" w:type="pct"/>
            <w:gridSpan w:val="2"/>
            <w:tcBorders>
              <w:top w:val="single" w:sz="4" w:space="0" w:color="auto"/>
            </w:tcBorders>
            <w:shd w:val="clear" w:color="auto" w:fill="auto"/>
            <w:tcMar>
              <w:top w:w="110" w:type="dxa"/>
            </w:tcMar>
            <w:vAlign w:val="center"/>
          </w:tcPr>
          <w:p w:rsidR="00F153C1" w:rsidRPr="00BC6547" w:rsidRDefault="00F153C1" w:rsidP="00FD7155">
            <w:pPr>
              <w:keepNext/>
              <w:keepLines/>
              <w:rPr>
                <w:rFonts w:cs="Arial"/>
                <w:b/>
                <w:sz w:val="16"/>
                <w:szCs w:val="16"/>
              </w:rPr>
            </w:pPr>
            <w:r w:rsidRPr="00BC6547">
              <w:rPr>
                <w:rFonts w:cs="Arial"/>
                <w:b/>
                <w:sz w:val="16"/>
                <w:szCs w:val="16"/>
              </w:rPr>
              <w:t>Targets</w:t>
            </w:r>
          </w:p>
        </w:tc>
        <w:tc>
          <w:tcPr>
            <w:tcW w:w="1270" w:type="pct"/>
            <w:gridSpan w:val="2"/>
            <w:tcBorders>
              <w:top w:val="single" w:sz="4" w:space="0" w:color="auto"/>
            </w:tcBorders>
            <w:shd w:val="clear" w:color="auto" w:fill="FFFFFF"/>
            <w:tcMar>
              <w:top w:w="110" w:type="dxa"/>
            </w:tcMar>
            <w:vAlign w:val="center"/>
          </w:tcPr>
          <w:p w:rsidR="00F153C1" w:rsidRPr="00BC6547" w:rsidRDefault="00F153C1" w:rsidP="00FD7155">
            <w:pPr>
              <w:keepNext/>
              <w:keepLines/>
              <w:rPr>
                <w:rFonts w:cs="Arial"/>
                <w:sz w:val="16"/>
                <w:szCs w:val="16"/>
              </w:rPr>
            </w:pPr>
            <w:r w:rsidRPr="00BC6547">
              <w:rPr>
                <w:rFonts w:cs="Arial"/>
                <w:b/>
                <w:bCs/>
                <w:sz w:val="16"/>
                <w:szCs w:val="16"/>
              </w:rPr>
              <w:t>Performance Data</w:t>
            </w:r>
          </w:p>
        </w:tc>
        <w:tc>
          <w:tcPr>
            <w:tcW w:w="515" w:type="pct"/>
            <w:tcBorders>
              <w:top w:val="single" w:sz="4" w:space="0" w:color="auto"/>
            </w:tcBorders>
            <w:shd w:val="clear" w:color="auto" w:fill="auto"/>
            <w:tcMar>
              <w:top w:w="110" w:type="dxa"/>
            </w:tcMar>
            <w:vAlign w:val="center"/>
          </w:tcPr>
          <w:p w:rsidR="00F153C1" w:rsidRPr="00CD26D6" w:rsidRDefault="00F153C1" w:rsidP="00FD7155">
            <w:pPr>
              <w:keepNext/>
              <w:keepLines/>
              <w:jc w:val="center"/>
              <w:rPr>
                <w:rFonts w:cs="Arial"/>
                <w:b/>
                <w:bCs/>
                <w:sz w:val="16"/>
                <w:szCs w:val="16"/>
              </w:rPr>
            </w:pPr>
            <w:r w:rsidRPr="00BC6547">
              <w:rPr>
                <w:rFonts w:cs="Arial"/>
                <w:b/>
                <w:bCs/>
                <w:sz w:val="16"/>
                <w:szCs w:val="16"/>
              </w:rPr>
              <w:t>TLS</w:t>
            </w:r>
          </w:p>
        </w:tc>
      </w:tr>
      <w:tr w:rsidR="00F153C1" w:rsidRPr="001656CD" w:rsidTr="00F153C1">
        <w:trPr>
          <w:cantSplit/>
        </w:trPr>
        <w:tc>
          <w:tcPr>
            <w:tcW w:w="1120" w:type="pct"/>
            <w:tcBorders>
              <w:bottom w:val="single" w:sz="4" w:space="0" w:color="auto"/>
            </w:tcBorders>
            <w:shd w:val="clear" w:color="auto" w:fill="auto"/>
          </w:tcPr>
          <w:p w:rsidR="00F153C1" w:rsidRPr="00083772" w:rsidRDefault="00F153C1" w:rsidP="00FD7155">
            <w:pPr>
              <w:rPr>
                <w:rFonts w:cs="Arial"/>
                <w:sz w:val="16"/>
                <w:szCs w:val="16"/>
                <w:lang w:bidi="th-TH"/>
              </w:rPr>
            </w:pPr>
            <w:r w:rsidRPr="008E6313">
              <w:rPr>
                <w:rFonts w:cs="Arial"/>
                <w:sz w:val="16"/>
                <w:szCs w:val="16"/>
                <w:lang w:bidi="th-TH"/>
              </w:rPr>
              <w:t>No. of users in transition and developed countries using the AMC services</w:t>
            </w:r>
          </w:p>
        </w:tc>
        <w:tc>
          <w:tcPr>
            <w:tcW w:w="1271" w:type="pct"/>
            <w:gridSpan w:val="2"/>
            <w:tcBorders>
              <w:bottom w:val="single" w:sz="4" w:space="0" w:color="auto"/>
            </w:tcBorders>
            <w:shd w:val="clear" w:color="auto" w:fill="auto"/>
          </w:tcPr>
          <w:p w:rsidR="00F153C1" w:rsidRDefault="00F153C1" w:rsidP="00FD7155">
            <w:pPr>
              <w:rPr>
                <w:rFonts w:cs="Arial"/>
                <w:color w:val="002060"/>
                <w:sz w:val="16"/>
                <w:szCs w:val="16"/>
                <w:lang w:bidi="th-TH"/>
              </w:rPr>
            </w:pPr>
            <w:r w:rsidRPr="001656CD">
              <w:rPr>
                <w:rFonts w:cs="Arial"/>
                <w:i/>
                <w:color w:val="002060"/>
                <w:sz w:val="16"/>
                <w:szCs w:val="16"/>
              </w:rPr>
              <w:t>Updated Baseline end 201</w:t>
            </w:r>
            <w:r>
              <w:rPr>
                <w:rFonts w:cs="Arial"/>
                <w:i/>
                <w:color w:val="002060"/>
                <w:sz w:val="16"/>
                <w:szCs w:val="16"/>
              </w:rPr>
              <w:t>3</w:t>
            </w:r>
            <w:r w:rsidRPr="001656CD">
              <w:rPr>
                <w:rFonts w:cs="Arial"/>
                <w:i/>
                <w:color w:val="002060"/>
                <w:sz w:val="16"/>
                <w:szCs w:val="16"/>
              </w:rPr>
              <w:t xml:space="preserve">: </w:t>
            </w:r>
            <w:r w:rsidRPr="008E6313">
              <w:rPr>
                <w:rFonts w:cs="Arial"/>
                <w:color w:val="002060"/>
                <w:sz w:val="16"/>
                <w:szCs w:val="16"/>
              </w:rPr>
              <w:t xml:space="preserve">359 disputes and 51 </w:t>
            </w:r>
            <w:proofErr w:type="spellStart"/>
            <w:r w:rsidRPr="008E6313">
              <w:rPr>
                <w:rFonts w:cs="Arial"/>
                <w:color w:val="002060"/>
                <w:sz w:val="16"/>
                <w:szCs w:val="16"/>
              </w:rPr>
              <w:t>bons</w:t>
            </w:r>
            <w:proofErr w:type="spellEnd"/>
            <w:r w:rsidRPr="008E6313">
              <w:rPr>
                <w:rFonts w:cs="Arial"/>
                <w:color w:val="002060"/>
                <w:sz w:val="16"/>
                <w:szCs w:val="16"/>
              </w:rPr>
              <w:t xml:space="preserve"> offices involving parties from transition and developed countries (cumulative per end 2013)</w:t>
            </w:r>
            <w:r w:rsidRPr="001656CD">
              <w:rPr>
                <w:rFonts w:cs="Arial"/>
                <w:i/>
                <w:color w:val="002060"/>
                <w:sz w:val="16"/>
                <w:szCs w:val="16"/>
              </w:rPr>
              <w:t xml:space="preserve"> </w:t>
            </w:r>
          </w:p>
          <w:p w:rsidR="00F153C1" w:rsidRPr="008D3FF3" w:rsidRDefault="00F153C1" w:rsidP="00FD7155">
            <w:pPr>
              <w:rPr>
                <w:rFonts w:cs="Arial"/>
                <w:i/>
                <w:color w:val="002060"/>
                <w:sz w:val="8"/>
                <w:szCs w:val="8"/>
              </w:rPr>
            </w:pPr>
          </w:p>
          <w:p w:rsidR="00F153C1" w:rsidRPr="009D6119" w:rsidRDefault="00F153C1" w:rsidP="00FD7155">
            <w:pPr>
              <w:rPr>
                <w:rFonts w:cs="Arial"/>
                <w:color w:val="000000"/>
                <w:sz w:val="16"/>
                <w:szCs w:val="16"/>
                <w:lang w:bidi="th-TH"/>
              </w:rPr>
            </w:pPr>
            <w:r w:rsidRPr="001656CD">
              <w:rPr>
                <w:rFonts w:cs="Arial"/>
                <w:i/>
                <w:sz w:val="16"/>
                <w:szCs w:val="16"/>
              </w:rPr>
              <w:t>Original Baseline P&amp;B 201</w:t>
            </w:r>
            <w:r>
              <w:rPr>
                <w:rFonts w:cs="Arial"/>
                <w:i/>
                <w:sz w:val="16"/>
                <w:szCs w:val="16"/>
              </w:rPr>
              <w:t>4</w:t>
            </w:r>
            <w:r w:rsidRPr="001656CD">
              <w:rPr>
                <w:rFonts w:cs="Arial"/>
                <w:i/>
                <w:sz w:val="16"/>
                <w:szCs w:val="16"/>
              </w:rPr>
              <w:t>/1</w:t>
            </w:r>
            <w:r>
              <w:rPr>
                <w:rFonts w:cs="Arial"/>
                <w:i/>
                <w:sz w:val="16"/>
                <w:szCs w:val="16"/>
              </w:rPr>
              <w:t>5</w:t>
            </w:r>
            <w:r w:rsidRPr="001656CD">
              <w:rPr>
                <w:rFonts w:cs="Arial"/>
                <w:i/>
                <w:sz w:val="16"/>
                <w:szCs w:val="16"/>
              </w:rPr>
              <w:t>:</w:t>
            </w:r>
            <w:r>
              <w:rPr>
                <w:rFonts w:cs="Arial"/>
                <w:sz w:val="16"/>
                <w:szCs w:val="16"/>
              </w:rPr>
              <w:t>tbd</w:t>
            </w:r>
            <w:r w:rsidRPr="001656CD">
              <w:rPr>
                <w:rFonts w:cs="Arial"/>
                <w:sz w:val="16"/>
                <w:szCs w:val="16"/>
              </w:rPr>
              <w:br/>
            </w:r>
          </w:p>
        </w:tc>
        <w:tc>
          <w:tcPr>
            <w:tcW w:w="824" w:type="pct"/>
            <w:gridSpan w:val="2"/>
            <w:tcBorders>
              <w:bottom w:val="single" w:sz="4" w:space="0" w:color="auto"/>
            </w:tcBorders>
            <w:shd w:val="clear" w:color="auto" w:fill="auto"/>
            <w:tcMar>
              <w:top w:w="110" w:type="dxa"/>
            </w:tcMar>
          </w:tcPr>
          <w:p w:rsidR="00F153C1" w:rsidRPr="00486A19" w:rsidRDefault="00F153C1" w:rsidP="00FD7155">
            <w:pPr>
              <w:rPr>
                <w:rFonts w:cs="Arial"/>
                <w:sz w:val="16"/>
                <w:szCs w:val="16"/>
                <w:lang w:bidi="th-TH"/>
              </w:rPr>
            </w:pPr>
            <w:r w:rsidRPr="008E6313">
              <w:rPr>
                <w:rFonts w:cs="Arial"/>
                <w:sz w:val="16"/>
                <w:szCs w:val="16"/>
                <w:lang w:bidi="th-TH"/>
              </w:rPr>
              <w:t>2% increase</w:t>
            </w:r>
          </w:p>
        </w:tc>
        <w:tc>
          <w:tcPr>
            <w:tcW w:w="1270" w:type="pct"/>
            <w:gridSpan w:val="2"/>
            <w:tcBorders>
              <w:bottom w:val="single" w:sz="4" w:space="0" w:color="auto"/>
            </w:tcBorders>
            <w:shd w:val="clear" w:color="auto" w:fill="FFFFFF"/>
            <w:tcMar>
              <w:top w:w="110" w:type="dxa"/>
            </w:tcMar>
          </w:tcPr>
          <w:p w:rsidR="00F153C1" w:rsidRPr="00486A19" w:rsidRDefault="00F153C1" w:rsidP="00FD7155">
            <w:pPr>
              <w:rPr>
                <w:rFonts w:cs="Arial"/>
                <w:sz w:val="16"/>
                <w:szCs w:val="16"/>
                <w:lang w:bidi="th-TH"/>
              </w:rPr>
            </w:pPr>
            <w:r w:rsidRPr="008E6313">
              <w:rPr>
                <w:rFonts w:cs="Arial"/>
                <w:sz w:val="16"/>
                <w:szCs w:val="16"/>
                <w:lang w:bidi="th-TH"/>
              </w:rPr>
              <w:t xml:space="preserve">18 additional disputes and 25 additional </w:t>
            </w:r>
            <w:proofErr w:type="spellStart"/>
            <w:r w:rsidRPr="008E6313">
              <w:rPr>
                <w:rFonts w:cs="Arial"/>
                <w:sz w:val="16"/>
                <w:szCs w:val="16"/>
                <w:lang w:bidi="th-TH"/>
              </w:rPr>
              <w:t>bons</w:t>
            </w:r>
            <w:proofErr w:type="spellEnd"/>
            <w:r w:rsidRPr="008E6313">
              <w:rPr>
                <w:rFonts w:cs="Arial"/>
                <w:sz w:val="16"/>
                <w:szCs w:val="16"/>
                <w:lang w:bidi="th-TH"/>
              </w:rPr>
              <w:t xml:space="preserve"> offices involving parties from transition and developed countries (2014)</w:t>
            </w:r>
          </w:p>
        </w:tc>
        <w:tc>
          <w:tcPr>
            <w:tcW w:w="515" w:type="pct"/>
            <w:tcBorders>
              <w:bottom w:val="single" w:sz="4" w:space="0" w:color="auto"/>
            </w:tcBorders>
            <w:shd w:val="clear" w:color="auto" w:fill="auto"/>
            <w:tcMar>
              <w:top w:w="110" w:type="dxa"/>
            </w:tcMar>
          </w:tcPr>
          <w:p w:rsidR="00F153C1" w:rsidRPr="001656CD" w:rsidRDefault="00F153C1" w:rsidP="00FD7155">
            <w:pPr>
              <w:keepNext/>
              <w:keepLines/>
              <w:jc w:val="center"/>
              <w:rPr>
                <w:rFonts w:cs="Arial"/>
                <w:bCs/>
                <w:color w:val="808080"/>
                <w:sz w:val="16"/>
                <w:szCs w:val="16"/>
              </w:rPr>
            </w:pPr>
            <w:r w:rsidRPr="00C5428C">
              <w:rPr>
                <w:rFonts w:cs="Arial"/>
                <w:b/>
                <w:bCs/>
                <w:color w:val="00B050"/>
                <w:sz w:val="16"/>
                <w:szCs w:val="16"/>
              </w:rPr>
              <w:t>On track</w:t>
            </w:r>
            <w:r w:rsidRPr="001656CD">
              <w:rPr>
                <w:rFonts w:cs="Arial"/>
                <w:bCs/>
                <w:color w:val="808080"/>
                <w:sz w:val="16"/>
                <w:szCs w:val="16"/>
              </w:rPr>
              <w:t xml:space="preserve"> </w:t>
            </w:r>
          </w:p>
        </w:tc>
      </w:tr>
      <w:tr w:rsidR="00F153C1" w:rsidRPr="001656CD" w:rsidTr="00F153C1">
        <w:trPr>
          <w:cantSplit/>
          <w:trHeight w:val="439"/>
        </w:trPr>
        <w:tc>
          <w:tcPr>
            <w:tcW w:w="5000" w:type="pct"/>
            <w:gridSpan w:val="8"/>
            <w:tcBorders>
              <w:top w:val="single" w:sz="4" w:space="0" w:color="auto"/>
              <w:bottom w:val="single" w:sz="4" w:space="0" w:color="auto"/>
            </w:tcBorders>
            <w:shd w:val="clear" w:color="auto" w:fill="CCFFFF"/>
            <w:vAlign w:val="center"/>
          </w:tcPr>
          <w:p w:rsidR="00F153C1" w:rsidRPr="003329DC" w:rsidRDefault="00F153C1" w:rsidP="00FD7155">
            <w:pPr>
              <w:keepNext/>
              <w:keepLines/>
              <w:tabs>
                <w:tab w:val="left" w:pos="1452"/>
              </w:tabs>
              <w:ind w:left="1452" w:hanging="1452"/>
              <w:rPr>
                <w:rFonts w:cs="Arial"/>
                <w:b/>
                <w:bCs/>
                <w:sz w:val="16"/>
                <w:szCs w:val="16"/>
              </w:rPr>
            </w:pPr>
            <w:r w:rsidRPr="001656CD">
              <w:rPr>
                <w:rFonts w:cs="Arial"/>
                <w:b/>
                <w:bCs/>
                <w:sz w:val="16"/>
                <w:szCs w:val="16"/>
              </w:rPr>
              <w:t>Expected Result:</w:t>
            </w:r>
            <w:r w:rsidRPr="001656CD">
              <w:rPr>
                <w:rFonts w:cs="Arial"/>
                <w:b/>
                <w:bCs/>
                <w:sz w:val="16"/>
                <w:szCs w:val="16"/>
              </w:rPr>
              <w:tab/>
            </w:r>
            <w:r w:rsidRPr="003329DC">
              <w:rPr>
                <w:rFonts w:cs="Arial"/>
                <w:sz w:val="16"/>
                <w:szCs w:val="16"/>
                <w:lang w:bidi="th-TH"/>
              </w:rPr>
              <w:t>III.1 National innovation and IP strategies and plans consistent with national development objectives</w:t>
            </w:r>
          </w:p>
        </w:tc>
      </w:tr>
      <w:tr w:rsidR="00F153C1" w:rsidRPr="001656CD" w:rsidTr="00F153C1">
        <w:trPr>
          <w:cantSplit/>
          <w:trHeight w:val="274"/>
        </w:trPr>
        <w:tc>
          <w:tcPr>
            <w:tcW w:w="1120" w:type="pct"/>
            <w:tcBorders>
              <w:top w:val="single" w:sz="4" w:space="0" w:color="auto"/>
              <w:left w:val="single" w:sz="4" w:space="0" w:color="auto"/>
              <w:bottom w:val="nil"/>
              <w:right w:val="nil"/>
            </w:tcBorders>
            <w:shd w:val="clear" w:color="auto" w:fill="auto"/>
            <w:vAlign w:val="center"/>
          </w:tcPr>
          <w:p w:rsidR="00F153C1" w:rsidRPr="00BC6547" w:rsidRDefault="00F153C1" w:rsidP="00FD7155">
            <w:pPr>
              <w:keepNext/>
              <w:keepLines/>
              <w:rPr>
                <w:rFonts w:cs="Arial"/>
                <w:sz w:val="16"/>
                <w:szCs w:val="16"/>
              </w:rPr>
            </w:pPr>
            <w:r w:rsidRPr="00BC6547">
              <w:rPr>
                <w:rFonts w:cs="Arial"/>
                <w:b/>
                <w:bCs/>
                <w:sz w:val="16"/>
                <w:szCs w:val="16"/>
              </w:rPr>
              <w:t>Performance Indicators</w:t>
            </w:r>
          </w:p>
        </w:tc>
        <w:tc>
          <w:tcPr>
            <w:tcW w:w="1271" w:type="pct"/>
            <w:gridSpan w:val="2"/>
            <w:tcBorders>
              <w:top w:val="single" w:sz="4" w:space="0" w:color="auto"/>
              <w:left w:val="nil"/>
              <w:bottom w:val="nil"/>
              <w:right w:val="nil"/>
            </w:tcBorders>
            <w:shd w:val="clear" w:color="auto" w:fill="auto"/>
            <w:vAlign w:val="center"/>
          </w:tcPr>
          <w:p w:rsidR="00F153C1" w:rsidRPr="00BC6547" w:rsidRDefault="00F153C1" w:rsidP="00FD7155">
            <w:pPr>
              <w:keepNext/>
              <w:keepLines/>
              <w:rPr>
                <w:rFonts w:cs="Arial"/>
                <w:b/>
                <w:bCs/>
                <w:sz w:val="16"/>
                <w:szCs w:val="16"/>
              </w:rPr>
            </w:pPr>
            <w:r w:rsidRPr="00BC6547">
              <w:rPr>
                <w:rFonts w:cs="Arial"/>
                <w:b/>
                <w:bCs/>
                <w:sz w:val="16"/>
                <w:szCs w:val="16"/>
              </w:rPr>
              <w:t>Baselines</w:t>
            </w:r>
          </w:p>
        </w:tc>
        <w:tc>
          <w:tcPr>
            <w:tcW w:w="824" w:type="pct"/>
            <w:gridSpan w:val="2"/>
            <w:tcBorders>
              <w:top w:val="single" w:sz="4" w:space="0" w:color="auto"/>
              <w:left w:val="nil"/>
              <w:bottom w:val="nil"/>
              <w:right w:val="nil"/>
            </w:tcBorders>
            <w:shd w:val="clear" w:color="auto" w:fill="auto"/>
            <w:vAlign w:val="center"/>
          </w:tcPr>
          <w:p w:rsidR="00F153C1" w:rsidRPr="00BC6547" w:rsidRDefault="00F153C1" w:rsidP="00FD7155">
            <w:pPr>
              <w:keepNext/>
              <w:keepLines/>
              <w:rPr>
                <w:rFonts w:cs="Arial"/>
                <w:b/>
                <w:sz w:val="16"/>
                <w:szCs w:val="16"/>
              </w:rPr>
            </w:pPr>
            <w:r w:rsidRPr="00BC6547">
              <w:rPr>
                <w:rFonts w:cs="Arial"/>
                <w:b/>
                <w:sz w:val="16"/>
                <w:szCs w:val="16"/>
              </w:rPr>
              <w:t>Targets</w:t>
            </w:r>
          </w:p>
        </w:tc>
        <w:tc>
          <w:tcPr>
            <w:tcW w:w="1270" w:type="pct"/>
            <w:gridSpan w:val="2"/>
            <w:tcBorders>
              <w:top w:val="single" w:sz="4" w:space="0" w:color="auto"/>
              <w:left w:val="nil"/>
              <w:bottom w:val="nil"/>
              <w:right w:val="nil"/>
            </w:tcBorders>
            <w:shd w:val="clear" w:color="auto" w:fill="auto"/>
            <w:vAlign w:val="center"/>
          </w:tcPr>
          <w:p w:rsidR="00F153C1" w:rsidRPr="00BC6547" w:rsidRDefault="00F153C1" w:rsidP="00FD7155">
            <w:pPr>
              <w:keepNext/>
              <w:keepLines/>
              <w:rPr>
                <w:rFonts w:cs="Arial"/>
                <w:sz w:val="16"/>
                <w:szCs w:val="16"/>
              </w:rPr>
            </w:pPr>
            <w:r w:rsidRPr="00BC6547">
              <w:rPr>
                <w:rFonts w:cs="Arial"/>
                <w:b/>
                <w:bCs/>
                <w:sz w:val="16"/>
                <w:szCs w:val="16"/>
              </w:rPr>
              <w:t>Performance Data</w:t>
            </w:r>
          </w:p>
        </w:tc>
        <w:tc>
          <w:tcPr>
            <w:tcW w:w="515" w:type="pct"/>
            <w:tcBorders>
              <w:top w:val="single" w:sz="4" w:space="0" w:color="auto"/>
              <w:left w:val="nil"/>
              <w:bottom w:val="nil"/>
              <w:right w:val="single" w:sz="4" w:space="0" w:color="auto"/>
            </w:tcBorders>
            <w:shd w:val="clear" w:color="auto" w:fill="auto"/>
            <w:vAlign w:val="center"/>
          </w:tcPr>
          <w:p w:rsidR="00F153C1" w:rsidRPr="00CD26D6" w:rsidRDefault="00F153C1" w:rsidP="00FD7155">
            <w:pPr>
              <w:keepNext/>
              <w:keepLines/>
              <w:jc w:val="center"/>
              <w:rPr>
                <w:rFonts w:cs="Arial"/>
                <w:b/>
                <w:bCs/>
                <w:sz w:val="16"/>
                <w:szCs w:val="16"/>
              </w:rPr>
            </w:pPr>
            <w:r w:rsidRPr="00BC6547">
              <w:rPr>
                <w:rFonts w:cs="Arial"/>
                <w:b/>
                <w:bCs/>
                <w:sz w:val="16"/>
                <w:szCs w:val="16"/>
              </w:rPr>
              <w:t>TLS</w:t>
            </w:r>
          </w:p>
        </w:tc>
      </w:tr>
      <w:tr w:rsidR="00F153C1" w:rsidRPr="001656CD" w:rsidTr="00F153C1">
        <w:trPr>
          <w:cantSplit/>
        </w:trPr>
        <w:tc>
          <w:tcPr>
            <w:tcW w:w="1120" w:type="pct"/>
            <w:tcBorders>
              <w:top w:val="nil"/>
              <w:left w:val="single" w:sz="4" w:space="0" w:color="auto"/>
              <w:bottom w:val="nil"/>
              <w:right w:val="nil"/>
            </w:tcBorders>
            <w:shd w:val="clear" w:color="auto" w:fill="auto"/>
          </w:tcPr>
          <w:p w:rsidR="00F153C1" w:rsidRPr="008E6313" w:rsidRDefault="00F153C1" w:rsidP="00FD7155">
            <w:pPr>
              <w:rPr>
                <w:rFonts w:cs="Arial"/>
                <w:sz w:val="16"/>
                <w:szCs w:val="16"/>
                <w:lang w:bidi="th-TH"/>
              </w:rPr>
            </w:pPr>
            <w:r w:rsidRPr="008012E3">
              <w:rPr>
                <w:rFonts w:cs="Arial"/>
                <w:sz w:val="16"/>
                <w:szCs w:val="16"/>
                <w:lang w:bidi="th-TH"/>
              </w:rPr>
              <w:t>No. of Universities having developed IP policies</w:t>
            </w:r>
          </w:p>
        </w:tc>
        <w:tc>
          <w:tcPr>
            <w:tcW w:w="1271" w:type="pct"/>
            <w:gridSpan w:val="2"/>
            <w:tcBorders>
              <w:top w:val="nil"/>
              <w:left w:val="nil"/>
              <w:bottom w:val="nil"/>
              <w:right w:val="nil"/>
            </w:tcBorders>
            <w:shd w:val="clear" w:color="auto" w:fill="auto"/>
          </w:tcPr>
          <w:p w:rsidR="00F153C1" w:rsidRPr="001656CD" w:rsidRDefault="00F153C1" w:rsidP="00FD7155">
            <w:pPr>
              <w:rPr>
                <w:rFonts w:cs="Arial"/>
                <w:i/>
                <w:color w:val="002060"/>
                <w:sz w:val="16"/>
                <w:szCs w:val="16"/>
              </w:rPr>
            </w:pPr>
            <w:proofErr w:type="spellStart"/>
            <w:r>
              <w:rPr>
                <w:rFonts w:cs="Arial"/>
                <w:sz w:val="16"/>
                <w:szCs w:val="16"/>
              </w:rPr>
              <w:t>tbd</w:t>
            </w:r>
            <w:proofErr w:type="spellEnd"/>
          </w:p>
        </w:tc>
        <w:tc>
          <w:tcPr>
            <w:tcW w:w="824" w:type="pct"/>
            <w:gridSpan w:val="2"/>
            <w:tcBorders>
              <w:top w:val="nil"/>
              <w:left w:val="nil"/>
              <w:bottom w:val="nil"/>
              <w:right w:val="nil"/>
            </w:tcBorders>
            <w:shd w:val="clear" w:color="auto" w:fill="auto"/>
            <w:tcMar>
              <w:top w:w="110" w:type="dxa"/>
            </w:tcMar>
          </w:tcPr>
          <w:p w:rsidR="00F153C1" w:rsidRPr="008E6313" w:rsidRDefault="00F153C1" w:rsidP="00FD7155">
            <w:pPr>
              <w:rPr>
                <w:rFonts w:cs="Arial"/>
                <w:sz w:val="16"/>
                <w:szCs w:val="16"/>
                <w:lang w:bidi="th-TH"/>
              </w:rPr>
            </w:pPr>
            <w:r w:rsidRPr="008012E3">
              <w:rPr>
                <w:rFonts w:cs="Arial"/>
                <w:sz w:val="16"/>
                <w:szCs w:val="16"/>
                <w:lang w:bidi="th-TH"/>
              </w:rPr>
              <w:t>30 additional Universities</w:t>
            </w:r>
          </w:p>
        </w:tc>
        <w:tc>
          <w:tcPr>
            <w:tcW w:w="1270" w:type="pct"/>
            <w:gridSpan w:val="2"/>
            <w:tcBorders>
              <w:top w:val="nil"/>
              <w:left w:val="nil"/>
              <w:bottom w:val="nil"/>
              <w:right w:val="nil"/>
            </w:tcBorders>
            <w:shd w:val="clear" w:color="auto" w:fill="FFFFFF"/>
            <w:tcMar>
              <w:top w:w="110" w:type="dxa"/>
            </w:tcMar>
          </w:tcPr>
          <w:p w:rsidR="00F153C1" w:rsidRDefault="00F153C1" w:rsidP="00FD7155">
            <w:pPr>
              <w:rPr>
                <w:rFonts w:cs="Arial"/>
                <w:sz w:val="16"/>
                <w:szCs w:val="16"/>
              </w:rPr>
            </w:pPr>
            <w:r>
              <w:rPr>
                <w:rFonts w:cs="Arial"/>
                <w:sz w:val="16"/>
                <w:szCs w:val="16"/>
              </w:rPr>
              <w:t xml:space="preserve">In 2014, </w:t>
            </w:r>
            <w:r w:rsidRPr="00CD2511">
              <w:rPr>
                <w:rFonts w:cs="Arial"/>
                <w:sz w:val="16"/>
                <w:szCs w:val="16"/>
              </w:rPr>
              <w:t xml:space="preserve">150 </w:t>
            </w:r>
            <w:r>
              <w:rPr>
                <w:rFonts w:cs="Arial"/>
                <w:sz w:val="16"/>
                <w:szCs w:val="16"/>
              </w:rPr>
              <w:t>u</w:t>
            </w:r>
            <w:r w:rsidRPr="00CD2511">
              <w:rPr>
                <w:rFonts w:cs="Arial"/>
                <w:sz w:val="16"/>
                <w:szCs w:val="16"/>
              </w:rPr>
              <w:t>niversities</w:t>
            </w:r>
            <w:r w:rsidRPr="00673017">
              <w:rPr>
                <w:rFonts w:cs="Arial"/>
                <w:sz w:val="16"/>
                <w:szCs w:val="16"/>
              </w:rPr>
              <w:t xml:space="preserve"> </w:t>
            </w:r>
            <w:r w:rsidRPr="00A41E78">
              <w:rPr>
                <w:rFonts w:cs="Arial"/>
                <w:sz w:val="16"/>
                <w:szCs w:val="16"/>
              </w:rPr>
              <w:t>developed IP policies</w:t>
            </w:r>
            <w:r>
              <w:rPr>
                <w:rFonts w:cs="Arial"/>
                <w:sz w:val="16"/>
                <w:szCs w:val="16"/>
              </w:rPr>
              <w:t>:</w:t>
            </w:r>
          </w:p>
          <w:p w:rsidR="00F153C1" w:rsidRDefault="00F153C1" w:rsidP="00F153C1">
            <w:pPr>
              <w:pStyle w:val="ListParagraph"/>
              <w:numPr>
                <w:ilvl w:val="0"/>
                <w:numId w:val="73"/>
              </w:numPr>
              <w:rPr>
                <w:rFonts w:cs="Arial"/>
                <w:sz w:val="16"/>
                <w:szCs w:val="16"/>
              </w:rPr>
            </w:pPr>
            <w:r w:rsidRPr="00B775C9">
              <w:rPr>
                <w:rFonts w:cs="Arial"/>
                <w:sz w:val="16"/>
                <w:szCs w:val="16"/>
              </w:rPr>
              <w:t>Poland</w:t>
            </w:r>
            <w:r>
              <w:rPr>
                <w:rFonts w:cs="Arial"/>
                <w:sz w:val="16"/>
                <w:szCs w:val="16"/>
              </w:rPr>
              <w:t xml:space="preserve"> (148);</w:t>
            </w:r>
          </w:p>
          <w:p w:rsidR="00F153C1" w:rsidRDefault="00F153C1" w:rsidP="00F153C1">
            <w:pPr>
              <w:pStyle w:val="ListParagraph"/>
              <w:numPr>
                <w:ilvl w:val="0"/>
                <w:numId w:val="73"/>
              </w:numPr>
              <w:rPr>
                <w:rFonts w:cs="Arial"/>
                <w:sz w:val="16"/>
                <w:szCs w:val="16"/>
              </w:rPr>
            </w:pPr>
            <w:r w:rsidRPr="00B775C9">
              <w:rPr>
                <w:rFonts w:cs="Arial"/>
                <w:sz w:val="16"/>
                <w:szCs w:val="16"/>
              </w:rPr>
              <w:t>the Russian Federation</w:t>
            </w:r>
            <w:r>
              <w:rPr>
                <w:rFonts w:cs="Arial"/>
                <w:sz w:val="16"/>
                <w:szCs w:val="16"/>
              </w:rPr>
              <w:t xml:space="preserve"> (1); </w:t>
            </w:r>
            <w:r w:rsidRPr="00B775C9">
              <w:rPr>
                <w:rFonts w:cs="Arial"/>
                <w:sz w:val="16"/>
                <w:szCs w:val="16"/>
              </w:rPr>
              <w:t xml:space="preserve"> </w:t>
            </w:r>
            <w:r w:rsidRPr="00C766E5">
              <w:rPr>
                <w:rFonts w:cs="Arial"/>
                <w:sz w:val="16"/>
                <w:szCs w:val="16"/>
              </w:rPr>
              <w:t>and</w:t>
            </w:r>
          </w:p>
          <w:p w:rsidR="00F153C1" w:rsidRPr="00B775C9" w:rsidRDefault="00F153C1" w:rsidP="00F153C1">
            <w:pPr>
              <w:pStyle w:val="ListParagraph"/>
              <w:numPr>
                <w:ilvl w:val="0"/>
                <w:numId w:val="73"/>
              </w:numPr>
              <w:rPr>
                <w:rFonts w:cs="Arial"/>
                <w:sz w:val="16"/>
                <w:szCs w:val="16"/>
              </w:rPr>
            </w:pPr>
            <w:r w:rsidRPr="00B775C9">
              <w:rPr>
                <w:rFonts w:cs="Arial"/>
                <w:sz w:val="16"/>
                <w:szCs w:val="16"/>
              </w:rPr>
              <w:t>Uzbekistan</w:t>
            </w:r>
            <w:r>
              <w:rPr>
                <w:rFonts w:cs="Arial"/>
                <w:sz w:val="16"/>
                <w:szCs w:val="16"/>
              </w:rPr>
              <w:t xml:space="preserve"> (1)</w:t>
            </w:r>
            <w:r w:rsidRPr="00B775C9">
              <w:rPr>
                <w:rFonts w:cs="Arial"/>
                <w:sz w:val="16"/>
                <w:szCs w:val="16"/>
              </w:rPr>
              <w:t xml:space="preserve"> </w:t>
            </w:r>
          </w:p>
          <w:p w:rsidR="00F153C1" w:rsidRPr="00CD2511" w:rsidRDefault="00F153C1" w:rsidP="00FD7155">
            <w:pPr>
              <w:rPr>
                <w:rFonts w:cs="Arial"/>
                <w:sz w:val="16"/>
                <w:szCs w:val="16"/>
              </w:rPr>
            </w:pPr>
          </w:p>
          <w:p w:rsidR="00F153C1" w:rsidRDefault="00F153C1" w:rsidP="00FD7155">
            <w:pPr>
              <w:rPr>
                <w:rFonts w:cs="Arial"/>
                <w:sz w:val="16"/>
                <w:szCs w:val="16"/>
              </w:rPr>
            </w:pPr>
            <w:r w:rsidRPr="00CD2511">
              <w:rPr>
                <w:rFonts w:cs="Arial"/>
                <w:sz w:val="16"/>
                <w:szCs w:val="16"/>
              </w:rPr>
              <w:t xml:space="preserve">On October 1, 2014, Poland adopted a Law on Higher Education, which made it obligatory for all higher education institutions (120 public and </w:t>
            </w:r>
            <w:proofErr w:type="gramStart"/>
            <w:r w:rsidRPr="00CD2511">
              <w:rPr>
                <w:rFonts w:cs="Arial"/>
                <w:sz w:val="16"/>
                <w:szCs w:val="16"/>
              </w:rPr>
              <w:t>294 non-public</w:t>
            </w:r>
            <w:proofErr w:type="gramEnd"/>
            <w:r w:rsidRPr="00CD2511">
              <w:rPr>
                <w:rFonts w:cs="Arial"/>
                <w:sz w:val="16"/>
                <w:szCs w:val="16"/>
              </w:rPr>
              <w:t xml:space="preserve">) to have in place an up-to-date IP policy by March 31, 2015. </w:t>
            </w:r>
            <w:r>
              <w:rPr>
                <w:rFonts w:cs="Arial"/>
                <w:sz w:val="16"/>
                <w:szCs w:val="16"/>
              </w:rPr>
              <w:t xml:space="preserve"> </w:t>
            </w:r>
          </w:p>
          <w:p w:rsidR="00F153C1" w:rsidRPr="00A41E78" w:rsidRDefault="00F153C1" w:rsidP="00FD7155">
            <w:pPr>
              <w:rPr>
                <w:rFonts w:cs="Arial"/>
                <w:sz w:val="16"/>
                <w:szCs w:val="16"/>
              </w:rPr>
            </w:pPr>
          </w:p>
          <w:p w:rsidR="00F153C1" w:rsidRPr="005F6018" w:rsidRDefault="00F153C1" w:rsidP="00FD7155">
            <w:pPr>
              <w:rPr>
                <w:rFonts w:cs="Arial"/>
                <w:sz w:val="16"/>
                <w:szCs w:val="16"/>
              </w:rPr>
            </w:pPr>
            <w:r w:rsidRPr="00CD2511">
              <w:rPr>
                <w:rFonts w:cs="Arial"/>
                <w:sz w:val="16"/>
                <w:szCs w:val="16"/>
                <w:lang w:bidi="th-TH"/>
              </w:rPr>
              <w:t xml:space="preserve">Universities </w:t>
            </w:r>
            <w:r w:rsidRPr="00CD2511">
              <w:rPr>
                <w:rFonts w:cs="Arial"/>
                <w:sz w:val="16"/>
                <w:szCs w:val="16"/>
              </w:rPr>
              <w:t>in Estonia, Lithuania and Slovakia</w:t>
            </w:r>
            <w:r w:rsidRPr="00673017">
              <w:rPr>
                <w:rFonts w:cs="Arial"/>
                <w:sz w:val="16"/>
                <w:szCs w:val="16"/>
              </w:rPr>
              <w:t xml:space="preserve"> </w:t>
            </w:r>
            <w:r w:rsidRPr="00815B0C">
              <w:rPr>
                <w:rFonts w:cs="Arial"/>
                <w:sz w:val="16"/>
                <w:szCs w:val="16"/>
                <w:lang w:bidi="th-TH"/>
              </w:rPr>
              <w:t>were in the process of developing IP policies in 2014.</w:t>
            </w:r>
          </w:p>
          <w:p w:rsidR="00F153C1" w:rsidRPr="005F6018" w:rsidRDefault="00F153C1" w:rsidP="00FD7155">
            <w:pPr>
              <w:rPr>
                <w:rFonts w:cs="Arial"/>
                <w:sz w:val="16"/>
                <w:szCs w:val="16"/>
              </w:rPr>
            </w:pPr>
          </w:p>
          <w:p w:rsidR="00F153C1" w:rsidRPr="008E6313" w:rsidRDefault="00F153C1" w:rsidP="00FD7155">
            <w:pPr>
              <w:rPr>
                <w:rFonts w:cs="Arial"/>
                <w:sz w:val="16"/>
                <w:szCs w:val="16"/>
                <w:lang w:bidi="th-TH"/>
              </w:rPr>
            </w:pPr>
            <w:r w:rsidRPr="00CD2511">
              <w:rPr>
                <w:rFonts w:cs="Arial"/>
                <w:sz w:val="16"/>
                <w:szCs w:val="16"/>
              </w:rPr>
              <w:t xml:space="preserve">A survey will be conducted during the </w:t>
            </w:r>
            <w:r>
              <w:rPr>
                <w:rFonts w:cs="Arial"/>
                <w:sz w:val="16"/>
                <w:szCs w:val="16"/>
              </w:rPr>
              <w:t xml:space="preserve">biennium </w:t>
            </w:r>
            <w:r w:rsidRPr="00CD2511">
              <w:rPr>
                <w:rFonts w:cs="Arial"/>
                <w:sz w:val="16"/>
                <w:szCs w:val="16"/>
              </w:rPr>
              <w:t>to ascertain how many policies were developed by end of 2015</w:t>
            </w:r>
            <w:r>
              <w:rPr>
                <w:rFonts w:cs="Arial"/>
                <w:sz w:val="16"/>
                <w:szCs w:val="16"/>
              </w:rPr>
              <w:t>.</w:t>
            </w:r>
          </w:p>
        </w:tc>
        <w:tc>
          <w:tcPr>
            <w:tcW w:w="515" w:type="pct"/>
            <w:tcBorders>
              <w:top w:val="nil"/>
              <w:left w:val="nil"/>
              <w:bottom w:val="nil"/>
              <w:right w:val="single" w:sz="4" w:space="0" w:color="auto"/>
            </w:tcBorders>
            <w:shd w:val="clear" w:color="auto" w:fill="auto"/>
            <w:tcMar>
              <w:top w:w="110" w:type="dxa"/>
            </w:tcMar>
          </w:tcPr>
          <w:p w:rsidR="00F153C1" w:rsidRPr="00C5428C" w:rsidRDefault="00F153C1" w:rsidP="00FD7155">
            <w:pPr>
              <w:keepNext/>
              <w:keepLines/>
              <w:jc w:val="center"/>
              <w:rPr>
                <w:rFonts w:cs="Arial"/>
                <w:b/>
                <w:bCs/>
                <w:color w:val="00B050"/>
                <w:sz w:val="16"/>
                <w:szCs w:val="16"/>
              </w:rPr>
            </w:pPr>
            <w:r w:rsidRPr="00C5428C">
              <w:rPr>
                <w:rFonts w:cs="Arial"/>
                <w:b/>
                <w:bCs/>
                <w:color w:val="00B050"/>
                <w:sz w:val="16"/>
                <w:szCs w:val="16"/>
              </w:rPr>
              <w:t>On track</w:t>
            </w:r>
          </w:p>
        </w:tc>
      </w:tr>
      <w:tr w:rsidR="00F153C1" w:rsidRPr="001656CD" w:rsidTr="00F153C1">
        <w:trPr>
          <w:cantSplit/>
        </w:trPr>
        <w:tc>
          <w:tcPr>
            <w:tcW w:w="1120" w:type="pct"/>
            <w:tcBorders>
              <w:top w:val="nil"/>
              <w:left w:val="single" w:sz="4" w:space="0" w:color="auto"/>
              <w:bottom w:val="single" w:sz="4" w:space="0" w:color="auto"/>
            </w:tcBorders>
            <w:shd w:val="clear" w:color="auto" w:fill="auto"/>
          </w:tcPr>
          <w:p w:rsidR="00F153C1" w:rsidRPr="008012E3" w:rsidRDefault="00F153C1" w:rsidP="00FD7155">
            <w:pPr>
              <w:rPr>
                <w:rFonts w:cs="Arial"/>
                <w:sz w:val="16"/>
                <w:szCs w:val="16"/>
                <w:lang w:bidi="th-TH"/>
              </w:rPr>
            </w:pPr>
            <w:r w:rsidRPr="008012E3">
              <w:rPr>
                <w:rFonts w:cs="Arial"/>
                <w:sz w:val="16"/>
                <w:szCs w:val="16"/>
                <w:lang w:bidi="th-TH"/>
              </w:rPr>
              <w:t>No. of countries having developed national IP strategies/plans</w:t>
            </w:r>
          </w:p>
        </w:tc>
        <w:tc>
          <w:tcPr>
            <w:tcW w:w="1271" w:type="pct"/>
            <w:gridSpan w:val="2"/>
            <w:tcBorders>
              <w:top w:val="nil"/>
              <w:bottom w:val="single" w:sz="4" w:space="0" w:color="auto"/>
            </w:tcBorders>
            <w:shd w:val="clear" w:color="auto" w:fill="auto"/>
          </w:tcPr>
          <w:p w:rsidR="00F153C1" w:rsidRPr="001656CD" w:rsidRDefault="00F153C1" w:rsidP="00FD7155">
            <w:pPr>
              <w:rPr>
                <w:rFonts w:cs="Arial"/>
                <w:i/>
                <w:color w:val="002060"/>
                <w:sz w:val="16"/>
                <w:szCs w:val="16"/>
              </w:rPr>
            </w:pPr>
            <w:r w:rsidRPr="008012E3">
              <w:rPr>
                <w:rFonts w:cs="Arial"/>
                <w:sz w:val="16"/>
                <w:szCs w:val="16"/>
              </w:rPr>
              <w:t>14 (cumulative per end  2013)</w:t>
            </w:r>
          </w:p>
        </w:tc>
        <w:tc>
          <w:tcPr>
            <w:tcW w:w="824" w:type="pct"/>
            <w:gridSpan w:val="2"/>
            <w:tcBorders>
              <w:top w:val="nil"/>
              <w:bottom w:val="single" w:sz="4" w:space="0" w:color="auto"/>
            </w:tcBorders>
            <w:shd w:val="clear" w:color="auto" w:fill="auto"/>
            <w:tcMar>
              <w:top w:w="110" w:type="dxa"/>
            </w:tcMar>
          </w:tcPr>
          <w:p w:rsidR="00F153C1" w:rsidRPr="008012E3" w:rsidRDefault="00F153C1" w:rsidP="00FD7155">
            <w:pPr>
              <w:rPr>
                <w:rFonts w:cs="Arial"/>
                <w:sz w:val="16"/>
                <w:szCs w:val="16"/>
                <w:lang w:bidi="th-TH"/>
              </w:rPr>
            </w:pPr>
            <w:r>
              <w:rPr>
                <w:rFonts w:cs="Arial"/>
                <w:sz w:val="16"/>
                <w:szCs w:val="16"/>
                <w:lang w:bidi="th-TH"/>
              </w:rPr>
              <w:t>6</w:t>
            </w:r>
            <w:r w:rsidRPr="008012E3">
              <w:rPr>
                <w:rFonts w:cs="Arial"/>
                <w:sz w:val="16"/>
                <w:szCs w:val="16"/>
                <w:lang w:bidi="th-TH"/>
              </w:rPr>
              <w:t xml:space="preserve"> additional countries</w:t>
            </w:r>
          </w:p>
        </w:tc>
        <w:tc>
          <w:tcPr>
            <w:tcW w:w="1270" w:type="pct"/>
            <w:gridSpan w:val="2"/>
            <w:tcBorders>
              <w:top w:val="nil"/>
              <w:bottom w:val="single" w:sz="4" w:space="0" w:color="auto"/>
            </w:tcBorders>
            <w:shd w:val="clear" w:color="auto" w:fill="FFFFFF"/>
            <w:tcMar>
              <w:top w:w="110" w:type="dxa"/>
            </w:tcMar>
          </w:tcPr>
          <w:p w:rsidR="00F153C1" w:rsidRPr="008012E3" w:rsidRDefault="00F153C1" w:rsidP="00FD7155">
            <w:pPr>
              <w:rPr>
                <w:rFonts w:cs="Arial"/>
                <w:sz w:val="16"/>
                <w:szCs w:val="16"/>
                <w:lang w:bidi="th-TH"/>
              </w:rPr>
            </w:pPr>
            <w:r>
              <w:rPr>
                <w:rFonts w:cs="Arial"/>
                <w:sz w:val="16"/>
                <w:szCs w:val="16"/>
                <w:lang w:bidi="th-TH"/>
              </w:rPr>
              <w:t>3</w:t>
            </w:r>
            <w:r w:rsidRPr="008012E3">
              <w:rPr>
                <w:rFonts w:cs="Arial"/>
                <w:sz w:val="16"/>
                <w:szCs w:val="16"/>
                <w:lang w:bidi="th-TH"/>
              </w:rPr>
              <w:t xml:space="preserve"> </w:t>
            </w:r>
            <w:r>
              <w:rPr>
                <w:rFonts w:cs="Arial"/>
                <w:sz w:val="16"/>
                <w:szCs w:val="16"/>
                <w:lang w:bidi="th-TH"/>
              </w:rPr>
              <w:t xml:space="preserve">additional countries </w:t>
            </w:r>
            <w:r w:rsidRPr="008012E3">
              <w:rPr>
                <w:rFonts w:cs="Arial"/>
                <w:sz w:val="16"/>
                <w:szCs w:val="16"/>
                <w:lang w:bidi="th-TH"/>
              </w:rPr>
              <w:t>(Slovenia, Tajikistan, Turkey) developed</w:t>
            </w:r>
            <w:r>
              <w:rPr>
                <w:rFonts w:cs="Arial"/>
                <w:sz w:val="16"/>
                <w:szCs w:val="16"/>
                <w:lang w:bidi="th-TH"/>
              </w:rPr>
              <w:t xml:space="preserve"> national IP strategies/plans (17 cumulative)</w:t>
            </w:r>
          </w:p>
          <w:p w:rsidR="00F153C1" w:rsidRPr="008012E3" w:rsidRDefault="00F153C1" w:rsidP="00FD7155">
            <w:pPr>
              <w:rPr>
                <w:rFonts w:cs="Arial"/>
                <w:sz w:val="16"/>
                <w:szCs w:val="16"/>
                <w:lang w:bidi="th-TH"/>
              </w:rPr>
            </w:pPr>
          </w:p>
          <w:p w:rsidR="00F153C1" w:rsidRDefault="00F153C1" w:rsidP="00FD7155">
            <w:pPr>
              <w:rPr>
                <w:rFonts w:cs="Arial"/>
                <w:sz w:val="16"/>
                <w:szCs w:val="16"/>
                <w:lang w:bidi="th-TH"/>
              </w:rPr>
            </w:pPr>
            <w:r>
              <w:rPr>
                <w:rFonts w:cs="Arial"/>
                <w:sz w:val="16"/>
                <w:szCs w:val="16"/>
                <w:lang w:bidi="th-TH"/>
              </w:rPr>
              <w:t>4</w:t>
            </w:r>
            <w:r w:rsidRPr="008012E3">
              <w:rPr>
                <w:rFonts w:cs="Arial"/>
                <w:sz w:val="16"/>
                <w:szCs w:val="16"/>
                <w:lang w:bidi="th-TH"/>
              </w:rPr>
              <w:t xml:space="preserve"> </w:t>
            </w:r>
            <w:r>
              <w:rPr>
                <w:rFonts w:cs="Arial"/>
                <w:sz w:val="16"/>
                <w:szCs w:val="16"/>
                <w:lang w:bidi="th-TH"/>
              </w:rPr>
              <w:t xml:space="preserve">countries </w:t>
            </w:r>
            <w:r w:rsidRPr="008012E3">
              <w:rPr>
                <w:rFonts w:cs="Arial"/>
                <w:sz w:val="16"/>
                <w:szCs w:val="16"/>
                <w:lang w:bidi="th-TH"/>
              </w:rPr>
              <w:t xml:space="preserve">(Bulgaria, Poland, Turkmenistan, </w:t>
            </w:r>
            <w:proofErr w:type="gramStart"/>
            <w:r w:rsidRPr="008012E3">
              <w:rPr>
                <w:rFonts w:cs="Arial"/>
                <w:sz w:val="16"/>
                <w:szCs w:val="16"/>
                <w:lang w:bidi="th-TH"/>
              </w:rPr>
              <w:t>Ukraine</w:t>
            </w:r>
            <w:proofErr w:type="gramEnd"/>
            <w:r w:rsidRPr="008012E3">
              <w:rPr>
                <w:rFonts w:cs="Arial"/>
                <w:sz w:val="16"/>
                <w:szCs w:val="16"/>
                <w:lang w:bidi="th-TH"/>
              </w:rPr>
              <w:t xml:space="preserve">) </w:t>
            </w:r>
            <w:r>
              <w:rPr>
                <w:rFonts w:cs="Arial"/>
                <w:sz w:val="16"/>
                <w:szCs w:val="16"/>
                <w:lang w:bidi="th-TH"/>
              </w:rPr>
              <w:t>i</w:t>
            </w:r>
            <w:r w:rsidRPr="008012E3">
              <w:rPr>
                <w:rFonts w:cs="Arial"/>
                <w:sz w:val="16"/>
                <w:szCs w:val="16"/>
                <w:lang w:bidi="th-TH"/>
              </w:rPr>
              <w:t>nitiated</w:t>
            </w:r>
            <w:r>
              <w:rPr>
                <w:rFonts w:cs="Arial"/>
                <w:sz w:val="16"/>
                <w:szCs w:val="16"/>
                <w:lang w:bidi="th-TH"/>
              </w:rPr>
              <w:t xml:space="preserve"> the process.</w:t>
            </w:r>
          </w:p>
          <w:p w:rsidR="00F153C1" w:rsidRPr="008012E3" w:rsidRDefault="00F153C1" w:rsidP="00FD7155">
            <w:pPr>
              <w:rPr>
                <w:rFonts w:cs="Arial"/>
                <w:sz w:val="16"/>
                <w:szCs w:val="16"/>
                <w:lang w:bidi="th-TH"/>
              </w:rPr>
            </w:pPr>
          </w:p>
        </w:tc>
        <w:tc>
          <w:tcPr>
            <w:tcW w:w="515" w:type="pct"/>
            <w:tcBorders>
              <w:top w:val="nil"/>
              <w:bottom w:val="single" w:sz="4" w:space="0" w:color="auto"/>
              <w:right w:val="single" w:sz="4" w:space="0" w:color="auto"/>
            </w:tcBorders>
            <w:shd w:val="clear" w:color="auto" w:fill="auto"/>
            <w:tcMar>
              <w:top w:w="110" w:type="dxa"/>
            </w:tcMar>
          </w:tcPr>
          <w:p w:rsidR="00F153C1" w:rsidRPr="00C5428C" w:rsidRDefault="00F153C1" w:rsidP="00FD7155">
            <w:pPr>
              <w:keepNext/>
              <w:keepLines/>
              <w:jc w:val="center"/>
              <w:rPr>
                <w:rFonts w:cs="Arial"/>
                <w:b/>
                <w:bCs/>
                <w:color w:val="00B050"/>
                <w:sz w:val="16"/>
                <w:szCs w:val="16"/>
              </w:rPr>
            </w:pPr>
            <w:r w:rsidRPr="00C5428C">
              <w:rPr>
                <w:rFonts w:cs="Arial"/>
                <w:b/>
                <w:bCs/>
                <w:color w:val="00B050"/>
                <w:sz w:val="16"/>
                <w:szCs w:val="16"/>
              </w:rPr>
              <w:t>On track</w:t>
            </w:r>
          </w:p>
        </w:tc>
      </w:tr>
      <w:tr w:rsidR="00F153C1" w:rsidRPr="001656CD" w:rsidTr="00F153C1">
        <w:trPr>
          <w:cantSplit/>
          <w:trHeight w:val="501"/>
        </w:trPr>
        <w:tc>
          <w:tcPr>
            <w:tcW w:w="5000" w:type="pct"/>
            <w:gridSpan w:val="8"/>
            <w:tcBorders>
              <w:top w:val="single" w:sz="4" w:space="0" w:color="auto"/>
              <w:bottom w:val="single" w:sz="4" w:space="0" w:color="auto"/>
            </w:tcBorders>
            <w:shd w:val="clear" w:color="auto" w:fill="CCFFFF"/>
            <w:vAlign w:val="center"/>
          </w:tcPr>
          <w:p w:rsidR="00F153C1" w:rsidRPr="003329DC" w:rsidRDefault="00F153C1" w:rsidP="00FD7155">
            <w:pPr>
              <w:keepNext/>
              <w:keepLines/>
              <w:tabs>
                <w:tab w:val="left" w:pos="1452"/>
              </w:tabs>
              <w:ind w:left="1452" w:hanging="1452"/>
              <w:rPr>
                <w:rFonts w:cs="Arial"/>
                <w:b/>
                <w:bCs/>
                <w:sz w:val="16"/>
                <w:szCs w:val="16"/>
              </w:rPr>
            </w:pPr>
            <w:r w:rsidRPr="001656CD">
              <w:rPr>
                <w:rFonts w:cs="Arial"/>
                <w:b/>
                <w:bCs/>
                <w:sz w:val="16"/>
                <w:szCs w:val="16"/>
              </w:rPr>
              <w:lastRenderedPageBreak/>
              <w:t>Expected Result:</w:t>
            </w:r>
            <w:r w:rsidRPr="001656CD">
              <w:rPr>
                <w:rFonts w:cs="Arial"/>
                <w:b/>
                <w:bCs/>
                <w:sz w:val="16"/>
                <w:szCs w:val="16"/>
              </w:rPr>
              <w:tab/>
            </w:r>
            <w:r w:rsidRPr="003F0F9C">
              <w:rPr>
                <w:rFonts w:cs="Arial"/>
                <w:sz w:val="16"/>
                <w:szCs w:val="16"/>
                <w:lang w:bidi="th-TH"/>
              </w:rPr>
              <w:t>III.2 Enhanced human resource capacities able to deal with the broad range of requirements for the effective use of IP for development in developing countries, LDCs and countries with economies in transition</w:t>
            </w:r>
          </w:p>
        </w:tc>
      </w:tr>
      <w:tr w:rsidR="00F153C1" w:rsidRPr="001656CD" w:rsidTr="00F153C1">
        <w:trPr>
          <w:cantSplit/>
          <w:trHeight w:val="281"/>
        </w:trPr>
        <w:tc>
          <w:tcPr>
            <w:tcW w:w="1120" w:type="pct"/>
            <w:tcBorders>
              <w:top w:val="single" w:sz="4" w:space="0" w:color="auto"/>
              <w:left w:val="single" w:sz="4" w:space="0" w:color="auto"/>
              <w:bottom w:val="nil"/>
              <w:right w:val="nil"/>
            </w:tcBorders>
            <w:shd w:val="clear" w:color="auto" w:fill="auto"/>
            <w:vAlign w:val="center"/>
          </w:tcPr>
          <w:p w:rsidR="00F153C1" w:rsidRPr="00BC6547" w:rsidRDefault="00F153C1" w:rsidP="00FD7155">
            <w:pPr>
              <w:keepNext/>
              <w:keepLines/>
              <w:rPr>
                <w:rFonts w:cs="Arial"/>
                <w:sz w:val="16"/>
                <w:szCs w:val="16"/>
              </w:rPr>
            </w:pPr>
            <w:r w:rsidRPr="00BC6547">
              <w:rPr>
                <w:rFonts w:cs="Arial"/>
                <w:b/>
                <w:bCs/>
                <w:sz w:val="16"/>
                <w:szCs w:val="16"/>
              </w:rPr>
              <w:t>Performance Indicators</w:t>
            </w:r>
          </w:p>
        </w:tc>
        <w:tc>
          <w:tcPr>
            <w:tcW w:w="1271" w:type="pct"/>
            <w:gridSpan w:val="2"/>
            <w:tcBorders>
              <w:top w:val="single" w:sz="4" w:space="0" w:color="auto"/>
              <w:left w:val="nil"/>
              <w:bottom w:val="nil"/>
              <w:right w:val="nil"/>
            </w:tcBorders>
            <w:shd w:val="clear" w:color="auto" w:fill="auto"/>
            <w:vAlign w:val="center"/>
          </w:tcPr>
          <w:p w:rsidR="00F153C1" w:rsidRPr="00BC6547" w:rsidRDefault="00F153C1" w:rsidP="00FD7155">
            <w:pPr>
              <w:keepNext/>
              <w:keepLines/>
              <w:rPr>
                <w:rFonts w:cs="Arial"/>
                <w:b/>
                <w:bCs/>
                <w:sz w:val="16"/>
                <w:szCs w:val="16"/>
              </w:rPr>
            </w:pPr>
            <w:r w:rsidRPr="00BC6547">
              <w:rPr>
                <w:rFonts w:cs="Arial"/>
                <w:b/>
                <w:bCs/>
                <w:sz w:val="16"/>
                <w:szCs w:val="16"/>
              </w:rPr>
              <w:t>Baselines</w:t>
            </w:r>
          </w:p>
        </w:tc>
        <w:tc>
          <w:tcPr>
            <w:tcW w:w="824" w:type="pct"/>
            <w:gridSpan w:val="2"/>
            <w:tcBorders>
              <w:top w:val="single" w:sz="4" w:space="0" w:color="auto"/>
              <w:left w:val="nil"/>
              <w:bottom w:val="nil"/>
              <w:right w:val="nil"/>
            </w:tcBorders>
            <w:shd w:val="clear" w:color="auto" w:fill="auto"/>
            <w:vAlign w:val="center"/>
          </w:tcPr>
          <w:p w:rsidR="00F153C1" w:rsidRPr="00BC6547" w:rsidRDefault="00F153C1" w:rsidP="00FD7155">
            <w:pPr>
              <w:keepNext/>
              <w:keepLines/>
              <w:rPr>
                <w:rFonts w:cs="Arial"/>
                <w:b/>
                <w:sz w:val="16"/>
                <w:szCs w:val="16"/>
              </w:rPr>
            </w:pPr>
            <w:r w:rsidRPr="00BC6547">
              <w:rPr>
                <w:rFonts w:cs="Arial"/>
                <w:b/>
                <w:sz w:val="16"/>
                <w:szCs w:val="16"/>
              </w:rPr>
              <w:t>Targets</w:t>
            </w:r>
          </w:p>
        </w:tc>
        <w:tc>
          <w:tcPr>
            <w:tcW w:w="1270" w:type="pct"/>
            <w:gridSpan w:val="2"/>
            <w:tcBorders>
              <w:top w:val="single" w:sz="4" w:space="0" w:color="auto"/>
              <w:left w:val="nil"/>
              <w:bottom w:val="nil"/>
              <w:right w:val="nil"/>
            </w:tcBorders>
            <w:shd w:val="clear" w:color="auto" w:fill="auto"/>
            <w:vAlign w:val="center"/>
          </w:tcPr>
          <w:p w:rsidR="00F153C1" w:rsidRPr="00BC6547" w:rsidRDefault="00F153C1" w:rsidP="00FD7155">
            <w:pPr>
              <w:keepNext/>
              <w:keepLines/>
              <w:rPr>
                <w:rFonts w:cs="Arial"/>
                <w:sz w:val="16"/>
                <w:szCs w:val="16"/>
              </w:rPr>
            </w:pPr>
            <w:r w:rsidRPr="00BC6547">
              <w:rPr>
                <w:rFonts w:cs="Arial"/>
                <w:b/>
                <w:bCs/>
                <w:sz w:val="16"/>
                <w:szCs w:val="16"/>
              </w:rPr>
              <w:t>Performance Data</w:t>
            </w:r>
          </w:p>
        </w:tc>
        <w:tc>
          <w:tcPr>
            <w:tcW w:w="515" w:type="pct"/>
            <w:tcBorders>
              <w:top w:val="single" w:sz="4" w:space="0" w:color="auto"/>
              <w:left w:val="nil"/>
              <w:bottom w:val="nil"/>
              <w:right w:val="single" w:sz="4" w:space="0" w:color="auto"/>
            </w:tcBorders>
            <w:shd w:val="clear" w:color="auto" w:fill="auto"/>
            <w:vAlign w:val="center"/>
          </w:tcPr>
          <w:p w:rsidR="00F153C1" w:rsidRPr="00CD26D6" w:rsidRDefault="00F153C1" w:rsidP="00FD7155">
            <w:pPr>
              <w:keepNext/>
              <w:keepLines/>
              <w:jc w:val="center"/>
              <w:rPr>
                <w:rFonts w:cs="Arial"/>
                <w:b/>
                <w:bCs/>
                <w:sz w:val="16"/>
                <w:szCs w:val="16"/>
              </w:rPr>
            </w:pPr>
            <w:r w:rsidRPr="00BC6547">
              <w:rPr>
                <w:rFonts w:cs="Arial"/>
                <w:b/>
                <w:bCs/>
                <w:sz w:val="16"/>
                <w:szCs w:val="16"/>
              </w:rPr>
              <w:t>TLS</w:t>
            </w:r>
          </w:p>
        </w:tc>
      </w:tr>
      <w:tr w:rsidR="00F153C1" w:rsidRPr="001656CD" w:rsidTr="00F153C1">
        <w:trPr>
          <w:cantSplit/>
        </w:trPr>
        <w:tc>
          <w:tcPr>
            <w:tcW w:w="1120" w:type="pct"/>
            <w:tcBorders>
              <w:top w:val="nil"/>
              <w:left w:val="single" w:sz="4" w:space="0" w:color="auto"/>
              <w:bottom w:val="nil"/>
              <w:right w:val="nil"/>
            </w:tcBorders>
            <w:shd w:val="clear" w:color="auto" w:fill="auto"/>
          </w:tcPr>
          <w:p w:rsidR="00F153C1" w:rsidRPr="008012E3" w:rsidRDefault="00F153C1" w:rsidP="00FD7155">
            <w:pPr>
              <w:rPr>
                <w:rFonts w:cs="Arial"/>
                <w:sz w:val="16"/>
                <w:szCs w:val="16"/>
                <w:lang w:bidi="th-TH"/>
              </w:rPr>
            </w:pPr>
            <w:r w:rsidRPr="00F01083">
              <w:rPr>
                <w:rFonts w:cs="Arial"/>
                <w:sz w:val="16"/>
                <w:szCs w:val="16"/>
                <w:lang w:bidi="th-TH"/>
              </w:rPr>
              <w:t>No. of countries in transition having established annual IP training programs and/or courses for IP professionals</w:t>
            </w:r>
          </w:p>
        </w:tc>
        <w:tc>
          <w:tcPr>
            <w:tcW w:w="1271" w:type="pct"/>
            <w:gridSpan w:val="2"/>
            <w:tcBorders>
              <w:top w:val="nil"/>
              <w:left w:val="nil"/>
              <w:bottom w:val="nil"/>
              <w:right w:val="nil"/>
            </w:tcBorders>
            <w:shd w:val="clear" w:color="auto" w:fill="auto"/>
          </w:tcPr>
          <w:p w:rsidR="00F153C1" w:rsidRPr="001656CD" w:rsidRDefault="00F153C1" w:rsidP="00FD7155">
            <w:pPr>
              <w:rPr>
                <w:rFonts w:cs="Arial"/>
                <w:i/>
                <w:color w:val="002060"/>
                <w:sz w:val="16"/>
                <w:szCs w:val="16"/>
              </w:rPr>
            </w:pPr>
            <w:proofErr w:type="spellStart"/>
            <w:r w:rsidRPr="00F01083">
              <w:rPr>
                <w:rFonts w:cs="Arial"/>
                <w:sz w:val="16"/>
                <w:szCs w:val="16"/>
              </w:rPr>
              <w:t>tbd</w:t>
            </w:r>
            <w:proofErr w:type="spellEnd"/>
          </w:p>
        </w:tc>
        <w:tc>
          <w:tcPr>
            <w:tcW w:w="824" w:type="pct"/>
            <w:gridSpan w:val="2"/>
            <w:tcBorders>
              <w:top w:val="nil"/>
              <w:left w:val="nil"/>
              <w:bottom w:val="nil"/>
              <w:right w:val="nil"/>
            </w:tcBorders>
            <w:shd w:val="clear" w:color="auto" w:fill="auto"/>
            <w:tcMar>
              <w:top w:w="110" w:type="dxa"/>
            </w:tcMar>
          </w:tcPr>
          <w:p w:rsidR="00F153C1" w:rsidRDefault="00F153C1" w:rsidP="00FD7155">
            <w:pPr>
              <w:rPr>
                <w:rFonts w:cs="Arial"/>
                <w:sz w:val="16"/>
                <w:szCs w:val="16"/>
                <w:lang w:bidi="th-TH"/>
              </w:rPr>
            </w:pPr>
            <w:r>
              <w:rPr>
                <w:rFonts w:cs="Arial"/>
                <w:sz w:val="16"/>
                <w:szCs w:val="16"/>
                <w:lang w:bidi="th-TH"/>
              </w:rPr>
              <w:t>10</w:t>
            </w:r>
          </w:p>
          <w:p w:rsidR="00F153C1" w:rsidRPr="00F01083" w:rsidRDefault="00F153C1" w:rsidP="00FD7155">
            <w:pPr>
              <w:rPr>
                <w:rFonts w:cs="Arial"/>
                <w:sz w:val="16"/>
                <w:szCs w:val="16"/>
                <w:lang w:bidi="th-TH"/>
              </w:rPr>
            </w:pPr>
          </w:p>
        </w:tc>
        <w:tc>
          <w:tcPr>
            <w:tcW w:w="1270" w:type="pct"/>
            <w:gridSpan w:val="2"/>
            <w:tcBorders>
              <w:top w:val="nil"/>
              <w:left w:val="nil"/>
              <w:bottom w:val="nil"/>
              <w:right w:val="nil"/>
            </w:tcBorders>
            <w:shd w:val="clear" w:color="auto" w:fill="FFFFFF"/>
            <w:tcMar>
              <w:top w:w="110" w:type="dxa"/>
            </w:tcMar>
          </w:tcPr>
          <w:p w:rsidR="00F153C1" w:rsidRPr="00845557" w:rsidRDefault="00F153C1" w:rsidP="00FD7155">
            <w:pPr>
              <w:rPr>
                <w:rFonts w:cs="Arial"/>
                <w:sz w:val="16"/>
                <w:szCs w:val="16"/>
                <w:lang w:val="pl-PL" w:bidi="th-TH"/>
              </w:rPr>
            </w:pPr>
            <w:r w:rsidRPr="00845557">
              <w:rPr>
                <w:rFonts w:cs="Arial"/>
                <w:sz w:val="16"/>
                <w:szCs w:val="16"/>
                <w:lang w:val="pl-PL" w:bidi="th-TH"/>
              </w:rPr>
              <w:t>6 (Bulgaria, Croatia, Czech Republic</w:t>
            </w:r>
            <w:r>
              <w:rPr>
                <w:rFonts w:cs="Arial"/>
                <w:sz w:val="16"/>
                <w:szCs w:val="16"/>
                <w:lang w:val="pl-PL" w:bidi="th-TH"/>
              </w:rPr>
              <w:t>,</w:t>
            </w:r>
            <w:r w:rsidRPr="00845557">
              <w:rPr>
                <w:rFonts w:cs="Arial"/>
                <w:sz w:val="16"/>
                <w:szCs w:val="16"/>
                <w:lang w:val="pl-PL" w:bidi="th-TH"/>
              </w:rPr>
              <w:t xml:space="preserve"> Kazakhstan, Poland, Turkey)</w:t>
            </w:r>
          </w:p>
        </w:tc>
        <w:tc>
          <w:tcPr>
            <w:tcW w:w="515" w:type="pct"/>
            <w:tcBorders>
              <w:top w:val="nil"/>
              <w:left w:val="nil"/>
              <w:bottom w:val="nil"/>
              <w:right w:val="single" w:sz="4" w:space="0" w:color="auto"/>
            </w:tcBorders>
            <w:shd w:val="clear" w:color="auto" w:fill="auto"/>
            <w:tcMar>
              <w:top w:w="110" w:type="dxa"/>
            </w:tcMar>
          </w:tcPr>
          <w:p w:rsidR="00F153C1" w:rsidRPr="00C5428C" w:rsidRDefault="00F153C1" w:rsidP="00FD7155">
            <w:pPr>
              <w:keepNext/>
              <w:keepLines/>
              <w:jc w:val="center"/>
              <w:rPr>
                <w:rFonts w:cs="Arial"/>
                <w:b/>
                <w:bCs/>
                <w:color w:val="00B050"/>
                <w:sz w:val="16"/>
                <w:szCs w:val="16"/>
              </w:rPr>
            </w:pPr>
            <w:r w:rsidRPr="00C5428C">
              <w:rPr>
                <w:rFonts w:cs="Arial"/>
                <w:b/>
                <w:bCs/>
                <w:color w:val="00B050"/>
                <w:sz w:val="16"/>
                <w:szCs w:val="16"/>
              </w:rPr>
              <w:t>On track</w:t>
            </w:r>
          </w:p>
        </w:tc>
      </w:tr>
      <w:tr w:rsidR="00F153C1" w:rsidRPr="001656CD" w:rsidTr="00F153C1">
        <w:trPr>
          <w:cantSplit/>
        </w:trPr>
        <w:tc>
          <w:tcPr>
            <w:tcW w:w="1120" w:type="pct"/>
            <w:tcBorders>
              <w:top w:val="nil"/>
              <w:left w:val="single" w:sz="4" w:space="0" w:color="auto"/>
              <w:bottom w:val="single" w:sz="4" w:space="0" w:color="auto"/>
            </w:tcBorders>
            <w:shd w:val="clear" w:color="auto" w:fill="auto"/>
          </w:tcPr>
          <w:p w:rsidR="00F153C1" w:rsidRPr="00F01083" w:rsidRDefault="00F153C1" w:rsidP="00FD7155">
            <w:pPr>
              <w:rPr>
                <w:rFonts w:cs="Arial"/>
                <w:sz w:val="16"/>
                <w:szCs w:val="16"/>
                <w:lang w:bidi="th-TH"/>
              </w:rPr>
            </w:pPr>
            <w:r w:rsidRPr="00F01083">
              <w:rPr>
                <w:rFonts w:cs="Arial"/>
                <w:sz w:val="16"/>
                <w:szCs w:val="16"/>
                <w:lang w:bidi="th-TH"/>
              </w:rPr>
              <w:t>% of trained IP professionals and IP Office officials using upgraded skills in their work</w:t>
            </w:r>
          </w:p>
        </w:tc>
        <w:tc>
          <w:tcPr>
            <w:tcW w:w="1271" w:type="pct"/>
            <w:gridSpan w:val="2"/>
            <w:tcBorders>
              <w:top w:val="nil"/>
              <w:bottom w:val="single" w:sz="4" w:space="0" w:color="auto"/>
            </w:tcBorders>
            <w:shd w:val="clear" w:color="auto" w:fill="auto"/>
          </w:tcPr>
          <w:p w:rsidR="00F153C1" w:rsidRPr="00BC6767" w:rsidRDefault="00F153C1" w:rsidP="00FD7155">
            <w:pPr>
              <w:rPr>
                <w:rFonts w:cs="Arial"/>
                <w:color w:val="002060"/>
                <w:sz w:val="16"/>
                <w:szCs w:val="16"/>
                <w:lang w:bidi="th-TH"/>
              </w:rPr>
            </w:pPr>
            <w:r w:rsidRPr="001656CD">
              <w:rPr>
                <w:rFonts w:cs="Arial"/>
                <w:i/>
                <w:color w:val="002060"/>
                <w:sz w:val="16"/>
                <w:szCs w:val="16"/>
              </w:rPr>
              <w:t>Updated Baseline end 201</w:t>
            </w:r>
            <w:r>
              <w:rPr>
                <w:rFonts w:cs="Arial"/>
                <w:i/>
                <w:color w:val="002060"/>
                <w:sz w:val="16"/>
                <w:szCs w:val="16"/>
              </w:rPr>
              <w:t>3</w:t>
            </w:r>
            <w:r w:rsidRPr="001656CD">
              <w:rPr>
                <w:rFonts w:cs="Arial"/>
                <w:i/>
                <w:color w:val="002060"/>
                <w:sz w:val="16"/>
                <w:szCs w:val="16"/>
              </w:rPr>
              <w:t xml:space="preserve">: </w:t>
            </w:r>
            <w:r>
              <w:rPr>
                <w:rFonts w:cs="Arial"/>
                <w:color w:val="002060"/>
                <w:sz w:val="16"/>
                <w:szCs w:val="16"/>
              </w:rPr>
              <w:t>69% of trained IP office officials were using upgraded skills in their work</w:t>
            </w:r>
          </w:p>
          <w:p w:rsidR="00F153C1" w:rsidRPr="008D3FF3" w:rsidRDefault="00F153C1" w:rsidP="00FD7155">
            <w:pPr>
              <w:rPr>
                <w:rFonts w:cs="Arial"/>
                <w:i/>
                <w:color w:val="002060"/>
                <w:sz w:val="8"/>
                <w:szCs w:val="8"/>
              </w:rPr>
            </w:pPr>
          </w:p>
          <w:p w:rsidR="00F153C1" w:rsidRPr="001656CD" w:rsidRDefault="00F153C1" w:rsidP="00FD7155">
            <w:pPr>
              <w:rPr>
                <w:rFonts w:cs="Arial"/>
                <w:i/>
                <w:color w:val="002060"/>
                <w:sz w:val="16"/>
                <w:szCs w:val="16"/>
              </w:rPr>
            </w:pPr>
            <w:r w:rsidRPr="001656CD">
              <w:rPr>
                <w:rFonts w:cs="Arial"/>
                <w:i/>
                <w:sz w:val="16"/>
                <w:szCs w:val="16"/>
              </w:rPr>
              <w:t>Original Baseline P&amp;B 201</w:t>
            </w:r>
            <w:r>
              <w:rPr>
                <w:rFonts w:cs="Arial"/>
                <w:i/>
                <w:sz w:val="16"/>
                <w:szCs w:val="16"/>
              </w:rPr>
              <w:t>4</w:t>
            </w:r>
            <w:r w:rsidRPr="001656CD">
              <w:rPr>
                <w:rFonts w:cs="Arial"/>
                <w:i/>
                <w:sz w:val="16"/>
                <w:szCs w:val="16"/>
              </w:rPr>
              <w:t>/1</w:t>
            </w:r>
            <w:r>
              <w:rPr>
                <w:rFonts w:cs="Arial"/>
                <w:i/>
                <w:sz w:val="16"/>
                <w:szCs w:val="16"/>
              </w:rPr>
              <w:t>5</w:t>
            </w:r>
            <w:r w:rsidRPr="001656CD">
              <w:rPr>
                <w:rFonts w:cs="Arial"/>
                <w:i/>
                <w:sz w:val="16"/>
                <w:szCs w:val="16"/>
              </w:rPr>
              <w:t>:</w:t>
            </w:r>
            <w:r>
              <w:t xml:space="preserve"> </w:t>
            </w:r>
            <w:r w:rsidRPr="00F01083">
              <w:rPr>
                <w:rFonts w:cs="Arial"/>
                <w:sz w:val="16"/>
                <w:szCs w:val="16"/>
              </w:rPr>
              <w:t>40%</w:t>
            </w:r>
          </w:p>
        </w:tc>
        <w:tc>
          <w:tcPr>
            <w:tcW w:w="824" w:type="pct"/>
            <w:gridSpan w:val="2"/>
            <w:tcBorders>
              <w:top w:val="nil"/>
              <w:bottom w:val="single" w:sz="4" w:space="0" w:color="auto"/>
            </w:tcBorders>
            <w:shd w:val="clear" w:color="auto" w:fill="auto"/>
            <w:tcMar>
              <w:top w:w="110" w:type="dxa"/>
            </w:tcMar>
          </w:tcPr>
          <w:p w:rsidR="00F153C1" w:rsidRPr="00F01083" w:rsidRDefault="00F153C1" w:rsidP="00FD7155">
            <w:pPr>
              <w:rPr>
                <w:rFonts w:cs="Arial"/>
                <w:sz w:val="16"/>
                <w:szCs w:val="16"/>
                <w:lang w:bidi="th-TH"/>
              </w:rPr>
            </w:pPr>
            <w:r w:rsidRPr="00F01083">
              <w:rPr>
                <w:rFonts w:cs="Arial"/>
                <w:sz w:val="16"/>
                <w:szCs w:val="16"/>
                <w:lang w:bidi="th-TH"/>
              </w:rPr>
              <w:t>50%</w:t>
            </w:r>
          </w:p>
        </w:tc>
        <w:tc>
          <w:tcPr>
            <w:tcW w:w="1270" w:type="pct"/>
            <w:gridSpan w:val="2"/>
            <w:tcBorders>
              <w:top w:val="nil"/>
              <w:bottom w:val="single" w:sz="4" w:space="0" w:color="auto"/>
            </w:tcBorders>
            <w:shd w:val="clear" w:color="auto" w:fill="FFFFFF"/>
            <w:tcMar>
              <w:top w:w="110" w:type="dxa"/>
            </w:tcMar>
          </w:tcPr>
          <w:p w:rsidR="00F153C1" w:rsidRPr="00F01083" w:rsidRDefault="00F153C1" w:rsidP="00FD7155">
            <w:pPr>
              <w:rPr>
                <w:rFonts w:cs="Arial"/>
                <w:sz w:val="16"/>
                <w:szCs w:val="16"/>
                <w:lang w:bidi="th-TH"/>
              </w:rPr>
            </w:pPr>
            <w:r w:rsidRPr="00F01083">
              <w:rPr>
                <w:rFonts w:cs="Arial"/>
                <w:sz w:val="16"/>
                <w:szCs w:val="16"/>
                <w:lang w:bidi="th-TH"/>
              </w:rPr>
              <w:t>80%</w:t>
            </w:r>
            <w:r>
              <w:rPr>
                <w:rFonts w:cs="Arial"/>
                <w:sz w:val="16"/>
                <w:szCs w:val="16"/>
                <w:lang w:bidi="th-TH"/>
              </w:rPr>
              <w:t xml:space="preserve"> </w:t>
            </w:r>
            <w:r w:rsidRPr="00F01083">
              <w:rPr>
                <w:rFonts w:cs="Arial"/>
                <w:sz w:val="16"/>
                <w:szCs w:val="16"/>
                <w:lang w:bidi="th-TH"/>
              </w:rPr>
              <w:t xml:space="preserve">of trained IP professionals and IP Office officials </w:t>
            </w:r>
            <w:r>
              <w:rPr>
                <w:rFonts w:cs="Arial"/>
                <w:sz w:val="16"/>
                <w:szCs w:val="16"/>
                <w:lang w:bidi="th-TH"/>
              </w:rPr>
              <w:t xml:space="preserve">were </w:t>
            </w:r>
            <w:r w:rsidRPr="00F01083">
              <w:rPr>
                <w:rFonts w:cs="Arial"/>
                <w:sz w:val="16"/>
                <w:szCs w:val="16"/>
                <w:lang w:bidi="th-TH"/>
              </w:rPr>
              <w:t>using upgraded skills in their work</w:t>
            </w:r>
          </w:p>
        </w:tc>
        <w:tc>
          <w:tcPr>
            <w:tcW w:w="515" w:type="pct"/>
            <w:tcBorders>
              <w:top w:val="nil"/>
              <w:bottom w:val="single" w:sz="4" w:space="0" w:color="auto"/>
              <w:right w:val="single" w:sz="4" w:space="0" w:color="auto"/>
            </w:tcBorders>
            <w:shd w:val="clear" w:color="auto" w:fill="auto"/>
            <w:tcMar>
              <w:top w:w="110" w:type="dxa"/>
            </w:tcMar>
          </w:tcPr>
          <w:p w:rsidR="00F153C1" w:rsidRPr="00C5428C" w:rsidRDefault="00F153C1" w:rsidP="00FD7155">
            <w:pPr>
              <w:keepNext/>
              <w:keepLines/>
              <w:jc w:val="center"/>
              <w:rPr>
                <w:rFonts w:cs="Arial"/>
                <w:b/>
                <w:bCs/>
                <w:color w:val="00B050"/>
                <w:sz w:val="16"/>
                <w:szCs w:val="16"/>
              </w:rPr>
            </w:pPr>
            <w:r w:rsidRPr="00C5428C">
              <w:rPr>
                <w:rFonts w:cs="Arial"/>
                <w:b/>
                <w:bCs/>
                <w:color w:val="00B050"/>
                <w:sz w:val="16"/>
                <w:szCs w:val="16"/>
              </w:rPr>
              <w:t>On track</w:t>
            </w:r>
          </w:p>
        </w:tc>
      </w:tr>
      <w:tr w:rsidR="00F153C1" w:rsidRPr="001656CD" w:rsidTr="00F153C1">
        <w:trPr>
          <w:cantSplit/>
          <w:trHeight w:val="494"/>
        </w:trPr>
        <w:tc>
          <w:tcPr>
            <w:tcW w:w="5000" w:type="pct"/>
            <w:gridSpan w:val="8"/>
            <w:tcBorders>
              <w:top w:val="single" w:sz="4" w:space="0" w:color="auto"/>
              <w:bottom w:val="single" w:sz="4" w:space="0" w:color="auto"/>
            </w:tcBorders>
            <w:shd w:val="clear" w:color="auto" w:fill="CCFFFF"/>
            <w:vAlign w:val="center"/>
          </w:tcPr>
          <w:p w:rsidR="00F153C1" w:rsidRPr="003329DC" w:rsidRDefault="00F153C1" w:rsidP="00FD7155">
            <w:pPr>
              <w:keepNext/>
              <w:keepLines/>
              <w:tabs>
                <w:tab w:val="left" w:pos="1452"/>
              </w:tabs>
              <w:ind w:left="1452" w:hanging="1452"/>
              <w:rPr>
                <w:rFonts w:cs="Arial"/>
                <w:b/>
                <w:bCs/>
                <w:sz w:val="16"/>
                <w:szCs w:val="16"/>
              </w:rPr>
            </w:pPr>
            <w:r w:rsidRPr="001656CD">
              <w:rPr>
                <w:rFonts w:cs="Arial"/>
                <w:b/>
                <w:bCs/>
                <w:sz w:val="16"/>
                <w:szCs w:val="16"/>
              </w:rPr>
              <w:t>Expected Result:</w:t>
            </w:r>
            <w:r w:rsidRPr="001656CD">
              <w:rPr>
                <w:rFonts w:cs="Arial"/>
                <w:b/>
                <w:bCs/>
                <w:sz w:val="16"/>
                <w:szCs w:val="16"/>
              </w:rPr>
              <w:tab/>
            </w:r>
            <w:r w:rsidRPr="00F01083">
              <w:rPr>
                <w:rFonts w:cs="Arial"/>
                <w:sz w:val="16"/>
                <w:szCs w:val="16"/>
                <w:lang w:bidi="th-TH"/>
              </w:rPr>
              <w:t>III.4 Strengthened cooperation mechanisms and programs tailored to the needs of developing countries and LDCs</w:t>
            </w:r>
          </w:p>
        </w:tc>
      </w:tr>
      <w:tr w:rsidR="00F153C1" w:rsidRPr="001656CD" w:rsidTr="00F153C1">
        <w:trPr>
          <w:cantSplit/>
          <w:trHeight w:val="371"/>
        </w:trPr>
        <w:tc>
          <w:tcPr>
            <w:tcW w:w="1120" w:type="pct"/>
            <w:tcBorders>
              <w:top w:val="single" w:sz="4" w:space="0" w:color="auto"/>
              <w:left w:val="single" w:sz="4" w:space="0" w:color="auto"/>
              <w:bottom w:val="nil"/>
              <w:right w:val="nil"/>
            </w:tcBorders>
            <w:shd w:val="clear" w:color="auto" w:fill="auto"/>
            <w:vAlign w:val="center"/>
          </w:tcPr>
          <w:p w:rsidR="00F153C1" w:rsidRPr="00BC6547" w:rsidRDefault="00F153C1" w:rsidP="00FD7155">
            <w:pPr>
              <w:keepNext/>
              <w:keepLines/>
              <w:rPr>
                <w:rFonts w:cs="Arial"/>
                <w:sz w:val="16"/>
                <w:szCs w:val="16"/>
              </w:rPr>
            </w:pPr>
            <w:r w:rsidRPr="00BC6547">
              <w:rPr>
                <w:rFonts w:cs="Arial"/>
                <w:b/>
                <w:bCs/>
                <w:sz w:val="16"/>
                <w:szCs w:val="16"/>
              </w:rPr>
              <w:t>Performance Indicators</w:t>
            </w:r>
          </w:p>
        </w:tc>
        <w:tc>
          <w:tcPr>
            <w:tcW w:w="1268" w:type="pct"/>
            <w:tcBorders>
              <w:top w:val="single" w:sz="4" w:space="0" w:color="auto"/>
              <w:left w:val="nil"/>
              <w:bottom w:val="nil"/>
              <w:right w:val="nil"/>
            </w:tcBorders>
            <w:shd w:val="clear" w:color="auto" w:fill="auto"/>
            <w:vAlign w:val="center"/>
          </w:tcPr>
          <w:p w:rsidR="00F153C1" w:rsidRPr="00BC6547" w:rsidRDefault="00F153C1" w:rsidP="00FD7155">
            <w:pPr>
              <w:keepNext/>
              <w:keepLines/>
              <w:rPr>
                <w:rFonts w:cs="Arial"/>
                <w:b/>
                <w:bCs/>
                <w:sz w:val="16"/>
                <w:szCs w:val="16"/>
              </w:rPr>
            </w:pPr>
            <w:r w:rsidRPr="00BC6547">
              <w:rPr>
                <w:rFonts w:cs="Arial"/>
                <w:b/>
                <w:bCs/>
                <w:sz w:val="16"/>
                <w:szCs w:val="16"/>
              </w:rPr>
              <w:t>Baselines</w:t>
            </w:r>
          </w:p>
        </w:tc>
        <w:tc>
          <w:tcPr>
            <w:tcW w:w="824" w:type="pct"/>
            <w:gridSpan w:val="2"/>
            <w:tcBorders>
              <w:top w:val="single" w:sz="4" w:space="0" w:color="auto"/>
              <w:left w:val="nil"/>
              <w:bottom w:val="nil"/>
              <w:right w:val="nil"/>
            </w:tcBorders>
            <w:shd w:val="clear" w:color="auto" w:fill="auto"/>
            <w:vAlign w:val="center"/>
          </w:tcPr>
          <w:p w:rsidR="00F153C1" w:rsidRPr="00BC6547" w:rsidRDefault="00F153C1" w:rsidP="00FD7155">
            <w:pPr>
              <w:keepNext/>
              <w:keepLines/>
              <w:rPr>
                <w:rFonts w:cs="Arial"/>
                <w:b/>
                <w:sz w:val="16"/>
                <w:szCs w:val="16"/>
              </w:rPr>
            </w:pPr>
            <w:r w:rsidRPr="00BC6547">
              <w:rPr>
                <w:rFonts w:cs="Arial"/>
                <w:b/>
                <w:sz w:val="16"/>
                <w:szCs w:val="16"/>
              </w:rPr>
              <w:t>Targets</w:t>
            </w:r>
          </w:p>
        </w:tc>
        <w:tc>
          <w:tcPr>
            <w:tcW w:w="1269" w:type="pct"/>
            <w:gridSpan w:val="2"/>
            <w:tcBorders>
              <w:top w:val="single" w:sz="4" w:space="0" w:color="auto"/>
              <w:left w:val="nil"/>
              <w:bottom w:val="nil"/>
              <w:right w:val="nil"/>
            </w:tcBorders>
            <w:shd w:val="clear" w:color="auto" w:fill="auto"/>
            <w:vAlign w:val="center"/>
          </w:tcPr>
          <w:p w:rsidR="00F153C1" w:rsidRPr="00BC6547" w:rsidRDefault="00F153C1" w:rsidP="00FD7155">
            <w:pPr>
              <w:keepNext/>
              <w:keepLines/>
              <w:rPr>
                <w:rFonts w:cs="Arial"/>
                <w:sz w:val="16"/>
                <w:szCs w:val="16"/>
              </w:rPr>
            </w:pPr>
            <w:r w:rsidRPr="00BC6547">
              <w:rPr>
                <w:rFonts w:cs="Arial"/>
                <w:b/>
                <w:bCs/>
                <w:sz w:val="16"/>
                <w:szCs w:val="16"/>
              </w:rPr>
              <w:t>Performance Data</w:t>
            </w:r>
          </w:p>
        </w:tc>
        <w:tc>
          <w:tcPr>
            <w:tcW w:w="519" w:type="pct"/>
            <w:gridSpan w:val="2"/>
            <w:tcBorders>
              <w:top w:val="single" w:sz="4" w:space="0" w:color="auto"/>
              <w:left w:val="nil"/>
              <w:bottom w:val="nil"/>
              <w:right w:val="single" w:sz="4" w:space="0" w:color="auto"/>
            </w:tcBorders>
            <w:shd w:val="clear" w:color="auto" w:fill="auto"/>
            <w:vAlign w:val="center"/>
          </w:tcPr>
          <w:p w:rsidR="00F153C1" w:rsidRPr="00CD26D6" w:rsidRDefault="00F153C1" w:rsidP="00FD7155">
            <w:pPr>
              <w:keepNext/>
              <w:keepLines/>
              <w:jc w:val="center"/>
              <w:rPr>
                <w:rFonts w:cs="Arial"/>
                <w:b/>
                <w:bCs/>
                <w:sz w:val="16"/>
                <w:szCs w:val="16"/>
              </w:rPr>
            </w:pPr>
            <w:r w:rsidRPr="00BC6547">
              <w:rPr>
                <w:rFonts w:cs="Arial"/>
                <w:b/>
                <w:bCs/>
                <w:sz w:val="16"/>
                <w:szCs w:val="16"/>
              </w:rPr>
              <w:t>TLS</w:t>
            </w:r>
          </w:p>
        </w:tc>
      </w:tr>
      <w:tr w:rsidR="00F153C1" w:rsidRPr="001656CD" w:rsidTr="00F153C1">
        <w:trPr>
          <w:cantSplit/>
        </w:trPr>
        <w:tc>
          <w:tcPr>
            <w:tcW w:w="1120" w:type="pct"/>
            <w:tcBorders>
              <w:top w:val="nil"/>
              <w:left w:val="single" w:sz="4" w:space="0" w:color="auto"/>
              <w:bottom w:val="single" w:sz="4" w:space="0" w:color="auto"/>
              <w:right w:val="nil"/>
            </w:tcBorders>
            <w:shd w:val="clear" w:color="auto" w:fill="auto"/>
          </w:tcPr>
          <w:p w:rsidR="00F153C1" w:rsidRPr="008E6313" w:rsidRDefault="00F153C1" w:rsidP="00FD7155">
            <w:pPr>
              <w:tabs>
                <w:tab w:val="left" w:pos="347"/>
              </w:tabs>
              <w:rPr>
                <w:rFonts w:cs="Arial"/>
                <w:sz w:val="16"/>
                <w:szCs w:val="16"/>
                <w:lang w:bidi="th-TH"/>
              </w:rPr>
            </w:pPr>
            <w:r w:rsidRPr="002D2494">
              <w:rPr>
                <w:rFonts w:cs="Arial"/>
                <w:sz w:val="16"/>
                <w:szCs w:val="16"/>
                <w:lang w:bidi="th-TH"/>
              </w:rPr>
              <w:t>No. of established partnerships where the party offering assistance originates from a developed country</w:t>
            </w:r>
          </w:p>
        </w:tc>
        <w:tc>
          <w:tcPr>
            <w:tcW w:w="1268" w:type="pct"/>
            <w:tcBorders>
              <w:top w:val="nil"/>
              <w:left w:val="nil"/>
              <w:bottom w:val="single" w:sz="4" w:space="0" w:color="auto"/>
              <w:right w:val="nil"/>
            </w:tcBorders>
            <w:shd w:val="clear" w:color="auto" w:fill="auto"/>
          </w:tcPr>
          <w:p w:rsidR="00F153C1" w:rsidRPr="001656CD" w:rsidRDefault="00F153C1" w:rsidP="00FD7155">
            <w:pPr>
              <w:rPr>
                <w:rFonts w:cs="Arial"/>
                <w:i/>
                <w:color w:val="002060"/>
                <w:sz w:val="16"/>
                <w:szCs w:val="16"/>
              </w:rPr>
            </w:pPr>
            <w:proofErr w:type="spellStart"/>
            <w:r w:rsidRPr="002D2494">
              <w:rPr>
                <w:rFonts w:cs="Arial"/>
                <w:sz w:val="16"/>
                <w:szCs w:val="16"/>
              </w:rPr>
              <w:t>tbd</w:t>
            </w:r>
            <w:proofErr w:type="spellEnd"/>
          </w:p>
        </w:tc>
        <w:tc>
          <w:tcPr>
            <w:tcW w:w="824" w:type="pct"/>
            <w:gridSpan w:val="2"/>
            <w:tcBorders>
              <w:top w:val="nil"/>
              <w:left w:val="nil"/>
              <w:bottom w:val="single" w:sz="4" w:space="0" w:color="auto"/>
              <w:right w:val="nil"/>
            </w:tcBorders>
            <w:shd w:val="clear" w:color="auto" w:fill="auto"/>
            <w:tcMar>
              <w:top w:w="110" w:type="dxa"/>
            </w:tcMar>
          </w:tcPr>
          <w:p w:rsidR="00F153C1" w:rsidRDefault="00F153C1" w:rsidP="00FD7155">
            <w:pPr>
              <w:rPr>
                <w:rFonts w:cs="Arial"/>
                <w:sz w:val="16"/>
                <w:szCs w:val="16"/>
                <w:lang w:bidi="th-TH"/>
              </w:rPr>
            </w:pPr>
            <w:r w:rsidRPr="002D2494">
              <w:rPr>
                <w:rFonts w:cs="Arial"/>
                <w:sz w:val="16"/>
                <w:szCs w:val="16"/>
                <w:lang w:bidi="th-TH"/>
              </w:rPr>
              <w:t xml:space="preserve">4 additional </w:t>
            </w:r>
            <w:proofErr w:type="spellStart"/>
            <w:r w:rsidRPr="002D2494">
              <w:rPr>
                <w:rFonts w:cs="Arial"/>
                <w:sz w:val="16"/>
                <w:szCs w:val="16"/>
                <w:lang w:bidi="th-TH"/>
              </w:rPr>
              <w:t>MoUs</w:t>
            </w:r>
            <w:proofErr w:type="spellEnd"/>
            <w:r w:rsidRPr="002D2494">
              <w:rPr>
                <w:rFonts w:cs="Arial"/>
                <w:sz w:val="16"/>
                <w:szCs w:val="16"/>
                <w:lang w:bidi="th-TH"/>
              </w:rPr>
              <w:t>; 10 additional matches in the matchmaking database</w:t>
            </w:r>
          </w:p>
          <w:p w:rsidR="00F153C1" w:rsidRPr="002D2494" w:rsidRDefault="00F153C1" w:rsidP="00FD7155">
            <w:pPr>
              <w:rPr>
                <w:rFonts w:cs="Arial"/>
                <w:sz w:val="16"/>
                <w:szCs w:val="16"/>
                <w:lang w:bidi="th-TH"/>
              </w:rPr>
            </w:pPr>
          </w:p>
        </w:tc>
        <w:tc>
          <w:tcPr>
            <w:tcW w:w="1269" w:type="pct"/>
            <w:gridSpan w:val="2"/>
            <w:tcBorders>
              <w:top w:val="nil"/>
              <w:left w:val="nil"/>
              <w:bottom w:val="single" w:sz="4" w:space="0" w:color="auto"/>
              <w:right w:val="nil"/>
            </w:tcBorders>
            <w:shd w:val="clear" w:color="auto" w:fill="FFFFFF"/>
            <w:tcMar>
              <w:top w:w="110" w:type="dxa"/>
            </w:tcMar>
          </w:tcPr>
          <w:p w:rsidR="00F153C1" w:rsidRDefault="00F153C1" w:rsidP="00FD7155">
            <w:pPr>
              <w:rPr>
                <w:rFonts w:cs="Arial"/>
                <w:sz w:val="16"/>
                <w:szCs w:val="16"/>
                <w:lang w:bidi="th-TH"/>
              </w:rPr>
            </w:pPr>
            <w:r w:rsidRPr="002D2494">
              <w:rPr>
                <w:rFonts w:cs="Arial"/>
                <w:sz w:val="16"/>
                <w:szCs w:val="16"/>
                <w:lang w:bidi="th-TH"/>
              </w:rPr>
              <w:t xml:space="preserve">4 new </w:t>
            </w:r>
            <w:proofErr w:type="spellStart"/>
            <w:r w:rsidRPr="002D2494">
              <w:rPr>
                <w:rFonts w:cs="Arial"/>
                <w:sz w:val="16"/>
                <w:szCs w:val="16"/>
                <w:lang w:bidi="th-TH"/>
              </w:rPr>
              <w:t>MoUs</w:t>
            </w:r>
            <w:proofErr w:type="spellEnd"/>
            <w:r w:rsidRPr="002D2494">
              <w:rPr>
                <w:rFonts w:cs="Arial"/>
                <w:sz w:val="16"/>
                <w:szCs w:val="16"/>
                <w:lang w:bidi="th-TH"/>
              </w:rPr>
              <w:t xml:space="preserve"> (Denmark, Germany, Israel, Spain) </w:t>
            </w:r>
          </w:p>
          <w:p w:rsidR="00F153C1" w:rsidRDefault="00F153C1" w:rsidP="00FD7155">
            <w:pPr>
              <w:rPr>
                <w:rFonts w:cs="Arial"/>
                <w:sz w:val="16"/>
                <w:szCs w:val="16"/>
                <w:lang w:bidi="th-TH"/>
              </w:rPr>
            </w:pPr>
          </w:p>
          <w:p w:rsidR="00F153C1" w:rsidRDefault="00F153C1" w:rsidP="00FD7155">
            <w:pPr>
              <w:rPr>
                <w:rFonts w:cs="Arial"/>
                <w:sz w:val="16"/>
                <w:szCs w:val="16"/>
                <w:lang w:bidi="th-TH"/>
              </w:rPr>
            </w:pPr>
            <w:r>
              <w:rPr>
                <w:rFonts w:cs="Arial"/>
                <w:sz w:val="16"/>
                <w:szCs w:val="16"/>
                <w:lang w:bidi="th-TH"/>
              </w:rPr>
              <w:t>In 2014, no matches in the matchmaking database were established due to the development during 2014 of a targeted outreach plan to bolster uploads and catalyze matches.</w:t>
            </w:r>
          </w:p>
          <w:p w:rsidR="00F153C1" w:rsidRPr="008E6313" w:rsidRDefault="00F153C1" w:rsidP="00FD7155">
            <w:pPr>
              <w:rPr>
                <w:rFonts w:cs="Arial"/>
                <w:sz w:val="16"/>
                <w:szCs w:val="16"/>
                <w:lang w:bidi="th-TH"/>
              </w:rPr>
            </w:pPr>
          </w:p>
        </w:tc>
        <w:tc>
          <w:tcPr>
            <w:tcW w:w="519" w:type="pct"/>
            <w:gridSpan w:val="2"/>
            <w:tcBorders>
              <w:top w:val="nil"/>
              <w:left w:val="nil"/>
              <w:bottom w:val="single" w:sz="4" w:space="0" w:color="auto"/>
              <w:right w:val="single" w:sz="4" w:space="0" w:color="auto"/>
            </w:tcBorders>
            <w:shd w:val="clear" w:color="auto" w:fill="auto"/>
            <w:tcMar>
              <w:top w:w="110" w:type="dxa"/>
            </w:tcMar>
          </w:tcPr>
          <w:p w:rsidR="00F153C1" w:rsidRDefault="00F153C1" w:rsidP="00FD7155">
            <w:pPr>
              <w:keepNext/>
              <w:keepLines/>
              <w:jc w:val="center"/>
              <w:rPr>
                <w:rFonts w:cs="Arial"/>
                <w:b/>
                <w:bCs/>
                <w:color w:val="00B050"/>
                <w:sz w:val="16"/>
                <w:szCs w:val="16"/>
              </w:rPr>
            </w:pPr>
            <w:r w:rsidRPr="00C5428C">
              <w:rPr>
                <w:rFonts w:cs="Arial"/>
                <w:b/>
                <w:bCs/>
                <w:color w:val="00B050"/>
                <w:sz w:val="16"/>
                <w:szCs w:val="16"/>
              </w:rPr>
              <w:t>On track</w:t>
            </w:r>
          </w:p>
          <w:p w:rsidR="00F153C1" w:rsidRDefault="00F153C1" w:rsidP="00FD7155">
            <w:pPr>
              <w:keepNext/>
              <w:keepLines/>
              <w:jc w:val="center"/>
              <w:rPr>
                <w:rFonts w:cs="Arial"/>
                <w:b/>
                <w:bCs/>
                <w:color w:val="00B050"/>
                <w:sz w:val="16"/>
                <w:szCs w:val="16"/>
              </w:rPr>
            </w:pPr>
          </w:p>
          <w:p w:rsidR="00F153C1" w:rsidRDefault="00F153C1" w:rsidP="00FD7155">
            <w:pPr>
              <w:keepNext/>
              <w:keepLines/>
              <w:jc w:val="center"/>
              <w:rPr>
                <w:rFonts w:cs="Arial"/>
                <w:b/>
                <w:bCs/>
                <w:color w:val="00B050"/>
                <w:sz w:val="16"/>
                <w:szCs w:val="16"/>
              </w:rPr>
            </w:pPr>
          </w:p>
          <w:p w:rsidR="00F153C1" w:rsidRDefault="00F153C1" w:rsidP="00FD7155">
            <w:pPr>
              <w:keepNext/>
              <w:keepLines/>
              <w:jc w:val="center"/>
              <w:rPr>
                <w:rFonts w:cs="Arial"/>
                <w:b/>
                <w:bCs/>
                <w:color w:val="00B050"/>
                <w:sz w:val="16"/>
                <w:szCs w:val="16"/>
              </w:rPr>
            </w:pPr>
          </w:p>
          <w:p w:rsidR="00F153C1" w:rsidRDefault="00F153C1" w:rsidP="00FD7155">
            <w:pPr>
              <w:keepNext/>
              <w:keepLines/>
              <w:jc w:val="center"/>
              <w:rPr>
                <w:rFonts w:cs="Arial"/>
                <w:b/>
                <w:bCs/>
                <w:color w:val="00B050"/>
                <w:sz w:val="16"/>
                <w:szCs w:val="16"/>
              </w:rPr>
            </w:pPr>
          </w:p>
          <w:p w:rsidR="00F153C1" w:rsidRPr="00C5428C" w:rsidRDefault="00F153C1" w:rsidP="00FD7155">
            <w:pPr>
              <w:keepNext/>
              <w:keepLines/>
              <w:jc w:val="center"/>
              <w:rPr>
                <w:rFonts w:cs="Arial"/>
                <w:b/>
                <w:bCs/>
                <w:color w:val="00B050"/>
                <w:sz w:val="16"/>
                <w:szCs w:val="16"/>
              </w:rPr>
            </w:pPr>
            <w:r w:rsidRPr="00B775C9">
              <w:rPr>
                <w:rFonts w:cs="Arial"/>
                <w:b/>
                <w:bCs/>
                <w:color w:val="FF0000"/>
                <w:sz w:val="16"/>
                <w:szCs w:val="16"/>
              </w:rPr>
              <w:t xml:space="preserve">Not </w:t>
            </w:r>
            <w:r>
              <w:rPr>
                <w:rFonts w:cs="Arial"/>
                <w:b/>
                <w:bCs/>
                <w:color w:val="FF0000"/>
                <w:sz w:val="16"/>
                <w:szCs w:val="16"/>
              </w:rPr>
              <w:br/>
            </w:r>
            <w:r w:rsidRPr="00B775C9">
              <w:rPr>
                <w:rFonts w:cs="Arial"/>
                <w:b/>
                <w:bCs/>
                <w:color w:val="FF0000"/>
                <w:sz w:val="16"/>
                <w:szCs w:val="16"/>
              </w:rPr>
              <w:t>on track</w:t>
            </w:r>
          </w:p>
        </w:tc>
      </w:tr>
      <w:tr w:rsidR="00F153C1" w:rsidRPr="001656CD" w:rsidTr="00F153C1">
        <w:trPr>
          <w:cantSplit/>
          <w:trHeight w:val="451"/>
        </w:trPr>
        <w:tc>
          <w:tcPr>
            <w:tcW w:w="5000" w:type="pct"/>
            <w:gridSpan w:val="8"/>
            <w:tcBorders>
              <w:top w:val="single" w:sz="4" w:space="0" w:color="auto"/>
              <w:bottom w:val="single" w:sz="4" w:space="0" w:color="auto"/>
            </w:tcBorders>
            <w:shd w:val="clear" w:color="auto" w:fill="CCFFFF"/>
            <w:vAlign w:val="center"/>
          </w:tcPr>
          <w:p w:rsidR="00F153C1" w:rsidRPr="003329DC" w:rsidRDefault="00F153C1" w:rsidP="00FD7155">
            <w:pPr>
              <w:keepNext/>
              <w:keepLines/>
              <w:tabs>
                <w:tab w:val="left" w:pos="1452"/>
              </w:tabs>
              <w:ind w:left="1452" w:hanging="1452"/>
              <w:rPr>
                <w:rFonts w:cs="Arial"/>
                <w:b/>
                <w:bCs/>
                <w:sz w:val="16"/>
                <w:szCs w:val="16"/>
              </w:rPr>
            </w:pPr>
            <w:r w:rsidRPr="001656CD">
              <w:rPr>
                <w:rFonts w:cs="Arial"/>
                <w:b/>
                <w:bCs/>
                <w:sz w:val="16"/>
                <w:szCs w:val="16"/>
              </w:rPr>
              <w:t>Expected Result:</w:t>
            </w:r>
            <w:r w:rsidRPr="001656CD">
              <w:rPr>
                <w:rFonts w:cs="Arial"/>
                <w:b/>
                <w:bCs/>
                <w:sz w:val="16"/>
                <w:szCs w:val="16"/>
              </w:rPr>
              <w:tab/>
            </w:r>
            <w:r w:rsidRPr="003E0A9C">
              <w:rPr>
                <w:rFonts w:cs="Arial"/>
                <w:sz w:val="16"/>
                <w:szCs w:val="16"/>
                <w:lang w:bidi="th-TH"/>
              </w:rPr>
              <w:t>III.6 Increased capacity of SMEs to successfully use IP to support innovation</w:t>
            </w:r>
          </w:p>
        </w:tc>
      </w:tr>
      <w:tr w:rsidR="00F153C1" w:rsidRPr="001656CD" w:rsidTr="00F153C1">
        <w:trPr>
          <w:cantSplit/>
          <w:trHeight w:val="274"/>
        </w:trPr>
        <w:tc>
          <w:tcPr>
            <w:tcW w:w="1120" w:type="pct"/>
            <w:tcBorders>
              <w:top w:val="single" w:sz="4" w:space="0" w:color="auto"/>
              <w:left w:val="single" w:sz="4" w:space="0" w:color="auto"/>
              <w:bottom w:val="nil"/>
              <w:right w:val="nil"/>
            </w:tcBorders>
            <w:shd w:val="clear" w:color="auto" w:fill="auto"/>
            <w:vAlign w:val="center"/>
          </w:tcPr>
          <w:p w:rsidR="00F153C1" w:rsidRPr="00BC6547" w:rsidRDefault="00F153C1" w:rsidP="00FD7155">
            <w:pPr>
              <w:keepNext/>
              <w:keepLines/>
              <w:rPr>
                <w:rFonts w:cs="Arial"/>
                <w:sz w:val="16"/>
                <w:szCs w:val="16"/>
              </w:rPr>
            </w:pPr>
            <w:r w:rsidRPr="00BC6547">
              <w:rPr>
                <w:rFonts w:cs="Arial"/>
                <w:b/>
                <w:bCs/>
                <w:sz w:val="16"/>
                <w:szCs w:val="16"/>
              </w:rPr>
              <w:t>Performance Indicators</w:t>
            </w:r>
          </w:p>
        </w:tc>
        <w:tc>
          <w:tcPr>
            <w:tcW w:w="1268" w:type="pct"/>
            <w:tcBorders>
              <w:top w:val="single" w:sz="4" w:space="0" w:color="auto"/>
              <w:left w:val="nil"/>
              <w:bottom w:val="nil"/>
              <w:right w:val="nil"/>
            </w:tcBorders>
            <w:shd w:val="clear" w:color="auto" w:fill="auto"/>
            <w:vAlign w:val="center"/>
          </w:tcPr>
          <w:p w:rsidR="00F153C1" w:rsidRPr="00BC6547" w:rsidRDefault="00F153C1" w:rsidP="00FD7155">
            <w:pPr>
              <w:keepNext/>
              <w:keepLines/>
              <w:rPr>
                <w:rFonts w:cs="Arial"/>
                <w:b/>
                <w:bCs/>
                <w:sz w:val="16"/>
                <w:szCs w:val="16"/>
              </w:rPr>
            </w:pPr>
            <w:r w:rsidRPr="00BC6547">
              <w:rPr>
                <w:rFonts w:cs="Arial"/>
                <w:b/>
                <w:bCs/>
                <w:sz w:val="16"/>
                <w:szCs w:val="16"/>
              </w:rPr>
              <w:t>Baselines</w:t>
            </w:r>
          </w:p>
        </w:tc>
        <w:tc>
          <w:tcPr>
            <w:tcW w:w="824" w:type="pct"/>
            <w:gridSpan w:val="2"/>
            <w:tcBorders>
              <w:top w:val="single" w:sz="4" w:space="0" w:color="auto"/>
              <w:left w:val="nil"/>
              <w:bottom w:val="nil"/>
              <w:right w:val="nil"/>
            </w:tcBorders>
            <w:shd w:val="clear" w:color="auto" w:fill="auto"/>
            <w:vAlign w:val="center"/>
          </w:tcPr>
          <w:p w:rsidR="00F153C1" w:rsidRPr="00BC6547" w:rsidRDefault="00F153C1" w:rsidP="00FD7155">
            <w:pPr>
              <w:keepNext/>
              <w:keepLines/>
              <w:rPr>
                <w:rFonts w:cs="Arial"/>
                <w:b/>
                <w:sz w:val="16"/>
                <w:szCs w:val="16"/>
              </w:rPr>
            </w:pPr>
            <w:r w:rsidRPr="00BC6547">
              <w:rPr>
                <w:rFonts w:cs="Arial"/>
                <w:b/>
                <w:sz w:val="16"/>
                <w:szCs w:val="16"/>
              </w:rPr>
              <w:t>Targets</w:t>
            </w:r>
          </w:p>
        </w:tc>
        <w:tc>
          <w:tcPr>
            <w:tcW w:w="1269" w:type="pct"/>
            <w:gridSpan w:val="2"/>
            <w:tcBorders>
              <w:top w:val="single" w:sz="4" w:space="0" w:color="auto"/>
              <w:left w:val="nil"/>
              <w:bottom w:val="nil"/>
              <w:right w:val="nil"/>
            </w:tcBorders>
            <w:shd w:val="clear" w:color="auto" w:fill="auto"/>
            <w:vAlign w:val="center"/>
          </w:tcPr>
          <w:p w:rsidR="00F153C1" w:rsidRPr="00BC6547" w:rsidRDefault="00F153C1" w:rsidP="00FD7155">
            <w:pPr>
              <w:keepNext/>
              <w:keepLines/>
              <w:rPr>
                <w:rFonts w:cs="Arial"/>
                <w:sz w:val="16"/>
                <w:szCs w:val="16"/>
              </w:rPr>
            </w:pPr>
            <w:r w:rsidRPr="00BC6547">
              <w:rPr>
                <w:rFonts w:cs="Arial"/>
                <w:b/>
                <w:bCs/>
                <w:sz w:val="16"/>
                <w:szCs w:val="16"/>
              </w:rPr>
              <w:t>Performance Data</w:t>
            </w:r>
          </w:p>
        </w:tc>
        <w:tc>
          <w:tcPr>
            <w:tcW w:w="519" w:type="pct"/>
            <w:gridSpan w:val="2"/>
            <w:tcBorders>
              <w:top w:val="single" w:sz="4" w:space="0" w:color="auto"/>
              <w:left w:val="nil"/>
              <w:bottom w:val="nil"/>
              <w:right w:val="single" w:sz="4" w:space="0" w:color="auto"/>
            </w:tcBorders>
            <w:shd w:val="clear" w:color="auto" w:fill="auto"/>
            <w:vAlign w:val="center"/>
          </w:tcPr>
          <w:p w:rsidR="00F153C1" w:rsidRPr="00CD26D6" w:rsidRDefault="00F153C1" w:rsidP="00FD7155">
            <w:pPr>
              <w:keepNext/>
              <w:keepLines/>
              <w:jc w:val="center"/>
              <w:rPr>
                <w:rFonts w:cs="Arial"/>
                <w:b/>
                <w:bCs/>
                <w:sz w:val="16"/>
                <w:szCs w:val="16"/>
              </w:rPr>
            </w:pPr>
            <w:r w:rsidRPr="00BC6547">
              <w:rPr>
                <w:rFonts w:cs="Arial"/>
                <w:b/>
                <w:bCs/>
                <w:sz w:val="16"/>
                <w:szCs w:val="16"/>
              </w:rPr>
              <w:t>TLS</w:t>
            </w:r>
          </w:p>
        </w:tc>
      </w:tr>
      <w:tr w:rsidR="00F153C1" w:rsidRPr="001656CD" w:rsidTr="00F153C1">
        <w:trPr>
          <w:cantSplit/>
        </w:trPr>
        <w:tc>
          <w:tcPr>
            <w:tcW w:w="1120" w:type="pct"/>
            <w:tcBorders>
              <w:top w:val="nil"/>
              <w:left w:val="single" w:sz="4" w:space="0" w:color="auto"/>
              <w:bottom w:val="nil"/>
              <w:right w:val="nil"/>
            </w:tcBorders>
            <w:shd w:val="clear" w:color="auto" w:fill="auto"/>
          </w:tcPr>
          <w:p w:rsidR="00F153C1" w:rsidRPr="002D2494" w:rsidRDefault="00F153C1" w:rsidP="00FD7155">
            <w:pPr>
              <w:tabs>
                <w:tab w:val="left" w:pos="347"/>
              </w:tabs>
              <w:rPr>
                <w:rFonts w:cs="Arial"/>
                <w:sz w:val="16"/>
                <w:szCs w:val="16"/>
                <w:lang w:bidi="th-TH"/>
              </w:rPr>
            </w:pPr>
            <w:r w:rsidRPr="003E0A9C">
              <w:rPr>
                <w:rFonts w:cs="Arial"/>
                <w:sz w:val="16"/>
                <w:szCs w:val="16"/>
                <w:lang w:bidi="th-TH"/>
              </w:rPr>
              <w:t>% of participants in training programs targeting  SME support institutions who express satisfaction with the content and organization of these events</w:t>
            </w:r>
          </w:p>
        </w:tc>
        <w:tc>
          <w:tcPr>
            <w:tcW w:w="1268" w:type="pct"/>
            <w:tcBorders>
              <w:top w:val="nil"/>
              <w:left w:val="nil"/>
              <w:bottom w:val="nil"/>
              <w:right w:val="nil"/>
            </w:tcBorders>
            <w:shd w:val="clear" w:color="auto" w:fill="auto"/>
          </w:tcPr>
          <w:p w:rsidR="00F153C1" w:rsidRPr="001656CD" w:rsidRDefault="00F153C1" w:rsidP="00FD7155">
            <w:pPr>
              <w:rPr>
                <w:rFonts w:cs="Arial"/>
                <w:i/>
                <w:color w:val="002060"/>
                <w:sz w:val="16"/>
                <w:szCs w:val="16"/>
              </w:rPr>
            </w:pPr>
            <w:proofErr w:type="spellStart"/>
            <w:r w:rsidRPr="002D2494">
              <w:rPr>
                <w:rFonts w:cs="Arial"/>
                <w:sz w:val="16"/>
                <w:szCs w:val="16"/>
              </w:rPr>
              <w:t>tbd</w:t>
            </w:r>
            <w:proofErr w:type="spellEnd"/>
          </w:p>
        </w:tc>
        <w:tc>
          <w:tcPr>
            <w:tcW w:w="824" w:type="pct"/>
            <w:gridSpan w:val="2"/>
            <w:tcBorders>
              <w:top w:val="nil"/>
              <w:left w:val="nil"/>
              <w:bottom w:val="nil"/>
              <w:right w:val="nil"/>
            </w:tcBorders>
            <w:shd w:val="clear" w:color="auto" w:fill="auto"/>
            <w:tcMar>
              <w:top w:w="110" w:type="dxa"/>
            </w:tcMar>
          </w:tcPr>
          <w:p w:rsidR="00F153C1" w:rsidRDefault="00F153C1" w:rsidP="00FD7155">
            <w:pPr>
              <w:rPr>
                <w:rFonts w:cs="Arial"/>
                <w:color w:val="002060"/>
                <w:sz w:val="16"/>
                <w:szCs w:val="16"/>
                <w:lang w:bidi="th-TH"/>
              </w:rPr>
            </w:pPr>
            <w:r>
              <w:rPr>
                <w:rFonts w:cs="Arial"/>
                <w:i/>
                <w:color w:val="002060"/>
                <w:sz w:val="16"/>
                <w:szCs w:val="16"/>
              </w:rPr>
              <w:t>Defined target</w:t>
            </w:r>
            <w:r w:rsidRPr="001656CD">
              <w:rPr>
                <w:rFonts w:cs="Arial"/>
                <w:i/>
                <w:color w:val="002060"/>
                <w:sz w:val="16"/>
                <w:szCs w:val="16"/>
              </w:rPr>
              <w:t xml:space="preserve">: </w:t>
            </w:r>
            <w:r>
              <w:rPr>
                <w:rFonts w:cs="Arial"/>
                <w:color w:val="002060"/>
                <w:sz w:val="16"/>
                <w:szCs w:val="16"/>
              </w:rPr>
              <w:t>75%</w:t>
            </w:r>
          </w:p>
          <w:p w:rsidR="00F153C1" w:rsidRPr="008D3FF3" w:rsidRDefault="00F153C1" w:rsidP="00FD7155">
            <w:pPr>
              <w:rPr>
                <w:rFonts w:cs="Arial"/>
                <w:i/>
                <w:color w:val="002060"/>
                <w:sz w:val="8"/>
                <w:szCs w:val="8"/>
              </w:rPr>
            </w:pPr>
          </w:p>
          <w:p w:rsidR="00F153C1" w:rsidRPr="002D2494" w:rsidRDefault="00F153C1" w:rsidP="00FD7155">
            <w:pPr>
              <w:rPr>
                <w:rFonts w:cs="Arial"/>
                <w:sz w:val="16"/>
                <w:szCs w:val="16"/>
                <w:lang w:bidi="th-TH"/>
              </w:rPr>
            </w:pPr>
            <w:r w:rsidRPr="001656CD">
              <w:rPr>
                <w:rFonts w:cs="Arial"/>
                <w:i/>
                <w:sz w:val="16"/>
                <w:szCs w:val="16"/>
              </w:rPr>
              <w:t xml:space="preserve">Original </w:t>
            </w:r>
            <w:r>
              <w:rPr>
                <w:rFonts w:cs="Arial"/>
                <w:i/>
                <w:sz w:val="16"/>
                <w:szCs w:val="16"/>
              </w:rPr>
              <w:t>target</w:t>
            </w:r>
            <w:r w:rsidRPr="001656CD">
              <w:rPr>
                <w:rFonts w:cs="Arial"/>
                <w:i/>
                <w:sz w:val="16"/>
                <w:szCs w:val="16"/>
              </w:rPr>
              <w:t xml:space="preserve"> P&amp;B 201</w:t>
            </w:r>
            <w:r>
              <w:rPr>
                <w:rFonts w:cs="Arial"/>
                <w:i/>
                <w:sz w:val="16"/>
                <w:szCs w:val="16"/>
              </w:rPr>
              <w:t>4</w:t>
            </w:r>
            <w:r w:rsidRPr="001656CD">
              <w:rPr>
                <w:rFonts w:cs="Arial"/>
                <w:i/>
                <w:sz w:val="16"/>
                <w:szCs w:val="16"/>
              </w:rPr>
              <w:t>/1</w:t>
            </w:r>
            <w:r>
              <w:rPr>
                <w:rFonts w:cs="Arial"/>
                <w:i/>
                <w:sz w:val="16"/>
                <w:szCs w:val="16"/>
              </w:rPr>
              <w:t>5</w:t>
            </w:r>
            <w:r w:rsidRPr="001656CD">
              <w:rPr>
                <w:rFonts w:cs="Arial"/>
                <w:i/>
                <w:sz w:val="16"/>
                <w:szCs w:val="16"/>
              </w:rPr>
              <w:t>:</w:t>
            </w:r>
            <w:r>
              <w:t xml:space="preserve"> </w:t>
            </w:r>
            <w:proofErr w:type="spellStart"/>
            <w:r w:rsidRPr="002D2494">
              <w:rPr>
                <w:rFonts w:cs="Arial"/>
                <w:sz w:val="16"/>
                <w:szCs w:val="16"/>
              </w:rPr>
              <w:t>tbd</w:t>
            </w:r>
            <w:proofErr w:type="spellEnd"/>
            <w:r w:rsidRPr="003E0A9C">
              <w:rPr>
                <w:rFonts w:cs="Arial"/>
                <w:sz w:val="16"/>
                <w:szCs w:val="16"/>
                <w:lang w:bidi="th-TH"/>
              </w:rPr>
              <w:t xml:space="preserve"> </w:t>
            </w:r>
          </w:p>
        </w:tc>
        <w:tc>
          <w:tcPr>
            <w:tcW w:w="1269" w:type="pct"/>
            <w:gridSpan w:val="2"/>
            <w:tcBorders>
              <w:top w:val="nil"/>
              <w:left w:val="nil"/>
              <w:bottom w:val="nil"/>
              <w:right w:val="nil"/>
            </w:tcBorders>
            <w:shd w:val="clear" w:color="auto" w:fill="FFFFFF"/>
            <w:tcMar>
              <w:top w:w="110" w:type="dxa"/>
            </w:tcMar>
          </w:tcPr>
          <w:p w:rsidR="00F153C1" w:rsidRPr="002D2494" w:rsidRDefault="00F153C1" w:rsidP="00FD7155">
            <w:pPr>
              <w:rPr>
                <w:rFonts w:cs="Arial"/>
                <w:sz w:val="16"/>
                <w:szCs w:val="16"/>
                <w:lang w:bidi="th-TH"/>
              </w:rPr>
            </w:pPr>
            <w:r w:rsidRPr="003E0A9C">
              <w:rPr>
                <w:rFonts w:cs="Arial"/>
                <w:sz w:val="16"/>
                <w:szCs w:val="16"/>
                <w:lang w:bidi="th-TH"/>
              </w:rPr>
              <w:t>85%</w:t>
            </w:r>
          </w:p>
        </w:tc>
        <w:tc>
          <w:tcPr>
            <w:tcW w:w="519" w:type="pct"/>
            <w:gridSpan w:val="2"/>
            <w:tcBorders>
              <w:top w:val="nil"/>
              <w:left w:val="nil"/>
              <w:bottom w:val="nil"/>
              <w:right w:val="single" w:sz="4" w:space="0" w:color="auto"/>
            </w:tcBorders>
            <w:shd w:val="clear" w:color="auto" w:fill="auto"/>
            <w:tcMar>
              <w:top w:w="110" w:type="dxa"/>
            </w:tcMar>
          </w:tcPr>
          <w:p w:rsidR="00F153C1" w:rsidRPr="00C5428C" w:rsidRDefault="00F153C1" w:rsidP="00FD7155">
            <w:pPr>
              <w:keepNext/>
              <w:keepLines/>
              <w:jc w:val="center"/>
              <w:rPr>
                <w:rFonts w:cs="Arial"/>
                <w:b/>
                <w:bCs/>
                <w:color w:val="00B050"/>
                <w:sz w:val="16"/>
                <w:szCs w:val="16"/>
              </w:rPr>
            </w:pPr>
            <w:r w:rsidRPr="00C5428C">
              <w:rPr>
                <w:rFonts w:cs="Arial"/>
                <w:b/>
                <w:bCs/>
                <w:color w:val="00B050"/>
                <w:sz w:val="16"/>
                <w:szCs w:val="16"/>
              </w:rPr>
              <w:t>On track</w:t>
            </w:r>
          </w:p>
        </w:tc>
      </w:tr>
      <w:tr w:rsidR="00F153C1" w:rsidRPr="001656CD" w:rsidTr="00F153C1">
        <w:trPr>
          <w:cantSplit/>
        </w:trPr>
        <w:tc>
          <w:tcPr>
            <w:tcW w:w="1120" w:type="pct"/>
            <w:tcBorders>
              <w:top w:val="nil"/>
              <w:left w:val="single" w:sz="4" w:space="0" w:color="auto"/>
              <w:bottom w:val="nil"/>
            </w:tcBorders>
            <w:shd w:val="clear" w:color="auto" w:fill="auto"/>
          </w:tcPr>
          <w:p w:rsidR="00F153C1" w:rsidRPr="003E0A9C" w:rsidRDefault="00F153C1" w:rsidP="00FD7155">
            <w:pPr>
              <w:tabs>
                <w:tab w:val="left" w:pos="347"/>
              </w:tabs>
              <w:rPr>
                <w:rFonts w:cs="Arial"/>
                <w:sz w:val="16"/>
                <w:szCs w:val="16"/>
                <w:lang w:bidi="th-TH"/>
              </w:rPr>
            </w:pPr>
            <w:r w:rsidRPr="003E0A9C">
              <w:rPr>
                <w:rFonts w:cs="Arial"/>
                <w:sz w:val="16"/>
                <w:szCs w:val="16"/>
                <w:lang w:bidi="th-TH"/>
              </w:rPr>
              <w:t>% of trained SME support institutions who provide information, support and advisory/consulting services on IP asset management</w:t>
            </w:r>
          </w:p>
        </w:tc>
        <w:tc>
          <w:tcPr>
            <w:tcW w:w="1268" w:type="pct"/>
            <w:tcBorders>
              <w:top w:val="nil"/>
              <w:bottom w:val="nil"/>
            </w:tcBorders>
            <w:shd w:val="clear" w:color="auto" w:fill="auto"/>
          </w:tcPr>
          <w:p w:rsidR="00F153C1" w:rsidRPr="001656CD" w:rsidRDefault="00F153C1" w:rsidP="00FD7155">
            <w:pPr>
              <w:rPr>
                <w:rFonts w:cs="Arial"/>
                <w:i/>
                <w:color w:val="002060"/>
                <w:sz w:val="16"/>
                <w:szCs w:val="16"/>
              </w:rPr>
            </w:pPr>
            <w:proofErr w:type="spellStart"/>
            <w:r w:rsidRPr="002D2494">
              <w:rPr>
                <w:rFonts w:cs="Arial"/>
                <w:sz w:val="16"/>
                <w:szCs w:val="16"/>
              </w:rPr>
              <w:t>tbd</w:t>
            </w:r>
            <w:proofErr w:type="spellEnd"/>
          </w:p>
        </w:tc>
        <w:tc>
          <w:tcPr>
            <w:tcW w:w="824" w:type="pct"/>
            <w:gridSpan w:val="2"/>
            <w:tcBorders>
              <w:top w:val="nil"/>
              <w:bottom w:val="nil"/>
            </w:tcBorders>
            <w:shd w:val="clear" w:color="auto" w:fill="auto"/>
            <w:tcMar>
              <w:top w:w="110" w:type="dxa"/>
            </w:tcMar>
          </w:tcPr>
          <w:p w:rsidR="00F153C1" w:rsidRDefault="00F153C1" w:rsidP="00FD7155">
            <w:pPr>
              <w:rPr>
                <w:rFonts w:cs="Arial"/>
                <w:color w:val="002060"/>
                <w:sz w:val="16"/>
                <w:szCs w:val="16"/>
                <w:lang w:bidi="th-TH"/>
              </w:rPr>
            </w:pPr>
            <w:r>
              <w:rPr>
                <w:rFonts w:cs="Arial"/>
                <w:i/>
                <w:color w:val="002060"/>
                <w:sz w:val="16"/>
                <w:szCs w:val="16"/>
              </w:rPr>
              <w:t>Defined target</w:t>
            </w:r>
            <w:r w:rsidRPr="001656CD">
              <w:rPr>
                <w:rFonts w:cs="Arial"/>
                <w:i/>
                <w:color w:val="002060"/>
                <w:sz w:val="16"/>
                <w:szCs w:val="16"/>
              </w:rPr>
              <w:t xml:space="preserve">: </w:t>
            </w:r>
            <w:r w:rsidRPr="003E0A9C">
              <w:rPr>
                <w:rFonts w:cs="Arial"/>
                <w:sz w:val="16"/>
                <w:szCs w:val="16"/>
                <w:lang w:bidi="th-TH"/>
              </w:rPr>
              <w:t>90% (18 support institutions)</w:t>
            </w:r>
          </w:p>
          <w:p w:rsidR="00F153C1" w:rsidRPr="008D3FF3" w:rsidRDefault="00F153C1" w:rsidP="00FD7155">
            <w:pPr>
              <w:rPr>
                <w:rFonts w:cs="Arial"/>
                <w:i/>
                <w:color w:val="002060"/>
                <w:sz w:val="8"/>
                <w:szCs w:val="8"/>
              </w:rPr>
            </w:pPr>
          </w:p>
          <w:p w:rsidR="00F153C1" w:rsidRPr="003E0A9C" w:rsidRDefault="00F153C1" w:rsidP="00FD7155">
            <w:pPr>
              <w:rPr>
                <w:rFonts w:cs="Arial"/>
                <w:sz w:val="16"/>
                <w:szCs w:val="16"/>
                <w:lang w:bidi="th-TH"/>
              </w:rPr>
            </w:pPr>
            <w:r w:rsidRPr="001656CD">
              <w:rPr>
                <w:rFonts w:cs="Arial"/>
                <w:i/>
                <w:sz w:val="16"/>
                <w:szCs w:val="16"/>
              </w:rPr>
              <w:t xml:space="preserve">Original </w:t>
            </w:r>
            <w:r>
              <w:rPr>
                <w:rFonts w:cs="Arial"/>
                <w:i/>
                <w:sz w:val="16"/>
                <w:szCs w:val="16"/>
              </w:rPr>
              <w:t>target</w:t>
            </w:r>
            <w:r w:rsidRPr="001656CD">
              <w:rPr>
                <w:rFonts w:cs="Arial"/>
                <w:i/>
                <w:sz w:val="16"/>
                <w:szCs w:val="16"/>
              </w:rPr>
              <w:t xml:space="preserve"> P&amp;B 201</w:t>
            </w:r>
            <w:r>
              <w:rPr>
                <w:rFonts w:cs="Arial"/>
                <w:i/>
                <w:sz w:val="16"/>
                <w:szCs w:val="16"/>
              </w:rPr>
              <w:t>4</w:t>
            </w:r>
            <w:r w:rsidRPr="001656CD">
              <w:rPr>
                <w:rFonts w:cs="Arial"/>
                <w:i/>
                <w:sz w:val="16"/>
                <w:szCs w:val="16"/>
              </w:rPr>
              <w:t>/1</w:t>
            </w:r>
            <w:r>
              <w:rPr>
                <w:rFonts w:cs="Arial"/>
                <w:i/>
                <w:sz w:val="16"/>
                <w:szCs w:val="16"/>
              </w:rPr>
              <w:t>5</w:t>
            </w:r>
            <w:r w:rsidRPr="001656CD">
              <w:rPr>
                <w:rFonts w:cs="Arial"/>
                <w:i/>
                <w:sz w:val="16"/>
                <w:szCs w:val="16"/>
              </w:rPr>
              <w:t>:</w:t>
            </w:r>
            <w:r>
              <w:t xml:space="preserve"> </w:t>
            </w:r>
            <w:proofErr w:type="spellStart"/>
            <w:r w:rsidRPr="002D2494">
              <w:rPr>
                <w:rFonts w:cs="Arial"/>
                <w:sz w:val="16"/>
                <w:szCs w:val="16"/>
              </w:rPr>
              <w:t>tbd</w:t>
            </w:r>
            <w:proofErr w:type="spellEnd"/>
            <w:r w:rsidRPr="003E0A9C">
              <w:rPr>
                <w:rFonts w:cs="Arial"/>
                <w:sz w:val="16"/>
                <w:szCs w:val="16"/>
                <w:lang w:bidi="th-TH"/>
              </w:rPr>
              <w:t xml:space="preserve"> </w:t>
            </w:r>
          </w:p>
        </w:tc>
        <w:tc>
          <w:tcPr>
            <w:tcW w:w="1269" w:type="pct"/>
            <w:gridSpan w:val="2"/>
            <w:tcBorders>
              <w:top w:val="nil"/>
              <w:bottom w:val="nil"/>
            </w:tcBorders>
            <w:shd w:val="clear" w:color="auto" w:fill="FFFFFF"/>
            <w:tcMar>
              <w:top w:w="110" w:type="dxa"/>
            </w:tcMar>
          </w:tcPr>
          <w:p w:rsidR="00F153C1" w:rsidRPr="003E0A9C" w:rsidRDefault="00F153C1" w:rsidP="00FD7155">
            <w:pPr>
              <w:rPr>
                <w:rFonts w:cs="Arial"/>
                <w:sz w:val="16"/>
                <w:szCs w:val="16"/>
                <w:lang w:bidi="th-TH"/>
              </w:rPr>
            </w:pPr>
            <w:r w:rsidRPr="003E0A9C">
              <w:rPr>
                <w:rFonts w:cs="Arial"/>
                <w:sz w:val="16"/>
                <w:szCs w:val="16"/>
                <w:lang w:bidi="th-TH"/>
              </w:rPr>
              <w:t>90%</w:t>
            </w:r>
          </w:p>
        </w:tc>
        <w:tc>
          <w:tcPr>
            <w:tcW w:w="519" w:type="pct"/>
            <w:gridSpan w:val="2"/>
            <w:tcBorders>
              <w:top w:val="nil"/>
              <w:bottom w:val="nil"/>
              <w:right w:val="single" w:sz="4" w:space="0" w:color="auto"/>
            </w:tcBorders>
            <w:shd w:val="clear" w:color="auto" w:fill="auto"/>
            <w:tcMar>
              <w:top w:w="110" w:type="dxa"/>
            </w:tcMar>
          </w:tcPr>
          <w:p w:rsidR="00F153C1" w:rsidRPr="00C5428C" w:rsidRDefault="00F153C1" w:rsidP="00FD7155">
            <w:pPr>
              <w:keepNext/>
              <w:keepLines/>
              <w:jc w:val="center"/>
              <w:rPr>
                <w:rFonts w:cs="Arial"/>
                <w:b/>
                <w:bCs/>
                <w:color w:val="00B050"/>
                <w:sz w:val="16"/>
                <w:szCs w:val="16"/>
              </w:rPr>
            </w:pPr>
            <w:r w:rsidRPr="00C5428C">
              <w:rPr>
                <w:rFonts w:cs="Arial"/>
                <w:b/>
                <w:bCs/>
                <w:color w:val="00B050"/>
                <w:sz w:val="16"/>
                <w:szCs w:val="16"/>
              </w:rPr>
              <w:t>On track</w:t>
            </w:r>
          </w:p>
        </w:tc>
      </w:tr>
      <w:tr w:rsidR="00F153C1" w:rsidRPr="001656CD" w:rsidTr="00F153C1">
        <w:trPr>
          <w:cantSplit/>
        </w:trPr>
        <w:tc>
          <w:tcPr>
            <w:tcW w:w="1120" w:type="pct"/>
            <w:tcBorders>
              <w:top w:val="nil"/>
              <w:left w:val="single" w:sz="4" w:space="0" w:color="auto"/>
              <w:bottom w:val="single" w:sz="4" w:space="0" w:color="auto"/>
            </w:tcBorders>
            <w:shd w:val="clear" w:color="auto" w:fill="auto"/>
          </w:tcPr>
          <w:p w:rsidR="00F153C1" w:rsidRDefault="00F153C1" w:rsidP="00FD7155">
            <w:pPr>
              <w:tabs>
                <w:tab w:val="left" w:pos="347"/>
              </w:tabs>
              <w:rPr>
                <w:rFonts w:cs="Arial"/>
                <w:sz w:val="16"/>
                <w:szCs w:val="16"/>
                <w:lang w:bidi="th-TH"/>
              </w:rPr>
            </w:pPr>
            <w:r w:rsidRPr="003E0A9C">
              <w:rPr>
                <w:rFonts w:cs="Arial"/>
                <w:sz w:val="16"/>
                <w:szCs w:val="16"/>
                <w:lang w:bidi="th-TH"/>
              </w:rPr>
              <w:t>No. of countries having established IP training programs for SMEs</w:t>
            </w:r>
          </w:p>
          <w:p w:rsidR="00F153C1" w:rsidRPr="003E0A9C" w:rsidRDefault="00F153C1" w:rsidP="00FD7155">
            <w:pPr>
              <w:tabs>
                <w:tab w:val="left" w:pos="347"/>
              </w:tabs>
              <w:rPr>
                <w:rFonts w:cs="Arial"/>
                <w:sz w:val="16"/>
                <w:szCs w:val="16"/>
                <w:lang w:bidi="th-TH"/>
              </w:rPr>
            </w:pPr>
          </w:p>
        </w:tc>
        <w:tc>
          <w:tcPr>
            <w:tcW w:w="1268" w:type="pct"/>
            <w:tcBorders>
              <w:top w:val="nil"/>
              <w:bottom w:val="single" w:sz="4" w:space="0" w:color="auto"/>
            </w:tcBorders>
            <w:shd w:val="clear" w:color="auto" w:fill="auto"/>
          </w:tcPr>
          <w:p w:rsidR="00F153C1" w:rsidRPr="001656CD" w:rsidRDefault="00F153C1" w:rsidP="00FD7155">
            <w:pPr>
              <w:rPr>
                <w:rFonts w:cs="Arial"/>
                <w:i/>
                <w:color w:val="002060"/>
                <w:sz w:val="16"/>
                <w:szCs w:val="16"/>
              </w:rPr>
            </w:pPr>
            <w:proofErr w:type="spellStart"/>
            <w:r w:rsidRPr="002D2494">
              <w:rPr>
                <w:rFonts w:cs="Arial"/>
                <w:sz w:val="16"/>
                <w:szCs w:val="16"/>
              </w:rPr>
              <w:t>tbd</w:t>
            </w:r>
            <w:proofErr w:type="spellEnd"/>
          </w:p>
        </w:tc>
        <w:tc>
          <w:tcPr>
            <w:tcW w:w="824" w:type="pct"/>
            <w:gridSpan w:val="2"/>
            <w:tcBorders>
              <w:top w:val="nil"/>
              <w:bottom w:val="single" w:sz="4" w:space="0" w:color="auto"/>
            </w:tcBorders>
            <w:shd w:val="clear" w:color="auto" w:fill="auto"/>
            <w:tcMar>
              <w:top w:w="110" w:type="dxa"/>
            </w:tcMar>
          </w:tcPr>
          <w:p w:rsidR="00F153C1" w:rsidRPr="003E0A9C" w:rsidRDefault="00584894" w:rsidP="00FD7155">
            <w:pPr>
              <w:rPr>
                <w:rFonts w:cs="Arial"/>
                <w:sz w:val="16"/>
                <w:szCs w:val="16"/>
                <w:lang w:bidi="th-TH"/>
              </w:rPr>
            </w:pPr>
            <w:proofErr w:type="spellStart"/>
            <w:r>
              <w:rPr>
                <w:rFonts w:cs="Arial"/>
                <w:sz w:val="16"/>
                <w:szCs w:val="16"/>
                <w:lang w:bidi="th-TH"/>
              </w:rPr>
              <w:t>tbd</w:t>
            </w:r>
            <w:proofErr w:type="spellEnd"/>
          </w:p>
        </w:tc>
        <w:tc>
          <w:tcPr>
            <w:tcW w:w="1269" w:type="pct"/>
            <w:gridSpan w:val="2"/>
            <w:tcBorders>
              <w:top w:val="nil"/>
              <w:bottom w:val="single" w:sz="4" w:space="0" w:color="auto"/>
            </w:tcBorders>
            <w:shd w:val="clear" w:color="auto" w:fill="FFFFFF"/>
            <w:tcMar>
              <w:top w:w="110" w:type="dxa"/>
            </w:tcMar>
          </w:tcPr>
          <w:p w:rsidR="00F153C1" w:rsidRPr="003E0A9C" w:rsidRDefault="00F153C1" w:rsidP="00FD7155">
            <w:pPr>
              <w:rPr>
                <w:rFonts w:cs="Arial"/>
                <w:sz w:val="16"/>
                <w:szCs w:val="16"/>
                <w:lang w:bidi="th-TH"/>
              </w:rPr>
            </w:pPr>
            <w:r>
              <w:rPr>
                <w:rFonts w:cs="Arial"/>
                <w:sz w:val="16"/>
                <w:szCs w:val="16"/>
                <w:lang w:bidi="th-TH"/>
              </w:rPr>
              <w:t>4</w:t>
            </w:r>
            <w:r w:rsidRPr="003E0A9C">
              <w:rPr>
                <w:rFonts w:cs="Arial"/>
                <w:sz w:val="16"/>
                <w:szCs w:val="16"/>
                <w:lang w:bidi="th-TH"/>
              </w:rPr>
              <w:t xml:space="preserve"> </w:t>
            </w:r>
            <w:r>
              <w:rPr>
                <w:rFonts w:cs="Arial"/>
                <w:sz w:val="16"/>
                <w:szCs w:val="16"/>
                <w:lang w:bidi="th-TH"/>
              </w:rPr>
              <w:t>(</w:t>
            </w:r>
            <w:r w:rsidRPr="003E0A9C">
              <w:rPr>
                <w:rFonts w:cs="Arial"/>
                <w:sz w:val="16"/>
                <w:szCs w:val="16"/>
                <w:lang w:bidi="th-TH"/>
              </w:rPr>
              <w:t xml:space="preserve">Armenia, </w:t>
            </w:r>
            <w:r>
              <w:rPr>
                <w:rFonts w:cs="Arial"/>
                <w:sz w:val="16"/>
                <w:szCs w:val="16"/>
                <w:lang w:bidi="th-TH"/>
              </w:rPr>
              <w:t xml:space="preserve">Belarus, </w:t>
            </w:r>
            <w:r w:rsidRPr="003E0A9C">
              <w:rPr>
                <w:rFonts w:cs="Arial"/>
                <w:sz w:val="16"/>
                <w:szCs w:val="16"/>
                <w:lang w:bidi="th-TH"/>
              </w:rPr>
              <w:t>Georgia, Kazakhstan)</w:t>
            </w:r>
          </w:p>
        </w:tc>
        <w:tc>
          <w:tcPr>
            <w:tcW w:w="519" w:type="pct"/>
            <w:gridSpan w:val="2"/>
            <w:tcBorders>
              <w:top w:val="nil"/>
              <w:bottom w:val="single" w:sz="4" w:space="0" w:color="auto"/>
              <w:right w:val="single" w:sz="4" w:space="0" w:color="auto"/>
            </w:tcBorders>
            <w:shd w:val="clear" w:color="auto" w:fill="auto"/>
            <w:tcMar>
              <w:top w:w="110" w:type="dxa"/>
            </w:tcMar>
          </w:tcPr>
          <w:p w:rsidR="00F153C1" w:rsidRPr="00C5428C" w:rsidRDefault="00F153C1" w:rsidP="00FD7155">
            <w:pPr>
              <w:keepNext/>
              <w:keepLines/>
              <w:jc w:val="center"/>
              <w:rPr>
                <w:rFonts w:cs="Arial"/>
                <w:b/>
                <w:bCs/>
                <w:color w:val="00B050"/>
                <w:sz w:val="16"/>
                <w:szCs w:val="16"/>
              </w:rPr>
            </w:pPr>
            <w:r w:rsidRPr="00C5428C">
              <w:rPr>
                <w:rFonts w:cs="Arial"/>
                <w:b/>
                <w:bCs/>
                <w:color w:val="00B050"/>
                <w:sz w:val="16"/>
                <w:szCs w:val="16"/>
              </w:rPr>
              <w:t>On track</w:t>
            </w:r>
          </w:p>
        </w:tc>
      </w:tr>
    </w:tbl>
    <w:p w:rsidR="00F153C1" w:rsidRDefault="00F153C1">
      <w:r>
        <w:br w:type="page"/>
      </w: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9"/>
        <w:gridCol w:w="2409"/>
        <w:gridCol w:w="1563"/>
        <w:gridCol w:w="2405"/>
        <w:gridCol w:w="992"/>
      </w:tblGrid>
      <w:tr w:rsidR="00F153C1" w:rsidRPr="001656CD" w:rsidTr="00330226">
        <w:trPr>
          <w:cantSplit/>
          <w:trHeight w:val="502"/>
        </w:trPr>
        <w:tc>
          <w:tcPr>
            <w:tcW w:w="5000" w:type="pct"/>
            <w:gridSpan w:val="5"/>
            <w:tcBorders>
              <w:top w:val="single" w:sz="4" w:space="0" w:color="auto"/>
              <w:bottom w:val="single" w:sz="4" w:space="0" w:color="auto"/>
            </w:tcBorders>
            <w:shd w:val="clear" w:color="auto" w:fill="CCFFFF"/>
            <w:vAlign w:val="center"/>
          </w:tcPr>
          <w:p w:rsidR="00F153C1" w:rsidRPr="003329DC" w:rsidRDefault="00F153C1" w:rsidP="00FD7155">
            <w:pPr>
              <w:keepNext/>
              <w:keepLines/>
              <w:tabs>
                <w:tab w:val="left" w:pos="1452"/>
              </w:tabs>
              <w:ind w:left="1452" w:hanging="1452"/>
              <w:rPr>
                <w:rFonts w:cs="Arial"/>
                <w:b/>
                <w:bCs/>
                <w:sz w:val="16"/>
                <w:szCs w:val="16"/>
              </w:rPr>
            </w:pPr>
            <w:r w:rsidRPr="001656CD">
              <w:rPr>
                <w:rFonts w:cs="Arial"/>
                <w:b/>
                <w:bCs/>
                <w:sz w:val="16"/>
                <w:szCs w:val="16"/>
              </w:rPr>
              <w:lastRenderedPageBreak/>
              <w:t>Expected Result:</w:t>
            </w:r>
            <w:r w:rsidRPr="001656CD">
              <w:rPr>
                <w:rFonts w:cs="Arial"/>
                <w:b/>
                <w:bCs/>
                <w:sz w:val="16"/>
                <w:szCs w:val="16"/>
              </w:rPr>
              <w:tab/>
            </w:r>
            <w:r w:rsidRPr="00F14ABB">
              <w:rPr>
                <w:rFonts w:cs="Arial"/>
                <w:sz w:val="16"/>
                <w:szCs w:val="16"/>
                <w:lang w:bidi="th-TH"/>
              </w:rPr>
              <w:t>IV.2 Enhanced access to, and use of, IP information by IP institutions and the public to promote innovation and creativity</w:t>
            </w:r>
          </w:p>
        </w:tc>
      </w:tr>
      <w:tr w:rsidR="00F153C1" w:rsidRPr="001656CD" w:rsidTr="00330226">
        <w:trPr>
          <w:cantSplit/>
          <w:trHeight w:val="319"/>
        </w:trPr>
        <w:tc>
          <w:tcPr>
            <w:tcW w:w="1121" w:type="pct"/>
            <w:tcBorders>
              <w:top w:val="single" w:sz="4" w:space="0" w:color="auto"/>
              <w:left w:val="single" w:sz="4" w:space="0" w:color="auto"/>
              <w:bottom w:val="nil"/>
              <w:right w:val="nil"/>
            </w:tcBorders>
            <w:shd w:val="clear" w:color="auto" w:fill="auto"/>
            <w:vAlign w:val="center"/>
          </w:tcPr>
          <w:p w:rsidR="00F153C1" w:rsidRPr="00BC6547" w:rsidRDefault="00F153C1" w:rsidP="00FD7155">
            <w:pPr>
              <w:keepNext/>
              <w:keepLines/>
              <w:rPr>
                <w:rFonts w:cs="Arial"/>
                <w:sz w:val="16"/>
                <w:szCs w:val="16"/>
              </w:rPr>
            </w:pPr>
            <w:r w:rsidRPr="00BC6547">
              <w:rPr>
                <w:rFonts w:cs="Arial"/>
                <w:b/>
                <w:bCs/>
                <w:sz w:val="16"/>
                <w:szCs w:val="16"/>
              </w:rPr>
              <w:t>Performance Indicators</w:t>
            </w:r>
          </w:p>
        </w:tc>
        <w:tc>
          <w:tcPr>
            <w:tcW w:w="1268" w:type="pct"/>
            <w:tcBorders>
              <w:top w:val="single" w:sz="4" w:space="0" w:color="auto"/>
              <w:left w:val="nil"/>
              <w:bottom w:val="nil"/>
              <w:right w:val="nil"/>
            </w:tcBorders>
            <w:shd w:val="clear" w:color="auto" w:fill="auto"/>
            <w:vAlign w:val="center"/>
          </w:tcPr>
          <w:p w:rsidR="00F153C1" w:rsidRPr="00BC6547" w:rsidRDefault="00F153C1" w:rsidP="00FD7155">
            <w:pPr>
              <w:keepNext/>
              <w:keepLines/>
              <w:rPr>
                <w:rFonts w:cs="Arial"/>
                <w:b/>
                <w:bCs/>
                <w:sz w:val="16"/>
                <w:szCs w:val="16"/>
              </w:rPr>
            </w:pPr>
            <w:r w:rsidRPr="00BC6547">
              <w:rPr>
                <w:rFonts w:cs="Arial"/>
                <w:b/>
                <w:bCs/>
                <w:sz w:val="16"/>
                <w:szCs w:val="16"/>
              </w:rPr>
              <w:t>Baselines</w:t>
            </w:r>
          </w:p>
        </w:tc>
        <w:tc>
          <w:tcPr>
            <w:tcW w:w="823" w:type="pct"/>
            <w:tcBorders>
              <w:top w:val="single" w:sz="4" w:space="0" w:color="auto"/>
              <w:left w:val="nil"/>
              <w:bottom w:val="nil"/>
              <w:right w:val="nil"/>
            </w:tcBorders>
            <w:shd w:val="clear" w:color="auto" w:fill="auto"/>
            <w:vAlign w:val="center"/>
          </w:tcPr>
          <w:p w:rsidR="00F153C1" w:rsidRPr="00BC6547" w:rsidRDefault="00F153C1" w:rsidP="00FD7155">
            <w:pPr>
              <w:keepNext/>
              <w:keepLines/>
              <w:rPr>
                <w:rFonts w:cs="Arial"/>
                <w:b/>
                <w:sz w:val="16"/>
                <w:szCs w:val="16"/>
              </w:rPr>
            </w:pPr>
            <w:r w:rsidRPr="00BC6547">
              <w:rPr>
                <w:rFonts w:cs="Arial"/>
                <w:b/>
                <w:sz w:val="16"/>
                <w:szCs w:val="16"/>
              </w:rPr>
              <w:t>Targets</w:t>
            </w:r>
          </w:p>
        </w:tc>
        <w:tc>
          <w:tcPr>
            <w:tcW w:w="1266" w:type="pct"/>
            <w:tcBorders>
              <w:top w:val="single" w:sz="4" w:space="0" w:color="auto"/>
              <w:left w:val="nil"/>
              <w:bottom w:val="nil"/>
              <w:right w:val="nil"/>
            </w:tcBorders>
            <w:shd w:val="clear" w:color="auto" w:fill="auto"/>
            <w:vAlign w:val="center"/>
          </w:tcPr>
          <w:p w:rsidR="00F153C1" w:rsidRPr="00BC6547" w:rsidRDefault="00F153C1" w:rsidP="00FD7155">
            <w:pPr>
              <w:keepNext/>
              <w:keepLines/>
              <w:rPr>
                <w:rFonts w:cs="Arial"/>
                <w:sz w:val="16"/>
                <w:szCs w:val="16"/>
              </w:rPr>
            </w:pPr>
            <w:r w:rsidRPr="00BC6547">
              <w:rPr>
                <w:rFonts w:cs="Arial"/>
                <w:b/>
                <w:bCs/>
                <w:sz w:val="16"/>
                <w:szCs w:val="16"/>
              </w:rPr>
              <w:t>Performance Data</w:t>
            </w:r>
          </w:p>
        </w:tc>
        <w:tc>
          <w:tcPr>
            <w:tcW w:w="522" w:type="pct"/>
            <w:tcBorders>
              <w:top w:val="single" w:sz="4" w:space="0" w:color="auto"/>
              <w:left w:val="nil"/>
              <w:bottom w:val="nil"/>
              <w:right w:val="single" w:sz="4" w:space="0" w:color="auto"/>
            </w:tcBorders>
            <w:shd w:val="clear" w:color="auto" w:fill="auto"/>
            <w:vAlign w:val="center"/>
          </w:tcPr>
          <w:p w:rsidR="00F153C1" w:rsidRPr="00CD26D6" w:rsidRDefault="00F153C1" w:rsidP="00FD7155">
            <w:pPr>
              <w:keepNext/>
              <w:keepLines/>
              <w:jc w:val="center"/>
              <w:rPr>
                <w:rFonts w:cs="Arial"/>
                <w:b/>
                <w:bCs/>
                <w:sz w:val="16"/>
                <w:szCs w:val="16"/>
              </w:rPr>
            </w:pPr>
            <w:r w:rsidRPr="00BC6547">
              <w:rPr>
                <w:rFonts w:cs="Arial"/>
                <w:b/>
                <w:bCs/>
                <w:sz w:val="16"/>
                <w:szCs w:val="16"/>
              </w:rPr>
              <w:t>TLS</w:t>
            </w:r>
          </w:p>
        </w:tc>
      </w:tr>
      <w:tr w:rsidR="00F153C1" w:rsidRPr="001656CD" w:rsidTr="00330226">
        <w:trPr>
          <w:cantSplit/>
        </w:trPr>
        <w:tc>
          <w:tcPr>
            <w:tcW w:w="1121" w:type="pct"/>
            <w:tcBorders>
              <w:top w:val="nil"/>
              <w:left w:val="single" w:sz="4" w:space="0" w:color="auto"/>
              <w:bottom w:val="nil"/>
              <w:right w:val="nil"/>
            </w:tcBorders>
            <w:shd w:val="clear" w:color="auto" w:fill="auto"/>
          </w:tcPr>
          <w:p w:rsidR="00F153C1" w:rsidRPr="003E0A9C" w:rsidRDefault="00F153C1" w:rsidP="00FD7155">
            <w:pPr>
              <w:tabs>
                <w:tab w:val="left" w:pos="347"/>
              </w:tabs>
              <w:rPr>
                <w:rFonts w:cs="Arial"/>
                <w:sz w:val="16"/>
                <w:szCs w:val="16"/>
                <w:lang w:bidi="th-TH"/>
              </w:rPr>
            </w:pPr>
            <w:r w:rsidRPr="00F14ABB">
              <w:rPr>
                <w:rFonts w:cs="Arial"/>
                <w:sz w:val="16"/>
                <w:szCs w:val="16"/>
                <w:lang w:bidi="th-TH"/>
              </w:rPr>
              <w:t>No. of established TTOs and/or IP information centers</w:t>
            </w:r>
          </w:p>
        </w:tc>
        <w:tc>
          <w:tcPr>
            <w:tcW w:w="1268" w:type="pct"/>
            <w:tcBorders>
              <w:top w:val="nil"/>
              <w:left w:val="nil"/>
              <w:bottom w:val="nil"/>
              <w:right w:val="nil"/>
            </w:tcBorders>
            <w:shd w:val="clear" w:color="auto" w:fill="auto"/>
          </w:tcPr>
          <w:p w:rsidR="00F153C1" w:rsidRDefault="00F153C1" w:rsidP="00FD7155">
            <w:pPr>
              <w:rPr>
                <w:rFonts w:cs="Arial"/>
                <w:color w:val="002060"/>
                <w:sz w:val="16"/>
                <w:szCs w:val="16"/>
                <w:lang w:bidi="th-TH"/>
              </w:rPr>
            </w:pPr>
            <w:r w:rsidRPr="001656CD">
              <w:rPr>
                <w:rFonts w:cs="Arial"/>
                <w:i/>
                <w:color w:val="002060"/>
                <w:sz w:val="16"/>
                <w:szCs w:val="16"/>
              </w:rPr>
              <w:t>Updated Baseline end 201</w:t>
            </w:r>
            <w:r>
              <w:rPr>
                <w:rFonts w:cs="Arial"/>
                <w:i/>
                <w:color w:val="002060"/>
                <w:sz w:val="16"/>
                <w:szCs w:val="16"/>
              </w:rPr>
              <w:t>3</w:t>
            </w:r>
            <w:r w:rsidRPr="001656CD">
              <w:rPr>
                <w:rFonts w:cs="Arial"/>
                <w:i/>
                <w:color w:val="002060"/>
                <w:sz w:val="16"/>
                <w:szCs w:val="16"/>
              </w:rPr>
              <w:t xml:space="preserve">: </w:t>
            </w:r>
            <w:r w:rsidRPr="002343C8">
              <w:rPr>
                <w:rFonts w:cs="Arial"/>
                <w:color w:val="002060"/>
                <w:sz w:val="16"/>
                <w:szCs w:val="16"/>
              </w:rPr>
              <w:t xml:space="preserve">Two Universities/Institutions in Georgia were directly assisted in developing their knowledge transfer ecosystem, policy and infrastructure in the CCEA region:  </w:t>
            </w:r>
            <w:proofErr w:type="spellStart"/>
            <w:r w:rsidRPr="002343C8">
              <w:rPr>
                <w:rFonts w:cs="Arial"/>
                <w:color w:val="002060"/>
                <w:sz w:val="16"/>
                <w:szCs w:val="16"/>
              </w:rPr>
              <w:t>Ivane</w:t>
            </w:r>
            <w:proofErr w:type="spellEnd"/>
            <w:r w:rsidRPr="002343C8">
              <w:rPr>
                <w:rFonts w:cs="Arial"/>
                <w:color w:val="002060"/>
                <w:sz w:val="16"/>
                <w:szCs w:val="16"/>
              </w:rPr>
              <w:t xml:space="preserve"> </w:t>
            </w:r>
            <w:proofErr w:type="spellStart"/>
            <w:r w:rsidRPr="002343C8">
              <w:rPr>
                <w:rFonts w:cs="Arial"/>
                <w:color w:val="002060"/>
                <w:sz w:val="16"/>
                <w:szCs w:val="16"/>
              </w:rPr>
              <w:t>Javakhishvili</w:t>
            </w:r>
            <w:proofErr w:type="spellEnd"/>
            <w:r w:rsidRPr="002343C8">
              <w:rPr>
                <w:rFonts w:cs="Arial"/>
                <w:color w:val="002060"/>
                <w:sz w:val="16"/>
                <w:szCs w:val="16"/>
              </w:rPr>
              <w:t xml:space="preserve"> Tbilisi State University and Georgian Technology Transfer Center followed by the Plan of Action.</w:t>
            </w:r>
          </w:p>
          <w:p w:rsidR="00F153C1" w:rsidRPr="008D3FF3" w:rsidRDefault="00F153C1" w:rsidP="00FD7155">
            <w:pPr>
              <w:rPr>
                <w:rFonts w:cs="Arial"/>
                <w:i/>
                <w:color w:val="002060"/>
                <w:sz w:val="8"/>
                <w:szCs w:val="8"/>
              </w:rPr>
            </w:pPr>
          </w:p>
          <w:p w:rsidR="00F153C1" w:rsidRPr="001656CD" w:rsidRDefault="00F153C1" w:rsidP="00FD7155">
            <w:pPr>
              <w:rPr>
                <w:rFonts w:cs="Arial"/>
                <w:i/>
                <w:color w:val="002060"/>
                <w:sz w:val="16"/>
                <w:szCs w:val="16"/>
              </w:rPr>
            </w:pPr>
            <w:r w:rsidRPr="001656CD">
              <w:rPr>
                <w:rFonts w:cs="Arial"/>
                <w:i/>
                <w:sz w:val="16"/>
                <w:szCs w:val="16"/>
              </w:rPr>
              <w:t>Original Baseline P&amp;B 201</w:t>
            </w:r>
            <w:r>
              <w:rPr>
                <w:rFonts w:cs="Arial"/>
                <w:i/>
                <w:sz w:val="16"/>
                <w:szCs w:val="16"/>
              </w:rPr>
              <w:t>4</w:t>
            </w:r>
            <w:r w:rsidRPr="001656CD">
              <w:rPr>
                <w:rFonts w:cs="Arial"/>
                <w:i/>
                <w:sz w:val="16"/>
                <w:szCs w:val="16"/>
              </w:rPr>
              <w:t>/1</w:t>
            </w:r>
            <w:r>
              <w:rPr>
                <w:rFonts w:cs="Arial"/>
                <w:i/>
                <w:sz w:val="16"/>
                <w:szCs w:val="16"/>
              </w:rPr>
              <w:t>5</w:t>
            </w:r>
            <w:r w:rsidRPr="001656CD">
              <w:rPr>
                <w:rFonts w:cs="Arial"/>
                <w:i/>
                <w:sz w:val="16"/>
                <w:szCs w:val="16"/>
              </w:rPr>
              <w:t>:</w:t>
            </w:r>
            <w:r>
              <w:t xml:space="preserve"> </w:t>
            </w:r>
            <w:proofErr w:type="spellStart"/>
            <w:r w:rsidRPr="002D2494">
              <w:rPr>
                <w:rFonts w:cs="Arial"/>
                <w:sz w:val="16"/>
                <w:szCs w:val="16"/>
              </w:rPr>
              <w:t>tbd</w:t>
            </w:r>
            <w:proofErr w:type="spellEnd"/>
          </w:p>
        </w:tc>
        <w:tc>
          <w:tcPr>
            <w:tcW w:w="823" w:type="pct"/>
            <w:tcBorders>
              <w:top w:val="nil"/>
              <w:left w:val="nil"/>
              <w:bottom w:val="nil"/>
              <w:right w:val="nil"/>
            </w:tcBorders>
            <w:shd w:val="clear" w:color="auto" w:fill="auto"/>
            <w:tcMar>
              <w:top w:w="110" w:type="dxa"/>
            </w:tcMar>
          </w:tcPr>
          <w:p w:rsidR="00F153C1" w:rsidRDefault="00F153C1" w:rsidP="00FD7155">
            <w:pPr>
              <w:rPr>
                <w:rFonts w:cs="Arial"/>
                <w:sz w:val="16"/>
                <w:szCs w:val="16"/>
                <w:lang w:bidi="th-TH"/>
              </w:rPr>
            </w:pPr>
            <w:r>
              <w:rPr>
                <w:rFonts w:cs="Arial"/>
                <w:sz w:val="16"/>
                <w:szCs w:val="16"/>
                <w:lang w:bidi="th-TH"/>
              </w:rPr>
              <w:t>6</w:t>
            </w:r>
            <w:r w:rsidRPr="00F14ABB">
              <w:rPr>
                <w:rFonts w:cs="Arial"/>
                <w:sz w:val="16"/>
                <w:szCs w:val="16"/>
                <w:lang w:bidi="th-TH"/>
              </w:rPr>
              <w:t xml:space="preserve"> additional TTOs/IP information centers</w:t>
            </w:r>
          </w:p>
        </w:tc>
        <w:tc>
          <w:tcPr>
            <w:tcW w:w="1266" w:type="pct"/>
            <w:tcBorders>
              <w:top w:val="nil"/>
              <w:left w:val="nil"/>
              <w:bottom w:val="nil"/>
              <w:right w:val="nil"/>
            </w:tcBorders>
            <w:shd w:val="clear" w:color="auto" w:fill="FFFFFF"/>
            <w:tcMar>
              <w:top w:w="110" w:type="dxa"/>
            </w:tcMar>
          </w:tcPr>
          <w:p w:rsidR="00F153C1" w:rsidRPr="003E0A9C" w:rsidRDefault="00F153C1" w:rsidP="00FD7155">
            <w:pPr>
              <w:rPr>
                <w:rFonts w:cs="Arial"/>
                <w:sz w:val="16"/>
                <w:szCs w:val="16"/>
                <w:lang w:bidi="th-TH"/>
              </w:rPr>
            </w:pPr>
            <w:r>
              <w:rPr>
                <w:rFonts w:cs="Arial"/>
                <w:sz w:val="16"/>
                <w:szCs w:val="16"/>
                <w:lang w:bidi="th-TH"/>
              </w:rPr>
              <w:t>8</w:t>
            </w:r>
            <w:r w:rsidRPr="00F14ABB">
              <w:rPr>
                <w:rFonts w:cs="Arial"/>
                <w:sz w:val="16"/>
                <w:szCs w:val="16"/>
                <w:lang w:bidi="th-TH"/>
              </w:rPr>
              <w:t xml:space="preserve"> new TISCs established in the Russian Federation</w:t>
            </w:r>
          </w:p>
        </w:tc>
        <w:tc>
          <w:tcPr>
            <w:tcW w:w="522" w:type="pct"/>
            <w:tcBorders>
              <w:top w:val="nil"/>
              <w:left w:val="nil"/>
              <w:bottom w:val="nil"/>
              <w:right w:val="single" w:sz="4" w:space="0" w:color="auto"/>
            </w:tcBorders>
            <w:shd w:val="clear" w:color="auto" w:fill="auto"/>
            <w:tcMar>
              <w:top w:w="110" w:type="dxa"/>
            </w:tcMar>
          </w:tcPr>
          <w:p w:rsidR="00F153C1" w:rsidRPr="00C5428C" w:rsidRDefault="00F153C1" w:rsidP="00FD7155">
            <w:pPr>
              <w:keepNext/>
              <w:keepLines/>
              <w:jc w:val="center"/>
              <w:rPr>
                <w:rFonts w:cs="Arial"/>
                <w:b/>
                <w:bCs/>
                <w:color w:val="00B050"/>
                <w:sz w:val="16"/>
                <w:szCs w:val="16"/>
              </w:rPr>
            </w:pPr>
            <w:r w:rsidRPr="00C5428C">
              <w:rPr>
                <w:rFonts w:cs="Arial"/>
                <w:b/>
                <w:bCs/>
                <w:color w:val="00B050"/>
                <w:sz w:val="16"/>
                <w:szCs w:val="16"/>
              </w:rPr>
              <w:t>On track</w:t>
            </w:r>
          </w:p>
        </w:tc>
      </w:tr>
      <w:tr w:rsidR="00F153C1" w:rsidRPr="001656CD" w:rsidTr="00330226">
        <w:trPr>
          <w:cantSplit/>
        </w:trPr>
        <w:tc>
          <w:tcPr>
            <w:tcW w:w="1121" w:type="pct"/>
            <w:tcBorders>
              <w:top w:val="nil"/>
              <w:left w:val="single" w:sz="4" w:space="0" w:color="auto"/>
              <w:bottom w:val="nil"/>
            </w:tcBorders>
            <w:shd w:val="clear" w:color="auto" w:fill="auto"/>
          </w:tcPr>
          <w:p w:rsidR="00F153C1" w:rsidRPr="00F14ABB" w:rsidRDefault="00F153C1" w:rsidP="00FD7155">
            <w:pPr>
              <w:tabs>
                <w:tab w:val="left" w:pos="347"/>
              </w:tabs>
              <w:rPr>
                <w:rFonts w:cs="Arial"/>
                <w:sz w:val="16"/>
                <w:szCs w:val="16"/>
                <w:lang w:bidi="th-TH"/>
              </w:rPr>
            </w:pPr>
            <w:r w:rsidRPr="00F14ABB">
              <w:rPr>
                <w:rFonts w:cs="Arial"/>
                <w:sz w:val="16"/>
                <w:szCs w:val="16"/>
                <w:lang w:bidi="th-TH"/>
              </w:rPr>
              <w:t>No.</w:t>
            </w:r>
            <w:r>
              <w:rPr>
                <w:rFonts w:cs="Arial"/>
                <w:sz w:val="16"/>
                <w:szCs w:val="16"/>
                <w:lang w:bidi="th-TH"/>
              </w:rPr>
              <w:t xml:space="preserve"> </w:t>
            </w:r>
            <w:r w:rsidRPr="00F14ABB">
              <w:rPr>
                <w:rFonts w:cs="Arial"/>
                <w:sz w:val="16"/>
                <w:szCs w:val="16"/>
                <w:lang w:bidi="th-TH"/>
              </w:rPr>
              <w:t>of sustainable national TISC networks</w:t>
            </w:r>
          </w:p>
        </w:tc>
        <w:tc>
          <w:tcPr>
            <w:tcW w:w="1268" w:type="pct"/>
            <w:tcBorders>
              <w:top w:val="nil"/>
              <w:bottom w:val="nil"/>
            </w:tcBorders>
            <w:shd w:val="clear" w:color="auto" w:fill="auto"/>
          </w:tcPr>
          <w:p w:rsidR="00F153C1" w:rsidRDefault="00F153C1" w:rsidP="00FD7155">
            <w:pPr>
              <w:rPr>
                <w:rFonts w:cs="Arial"/>
                <w:color w:val="002060"/>
                <w:sz w:val="16"/>
                <w:szCs w:val="16"/>
                <w:lang w:bidi="th-TH"/>
              </w:rPr>
            </w:pPr>
            <w:r w:rsidRPr="001656CD">
              <w:rPr>
                <w:rFonts w:cs="Arial"/>
                <w:i/>
                <w:color w:val="002060"/>
                <w:sz w:val="16"/>
                <w:szCs w:val="16"/>
              </w:rPr>
              <w:t>Updated Baseline end 201</w:t>
            </w:r>
            <w:r>
              <w:rPr>
                <w:rFonts w:cs="Arial"/>
                <w:i/>
                <w:color w:val="002060"/>
                <w:sz w:val="16"/>
                <w:szCs w:val="16"/>
              </w:rPr>
              <w:t>3</w:t>
            </w:r>
            <w:r w:rsidRPr="001656CD">
              <w:rPr>
                <w:rFonts w:cs="Arial"/>
                <w:i/>
                <w:color w:val="002060"/>
                <w:sz w:val="16"/>
                <w:szCs w:val="16"/>
              </w:rPr>
              <w:t xml:space="preserve">: </w:t>
            </w:r>
            <w:r w:rsidRPr="008C7B2B">
              <w:rPr>
                <w:rFonts w:cs="Arial"/>
                <w:color w:val="002060"/>
                <w:sz w:val="16"/>
                <w:szCs w:val="16"/>
              </w:rPr>
              <w:t>1 sustainable (out of 3 established) TISC networks</w:t>
            </w:r>
          </w:p>
          <w:p w:rsidR="00F153C1" w:rsidRPr="008D3FF3" w:rsidRDefault="00F153C1" w:rsidP="00FD7155">
            <w:pPr>
              <w:rPr>
                <w:rFonts w:cs="Arial"/>
                <w:i/>
                <w:color w:val="002060"/>
                <w:sz w:val="8"/>
                <w:szCs w:val="8"/>
              </w:rPr>
            </w:pPr>
          </w:p>
          <w:p w:rsidR="00F153C1" w:rsidRPr="00F14ABB" w:rsidRDefault="00F153C1" w:rsidP="00FD7155">
            <w:pPr>
              <w:rPr>
                <w:rFonts w:cs="Arial"/>
                <w:sz w:val="16"/>
                <w:szCs w:val="16"/>
              </w:rPr>
            </w:pPr>
            <w:r w:rsidRPr="001656CD">
              <w:rPr>
                <w:rFonts w:cs="Arial"/>
                <w:i/>
                <w:sz w:val="16"/>
                <w:szCs w:val="16"/>
              </w:rPr>
              <w:t>Original Baseline P&amp;B 201</w:t>
            </w:r>
            <w:r>
              <w:rPr>
                <w:rFonts w:cs="Arial"/>
                <w:i/>
                <w:sz w:val="16"/>
                <w:szCs w:val="16"/>
              </w:rPr>
              <w:t>4</w:t>
            </w:r>
            <w:r w:rsidRPr="001656CD">
              <w:rPr>
                <w:rFonts w:cs="Arial"/>
                <w:i/>
                <w:sz w:val="16"/>
                <w:szCs w:val="16"/>
              </w:rPr>
              <w:t>/1</w:t>
            </w:r>
            <w:r>
              <w:rPr>
                <w:rFonts w:cs="Arial"/>
                <w:i/>
                <w:sz w:val="16"/>
                <w:szCs w:val="16"/>
              </w:rPr>
              <w:t>5</w:t>
            </w:r>
            <w:r w:rsidRPr="001656CD">
              <w:rPr>
                <w:rFonts w:cs="Arial"/>
                <w:i/>
                <w:sz w:val="16"/>
                <w:szCs w:val="16"/>
              </w:rPr>
              <w:t>:</w:t>
            </w:r>
            <w:r>
              <w:t xml:space="preserve"> </w:t>
            </w:r>
            <w:r w:rsidRPr="00F14ABB">
              <w:rPr>
                <w:rFonts w:cs="Arial"/>
                <w:sz w:val="16"/>
                <w:szCs w:val="16"/>
              </w:rPr>
              <w:t>1 national TISC network:</w:t>
            </w:r>
            <w:r>
              <w:rPr>
                <w:rFonts w:cs="Arial"/>
                <w:sz w:val="16"/>
                <w:szCs w:val="16"/>
              </w:rPr>
              <w:t xml:space="preserve"> (cumulative per end first quarter 2013:</w:t>
            </w:r>
          </w:p>
          <w:p w:rsidR="00F153C1" w:rsidRPr="001656CD" w:rsidRDefault="00F153C1" w:rsidP="00FD7155">
            <w:pPr>
              <w:rPr>
                <w:rFonts w:cs="Arial"/>
                <w:i/>
                <w:color w:val="002060"/>
                <w:sz w:val="16"/>
                <w:szCs w:val="16"/>
              </w:rPr>
            </w:pPr>
            <w:r w:rsidRPr="00F14ABB">
              <w:rPr>
                <w:rFonts w:cs="Arial"/>
                <w:sz w:val="16"/>
                <w:szCs w:val="16"/>
              </w:rPr>
              <w:t>Certain Countries in Europe and Asia (1)</w:t>
            </w:r>
          </w:p>
        </w:tc>
        <w:tc>
          <w:tcPr>
            <w:tcW w:w="823" w:type="pct"/>
            <w:tcBorders>
              <w:top w:val="nil"/>
              <w:bottom w:val="nil"/>
            </w:tcBorders>
            <w:shd w:val="clear" w:color="auto" w:fill="auto"/>
            <w:tcMar>
              <w:top w:w="110" w:type="dxa"/>
            </w:tcMar>
          </w:tcPr>
          <w:p w:rsidR="00F153C1" w:rsidRPr="00F14ABB" w:rsidRDefault="00F153C1" w:rsidP="00FD7155">
            <w:pPr>
              <w:rPr>
                <w:rFonts w:cs="Arial"/>
                <w:sz w:val="16"/>
                <w:szCs w:val="16"/>
                <w:lang w:bidi="th-TH"/>
              </w:rPr>
            </w:pPr>
            <w:r>
              <w:rPr>
                <w:rFonts w:cs="Arial"/>
                <w:sz w:val="16"/>
                <w:szCs w:val="16"/>
                <w:lang w:bidi="th-TH"/>
              </w:rPr>
              <w:t>2</w:t>
            </w:r>
            <w:r w:rsidRPr="00F14ABB">
              <w:rPr>
                <w:rFonts w:cs="Arial"/>
                <w:sz w:val="16"/>
                <w:szCs w:val="16"/>
                <w:lang w:bidi="th-TH"/>
              </w:rPr>
              <w:t xml:space="preserve"> national TISC networks (cumulative):</w:t>
            </w:r>
          </w:p>
          <w:p w:rsidR="00F153C1" w:rsidRPr="00F14ABB" w:rsidRDefault="00F153C1" w:rsidP="00FD7155">
            <w:pPr>
              <w:rPr>
                <w:rFonts w:cs="Arial"/>
                <w:sz w:val="16"/>
                <w:szCs w:val="16"/>
                <w:lang w:bidi="th-TH"/>
              </w:rPr>
            </w:pPr>
            <w:r w:rsidRPr="00F14ABB">
              <w:rPr>
                <w:rFonts w:cs="Arial"/>
                <w:sz w:val="16"/>
                <w:szCs w:val="16"/>
                <w:lang w:bidi="th-TH"/>
              </w:rPr>
              <w:t>Certain Countries in Europe and Asia (2)</w:t>
            </w:r>
          </w:p>
        </w:tc>
        <w:tc>
          <w:tcPr>
            <w:tcW w:w="1266" w:type="pct"/>
            <w:tcBorders>
              <w:top w:val="nil"/>
              <w:bottom w:val="nil"/>
            </w:tcBorders>
            <w:shd w:val="clear" w:color="auto" w:fill="FFFFFF"/>
            <w:tcMar>
              <w:top w:w="110" w:type="dxa"/>
            </w:tcMar>
          </w:tcPr>
          <w:p w:rsidR="00F153C1" w:rsidRPr="00F14ABB" w:rsidRDefault="00F153C1" w:rsidP="00FD7155">
            <w:pPr>
              <w:rPr>
                <w:rFonts w:cs="Arial"/>
                <w:sz w:val="16"/>
                <w:szCs w:val="16"/>
                <w:lang w:bidi="th-TH"/>
              </w:rPr>
            </w:pPr>
            <w:r w:rsidRPr="00B3417F">
              <w:rPr>
                <w:rFonts w:cs="Arial"/>
                <w:sz w:val="16"/>
                <w:szCs w:val="16"/>
              </w:rPr>
              <w:t>Certain Countries in Europe and Asia (1)</w:t>
            </w:r>
          </w:p>
        </w:tc>
        <w:tc>
          <w:tcPr>
            <w:tcW w:w="522" w:type="pct"/>
            <w:tcBorders>
              <w:top w:val="nil"/>
              <w:bottom w:val="nil"/>
              <w:right w:val="single" w:sz="4" w:space="0" w:color="auto"/>
            </w:tcBorders>
            <w:shd w:val="clear" w:color="auto" w:fill="auto"/>
            <w:tcMar>
              <w:top w:w="110" w:type="dxa"/>
            </w:tcMar>
          </w:tcPr>
          <w:p w:rsidR="00F153C1" w:rsidRPr="00F51216" w:rsidRDefault="00F153C1" w:rsidP="00FD7155">
            <w:pPr>
              <w:keepNext/>
              <w:keepLines/>
              <w:jc w:val="center"/>
              <w:outlineLvl w:val="7"/>
              <w:rPr>
                <w:rFonts w:cs="Arial"/>
                <w:b/>
                <w:bCs/>
                <w:color w:val="00B050"/>
                <w:sz w:val="16"/>
                <w:szCs w:val="16"/>
              </w:rPr>
            </w:pPr>
            <w:r w:rsidRPr="00F51216">
              <w:rPr>
                <w:rFonts w:cs="Arial"/>
                <w:b/>
                <w:bCs/>
                <w:color w:val="00B050"/>
                <w:sz w:val="16"/>
                <w:szCs w:val="16"/>
              </w:rPr>
              <w:t>On track</w:t>
            </w:r>
          </w:p>
        </w:tc>
      </w:tr>
      <w:tr w:rsidR="00F153C1" w:rsidRPr="001656CD" w:rsidTr="00330226">
        <w:trPr>
          <w:cantSplit/>
        </w:trPr>
        <w:tc>
          <w:tcPr>
            <w:tcW w:w="1121" w:type="pct"/>
            <w:tcBorders>
              <w:top w:val="nil"/>
              <w:left w:val="single" w:sz="4" w:space="0" w:color="auto"/>
              <w:bottom w:val="single" w:sz="4" w:space="0" w:color="auto"/>
            </w:tcBorders>
            <w:shd w:val="clear" w:color="auto" w:fill="auto"/>
          </w:tcPr>
          <w:p w:rsidR="00F153C1" w:rsidRPr="00F14ABB" w:rsidRDefault="00F153C1" w:rsidP="00FD7155">
            <w:pPr>
              <w:tabs>
                <w:tab w:val="left" w:pos="347"/>
              </w:tabs>
              <w:rPr>
                <w:rFonts w:cs="Arial"/>
                <w:sz w:val="16"/>
                <w:szCs w:val="16"/>
                <w:lang w:bidi="th-TH"/>
              </w:rPr>
            </w:pPr>
            <w:r w:rsidRPr="0099235C">
              <w:rPr>
                <w:rFonts w:cs="Arial"/>
                <w:sz w:val="16"/>
                <w:szCs w:val="16"/>
                <w:lang w:bidi="th-TH"/>
              </w:rPr>
              <w:t>Average number of users serviced by TISCs per quarter and country</w:t>
            </w:r>
          </w:p>
        </w:tc>
        <w:tc>
          <w:tcPr>
            <w:tcW w:w="1268" w:type="pct"/>
            <w:tcBorders>
              <w:top w:val="nil"/>
              <w:bottom w:val="single" w:sz="4" w:space="0" w:color="auto"/>
            </w:tcBorders>
            <w:shd w:val="clear" w:color="auto" w:fill="auto"/>
          </w:tcPr>
          <w:p w:rsidR="00F153C1" w:rsidRDefault="00F153C1" w:rsidP="00FD7155">
            <w:pPr>
              <w:rPr>
                <w:rFonts w:cs="Arial"/>
                <w:color w:val="002060"/>
                <w:sz w:val="16"/>
                <w:szCs w:val="16"/>
                <w:lang w:bidi="th-TH"/>
              </w:rPr>
            </w:pPr>
            <w:r w:rsidRPr="001656CD">
              <w:rPr>
                <w:rFonts w:cs="Arial"/>
                <w:i/>
                <w:color w:val="002060"/>
                <w:sz w:val="16"/>
                <w:szCs w:val="16"/>
              </w:rPr>
              <w:t>Updated Baseline end 201</w:t>
            </w:r>
            <w:r>
              <w:rPr>
                <w:rFonts w:cs="Arial"/>
                <w:i/>
                <w:color w:val="002060"/>
                <w:sz w:val="16"/>
                <w:szCs w:val="16"/>
              </w:rPr>
              <w:t>3</w:t>
            </w:r>
            <w:r w:rsidRPr="001656CD">
              <w:rPr>
                <w:rFonts w:cs="Arial"/>
                <w:i/>
                <w:color w:val="002060"/>
                <w:sz w:val="16"/>
                <w:szCs w:val="16"/>
              </w:rPr>
              <w:t xml:space="preserve">: </w:t>
            </w:r>
            <w:r w:rsidRPr="008C7B2B">
              <w:rPr>
                <w:rFonts w:cs="Arial"/>
                <w:color w:val="002060"/>
                <w:sz w:val="16"/>
                <w:szCs w:val="16"/>
              </w:rPr>
              <w:t>532 (min.) to 1370 (max.) average no. of users serviced by TISCs per day during 2013.</w:t>
            </w:r>
          </w:p>
          <w:p w:rsidR="00F153C1" w:rsidRPr="008D3FF3" w:rsidRDefault="00F153C1" w:rsidP="00FD7155">
            <w:pPr>
              <w:rPr>
                <w:rFonts w:cs="Arial"/>
                <w:i/>
                <w:color w:val="002060"/>
                <w:sz w:val="8"/>
                <w:szCs w:val="8"/>
              </w:rPr>
            </w:pPr>
          </w:p>
          <w:p w:rsidR="00F153C1" w:rsidRDefault="00F153C1" w:rsidP="00FD7155">
            <w:pPr>
              <w:rPr>
                <w:rFonts w:cs="Arial"/>
                <w:sz w:val="16"/>
                <w:szCs w:val="16"/>
              </w:rPr>
            </w:pPr>
            <w:r w:rsidRPr="001656CD">
              <w:rPr>
                <w:rFonts w:cs="Arial"/>
                <w:i/>
                <w:sz w:val="16"/>
                <w:szCs w:val="16"/>
              </w:rPr>
              <w:t>Original Baseline P&amp;B 201</w:t>
            </w:r>
            <w:r>
              <w:rPr>
                <w:rFonts w:cs="Arial"/>
                <w:i/>
                <w:sz w:val="16"/>
                <w:szCs w:val="16"/>
              </w:rPr>
              <w:t>4</w:t>
            </w:r>
            <w:r w:rsidRPr="001656CD">
              <w:rPr>
                <w:rFonts w:cs="Arial"/>
                <w:i/>
                <w:sz w:val="16"/>
                <w:szCs w:val="16"/>
              </w:rPr>
              <w:t>/1</w:t>
            </w:r>
            <w:r>
              <w:rPr>
                <w:rFonts w:cs="Arial"/>
                <w:i/>
                <w:sz w:val="16"/>
                <w:szCs w:val="16"/>
              </w:rPr>
              <w:t>5</w:t>
            </w:r>
            <w:r w:rsidRPr="001656CD">
              <w:rPr>
                <w:rFonts w:cs="Arial"/>
                <w:i/>
                <w:sz w:val="16"/>
                <w:szCs w:val="16"/>
              </w:rPr>
              <w:t>:</w:t>
            </w:r>
            <w:r>
              <w:t xml:space="preserve"> </w:t>
            </w:r>
            <w:r w:rsidRPr="0099235C">
              <w:rPr>
                <w:rFonts w:cs="Arial"/>
                <w:sz w:val="16"/>
                <w:szCs w:val="16"/>
              </w:rPr>
              <w:t>200 (min) – 630 (max)</w:t>
            </w:r>
          </w:p>
          <w:p w:rsidR="00F153C1" w:rsidRPr="001656CD" w:rsidRDefault="00F153C1" w:rsidP="00FD7155">
            <w:pPr>
              <w:rPr>
                <w:rFonts w:cs="Arial"/>
                <w:i/>
                <w:color w:val="002060"/>
                <w:sz w:val="16"/>
                <w:szCs w:val="16"/>
              </w:rPr>
            </w:pPr>
          </w:p>
        </w:tc>
        <w:tc>
          <w:tcPr>
            <w:tcW w:w="823" w:type="pct"/>
            <w:tcBorders>
              <w:top w:val="nil"/>
              <w:bottom w:val="single" w:sz="4" w:space="0" w:color="auto"/>
            </w:tcBorders>
            <w:shd w:val="clear" w:color="auto" w:fill="auto"/>
            <w:tcMar>
              <w:top w:w="110" w:type="dxa"/>
            </w:tcMar>
          </w:tcPr>
          <w:p w:rsidR="00F153C1" w:rsidRPr="00F14ABB" w:rsidRDefault="00F153C1" w:rsidP="00FD7155">
            <w:pPr>
              <w:rPr>
                <w:rFonts w:cs="Arial"/>
                <w:sz w:val="16"/>
                <w:szCs w:val="16"/>
                <w:lang w:bidi="th-TH"/>
              </w:rPr>
            </w:pPr>
            <w:r w:rsidRPr="0099235C">
              <w:rPr>
                <w:rFonts w:cs="Arial"/>
                <w:sz w:val="16"/>
                <w:szCs w:val="16"/>
                <w:lang w:bidi="th-TH"/>
              </w:rPr>
              <w:t>300 (min) – 750 (max)</w:t>
            </w:r>
          </w:p>
        </w:tc>
        <w:tc>
          <w:tcPr>
            <w:tcW w:w="1266" w:type="pct"/>
            <w:tcBorders>
              <w:top w:val="nil"/>
              <w:bottom w:val="single" w:sz="4" w:space="0" w:color="auto"/>
            </w:tcBorders>
            <w:shd w:val="clear" w:color="auto" w:fill="FFFFFF"/>
            <w:tcMar>
              <w:top w:w="110" w:type="dxa"/>
            </w:tcMar>
          </w:tcPr>
          <w:p w:rsidR="00F153C1" w:rsidRPr="0099235C" w:rsidRDefault="00F153C1" w:rsidP="00FD7155">
            <w:pPr>
              <w:rPr>
                <w:rFonts w:cs="Arial"/>
                <w:sz w:val="16"/>
                <w:szCs w:val="16"/>
                <w:lang w:bidi="th-TH"/>
              </w:rPr>
            </w:pPr>
            <w:r w:rsidRPr="00B3417F">
              <w:rPr>
                <w:rFonts w:cs="Arial"/>
                <w:sz w:val="16"/>
                <w:szCs w:val="16"/>
                <w:lang w:bidi="th-TH"/>
              </w:rPr>
              <w:t>513 (min) - 1521 (max) average no. of users serviced by TISCs per day during 2014</w:t>
            </w:r>
          </w:p>
        </w:tc>
        <w:tc>
          <w:tcPr>
            <w:tcW w:w="522" w:type="pct"/>
            <w:tcBorders>
              <w:top w:val="nil"/>
              <w:bottom w:val="single" w:sz="4" w:space="0" w:color="auto"/>
              <w:right w:val="single" w:sz="4" w:space="0" w:color="auto"/>
            </w:tcBorders>
            <w:shd w:val="clear" w:color="auto" w:fill="auto"/>
            <w:tcMar>
              <w:top w:w="110" w:type="dxa"/>
            </w:tcMar>
          </w:tcPr>
          <w:p w:rsidR="00F153C1" w:rsidRPr="002A4544" w:rsidRDefault="00F153C1" w:rsidP="00FD7155">
            <w:pPr>
              <w:keepNext/>
              <w:keepLines/>
              <w:jc w:val="center"/>
              <w:rPr>
                <w:rFonts w:cs="Arial"/>
                <w:b/>
                <w:bCs/>
                <w:color w:val="00B050"/>
                <w:sz w:val="16"/>
                <w:szCs w:val="16"/>
              </w:rPr>
            </w:pPr>
            <w:r w:rsidRPr="00845557">
              <w:rPr>
                <w:rStyle w:val="Style5"/>
                <w:rFonts w:ascii="Arial" w:hAnsi="Arial" w:cs="Arial"/>
                <w:b/>
                <w:color w:val="00B050"/>
                <w:sz w:val="16"/>
                <w:szCs w:val="16"/>
              </w:rPr>
              <w:t>On track</w:t>
            </w:r>
          </w:p>
        </w:tc>
      </w:tr>
      <w:tr w:rsidR="00F153C1" w:rsidRPr="001656CD" w:rsidTr="00330226">
        <w:trPr>
          <w:cantSplit/>
          <w:trHeight w:val="509"/>
        </w:trPr>
        <w:tc>
          <w:tcPr>
            <w:tcW w:w="5000" w:type="pct"/>
            <w:gridSpan w:val="5"/>
            <w:tcBorders>
              <w:top w:val="single" w:sz="4" w:space="0" w:color="auto"/>
              <w:bottom w:val="single" w:sz="4" w:space="0" w:color="auto"/>
            </w:tcBorders>
            <w:shd w:val="clear" w:color="auto" w:fill="CCFFFF"/>
            <w:vAlign w:val="center"/>
          </w:tcPr>
          <w:p w:rsidR="00F153C1" w:rsidRPr="003329DC" w:rsidRDefault="00F153C1" w:rsidP="00FD7155">
            <w:pPr>
              <w:keepNext/>
              <w:keepLines/>
              <w:tabs>
                <w:tab w:val="left" w:pos="1452"/>
              </w:tabs>
              <w:ind w:left="1452" w:hanging="1452"/>
              <w:rPr>
                <w:rFonts w:cs="Arial"/>
                <w:b/>
                <w:bCs/>
                <w:sz w:val="16"/>
                <w:szCs w:val="16"/>
              </w:rPr>
            </w:pPr>
            <w:r w:rsidRPr="001656CD">
              <w:rPr>
                <w:rFonts w:cs="Arial"/>
                <w:b/>
                <w:bCs/>
                <w:sz w:val="16"/>
                <w:szCs w:val="16"/>
              </w:rPr>
              <w:t>Expected Result:</w:t>
            </w:r>
            <w:r w:rsidRPr="001656CD">
              <w:rPr>
                <w:rFonts w:cs="Arial"/>
                <w:b/>
                <w:bCs/>
                <w:sz w:val="16"/>
                <w:szCs w:val="16"/>
              </w:rPr>
              <w:tab/>
            </w:r>
            <w:r w:rsidRPr="0099235C">
              <w:rPr>
                <w:rFonts w:cs="Arial"/>
                <w:sz w:val="16"/>
                <w:szCs w:val="16"/>
                <w:lang w:bidi="th-TH"/>
              </w:rPr>
              <w:t>IV.4 Enhanced technical and knowledge infrastructure for IP Offices and other IP institutions leading to better services (cheaper, faster, higher quality) to their stakeholders</w:t>
            </w:r>
          </w:p>
        </w:tc>
      </w:tr>
      <w:tr w:rsidR="00F153C1" w:rsidRPr="001656CD" w:rsidTr="00330226">
        <w:trPr>
          <w:cantSplit/>
          <w:trHeight w:val="382"/>
        </w:trPr>
        <w:tc>
          <w:tcPr>
            <w:tcW w:w="1121" w:type="pct"/>
            <w:tcBorders>
              <w:top w:val="single" w:sz="4" w:space="0" w:color="auto"/>
              <w:left w:val="single" w:sz="4" w:space="0" w:color="auto"/>
              <w:bottom w:val="nil"/>
              <w:right w:val="nil"/>
            </w:tcBorders>
            <w:shd w:val="clear" w:color="auto" w:fill="auto"/>
            <w:vAlign w:val="center"/>
          </w:tcPr>
          <w:p w:rsidR="00F153C1" w:rsidRPr="00BC6547" w:rsidRDefault="00F153C1" w:rsidP="00FD7155">
            <w:pPr>
              <w:keepNext/>
              <w:keepLines/>
              <w:rPr>
                <w:rFonts w:cs="Arial"/>
                <w:sz w:val="16"/>
                <w:szCs w:val="16"/>
              </w:rPr>
            </w:pPr>
            <w:r w:rsidRPr="00BC6547">
              <w:rPr>
                <w:rFonts w:cs="Arial"/>
                <w:b/>
                <w:bCs/>
                <w:sz w:val="16"/>
                <w:szCs w:val="16"/>
              </w:rPr>
              <w:t>Performance Indicators</w:t>
            </w:r>
          </w:p>
        </w:tc>
        <w:tc>
          <w:tcPr>
            <w:tcW w:w="1268" w:type="pct"/>
            <w:tcBorders>
              <w:top w:val="single" w:sz="4" w:space="0" w:color="auto"/>
              <w:left w:val="nil"/>
              <w:bottom w:val="nil"/>
              <w:right w:val="nil"/>
            </w:tcBorders>
            <w:shd w:val="clear" w:color="auto" w:fill="auto"/>
            <w:vAlign w:val="center"/>
          </w:tcPr>
          <w:p w:rsidR="00F153C1" w:rsidRPr="00BC6547" w:rsidRDefault="00F153C1" w:rsidP="00FD7155">
            <w:pPr>
              <w:keepNext/>
              <w:keepLines/>
              <w:rPr>
                <w:rFonts w:cs="Arial"/>
                <w:b/>
                <w:bCs/>
                <w:sz w:val="16"/>
                <w:szCs w:val="16"/>
              </w:rPr>
            </w:pPr>
            <w:r w:rsidRPr="00BC6547">
              <w:rPr>
                <w:rFonts w:cs="Arial"/>
                <w:b/>
                <w:bCs/>
                <w:sz w:val="16"/>
                <w:szCs w:val="16"/>
              </w:rPr>
              <w:t>Baselines</w:t>
            </w:r>
          </w:p>
        </w:tc>
        <w:tc>
          <w:tcPr>
            <w:tcW w:w="823" w:type="pct"/>
            <w:tcBorders>
              <w:top w:val="single" w:sz="4" w:space="0" w:color="auto"/>
              <w:left w:val="nil"/>
              <w:bottom w:val="nil"/>
              <w:right w:val="nil"/>
            </w:tcBorders>
            <w:shd w:val="clear" w:color="auto" w:fill="auto"/>
            <w:vAlign w:val="center"/>
          </w:tcPr>
          <w:p w:rsidR="00F153C1" w:rsidRPr="00BC6547" w:rsidRDefault="00F153C1" w:rsidP="00FD7155">
            <w:pPr>
              <w:keepNext/>
              <w:keepLines/>
              <w:rPr>
                <w:rFonts w:cs="Arial"/>
                <w:b/>
                <w:sz w:val="16"/>
                <w:szCs w:val="16"/>
              </w:rPr>
            </w:pPr>
            <w:r w:rsidRPr="00BC6547">
              <w:rPr>
                <w:rFonts w:cs="Arial"/>
                <w:b/>
                <w:sz w:val="16"/>
                <w:szCs w:val="16"/>
              </w:rPr>
              <w:t>Targets</w:t>
            </w:r>
          </w:p>
        </w:tc>
        <w:tc>
          <w:tcPr>
            <w:tcW w:w="1266" w:type="pct"/>
            <w:tcBorders>
              <w:top w:val="single" w:sz="4" w:space="0" w:color="auto"/>
              <w:left w:val="nil"/>
              <w:bottom w:val="nil"/>
              <w:right w:val="nil"/>
            </w:tcBorders>
            <w:shd w:val="clear" w:color="auto" w:fill="auto"/>
            <w:vAlign w:val="center"/>
          </w:tcPr>
          <w:p w:rsidR="00F153C1" w:rsidRPr="00BC6547" w:rsidRDefault="00F153C1" w:rsidP="00FD7155">
            <w:pPr>
              <w:keepNext/>
              <w:keepLines/>
              <w:rPr>
                <w:rFonts w:cs="Arial"/>
                <w:sz w:val="16"/>
                <w:szCs w:val="16"/>
              </w:rPr>
            </w:pPr>
            <w:r w:rsidRPr="00BC6547">
              <w:rPr>
                <w:rFonts w:cs="Arial"/>
                <w:b/>
                <w:bCs/>
                <w:sz w:val="16"/>
                <w:szCs w:val="16"/>
              </w:rPr>
              <w:t>Performance Data</w:t>
            </w:r>
          </w:p>
        </w:tc>
        <w:tc>
          <w:tcPr>
            <w:tcW w:w="522" w:type="pct"/>
            <w:tcBorders>
              <w:top w:val="single" w:sz="4" w:space="0" w:color="auto"/>
              <w:left w:val="nil"/>
              <w:bottom w:val="nil"/>
              <w:right w:val="single" w:sz="4" w:space="0" w:color="auto"/>
            </w:tcBorders>
            <w:shd w:val="clear" w:color="auto" w:fill="auto"/>
            <w:vAlign w:val="center"/>
          </w:tcPr>
          <w:p w:rsidR="00F153C1" w:rsidRPr="00CD26D6" w:rsidRDefault="00F153C1" w:rsidP="00FD7155">
            <w:pPr>
              <w:keepNext/>
              <w:keepLines/>
              <w:jc w:val="center"/>
              <w:rPr>
                <w:rFonts w:cs="Arial"/>
                <w:b/>
                <w:bCs/>
                <w:sz w:val="16"/>
                <w:szCs w:val="16"/>
              </w:rPr>
            </w:pPr>
            <w:r w:rsidRPr="00BC6547">
              <w:rPr>
                <w:rFonts w:cs="Arial"/>
                <w:b/>
                <w:bCs/>
                <w:sz w:val="16"/>
                <w:szCs w:val="16"/>
              </w:rPr>
              <w:t>TLS</w:t>
            </w:r>
          </w:p>
        </w:tc>
      </w:tr>
      <w:tr w:rsidR="00F153C1" w:rsidRPr="001656CD" w:rsidTr="00330226">
        <w:trPr>
          <w:cantSplit/>
        </w:trPr>
        <w:tc>
          <w:tcPr>
            <w:tcW w:w="1121" w:type="pct"/>
            <w:tcBorders>
              <w:top w:val="nil"/>
              <w:left w:val="single" w:sz="4" w:space="0" w:color="auto"/>
              <w:bottom w:val="single" w:sz="4" w:space="0" w:color="auto"/>
              <w:right w:val="nil"/>
            </w:tcBorders>
            <w:shd w:val="clear" w:color="auto" w:fill="auto"/>
          </w:tcPr>
          <w:p w:rsidR="00F153C1" w:rsidRPr="0099235C" w:rsidRDefault="00F153C1" w:rsidP="00FD7155">
            <w:pPr>
              <w:tabs>
                <w:tab w:val="left" w:pos="347"/>
              </w:tabs>
              <w:rPr>
                <w:rFonts w:cs="Arial"/>
                <w:sz w:val="16"/>
                <w:szCs w:val="16"/>
                <w:lang w:bidi="th-TH"/>
              </w:rPr>
            </w:pPr>
            <w:r w:rsidRPr="0099235C">
              <w:rPr>
                <w:rFonts w:cs="Arial"/>
                <w:sz w:val="16"/>
                <w:szCs w:val="16"/>
                <w:lang w:bidi="th-TH"/>
              </w:rPr>
              <w:t>Average Service Level of IP Offices assisted (ranging from 1 to 5)</w:t>
            </w:r>
          </w:p>
        </w:tc>
        <w:tc>
          <w:tcPr>
            <w:tcW w:w="1268" w:type="pct"/>
            <w:tcBorders>
              <w:top w:val="nil"/>
              <w:left w:val="nil"/>
              <w:bottom w:val="single" w:sz="4" w:space="0" w:color="auto"/>
              <w:right w:val="nil"/>
            </w:tcBorders>
            <w:shd w:val="clear" w:color="auto" w:fill="auto"/>
          </w:tcPr>
          <w:p w:rsidR="00F153C1" w:rsidRDefault="00F153C1" w:rsidP="00FD7155">
            <w:pPr>
              <w:rPr>
                <w:rFonts w:cs="Arial"/>
                <w:color w:val="002060"/>
                <w:sz w:val="16"/>
                <w:szCs w:val="16"/>
                <w:lang w:bidi="th-TH"/>
              </w:rPr>
            </w:pPr>
            <w:r w:rsidRPr="001656CD">
              <w:rPr>
                <w:rFonts w:cs="Arial"/>
                <w:i/>
                <w:color w:val="002060"/>
                <w:sz w:val="16"/>
                <w:szCs w:val="16"/>
              </w:rPr>
              <w:t>Updated Baseline end 201</w:t>
            </w:r>
            <w:r>
              <w:rPr>
                <w:rFonts w:cs="Arial"/>
                <w:i/>
                <w:color w:val="002060"/>
                <w:sz w:val="16"/>
                <w:szCs w:val="16"/>
              </w:rPr>
              <w:t>3</w:t>
            </w:r>
            <w:r w:rsidRPr="001656CD">
              <w:rPr>
                <w:rFonts w:cs="Arial"/>
                <w:i/>
                <w:color w:val="002060"/>
                <w:sz w:val="16"/>
                <w:szCs w:val="16"/>
              </w:rPr>
              <w:t xml:space="preserve">: </w:t>
            </w:r>
            <w:r>
              <w:rPr>
                <w:rFonts w:cs="Arial"/>
                <w:color w:val="002060"/>
                <w:sz w:val="16"/>
                <w:szCs w:val="16"/>
              </w:rPr>
              <w:t>3</w:t>
            </w:r>
          </w:p>
          <w:p w:rsidR="00F153C1" w:rsidRPr="008D3FF3" w:rsidRDefault="00F153C1" w:rsidP="00FD7155">
            <w:pPr>
              <w:rPr>
                <w:rFonts w:cs="Arial"/>
                <w:i/>
                <w:color w:val="002060"/>
                <w:sz w:val="8"/>
                <w:szCs w:val="8"/>
              </w:rPr>
            </w:pPr>
          </w:p>
          <w:p w:rsidR="00F153C1" w:rsidRPr="001656CD" w:rsidRDefault="00F153C1" w:rsidP="00FD7155">
            <w:pPr>
              <w:rPr>
                <w:rFonts w:cs="Arial"/>
                <w:i/>
                <w:color w:val="002060"/>
                <w:sz w:val="16"/>
                <w:szCs w:val="16"/>
              </w:rPr>
            </w:pPr>
            <w:r w:rsidRPr="001656CD">
              <w:rPr>
                <w:rFonts w:cs="Arial"/>
                <w:i/>
                <w:sz w:val="16"/>
                <w:szCs w:val="16"/>
              </w:rPr>
              <w:t>Original Baseline P&amp;B 201</w:t>
            </w:r>
            <w:r>
              <w:rPr>
                <w:rFonts w:cs="Arial"/>
                <w:i/>
                <w:sz w:val="16"/>
                <w:szCs w:val="16"/>
              </w:rPr>
              <w:t>4</w:t>
            </w:r>
            <w:r w:rsidRPr="001656CD">
              <w:rPr>
                <w:rFonts w:cs="Arial"/>
                <w:i/>
                <w:sz w:val="16"/>
                <w:szCs w:val="16"/>
              </w:rPr>
              <w:t>/1</w:t>
            </w:r>
            <w:r>
              <w:rPr>
                <w:rFonts w:cs="Arial"/>
                <w:i/>
                <w:sz w:val="16"/>
                <w:szCs w:val="16"/>
              </w:rPr>
              <w:t>5</w:t>
            </w:r>
            <w:r w:rsidRPr="001656CD">
              <w:rPr>
                <w:rFonts w:cs="Arial"/>
                <w:i/>
                <w:sz w:val="16"/>
                <w:szCs w:val="16"/>
              </w:rPr>
              <w:t>:</w:t>
            </w:r>
            <w:r>
              <w:t xml:space="preserve"> </w:t>
            </w:r>
            <w:proofErr w:type="spellStart"/>
            <w:r w:rsidRPr="002D2494">
              <w:rPr>
                <w:rFonts w:cs="Arial"/>
                <w:sz w:val="16"/>
                <w:szCs w:val="16"/>
              </w:rPr>
              <w:t>tbd</w:t>
            </w:r>
            <w:proofErr w:type="spellEnd"/>
          </w:p>
        </w:tc>
        <w:tc>
          <w:tcPr>
            <w:tcW w:w="823" w:type="pct"/>
            <w:tcBorders>
              <w:top w:val="nil"/>
              <w:left w:val="nil"/>
              <w:bottom w:val="single" w:sz="4" w:space="0" w:color="auto"/>
              <w:right w:val="nil"/>
            </w:tcBorders>
            <w:shd w:val="clear" w:color="auto" w:fill="auto"/>
            <w:tcMar>
              <w:top w:w="110" w:type="dxa"/>
            </w:tcMar>
          </w:tcPr>
          <w:p w:rsidR="00F153C1" w:rsidRPr="00845557" w:rsidRDefault="00F153C1" w:rsidP="00FD7155">
            <w:pPr>
              <w:pStyle w:val="Default"/>
              <w:rPr>
                <w:rFonts w:eastAsia="Times New Roman"/>
                <w:i/>
                <w:color w:val="002060"/>
                <w:sz w:val="16"/>
                <w:szCs w:val="16"/>
                <w:lang w:eastAsia="en-US"/>
              </w:rPr>
            </w:pPr>
            <w:r w:rsidRPr="00B6192E">
              <w:rPr>
                <w:rFonts w:eastAsia="Times New Roman"/>
                <w:i/>
                <w:color w:val="002060"/>
                <w:sz w:val="16"/>
                <w:szCs w:val="16"/>
                <w:lang w:eastAsia="en-US"/>
              </w:rPr>
              <w:t xml:space="preserve">Defined Target: </w:t>
            </w:r>
            <w:r>
              <w:rPr>
                <w:rFonts w:eastAsia="Times New Roman"/>
                <w:i/>
                <w:color w:val="002060"/>
                <w:sz w:val="16"/>
                <w:szCs w:val="16"/>
                <w:lang w:eastAsia="en-US"/>
              </w:rPr>
              <w:t xml:space="preserve"> </w:t>
            </w:r>
            <w:r w:rsidRPr="00B6192E">
              <w:rPr>
                <w:rFonts w:eastAsia="Times New Roman"/>
                <w:color w:val="002060"/>
                <w:sz w:val="16"/>
                <w:szCs w:val="16"/>
                <w:lang w:eastAsia="en-US"/>
              </w:rPr>
              <w:t>3</w:t>
            </w:r>
          </w:p>
          <w:p w:rsidR="00F153C1" w:rsidRPr="008D3FF3" w:rsidRDefault="00F153C1" w:rsidP="00FD7155">
            <w:pPr>
              <w:rPr>
                <w:rFonts w:cs="Arial"/>
                <w:i/>
                <w:color w:val="002060"/>
                <w:sz w:val="8"/>
                <w:szCs w:val="8"/>
              </w:rPr>
            </w:pPr>
          </w:p>
          <w:p w:rsidR="00F153C1" w:rsidRDefault="00F153C1" w:rsidP="00FD7155">
            <w:pPr>
              <w:rPr>
                <w:rFonts w:cs="Arial"/>
                <w:sz w:val="16"/>
                <w:szCs w:val="16"/>
              </w:rPr>
            </w:pPr>
            <w:r w:rsidRPr="001656CD">
              <w:rPr>
                <w:rFonts w:cs="Arial"/>
                <w:i/>
                <w:sz w:val="16"/>
                <w:szCs w:val="16"/>
              </w:rPr>
              <w:t xml:space="preserve">Original </w:t>
            </w:r>
            <w:r>
              <w:rPr>
                <w:rFonts w:cs="Arial"/>
                <w:i/>
                <w:sz w:val="16"/>
                <w:szCs w:val="16"/>
              </w:rPr>
              <w:t>Target</w:t>
            </w:r>
            <w:r w:rsidRPr="001656CD">
              <w:rPr>
                <w:rFonts w:cs="Arial"/>
                <w:i/>
                <w:sz w:val="16"/>
                <w:szCs w:val="16"/>
              </w:rPr>
              <w:t xml:space="preserve"> P&amp;B 201</w:t>
            </w:r>
            <w:r>
              <w:rPr>
                <w:rFonts w:cs="Arial"/>
                <w:i/>
                <w:sz w:val="16"/>
                <w:szCs w:val="16"/>
              </w:rPr>
              <w:t>4</w:t>
            </w:r>
            <w:r w:rsidRPr="001656CD">
              <w:rPr>
                <w:rFonts w:cs="Arial"/>
                <w:i/>
                <w:sz w:val="16"/>
                <w:szCs w:val="16"/>
              </w:rPr>
              <w:t>/1</w:t>
            </w:r>
            <w:r>
              <w:rPr>
                <w:rFonts w:cs="Arial"/>
                <w:i/>
                <w:sz w:val="16"/>
                <w:szCs w:val="16"/>
              </w:rPr>
              <w:t>5</w:t>
            </w:r>
            <w:r w:rsidRPr="001656CD">
              <w:rPr>
                <w:rFonts w:cs="Arial"/>
                <w:i/>
                <w:sz w:val="16"/>
                <w:szCs w:val="16"/>
              </w:rPr>
              <w:t>:</w:t>
            </w:r>
            <w:r>
              <w:t xml:space="preserve"> </w:t>
            </w:r>
            <w:proofErr w:type="spellStart"/>
            <w:r w:rsidRPr="002D2494">
              <w:rPr>
                <w:rFonts w:cs="Arial"/>
                <w:sz w:val="16"/>
                <w:szCs w:val="16"/>
              </w:rPr>
              <w:t>tbd</w:t>
            </w:r>
            <w:proofErr w:type="spellEnd"/>
          </w:p>
          <w:p w:rsidR="00F153C1" w:rsidRPr="0099235C" w:rsidRDefault="00F153C1" w:rsidP="00FD7155">
            <w:pPr>
              <w:rPr>
                <w:rFonts w:cs="Arial"/>
                <w:sz w:val="16"/>
                <w:szCs w:val="16"/>
                <w:lang w:bidi="th-TH"/>
              </w:rPr>
            </w:pPr>
          </w:p>
        </w:tc>
        <w:tc>
          <w:tcPr>
            <w:tcW w:w="1266" w:type="pct"/>
            <w:tcBorders>
              <w:top w:val="nil"/>
              <w:left w:val="nil"/>
              <w:bottom w:val="single" w:sz="4" w:space="0" w:color="auto"/>
              <w:right w:val="nil"/>
            </w:tcBorders>
            <w:shd w:val="clear" w:color="auto" w:fill="FFFFFF"/>
            <w:tcMar>
              <w:top w:w="110" w:type="dxa"/>
            </w:tcMar>
          </w:tcPr>
          <w:p w:rsidR="00F153C1" w:rsidRPr="0099235C" w:rsidRDefault="00F153C1" w:rsidP="00FD7155">
            <w:pPr>
              <w:rPr>
                <w:rFonts w:cs="Arial"/>
                <w:sz w:val="16"/>
                <w:szCs w:val="16"/>
                <w:lang w:bidi="th-TH"/>
              </w:rPr>
            </w:pPr>
            <w:r w:rsidRPr="00B3417F">
              <w:rPr>
                <w:rFonts w:cs="Arial"/>
                <w:sz w:val="16"/>
                <w:szCs w:val="16"/>
              </w:rPr>
              <w:t>Certain Countries in Europe and Asia</w:t>
            </w:r>
            <w:r>
              <w:rPr>
                <w:rFonts w:cs="Arial"/>
                <w:sz w:val="16"/>
                <w:szCs w:val="16"/>
              </w:rPr>
              <w:t>: 3.2</w:t>
            </w:r>
          </w:p>
        </w:tc>
        <w:tc>
          <w:tcPr>
            <w:tcW w:w="522" w:type="pct"/>
            <w:tcBorders>
              <w:top w:val="nil"/>
              <w:left w:val="nil"/>
              <w:bottom w:val="single" w:sz="4" w:space="0" w:color="auto"/>
              <w:right w:val="single" w:sz="4" w:space="0" w:color="auto"/>
            </w:tcBorders>
            <w:shd w:val="clear" w:color="auto" w:fill="auto"/>
            <w:tcMar>
              <w:top w:w="110" w:type="dxa"/>
            </w:tcMar>
          </w:tcPr>
          <w:p w:rsidR="00F153C1" w:rsidRPr="002A4544" w:rsidRDefault="00F153C1" w:rsidP="00FD7155">
            <w:pPr>
              <w:keepNext/>
              <w:keepLines/>
              <w:jc w:val="center"/>
              <w:rPr>
                <w:rFonts w:cs="Arial"/>
                <w:b/>
                <w:bCs/>
                <w:color w:val="00B050"/>
                <w:sz w:val="16"/>
                <w:szCs w:val="16"/>
              </w:rPr>
            </w:pPr>
            <w:r w:rsidRPr="00845557">
              <w:rPr>
                <w:rStyle w:val="Style5"/>
                <w:rFonts w:ascii="Arial" w:hAnsi="Arial" w:cs="Arial"/>
                <w:b/>
                <w:color w:val="00B050"/>
                <w:sz w:val="16"/>
                <w:szCs w:val="16"/>
              </w:rPr>
              <w:t>On track</w:t>
            </w:r>
          </w:p>
        </w:tc>
      </w:tr>
    </w:tbl>
    <w:p w:rsidR="00F153C1" w:rsidRDefault="00F153C1" w:rsidP="00FD7155">
      <w:pPr>
        <w:rPr>
          <w:rFonts w:cs="Arial"/>
          <w:color w:val="000000"/>
          <w:sz w:val="22"/>
          <w:szCs w:val="22"/>
        </w:rPr>
      </w:pPr>
    </w:p>
    <w:p w:rsidR="00F153C1" w:rsidRDefault="00F153C1" w:rsidP="00FD7155">
      <w:pPr>
        <w:rPr>
          <w:rFonts w:cs="Arial"/>
          <w:color w:val="000000"/>
          <w:sz w:val="22"/>
          <w:szCs w:val="22"/>
        </w:rPr>
      </w:pPr>
    </w:p>
    <w:p w:rsidR="00F153C1" w:rsidRDefault="00F153C1">
      <w:pPr>
        <w:rPr>
          <w:rFonts w:cs="Arial"/>
          <w:color w:val="000000"/>
          <w:sz w:val="22"/>
          <w:szCs w:val="22"/>
        </w:rPr>
      </w:pPr>
      <w:r>
        <w:rPr>
          <w:rFonts w:cs="Arial"/>
          <w:color w:val="000000"/>
          <w:sz w:val="22"/>
          <w:szCs w:val="22"/>
        </w:rPr>
        <w:br w:type="page"/>
      </w:r>
    </w:p>
    <w:p w:rsidR="00F153C1" w:rsidRDefault="00F153C1" w:rsidP="00FD7155">
      <w:pPr>
        <w:rPr>
          <w:b/>
          <w:sz w:val="18"/>
          <w:szCs w:val="18"/>
        </w:rPr>
      </w:pPr>
      <w:r>
        <w:rPr>
          <w:rFonts w:cs="Arial"/>
          <w:color w:val="000000"/>
          <w:sz w:val="22"/>
          <w:szCs w:val="22"/>
        </w:rPr>
        <w:lastRenderedPageBreak/>
        <w:t>RESOURCE UTILIZATION</w:t>
      </w:r>
      <w:r>
        <w:rPr>
          <w:rFonts w:cs="Arial"/>
          <w:color w:val="000000"/>
          <w:sz w:val="22"/>
          <w:szCs w:val="22"/>
        </w:rPr>
        <w:tab/>
      </w:r>
    </w:p>
    <w:p w:rsidR="00F153C1" w:rsidRPr="008F4A6D" w:rsidRDefault="00F153C1" w:rsidP="00FD7155">
      <w:pPr>
        <w:rPr>
          <w:szCs w:val="20"/>
        </w:rPr>
      </w:pPr>
    </w:p>
    <w:p w:rsidR="00F153C1" w:rsidRPr="00383D2D" w:rsidRDefault="00F153C1" w:rsidP="00FD7155">
      <w:pPr>
        <w:pStyle w:val="NormalWeb"/>
        <w:spacing w:before="0" w:beforeAutospacing="0" w:after="0" w:afterAutospacing="0"/>
        <w:jc w:val="center"/>
        <w:rPr>
          <w:sz w:val="20"/>
          <w:szCs w:val="20"/>
        </w:rPr>
      </w:pPr>
      <w:r w:rsidRPr="00383D2D">
        <w:rPr>
          <w:color w:val="000000"/>
          <w:sz w:val="20"/>
          <w:szCs w:val="20"/>
        </w:rPr>
        <w:t xml:space="preserve">Budget and Actual Expenditure (by result) </w:t>
      </w:r>
    </w:p>
    <w:p w:rsidR="00F153C1" w:rsidRDefault="00F153C1" w:rsidP="00FD7155">
      <w:pPr>
        <w:pStyle w:val="NormalWeb"/>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F153C1" w:rsidRPr="00383D2D" w:rsidRDefault="00F153C1" w:rsidP="00FD7155">
      <w:pPr>
        <w:pStyle w:val="NormalWeb"/>
        <w:spacing w:before="0" w:beforeAutospacing="0" w:after="0" w:afterAutospacing="0"/>
        <w:jc w:val="center"/>
        <w:rPr>
          <w:sz w:val="20"/>
          <w:szCs w:val="20"/>
        </w:rPr>
      </w:pPr>
    </w:p>
    <w:p w:rsidR="00F153C1" w:rsidRDefault="00F153C1" w:rsidP="00FD7155">
      <w:pPr>
        <w:jc w:val="center"/>
      </w:pPr>
      <w:r w:rsidRPr="00FF47F8">
        <w:rPr>
          <w:noProof/>
        </w:rPr>
        <w:drawing>
          <wp:inline distT="0" distB="0" distL="0" distR="0" wp14:anchorId="28469314" wp14:editId="36851F83">
            <wp:extent cx="5316522" cy="5426015"/>
            <wp:effectExtent l="0" t="0" r="0" b="3810"/>
            <wp:docPr id="845" name="Pictur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315616" cy="5425091"/>
                    </a:xfrm>
                    <a:prstGeom prst="rect">
                      <a:avLst/>
                    </a:prstGeom>
                    <a:noFill/>
                    <a:ln>
                      <a:noFill/>
                    </a:ln>
                  </pic:spPr>
                </pic:pic>
              </a:graphicData>
            </a:graphic>
          </wp:inline>
        </w:drawing>
      </w:r>
    </w:p>
    <w:p w:rsidR="00F153C1" w:rsidRDefault="00F153C1" w:rsidP="00FD7155"/>
    <w:p w:rsidR="00F153C1" w:rsidRDefault="00F153C1" w:rsidP="00FD7155"/>
    <w:p w:rsidR="00F153C1" w:rsidRPr="00383D2D" w:rsidRDefault="00F153C1" w:rsidP="00FD7155">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F153C1" w:rsidRPr="00383D2D" w:rsidRDefault="00F153C1" w:rsidP="00FD7155">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F153C1" w:rsidRDefault="00F153C1" w:rsidP="00FD7155">
      <w:pPr>
        <w:pStyle w:val="NormalWeb"/>
        <w:keepNext/>
        <w:keepLines/>
        <w:spacing w:before="0" w:beforeAutospacing="0" w:after="0" w:afterAutospacing="0"/>
        <w:jc w:val="center"/>
      </w:pPr>
    </w:p>
    <w:p w:rsidR="00F153C1" w:rsidRDefault="00F153C1" w:rsidP="00F153C1">
      <w:pPr>
        <w:jc w:val="center"/>
        <w:rPr>
          <w:i/>
          <w:sz w:val="16"/>
          <w:szCs w:val="16"/>
        </w:rPr>
      </w:pPr>
      <w:r w:rsidRPr="00FF47F8">
        <w:rPr>
          <w:noProof/>
        </w:rPr>
        <w:drawing>
          <wp:inline distT="0" distB="0" distL="0" distR="0" wp14:anchorId="2C16B5BD" wp14:editId="7E46E2A2">
            <wp:extent cx="5546785" cy="1237201"/>
            <wp:effectExtent l="0" t="0" r="0" b="1270"/>
            <wp:docPr id="846" name="Picture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573631" cy="1243189"/>
                    </a:xfrm>
                    <a:prstGeom prst="rect">
                      <a:avLst/>
                    </a:prstGeom>
                    <a:noFill/>
                    <a:ln>
                      <a:noFill/>
                    </a:ln>
                  </pic:spPr>
                </pic:pic>
              </a:graphicData>
            </a:graphic>
          </wp:inline>
        </w:drawing>
      </w:r>
    </w:p>
    <w:p w:rsidR="00F153C1" w:rsidRPr="004312A2" w:rsidRDefault="00F153C1" w:rsidP="00FD7155">
      <w:pPr>
        <w:rPr>
          <w:sz w:val="16"/>
          <w:szCs w:val="16"/>
        </w:rPr>
      </w:pPr>
      <w:r w:rsidRPr="009C736D">
        <w:rPr>
          <w:i/>
          <w:sz w:val="16"/>
          <w:szCs w:val="16"/>
        </w:rPr>
        <w:t>NOTE: The 2014/15 Budget after Transfers reflects transfers as of March 31, 2015 to address needs during the 2014/15 biennium in line with Financial Regulation 5.5.</w:t>
      </w:r>
    </w:p>
    <w:p w:rsidR="00F153C1" w:rsidRPr="008F4A6D" w:rsidRDefault="00F153C1" w:rsidP="00FD7155">
      <w:pPr>
        <w:widowControl w:val="0"/>
        <w:autoSpaceDE w:val="0"/>
        <w:autoSpaceDN w:val="0"/>
        <w:adjustRightInd w:val="0"/>
        <w:rPr>
          <w:rFonts w:cs="Arial"/>
          <w:szCs w:val="20"/>
        </w:rPr>
      </w:pPr>
    </w:p>
    <w:p w:rsidR="00F153C1" w:rsidRPr="001C6F4D" w:rsidRDefault="00F153C1" w:rsidP="00FD7155">
      <w:pPr>
        <w:widowControl w:val="0"/>
        <w:autoSpaceDE w:val="0"/>
        <w:autoSpaceDN w:val="0"/>
        <w:adjustRightInd w:val="0"/>
        <w:rPr>
          <w:rFonts w:cs="Arial"/>
          <w:szCs w:val="20"/>
        </w:rPr>
      </w:pPr>
    </w:p>
    <w:p w:rsidR="00F153C1" w:rsidRDefault="00F153C1" w:rsidP="00F153C1">
      <w:pPr>
        <w:keepNext/>
        <w:keepLines/>
        <w:rPr>
          <w:rFonts w:cs="Arial"/>
          <w:u w:val="single"/>
        </w:rPr>
      </w:pPr>
      <w:r w:rsidRPr="00420F90">
        <w:rPr>
          <w:rFonts w:cs="Arial"/>
          <w:szCs w:val="20"/>
        </w:rPr>
        <w:lastRenderedPageBreak/>
        <w:t>A.</w:t>
      </w:r>
      <w:r w:rsidRPr="00420F90">
        <w:rPr>
          <w:rFonts w:cs="Arial"/>
        </w:rPr>
        <w:tab/>
      </w:r>
      <w:r w:rsidRPr="00420F90">
        <w:rPr>
          <w:rFonts w:cs="Arial"/>
          <w:u w:val="single"/>
        </w:rPr>
        <w:t>Budget after Transfers 201</w:t>
      </w:r>
      <w:r>
        <w:rPr>
          <w:rFonts w:cs="Arial"/>
          <w:u w:val="single"/>
        </w:rPr>
        <w:t>4/15</w:t>
      </w:r>
    </w:p>
    <w:p w:rsidR="00F153C1" w:rsidRPr="00420F90" w:rsidRDefault="00F153C1" w:rsidP="00F153C1">
      <w:pPr>
        <w:keepNext/>
        <w:keepLines/>
        <w:rPr>
          <w:rFonts w:cs="Arial"/>
          <w:u w:val="single"/>
        </w:rPr>
      </w:pPr>
    </w:p>
    <w:p w:rsidR="00F153C1" w:rsidRDefault="00F153C1" w:rsidP="00F153C1">
      <w:pPr>
        <w:pStyle w:val="ListParagraph"/>
        <w:keepNext/>
        <w:keepLines/>
        <w:numPr>
          <w:ilvl w:val="0"/>
          <w:numId w:val="74"/>
        </w:numPr>
        <w:tabs>
          <w:tab w:val="left" w:pos="709"/>
        </w:tabs>
        <w:autoSpaceDE w:val="0"/>
        <w:autoSpaceDN w:val="0"/>
        <w:ind w:left="0" w:firstLine="0"/>
        <w:jc w:val="both"/>
        <w:rPr>
          <w:rFonts w:cs="Arial"/>
          <w:lang w:eastAsia="ko-KR"/>
        </w:rPr>
      </w:pPr>
      <w:r>
        <w:rPr>
          <w:rFonts w:cs="Arial"/>
          <w:lang w:eastAsia="ko-KR"/>
        </w:rPr>
        <w:t xml:space="preserve">The adjustments across Results in the 2014/15 Budget after Transfers reflect the new and more accurate methodology for allocation of personnel resources resulting from enhancements made to the EPM planning system for the 2014 annual work planning exercise. </w:t>
      </w:r>
    </w:p>
    <w:p w:rsidR="00F153C1" w:rsidRDefault="00F153C1" w:rsidP="00F153C1">
      <w:pPr>
        <w:keepNext/>
        <w:keepLines/>
        <w:autoSpaceDE w:val="0"/>
        <w:autoSpaceDN w:val="0"/>
        <w:jc w:val="both"/>
        <w:rPr>
          <w:rFonts w:cs="Arial"/>
          <w:szCs w:val="20"/>
          <w:lang w:eastAsia="ko-KR"/>
        </w:rPr>
      </w:pPr>
    </w:p>
    <w:p w:rsidR="00F153C1" w:rsidRDefault="00F153C1" w:rsidP="00FD7155">
      <w:pPr>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Budget utilization 2014</w:t>
      </w:r>
    </w:p>
    <w:p w:rsidR="00F153C1" w:rsidRDefault="00F153C1" w:rsidP="00FD7155">
      <w:pPr>
        <w:autoSpaceDE w:val="0"/>
        <w:autoSpaceDN w:val="0"/>
        <w:jc w:val="both"/>
        <w:rPr>
          <w:rFonts w:cs="Arial"/>
          <w:szCs w:val="20"/>
          <w:u w:val="single"/>
          <w:lang w:eastAsia="ko-KR"/>
        </w:rPr>
      </w:pPr>
    </w:p>
    <w:p w:rsidR="00F153C1" w:rsidRDefault="00F153C1" w:rsidP="00F153C1">
      <w:pPr>
        <w:pStyle w:val="ListParagraph"/>
        <w:numPr>
          <w:ilvl w:val="0"/>
          <w:numId w:val="74"/>
        </w:numPr>
        <w:tabs>
          <w:tab w:val="left" w:pos="709"/>
        </w:tabs>
        <w:autoSpaceDE w:val="0"/>
        <w:autoSpaceDN w:val="0"/>
        <w:ind w:left="0" w:firstLine="0"/>
        <w:jc w:val="both"/>
      </w:pPr>
      <w:r>
        <w:t>The slight under-utilization of non-personal resources was due primarily to: (</w:t>
      </w:r>
      <w:proofErr w:type="spellStart"/>
      <w:r>
        <w:t>i</w:t>
      </w:r>
      <w:proofErr w:type="spellEnd"/>
      <w:r>
        <w:t xml:space="preserve">) the implementation of cost efficiency measures as regards staff missions and events and (ii) the postponement to 2015 of certain activities in the region. </w:t>
      </w:r>
    </w:p>
    <w:p w:rsidR="00F153C1" w:rsidRDefault="00F153C1" w:rsidP="00FD7155"/>
    <w:p w:rsidR="00B11299" w:rsidRDefault="00B11299"/>
    <w:p w:rsidR="00D97F1C" w:rsidRDefault="00D97F1C">
      <w:r>
        <w:br w:type="page"/>
      </w:r>
    </w:p>
    <w:p w:rsidR="00D97F1C" w:rsidRPr="00B92955" w:rsidRDefault="00D97F1C" w:rsidP="00D97F1C">
      <w:pPr>
        <w:pStyle w:val="Heading2"/>
        <w:tabs>
          <w:tab w:val="clear" w:pos="567"/>
          <w:tab w:val="left" w:pos="1985"/>
        </w:tabs>
        <w:ind w:left="1985" w:hanging="1985"/>
        <w:rPr>
          <w:sz w:val="20"/>
          <w:szCs w:val="20"/>
        </w:rPr>
      </w:pPr>
      <w:bookmarkStart w:id="66" w:name="_Toc422210493"/>
      <w:r w:rsidRPr="00B92955">
        <w:rPr>
          <w:sz w:val="20"/>
          <w:szCs w:val="20"/>
        </w:rPr>
        <w:lastRenderedPageBreak/>
        <w:t>PROGRAM 11</w:t>
      </w:r>
      <w:r w:rsidRPr="00B92955">
        <w:rPr>
          <w:sz w:val="20"/>
          <w:szCs w:val="20"/>
        </w:rPr>
        <w:tab/>
        <w:t>THE WIPO ACADEMY</w:t>
      </w:r>
      <w:bookmarkEnd w:id="66"/>
    </w:p>
    <w:p w:rsidR="00D97F1C" w:rsidRPr="000F7990" w:rsidRDefault="00D97F1C" w:rsidP="00D97F1C">
      <w:pPr>
        <w:ind w:left="1985" w:hanging="1985"/>
        <w:rPr>
          <w:szCs w:val="20"/>
        </w:rPr>
      </w:pPr>
    </w:p>
    <w:p w:rsidR="00D97F1C" w:rsidRPr="00B92955" w:rsidRDefault="00D97F1C" w:rsidP="00D97F1C">
      <w:pPr>
        <w:ind w:left="1985" w:hanging="1985"/>
        <w:rPr>
          <w:b/>
          <w:szCs w:val="20"/>
        </w:rPr>
      </w:pPr>
      <w:r w:rsidRPr="00B92955">
        <w:rPr>
          <w:b/>
          <w:szCs w:val="20"/>
        </w:rPr>
        <w:t>Program Manager</w:t>
      </w:r>
      <w:r w:rsidRPr="00B92955">
        <w:rPr>
          <w:b/>
          <w:szCs w:val="20"/>
        </w:rPr>
        <w:tab/>
        <w:t>Mr. M. Matus</w:t>
      </w:r>
    </w:p>
    <w:p w:rsidR="00D97F1C" w:rsidRPr="000F7990" w:rsidRDefault="00D97F1C" w:rsidP="00D97F1C">
      <w:pPr>
        <w:rPr>
          <w:szCs w:val="20"/>
        </w:rPr>
      </w:pPr>
    </w:p>
    <w:p w:rsidR="00D97F1C" w:rsidRPr="00B92955" w:rsidRDefault="00D97F1C" w:rsidP="00D97F1C">
      <w:pPr>
        <w:rPr>
          <w:szCs w:val="20"/>
        </w:rPr>
      </w:pPr>
    </w:p>
    <w:p w:rsidR="000548CA" w:rsidRPr="00CA3BE6" w:rsidRDefault="000548CA" w:rsidP="000E148D">
      <w:pPr>
        <w:rPr>
          <w:bCs/>
          <w:sz w:val="22"/>
          <w:szCs w:val="20"/>
        </w:rPr>
      </w:pPr>
      <w:r w:rsidRPr="00CA3BE6">
        <w:rPr>
          <w:bCs/>
          <w:sz w:val="22"/>
          <w:szCs w:val="20"/>
        </w:rPr>
        <w:t>OVERVIEW OF PROGRESS IN 2014</w:t>
      </w:r>
    </w:p>
    <w:p w:rsidR="000548CA" w:rsidRPr="000F7990" w:rsidRDefault="000548CA" w:rsidP="00CE4C9D">
      <w:pPr>
        <w:jc w:val="both"/>
        <w:rPr>
          <w:szCs w:val="20"/>
        </w:rPr>
      </w:pPr>
    </w:p>
    <w:p w:rsidR="000548CA" w:rsidRPr="00A8657C" w:rsidRDefault="000548CA" w:rsidP="000548CA">
      <w:pPr>
        <w:pStyle w:val="ListParagraph"/>
        <w:numPr>
          <w:ilvl w:val="0"/>
          <w:numId w:val="99"/>
        </w:numPr>
        <w:tabs>
          <w:tab w:val="left" w:pos="709"/>
        </w:tabs>
        <w:autoSpaceDE w:val="0"/>
        <w:autoSpaceDN w:val="0"/>
        <w:adjustRightInd w:val="0"/>
        <w:ind w:left="0" w:firstLine="0"/>
        <w:jc w:val="both"/>
        <w:rPr>
          <w:rFonts w:eastAsiaTheme="minorHAnsi" w:cs="Arial"/>
          <w:color w:val="000000"/>
          <w:sz w:val="22"/>
          <w:szCs w:val="22"/>
        </w:rPr>
      </w:pPr>
      <w:r w:rsidRPr="00A8657C">
        <w:rPr>
          <w:rFonts w:eastAsiaTheme="minorHAnsi" w:cs="Arial"/>
          <w:color w:val="000000"/>
        </w:rPr>
        <w:t>In 2014, the WIPO Academy initiated the implementation of a reform process and its repositioning as the core entity in WIPO for IP training and capacity</w:t>
      </w:r>
      <w:r w:rsidR="00304D88">
        <w:rPr>
          <w:rFonts w:eastAsiaTheme="minorHAnsi" w:cs="Arial"/>
          <w:color w:val="000000"/>
        </w:rPr>
        <w:t xml:space="preserve"> </w:t>
      </w:r>
      <w:r w:rsidRPr="00A8657C">
        <w:rPr>
          <w:rFonts w:eastAsiaTheme="minorHAnsi" w:cs="Arial"/>
          <w:color w:val="000000"/>
        </w:rPr>
        <w:t>building activities for government officials and other stakeholders.  During the reform, the Academy endeavored to maintain, to the extent possible, the quantity, quality and frequency of the training programs regularly provided in order to meet the ongoing training obligations with partners; to respond to new and urgent training requests of Member States and other stakeholders; and to preserve the continuum of the training provided.</w:t>
      </w:r>
    </w:p>
    <w:p w:rsidR="000548CA" w:rsidRDefault="000548CA" w:rsidP="00CE4C9D">
      <w:pPr>
        <w:tabs>
          <w:tab w:val="left" w:pos="709"/>
        </w:tabs>
        <w:autoSpaceDE w:val="0"/>
        <w:autoSpaceDN w:val="0"/>
        <w:adjustRightInd w:val="0"/>
        <w:jc w:val="both"/>
        <w:rPr>
          <w:rFonts w:eastAsiaTheme="minorHAnsi" w:cs="Arial"/>
          <w:color w:val="000000"/>
          <w:szCs w:val="20"/>
        </w:rPr>
      </w:pPr>
    </w:p>
    <w:p w:rsidR="000548CA" w:rsidRPr="00A8657C" w:rsidRDefault="000548CA" w:rsidP="000548CA">
      <w:pPr>
        <w:pStyle w:val="ListParagraph"/>
        <w:numPr>
          <w:ilvl w:val="0"/>
          <w:numId w:val="99"/>
        </w:numPr>
        <w:tabs>
          <w:tab w:val="left" w:pos="709"/>
        </w:tabs>
        <w:autoSpaceDE w:val="0"/>
        <w:autoSpaceDN w:val="0"/>
        <w:adjustRightInd w:val="0"/>
        <w:ind w:left="0" w:firstLine="0"/>
        <w:jc w:val="both"/>
        <w:rPr>
          <w:rFonts w:eastAsiaTheme="minorHAnsi" w:cs="Arial"/>
          <w:color w:val="000000"/>
        </w:rPr>
      </w:pPr>
      <w:r w:rsidRPr="00A8657C">
        <w:rPr>
          <w:rFonts w:eastAsiaTheme="minorHAnsi" w:cs="Arial"/>
          <w:color w:val="000000"/>
        </w:rPr>
        <w:t xml:space="preserve">To this end, in 2014, the Academy continued to organize through a combination of a diversified range of training and teaching activities to meet the capacity building requirements of developing countries, LDCs and countries in transition: </w:t>
      </w:r>
      <w:r>
        <w:rPr>
          <w:rFonts w:eastAsiaTheme="minorHAnsi" w:cs="Arial"/>
          <w:color w:val="000000"/>
        </w:rPr>
        <w:t xml:space="preserve"> </w:t>
      </w:r>
      <w:r w:rsidRPr="00A8657C">
        <w:rPr>
          <w:rFonts w:eastAsiaTheme="minorHAnsi" w:cs="Arial"/>
          <w:color w:val="000000"/>
        </w:rPr>
        <w:t>(</w:t>
      </w:r>
      <w:proofErr w:type="spellStart"/>
      <w:r w:rsidRPr="00A8657C">
        <w:rPr>
          <w:rFonts w:eastAsiaTheme="minorHAnsi" w:cs="Arial"/>
          <w:color w:val="000000"/>
        </w:rPr>
        <w:t>i</w:t>
      </w:r>
      <w:proofErr w:type="spellEnd"/>
      <w:r w:rsidRPr="00A8657C">
        <w:rPr>
          <w:rFonts w:eastAsiaTheme="minorHAnsi" w:cs="Arial"/>
          <w:color w:val="000000"/>
        </w:rPr>
        <w:t xml:space="preserve">) face-to-face training activities for government officials from industrial property and copyright Offices and other public sector institutions that are directly or indirectly involved in the management of, and international negotiations, related to IP (Professional Development Program);  (ii) a portfolio of </w:t>
      </w:r>
      <w:r w:rsidR="009569B3" w:rsidRPr="00A8657C">
        <w:rPr>
          <w:rFonts w:eastAsiaTheme="minorHAnsi" w:cs="Arial"/>
          <w:color w:val="000000"/>
        </w:rPr>
        <w:t>1</w:t>
      </w:r>
      <w:r w:rsidR="009569B3">
        <w:rPr>
          <w:rFonts w:eastAsiaTheme="minorHAnsi" w:cs="Arial"/>
          <w:color w:val="000000"/>
        </w:rPr>
        <w:t>7</w:t>
      </w:r>
      <w:r w:rsidR="009569B3" w:rsidRPr="00A8657C">
        <w:rPr>
          <w:rFonts w:eastAsiaTheme="minorHAnsi" w:cs="Arial"/>
          <w:color w:val="000000"/>
        </w:rPr>
        <w:t xml:space="preserve"> </w:t>
      </w:r>
      <w:r w:rsidRPr="00A8657C">
        <w:rPr>
          <w:rFonts w:eastAsiaTheme="minorHAnsi" w:cs="Arial"/>
          <w:color w:val="000000"/>
        </w:rPr>
        <w:t>distance learning (DL) courses in 14 languages (Distance Learning Program);  and (iii) a number of joint master programs on IP law and other activities for the promotion of higher education on IP (Academic Institutions Program), as well as specific activities for students and young IP professionals (Summer Schools Program).  A major achievement in 2014 was the roll-out of the WIPO e-Learning Center (</w:t>
      </w:r>
      <w:proofErr w:type="spellStart"/>
      <w:r w:rsidRPr="00A8657C">
        <w:rPr>
          <w:rFonts w:eastAsiaTheme="minorHAnsi" w:cs="Arial"/>
          <w:color w:val="000000"/>
        </w:rPr>
        <w:t>WeLC</w:t>
      </w:r>
      <w:proofErr w:type="spellEnd"/>
      <w:r w:rsidRPr="00A8657C">
        <w:rPr>
          <w:rFonts w:eastAsiaTheme="minorHAnsi" w:cs="Arial"/>
          <w:color w:val="000000"/>
        </w:rPr>
        <w:t xml:space="preserve">) platform, developed by the DL Program in 2011, to the other Academy Programs in order to facilitate the registration, selection and enrollment processes of candidates. </w:t>
      </w:r>
    </w:p>
    <w:p w:rsidR="000548CA" w:rsidRPr="00B92955" w:rsidRDefault="000548CA" w:rsidP="00CE4C9D">
      <w:pPr>
        <w:tabs>
          <w:tab w:val="left" w:pos="709"/>
        </w:tabs>
        <w:autoSpaceDE w:val="0"/>
        <w:autoSpaceDN w:val="0"/>
        <w:adjustRightInd w:val="0"/>
        <w:jc w:val="both"/>
        <w:rPr>
          <w:rFonts w:eastAsiaTheme="minorHAnsi" w:cs="Arial"/>
          <w:color w:val="000000"/>
          <w:szCs w:val="20"/>
        </w:rPr>
      </w:pPr>
    </w:p>
    <w:p w:rsidR="000548CA" w:rsidRPr="00A8657C" w:rsidRDefault="000548CA" w:rsidP="000548CA">
      <w:pPr>
        <w:pStyle w:val="ListParagraph"/>
        <w:numPr>
          <w:ilvl w:val="0"/>
          <w:numId w:val="99"/>
        </w:numPr>
        <w:tabs>
          <w:tab w:val="left" w:pos="709"/>
        </w:tabs>
        <w:autoSpaceDE w:val="0"/>
        <w:autoSpaceDN w:val="0"/>
        <w:adjustRightInd w:val="0"/>
        <w:ind w:left="0" w:firstLine="0"/>
        <w:jc w:val="both"/>
        <w:rPr>
          <w:rFonts w:eastAsiaTheme="minorHAnsi" w:cs="Arial"/>
          <w:color w:val="000000"/>
        </w:rPr>
      </w:pPr>
      <w:r w:rsidRPr="00A8657C">
        <w:rPr>
          <w:rFonts w:eastAsiaTheme="minorHAnsi" w:cs="Arial"/>
          <w:color w:val="000000"/>
        </w:rPr>
        <w:t>With regard to the Professional Development Program (PDP), in 2014, the Academy organized 20 training courses in partnership with the industrial property and/or copyright authorities of Algeria, Austria, Canada, Costa Rica, Finland, France, Germany, Israel, Mexico, Morocco, Norway, Paraguay, Peru, Spain, Switzerland, and the United Kingdom, as well as the WTO</w:t>
      </w:r>
      <w:r w:rsidRPr="00A400A7">
        <w:t xml:space="preserve"> </w:t>
      </w:r>
      <w:r w:rsidRPr="00A8657C">
        <w:rPr>
          <w:rFonts w:eastAsiaTheme="minorHAnsi" w:cs="Arial"/>
          <w:color w:val="000000"/>
        </w:rPr>
        <w:t xml:space="preserve">and the </w:t>
      </w:r>
      <w:r w:rsidRPr="00A8657C">
        <w:rPr>
          <w:rFonts w:eastAsiaTheme="minorHAnsi" w:cs="Arial"/>
          <w:i/>
          <w:color w:val="000000"/>
        </w:rPr>
        <w:t xml:space="preserve">Centre </w:t>
      </w:r>
      <w:proofErr w:type="spellStart"/>
      <w:r w:rsidRPr="00A8657C">
        <w:rPr>
          <w:rFonts w:eastAsiaTheme="minorHAnsi" w:cs="Arial"/>
          <w:i/>
          <w:color w:val="000000"/>
        </w:rPr>
        <w:t>d’Études</w:t>
      </w:r>
      <w:proofErr w:type="spellEnd"/>
      <w:r w:rsidRPr="00A8657C">
        <w:rPr>
          <w:rFonts w:eastAsiaTheme="minorHAnsi" w:cs="Arial"/>
          <w:i/>
          <w:color w:val="000000"/>
        </w:rPr>
        <w:t xml:space="preserve"> </w:t>
      </w:r>
      <w:proofErr w:type="spellStart"/>
      <w:r w:rsidRPr="00A8657C">
        <w:rPr>
          <w:rFonts w:eastAsiaTheme="minorHAnsi" w:cs="Arial"/>
          <w:i/>
          <w:color w:val="000000"/>
        </w:rPr>
        <w:t>Internationales</w:t>
      </w:r>
      <w:proofErr w:type="spellEnd"/>
      <w:r w:rsidRPr="00A8657C">
        <w:rPr>
          <w:rFonts w:eastAsiaTheme="minorHAnsi" w:cs="Arial"/>
          <w:i/>
          <w:color w:val="000000"/>
        </w:rPr>
        <w:t xml:space="preserve"> de la </w:t>
      </w:r>
      <w:proofErr w:type="spellStart"/>
      <w:r w:rsidRPr="00A8657C">
        <w:rPr>
          <w:rFonts w:eastAsiaTheme="minorHAnsi" w:cs="Arial"/>
          <w:i/>
          <w:color w:val="000000"/>
        </w:rPr>
        <w:t>Propriété</w:t>
      </w:r>
      <w:proofErr w:type="spellEnd"/>
      <w:r w:rsidRPr="00A8657C">
        <w:rPr>
          <w:rFonts w:eastAsiaTheme="minorHAnsi" w:cs="Arial"/>
          <w:i/>
          <w:color w:val="000000"/>
        </w:rPr>
        <w:t xml:space="preserve"> </w:t>
      </w:r>
      <w:proofErr w:type="spellStart"/>
      <w:r w:rsidRPr="00A8657C">
        <w:rPr>
          <w:rFonts w:eastAsiaTheme="minorHAnsi" w:cs="Arial"/>
          <w:i/>
          <w:color w:val="000000"/>
        </w:rPr>
        <w:t>Intellectuelle</w:t>
      </w:r>
      <w:proofErr w:type="spellEnd"/>
      <w:r w:rsidRPr="00A8657C">
        <w:rPr>
          <w:rFonts w:eastAsiaTheme="minorHAnsi" w:cs="Arial"/>
          <w:color w:val="000000"/>
        </w:rPr>
        <w:t xml:space="preserve"> (CEIPI), in Strasbourg, France.  A total of 216 participants from developing countries, LDCs and countries in transition benefited from these activities, which represents a 14 per cent decrease compared to 2013.  The decrease was primarily due to the “WIPO-Sweden Advanced Training Course on Industrial Property in the Global Economy”, traditionally offered annually to 25 officials, not taking place in 2014.  The course program continued to include the following main topics:  patents, trademarks, copyright and related rights, collective management of copyright and related rights, management of IP offices, IP for policy makers, and was expanded to include two new courses on branding and transfer of technology and licensing. Moreover, as part of the reform process, the training model was placed under review for further development and improvement in 2014.    </w:t>
      </w:r>
    </w:p>
    <w:p w:rsidR="000548CA" w:rsidRDefault="000548CA" w:rsidP="00CE4C9D">
      <w:pPr>
        <w:autoSpaceDE w:val="0"/>
        <w:autoSpaceDN w:val="0"/>
        <w:adjustRightInd w:val="0"/>
        <w:jc w:val="both"/>
        <w:rPr>
          <w:rFonts w:eastAsiaTheme="minorHAnsi" w:cs="Arial"/>
          <w:color w:val="000000"/>
          <w:szCs w:val="20"/>
        </w:rPr>
      </w:pPr>
    </w:p>
    <w:tbl>
      <w:tblPr>
        <w:tblW w:w="0" w:type="auto"/>
        <w:tblInd w:w="18" w:type="dxa"/>
        <w:tblBorders>
          <w:bottom w:val="single" w:sz="4" w:space="0" w:color="auto"/>
        </w:tblBorders>
        <w:tblLook w:val="01E0" w:firstRow="1" w:lastRow="1" w:firstColumn="1" w:lastColumn="1" w:noHBand="0" w:noVBand="0"/>
      </w:tblPr>
      <w:tblGrid>
        <w:gridCol w:w="8312"/>
      </w:tblGrid>
      <w:tr w:rsidR="000548CA" w:rsidRPr="003F1ECC" w:rsidTr="00CE4C9D">
        <w:trPr>
          <w:trHeight w:val="289"/>
        </w:trPr>
        <w:tc>
          <w:tcPr>
            <w:tcW w:w="8312" w:type="dxa"/>
            <w:shd w:val="clear" w:color="auto" w:fill="auto"/>
          </w:tcPr>
          <w:p w:rsidR="000548CA" w:rsidRPr="006B697D" w:rsidRDefault="000548CA" w:rsidP="00CE4C9D">
            <w:pPr>
              <w:ind w:right="-108"/>
              <w:jc w:val="both"/>
              <w:rPr>
                <w:rFonts w:cs="Arial"/>
                <w:szCs w:val="20"/>
              </w:rPr>
            </w:pPr>
            <w:r w:rsidRPr="006B697D">
              <w:rPr>
                <w:rFonts w:cs="Arial"/>
                <w:i/>
                <w:szCs w:val="20"/>
              </w:rPr>
              <w:t>Geographical Distribution of Participants in Professional Development Program, 2012-2014</w:t>
            </w:r>
          </w:p>
        </w:tc>
      </w:tr>
    </w:tbl>
    <w:p w:rsidR="000548CA" w:rsidRPr="00B92955" w:rsidRDefault="000548CA" w:rsidP="00CE4C9D">
      <w:pPr>
        <w:autoSpaceDE w:val="0"/>
        <w:autoSpaceDN w:val="0"/>
        <w:adjustRightInd w:val="0"/>
        <w:jc w:val="center"/>
        <w:rPr>
          <w:rFonts w:eastAsiaTheme="minorHAnsi" w:cs="Arial"/>
          <w:color w:val="000000"/>
          <w:szCs w:val="20"/>
        </w:rPr>
      </w:pPr>
      <w:r>
        <w:rPr>
          <w:noProof/>
        </w:rPr>
        <w:drawing>
          <wp:inline distT="0" distB="0" distL="0" distR="0" wp14:anchorId="00714BEE" wp14:editId="157A8C4E">
            <wp:extent cx="5472752" cy="1815152"/>
            <wp:effectExtent l="0" t="0" r="0" b="0"/>
            <wp:docPr id="864" name="Chart 8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0548CA" w:rsidRPr="00B92955" w:rsidRDefault="000548CA" w:rsidP="00CE4C9D">
      <w:pPr>
        <w:autoSpaceDE w:val="0"/>
        <w:autoSpaceDN w:val="0"/>
        <w:adjustRightInd w:val="0"/>
        <w:jc w:val="center"/>
        <w:rPr>
          <w:rFonts w:eastAsiaTheme="minorHAnsi" w:cs="Arial"/>
          <w:color w:val="000000"/>
          <w:szCs w:val="20"/>
        </w:rPr>
      </w:pPr>
    </w:p>
    <w:p w:rsidR="000548CA" w:rsidRDefault="000548CA" w:rsidP="000548CA">
      <w:pPr>
        <w:pStyle w:val="ListParagraph"/>
        <w:numPr>
          <w:ilvl w:val="0"/>
          <w:numId w:val="99"/>
        </w:numPr>
        <w:tabs>
          <w:tab w:val="left" w:pos="709"/>
        </w:tabs>
        <w:autoSpaceDE w:val="0"/>
        <w:autoSpaceDN w:val="0"/>
        <w:adjustRightInd w:val="0"/>
        <w:ind w:left="0" w:firstLine="0"/>
        <w:jc w:val="both"/>
        <w:rPr>
          <w:rFonts w:ascii="Times New Roman" w:hAnsi="Times New Roman"/>
          <w:sz w:val="24"/>
        </w:rPr>
      </w:pPr>
      <w:r>
        <w:rPr>
          <w:color w:val="000000"/>
        </w:rPr>
        <w:t xml:space="preserve">The Distance Learning Program (DL) continued to attract </w:t>
      </w:r>
      <w:r w:rsidRPr="002F4088">
        <w:t>participants from all over the world including special target groups of IP Office staff, TISCs and Start-Up Academies</w:t>
      </w:r>
      <w:r>
        <w:t>.</w:t>
      </w:r>
      <w:r>
        <w:rPr>
          <w:color w:val="000000"/>
        </w:rPr>
        <w:t xml:space="preserve">  </w:t>
      </w:r>
      <w:r>
        <w:t xml:space="preserve">The development of a tailor- made course with the Croatian IP Office was successfully completed and launched in 2014.  In addition, two new customizations were initiated with the IP Offices of Cambodia and Viet Nam, increasing the number of languages of the general courses from 12 in 2013 to 14 (Arabic, Cambodian, Chinese, Croatian, French, German, Japanese, Korean, Portuguese, Russian, Spanish, Thai, Ukrainian, and </w:t>
      </w:r>
      <w:r>
        <w:lastRenderedPageBreak/>
        <w:t xml:space="preserve">Vietnamese) in 2014.  </w:t>
      </w:r>
      <w:r w:rsidRPr="00B92955">
        <w:rPr>
          <w:rFonts w:eastAsiaTheme="minorHAnsi" w:cs="Arial"/>
          <w:color w:val="000000"/>
        </w:rPr>
        <w:t>In 2014, some 34,935 persons (30,552 under its general courses</w:t>
      </w:r>
      <w:r>
        <w:rPr>
          <w:rFonts w:eastAsiaTheme="minorHAnsi" w:cs="Arial"/>
          <w:color w:val="000000"/>
        </w:rPr>
        <w:t xml:space="preserve"> and </w:t>
      </w:r>
      <w:r w:rsidRPr="00B92955">
        <w:rPr>
          <w:rFonts w:eastAsiaTheme="minorHAnsi" w:cs="Arial"/>
          <w:color w:val="000000"/>
        </w:rPr>
        <w:t>4,383 under its advanced courses)</w:t>
      </w:r>
      <w:r>
        <w:rPr>
          <w:rFonts w:eastAsiaTheme="minorHAnsi" w:cs="Arial"/>
          <w:color w:val="000000"/>
        </w:rPr>
        <w:t xml:space="preserve"> </w:t>
      </w:r>
      <w:r w:rsidRPr="00B92955">
        <w:rPr>
          <w:rFonts w:eastAsiaTheme="minorHAnsi" w:cs="Arial"/>
          <w:color w:val="000000"/>
        </w:rPr>
        <w:t xml:space="preserve">from </w:t>
      </w:r>
      <w:r>
        <w:rPr>
          <w:rFonts w:eastAsiaTheme="minorHAnsi" w:cs="Arial"/>
          <w:color w:val="000000"/>
        </w:rPr>
        <w:t xml:space="preserve">more than </w:t>
      </w:r>
      <w:r w:rsidRPr="00B92955">
        <w:rPr>
          <w:rFonts w:eastAsiaTheme="minorHAnsi" w:cs="Arial"/>
          <w:color w:val="000000"/>
        </w:rPr>
        <w:t>19</w:t>
      </w:r>
      <w:r>
        <w:rPr>
          <w:rFonts w:eastAsiaTheme="minorHAnsi" w:cs="Arial"/>
          <w:color w:val="000000"/>
        </w:rPr>
        <w:t>2</w:t>
      </w:r>
      <w:r w:rsidRPr="00B92955">
        <w:rPr>
          <w:rFonts w:eastAsiaTheme="minorHAnsi" w:cs="Arial"/>
          <w:color w:val="000000"/>
        </w:rPr>
        <w:t xml:space="preserve"> countries benefited from </w:t>
      </w:r>
      <w:r>
        <w:rPr>
          <w:rFonts w:eastAsiaTheme="minorHAnsi" w:cs="Arial"/>
          <w:color w:val="000000"/>
        </w:rPr>
        <w:t>the enhanced</w:t>
      </w:r>
      <w:r w:rsidRPr="00B92955">
        <w:rPr>
          <w:rFonts w:eastAsiaTheme="minorHAnsi" w:cs="Arial"/>
          <w:color w:val="000000"/>
        </w:rPr>
        <w:t xml:space="preserve"> e-learning Centre (</w:t>
      </w:r>
      <w:proofErr w:type="spellStart"/>
      <w:r w:rsidRPr="00B92955">
        <w:rPr>
          <w:rFonts w:eastAsiaTheme="minorHAnsi" w:cs="Arial"/>
          <w:color w:val="000000"/>
        </w:rPr>
        <w:t>WeLC</w:t>
      </w:r>
      <w:proofErr w:type="spellEnd"/>
      <w:r w:rsidRPr="00B92955">
        <w:rPr>
          <w:rFonts w:eastAsiaTheme="minorHAnsi" w:cs="Arial"/>
          <w:color w:val="000000"/>
        </w:rPr>
        <w:t>) platform</w:t>
      </w:r>
      <w:r>
        <w:rPr>
          <w:rFonts w:eastAsiaTheme="minorHAnsi" w:cs="Arial"/>
          <w:color w:val="000000"/>
        </w:rPr>
        <w:t>.  Two new DL pilot courses were launched in 2014: (</w:t>
      </w:r>
      <w:proofErr w:type="spellStart"/>
      <w:r>
        <w:rPr>
          <w:rFonts w:eastAsiaTheme="minorHAnsi" w:cs="Arial"/>
          <w:color w:val="000000"/>
        </w:rPr>
        <w:t>i</w:t>
      </w:r>
      <w:proofErr w:type="spellEnd"/>
      <w:r>
        <w:rPr>
          <w:rFonts w:eastAsiaTheme="minorHAnsi" w:cs="Arial"/>
          <w:color w:val="000000"/>
        </w:rPr>
        <w:t xml:space="preserve">) </w:t>
      </w:r>
      <w:r w:rsidRPr="006B729F">
        <w:rPr>
          <w:rFonts w:eastAsiaTheme="minorHAnsi" w:cs="Arial"/>
          <w:i/>
          <w:color w:val="000000"/>
        </w:rPr>
        <w:t>Intellectual Property, Traditional Knowledge and Traditional Cultural Expressions</w:t>
      </w:r>
      <w:r>
        <w:rPr>
          <w:rFonts w:eastAsiaTheme="minorHAnsi" w:cs="Arial"/>
          <w:i/>
          <w:color w:val="000000"/>
        </w:rPr>
        <w:t xml:space="preserve"> (</w:t>
      </w:r>
      <w:r w:rsidRPr="000E472B">
        <w:rPr>
          <w:rFonts w:eastAsiaTheme="minorHAnsi" w:cs="Arial"/>
          <w:i/>
          <w:color w:val="000000"/>
        </w:rPr>
        <w:t>DL-203</w:t>
      </w:r>
      <w:r>
        <w:rPr>
          <w:rFonts w:eastAsiaTheme="minorHAnsi" w:cs="Arial"/>
          <w:i/>
          <w:color w:val="000000"/>
        </w:rPr>
        <w:t>)</w:t>
      </w:r>
      <w:r>
        <w:rPr>
          <w:rFonts w:eastAsiaTheme="minorHAnsi" w:cs="Arial"/>
          <w:color w:val="000000"/>
        </w:rPr>
        <w:t xml:space="preserve"> and (ii) </w:t>
      </w:r>
      <w:r w:rsidRPr="006B729F">
        <w:rPr>
          <w:rFonts w:eastAsiaTheme="minorHAnsi" w:cs="Arial"/>
          <w:i/>
          <w:color w:val="000000"/>
        </w:rPr>
        <w:t>Collective Management of Copyright and Related Rights</w:t>
      </w:r>
      <w:r>
        <w:rPr>
          <w:rFonts w:eastAsiaTheme="minorHAnsi" w:cs="Arial"/>
          <w:i/>
          <w:color w:val="000000"/>
        </w:rPr>
        <w:t xml:space="preserve"> (DL-501)</w:t>
      </w:r>
      <w:r>
        <w:rPr>
          <w:rFonts w:eastAsiaTheme="minorHAnsi" w:cs="Arial"/>
          <w:color w:val="000000"/>
        </w:rPr>
        <w:t xml:space="preserve">. </w:t>
      </w:r>
      <w:r>
        <w:t>Development of t</w:t>
      </w:r>
      <w:r>
        <w:rPr>
          <w:color w:val="000000"/>
        </w:rPr>
        <w:t xml:space="preserve">he DL course on </w:t>
      </w:r>
      <w:r>
        <w:rPr>
          <w:i/>
          <w:iCs/>
          <w:color w:val="000000"/>
        </w:rPr>
        <w:t>IP and Public Health</w:t>
      </w:r>
      <w:r>
        <w:rPr>
          <w:color w:val="000000"/>
        </w:rPr>
        <w:t xml:space="preserve"> </w:t>
      </w:r>
      <w:r>
        <w:t>started in 2014, and will be launched as a pilot course in 2015</w:t>
      </w:r>
      <w:r>
        <w:rPr>
          <w:color w:val="000000"/>
        </w:rPr>
        <w:t xml:space="preserve">.  A more systematic approach to the annual course review process was implemented in 2014, and the </w:t>
      </w:r>
      <w:r>
        <w:t>DL course content underwent an extensive review (Phase I), the results of which will be implemented in 2015 (Phase II).  </w:t>
      </w:r>
      <w:r>
        <w:rPr>
          <w:rFonts w:ascii="Times New Roman" w:hAnsi="Times New Roman"/>
          <w:sz w:val="24"/>
        </w:rPr>
        <w:t xml:space="preserve"> </w:t>
      </w:r>
    </w:p>
    <w:p w:rsidR="000548CA" w:rsidRPr="002F4088" w:rsidRDefault="000548CA" w:rsidP="00CE4C9D"/>
    <w:p w:rsidR="000548CA" w:rsidRDefault="000548CA" w:rsidP="00CE4C9D">
      <w:pPr>
        <w:autoSpaceDE w:val="0"/>
        <w:autoSpaceDN w:val="0"/>
        <w:adjustRightInd w:val="0"/>
        <w:jc w:val="both"/>
        <w:rPr>
          <w:rFonts w:eastAsiaTheme="minorHAnsi" w:cs="Arial"/>
          <w:color w:val="000000"/>
          <w:szCs w:val="20"/>
        </w:rPr>
      </w:pPr>
    </w:p>
    <w:p w:rsidR="000548CA" w:rsidRPr="00112DEC" w:rsidRDefault="000548CA" w:rsidP="00CE4C9D">
      <w:pPr>
        <w:autoSpaceDE w:val="0"/>
        <w:autoSpaceDN w:val="0"/>
        <w:adjustRightInd w:val="0"/>
        <w:jc w:val="both"/>
        <w:rPr>
          <w:rFonts w:eastAsiaTheme="minorHAnsi" w:cs="Arial"/>
          <w:color w:val="000000"/>
          <w:szCs w:val="20"/>
        </w:rPr>
      </w:pPr>
      <w:r w:rsidRPr="00112DEC">
        <w:rPr>
          <w:rFonts w:cs="Arial"/>
          <w:i/>
          <w:szCs w:val="20"/>
        </w:rPr>
        <w:t>Geographical Distribution of Participants in all of Distance Learning Program, 2012-2014</w:t>
      </w:r>
      <w:r>
        <w:rPr>
          <w:rStyle w:val="FootnoteReference"/>
          <w:rFonts w:cs="Arial"/>
          <w:i/>
          <w:szCs w:val="20"/>
        </w:rPr>
        <w:footnoteReference w:id="35"/>
      </w:r>
    </w:p>
    <w:p w:rsidR="000548CA" w:rsidRPr="00B92955" w:rsidRDefault="000548CA" w:rsidP="00CE4C9D">
      <w:pPr>
        <w:autoSpaceDE w:val="0"/>
        <w:autoSpaceDN w:val="0"/>
        <w:adjustRightInd w:val="0"/>
        <w:jc w:val="both"/>
        <w:rPr>
          <w:rFonts w:eastAsiaTheme="minorHAnsi" w:cs="Arial"/>
          <w:color w:val="000000"/>
          <w:szCs w:val="20"/>
        </w:rPr>
      </w:pPr>
    </w:p>
    <w:p w:rsidR="000548CA" w:rsidRPr="00B92955" w:rsidRDefault="000548CA" w:rsidP="00CE4C9D">
      <w:pPr>
        <w:autoSpaceDE w:val="0"/>
        <w:autoSpaceDN w:val="0"/>
        <w:adjustRightInd w:val="0"/>
        <w:jc w:val="center"/>
        <w:rPr>
          <w:rFonts w:eastAsiaTheme="minorHAnsi" w:cs="Arial"/>
          <w:color w:val="000000"/>
          <w:szCs w:val="20"/>
        </w:rPr>
      </w:pPr>
      <w:r>
        <w:rPr>
          <w:noProof/>
        </w:rPr>
        <w:drawing>
          <wp:inline distT="0" distB="0" distL="0" distR="0" wp14:anchorId="19655193" wp14:editId="5EF72D16">
            <wp:extent cx="5356747" cy="2094931"/>
            <wp:effectExtent l="0" t="0" r="0" b="635"/>
            <wp:docPr id="865" name="Chart 8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0548CA" w:rsidRPr="00B92955" w:rsidRDefault="000548CA" w:rsidP="00CE4C9D">
      <w:pPr>
        <w:autoSpaceDE w:val="0"/>
        <w:autoSpaceDN w:val="0"/>
        <w:adjustRightInd w:val="0"/>
        <w:jc w:val="both"/>
        <w:rPr>
          <w:rFonts w:eastAsiaTheme="minorHAnsi" w:cs="Arial"/>
          <w:color w:val="000000"/>
          <w:szCs w:val="20"/>
        </w:rPr>
      </w:pPr>
      <w:r>
        <w:rPr>
          <w:rFonts w:eastAsiaTheme="minorHAnsi" w:cs="Arial"/>
          <w:color w:val="000000"/>
          <w:szCs w:val="20"/>
        </w:rPr>
        <w:t xml:space="preserve"> </w:t>
      </w:r>
    </w:p>
    <w:p w:rsidR="000548CA" w:rsidRDefault="000548CA" w:rsidP="000548CA">
      <w:pPr>
        <w:pStyle w:val="ListParagraph"/>
        <w:numPr>
          <w:ilvl w:val="0"/>
          <w:numId w:val="99"/>
        </w:numPr>
        <w:tabs>
          <w:tab w:val="left" w:pos="709"/>
        </w:tabs>
        <w:autoSpaceDE w:val="0"/>
        <w:autoSpaceDN w:val="0"/>
        <w:adjustRightInd w:val="0"/>
        <w:ind w:left="0" w:firstLine="0"/>
        <w:jc w:val="both"/>
        <w:rPr>
          <w:rFonts w:cs="Arial"/>
        </w:rPr>
      </w:pPr>
      <w:r>
        <w:rPr>
          <w:rFonts w:cs="Arial"/>
        </w:rPr>
        <w:t xml:space="preserve">The Academic Institutions Program (AIP) continued to offer joint IP Law Master’s Degree courses for the benefit of nationals of developing countries and countries in transition, in cooperation with a number of universities and the financial assistance of the Government of Japan and the Government of the Republic of Korea as related to four programs.  In 2014, a total of 196 persons were trained, 92 students from 58 countries received scholarships to attend one of the seven joint IP Law Master programs offered by the WIPO Academy jointly with:  the Africa University (AU) and the African Regional Intellectual Property Organization (ARIPO) (Zimbabwe); the Austral University and the National Industrial Property Institute of Argentina (INPI) (Argentina);  the Haifa University (Israel);  the Queensland University of Technology (QUT) (Australia);  Seoul National University (SNU) and the Korean Intellectual Property Office (KIPO) (Republic of Korea);  the University of Turin (Italy) and the International Training Center of the International Labor Organization (ITC-ILO); and the University of Yaoundé II and the </w:t>
      </w:r>
      <w:proofErr w:type="spellStart"/>
      <w:r>
        <w:rPr>
          <w:rFonts w:cs="Arial"/>
        </w:rPr>
        <w:t>Organisation</w:t>
      </w:r>
      <w:proofErr w:type="spellEnd"/>
      <w:r>
        <w:rPr>
          <w:rFonts w:cs="Arial"/>
        </w:rPr>
        <w:t xml:space="preserve"> </w:t>
      </w:r>
      <w:proofErr w:type="spellStart"/>
      <w:r>
        <w:rPr>
          <w:rFonts w:cs="Arial"/>
        </w:rPr>
        <w:t>Africaine</w:t>
      </w:r>
      <w:proofErr w:type="spellEnd"/>
      <w:r>
        <w:rPr>
          <w:rFonts w:cs="Arial"/>
        </w:rPr>
        <w:t xml:space="preserve"> de la </w:t>
      </w:r>
      <w:proofErr w:type="spellStart"/>
      <w:r>
        <w:rPr>
          <w:rFonts w:cs="Arial"/>
        </w:rPr>
        <w:t>Propriété</w:t>
      </w:r>
      <w:proofErr w:type="spellEnd"/>
      <w:r>
        <w:rPr>
          <w:rFonts w:cs="Arial"/>
        </w:rPr>
        <w:t xml:space="preserve"> </w:t>
      </w:r>
      <w:proofErr w:type="spellStart"/>
      <w:r>
        <w:rPr>
          <w:rFonts w:cs="Arial"/>
        </w:rPr>
        <w:t>Intellectuelle</w:t>
      </w:r>
      <w:proofErr w:type="spellEnd"/>
      <w:r>
        <w:rPr>
          <w:rFonts w:cs="Arial"/>
        </w:rPr>
        <w:t xml:space="preserve"> (OAPI) (Cameroon).   The Colloquium for Teachers of IP was organized in cooperation with the WTO for the benefit of 247 persons.  The Colloquium continued to offer a forum for dialogue and debate on recent developments in key IP areas and teaching and pedagogic issues. In addition, 5 persons received WIPO fellowships to participate in the Annual Congress of the International Association for the Advancement of Teaching and Research in Intellectual Property (ATRIP).   </w:t>
      </w:r>
      <w:r w:rsidRPr="00515080">
        <w:rPr>
          <w:rFonts w:cs="Arial"/>
        </w:rPr>
        <w:t xml:space="preserve">With assistance from WIPO, two universities </w:t>
      </w:r>
      <w:r>
        <w:rPr>
          <w:rFonts w:cs="Arial"/>
        </w:rPr>
        <w:t xml:space="preserve">in Indonesia </w:t>
      </w:r>
      <w:r w:rsidRPr="00515080">
        <w:rPr>
          <w:rFonts w:cs="Arial"/>
        </w:rPr>
        <w:t>(</w:t>
      </w:r>
      <w:proofErr w:type="spellStart"/>
      <w:r w:rsidRPr="00515080">
        <w:rPr>
          <w:rFonts w:cs="Arial"/>
        </w:rPr>
        <w:t>Universitas</w:t>
      </w:r>
      <w:proofErr w:type="spellEnd"/>
      <w:r w:rsidRPr="00515080">
        <w:rPr>
          <w:rFonts w:cs="Arial"/>
        </w:rPr>
        <w:t xml:space="preserve"> </w:t>
      </w:r>
      <w:proofErr w:type="spellStart"/>
      <w:r w:rsidRPr="00515080">
        <w:rPr>
          <w:rFonts w:cs="Arial"/>
        </w:rPr>
        <w:t>Padjadjaran</w:t>
      </w:r>
      <w:proofErr w:type="spellEnd"/>
      <w:r w:rsidRPr="00515080">
        <w:rPr>
          <w:rFonts w:cs="Arial"/>
        </w:rPr>
        <w:t xml:space="preserve"> and University of Indonesia) started to offer new teaching programs on IP. </w:t>
      </w:r>
      <w:r>
        <w:rPr>
          <w:rFonts w:cs="Arial"/>
        </w:rPr>
        <w:t xml:space="preserve"> </w:t>
      </w:r>
      <w:r w:rsidRPr="00515080">
        <w:rPr>
          <w:rFonts w:cs="Arial"/>
        </w:rPr>
        <w:t>Four other programs in Bangladesh, China</w:t>
      </w:r>
      <w:r>
        <w:rPr>
          <w:rFonts w:cs="Arial"/>
        </w:rPr>
        <w:t>,</w:t>
      </w:r>
      <w:r w:rsidRPr="00515080">
        <w:rPr>
          <w:rFonts w:cs="Arial"/>
        </w:rPr>
        <w:t xml:space="preserve"> Jamaica and Venezuela </w:t>
      </w:r>
      <w:r>
        <w:rPr>
          <w:rFonts w:cs="Arial"/>
        </w:rPr>
        <w:t>were</w:t>
      </w:r>
      <w:r w:rsidRPr="00515080">
        <w:rPr>
          <w:rFonts w:cs="Arial"/>
        </w:rPr>
        <w:t xml:space="preserve"> in </w:t>
      </w:r>
      <w:r>
        <w:rPr>
          <w:rFonts w:cs="Arial"/>
        </w:rPr>
        <w:t>the process of being established</w:t>
      </w:r>
      <w:r w:rsidRPr="00515080">
        <w:rPr>
          <w:rFonts w:cs="Arial"/>
        </w:rPr>
        <w:t>.</w:t>
      </w:r>
      <w:r>
        <w:rPr>
          <w:rFonts w:cs="Arial"/>
        </w:rPr>
        <w:t xml:space="preserve"> In 2014, new partnership requests were received by the Academy and were examined in line with the new policy established in this respect.</w:t>
      </w:r>
    </w:p>
    <w:p w:rsidR="000548CA" w:rsidRPr="00B92955" w:rsidRDefault="000548CA" w:rsidP="00CE4C9D">
      <w:pPr>
        <w:autoSpaceDE w:val="0"/>
        <w:autoSpaceDN w:val="0"/>
        <w:adjustRightInd w:val="0"/>
        <w:jc w:val="both"/>
        <w:rPr>
          <w:rFonts w:eastAsiaTheme="minorHAnsi" w:cs="Arial"/>
          <w:color w:val="000000"/>
          <w:szCs w:val="20"/>
        </w:rPr>
      </w:pPr>
    </w:p>
    <w:p w:rsidR="000548CA" w:rsidRDefault="000548CA" w:rsidP="000548CA">
      <w:pPr>
        <w:pStyle w:val="ListParagraph"/>
        <w:numPr>
          <w:ilvl w:val="0"/>
          <w:numId w:val="99"/>
        </w:numPr>
        <w:tabs>
          <w:tab w:val="left" w:pos="709"/>
        </w:tabs>
        <w:autoSpaceDE w:val="0"/>
        <w:autoSpaceDN w:val="0"/>
        <w:adjustRightInd w:val="0"/>
        <w:ind w:left="0" w:firstLine="0"/>
        <w:jc w:val="both"/>
        <w:rPr>
          <w:rFonts w:eastAsiaTheme="minorHAnsi" w:cs="Arial"/>
        </w:rPr>
      </w:pPr>
      <w:r w:rsidRPr="00B92955">
        <w:rPr>
          <w:rFonts w:eastAsiaTheme="minorHAnsi" w:cs="Arial"/>
        </w:rPr>
        <w:t xml:space="preserve">The Academy organized nine sessions </w:t>
      </w:r>
      <w:r>
        <w:rPr>
          <w:rFonts w:eastAsiaTheme="minorHAnsi" w:cs="Arial"/>
        </w:rPr>
        <w:t xml:space="preserve">of the WIPO Summer School (WSS) Program </w:t>
      </w:r>
      <w:r w:rsidRPr="00B92955">
        <w:rPr>
          <w:rFonts w:eastAsiaTheme="minorHAnsi" w:cs="Arial"/>
        </w:rPr>
        <w:t xml:space="preserve">in three languages (English, Russian and Spanish) in cooperation with nine </w:t>
      </w:r>
      <w:r>
        <w:rPr>
          <w:rFonts w:eastAsiaTheme="minorHAnsi" w:cs="Arial"/>
        </w:rPr>
        <w:t xml:space="preserve">national institutions in </w:t>
      </w:r>
      <w:r w:rsidRPr="00B92955">
        <w:rPr>
          <w:rFonts w:eastAsiaTheme="minorHAnsi" w:cs="Arial"/>
        </w:rPr>
        <w:t xml:space="preserve">Chile, Croatia, Jamaica, Mexico, Republic of Korea, </w:t>
      </w:r>
      <w:r>
        <w:rPr>
          <w:rFonts w:eastAsiaTheme="minorHAnsi" w:cs="Arial"/>
        </w:rPr>
        <w:t xml:space="preserve">the </w:t>
      </w:r>
      <w:r w:rsidRPr="00B92955">
        <w:rPr>
          <w:rFonts w:eastAsiaTheme="minorHAnsi" w:cs="Arial"/>
        </w:rPr>
        <w:t>Russia</w:t>
      </w:r>
      <w:r>
        <w:rPr>
          <w:rFonts w:eastAsiaTheme="minorHAnsi" w:cs="Arial"/>
        </w:rPr>
        <w:t>n Federation</w:t>
      </w:r>
      <w:r w:rsidRPr="00B92955">
        <w:rPr>
          <w:rFonts w:eastAsiaTheme="minorHAnsi" w:cs="Arial"/>
        </w:rPr>
        <w:t>, Singapore</w:t>
      </w:r>
      <w:r>
        <w:rPr>
          <w:rFonts w:eastAsiaTheme="minorHAnsi" w:cs="Arial"/>
        </w:rPr>
        <w:t xml:space="preserve">, </w:t>
      </w:r>
      <w:r w:rsidRPr="00B92955">
        <w:rPr>
          <w:rFonts w:eastAsiaTheme="minorHAnsi" w:cs="Arial"/>
        </w:rPr>
        <w:t>South Africa</w:t>
      </w:r>
      <w:r>
        <w:rPr>
          <w:rFonts w:eastAsiaTheme="minorHAnsi" w:cs="Arial"/>
        </w:rPr>
        <w:t xml:space="preserve"> and Switzerland</w:t>
      </w:r>
      <w:r w:rsidRPr="00B92955">
        <w:rPr>
          <w:rFonts w:eastAsiaTheme="minorHAnsi" w:cs="Arial"/>
        </w:rPr>
        <w:t>.  In 2014,</w:t>
      </w:r>
      <w:r>
        <w:rPr>
          <w:rFonts w:eastAsiaTheme="minorHAnsi" w:cs="Arial"/>
        </w:rPr>
        <w:t xml:space="preserve"> some 352 participants participated in the WSS, with</w:t>
      </w:r>
      <w:r w:rsidRPr="00B92955">
        <w:rPr>
          <w:rFonts w:eastAsiaTheme="minorHAnsi" w:cs="Arial"/>
        </w:rPr>
        <w:t xml:space="preserve"> the majority of participants </w:t>
      </w:r>
      <w:r>
        <w:rPr>
          <w:rFonts w:eastAsiaTheme="minorHAnsi" w:cs="Arial"/>
        </w:rPr>
        <w:t xml:space="preserve">coming from </w:t>
      </w:r>
      <w:r w:rsidRPr="00B92955">
        <w:rPr>
          <w:rFonts w:eastAsiaTheme="minorHAnsi" w:cs="Arial"/>
        </w:rPr>
        <w:t xml:space="preserve">Latin America and </w:t>
      </w:r>
      <w:r>
        <w:rPr>
          <w:rFonts w:eastAsiaTheme="minorHAnsi" w:cs="Arial"/>
        </w:rPr>
        <w:t>t</w:t>
      </w:r>
      <w:r w:rsidRPr="00B92955">
        <w:rPr>
          <w:rFonts w:eastAsiaTheme="minorHAnsi" w:cs="Arial"/>
        </w:rPr>
        <w:t xml:space="preserve">he Caribbean (124 participants or 35 per cent), followed by participants in </w:t>
      </w:r>
      <w:r>
        <w:rPr>
          <w:rFonts w:eastAsiaTheme="minorHAnsi" w:cs="Arial"/>
        </w:rPr>
        <w:t xml:space="preserve">transition countries </w:t>
      </w:r>
      <w:r w:rsidRPr="00B92955">
        <w:rPr>
          <w:rFonts w:eastAsiaTheme="minorHAnsi" w:cs="Arial"/>
        </w:rPr>
        <w:t xml:space="preserve">(85 participants or 24 per cent), whilst participants from Asia and </w:t>
      </w:r>
      <w:r>
        <w:rPr>
          <w:rFonts w:eastAsiaTheme="minorHAnsi" w:cs="Arial"/>
        </w:rPr>
        <w:t xml:space="preserve">the </w:t>
      </w:r>
      <w:r w:rsidRPr="00B92955">
        <w:rPr>
          <w:rFonts w:eastAsiaTheme="minorHAnsi" w:cs="Arial"/>
        </w:rPr>
        <w:t>Pacific, Africa, the Arab region</w:t>
      </w:r>
      <w:r w:rsidRPr="00B92955" w:rsidDel="002C5044">
        <w:rPr>
          <w:rFonts w:eastAsiaTheme="minorHAnsi" w:cs="Arial"/>
        </w:rPr>
        <w:t xml:space="preserve"> </w:t>
      </w:r>
      <w:r>
        <w:rPr>
          <w:rFonts w:eastAsiaTheme="minorHAnsi" w:cs="Arial"/>
        </w:rPr>
        <w:t>and other countries</w:t>
      </w:r>
      <w:r w:rsidRPr="00B92955">
        <w:rPr>
          <w:rFonts w:eastAsiaTheme="minorHAnsi" w:cs="Arial"/>
        </w:rPr>
        <w:t xml:space="preserve"> accounted for 72 </w:t>
      </w:r>
      <w:r>
        <w:rPr>
          <w:rFonts w:eastAsiaTheme="minorHAnsi" w:cs="Arial"/>
        </w:rPr>
        <w:t>(</w:t>
      </w:r>
      <w:r w:rsidRPr="00B92955">
        <w:rPr>
          <w:rFonts w:eastAsiaTheme="minorHAnsi" w:cs="Arial"/>
        </w:rPr>
        <w:t xml:space="preserve">or 21 per cent), 39 (or 11 per cent), </w:t>
      </w:r>
      <w:r>
        <w:rPr>
          <w:rFonts w:eastAsiaTheme="minorHAnsi" w:cs="Arial"/>
        </w:rPr>
        <w:t>five</w:t>
      </w:r>
      <w:r w:rsidRPr="00B92955">
        <w:rPr>
          <w:rFonts w:eastAsiaTheme="minorHAnsi" w:cs="Arial"/>
        </w:rPr>
        <w:t xml:space="preserve"> </w:t>
      </w:r>
      <w:r>
        <w:rPr>
          <w:rFonts w:eastAsiaTheme="minorHAnsi" w:cs="Arial"/>
        </w:rPr>
        <w:t>(</w:t>
      </w:r>
      <w:r w:rsidRPr="00B92955">
        <w:rPr>
          <w:rFonts w:eastAsiaTheme="minorHAnsi" w:cs="Arial"/>
        </w:rPr>
        <w:t xml:space="preserve">or </w:t>
      </w:r>
      <w:r>
        <w:rPr>
          <w:rFonts w:eastAsiaTheme="minorHAnsi" w:cs="Arial"/>
        </w:rPr>
        <w:t>one</w:t>
      </w:r>
      <w:r w:rsidRPr="00B92955">
        <w:rPr>
          <w:rFonts w:eastAsiaTheme="minorHAnsi" w:cs="Arial"/>
        </w:rPr>
        <w:t xml:space="preserve"> per cent)</w:t>
      </w:r>
      <w:r>
        <w:rPr>
          <w:rFonts w:eastAsiaTheme="minorHAnsi" w:cs="Arial"/>
        </w:rPr>
        <w:t xml:space="preserve"> and </w:t>
      </w:r>
      <w:r w:rsidRPr="00B92955">
        <w:rPr>
          <w:rFonts w:eastAsiaTheme="minorHAnsi" w:cs="Arial"/>
        </w:rPr>
        <w:t xml:space="preserve">27 (or </w:t>
      </w:r>
      <w:r>
        <w:rPr>
          <w:rFonts w:eastAsiaTheme="minorHAnsi" w:cs="Arial"/>
        </w:rPr>
        <w:t>eight</w:t>
      </w:r>
      <w:r w:rsidRPr="00B92955">
        <w:rPr>
          <w:rFonts w:eastAsiaTheme="minorHAnsi" w:cs="Arial"/>
        </w:rPr>
        <w:t xml:space="preserve"> per cent) </w:t>
      </w:r>
      <w:r>
        <w:rPr>
          <w:rFonts w:eastAsiaTheme="minorHAnsi" w:cs="Arial"/>
        </w:rPr>
        <w:t xml:space="preserve">of </w:t>
      </w:r>
      <w:r w:rsidRPr="00B92955">
        <w:rPr>
          <w:rFonts w:eastAsiaTheme="minorHAnsi" w:cs="Arial"/>
        </w:rPr>
        <w:t xml:space="preserve">participants respectively.  Summer school sessions continued to be developed in rotation taking into consideration geographical balance.  </w:t>
      </w:r>
    </w:p>
    <w:p w:rsidR="000548CA" w:rsidRDefault="000548CA" w:rsidP="00CE4C9D">
      <w:pPr>
        <w:autoSpaceDE w:val="0"/>
        <w:autoSpaceDN w:val="0"/>
        <w:adjustRightInd w:val="0"/>
        <w:jc w:val="both"/>
        <w:rPr>
          <w:rFonts w:eastAsiaTheme="minorHAnsi" w:cs="Arial"/>
          <w:szCs w:val="20"/>
        </w:rPr>
      </w:pPr>
    </w:p>
    <w:p w:rsidR="000548CA" w:rsidRDefault="000548CA" w:rsidP="000548CA">
      <w:pPr>
        <w:pStyle w:val="ListParagraph"/>
        <w:numPr>
          <w:ilvl w:val="0"/>
          <w:numId w:val="99"/>
        </w:numPr>
        <w:tabs>
          <w:tab w:val="left" w:pos="709"/>
        </w:tabs>
        <w:autoSpaceDE w:val="0"/>
        <w:autoSpaceDN w:val="0"/>
        <w:adjustRightInd w:val="0"/>
        <w:ind w:left="0" w:firstLine="0"/>
        <w:jc w:val="both"/>
        <w:rPr>
          <w:rFonts w:cs="Arial"/>
          <w:bCs/>
        </w:rPr>
      </w:pPr>
      <w:r w:rsidRPr="008F6DAD">
        <w:rPr>
          <w:rFonts w:cs="Arial"/>
          <w:bCs/>
        </w:rPr>
        <w:t xml:space="preserve">The design, planning and implementation of activities by Program 11 </w:t>
      </w:r>
      <w:r>
        <w:rPr>
          <w:rFonts w:cs="Arial"/>
          <w:bCs/>
        </w:rPr>
        <w:t xml:space="preserve">continued to be </w:t>
      </w:r>
      <w:r w:rsidRPr="008F6DAD">
        <w:rPr>
          <w:rFonts w:cs="Arial"/>
          <w:bCs/>
        </w:rPr>
        <w:t>guided by the relevant DA Recommendations</w:t>
      </w:r>
      <w:r>
        <w:rPr>
          <w:rFonts w:cs="Arial"/>
          <w:bCs/>
        </w:rPr>
        <w:t xml:space="preserve"> in 2014</w:t>
      </w:r>
      <w:r w:rsidRPr="008F6DAD">
        <w:rPr>
          <w:rFonts w:cs="Arial"/>
          <w:bCs/>
        </w:rPr>
        <w:t xml:space="preserve">. </w:t>
      </w:r>
      <w:r>
        <w:rPr>
          <w:rFonts w:cs="Arial"/>
          <w:bCs/>
        </w:rPr>
        <w:t xml:space="preserve"> </w:t>
      </w:r>
      <w:r w:rsidRPr="008F6DAD">
        <w:rPr>
          <w:rFonts w:cs="Arial"/>
          <w:bCs/>
        </w:rPr>
        <w:t xml:space="preserve">The Academy programs were development-oriented and responsive to stakeholder demands (Recommendation 1) and sought to introduce IP at different academic levels with a view to generating greater public </w:t>
      </w:r>
      <w:r>
        <w:rPr>
          <w:rFonts w:cs="Arial"/>
          <w:bCs/>
        </w:rPr>
        <w:t>awareness on IP (Recommendation </w:t>
      </w:r>
      <w:r w:rsidRPr="008F6DAD">
        <w:rPr>
          <w:rFonts w:cs="Arial"/>
          <w:bCs/>
        </w:rPr>
        <w:t xml:space="preserve">3).  </w:t>
      </w:r>
      <w:r>
        <w:rPr>
          <w:rFonts w:cs="Arial"/>
          <w:bCs/>
        </w:rPr>
        <w:t>Prioritization of the DA principles is paramount to the design of the Academy’s reform process.</w:t>
      </w:r>
    </w:p>
    <w:p w:rsidR="000548CA" w:rsidRDefault="000548CA" w:rsidP="00CE4C9D">
      <w:pPr>
        <w:autoSpaceDE w:val="0"/>
        <w:autoSpaceDN w:val="0"/>
        <w:adjustRightInd w:val="0"/>
        <w:rPr>
          <w:rFonts w:eastAsiaTheme="minorHAnsi" w:cs="Arial"/>
          <w:color w:val="000000"/>
          <w:sz w:val="22"/>
          <w:szCs w:val="22"/>
        </w:rPr>
      </w:pPr>
    </w:p>
    <w:p w:rsidR="000548CA" w:rsidRDefault="000548CA" w:rsidP="000548CA">
      <w:pPr>
        <w:pStyle w:val="ListParagraph"/>
        <w:numPr>
          <w:ilvl w:val="0"/>
          <w:numId w:val="99"/>
        </w:numPr>
        <w:tabs>
          <w:tab w:val="left" w:pos="709"/>
        </w:tabs>
        <w:autoSpaceDE w:val="0"/>
        <w:autoSpaceDN w:val="0"/>
        <w:adjustRightInd w:val="0"/>
        <w:ind w:left="0" w:firstLine="0"/>
        <w:jc w:val="both"/>
        <w:rPr>
          <w:rFonts w:cs="Arial"/>
        </w:rPr>
      </w:pPr>
      <w:r>
        <w:rPr>
          <w:rFonts w:cs="Arial"/>
        </w:rPr>
        <w:t>In 2014, the start-up academies’ project was mainstreamed into the Academy’s regular budget.  The project focused on continuing cooperation with countries that had implementation delayed during the pilot phase for political reasons (Egypt and Tunisia) and in identifying new beneficiary countries.  Cooperation strategies were prepared for Cambodia, Costa Rica, Ecuador, Turkey and Bangladesh, taking into consideration recently established national IP strategies whenever available.</w:t>
      </w:r>
      <w:r w:rsidRPr="006D79DF">
        <w:rPr>
          <w:rFonts w:cs="Arial"/>
          <w:sz w:val="16"/>
          <w:szCs w:val="16"/>
          <w:lang w:bidi="th-TH"/>
        </w:rPr>
        <w:t xml:space="preserve"> </w:t>
      </w:r>
      <w:r>
        <w:rPr>
          <w:rFonts w:cs="Arial"/>
          <w:sz w:val="16"/>
          <w:szCs w:val="16"/>
          <w:lang w:bidi="th-TH"/>
        </w:rPr>
        <w:t xml:space="preserve"> </w:t>
      </w:r>
      <w:r w:rsidRPr="006D79DF">
        <w:rPr>
          <w:rFonts w:cs="Arial"/>
        </w:rPr>
        <w:t>Two new agreements were signed with the Governments of Cambodia and Ecuador for the establishment of start-up academies</w:t>
      </w:r>
      <w:r>
        <w:rPr>
          <w:rFonts w:cs="Arial"/>
        </w:rPr>
        <w:t xml:space="preserve"> </w:t>
      </w:r>
      <w:r w:rsidRPr="00A16BB9">
        <w:rPr>
          <w:rFonts w:cs="Arial"/>
        </w:rPr>
        <w:t>Cooperation was formally initiated with Ecuador in September, 2014.</w:t>
      </w:r>
      <w:r>
        <w:rPr>
          <w:rFonts w:cs="Arial"/>
        </w:rPr>
        <w:t>  An external independent evaluation report of the pilot phase was presented and approved at the fourteenth session of the CDIP.</w:t>
      </w:r>
    </w:p>
    <w:p w:rsidR="000548CA" w:rsidRDefault="000548CA" w:rsidP="00CE4C9D">
      <w:pPr>
        <w:autoSpaceDE w:val="0"/>
        <w:autoSpaceDN w:val="0"/>
        <w:adjustRightInd w:val="0"/>
        <w:rPr>
          <w:rFonts w:eastAsiaTheme="minorHAnsi" w:cs="Arial"/>
          <w:szCs w:val="20"/>
        </w:rPr>
      </w:pPr>
    </w:p>
    <w:p w:rsidR="000548CA" w:rsidRPr="00B92955" w:rsidRDefault="000548CA" w:rsidP="00CE4C9D">
      <w:pPr>
        <w:autoSpaceDE w:val="0"/>
        <w:autoSpaceDN w:val="0"/>
        <w:adjustRightInd w:val="0"/>
        <w:rPr>
          <w:rFonts w:eastAsiaTheme="minorHAnsi" w:cs="Arial"/>
          <w:szCs w:val="20"/>
        </w:rPr>
      </w:pPr>
    </w:p>
    <w:p w:rsidR="000548CA" w:rsidRPr="00CA7E6E" w:rsidRDefault="000548CA" w:rsidP="00CE4C9D">
      <w:pPr>
        <w:rPr>
          <w:rFonts w:cs="Arial"/>
          <w:sz w:val="22"/>
          <w:szCs w:val="22"/>
        </w:rPr>
      </w:pPr>
      <w:r w:rsidRPr="00CA7E6E">
        <w:rPr>
          <w:rFonts w:cs="Arial"/>
          <w:sz w:val="22"/>
          <w:szCs w:val="22"/>
        </w:rPr>
        <w:t>PERFORMANCE DATA</w:t>
      </w:r>
    </w:p>
    <w:p w:rsidR="000548CA" w:rsidRDefault="000548CA" w:rsidP="00CE4C9D">
      <w:pPr>
        <w:autoSpaceDE w:val="0"/>
        <w:autoSpaceDN w:val="0"/>
        <w:adjustRightInd w:val="0"/>
        <w:rPr>
          <w:rFonts w:eastAsiaTheme="minorHAnsi" w:cs="Arial"/>
          <w:color w:val="000000"/>
          <w:szCs w:val="20"/>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1983"/>
        <w:gridCol w:w="1560"/>
        <w:gridCol w:w="2834"/>
        <w:gridCol w:w="993"/>
      </w:tblGrid>
      <w:tr w:rsidR="000548CA" w:rsidRPr="00054B91" w:rsidTr="00CE4C9D">
        <w:tc>
          <w:tcPr>
            <w:tcW w:w="5000" w:type="pct"/>
            <w:gridSpan w:val="5"/>
            <w:tcBorders>
              <w:top w:val="single" w:sz="4" w:space="0" w:color="auto"/>
              <w:bottom w:val="single" w:sz="4" w:space="0" w:color="auto"/>
            </w:tcBorders>
            <w:shd w:val="clear" w:color="auto" w:fill="CCFFFF"/>
            <w:vAlign w:val="center"/>
          </w:tcPr>
          <w:p w:rsidR="000548CA" w:rsidRPr="00054B91" w:rsidRDefault="000548CA" w:rsidP="00CE4C9D">
            <w:pPr>
              <w:keepNext/>
              <w:keepLines/>
              <w:tabs>
                <w:tab w:val="left" w:pos="1452"/>
              </w:tabs>
              <w:spacing w:before="120" w:after="120"/>
              <w:ind w:left="1452" w:hanging="1452"/>
              <w:rPr>
                <w:rFonts w:cs="Arial"/>
                <w:b/>
                <w:bCs/>
                <w:sz w:val="16"/>
                <w:szCs w:val="16"/>
              </w:rPr>
            </w:pPr>
            <w:r w:rsidRPr="00054B91">
              <w:rPr>
                <w:rFonts w:cs="Arial"/>
                <w:b/>
                <w:bCs/>
                <w:sz w:val="16"/>
                <w:szCs w:val="16"/>
              </w:rPr>
              <w:t>Expected Result:</w:t>
            </w:r>
            <w:r w:rsidRPr="00054B91">
              <w:rPr>
                <w:rFonts w:cs="Arial"/>
                <w:b/>
                <w:bCs/>
                <w:sz w:val="16"/>
                <w:szCs w:val="16"/>
              </w:rPr>
              <w:tab/>
            </w:r>
            <w:r w:rsidRPr="00FC35A5">
              <w:rPr>
                <w:rFonts w:cs="Arial"/>
                <w:sz w:val="16"/>
                <w:szCs w:val="16"/>
              </w:rPr>
              <w:t>III.2 Enhanced human resource capacities able to deal with the broad range of requirements for the effective use of IP for development in developing countries, LDCs and countries with economies in transition</w:t>
            </w:r>
          </w:p>
        </w:tc>
      </w:tr>
      <w:tr w:rsidR="000548CA" w:rsidRPr="00054B91" w:rsidTr="000548CA">
        <w:tc>
          <w:tcPr>
            <w:tcW w:w="1120" w:type="pct"/>
            <w:tcBorders>
              <w:top w:val="single" w:sz="4" w:space="0" w:color="auto"/>
              <w:bottom w:val="nil"/>
            </w:tcBorders>
            <w:shd w:val="clear" w:color="auto" w:fill="auto"/>
            <w:vAlign w:val="center"/>
          </w:tcPr>
          <w:p w:rsidR="000548CA" w:rsidRPr="00054B91" w:rsidRDefault="000548CA" w:rsidP="00CE4C9D">
            <w:pPr>
              <w:rPr>
                <w:rFonts w:cs="Arial"/>
                <w:sz w:val="16"/>
                <w:szCs w:val="16"/>
              </w:rPr>
            </w:pPr>
            <w:r w:rsidRPr="00054B91">
              <w:rPr>
                <w:rFonts w:cs="Arial"/>
                <w:b/>
                <w:bCs/>
                <w:sz w:val="16"/>
                <w:szCs w:val="16"/>
              </w:rPr>
              <w:t>Performance Indicators</w:t>
            </w:r>
          </w:p>
        </w:tc>
        <w:tc>
          <w:tcPr>
            <w:tcW w:w="1044" w:type="pct"/>
            <w:tcBorders>
              <w:top w:val="single" w:sz="4" w:space="0" w:color="auto"/>
              <w:bottom w:val="nil"/>
            </w:tcBorders>
            <w:shd w:val="clear" w:color="auto" w:fill="auto"/>
            <w:vAlign w:val="center"/>
          </w:tcPr>
          <w:p w:rsidR="000548CA" w:rsidRPr="00054B91" w:rsidRDefault="000548CA" w:rsidP="00CE4C9D">
            <w:pPr>
              <w:rPr>
                <w:rFonts w:cs="Arial"/>
                <w:b/>
                <w:bCs/>
                <w:sz w:val="16"/>
                <w:szCs w:val="16"/>
              </w:rPr>
            </w:pPr>
            <w:r w:rsidRPr="00054B91">
              <w:rPr>
                <w:rFonts w:cs="Arial"/>
                <w:b/>
                <w:bCs/>
                <w:sz w:val="16"/>
                <w:szCs w:val="16"/>
              </w:rPr>
              <w:t>Baselines</w:t>
            </w:r>
          </w:p>
        </w:tc>
        <w:tc>
          <w:tcPr>
            <w:tcW w:w="821" w:type="pct"/>
            <w:tcBorders>
              <w:top w:val="single" w:sz="4" w:space="0" w:color="auto"/>
              <w:bottom w:val="nil"/>
            </w:tcBorders>
            <w:shd w:val="clear" w:color="auto" w:fill="auto"/>
            <w:tcMar>
              <w:top w:w="110" w:type="dxa"/>
            </w:tcMar>
            <w:vAlign w:val="center"/>
          </w:tcPr>
          <w:p w:rsidR="000548CA" w:rsidRPr="00054B91" w:rsidRDefault="000548CA" w:rsidP="00CE4C9D">
            <w:pPr>
              <w:rPr>
                <w:rFonts w:cs="Arial"/>
                <w:b/>
                <w:sz w:val="16"/>
                <w:szCs w:val="16"/>
              </w:rPr>
            </w:pPr>
            <w:r w:rsidRPr="00054B91">
              <w:rPr>
                <w:rFonts w:cs="Arial"/>
                <w:b/>
                <w:sz w:val="16"/>
                <w:szCs w:val="16"/>
              </w:rPr>
              <w:t>Targets</w:t>
            </w:r>
          </w:p>
        </w:tc>
        <w:tc>
          <w:tcPr>
            <w:tcW w:w="1492" w:type="pct"/>
            <w:tcBorders>
              <w:top w:val="single" w:sz="4" w:space="0" w:color="auto"/>
              <w:bottom w:val="nil"/>
            </w:tcBorders>
            <w:shd w:val="clear" w:color="auto" w:fill="FFFFFF"/>
            <w:tcMar>
              <w:top w:w="110" w:type="dxa"/>
            </w:tcMar>
            <w:vAlign w:val="center"/>
          </w:tcPr>
          <w:p w:rsidR="000548CA" w:rsidRPr="00054B91" w:rsidRDefault="000548CA" w:rsidP="00CE4C9D">
            <w:pPr>
              <w:rPr>
                <w:rFonts w:cs="Arial"/>
                <w:sz w:val="16"/>
                <w:szCs w:val="16"/>
              </w:rPr>
            </w:pPr>
            <w:r w:rsidRPr="00054B91">
              <w:rPr>
                <w:rFonts w:cs="Arial"/>
                <w:b/>
                <w:bCs/>
                <w:sz w:val="16"/>
                <w:szCs w:val="16"/>
              </w:rPr>
              <w:t>Performance Data</w:t>
            </w:r>
          </w:p>
        </w:tc>
        <w:tc>
          <w:tcPr>
            <w:tcW w:w="523" w:type="pct"/>
            <w:tcBorders>
              <w:top w:val="single" w:sz="4" w:space="0" w:color="auto"/>
              <w:bottom w:val="nil"/>
            </w:tcBorders>
            <w:shd w:val="clear" w:color="auto" w:fill="auto"/>
            <w:tcMar>
              <w:top w:w="110" w:type="dxa"/>
            </w:tcMar>
            <w:vAlign w:val="center"/>
          </w:tcPr>
          <w:p w:rsidR="000548CA" w:rsidRPr="00054B91" w:rsidRDefault="000548CA" w:rsidP="00CE4C9D">
            <w:pPr>
              <w:keepNext/>
              <w:keepLines/>
              <w:jc w:val="center"/>
              <w:rPr>
                <w:rFonts w:cs="Arial"/>
                <w:b/>
                <w:bCs/>
                <w:sz w:val="16"/>
                <w:szCs w:val="16"/>
              </w:rPr>
            </w:pPr>
            <w:r w:rsidRPr="00054B91">
              <w:rPr>
                <w:rFonts w:cs="Arial"/>
                <w:b/>
                <w:bCs/>
                <w:sz w:val="16"/>
                <w:szCs w:val="16"/>
              </w:rPr>
              <w:t>TLS</w:t>
            </w:r>
          </w:p>
        </w:tc>
      </w:tr>
      <w:tr w:rsidR="000548CA" w:rsidRPr="00054B91" w:rsidTr="000548CA">
        <w:tc>
          <w:tcPr>
            <w:tcW w:w="1120" w:type="pct"/>
            <w:tcBorders>
              <w:top w:val="nil"/>
              <w:bottom w:val="nil"/>
            </w:tcBorders>
            <w:shd w:val="clear" w:color="auto" w:fill="auto"/>
          </w:tcPr>
          <w:p w:rsidR="000548CA" w:rsidRPr="00054B91" w:rsidRDefault="000548CA" w:rsidP="00CE4C9D">
            <w:pPr>
              <w:rPr>
                <w:rFonts w:cs="Arial"/>
                <w:sz w:val="16"/>
                <w:szCs w:val="16"/>
              </w:rPr>
            </w:pPr>
            <w:r w:rsidRPr="00FC35A5">
              <w:rPr>
                <w:rFonts w:cs="Arial"/>
                <w:sz w:val="16"/>
                <w:szCs w:val="16"/>
              </w:rPr>
              <w:t>Revised Portfolio of training courses on IP for developing countries, LDCs and CETs / Relevance of content of training courses to capacity building requirements of developing countries, LDCs and CETs</w:t>
            </w:r>
          </w:p>
        </w:tc>
        <w:tc>
          <w:tcPr>
            <w:tcW w:w="1044" w:type="pct"/>
            <w:tcBorders>
              <w:top w:val="nil"/>
              <w:bottom w:val="nil"/>
            </w:tcBorders>
            <w:shd w:val="clear" w:color="auto" w:fill="auto"/>
          </w:tcPr>
          <w:p w:rsidR="000548CA" w:rsidRPr="00054B91" w:rsidRDefault="000548CA" w:rsidP="00CE4C9D">
            <w:pPr>
              <w:rPr>
                <w:rFonts w:cs="Arial"/>
                <w:sz w:val="16"/>
                <w:szCs w:val="16"/>
              </w:rPr>
            </w:pPr>
            <w:r w:rsidRPr="00FC35A5">
              <w:rPr>
                <w:rFonts w:cs="Arial"/>
                <w:sz w:val="16"/>
                <w:szCs w:val="16"/>
              </w:rPr>
              <w:t>Portfolio not revised on a global basis since establishment of Academy</w:t>
            </w:r>
          </w:p>
        </w:tc>
        <w:tc>
          <w:tcPr>
            <w:tcW w:w="821" w:type="pct"/>
            <w:tcBorders>
              <w:top w:val="nil"/>
              <w:bottom w:val="nil"/>
            </w:tcBorders>
            <w:shd w:val="clear" w:color="auto" w:fill="auto"/>
            <w:tcMar>
              <w:top w:w="110" w:type="dxa"/>
            </w:tcMar>
          </w:tcPr>
          <w:p w:rsidR="000548CA" w:rsidRPr="00054B91" w:rsidRDefault="000548CA" w:rsidP="00CE4C9D">
            <w:pPr>
              <w:autoSpaceDE w:val="0"/>
              <w:autoSpaceDN w:val="0"/>
              <w:adjustRightInd w:val="0"/>
              <w:rPr>
                <w:rFonts w:cs="Arial"/>
                <w:sz w:val="16"/>
                <w:szCs w:val="16"/>
              </w:rPr>
            </w:pPr>
            <w:r w:rsidRPr="00FC35A5">
              <w:rPr>
                <w:rFonts w:cs="Arial"/>
                <w:sz w:val="16"/>
                <w:szCs w:val="16"/>
              </w:rPr>
              <w:t>Revised Portfolio available by end of biennium</w:t>
            </w:r>
          </w:p>
        </w:tc>
        <w:tc>
          <w:tcPr>
            <w:tcW w:w="1492" w:type="pct"/>
            <w:tcBorders>
              <w:top w:val="nil"/>
              <w:bottom w:val="nil"/>
            </w:tcBorders>
            <w:shd w:val="clear" w:color="auto" w:fill="FFFFFF"/>
            <w:tcMar>
              <w:top w:w="110" w:type="dxa"/>
            </w:tcMar>
          </w:tcPr>
          <w:p w:rsidR="000548CA" w:rsidRPr="00054B91" w:rsidRDefault="000548CA" w:rsidP="00CE4C9D">
            <w:pPr>
              <w:rPr>
                <w:rFonts w:cs="Arial"/>
                <w:sz w:val="16"/>
                <w:szCs w:val="16"/>
              </w:rPr>
            </w:pPr>
            <w:r w:rsidRPr="00FC35A5">
              <w:rPr>
                <w:rFonts w:cs="Arial"/>
                <w:sz w:val="16"/>
                <w:szCs w:val="16"/>
                <w:lang w:bidi="th-TH"/>
              </w:rPr>
              <w:t>Consultation</w:t>
            </w:r>
            <w:r>
              <w:rPr>
                <w:rFonts w:cs="Arial"/>
                <w:sz w:val="16"/>
                <w:szCs w:val="16"/>
                <w:lang w:bidi="th-TH"/>
              </w:rPr>
              <w:t>s</w:t>
            </w:r>
            <w:r w:rsidRPr="00FC35A5">
              <w:rPr>
                <w:rFonts w:cs="Arial"/>
                <w:sz w:val="16"/>
                <w:szCs w:val="16"/>
                <w:lang w:bidi="th-TH"/>
              </w:rPr>
              <w:t xml:space="preserve"> with the Bureaus and preparation of the training needs assessment questionnaire</w:t>
            </w:r>
            <w:r>
              <w:rPr>
                <w:rFonts w:cs="Arial"/>
                <w:sz w:val="16"/>
                <w:szCs w:val="16"/>
                <w:lang w:bidi="th-TH"/>
              </w:rPr>
              <w:t xml:space="preserve"> for the revision of the training portfolio were underway in 2014.</w:t>
            </w:r>
          </w:p>
        </w:tc>
        <w:tc>
          <w:tcPr>
            <w:tcW w:w="523" w:type="pct"/>
            <w:tcBorders>
              <w:top w:val="nil"/>
              <w:bottom w:val="nil"/>
            </w:tcBorders>
            <w:shd w:val="clear" w:color="auto" w:fill="auto"/>
            <w:tcMar>
              <w:top w:w="110" w:type="dxa"/>
            </w:tcMar>
          </w:tcPr>
          <w:p w:rsidR="000548CA" w:rsidRPr="00FC35A5" w:rsidRDefault="000548CA" w:rsidP="00CE4C9D">
            <w:pPr>
              <w:keepNext/>
              <w:keepLines/>
              <w:jc w:val="center"/>
              <w:rPr>
                <w:rFonts w:cs="Arial"/>
                <w:b/>
                <w:bCs/>
                <w:color w:val="808080"/>
                <w:sz w:val="16"/>
                <w:szCs w:val="16"/>
              </w:rPr>
            </w:pPr>
            <w:r w:rsidRPr="00AA1E72">
              <w:rPr>
                <w:rFonts w:cs="Arial"/>
                <w:b/>
                <w:bCs/>
                <w:color w:val="00B050"/>
                <w:sz w:val="16"/>
                <w:szCs w:val="16"/>
              </w:rPr>
              <w:t>On track</w:t>
            </w:r>
          </w:p>
        </w:tc>
      </w:tr>
      <w:tr w:rsidR="000548CA" w:rsidRPr="00054B91" w:rsidTr="000548CA">
        <w:tc>
          <w:tcPr>
            <w:tcW w:w="1120" w:type="pct"/>
            <w:tcBorders>
              <w:top w:val="nil"/>
              <w:left w:val="single" w:sz="4" w:space="0" w:color="auto"/>
              <w:bottom w:val="single" w:sz="4" w:space="0" w:color="auto"/>
            </w:tcBorders>
            <w:shd w:val="clear" w:color="auto" w:fill="auto"/>
          </w:tcPr>
          <w:p w:rsidR="000548CA" w:rsidRPr="00AA6190" w:rsidRDefault="000548CA" w:rsidP="00CE4C9D">
            <w:pPr>
              <w:rPr>
                <w:rFonts w:cs="Arial"/>
                <w:sz w:val="16"/>
                <w:szCs w:val="16"/>
              </w:rPr>
            </w:pPr>
            <w:r w:rsidRPr="00AA6190">
              <w:rPr>
                <w:rFonts w:cs="Arial"/>
                <w:sz w:val="16"/>
                <w:szCs w:val="16"/>
              </w:rPr>
              <w:t>Enhanced and multilingual access to e-learning on various IP aspects for developing countries, LDC and CETs / Relevance of content of portfolio of e-learning courses to the capacity building requirements of developing countries, LDCs and CETs</w:t>
            </w:r>
          </w:p>
          <w:p w:rsidR="000548CA" w:rsidRPr="00AA6190" w:rsidRDefault="000548CA" w:rsidP="00CE4C9D">
            <w:pPr>
              <w:rPr>
                <w:rFonts w:cs="Arial"/>
                <w:sz w:val="16"/>
                <w:szCs w:val="16"/>
              </w:rPr>
            </w:pPr>
          </w:p>
        </w:tc>
        <w:tc>
          <w:tcPr>
            <w:tcW w:w="1044" w:type="pct"/>
            <w:tcBorders>
              <w:top w:val="nil"/>
              <w:bottom w:val="single" w:sz="4" w:space="0" w:color="auto"/>
            </w:tcBorders>
            <w:shd w:val="clear" w:color="auto" w:fill="auto"/>
          </w:tcPr>
          <w:p w:rsidR="000548CA" w:rsidRPr="00AA6190" w:rsidRDefault="000548CA" w:rsidP="00CE4C9D">
            <w:pPr>
              <w:rPr>
                <w:rFonts w:cs="Arial"/>
                <w:color w:val="002060"/>
                <w:sz w:val="16"/>
                <w:szCs w:val="16"/>
              </w:rPr>
            </w:pPr>
            <w:r w:rsidRPr="00AA6190">
              <w:rPr>
                <w:rFonts w:cs="Arial"/>
                <w:i/>
                <w:color w:val="002060"/>
                <w:sz w:val="16"/>
                <w:szCs w:val="16"/>
              </w:rPr>
              <w:t xml:space="preserve">Updated Baseline end 2013:  </w:t>
            </w:r>
          </w:p>
          <w:p w:rsidR="000548CA" w:rsidRPr="00AA6190" w:rsidRDefault="000548CA" w:rsidP="00CE4C9D">
            <w:pPr>
              <w:rPr>
                <w:rFonts w:cs="Arial"/>
                <w:color w:val="002060"/>
                <w:sz w:val="16"/>
                <w:szCs w:val="16"/>
              </w:rPr>
            </w:pPr>
            <w:r w:rsidRPr="00AA6190">
              <w:rPr>
                <w:rFonts w:cs="Arial"/>
                <w:color w:val="002060"/>
                <w:sz w:val="16"/>
                <w:szCs w:val="16"/>
              </w:rPr>
              <w:t>In 2013:</w:t>
            </w:r>
          </w:p>
          <w:p w:rsidR="000548CA" w:rsidRPr="00AA6190" w:rsidRDefault="000548CA" w:rsidP="000548CA">
            <w:pPr>
              <w:pStyle w:val="ListParagraph"/>
              <w:numPr>
                <w:ilvl w:val="0"/>
                <w:numId w:val="96"/>
              </w:numPr>
              <w:rPr>
                <w:rFonts w:cs="Arial"/>
                <w:color w:val="002060"/>
                <w:sz w:val="16"/>
                <w:szCs w:val="16"/>
              </w:rPr>
            </w:pPr>
            <w:r w:rsidRPr="00AA6190">
              <w:rPr>
                <w:rFonts w:cs="Arial"/>
                <w:color w:val="002060"/>
                <w:sz w:val="16"/>
                <w:szCs w:val="16"/>
              </w:rPr>
              <w:t>5 DL courses were available in all 6 UN languages plus Portuguese;</w:t>
            </w:r>
          </w:p>
          <w:p w:rsidR="000548CA" w:rsidRPr="00AA6190" w:rsidRDefault="000548CA" w:rsidP="000548CA">
            <w:pPr>
              <w:pStyle w:val="ListParagraph"/>
              <w:numPr>
                <w:ilvl w:val="0"/>
                <w:numId w:val="96"/>
              </w:numPr>
              <w:rPr>
                <w:rFonts w:cs="Arial"/>
                <w:color w:val="002060"/>
                <w:sz w:val="16"/>
                <w:szCs w:val="16"/>
              </w:rPr>
            </w:pPr>
            <w:r w:rsidRPr="00AA6190">
              <w:rPr>
                <w:rFonts w:cs="Arial"/>
                <w:color w:val="002060"/>
                <w:sz w:val="16"/>
                <w:szCs w:val="16"/>
              </w:rPr>
              <w:t>2 DL courses were available in 5 UN languages plus Portuguese ;</w:t>
            </w:r>
          </w:p>
          <w:p w:rsidR="000548CA" w:rsidRPr="00AA6190" w:rsidRDefault="000548CA" w:rsidP="000548CA">
            <w:pPr>
              <w:pStyle w:val="ListParagraph"/>
              <w:numPr>
                <w:ilvl w:val="0"/>
                <w:numId w:val="96"/>
              </w:numPr>
              <w:rPr>
                <w:rFonts w:cs="Arial"/>
                <w:color w:val="002060"/>
                <w:sz w:val="16"/>
                <w:szCs w:val="16"/>
              </w:rPr>
            </w:pPr>
            <w:r w:rsidRPr="00AA6190">
              <w:rPr>
                <w:rFonts w:cs="Arial"/>
                <w:color w:val="002060"/>
                <w:sz w:val="16"/>
                <w:szCs w:val="16"/>
              </w:rPr>
              <w:t>1 course was available in 4 UN languages plus Portuguese; and</w:t>
            </w:r>
          </w:p>
          <w:p w:rsidR="000548CA" w:rsidRPr="00AA6190" w:rsidRDefault="000548CA" w:rsidP="000548CA">
            <w:pPr>
              <w:pStyle w:val="ListParagraph"/>
              <w:numPr>
                <w:ilvl w:val="0"/>
                <w:numId w:val="96"/>
              </w:numPr>
              <w:rPr>
                <w:rFonts w:cs="Arial"/>
                <w:color w:val="002060"/>
                <w:sz w:val="16"/>
                <w:szCs w:val="16"/>
              </w:rPr>
            </w:pPr>
            <w:r w:rsidRPr="00AA6190">
              <w:rPr>
                <w:rFonts w:cs="Arial"/>
                <w:color w:val="002060"/>
                <w:sz w:val="16"/>
                <w:szCs w:val="16"/>
              </w:rPr>
              <w:t xml:space="preserve">4 DL courses available in only English. </w:t>
            </w:r>
          </w:p>
          <w:p w:rsidR="000548CA" w:rsidRDefault="000548CA" w:rsidP="000548CA">
            <w:pPr>
              <w:rPr>
                <w:rFonts w:cs="Arial"/>
                <w:sz w:val="16"/>
                <w:szCs w:val="16"/>
                <w:lang w:bidi="th-TH"/>
              </w:rPr>
            </w:pPr>
          </w:p>
          <w:p w:rsidR="000548CA" w:rsidRPr="00AA6190" w:rsidRDefault="000548CA" w:rsidP="000548CA">
            <w:pPr>
              <w:rPr>
                <w:rFonts w:cs="Arial"/>
                <w:i/>
                <w:color w:val="002060"/>
                <w:sz w:val="16"/>
                <w:szCs w:val="16"/>
              </w:rPr>
            </w:pPr>
            <w:r w:rsidRPr="00AD4AC1">
              <w:rPr>
                <w:rFonts w:cs="Arial"/>
                <w:sz w:val="16"/>
                <w:szCs w:val="16"/>
                <w:lang w:bidi="th-TH"/>
              </w:rPr>
              <w:t xml:space="preserve">70% of participants </w:t>
            </w:r>
            <w:r w:rsidRPr="00AD4AC1">
              <w:rPr>
                <w:sz w:val="16"/>
                <w:szCs w:val="16"/>
              </w:rPr>
              <w:t>in the advanced courses</w:t>
            </w:r>
            <w:r w:rsidRPr="00AD4AC1">
              <w:rPr>
                <w:rFonts w:cs="Arial"/>
                <w:sz w:val="16"/>
                <w:szCs w:val="16"/>
                <w:lang w:bidi="th-TH"/>
              </w:rPr>
              <w:t xml:space="preserve"> indicated their professional and/or academic performance improved as a result of participation in the DL course.</w:t>
            </w:r>
          </w:p>
        </w:tc>
        <w:tc>
          <w:tcPr>
            <w:tcW w:w="821" w:type="pct"/>
            <w:tcBorders>
              <w:top w:val="nil"/>
              <w:bottom w:val="single" w:sz="4" w:space="0" w:color="auto"/>
            </w:tcBorders>
            <w:shd w:val="clear" w:color="auto" w:fill="auto"/>
            <w:tcMar>
              <w:top w:w="110" w:type="dxa"/>
            </w:tcMar>
          </w:tcPr>
          <w:p w:rsidR="000548CA" w:rsidRPr="00AA6190" w:rsidRDefault="000548CA" w:rsidP="00CE4C9D">
            <w:pPr>
              <w:autoSpaceDE w:val="0"/>
              <w:autoSpaceDN w:val="0"/>
              <w:adjustRightInd w:val="0"/>
              <w:rPr>
                <w:rFonts w:cs="Arial"/>
                <w:sz w:val="16"/>
                <w:szCs w:val="16"/>
              </w:rPr>
            </w:pPr>
            <w:r w:rsidRPr="00AA6190">
              <w:rPr>
                <w:rFonts w:cs="Arial"/>
                <w:sz w:val="16"/>
                <w:szCs w:val="16"/>
              </w:rPr>
              <w:t>All courses available in all UN languages</w:t>
            </w:r>
          </w:p>
        </w:tc>
        <w:tc>
          <w:tcPr>
            <w:tcW w:w="1492" w:type="pct"/>
            <w:tcBorders>
              <w:top w:val="nil"/>
              <w:bottom w:val="single" w:sz="4" w:space="0" w:color="auto"/>
            </w:tcBorders>
            <w:shd w:val="clear" w:color="auto" w:fill="FFFFFF"/>
            <w:tcMar>
              <w:top w:w="110" w:type="dxa"/>
            </w:tcMar>
          </w:tcPr>
          <w:p w:rsidR="000548CA" w:rsidRPr="00AA6190" w:rsidRDefault="000548CA" w:rsidP="00CE4C9D">
            <w:pPr>
              <w:rPr>
                <w:rFonts w:cs="Arial"/>
                <w:sz w:val="16"/>
                <w:szCs w:val="16"/>
                <w:lang w:bidi="th-TH"/>
              </w:rPr>
            </w:pPr>
            <w:r w:rsidRPr="00AA6190">
              <w:rPr>
                <w:rFonts w:cs="Arial"/>
                <w:sz w:val="16"/>
                <w:szCs w:val="16"/>
                <w:lang w:bidi="th-TH"/>
              </w:rPr>
              <w:t>In 2014:</w:t>
            </w:r>
          </w:p>
          <w:p w:rsidR="000548CA" w:rsidRPr="00AA6190" w:rsidRDefault="000548CA" w:rsidP="000548CA">
            <w:pPr>
              <w:pStyle w:val="ListParagraph"/>
              <w:numPr>
                <w:ilvl w:val="0"/>
                <w:numId w:val="95"/>
              </w:numPr>
              <w:rPr>
                <w:rFonts w:cs="Arial"/>
                <w:sz w:val="16"/>
                <w:szCs w:val="16"/>
                <w:lang w:bidi="th-TH"/>
              </w:rPr>
            </w:pPr>
            <w:r w:rsidRPr="00AA6190">
              <w:rPr>
                <w:rFonts w:cs="Arial"/>
                <w:sz w:val="16"/>
                <w:szCs w:val="16"/>
                <w:lang w:bidi="th-TH"/>
              </w:rPr>
              <w:t>9 DL courses were available in all 6 UN languages plus Portuguese;</w:t>
            </w:r>
          </w:p>
          <w:p w:rsidR="000548CA" w:rsidRPr="00AA6190" w:rsidRDefault="000548CA" w:rsidP="000548CA">
            <w:pPr>
              <w:pStyle w:val="ListParagraph"/>
              <w:numPr>
                <w:ilvl w:val="0"/>
                <w:numId w:val="95"/>
              </w:numPr>
              <w:rPr>
                <w:rFonts w:cs="Arial"/>
                <w:sz w:val="16"/>
                <w:szCs w:val="16"/>
                <w:lang w:val="fr-CH" w:bidi="th-TH"/>
              </w:rPr>
            </w:pPr>
            <w:r w:rsidRPr="00AA6190">
              <w:rPr>
                <w:rFonts w:cs="Arial"/>
                <w:sz w:val="16"/>
                <w:szCs w:val="16"/>
                <w:lang w:val="fr-CH" w:bidi="th-TH"/>
              </w:rPr>
              <w:t xml:space="preserve">1 DL course </w:t>
            </w:r>
            <w:proofErr w:type="spellStart"/>
            <w:r w:rsidRPr="00AA6190">
              <w:rPr>
                <w:rFonts w:cs="Arial"/>
                <w:sz w:val="16"/>
                <w:szCs w:val="16"/>
                <w:lang w:val="fr-CH" w:bidi="th-TH"/>
              </w:rPr>
              <w:t>was</w:t>
            </w:r>
            <w:proofErr w:type="spellEnd"/>
            <w:r w:rsidRPr="00AA6190">
              <w:rPr>
                <w:rFonts w:cs="Arial"/>
                <w:sz w:val="16"/>
                <w:szCs w:val="16"/>
                <w:lang w:val="fr-CH" w:bidi="th-TH"/>
              </w:rPr>
              <w:t xml:space="preserve"> </w:t>
            </w:r>
            <w:r w:rsidRPr="00AA6190">
              <w:rPr>
                <w:rFonts w:cs="Arial"/>
                <w:sz w:val="16"/>
                <w:szCs w:val="16"/>
                <w:lang w:bidi="th-TH"/>
              </w:rPr>
              <w:t>available</w:t>
            </w:r>
            <w:r w:rsidRPr="00AA6190">
              <w:rPr>
                <w:rFonts w:cs="Arial"/>
                <w:sz w:val="16"/>
                <w:szCs w:val="16"/>
                <w:lang w:val="fr-CH" w:bidi="th-TH"/>
              </w:rPr>
              <w:t xml:space="preserve"> </w:t>
            </w:r>
            <w:r w:rsidRPr="00AA6190">
              <w:rPr>
                <w:rFonts w:cs="Arial"/>
                <w:sz w:val="16"/>
                <w:szCs w:val="16"/>
                <w:lang w:bidi="th-TH"/>
              </w:rPr>
              <w:t>in</w:t>
            </w:r>
            <w:r w:rsidRPr="00AA6190">
              <w:rPr>
                <w:rFonts w:cs="Arial"/>
                <w:sz w:val="16"/>
                <w:szCs w:val="16"/>
                <w:lang w:val="fr-CH" w:bidi="th-TH"/>
              </w:rPr>
              <w:t xml:space="preserve"> 5 UN </w:t>
            </w:r>
            <w:proofErr w:type="spellStart"/>
            <w:r w:rsidRPr="00AA6190">
              <w:rPr>
                <w:rFonts w:cs="Arial"/>
                <w:sz w:val="16"/>
                <w:szCs w:val="16"/>
                <w:lang w:val="fr-CH" w:bidi="th-TH"/>
              </w:rPr>
              <w:t>languages</w:t>
            </w:r>
            <w:proofErr w:type="spellEnd"/>
            <w:r w:rsidRPr="00AA6190">
              <w:rPr>
                <w:rFonts w:cs="Arial"/>
                <w:sz w:val="16"/>
                <w:szCs w:val="16"/>
                <w:lang w:val="fr-CH" w:bidi="th-TH"/>
              </w:rPr>
              <w:t xml:space="preserve"> plus </w:t>
            </w:r>
            <w:proofErr w:type="spellStart"/>
            <w:r w:rsidRPr="00AA6190">
              <w:rPr>
                <w:rFonts w:cs="Arial"/>
                <w:sz w:val="16"/>
                <w:szCs w:val="16"/>
                <w:lang w:val="fr-CH" w:bidi="th-TH"/>
              </w:rPr>
              <w:t>Portuguese</w:t>
            </w:r>
            <w:proofErr w:type="spellEnd"/>
            <w:r w:rsidRPr="00AA6190">
              <w:rPr>
                <w:rFonts w:cs="Arial"/>
                <w:sz w:val="16"/>
                <w:szCs w:val="16"/>
                <w:lang w:val="fr-CH" w:bidi="th-TH"/>
              </w:rPr>
              <w:t> ;</w:t>
            </w:r>
          </w:p>
          <w:p w:rsidR="000548CA" w:rsidRPr="00AA6190" w:rsidRDefault="000548CA" w:rsidP="000548CA">
            <w:pPr>
              <w:pStyle w:val="ListParagraph"/>
              <w:numPr>
                <w:ilvl w:val="0"/>
                <w:numId w:val="95"/>
              </w:numPr>
              <w:rPr>
                <w:rFonts w:cs="Arial"/>
                <w:sz w:val="16"/>
                <w:szCs w:val="16"/>
                <w:lang w:bidi="th-TH"/>
              </w:rPr>
            </w:pPr>
            <w:r w:rsidRPr="00AA6190">
              <w:rPr>
                <w:rFonts w:cs="Arial"/>
                <w:sz w:val="16"/>
                <w:szCs w:val="16"/>
                <w:lang w:bidi="th-TH"/>
              </w:rPr>
              <w:t>1 course was available in 3 UN languages; and</w:t>
            </w:r>
          </w:p>
          <w:p w:rsidR="000548CA" w:rsidRPr="00AA6190" w:rsidRDefault="000548CA" w:rsidP="000548CA">
            <w:pPr>
              <w:pStyle w:val="ListParagraph"/>
              <w:numPr>
                <w:ilvl w:val="0"/>
                <w:numId w:val="95"/>
              </w:numPr>
              <w:rPr>
                <w:rFonts w:cs="Arial"/>
                <w:sz w:val="16"/>
                <w:szCs w:val="16"/>
                <w:lang w:bidi="th-TH"/>
              </w:rPr>
            </w:pPr>
            <w:r w:rsidRPr="00AA6190">
              <w:rPr>
                <w:rFonts w:cs="Arial"/>
                <w:sz w:val="16"/>
                <w:szCs w:val="16"/>
                <w:lang w:bidi="th-TH"/>
              </w:rPr>
              <w:t>1 DL course available in only English (DL 401 is expected to be replaced by DL 501-Collective Management of Copyright and Related Rights in 2015).</w:t>
            </w:r>
            <w:r w:rsidRPr="00AA6190">
              <w:rPr>
                <w:rStyle w:val="FootnoteReference"/>
                <w:rFonts w:cs="Arial"/>
                <w:sz w:val="16"/>
                <w:szCs w:val="16"/>
                <w:lang w:bidi="th-TH"/>
              </w:rPr>
              <w:footnoteReference w:id="36"/>
            </w:r>
          </w:p>
          <w:p w:rsidR="000548CA" w:rsidRPr="00AA6190" w:rsidRDefault="000548CA" w:rsidP="00CE4C9D">
            <w:pPr>
              <w:rPr>
                <w:rFonts w:cs="Arial"/>
                <w:sz w:val="16"/>
                <w:szCs w:val="16"/>
                <w:lang w:bidi="th-TH"/>
              </w:rPr>
            </w:pPr>
          </w:p>
          <w:p w:rsidR="000548CA" w:rsidRPr="00AA6190" w:rsidRDefault="000548CA" w:rsidP="00CE4C9D">
            <w:pPr>
              <w:rPr>
                <w:rFonts w:cs="Arial"/>
                <w:sz w:val="16"/>
                <w:szCs w:val="16"/>
                <w:lang w:bidi="th-TH"/>
              </w:rPr>
            </w:pPr>
            <w:r w:rsidRPr="00AD4AC1">
              <w:rPr>
                <w:rFonts w:cs="Arial"/>
                <w:sz w:val="16"/>
                <w:szCs w:val="16"/>
                <w:lang w:bidi="th-TH"/>
              </w:rPr>
              <w:t xml:space="preserve">78% of participants </w:t>
            </w:r>
            <w:r w:rsidRPr="00AD4AC1">
              <w:rPr>
                <w:sz w:val="16"/>
                <w:szCs w:val="16"/>
              </w:rPr>
              <w:t>in the advanced courses</w:t>
            </w:r>
            <w:r w:rsidRPr="00AD4AC1">
              <w:rPr>
                <w:rFonts w:cs="Arial"/>
                <w:sz w:val="16"/>
                <w:szCs w:val="16"/>
                <w:lang w:bidi="th-TH"/>
              </w:rPr>
              <w:t xml:space="preserve"> indicated their professional and/or academic performance improved as a result of participation in the DL course.</w:t>
            </w:r>
          </w:p>
        </w:tc>
        <w:tc>
          <w:tcPr>
            <w:tcW w:w="523" w:type="pct"/>
            <w:tcBorders>
              <w:top w:val="nil"/>
              <w:bottom w:val="single" w:sz="4" w:space="0" w:color="auto"/>
              <w:right w:val="single" w:sz="4" w:space="0" w:color="auto"/>
            </w:tcBorders>
            <w:shd w:val="clear" w:color="auto" w:fill="auto"/>
            <w:tcMar>
              <w:top w:w="110" w:type="dxa"/>
            </w:tcMar>
          </w:tcPr>
          <w:p w:rsidR="000548CA" w:rsidRPr="00AA1E72" w:rsidRDefault="000548CA" w:rsidP="00CE4C9D">
            <w:pPr>
              <w:jc w:val="center"/>
              <w:rPr>
                <w:rFonts w:cs="Arial"/>
                <w:b/>
                <w:bCs/>
                <w:color w:val="00B050"/>
                <w:sz w:val="16"/>
                <w:szCs w:val="16"/>
              </w:rPr>
            </w:pPr>
            <w:r w:rsidRPr="001C7F3D">
              <w:rPr>
                <w:rFonts w:cs="Arial"/>
                <w:b/>
                <w:bCs/>
                <w:color w:val="00B050"/>
                <w:sz w:val="16"/>
                <w:szCs w:val="16"/>
              </w:rPr>
              <w:t>On track</w:t>
            </w:r>
          </w:p>
        </w:tc>
      </w:tr>
    </w:tbl>
    <w:p w:rsidR="00163084" w:rsidRDefault="00163084">
      <w:r>
        <w:br w:type="page"/>
      </w: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1983"/>
        <w:gridCol w:w="1560"/>
        <w:gridCol w:w="2834"/>
        <w:gridCol w:w="993"/>
      </w:tblGrid>
      <w:tr w:rsidR="000548CA" w:rsidRPr="00054B91" w:rsidTr="000548CA">
        <w:tc>
          <w:tcPr>
            <w:tcW w:w="1120" w:type="pct"/>
            <w:tcBorders>
              <w:top w:val="single" w:sz="4" w:space="0" w:color="auto"/>
              <w:left w:val="single" w:sz="4" w:space="0" w:color="auto"/>
              <w:bottom w:val="nil"/>
            </w:tcBorders>
            <w:shd w:val="clear" w:color="auto" w:fill="auto"/>
            <w:vAlign w:val="center"/>
          </w:tcPr>
          <w:p w:rsidR="000548CA" w:rsidRPr="00054B91" w:rsidRDefault="000548CA" w:rsidP="00CE4C9D">
            <w:pPr>
              <w:rPr>
                <w:rFonts w:cs="Arial"/>
                <w:sz w:val="16"/>
                <w:szCs w:val="16"/>
              </w:rPr>
            </w:pPr>
            <w:r w:rsidRPr="00054B91">
              <w:rPr>
                <w:rFonts w:cs="Arial"/>
                <w:b/>
                <w:bCs/>
                <w:sz w:val="16"/>
                <w:szCs w:val="16"/>
              </w:rPr>
              <w:lastRenderedPageBreak/>
              <w:t>Performance Indicators</w:t>
            </w:r>
          </w:p>
        </w:tc>
        <w:tc>
          <w:tcPr>
            <w:tcW w:w="1044" w:type="pct"/>
            <w:tcBorders>
              <w:top w:val="single" w:sz="4" w:space="0" w:color="auto"/>
              <w:bottom w:val="nil"/>
            </w:tcBorders>
            <w:shd w:val="clear" w:color="auto" w:fill="auto"/>
            <w:vAlign w:val="center"/>
          </w:tcPr>
          <w:p w:rsidR="000548CA" w:rsidRPr="00054B91" w:rsidRDefault="000548CA" w:rsidP="00CE4C9D">
            <w:pPr>
              <w:rPr>
                <w:rFonts w:cs="Arial"/>
                <w:b/>
                <w:bCs/>
                <w:sz w:val="16"/>
                <w:szCs w:val="16"/>
              </w:rPr>
            </w:pPr>
            <w:r w:rsidRPr="00054B91">
              <w:rPr>
                <w:rFonts w:cs="Arial"/>
                <w:b/>
                <w:bCs/>
                <w:sz w:val="16"/>
                <w:szCs w:val="16"/>
              </w:rPr>
              <w:t>Baselines</w:t>
            </w:r>
          </w:p>
        </w:tc>
        <w:tc>
          <w:tcPr>
            <w:tcW w:w="821" w:type="pct"/>
            <w:tcBorders>
              <w:top w:val="single" w:sz="4" w:space="0" w:color="auto"/>
              <w:bottom w:val="nil"/>
            </w:tcBorders>
            <w:shd w:val="clear" w:color="auto" w:fill="auto"/>
            <w:tcMar>
              <w:top w:w="110" w:type="dxa"/>
            </w:tcMar>
            <w:vAlign w:val="center"/>
          </w:tcPr>
          <w:p w:rsidR="000548CA" w:rsidRPr="00054B91" w:rsidRDefault="000548CA" w:rsidP="00CE4C9D">
            <w:pPr>
              <w:rPr>
                <w:rFonts w:cs="Arial"/>
                <w:b/>
                <w:sz w:val="16"/>
                <w:szCs w:val="16"/>
              </w:rPr>
            </w:pPr>
            <w:r w:rsidRPr="00054B91">
              <w:rPr>
                <w:rFonts w:cs="Arial"/>
                <w:b/>
                <w:sz w:val="16"/>
                <w:szCs w:val="16"/>
              </w:rPr>
              <w:t>Targets</w:t>
            </w:r>
          </w:p>
        </w:tc>
        <w:tc>
          <w:tcPr>
            <w:tcW w:w="1492" w:type="pct"/>
            <w:tcBorders>
              <w:top w:val="single" w:sz="4" w:space="0" w:color="auto"/>
              <w:bottom w:val="nil"/>
            </w:tcBorders>
            <w:shd w:val="clear" w:color="auto" w:fill="FFFFFF"/>
            <w:tcMar>
              <w:top w:w="110" w:type="dxa"/>
            </w:tcMar>
            <w:vAlign w:val="center"/>
          </w:tcPr>
          <w:p w:rsidR="000548CA" w:rsidRPr="00054B91" w:rsidRDefault="000548CA" w:rsidP="00CE4C9D">
            <w:pPr>
              <w:rPr>
                <w:rFonts w:cs="Arial"/>
                <w:sz w:val="16"/>
                <w:szCs w:val="16"/>
              </w:rPr>
            </w:pPr>
            <w:r w:rsidRPr="00054B91">
              <w:rPr>
                <w:rFonts w:cs="Arial"/>
                <w:b/>
                <w:bCs/>
                <w:sz w:val="16"/>
                <w:szCs w:val="16"/>
              </w:rPr>
              <w:t>Performance Data</w:t>
            </w:r>
          </w:p>
        </w:tc>
        <w:tc>
          <w:tcPr>
            <w:tcW w:w="523" w:type="pct"/>
            <w:tcBorders>
              <w:top w:val="single" w:sz="4" w:space="0" w:color="auto"/>
              <w:bottom w:val="nil"/>
              <w:right w:val="single" w:sz="4" w:space="0" w:color="auto"/>
            </w:tcBorders>
            <w:shd w:val="clear" w:color="auto" w:fill="auto"/>
            <w:tcMar>
              <w:top w:w="110" w:type="dxa"/>
            </w:tcMar>
            <w:vAlign w:val="center"/>
          </w:tcPr>
          <w:p w:rsidR="000548CA" w:rsidRPr="00054B91" w:rsidRDefault="000548CA" w:rsidP="00CE4C9D">
            <w:pPr>
              <w:keepNext/>
              <w:keepLines/>
              <w:jc w:val="center"/>
              <w:rPr>
                <w:rFonts w:cs="Arial"/>
                <w:b/>
                <w:bCs/>
                <w:sz w:val="16"/>
                <w:szCs w:val="16"/>
              </w:rPr>
            </w:pPr>
            <w:r w:rsidRPr="00054B91">
              <w:rPr>
                <w:rFonts w:cs="Arial"/>
                <w:b/>
                <w:bCs/>
                <w:sz w:val="16"/>
                <w:szCs w:val="16"/>
              </w:rPr>
              <w:t>TLS</w:t>
            </w:r>
          </w:p>
        </w:tc>
      </w:tr>
      <w:tr w:rsidR="000548CA" w:rsidRPr="00054B91" w:rsidTr="000548CA">
        <w:tc>
          <w:tcPr>
            <w:tcW w:w="1120" w:type="pct"/>
            <w:tcBorders>
              <w:top w:val="nil"/>
              <w:left w:val="single" w:sz="4" w:space="0" w:color="auto"/>
              <w:bottom w:val="nil"/>
            </w:tcBorders>
            <w:shd w:val="clear" w:color="auto" w:fill="auto"/>
          </w:tcPr>
          <w:p w:rsidR="000548CA" w:rsidRPr="00AA6190" w:rsidRDefault="000548CA" w:rsidP="00CE4C9D">
            <w:pPr>
              <w:rPr>
                <w:rFonts w:cs="Arial"/>
                <w:sz w:val="16"/>
                <w:szCs w:val="16"/>
              </w:rPr>
            </w:pPr>
          </w:p>
        </w:tc>
        <w:tc>
          <w:tcPr>
            <w:tcW w:w="1044" w:type="pct"/>
            <w:tcBorders>
              <w:top w:val="nil"/>
              <w:bottom w:val="nil"/>
            </w:tcBorders>
            <w:shd w:val="clear" w:color="auto" w:fill="auto"/>
          </w:tcPr>
          <w:p w:rsidR="000548CA" w:rsidRPr="00AA6190" w:rsidRDefault="000548CA" w:rsidP="00CE4C9D">
            <w:pPr>
              <w:rPr>
                <w:rFonts w:cs="Arial"/>
                <w:i/>
                <w:color w:val="002060"/>
                <w:sz w:val="16"/>
                <w:szCs w:val="16"/>
              </w:rPr>
            </w:pPr>
            <w:r w:rsidRPr="00AA6190">
              <w:rPr>
                <w:rFonts w:cs="Arial"/>
                <w:i/>
                <w:sz w:val="16"/>
                <w:szCs w:val="16"/>
              </w:rPr>
              <w:t>Original Baseline P&amp;B 2014/15:</w:t>
            </w:r>
            <w:r w:rsidRPr="00AA6190">
              <w:rPr>
                <w:rFonts w:cs="Arial"/>
                <w:sz w:val="16"/>
                <w:szCs w:val="16"/>
              </w:rPr>
              <w:t xml:space="preserve">  Not all courses available in all languages; revision of course content currently done by Academy staff only and on </w:t>
            </w:r>
            <w:r w:rsidRPr="00AA6190">
              <w:rPr>
                <w:rFonts w:cs="Arial"/>
                <w:i/>
                <w:sz w:val="16"/>
                <w:szCs w:val="16"/>
              </w:rPr>
              <w:t>ad hoc</w:t>
            </w:r>
            <w:r w:rsidRPr="00AA6190">
              <w:rPr>
                <w:rFonts w:cs="Arial"/>
                <w:sz w:val="16"/>
                <w:szCs w:val="16"/>
              </w:rPr>
              <w:t xml:space="preserve"> basis</w:t>
            </w:r>
          </w:p>
        </w:tc>
        <w:tc>
          <w:tcPr>
            <w:tcW w:w="821" w:type="pct"/>
            <w:tcBorders>
              <w:top w:val="nil"/>
              <w:bottom w:val="nil"/>
            </w:tcBorders>
            <w:shd w:val="clear" w:color="auto" w:fill="auto"/>
            <w:tcMar>
              <w:top w:w="110" w:type="dxa"/>
            </w:tcMar>
          </w:tcPr>
          <w:p w:rsidR="000548CA" w:rsidRPr="00AA6190" w:rsidRDefault="000548CA" w:rsidP="00CE4C9D">
            <w:pPr>
              <w:autoSpaceDE w:val="0"/>
              <w:autoSpaceDN w:val="0"/>
              <w:adjustRightInd w:val="0"/>
              <w:rPr>
                <w:rFonts w:cs="Arial"/>
                <w:sz w:val="16"/>
                <w:szCs w:val="16"/>
              </w:rPr>
            </w:pPr>
          </w:p>
        </w:tc>
        <w:tc>
          <w:tcPr>
            <w:tcW w:w="1492" w:type="pct"/>
            <w:tcBorders>
              <w:top w:val="nil"/>
              <w:bottom w:val="nil"/>
            </w:tcBorders>
            <w:shd w:val="clear" w:color="auto" w:fill="FFFFFF"/>
            <w:tcMar>
              <w:top w:w="110" w:type="dxa"/>
            </w:tcMar>
          </w:tcPr>
          <w:p w:rsidR="000548CA" w:rsidRPr="00AA6190" w:rsidRDefault="000548CA" w:rsidP="00CE4C9D">
            <w:pPr>
              <w:rPr>
                <w:rFonts w:cs="Arial"/>
                <w:sz w:val="16"/>
                <w:szCs w:val="16"/>
                <w:lang w:bidi="th-TH"/>
              </w:rPr>
            </w:pPr>
          </w:p>
        </w:tc>
        <w:tc>
          <w:tcPr>
            <w:tcW w:w="523" w:type="pct"/>
            <w:tcBorders>
              <w:top w:val="nil"/>
              <w:bottom w:val="nil"/>
              <w:right w:val="single" w:sz="4" w:space="0" w:color="auto"/>
            </w:tcBorders>
            <w:shd w:val="clear" w:color="auto" w:fill="auto"/>
            <w:tcMar>
              <w:top w:w="110" w:type="dxa"/>
            </w:tcMar>
          </w:tcPr>
          <w:p w:rsidR="000548CA" w:rsidRPr="001C7F3D" w:rsidRDefault="000548CA" w:rsidP="00CE4C9D">
            <w:pPr>
              <w:jc w:val="center"/>
              <w:rPr>
                <w:rFonts w:cs="Arial"/>
                <w:b/>
                <w:bCs/>
                <w:color w:val="00B050"/>
                <w:sz w:val="16"/>
                <w:szCs w:val="16"/>
              </w:rPr>
            </w:pPr>
          </w:p>
        </w:tc>
      </w:tr>
      <w:tr w:rsidR="000548CA" w:rsidRPr="00054B91" w:rsidTr="000548CA">
        <w:tc>
          <w:tcPr>
            <w:tcW w:w="1120" w:type="pct"/>
            <w:tcBorders>
              <w:top w:val="nil"/>
              <w:left w:val="single" w:sz="4" w:space="0" w:color="auto"/>
              <w:bottom w:val="nil"/>
            </w:tcBorders>
            <w:shd w:val="clear" w:color="auto" w:fill="auto"/>
          </w:tcPr>
          <w:p w:rsidR="000548CA" w:rsidRPr="00054B91" w:rsidRDefault="000548CA" w:rsidP="00CE4C9D">
            <w:pPr>
              <w:rPr>
                <w:rFonts w:cs="Arial"/>
                <w:sz w:val="16"/>
                <w:szCs w:val="16"/>
              </w:rPr>
            </w:pPr>
            <w:r w:rsidRPr="00AA1E72">
              <w:rPr>
                <w:rFonts w:cs="Arial"/>
                <w:sz w:val="16"/>
                <w:szCs w:val="16"/>
              </w:rPr>
              <w:t xml:space="preserve">Improved access to higher education on IP on the part of developing countries, LDCs and CETs / Number of universities in developing countries, LDCs and CETs, offering new teaching programs on IP </w:t>
            </w:r>
          </w:p>
        </w:tc>
        <w:tc>
          <w:tcPr>
            <w:tcW w:w="1044" w:type="pct"/>
            <w:tcBorders>
              <w:top w:val="nil"/>
              <w:bottom w:val="nil"/>
            </w:tcBorders>
            <w:shd w:val="clear" w:color="auto" w:fill="auto"/>
          </w:tcPr>
          <w:p w:rsidR="000548CA" w:rsidRPr="00054B91" w:rsidRDefault="000548CA" w:rsidP="00CE4C9D">
            <w:pPr>
              <w:rPr>
                <w:rFonts w:cs="Arial"/>
                <w:sz w:val="16"/>
                <w:szCs w:val="16"/>
              </w:rPr>
            </w:pPr>
            <w:r w:rsidRPr="00AA1E72">
              <w:rPr>
                <w:rFonts w:cs="Arial"/>
                <w:sz w:val="16"/>
                <w:szCs w:val="16"/>
              </w:rPr>
              <w:t>IP teaching at university level is currently available only on a limited number of developing countries, LDCs and CETs; WIPO offers Joint Master Program on IP with seven universities of which two in Africa and one in Latin America</w:t>
            </w:r>
          </w:p>
        </w:tc>
        <w:tc>
          <w:tcPr>
            <w:tcW w:w="821" w:type="pct"/>
            <w:tcBorders>
              <w:top w:val="nil"/>
              <w:bottom w:val="nil"/>
            </w:tcBorders>
            <w:shd w:val="clear" w:color="auto" w:fill="auto"/>
            <w:tcMar>
              <w:top w:w="110" w:type="dxa"/>
            </w:tcMar>
          </w:tcPr>
          <w:p w:rsidR="000548CA" w:rsidRPr="00054B91" w:rsidRDefault="000548CA" w:rsidP="00CE4C9D">
            <w:pPr>
              <w:autoSpaceDE w:val="0"/>
              <w:autoSpaceDN w:val="0"/>
              <w:adjustRightInd w:val="0"/>
              <w:rPr>
                <w:rFonts w:cs="Arial"/>
                <w:sz w:val="16"/>
                <w:szCs w:val="16"/>
              </w:rPr>
            </w:pPr>
            <w:r w:rsidRPr="00AA1E72">
              <w:rPr>
                <w:rFonts w:cs="Arial"/>
                <w:sz w:val="16"/>
                <w:szCs w:val="16"/>
              </w:rPr>
              <w:t>Five universities in developing countries, LDCs and CETs will be offering new teaching programs on IP by the end of the biennium</w:t>
            </w:r>
          </w:p>
        </w:tc>
        <w:tc>
          <w:tcPr>
            <w:tcW w:w="1492" w:type="pct"/>
            <w:tcBorders>
              <w:top w:val="nil"/>
              <w:bottom w:val="nil"/>
            </w:tcBorders>
            <w:shd w:val="clear" w:color="auto" w:fill="FFFFFF"/>
            <w:tcMar>
              <w:top w:w="110" w:type="dxa"/>
            </w:tcMar>
          </w:tcPr>
          <w:p w:rsidR="000548CA" w:rsidRDefault="000548CA" w:rsidP="00CE4C9D">
            <w:pPr>
              <w:rPr>
                <w:rFonts w:cs="Arial"/>
                <w:sz w:val="16"/>
                <w:szCs w:val="16"/>
                <w:lang w:bidi="th-TH"/>
              </w:rPr>
            </w:pPr>
            <w:r w:rsidRPr="008F04FB">
              <w:rPr>
                <w:rFonts w:cs="Arial"/>
                <w:sz w:val="16"/>
                <w:szCs w:val="16"/>
                <w:lang w:bidi="th-TH"/>
              </w:rPr>
              <w:t xml:space="preserve">With assistance from WIPO, two universities </w:t>
            </w:r>
            <w:r>
              <w:rPr>
                <w:rFonts w:cs="Arial"/>
                <w:sz w:val="16"/>
                <w:szCs w:val="16"/>
                <w:lang w:bidi="th-TH"/>
              </w:rPr>
              <w:t xml:space="preserve">in Indonesia </w:t>
            </w:r>
            <w:r w:rsidRPr="008F04FB">
              <w:rPr>
                <w:rFonts w:cs="Arial"/>
                <w:sz w:val="16"/>
                <w:szCs w:val="16"/>
                <w:lang w:bidi="th-TH"/>
              </w:rPr>
              <w:t>(</w:t>
            </w:r>
            <w:proofErr w:type="spellStart"/>
            <w:r w:rsidRPr="008F04FB">
              <w:rPr>
                <w:rFonts w:cs="Arial"/>
                <w:sz w:val="16"/>
                <w:szCs w:val="16"/>
                <w:lang w:bidi="th-TH"/>
              </w:rPr>
              <w:t>Universitas</w:t>
            </w:r>
            <w:proofErr w:type="spellEnd"/>
            <w:r w:rsidRPr="008F04FB">
              <w:rPr>
                <w:rFonts w:cs="Arial"/>
                <w:sz w:val="16"/>
                <w:szCs w:val="16"/>
                <w:lang w:bidi="th-TH"/>
              </w:rPr>
              <w:t xml:space="preserve"> </w:t>
            </w:r>
            <w:proofErr w:type="spellStart"/>
            <w:r w:rsidRPr="008F04FB">
              <w:rPr>
                <w:rFonts w:cs="Arial"/>
                <w:sz w:val="16"/>
                <w:szCs w:val="16"/>
                <w:lang w:bidi="th-TH"/>
              </w:rPr>
              <w:t>Padjadjaran</w:t>
            </w:r>
            <w:proofErr w:type="spellEnd"/>
            <w:r>
              <w:rPr>
                <w:rFonts w:cs="Arial"/>
                <w:sz w:val="16"/>
                <w:szCs w:val="16"/>
                <w:lang w:bidi="th-TH"/>
              </w:rPr>
              <w:t xml:space="preserve"> </w:t>
            </w:r>
            <w:r w:rsidRPr="008F04FB">
              <w:rPr>
                <w:rFonts w:cs="Arial"/>
                <w:sz w:val="16"/>
                <w:szCs w:val="16"/>
              </w:rPr>
              <w:t xml:space="preserve">and </w:t>
            </w:r>
            <w:r w:rsidRPr="008F04FB">
              <w:rPr>
                <w:rFonts w:cs="Arial"/>
                <w:sz w:val="16"/>
                <w:szCs w:val="16"/>
                <w:lang w:bidi="th-TH"/>
              </w:rPr>
              <w:t xml:space="preserve">University of Indonesia) started to offer new teaching programs on IP. </w:t>
            </w:r>
            <w:r>
              <w:rPr>
                <w:rFonts w:cs="Arial"/>
                <w:sz w:val="16"/>
                <w:szCs w:val="16"/>
                <w:lang w:bidi="th-TH"/>
              </w:rPr>
              <w:t xml:space="preserve"> Four</w:t>
            </w:r>
            <w:r w:rsidRPr="008F04FB">
              <w:rPr>
                <w:rFonts w:cs="Arial"/>
                <w:sz w:val="16"/>
                <w:szCs w:val="16"/>
                <w:lang w:bidi="th-TH"/>
              </w:rPr>
              <w:t xml:space="preserve"> </w:t>
            </w:r>
            <w:r>
              <w:rPr>
                <w:rFonts w:cs="Arial"/>
                <w:sz w:val="16"/>
                <w:szCs w:val="16"/>
                <w:lang w:bidi="th-TH"/>
              </w:rPr>
              <w:t xml:space="preserve">universities </w:t>
            </w:r>
            <w:r w:rsidRPr="00F279CB">
              <w:rPr>
                <w:rFonts w:cs="Arial"/>
                <w:sz w:val="16"/>
                <w:szCs w:val="16"/>
                <w:lang w:bidi="th-TH"/>
              </w:rPr>
              <w:t>were in the process of establishing new teaching programs on IP</w:t>
            </w:r>
            <w:r w:rsidRPr="00E83272">
              <w:rPr>
                <w:rFonts w:cs="Arial"/>
                <w:sz w:val="16"/>
                <w:szCs w:val="16"/>
                <w:lang w:bidi="th-TH"/>
              </w:rPr>
              <w:t xml:space="preserve"> at the end o</w:t>
            </w:r>
            <w:r>
              <w:rPr>
                <w:rFonts w:cs="Arial"/>
                <w:sz w:val="16"/>
                <w:szCs w:val="16"/>
                <w:lang w:bidi="th-TH"/>
              </w:rPr>
              <w:t>f</w:t>
            </w:r>
            <w:r w:rsidRPr="00E83272">
              <w:rPr>
                <w:rFonts w:cs="Arial"/>
                <w:sz w:val="16"/>
                <w:szCs w:val="16"/>
                <w:lang w:bidi="th-TH"/>
              </w:rPr>
              <w:t xml:space="preserve"> 2014</w:t>
            </w:r>
            <w:r>
              <w:rPr>
                <w:rFonts w:cs="Arial"/>
                <w:sz w:val="16"/>
                <w:szCs w:val="16"/>
                <w:lang w:bidi="th-TH"/>
              </w:rPr>
              <w:t>:</w:t>
            </w:r>
          </w:p>
          <w:p w:rsidR="000548CA" w:rsidRDefault="000548CA" w:rsidP="000548CA">
            <w:pPr>
              <w:pStyle w:val="ListParagraph"/>
              <w:numPr>
                <w:ilvl w:val="0"/>
                <w:numId w:val="98"/>
              </w:numPr>
              <w:rPr>
                <w:rFonts w:cs="Arial"/>
                <w:sz w:val="16"/>
                <w:szCs w:val="16"/>
                <w:lang w:bidi="th-TH"/>
              </w:rPr>
            </w:pPr>
            <w:r w:rsidRPr="00F47045">
              <w:rPr>
                <w:rFonts w:cs="Arial"/>
                <w:sz w:val="16"/>
                <w:szCs w:val="16"/>
                <w:lang w:bidi="th-TH"/>
              </w:rPr>
              <w:t>Bangladesh Institute of Management</w:t>
            </w:r>
            <w:r>
              <w:rPr>
                <w:rFonts w:cs="Arial"/>
                <w:sz w:val="16"/>
                <w:szCs w:val="16"/>
                <w:lang w:bidi="th-TH"/>
              </w:rPr>
              <w:t>;</w:t>
            </w:r>
          </w:p>
          <w:p w:rsidR="000548CA" w:rsidRDefault="000548CA" w:rsidP="000548CA">
            <w:pPr>
              <w:pStyle w:val="ListParagraph"/>
              <w:numPr>
                <w:ilvl w:val="0"/>
                <w:numId w:val="98"/>
              </w:numPr>
              <w:rPr>
                <w:rFonts w:cs="Arial"/>
                <w:sz w:val="16"/>
                <w:szCs w:val="16"/>
                <w:lang w:bidi="th-TH"/>
              </w:rPr>
            </w:pPr>
            <w:r>
              <w:rPr>
                <w:rFonts w:cs="Arial"/>
                <w:sz w:val="16"/>
                <w:szCs w:val="16"/>
                <w:lang w:bidi="th-TH"/>
              </w:rPr>
              <w:t xml:space="preserve">University of West Indies in </w:t>
            </w:r>
            <w:r w:rsidRPr="00F47045">
              <w:rPr>
                <w:rFonts w:cs="Arial"/>
                <w:sz w:val="16"/>
                <w:szCs w:val="16"/>
                <w:lang w:bidi="th-TH"/>
              </w:rPr>
              <w:t>Jamaica</w:t>
            </w:r>
            <w:r>
              <w:rPr>
                <w:rFonts w:cs="Arial"/>
                <w:sz w:val="16"/>
                <w:szCs w:val="16"/>
                <w:lang w:bidi="th-TH"/>
              </w:rPr>
              <w:t>;</w:t>
            </w:r>
          </w:p>
          <w:p w:rsidR="000548CA" w:rsidRDefault="000548CA" w:rsidP="000548CA">
            <w:pPr>
              <w:pStyle w:val="ListParagraph"/>
              <w:numPr>
                <w:ilvl w:val="0"/>
                <w:numId w:val="98"/>
              </w:numPr>
              <w:rPr>
                <w:rFonts w:cs="Arial"/>
                <w:sz w:val="16"/>
                <w:szCs w:val="16"/>
                <w:lang w:bidi="th-TH"/>
              </w:rPr>
            </w:pPr>
            <w:proofErr w:type="spellStart"/>
            <w:r>
              <w:rPr>
                <w:rFonts w:cs="Arial"/>
                <w:sz w:val="16"/>
                <w:szCs w:val="16"/>
                <w:lang w:bidi="th-TH"/>
              </w:rPr>
              <w:t>Renmin</w:t>
            </w:r>
            <w:proofErr w:type="spellEnd"/>
            <w:r>
              <w:rPr>
                <w:rFonts w:cs="Arial"/>
                <w:sz w:val="16"/>
                <w:szCs w:val="16"/>
                <w:lang w:bidi="th-TH"/>
              </w:rPr>
              <w:t xml:space="preserve"> University in </w:t>
            </w:r>
            <w:r w:rsidRPr="00F47045">
              <w:rPr>
                <w:rFonts w:cs="Arial"/>
                <w:sz w:val="16"/>
                <w:szCs w:val="16"/>
                <w:lang w:bidi="th-TH"/>
              </w:rPr>
              <w:t>China</w:t>
            </w:r>
            <w:r>
              <w:rPr>
                <w:rFonts w:cs="Arial"/>
                <w:sz w:val="16"/>
                <w:szCs w:val="16"/>
                <w:lang w:bidi="th-TH"/>
              </w:rPr>
              <w:t>; and</w:t>
            </w:r>
          </w:p>
          <w:p w:rsidR="000548CA" w:rsidRPr="008F7B65" w:rsidRDefault="000548CA" w:rsidP="000548CA">
            <w:pPr>
              <w:pStyle w:val="ListParagraph"/>
              <w:numPr>
                <w:ilvl w:val="0"/>
                <w:numId w:val="98"/>
              </w:numPr>
              <w:rPr>
                <w:rFonts w:cs="Arial"/>
                <w:sz w:val="16"/>
                <w:szCs w:val="16"/>
                <w:lang w:val="es-ES" w:bidi="th-TH"/>
              </w:rPr>
            </w:pPr>
            <w:r w:rsidRPr="008F7B65">
              <w:rPr>
                <w:rFonts w:cs="Arial"/>
                <w:sz w:val="16"/>
                <w:szCs w:val="16"/>
                <w:lang w:val="es-ES" w:bidi="th-TH"/>
              </w:rPr>
              <w:t>Universidad Central de Venezuela in Caracas, Venezuela.</w:t>
            </w:r>
          </w:p>
          <w:p w:rsidR="000548CA" w:rsidRPr="002F4088" w:rsidRDefault="000548CA" w:rsidP="00CE4C9D">
            <w:pPr>
              <w:pStyle w:val="ListParagraph"/>
              <w:ind w:left="567"/>
              <w:rPr>
                <w:highlight w:val="yellow"/>
              </w:rPr>
            </w:pPr>
            <w:r w:rsidRPr="00CA3BE6">
              <w:rPr>
                <w:rFonts w:cs="Arial"/>
                <w:sz w:val="16"/>
                <w:szCs w:val="16"/>
                <w:lang w:bidi="th-TH"/>
              </w:rPr>
              <w:t>.</w:t>
            </w:r>
          </w:p>
        </w:tc>
        <w:tc>
          <w:tcPr>
            <w:tcW w:w="523" w:type="pct"/>
            <w:tcBorders>
              <w:top w:val="nil"/>
              <w:bottom w:val="nil"/>
              <w:right w:val="single" w:sz="4" w:space="0" w:color="auto"/>
            </w:tcBorders>
            <w:shd w:val="clear" w:color="auto" w:fill="auto"/>
            <w:tcMar>
              <w:top w:w="110" w:type="dxa"/>
            </w:tcMar>
          </w:tcPr>
          <w:p w:rsidR="000548CA" w:rsidRPr="00054B91" w:rsidRDefault="000548CA" w:rsidP="00CE4C9D">
            <w:pPr>
              <w:keepNext/>
              <w:keepLines/>
              <w:jc w:val="center"/>
              <w:rPr>
                <w:rFonts w:cs="Arial"/>
                <w:bCs/>
                <w:color w:val="808080"/>
                <w:sz w:val="16"/>
                <w:szCs w:val="16"/>
              </w:rPr>
            </w:pPr>
            <w:r w:rsidRPr="00CA3BE6">
              <w:rPr>
                <w:rFonts w:cs="Arial"/>
                <w:b/>
                <w:bCs/>
                <w:color w:val="00B050"/>
                <w:sz w:val="16"/>
                <w:szCs w:val="16"/>
              </w:rPr>
              <w:t>On track</w:t>
            </w:r>
          </w:p>
        </w:tc>
      </w:tr>
      <w:tr w:rsidR="000548CA" w:rsidRPr="00054B91" w:rsidTr="000548CA">
        <w:tc>
          <w:tcPr>
            <w:tcW w:w="1120" w:type="pct"/>
            <w:tcBorders>
              <w:top w:val="nil"/>
              <w:left w:val="single" w:sz="4" w:space="0" w:color="auto"/>
              <w:bottom w:val="nil"/>
            </w:tcBorders>
            <w:shd w:val="clear" w:color="auto" w:fill="auto"/>
          </w:tcPr>
          <w:p w:rsidR="000548CA" w:rsidRPr="00AA1E72" w:rsidRDefault="000548CA" w:rsidP="00CE4C9D">
            <w:pPr>
              <w:rPr>
                <w:rFonts w:cs="Arial"/>
                <w:sz w:val="16"/>
                <w:szCs w:val="16"/>
              </w:rPr>
            </w:pPr>
            <w:r w:rsidRPr="00AA1E72">
              <w:rPr>
                <w:rFonts w:cs="Arial"/>
                <w:sz w:val="16"/>
                <w:szCs w:val="16"/>
              </w:rPr>
              <w:t>Progressive establishment of a network of IP experts in developing countries, LDCs and CETs</w:t>
            </w:r>
          </w:p>
        </w:tc>
        <w:tc>
          <w:tcPr>
            <w:tcW w:w="1044" w:type="pct"/>
            <w:tcBorders>
              <w:top w:val="nil"/>
              <w:bottom w:val="nil"/>
            </w:tcBorders>
            <w:shd w:val="clear" w:color="auto" w:fill="auto"/>
          </w:tcPr>
          <w:p w:rsidR="000548CA" w:rsidRDefault="000548CA" w:rsidP="00CE4C9D">
            <w:pPr>
              <w:rPr>
                <w:rFonts w:cs="Arial"/>
                <w:color w:val="002060"/>
                <w:sz w:val="16"/>
                <w:szCs w:val="16"/>
              </w:rPr>
            </w:pPr>
            <w:r>
              <w:rPr>
                <w:rFonts w:cs="Arial"/>
                <w:i/>
                <w:color w:val="002060"/>
                <w:sz w:val="16"/>
                <w:szCs w:val="16"/>
              </w:rPr>
              <w:t>Updated Baseline end 2013</w:t>
            </w:r>
            <w:r w:rsidRPr="00054B91">
              <w:rPr>
                <w:rFonts w:cs="Arial"/>
                <w:i/>
                <w:color w:val="002060"/>
                <w:sz w:val="16"/>
                <w:szCs w:val="16"/>
              </w:rPr>
              <w:t xml:space="preserve">:  </w:t>
            </w:r>
            <w:r>
              <w:rPr>
                <w:rFonts w:cs="Arial"/>
                <w:color w:val="002060"/>
                <w:sz w:val="16"/>
                <w:szCs w:val="16"/>
              </w:rPr>
              <w:t xml:space="preserve">326 </w:t>
            </w:r>
            <w:r w:rsidRPr="00E83272">
              <w:rPr>
                <w:rFonts w:cs="Arial"/>
                <w:color w:val="002060"/>
                <w:sz w:val="16"/>
                <w:szCs w:val="16"/>
              </w:rPr>
              <w:t>academics from developing countries, LDCs and CETs members of ATRIP</w:t>
            </w:r>
            <w:r w:rsidRPr="00E83272" w:rsidDel="00E83272">
              <w:rPr>
                <w:rFonts w:cs="Arial"/>
                <w:color w:val="002060"/>
                <w:sz w:val="16"/>
                <w:szCs w:val="16"/>
              </w:rPr>
              <w:t xml:space="preserve"> </w:t>
            </w:r>
          </w:p>
          <w:p w:rsidR="000548CA" w:rsidRPr="00054B91" w:rsidRDefault="000548CA" w:rsidP="00CE4C9D">
            <w:pPr>
              <w:rPr>
                <w:rFonts w:cs="Arial"/>
                <w:color w:val="002060"/>
                <w:sz w:val="16"/>
                <w:szCs w:val="16"/>
              </w:rPr>
            </w:pPr>
          </w:p>
          <w:p w:rsidR="000548CA" w:rsidRDefault="000548CA" w:rsidP="00CE4C9D">
            <w:pPr>
              <w:rPr>
                <w:rFonts w:cs="Arial"/>
                <w:i/>
                <w:color w:val="002060"/>
                <w:sz w:val="16"/>
                <w:szCs w:val="16"/>
              </w:rPr>
            </w:pPr>
            <w:r>
              <w:rPr>
                <w:rFonts w:cs="Arial"/>
                <w:i/>
                <w:sz w:val="16"/>
                <w:szCs w:val="16"/>
              </w:rPr>
              <w:t>Original Baseline P&amp;B 2014/15</w:t>
            </w:r>
            <w:r w:rsidRPr="00054B91">
              <w:rPr>
                <w:rFonts w:cs="Arial"/>
                <w:i/>
                <w:sz w:val="16"/>
                <w:szCs w:val="16"/>
              </w:rPr>
              <w:t>:</w:t>
            </w:r>
            <w:r>
              <w:rPr>
                <w:rFonts w:cs="Arial"/>
                <w:sz w:val="16"/>
                <w:szCs w:val="16"/>
              </w:rPr>
              <w:t xml:space="preserve">  </w:t>
            </w:r>
            <w:r w:rsidRPr="00AA1E72">
              <w:rPr>
                <w:rFonts w:cs="Arial"/>
                <w:sz w:val="16"/>
                <w:szCs w:val="16"/>
              </w:rPr>
              <w:t>No. of academics from developing countries, LDCs and CETs members of ATRIP</w:t>
            </w:r>
          </w:p>
        </w:tc>
        <w:tc>
          <w:tcPr>
            <w:tcW w:w="821" w:type="pct"/>
            <w:tcBorders>
              <w:top w:val="nil"/>
              <w:bottom w:val="nil"/>
            </w:tcBorders>
            <w:shd w:val="clear" w:color="auto" w:fill="auto"/>
            <w:tcMar>
              <w:top w:w="110" w:type="dxa"/>
            </w:tcMar>
          </w:tcPr>
          <w:p w:rsidR="000548CA" w:rsidRPr="00AA1E72" w:rsidRDefault="000548CA" w:rsidP="00CE4C9D">
            <w:pPr>
              <w:autoSpaceDE w:val="0"/>
              <w:autoSpaceDN w:val="0"/>
              <w:adjustRightInd w:val="0"/>
              <w:rPr>
                <w:rFonts w:cs="Arial"/>
                <w:sz w:val="16"/>
                <w:szCs w:val="16"/>
              </w:rPr>
            </w:pPr>
            <w:r w:rsidRPr="00AA1E72">
              <w:rPr>
                <w:rFonts w:cs="Arial"/>
                <w:sz w:val="16"/>
                <w:szCs w:val="16"/>
              </w:rPr>
              <w:t>An increase of 15% over the baseline</w:t>
            </w:r>
          </w:p>
        </w:tc>
        <w:tc>
          <w:tcPr>
            <w:tcW w:w="1492" w:type="pct"/>
            <w:tcBorders>
              <w:top w:val="nil"/>
              <w:bottom w:val="nil"/>
            </w:tcBorders>
            <w:shd w:val="clear" w:color="auto" w:fill="FFFFFF"/>
            <w:tcMar>
              <w:top w:w="110" w:type="dxa"/>
            </w:tcMar>
          </w:tcPr>
          <w:p w:rsidR="000548CA" w:rsidRPr="00AA1E72" w:rsidRDefault="000548CA" w:rsidP="00CE4C9D">
            <w:pPr>
              <w:rPr>
                <w:rFonts w:cs="Arial"/>
                <w:sz w:val="16"/>
                <w:szCs w:val="16"/>
                <w:lang w:bidi="th-TH"/>
              </w:rPr>
            </w:pPr>
            <w:r>
              <w:rPr>
                <w:rFonts w:cs="Arial"/>
                <w:sz w:val="16"/>
                <w:szCs w:val="16"/>
                <w:lang w:bidi="th-TH"/>
              </w:rPr>
              <w:t xml:space="preserve">362 </w:t>
            </w:r>
            <w:r w:rsidRPr="00CA3BE6">
              <w:rPr>
                <w:rFonts w:cs="Arial"/>
                <w:sz w:val="16"/>
                <w:szCs w:val="16"/>
                <w:lang w:bidi="th-TH"/>
              </w:rPr>
              <w:t>academics from developing countries, LDCs and CETs members, as reported by ATRIP</w:t>
            </w:r>
            <w:r>
              <w:rPr>
                <w:rFonts w:cs="Arial"/>
                <w:sz w:val="16"/>
                <w:szCs w:val="16"/>
                <w:lang w:bidi="th-TH"/>
              </w:rPr>
              <w:t xml:space="preserve"> (+11</w:t>
            </w:r>
            <w:r w:rsidRPr="00AA1E72">
              <w:rPr>
                <w:rFonts w:cs="Arial"/>
                <w:sz w:val="16"/>
                <w:szCs w:val="16"/>
                <w:lang w:bidi="th-TH"/>
              </w:rPr>
              <w:t>%</w:t>
            </w:r>
            <w:r>
              <w:rPr>
                <w:rFonts w:cs="Arial"/>
                <w:sz w:val="16"/>
                <w:szCs w:val="16"/>
                <w:lang w:bidi="th-TH"/>
              </w:rPr>
              <w:t>)</w:t>
            </w:r>
          </w:p>
        </w:tc>
        <w:tc>
          <w:tcPr>
            <w:tcW w:w="523" w:type="pct"/>
            <w:tcBorders>
              <w:top w:val="nil"/>
              <w:bottom w:val="nil"/>
              <w:right w:val="single" w:sz="4" w:space="0" w:color="auto"/>
            </w:tcBorders>
            <w:shd w:val="clear" w:color="auto" w:fill="auto"/>
            <w:tcMar>
              <w:top w:w="110" w:type="dxa"/>
            </w:tcMar>
          </w:tcPr>
          <w:p w:rsidR="000548CA" w:rsidRPr="00AA1E72" w:rsidRDefault="000548CA" w:rsidP="00CE4C9D">
            <w:pPr>
              <w:keepNext/>
              <w:keepLines/>
              <w:jc w:val="center"/>
              <w:rPr>
                <w:rFonts w:cs="Arial"/>
                <w:b/>
                <w:bCs/>
                <w:color w:val="00B050"/>
                <w:sz w:val="16"/>
                <w:szCs w:val="16"/>
              </w:rPr>
            </w:pPr>
            <w:r w:rsidRPr="00AA1E72">
              <w:rPr>
                <w:rFonts w:cs="Arial"/>
                <w:b/>
                <w:bCs/>
                <w:color w:val="00B050"/>
                <w:sz w:val="16"/>
                <w:szCs w:val="16"/>
              </w:rPr>
              <w:t>On track</w:t>
            </w:r>
          </w:p>
        </w:tc>
      </w:tr>
      <w:tr w:rsidR="000548CA" w:rsidRPr="00054B91" w:rsidTr="000548CA">
        <w:tc>
          <w:tcPr>
            <w:tcW w:w="1120" w:type="pct"/>
            <w:tcBorders>
              <w:top w:val="nil"/>
              <w:left w:val="single" w:sz="4" w:space="0" w:color="auto"/>
              <w:bottom w:val="single" w:sz="4" w:space="0" w:color="auto"/>
            </w:tcBorders>
            <w:shd w:val="clear" w:color="auto" w:fill="auto"/>
          </w:tcPr>
          <w:p w:rsidR="000548CA" w:rsidRDefault="000548CA" w:rsidP="00CE4C9D">
            <w:pPr>
              <w:rPr>
                <w:rFonts w:cs="Arial"/>
                <w:sz w:val="16"/>
                <w:szCs w:val="16"/>
              </w:rPr>
            </w:pPr>
            <w:r w:rsidRPr="00AA1E72">
              <w:rPr>
                <w:rFonts w:cs="Arial"/>
                <w:sz w:val="16"/>
                <w:szCs w:val="16"/>
              </w:rPr>
              <w:t>No. of new start-up academies projects initiated after the conclusion of the Pilot Phase</w:t>
            </w:r>
          </w:p>
          <w:p w:rsidR="000548CA" w:rsidRPr="00AA1E72" w:rsidRDefault="000548CA" w:rsidP="00CE4C9D">
            <w:pPr>
              <w:rPr>
                <w:rFonts w:cs="Arial"/>
                <w:sz w:val="16"/>
                <w:szCs w:val="16"/>
              </w:rPr>
            </w:pPr>
          </w:p>
        </w:tc>
        <w:tc>
          <w:tcPr>
            <w:tcW w:w="1044" w:type="pct"/>
            <w:tcBorders>
              <w:top w:val="nil"/>
              <w:bottom w:val="single" w:sz="4" w:space="0" w:color="auto"/>
            </w:tcBorders>
            <w:shd w:val="clear" w:color="auto" w:fill="auto"/>
          </w:tcPr>
          <w:p w:rsidR="000548CA" w:rsidRDefault="000548CA" w:rsidP="00CE4C9D">
            <w:pPr>
              <w:rPr>
                <w:rFonts w:cs="Arial"/>
                <w:sz w:val="16"/>
                <w:szCs w:val="16"/>
                <w:lang w:bidi="th-TH"/>
              </w:rPr>
            </w:pPr>
            <w:r>
              <w:rPr>
                <w:rFonts w:cs="Arial"/>
                <w:i/>
                <w:color w:val="002060"/>
                <w:sz w:val="16"/>
                <w:szCs w:val="16"/>
              </w:rPr>
              <w:t>Updated Baseline end 2013</w:t>
            </w:r>
            <w:r w:rsidRPr="00054B91">
              <w:rPr>
                <w:rFonts w:cs="Arial"/>
                <w:i/>
                <w:color w:val="002060"/>
                <w:sz w:val="16"/>
                <w:szCs w:val="16"/>
              </w:rPr>
              <w:t xml:space="preserve">:  </w:t>
            </w:r>
            <w:r>
              <w:rPr>
                <w:rFonts w:cs="Arial"/>
                <w:sz w:val="16"/>
                <w:szCs w:val="16"/>
                <w:lang w:bidi="th-TH"/>
              </w:rPr>
              <w:t xml:space="preserve"> </w:t>
            </w:r>
            <w:r w:rsidRPr="006B697D">
              <w:rPr>
                <w:rFonts w:cs="Arial"/>
                <w:color w:val="002060"/>
                <w:sz w:val="16"/>
                <w:szCs w:val="16"/>
                <w:lang w:bidi="th-TH"/>
              </w:rPr>
              <w:t>Phase II of the pilot phase of the project was not completed at the end of 2013.</w:t>
            </w:r>
          </w:p>
          <w:p w:rsidR="000548CA" w:rsidRPr="00054B91" w:rsidRDefault="000548CA" w:rsidP="00CE4C9D">
            <w:pPr>
              <w:rPr>
                <w:rFonts w:cs="Arial"/>
                <w:color w:val="002060"/>
                <w:sz w:val="16"/>
                <w:szCs w:val="16"/>
              </w:rPr>
            </w:pPr>
          </w:p>
          <w:p w:rsidR="000548CA" w:rsidRDefault="000548CA" w:rsidP="00CE4C9D">
            <w:pPr>
              <w:rPr>
                <w:rFonts w:cs="Arial"/>
                <w:i/>
                <w:color w:val="002060"/>
                <w:sz w:val="16"/>
                <w:szCs w:val="16"/>
              </w:rPr>
            </w:pPr>
            <w:r>
              <w:rPr>
                <w:rFonts w:cs="Arial"/>
                <w:i/>
                <w:sz w:val="16"/>
                <w:szCs w:val="16"/>
              </w:rPr>
              <w:t>Original Baseline P&amp;B 2014/15</w:t>
            </w:r>
            <w:r w:rsidRPr="00054B91">
              <w:rPr>
                <w:rFonts w:cs="Arial"/>
                <w:i/>
                <w:sz w:val="16"/>
                <w:szCs w:val="16"/>
              </w:rPr>
              <w:t>:</w:t>
            </w:r>
            <w:r>
              <w:rPr>
                <w:rFonts w:cs="Arial"/>
                <w:sz w:val="16"/>
                <w:szCs w:val="16"/>
              </w:rPr>
              <w:t xml:space="preserve">  0</w:t>
            </w:r>
          </w:p>
        </w:tc>
        <w:tc>
          <w:tcPr>
            <w:tcW w:w="821" w:type="pct"/>
            <w:tcBorders>
              <w:top w:val="nil"/>
              <w:bottom w:val="single" w:sz="4" w:space="0" w:color="auto"/>
            </w:tcBorders>
            <w:shd w:val="clear" w:color="auto" w:fill="auto"/>
            <w:tcMar>
              <w:top w:w="110" w:type="dxa"/>
            </w:tcMar>
          </w:tcPr>
          <w:p w:rsidR="000548CA" w:rsidRPr="00AA1E72" w:rsidRDefault="000548CA" w:rsidP="00CE4C9D">
            <w:pPr>
              <w:autoSpaceDE w:val="0"/>
              <w:autoSpaceDN w:val="0"/>
              <w:adjustRightInd w:val="0"/>
              <w:rPr>
                <w:rFonts w:cs="Arial"/>
                <w:sz w:val="16"/>
                <w:szCs w:val="16"/>
              </w:rPr>
            </w:pPr>
            <w:r>
              <w:rPr>
                <w:rFonts w:cs="Arial"/>
                <w:sz w:val="16"/>
                <w:szCs w:val="16"/>
              </w:rPr>
              <w:t>4</w:t>
            </w:r>
          </w:p>
        </w:tc>
        <w:tc>
          <w:tcPr>
            <w:tcW w:w="1492" w:type="pct"/>
            <w:tcBorders>
              <w:top w:val="nil"/>
              <w:bottom w:val="single" w:sz="4" w:space="0" w:color="auto"/>
            </w:tcBorders>
            <w:shd w:val="clear" w:color="auto" w:fill="FFFFFF"/>
            <w:tcMar>
              <w:top w:w="110" w:type="dxa"/>
            </w:tcMar>
          </w:tcPr>
          <w:p w:rsidR="000548CA" w:rsidRDefault="000548CA" w:rsidP="00CE4C9D">
            <w:pPr>
              <w:rPr>
                <w:rFonts w:cs="Arial"/>
                <w:sz w:val="16"/>
                <w:szCs w:val="16"/>
                <w:lang w:bidi="th-TH"/>
              </w:rPr>
            </w:pPr>
            <w:r>
              <w:rPr>
                <w:rFonts w:cs="Arial"/>
                <w:sz w:val="16"/>
                <w:szCs w:val="16"/>
                <w:lang w:bidi="th-TH"/>
              </w:rPr>
              <w:t>Phase II of the pilot phase of the project was completed and evaluated in 2014.</w:t>
            </w:r>
          </w:p>
          <w:p w:rsidR="000548CA" w:rsidRDefault="000548CA" w:rsidP="00CE4C9D">
            <w:pPr>
              <w:rPr>
                <w:rFonts w:cs="Arial"/>
                <w:sz w:val="16"/>
                <w:szCs w:val="16"/>
                <w:lang w:bidi="th-TH"/>
              </w:rPr>
            </w:pPr>
          </w:p>
          <w:p w:rsidR="000548CA" w:rsidRDefault="000548CA" w:rsidP="00CE4C9D">
            <w:pPr>
              <w:rPr>
                <w:rFonts w:cs="Arial"/>
                <w:sz w:val="16"/>
                <w:szCs w:val="16"/>
                <w:lang w:bidi="th-TH"/>
              </w:rPr>
            </w:pPr>
            <w:r>
              <w:rPr>
                <w:rFonts w:cs="Arial"/>
                <w:sz w:val="16"/>
                <w:szCs w:val="16"/>
                <w:lang w:bidi="th-TH"/>
              </w:rPr>
              <w:t>Two new a</w:t>
            </w:r>
            <w:r w:rsidRPr="00AA1E72">
              <w:rPr>
                <w:rFonts w:cs="Arial"/>
                <w:sz w:val="16"/>
                <w:szCs w:val="16"/>
                <w:lang w:bidi="th-TH"/>
              </w:rPr>
              <w:t xml:space="preserve">greements </w:t>
            </w:r>
            <w:r>
              <w:rPr>
                <w:rFonts w:cs="Arial"/>
                <w:sz w:val="16"/>
                <w:szCs w:val="16"/>
                <w:lang w:bidi="th-TH"/>
              </w:rPr>
              <w:t xml:space="preserve">were </w:t>
            </w:r>
            <w:r w:rsidRPr="00AA1E72">
              <w:rPr>
                <w:rFonts w:cs="Arial"/>
                <w:sz w:val="16"/>
                <w:szCs w:val="16"/>
                <w:lang w:bidi="th-TH"/>
              </w:rPr>
              <w:t>signed with</w:t>
            </w:r>
            <w:r>
              <w:rPr>
                <w:rFonts w:cs="Arial"/>
                <w:sz w:val="16"/>
                <w:szCs w:val="16"/>
                <w:lang w:bidi="th-TH"/>
              </w:rPr>
              <w:t xml:space="preserve"> the Governments of </w:t>
            </w:r>
            <w:r w:rsidRPr="00AA1E72">
              <w:rPr>
                <w:rFonts w:cs="Arial"/>
                <w:sz w:val="16"/>
                <w:szCs w:val="16"/>
                <w:lang w:bidi="th-TH"/>
              </w:rPr>
              <w:t xml:space="preserve">Cambodia </w:t>
            </w:r>
            <w:r>
              <w:rPr>
                <w:rFonts w:cs="Arial"/>
                <w:sz w:val="16"/>
                <w:szCs w:val="16"/>
                <w:lang w:bidi="th-TH"/>
              </w:rPr>
              <w:t xml:space="preserve">and </w:t>
            </w:r>
            <w:r w:rsidRPr="00AA1E72">
              <w:rPr>
                <w:rFonts w:cs="Arial"/>
                <w:sz w:val="16"/>
                <w:szCs w:val="16"/>
                <w:lang w:bidi="th-TH"/>
              </w:rPr>
              <w:t xml:space="preserve">Ecuador </w:t>
            </w:r>
            <w:r>
              <w:rPr>
                <w:rFonts w:cs="Arial"/>
                <w:sz w:val="16"/>
                <w:szCs w:val="16"/>
                <w:lang w:bidi="th-TH"/>
              </w:rPr>
              <w:t xml:space="preserve">for the </w:t>
            </w:r>
            <w:r w:rsidRPr="00FE0A28">
              <w:rPr>
                <w:rFonts w:cs="Arial"/>
                <w:sz w:val="16"/>
                <w:szCs w:val="16"/>
                <w:lang w:bidi="th-TH"/>
              </w:rPr>
              <w:t>establishment of start-up academies</w:t>
            </w:r>
            <w:r w:rsidRPr="00AA1E72">
              <w:rPr>
                <w:rFonts w:cs="Arial"/>
                <w:sz w:val="16"/>
                <w:szCs w:val="16"/>
                <w:lang w:bidi="th-TH"/>
              </w:rPr>
              <w:t>.</w:t>
            </w:r>
            <w:r>
              <w:rPr>
                <w:rFonts w:cs="Arial"/>
                <w:sz w:val="16"/>
                <w:szCs w:val="16"/>
                <w:lang w:bidi="th-TH"/>
              </w:rPr>
              <w:t xml:space="preserve">  C</w:t>
            </w:r>
            <w:r w:rsidRPr="00AA1E72">
              <w:rPr>
                <w:rFonts w:cs="Arial"/>
                <w:sz w:val="16"/>
                <w:szCs w:val="16"/>
                <w:lang w:bidi="th-TH"/>
              </w:rPr>
              <w:t xml:space="preserve">ooperation with Ecuador </w:t>
            </w:r>
            <w:r>
              <w:rPr>
                <w:rFonts w:cs="Arial"/>
                <w:sz w:val="16"/>
                <w:szCs w:val="16"/>
                <w:lang w:bidi="th-TH"/>
              </w:rPr>
              <w:t>was formally initiated in September 2014.</w:t>
            </w:r>
          </w:p>
          <w:p w:rsidR="000548CA" w:rsidRPr="00AA1E72" w:rsidRDefault="000548CA" w:rsidP="00CE4C9D">
            <w:pPr>
              <w:rPr>
                <w:rFonts w:cs="Arial"/>
                <w:sz w:val="16"/>
                <w:szCs w:val="16"/>
                <w:lang w:bidi="th-TH"/>
              </w:rPr>
            </w:pPr>
            <w:r>
              <w:rPr>
                <w:rFonts w:cs="Arial"/>
                <w:sz w:val="16"/>
                <w:szCs w:val="16"/>
                <w:lang w:bidi="th-TH"/>
              </w:rPr>
              <w:t xml:space="preserve"> </w:t>
            </w:r>
          </w:p>
        </w:tc>
        <w:tc>
          <w:tcPr>
            <w:tcW w:w="523" w:type="pct"/>
            <w:tcBorders>
              <w:top w:val="nil"/>
              <w:bottom w:val="single" w:sz="4" w:space="0" w:color="auto"/>
              <w:right w:val="single" w:sz="4" w:space="0" w:color="auto"/>
            </w:tcBorders>
            <w:shd w:val="clear" w:color="auto" w:fill="auto"/>
            <w:tcMar>
              <w:top w:w="110" w:type="dxa"/>
            </w:tcMar>
          </w:tcPr>
          <w:p w:rsidR="000548CA" w:rsidRPr="00AA1E72" w:rsidRDefault="000548CA" w:rsidP="00CE4C9D">
            <w:pPr>
              <w:keepNext/>
              <w:keepLines/>
              <w:jc w:val="center"/>
              <w:rPr>
                <w:rFonts w:cs="Arial"/>
                <w:b/>
                <w:bCs/>
                <w:color w:val="00B050"/>
                <w:sz w:val="16"/>
                <w:szCs w:val="16"/>
              </w:rPr>
            </w:pPr>
            <w:r w:rsidRPr="00AA1E72">
              <w:rPr>
                <w:rFonts w:cs="Arial"/>
                <w:b/>
                <w:bCs/>
                <w:color w:val="00B050"/>
                <w:sz w:val="16"/>
                <w:szCs w:val="16"/>
              </w:rPr>
              <w:t>On track</w:t>
            </w:r>
          </w:p>
        </w:tc>
      </w:tr>
    </w:tbl>
    <w:p w:rsidR="000548CA" w:rsidRPr="00D15550" w:rsidRDefault="000548CA" w:rsidP="00CE4C9D">
      <w:pPr>
        <w:autoSpaceDE w:val="0"/>
        <w:autoSpaceDN w:val="0"/>
        <w:adjustRightInd w:val="0"/>
        <w:rPr>
          <w:rFonts w:eastAsiaTheme="minorHAnsi" w:cs="Arial"/>
          <w:color w:val="000000"/>
          <w:szCs w:val="20"/>
        </w:rPr>
      </w:pPr>
    </w:p>
    <w:p w:rsidR="000548CA" w:rsidRPr="000548CA" w:rsidRDefault="000548CA" w:rsidP="00A8525E">
      <w:pPr>
        <w:rPr>
          <w:rFonts w:cs="Arial"/>
          <w:color w:val="000000"/>
        </w:rPr>
      </w:pPr>
    </w:p>
    <w:p w:rsidR="000548CA" w:rsidRPr="00516D30" w:rsidRDefault="000548CA" w:rsidP="00A8525E">
      <w:pPr>
        <w:rPr>
          <w:b/>
          <w:sz w:val="24"/>
        </w:rPr>
      </w:pPr>
      <w:r w:rsidRPr="00516D30">
        <w:rPr>
          <w:rFonts w:cs="Arial"/>
          <w:color w:val="000000"/>
          <w:sz w:val="24"/>
        </w:rPr>
        <w:t>RESOURCE UTILIZATION</w:t>
      </w:r>
    </w:p>
    <w:p w:rsidR="000548CA" w:rsidRPr="008F4A6D" w:rsidRDefault="000548CA">
      <w:pPr>
        <w:rPr>
          <w:szCs w:val="20"/>
        </w:rPr>
      </w:pPr>
    </w:p>
    <w:p w:rsidR="000548CA" w:rsidRPr="00516D30" w:rsidRDefault="000548CA" w:rsidP="004611B9">
      <w:pPr>
        <w:pStyle w:val="NormalWeb"/>
        <w:spacing w:before="0" w:beforeAutospacing="0" w:after="0" w:afterAutospacing="0"/>
        <w:jc w:val="center"/>
        <w:rPr>
          <w:sz w:val="22"/>
          <w:szCs w:val="22"/>
        </w:rPr>
      </w:pPr>
      <w:r w:rsidRPr="00516D30">
        <w:rPr>
          <w:color w:val="000000"/>
          <w:sz w:val="22"/>
          <w:szCs w:val="22"/>
        </w:rPr>
        <w:t xml:space="preserve">Budget and Actual Expenditure (by result) </w:t>
      </w:r>
    </w:p>
    <w:p w:rsidR="000548CA" w:rsidRPr="00516D30" w:rsidRDefault="000548CA" w:rsidP="004611B9">
      <w:pPr>
        <w:pStyle w:val="NormalWeb"/>
        <w:spacing w:before="0" w:beforeAutospacing="0" w:after="0" w:afterAutospacing="0"/>
        <w:jc w:val="center"/>
        <w:rPr>
          <w:i/>
          <w:iCs/>
          <w:color w:val="000000"/>
          <w:sz w:val="22"/>
          <w:szCs w:val="22"/>
        </w:rPr>
      </w:pPr>
      <w:r w:rsidRPr="00516D30">
        <w:rPr>
          <w:i/>
          <w:iCs/>
          <w:color w:val="000000"/>
          <w:sz w:val="22"/>
          <w:szCs w:val="22"/>
        </w:rPr>
        <w:t>(</w:t>
      </w:r>
      <w:proofErr w:type="gramStart"/>
      <w:r w:rsidRPr="00516D30">
        <w:rPr>
          <w:i/>
          <w:iCs/>
          <w:color w:val="000000"/>
          <w:sz w:val="22"/>
          <w:szCs w:val="22"/>
        </w:rPr>
        <w:t>in</w:t>
      </w:r>
      <w:proofErr w:type="gramEnd"/>
      <w:r w:rsidRPr="00516D30">
        <w:rPr>
          <w:i/>
          <w:iCs/>
          <w:color w:val="000000"/>
          <w:sz w:val="22"/>
          <w:szCs w:val="22"/>
        </w:rPr>
        <w:t xml:space="preserve"> thousands of Swiss francs)</w:t>
      </w:r>
    </w:p>
    <w:p w:rsidR="000548CA" w:rsidRPr="00383D2D" w:rsidRDefault="000548CA" w:rsidP="004611B9">
      <w:pPr>
        <w:pStyle w:val="NormalWeb"/>
        <w:spacing w:before="0" w:beforeAutospacing="0" w:after="0" w:afterAutospacing="0"/>
        <w:jc w:val="center"/>
        <w:rPr>
          <w:sz w:val="20"/>
          <w:szCs w:val="20"/>
        </w:rPr>
      </w:pPr>
    </w:p>
    <w:p w:rsidR="000548CA" w:rsidRDefault="000548CA" w:rsidP="00CE4C9D">
      <w:pPr>
        <w:jc w:val="center"/>
      </w:pPr>
      <w:r w:rsidRPr="007C5A4D">
        <w:rPr>
          <w:noProof/>
        </w:rPr>
        <w:drawing>
          <wp:inline distT="0" distB="0" distL="0" distR="0" wp14:anchorId="4B897B6C" wp14:editId="7450B8F8">
            <wp:extent cx="5418161" cy="1265033"/>
            <wp:effectExtent l="0" t="0" r="0" b="0"/>
            <wp:docPr id="866" name="Picture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425799" cy="1266816"/>
                    </a:xfrm>
                    <a:prstGeom prst="rect">
                      <a:avLst/>
                    </a:prstGeom>
                    <a:noFill/>
                    <a:ln>
                      <a:noFill/>
                    </a:ln>
                  </pic:spPr>
                </pic:pic>
              </a:graphicData>
            </a:graphic>
          </wp:inline>
        </w:drawing>
      </w:r>
    </w:p>
    <w:p w:rsidR="000548CA" w:rsidRDefault="000548CA"/>
    <w:p w:rsidR="000548CA" w:rsidRDefault="000548CA"/>
    <w:p w:rsidR="000548CA" w:rsidRDefault="000548CA" w:rsidP="00383D2D">
      <w:pPr>
        <w:pStyle w:val="NormalWeb"/>
        <w:keepNext/>
        <w:keepLines/>
        <w:spacing w:before="0" w:beforeAutospacing="0" w:after="0" w:afterAutospacing="0"/>
        <w:jc w:val="center"/>
        <w:rPr>
          <w:color w:val="000000"/>
          <w:sz w:val="22"/>
          <w:szCs w:val="22"/>
        </w:rPr>
      </w:pPr>
    </w:p>
    <w:p w:rsidR="000548CA" w:rsidRDefault="000548CA" w:rsidP="00383D2D">
      <w:pPr>
        <w:pStyle w:val="NormalWeb"/>
        <w:keepNext/>
        <w:keepLines/>
        <w:spacing w:before="0" w:beforeAutospacing="0" w:after="0" w:afterAutospacing="0"/>
        <w:jc w:val="center"/>
        <w:rPr>
          <w:color w:val="000000"/>
          <w:sz w:val="22"/>
          <w:szCs w:val="22"/>
        </w:rPr>
      </w:pPr>
    </w:p>
    <w:p w:rsidR="000548CA" w:rsidRPr="00516D30" w:rsidRDefault="000548CA" w:rsidP="00383D2D">
      <w:pPr>
        <w:pStyle w:val="NormalWeb"/>
        <w:keepNext/>
        <w:keepLines/>
        <w:spacing w:before="0" w:beforeAutospacing="0" w:after="0" w:afterAutospacing="0"/>
        <w:jc w:val="center"/>
        <w:rPr>
          <w:sz w:val="22"/>
          <w:szCs w:val="22"/>
        </w:rPr>
      </w:pPr>
      <w:r w:rsidRPr="00516D30">
        <w:rPr>
          <w:color w:val="000000"/>
          <w:sz w:val="22"/>
          <w:szCs w:val="22"/>
        </w:rPr>
        <w:t xml:space="preserve">Budget and Actual Expenditure (personnel and non-personnel) </w:t>
      </w:r>
    </w:p>
    <w:p w:rsidR="000548CA" w:rsidRPr="00516D30" w:rsidRDefault="000548CA" w:rsidP="00383D2D">
      <w:pPr>
        <w:pStyle w:val="NormalWeb"/>
        <w:keepNext/>
        <w:keepLines/>
        <w:spacing w:before="0" w:beforeAutospacing="0" w:after="0" w:afterAutospacing="0"/>
        <w:jc w:val="center"/>
        <w:rPr>
          <w:i/>
          <w:iCs/>
          <w:color w:val="000000"/>
          <w:sz w:val="22"/>
          <w:szCs w:val="22"/>
        </w:rPr>
      </w:pPr>
      <w:r w:rsidRPr="00516D30">
        <w:rPr>
          <w:i/>
          <w:iCs/>
          <w:color w:val="000000"/>
          <w:sz w:val="22"/>
          <w:szCs w:val="22"/>
        </w:rPr>
        <w:t>(</w:t>
      </w:r>
      <w:proofErr w:type="gramStart"/>
      <w:r w:rsidRPr="00516D30">
        <w:rPr>
          <w:i/>
          <w:iCs/>
          <w:color w:val="000000"/>
          <w:sz w:val="22"/>
          <w:szCs w:val="22"/>
        </w:rPr>
        <w:t>in</w:t>
      </w:r>
      <w:proofErr w:type="gramEnd"/>
      <w:r w:rsidRPr="00516D30">
        <w:rPr>
          <w:i/>
          <w:iCs/>
          <w:color w:val="000000"/>
          <w:sz w:val="22"/>
          <w:szCs w:val="22"/>
        </w:rPr>
        <w:t xml:space="preserve"> thousands of Swiss francs)</w:t>
      </w:r>
    </w:p>
    <w:p w:rsidR="000548CA" w:rsidRDefault="000548CA" w:rsidP="00383D2D">
      <w:pPr>
        <w:pStyle w:val="NormalWeb"/>
        <w:keepNext/>
        <w:keepLines/>
        <w:spacing w:before="0" w:beforeAutospacing="0" w:after="0" w:afterAutospacing="0"/>
        <w:jc w:val="center"/>
      </w:pPr>
    </w:p>
    <w:p w:rsidR="000548CA" w:rsidRDefault="000548CA" w:rsidP="00CE4C9D">
      <w:pPr>
        <w:jc w:val="center"/>
        <w:rPr>
          <w:sz w:val="16"/>
          <w:szCs w:val="16"/>
        </w:rPr>
      </w:pPr>
      <w:r w:rsidRPr="007C5A4D">
        <w:rPr>
          <w:noProof/>
        </w:rPr>
        <w:drawing>
          <wp:inline distT="0" distB="0" distL="0" distR="0" wp14:anchorId="57D50105" wp14:editId="2195117B">
            <wp:extent cx="5356747" cy="1214727"/>
            <wp:effectExtent l="0" t="0" r="0" b="5080"/>
            <wp:docPr id="867" name="Picture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367829" cy="1217240"/>
                    </a:xfrm>
                    <a:prstGeom prst="rect">
                      <a:avLst/>
                    </a:prstGeom>
                    <a:noFill/>
                    <a:ln>
                      <a:noFill/>
                    </a:ln>
                  </pic:spPr>
                </pic:pic>
              </a:graphicData>
            </a:graphic>
          </wp:inline>
        </w:drawing>
      </w:r>
    </w:p>
    <w:p w:rsidR="000548CA" w:rsidRPr="004312A2" w:rsidRDefault="000548CA" w:rsidP="00DD012F">
      <w:pPr>
        <w:keepNext/>
        <w:autoSpaceDE w:val="0"/>
        <w:autoSpaceDN w:val="0"/>
        <w:rPr>
          <w:sz w:val="16"/>
          <w:szCs w:val="16"/>
        </w:rPr>
      </w:pPr>
      <w:r w:rsidRPr="00B92955">
        <w:rPr>
          <w:i/>
          <w:sz w:val="16"/>
          <w:szCs w:val="16"/>
        </w:rPr>
        <w:t>NOTE: The 2014/15 Budget after Transfers reflects transfers as of March 31, 2015 to address needs during the 2014/15 biennium in line with Financial Regulation 5.5</w:t>
      </w:r>
      <w:r w:rsidRPr="0030495E">
        <w:rPr>
          <w:sz w:val="16"/>
          <w:szCs w:val="16"/>
        </w:rPr>
        <w:t>.</w:t>
      </w:r>
    </w:p>
    <w:p w:rsidR="000548CA" w:rsidRPr="004312A2" w:rsidRDefault="000548CA" w:rsidP="00DD012F">
      <w:pPr>
        <w:keepNext/>
        <w:autoSpaceDE w:val="0"/>
        <w:autoSpaceDN w:val="0"/>
        <w:rPr>
          <w:sz w:val="16"/>
          <w:szCs w:val="16"/>
        </w:rPr>
      </w:pPr>
    </w:p>
    <w:p w:rsidR="000548CA" w:rsidRPr="00516D30" w:rsidRDefault="000548CA" w:rsidP="00420F90">
      <w:pPr>
        <w:widowControl w:val="0"/>
        <w:autoSpaceDE w:val="0"/>
        <w:autoSpaceDN w:val="0"/>
        <w:adjustRightInd w:val="0"/>
        <w:rPr>
          <w:rFonts w:cs="Arial"/>
          <w:sz w:val="22"/>
          <w:szCs w:val="22"/>
        </w:rPr>
      </w:pPr>
    </w:p>
    <w:p w:rsidR="000548CA" w:rsidRPr="00516D30" w:rsidRDefault="000548CA" w:rsidP="00A93FCA">
      <w:pPr>
        <w:rPr>
          <w:rFonts w:cs="Arial"/>
          <w:sz w:val="22"/>
          <w:szCs w:val="22"/>
          <w:u w:val="single"/>
        </w:rPr>
      </w:pPr>
      <w:r w:rsidRPr="00516D30">
        <w:rPr>
          <w:rFonts w:cs="Arial"/>
          <w:sz w:val="22"/>
          <w:szCs w:val="22"/>
        </w:rPr>
        <w:t>A.</w:t>
      </w:r>
      <w:r w:rsidRPr="00516D30">
        <w:rPr>
          <w:rFonts w:cs="Arial"/>
          <w:sz w:val="22"/>
          <w:szCs w:val="22"/>
        </w:rPr>
        <w:tab/>
      </w:r>
      <w:r w:rsidRPr="00516D30">
        <w:rPr>
          <w:rFonts w:cs="Arial"/>
          <w:sz w:val="22"/>
          <w:szCs w:val="22"/>
          <w:u w:val="single"/>
        </w:rPr>
        <w:t>Budget after Transfers 2014/15</w:t>
      </w:r>
    </w:p>
    <w:p w:rsidR="000548CA" w:rsidRPr="00516D30" w:rsidRDefault="000548CA" w:rsidP="00A93FCA">
      <w:pPr>
        <w:rPr>
          <w:rFonts w:cs="Arial"/>
          <w:sz w:val="22"/>
          <w:szCs w:val="22"/>
          <w:u w:val="single"/>
        </w:rPr>
      </w:pPr>
    </w:p>
    <w:p w:rsidR="000548CA" w:rsidRDefault="000548CA" w:rsidP="000548CA">
      <w:pPr>
        <w:pStyle w:val="ListParagraph"/>
        <w:numPr>
          <w:ilvl w:val="0"/>
          <w:numId w:val="99"/>
        </w:numPr>
        <w:tabs>
          <w:tab w:val="left" w:pos="709"/>
        </w:tabs>
        <w:autoSpaceDE w:val="0"/>
        <w:autoSpaceDN w:val="0"/>
        <w:adjustRightInd w:val="0"/>
        <w:ind w:left="0" w:firstLine="0"/>
        <w:jc w:val="both"/>
      </w:pPr>
      <w:r>
        <w:t xml:space="preserve">The decrease in personnel resources in the 2014/15 Budget after Transfers is primarily due to the redeployment of personnel resources from the Program to meet the needs </w:t>
      </w:r>
      <w:r>
        <w:rPr>
          <w:lang w:eastAsia="ko-KR"/>
        </w:rPr>
        <w:t>related to WIPO platforms and IT applications across the Development Sector. This was compensated by the redeployment of personnel resources into the Program following the transition in the management of the Academy towards the end of 2014. This resulted in a net increase of one post in the Academy compared to the 2014/15 Approved Budget.  </w:t>
      </w:r>
    </w:p>
    <w:p w:rsidR="000548CA" w:rsidRPr="00516D30" w:rsidRDefault="000548CA" w:rsidP="00CE4C9D">
      <w:pPr>
        <w:autoSpaceDE w:val="0"/>
        <w:autoSpaceDN w:val="0"/>
        <w:jc w:val="both"/>
        <w:rPr>
          <w:rFonts w:cs="Arial"/>
          <w:sz w:val="22"/>
          <w:szCs w:val="22"/>
          <w:lang w:eastAsia="ko-KR"/>
        </w:rPr>
      </w:pPr>
    </w:p>
    <w:p w:rsidR="000548CA" w:rsidRPr="00516D30" w:rsidRDefault="000548CA" w:rsidP="00CE4C9D">
      <w:pPr>
        <w:jc w:val="both"/>
        <w:rPr>
          <w:rFonts w:cs="Arial"/>
          <w:sz w:val="22"/>
          <w:szCs w:val="22"/>
          <w:u w:val="single"/>
          <w:lang w:eastAsia="ko-KR"/>
        </w:rPr>
      </w:pPr>
      <w:r w:rsidRPr="00516D30">
        <w:rPr>
          <w:rFonts w:cs="Arial"/>
          <w:sz w:val="22"/>
          <w:szCs w:val="22"/>
          <w:lang w:eastAsia="ko-KR"/>
        </w:rPr>
        <w:t>B.</w:t>
      </w:r>
      <w:r w:rsidRPr="00516D30">
        <w:rPr>
          <w:rFonts w:cs="Arial"/>
          <w:sz w:val="22"/>
          <w:szCs w:val="22"/>
          <w:lang w:eastAsia="ko-KR"/>
        </w:rPr>
        <w:tab/>
      </w:r>
      <w:r w:rsidRPr="00516D30">
        <w:rPr>
          <w:rFonts w:cs="Arial"/>
          <w:sz w:val="22"/>
          <w:szCs w:val="22"/>
          <w:u w:val="single"/>
          <w:lang w:eastAsia="ko-KR"/>
        </w:rPr>
        <w:t>Budget utilization 2014</w:t>
      </w:r>
    </w:p>
    <w:p w:rsidR="000548CA" w:rsidRPr="00516D30" w:rsidRDefault="000548CA" w:rsidP="00383D2D">
      <w:pPr>
        <w:tabs>
          <w:tab w:val="left" w:pos="709"/>
        </w:tabs>
        <w:jc w:val="both"/>
        <w:rPr>
          <w:rFonts w:cs="Arial"/>
          <w:sz w:val="22"/>
          <w:szCs w:val="22"/>
          <w:u w:val="single"/>
          <w:lang w:eastAsia="ko-KR"/>
        </w:rPr>
      </w:pPr>
    </w:p>
    <w:p w:rsidR="000548CA" w:rsidRPr="006D1EA0" w:rsidRDefault="000548CA" w:rsidP="000548CA">
      <w:pPr>
        <w:pStyle w:val="ListParagraph"/>
        <w:numPr>
          <w:ilvl w:val="0"/>
          <w:numId w:val="99"/>
        </w:numPr>
        <w:tabs>
          <w:tab w:val="left" w:pos="709"/>
        </w:tabs>
        <w:autoSpaceDE w:val="0"/>
        <w:autoSpaceDN w:val="0"/>
        <w:adjustRightInd w:val="0"/>
        <w:ind w:left="0" w:firstLine="0"/>
        <w:jc w:val="both"/>
        <w:rPr>
          <w:rFonts w:cs="Arial"/>
          <w:color w:val="000000"/>
        </w:rPr>
      </w:pPr>
      <w:r w:rsidRPr="006D1EA0">
        <w:rPr>
          <w:rFonts w:cs="Arial"/>
          <w:color w:val="000000"/>
        </w:rPr>
        <w:t xml:space="preserve">Budget utilization is within the expected range of 40-60 per cent for the first year of the biennium and is on track. </w:t>
      </w:r>
    </w:p>
    <w:p w:rsidR="000548CA" w:rsidRPr="00516D30" w:rsidRDefault="000548CA" w:rsidP="00CE4C9D">
      <w:pPr>
        <w:autoSpaceDE w:val="0"/>
        <w:autoSpaceDN w:val="0"/>
        <w:jc w:val="both"/>
        <w:rPr>
          <w:sz w:val="22"/>
          <w:szCs w:val="22"/>
        </w:rPr>
      </w:pPr>
    </w:p>
    <w:p w:rsidR="00136AA7" w:rsidRDefault="00136AA7"/>
    <w:p w:rsidR="00136AA7" w:rsidRDefault="00136AA7"/>
    <w:p w:rsidR="00136AA7" w:rsidRDefault="00136AA7">
      <w:r>
        <w:br w:type="page"/>
      </w:r>
    </w:p>
    <w:p w:rsidR="00136AA7" w:rsidRPr="00767A15" w:rsidRDefault="00136AA7" w:rsidP="00136AA7">
      <w:pPr>
        <w:pStyle w:val="Heading2"/>
        <w:tabs>
          <w:tab w:val="clear" w:pos="567"/>
          <w:tab w:val="left" w:pos="1985"/>
        </w:tabs>
        <w:ind w:left="1985" w:hanging="1985"/>
        <w:rPr>
          <w:sz w:val="20"/>
          <w:szCs w:val="20"/>
        </w:rPr>
      </w:pPr>
      <w:bookmarkStart w:id="67" w:name="_Toc422210494"/>
      <w:r w:rsidRPr="00767A15">
        <w:rPr>
          <w:sz w:val="20"/>
          <w:szCs w:val="20"/>
        </w:rPr>
        <w:lastRenderedPageBreak/>
        <w:t>PROGRAM 30</w:t>
      </w:r>
      <w:r w:rsidRPr="00767A15">
        <w:rPr>
          <w:sz w:val="20"/>
          <w:szCs w:val="20"/>
        </w:rPr>
        <w:tab/>
        <w:t>SMALL AND MEDIUM-SIZED ENTERPRISES (SMES) AND INNOVATION</w:t>
      </w:r>
      <w:bookmarkEnd w:id="67"/>
    </w:p>
    <w:p w:rsidR="00136AA7" w:rsidRPr="00767A15" w:rsidRDefault="00136AA7" w:rsidP="00136AA7">
      <w:pPr>
        <w:ind w:left="1985" w:hanging="1985"/>
        <w:rPr>
          <w:szCs w:val="20"/>
        </w:rPr>
      </w:pPr>
    </w:p>
    <w:p w:rsidR="00136AA7" w:rsidRPr="00767A15" w:rsidRDefault="00136AA7" w:rsidP="00136AA7">
      <w:pPr>
        <w:ind w:left="1985" w:hanging="1985"/>
        <w:rPr>
          <w:b/>
          <w:szCs w:val="20"/>
        </w:rPr>
      </w:pPr>
      <w:r w:rsidRPr="00767A15">
        <w:rPr>
          <w:b/>
          <w:szCs w:val="20"/>
        </w:rPr>
        <w:t>Program Manager</w:t>
      </w:r>
      <w:r w:rsidRPr="00767A15">
        <w:rPr>
          <w:b/>
          <w:szCs w:val="20"/>
        </w:rPr>
        <w:tab/>
        <w:t>DIRECTOR GENERAL</w:t>
      </w:r>
    </w:p>
    <w:p w:rsidR="00136AA7" w:rsidRPr="008F4A6D" w:rsidRDefault="00136AA7" w:rsidP="000E148D">
      <w:pPr>
        <w:rPr>
          <w:szCs w:val="20"/>
        </w:rPr>
      </w:pPr>
    </w:p>
    <w:p w:rsidR="00136AA7" w:rsidRDefault="00136AA7" w:rsidP="00CE4C9D">
      <w:pPr>
        <w:tabs>
          <w:tab w:val="left" w:pos="720"/>
        </w:tabs>
        <w:rPr>
          <w:rFonts w:cs="Arial"/>
        </w:rPr>
      </w:pPr>
    </w:p>
    <w:p w:rsidR="00136AA7" w:rsidRPr="005E6AFC" w:rsidRDefault="00136AA7" w:rsidP="00CE4C9D">
      <w:pPr>
        <w:rPr>
          <w:bCs/>
          <w:sz w:val="22"/>
          <w:szCs w:val="22"/>
        </w:rPr>
      </w:pPr>
      <w:r>
        <w:rPr>
          <w:bCs/>
          <w:sz w:val="22"/>
          <w:szCs w:val="22"/>
        </w:rPr>
        <w:t>OVERVIEW OF PROGRESS IN 2014</w:t>
      </w:r>
    </w:p>
    <w:p w:rsidR="00136AA7" w:rsidRPr="00383D2D" w:rsidRDefault="00136AA7" w:rsidP="00CE4C9D">
      <w:pPr>
        <w:rPr>
          <w:szCs w:val="20"/>
        </w:rPr>
      </w:pPr>
    </w:p>
    <w:p w:rsidR="00136AA7" w:rsidRPr="00383D2D" w:rsidRDefault="00136AA7" w:rsidP="00CE4C9D">
      <w:pPr>
        <w:jc w:val="both"/>
        <w:rPr>
          <w:rFonts w:cs="Arial"/>
          <w:szCs w:val="20"/>
        </w:rPr>
      </w:pPr>
    </w:p>
    <w:p w:rsidR="00136AA7" w:rsidRPr="00BE72D1" w:rsidRDefault="00136AA7" w:rsidP="00CE4C9D">
      <w:pPr>
        <w:rPr>
          <w:rFonts w:cs="Arial"/>
          <w:szCs w:val="20"/>
        </w:rPr>
      </w:pPr>
      <w:r w:rsidRPr="00BE72D1">
        <w:rPr>
          <w:rFonts w:cs="Arial"/>
          <w:szCs w:val="20"/>
        </w:rPr>
        <w:t>SMALL AND MEDIUM-SIZED ENTERPRISES</w:t>
      </w:r>
    </w:p>
    <w:p w:rsidR="00136AA7" w:rsidRPr="00BE72D1" w:rsidRDefault="00136AA7" w:rsidP="00CE4C9D">
      <w:pPr>
        <w:rPr>
          <w:rFonts w:cs="Arial"/>
          <w:szCs w:val="20"/>
        </w:rPr>
      </w:pPr>
    </w:p>
    <w:p w:rsidR="00136AA7" w:rsidRDefault="00136AA7" w:rsidP="00136AA7">
      <w:pPr>
        <w:pStyle w:val="ListParagraph"/>
        <w:numPr>
          <w:ilvl w:val="0"/>
          <w:numId w:val="93"/>
        </w:numPr>
        <w:tabs>
          <w:tab w:val="left" w:pos="709"/>
        </w:tabs>
        <w:ind w:left="0" w:firstLine="0"/>
        <w:jc w:val="both"/>
      </w:pPr>
      <w:r>
        <w:t xml:space="preserve">Work continued in cooperation with national and regional IP Offices and other institutions in assisting entrepreneurs and SMEs in using the IP system, primarily through (a) adapting and/or translating content on IP for business to the local context, and (b) training of trainers programs.  With respect to the latter, 15 programs on effective IP asset management by SMEs, benefitting over 561 participants, were organized, aiming at creating a critical mass of trainers in specific countries with knowledge, skills and experience to provide basic assistance to SMEs on IP asset management.  The Program also contributed to the promotion of women’s empowerment in IP.  To this end, the International Workshop for Women Inventors and Entrepreneurs was organized by WIPO, the Korean Intellectual Property Office (KIPO) and the Korea Women Inventors Association (KWIA), in which 137 women inventors and entrepreneurs from 17 countries participated. </w:t>
      </w:r>
    </w:p>
    <w:p w:rsidR="00136AA7" w:rsidRDefault="00136AA7" w:rsidP="00136AA7">
      <w:pPr>
        <w:pStyle w:val="ListParagraph"/>
        <w:tabs>
          <w:tab w:val="left" w:pos="709"/>
        </w:tabs>
        <w:ind w:left="0"/>
        <w:jc w:val="both"/>
      </w:pPr>
    </w:p>
    <w:p w:rsidR="00136AA7" w:rsidRPr="00E85A49" w:rsidRDefault="00136AA7" w:rsidP="00136AA7">
      <w:pPr>
        <w:pStyle w:val="ListParagraph"/>
        <w:numPr>
          <w:ilvl w:val="0"/>
          <w:numId w:val="93"/>
        </w:numPr>
        <w:tabs>
          <w:tab w:val="left" w:pos="709"/>
        </w:tabs>
        <w:ind w:left="0" w:firstLine="0"/>
        <w:jc w:val="both"/>
      </w:pPr>
      <w:r w:rsidRPr="00CD4CAD">
        <w:t xml:space="preserve">In 2014, a new book on </w:t>
      </w:r>
      <w:r w:rsidRPr="006C688C">
        <w:rPr>
          <w:i/>
        </w:rPr>
        <w:t>Confidence - An Introduction to Trade Secrets for Small and Medium-sized Enterprises</w:t>
      </w:r>
      <w:r>
        <w:t xml:space="preserve"> was finalized.  Another new publication, </w:t>
      </w:r>
      <w:r>
        <w:rPr>
          <w:rFonts w:cs="Arial"/>
          <w:i/>
          <w:iCs/>
        </w:rPr>
        <w:t>Beyond Taste: Intellectual Property for Healthy Agro-Food SMEs</w:t>
      </w:r>
      <w:r>
        <w:t xml:space="preserve">, and updated versions of three former publications (namely </w:t>
      </w:r>
      <w:r w:rsidRPr="00BD62DE">
        <w:rPr>
          <w:i/>
        </w:rPr>
        <w:t>Making a Mark - An Introduction to Trademarks for Small and Medium-Sized Enterprises</w:t>
      </w:r>
      <w:r>
        <w:t xml:space="preserve">; </w:t>
      </w:r>
      <w:r w:rsidRPr="00BD62DE">
        <w:rPr>
          <w:i/>
        </w:rPr>
        <w:t>Inventing the Future - An Introduction to Patents for Small and Medium-sized Enterprises</w:t>
      </w:r>
      <w:r>
        <w:t xml:space="preserve">; and </w:t>
      </w:r>
      <w:r w:rsidRPr="00BD62DE">
        <w:rPr>
          <w:i/>
        </w:rPr>
        <w:t>A Stitch in Time - Smart Use of Intellectual Property by Textile Companies</w:t>
      </w:r>
      <w:r>
        <w:t xml:space="preserve">) were awaiting approval for publication.  </w:t>
      </w:r>
      <w:r w:rsidRPr="00D85C38">
        <w:t>A</w:t>
      </w:r>
      <w:r>
        <w:t xml:space="preserve"> </w:t>
      </w:r>
      <w:r w:rsidRPr="00D85C38">
        <w:t xml:space="preserve">book </w:t>
      </w:r>
      <w:r>
        <w:t>entitled</w:t>
      </w:r>
      <w:r>
        <w:rPr>
          <w:i/>
        </w:rPr>
        <w:t xml:space="preserve"> </w:t>
      </w:r>
      <w:r w:rsidRPr="006C688C">
        <w:rPr>
          <w:i/>
        </w:rPr>
        <w:t>Intellectual Capital Readiness: The Use of Intangibles to Access Capital Markets – An Introduction for Business and Investors</w:t>
      </w:r>
      <w:r w:rsidRPr="00D85C38">
        <w:t>, originally completed in 2012, was updated in preparation for publication in 2015</w:t>
      </w:r>
      <w:r>
        <w:t xml:space="preserve">, and an additional new guide on IP and Finance was prepared and is under final review.  </w:t>
      </w:r>
      <w:r w:rsidRPr="005443CC">
        <w:t xml:space="preserve">WIPO also contributed </w:t>
      </w:r>
      <w:r>
        <w:t xml:space="preserve">to an initial draft of a book </w:t>
      </w:r>
      <w:r w:rsidRPr="00CD4CAD">
        <w:t xml:space="preserve">on </w:t>
      </w:r>
      <w:r w:rsidRPr="006C688C">
        <w:rPr>
          <w:i/>
        </w:rPr>
        <w:t>Leveraging Intellectual Property as a Strategic Business Asset (Strategic IP Management)</w:t>
      </w:r>
      <w:r>
        <w:rPr>
          <w:rStyle w:val="FootnoteReference"/>
        </w:rPr>
        <w:footnoteReference w:id="37"/>
      </w:r>
      <w:r w:rsidRPr="00CD4CAD">
        <w:t>.</w:t>
      </w:r>
    </w:p>
    <w:p w:rsidR="00136AA7" w:rsidRDefault="00136AA7" w:rsidP="00136AA7">
      <w:pPr>
        <w:pStyle w:val="ListParagraph"/>
        <w:tabs>
          <w:tab w:val="left" w:pos="709"/>
        </w:tabs>
        <w:ind w:left="0"/>
        <w:jc w:val="both"/>
      </w:pPr>
    </w:p>
    <w:p w:rsidR="00136AA7" w:rsidRPr="00C86EC1" w:rsidRDefault="00136AA7" w:rsidP="00136AA7">
      <w:pPr>
        <w:pStyle w:val="ListParagraph"/>
        <w:numPr>
          <w:ilvl w:val="0"/>
          <w:numId w:val="93"/>
        </w:numPr>
        <w:tabs>
          <w:tab w:val="left" w:pos="0"/>
          <w:tab w:val="left" w:pos="709"/>
        </w:tabs>
        <w:ind w:left="0" w:firstLine="0"/>
        <w:jc w:val="both"/>
        <w:rPr>
          <w:rFonts w:cs="Arial"/>
        </w:rPr>
      </w:pPr>
      <w:r>
        <w:t>An online international certificate course on IP asset management for business success based on IP PANORAMA</w:t>
      </w:r>
      <w:r>
        <w:rPr>
          <w:vertAlign w:val="superscript"/>
        </w:rPr>
        <w:t>TM</w:t>
      </w:r>
      <w:r>
        <w:t xml:space="preserve"> was taken by 709 students, and 38 students participated subsequently in an offline program on IP asset management held in Seoul, Republic of Korea, prepared by WIPO and implemented in a coordinated fashion by WIPO, KIPO, the Korea Invention Promotion Association (KIPA) and the </w:t>
      </w:r>
      <w:r w:rsidRPr="00C7000C">
        <w:t>Korea Advanced Institute of Science and Technology</w:t>
      </w:r>
      <w:r>
        <w:t xml:space="preserve"> (KAIST). </w:t>
      </w:r>
    </w:p>
    <w:p w:rsidR="00136AA7" w:rsidRDefault="00136AA7" w:rsidP="00136AA7">
      <w:pPr>
        <w:pStyle w:val="ListParagraph"/>
        <w:tabs>
          <w:tab w:val="left" w:pos="709"/>
        </w:tabs>
        <w:ind w:left="0"/>
        <w:jc w:val="both"/>
      </w:pPr>
    </w:p>
    <w:p w:rsidR="00136AA7" w:rsidRDefault="00136AA7" w:rsidP="00F60CAF">
      <w:pPr>
        <w:pStyle w:val="ListParagraph"/>
        <w:numPr>
          <w:ilvl w:val="0"/>
          <w:numId w:val="93"/>
        </w:numPr>
        <w:tabs>
          <w:tab w:val="left" w:pos="709"/>
        </w:tabs>
        <w:ind w:left="0" w:firstLine="0"/>
        <w:jc w:val="both"/>
      </w:pPr>
      <w:r>
        <w:t>Efforts to reach out directly to SMEs continued via the SMEs website in the six UN languages and the monthly e-newsletter, which was distributed to over 40,000 subscribers worldwide.  Five new case studies on IP for SMEs were created on the following topics: (</w:t>
      </w:r>
      <w:proofErr w:type="spellStart"/>
      <w:r>
        <w:t>i</w:t>
      </w:r>
      <w:proofErr w:type="spellEnd"/>
      <w:r>
        <w:t xml:space="preserve">) </w:t>
      </w:r>
      <w:r w:rsidRPr="006A4023">
        <w:t xml:space="preserve">Ezequiel </w:t>
      </w:r>
      <w:proofErr w:type="spellStart"/>
      <w:r w:rsidRPr="006A4023">
        <w:t>Farca</w:t>
      </w:r>
      <w:proofErr w:type="spellEnd"/>
      <w:r w:rsidRPr="006A4023">
        <w:t xml:space="preserve"> (Mexico); </w:t>
      </w:r>
      <w:r>
        <w:t xml:space="preserve"> </w:t>
      </w:r>
      <w:r w:rsidRPr="006A4023">
        <w:t xml:space="preserve">(ii) </w:t>
      </w:r>
      <w:proofErr w:type="spellStart"/>
      <w:r w:rsidRPr="00F60CAF">
        <w:t>Haldiram</w:t>
      </w:r>
      <w:proofErr w:type="spellEnd"/>
      <w:r w:rsidRPr="00F60CAF">
        <w:t xml:space="preserve"> (India), (iii) </w:t>
      </w:r>
      <w:proofErr w:type="spellStart"/>
      <w:r w:rsidRPr="00F60CAF">
        <w:t>Wondereight</w:t>
      </w:r>
      <w:proofErr w:type="spellEnd"/>
      <w:r w:rsidRPr="00F60CAF">
        <w:t xml:space="preserve"> (Lebanon); (iv)</w:t>
      </w:r>
      <w:r>
        <w:t xml:space="preserve">, </w:t>
      </w:r>
      <w:r w:rsidRPr="001C55A7">
        <w:t>Developing Affordable Software for Small Businesses:  HSCO LLP</w:t>
      </w:r>
      <w:r>
        <w:t xml:space="preserve"> (</w:t>
      </w:r>
      <w:r w:rsidRPr="001C55A7">
        <w:t>UK/Jordan</w:t>
      </w:r>
      <w:r>
        <w:t>);</w:t>
      </w:r>
      <w:r w:rsidRPr="001C55A7">
        <w:t xml:space="preserve"> and</w:t>
      </w:r>
      <w:r>
        <w:t xml:space="preserve"> (v) </w:t>
      </w:r>
      <w:r w:rsidRPr="001C55A7">
        <w:t xml:space="preserve">Ensuring the Safe Flow of Energy </w:t>
      </w:r>
      <w:r>
        <w:t>-</w:t>
      </w:r>
      <w:r w:rsidRPr="001C55A7">
        <w:t xml:space="preserve"> </w:t>
      </w:r>
      <w:proofErr w:type="spellStart"/>
      <w:r w:rsidRPr="001C55A7">
        <w:t>PipeWay</w:t>
      </w:r>
      <w:proofErr w:type="spellEnd"/>
      <w:r w:rsidRPr="001C55A7">
        <w:t xml:space="preserve"> </w:t>
      </w:r>
      <w:proofErr w:type="spellStart"/>
      <w:r w:rsidRPr="001C55A7">
        <w:t>Engenharia</w:t>
      </w:r>
      <w:proofErr w:type="spellEnd"/>
      <w:r>
        <w:t xml:space="preserve"> (</w:t>
      </w:r>
      <w:r w:rsidRPr="001C55A7">
        <w:t>Brazil</w:t>
      </w:r>
      <w:r>
        <w:t>), of which the last two were published in IP Advantage.</w:t>
      </w:r>
    </w:p>
    <w:p w:rsidR="00136AA7" w:rsidRDefault="00136AA7" w:rsidP="00136AA7">
      <w:pPr>
        <w:pStyle w:val="ListParagraph"/>
        <w:tabs>
          <w:tab w:val="left" w:pos="709"/>
        </w:tabs>
        <w:ind w:left="0"/>
      </w:pPr>
    </w:p>
    <w:p w:rsidR="00136AA7" w:rsidRDefault="00136AA7" w:rsidP="00136AA7">
      <w:pPr>
        <w:pStyle w:val="ListParagraph"/>
        <w:numPr>
          <w:ilvl w:val="0"/>
          <w:numId w:val="93"/>
        </w:numPr>
        <w:tabs>
          <w:tab w:val="left" w:pos="0"/>
          <w:tab w:val="left" w:pos="709"/>
        </w:tabs>
        <w:ind w:left="0" w:firstLine="0"/>
        <w:jc w:val="both"/>
      </w:pPr>
      <w:r w:rsidRPr="00D85C38">
        <w:rPr>
          <w:rFonts w:cs="Arial"/>
          <w:bCs/>
        </w:rPr>
        <w:t>In line with DA Recommendations 1, 4, 10 and 11, the Program organized or participated in 20</w:t>
      </w:r>
      <w:r>
        <w:rPr>
          <w:rFonts w:cs="Arial"/>
          <w:bCs/>
        </w:rPr>
        <w:t> </w:t>
      </w:r>
      <w:r w:rsidRPr="00D85C38">
        <w:rPr>
          <w:rFonts w:cs="Arial"/>
          <w:bCs/>
        </w:rPr>
        <w:t xml:space="preserve">SME-related seminars, workshops or training of trainers programs on IP management in 19 countries, mostly developing countries and LDCs in Africa, the Arab region, Asia and the Pacific and Latin America and the Caribbean. </w:t>
      </w:r>
      <w:r>
        <w:rPr>
          <w:rFonts w:cs="Arial"/>
          <w:bCs/>
        </w:rPr>
        <w:t xml:space="preserve"> </w:t>
      </w:r>
      <w:r w:rsidRPr="00D85C38">
        <w:rPr>
          <w:rFonts w:cs="Arial"/>
          <w:bCs/>
        </w:rPr>
        <w:t xml:space="preserve">These programs benefitted over 900 representatives of SMEs and SME support institutions from 50 countries, including 15 LDCs and 35 developing countries and transition economies.  </w:t>
      </w:r>
      <w:r w:rsidRPr="00D85C38">
        <w:rPr>
          <w:rFonts w:cs="Arial"/>
        </w:rPr>
        <w:t>Taking a larger lead role, the IP Offices and/or the chambers of commerce of the concerned Member States were closely involved during the planning stages and made substantial contributions during the development and implementation stages of the programs, including in the selection of speakers and the program topics.  In addition, the training of trainers program included a round table discussion on the subject of IP awareness and use by SMEs, which identified the challenges facing local SMEs and SME</w:t>
      </w:r>
      <w:r>
        <w:rPr>
          <w:rFonts w:cs="Arial"/>
        </w:rPr>
        <w:noBreakHyphen/>
      </w:r>
      <w:r w:rsidRPr="00D85C38">
        <w:rPr>
          <w:rFonts w:cs="Arial"/>
        </w:rPr>
        <w:t xml:space="preserve">support institutions, and proposed a road map to address those challenges, in line with Recommendation 4.  </w:t>
      </w:r>
    </w:p>
    <w:p w:rsidR="00136AA7" w:rsidRPr="00C86EC1" w:rsidRDefault="00136AA7" w:rsidP="00136AA7">
      <w:pPr>
        <w:pStyle w:val="ListParagraph"/>
        <w:tabs>
          <w:tab w:val="left" w:pos="0"/>
          <w:tab w:val="left" w:pos="709"/>
        </w:tabs>
        <w:ind w:left="0"/>
        <w:jc w:val="both"/>
        <w:rPr>
          <w:rFonts w:cs="Arial"/>
        </w:rPr>
      </w:pPr>
    </w:p>
    <w:p w:rsidR="00136AA7" w:rsidRPr="00852778" w:rsidRDefault="00136AA7" w:rsidP="00CE4C9D">
      <w:pPr>
        <w:pStyle w:val="ListParagraph"/>
        <w:tabs>
          <w:tab w:val="left" w:pos="0"/>
          <w:tab w:val="left" w:pos="709"/>
        </w:tabs>
        <w:ind w:left="0"/>
        <w:jc w:val="both"/>
        <w:rPr>
          <w:rFonts w:cs="Arial"/>
          <w:lang w:val="en-GB"/>
        </w:rPr>
      </w:pPr>
    </w:p>
    <w:p w:rsidR="00136AA7" w:rsidRPr="00852778" w:rsidRDefault="00136AA7" w:rsidP="00CE4C9D">
      <w:pPr>
        <w:autoSpaceDE w:val="0"/>
        <w:autoSpaceDN w:val="0"/>
        <w:adjustRightInd w:val="0"/>
        <w:jc w:val="both"/>
        <w:rPr>
          <w:rFonts w:cs="Arial"/>
          <w:caps/>
          <w:szCs w:val="20"/>
        </w:rPr>
      </w:pPr>
      <w:r w:rsidRPr="00852778">
        <w:rPr>
          <w:rFonts w:cs="Arial"/>
          <w:caps/>
          <w:szCs w:val="20"/>
        </w:rPr>
        <w:t>Innovation Policy</w:t>
      </w:r>
    </w:p>
    <w:p w:rsidR="00136AA7" w:rsidRPr="00852778" w:rsidRDefault="00136AA7" w:rsidP="00136AA7">
      <w:pPr>
        <w:pStyle w:val="ListParagraph"/>
        <w:tabs>
          <w:tab w:val="left" w:pos="0"/>
          <w:tab w:val="left" w:pos="709"/>
        </w:tabs>
        <w:ind w:left="0"/>
        <w:jc w:val="both"/>
        <w:rPr>
          <w:rFonts w:cs="Arial"/>
          <w:caps/>
          <w:lang w:val="en-GB"/>
        </w:rPr>
      </w:pPr>
    </w:p>
    <w:p w:rsidR="00136AA7" w:rsidRDefault="00136AA7" w:rsidP="00136AA7">
      <w:pPr>
        <w:pStyle w:val="ListParagraph"/>
        <w:numPr>
          <w:ilvl w:val="0"/>
          <w:numId w:val="93"/>
        </w:numPr>
        <w:tabs>
          <w:tab w:val="left" w:pos="0"/>
          <w:tab w:val="left" w:pos="709"/>
        </w:tabs>
        <w:ind w:left="0" w:firstLine="0"/>
        <w:jc w:val="both"/>
        <w:rPr>
          <w:rFonts w:cs="Arial"/>
        </w:rPr>
      </w:pPr>
      <w:r>
        <w:rPr>
          <w:rFonts w:cs="Arial"/>
          <w:lang w:val="en-GB"/>
        </w:rPr>
        <w:t xml:space="preserve">In 2014, </w:t>
      </w:r>
      <w:r>
        <w:rPr>
          <w:rFonts w:cs="Arial"/>
          <w:bCs/>
        </w:rPr>
        <w:t>work</w:t>
      </w:r>
      <w:r w:rsidRPr="00BE72D1">
        <w:rPr>
          <w:rFonts w:cs="Arial"/>
          <w:bCs/>
        </w:rPr>
        <w:t xml:space="preserve"> </w:t>
      </w:r>
      <w:r>
        <w:rPr>
          <w:rFonts w:cs="Arial"/>
          <w:bCs/>
        </w:rPr>
        <w:t>continued to identify</w:t>
      </w:r>
      <w:r w:rsidRPr="00BE72D1">
        <w:rPr>
          <w:rFonts w:cs="Arial"/>
          <w:bCs/>
        </w:rPr>
        <w:t xml:space="preserve"> the areas where innovation policy interacts with IP</w:t>
      </w:r>
      <w:r>
        <w:rPr>
          <w:rFonts w:cs="Arial"/>
          <w:bCs/>
        </w:rPr>
        <w:t xml:space="preserve">. </w:t>
      </w:r>
      <w:r w:rsidRPr="00852778">
        <w:rPr>
          <w:rFonts w:cs="Arial"/>
          <w:lang w:val="en-GB"/>
        </w:rPr>
        <w:t xml:space="preserve"> Following</w:t>
      </w:r>
      <w:r w:rsidRPr="00852778">
        <w:rPr>
          <w:rFonts w:cs="Arial"/>
        </w:rPr>
        <w:t xml:space="preserve"> the successful implementation of the pilot project on integrating IP into innovation policy formulation </w:t>
      </w:r>
      <w:r w:rsidRPr="00136AA7">
        <w:t xml:space="preserve">implemented in Serbia </w:t>
      </w:r>
      <w:r w:rsidRPr="00852778">
        <w:rPr>
          <w:rFonts w:cs="Arial"/>
        </w:rPr>
        <w:t>during the previous biennium, national projects</w:t>
      </w:r>
      <w:r>
        <w:rPr>
          <w:rFonts w:cs="Arial"/>
        </w:rPr>
        <w:t xml:space="preserve"> in Cameroon, Rwanda, Sri Lanka and Trinidad and Tobago</w:t>
      </w:r>
      <w:r w:rsidRPr="00852778">
        <w:rPr>
          <w:rFonts w:cs="Arial"/>
        </w:rPr>
        <w:t xml:space="preserve"> were launched </w:t>
      </w:r>
      <w:r>
        <w:rPr>
          <w:rFonts w:cs="Arial"/>
        </w:rPr>
        <w:t>in 2014</w:t>
      </w:r>
      <w:r w:rsidRPr="00852778">
        <w:rPr>
          <w:rFonts w:cs="Arial"/>
        </w:rPr>
        <w:t xml:space="preserve">.  </w:t>
      </w:r>
      <w:r>
        <w:rPr>
          <w:rFonts w:cs="Arial"/>
        </w:rPr>
        <w:t xml:space="preserve">The national projects in Cameroon, Rwanda, Serbia and Sri Lanka were completed in 2014.  The national project in Trinidad and Tobago is foreseen to be completed in 2015. </w:t>
      </w:r>
      <w:r w:rsidRPr="00852778">
        <w:rPr>
          <w:rFonts w:cs="Arial"/>
        </w:rPr>
        <w:t>These projects sought to map the innovation system in the selected countries, identify the principal actors and determine their participation in the innovation system, their awareness and reliance on the IP system and the gaps and needs in the innovation system from an IP perspective</w:t>
      </w:r>
      <w:r>
        <w:rPr>
          <w:rFonts w:cs="Arial"/>
        </w:rPr>
        <w:t xml:space="preserve">, with a view to garnering more insight into the development of more effective </w:t>
      </w:r>
      <w:r w:rsidRPr="00852778">
        <w:rPr>
          <w:rFonts w:cs="Arial"/>
        </w:rPr>
        <w:t xml:space="preserve">national </w:t>
      </w:r>
      <w:r>
        <w:rPr>
          <w:rFonts w:cs="Arial"/>
        </w:rPr>
        <w:t xml:space="preserve">IP strategies, </w:t>
      </w:r>
      <w:r w:rsidRPr="00852778">
        <w:rPr>
          <w:rFonts w:cs="Arial"/>
        </w:rPr>
        <w:t xml:space="preserve">as well as </w:t>
      </w:r>
      <w:r>
        <w:rPr>
          <w:rFonts w:cs="Arial"/>
        </w:rPr>
        <w:t xml:space="preserve">to </w:t>
      </w:r>
      <w:r w:rsidRPr="00852778">
        <w:rPr>
          <w:rFonts w:cs="Arial"/>
        </w:rPr>
        <w:t>contribute to the design of more appropriate and focused support services to be provided by WIPO.</w:t>
      </w:r>
      <w:r>
        <w:rPr>
          <w:rFonts w:cs="Arial"/>
        </w:rPr>
        <w:t xml:space="preserve">  A positive outcome</w:t>
      </w:r>
      <w:r w:rsidRPr="00A65E35">
        <w:rPr>
          <w:rFonts w:cs="Arial"/>
        </w:rPr>
        <w:t xml:space="preserve"> of these projects was the ensuing collaboration with a larger EU</w:t>
      </w:r>
      <w:r w:rsidR="00086E9E">
        <w:rPr>
          <w:rFonts w:cs="Arial"/>
        </w:rPr>
        <w:t>-</w:t>
      </w:r>
      <w:r w:rsidRPr="00A65E35">
        <w:rPr>
          <w:rFonts w:cs="Arial"/>
        </w:rPr>
        <w:t>funded project in the Caribbean entitled IPICA – Empowering knowledge transfer in the Caribbean through effective IPR and K</w:t>
      </w:r>
      <w:r>
        <w:rPr>
          <w:rFonts w:cs="Arial"/>
        </w:rPr>
        <w:t>nowledge Transfer (KT)</w:t>
      </w:r>
      <w:r w:rsidRPr="00A65E35">
        <w:rPr>
          <w:rFonts w:cs="Arial"/>
        </w:rPr>
        <w:t xml:space="preserve"> regimes, coordinated by the University of Alicante.  </w:t>
      </w:r>
      <w:r>
        <w:rPr>
          <w:rFonts w:cs="Arial"/>
        </w:rPr>
        <w:t xml:space="preserve"> </w:t>
      </w:r>
      <w:r w:rsidRPr="00A65E35">
        <w:rPr>
          <w:rFonts w:cs="Arial"/>
        </w:rPr>
        <w:t xml:space="preserve"> </w:t>
      </w:r>
    </w:p>
    <w:p w:rsidR="00136AA7" w:rsidRDefault="00136AA7" w:rsidP="00136AA7">
      <w:pPr>
        <w:tabs>
          <w:tab w:val="left" w:pos="709"/>
        </w:tabs>
        <w:autoSpaceDE w:val="0"/>
        <w:autoSpaceDN w:val="0"/>
        <w:adjustRightInd w:val="0"/>
        <w:jc w:val="both"/>
        <w:rPr>
          <w:rFonts w:cs="Arial"/>
          <w:szCs w:val="20"/>
        </w:rPr>
      </w:pPr>
    </w:p>
    <w:p w:rsidR="00136AA7" w:rsidRDefault="00136AA7" w:rsidP="00136AA7">
      <w:pPr>
        <w:tabs>
          <w:tab w:val="left" w:pos="709"/>
        </w:tabs>
        <w:autoSpaceDE w:val="0"/>
        <w:autoSpaceDN w:val="0"/>
        <w:adjustRightInd w:val="0"/>
        <w:jc w:val="both"/>
        <w:rPr>
          <w:rFonts w:cs="Arial"/>
          <w:szCs w:val="20"/>
        </w:rPr>
      </w:pPr>
      <w:r w:rsidRPr="00BE72D1">
        <w:rPr>
          <w:rFonts w:cs="Arial"/>
          <w:szCs w:val="20"/>
        </w:rPr>
        <w:t>INNOVATION STRUCTURES</w:t>
      </w:r>
    </w:p>
    <w:p w:rsidR="00136AA7" w:rsidRPr="00BE72D1" w:rsidRDefault="00136AA7" w:rsidP="00136AA7">
      <w:pPr>
        <w:tabs>
          <w:tab w:val="left" w:pos="709"/>
        </w:tabs>
        <w:autoSpaceDE w:val="0"/>
        <w:autoSpaceDN w:val="0"/>
        <w:adjustRightInd w:val="0"/>
        <w:jc w:val="both"/>
        <w:rPr>
          <w:rFonts w:cs="Arial"/>
          <w:szCs w:val="20"/>
        </w:rPr>
      </w:pPr>
    </w:p>
    <w:p w:rsidR="00136AA7" w:rsidRPr="009569B3" w:rsidRDefault="00136AA7" w:rsidP="00F60CAF">
      <w:pPr>
        <w:pStyle w:val="ListParagraph"/>
        <w:numPr>
          <w:ilvl w:val="0"/>
          <w:numId w:val="93"/>
        </w:numPr>
        <w:tabs>
          <w:tab w:val="left" w:pos="709"/>
        </w:tabs>
        <w:ind w:left="0" w:firstLine="0"/>
        <w:jc w:val="both"/>
      </w:pPr>
      <w:r w:rsidRPr="006A4023">
        <w:t xml:space="preserve">Through tailored IP commercialization projects, capacity building programs and advisory services to WIPO Member States, </w:t>
      </w:r>
      <w:r w:rsidRPr="00992595">
        <w:t>the Program also facilitated the development of adequate legal and organizatio</w:t>
      </w:r>
      <w:r w:rsidRPr="00FE3B39">
        <w:t>nal infrastructure as well as professional human capital to promote creation and strategic IPR management of knowledge and research results from an early stage towards technology markets, by using IP system and commercialization tools and processes.  Using</w:t>
      </w:r>
      <w:r w:rsidRPr="009569B3">
        <w:t xml:space="preserve"> customized training services, the number of stakeholders (government officials, technology managers, scientists and patent agents) that were trained in 2014 grew compared to previous years, with more than 1,300 participants trained through</w:t>
      </w:r>
      <w:r w:rsidRPr="005C01F3">
        <w:t xml:space="preserve"> in situ</w:t>
      </w:r>
      <w:r w:rsidRPr="006A4023">
        <w:t xml:space="preserve"> events, and an additional 90 innovation stakeholders, including entrepreneurial women in Africa, through </w:t>
      </w:r>
      <w:r w:rsidRPr="00992595">
        <w:t xml:space="preserve">more than 120 distance practice modules </w:t>
      </w:r>
      <w:r w:rsidRPr="006A4023">
        <w:t xml:space="preserve">and video conferences.  Evaluation methods were also strengthened in 2014 by </w:t>
      </w:r>
      <w:r w:rsidRPr="00992595">
        <w:t>a) introducing the gender</w:t>
      </w:r>
      <w:r w:rsidRPr="00FE3B39">
        <w:t xml:space="preserve"> perspective in evaluation questionnaires, in line with the Organization’s Policy on Gender Equality adopted in 2014, and also by b) measuring the potential number of indirect users of training materials and knowledge disseminated through capacity building</w:t>
      </w:r>
      <w:r w:rsidRPr="009569B3">
        <w:t xml:space="preserve">. </w:t>
      </w:r>
    </w:p>
    <w:p w:rsidR="00136AA7" w:rsidRPr="00852778" w:rsidRDefault="00136AA7" w:rsidP="00136AA7">
      <w:pPr>
        <w:tabs>
          <w:tab w:val="left" w:pos="709"/>
        </w:tabs>
        <w:rPr>
          <w:rFonts w:cs="Arial"/>
        </w:rPr>
      </w:pPr>
    </w:p>
    <w:p w:rsidR="00136AA7" w:rsidRPr="00852778" w:rsidRDefault="00136AA7" w:rsidP="00136AA7">
      <w:pPr>
        <w:pStyle w:val="ListParagraph"/>
        <w:numPr>
          <w:ilvl w:val="0"/>
          <w:numId w:val="93"/>
        </w:numPr>
        <w:tabs>
          <w:tab w:val="left" w:pos="0"/>
          <w:tab w:val="left" w:pos="709"/>
        </w:tabs>
        <w:ind w:left="0" w:firstLine="0"/>
        <w:jc w:val="both"/>
        <w:rPr>
          <w:rFonts w:cs="Arial"/>
        </w:rPr>
      </w:pPr>
      <w:r>
        <w:rPr>
          <w:rFonts w:cs="Arial"/>
        </w:rPr>
        <w:t xml:space="preserve">The </w:t>
      </w:r>
      <w:r w:rsidRPr="00852778">
        <w:rPr>
          <w:rFonts w:cs="Arial"/>
        </w:rPr>
        <w:t xml:space="preserve">project </w:t>
      </w:r>
      <w:r>
        <w:rPr>
          <w:rFonts w:cs="Arial"/>
        </w:rPr>
        <w:t xml:space="preserve">for the </w:t>
      </w:r>
      <w:r w:rsidRPr="00852778">
        <w:rPr>
          <w:rFonts w:cs="Arial"/>
        </w:rPr>
        <w:t xml:space="preserve">“Establishment of Technology Transfer Offices (TTOs) in </w:t>
      </w:r>
      <w:r>
        <w:rPr>
          <w:rFonts w:cs="Arial"/>
        </w:rPr>
        <w:t xml:space="preserve">the </w:t>
      </w:r>
      <w:r w:rsidRPr="00852778">
        <w:rPr>
          <w:rFonts w:cs="Arial"/>
        </w:rPr>
        <w:t xml:space="preserve">Arab Region” </w:t>
      </w:r>
      <w:r>
        <w:rPr>
          <w:rFonts w:cs="Arial"/>
        </w:rPr>
        <w:t xml:space="preserve">was </w:t>
      </w:r>
      <w:r w:rsidRPr="00345049">
        <w:rPr>
          <w:rFonts w:cs="Arial"/>
        </w:rPr>
        <w:t xml:space="preserve">redesigned </w:t>
      </w:r>
      <w:r>
        <w:rPr>
          <w:rFonts w:cs="Arial"/>
        </w:rPr>
        <w:t xml:space="preserve">in 2014 </w:t>
      </w:r>
      <w:r w:rsidRPr="00345049">
        <w:rPr>
          <w:rFonts w:cs="Arial"/>
        </w:rPr>
        <w:t xml:space="preserve">to expand the geographic scope to accommodate Member State requests. </w:t>
      </w:r>
      <w:r>
        <w:rPr>
          <w:rFonts w:cs="Arial"/>
        </w:rPr>
        <w:t xml:space="preserve"> </w:t>
      </w:r>
      <w:r w:rsidRPr="00852778">
        <w:rPr>
          <w:rFonts w:cs="Arial"/>
        </w:rPr>
        <w:t>In that context</w:t>
      </w:r>
      <w:r>
        <w:rPr>
          <w:rFonts w:cs="Arial"/>
        </w:rPr>
        <w:t>,</w:t>
      </w:r>
      <w:r w:rsidRPr="00852778">
        <w:rPr>
          <w:rFonts w:cs="Arial"/>
        </w:rPr>
        <w:t xml:space="preserve"> implementation of the Tunisia Action Plan started focusing on legal institutional infrastructure of beneficiary institutions in Tunisia.</w:t>
      </w:r>
      <w:r>
        <w:rPr>
          <w:rFonts w:cs="Arial"/>
        </w:rPr>
        <w:t xml:space="preserve">  </w:t>
      </w:r>
      <w:r w:rsidRPr="00345049">
        <w:rPr>
          <w:rFonts w:cs="Arial"/>
        </w:rPr>
        <w:t>Progress was made towards strengthening four TTOs in Tunisia to be operationally independent and sustainable</w:t>
      </w:r>
      <w:r>
        <w:rPr>
          <w:rFonts w:cs="Arial"/>
        </w:rPr>
        <w:t>.</w:t>
      </w:r>
    </w:p>
    <w:p w:rsidR="00136AA7" w:rsidRPr="00852778" w:rsidRDefault="00136AA7" w:rsidP="00136AA7">
      <w:pPr>
        <w:tabs>
          <w:tab w:val="left" w:pos="709"/>
        </w:tabs>
        <w:rPr>
          <w:rFonts w:cs="Arial"/>
        </w:rPr>
      </w:pPr>
    </w:p>
    <w:p w:rsidR="00136AA7" w:rsidRPr="00852778" w:rsidRDefault="00136AA7" w:rsidP="00136AA7">
      <w:pPr>
        <w:pStyle w:val="ListParagraph"/>
        <w:numPr>
          <w:ilvl w:val="0"/>
          <w:numId w:val="93"/>
        </w:numPr>
        <w:tabs>
          <w:tab w:val="left" w:pos="0"/>
          <w:tab w:val="left" w:pos="709"/>
        </w:tabs>
        <w:ind w:left="0" w:firstLine="0"/>
        <w:jc w:val="both"/>
        <w:rPr>
          <w:rFonts w:cs="Arial"/>
        </w:rPr>
      </w:pPr>
      <w:r>
        <w:rPr>
          <w:rFonts w:cs="Arial"/>
        </w:rPr>
        <w:t xml:space="preserve">The </w:t>
      </w:r>
      <w:r w:rsidRPr="00852778">
        <w:rPr>
          <w:rFonts w:cs="Arial"/>
        </w:rPr>
        <w:t xml:space="preserve">University Initiative Program was under review for improvement and customization to the changing needs of universities and R&amp;D institutions in WIPO </w:t>
      </w:r>
      <w:r>
        <w:rPr>
          <w:rFonts w:cs="Arial"/>
        </w:rPr>
        <w:t>M</w:t>
      </w:r>
      <w:r w:rsidRPr="00852778">
        <w:rPr>
          <w:rFonts w:cs="Arial"/>
        </w:rPr>
        <w:t xml:space="preserve">ember States, including in </w:t>
      </w:r>
      <w:r>
        <w:rPr>
          <w:rFonts w:cs="Arial"/>
        </w:rPr>
        <w:t xml:space="preserve">developing and </w:t>
      </w:r>
      <w:r w:rsidRPr="00852778">
        <w:rPr>
          <w:rFonts w:cs="Arial"/>
        </w:rPr>
        <w:t xml:space="preserve">developed countries.  </w:t>
      </w:r>
      <w:r>
        <w:rPr>
          <w:rFonts w:cs="Arial"/>
        </w:rPr>
        <w:t>A</w:t>
      </w:r>
      <w:r w:rsidRPr="00852778">
        <w:rPr>
          <w:rFonts w:cs="Arial"/>
        </w:rPr>
        <w:t xml:space="preserve">ssistance regarding IP Institutional Policies </w:t>
      </w:r>
      <w:r>
        <w:rPr>
          <w:rFonts w:cs="Arial"/>
        </w:rPr>
        <w:t xml:space="preserve">was provided </w:t>
      </w:r>
      <w:r w:rsidRPr="00852778">
        <w:rPr>
          <w:rFonts w:cs="Arial"/>
        </w:rPr>
        <w:t>to 16 universities and R&amp;D institutions.</w:t>
      </w:r>
      <w:r>
        <w:rPr>
          <w:rFonts w:cs="Arial"/>
        </w:rPr>
        <w:t xml:space="preserve"> </w:t>
      </w:r>
    </w:p>
    <w:p w:rsidR="00136AA7" w:rsidRPr="00852778" w:rsidRDefault="00136AA7" w:rsidP="00136AA7">
      <w:pPr>
        <w:tabs>
          <w:tab w:val="left" w:pos="709"/>
        </w:tabs>
        <w:rPr>
          <w:rFonts w:cs="Arial"/>
        </w:rPr>
      </w:pPr>
    </w:p>
    <w:p w:rsidR="00136AA7" w:rsidRPr="00852778" w:rsidRDefault="00136AA7" w:rsidP="00136AA7">
      <w:pPr>
        <w:pStyle w:val="ListParagraph"/>
        <w:numPr>
          <w:ilvl w:val="0"/>
          <w:numId w:val="93"/>
        </w:numPr>
        <w:tabs>
          <w:tab w:val="left" w:pos="0"/>
          <w:tab w:val="left" w:pos="709"/>
        </w:tabs>
        <w:ind w:left="0" w:firstLine="0"/>
        <w:jc w:val="both"/>
        <w:rPr>
          <w:rFonts w:cs="Arial"/>
        </w:rPr>
      </w:pPr>
      <w:r>
        <w:rPr>
          <w:rFonts w:cs="Arial"/>
        </w:rPr>
        <w:t xml:space="preserve">Some </w:t>
      </w:r>
      <w:r w:rsidRPr="00852778">
        <w:rPr>
          <w:rFonts w:cs="Arial"/>
        </w:rPr>
        <w:t>3</w:t>
      </w:r>
      <w:r>
        <w:rPr>
          <w:rFonts w:cs="Arial"/>
        </w:rPr>
        <w:t>3</w:t>
      </w:r>
      <w:r w:rsidRPr="00852778">
        <w:rPr>
          <w:rFonts w:cs="Arial"/>
        </w:rPr>
        <w:t xml:space="preserve"> training programs </w:t>
      </w:r>
      <w:r>
        <w:rPr>
          <w:rFonts w:cs="Arial"/>
        </w:rPr>
        <w:t xml:space="preserve">were </w:t>
      </w:r>
      <w:r w:rsidRPr="00852778">
        <w:rPr>
          <w:rFonts w:cs="Arial"/>
        </w:rPr>
        <w:t>organized</w:t>
      </w:r>
      <w:r>
        <w:rPr>
          <w:rFonts w:cs="Arial"/>
        </w:rPr>
        <w:t xml:space="preserve"> in 2014 </w:t>
      </w:r>
      <w:r w:rsidRPr="00852778">
        <w:rPr>
          <w:rFonts w:cs="Arial"/>
        </w:rPr>
        <w:t>in collaboration with internal and external partners</w:t>
      </w:r>
      <w:r>
        <w:rPr>
          <w:rFonts w:cs="Arial"/>
        </w:rPr>
        <w:t xml:space="preserve"> as follows: nine</w:t>
      </w:r>
      <w:r w:rsidRPr="00852778">
        <w:rPr>
          <w:rFonts w:cs="Arial"/>
        </w:rPr>
        <w:t xml:space="preserve"> on Patent Drafting, 1</w:t>
      </w:r>
      <w:r>
        <w:rPr>
          <w:rFonts w:cs="Arial"/>
        </w:rPr>
        <w:t>5</w:t>
      </w:r>
      <w:r w:rsidRPr="00852778">
        <w:rPr>
          <w:rFonts w:cs="Arial"/>
        </w:rPr>
        <w:t xml:space="preserve"> on IPR Management for Universities and R&amp;D</w:t>
      </w:r>
      <w:r>
        <w:rPr>
          <w:rFonts w:cs="Arial"/>
        </w:rPr>
        <w:t> </w:t>
      </w:r>
      <w:r w:rsidRPr="00852778">
        <w:rPr>
          <w:rFonts w:cs="Arial"/>
        </w:rPr>
        <w:t xml:space="preserve">Institutions, </w:t>
      </w:r>
      <w:r>
        <w:rPr>
          <w:rFonts w:cs="Arial"/>
        </w:rPr>
        <w:t>seven</w:t>
      </w:r>
      <w:r w:rsidRPr="00852778">
        <w:rPr>
          <w:rFonts w:cs="Arial"/>
        </w:rPr>
        <w:t xml:space="preserve"> Successful Technology Licensing (STL) courses</w:t>
      </w:r>
      <w:r>
        <w:rPr>
          <w:rFonts w:cs="Arial"/>
        </w:rPr>
        <w:t>,</w:t>
      </w:r>
      <w:r w:rsidRPr="00852778">
        <w:rPr>
          <w:rFonts w:cs="Arial"/>
        </w:rPr>
        <w:t xml:space="preserve"> and </w:t>
      </w:r>
      <w:r>
        <w:rPr>
          <w:rFonts w:cs="Arial"/>
        </w:rPr>
        <w:t xml:space="preserve">two </w:t>
      </w:r>
      <w:r w:rsidRPr="00852778">
        <w:rPr>
          <w:rFonts w:cs="Arial"/>
        </w:rPr>
        <w:t>IP Valuation trainings.</w:t>
      </w:r>
      <w:r>
        <w:rPr>
          <w:rFonts w:cs="Arial"/>
        </w:rPr>
        <w:t xml:space="preserve">  </w:t>
      </w:r>
    </w:p>
    <w:p w:rsidR="00136AA7" w:rsidRPr="00852778" w:rsidRDefault="00136AA7" w:rsidP="00136AA7">
      <w:pPr>
        <w:tabs>
          <w:tab w:val="left" w:pos="709"/>
        </w:tabs>
        <w:rPr>
          <w:rFonts w:cs="Arial"/>
        </w:rPr>
      </w:pPr>
    </w:p>
    <w:p w:rsidR="00136AA7" w:rsidRPr="00852778" w:rsidRDefault="00136AA7" w:rsidP="00136AA7">
      <w:pPr>
        <w:pStyle w:val="ListParagraph"/>
        <w:numPr>
          <w:ilvl w:val="0"/>
          <w:numId w:val="93"/>
        </w:numPr>
        <w:tabs>
          <w:tab w:val="left" w:pos="0"/>
          <w:tab w:val="left" w:pos="709"/>
        </w:tabs>
        <w:ind w:left="0" w:firstLine="0"/>
        <w:jc w:val="both"/>
        <w:rPr>
          <w:rFonts w:cs="Arial"/>
        </w:rPr>
      </w:pPr>
      <w:r w:rsidRPr="00852778">
        <w:rPr>
          <w:rFonts w:cs="Arial"/>
        </w:rPr>
        <w:t xml:space="preserve">Partnerships with </w:t>
      </w:r>
      <w:r>
        <w:rPr>
          <w:rFonts w:cs="Arial"/>
        </w:rPr>
        <w:t>the European Commission Joint Research Center (</w:t>
      </w:r>
      <w:r w:rsidRPr="00852778">
        <w:rPr>
          <w:rFonts w:cs="Arial"/>
        </w:rPr>
        <w:t>EC JRC</w:t>
      </w:r>
      <w:r>
        <w:rPr>
          <w:rFonts w:cs="Arial"/>
        </w:rPr>
        <w:t>)</w:t>
      </w:r>
      <w:r w:rsidRPr="00852778">
        <w:rPr>
          <w:rFonts w:cs="Arial"/>
        </w:rPr>
        <w:t xml:space="preserve"> and </w:t>
      </w:r>
      <w:r>
        <w:rPr>
          <w:rFonts w:cs="Arial"/>
        </w:rPr>
        <w:t>the European Organization for Nuclear Research (</w:t>
      </w:r>
      <w:r w:rsidRPr="00852778">
        <w:rPr>
          <w:rFonts w:cs="Arial"/>
        </w:rPr>
        <w:t>CERN</w:t>
      </w:r>
      <w:r>
        <w:rPr>
          <w:rFonts w:cs="Arial"/>
        </w:rPr>
        <w:t>)</w:t>
      </w:r>
      <w:r w:rsidRPr="00852778">
        <w:rPr>
          <w:rFonts w:cs="Arial"/>
        </w:rPr>
        <w:t xml:space="preserve"> were particularly strengthened in very fruitful collaboration </w:t>
      </w:r>
      <w:r>
        <w:rPr>
          <w:rFonts w:cs="Arial"/>
        </w:rPr>
        <w:t>with the</w:t>
      </w:r>
      <w:r w:rsidRPr="00852778">
        <w:rPr>
          <w:rFonts w:cs="Arial"/>
        </w:rPr>
        <w:t xml:space="preserve"> “Danube Initiative Program” and “Establishment of Technology Transfer Offices (TTOs) in Arab</w:t>
      </w:r>
      <w:r>
        <w:rPr>
          <w:rFonts w:cs="Arial"/>
        </w:rPr>
        <w:t> </w:t>
      </w:r>
      <w:r w:rsidRPr="00852778">
        <w:rPr>
          <w:rFonts w:cs="Arial"/>
        </w:rPr>
        <w:t>Region”.</w:t>
      </w:r>
    </w:p>
    <w:p w:rsidR="00136AA7" w:rsidRDefault="00136AA7" w:rsidP="00136AA7">
      <w:pPr>
        <w:tabs>
          <w:tab w:val="left" w:pos="709"/>
        </w:tabs>
        <w:jc w:val="both"/>
        <w:rPr>
          <w:rFonts w:cs="Arial"/>
          <w:szCs w:val="20"/>
        </w:rPr>
      </w:pPr>
    </w:p>
    <w:p w:rsidR="00136AA7" w:rsidRPr="00DC64E6" w:rsidRDefault="00136AA7" w:rsidP="00136AA7">
      <w:pPr>
        <w:pStyle w:val="ListParagraph"/>
        <w:numPr>
          <w:ilvl w:val="0"/>
          <w:numId w:val="93"/>
        </w:numPr>
        <w:tabs>
          <w:tab w:val="left" w:pos="0"/>
          <w:tab w:val="left" w:pos="709"/>
        </w:tabs>
        <w:ind w:left="0" w:firstLine="0"/>
        <w:jc w:val="both"/>
        <w:rPr>
          <w:rFonts w:cs="Arial"/>
        </w:rPr>
      </w:pPr>
      <w:r w:rsidRPr="00DC64E6">
        <w:rPr>
          <w:rFonts w:cs="Arial"/>
        </w:rPr>
        <w:t>Pursuant to DA Recommendations 19, 25, 26 and 28,in the context of the project on Intellectual Property and Technology Transfer: Common Challenges – Building Solutions, all six studies on aspects of technology transfer were peer-reviewed by international experts, and presented to the CDIP at its fourteenth session in November 2014</w:t>
      </w:r>
      <w:r w:rsidRPr="00FE0B05">
        <w:t> </w:t>
      </w:r>
      <w:r w:rsidRPr="00DC64E6">
        <w:rPr>
          <w:rFonts w:cs="Arial"/>
        </w:rPr>
        <w:t xml:space="preserve">.  Following the completion of the studies and as envisaged in the approved project document, a concept paper on building solutions was prepared to provide the basis for discussion at the High Level International Expert Forum, to be held in Geneva in February, 2015. , </w:t>
      </w:r>
    </w:p>
    <w:p w:rsidR="00136AA7" w:rsidRPr="00DC64E6" w:rsidRDefault="00136AA7" w:rsidP="00136AA7">
      <w:pPr>
        <w:pStyle w:val="ListParagraph"/>
        <w:tabs>
          <w:tab w:val="left" w:pos="0"/>
          <w:tab w:val="left" w:pos="709"/>
        </w:tabs>
        <w:ind w:left="0"/>
        <w:jc w:val="both"/>
        <w:rPr>
          <w:rFonts w:cs="Arial"/>
        </w:rPr>
      </w:pPr>
    </w:p>
    <w:p w:rsidR="00136AA7" w:rsidRDefault="00136AA7" w:rsidP="00136AA7">
      <w:pPr>
        <w:pStyle w:val="ListParagraph"/>
        <w:numPr>
          <w:ilvl w:val="0"/>
          <w:numId w:val="93"/>
        </w:numPr>
        <w:tabs>
          <w:tab w:val="left" w:pos="0"/>
          <w:tab w:val="left" w:pos="709"/>
        </w:tabs>
        <w:ind w:left="0" w:firstLine="0"/>
        <w:jc w:val="both"/>
        <w:rPr>
          <w:rFonts w:cs="Arial"/>
        </w:rPr>
      </w:pPr>
      <w:r w:rsidRPr="00DC64E6">
        <w:rPr>
          <w:rFonts w:cs="Arial"/>
        </w:rPr>
        <w:t xml:space="preserve">Concerning DA Recommendation 36, under the Project on Open Collaborative Projects and IP-Based Models, an Expert Meeting was organized in the WIPO Headquarters in the form of a </w:t>
      </w:r>
      <w:r w:rsidRPr="00FE0B05">
        <w:rPr>
          <w:rFonts w:cs="Arial"/>
        </w:rPr>
        <w:t xml:space="preserve">WIPO </w:t>
      </w:r>
      <w:r w:rsidRPr="00FE0B05">
        <w:rPr>
          <w:rFonts w:cs="Arial"/>
        </w:rPr>
        <w:lastRenderedPageBreak/>
        <w:t xml:space="preserve">Conference on Open Innovation: Collaborative Projects </w:t>
      </w:r>
      <w:r w:rsidRPr="00DC64E6">
        <w:rPr>
          <w:rFonts w:cs="Arial"/>
        </w:rPr>
        <w:t>and</w:t>
      </w:r>
      <w:r w:rsidRPr="00FE0B05">
        <w:rPr>
          <w:rFonts w:cs="Arial"/>
        </w:rPr>
        <w:t xml:space="preserve"> the Future of Knowledge</w:t>
      </w:r>
      <w:r w:rsidRPr="00DC64E6">
        <w:rPr>
          <w:rFonts w:cs="Arial"/>
        </w:rPr>
        <w:t xml:space="preserve">, held in January 2014. </w:t>
      </w:r>
      <w:r w:rsidRPr="00FE0B05">
        <w:t> </w:t>
      </w:r>
      <w:r w:rsidRPr="00DC64E6">
        <w:rPr>
          <w:rFonts w:cs="Arial"/>
        </w:rPr>
        <w:t>In addition, an In-Depth Evaluation Study and a study on Global Knowledge Flows, for incorporation into the planned Interactive Platform, were completed and presented to the CDIP at its fourteenth session.</w:t>
      </w:r>
    </w:p>
    <w:p w:rsidR="00136AA7" w:rsidRDefault="00136AA7" w:rsidP="00136AA7">
      <w:pPr>
        <w:tabs>
          <w:tab w:val="left" w:pos="709"/>
        </w:tabs>
        <w:jc w:val="both"/>
        <w:rPr>
          <w:rFonts w:cs="Arial"/>
          <w:szCs w:val="20"/>
        </w:rPr>
      </w:pPr>
    </w:p>
    <w:p w:rsidR="00136AA7" w:rsidRDefault="00136AA7" w:rsidP="00CE4C9D">
      <w:pPr>
        <w:jc w:val="both"/>
        <w:rPr>
          <w:rFonts w:cs="Arial"/>
          <w:szCs w:val="20"/>
        </w:rPr>
      </w:pPr>
    </w:p>
    <w:p w:rsidR="00136AA7" w:rsidRPr="00136AA7" w:rsidRDefault="00136AA7" w:rsidP="00CE4C9D">
      <w:pPr>
        <w:jc w:val="both"/>
        <w:rPr>
          <w:rFonts w:cs="Arial"/>
          <w:sz w:val="22"/>
          <w:szCs w:val="20"/>
        </w:rPr>
      </w:pPr>
      <w:r w:rsidRPr="00136AA7">
        <w:rPr>
          <w:rFonts w:cs="Arial"/>
          <w:sz w:val="22"/>
          <w:szCs w:val="20"/>
        </w:rPr>
        <w:t>PERFORMANCE DATA</w:t>
      </w:r>
    </w:p>
    <w:p w:rsidR="00136AA7" w:rsidRDefault="00136AA7" w:rsidP="00CE4C9D">
      <w:pPr>
        <w:tabs>
          <w:tab w:val="left" w:pos="720"/>
        </w:tabs>
        <w:rPr>
          <w:rFonts w:cs="Arial"/>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1700"/>
        <w:gridCol w:w="1419"/>
        <w:gridCol w:w="3260"/>
        <w:gridCol w:w="992"/>
      </w:tblGrid>
      <w:tr w:rsidR="00136AA7" w:rsidRPr="003C5DE4" w:rsidTr="00EE5F3E">
        <w:trPr>
          <w:cantSplit/>
        </w:trPr>
        <w:tc>
          <w:tcPr>
            <w:tcW w:w="5000" w:type="pct"/>
            <w:gridSpan w:val="5"/>
            <w:tcBorders>
              <w:top w:val="single" w:sz="4" w:space="0" w:color="auto"/>
              <w:bottom w:val="single" w:sz="4" w:space="0" w:color="auto"/>
            </w:tcBorders>
            <w:shd w:val="clear" w:color="auto" w:fill="CCFFFF"/>
            <w:vAlign w:val="center"/>
          </w:tcPr>
          <w:p w:rsidR="00136AA7" w:rsidRPr="003C5DE4" w:rsidRDefault="00136AA7" w:rsidP="00CE4C9D">
            <w:pPr>
              <w:keepNext/>
              <w:keepLines/>
              <w:tabs>
                <w:tab w:val="left" w:pos="1452"/>
              </w:tabs>
              <w:spacing w:before="120" w:after="120"/>
              <w:ind w:left="1452" w:hanging="1452"/>
              <w:rPr>
                <w:rFonts w:cs="Arial"/>
                <w:b/>
                <w:bCs/>
                <w:sz w:val="16"/>
                <w:szCs w:val="16"/>
              </w:rPr>
            </w:pPr>
            <w:r w:rsidRPr="003C5DE4">
              <w:rPr>
                <w:rFonts w:cs="Arial"/>
                <w:b/>
                <w:bCs/>
                <w:sz w:val="16"/>
                <w:szCs w:val="16"/>
              </w:rPr>
              <w:t>Expected Result:</w:t>
            </w:r>
            <w:r w:rsidRPr="003C5DE4">
              <w:rPr>
                <w:rFonts w:cs="Arial"/>
                <w:b/>
                <w:bCs/>
                <w:sz w:val="16"/>
                <w:szCs w:val="16"/>
              </w:rPr>
              <w:tab/>
            </w:r>
            <w:r w:rsidRPr="00956DE6">
              <w:rPr>
                <w:rFonts w:cs="Arial"/>
                <w:sz w:val="16"/>
                <w:szCs w:val="16"/>
                <w:lang w:bidi="th-TH"/>
              </w:rPr>
              <w:t>III.1 National innovation and IP strategies and plans consistent with national development objectives</w:t>
            </w:r>
          </w:p>
        </w:tc>
      </w:tr>
      <w:tr w:rsidR="00136AA7" w:rsidRPr="003C5DE4" w:rsidTr="00EE5F3E">
        <w:trPr>
          <w:cantSplit/>
        </w:trPr>
        <w:tc>
          <w:tcPr>
            <w:tcW w:w="1120" w:type="pct"/>
            <w:tcBorders>
              <w:top w:val="single" w:sz="4" w:space="0" w:color="auto"/>
            </w:tcBorders>
            <w:vAlign w:val="center"/>
          </w:tcPr>
          <w:p w:rsidR="00136AA7" w:rsidRPr="003C5DE4" w:rsidRDefault="00136AA7" w:rsidP="00CE4C9D">
            <w:pPr>
              <w:rPr>
                <w:rFonts w:cs="Arial"/>
                <w:sz w:val="16"/>
                <w:szCs w:val="16"/>
              </w:rPr>
            </w:pPr>
            <w:r w:rsidRPr="003C5DE4">
              <w:rPr>
                <w:rFonts w:cs="Arial"/>
                <w:b/>
                <w:bCs/>
                <w:sz w:val="16"/>
                <w:szCs w:val="16"/>
              </w:rPr>
              <w:t>Performance Indicators</w:t>
            </w:r>
          </w:p>
        </w:tc>
        <w:tc>
          <w:tcPr>
            <w:tcW w:w="895" w:type="pct"/>
            <w:tcBorders>
              <w:top w:val="single" w:sz="4" w:space="0" w:color="auto"/>
            </w:tcBorders>
            <w:shd w:val="clear" w:color="auto" w:fill="auto"/>
            <w:vAlign w:val="center"/>
          </w:tcPr>
          <w:p w:rsidR="00136AA7" w:rsidRPr="003C5DE4" w:rsidRDefault="00136AA7" w:rsidP="00CE4C9D">
            <w:pPr>
              <w:rPr>
                <w:rFonts w:cs="Arial"/>
                <w:b/>
                <w:bCs/>
                <w:sz w:val="16"/>
                <w:szCs w:val="16"/>
              </w:rPr>
            </w:pPr>
            <w:r w:rsidRPr="003C5DE4">
              <w:rPr>
                <w:rFonts w:cs="Arial"/>
                <w:b/>
                <w:bCs/>
                <w:sz w:val="16"/>
                <w:szCs w:val="16"/>
              </w:rPr>
              <w:t>Baselines</w:t>
            </w:r>
          </w:p>
        </w:tc>
        <w:tc>
          <w:tcPr>
            <w:tcW w:w="747" w:type="pct"/>
            <w:tcBorders>
              <w:top w:val="single" w:sz="4" w:space="0" w:color="auto"/>
            </w:tcBorders>
            <w:tcMar>
              <w:top w:w="110" w:type="dxa"/>
            </w:tcMar>
            <w:vAlign w:val="center"/>
          </w:tcPr>
          <w:p w:rsidR="00136AA7" w:rsidRPr="003C5DE4" w:rsidRDefault="00136AA7" w:rsidP="00CE4C9D">
            <w:pPr>
              <w:rPr>
                <w:rFonts w:cs="Arial"/>
                <w:b/>
                <w:sz w:val="16"/>
                <w:szCs w:val="16"/>
              </w:rPr>
            </w:pPr>
            <w:r w:rsidRPr="003C5DE4">
              <w:rPr>
                <w:rFonts w:cs="Arial"/>
                <w:b/>
                <w:sz w:val="16"/>
                <w:szCs w:val="16"/>
              </w:rPr>
              <w:t>Targets</w:t>
            </w:r>
          </w:p>
        </w:tc>
        <w:tc>
          <w:tcPr>
            <w:tcW w:w="1715" w:type="pct"/>
            <w:tcBorders>
              <w:top w:val="single" w:sz="4" w:space="0" w:color="auto"/>
            </w:tcBorders>
            <w:shd w:val="clear" w:color="auto" w:fill="FFFFFF"/>
            <w:tcMar>
              <w:top w:w="110" w:type="dxa"/>
            </w:tcMar>
            <w:vAlign w:val="center"/>
          </w:tcPr>
          <w:p w:rsidR="00136AA7" w:rsidRPr="003C5DE4" w:rsidRDefault="00136AA7" w:rsidP="00CE4C9D">
            <w:pPr>
              <w:rPr>
                <w:rFonts w:cs="Arial"/>
                <w:sz w:val="16"/>
                <w:szCs w:val="16"/>
              </w:rPr>
            </w:pPr>
            <w:r w:rsidRPr="003C5DE4">
              <w:rPr>
                <w:rFonts w:cs="Arial"/>
                <w:b/>
                <w:bCs/>
                <w:sz w:val="16"/>
                <w:szCs w:val="16"/>
              </w:rPr>
              <w:t>Performance Data</w:t>
            </w:r>
          </w:p>
        </w:tc>
        <w:tc>
          <w:tcPr>
            <w:tcW w:w="523" w:type="pct"/>
            <w:tcBorders>
              <w:top w:val="single" w:sz="4" w:space="0" w:color="auto"/>
            </w:tcBorders>
            <w:tcMar>
              <w:top w:w="110" w:type="dxa"/>
            </w:tcMar>
            <w:vAlign w:val="center"/>
          </w:tcPr>
          <w:p w:rsidR="00136AA7" w:rsidRPr="003C5DE4" w:rsidRDefault="00136AA7" w:rsidP="00CE4C9D">
            <w:pPr>
              <w:keepNext/>
              <w:keepLines/>
              <w:jc w:val="center"/>
              <w:rPr>
                <w:rFonts w:cs="Arial"/>
                <w:b/>
                <w:bCs/>
                <w:sz w:val="16"/>
                <w:szCs w:val="16"/>
              </w:rPr>
            </w:pPr>
            <w:r w:rsidRPr="003C5DE4">
              <w:rPr>
                <w:rFonts w:cs="Arial"/>
                <w:b/>
                <w:bCs/>
                <w:sz w:val="16"/>
                <w:szCs w:val="16"/>
              </w:rPr>
              <w:t>TLS</w:t>
            </w:r>
          </w:p>
        </w:tc>
      </w:tr>
      <w:tr w:rsidR="00136AA7" w:rsidRPr="003C5DE4" w:rsidTr="00EE5F3E">
        <w:trPr>
          <w:cantSplit/>
        </w:trPr>
        <w:tc>
          <w:tcPr>
            <w:tcW w:w="1120" w:type="pct"/>
            <w:tcBorders>
              <w:bottom w:val="single" w:sz="4" w:space="0" w:color="auto"/>
            </w:tcBorders>
          </w:tcPr>
          <w:p w:rsidR="00136AA7" w:rsidRPr="003C5DE4" w:rsidRDefault="00136AA7" w:rsidP="00CE4C9D">
            <w:pPr>
              <w:rPr>
                <w:rFonts w:cs="Arial"/>
                <w:sz w:val="16"/>
                <w:szCs w:val="16"/>
              </w:rPr>
            </w:pPr>
            <w:r w:rsidRPr="00956DE6">
              <w:rPr>
                <w:rFonts w:cs="Arial"/>
                <w:sz w:val="16"/>
                <w:szCs w:val="16"/>
                <w:lang w:bidi="th-TH"/>
              </w:rPr>
              <w:t>No. of countries with national innovation policies initiated, in progress or adopted</w:t>
            </w:r>
          </w:p>
        </w:tc>
        <w:tc>
          <w:tcPr>
            <w:tcW w:w="895" w:type="pct"/>
            <w:tcBorders>
              <w:bottom w:val="single" w:sz="4" w:space="0" w:color="auto"/>
            </w:tcBorders>
            <w:shd w:val="clear" w:color="auto" w:fill="auto"/>
          </w:tcPr>
          <w:p w:rsidR="00136AA7" w:rsidRPr="00956DE6" w:rsidRDefault="00136AA7" w:rsidP="00CE4C9D">
            <w:pPr>
              <w:rPr>
                <w:rFonts w:cs="Arial"/>
                <w:color w:val="002060"/>
                <w:sz w:val="16"/>
                <w:szCs w:val="16"/>
              </w:rPr>
            </w:pPr>
            <w:r w:rsidRPr="0068151C">
              <w:rPr>
                <w:rFonts w:cs="Arial"/>
                <w:i/>
                <w:color w:val="002060"/>
                <w:sz w:val="16"/>
                <w:szCs w:val="16"/>
              </w:rPr>
              <w:t>Updated Baseline end 201</w:t>
            </w:r>
            <w:r>
              <w:rPr>
                <w:rFonts w:cs="Arial"/>
                <w:i/>
                <w:color w:val="002060"/>
                <w:sz w:val="16"/>
                <w:szCs w:val="16"/>
              </w:rPr>
              <w:t xml:space="preserve">3: </w:t>
            </w:r>
            <w:r w:rsidRPr="00956DE6">
              <w:rPr>
                <w:rFonts w:cs="Arial"/>
                <w:color w:val="002060"/>
                <w:sz w:val="16"/>
                <w:szCs w:val="16"/>
              </w:rPr>
              <w:t>1 country</w:t>
            </w:r>
          </w:p>
          <w:p w:rsidR="00136AA7" w:rsidRPr="0068151C" w:rsidRDefault="00136AA7" w:rsidP="00CE4C9D">
            <w:pPr>
              <w:rPr>
                <w:rFonts w:cs="Arial"/>
                <w:i/>
                <w:sz w:val="8"/>
                <w:szCs w:val="8"/>
              </w:rPr>
            </w:pPr>
          </w:p>
          <w:p w:rsidR="00136AA7" w:rsidRDefault="00136AA7" w:rsidP="00CE4C9D">
            <w:pPr>
              <w:rPr>
                <w:rFonts w:cs="Arial"/>
                <w:sz w:val="16"/>
                <w:szCs w:val="16"/>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Pr>
                <w:rFonts w:cs="Arial"/>
                <w:sz w:val="16"/>
                <w:szCs w:val="16"/>
              </w:rPr>
              <w:t xml:space="preserve"> </w:t>
            </w:r>
            <w:proofErr w:type="spellStart"/>
            <w:r>
              <w:rPr>
                <w:rFonts w:cs="Arial"/>
                <w:sz w:val="16"/>
                <w:szCs w:val="16"/>
              </w:rPr>
              <w:t>tbd</w:t>
            </w:r>
            <w:proofErr w:type="spellEnd"/>
          </w:p>
          <w:p w:rsidR="00136AA7" w:rsidRPr="003C5DE4" w:rsidRDefault="00136AA7" w:rsidP="00CE4C9D">
            <w:pPr>
              <w:rPr>
                <w:rFonts w:cs="Arial"/>
                <w:sz w:val="16"/>
                <w:szCs w:val="16"/>
                <w:lang w:bidi="th-TH"/>
              </w:rPr>
            </w:pPr>
          </w:p>
        </w:tc>
        <w:tc>
          <w:tcPr>
            <w:tcW w:w="747" w:type="pct"/>
            <w:tcBorders>
              <w:bottom w:val="single" w:sz="4" w:space="0" w:color="auto"/>
            </w:tcBorders>
            <w:tcMar>
              <w:top w:w="110" w:type="dxa"/>
            </w:tcMar>
          </w:tcPr>
          <w:p w:rsidR="00136AA7" w:rsidRPr="003C5DE4" w:rsidRDefault="00136AA7" w:rsidP="00CE4C9D">
            <w:pPr>
              <w:rPr>
                <w:rFonts w:cs="Arial"/>
                <w:sz w:val="16"/>
                <w:szCs w:val="16"/>
                <w:lang w:bidi="th-TH"/>
              </w:rPr>
            </w:pPr>
            <w:r w:rsidRPr="00956DE6">
              <w:rPr>
                <w:rFonts w:cs="Arial"/>
                <w:sz w:val="16"/>
                <w:szCs w:val="16"/>
              </w:rPr>
              <w:t>5 countries</w:t>
            </w:r>
          </w:p>
        </w:tc>
        <w:tc>
          <w:tcPr>
            <w:tcW w:w="1715" w:type="pct"/>
            <w:tcBorders>
              <w:bottom w:val="single" w:sz="4" w:space="0" w:color="auto"/>
            </w:tcBorders>
            <w:shd w:val="clear" w:color="auto" w:fill="FFFFFF"/>
            <w:tcMar>
              <w:top w:w="110" w:type="dxa"/>
            </w:tcMar>
          </w:tcPr>
          <w:p w:rsidR="00136AA7" w:rsidRPr="003C5DE4" w:rsidRDefault="00136AA7" w:rsidP="00CE4C9D">
            <w:pPr>
              <w:rPr>
                <w:rFonts w:cs="Arial"/>
                <w:sz w:val="16"/>
                <w:szCs w:val="16"/>
              </w:rPr>
            </w:pPr>
            <w:r w:rsidRPr="00956DE6">
              <w:rPr>
                <w:rFonts w:cs="Arial"/>
                <w:sz w:val="16"/>
                <w:szCs w:val="16"/>
              </w:rPr>
              <w:t xml:space="preserve">National </w:t>
            </w:r>
            <w:r>
              <w:rPr>
                <w:rFonts w:cs="Arial"/>
                <w:sz w:val="16"/>
                <w:szCs w:val="16"/>
              </w:rPr>
              <w:t xml:space="preserve">innovation </w:t>
            </w:r>
            <w:r w:rsidRPr="00956DE6">
              <w:rPr>
                <w:rFonts w:cs="Arial"/>
                <w:sz w:val="16"/>
                <w:szCs w:val="16"/>
              </w:rPr>
              <w:t xml:space="preserve">policies </w:t>
            </w:r>
            <w:r>
              <w:rPr>
                <w:rFonts w:cs="Arial"/>
                <w:sz w:val="16"/>
                <w:szCs w:val="16"/>
              </w:rPr>
              <w:t>were</w:t>
            </w:r>
            <w:r w:rsidRPr="00956DE6">
              <w:rPr>
                <w:rFonts w:cs="Arial"/>
                <w:sz w:val="16"/>
                <w:szCs w:val="16"/>
              </w:rPr>
              <w:t xml:space="preserve"> </w:t>
            </w:r>
            <w:r w:rsidRPr="009B192F">
              <w:rPr>
                <w:rFonts w:cs="Arial"/>
                <w:sz w:val="16"/>
                <w:szCs w:val="16"/>
              </w:rPr>
              <w:t xml:space="preserve">initiated </w:t>
            </w:r>
            <w:r w:rsidRPr="00956DE6">
              <w:rPr>
                <w:rFonts w:cs="Arial"/>
                <w:sz w:val="16"/>
                <w:szCs w:val="16"/>
              </w:rPr>
              <w:t xml:space="preserve">in </w:t>
            </w:r>
            <w:r>
              <w:rPr>
                <w:rFonts w:cs="Arial"/>
                <w:sz w:val="16"/>
                <w:szCs w:val="16"/>
              </w:rPr>
              <w:t>four</w:t>
            </w:r>
            <w:r w:rsidRPr="00956DE6">
              <w:rPr>
                <w:rFonts w:cs="Arial"/>
                <w:sz w:val="16"/>
                <w:szCs w:val="16"/>
              </w:rPr>
              <w:t xml:space="preserve"> countries:</w:t>
            </w:r>
            <w:r w:rsidRPr="00B33565">
              <w:rPr>
                <w:rFonts w:cs="Arial"/>
                <w:sz w:val="16"/>
                <w:szCs w:val="16"/>
              </w:rPr>
              <w:t xml:space="preserve">  </w:t>
            </w:r>
            <w:r w:rsidRPr="00D85C38">
              <w:rPr>
                <w:rFonts w:cs="Arial"/>
                <w:sz w:val="16"/>
                <w:szCs w:val="16"/>
              </w:rPr>
              <w:t>Cameroon, Rwanda, Serbia and Sri Lanka</w:t>
            </w:r>
            <w:r>
              <w:rPr>
                <w:rFonts w:cs="Arial"/>
                <w:sz w:val="16"/>
                <w:szCs w:val="16"/>
              </w:rPr>
              <w:t>.</w:t>
            </w:r>
          </w:p>
        </w:tc>
        <w:tc>
          <w:tcPr>
            <w:tcW w:w="523" w:type="pct"/>
            <w:tcBorders>
              <w:bottom w:val="single" w:sz="4" w:space="0" w:color="auto"/>
            </w:tcBorders>
            <w:tcMar>
              <w:top w:w="110" w:type="dxa"/>
            </w:tcMar>
          </w:tcPr>
          <w:p w:rsidR="00136AA7" w:rsidRPr="00956DE6" w:rsidRDefault="00136AA7" w:rsidP="00CE4C9D">
            <w:pPr>
              <w:keepNext/>
              <w:keepLines/>
              <w:jc w:val="center"/>
              <w:rPr>
                <w:rFonts w:cs="Arial"/>
                <w:b/>
                <w:bCs/>
                <w:color w:val="808080"/>
                <w:sz w:val="16"/>
                <w:szCs w:val="16"/>
              </w:rPr>
            </w:pPr>
            <w:r w:rsidRPr="00956DE6">
              <w:rPr>
                <w:rStyle w:val="Style5"/>
                <w:rFonts w:ascii="Arial" w:hAnsi="Arial" w:cs="Arial"/>
                <w:b/>
                <w:color w:val="00B050"/>
                <w:sz w:val="16"/>
                <w:szCs w:val="16"/>
              </w:rPr>
              <w:t>On track</w:t>
            </w:r>
            <w:r w:rsidRPr="00956DE6">
              <w:rPr>
                <w:rStyle w:val="Style5"/>
                <w:rFonts w:ascii="Arial" w:hAnsi="Arial" w:cs="Arial"/>
                <w:b/>
                <w:i/>
                <w:color w:val="00B050"/>
                <w:sz w:val="16"/>
                <w:szCs w:val="16"/>
              </w:rPr>
              <w:t xml:space="preserve"> </w:t>
            </w:r>
          </w:p>
        </w:tc>
      </w:tr>
      <w:tr w:rsidR="00136AA7" w:rsidRPr="003C5DE4" w:rsidTr="00EE5F3E">
        <w:trPr>
          <w:cantSplit/>
        </w:trPr>
        <w:tc>
          <w:tcPr>
            <w:tcW w:w="5000" w:type="pct"/>
            <w:gridSpan w:val="5"/>
            <w:tcBorders>
              <w:top w:val="single" w:sz="4" w:space="0" w:color="auto"/>
              <w:bottom w:val="single" w:sz="4" w:space="0" w:color="auto"/>
            </w:tcBorders>
            <w:shd w:val="clear" w:color="auto" w:fill="CCFFFF"/>
            <w:vAlign w:val="center"/>
          </w:tcPr>
          <w:p w:rsidR="00136AA7" w:rsidRPr="003C5DE4" w:rsidRDefault="00136AA7" w:rsidP="00CE4C9D">
            <w:pPr>
              <w:keepNext/>
              <w:keepLines/>
              <w:tabs>
                <w:tab w:val="left" w:pos="1452"/>
              </w:tabs>
              <w:spacing w:before="120" w:after="120"/>
              <w:ind w:left="1452" w:hanging="1452"/>
              <w:rPr>
                <w:rFonts w:cs="Arial"/>
                <w:b/>
                <w:bCs/>
                <w:sz w:val="16"/>
                <w:szCs w:val="16"/>
              </w:rPr>
            </w:pPr>
            <w:r w:rsidRPr="003C5DE4">
              <w:rPr>
                <w:rFonts w:cs="Arial"/>
                <w:b/>
                <w:bCs/>
                <w:sz w:val="16"/>
                <w:szCs w:val="16"/>
              </w:rPr>
              <w:t>Expected Result:</w:t>
            </w:r>
            <w:r w:rsidRPr="003C5DE4">
              <w:rPr>
                <w:rFonts w:cs="Arial"/>
                <w:b/>
                <w:bCs/>
                <w:sz w:val="16"/>
                <w:szCs w:val="16"/>
              </w:rPr>
              <w:tab/>
            </w:r>
            <w:r w:rsidRPr="00956DE6">
              <w:rPr>
                <w:rFonts w:cs="Arial"/>
                <w:sz w:val="16"/>
                <w:szCs w:val="16"/>
                <w:lang w:bidi="th-TH"/>
              </w:rPr>
              <w:t>III.2 Enhanced human resource capacities able to deal with the broad range of requirements for the effective use of IP for development in developing countries, LDCs and countries with economies in transition</w:t>
            </w:r>
          </w:p>
        </w:tc>
      </w:tr>
      <w:tr w:rsidR="00136AA7" w:rsidRPr="003C5DE4" w:rsidTr="00EE5F3E">
        <w:trPr>
          <w:cantSplit/>
        </w:trPr>
        <w:tc>
          <w:tcPr>
            <w:tcW w:w="1120" w:type="pct"/>
            <w:tcBorders>
              <w:top w:val="single" w:sz="4" w:space="0" w:color="auto"/>
            </w:tcBorders>
            <w:vAlign w:val="center"/>
          </w:tcPr>
          <w:p w:rsidR="00136AA7" w:rsidRPr="003C5DE4" w:rsidRDefault="00136AA7" w:rsidP="00CE4C9D">
            <w:pPr>
              <w:rPr>
                <w:rFonts w:cs="Arial"/>
                <w:sz w:val="16"/>
                <w:szCs w:val="16"/>
              </w:rPr>
            </w:pPr>
            <w:r w:rsidRPr="003C5DE4">
              <w:rPr>
                <w:rFonts w:cs="Arial"/>
                <w:b/>
                <w:bCs/>
                <w:sz w:val="16"/>
                <w:szCs w:val="16"/>
              </w:rPr>
              <w:t>Performance Indicators</w:t>
            </w:r>
          </w:p>
        </w:tc>
        <w:tc>
          <w:tcPr>
            <w:tcW w:w="895" w:type="pct"/>
            <w:tcBorders>
              <w:top w:val="single" w:sz="4" w:space="0" w:color="auto"/>
            </w:tcBorders>
            <w:shd w:val="clear" w:color="auto" w:fill="auto"/>
            <w:vAlign w:val="center"/>
          </w:tcPr>
          <w:p w:rsidR="00136AA7" w:rsidRPr="003C5DE4" w:rsidRDefault="00136AA7" w:rsidP="00CE4C9D">
            <w:pPr>
              <w:rPr>
                <w:rFonts w:cs="Arial"/>
                <w:b/>
                <w:bCs/>
                <w:sz w:val="16"/>
                <w:szCs w:val="16"/>
              </w:rPr>
            </w:pPr>
            <w:r w:rsidRPr="003C5DE4">
              <w:rPr>
                <w:rFonts w:cs="Arial"/>
                <w:b/>
                <w:bCs/>
                <w:sz w:val="16"/>
                <w:szCs w:val="16"/>
              </w:rPr>
              <w:t>Baselines</w:t>
            </w:r>
          </w:p>
        </w:tc>
        <w:tc>
          <w:tcPr>
            <w:tcW w:w="747" w:type="pct"/>
            <w:tcBorders>
              <w:top w:val="single" w:sz="4" w:space="0" w:color="auto"/>
            </w:tcBorders>
            <w:tcMar>
              <w:top w:w="110" w:type="dxa"/>
            </w:tcMar>
            <w:vAlign w:val="center"/>
          </w:tcPr>
          <w:p w:rsidR="00136AA7" w:rsidRPr="003C5DE4" w:rsidRDefault="00136AA7" w:rsidP="00CE4C9D">
            <w:pPr>
              <w:rPr>
                <w:rFonts w:cs="Arial"/>
                <w:b/>
                <w:sz w:val="16"/>
                <w:szCs w:val="16"/>
              </w:rPr>
            </w:pPr>
            <w:r w:rsidRPr="003C5DE4">
              <w:rPr>
                <w:rFonts w:cs="Arial"/>
                <w:b/>
                <w:sz w:val="16"/>
                <w:szCs w:val="16"/>
              </w:rPr>
              <w:t>Targets</w:t>
            </w:r>
          </w:p>
        </w:tc>
        <w:tc>
          <w:tcPr>
            <w:tcW w:w="1715" w:type="pct"/>
            <w:tcBorders>
              <w:top w:val="single" w:sz="4" w:space="0" w:color="auto"/>
            </w:tcBorders>
            <w:shd w:val="clear" w:color="auto" w:fill="FFFFFF"/>
            <w:tcMar>
              <w:top w:w="110" w:type="dxa"/>
            </w:tcMar>
            <w:vAlign w:val="center"/>
          </w:tcPr>
          <w:p w:rsidR="00136AA7" w:rsidRPr="003C5DE4" w:rsidRDefault="00136AA7" w:rsidP="00CE4C9D">
            <w:pPr>
              <w:rPr>
                <w:rFonts w:cs="Arial"/>
                <w:sz w:val="16"/>
                <w:szCs w:val="16"/>
              </w:rPr>
            </w:pPr>
            <w:r w:rsidRPr="003C5DE4">
              <w:rPr>
                <w:rFonts w:cs="Arial"/>
                <w:b/>
                <w:bCs/>
                <w:sz w:val="16"/>
                <w:szCs w:val="16"/>
              </w:rPr>
              <w:t>Performance Data</w:t>
            </w:r>
          </w:p>
        </w:tc>
        <w:tc>
          <w:tcPr>
            <w:tcW w:w="523" w:type="pct"/>
            <w:tcBorders>
              <w:top w:val="single" w:sz="4" w:space="0" w:color="auto"/>
            </w:tcBorders>
            <w:tcMar>
              <w:top w:w="110" w:type="dxa"/>
            </w:tcMar>
            <w:vAlign w:val="center"/>
          </w:tcPr>
          <w:p w:rsidR="00136AA7" w:rsidRPr="003C5DE4" w:rsidRDefault="00136AA7" w:rsidP="00CE4C9D">
            <w:pPr>
              <w:keepNext/>
              <w:keepLines/>
              <w:jc w:val="center"/>
              <w:rPr>
                <w:rFonts w:cs="Arial"/>
                <w:b/>
                <w:bCs/>
                <w:sz w:val="16"/>
                <w:szCs w:val="16"/>
              </w:rPr>
            </w:pPr>
            <w:r w:rsidRPr="003C5DE4">
              <w:rPr>
                <w:rFonts w:cs="Arial"/>
                <w:b/>
                <w:bCs/>
                <w:sz w:val="16"/>
                <w:szCs w:val="16"/>
              </w:rPr>
              <w:t>TLS</w:t>
            </w:r>
          </w:p>
        </w:tc>
      </w:tr>
      <w:tr w:rsidR="00136AA7" w:rsidRPr="003C5DE4" w:rsidTr="00EE5F3E">
        <w:trPr>
          <w:cantSplit/>
        </w:trPr>
        <w:tc>
          <w:tcPr>
            <w:tcW w:w="1120" w:type="pct"/>
            <w:tcBorders>
              <w:bottom w:val="single" w:sz="4" w:space="0" w:color="auto"/>
            </w:tcBorders>
          </w:tcPr>
          <w:p w:rsidR="00136AA7" w:rsidRPr="003C5DE4" w:rsidRDefault="00136AA7" w:rsidP="00CE4C9D">
            <w:pPr>
              <w:rPr>
                <w:rFonts w:cs="Arial"/>
                <w:sz w:val="16"/>
                <w:szCs w:val="16"/>
                <w:lang w:bidi="th-TH"/>
              </w:rPr>
            </w:pPr>
            <w:r w:rsidRPr="00956DE6">
              <w:rPr>
                <w:rFonts w:cs="Arial"/>
                <w:sz w:val="16"/>
                <w:szCs w:val="16"/>
                <w:lang w:bidi="th-TH"/>
              </w:rPr>
              <w:t>% of trained IP professionals using upgraded skills in their work</w:t>
            </w:r>
          </w:p>
        </w:tc>
        <w:tc>
          <w:tcPr>
            <w:tcW w:w="895" w:type="pct"/>
            <w:tcBorders>
              <w:bottom w:val="single" w:sz="4" w:space="0" w:color="auto"/>
            </w:tcBorders>
            <w:shd w:val="clear" w:color="auto" w:fill="auto"/>
          </w:tcPr>
          <w:p w:rsidR="00136AA7" w:rsidRPr="00956DE6" w:rsidRDefault="00136AA7" w:rsidP="00CE4C9D">
            <w:pPr>
              <w:rPr>
                <w:rFonts w:cs="Arial"/>
                <w:color w:val="002060"/>
                <w:sz w:val="16"/>
                <w:szCs w:val="16"/>
              </w:rPr>
            </w:pPr>
            <w:r w:rsidRPr="0068151C">
              <w:rPr>
                <w:rFonts w:cs="Arial"/>
                <w:i/>
                <w:color w:val="002060"/>
                <w:sz w:val="16"/>
                <w:szCs w:val="16"/>
              </w:rPr>
              <w:t>Updated Baseline end 201</w:t>
            </w:r>
            <w:r>
              <w:rPr>
                <w:rFonts w:cs="Arial"/>
                <w:i/>
                <w:color w:val="002060"/>
                <w:sz w:val="16"/>
                <w:szCs w:val="16"/>
              </w:rPr>
              <w:t xml:space="preserve">3: </w:t>
            </w:r>
            <w:r>
              <w:rPr>
                <w:rFonts w:cs="Arial"/>
                <w:color w:val="002060"/>
                <w:sz w:val="16"/>
                <w:szCs w:val="16"/>
              </w:rPr>
              <w:t>N/A</w:t>
            </w:r>
          </w:p>
          <w:p w:rsidR="00136AA7" w:rsidRPr="0068151C" w:rsidRDefault="00136AA7" w:rsidP="00CE4C9D">
            <w:pPr>
              <w:rPr>
                <w:rFonts w:cs="Arial"/>
                <w:i/>
                <w:sz w:val="8"/>
                <w:szCs w:val="8"/>
              </w:rPr>
            </w:pPr>
          </w:p>
          <w:p w:rsidR="00136AA7" w:rsidRDefault="00136AA7" w:rsidP="00CE4C9D">
            <w:pPr>
              <w:rPr>
                <w:rFonts w:cs="Arial"/>
                <w:sz w:val="16"/>
                <w:szCs w:val="16"/>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Pr>
                <w:rFonts w:cs="Arial"/>
                <w:sz w:val="16"/>
                <w:szCs w:val="16"/>
              </w:rPr>
              <w:t xml:space="preserve"> </w:t>
            </w:r>
            <w:proofErr w:type="spellStart"/>
            <w:r>
              <w:rPr>
                <w:rFonts w:cs="Arial"/>
                <w:sz w:val="16"/>
                <w:szCs w:val="16"/>
              </w:rPr>
              <w:t>tbd</w:t>
            </w:r>
            <w:proofErr w:type="spellEnd"/>
          </w:p>
          <w:p w:rsidR="00136AA7" w:rsidRPr="003C5DE4" w:rsidRDefault="00136AA7" w:rsidP="00CE4C9D">
            <w:pPr>
              <w:rPr>
                <w:rFonts w:cs="Arial"/>
                <w:sz w:val="16"/>
                <w:szCs w:val="16"/>
                <w:lang w:bidi="th-TH"/>
              </w:rPr>
            </w:pPr>
          </w:p>
        </w:tc>
        <w:tc>
          <w:tcPr>
            <w:tcW w:w="747" w:type="pct"/>
            <w:tcBorders>
              <w:bottom w:val="single" w:sz="4" w:space="0" w:color="auto"/>
            </w:tcBorders>
            <w:tcMar>
              <w:top w:w="110" w:type="dxa"/>
            </w:tcMar>
          </w:tcPr>
          <w:p w:rsidR="00136AA7" w:rsidRPr="003C5DE4" w:rsidRDefault="00136AA7" w:rsidP="00CE4C9D">
            <w:pPr>
              <w:autoSpaceDE w:val="0"/>
              <w:autoSpaceDN w:val="0"/>
              <w:adjustRightInd w:val="0"/>
              <w:rPr>
                <w:rFonts w:cs="Arial"/>
                <w:sz w:val="16"/>
                <w:szCs w:val="16"/>
              </w:rPr>
            </w:pPr>
            <w:r>
              <w:rPr>
                <w:rFonts w:cs="Arial"/>
                <w:sz w:val="16"/>
                <w:szCs w:val="16"/>
              </w:rPr>
              <w:t>50%</w:t>
            </w:r>
          </w:p>
        </w:tc>
        <w:tc>
          <w:tcPr>
            <w:tcW w:w="1715" w:type="pct"/>
            <w:tcBorders>
              <w:bottom w:val="single" w:sz="4" w:space="0" w:color="auto"/>
            </w:tcBorders>
            <w:shd w:val="clear" w:color="auto" w:fill="FFFFFF"/>
            <w:tcMar>
              <w:top w:w="110" w:type="dxa"/>
            </w:tcMar>
          </w:tcPr>
          <w:p w:rsidR="00136AA7" w:rsidRPr="003C5DE4" w:rsidRDefault="00136AA7" w:rsidP="00CE4C9D">
            <w:pPr>
              <w:rPr>
                <w:rFonts w:cs="Arial"/>
                <w:sz w:val="16"/>
                <w:szCs w:val="16"/>
              </w:rPr>
            </w:pPr>
            <w:r>
              <w:rPr>
                <w:rFonts w:cs="Arial"/>
                <w:sz w:val="16"/>
                <w:szCs w:val="16"/>
                <w:lang w:bidi="th-TH"/>
              </w:rPr>
              <w:t xml:space="preserve">More than </w:t>
            </w:r>
            <w:r w:rsidRPr="00956DE6">
              <w:rPr>
                <w:rFonts w:cs="Arial"/>
                <w:sz w:val="16"/>
                <w:szCs w:val="16"/>
                <w:lang w:bidi="th-TH"/>
              </w:rPr>
              <w:t xml:space="preserve">60% </w:t>
            </w:r>
            <w:r>
              <w:rPr>
                <w:rFonts w:cs="Arial"/>
                <w:sz w:val="16"/>
                <w:szCs w:val="16"/>
                <w:lang w:bidi="th-TH"/>
              </w:rPr>
              <w:t>of trained IP professionals</w:t>
            </w:r>
            <w:r w:rsidRPr="00956DE6">
              <w:rPr>
                <w:rFonts w:cs="Arial"/>
                <w:sz w:val="16"/>
                <w:szCs w:val="16"/>
                <w:lang w:bidi="th-TH"/>
              </w:rPr>
              <w:t xml:space="preserve"> </w:t>
            </w:r>
            <w:r>
              <w:rPr>
                <w:rFonts w:cs="Arial"/>
                <w:sz w:val="16"/>
                <w:szCs w:val="16"/>
                <w:lang w:bidi="th-TH"/>
              </w:rPr>
              <w:t>reported</w:t>
            </w:r>
            <w:r w:rsidRPr="00956DE6">
              <w:rPr>
                <w:rFonts w:cs="Arial"/>
                <w:sz w:val="16"/>
                <w:szCs w:val="16"/>
                <w:lang w:bidi="th-TH"/>
              </w:rPr>
              <w:t xml:space="preserve"> using </w:t>
            </w:r>
            <w:r>
              <w:rPr>
                <w:rFonts w:cs="Arial"/>
                <w:sz w:val="16"/>
                <w:szCs w:val="16"/>
                <w:lang w:bidi="th-TH"/>
              </w:rPr>
              <w:t>upgraded</w:t>
            </w:r>
            <w:r w:rsidRPr="00956DE6">
              <w:rPr>
                <w:rFonts w:cs="Arial"/>
                <w:sz w:val="16"/>
                <w:szCs w:val="16"/>
                <w:lang w:bidi="th-TH"/>
              </w:rPr>
              <w:t xml:space="preserve"> skills in their work</w:t>
            </w:r>
            <w:r>
              <w:rPr>
                <w:rFonts w:cs="Arial"/>
                <w:sz w:val="16"/>
                <w:szCs w:val="16"/>
                <w:lang w:bidi="th-TH"/>
              </w:rPr>
              <w:t>.</w:t>
            </w:r>
            <w:r w:rsidRPr="00956DE6">
              <w:rPr>
                <w:rFonts w:cs="Arial"/>
                <w:sz w:val="16"/>
                <w:szCs w:val="16"/>
                <w:lang w:bidi="th-TH"/>
              </w:rPr>
              <w:t xml:space="preserve"> </w:t>
            </w:r>
          </w:p>
        </w:tc>
        <w:tc>
          <w:tcPr>
            <w:tcW w:w="523" w:type="pct"/>
            <w:tcBorders>
              <w:bottom w:val="single" w:sz="4" w:space="0" w:color="auto"/>
            </w:tcBorders>
            <w:tcMar>
              <w:top w:w="110" w:type="dxa"/>
            </w:tcMar>
          </w:tcPr>
          <w:p w:rsidR="00136AA7" w:rsidRPr="003C5DE4" w:rsidRDefault="00136AA7" w:rsidP="00CE4C9D">
            <w:pPr>
              <w:keepNext/>
              <w:keepLines/>
              <w:jc w:val="center"/>
              <w:rPr>
                <w:rFonts w:cs="Arial"/>
                <w:sz w:val="16"/>
                <w:szCs w:val="16"/>
              </w:rPr>
            </w:pPr>
            <w:r w:rsidRPr="00956DE6">
              <w:rPr>
                <w:rStyle w:val="Style5"/>
                <w:rFonts w:ascii="Arial" w:hAnsi="Arial" w:cs="Arial"/>
                <w:b/>
                <w:color w:val="00B050"/>
                <w:sz w:val="16"/>
                <w:szCs w:val="16"/>
              </w:rPr>
              <w:t>On track</w:t>
            </w:r>
          </w:p>
        </w:tc>
      </w:tr>
      <w:tr w:rsidR="00136AA7" w:rsidRPr="003C5DE4" w:rsidTr="00EE5F3E">
        <w:trPr>
          <w:cantSplit/>
        </w:trPr>
        <w:tc>
          <w:tcPr>
            <w:tcW w:w="5000" w:type="pct"/>
            <w:gridSpan w:val="5"/>
            <w:tcBorders>
              <w:top w:val="single" w:sz="4" w:space="0" w:color="auto"/>
              <w:bottom w:val="single" w:sz="4" w:space="0" w:color="auto"/>
            </w:tcBorders>
            <w:shd w:val="clear" w:color="auto" w:fill="CCFFFF"/>
            <w:vAlign w:val="center"/>
          </w:tcPr>
          <w:p w:rsidR="00136AA7" w:rsidRPr="003C5DE4" w:rsidRDefault="00136AA7" w:rsidP="00CE4C9D">
            <w:pPr>
              <w:keepNext/>
              <w:keepLines/>
              <w:tabs>
                <w:tab w:val="left" w:pos="1452"/>
              </w:tabs>
              <w:spacing w:before="120" w:after="120"/>
              <w:ind w:left="1452" w:hanging="1452"/>
              <w:rPr>
                <w:rFonts w:cs="Arial"/>
                <w:b/>
                <w:bCs/>
                <w:sz w:val="16"/>
                <w:szCs w:val="16"/>
              </w:rPr>
            </w:pPr>
            <w:r w:rsidRPr="003C5DE4">
              <w:rPr>
                <w:rFonts w:cs="Arial"/>
                <w:b/>
                <w:bCs/>
                <w:sz w:val="16"/>
                <w:szCs w:val="16"/>
              </w:rPr>
              <w:t>Expected Result:</w:t>
            </w:r>
            <w:r w:rsidRPr="003C5DE4">
              <w:rPr>
                <w:rFonts w:cs="Arial"/>
                <w:b/>
                <w:bCs/>
                <w:sz w:val="16"/>
                <w:szCs w:val="16"/>
              </w:rPr>
              <w:tab/>
            </w:r>
            <w:r w:rsidRPr="00956DE6">
              <w:rPr>
                <w:rFonts w:cs="Arial"/>
                <w:sz w:val="16"/>
                <w:szCs w:val="16"/>
                <w:lang w:bidi="th-TH"/>
              </w:rPr>
              <w:t>III.6 Increased capacity of SMEs to successfully use IP to support innovation</w:t>
            </w:r>
          </w:p>
        </w:tc>
      </w:tr>
      <w:tr w:rsidR="00136AA7" w:rsidRPr="003C5DE4" w:rsidTr="00EE5F3E">
        <w:trPr>
          <w:cantSplit/>
        </w:trPr>
        <w:tc>
          <w:tcPr>
            <w:tcW w:w="1120" w:type="pct"/>
            <w:tcBorders>
              <w:top w:val="single" w:sz="4" w:space="0" w:color="auto"/>
            </w:tcBorders>
            <w:vAlign w:val="center"/>
          </w:tcPr>
          <w:p w:rsidR="00136AA7" w:rsidRPr="003C5DE4" w:rsidRDefault="00136AA7" w:rsidP="00CE4C9D">
            <w:pPr>
              <w:rPr>
                <w:rFonts w:cs="Arial"/>
                <w:sz w:val="16"/>
                <w:szCs w:val="16"/>
              </w:rPr>
            </w:pPr>
            <w:r w:rsidRPr="003C5DE4">
              <w:rPr>
                <w:rFonts w:cs="Arial"/>
                <w:b/>
                <w:bCs/>
                <w:sz w:val="16"/>
                <w:szCs w:val="16"/>
              </w:rPr>
              <w:t>Performance Indicators</w:t>
            </w:r>
          </w:p>
        </w:tc>
        <w:tc>
          <w:tcPr>
            <w:tcW w:w="895" w:type="pct"/>
            <w:tcBorders>
              <w:top w:val="single" w:sz="4" w:space="0" w:color="auto"/>
            </w:tcBorders>
            <w:shd w:val="clear" w:color="auto" w:fill="auto"/>
            <w:vAlign w:val="center"/>
          </w:tcPr>
          <w:p w:rsidR="00136AA7" w:rsidRPr="003C5DE4" w:rsidRDefault="00136AA7" w:rsidP="00CE4C9D">
            <w:pPr>
              <w:rPr>
                <w:rFonts w:cs="Arial"/>
                <w:b/>
                <w:bCs/>
                <w:sz w:val="16"/>
                <w:szCs w:val="16"/>
              </w:rPr>
            </w:pPr>
            <w:r w:rsidRPr="003C5DE4">
              <w:rPr>
                <w:rFonts w:cs="Arial"/>
                <w:b/>
                <w:bCs/>
                <w:sz w:val="16"/>
                <w:szCs w:val="16"/>
              </w:rPr>
              <w:t>Baselines</w:t>
            </w:r>
          </w:p>
        </w:tc>
        <w:tc>
          <w:tcPr>
            <w:tcW w:w="747" w:type="pct"/>
            <w:tcBorders>
              <w:top w:val="single" w:sz="4" w:space="0" w:color="auto"/>
            </w:tcBorders>
            <w:tcMar>
              <w:top w:w="110" w:type="dxa"/>
            </w:tcMar>
            <w:vAlign w:val="center"/>
          </w:tcPr>
          <w:p w:rsidR="00136AA7" w:rsidRPr="003C5DE4" w:rsidRDefault="00136AA7" w:rsidP="00CE4C9D">
            <w:pPr>
              <w:rPr>
                <w:rFonts w:cs="Arial"/>
                <w:b/>
                <w:sz w:val="16"/>
                <w:szCs w:val="16"/>
              </w:rPr>
            </w:pPr>
            <w:r w:rsidRPr="003C5DE4">
              <w:rPr>
                <w:rFonts w:cs="Arial"/>
                <w:b/>
                <w:sz w:val="16"/>
                <w:szCs w:val="16"/>
              </w:rPr>
              <w:t>Targets</w:t>
            </w:r>
          </w:p>
        </w:tc>
        <w:tc>
          <w:tcPr>
            <w:tcW w:w="1715" w:type="pct"/>
            <w:tcBorders>
              <w:top w:val="single" w:sz="4" w:space="0" w:color="auto"/>
            </w:tcBorders>
            <w:shd w:val="clear" w:color="auto" w:fill="FFFFFF"/>
            <w:tcMar>
              <w:top w:w="110" w:type="dxa"/>
            </w:tcMar>
            <w:vAlign w:val="center"/>
          </w:tcPr>
          <w:p w:rsidR="00136AA7" w:rsidRPr="003C5DE4" w:rsidRDefault="00136AA7" w:rsidP="00CE4C9D">
            <w:pPr>
              <w:rPr>
                <w:rFonts w:cs="Arial"/>
                <w:sz w:val="16"/>
                <w:szCs w:val="16"/>
              </w:rPr>
            </w:pPr>
            <w:r w:rsidRPr="003C5DE4">
              <w:rPr>
                <w:rFonts w:cs="Arial"/>
                <w:b/>
                <w:bCs/>
                <w:sz w:val="16"/>
                <w:szCs w:val="16"/>
              </w:rPr>
              <w:t>Performance Data</w:t>
            </w:r>
          </w:p>
        </w:tc>
        <w:tc>
          <w:tcPr>
            <w:tcW w:w="523" w:type="pct"/>
            <w:tcBorders>
              <w:top w:val="single" w:sz="4" w:space="0" w:color="auto"/>
            </w:tcBorders>
            <w:tcMar>
              <w:top w:w="110" w:type="dxa"/>
            </w:tcMar>
            <w:vAlign w:val="center"/>
          </w:tcPr>
          <w:p w:rsidR="00136AA7" w:rsidRPr="003C5DE4" w:rsidRDefault="00136AA7" w:rsidP="00CE4C9D">
            <w:pPr>
              <w:keepNext/>
              <w:keepLines/>
              <w:jc w:val="center"/>
              <w:rPr>
                <w:rFonts w:cs="Arial"/>
                <w:b/>
                <w:bCs/>
                <w:sz w:val="16"/>
                <w:szCs w:val="16"/>
              </w:rPr>
            </w:pPr>
            <w:r w:rsidRPr="003C5DE4">
              <w:rPr>
                <w:rFonts w:cs="Arial"/>
                <w:b/>
                <w:bCs/>
                <w:sz w:val="16"/>
                <w:szCs w:val="16"/>
              </w:rPr>
              <w:t>TLS</w:t>
            </w:r>
          </w:p>
        </w:tc>
      </w:tr>
      <w:tr w:rsidR="00136AA7" w:rsidRPr="003C5DE4" w:rsidTr="00EE5F3E">
        <w:trPr>
          <w:cantSplit/>
          <w:trHeight w:val="1393"/>
        </w:trPr>
        <w:tc>
          <w:tcPr>
            <w:tcW w:w="1120" w:type="pct"/>
          </w:tcPr>
          <w:p w:rsidR="00136AA7" w:rsidRPr="003C5DE4" w:rsidRDefault="00136AA7" w:rsidP="00CE4C9D">
            <w:pPr>
              <w:rPr>
                <w:rFonts w:cs="Arial"/>
                <w:sz w:val="16"/>
                <w:szCs w:val="16"/>
                <w:lang w:bidi="th-TH"/>
              </w:rPr>
            </w:pPr>
            <w:r w:rsidRPr="00956DE6">
              <w:rPr>
                <w:rFonts w:cs="Arial"/>
                <w:sz w:val="16"/>
                <w:szCs w:val="16"/>
                <w:lang w:bidi="th-TH"/>
              </w:rPr>
              <w:t xml:space="preserve">No. of subscriptions to </w:t>
            </w:r>
            <w:r w:rsidR="00E11A65">
              <w:rPr>
                <w:rFonts w:cs="Arial"/>
                <w:sz w:val="16"/>
                <w:szCs w:val="16"/>
                <w:lang w:bidi="th-TH"/>
              </w:rPr>
              <w:t xml:space="preserve">the </w:t>
            </w:r>
            <w:r w:rsidRPr="00956DE6">
              <w:rPr>
                <w:rFonts w:cs="Arial"/>
                <w:sz w:val="16"/>
                <w:szCs w:val="16"/>
                <w:lang w:bidi="th-TH"/>
              </w:rPr>
              <w:t>SME Newsletter</w:t>
            </w:r>
          </w:p>
        </w:tc>
        <w:tc>
          <w:tcPr>
            <w:tcW w:w="895" w:type="pct"/>
            <w:shd w:val="clear" w:color="auto" w:fill="auto"/>
          </w:tcPr>
          <w:p w:rsidR="00136AA7" w:rsidRPr="00956DE6" w:rsidRDefault="00136AA7" w:rsidP="00CE4C9D">
            <w:pPr>
              <w:rPr>
                <w:rFonts w:cs="Arial"/>
                <w:color w:val="002060"/>
                <w:sz w:val="16"/>
                <w:szCs w:val="16"/>
              </w:rPr>
            </w:pPr>
            <w:r w:rsidRPr="0068151C">
              <w:rPr>
                <w:rFonts w:cs="Arial"/>
                <w:i/>
                <w:color w:val="002060"/>
                <w:sz w:val="16"/>
                <w:szCs w:val="16"/>
              </w:rPr>
              <w:t>Updated Baseline end 201</w:t>
            </w:r>
            <w:r>
              <w:rPr>
                <w:rFonts w:cs="Arial"/>
                <w:i/>
                <w:color w:val="002060"/>
                <w:sz w:val="16"/>
                <w:szCs w:val="16"/>
              </w:rPr>
              <w:t xml:space="preserve">3: </w:t>
            </w:r>
            <w:r w:rsidRPr="005F00A4">
              <w:rPr>
                <w:rFonts w:cs="Arial"/>
                <w:color w:val="002060"/>
                <w:sz w:val="16"/>
                <w:szCs w:val="16"/>
              </w:rPr>
              <w:t>41,101</w:t>
            </w:r>
          </w:p>
          <w:p w:rsidR="00136AA7" w:rsidRPr="0068151C" w:rsidRDefault="00136AA7" w:rsidP="00CE4C9D">
            <w:pPr>
              <w:rPr>
                <w:rFonts w:cs="Arial"/>
                <w:i/>
                <w:sz w:val="8"/>
                <w:szCs w:val="8"/>
              </w:rPr>
            </w:pPr>
          </w:p>
          <w:p w:rsidR="00136AA7" w:rsidRPr="003C5DE4" w:rsidRDefault="00136AA7" w:rsidP="00CE4C9D">
            <w:pPr>
              <w:rPr>
                <w:rFonts w:cs="Arial"/>
                <w:sz w:val="16"/>
                <w:szCs w:val="16"/>
                <w:lang w:bidi="th-TH"/>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Pr>
                <w:rFonts w:cs="Arial"/>
                <w:sz w:val="16"/>
                <w:szCs w:val="16"/>
              </w:rPr>
              <w:t xml:space="preserve"> </w:t>
            </w:r>
            <w:proofErr w:type="spellStart"/>
            <w:r>
              <w:rPr>
                <w:rFonts w:cs="Arial"/>
                <w:sz w:val="16"/>
                <w:szCs w:val="16"/>
              </w:rPr>
              <w:t>tbd</w:t>
            </w:r>
            <w:proofErr w:type="spellEnd"/>
          </w:p>
        </w:tc>
        <w:tc>
          <w:tcPr>
            <w:tcW w:w="747" w:type="pct"/>
            <w:tcMar>
              <w:top w:w="110" w:type="dxa"/>
            </w:tcMar>
          </w:tcPr>
          <w:p w:rsidR="00136AA7" w:rsidRPr="00E876FF" w:rsidRDefault="00136AA7" w:rsidP="00CE4C9D">
            <w:pPr>
              <w:rPr>
                <w:rFonts w:cs="Arial"/>
                <w:color w:val="002060"/>
                <w:sz w:val="16"/>
                <w:szCs w:val="16"/>
              </w:rPr>
            </w:pPr>
            <w:r w:rsidRPr="00E876FF">
              <w:rPr>
                <w:rFonts w:cs="Arial"/>
                <w:color w:val="002060"/>
                <w:sz w:val="16"/>
                <w:szCs w:val="16"/>
              </w:rPr>
              <w:t>Defined target:</w:t>
            </w:r>
            <w:r>
              <w:rPr>
                <w:rFonts w:cs="Arial"/>
                <w:color w:val="002060"/>
                <w:sz w:val="16"/>
                <w:szCs w:val="16"/>
              </w:rPr>
              <w:t xml:space="preserve"> 40,000</w:t>
            </w:r>
          </w:p>
          <w:p w:rsidR="00136AA7" w:rsidRPr="003A5C5A" w:rsidRDefault="00136AA7" w:rsidP="00CE4C9D">
            <w:pPr>
              <w:rPr>
                <w:rFonts w:cs="Arial"/>
                <w:sz w:val="16"/>
                <w:szCs w:val="16"/>
              </w:rPr>
            </w:pPr>
          </w:p>
          <w:p w:rsidR="00136AA7" w:rsidRPr="003A5C5A" w:rsidRDefault="00136AA7" w:rsidP="00CE4C9D">
            <w:pPr>
              <w:rPr>
                <w:rFonts w:cs="Arial"/>
                <w:sz w:val="16"/>
                <w:szCs w:val="16"/>
              </w:rPr>
            </w:pPr>
            <w:r w:rsidRPr="00E876FF">
              <w:rPr>
                <w:rFonts w:cs="Arial"/>
                <w:sz w:val="16"/>
                <w:szCs w:val="16"/>
              </w:rPr>
              <w:t>Original Target  P&amp;B 2014/15:</w:t>
            </w:r>
            <w:r w:rsidRPr="003A5C5A">
              <w:rPr>
                <w:rFonts w:cs="Arial"/>
                <w:sz w:val="16"/>
                <w:szCs w:val="16"/>
              </w:rPr>
              <w:t xml:space="preserve">  </w:t>
            </w:r>
            <w:proofErr w:type="spellStart"/>
            <w:r w:rsidRPr="003A5C5A">
              <w:rPr>
                <w:rFonts w:cs="Arial"/>
                <w:sz w:val="16"/>
                <w:szCs w:val="16"/>
              </w:rPr>
              <w:t>tbd</w:t>
            </w:r>
            <w:proofErr w:type="spellEnd"/>
          </w:p>
          <w:p w:rsidR="00136AA7" w:rsidRDefault="00136AA7" w:rsidP="00CE4C9D">
            <w:pPr>
              <w:rPr>
                <w:rFonts w:cs="Arial"/>
                <w:sz w:val="16"/>
                <w:szCs w:val="16"/>
              </w:rPr>
            </w:pPr>
          </w:p>
          <w:p w:rsidR="00136AA7" w:rsidRPr="00956DE6" w:rsidRDefault="00136AA7" w:rsidP="00CE4C9D">
            <w:pPr>
              <w:rPr>
                <w:rFonts w:cs="Arial"/>
                <w:sz w:val="16"/>
                <w:szCs w:val="16"/>
                <w:lang w:bidi="th-TH"/>
              </w:rPr>
            </w:pPr>
          </w:p>
        </w:tc>
        <w:tc>
          <w:tcPr>
            <w:tcW w:w="1715" w:type="pct"/>
            <w:shd w:val="clear" w:color="auto" w:fill="FFFFFF"/>
            <w:tcMar>
              <w:top w:w="110" w:type="dxa"/>
            </w:tcMar>
          </w:tcPr>
          <w:p w:rsidR="00136AA7" w:rsidRPr="003C5DE4" w:rsidRDefault="00136AA7" w:rsidP="00CE4C9D">
            <w:pPr>
              <w:jc w:val="both"/>
              <w:rPr>
                <w:rFonts w:cs="Arial"/>
                <w:sz w:val="16"/>
                <w:szCs w:val="16"/>
                <w:lang w:bidi="th-TH"/>
              </w:rPr>
            </w:pPr>
            <w:r w:rsidRPr="00956DE6">
              <w:rPr>
                <w:rFonts w:cs="Arial"/>
                <w:sz w:val="16"/>
                <w:szCs w:val="16"/>
                <w:lang w:bidi="th-TH"/>
              </w:rPr>
              <w:t>40,5</w:t>
            </w:r>
            <w:r>
              <w:rPr>
                <w:rFonts w:cs="Arial"/>
                <w:sz w:val="16"/>
                <w:szCs w:val="16"/>
                <w:lang w:bidi="th-TH"/>
              </w:rPr>
              <w:t>1</w:t>
            </w:r>
            <w:r w:rsidRPr="00956DE6">
              <w:rPr>
                <w:rFonts w:cs="Arial"/>
                <w:sz w:val="16"/>
                <w:szCs w:val="16"/>
                <w:lang w:bidi="th-TH"/>
              </w:rPr>
              <w:t xml:space="preserve">0 subscriptions to the SME Newsletter in 2014 </w:t>
            </w:r>
          </w:p>
        </w:tc>
        <w:tc>
          <w:tcPr>
            <w:tcW w:w="523" w:type="pct"/>
            <w:tcMar>
              <w:top w:w="110" w:type="dxa"/>
            </w:tcMar>
          </w:tcPr>
          <w:p w:rsidR="00136AA7" w:rsidRPr="003C5DE4" w:rsidRDefault="00136AA7" w:rsidP="00CE4C9D">
            <w:pPr>
              <w:keepNext/>
              <w:keepLines/>
              <w:jc w:val="center"/>
              <w:rPr>
                <w:rFonts w:cs="Arial"/>
                <w:bCs/>
                <w:color w:val="808080"/>
                <w:sz w:val="16"/>
                <w:szCs w:val="16"/>
              </w:rPr>
            </w:pPr>
            <w:r w:rsidRPr="00956DE6">
              <w:rPr>
                <w:rStyle w:val="Style5"/>
                <w:rFonts w:ascii="Arial" w:hAnsi="Arial" w:cs="Arial"/>
                <w:b/>
                <w:color w:val="00B050"/>
                <w:sz w:val="16"/>
                <w:szCs w:val="16"/>
              </w:rPr>
              <w:t>On track</w:t>
            </w:r>
          </w:p>
        </w:tc>
      </w:tr>
      <w:tr w:rsidR="00EE5F3E" w:rsidRPr="003C5DE4" w:rsidTr="00EE5F3E">
        <w:trPr>
          <w:cantSplit/>
        </w:trPr>
        <w:tc>
          <w:tcPr>
            <w:tcW w:w="1120" w:type="pct"/>
            <w:tcBorders>
              <w:bottom w:val="nil"/>
            </w:tcBorders>
          </w:tcPr>
          <w:p w:rsidR="00136AA7" w:rsidRPr="003C5DE4" w:rsidRDefault="00136AA7" w:rsidP="00CE4C9D">
            <w:pPr>
              <w:rPr>
                <w:rFonts w:cs="Arial"/>
                <w:sz w:val="16"/>
                <w:szCs w:val="16"/>
                <w:lang w:bidi="th-TH"/>
              </w:rPr>
            </w:pPr>
            <w:r w:rsidRPr="00956DE6">
              <w:rPr>
                <w:rFonts w:cs="Arial"/>
                <w:sz w:val="16"/>
                <w:szCs w:val="16"/>
                <w:lang w:bidi="th-TH"/>
              </w:rPr>
              <w:t xml:space="preserve">No. of downloads of topical SME material and guidelines </w:t>
            </w:r>
          </w:p>
        </w:tc>
        <w:tc>
          <w:tcPr>
            <w:tcW w:w="895" w:type="pct"/>
            <w:tcBorders>
              <w:bottom w:val="nil"/>
            </w:tcBorders>
            <w:shd w:val="clear" w:color="auto" w:fill="auto"/>
          </w:tcPr>
          <w:p w:rsidR="00136AA7" w:rsidRPr="008271FD" w:rsidRDefault="00136AA7" w:rsidP="00CE4C9D">
            <w:pPr>
              <w:keepNext/>
              <w:keepLines/>
              <w:outlineLvl w:val="7"/>
              <w:rPr>
                <w:rFonts w:cs="Arial"/>
                <w:i/>
                <w:color w:val="002060"/>
                <w:sz w:val="16"/>
                <w:szCs w:val="16"/>
              </w:rPr>
            </w:pPr>
            <w:r w:rsidRPr="0068151C">
              <w:rPr>
                <w:rFonts w:cs="Arial"/>
                <w:i/>
                <w:color w:val="002060"/>
                <w:sz w:val="16"/>
                <w:szCs w:val="16"/>
              </w:rPr>
              <w:t>Updated Baseline end 201</w:t>
            </w:r>
            <w:r>
              <w:rPr>
                <w:rFonts w:cs="Arial"/>
                <w:i/>
                <w:color w:val="002060"/>
                <w:sz w:val="16"/>
                <w:szCs w:val="16"/>
              </w:rPr>
              <w:t xml:space="preserve">3: </w:t>
            </w:r>
          </w:p>
          <w:p w:rsidR="00136AA7" w:rsidRDefault="00136AA7" w:rsidP="00CE4C9D">
            <w:pPr>
              <w:rPr>
                <w:rFonts w:cs="Arial"/>
                <w:color w:val="002060"/>
                <w:sz w:val="16"/>
                <w:szCs w:val="16"/>
              </w:rPr>
            </w:pPr>
            <w:r>
              <w:rPr>
                <w:rFonts w:cs="Arial"/>
                <w:color w:val="002060"/>
                <w:sz w:val="16"/>
                <w:szCs w:val="16"/>
              </w:rPr>
              <w:t>No. of downloads: 77,617 (2013)</w:t>
            </w:r>
          </w:p>
          <w:p w:rsidR="00136AA7" w:rsidRPr="008271FD" w:rsidRDefault="00136AA7" w:rsidP="00CE4C9D">
            <w:pPr>
              <w:rPr>
                <w:rFonts w:cs="Arial"/>
                <w:color w:val="002060"/>
                <w:sz w:val="16"/>
                <w:szCs w:val="16"/>
              </w:rPr>
            </w:pPr>
          </w:p>
          <w:p w:rsidR="00136AA7" w:rsidRDefault="00136AA7" w:rsidP="00CE4C9D">
            <w:pPr>
              <w:rPr>
                <w:rFonts w:cs="Arial"/>
                <w:i/>
                <w:color w:val="002060"/>
                <w:sz w:val="16"/>
                <w:szCs w:val="16"/>
              </w:rPr>
            </w:pPr>
            <w:r w:rsidRPr="008271FD">
              <w:rPr>
                <w:rFonts w:cs="Arial"/>
                <w:color w:val="002060"/>
                <w:sz w:val="16"/>
                <w:szCs w:val="16"/>
              </w:rPr>
              <w:t>No. of page views: 1,210,803</w:t>
            </w:r>
            <w:r>
              <w:rPr>
                <w:rFonts w:cs="Arial"/>
                <w:color w:val="002060"/>
                <w:sz w:val="16"/>
                <w:szCs w:val="16"/>
              </w:rPr>
              <w:t xml:space="preserve"> (2013)</w:t>
            </w:r>
          </w:p>
          <w:p w:rsidR="00136AA7" w:rsidRPr="0068151C" w:rsidRDefault="00136AA7" w:rsidP="00CE4C9D">
            <w:pPr>
              <w:rPr>
                <w:rFonts w:cs="Arial"/>
                <w:i/>
                <w:sz w:val="8"/>
                <w:szCs w:val="8"/>
              </w:rPr>
            </w:pPr>
          </w:p>
          <w:p w:rsidR="00136AA7" w:rsidRPr="003C5DE4" w:rsidRDefault="00136AA7" w:rsidP="00CE4C9D">
            <w:pPr>
              <w:rPr>
                <w:rFonts w:cs="Arial"/>
                <w:sz w:val="16"/>
                <w:szCs w:val="16"/>
                <w:lang w:bidi="th-TH"/>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Pr>
                <w:rFonts w:cs="Arial"/>
                <w:sz w:val="16"/>
                <w:szCs w:val="16"/>
              </w:rPr>
              <w:t xml:space="preserve"> </w:t>
            </w:r>
            <w:proofErr w:type="spellStart"/>
            <w:r>
              <w:rPr>
                <w:rFonts w:cs="Arial"/>
                <w:sz w:val="16"/>
                <w:szCs w:val="16"/>
              </w:rPr>
              <w:t>tbd</w:t>
            </w:r>
            <w:proofErr w:type="spellEnd"/>
          </w:p>
        </w:tc>
        <w:tc>
          <w:tcPr>
            <w:tcW w:w="747" w:type="pct"/>
            <w:tcBorders>
              <w:bottom w:val="nil"/>
            </w:tcBorders>
            <w:tcMar>
              <w:top w:w="110" w:type="dxa"/>
            </w:tcMar>
          </w:tcPr>
          <w:p w:rsidR="00136AA7" w:rsidRDefault="00136AA7" w:rsidP="00CE4C9D">
            <w:pPr>
              <w:rPr>
                <w:rFonts w:cs="Arial"/>
                <w:sz w:val="16"/>
                <w:szCs w:val="16"/>
              </w:rPr>
            </w:pPr>
            <w:proofErr w:type="spellStart"/>
            <w:r>
              <w:rPr>
                <w:rFonts w:cs="Arial"/>
                <w:sz w:val="16"/>
                <w:szCs w:val="16"/>
              </w:rPr>
              <w:t>tbd</w:t>
            </w:r>
            <w:proofErr w:type="spellEnd"/>
          </w:p>
          <w:p w:rsidR="00136AA7" w:rsidRDefault="00136AA7" w:rsidP="00CE4C9D">
            <w:pPr>
              <w:rPr>
                <w:rFonts w:cs="Arial"/>
                <w:sz w:val="16"/>
                <w:szCs w:val="16"/>
              </w:rPr>
            </w:pPr>
          </w:p>
          <w:p w:rsidR="00136AA7" w:rsidRPr="003C5DE4" w:rsidRDefault="00136AA7" w:rsidP="00CE4C9D">
            <w:pPr>
              <w:rPr>
                <w:rFonts w:cs="Arial"/>
                <w:sz w:val="16"/>
                <w:szCs w:val="16"/>
                <w:lang w:bidi="th-TH"/>
              </w:rPr>
            </w:pPr>
          </w:p>
        </w:tc>
        <w:tc>
          <w:tcPr>
            <w:tcW w:w="1715" w:type="pct"/>
            <w:tcBorders>
              <w:bottom w:val="nil"/>
            </w:tcBorders>
            <w:shd w:val="clear" w:color="auto" w:fill="FFFFFF"/>
            <w:tcMar>
              <w:top w:w="110" w:type="dxa"/>
            </w:tcMar>
          </w:tcPr>
          <w:p w:rsidR="00136AA7" w:rsidRDefault="00136AA7" w:rsidP="00CE4C9D">
            <w:pPr>
              <w:rPr>
                <w:rFonts w:cs="Arial"/>
                <w:sz w:val="16"/>
                <w:szCs w:val="16"/>
              </w:rPr>
            </w:pPr>
            <w:r>
              <w:rPr>
                <w:rFonts w:cs="Arial"/>
                <w:sz w:val="16"/>
                <w:szCs w:val="16"/>
              </w:rPr>
              <w:t>2014:</w:t>
            </w:r>
          </w:p>
          <w:p w:rsidR="00136AA7" w:rsidRDefault="00136AA7" w:rsidP="00CE4C9D">
            <w:pPr>
              <w:rPr>
                <w:rFonts w:cs="Arial"/>
                <w:sz w:val="16"/>
                <w:szCs w:val="16"/>
              </w:rPr>
            </w:pPr>
            <w:r>
              <w:rPr>
                <w:rFonts w:cs="Arial"/>
                <w:sz w:val="16"/>
                <w:szCs w:val="16"/>
              </w:rPr>
              <w:t>No.</w:t>
            </w:r>
            <w:r w:rsidRPr="00956DE6">
              <w:rPr>
                <w:rFonts w:cs="Arial"/>
                <w:sz w:val="16"/>
                <w:szCs w:val="16"/>
              </w:rPr>
              <w:t xml:space="preserve"> of downloads</w:t>
            </w:r>
            <w:r>
              <w:rPr>
                <w:rFonts w:cs="Arial"/>
                <w:sz w:val="16"/>
                <w:szCs w:val="16"/>
              </w:rPr>
              <w:t xml:space="preserve">: </w:t>
            </w:r>
            <w:r w:rsidRPr="00956DE6">
              <w:rPr>
                <w:rFonts w:cs="Arial"/>
                <w:sz w:val="16"/>
                <w:szCs w:val="16"/>
              </w:rPr>
              <w:t>70</w:t>
            </w:r>
            <w:r>
              <w:rPr>
                <w:rFonts w:cs="Arial"/>
                <w:sz w:val="16"/>
                <w:szCs w:val="16"/>
              </w:rPr>
              <w:t>,</w:t>
            </w:r>
            <w:r w:rsidRPr="00956DE6">
              <w:rPr>
                <w:rFonts w:cs="Arial"/>
                <w:sz w:val="16"/>
                <w:szCs w:val="16"/>
              </w:rPr>
              <w:t>559</w:t>
            </w:r>
          </w:p>
          <w:p w:rsidR="00136AA7" w:rsidRPr="003C5DE4" w:rsidRDefault="00136AA7" w:rsidP="00CE4C9D">
            <w:pPr>
              <w:rPr>
                <w:rFonts w:cs="Arial"/>
                <w:sz w:val="16"/>
                <w:szCs w:val="16"/>
                <w:lang w:bidi="th-TH"/>
              </w:rPr>
            </w:pPr>
            <w:r>
              <w:rPr>
                <w:rFonts w:cs="Arial"/>
                <w:sz w:val="16"/>
                <w:szCs w:val="16"/>
              </w:rPr>
              <w:t xml:space="preserve">No. of page views of the SME web page: </w:t>
            </w:r>
            <w:r w:rsidRPr="00956DE6">
              <w:rPr>
                <w:rFonts w:cs="Arial"/>
                <w:sz w:val="16"/>
                <w:szCs w:val="16"/>
              </w:rPr>
              <w:t xml:space="preserve"> 821,150 </w:t>
            </w:r>
          </w:p>
        </w:tc>
        <w:tc>
          <w:tcPr>
            <w:tcW w:w="523" w:type="pct"/>
            <w:tcBorders>
              <w:bottom w:val="nil"/>
            </w:tcBorders>
            <w:tcMar>
              <w:top w:w="110" w:type="dxa"/>
            </w:tcMar>
          </w:tcPr>
          <w:p w:rsidR="00136AA7" w:rsidRPr="00136AA7" w:rsidRDefault="00136AA7" w:rsidP="00CE4C9D">
            <w:pPr>
              <w:keepNext/>
              <w:keepLines/>
              <w:jc w:val="center"/>
              <w:rPr>
                <w:rFonts w:cs="Arial"/>
                <w:b/>
                <w:bCs/>
                <w:color w:val="808080"/>
                <w:sz w:val="14"/>
                <w:szCs w:val="16"/>
              </w:rPr>
            </w:pPr>
            <w:r w:rsidRPr="00136AA7">
              <w:rPr>
                <w:rStyle w:val="Style5"/>
                <w:rFonts w:ascii="Arial" w:hAnsi="Arial" w:cs="Arial"/>
                <w:b/>
                <w:color w:val="808080"/>
                <w:sz w:val="14"/>
                <w:szCs w:val="16"/>
              </w:rPr>
              <w:t>Not assessable</w:t>
            </w:r>
          </w:p>
        </w:tc>
      </w:tr>
      <w:tr w:rsidR="00EE5F3E" w:rsidRPr="003C5DE4" w:rsidTr="00EE5F3E">
        <w:trPr>
          <w:cantSplit/>
        </w:trPr>
        <w:tc>
          <w:tcPr>
            <w:tcW w:w="1120" w:type="pct"/>
            <w:tcBorders>
              <w:top w:val="nil"/>
              <w:bottom w:val="nil"/>
            </w:tcBorders>
          </w:tcPr>
          <w:p w:rsidR="00136AA7" w:rsidRPr="00956DE6" w:rsidRDefault="00136AA7" w:rsidP="00E11A65">
            <w:pPr>
              <w:rPr>
                <w:rFonts w:cs="Arial"/>
                <w:sz w:val="16"/>
                <w:szCs w:val="16"/>
                <w:lang w:bidi="th-TH"/>
              </w:rPr>
            </w:pPr>
            <w:r w:rsidRPr="00BC6160">
              <w:rPr>
                <w:rFonts w:cs="Arial"/>
                <w:sz w:val="16"/>
                <w:szCs w:val="16"/>
                <w:lang w:bidi="th-TH"/>
              </w:rPr>
              <w:t>No. of SME</w:t>
            </w:r>
            <w:r w:rsidR="00E11A65">
              <w:rPr>
                <w:rFonts w:cs="Arial"/>
                <w:sz w:val="16"/>
                <w:szCs w:val="16"/>
                <w:lang w:bidi="th-TH"/>
              </w:rPr>
              <w:t xml:space="preserve"> </w:t>
            </w:r>
            <w:r w:rsidRPr="00BC6160">
              <w:rPr>
                <w:rFonts w:cs="Arial"/>
                <w:sz w:val="16"/>
                <w:szCs w:val="16"/>
                <w:lang w:bidi="th-TH"/>
              </w:rPr>
              <w:t>related case</w:t>
            </w:r>
            <w:r w:rsidR="00E11A65">
              <w:rPr>
                <w:rFonts w:cs="Arial"/>
                <w:sz w:val="16"/>
                <w:szCs w:val="16"/>
                <w:lang w:bidi="th-TH"/>
              </w:rPr>
              <w:t>-</w:t>
            </w:r>
            <w:r w:rsidRPr="00BC6160">
              <w:rPr>
                <w:rFonts w:cs="Arial"/>
                <w:sz w:val="16"/>
                <w:szCs w:val="16"/>
                <w:lang w:bidi="th-TH"/>
              </w:rPr>
              <w:t xml:space="preserve"> studies accessed via the </w:t>
            </w:r>
            <w:proofErr w:type="spellStart"/>
            <w:r w:rsidRPr="00BC6160">
              <w:rPr>
                <w:rFonts w:cs="Arial"/>
                <w:sz w:val="16"/>
                <w:szCs w:val="16"/>
                <w:lang w:bidi="th-TH"/>
              </w:rPr>
              <w:t>I</w:t>
            </w:r>
            <w:r w:rsidR="00E11A65">
              <w:rPr>
                <w:rFonts w:cs="Arial"/>
                <w:sz w:val="16"/>
                <w:szCs w:val="16"/>
                <w:lang w:bidi="th-TH"/>
              </w:rPr>
              <w:t>p</w:t>
            </w:r>
            <w:r w:rsidRPr="00BC6160">
              <w:rPr>
                <w:rFonts w:cs="Arial"/>
                <w:sz w:val="16"/>
                <w:szCs w:val="16"/>
                <w:lang w:bidi="th-TH"/>
              </w:rPr>
              <w:t>Advantage</w:t>
            </w:r>
            <w:proofErr w:type="spellEnd"/>
            <w:r w:rsidRPr="00BC6160">
              <w:rPr>
                <w:rFonts w:cs="Arial"/>
                <w:sz w:val="16"/>
                <w:szCs w:val="16"/>
                <w:lang w:bidi="th-TH"/>
              </w:rPr>
              <w:t xml:space="preserve"> and/or other relevant databases</w:t>
            </w:r>
          </w:p>
        </w:tc>
        <w:tc>
          <w:tcPr>
            <w:tcW w:w="895" w:type="pct"/>
            <w:tcBorders>
              <w:top w:val="nil"/>
              <w:bottom w:val="nil"/>
            </w:tcBorders>
            <w:shd w:val="clear" w:color="auto" w:fill="auto"/>
          </w:tcPr>
          <w:p w:rsidR="00136AA7" w:rsidRPr="0068151C" w:rsidRDefault="00136AA7" w:rsidP="00CE4C9D">
            <w:pPr>
              <w:rPr>
                <w:rFonts w:cs="Arial"/>
                <w:i/>
                <w:color w:val="002060"/>
                <w:sz w:val="16"/>
                <w:szCs w:val="16"/>
              </w:rPr>
            </w:pPr>
            <w:proofErr w:type="spellStart"/>
            <w:r>
              <w:rPr>
                <w:rFonts w:cs="Arial"/>
                <w:sz w:val="16"/>
                <w:szCs w:val="16"/>
              </w:rPr>
              <w:t>tbd</w:t>
            </w:r>
            <w:proofErr w:type="spellEnd"/>
          </w:p>
        </w:tc>
        <w:tc>
          <w:tcPr>
            <w:tcW w:w="747" w:type="pct"/>
            <w:tcBorders>
              <w:top w:val="nil"/>
              <w:bottom w:val="nil"/>
            </w:tcBorders>
            <w:tcMar>
              <w:top w:w="110" w:type="dxa"/>
            </w:tcMar>
          </w:tcPr>
          <w:p w:rsidR="00136AA7" w:rsidRDefault="00136AA7" w:rsidP="00CE4C9D">
            <w:pPr>
              <w:rPr>
                <w:rFonts w:cs="Arial"/>
                <w:sz w:val="16"/>
                <w:szCs w:val="16"/>
              </w:rPr>
            </w:pPr>
            <w:proofErr w:type="spellStart"/>
            <w:r>
              <w:rPr>
                <w:rFonts w:cs="Arial"/>
                <w:sz w:val="16"/>
                <w:szCs w:val="16"/>
              </w:rPr>
              <w:t>tbd</w:t>
            </w:r>
            <w:proofErr w:type="spellEnd"/>
          </w:p>
          <w:p w:rsidR="00136AA7" w:rsidRDefault="00136AA7" w:rsidP="00CE4C9D">
            <w:pPr>
              <w:rPr>
                <w:rFonts w:cs="Arial"/>
                <w:sz w:val="16"/>
                <w:szCs w:val="16"/>
              </w:rPr>
            </w:pPr>
          </w:p>
          <w:p w:rsidR="00136AA7" w:rsidRDefault="00136AA7" w:rsidP="00CE4C9D">
            <w:pPr>
              <w:rPr>
                <w:rFonts w:cs="Arial"/>
                <w:sz w:val="16"/>
                <w:szCs w:val="16"/>
              </w:rPr>
            </w:pPr>
          </w:p>
        </w:tc>
        <w:tc>
          <w:tcPr>
            <w:tcW w:w="1715" w:type="pct"/>
            <w:tcBorders>
              <w:top w:val="nil"/>
              <w:bottom w:val="nil"/>
            </w:tcBorders>
            <w:shd w:val="clear" w:color="auto" w:fill="FFFFFF"/>
            <w:tcMar>
              <w:top w:w="110" w:type="dxa"/>
            </w:tcMar>
          </w:tcPr>
          <w:p w:rsidR="00136AA7" w:rsidRDefault="00136AA7" w:rsidP="00CE4C9D">
            <w:pPr>
              <w:rPr>
                <w:rFonts w:cs="Arial"/>
                <w:sz w:val="16"/>
                <w:szCs w:val="16"/>
              </w:rPr>
            </w:pPr>
            <w:r w:rsidRPr="0042336A">
              <w:rPr>
                <w:rFonts w:cs="Arial"/>
                <w:sz w:val="16"/>
                <w:szCs w:val="16"/>
              </w:rPr>
              <w:t>In 2014, a total of 19 new SME-related case studies were published in the I</w:t>
            </w:r>
            <w:r>
              <w:rPr>
                <w:rFonts w:cs="Arial"/>
                <w:sz w:val="16"/>
                <w:szCs w:val="16"/>
              </w:rPr>
              <w:t xml:space="preserve">P </w:t>
            </w:r>
            <w:r w:rsidRPr="0042336A">
              <w:rPr>
                <w:rFonts w:cs="Arial"/>
                <w:sz w:val="16"/>
                <w:szCs w:val="16"/>
              </w:rPr>
              <w:t xml:space="preserve">Advantage database, bringing the total number of SME-related case studies available to 206.  There were </w:t>
            </w:r>
            <w:r w:rsidRPr="005E63C3">
              <w:rPr>
                <w:rFonts w:cs="Arial"/>
                <w:sz w:val="16"/>
                <w:szCs w:val="16"/>
              </w:rPr>
              <w:t>199,700 visits to the I</w:t>
            </w:r>
            <w:r>
              <w:rPr>
                <w:rFonts w:cs="Arial"/>
                <w:sz w:val="16"/>
                <w:szCs w:val="16"/>
              </w:rPr>
              <w:t xml:space="preserve">P </w:t>
            </w:r>
            <w:r w:rsidRPr="005E63C3">
              <w:rPr>
                <w:rFonts w:cs="Arial"/>
                <w:sz w:val="16"/>
                <w:szCs w:val="16"/>
              </w:rPr>
              <w:t xml:space="preserve">Advantage database in </w:t>
            </w:r>
            <w:r w:rsidRPr="0042336A">
              <w:rPr>
                <w:rFonts w:cs="Arial"/>
                <w:sz w:val="16"/>
                <w:szCs w:val="16"/>
              </w:rPr>
              <w:t>2014; however it is not feasible to determine the number of SME-related case studies that were accessed.</w:t>
            </w:r>
          </w:p>
          <w:p w:rsidR="00136AA7" w:rsidRPr="00956DE6" w:rsidRDefault="00136AA7" w:rsidP="00CE4C9D">
            <w:pPr>
              <w:rPr>
                <w:rFonts w:cs="Arial"/>
                <w:sz w:val="16"/>
                <w:szCs w:val="16"/>
              </w:rPr>
            </w:pPr>
          </w:p>
        </w:tc>
        <w:tc>
          <w:tcPr>
            <w:tcW w:w="523" w:type="pct"/>
            <w:tcBorders>
              <w:top w:val="nil"/>
              <w:bottom w:val="nil"/>
            </w:tcBorders>
            <w:tcMar>
              <w:top w:w="110" w:type="dxa"/>
            </w:tcMar>
          </w:tcPr>
          <w:p w:rsidR="00136AA7" w:rsidRPr="00136AA7" w:rsidRDefault="00136AA7" w:rsidP="00CE4C9D">
            <w:pPr>
              <w:keepNext/>
              <w:keepLines/>
              <w:jc w:val="center"/>
              <w:rPr>
                <w:rStyle w:val="Style5"/>
                <w:rFonts w:ascii="Arial" w:hAnsi="Arial" w:cs="Arial"/>
                <w:b/>
                <w:color w:val="808080"/>
                <w:sz w:val="14"/>
                <w:szCs w:val="16"/>
              </w:rPr>
            </w:pPr>
            <w:r w:rsidRPr="00136AA7">
              <w:rPr>
                <w:rStyle w:val="Style5"/>
                <w:rFonts w:ascii="Arial" w:hAnsi="Arial" w:cs="Arial"/>
                <w:b/>
                <w:color w:val="808080"/>
                <w:sz w:val="14"/>
                <w:szCs w:val="16"/>
              </w:rPr>
              <w:t>Not assessable</w:t>
            </w:r>
          </w:p>
        </w:tc>
      </w:tr>
      <w:tr w:rsidR="00EE5F3E" w:rsidRPr="003C5DE4" w:rsidTr="00EE5F3E">
        <w:trPr>
          <w:cantSplit/>
        </w:trPr>
        <w:tc>
          <w:tcPr>
            <w:tcW w:w="1120" w:type="pct"/>
            <w:tcBorders>
              <w:top w:val="nil"/>
              <w:bottom w:val="single" w:sz="4" w:space="0" w:color="auto"/>
            </w:tcBorders>
          </w:tcPr>
          <w:p w:rsidR="00136AA7" w:rsidRDefault="00136AA7" w:rsidP="00CE4C9D">
            <w:pPr>
              <w:rPr>
                <w:rFonts w:cs="Arial"/>
                <w:sz w:val="16"/>
                <w:szCs w:val="16"/>
                <w:lang w:bidi="th-TH"/>
              </w:rPr>
            </w:pPr>
            <w:r w:rsidRPr="00BC6160">
              <w:rPr>
                <w:rFonts w:cs="Arial"/>
                <w:sz w:val="16"/>
                <w:szCs w:val="16"/>
                <w:lang w:bidi="th-TH"/>
              </w:rPr>
              <w:t>% of participants in training program</w:t>
            </w:r>
            <w:r w:rsidR="000B15EA">
              <w:rPr>
                <w:rFonts w:cs="Arial"/>
                <w:sz w:val="16"/>
                <w:szCs w:val="16"/>
                <w:lang w:bidi="th-TH"/>
              </w:rPr>
              <w:t>s</w:t>
            </w:r>
            <w:r w:rsidRPr="00BC6160">
              <w:rPr>
                <w:rFonts w:cs="Arial"/>
                <w:sz w:val="16"/>
                <w:szCs w:val="16"/>
                <w:lang w:bidi="th-TH"/>
              </w:rPr>
              <w:t xml:space="preserve"> targeting SME support institutions who express satisfaction with the content and organization of these events</w:t>
            </w:r>
          </w:p>
          <w:p w:rsidR="00136AA7" w:rsidRPr="00BC6160" w:rsidRDefault="00136AA7" w:rsidP="00CE4C9D">
            <w:pPr>
              <w:rPr>
                <w:rFonts w:cs="Arial"/>
                <w:sz w:val="16"/>
                <w:szCs w:val="16"/>
                <w:lang w:bidi="th-TH"/>
              </w:rPr>
            </w:pPr>
          </w:p>
        </w:tc>
        <w:tc>
          <w:tcPr>
            <w:tcW w:w="895" w:type="pct"/>
            <w:tcBorders>
              <w:top w:val="nil"/>
              <w:bottom w:val="single" w:sz="4" w:space="0" w:color="auto"/>
            </w:tcBorders>
            <w:shd w:val="clear" w:color="auto" w:fill="auto"/>
          </w:tcPr>
          <w:p w:rsidR="00136AA7" w:rsidRPr="00956DE6" w:rsidRDefault="00136AA7" w:rsidP="00CE4C9D">
            <w:pPr>
              <w:rPr>
                <w:rFonts w:cs="Arial"/>
                <w:color w:val="002060"/>
                <w:sz w:val="16"/>
                <w:szCs w:val="16"/>
              </w:rPr>
            </w:pPr>
            <w:r w:rsidRPr="0068151C">
              <w:rPr>
                <w:rFonts w:cs="Arial"/>
                <w:i/>
                <w:color w:val="002060"/>
                <w:sz w:val="16"/>
                <w:szCs w:val="16"/>
              </w:rPr>
              <w:t>Updated Baseline end 201</w:t>
            </w:r>
            <w:r>
              <w:rPr>
                <w:rFonts w:cs="Arial"/>
                <w:i/>
                <w:color w:val="002060"/>
                <w:sz w:val="16"/>
                <w:szCs w:val="16"/>
              </w:rPr>
              <w:t xml:space="preserve">3: </w:t>
            </w:r>
            <w:r w:rsidRPr="00BC6160">
              <w:rPr>
                <w:rFonts w:cs="Arial"/>
                <w:color w:val="002060"/>
                <w:sz w:val="16"/>
                <w:szCs w:val="16"/>
              </w:rPr>
              <w:t>90%</w:t>
            </w:r>
          </w:p>
          <w:p w:rsidR="00136AA7" w:rsidRPr="0068151C" w:rsidRDefault="00136AA7" w:rsidP="00CE4C9D">
            <w:pPr>
              <w:rPr>
                <w:rFonts w:cs="Arial"/>
                <w:i/>
                <w:sz w:val="8"/>
                <w:szCs w:val="8"/>
              </w:rPr>
            </w:pPr>
          </w:p>
          <w:p w:rsidR="00136AA7" w:rsidRPr="0068151C" w:rsidRDefault="00136AA7" w:rsidP="00CE4C9D">
            <w:pPr>
              <w:rPr>
                <w:rFonts w:cs="Arial"/>
                <w:i/>
                <w:color w:val="002060"/>
                <w:sz w:val="16"/>
                <w:szCs w:val="16"/>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Pr>
                <w:rFonts w:cs="Arial"/>
                <w:sz w:val="16"/>
                <w:szCs w:val="16"/>
              </w:rPr>
              <w:t xml:space="preserve"> </w:t>
            </w:r>
            <w:proofErr w:type="spellStart"/>
            <w:r>
              <w:rPr>
                <w:rFonts w:cs="Arial"/>
                <w:sz w:val="16"/>
                <w:szCs w:val="16"/>
              </w:rPr>
              <w:t>tbd</w:t>
            </w:r>
            <w:proofErr w:type="spellEnd"/>
          </w:p>
        </w:tc>
        <w:tc>
          <w:tcPr>
            <w:tcW w:w="747" w:type="pct"/>
            <w:tcBorders>
              <w:top w:val="nil"/>
              <w:bottom w:val="single" w:sz="4" w:space="0" w:color="auto"/>
            </w:tcBorders>
            <w:tcMar>
              <w:top w:w="110" w:type="dxa"/>
            </w:tcMar>
          </w:tcPr>
          <w:p w:rsidR="00136AA7" w:rsidRDefault="00136AA7" w:rsidP="00CE4C9D">
            <w:pPr>
              <w:rPr>
                <w:rFonts w:cs="Arial"/>
                <w:sz w:val="16"/>
                <w:szCs w:val="16"/>
              </w:rPr>
            </w:pPr>
            <w:proofErr w:type="spellStart"/>
            <w:r>
              <w:rPr>
                <w:rFonts w:cs="Arial"/>
                <w:sz w:val="16"/>
                <w:szCs w:val="16"/>
              </w:rPr>
              <w:t>tbd</w:t>
            </w:r>
            <w:proofErr w:type="spellEnd"/>
          </w:p>
          <w:p w:rsidR="00136AA7" w:rsidRDefault="00136AA7" w:rsidP="00CE4C9D">
            <w:pPr>
              <w:rPr>
                <w:rFonts w:cs="Arial"/>
                <w:sz w:val="16"/>
                <w:szCs w:val="16"/>
              </w:rPr>
            </w:pPr>
          </w:p>
          <w:p w:rsidR="00136AA7" w:rsidRDefault="00136AA7" w:rsidP="00CE4C9D">
            <w:pPr>
              <w:rPr>
                <w:rFonts w:cs="Arial"/>
                <w:sz w:val="16"/>
                <w:szCs w:val="16"/>
              </w:rPr>
            </w:pPr>
          </w:p>
        </w:tc>
        <w:tc>
          <w:tcPr>
            <w:tcW w:w="1715" w:type="pct"/>
            <w:tcBorders>
              <w:top w:val="nil"/>
              <w:bottom w:val="single" w:sz="4" w:space="0" w:color="auto"/>
            </w:tcBorders>
            <w:shd w:val="clear" w:color="auto" w:fill="FFFFFF"/>
            <w:tcMar>
              <w:top w:w="110" w:type="dxa"/>
            </w:tcMar>
          </w:tcPr>
          <w:p w:rsidR="00136AA7" w:rsidRPr="00BC6160" w:rsidRDefault="00136AA7" w:rsidP="00CE4C9D">
            <w:pPr>
              <w:rPr>
                <w:rFonts w:cs="Arial"/>
                <w:sz w:val="16"/>
                <w:szCs w:val="16"/>
              </w:rPr>
            </w:pPr>
            <w:r w:rsidRPr="00BC6160">
              <w:rPr>
                <w:rFonts w:cs="Arial"/>
                <w:sz w:val="16"/>
                <w:szCs w:val="16"/>
              </w:rPr>
              <w:t xml:space="preserve">100% of participants </w:t>
            </w:r>
            <w:r>
              <w:rPr>
                <w:rFonts w:cs="Arial"/>
                <w:sz w:val="16"/>
                <w:szCs w:val="16"/>
              </w:rPr>
              <w:t>were</w:t>
            </w:r>
            <w:r w:rsidRPr="00BC6160">
              <w:rPr>
                <w:rFonts w:cs="Arial"/>
                <w:sz w:val="16"/>
                <w:szCs w:val="16"/>
              </w:rPr>
              <w:t xml:space="preserve"> satisfied with the content and organization of the training programs</w:t>
            </w:r>
            <w:r>
              <w:rPr>
                <w:rFonts w:cs="Arial"/>
                <w:sz w:val="16"/>
                <w:szCs w:val="16"/>
              </w:rPr>
              <w:t>.</w:t>
            </w:r>
          </w:p>
        </w:tc>
        <w:tc>
          <w:tcPr>
            <w:tcW w:w="523" w:type="pct"/>
            <w:tcBorders>
              <w:top w:val="nil"/>
              <w:bottom w:val="single" w:sz="4" w:space="0" w:color="auto"/>
            </w:tcBorders>
            <w:tcMar>
              <w:top w:w="110" w:type="dxa"/>
            </w:tcMar>
          </w:tcPr>
          <w:p w:rsidR="00136AA7" w:rsidRPr="00956DE6" w:rsidRDefault="00136AA7" w:rsidP="00CE4C9D">
            <w:pPr>
              <w:keepNext/>
              <w:keepLines/>
              <w:jc w:val="center"/>
              <w:rPr>
                <w:rStyle w:val="Style5"/>
                <w:rFonts w:ascii="Arial" w:hAnsi="Arial" w:cs="Arial"/>
                <w:b/>
                <w:color w:val="808080"/>
                <w:sz w:val="16"/>
                <w:szCs w:val="16"/>
              </w:rPr>
            </w:pPr>
            <w:r w:rsidRPr="00956DE6">
              <w:rPr>
                <w:rStyle w:val="Style5"/>
                <w:rFonts w:ascii="Arial" w:hAnsi="Arial" w:cs="Arial"/>
                <w:b/>
                <w:color w:val="00B050"/>
                <w:sz w:val="16"/>
                <w:szCs w:val="16"/>
              </w:rPr>
              <w:t>On track</w:t>
            </w:r>
          </w:p>
        </w:tc>
      </w:tr>
      <w:tr w:rsidR="00EE5F3E" w:rsidRPr="003C5DE4" w:rsidTr="00EE5F3E">
        <w:trPr>
          <w:cantSplit/>
        </w:trPr>
        <w:tc>
          <w:tcPr>
            <w:tcW w:w="1120" w:type="pct"/>
            <w:tcBorders>
              <w:top w:val="single" w:sz="4" w:space="0" w:color="auto"/>
              <w:bottom w:val="nil"/>
            </w:tcBorders>
            <w:vAlign w:val="center"/>
          </w:tcPr>
          <w:p w:rsidR="00EE5F3E" w:rsidRPr="003C5DE4" w:rsidRDefault="00EE5F3E" w:rsidP="00EE5F3E">
            <w:pPr>
              <w:keepNext/>
              <w:keepLines/>
              <w:rPr>
                <w:rFonts w:cs="Arial"/>
                <w:sz w:val="16"/>
                <w:szCs w:val="16"/>
              </w:rPr>
            </w:pPr>
            <w:r w:rsidRPr="003C5DE4">
              <w:rPr>
                <w:rFonts w:cs="Arial"/>
                <w:b/>
                <w:bCs/>
                <w:sz w:val="16"/>
                <w:szCs w:val="16"/>
              </w:rPr>
              <w:lastRenderedPageBreak/>
              <w:t>Performance Indicators</w:t>
            </w:r>
          </w:p>
        </w:tc>
        <w:tc>
          <w:tcPr>
            <w:tcW w:w="895" w:type="pct"/>
            <w:tcBorders>
              <w:top w:val="single" w:sz="4" w:space="0" w:color="auto"/>
              <w:bottom w:val="nil"/>
            </w:tcBorders>
            <w:shd w:val="clear" w:color="auto" w:fill="auto"/>
            <w:vAlign w:val="center"/>
          </w:tcPr>
          <w:p w:rsidR="00EE5F3E" w:rsidRPr="003C5DE4" w:rsidRDefault="00EE5F3E" w:rsidP="00EE5F3E">
            <w:pPr>
              <w:keepNext/>
              <w:keepLines/>
              <w:rPr>
                <w:rFonts w:cs="Arial"/>
                <w:b/>
                <w:bCs/>
                <w:sz w:val="16"/>
                <w:szCs w:val="16"/>
              </w:rPr>
            </w:pPr>
            <w:r w:rsidRPr="003C5DE4">
              <w:rPr>
                <w:rFonts w:cs="Arial"/>
                <w:b/>
                <w:bCs/>
                <w:sz w:val="16"/>
                <w:szCs w:val="16"/>
              </w:rPr>
              <w:t>Baselines</w:t>
            </w:r>
          </w:p>
        </w:tc>
        <w:tc>
          <w:tcPr>
            <w:tcW w:w="747" w:type="pct"/>
            <w:tcBorders>
              <w:top w:val="single" w:sz="4" w:space="0" w:color="auto"/>
              <w:bottom w:val="nil"/>
            </w:tcBorders>
            <w:tcMar>
              <w:top w:w="110" w:type="dxa"/>
            </w:tcMar>
            <w:vAlign w:val="center"/>
          </w:tcPr>
          <w:p w:rsidR="00EE5F3E" w:rsidRPr="003C5DE4" w:rsidRDefault="00EE5F3E" w:rsidP="00EE5F3E">
            <w:pPr>
              <w:keepNext/>
              <w:keepLines/>
              <w:rPr>
                <w:rFonts w:cs="Arial"/>
                <w:b/>
                <w:sz w:val="16"/>
                <w:szCs w:val="16"/>
              </w:rPr>
            </w:pPr>
            <w:r w:rsidRPr="003C5DE4">
              <w:rPr>
                <w:rFonts w:cs="Arial"/>
                <w:b/>
                <w:sz w:val="16"/>
                <w:szCs w:val="16"/>
              </w:rPr>
              <w:t>Targets</w:t>
            </w:r>
          </w:p>
        </w:tc>
        <w:tc>
          <w:tcPr>
            <w:tcW w:w="1715" w:type="pct"/>
            <w:tcBorders>
              <w:top w:val="single" w:sz="4" w:space="0" w:color="auto"/>
              <w:bottom w:val="nil"/>
            </w:tcBorders>
            <w:shd w:val="clear" w:color="auto" w:fill="FFFFFF"/>
            <w:tcMar>
              <w:top w:w="110" w:type="dxa"/>
            </w:tcMar>
            <w:vAlign w:val="center"/>
          </w:tcPr>
          <w:p w:rsidR="00EE5F3E" w:rsidRPr="003C5DE4" w:rsidRDefault="00EE5F3E" w:rsidP="00EE5F3E">
            <w:pPr>
              <w:keepNext/>
              <w:keepLines/>
              <w:rPr>
                <w:rFonts w:cs="Arial"/>
                <w:sz w:val="16"/>
                <w:szCs w:val="16"/>
              </w:rPr>
            </w:pPr>
            <w:r w:rsidRPr="003C5DE4">
              <w:rPr>
                <w:rFonts w:cs="Arial"/>
                <w:b/>
                <w:bCs/>
                <w:sz w:val="16"/>
                <w:szCs w:val="16"/>
              </w:rPr>
              <w:t>Performance Data</w:t>
            </w:r>
          </w:p>
        </w:tc>
        <w:tc>
          <w:tcPr>
            <w:tcW w:w="523" w:type="pct"/>
            <w:tcBorders>
              <w:top w:val="single" w:sz="4" w:space="0" w:color="auto"/>
              <w:bottom w:val="nil"/>
            </w:tcBorders>
            <w:tcMar>
              <w:top w:w="110" w:type="dxa"/>
            </w:tcMar>
            <w:vAlign w:val="center"/>
          </w:tcPr>
          <w:p w:rsidR="00EE5F3E" w:rsidRPr="003C5DE4" w:rsidRDefault="00EE5F3E" w:rsidP="00EE5F3E">
            <w:pPr>
              <w:keepNext/>
              <w:keepLines/>
              <w:jc w:val="center"/>
              <w:rPr>
                <w:rFonts w:cs="Arial"/>
                <w:b/>
                <w:bCs/>
                <w:sz w:val="16"/>
                <w:szCs w:val="16"/>
              </w:rPr>
            </w:pPr>
            <w:r w:rsidRPr="003C5DE4">
              <w:rPr>
                <w:rFonts w:cs="Arial"/>
                <w:b/>
                <w:bCs/>
                <w:sz w:val="16"/>
                <w:szCs w:val="16"/>
              </w:rPr>
              <w:t>TLS</w:t>
            </w:r>
          </w:p>
        </w:tc>
      </w:tr>
      <w:tr w:rsidR="00EE5F3E" w:rsidRPr="003C5DE4" w:rsidTr="00EE5F3E">
        <w:trPr>
          <w:cantSplit/>
        </w:trPr>
        <w:tc>
          <w:tcPr>
            <w:tcW w:w="1120" w:type="pct"/>
            <w:tcBorders>
              <w:top w:val="nil"/>
              <w:bottom w:val="nil"/>
            </w:tcBorders>
          </w:tcPr>
          <w:p w:rsidR="00EE5F3E" w:rsidRPr="00BC6160" w:rsidRDefault="00EE5F3E" w:rsidP="00EE5F3E">
            <w:pPr>
              <w:keepNext/>
              <w:keepLines/>
              <w:rPr>
                <w:rFonts w:cs="Arial"/>
                <w:sz w:val="16"/>
                <w:szCs w:val="16"/>
                <w:lang w:bidi="th-TH"/>
              </w:rPr>
            </w:pPr>
            <w:r w:rsidRPr="00BC6160">
              <w:rPr>
                <w:rFonts w:cs="Arial"/>
                <w:sz w:val="16"/>
                <w:szCs w:val="16"/>
                <w:lang w:bidi="th-TH"/>
              </w:rPr>
              <w:t>% of trained SMEs support institutions who provide information, support and advisory/consulting services on IP asset management</w:t>
            </w:r>
          </w:p>
        </w:tc>
        <w:tc>
          <w:tcPr>
            <w:tcW w:w="895" w:type="pct"/>
            <w:tcBorders>
              <w:top w:val="nil"/>
              <w:bottom w:val="nil"/>
            </w:tcBorders>
            <w:shd w:val="clear" w:color="auto" w:fill="auto"/>
          </w:tcPr>
          <w:p w:rsidR="00EE5F3E" w:rsidRPr="00956DE6" w:rsidRDefault="00EE5F3E" w:rsidP="00EE5F3E">
            <w:pPr>
              <w:keepNext/>
              <w:keepLines/>
              <w:rPr>
                <w:rFonts w:cs="Arial"/>
                <w:color w:val="002060"/>
                <w:sz w:val="16"/>
                <w:szCs w:val="16"/>
              </w:rPr>
            </w:pPr>
            <w:r w:rsidRPr="0068151C">
              <w:rPr>
                <w:rFonts w:cs="Arial"/>
                <w:i/>
                <w:color w:val="002060"/>
                <w:sz w:val="16"/>
                <w:szCs w:val="16"/>
              </w:rPr>
              <w:t>Updated Baseline end 201</w:t>
            </w:r>
            <w:r>
              <w:rPr>
                <w:rFonts w:cs="Arial"/>
                <w:i/>
                <w:color w:val="002060"/>
                <w:sz w:val="16"/>
                <w:szCs w:val="16"/>
              </w:rPr>
              <w:t xml:space="preserve">3: </w:t>
            </w:r>
            <w:r w:rsidRPr="003C5DE4">
              <w:rPr>
                <w:rFonts w:cs="Arial"/>
                <w:sz w:val="16"/>
                <w:szCs w:val="16"/>
                <w:lang w:bidi="th-TH"/>
              </w:rPr>
              <w:t xml:space="preserve">100% of the assisted 15 SMEs support institutions provide information, support and/or </w:t>
            </w:r>
            <w:r>
              <w:rPr>
                <w:rFonts w:cs="Arial"/>
                <w:sz w:val="16"/>
                <w:szCs w:val="16"/>
                <w:lang w:bidi="th-TH"/>
              </w:rPr>
              <w:t>advisory/ consultin</w:t>
            </w:r>
            <w:r w:rsidRPr="003C5DE4">
              <w:rPr>
                <w:rFonts w:cs="Arial"/>
                <w:sz w:val="16"/>
                <w:szCs w:val="16"/>
                <w:lang w:bidi="th-TH"/>
              </w:rPr>
              <w:t>g services on IP asset management</w:t>
            </w:r>
            <w:r>
              <w:rPr>
                <w:rFonts w:cs="Arial"/>
                <w:sz w:val="16"/>
                <w:szCs w:val="16"/>
                <w:lang w:bidi="th-TH"/>
              </w:rPr>
              <w:t>.</w:t>
            </w:r>
          </w:p>
          <w:p w:rsidR="00EE5F3E" w:rsidRPr="0068151C" w:rsidRDefault="00EE5F3E" w:rsidP="00EE5F3E">
            <w:pPr>
              <w:keepNext/>
              <w:keepLines/>
              <w:rPr>
                <w:rFonts w:cs="Arial"/>
                <w:i/>
                <w:sz w:val="8"/>
                <w:szCs w:val="8"/>
              </w:rPr>
            </w:pPr>
          </w:p>
          <w:p w:rsidR="00EE5F3E" w:rsidRPr="0068151C" w:rsidRDefault="00EE5F3E" w:rsidP="00EE5F3E">
            <w:pPr>
              <w:keepNext/>
              <w:keepLines/>
              <w:rPr>
                <w:rFonts w:cs="Arial"/>
                <w:i/>
                <w:color w:val="002060"/>
                <w:sz w:val="16"/>
                <w:szCs w:val="16"/>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Pr>
                <w:rFonts w:cs="Arial"/>
                <w:sz w:val="16"/>
                <w:szCs w:val="16"/>
              </w:rPr>
              <w:t xml:space="preserve"> </w:t>
            </w:r>
            <w:proofErr w:type="spellStart"/>
            <w:r>
              <w:rPr>
                <w:rFonts w:cs="Arial"/>
                <w:sz w:val="16"/>
                <w:szCs w:val="16"/>
              </w:rPr>
              <w:t>tbd</w:t>
            </w:r>
            <w:proofErr w:type="spellEnd"/>
          </w:p>
        </w:tc>
        <w:tc>
          <w:tcPr>
            <w:tcW w:w="747" w:type="pct"/>
            <w:tcBorders>
              <w:top w:val="nil"/>
              <w:bottom w:val="nil"/>
            </w:tcBorders>
            <w:tcMar>
              <w:top w:w="110" w:type="dxa"/>
            </w:tcMar>
          </w:tcPr>
          <w:p w:rsidR="00EE5F3E" w:rsidRPr="008271FD" w:rsidRDefault="00EE5F3E" w:rsidP="00845557">
            <w:pPr>
              <w:keepNext/>
              <w:keepLines/>
              <w:outlineLvl w:val="7"/>
              <w:rPr>
                <w:rFonts w:cs="Arial"/>
                <w:color w:val="002060"/>
                <w:sz w:val="16"/>
                <w:szCs w:val="16"/>
              </w:rPr>
            </w:pPr>
            <w:r w:rsidRPr="008271FD">
              <w:rPr>
                <w:rFonts w:cs="Arial"/>
                <w:color w:val="002060"/>
                <w:sz w:val="16"/>
                <w:szCs w:val="16"/>
              </w:rPr>
              <w:t xml:space="preserve">Defined target: </w:t>
            </w:r>
            <w:r w:rsidRPr="003A5C5A">
              <w:rPr>
                <w:rFonts w:cs="Arial"/>
                <w:color w:val="002060"/>
                <w:sz w:val="16"/>
                <w:szCs w:val="16"/>
              </w:rPr>
              <w:t>80%</w:t>
            </w:r>
          </w:p>
          <w:p w:rsidR="00EE5F3E" w:rsidRPr="003A5C5A" w:rsidRDefault="00EE5F3E" w:rsidP="00EE5F3E">
            <w:pPr>
              <w:keepNext/>
              <w:keepLines/>
              <w:rPr>
                <w:rFonts w:cs="Arial"/>
                <w:sz w:val="16"/>
                <w:szCs w:val="16"/>
              </w:rPr>
            </w:pPr>
          </w:p>
          <w:p w:rsidR="00EE5F3E" w:rsidRPr="003A5C5A" w:rsidRDefault="00EE5F3E" w:rsidP="00EE5F3E">
            <w:pPr>
              <w:keepNext/>
              <w:keepLines/>
              <w:rPr>
                <w:rFonts w:cs="Arial"/>
                <w:sz w:val="16"/>
                <w:szCs w:val="16"/>
              </w:rPr>
            </w:pPr>
            <w:r w:rsidRPr="008271FD">
              <w:rPr>
                <w:rFonts w:cs="Arial"/>
                <w:sz w:val="16"/>
                <w:szCs w:val="16"/>
              </w:rPr>
              <w:t>Original Target  P&amp;B 2014/15:</w:t>
            </w:r>
            <w:r w:rsidRPr="003A5C5A">
              <w:rPr>
                <w:rFonts w:cs="Arial"/>
                <w:sz w:val="16"/>
                <w:szCs w:val="16"/>
              </w:rPr>
              <w:t xml:space="preserve">  </w:t>
            </w:r>
            <w:proofErr w:type="spellStart"/>
            <w:r w:rsidRPr="003A5C5A">
              <w:rPr>
                <w:rFonts w:cs="Arial"/>
                <w:sz w:val="16"/>
                <w:szCs w:val="16"/>
              </w:rPr>
              <w:t>tbd</w:t>
            </w:r>
            <w:proofErr w:type="spellEnd"/>
          </w:p>
          <w:p w:rsidR="00EE5F3E" w:rsidRDefault="00EE5F3E" w:rsidP="00EE5F3E">
            <w:pPr>
              <w:keepNext/>
              <w:keepLines/>
              <w:rPr>
                <w:rFonts w:cs="Arial"/>
                <w:sz w:val="16"/>
                <w:szCs w:val="16"/>
              </w:rPr>
            </w:pPr>
          </w:p>
        </w:tc>
        <w:tc>
          <w:tcPr>
            <w:tcW w:w="1715" w:type="pct"/>
            <w:tcBorders>
              <w:top w:val="nil"/>
              <w:bottom w:val="nil"/>
            </w:tcBorders>
            <w:shd w:val="clear" w:color="auto" w:fill="FFFFFF"/>
            <w:tcMar>
              <w:top w:w="110" w:type="dxa"/>
            </w:tcMar>
          </w:tcPr>
          <w:p w:rsidR="00EE5F3E" w:rsidRPr="00BC6160" w:rsidRDefault="00EE5F3E" w:rsidP="00EE5F3E">
            <w:pPr>
              <w:keepNext/>
              <w:keepLines/>
              <w:rPr>
                <w:rFonts w:cs="Arial"/>
                <w:sz w:val="16"/>
                <w:szCs w:val="16"/>
              </w:rPr>
            </w:pPr>
            <w:r w:rsidRPr="00BC6160">
              <w:rPr>
                <w:rFonts w:cs="Arial"/>
                <w:sz w:val="16"/>
                <w:szCs w:val="16"/>
              </w:rPr>
              <w:t>100%</w:t>
            </w:r>
            <w:r>
              <w:rPr>
                <w:rFonts w:cs="Arial"/>
                <w:sz w:val="16"/>
                <w:szCs w:val="16"/>
              </w:rPr>
              <w:t xml:space="preserve"> </w:t>
            </w:r>
            <w:r>
              <w:rPr>
                <w:rFonts w:cs="Arial"/>
                <w:sz w:val="16"/>
                <w:szCs w:val="16"/>
                <w:lang w:bidi="th-TH"/>
              </w:rPr>
              <w:t>of trained SME</w:t>
            </w:r>
            <w:r w:rsidRPr="00BC6160">
              <w:rPr>
                <w:rFonts w:cs="Arial"/>
                <w:sz w:val="16"/>
                <w:szCs w:val="16"/>
                <w:lang w:bidi="th-TH"/>
              </w:rPr>
              <w:t xml:space="preserve"> support institutions </w:t>
            </w:r>
            <w:r>
              <w:rPr>
                <w:rFonts w:cs="Arial"/>
                <w:sz w:val="16"/>
                <w:szCs w:val="16"/>
              </w:rPr>
              <w:t xml:space="preserve">provided </w:t>
            </w:r>
            <w:r w:rsidRPr="00BC6160">
              <w:rPr>
                <w:rFonts w:cs="Arial"/>
                <w:sz w:val="16"/>
                <w:szCs w:val="16"/>
                <w:lang w:bidi="th-TH"/>
              </w:rPr>
              <w:t>information, support and advisory/consulting services on IP asset management</w:t>
            </w:r>
            <w:r>
              <w:rPr>
                <w:rFonts w:cs="Arial"/>
                <w:sz w:val="16"/>
                <w:szCs w:val="16"/>
                <w:lang w:bidi="th-TH"/>
              </w:rPr>
              <w:t xml:space="preserve"> </w:t>
            </w:r>
          </w:p>
        </w:tc>
        <w:tc>
          <w:tcPr>
            <w:tcW w:w="523" w:type="pct"/>
            <w:tcBorders>
              <w:top w:val="nil"/>
              <w:bottom w:val="nil"/>
            </w:tcBorders>
            <w:tcMar>
              <w:top w:w="110" w:type="dxa"/>
            </w:tcMar>
          </w:tcPr>
          <w:p w:rsidR="00EE5F3E" w:rsidRPr="00956DE6" w:rsidRDefault="00EE5F3E" w:rsidP="00EE5F3E">
            <w:pPr>
              <w:keepNext/>
              <w:keepLines/>
              <w:jc w:val="center"/>
              <w:rPr>
                <w:rStyle w:val="Style5"/>
                <w:rFonts w:ascii="Arial" w:hAnsi="Arial" w:cs="Arial"/>
                <w:b/>
                <w:color w:val="00B050"/>
                <w:sz w:val="16"/>
                <w:szCs w:val="16"/>
              </w:rPr>
            </w:pPr>
            <w:r w:rsidRPr="00956DE6">
              <w:rPr>
                <w:rStyle w:val="Style5"/>
                <w:rFonts w:ascii="Arial" w:hAnsi="Arial" w:cs="Arial"/>
                <w:b/>
                <w:color w:val="00B050"/>
                <w:sz w:val="16"/>
                <w:szCs w:val="16"/>
              </w:rPr>
              <w:t>On track</w:t>
            </w:r>
          </w:p>
        </w:tc>
      </w:tr>
      <w:tr w:rsidR="00EE5F3E" w:rsidRPr="003C5DE4" w:rsidTr="00EE5F3E">
        <w:trPr>
          <w:cantSplit/>
        </w:trPr>
        <w:tc>
          <w:tcPr>
            <w:tcW w:w="1120" w:type="pct"/>
            <w:tcBorders>
              <w:top w:val="nil"/>
              <w:bottom w:val="single" w:sz="4" w:space="0" w:color="auto"/>
            </w:tcBorders>
          </w:tcPr>
          <w:p w:rsidR="00EE5F3E" w:rsidRPr="00BC6160" w:rsidRDefault="00EE5F3E" w:rsidP="00CE4C9D">
            <w:pPr>
              <w:rPr>
                <w:rFonts w:cs="Arial"/>
                <w:sz w:val="16"/>
                <w:szCs w:val="16"/>
                <w:lang w:bidi="th-TH"/>
              </w:rPr>
            </w:pPr>
            <w:r w:rsidRPr="00BC6160">
              <w:rPr>
                <w:rFonts w:cs="Arial"/>
                <w:sz w:val="16"/>
                <w:szCs w:val="16"/>
                <w:lang w:bidi="th-TH"/>
              </w:rPr>
              <w:t>No. of countries having established IP training programs for SMEs</w:t>
            </w:r>
          </w:p>
        </w:tc>
        <w:tc>
          <w:tcPr>
            <w:tcW w:w="895" w:type="pct"/>
            <w:tcBorders>
              <w:top w:val="nil"/>
              <w:bottom w:val="single" w:sz="4" w:space="0" w:color="auto"/>
            </w:tcBorders>
            <w:shd w:val="clear" w:color="auto" w:fill="auto"/>
          </w:tcPr>
          <w:p w:rsidR="00EE5F3E" w:rsidRPr="0068151C" w:rsidRDefault="00EE5F3E" w:rsidP="00CE4C9D">
            <w:pPr>
              <w:rPr>
                <w:rFonts w:cs="Arial"/>
                <w:i/>
                <w:color w:val="002060"/>
                <w:sz w:val="16"/>
                <w:szCs w:val="16"/>
              </w:rPr>
            </w:pPr>
            <w:proofErr w:type="spellStart"/>
            <w:r>
              <w:rPr>
                <w:rFonts w:cs="Arial"/>
                <w:sz w:val="16"/>
                <w:szCs w:val="16"/>
              </w:rPr>
              <w:t>tbd</w:t>
            </w:r>
            <w:proofErr w:type="spellEnd"/>
          </w:p>
        </w:tc>
        <w:tc>
          <w:tcPr>
            <w:tcW w:w="747" w:type="pct"/>
            <w:tcBorders>
              <w:top w:val="nil"/>
              <w:bottom w:val="single" w:sz="4" w:space="0" w:color="auto"/>
            </w:tcBorders>
            <w:tcMar>
              <w:top w:w="110" w:type="dxa"/>
            </w:tcMar>
          </w:tcPr>
          <w:p w:rsidR="00EE5F3E" w:rsidRPr="003A5C5A" w:rsidRDefault="00EE5F3E" w:rsidP="00CE4C9D">
            <w:pPr>
              <w:rPr>
                <w:rFonts w:cs="Arial"/>
                <w:sz w:val="16"/>
                <w:szCs w:val="16"/>
              </w:rPr>
            </w:pPr>
            <w:proofErr w:type="spellStart"/>
            <w:r w:rsidRPr="003A5C5A">
              <w:rPr>
                <w:rFonts w:cs="Arial"/>
                <w:sz w:val="16"/>
                <w:szCs w:val="16"/>
              </w:rPr>
              <w:t>tbd</w:t>
            </w:r>
            <w:proofErr w:type="spellEnd"/>
          </w:p>
          <w:p w:rsidR="00EE5F3E" w:rsidRDefault="00EE5F3E" w:rsidP="00CE4C9D">
            <w:pPr>
              <w:rPr>
                <w:rFonts w:cs="Arial"/>
                <w:sz w:val="16"/>
                <w:szCs w:val="16"/>
              </w:rPr>
            </w:pPr>
          </w:p>
          <w:p w:rsidR="00EE5F3E" w:rsidRDefault="00EE5F3E" w:rsidP="00CE4C9D">
            <w:pPr>
              <w:rPr>
                <w:rFonts w:cs="Arial"/>
                <w:sz w:val="16"/>
                <w:szCs w:val="16"/>
              </w:rPr>
            </w:pPr>
          </w:p>
        </w:tc>
        <w:tc>
          <w:tcPr>
            <w:tcW w:w="1715" w:type="pct"/>
            <w:tcBorders>
              <w:top w:val="nil"/>
              <w:bottom w:val="single" w:sz="4" w:space="0" w:color="auto"/>
            </w:tcBorders>
            <w:shd w:val="clear" w:color="auto" w:fill="FFFFFF"/>
            <w:tcMar>
              <w:top w:w="110" w:type="dxa"/>
            </w:tcMar>
          </w:tcPr>
          <w:p w:rsidR="00EE5F3E" w:rsidRPr="00BC6160" w:rsidRDefault="00EE5F3E" w:rsidP="00EE5F3E">
            <w:pPr>
              <w:rPr>
                <w:rFonts w:cs="Arial"/>
                <w:sz w:val="16"/>
                <w:szCs w:val="16"/>
              </w:rPr>
            </w:pPr>
            <w:r>
              <w:rPr>
                <w:rFonts w:cs="Arial"/>
                <w:sz w:val="16"/>
                <w:szCs w:val="16"/>
              </w:rPr>
              <w:t>The following 13 countries/ regional organizations reported having established IP training programs for SMEs</w:t>
            </w:r>
            <w:r w:rsidRPr="00BC6160">
              <w:rPr>
                <w:rFonts w:cs="Arial"/>
                <w:sz w:val="16"/>
                <w:szCs w:val="16"/>
              </w:rPr>
              <w:t xml:space="preserve">: </w:t>
            </w:r>
            <w:r>
              <w:rPr>
                <w:rFonts w:cs="Arial"/>
                <w:sz w:val="16"/>
                <w:szCs w:val="16"/>
              </w:rPr>
              <w:t xml:space="preserve">ARIPO, Armenia, </w:t>
            </w:r>
            <w:r w:rsidRPr="00BC6160">
              <w:rPr>
                <w:rFonts w:cs="Arial"/>
                <w:sz w:val="16"/>
                <w:szCs w:val="16"/>
              </w:rPr>
              <w:t xml:space="preserve">Argentina, </w:t>
            </w:r>
            <w:r>
              <w:rPr>
                <w:rFonts w:cs="Arial"/>
                <w:sz w:val="16"/>
                <w:szCs w:val="16"/>
              </w:rPr>
              <w:t xml:space="preserve">Belarus, </w:t>
            </w:r>
            <w:r w:rsidRPr="00BC6160">
              <w:rPr>
                <w:rFonts w:cs="Arial"/>
                <w:sz w:val="16"/>
                <w:szCs w:val="16"/>
              </w:rPr>
              <w:t xml:space="preserve">Colombia, </w:t>
            </w:r>
            <w:r>
              <w:rPr>
                <w:rFonts w:cs="Arial"/>
                <w:sz w:val="16"/>
                <w:szCs w:val="16"/>
              </w:rPr>
              <w:t xml:space="preserve">Georgia, </w:t>
            </w:r>
            <w:r w:rsidRPr="00BC6160">
              <w:rPr>
                <w:rFonts w:cs="Arial"/>
                <w:sz w:val="16"/>
                <w:szCs w:val="16"/>
              </w:rPr>
              <w:t xml:space="preserve">Jordan, Lebanon, </w:t>
            </w:r>
            <w:r>
              <w:rPr>
                <w:rFonts w:cs="Arial"/>
                <w:sz w:val="16"/>
                <w:szCs w:val="16"/>
              </w:rPr>
              <w:t>Kazakhstan, Papua New Guinea, Uganda</w:t>
            </w:r>
            <w:r w:rsidRPr="00BC6160">
              <w:rPr>
                <w:rFonts w:cs="Arial"/>
                <w:sz w:val="16"/>
                <w:szCs w:val="16"/>
              </w:rPr>
              <w:t>, United Arab Emirates and United Republic of Tanzania.</w:t>
            </w:r>
          </w:p>
        </w:tc>
        <w:tc>
          <w:tcPr>
            <w:tcW w:w="523" w:type="pct"/>
            <w:tcBorders>
              <w:top w:val="nil"/>
              <w:bottom w:val="single" w:sz="4" w:space="0" w:color="auto"/>
            </w:tcBorders>
            <w:tcMar>
              <w:top w:w="110" w:type="dxa"/>
            </w:tcMar>
          </w:tcPr>
          <w:p w:rsidR="00EE5F3E" w:rsidRPr="00956DE6" w:rsidRDefault="00EE5F3E" w:rsidP="00CE4C9D">
            <w:pPr>
              <w:keepNext/>
              <w:keepLines/>
              <w:jc w:val="center"/>
              <w:rPr>
                <w:rStyle w:val="Style5"/>
                <w:rFonts w:ascii="Arial" w:hAnsi="Arial" w:cs="Arial"/>
                <w:b/>
                <w:color w:val="00B050"/>
                <w:sz w:val="16"/>
                <w:szCs w:val="16"/>
              </w:rPr>
            </w:pPr>
            <w:r w:rsidRPr="00136AA7">
              <w:rPr>
                <w:rStyle w:val="Style5"/>
                <w:rFonts w:ascii="Arial" w:hAnsi="Arial" w:cs="Arial"/>
                <w:b/>
                <w:color w:val="808080"/>
                <w:sz w:val="14"/>
                <w:szCs w:val="16"/>
              </w:rPr>
              <w:t>Not assessable</w:t>
            </w:r>
          </w:p>
        </w:tc>
      </w:tr>
      <w:tr w:rsidR="00EE5F3E" w:rsidRPr="003C5DE4" w:rsidTr="00EE5F3E">
        <w:trPr>
          <w:cantSplit/>
        </w:trPr>
        <w:tc>
          <w:tcPr>
            <w:tcW w:w="5000" w:type="pct"/>
            <w:gridSpan w:val="5"/>
            <w:tcBorders>
              <w:top w:val="single" w:sz="4" w:space="0" w:color="auto"/>
              <w:bottom w:val="single" w:sz="4" w:space="0" w:color="auto"/>
            </w:tcBorders>
            <w:shd w:val="clear" w:color="auto" w:fill="CCFFFF"/>
            <w:vAlign w:val="center"/>
          </w:tcPr>
          <w:p w:rsidR="00EE5F3E" w:rsidRPr="003C5DE4" w:rsidRDefault="00EE5F3E" w:rsidP="00CE4C9D">
            <w:pPr>
              <w:keepNext/>
              <w:keepLines/>
              <w:tabs>
                <w:tab w:val="left" w:pos="1452"/>
              </w:tabs>
              <w:spacing w:before="120" w:after="120"/>
              <w:ind w:left="1452" w:hanging="1452"/>
              <w:rPr>
                <w:rFonts w:cs="Arial"/>
                <w:b/>
                <w:bCs/>
                <w:sz w:val="16"/>
                <w:szCs w:val="16"/>
              </w:rPr>
            </w:pPr>
            <w:r w:rsidRPr="003C5DE4">
              <w:rPr>
                <w:rFonts w:cs="Arial"/>
                <w:b/>
                <w:bCs/>
                <w:sz w:val="16"/>
                <w:szCs w:val="16"/>
              </w:rPr>
              <w:t>Expected Result:</w:t>
            </w:r>
            <w:r w:rsidRPr="003C5DE4">
              <w:rPr>
                <w:rFonts w:cs="Arial"/>
                <w:b/>
                <w:bCs/>
                <w:sz w:val="16"/>
                <w:szCs w:val="16"/>
              </w:rPr>
              <w:tab/>
            </w:r>
            <w:r w:rsidRPr="00BC6160">
              <w:rPr>
                <w:rFonts w:cs="Arial"/>
                <w:sz w:val="16"/>
                <w:szCs w:val="16"/>
                <w:lang w:bidi="th-TH"/>
              </w:rPr>
              <w:t>IV.2 Enhanced access to, and use of, IP information by IP institutions and the public to promote innovation and creativity</w:t>
            </w:r>
          </w:p>
        </w:tc>
      </w:tr>
      <w:tr w:rsidR="00EE5F3E" w:rsidRPr="003C5DE4" w:rsidTr="00EE5F3E">
        <w:trPr>
          <w:cantSplit/>
        </w:trPr>
        <w:tc>
          <w:tcPr>
            <w:tcW w:w="1120" w:type="pct"/>
            <w:tcBorders>
              <w:top w:val="single" w:sz="4" w:space="0" w:color="auto"/>
            </w:tcBorders>
            <w:vAlign w:val="center"/>
          </w:tcPr>
          <w:p w:rsidR="00EE5F3E" w:rsidRPr="003C5DE4" w:rsidRDefault="00EE5F3E" w:rsidP="00CE4C9D">
            <w:pPr>
              <w:rPr>
                <w:rFonts w:cs="Arial"/>
                <w:sz w:val="16"/>
                <w:szCs w:val="16"/>
              </w:rPr>
            </w:pPr>
            <w:r w:rsidRPr="003C5DE4">
              <w:rPr>
                <w:rFonts w:cs="Arial"/>
                <w:b/>
                <w:bCs/>
                <w:sz w:val="16"/>
                <w:szCs w:val="16"/>
              </w:rPr>
              <w:t>Performance Indicators</w:t>
            </w:r>
          </w:p>
        </w:tc>
        <w:tc>
          <w:tcPr>
            <w:tcW w:w="895" w:type="pct"/>
            <w:tcBorders>
              <w:top w:val="single" w:sz="4" w:space="0" w:color="auto"/>
            </w:tcBorders>
            <w:shd w:val="clear" w:color="auto" w:fill="auto"/>
            <w:vAlign w:val="center"/>
          </w:tcPr>
          <w:p w:rsidR="00EE5F3E" w:rsidRPr="003C5DE4" w:rsidRDefault="00EE5F3E" w:rsidP="00CE4C9D">
            <w:pPr>
              <w:rPr>
                <w:rFonts w:cs="Arial"/>
                <w:b/>
                <w:bCs/>
                <w:sz w:val="16"/>
                <w:szCs w:val="16"/>
              </w:rPr>
            </w:pPr>
            <w:r w:rsidRPr="003C5DE4">
              <w:rPr>
                <w:rFonts w:cs="Arial"/>
                <w:b/>
                <w:bCs/>
                <w:sz w:val="16"/>
                <w:szCs w:val="16"/>
              </w:rPr>
              <w:t>Baselines</w:t>
            </w:r>
          </w:p>
        </w:tc>
        <w:tc>
          <w:tcPr>
            <w:tcW w:w="747" w:type="pct"/>
            <w:tcBorders>
              <w:top w:val="single" w:sz="4" w:space="0" w:color="auto"/>
            </w:tcBorders>
            <w:tcMar>
              <w:top w:w="110" w:type="dxa"/>
            </w:tcMar>
            <w:vAlign w:val="center"/>
          </w:tcPr>
          <w:p w:rsidR="00EE5F3E" w:rsidRPr="003C5DE4" w:rsidRDefault="00EE5F3E" w:rsidP="00CE4C9D">
            <w:pPr>
              <w:rPr>
                <w:rFonts w:cs="Arial"/>
                <w:b/>
                <w:sz w:val="16"/>
                <w:szCs w:val="16"/>
              </w:rPr>
            </w:pPr>
            <w:r w:rsidRPr="003C5DE4">
              <w:rPr>
                <w:rFonts w:cs="Arial"/>
                <w:b/>
                <w:sz w:val="16"/>
                <w:szCs w:val="16"/>
              </w:rPr>
              <w:t>Targets</w:t>
            </w:r>
          </w:p>
        </w:tc>
        <w:tc>
          <w:tcPr>
            <w:tcW w:w="1716" w:type="pct"/>
            <w:tcBorders>
              <w:top w:val="single" w:sz="4" w:space="0" w:color="auto"/>
            </w:tcBorders>
            <w:shd w:val="clear" w:color="auto" w:fill="FFFFFF"/>
            <w:tcMar>
              <w:top w:w="110" w:type="dxa"/>
            </w:tcMar>
            <w:vAlign w:val="center"/>
          </w:tcPr>
          <w:p w:rsidR="00EE5F3E" w:rsidRPr="003C5DE4" w:rsidRDefault="00EE5F3E" w:rsidP="00CE4C9D">
            <w:pPr>
              <w:rPr>
                <w:rFonts w:cs="Arial"/>
                <w:sz w:val="16"/>
                <w:szCs w:val="16"/>
              </w:rPr>
            </w:pPr>
            <w:r w:rsidRPr="003C5DE4">
              <w:rPr>
                <w:rFonts w:cs="Arial"/>
                <w:b/>
                <w:bCs/>
                <w:sz w:val="16"/>
                <w:szCs w:val="16"/>
              </w:rPr>
              <w:t>Performance Data</w:t>
            </w:r>
          </w:p>
        </w:tc>
        <w:tc>
          <w:tcPr>
            <w:tcW w:w="522" w:type="pct"/>
            <w:tcBorders>
              <w:top w:val="single" w:sz="4" w:space="0" w:color="auto"/>
            </w:tcBorders>
            <w:tcMar>
              <w:top w:w="110" w:type="dxa"/>
            </w:tcMar>
            <w:vAlign w:val="center"/>
          </w:tcPr>
          <w:p w:rsidR="00EE5F3E" w:rsidRPr="003C5DE4" w:rsidRDefault="00EE5F3E" w:rsidP="00CE4C9D">
            <w:pPr>
              <w:keepNext/>
              <w:keepLines/>
              <w:jc w:val="center"/>
              <w:rPr>
                <w:rFonts w:cs="Arial"/>
                <w:b/>
                <w:bCs/>
                <w:sz w:val="16"/>
                <w:szCs w:val="16"/>
              </w:rPr>
            </w:pPr>
            <w:r w:rsidRPr="003C5DE4">
              <w:rPr>
                <w:rFonts w:cs="Arial"/>
                <w:b/>
                <w:bCs/>
                <w:sz w:val="16"/>
                <w:szCs w:val="16"/>
              </w:rPr>
              <w:t>TLS</w:t>
            </w:r>
          </w:p>
        </w:tc>
      </w:tr>
      <w:tr w:rsidR="00EE5F3E" w:rsidRPr="003C5DE4" w:rsidTr="00EE5F3E">
        <w:tc>
          <w:tcPr>
            <w:tcW w:w="1120" w:type="pct"/>
          </w:tcPr>
          <w:p w:rsidR="00EE5F3E" w:rsidRPr="007F35D8" w:rsidRDefault="00EE5F3E" w:rsidP="00E11A65">
            <w:pPr>
              <w:rPr>
                <w:rFonts w:cs="Arial"/>
                <w:sz w:val="16"/>
                <w:szCs w:val="16"/>
                <w:lang w:bidi="th-TH"/>
              </w:rPr>
            </w:pPr>
            <w:r w:rsidRPr="00B64966">
              <w:rPr>
                <w:rFonts w:cs="Arial"/>
                <w:sz w:val="16"/>
                <w:szCs w:val="16"/>
                <w:lang w:bidi="th-TH"/>
              </w:rPr>
              <w:t xml:space="preserve">No. of sustainable TTOs </w:t>
            </w:r>
            <w:r w:rsidRPr="007F35D8">
              <w:rPr>
                <w:rFonts w:cs="Arial"/>
                <w:sz w:val="16"/>
                <w:szCs w:val="16"/>
                <w:lang w:bidi="th-TH"/>
              </w:rPr>
              <w:t xml:space="preserve">established and/or strengthened in </w:t>
            </w:r>
            <w:r w:rsidR="00E11A65">
              <w:rPr>
                <w:rFonts w:cs="Arial"/>
                <w:sz w:val="16"/>
                <w:szCs w:val="16"/>
                <w:lang w:bidi="th-TH"/>
              </w:rPr>
              <w:t>U</w:t>
            </w:r>
            <w:r w:rsidRPr="007F35D8">
              <w:rPr>
                <w:rFonts w:cs="Arial"/>
                <w:sz w:val="16"/>
                <w:szCs w:val="16"/>
                <w:lang w:bidi="th-TH"/>
              </w:rPr>
              <w:t>niversities or R&amp;D institutions</w:t>
            </w:r>
          </w:p>
        </w:tc>
        <w:tc>
          <w:tcPr>
            <w:tcW w:w="895" w:type="pct"/>
            <w:shd w:val="clear" w:color="auto" w:fill="auto"/>
          </w:tcPr>
          <w:p w:rsidR="00EE5F3E" w:rsidRPr="007F35D8" w:rsidRDefault="00EE5F3E" w:rsidP="00CE4C9D">
            <w:pPr>
              <w:rPr>
                <w:rFonts w:cs="Arial"/>
                <w:sz w:val="16"/>
                <w:szCs w:val="16"/>
                <w:lang w:bidi="th-TH"/>
              </w:rPr>
            </w:pPr>
            <w:proofErr w:type="spellStart"/>
            <w:r w:rsidRPr="002D2494">
              <w:rPr>
                <w:rFonts w:cs="Arial"/>
                <w:sz w:val="16"/>
                <w:szCs w:val="16"/>
              </w:rPr>
              <w:t>tbd</w:t>
            </w:r>
            <w:proofErr w:type="spellEnd"/>
          </w:p>
        </w:tc>
        <w:tc>
          <w:tcPr>
            <w:tcW w:w="747" w:type="pct"/>
            <w:tcMar>
              <w:top w:w="110" w:type="dxa"/>
            </w:tcMar>
          </w:tcPr>
          <w:p w:rsidR="00EE5F3E" w:rsidRPr="007F35D8" w:rsidRDefault="00EE5F3E" w:rsidP="00CE4C9D">
            <w:pPr>
              <w:rPr>
                <w:rFonts w:cs="Arial"/>
                <w:sz w:val="16"/>
                <w:szCs w:val="16"/>
              </w:rPr>
            </w:pPr>
            <w:r w:rsidRPr="007F35D8">
              <w:rPr>
                <w:rFonts w:cs="Arial"/>
                <w:sz w:val="16"/>
                <w:szCs w:val="16"/>
              </w:rPr>
              <w:t>5 TTOs established in the Arab Region</w:t>
            </w:r>
          </w:p>
          <w:p w:rsidR="00EE5F3E" w:rsidRPr="007F35D8" w:rsidRDefault="00EE5F3E" w:rsidP="00CE4C9D">
            <w:pPr>
              <w:rPr>
                <w:rFonts w:cs="Arial"/>
                <w:sz w:val="16"/>
                <w:szCs w:val="16"/>
              </w:rPr>
            </w:pPr>
          </w:p>
          <w:p w:rsidR="00EE5F3E" w:rsidRPr="007F35D8" w:rsidRDefault="00EE5F3E" w:rsidP="00CE4C9D">
            <w:pPr>
              <w:rPr>
                <w:rFonts w:cs="Arial"/>
                <w:sz w:val="16"/>
                <w:szCs w:val="16"/>
                <w:lang w:bidi="th-TH"/>
              </w:rPr>
            </w:pPr>
          </w:p>
        </w:tc>
        <w:tc>
          <w:tcPr>
            <w:tcW w:w="1716" w:type="pct"/>
            <w:shd w:val="clear" w:color="auto" w:fill="FFFFFF"/>
            <w:tcMar>
              <w:top w:w="110" w:type="dxa"/>
            </w:tcMar>
          </w:tcPr>
          <w:p w:rsidR="00EE5F3E" w:rsidRPr="00B64966" w:rsidRDefault="00EE5F3E" w:rsidP="00CE4C9D">
            <w:pPr>
              <w:rPr>
                <w:rFonts w:cs="Arial"/>
                <w:sz w:val="16"/>
                <w:szCs w:val="16"/>
                <w:lang w:bidi="th-TH"/>
              </w:rPr>
            </w:pPr>
            <w:r w:rsidRPr="007F35D8">
              <w:rPr>
                <w:rFonts w:cs="Arial"/>
                <w:sz w:val="16"/>
                <w:szCs w:val="16"/>
                <w:lang w:bidi="th-TH"/>
              </w:rPr>
              <w:t xml:space="preserve">In 2014, TTOs </w:t>
            </w:r>
            <w:r>
              <w:rPr>
                <w:rFonts w:cs="Arial"/>
                <w:sz w:val="16"/>
                <w:szCs w:val="16"/>
                <w:lang w:bidi="th-TH"/>
              </w:rPr>
              <w:t xml:space="preserve">for </w:t>
            </w:r>
            <w:r w:rsidRPr="00B87CF4">
              <w:rPr>
                <w:rFonts w:cs="Arial"/>
                <w:sz w:val="16"/>
                <w:szCs w:val="16"/>
                <w:lang w:bidi="th-TH"/>
              </w:rPr>
              <w:t xml:space="preserve">Arab Region </w:t>
            </w:r>
            <w:r>
              <w:rPr>
                <w:rFonts w:cs="Arial"/>
                <w:sz w:val="16"/>
                <w:szCs w:val="16"/>
                <w:lang w:bidi="th-TH"/>
              </w:rPr>
              <w:t xml:space="preserve">project </w:t>
            </w:r>
            <w:r w:rsidRPr="00B87CF4">
              <w:rPr>
                <w:rFonts w:cs="Arial"/>
                <w:sz w:val="16"/>
                <w:szCs w:val="16"/>
                <w:lang w:bidi="th-TH"/>
              </w:rPr>
              <w:t xml:space="preserve">was redesigned to expand the geographic scope to accommodate Member State requests.  </w:t>
            </w:r>
            <w:r>
              <w:rPr>
                <w:rFonts w:cs="Arial"/>
                <w:sz w:val="16"/>
                <w:szCs w:val="16"/>
                <w:lang w:bidi="th-TH"/>
              </w:rPr>
              <w:t xml:space="preserve">Progress was made towards strengthening </w:t>
            </w:r>
            <w:r w:rsidRPr="00B64966">
              <w:rPr>
                <w:rFonts w:cs="Arial"/>
                <w:sz w:val="16"/>
                <w:szCs w:val="16"/>
                <w:lang w:bidi="th-TH"/>
              </w:rPr>
              <w:t>four TTOs</w:t>
            </w:r>
            <w:r>
              <w:rPr>
                <w:rFonts w:cs="Arial"/>
                <w:sz w:val="16"/>
                <w:szCs w:val="16"/>
                <w:lang w:bidi="th-TH"/>
              </w:rPr>
              <w:t xml:space="preserve"> in Tunisia</w:t>
            </w:r>
            <w:r w:rsidRPr="00B64966">
              <w:rPr>
                <w:rFonts w:cs="Arial"/>
                <w:sz w:val="16"/>
                <w:szCs w:val="16"/>
                <w:lang w:bidi="th-TH"/>
              </w:rPr>
              <w:t xml:space="preserve"> </w:t>
            </w:r>
            <w:r>
              <w:rPr>
                <w:rFonts w:cs="Arial"/>
                <w:sz w:val="16"/>
                <w:szCs w:val="16"/>
                <w:lang w:bidi="th-TH"/>
              </w:rPr>
              <w:t>to be operationally independent and sustainable</w:t>
            </w:r>
            <w:r w:rsidRPr="00B64966">
              <w:rPr>
                <w:rFonts w:cs="Arial"/>
                <w:sz w:val="16"/>
                <w:szCs w:val="16"/>
                <w:lang w:bidi="th-TH"/>
              </w:rPr>
              <w:t>:</w:t>
            </w:r>
          </w:p>
          <w:p w:rsidR="00EE5F3E" w:rsidRPr="005E63C3" w:rsidRDefault="00EE5F3E" w:rsidP="00136AA7">
            <w:pPr>
              <w:pStyle w:val="ListParagraph"/>
              <w:numPr>
                <w:ilvl w:val="0"/>
                <w:numId w:val="94"/>
              </w:numPr>
              <w:rPr>
                <w:rFonts w:cs="Arial"/>
                <w:i/>
                <w:sz w:val="16"/>
                <w:szCs w:val="16"/>
                <w:lang w:val="fr-CH" w:bidi="th-TH"/>
              </w:rPr>
            </w:pPr>
            <w:r w:rsidRPr="005E63C3">
              <w:rPr>
                <w:rFonts w:cs="Arial"/>
                <w:i/>
                <w:sz w:val="16"/>
                <w:szCs w:val="16"/>
                <w:lang w:val="fr-CH" w:bidi="th-TH"/>
              </w:rPr>
              <w:t>Centre Technique de la Chimie (CTC)</w:t>
            </w:r>
          </w:p>
          <w:p w:rsidR="00EE5F3E" w:rsidRDefault="00EE5F3E" w:rsidP="00136AA7">
            <w:pPr>
              <w:pStyle w:val="ListParagraph"/>
              <w:numPr>
                <w:ilvl w:val="0"/>
                <w:numId w:val="94"/>
              </w:numPr>
              <w:rPr>
                <w:rFonts w:cs="Arial"/>
                <w:sz w:val="16"/>
                <w:szCs w:val="16"/>
                <w:lang w:bidi="th-TH"/>
              </w:rPr>
            </w:pPr>
            <w:proofErr w:type="spellStart"/>
            <w:r>
              <w:rPr>
                <w:rFonts w:cs="Arial"/>
                <w:sz w:val="16"/>
                <w:szCs w:val="16"/>
                <w:lang w:bidi="th-TH"/>
              </w:rPr>
              <w:t>Technopark</w:t>
            </w:r>
            <w:proofErr w:type="spellEnd"/>
            <w:r>
              <w:rPr>
                <w:rFonts w:cs="Arial"/>
                <w:sz w:val="16"/>
                <w:szCs w:val="16"/>
                <w:lang w:bidi="th-TH"/>
              </w:rPr>
              <w:t xml:space="preserve"> </w:t>
            </w:r>
            <w:r w:rsidRPr="00B64966">
              <w:rPr>
                <w:rFonts w:cs="Arial"/>
                <w:sz w:val="16"/>
                <w:szCs w:val="16"/>
                <w:lang w:bidi="th-TH"/>
              </w:rPr>
              <w:t>El</w:t>
            </w:r>
            <w:r>
              <w:rPr>
                <w:rFonts w:cs="Arial"/>
                <w:sz w:val="16"/>
                <w:szCs w:val="16"/>
                <w:lang w:bidi="th-TH"/>
              </w:rPr>
              <w:t xml:space="preserve"> Ghazala</w:t>
            </w:r>
          </w:p>
          <w:p w:rsidR="00EE5F3E" w:rsidRDefault="00EE5F3E" w:rsidP="00136AA7">
            <w:pPr>
              <w:pStyle w:val="ListParagraph"/>
              <w:numPr>
                <w:ilvl w:val="0"/>
                <w:numId w:val="94"/>
              </w:numPr>
              <w:rPr>
                <w:rFonts w:cs="Arial"/>
                <w:sz w:val="16"/>
                <w:szCs w:val="16"/>
                <w:lang w:bidi="th-TH"/>
              </w:rPr>
            </w:pPr>
            <w:proofErr w:type="spellStart"/>
            <w:r w:rsidRPr="00B64966">
              <w:rPr>
                <w:rFonts w:cs="Arial"/>
                <w:sz w:val="16"/>
                <w:szCs w:val="16"/>
                <w:lang w:bidi="th-TH"/>
              </w:rPr>
              <w:t>Packtec</w:t>
            </w:r>
            <w:proofErr w:type="spellEnd"/>
            <w:r w:rsidRPr="00B64966">
              <w:rPr>
                <w:rFonts w:cs="Arial"/>
                <w:sz w:val="16"/>
                <w:szCs w:val="16"/>
                <w:lang w:bidi="th-TH"/>
              </w:rPr>
              <w:t xml:space="preserve"> </w:t>
            </w:r>
            <w:r w:rsidRPr="00723CEF">
              <w:rPr>
                <w:rFonts w:cs="Arial"/>
                <w:sz w:val="16"/>
                <w:szCs w:val="16"/>
                <w:lang w:bidi="th-TH"/>
              </w:rPr>
              <w:t>Technical Center for Packaging</w:t>
            </w:r>
          </w:p>
          <w:p w:rsidR="00EE5F3E" w:rsidRDefault="00EE5F3E" w:rsidP="00136AA7">
            <w:pPr>
              <w:pStyle w:val="ListParagraph"/>
              <w:numPr>
                <w:ilvl w:val="0"/>
                <w:numId w:val="94"/>
              </w:numPr>
              <w:rPr>
                <w:rFonts w:cs="Arial"/>
                <w:sz w:val="16"/>
                <w:szCs w:val="16"/>
                <w:lang w:bidi="th-TH"/>
              </w:rPr>
            </w:pPr>
            <w:proofErr w:type="spellStart"/>
            <w:r w:rsidRPr="00B64966">
              <w:rPr>
                <w:rFonts w:cs="Arial"/>
                <w:sz w:val="16"/>
                <w:szCs w:val="16"/>
                <w:lang w:bidi="th-TH"/>
              </w:rPr>
              <w:t>Technopark</w:t>
            </w:r>
            <w:proofErr w:type="spellEnd"/>
            <w:r w:rsidRPr="00B64966">
              <w:rPr>
                <w:rFonts w:cs="Arial"/>
                <w:sz w:val="16"/>
                <w:szCs w:val="16"/>
                <w:lang w:bidi="th-TH"/>
              </w:rPr>
              <w:t xml:space="preserve"> of </w:t>
            </w:r>
            <w:r w:rsidRPr="00B87CF4">
              <w:rPr>
                <w:rFonts w:cs="Arial"/>
                <w:sz w:val="16"/>
                <w:szCs w:val="16"/>
                <w:lang w:bidi="th-TH"/>
              </w:rPr>
              <w:t xml:space="preserve">Sidi </w:t>
            </w:r>
            <w:proofErr w:type="spellStart"/>
            <w:r w:rsidRPr="005E63C3">
              <w:rPr>
                <w:rFonts w:cs="Arial"/>
                <w:sz w:val="16"/>
                <w:szCs w:val="16"/>
                <w:lang w:bidi="th-TH"/>
              </w:rPr>
              <w:t>Thabet</w:t>
            </w:r>
            <w:proofErr w:type="spellEnd"/>
            <w:r w:rsidRPr="00B64966">
              <w:rPr>
                <w:rFonts w:cs="Arial"/>
                <w:sz w:val="16"/>
                <w:szCs w:val="16"/>
                <w:lang w:bidi="th-TH"/>
              </w:rPr>
              <w:t xml:space="preserve"> (TST)</w:t>
            </w:r>
          </w:p>
          <w:p w:rsidR="00EE5F3E" w:rsidRPr="005E63C3" w:rsidRDefault="00EE5F3E" w:rsidP="00CE4C9D">
            <w:pPr>
              <w:pStyle w:val="ListParagraph"/>
              <w:ind w:left="360"/>
              <w:rPr>
                <w:rFonts w:cs="Arial"/>
                <w:sz w:val="16"/>
                <w:szCs w:val="16"/>
                <w:lang w:bidi="th-TH"/>
              </w:rPr>
            </w:pPr>
          </w:p>
          <w:p w:rsidR="00EE5F3E" w:rsidRPr="00F329C8" w:rsidRDefault="00EE5F3E" w:rsidP="00CE4C9D">
            <w:pPr>
              <w:rPr>
                <w:rFonts w:cs="Arial"/>
                <w:sz w:val="16"/>
                <w:szCs w:val="16"/>
                <w:lang w:bidi="th-TH"/>
              </w:rPr>
            </w:pPr>
            <w:r>
              <w:rPr>
                <w:rFonts w:cs="Arial"/>
                <w:sz w:val="16"/>
                <w:szCs w:val="16"/>
                <w:lang w:bidi="th-TH"/>
              </w:rPr>
              <w:t>Based upon survey responses</w:t>
            </w:r>
            <w:r w:rsidRPr="00F329C8">
              <w:rPr>
                <w:rFonts w:cs="Arial"/>
                <w:sz w:val="16"/>
                <w:szCs w:val="16"/>
                <w:lang w:bidi="th-TH"/>
              </w:rPr>
              <w:t xml:space="preserve">, the following universities </w:t>
            </w:r>
            <w:r>
              <w:rPr>
                <w:rFonts w:cs="Arial"/>
                <w:sz w:val="16"/>
                <w:szCs w:val="16"/>
                <w:lang w:bidi="th-TH"/>
              </w:rPr>
              <w:t>in the Philippines reported</w:t>
            </w:r>
            <w:r w:rsidRPr="00F329C8">
              <w:rPr>
                <w:rFonts w:cs="Arial"/>
                <w:sz w:val="16"/>
                <w:szCs w:val="16"/>
                <w:lang w:bidi="th-TH"/>
              </w:rPr>
              <w:t xml:space="preserve"> that WIPO advice and training was “useful” or “extremely useful” in strengthening their TTOs:</w:t>
            </w:r>
          </w:p>
          <w:p w:rsidR="00EE5F3E" w:rsidRPr="00F329C8" w:rsidRDefault="00EE5F3E" w:rsidP="00CE4C9D">
            <w:pPr>
              <w:rPr>
                <w:rFonts w:cs="Arial"/>
                <w:sz w:val="16"/>
                <w:szCs w:val="16"/>
                <w:lang w:bidi="th-TH"/>
              </w:rPr>
            </w:pPr>
            <w:r>
              <w:rPr>
                <w:rFonts w:cs="Arial"/>
                <w:sz w:val="16"/>
                <w:szCs w:val="16"/>
                <w:lang w:bidi="th-TH"/>
              </w:rPr>
              <w:t>(</w:t>
            </w:r>
            <w:proofErr w:type="spellStart"/>
            <w:r>
              <w:rPr>
                <w:rFonts w:cs="Arial"/>
                <w:sz w:val="16"/>
                <w:szCs w:val="16"/>
                <w:lang w:bidi="th-TH"/>
              </w:rPr>
              <w:t>i</w:t>
            </w:r>
            <w:proofErr w:type="spellEnd"/>
            <w:r>
              <w:rPr>
                <w:rFonts w:cs="Arial"/>
                <w:sz w:val="16"/>
                <w:szCs w:val="16"/>
                <w:lang w:bidi="th-TH"/>
              </w:rPr>
              <w:t xml:space="preserve">) </w:t>
            </w:r>
            <w:r w:rsidRPr="00F329C8">
              <w:rPr>
                <w:rFonts w:cs="Arial"/>
                <w:sz w:val="16"/>
                <w:szCs w:val="16"/>
                <w:lang w:bidi="th-TH"/>
              </w:rPr>
              <w:t>Polytechnic University of the Philippines, Office of the Vice President for Research, Extension Planning and Development</w:t>
            </w:r>
            <w:r>
              <w:rPr>
                <w:rFonts w:cs="Arial"/>
                <w:sz w:val="16"/>
                <w:szCs w:val="16"/>
                <w:lang w:bidi="th-TH"/>
              </w:rPr>
              <w:t xml:space="preserve">; (ii) </w:t>
            </w:r>
            <w:r w:rsidRPr="00F329C8">
              <w:rPr>
                <w:rFonts w:cs="Arial"/>
                <w:sz w:val="16"/>
                <w:szCs w:val="16"/>
                <w:lang w:bidi="th-TH"/>
              </w:rPr>
              <w:t>Samar State University Research Office</w:t>
            </w:r>
          </w:p>
          <w:p w:rsidR="00EE5F3E" w:rsidRPr="00F329C8" w:rsidRDefault="00EE5F3E" w:rsidP="00CE4C9D">
            <w:pPr>
              <w:rPr>
                <w:rFonts w:cs="Arial"/>
                <w:sz w:val="16"/>
                <w:szCs w:val="16"/>
                <w:lang w:bidi="th-TH"/>
              </w:rPr>
            </w:pPr>
            <w:r w:rsidRPr="00F329C8">
              <w:rPr>
                <w:rFonts w:cs="Arial"/>
                <w:sz w:val="16"/>
                <w:szCs w:val="16"/>
                <w:lang w:bidi="th-TH"/>
              </w:rPr>
              <w:t>State University of Western Philippines, College of Engineering TTO</w:t>
            </w:r>
            <w:r>
              <w:rPr>
                <w:rFonts w:cs="Arial"/>
                <w:sz w:val="16"/>
                <w:szCs w:val="16"/>
                <w:lang w:bidi="th-TH"/>
              </w:rPr>
              <w:t xml:space="preserve">; (iii) </w:t>
            </w:r>
            <w:r w:rsidRPr="00F329C8">
              <w:rPr>
                <w:rFonts w:cs="Arial"/>
                <w:sz w:val="16"/>
                <w:szCs w:val="16"/>
                <w:lang w:bidi="th-TH"/>
              </w:rPr>
              <w:t>Technology Application and Promotion Institute, Invention Development Division</w:t>
            </w:r>
          </w:p>
          <w:p w:rsidR="00EE5F3E" w:rsidRPr="005E63C3" w:rsidRDefault="00EE5F3E" w:rsidP="00CE4C9D">
            <w:pPr>
              <w:rPr>
                <w:rFonts w:cs="Arial"/>
                <w:sz w:val="16"/>
                <w:szCs w:val="16"/>
                <w:lang w:bidi="th-TH"/>
              </w:rPr>
            </w:pPr>
            <w:r w:rsidRPr="00F329C8">
              <w:rPr>
                <w:rFonts w:cs="Arial"/>
                <w:sz w:val="16"/>
                <w:szCs w:val="16"/>
                <w:lang w:bidi="th-TH"/>
              </w:rPr>
              <w:t xml:space="preserve">Technology University of the Philippines, </w:t>
            </w:r>
            <w:proofErr w:type="spellStart"/>
            <w:r w:rsidRPr="00F329C8">
              <w:rPr>
                <w:rFonts w:cs="Arial"/>
                <w:sz w:val="16"/>
                <w:szCs w:val="16"/>
                <w:lang w:bidi="th-TH"/>
              </w:rPr>
              <w:t>Visayas</w:t>
            </w:r>
            <w:proofErr w:type="spellEnd"/>
            <w:r w:rsidRPr="00F329C8">
              <w:rPr>
                <w:rFonts w:cs="Arial"/>
                <w:sz w:val="16"/>
                <w:szCs w:val="16"/>
                <w:lang w:bidi="th-TH"/>
              </w:rPr>
              <w:t xml:space="preserve"> Innovation and Technology Support Office</w:t>
            </w:r>
            <w:r>
              <w:rPr>
                <w:rFonts w:cs="Arial"/>
                <w:sz w:val="16"/>
                <w:szCs w:val="16"/>
                <w:lang w:bidi="th-TH"/>
              </w:rPr>
              <w:t xml:space="preserve">; (iv) </w:t>
            </w:r>
            <w:r w:rsidRPr="00F329C8">
              <w:rPr>
                <w:rFonts w:cs="Arial"/>
                <w:sz w:val="16"/>
                <w:szCs w:val="16"/>
                <w:lang w:bidi="th-TH"/>
              </w:rPr>
              <w:t>University of Santo Tomas, Innovation and Technology Support Office</w:t>
            </w:r>
            <w:r>
              <w:rPr>
                <w:rFonts w:cs="Arial"/>
                <w:sz w:val="16"/>
                <w:szCs w:val="16"/>
                <w:lang w:bidi="th-TH"/>
              </w:rPr>
              <w:t xml:space="preserve">; (v) </w:t>
            </w:r>
            <w:r w:rsidRPr="00F329C8">
              <w:rPr>
                <w:rFonts w:cs="Arial"/>
                <w:sz w:val="16"/>
                <w:szCs w:val="16"/>
                <w:lang w:bidi="th-TH"/>
              </w:rPr>
              <w:t>University of Southeastern Philippines, Research Division</w:t>
            </w:r>
            <w:r>
              <w:rPr>
                <w:rFonts w:cs="Arial"/>
                <w:sz w:val="16"/>
                <w:szCs w:val="16"/>
                <w:lang w:bidi="th-TH"/>
              </w:rPr>
              <w:t xml:space="preserve">; (vi) </w:t>
            </w:r>
            <w:r w:rsidRPr="00F329C8">
              <w:rPr>
                <w:rFonts w:cs="Arial"/>
                <w:sz w:val="16"/>
                <w:szCs w:val="16"/>
                <w:lang w:bidi="th-TH"/>
              </w:rPr>
              <w:t>University of the Philippines, Directorate of IP and Commercialization Activities</w:t>
            </w:r>
          </w:p>
        </w:tc>
        <w:tc>
          <w:tcPr>
            <w:tcW w:w="522" w:type="pct"/>
            <w:tcMar>
              <w:top w:w="110" w:type="dxa"/>
            </w:tcMar>
          </w:tcPr>
          <w:p w:rsidR="00EE5F3E" w:rsidRPr="003C5DE4" w:rsidRDefault="00EE5F3E" w:rsidP="00CE4C9D">
            <w:pPr>
              <w:keepNext/>
              <w:keepLines/>
              <w:jc w:val="center"/>
              <w:rPr>
                <w:rFonts w:cs="Arial"/>
                <w:bCs/>
                <w:color w:val="808080"/>
                <w:sz w:val="16"/>
                <w:szCs w:val="16"/>
              </w:rPr>
            </w:pPr>
            <w:r w:rsidRPr="005E63C3">
              <w:rPr>
                <w:rStyle w:val="Style5"/>
                <w:rFonts w:ascii="Arial" w:hAnsi="Arial" w:cs="Arial"/>
                <w:b/>
                <w:color w:val="FF0000"/>
                <w:sz w:val="16"/>
                <w:szCs w:val="16"/>
              </w:rPr>
              <w:t xml:space="preserve">Not </w:t>
            </w:r>
            <w:r>
              <w:rPr>
                <w:rStyle w:val="Style5"/>
                <w:rFonts w:ascii="Arial" w:hAnsi="Arial" w:cs="Arial"/>
                <w:b/>
                <w:color w:val="FF0000"/>
                <w:sz w:val="16"/>
                <w:szCs w:val="16"/>
              </w:rPr>
              <w:br/>
            </w:r>
            <w:r w:rsidRPr="005E63C3">
              <w:rPr>
                <w:rStyle w:val="Style5"/>
                <w:rFonts w:ascii="Arial" w:hAnsi="Arial" w:cs="Arial"/>
                <w:b/>
                <w:color w:val="FF0000"/>
                <w:sz w:val="16"/>
                <w:szCs w:val="16"/>
              </w:rPr>
              <w:t>on track</w:t>
            </w:r>
          </w:p>
        </w:tc>
      </w:tr>
      <w:tr w:rsidR="00EE5F3E" w:rsidRPr="003C5DE4" w:rsidTr="00EE5F3E">
        <w:trPr>
          <w:cantSplit/>
        </w:trPr>
        <w:tc>
          <w:tcPr>
            <w:tcW w:w="1120" w:type="pct"/>
          </w:tcPr>
          <w:p w:rsidR="00EE5F3E" w:rsidRPr="003C5DE4" w:rsidRDefault="00EE5F3E" w:rsidP="00CE4C9D">
            <w:pPr>
              <w:rPr>
                <w:rFonts w:cs="Arial"/>
                <w:sz w:val="16"/>
                <w:szCs w:val="16"/>
                <w:lang w:bidi="th-TH"/>
              </w:rPr>
            </w:pPr>
            <w:r w:rsidRPr="00BC6160">
              <w:rPr>
                <w:rFonts w:cs="Arial"/>
                <w:sz w:val="16"/>
                <w:szCs w:val="16"/>
                <w:lang w:bidi="th-TH"/>
              </w:rPr>
              <w:t>No. of universities and/or research institutions which have established IP policies</w:t>
            </w:r>
          </w:p>
        </w:tc>
        <w:tc>
          <w:tcPr>
            <w:tcW w:w="895" w:type="pct"/>
            <w:shd w:val="clear" w:color="auto" w:fill="auto"/>
          </w:tcPr>
          <w:p w:rsidR="00EE5F3E" w:rsidRPr="003C5DE4" w:rsidRDefault="00EE5F3E" w:rsidP="00CE4C9D">
            <w:pPr>
              <w:rPr>
                <w:rFonts w:cs="Arial"/>
                <w:sz w:val="16"/>
                <w:szCs w:val="16"/>
                <w:lang w:bidi="th-TH"/>
              </w:rPr>
            </w:pPr>
            <w:proofErr w:type="spellStart"/>
            <w:r>
              <w:rPr>
                <w:rFonts w:cs="Arial"/>
                <w:sz w:val="16"/>
                <w:szCs w:val="16"/>
              </w:rPr>
              <w:t>tbd</w:t>
            </w:r>
            <w:proofErr w:type="spellEnd"/>
          </w:p>
        </w:tc>
        <w:tc>
          <w:tcPr>
            <w:tcW w:w="747" w:type="pct"/>
            <w:tcMar>
              <w:top w:w="110" w:type="dxa"/>
            </w:tcMar>
          </w:tcPr>
          <w:p w:rsidR="00EE5F3E" w:rsidRPr="003C5DE4" w:rsidRDefault="00EE5F3E" w:rsidP="00CE4C9D">
            <w:pPr>
              <w:rPr>
                <w:rFonts w:cs="Arial"/>
                <w:sz w:val="16"/>
                <w:szCs w:val="16"/>
                <w:lang w:bidi="th-TH"/>
              </w:rPr>
            </w:pPr>
            <w:r>
              <w:rPr>
                <w:rFonts w:cs="Arial"/>
                <w:sz w:val="16"/>
                <w:szCs w:val="16"/>
                <w:lang w:bidi="th-TH"/>
              </w:rPr>
              <w:t>2</w:t>
            </w:r>
            <w:r w:rsidRPr="00BC6160">
              <w:rPr>
                <w:rFonts w:cs="Arial"/>
                <w:sz w:val="16"/>
                <w:szCs w:val="16"/>
                <w:lang w:bidi="th-TH"/>
              </w:rPr>
              <w:t>0 additional universities</w:t>
            </w:r>
          </w:p>
        </w:tc>
        <w:tc>
          <w:tcPr>
            <w:tcW w:w="1716" w:type="pct"/>
            <w:shd w:val="clear" w:color="auto" w:fill="FFFFFF"/>
            <w:tcMar>
              <w:top w:w="110" w:type="dxa"/>
            </w:tcMar>
          </w:tcPr>
          <w:p w:rsidR="00EE5F3E" w:rsidRDefault="00EE5F3E" w:rsidP="00CE4C9D">
            <w:pPr>
              <w:rPr>
                <w:rFonts w:cs="Arial"/>
                <w:sz w:val="16"/>
                <w:szCs w:val="16"/>
              </w:rPr>
            </w:pPr>
            <w:r>
              <w:rPr>
                <w:rFonts w:cs="Arial"/>
                <w:sz w:val="16"/>
                <w:szCs w:val="16"/>
              </w:rPr>
              <w:t>IP policies were established in</w:t>
            </w:r>
            <w:r w:rsidRPr="00CD2511">
              <w:rPr>
                <w:rFonts w:cs="Arial"/>
                <w:sz w:val="16"/>
                <w:szCs w:val="16"/>
              </w:rPr>
              <w:t xml:space="preserve">150 </w:t>
            </w:r>
            <w:r>
              <w:rPr>
                <w:rFonts w:cs="Arial"/>
                <w:sz w:val="16"/>
                <w:szCs w:val="16"/>
              </w:rPr>
              <w:t>u</w:t>
            </w:r>
            <w:r w:rsidRPr="00CD2511">
              <w:rPr>
                <w:rFonts w:cs="Arial"/>
                <w:sz w:val="16"/>
                <w:szCs w:val="16"/>
              </w:rPr>
              <w:t>niversities</w:t>
            </w:r>
            <w:r>
              <w:rPr>
                <w:rFonts w:cs="Arial"/>
                <w:sz w:val="16"/>
                <w:szCs w:val="16"/>
              </w:rPr>
              <w:t>:</w:t>
            </w:r>
          </w:p>
          <w:p w:rsidR="00EE5F3E" w:rsidRDefault="00EE5F3E" w:rsidP="00136AA7">
            <w:pPr>
              <w:pStyle w:val="ListParagraph"/>
              <w:numPr>
                <w:ilvl w:val="0"/>
                <w:numId w:val="73"/>
              </w:numPr>
              <w:rPr>
                <w:rFonts w:cs="Arial"/>
                <w:sz w:val="16"/>
                <w:szCs w:val="16"/>
              </w:rPr>
            </w:pPr>
            <w:r w:rsidRPr="005D2AD9">
              <w:rPr>
                <w:rFonts w:cs="Arial"/>
                <w:sz w:val="16"/>
                <w:szCs w:val="16"/>
              </w:rPr>
              <w:t>Poland</w:t>
            </w:r>
            <w:r>
              <w:rPr>
                <w:rFonts w:cs="Arial"/>
                <w:sz w:val="16"/>
                <w:szCs w:val="16"/>
              </w:rPr>
              <w:t xml:space="preserve"> (148) (as a result of a change in the law in October 2014);</w:t>
            </w:r>
          </w:p>
          <w:p w:rsidR="00EE5F3E" w:rsidRDefault="00EE5F3E" w:rsidP="00136AA7">
            <w:pPr>
              <w:pStyle w:val="ListParagraph"/>
              <w:numPr>
                <w:ilvl w:val="0"/>
                <w:numId w:val="73"/>
              </w:numPr>
              <w:rPr>
                <w:rFonts w:cs="Arial"/>
                <w:sz w:val="16"/>
                <w:szCs w:val="16"/>
              </w:rPr>
            </w:pPr>
            <w:r w:rsidRPr="005D2AD9">
              <w:rPr>
                <w:rFonts w:cs="Arial"/>
                <w:sz w:val="16"/>
                <w:szCs w:val="16"/>
              </w:rPr>
              <w:t>the Russian Federation</w:t>
            </w:r>
            <w:r>
              <w:rPr>
                <w:rFonts w:cs="Arial"/>
                <w:sz w:val="16"/>
                <w:szCs w:val="16"/>
              </w:rPr>
              <w:t xml:space="preserve"> (1); </w:t>
            </w:r>
            <w:r w:rsidRPr="005D2AD9">
              <w:rPr>
                <w:rFonts w:cs="Arial"/>
                <w:sz w:val="16"/>
                <w:szCs w:val="16"/>
              </w:rPr>
              <w:t xml:space="preserve"> </w:t>
            </w:r>
            <w:r w:rsidRPr="00C766E5">
              <w:rPr>
                <w:rFonts w:cs="Arial"/>
                <w:sz w:val="16"/>
                <w:szCs w:val="16"/>
              </w:rPr>
              <w:t>and</w:t>
            </w:r>
          </w:p>
          <w:p w:rsidR="00EE5F3E" w:rsidRPr="005D2AD9" w:rsidRDefault="00EE5F3E" w:rsidP="00136AA7">
            <w:pPr>
              <w:pStyle w:val="ListParagraph"/>
              <w:numPr>
                <w:ilvl w:val="0"/>
                <w:numId w:val="73"/>
              </w:numPr>
              <w:rPr>
                <w:rFonts w:cs="Arial"/>
                <w:sz w:val="16"/>
                <w:szCs w:val="16"/>
              </w:rPr>
            </w:pPr>
            <w:r w:rsidRPr="005D2AD9">
              <w:rPr>
                <w:rFonts w:cs="Arial"/>
                <w:sz w:val="16"/>
                <w:szCs w:val="16"/>
              </w:rPr>
              <w:t>Uzbekistan</w:t>
            </w:r>
            <w:r>
              <w:rPr>
                <w:rFonts w:cs="Arial"/>
                <w:sz w:val="16"/>
                <w:szCs w:val="16"/>
              </w:rPr>
              <w:t xml:space="preserve"> (1).</w:t>
            </w:r>
            <w:r>
              <w:rPr>
                <w:rStyle w:val="FootnoteReference"/>
                <w:rFonts w:cs="Arial"/>
                <w:sz w:val="16"/>
                <w:szCs w:val="16"/>
              </w:rPr>
              <w:footnoteReference w:id="38"/>
            </w:r>
            <w:r w:rsidRPr="005D2AD9">
              <w:rPr>
                <w:rFonts w:cs="Arial"/>
                <w:sz w:val="16"/>
                <w:szCs w:val="16"/>
              </w:rPr>
              <w:t xml:space="preserve">  </w:t>
            </w:r>
          </w:p>
          <w:p w:rsidR="00EE5F3E" w:rsidRPr="003C5DE4" w:rsidRDefault="00EE5F3E" w:rsidP="00CE4C9D">
            <w:pPr>
              <w:rPr>
                <w:rFonts w:cs="Arial"/>
                <w:sz w:val="16"/>
                <w:szCs w:val="16"/>
              </w:rPr>
            </w:pPr>
            <w:r w:rsidRPr="00022AC8">
              <w:rPr>
                <w:rFonts w:cs="Arial"/>
                <w:sz w:val="16"/>
                <w:szCs w:val="16"/>
              </w:rPr>
              <w:t xml:space="preserve"> </w:t>
            </w:r>
          </w:p>
        </w:tc>
        <w:tc>
          <w:tcPr>
            <w:tcW w:w="522" w:type="pct"/>
            <w:tcMar>
              <w:top w:w="110" w:type="dxa"/>
            </w:tcMar>
          </w:tcPr>
          <w:p w:rsidR="00EE5F3E" w:rsidRPr="003C5DE4" w:rsidRDefault="00EE5F3E" w:rsidP="00CE4C9D">
            <w:pPr>
              <w:keepNext/>
              <w:keepLines/>
              <w:jc w:val="center"/>
              <w:rPr>
                <w:rFonts w:cs="Arial"/>
                <w:bCs/>
                <w:color w:val="808080"/>
                <w:sz w:val="16"/>
                <w:szCs w:val="16"/>
              </w:rPr>
            </w:pPr>
            <w:r w:rsidRPr="00956DE6">
              <w:rPr>
                <w:rStyle w:val="Style5"/>
                <w:rFonts w:ascii="Arial" w:hAnsi="Arial" w:cs="Arial"/>
                <w:b/>
                <w:color w:val="00B050"/>
                <w:sz w:val="16"/>
                <w:szCs w:val="16"/>
              </w:rPr>
              <w:t>On track</w:t>
            </w:r>
          </w:p>
        </w:tc>
      </w:tr>
    </w:tbl>
    <w:p w:rsidR="00136AA7" w:rsidRPr="00956DE6" w:rsidRDefault="00136AA7" w:rsidP="00CE4C9D">
      <w:pPr>
        <w:tabs>
          <w:tab w:val="left" w:pos="720"/>
        </w:tabs>
        <w:rPr>
          <w:rFonts w:cs="Arial"/>
          <w:szCs w:val="20"/>
        </w:rPr>
      </w:pPr>
    </w:p>
    <w:p w:rsidR="00136AA7" w:rsidRDefault="00136AA7" w:rsidP="00CE4C9D">
      <w:pPr>
        <w:rPr>
          <w:rFonts w:cs="Arial"/>
          <w:color w:val="000000"/>
          <w:szCs w:val="20"/>
        </w:rPr>
      </w:pPr>
    </w:p>
    <w:p w:rsidR="00136AA7" w:rsidRPr="00EE5F3E" w:rsidRDefault="00136AA7" w:rsidP="00CE4C9D">
      <w:pPr>
        <w:rPr>
          <w:szCs w:val="20"/>
        </w:rPr>
      </w:pPr>
      <w:r w:rsidRPr="00EE5F3E">
        <w:rPr>
          <w:rFonts w:cs="Arial"/>
          <w:color w:val="000000"/>
          <w:sz w:val="22"/>
          <w:szCs w:val="20"/>
        </w:rPr>
        <w:lastRenderedPageBreak/>
        <w:t>RESOURCE UTILIZATION</w:t>
      </w:r>
      <w:r w:rsidRPr="00EE5F3E">
        <w:rPr>
          <w:rFonts w:cs="Arial"/>
          <w:color w:val="000000"/>
          <w:sz w:val="22"/>
          <w:szCs w:val="20"/>
        </w:rPr>
        <w:tab/>
      </w:r>
    </w:p>
    <w:p w:rsidR="00136AA7" w:rsidRPr="008F4A6D" w:rsidRDefault="00136AA7" w:rsidP="00CE4C9D">
      <w:pPr>
        <w:rPr>
          <w:szCs w:val="20"/>
        </w:rPr>
      </w:pPr>
    </w:p>
    <w:p w:rsidR="00136AA7" w:rsidRPr="00383D2D" w:rsidRDefault="00136AA7" w:rsidP="00CE4C9D">
      <w:pPr>
        <w:pStyle w:val="NormalWeb"/>
        <w:spacing w:before="0" w:beforeAutospacing="0" w:after="0" w:afterAutospacing="0"/>
        <w:jc w:val="center"/>
        <w:rPr>
          <w:sz w:val="20"/>
          <w:szCs w:val="20"/>
        </w:rPr>
      </w:pPr>
      <w:r w:rsidRPr="00383D2D">
        <w:rPr>
          <w:color w:val="000000"/>
          <w:sz w:val="20"/>
          <w:szCs w:val="20"/>
        </w:rPr>
        <w:t xml:space="preserve">Budget and Actual Expenditure (by result) </w:t>
      </w:r>
    </w:p>
    <w:p w:rsidR="00136AA7" w:rsidRDefault="00136AA7" w:rsidP="00CE4C9D">
      <w:pPr>
        <w:pStyle w:val="NormalWeb"/>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136AA7" w:rsidRPr="00383D2D" w:rsidRDefault="00136AA7" w:rsidP="00CE4C9D">
      <w:pPr>
        <w:pStyle w:val="NormalWeb"/>
        <w:spacing w:before="0" w:beforeAutospacing="0" w:after="0" w:afterAutospacing="0"/>
        <w:jc w:val="center"/>
        <w:rPr>
          <w:sz w:val="20"/>
          <w:szCs w:val="20"/>
        </w:rPr>
      </w:pPr>
    </w:p>
    <w:p w:rsidR="00136AA7" w:rsidRDefault="00136AA7" w:rsidP="00EE5F3E">
      <w:pPr>
        <w:jc w:val="center"/>
      </w:pPr>
      <w:r w:rsidRPr="004348BD">
        <w:rPr>
          <w:noProof/>
        </w:rPr>
        <w:drawing>
          <wp:inline distT="0" distB="0" distL="0" distR="0" wp14:anchorId="6ECC6E67" wp14:editId="33B453A3">
            <wp:extent cx="5133805" cy="2735040"/>
            <wp:effectExtent l="0" t="0" r="0" b="0"/>
            <wp:docPr id="858"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130493" cy="2733275"/>
                    </a:xfrm>
                    <a:prstGeom prst="rect">
                      <a:avLst/>
                    </a:prstGeom>
                    <a:noFill/>
                    <a:ln>
                      <a:noFill/>
                    </a:ln>
                  </pic:spPr>
                </pic:pic>
              </a:graphicData>
            </a:graphic>
          </wp:inline>
        </w:drawing>
      </w:r>
    </w:p>
    <w:p w:rsidR="00136AA7" w:rsidRDefault="00136AA7" w:rsidP="00CE4C9D"/>
    <w:p w:rsidR="00136AA7" w:rsidRDefault="00136AA7" w:rsidP="00CE4C9D"/>
    <w:p w:rsidR="00136AA7" w:rsidRPr="00383D2D" w:rsidRDefault="00136AA7" w:rsidP="00CE4C9D">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136AA7" w:rsidRPr="00383D2D" w:rsidRDefault="00136AA7" w:rsidP="00CE4C9D">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136AA7" w:rsidRDefault="00136AA7" w:rsidP="00CE4C9D">
      <w:pPr>
        <w:pStyle w:val="NormalWeb"/>
        <w:keepNext/>
        <w:keepLines/>
        <w:spacing w:before="0" w:beforeAutospacing="0" w:after="0" w:afterAutospacing="0"/>
        <w:jc w:val="center"/>
      </w:pPr>
    </w:p>
    <w:p w:rsidR="00136AA7" w:rsidRPr="00383D2D" w:rsidRDefault="00136AA7" w:rsidP="00EE5F3E">
      <w:pPr>
        <w:jc w:val="center"/>
        <w:rPr>
          <w:szCs w:val="20"/>
        </w:rPr>
      </w:pPr>
      <w:r w:rsidRPr="004348BD">
        <w:rPr>
          <w:noProof/>
        </w:rPr>
        <w:drawing>
          <wp:inline distT="0" distB="0" distL="0" distR="0" wp14:anchorId="27F9758C" wp14:editId="281F53D4">
            <wp:extent cx="5295569" cy="1246624"/>
            <wp:effectExtent l="0" t="0" r="635" b="0"/>
            <wp:docPr id="859"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307904" cy="1249528"/>
                    </a:xfrm>
                    <a:prstGeom prst="rect">
                      <a:avLst/>
                    </a:prstGeom>
                    <a:noFill/>
                    <a:ln>
                      <a:noFill/>
                    </a:ln>
                  </pic:spPr>
                </pic:pic>
              </a:graphicData>
            </a:graphic>
          </wp:inline>
        </w:drawing>
      </w:r>
    </w:p>
    <w:p w:rsidR="00136AA7" w:rsidRPr="008F4A6D" w:rsidRDefault="00136AA7" w:rsidP="00CE4C9D">
      <w:pPr>
        <w:widowControl w:val="0"/>
        <w:autoSpaceDE w:val="0"/>
        <w:autoSpaceDN w:val="0"/>
        <w:adjustRightInd w:val="0"/>
        <w:rPr>
          <w:rFonts w:cs="Arial"/>
          <w:szCs w:val="20"/>
        </w:rPr>
      </w:pPr>
      <w:r w:rsidRPr="008271FD">
        <w:rPr>
          <w:i/>
          <w:sz w:val="16"/>
          <w:szCs w:val="16"/>
        </w:rPr>
        <w:t>NOTE: The 2014/15 Budget after Transfers reflects transfers as of March 31, 2015 to address needs during the 2014/15 biennium in line with Financial Regulation 5.5.</w:t>
      </w:r>
    </w:p>
    <w:p w:rsidR="00136AA7" w:rsidRPr="001C6F4D" w:rsidRDefault="00136AA7" w:rsidP="00CE4C9D">
      <w:pPr>
        <w:widowControl w:val="0"/>
        <w:autoSpaceDE w:val="0"/>
        <w:autoSpaceDN w:val="0"/>
        <w:adjustRightInd w:val="0"/>
        <w:rPr>
          <w:rFonts w:cs="Arial"/>
          <w:szCs w:val="20"/>
        </w:rPr>
      </w:pPr>
    </w:p>
    <w:p w:rsidR="00136AA7" w:rsidRDefault="00136AA7" w:rsidP="00CE4C9D">
      <w:pPr>
        <w:rPr>
          <w:rFonts w:cs="Arial"/>
          <w:szCs w:val="20"/>
        </w:rPr>
      </w:pPr>
    </w:p>
    <w:p w:rsidR="00136AA7" w:rsidRDefault="00136AA7" w:rsidP="00CE4C9D">
      <w:pPr>
        <w:rPr>
          <w:rFonts w:cs="Arial"/>
          <w:u w:val="single"/>
        </w:rPr>
      </w:pPr>
      <w:r w:rsidRPr="00420F90">
        <w:rPr>
          <w:rFonts w:cs="Arial"/>
          <w:szCs w:val="20"/>
        </w:rPr>
        <w:t>A.</w:t>
      </w:r>
      <w:r w:rsidRPr="00420F90">
        <w:rPr>
          <w:rFonts w:cs="Arial"/>
        </w:rPr>
        <w:tab/>
      </w:r>
      <w:r w:rsidRPr="00420F90">
        <w:rPr>
          <w:rFonts w:cs="Arial"/>
          <w:u w:val="single"/>
        </w:rPr>
        <w:t>Budget after Transfers 201</w:t>
      </w:r>
      <w:r>
        <w:rPr>
          <w:rFonts w:cs="Arial"/>
          <w:u w:val="single"/>
        </w:rPr>
        <w:t>4/15</w:t>
      </w:r>
    </w:p>
    <w:p w:rsidR="00136AA7" w:rsidRPr="00420F90" w:rsidRDefault="00136AA7" w:rsidP="00CE4C9D">
      <w:pPr>
        <w:rPr>
          <w:rFonts w:cs="Arial"/>
          <w:u w:val="single"/>
        </w:rPr>
      </w:pPr>
    </w:p>
    <w:p w:rsidR="00136AA7" w:rsidRDefault="00136AA7" w:rsidP="00696029">
      <w:pPr>
        <w:pStyle w:val="ListParagraph"/>
        <w:numPr>
          <w:ilvl w:val="0"/>
          <w:numId w:val="93"/>
        </w:numPr>
        <w:tabs>
          <w:tab w:val="left" w:pos="709"/>
        </w:tabs>
        <w:ind w:left="0" w:firstLine="0"/>
        <w:jc w:val="both"/>
        <w:rPr>
          <w:rFonts w:eastAsia="Arial" w:cs="Arial"/>
        </w:rPr>
      </w:pPr>
      <w:r w:rsidRPr="00725236">
        <w:rPr>
          <w:rFonts w:eastAsia="Arial" w:cs="Arial"/>
        </w:rPr>
        <w:t>The decrease in personnel resources in the 2014/15 Budget after Transfers compared to the 2014/15 Approved Budget reflects (</w:t>
      </w:r>
      <w:proofErr w:type="spellStart"/>
      <w:r w:rsidRPr="00725236">
        <w:rPr>
          <w:rFonts w:eastAsia="Arial" w:cs="Arial"/>
        </w:rPr>
        <w:t>i</w:t>
      </w:r>
      <w:proofErr w:type="spellEnd"/>
      <w:r w:rsidRPr="00725236">
        <w:rPr>
          <w:rFonts w:eastAsia="Arial" w:cs="Arial"/>
        </w:rPr>
        <w:t>) the transfer of responsibilities for the implementation of the DA projects Open Collaborative Models and Technology Transfer to Program 5 (The PCT System) and (ii)</w:t>
      </w:r>
      <w:r w:rsidR="00696029">
        <w:rPr>
          <w:rFonts w:eastAsia="Arial" w:cs="Arial"/>
        </w:rPr>
        <w:t> </w:t>
      </w:r>
      <w:r w:rsidRPr="00725236">
        <w:rPr>
          <w:rFonts w:eastAsia="Arial" w:cs="Arial"/>
        </w:rPr>
        <w:t>delays in identifying the right skills and competencies in support of the Program’</w:t>
      </w:r>
      <w:r>
        <w:rPr>
          <w:rFonts w:eastAsia="Arial" w:cs="Arial"/>
        </w:rPr>
        <w:t xml:space="preserve">s activities to compensate for the transfer of a staff member out of the Program. </w:t>
      </w:r>
    </w:p>
    <w:p w:rsidR="00136AA7" w:rsidRPr="00FB68E0" w:rsidRDefault="00136AA7" w:rsidP="00CE4C9D">
      <w:pPr>
        <w:pStyle w:val="ListParagraph"/>
        <w:tabs>
          <w:tab w:val="left" w:pos="709"/>
        </w:tabs>
        <w:ind w:left="0"/>
        <w:contextualSpacing/>
        <w:jc w:val="both"/>
        <w:rPr>
          <w:rFonts w:eastAsia="Arial" w:cs="Arial"/>
        </w:rPr>
      </w:pPr>
    </w:p>
    <w:p w:rsidR="00136AA7" w:rsidRDefault="00136AA7" w:rsidP="00696029">
      <w:pPr>
        <w:pStyle w:val="ListParagraph"/>
        <w:numPr>
          <w:ilvl w:val="0"/>
          <w:numId w:val="93"/>
        </w:numPr>
        <w:tabs>
          <w:tab w:val="left" w:pos="709"/>
        </w:tabs>
        <w:ind w:left="0" w:firstLine="0"/>
        <w:jc w:val="both"/>
        <w:rPr>
          <w:rFonts w:cs="Arial"/>
          <w:lang w:eastAsia="ko-KR"/>
        </w:rPr>
      </w:pPr>
      <w:r>
        <w:rPr>
          <w:rFonts w:cs="Arial"/>
          <w:lang w:eastAsia="ko-KR"/>
        </w:rPr>
        <w:t>The net decrease in non-personnel resources reflects a downward adjustment primarily due to the transfer of responsibility for patent drafting training to Program 1.</w:t>
      </w:r>
    </w:p>
    <w:p w:rsidR="00136AA7" w:rsidRDefault="00136AA7" w:rsidP="00CE4C9D">
      <w:pPr>
        <w:autoSpaceDE w:val="0"/>
        <w:autoSpaceDN w:val="0"/>
        <w:jc w:val="both"/>
        <w:rPr>
          <w:rFonts w:cs="Arial"/>
          <w:szCs w:val="20"/>
          <w:lang w:eastAsia="ko-KR"/>
        </w:rPr>
      </w:pPr>
    </w:p>
    <w:p w:rsidR="00136AA7" w:rsidRDefault="00136AA7" w:rsidP="00CE4C9D">
      <w:pPr>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Budget utilization 2014</w:t>
      </w:r>
    </w:p>
    <w:p w:rsidR="00136AA7" w:rsidRDefault="00136AA7" w:rsidP="00CE4C9D">
      <w:pPr>
        <w:tabs>
          <w:tab w:val="left" w:pos="709"/>
        </w:tabs>
        <w:jc w:val="both"/>
        <w:rPr>
          <w:rFonts w:cs="Arial"/>
          <w:szCs w:val="20"/>
          <w:u w:val="single"/>
          <w:lang w:eastAsia="ko-KR"/>
        </w:rPr>
      </w:pPr>
    </w:p>
    <w:p w:rsidR="00136AA7" w:rsidRDefault="00136AA7" w:rsidP="00696029">
      <w:pPr>
        <w:pStyle w:val="ListParagraph"/>
        <w:numPr>
          <w:ilvl w:val="0"/>
          <w:numId w:val="93"/>
        </w:numPr>
        <w:tabs>
          <w:tab w:val="left" w:pos="709"/>
        </w:tabs>
        <w:ind w:left="0" w:firstLine="0"/>
        <w:jc w:val="both"/>
      </w:pPr>
      <w:r w:rsidRPr="00DD4059">
        <w:rPr>
          <w:rFonts w:cs="Arial"/>
          <w:color w:val="000000"/>
        </w:rPr>
        <w:t>The low resource utilization under non-personnel re</w:t>
      </w:r>
      <w:r>
        <w:rPr>
          <w:rFonts w:cs="Arial"/>
          <w:color w:val="000000"/>
        </w:rPr>
        <w:t>sources was primarily due to the overall</w:t>
      </w:r>
      <w:r w:rsidRPr="00DD4059">
        <w:rPr>
          <w:rFonts w:cs="Arial"/>
          <w:color w:val="000000"/>
        </w:rPr>
        <w:t xml:space="preserve"> slower than expected pace of implementation of activities</w:t>
      </w:r>
      <w:r>
        <w:rPr>
          <w:rFonts w:cs="Arial"/>
          <w:color w:val="000000"/>
        </w:rPr>
        <w:t>, particularly</w:t>
      </w:r>
      <w:r w:rsidRPr="00DD4059">
        <w:rPr>
          <w:rFonts w:cs="Arial"/>
          <w:color w:val="000000"/>
        </w:rPr>
        <w:t xml:space="preserve"> </w:t>
      </w:r>
      <w:r>
        <w:rPr>
          <w:rFonts w:cs="Arial"/>
          <w:color w:val="000000"/>
        </w:rPr>
        <w:t xml:space="preserve">under Expected Result IV.2 </w:t>
      </w:r>
      <w:r w:rsidRPr="00DD4059">
        <w:rPr>
          <w:rFonts w:cs="Arial"/>
        </w:rPr>
        <w:t>(Enhanced access to, and use of, IP information and knowledge)</w:t>
      </w:r>
      <w:r w:rsidRPr="00DD4059">
        <w:rPr>
          <w:rFonts w:cs="Arial"/>
          <w:color w:val="000000"/>
        </w:rPr>
        <w:t>. </w:t>
      </w:r>
    </w:p>
    <w:p w:rsidR="00136AA7" w:rsidRDefault="00136AA7"/>
    <w:p w:rsidR="00F60CAF" w:rsidRDefault="00F60CAF"/>
    <w:p w:rsidR="004C53FA" w:rsidRDefault="004C53FA">
      <w:r>
        <w:br w:type="page"/>
      </w:r>
    </w:p>
    <w:p w:rsidR="004C53FA" w:rsidRDefault="004C53FA" w:rsidP="00C1753F">
      <w:pPr>
        <w:pStyle w:val="StyleHeading214ptAuto"/>
        <w:rPr>
          <w:rFonts w:ascii="Arial" w:hAnsi="Arial" w:cs="Arial"/>
          <w:sz w:val="20"/>
          <w:szCs w:val="20"/>
        </w:rPr>
      </w:pPr>
      <w:bookmarkStart w:id="68" w:name="_Toc422210495"/>
      <w:bookmarkStart w:id="69" w:name="_Toc367350587"/>
      <w:r w:rsidRPr="00E07FBB">
        <w:rPr>
          <w:rFonts w:ascii="Arial" w:hAnsi="Arial" w:cs="Arial"/>
          <w:sz w:val="20"/>
          <w:szCs w:val="20"/>
        </w:rPr>
        <w:lastRenderedPageBreak/>
        <w:t>STRATEGIC GOAL IV</w:t>
      </w:r>
      <w:bookmarkEnd w:id="68"/>
      <w:r>
        <w:rPr>
          <w:rFonts w:ascii="Arial" w:hAnsi="Arial" w:cs="Arial"/>
          <w:sz w:val="20"/>
          <w:szCs w:val="20"/>
        </w:rPr>
        <w:t xml:space="preserve"> </w:t>
      </w:r>
    </w:p>
    <w:p w:rsidR="004C53FA" w:rsidRPr="003E2D93" w:rsidRDefault="004C53FA" w:rsidP="003E2D93">
      <w:pPr>
        <w:jc w:val="center"/>
      </w:pPr>
    </w:p>
    <w:p w:rsidR="004C53FA" w:rsidRPr="003E2D93" w:rsidRDefault="004C53FA" w:rsidP="003E2D93">
      <w:pPr>
        <w:jc w:val="center"/>
      </w:pPr>
      <w:r w:rsidRPr="003E2D93">
        <w:rPr>
          <w:b/>
        </w:rPr>
        <w:t>COORDINATION AND DEVELOPMENT OF GLOBAL IP INFRASTRUCTURE</w:t>
      </w:r>
      <w:bookmarkEnd w:id="69"/>
    </w:p>
    <w:p w:rsidR="004C53FA" w:rsidRPr="003E2D93" w:rsidRDefault="004C53FA" w:rsidP="003E2D93">
      <w:pPr>
        <w:jc w:val="center"/>
      </w:pPr>
    </w:p>
    <w:p w:rsidR="004C53FA" w:rsidRPr="004C53FA" w:rsidRDefault="004C53FA">
      <w:pPr>
        <w:jc w:val="center"/>
        <w:rPr>
          <w:b/>
        </w:rPr>
      </w:pPr>
      <w:r w:rsidRPr="004C53FA">
        <w:rPr>
          <w:b/>
        </w:rPr>
        <w:t>Mid-term Performance Dashboard (2014)</w:t>
      </w:r>
    </w:p>
    <w:p w:rsidR="004C53FA" w:rsidRPr="003E2D93" w:rsidRDefault="004C53FA" w:rsidP="003E2D93">
      <w:pPr>
        <w:jc w:val="center"/>
        <w:rPr>
          <w:b/>
        </w:rPr>
      </w:pPr>
    </w:p>
    <w:p w:rsidR="004C53FA" w:rsidRDefault="004C53FA" w:rsidP="00C1753F">
      <w:pPr>
        <w:jc w:val="both"/>
        <w:rPr>
          <w:rFonts w:cs="Arial"/>
        </w:rPr>
      </w:pPr>
      <w:r>
        <w:t>The dashboard below provides a summary of the progress towards the achievement of the Results in 2014 as measured by the indicators under the Programs contributing to this Strategic Goal.</w:t>
      </w:r>
    </w:p>
    <w:p w:rsidR="004C53FA" w:rsidRDefault="004C53FA" w:rsidP="003E2D93">
      <w:pPr>
        <w:jc w:val="center"/>
      </w:pPr>
      <w:r>
        <w:rPr>
          <w:noProof/>
        </w:rPr>
        <w:drawing>
          <wp:inline distT="0" distB="0" distL="0" distR="0" wp14:anchorId="54DFA8EE" wp14:editId="2360A627">
            <wp:extent cx="4572635" cy="2743200"/>
            <wp:effectExtent l="0" t="0" r="0" b="0"/>
            <wp:docPr id="871" name="Picture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4C53FA" w:rsidRPr="00CB5A85" w:rsidRDefault="004C53FA" w:rsidP="003E2D93"/>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04"/>
        <w:gridCol w:w="4092"/>
        <w:gridCol w:w="1665"/>
        <w:gridCol w:w="899"/>
      </w:tblGrid>
      <w:tr w:rsidR="004C53FA" w:rsidRPr="00AF5E7C" w:rsidTr="00C1753F">
        <w:trPr>
          <w:cantSplit/>
          <w:trHeight w:val="401"/>
          <w:tblHeader/>
        </w:trPr>
        <w:tc>
          <w:tcPr>
            <w:tcW w:w="1482" w:type="pct"/>
            <w:tcBorders>
              <w:top w:val="single" w:sz="4" w:space="0" w:color="auto"/>
              <w:bottom w:val="single" w:sz="4" w:space="0" w:color="auto"/>
            </w:tcBorders>
            <w:shd w:val="clear" w:color="auto" w:fill="CCFFFF"/>
            <w:tcMar>
              <w:top w:w="113" w:type="dxa"/>
              <w:bottom w:w="85" w:type="dxa"/>
            </w:tcMar>
            <w:vAlign w:val="center"/>
          </w:tcPr>
          <w:p w:rsidR="004C53FA" w:rsidRPr="00923CBC" w:rsidRDefault="004C53FA" w:rsidP="00C1753F">
            <w:pPr>
              <w:spacing w:after="120"/>
              <w:jc w:val="center"/>
              <w:rPr>
                <w:rFonts w:cs="Arial"/>
                <w:b/>
                <w:bCs/>
                <w:sz w:val="18"/>
                <w:szCs w:val="18"/>
              </w:rPr>
            </w:pPr>
            <w:r w:rsidRPr="00923CBC">
              <w:rPr>
                <w:rFonts w:cs="Arial"/>
                <w:b/>
                <w:bCs/>
                <w:sz w:val="18"/>
                <w:szCs w:val="18"/>
              </w:rPr>
              <w:t>Expected Results</w:t>
            </w:r>
          </w:p>
        </w:tc>
        <w:tc>
          <w:tcPr>
            <w:tcW w:w="2163" w:type="pct"/>
            <w:tcBorders>
              <w:top w:val="single" w:sz="4" w:space="0" w:color="auto"/>
              <w:bottom w:val="single" w:sz="4" w:space="0" w:color="auto"/>
            </w:tcBorders>
            <w:shd w:val="clear" w:color="auto" w:fill="CCFFFF"/>
            <w:tcMar>
              <w:top w:w="113" w:type="dxa"/>
              <w:bottom w:w="85" w:type="dxa"/>
            </w:tcMar>
            <w:vAlign w:val="center"/>
          </w:tcPr>
          <w:p w:rsidR="004C53FA" w:rsidRPr="00923CBC" w:rsidRDefault="004C53FA" w:rsidP="00C1753F">
            <w:pPr>
              <w:spacing w:after="120"/>
              <w:jc w:val="center"/>
              <w:rPr>
                <w:rFonts w:cs="Arial"/>
                <w:b/>
                <w:sz w:val="18"/>
                <w:szCs w:val="18"/>
              </w:rPr>
            </w:pPr>
            <w:r w:rsidRPr="00923CBC">
              <w:rPr>
                <w:rFonts w:cs="Arial"/>
                <w:b/>
                <w:sz w:val="18"/>
                <w:szCs w:val="18"/>
              </w:rPr>
              <w:t>Performance Indicators</w:t>
            </w:r>
          </w:p>
        </w:tc>
        <w:tc>
          <w:tcPr>
            <w:tcW w:w="880" w:type="pct"/>
            <w:tcBorders>
              <w:top w:val="single" w:sz="4" w:space="0" w:color="auto"/>
              <w:bottom w:val="single" w:sz="4" w:space="0" w:color="auto"/>
            </w:tcBorders>
            <w:shd w:val="clear" w:color="auto" w:fill="CCFFFF"/>
            <w:tcMar>
              <w:top w:w="113" w:type="dxa"/>
              <w:bottom w:w="85" w:type="dxa"/>
            </w:tcMar>
            <w:vAlign w:val="center"/>
          </w:tcPr>
          <w:p w:rsidR="004C53FA" w:rsidRPr="00923CBC" w:rsidRDefault="004C53FA" w:rsidP="00C1753F">
            <w:pPr>
              <w:spacing w:after="120"/>
              <w:ind w:left="85"/>
              <w:jc w:val="center"/>
              <w:rPr>
                <w:rFonts w:cs="Arial"/>
                <w:sz w:val="18"/>
                <w:szCs w:val="18"/>
              </w:rPr>
            </w:pPr>
            <w:r w:rsidRPr="00923CBC">
              <w:rPr>
                <w:rFonts w:cs="Arial"/>
                <w:b/>
                <w:bCs/>
                <w:sz w:val="18"/>
                <w:szCs w:val="18"/>
              </w:rPr>
              <w:t>Responsible Program(s)</w:t>
            </w:r>
          </w:p>
        </w:tc>
        <w:tc>
          <w:tcPr>
            <w:tcW w:w="475" w:type="pct"/>
            <w:tcBorders>
              <w:top w:val="single" w:sz="4" w:space="0" w:color="auto"/>
              <w:bottom w:val="single" w:sz="4" w:space="0" w:color="auto"/>
            </w:tcBorders>
            <w:shd w:val="clear" w:color="auto" w:fill="CCFFFF"/>
          </w:tcPr>
          <w:p w:rsidR="004C53FA" w:rsidRPr="00923CBC" w:rsidRDefault="004C53FA" w:rsidP="00C1753F">
            <w:pPr>
              <w:spacing w:after="120"/>
              <w:ind w:left="85"/>
              <w:jc w:val="center"/>
              <w:rPr>
                <w:rFonts w:cs="Arial"/>
                <w:b/>
                <w:bCs/>
                <w:sz w:val="18"/>
                <w:szCs w:val="18"/>
              </w:rPr>
            </w:pPr>
            <w:r>
              <w:rPr>
                <w:rFonts w:cs="Arial"/>
                <w:b/>
                <w:bCs/>
                <w:sz w:val="18"/>
                <w:szCs w:val="18"/>
              </w:rPr>
              <w:t>TLS</w:t>
            </w:r>
          </w:p>
        </w:tc>
      </w:tr>
      <w:tr w:rsidR="004C53FA" w:rsidRPr="00AF5E7C" w:rsidTr="00C1753F">
        <w:trPr>
          <w:cantSplit/>
          <w:trHeight w:val="363"/>
        </w:trPr>
        <w:tc>
          <w:tcPr>
            <w:tcW w:w="1482" w:type="pct"/>
            <w:vMerge w:val="restart"/>
            <w:tcBorders>
              <w:top w:val="single" w:sz="4" w:space="0" w:color="auto"/>
              <w:left w:val="single" w:sz="4" w:space="0" w:color="auto"/>
              <w:bottom w:val="nil"/>
            </w:tcBorders>
            <w:shd w:val="clear" w:color="auto" w:fill="auto"/>
            <w:tcMar>
              <w:top w:w="113" w:type="dxa"/>
              <w:bottom w:w="85" w:type="dxa"/>
            </w:tcMar>
          </w:tcPr>
          <w:p w:rsidR="004C53FA" w:rsidRPr="00C10568" w:rsidRDefault="004C53FA" w:rsidP="00C1753F">
            <w:pPr>
              <w:rPr>
                <w:rFonts w:cs="Arial"/>
                <w:sz w:val="16"/>
                <w:szCs w:val="16"/>
              </w:rPr>
            </w:pPr>
            <w:r w:rsidRPr="00C10568">
              <w:rPr>
                <w:rFonts w:cs="Arial"/>
                <w:sz w:val="16"/>
                <w:szCs w:val="16"/>
              </w:rPr>
              <w:t>IV.1</w:t>
            </w:r>
            <w:r>
              <w:rPr>
                <w:rFonts w:cs="Arial"/>
                <w:sz w:val="16"/>
                <w:szCs w:val="16"/>
              </w:rPr>
              <w:t xml:space="preserve">  </w:t>
            </w:r>
            <w:r w:rsidRPr="00C10568">
              <w:rPr>
                <w:rFonts w:cs="Arial"/>
                <w:sz w:val="16"/>
                <w:szCs w:val="16"/>
              </w:rPr>
              <w:t>Updated and globally accepted system of international classifications and WIPO standards to facilitate access, use and dissemination of IP information among stakeholders in the world</w:t>
            </w:r>
          </w:p>
        </w:tc>
        <w:tc>
          <w:tcPr>
            <w:tcW w:w="2163" w:type="pct"/>
            <w:tcBorders>
              <w:top w:val="single" w:sz="4" w:space="0" w:color="auto"/>
              <w:bottom w:val="nil"/>
            </w:tcBorders>
            <w:shd w:val="clear" w:color="auto" w:fill="auto"/>
            <w:tcMar>
              <w:top w:w="113" w:type="dxa"/>
              <w:bottom w:w="85" w:type="dxa"/>
            </w:tcMar>
          </w:tcPr>
          <w:p w:rsidR="004C53FA" w:rsidRPr="00C10568" w:rsidRDefault="004C53FA" w:rsidP="00C1753F">
            <w:pPr>
              <w:rPr>
                <w:rFonts w:cs="Arial"/>
                <w:sz w:val="16"/>
                <w:szCs w:val="16"/>
              </w:rPr>
            </w:pPr>
            <w:r w:rsidRPr="00C10568">
              <w:rPr>
                <w:rFonts w:cs="Arial"/>
                <w:sz w:val="16"/>
                <w:szCs w:val="16"/>
              </w:rPr>
              <w:t>No</w:t>
            </w:r>
            <w:r>
              <w:rPr>
                <w:rFonts w:cs="Arial"/>
                <w:sz w:val="16"/>
                <w:szCs w:val="16"/>
              </w:rPr>
              <w:t>.</w:t>
            </w:r>
            <w:r w:rsidRPr="00C10568">
              <w:rPr>
                <w:rFonts w:cs="Arial"/>
                <w:sz w:val="16"/>
                <w:szCs w:val="16"/>
              </w:rPr>
              <w:t xml:space="preserve"> of amendments and information files introduced into Nice Classification </w:t>
            </w:r>
          </w:p>
        </w:tc>
        <w:tc>
          <w:tcPr>
            <w:tcW w:w="880" w:type="pct"/>
            <w:tcBorders>
              <w:top w:val="single" w:sz="4" w:space="0" w:color="auto"/>
              <w:bottom w:val="nil"/>
            </w:tcBorders>
            <w:shd w:val="clear" w:color="auto" w:fill="FFFFFF"/>
            <w:tcMar>
              <w:top w:w="113" w:type="dxa"/>
              <w:bottom w:w="85" w:type="dxa"/>
            </w:tcMar>
          </w:tcPr>
          <w:p w:rsidR="004C53FA" w:rsidRPr="00AF5E7C" w:rsidRDefault="004C53FA" w:rsidP="00C1753F">
            <w:pPr>
              <w:jc w:val="center"/>
              <w:rPr>
                <w:rFonts w:cs="Arial"/>
                <w:sz w:val="16"/>
                <w:szCs w:val="16"/>
                <w:lang w:bidi="th-TH"/>
              </w:rPr>
            </w:pPr>
            <w:r>
              <w:rPr>
                <w:rFonts w:cs="Arial"/>
                <w:sz w:val="16"/>
                <w:szCs w:val="16"/>
                <w:lang w:bidi="th-TH"/>
              </w:rPr>
              <w:t>Program 12</w:t>
            </w:r>
          </w:p>
        </w:tc>
        <w:tc>
          <w:tcPr>
            <w:tcW w:w="475" w:type="pct"/>
            <w:tcBorders>
              <w:top w:val="single" w:sz="4" w:space="0" w:color="auto"/>
              <w:bottom w:val="nil"/>
              <w:right w:val="single" w:sz="4" w:space="0" w:color="auto"/>
            </w:tcBorders>
            <w:shd w:val="clear" w:color="auto" w:fill="FFFFFF"/>
          </w:tcPr>
          <w:p w:rsidR="004C53FA" w:rsidRDefault="004C53FA" w:rsidP="00C1753F">
            <w:pPr>
              <w:jc w:val="center"/>
            </w:pPr>
            <w:r w:rsidRPr="005F33CE">
              <w:rPr>
                <w:rFonts w:cs="Arial"/>
                <w:color w:val="008000"/>
                <w:sz w:val="22"/>
                <w:szCs w:val="22"/>
              </w:rPr>
              <w:sym w:font="Wingdings" w:char="F06C"/>
            </w:r>
          </w:p>
        </w:tc>
      </w:tr>
      <w:tr w:rsidR="004C53FA" w:rsidRPr="00AF5E7C" w:rsidTr="00C1753F">
        <w:trPr>
          <w:cantSplit/>
          <w:trHeight w:val="463"/>
        </w:trPr>
        <w:tc>
          <w:tcPr>
            <w:tcW w:w="1482" w:type="pct"/>
            <w:vMerge/>
            <w:tcBorders>
              <w:top w:val="nil"/>
              <w:left w:val="single" w:sz="4" w:space="0" w:color="auto"/>
              <w:bottom w:val="nil"/>
            </w:tcBorders>
            <w:shd w:val="clear" w:color="auto" w:fill="auto"/>
            <w:tcMar>
              <w:top w:w="113" w:type="dxa"/>
              <w:bottom w:w="85" w:type="dxa"/>
            </w:tcMar>
          </w:tcPr>
          <w:p w:rsidR="004C53FA" w:rsidRPr="00C10568" w:rsidRDefault="004C53FA" w:rsidP="00C1753F">
            <w:pPr>
              <w:rPr>
                <w:rFonts w:cs="Arial"/>
                <w:sz w:val="16"/>
                <w:szCs w:val="16"/>
              </w:rPr>
            </w:pPr>
          </w:p>
        </w:tc>
        <w:tc>
          <w:tcPr>
            <w:tcW w:w="2163" w:type="pct"/>
            <w:tcBorders>
              <w:top w:val="nil"/>
              <w:bottom w:val="nil"/>
            </w:tcBorders>
            <w:shd w:val="clear" w:color="auto" w:fill="auto"/>
            <w:tcMar>
              <w:top w:w="113" w:type="dxa"/>
              <w:bottom w:w="85" w:type="dxa"/>
            </w:tcMar>
          </w:tcPr>
          <w:p w:rsidR="004C53FA" w:rsidRPr="00C10568" w:rsidRDefault="004C53FA" w:rsidP="00C1753F">
            <w:pPr>
              <w:rPr>
                <w:rFonts w:cs="Arial"/>
                <w:sz w:val="16"/>
                <w:szCs w:val="16"/>
              </w:rPr>
            </w:pPr>
            <w:r w:rsidRPr="00C10568">
              <w:rPr>
                <w:rFonts w:cs="Arial"/>
                <w:sz w:val="16"/>
                <w:szCs w:val="16"/>
              </w:rPr>
              <w:t>No</w:t>
            </w:r>
            <w:r>
              <w:rPr>
                <w:rFonts w:cs="Arial"/>
                <w:sz w:val="16"/>
                <w:szCs w:val="16"/>
              </w:rPr>
              <w:t>.</w:t>
            </w:r>
            <w:r w:rsidRPr="00C10568">
              <w:rPr>
                <w:rFonts w:cs="Arial"/>
                <w:sz w:val="16"/>
                <w:szCs w:val="16"/>
              </w:rPr>
              <w:t xml:space="preserve"> of new subdivisions introduced into the IPC per year</w:t>
            </w:r>
          </w:p>
        </w:tc>
        <w:tc>
          <w:tcPr>
            <w:tcW w:w="880" w:type="pct"/>
            <w:tcBorders>
              <w:top w:val="nil"/>
              <w:bottom w:val="nil"/>
            </w:tcBorders>
            <w:shd w:val="clear" w:color="auto" w:fill="FFFFFF"/>
            <w:tcMar>
              <w:top w:w="113" w:type="dxa"/>
              <w:bottom w:w="85" w:type="dxa"/>
            </w:tcMar>
          </w:tcPr>
          <w:p w:rsidR="004C53FA" w:rsidRDefault="004C53FA" w:rsidP="00C1753F">
            <w:pPr>
              <w:jc w:val="center"/>
              <w:rPr>
                <w:rFonts w:cs="Arial"/>
                <w:sz w:val="16"/>
                <w:szCs w:val="16"/>
                <w:lang w:bidi="th-TH"/>
              </w:rPr>
            </w:pPr>
            <w:r>
              <w:rPr>
                <w:rFonts w:cs="Arial"/>
                <w:sz w:val="16"/>
                <w:szCs w:val="16"/>
                <w:lang w:bidi="th-TH"/>
              </w:rPr>
              <w:t>Program 12</w:t>
            </w:r>
          </w:p>
        </w:tc>
        <w:tc>
          <w:tcPr>
            <w:tcW w:w="475" w:type="pct"/>
            <w:tcBorders>
              <w:top w:val="nil"/>
              <w:bottom w:val="nil"/>
              <w:right w:val="single" w:sz="4" w:space="0" w:color="auto"/>
            </w:tcBorders>
            <w:shd w:val="clear" w:color="auto" w:fill="FFFFFF"/>
          </w:tcPr>
          <w:p w:rsidR="004C53FA" w:rsidRPr="00F718E6" w:rsidRDefault="004C53FA" w:rsidP="00C1753F">
            <w:pPr>
              <w:jc w:val="center"/>
              <w:rPr>
                <w:rFonts w:cs="Arial"/>
                <w:color w:val="A6A6A6" w:themeColor="background1" w:themeShade="A6"/>
                <w:sz w:val="22"/>
                <w:szCs w:val="22"/>
              </w:rPr>
            </w:pPr>
            <w:r w:rsidRPr="006B54F6">
              <w:rPr>
                <w:rFonts w:cs="Arial"/>
                <w:color w:val="FF0000"/>
                <w:sz w:val="22"/>
                <w:szCs w:val="22"/>
              </w:rPr>
              <w:sym w:font="Wingdings" w:char="F06C"/>
            </w:r>
          </w:p>
        </w:tc>
      </w:tr>
      <w:tr w:rsidR="004C53FA" w:rsidRPr="00AF5E7C" w:rsidTr="00C1753F">
        <w:trPr>
          <w:cantSplit/>
          <w:trHeight w:val="454"/>
        </w:trPr>
        <w:tc>
          <w:tcPr>
            <w:tcW w:w="1482" w:type="pct"/>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tcBorders>
              <w:top w:val="nil"/>
              <w:bottom w:val="nil"/>
            </w:tcBorders>
            <w:shd w:val="clear" w:color="auto" w:fill="auto"/>
            <w:tcMar>
              <w:top w:w="113" w:type="dxa"/>
              <w:bottom w:w="85" w:type="dxa"/>
            </w:tcMar>
          </w:tcPr>
          <w:p w:rsidR="004C53FA" w:rsidRPr="00C10568" w:rsidRDefault="004C53FA" w:rsidP="00C1753F">
            <w:pPr>
              <w:rPr>
                <w:rFonts w:cs="Arial"/>
                <w:sz w:val="16"/>
                <w:szCs w:val="16"/>
              </w:rPr>
            </w:pPr>
            <w:r w:rsidRPr="00C10568">
              <w:rPr>
                <w:rFonts w:cs="Arial"/>
                <w:sz w:val="16"/>
                <w:szCs w:val="16"/>
              </w:rPr>
              <w:t>No</w:t>
            </w:r>
            <w:r>
              <w:rPr>
                <w:rFonts w:cs="Arial"/>
                <w:sz w:val="16"/>
                <w:szCs w:val="16"/>
              </w:rPr>
              <w:t>.</w:t>
            </w:r>
            <w:r w:rsidRPr="00C10568">
              <w:rPr>
                <w:rFonts w:cs="Arial"/>
                <w:sz w:val="16"/>
                <w:szCs w:val="16"/>
              </w:rPr>
              <w:t xml:space="preserve"> of amended and new standards adopted</w:t>
            </w:r>
          </w:p>
        </w:tc>
        <w:tc>
          <w:tcPr>
            <w:tcW w:w="880" w:type="pct"/>
            <w:tcBorders>
              <w:top w:val="nil"/>
              <w:bottom w:val="nil"/>
            </w:tcBorders>
            <w:shd w:val="clear" w:color="auto" w:fill="FFFFFF"/>
            <w:tcMar>
              <w:top w:w="113" w:type="dxa"/>
              <w:bottom w:w="85" w:type="dxa"/>
            </w:tcMar>
          </w:tcPr>
          <w:p w:rsidR="004C53FA" w:rsidRPr="00AF5E7C" w:rsidRDefault="004C53FA" w:rsidP="00C1753F">
            <w:pPr>
              <w:jc w:val="center"/>
              <w:rPr>
                <w:rFonts w:cs="Arial"/>
                <w:sz w:val="16"/>
                <w:szCs w:val="16"/>
              </w:rPr>
            </w:pPr>
            <w:r>
              <w:rPr>
                <w:rFonts w:cs="Arial"/>
                <w:sz w:val="16"/>
                <w:szCs w:val="16"/>
                <w:lang w:bidi="th-TH"/>
              </w:rPr>
              <w:t>Program 12</w:t>
            </w:r>
          </w:p>
        </w:tc>
        <w:tc>
          <w:tcPr>
            <w:tcW w:w="475" w:type="pct"/>
            <w:tcBorders>
              <w:top w:val="nil"/>
              <w:bottom w:val="nil"/>
              <w:right w:val="single" w:sz="4" w:space="0" w:color="auto"/>
            </w:tcBorders>
            <w:shd w:val="clear" w:color="auto" w:fill="FFFFFF"/>
          </w:tcPr>
          <w:p w:rsidR="004C53FA" w:rsidRDefault="004C53FA" w:rsidP="00C1753F">
            <w:pPr>
              <w:jc w:val="center"/>
            </w:pPr>
            <w:r w:rsidRPr="006B54F6">
              <w:rPr>
                <w:rFonts w:cs="Arial"/>
                <w:color w:val="FF0000"/>
                <w:sz w:val="22"/>
                <w:szCs w:val="22"/>
              </w:rPr>
              <w:sym w:font="Wingdings" w:char="F06C"/>
            </w:r>
          </w:p>
        </w:tc>
      </w:tr>
      <w:tr w:rsidR="004C53FA" w:rsidRPr="00AF5E7C" w:rsidTr="00C1753F">
        <w:trPr>
          <w:cantSplit/>
          <w:trHeight w:val="883"/>
        </w:trPr>
        <w:tc>
          <w:tcPr>
            <w:tcW w:w="1482" w:type="pct"/>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tcBorders>
              <w:top w:val="nil"/>
              <w:bottom w:val="nil"/>
            </w:tcBorders>
            <w:shd w:val="clear" w:color="auto" w:fill="auto"/>
            <w:tcMar>
              <w:top w:w="113" w:type="dxa"/>
              <w:bottom w:w="85" w:type="dxa"/>
            </w:tcMar>
          </w:tcPr>
          <w:p w:rsidR="004C53FA" w:rsidRPr="00C10568" w:rsidRDefault="004C53FA" w:rsidP="00C1753F">
            <w:pPr>
              <w:rPr>
                <w:rFonts w:cs="Arial"/>
                <w:sz w:val="16"/>
                <w:szCs w:val="16"/>
              </w:rPr>
            </w:pPr>
            <w:r w:rsidRPr="00C10568">
              <w:rPr>
                <w:rFonts w:cs="Arial"/>
                <w:sz w:val="16"/>
                <w:szCs w:val="16"/>
              </w:rPr>
              <w:t>No</w:t>
            </w:r>
            <w:r>
              <w:rPr>
                <w:rFonts w:cs="Arial"/>
                <w:sz w:val="16"/>
                <w:szCs w:val="16"/>
              </w:rPr>
              <w:t>.</w:t>
            </w:r>
            <w:r w:rsidRPr="00C10568">
              <w:rPr>
                <w:rFonts w:cs="Arial"/>
                <w:sz w:val="16"/>
                <w:szCs w:val="16"/>
              </w:rPr>
              <w:t xml:space="preserve"> of users accessing the internet publications of international classifications and standards, in particular from developing countries</w:t>
            </w:r>
          </w:p>
        </w:tc>
        <w:tc>
          <w:tcPr>
            <w:tcW w:w="880" w:type="pct"/>
            <w:tcBorders>
              <w:top w:val="nil"/>
              <w:bottom w:val="nil"/>
            </w:tcBorders>
            <w:shd w:val="clear" w:color="auto" w:fill="FFFFFF"/>
            <w:tcMar>
              <w:top w:w="113" w:type="dxa"/>
              <w:bottom w:w="85" w:type="dxa"/>
            </w:tcMar>
          </w:tcPr>
          <w:p w:rsidR="004C53FA" w:rsidRPr="00AF5E7C" w:rsidRDefault="004C53FA" w:rsidP="00C1753F">
            <w:pPr>
              <w:jc w:val="center"/>
              <w:rPr>
                <w:rFonts w:cs="Arial"/>
                <w:sz w:val="16"/>
                <w:szCs w:val="16"/>
              </w:rPr>
            </w:pPr>
            <w:r>
              <w:rPr>
                <w:rFonts w:cs="Arial"/>
                <w:sz w:val="16"/>
                <w:szCs w:val="16"/>
                <w:lang w:bidi="th-TH"/>
              </w:rPr>
              <w:t>Program 12</w:t>
            </w:r>
          </w:p>
        </w:tc>
        <w:tc>
          <w:tcPr>
            <w:tcW w:w="475" w:type="pct"/>
            <w:tcBorders>
              <w:top w:val="nil"/>
              <w:bottom w:val="nil"/>
              <w:right w:val="single" w:sz="4" w:space="0" w:color="auto"/>
            </w:tcBorders>
            <w:shd w:val="clear" w:color="auto" w:fill="FFFFFF"/>
          </w:tcPr>
          <w:p w:rsidR="004C53FA" w:rsidRDefault="004C53FA" w:rsidP="00C1753F">
            <w:pPr>
              <w:jc w:val="center"/>
              <w:rPr>
                <w:rFonts w:cs="Arial"/>
                <w:color w:val="A6A6A6" w:themeColor="background1" w:themeShade="A6"/>
                <w:sz w:val="22"/>
                <w:szCs w:val="22"/>
              </w:rPr>
            </w:pPr>
            <w:r w:rsidRPr="006B54F6">
              <w:rPr>
                <w:rFonts w:cs="Arial"/>
                <w:color w:val="FF0000"/>
                <w:sz w:val="22"/>
                <w:szCs w:val="22"/>
              </w:rPr>
              <w:sym w:font="Wingdings" w:char="F06C"/>
            </w:r>
            <w:r w:rsidRPr="005F33CE">
              <w:rPr>
                <w:rFonts w:cs="Arial"/>
                <w:color w:val="008000"/>
                <w:sz w:val="22"/>
                <w:szCs w:val="22"/>
              </w:rPr>
              <w:sym w:font="Wingdings" w:char="F06C"/>
            </w:r>
            <w:r w:rsidRPr="008F695C">
              <w:rPr>
                <w:rFonts w:cs="Arial"/>
                <w:color w:val="FF0000"/>
                <w:sz w:val="22"/>
                <w:szCs w:val="22"/>
              </w:rPr>
              <w:sym w:font="Wingdings" w:char="F06C"/>
            </w:r>
            <w:r w:rsidRPr="005F33CE">
              <w:rPr>
                <w:rFonts w:cs="Arial"/>
                <w:color w:val="008000"/>
                <w:sz w:val="22"/>
                <w:szCs w:val="22"/>
              </w:rPr>
              <w:sym w:font="Wingdings" w:char="F06C"/>
            </w:r>
          </w:p>
          <w:p w:rsidR="004C53FA" w:rsidRDefault="004C53FA" w:rsidP="00C1753F">
            <w:pPr>
              <w:jc w:val="center"/>
            </w:pPr>
            <w:r w:rsidRPr="005F33CE">
              <w:rPr>
                <w:rFonts w:cs="Arial"/>
                <w:color w:val="008000"/>
                <w:sz w:val="22"/>
                <w:szCs w:val="22"/>
              </w:rPr>
              <w:sym w:font="Wingdings" w:char="F06C"/>
            </w:r>
            <w:r w:rsidRPr="008F695C">
              <w:rPr>
                <w:rFonts w:cs="Arial"/>
                <w:color w:val="FF0000"/>
                <w:sz w:val="22"/>
                <w:szCs w:val="22"/>
              </w:rPr>
              <w:sym w:font="Wingdings" w:char="F06C"/>
            </w:r>
            <w:r w:rsidRPr="006B54F6">
              <w:rPr>
                <w:rFonts w:cs="Arial"/>
                <w:color w:val="FF0000"/>
                <w:sz w:val="22"/>
                <w:szCs w:val="22"/>
              </w:rPr>
              <w:sym w:font="Wingdings" w:char="F06C"/>
            </w:r>
          </w:p>
        </w:tc>
      </w:tr>
      <w:tr w:rsidR="004C53FA" w:rsidRPr="00AF5E7C" w:rsidTr="00C1753F">
        <w:trPr>
          <w:cantSplit/>
          <w:trHeight w:val="879"/>
        </w:trPr>
        <w:tc>
          <w:tcPr>
            <w:tcW w:w="1482" w:type="pct"/>
            <w:tcBorders>
              <w:top w:val="nil"/>
              <w:left w:val="single" w:sz="4" w:space="0" w:color="auto"/>
              <w:bottom w:val="nil"/>
            </w:tcBorders>
            <w:shd w:val="clear" w:color="auto" w:fill="auto"/>
            <w:tcMar>
              <w:top w:w="113" w:type="dxa"/>
              <w:bottom w:w="85" w:type="dxa"/>
            </w:tcMar>
          </w:tcPr>
          <w:p w:rsidR="004C53FA" w:rsidRPr="00C628EB" w:rsidRDefault="004C53FA" w:rsidP="00C1753F">
            <w:pPr>
              <w:rPr>
                <w:rFonts w:cs="Arial"/>
                <w:sz w:val="16"/>
                <w:szCs w:val="16"/>
              </w:rPr>
            </w:pPr>
            <w:r w:rsidRPr="00C628EB">
              <w:rPr>
                <w:rFonts w:cs="Arial"/>
                <w:sz w:val="16"/>
                <w:szCs w:val="16"/>
              </w:rPr>
              <w:t>IV.2</w:t>
            </w:r>
            <w:r>
              <w:rPr>
                <w:rFonts w:cs="Arial"/>
                <w:sz w:val="16"/>
                <w:szCs w:val="16"/>
              </w:rPr>
              <w:t xml:space="preserve">  </w:t>
            </w:r>
            <w:r w:rsidRPr="00AF42DF">
              <w:rPr>
                <w:rFonts w:cs="Arial"/>
                <w:sz w:val="16"/>
                <w:szCs w:val="16"/>
              </w:rPr>
              <w:t>Enhanced access to, and use of, IP information by IP institutions and the public to promote innovation and creativity</w:t>
            </w:r>
          </w:p>
        </w:tc>
        <w:tc>
          <w:tcPr>
            <w:tcW w:w="2163" w:type="pct"/>
            <w:tcBorders>
              <w:top w:val="nil"/>
              <w:bottom w:val="nil"/>
            </w:tcBorders>
            <w:shd w:val="clear" w:color="auto" w:fill="auto"/>
            <w:tcMar>
              <w:top w:w="113" w:type="dxa"/>
              <w:bottom w:w="85" w:type="dxa"/>
            </w:tcMar>
          </w:tcPr>
          <w:p w:rsidR="004C53FA" w:rsidRPr="00C628EB" w:rsidRDefault="004C53FA" w:rsidP="00C1753F">
            <w:pPr>
              <w:rPr>
                <w:rFonts w:cs="Arial"/>
                <w:sz w:val="16"/>
                <w:szCs w:val="16"/>
              </w:rPr>
            </w:pPr>
            <w:r w:rsidRPr="00C628EB">
              <w:rPr>
                <w:rFonts w:cs="Arial"/>
                <w:sz w:val="16"/>
                <w:szCs w:val="16"/>
              </w:rPr>
              <w:t>N</w:t>
            </w:r>
            <w:r>
              <w:rPr>
                <w:rFonts w:cs="Arial"/>
                <w:sz w:val="16"/>
                <w:szCs w:val="16"/>
              </w:rPr>
              <w:t>o.</w:t>
            </w:r>
            <w:r w:rsidRPr="00C628EB">
              <w:rPr>
                <w:rFonts w:cs="Arial"/>
                <w:sz w:val="16"/>
                <w:szCs w:val="16"/>
              </w:rPr>
              <w:t xml:space="preserve"> of trusted intermediaries (TIs) and rights holders (RHs) having joined the TIGAR system network, including from developing countries and LDCs</w:t>
            </w:r>
          </w:p>
        </w:tc>
        <w:tc>
          <w:tcPr>
            <w:tcW w:w="880" w:type="pct"/>
            <w:tcBorders>
              <w:top w:val="nil"/>
              <w:bottom w:val="nil"/>
            </w:tcBorders>
            <w:shd w:val="clear" w:color="auto" w:fill="FFFFFF"/>
            <w:tcMar>
              <w:top w:w="113" w:type="dxa"/>
              <w:bottom w:w="85" w:type="dxa"/>
            </w:tcMar>
          </w:tcPr>
          <w:p w:rsidR="004C53FA" w:rsidRPr="00AF5E7C" w:rsidRDefault="004C53FA" w:rsidP="00C1753F">
            <w:pPr>
              <w:jc w:val="center"/>
              <w:rPr>
                <w:rFonts w:cs="Arial"/>
                <w:sz w:val="16"/>
                <w:szCs w:val="16"/>
                <w:lang w:bidi="th-TH"/>
              </w:rPr>
            </w:pPr>
            <w:r>
              <w:rPr>
                <w:rFonts w:cs="Arial"/>
                <w:sz w:val="16"/>
                <w:szCs w:val="16"/>
                <w:lang w:bidi="th-TH"/>
              </w:rPr>
              <w:t>Program 3</w:t>
            </w:r>
          </w:p>
        </w:tc>
        <w:tc>
          <w:tcPr>
            <w:tcW w:w="475" w:type="pct"/>
            <w:tcBorders>
              <w:top w:val="nil"/>
              <w:bottom w:val="nil"/>
              <w:right w:val="single" w:sz="4" w:space="0" w:color="auto"/>
            </w:tcBorders>
            <w:shd w:val="clear" w:color="auto" w:fill="FFFFFF"/>
          </w:tcPr>
          <w:p w:rsidR="004C53FA" w:rsidRDefault="004C53FA" w:rsidP="00C1753F">
            <w:pPr>
              <w:jc w:val="center"/>
            </w:pPr>
            <w:r w:rsidRPr="00167066">
              <w:rPr>
                <w:rFonts w:cs="Arial"/>
                <w:sz w:val="22"/>
                <w:szCs w:val="22"/>
              </w:rPr>
              <w:sym w:font="Wingdings" w:char="F06C"/>
            </w:r>
          </w:p>
        </w:tc>
      </w:tr>
      <w:tr w:rsidR="004C53FA" w:rsidRPr="00AF5E7C" w:rsidTr="00C1753F">
        <w:trPr>
          <w:cantSplit/>
          <w:trHeight w:val="825"/>
        </w:trPr>
        <w:tc>
          <w:tcPr>
            <w:tcW w:w="1482" w:type="pct"/>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tcBorders>
              <w:top w:val="nil"/>
              <w:bottom w:val="nil"/>
            </w:tcBorders>
            <w:shd w:val="clear" w:color="auto" w:fill="auto"/>
            <w:tcMar>
              <w:top w:w="113" w:type="dxa"/>
              <w:bottom w:w="85" w:type="dxa"/>
            </w:tcMar>
          </w:tcPr>
          <w:p w:rsidR="004C53FA" w:rsidRPr="00C628EB" w:rsidRDefault="004C53FA" w:rsidP="00C1753F">
            <w:pPr>
              <w:rPr>
                <w:rFonts w:cs="Arial"/>
                <w:sz w:val="16"/>
                <w:szCs w:val="16"/>
              </w:rPr>
            </w:pPr>
            <w:r w:rsidRPr="00C628EB">
              <w:rPr>
                <w:rFonts w:cs="Arial"/>
                <w:sz w:val="16"/>
                <w:szCs w:val="16"/>
              </w:rPr>
              <w:t>N</w:t>
            </w:r>
            <w:r>
              <w:rPr>
                <w:rFonts w:cs="Arial"/>
                <w:sz w:val="16"/>
                <w:szCs w:val="16"/>
              </w:rPr>
              <w:t>o.</w:t>
            </w:r>
            <w:r w:rsidRPr="00C628EB">
              <w:rPr>
                <w:rFonts w:cs="Arial"/>
                <w:sz w:val="16"/>
                <w:szCs w:val="16"/>
              </w:rPr>
              <w:t xml:space="preserve"> of copyright protected works distributed among TIs and made accessible to VIPs across borders through the TIGAR system network</w:t>
            </w:r>
          </w:p>
        </w:tc>
        <w:tc>
          <w:tcPr>
            <w:tcW w:w="880" w:type="pct"/>
            <w:tcBorders>
              <w:top w:val="nil"/>
              <w:bottom w:val="nil"/>
            </w:tcBorders>
            <w:shd w:val="clear" w:color="auto" w:fill="FFFFFF"/>
            <w:tcMar>
              <w:top w:w="113" w:type="dxa"/>
              <w:bottom w:w="85" w:type="dxa"/>
            </w:tcMar>
          </w:tcPr>
          <w:p w:rsidR="004C53FA" w:rsidRPr="00AF5E7C" w:rsidRDefault="004C53FA" w:rsidP="00C1753F">
            <w:pPr>
              <w:jc w:val="center"/>
              <w:rPr>
                <w:rFonts w:cs="Arial"/>
                <w:sz w:val="16"/>
                <w:szCs w:val="16"/>
                <w:lang w:bidi="th-TH"/>
              </w:rPr>
            </w:pPr>
            <w:r>
              <w:rPr>
                <w:rFonts w:cs="Arial"/>
                <w:sz w:val="16"/>
                <w:szCs w:val="16"/>
                <w:lang w:bidi="th-TH"/>
              </w:rPr>
              <w:t>Program 3</w:t>
            </w:r>
          </w:p>
        </w:tc>
        <w:tc>
          <w:tcPr>
            <w:tcW w:w="475" w:type="pct"/>
            <w:tcBorders>
              <w:top w:val="nil"/>
              <w:bottom w:val="nil"/>
              <w:right w:val="single" w:sz="4" w:space="0" w:color="auto"/>
            </w:tcBorders>
            <w:shd w:val="clear" w:color="auto" w:fill="FFFFFF"/>
          </w:tcPr>
          <w:p w:rsidR="004C53FA" w:rsidRDefault="004C53FA" w:rsidP="00C1753F">
            <w:pPr>
              <w:spacing w:before="40"/>
              <w:jc w:val="center"/>
            </w:pPr>
            <w:r w:rsidRPr="00167066">
              <w:rPr>
                <w:rFonts w:cs="Arial"/>
                <w:color w:val="008000"/>
                <w:sz w:val="22"/>
                <w:szCs w:val="22"/>
              </w:rPr>
              <w:sym w:font="Wingdings" w:char="F06C"/>
            </w:r>
          </w:p>
        </w:tc>
      </w:tr>
      <w:tr w:rsidR="004C53FA" w:rsidRPr="00AF5E7C" w:rsidTr="00C1753F">
        <w:trPr>
          <w:cantSplit/>
          <w:trHeight w:val="620"/>
        </w:trPr>
        <w:tc>
          <w:tcPr>
            <w:tcW w:w="1482" w:type="pct"/>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tcBorders>
              <w:top w:val="nil"/>
              <w:bottom w:val="nil"/>
            </w:tcBorders>
            <w:shd w:val="clear" w:color="auto" w:fill="auto"/>
            <w:tcMar>
              <w:top w:w="113" w:type="dxa"/>
              <w:bottom w:w="85" w:type="dxa"/>
            </w:tcMar>
          </w:tcPr>
          <w:p w:rsidR="004C53FA" w:rsidRPr="00C628EB" w:rsidRDefault="004C53FA" w:rsidP="00C1753F">
            <w:pPr>
              <w:rPr>
                <w:rFonts w:cs="Arial"/>
                <w:sz w:val="16"/>
                <w:szCs w:val="16"/>
              </w:rPr>
            </w:pPr>
            <w:r w:rsidRPr="00C628EB">
              <w:rPr>
                <w:rFonts w:cs="Arial"/>
                <w:sz w:val="16"/>
                <w:szCs w:val="16"/>
              </w:rPr>
              <w:t>% of individuals satisfied with the capacity building support on copyright infrastructure</w:t>
            </w:r>
          </w:p>
        </w:tc>
        <w:tc>
          <w:tcPr>
            <w:tcW w:w="880" w:type="pct"/>
            <w:tcBorders>
              <w:top w:val="nil"/>
              <w:bottom w:val="nil"/>
            </w:tcBorders>
            <w:shd w:val="clear" w:color="auto" w:fill="FFFFFF"/>
            <w:tcMar>
              <w:top w:w="113" w:type="dxa"/>
              <w:bottom w:w="85" w:type="dxa"/>
            </w:tcMar>
          </w:tcPr>
          <w:p w:rsidR="004C53FA" w:rsidRPr="00AF5E7C" w:rsidRDefault="004C53FA" w:rsidP="00C1753F">
            <w:pPr>
              <w:jc w:val="center"/>
              <w:rPr>
                <w:rFonts w:cs="Arial"/>
                <w:sz w:val="16"/>
                <w:szCs w:val="16"/>
                <w:lang w:bidi="th-TH"/>
              </w:rPr>
            </w:pPr>
            <w:r>
              <w:rPr>
                <w:rFonts w:cs="Arial"/>
                <w:sz w:val="16"/>
                <w:szCs w:val="16"/>
                <w:lang w:bidi="th-TH"/>
              </w:rPr>
              <w:t>Program 3</w:t>
            </w:r>
          </w:p>
        </w:tc>
        <w:tc>
          <w:tcPr>
            <w:tcW w:w="475" w:type="pct"/>
            <w:tcBorders>
              <w:top w:val="nil"/>
              <w:bottom w:val="nil"/>
              <w:right w:val="single" w:sz="4" w:space="0" w:color="auto"/>
            </w:tcBorders>
            <w:shd w:val="clear" w:color="auto" w:fill="FFFFFF"/>
          </w:tcPr>
          <w:p w:rsidR="004C53FA" w:rsidRDefault="004C53FA" w:rsidP="00C1753F">
            <w:pPr>
              <w:spacing w:before="40"/>
              <w:jc w:val="center"/>
            </w:pPr>
            <w:r w:rsidRPr="00167066">
              <w:rPr>
                <w:rFonts w:cs="Arial"/>
                <w:color w:val="008000"/>
                <w:sz w:val="22"/>
                <w:szCs w:val="22"/>
              </w:rPr>
              <w:sym w:font="Wingdings" w:char="F06C"/>
            </w:r>
          </w:p>
        </w:tc>
      </w:tr>
      <w:tr w:rsidR="004C53FA" w:rsidRPr="00AF5E7C" w:rsidTr="00C1753F">
        <w:trPr>
          <w:cantSplit/>
          <w:trHeight w:val="154"/>
        </w:trPr>
        <w:tc>
          <w:tcPr>
            <w:tcW w:w="1482" w:type="pct"/>
            <w:tcBorders>
              <w:top w:val="nil"/>
              <w:left w:val="single" w:sz="4" w:space="0" w:color="auto"/>
              <w:bottom w:val="single" w:sz="4" w:space="0" w:color="auto"/>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tcBorders>
              <w:top w:val="nil"/>
              <w:bottom w:val="single" w:sz="4" w:space="0" w:color="auto"/>
            </w:tcBorders>
            <w:shd w:val="clear" w:color="auto" w:fill="auto"/>
            <w:tcMar>
              <w:top w:w="113" w:type="dxa"/>
              <w:bottom w:w="85" w:type="dxa"/>
            </w:tcMar>
          </w:tcPr>
          <w:p w:rsidR="004C53FA" w:rsidRPr="00B004F2" w:rsidRDefault="004C53FA" w:rsidP="00C1753F">
            <w:pPr>
              <w:rPr>
                <w:rFonts w:cs="Arial"/>
                <w:sz w:val="16"/>
                <w:szCs w:val="16"/>
              </w:rPr>
            </w:pPr>
            <w:r w:rsidRPr="00B004F2">
              <w:rPr>
                <w:rFonts w:cs="Arial"/>
                <w:sz w:val="16"/>
                <w:szCs w:val="16"/>
              </w:rPr>
              <w:t>N</w:t>
            </w:r>
            <w:r>
              <w:rPr>
                <w:rFonts w:cs="Arial"/>
                <w:sz w:val="16"/>
                <w:szCs w:val="16"/>
              </w:rPr>
              <w:t>o.</w:t>
            </w:r>
            <w:r w:rsidRPr="00B004F2">
              <w:rPr>
                <w:rFonts w:cs="Arial"/>
                <w:sz w:val="16"/>
                <w:szCs w:val="16"/>
              </w:rPr>
              <w:t xml:space="preserve"> of institutions using GDA</w:t>
            </w:r>
          </w:p>
        </w:tc>
        <w:tc>
          <w:tcPr>
            <w:tcW w:w="880" w:type="pct"/>
            <w:tcBorders>
              <w:top w:val="nil"/>
              <w:bottom w:val="single" w:sz="4" w:space="0" w:color="auto"/>
            </w:tcBorders>
            <w:shd w:val="clear" w:color="auto" w:fill="FFFFFF"/>
            <w:tcMar>
              <w:top w:w="113" w:type="dxa"/>
              <w:bottom w:w="85" w:type="dxa"/>
            </w:tcMar>
          </w:tcPr>
          <w:p w:rsidR="004C53FA" w:rsidRPr="00AF5E7C" w:rsidRDefault="004C53FA" w:rsidP="00C1753F">
            <w:pPr>
              <w:jc w:val="center"/>
              <w:rPr>
                <w:rFonts w:cs="Arial"/>
                <w:sz w:val="16"/>
                <w:szCs w:val="16"/>
                <w:lang w:bidi="th-TH"/>
              </w:rPr>
            </w:pPr>
            <w:r>
              <w:rPr>
                <w:rFonts w:cs="Arial"/>
                <w:sz w:val="16"/>
                <w:szCs w:val="16"/>
                <w:lang w:bidi="th-TH"/>
              </w:rPr>
              <w:t>Program 3</w:t>
            </w:r>
          </w:p>
        </w:tc>
        <w:tc>
          <w:tcPr>
            <w:tcW w:w="475" w:type="pct"/>
            <w:tcBorders>
              <w:top w:val="nil"/>
              <w:bottom w:val="single" w:sz="4" w:space="0" w:color="auto"/>
              <w:right w:val="single" w:sz="4" w:space="0" w:color="auto"/>
            </w:tcBorders>
            <w:shd w:val="clear" w:color="auto" w:fill="FFFFFF"/>
          </w:tcPr>
          <w:p w:rsidR="004C53FA" w:rsidRDefault="004C53FA" w:rsidP="00C1753F">
            <w:pPr>
              <w:spacing w:before="40"/>
              <w:jc w:val="center"/>
            </w:pPr>
            <w:r w:rsidRPr="00167066">
              <w:rPr>
                <w:rFonts w:cs="Arial"/>
                <w:color w:val="008000"/>
                <w:sz w:val="22"/>
                <w:szCs w:val="22"/>
              </w:rPr>
              <w:sym w:font="Wingdings" w:char="F06C"/>
            </w:r>
          </w:p>
        </w:tc>
      </w:tr>
      <w:tr w:rsidR="004C53FA" w:rsidRPr="00AF5E7C" w:rsidTr="00C1753F">
        <w:trPr>
          <w:cantSplit/>
          <w:trHeight w:val="496"/>
        </w:trPr>
        <w:tc>
          <w:tcPr>
            <w:tcW w:w="1482" w:type="pct"/>
            <w:tcBorders>
              <w:top w:val="single" w:sz="4" w:space="0" w:color="auto"/>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tcBorders>
              <w:top w:val="single" w:sz="4" w:space="0" w:color="auto"/>
              <w:bottom w:val="nil"/>
            </w:tcBorders>
            <w:shd w:val="clear" w:color="auto" w:fill="auto"/>
            <w:tcMar>
              <w:top w:w="113" w:type="dxa"/>
              <w:bottom w:w="85" w:type="dxa"/>
            </w:tcMar>
          </w:tcPr>
          <w:p w:rsidR="004C53FA" w:rsidRPr="00B004F2" w:rsidRDefault="004C53FA" w:rsidP="00C1753F">
            <w:pPr>
              <w:rPr>
                <w:rFonts w:cs="Arial"/>
                <w:sz w:val="16"/>
                <w:szCs w:val="16"/>
              </w:rPr>
            </w:pPr>
            <w:r w:rsidRPr="00B004F2">
              <w:rPr>
                <w:rFonts w:cs="Arial"/>
                <w:sz w:val="16"/>
                <w:szCs w:val="16"/>
              </w:rPr>
              <w:t>Use of the WIPO Collective Management Reference Database</w:t>
            </w:r>
          </w:p>
        </w:tc>
        <w:tc>
          <w:tcPr>
            <w:tcW w:w="880" w:type="pct"/>
            <w:tcBorders>
              <w:top w:val="single" w:sz="4" w:space="0" w:color="auto"/>
              <w:bottom w:val="nil"/>
            </w:tcBorders>
            <w:shd w:val="clear" w:color="auto" w:fill="FFFFFF"/>
            <w:tcMar>
              <w:top w:w="113" w:type="dxa"/>
              <w:bottom w:w="85" w:type="dxa"/>
            </w:tcMar>
          </w:tcPr>
          <w:p w:rsidR="004C53FA" w:rsidRPr="00AF5E7C" w:rsidRDefault="004C53FA" w:rsidP="00C1753F">
            <w:pPr>
              <w:jc w:val="center"/>
              <w:rPr>
                <w:rFonts w:cs="Arial"/>
                <w:sz w:val="16"/>
                <w:szCs w:val="16"/>
                <w:lang w:bidi="th-TH"/>
              </w:rPr>
            </w:pPr>
            <w:r>
              <w:rPr>
                <w:rFonts w:cs="Arial"/>
                <w:sz w:val="16"/>
                <w:szCs w:val="16"/>
                <w:lang w:bidi="th-TH"/>
              </w:rPr>
              <w:t>Program 3</w:t>
            </w:r>
          </w:p>
        </w:tc>
        <w:tc>
          <w:tcPr>
            <w:tcW w:w="475" w:type="pct"/>
            <w:tcBorders>
              <w:top w:val="single" w:sz="4" w:space="0" w:color="auto"/>
              <w:bottom w:val="nil"/>
              <w:right w:val="single" w:sz="4" w:space="0" w:color="auto"/>
            </w:tcBorders>
            <w:shd w:val="clear" w:color="auto" w:fill="FFFFFF"/>
          </w:tcPr>
          <w:p w:rsidR="004C53FA" w:rsidRDefault="004C53FA" w:rsidP="00C1753F">
            <w:pPr>
              <w:spacing w:before="40"/>
              <w:jc w:val="center"/>
            </w:pPr>
            <w:r w:rsidRPr="00167066">
              <w:rPr>
                <w:rFonts w:cs="Arial"/>
                <w:color w:val="008000"/>
                <w:sz w:val="22"/>
                <w:szCs w:val="22"/>
              </w:rPr>
              <w:sym w:font="Wingdings" w:char="F06C"/>
            </w:r>
          </w:p>
        </w:tc>
      </w:tr>
      <w:tr w:rsidR="004C53FA" w:rsidRPr="00AF5E7C" w:rsidTr="00C1753F">
        <w:trPr>
          <w:cantSplit/>
          <w:trHeight w:val="1358"/>
        </w:trPr>
        <w:tc>
          <w:tcPr>
            <w:tcW w:w="1482" w:type="pct"/>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tcBorders>
              <w:top w:val="nil"/>
              <w:bottom w:val="nil"/>
            </w:tcBorders>
            <w:shd w:val="clear" w:color="auto" w:fill="auto"/>
            <w:tcMar>
              <w:top w:w="113" w:type="dxa"/>
              <w:bottom w:w="85" w:type="dxa"/>
            </w:tcMar>
          </w:tcPr>
          <w:p w:rsidR="004C53FA" w:rsidRPr="007C1AA9" w:rsidRDefault="004C53FA" w:rsidP="00C1753F">
            <w:pPr>
              <w:rPr>
                <w:rFonts w:cs="Arial"/>
                <w:sz w:val="16"/>
                <w:szCs w:val="16"/>
              </w:rPr>
            </w:pPr>
            <w:r w:rsidRPr="007C1AA9">
              <w:rPr>
                <w:rFonts w:cs="Arial"/>
                <w:sz w:val="16"/>
                <w:szCs w:val="16"/>
              </w:rPr>
              <w:t>N</w:t>
            </w:r>
            <w:r>
              <w:rPr>
                <w:rFonts w:cs="Arial"/>
                <w:sz w:val="16"/>
                <w:szCs w:val="16"/>
              </w:rPr>
              <w:t>o.</w:t>
            </w:r>
            <w:r w:rsidRPr="007C1AA9">
              <w:rPr>
                <w:rFonts w:cs="Arial"/>
                <w:sz w:val="16"/>
                <w:szCs w:val="16"/>
              </w:rPr>
              <w:t xml:space="preserve"> of legal instruments, guidelines, statements of principles other than Treaties agreed to or endorsed by the stakeholders concerned in areas such as IP and Sports and Copyright in the Digital Environment</w:t>
            </w:r>
          </w:p>
        </w:tc>
        <w:tc>
          <w:tcPr>
            <w:tcW w:w="880" w:type="pct"/>
            <w:tcBorders>
              <w:top w:val="nil"/>
              <w:bottom w:val="nil"/>
            </w:tcBorders>
            <w:shd w:val="clear" w:color="auto" w:fill="FFFFFF"/>
            <w:tcMar>
              <w:top w:w="113" w:type="dxa"/>
              <w:bottom w:w="85" w:type="dxa"/>
            </w:tcMar>
          </w:tcPr>
          <w:p w:rsidR="004C53FA" w:rsidRPr="00AF5E7C" w:rsidRDefault="004C53FA" w:rsidP="00C1753F">
            <w:pPr>
              <w:jc w:val="center"/>
              <w:rPr>
                <w:rFonts w:cs="Arial"/>
                <w:sz w:val="16"/>
                <w:szCs w:val="16"/>
                <w:lang w:bidi="th-TH"/>
              </w:rPr>
            </w:pPr>
            <w:r>
              <w:rPr>
                <w:rFonts w:cs="Arial"/>
                <w:sz w:val="16"/>
                <w:szCs w:val="16"/>
                <w:lang w:bidi="th-TH"/>
              </w:rPr>
              <w:t>Program 3</w:t>
            </w:r>
          </w:p>
        </w:tc>
        <w:tc>
          <w:tcPr>
            <w:tcW w:w="475" w:type="pct"/>
            <w:tcBorders>
              <w:top w:val="nil"/>
              <w:bottom w:val="nil"/>
              <w:right w:val="single" w:sz="4" w:space="0" w:color="auto"/>
            </w:tcBorders>
            <w:shd w:val="clear" w:color="auto" w:fill="FFFFFF"/>
          </w:tcPr>
          <w:p w:rsidR="004C53FA" w:rsidRDefault="004C53FA" w:rsidP="00C1753F">
            <w:pPr>
              <w:spacing w:before="40"/>
              <w:jc w:val="center"/>
            </w:pPr>
            <w:r w:rsidRPr="00167066">
              <w:rPr>
                <w:rFonts w:cs="Arial"/>
                <w:color w:val="008000"/>
                <w:sz w:val="22"/>
                <w:szCs w:val="22"/>
              </w:rPr>
              <w:sym w:font="Wingdings" w:char="F06C"/>
            </w:r>
          </w:p>
        </w:tc>
      </w:tr>
      <w:tr w:rsidR="004C53FA" w:rsidRPr="00AF5E7C" w:rsidTr="00C1753F">
        <w:trPr>
          <w:cantSplit/>
          <w:trHeight w:val="256"/>
        </w:trPr>
        <w:tc>
          <w:tcPr>
            <w:tcW w:w="1482" w:type="pct"/>
            <w:vMerge w:val="restart"/>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vMerge w:val="restart"/>
            <w:tcBorders>
              <w:top w:val="nil"/>
              <w:bottom w:val="nil"/>
            </w:tcBorders>
            <w:shd w:val="clear" w:color="auto" w:fill="auto"/>
            <w:tcMar>
              <w:top w:w="113" w:type="dxa"/>
              <w:bottom w:w="85" w:type="dxa"/>
            </w:tcMar>
          </w:tcPr>
          <w:p w:rsidR="004C53FA" w:rsidRDefault="004C53FA" w:rsidP="00C1753F">
            <w:pPr>
              <w:rPr>
                <w:rFonts w:cs="Arial"/>
                <w:sz w:val="16"/>
                <w:szCs w:val="16"/>
              </w:rPr>
            </w:pPr>
            <w:r>
              <w:rPr>
                <w:rFonts w:cs="Arial"/>
                <w:sz w:val="16"/>
                <w:szCs w:val="16"/>
              </w:rPr>
              <w:t>Average number of users serviced by TISCs per quarter and country</w:t>
            </w:r>
          </w:p>
          <w:p w:rsidR="004C53FA" w:rsidRDefault="004C53FA" w:rsidP="00C1753F">
            <w:pPr>
              <w:rPr>
                <w:rFonts w:cs="Arial"/>
                <w:sz w:val="16"/>
                <w:szCs w:val="16"/>
              </w:rPr>
            </w:pPr>
          </w:p>
          <w:p w:rsidR="004C53FA" w:rsidRDefault="004C53FA" w:rsidP="00C1753F">
            <w:pPr>
              <w:rPr>
                <w:rFonts w:cs="Arial"/>
                <w:sz w:val="16"/>
                <w:szCs w:val="16"/>
              </w:rPr>
            </w:pPr>
          </w:p>
          <w:p w:rsidR="004C53FA" w:rsidRDefault="004C53FA" w:rsidP="00C1753F">
            <w:pPr>
              <w:rPr>
                <w:rFonts w:cs="Arial"/>
                <w:sz w:val="16"/>
                <w:szCs w:val="16"/>
              </w:rPr>
            </w:pPr>
          </w:p>
          <w:p w:rsidR="004C53FA" w:rsidRDefault="004C53FA" w:rsidP="00C1753F">
            <w:pPr>
              <w:rPr>
                <w:rFonts w:cs="Arial"/>
                <w:sz w:val="16"/>
                <w:szCs w:val="16"/>
              </w:rPr>
            </w:pPr>
          </w:p>
          <w:p w:rsidR="004C53FA" w:rsidRPr="00256003" w:rsidRDefault="004C53FA" w:rsidP="00C1753F">
            <w:pPr>
              <w:rPr>
                <w:rFonts w:cs="Arial"/>
                <w:sz w:val="16"/>
                <w:szCs w:val="16"/>
              </w:rPr>
            </w:pPr>
          </w:p>
        </w:tc>
        <w:tc>
          <w:tcPr>
            <w:tcW w:w="880" w:type="pct"/>
            <w:tcBorders>
              <w:top w:val="nil"/>
              <w:bottom w:val="nil"/>
            </w:tcBorders>
            <w:shd w:val="clear" w:color="auto" w:fill="FFFFFF"/>
            <w:tcMar>
              <w:top w:w="113" w:type="dxa"/>
              <w:bottom w:w="85" w:type="dxa"/>
            </w:tcMar>
          </w:tcPr>
          <w:p w:rsidR="004C53FA" w:rsidRPr="00AF5E7C" w:rsidRDefault="004C53FA" w:rsidP="00C1753F">
            <w:pPr>
              <w:jc w:val="center"/>
              <w:rPr>
                <w:rFonts w:cs="Arial"/>
                <w:sz w:val="16"/>
                <w:szCs w:val="16"/>
                <w:lang w:bidi="th-TH"/>
              </w:rPr>
            </w:pPr>
            <w:r>
              <w:rPr>
                <w:rFonts w:cs="Arial"/>
                <w:sz w:val="16"/>
                <w:szCs w:val="16"/>
                <w:lang w:bidi="th-TH"/>
              </w:rPr>
              <w:t>Program 9</w:t>
            </w:r>
          </w:p>
        </w:tc>
        <w:tc>
          <w:tcPr>
            <w:tcW w:w="475" w:type="pct"/>
            <w:tcBorders>
              <w:top w:val="nil"/>
              <w:bottom w:val="nil"/>
              <w:right w:val="single" w:sz="4" w:space="0" w:color="auto"/>
            </w:tcBorders>
            <w:shd w:val="clear" w:color="auto" w:fill="FFFFFF"/>
          </w:tcPr>
          <w:p w:rsidR="004C53FA" w:rsidRPr="007916B2" w:rsidRDefault="004C53FA" w:rsidP="00C1753F">
            <w:pPr>
              <w:spacing w:before="40"/>
              <w:jc w:val="center"/>
              <w:rPr>
                <w:rFonts w:cs="Arial"/>
                <w:color w:val="008000"/>
                <w:sz w:val="22"/>
                <w:szCs w:val="22"/>
              </w:rPr>
            </w:pPr>
            <w:r w:rsidRPr="00365F93">
              <w:rPr>
                <w:rFonts w:cs="Arial"/>
                <w:color w:val="008000"/>
                <w:sz w:val="22"/>
                <w:szCs w:val="22"/>
              </w:rPr>
              <w:sym w:font="Wingdings" w:char="F06C"/>
            </w:r>
          </w:p>
        </w:tc>
      </w:tr>
      <w:tr w:rsidR="004C53FA" w:rsidRPr="00AF5E7C" w:rsidTr="00C1753F">
        <w:trPr>
          <w:cantSplit/>
          <w:trHeight w:val="254"/>
        </w:trPr>
        <w:tc>
          <w:tcPr>
            <w:tcW w:w="1482" w:type="pct"/>
            <w:vMerge/>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vMerge/>
            <w:tcBorders>
              <w:top w:val="nil"/>
              <w:bottom w:val="nil"/>
            </w:tcBorders>
            <w:shd w:val="clear" w:color="auto" w:fill="auto"/>
            <w:tcMar>
              <w:top w:w="113" w:type="dxa"/>
              <w:bottom w:w="85" w:type="dxa"/>
            </w:tcMar>
          </w:tcPr>
          <w:p w:rsidR="004C53FA" w:rsidRDefault="004C53FA" w:rsidP="00C1753F">
            <w:pPr>
              <w:rPr>
                <w:rFonts w:cs="Arial"/>
                <w:sz w:val="16"/>
                <w:szCs w:val="16"/>
              </w:rPr>
            </w:pPr>
          </w:p>
        </w:tc>
        <w:tc>
          <w:tcPr>
            <w:tcW w:w="880" w:type="pct"/>
            <w:tcBorders>
              <w:top w:val="nil"/>
              <w:bottom w:val="nil"/>
            </w:tcBorders>
            <w:shd w:val="clear" w:color="auto" w:fill="FFFFFF"/>
            <w:tcMar>
              <w:top w:w="113" w:type="dxa"/>
              <w:bottom w:w="85" w:type="dxa"/>
            </w:tcMar>
          </w:tcPr>
          <w:p w:rsidR="004C53FA" w:rsidRDefault="004C53FA" w:rsidP="00C1753F">
            <w:pPr>
              <w:jc w:val="center"/>
              <w:rPr>
                <w:rFonts w:cs="Arial"/>
                <w:sz w:val="16"/>
                <w:szCs w:val="16"/>
                <w:lang w:bidi="th-TH"/>
              </w:rPr>
            </w:pPr>
            <w:r>
              <w:rPr>
                <w:rFonts w:cs="Arial"/>
                <w:sz w:val="16"/>
                <w:szCs w:val="16"/>
                <w:lang w:bidi="th-TH"/>
              </w:rPr>
              <w:t>Program 10</w:t>
            </w:r>
          </w:p>
        </w:tc>
        <w:tc>
          <w:tcPr>
            <w:tcW w:w="475" w:type="pct"/>
            <w:tcBorders>
              <w:top w:val="nil"/>
              <w:bottom w:val="nil"/>
              <w:right w:val="single" w:sz="4" w:space="0" w:color="auto"/>
            </w:tcBorders>
            <w:shd w:val="clear" w:color="auto" w:fill="FFFFFF"/>
          </w:tcPr>
          <w:p w:rsidR="004C53FA" w:rsidRPr="00365F93" w:rsidRDefault="004C53FA" w:rsidP="00C1753F">
            <w:pPr>
              <w:spacing w:before="40"/>
              <w:jc w:val="center"/>
              <w:rPr>
                <w:rFonts w:cs="Arial"/>
                <w:color w:val="008000"/>
                <w:sz w:val="22"/>
                <w:szCs w:val="22"/>
              </w:rPr>
            </w:pPr>
            <w:r w:rsidRPr="00365F93">
              <w:rPr>
                <w:rFonts w:cs="Arial"/>
                <w:color w:val="008000"/>
                <w:sz w:val="22"/>
                <w:szCs w:val="22"/>
              </w:rPr>
              <w:sym w:font="Wingdings" w:char="F06C"/>
            </w:r>
          </w:p>
        </w:tc>
      </w:tr>
      <w:tr w:rsidR="004C53FA" w:rsidRPr="00AF5E7C" w:rsidTr="00C1753F">
        <w:trPr>
          <w:cantSplit/>
          <w:trHeight w:val="254"/>
        </w:trPr>
        <w:tc>
          <w:tcPr>
            <w:tcW w:w="1482" w:type="pct"/>
            <w:vMerge/>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vMerge/>
            <w:tcBorders>
              <w:top w:val="nil"/>
              <w:bottom w:val="nil"/>
            </w:tcBorders>
            <w:shd w:val="clear" w:color="auto" w:fill="auto"/>
            <w:tcMar>
              <w:top w:w="113" w:type="dxa"/>
              <w:bottom w:w="85" w:type="dxa"/>
            </w:tcMar>
          </w:tcPr>
          <w:p w:rsidR="004C53FA" w:rsidRDefault="004C53FA" w:rsidP="00C1753F">
            <w:pPr>
              <w:rPr>
                <w:rFonts w:cs="Arial"/>
                <w:sz w:val="16"/>
                <w:szCs w:val="16"/>
              </w:rPr>
            </w:pPr>
          </w:p>
        </w:tc>
        <w:tc>
          <w:tcPr>
            <w:tcW w:w="880" w:type="pct"/>
            <w:tcBorders>
              <w:top w:val="nil"/>
              <w:bottom w:val="nil"/>
            </w:tcBorders>
            <w:shd w:val="clear" w:color="auto" w:fill="FFFFFF"/>
            <w:tcMar>
              <w:top w:w="113" w:type="dxa"/>
              <w:bottom w:w="85" w:type="dxa"/>
            </w:tcMar>
          </w:tcPr>
          <w:p w:rsidR="004C53FA" w:rsidRDefault="004C53FA" w:rsidP="00C1753F">
            <w:pPr>
              <w:jc w:val="center"/>
              <w:rPr>
                <w:rFonts w:cs="Arial"/>
                <w:sz w:val="16"/>
                <w:szCs w:val="16"/>
                <w:lang w:bidi="th-TH"/>
              </w:rPr>
            </w:pPr>
            <w:r>
              <w:rPr>
                <w:rFonts w:cs="Arial"/>
                <w:sz w:val="16"/>
                <w:szCs w:val="16"/>
                <w:lang w:bidi="th-TH"/>
              </w:rPr>
              <w:t>Program 14</w:t>
            </w:r>
          </w:p>
        </w:tc>
        <w:tc>
          <w:tcPr>
            <w:tcW w:w="475" w:type="pct"/>
            <w:tcBorders>
              <w:top w:val="nil"/>
              <w:bottom w:val="nil"/>
              <w:right w:val="single" w:sz="4" w:space="0" w:color="auto"/>
            </w:tcBorders>
            <w:shd w:val="clear" w:color="auto" w:fill="FFFFFF"/>
          </w:tcPr>
          <w:p w:rsidR="004C53FA" w:rsidRPr="00365F93" w:rsidRDefault="004C53FA" w:rsidP="00C1753F">
            <w:pPr>
              <w:spacing w:before="40"/>
              <w:jc w:val="center"/>
              <w:rPr>
                <w:rFonts w:cs="Arial"/>
                <w:color w:val="008000"/>
                <w:sz w:val="22"/>
                <w:szCs w:val="22"/>
              </w:rPr>
            </w:pPr>
            <w:r w:rsidRPr="00365F93">
              <w:rPr>
                <w:rFonts w:cs="Arial"/>
                <w:color w:val="008000"/>
                <w:sz w:val="22"/>
                <w:szCs w:val="22"/>
              </w:rPr>
              <w:sym w:font="Wingdings" w:char="F06C"/>
            </w:r>
          </w:p>
        </w:tc>
      </w:tr>
      <w:tr w:rsidR="004C53FA" w:rsidRPr="00AF5E7C" w:rsidTr="00C1753F">
        <w:trPr>
          <w:cantSplit/>
          <w:trHeight w:val="256"/>
        </w:trPr>
        <w:tc>
          <w:tcPr>
            <w:tcW w:w="1482" w:type="pct"/>
            <w:vMerge w:val="restart"/>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vMerge w:val="restart"/>
            <w:tcBorders>
              <w:top w:val="nil"/>
              <w:bottom w:val="nil"/>
            </w:tcBorders>
            <w:shd w:val="clear" w:color="auto" w:fill="auto"/>
            <w:tcMar>
              <w:top w:w="113" w:type="dxa"/>
              <w:bottom w:w="85" w:type="dxa"/>
            </w:tcMar>
          </w:tcPr>
          <w:p w:rsidR="004C53FA" w:rsidRPr="00DC0B8E" w:rsidRDefault="004C53FA" w:rsidP="00C1753F">
            <w:pPr>
              <w:rPr>
                <w:rFonts w:cs="Arial"/>
                <w:sz w:val="16"/>
                <w:szCs w:val="16"/>
              </w:rPr>
            </w:pPr>
            <w:r w:rsidRPr="00DC0B8E">
              <w:rPr>
                <w:rFonts w:cs="Arial"/>
                <w:sz w:val="16"/>
                <w:szCs w:val="16"/>
              </w:rPr>
              <w:t>N</w:t>
            </w:r>
            <w:r>
              <w:rPr>
                <w:rFonts w:cs="Arial"/>
                <w:sz w:val="16"/>
                <w:szCs w:val="16"/>
              </w:rPr>
              <w:t>o.</w:t>
            </w:r>
            <w:r w:rsidRPr="00DC0B8E">
              <w:rPr>
                <w:rFonts w:cs="Arial"/>
                <w:sz w:val="16"/>
                <w:szCs w:val="16"/>
              </w:rPr>
              <w:t xml:space="preserve"> of sustainable national networks </w:t>
            </w:r>
            <w:r>
              <w:rPr>
                <w:rFonts w:cs="Arial"/>
                <w:sz w:val="16"/>
                <w:szCs w:val="16"/>
              </w:rPr>
              <w:t xml:space="preserve">of </w:t>
            </w:r>
            <w:r w:rsidRPr="00DC0B8E">
              <w:rPr>
                <w:rFonts w:cs="Arial"/>
                <w:sz w:val="16"/>
                <w:szCs w:val="16"/>
              </w:rPr>
              <w:t>TISC</w:t>
            </w:r>
            <w:r>
              <w:rPr>
                <w:rFonts w:cs="Arial"/>
                <w:sz w:val="16"/>
                <w:szCs w:val="16"/>
              </w:rPr>
              <w:t>s</w:t>
            </w:r>
          </w:p>
        </w:tc>
        <w:tc>
          <w:tcPr>
            <w:tcW w:w="880" w:type="pct"/>
            <w:tcBorders>
              <w:top w:val="nil"/>
              <w:bottom w:val="nil"/>
            </w:tcBorders>
            <w:shd w:val="clear" w:color="auto" w:fill="FFFFFF"/>
            <w:tcMar>
              <w:top w:w="113" w:type="dxa"/>
              <w:bottom w:w="85" w:type="dxa"/>
            </w:tcMar>
          </w:tcPr>
          <w:p w:rsidR="004C53FA" w:rsidRDefault="004C53FA" w:rsidP="00C1753F">
            <w:pPr>
              <w:jc w:val="center"/>
              <w:rPr>
                <w:rFonts w:cs="Arial"/>
                <w:sz w:val="16"/>
                <w:szCs w:val="16"/>
                <w:lang w:bidi="th-TH"/>
              </w:rPr>
            </w:pPr>
            <w:r>
              <w:rPr>
                <w:rFonts w:cs="Arial"/>
                <w:sz w:val="16"/>
                <w:szCs w:val="16"/>
                <w:lang w:bidi="th-TH"/>
              </w:rPr>
              <w:t>Program 9</w:t>
            </w:r>
          </w:p>
          <w:p w:rsidR="004C53FA" w:rsidRPr="00AF5E7C" w:rsidRDefault="004C53FA" w:rsidP="00C1753F">
            <w:pPr>
              <w:rPr>
                <w:rFonts w:cs="Arial"/>
                <w:sz w:val="16"/>
                <w:szCs w:val="16"/>
                <w:lang w:bidi="th-TH"/>
              </w:rPr>
            </w:pPr>
          </w:p>
        </w:tc>
        <w:tc>
          <w:tcPr>
            <w:tcW w:w="475" w:type="pct"/>
            <w:tcBorders>
              <w:top w:val="nil"/>
              <w:bottom w:val="nil"/>
              <w:right w:val="single" w:sz="4" w:space="0" w:color="auto"/>
            </w:tcBorders>
            <w:shd w:val="clear" w:color="auto" w:fill="FFFFFF"/>
          </w:tcPr>
          <w:p w:rsidR="004C53FA" w:rsidRDefault="004C53FA" w:rsidP="00C1753F">
            <w:pPr>
              <w:spacing w:before="40"/>
              <w:jc w:val="center"/>
              <w:rPr>
                <w:rFonts w:cs="Arial"/>
                <w:color w:val="008000"/>
                <w:sz w:val="22"/>
                <w:szCs w:val="22"/>
              </w:rPr>
            </w:pPr>
            <w:r w:rsidRPr="00365F93">
              <w:rPr>
                <w:rFonts w:cs="Arial"/>
                <w:color w:val="008000"/>
                <w:sz w:val="22"/>
                <w:szCs w:val="22"/>
              </w:rPr>
              <w:sym w:font="Wingdings" w:char="F06C"/>
            </w:r>
            <w:r w:rsidRPr="00365F93">
              <w:rPr>
                <w:rFonts w:cs="Arial"/>
                <w:color w:val="008000"/>
                <w:sz w:val="22"/>
                <w:szCs w:val="22"/>
              </w:rPr>
              <w:sym w:font="Wingdings" w:char="F06C"/>
            </w:r>
            <w:r w:rsidRPr="00365F93">
              <w:rPr>
                <w:rFonts w:cs="Arial"/>
                <w:color w:val="008000"/>
                <w:sz w:val="22"/>
                <w:szCs w:val="22"/>
              </w:rPr>
              <w:sym w:font="Wingdings" w:char="F06C"/>
            </w:r>
            <w:r w:rsidRPr="00365F93">
              <w:rPr>
                <w:rFonts w:cs="Arial"/>
                <w:color w:val="008000"/>
                <w:sz w:val="22"/>
                <w:szCs w:val="22"/>
              </w:rPr>
              <w:sym w:font="Wingdings" w:char="F06C"/>
            </w:r>
          </w:p>
          <w:p w:rsidR="004C53FA" w:rsidRPr="001464F0" w:rsidRDefault="004C53FA" w:rsidP="00C1753F">
            <w:pPr>
              <w:spacing w:before="40"/>
              <w:jc w:val="center"/>
              <w:rPr>
                <w:rFonts w:cs="Arial"/>
                <w:color w:val="008000"/>
                <w:sz w:val="22"/>
                <w:szCs w:val="22"/>
              </w:rPr>
            </w:pPr>
            <w:r w:rsidRPr="00365F93">
              <w:rPr>
                <w:rFonts w:cs="Arial"/>
                <w:color w:val="008000"/>
                <w:sz w:val="22"/>
                <w:szCs w:val="22"/>
              </w:rPr>
              <w:sym w:font="Wingdings" w:char="F06C"/>
            </w:r>
          </w:p>
        </w:tc>
      </w:tr>
      <w:tr w:rsidR="004C53FA" w:rsidRPr="00AF5E7C" w:rsidTr="00C1753F">
        <w:trPr>
          <w:cantSplit/>
          <w:trHeight w:val="254"/>
        </w:trPr>
        <w:tc>
          <w:tcPr>
            <w:tcW w:w="1482" w:type="pct"/>
            <w:vMerge/>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vMerge/>
            <w:tcBorders>
              <w:top w:val="nil"/>
              <w:bottom w:val="nil"/>
            </w:tcBorders>
            <w:shd w:val="clear" w:color="auto" w:fill="auto"/>
            <w:tcMar>
              <w:top w:w="113" w:type="dxa"/>
              <w:bottom w:w="85" w:type="dxa"/>
            </w:tcMar>
          </w:tcPr>
          <w:p w:rsidR="004C53FA" w:rsidRPr="00DC0B8E" w:rsidRDefault="004C53FA" w:rsidP="00C1753F">
            <w:pPr>
              <w:rPr>
                <w:rFonts w:cs="Arial"/>
                <w:sz w:val="16"/>
                <w:szCs w:val="16"/>
              </w:rPr>
            </w:pPr>
          </w:p>
        </w:tc>
        <w:tc>
          <w:tcPr>
            <w:tcW w:w="880" w:type="pct"/>
            <w:tcBorders>
              <w:top w:val="nil"/>
              <w:bottom w:val="nil"/>
            </w:tcBorders>
            <w:shd w:val="clear" w:color="auto" w:fill="FFFFFF"/>
            <w:tcMar>
              <w:top w:w="113" w:type="dxa"/>
              <w:bottom w:w="85" w:type="dxa"/>
            </w:tcMar>
          </w:tcPr>
          <w:p w:rsidR="004C53FA" w:rsidRDefault="004C53FA" w:rsidP="00C1753F">
            <w:pPr>
              <w:jc w:val="center"/>
              <w:rPr>
                <w:rFonts w:cs="Arial"/>
                <w:sz w:val="16"/>
                <w:szCs w:val="16"/>
                <w:lang w:bidi="th-TH"/>
              </w:rPr>
            </w:pPr>
            <w:r>
              <w:rPr>
                <w:rFonts w:cs="Arial"/>
                <w:sz w:val="16"/>
                <w:szCs w:val="16"/>
                <w:lang w:bidi="th-TH"/>
              </w:rPr>
              <w:t>Program 10</w:t>
            </w:r>
          </w:p>
          <w:p w:rsidR="004C53FA" w:rsidRDefault="004C53FA" w:rsidP="00C1753F">
            <w:pPr>
              <w:jc w:val="center"/>
              <w:rPr>
                <w:rFonts w:cs="Arial"/>
                <w:sz w:val="16"/>
                <w:szCs w:val="16"/>
                <w:lang w:bidi="th-TH"/>
              </w:rPr>
            </w:pPr>
          </w:p>
        </w:tc>
        <w:tc>
          <w:tcPr>
            <w:tcW w:w="475" w:type="pct"/>
            <w:tcBorders>
              <w:top w:val="nil"/>
              <w:bottom w:val="nil"/>
              <w:right w:val="single" w:sz="4" w:space="0" w:color="auto"/>
            </w:tcBorders>
            <w:shd w:val="clear" w:color="auto" w:fill="FFFFFF"/>
          </w:tcPr>
          <w:p w:rsidR="004C53FA" w:rsidRPr="00365F93" w:rsidRDefault="004C53FA" w:rsidP="00C1753F">
            <w:pPr>
              <w:spacing w:before="40"/>
              <w:jc w:val="center"/>
              <w:rPr>
                <w:rFonts w:cs="Arial"/>
                <w:color w:val="008000"/>
                <w:sz w:val="22"/>
                <w:szCs w:val="22"/>
              </w:rPr>
            </w:pPr>
            <w:r w:rsidRPr="00365F93">
              <w:rPr>
                <w:rFonts w:cs="Arial"/>
                <w:color w:val="008000"/>
                <w:sz w:val="22"/>
                <w:szCs w:val="22"/>
              </w:rPr>
              <w:sym w:font="Wingdings" w:char="F06C"/>
            </w:r>
          </w:p>
        </w:tc>
      </w:tr>
      <w:tr w:rsidR="004C53FA" w:rsidRPr="00AF5E7C" w:rsidTr="00C1753F">
        <w:trPr>
          <w:cantSplit/>
          <w:trHeight w:val="254"/>
        </w:trPr>
        <w:tc>
          <w:tcPr>
            <w:tcW w:w="1482" w:type="pct"/>
            <w:vMerge/>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vMerge/>
            <w:tcBorders>
              <w:top w:val="nil"/>
              <w:bottom w:val="nil"/>
            </w:tcBorders>
            <w:shd w:val="clear" w:color="auto" w:fill="auto"/>
            <w:tcMar>
              <w:top w:w="113" w:type="dxa"/>
              <w:bottom w:w="85" w:type="dxa"/>
            </w:tcMar>
          </w:tcPr>
          <w:p w:rsidR="004C53FA" w:rsidRPr="00DC0B8E" w:rsidRDefault="004C53FA" w:rsidP="00C1753F">
            <w:pPr>
              <w:rPr>
                <w:rFonts w:cs="Arial"/>
                <w:sz w:val="16"/>
                <w:szCs w:val="16"/>
              </w:rPr>
            </w:pPr>
          </w:p>
        </w:tc>
        <w:tc>
          <w:tcPr>
            <w:tcW w:w="880" w:type="pct"/>
            <w:tcBorders>
              <w:top w:val="nil"/>
              <w:bottom w:val="nil"/>
            </w:tcBorders>
            <w:shd w:val="clear" w:color="auto" w:fill="FFFFFF"/>
            <w:tcMar>
              <w:top w:w="113" w:type="dxa"/>
              <w:bottom w:w="85" w:type="dxa"/>
            </w:tcMar>
          </w:tcPr>
          <w:p w:rsidR="004C53FA" w:rsidRDefault="004C53FA" w:rsidP="00C1753F">
            <w:pPr>
              <w:jc w:val="center"/>
              <w:rPr>
                <w:rFonts w:cs="Arial"/>
                <w:sz w:val="16"/>
                <w:szCs w:val="16"/>
                <w:lang w:bidi="th-TH"/>
              </w:rPr>
            </w:pPr>
            <w:r>
              <w:rPr>
                <w:rFonts w:cs="Arial"/>
                <w:sz w:val="16"/>
                <w:szCs w:val="16"/>
                <w:lang w:bidi="th-TH"/>
              </w:rPr>
              <w:t>Program 14</w:t>
            </w:r>
          </w:p>
        </w:tc>
        <w:tc>
          <w:tcPr>
            <w:tcW w:w="475" w:type="pct"/>
            <w:tcBorders>
              <w:top w:val="nil"/>
              <w:bottom w:val="nil"/>
              <w:right w:val="single" w:sz="4" w:space="0" w:color="auto"/>
            </w:tcBorders>
            <w:shd w:val="clear" w:color="auto" w:fill="FFFFFF"/>
          </w:tcPr>
          <w:p w:rsidR="004C53FA" w:rsidRPr="00365F93" w:rsidRDefault="004C53FA" w:rsidP="00C1753F">
            <w:pPr>
              <w:spacing w:before="40"/>
              <w:jc w:val="center"/>
              <w:rPr>
                <w:rFonts w:cs="Arial"/>
                <w:color w:val="008000"/>
                <w:sz w:val="22"/>
                <w:szCs w:val="22"/>
              </w:rPr>
            </w:pPr>
            <w:r w:rsidRPr="00365F93">
              <w:rPr>
                <w:rFonts w:cs="Arial"/>
                <w:color w:val="008000"/>
                <w:sz w:val="22"/>
                <w:szCs w:val="22"/>
              </w:rPr>
              <w:sym w:font="Wingdings" w:char="F06C"/>
            </w:r>
          </w:p>
        </w:tc>
      </w:tr>
      <w:tr w:rsidR="004C53FA" w:rsidRPr="00AF5E7C" w:rsidTr="00C1753F">
        <w:trPr>
          <w:cantSplit/>
          <w:trHeight w:val="762"/>
        </w:trPr>
        <w:tc>
          <w:tcPr>
            <w:tcW w:w="1482" w:type="pct"/>
            <w:tcBorders>
              <w:top w:val="nil"/>
              <w:left w:val="single" w:sz="4" w:space="0" w:color="auto"/>
              <w:bottom w:val="nil"/>
            </w:tcBorders>
            <w:shd w:val="clear" w:color="auto" w:fill="auto"/>
            <w:tcMar>
              <w:top w:w="113" w:type="dxa"/>
              <w:bottom w:w="85" w:type="dxa"/>
            </w:tcMar>
          </w:tcPr>
          <w:p w:rsidR="004C53FA" w:rsidRPr="003E1C54" w:rsidRDefault="004C53FA" w:rsidP="00C1753F">
            <w:pPr>
              <w:rPr>
                <w:rFonts w:cs="Arial"/>
                <w:sz w:val="16"/>
                <w:szCs w:val="16"/>
              </w:rPr>
            </w:pPr>
          </w:p>
        </w:tc>
        <w:tc>
          <w:tcPr>
            <w:tcW w:w="2163" w:type="pct"/>
            <w:tcBorders>
              <w:top w:val="nil"/>
              <w:bottom w:val="nil"/>
            </w:tcBorders>
            <w:shd w:val="clear" w:color="auto" w:fill="auto"/>
            <w:tcMar>
              <w:top w:w="113" w:type="dxa"/>
              <w:bottom w:w="85" w:type="dxa"/>
            </w:tcMar>
          </w:tcPr>
          <w:p w:rsidR="004C53FA" w:rsidRPr="0093277E" w:rsidRDefault="004C53FA" w:rsidP="00C1753F">
            <w:pPr>
              <w:rPr>
                <w:rFonts w:cs="Arial"/>
                <w:sz w:val="16"/>
                <w:szCs w:val="16"/>
              </w:rPr>
            </w:pPr>
            <w:r w:rsidRPr="0093277E">
              <w:rPr>
                <w:rFonts w:cs="Arial"/>
                <w:sz w:val="16"/>
                <w:szCs w:val="16"/>
              </w:rPr>
              <w:t>No. of countries using IP Technical Assistance Database (IP-TAD), IP Roster of consultants (IP_ROC)</w:t>
            </w:r>
          </w:p>
        </w:tc>
        <w:tc>
          <w:tcPr>
            <w:tcW w:w="880" w:type="pct"/>
            <w:tcBorders>
              <w:top w:val="nil"/>
              <w:bottom w:val="nil"/>
            </w:tcBorders>
            <w:shd w:val="clear" w:color="auto" w:fill="FFFFFF"/>
            <w:tcMar>
              <w:top w:w="113" w:type="dxa"/>
              <w:bottom w:w="85" w:type="dxa"/>
            </w:tcMar>
          </w:tcPr>
          <w:p w:rsidR="004C53FA" w:rsidRPr="00AF5E7C" w:rsidRDefault="004C53FA" w:rsidP="00C1753F">
            <w:pPr>
              <w:jc w:val="center"/>
              <w:rPr>
                <w:rFonts w:cs="Arial"/>
                <w:sz w:val="16"/>
                <w:szCs w:val="16"/>
                <w:lang w:bidi="th-TH"/>
              </w:rPr>
            </w:pPr>
            <w:r>
              <w:rPr>
                <w:rFonts w:cs="Arial"/>
                <w:sz w:val="16"/>
                <w:szCs w:val="16"/>
                <w:lang w:bidi="th-TH"/>
              </w:rPr>
              <w:t>Program 9</w:t>
            </w:r>
          </w:p>
        </w:tc>
        <w:tc>
          <w:tcPr>
            <w:tcW w:w="475" w:type="pct"/>
            <w:tcBorders>
              <w:top w:val="nil"/>
              <w:bottom w:val="nil"/>
              <w:right w:val="single" w:sz="4" w:space="0" w:color="auto"/>
            </w:tcBorders>
            <w:shd w:val="clear" w:color="auto" w:fill="FFFFFF"/>
          </w:tcPr>
          <w:p w:rsidR="004C53FA" w:rsidRDefault="004C53FA" w:rsidP="00C1753F">
            <w:pPr>
              <w:jc w:val="center"/>
            </w:pPr>
            <w:r w:rsidRPr="007916B2">
              <w:rPr>
                <w:rFonts w:cs="Arial"/>
                <w:color w:val="FF0000"/>
                <w:sz w:val="22"/>
                <w:szCs w:val="22"/>
              </w:rPr>
              <w:sym w:font="Wingdings" w:char="F06C"/>
            </w:r>
          </w:p>
        </w:tc>
      </w:tr>
      <w:tr w:rsidR="004C53FA" w:rsidRPr="00AF5E7C" w:rsidTr="00C1753F">
        <w:trPr>
          <w:cantSplit/>
          <w:trHeight w:val="323"/>
        </w:trPr>
        <w:tc>
          <w:tcPr>
            <w:tcW w:w="1482" w:type="pct"/>
            <w:tcBorders>
              <w:top w:val="nil"/>
              <w:left w:val="single" w:sz="4" w:space="0" w:color="auto"/>
              <w:bottom w:val="nil"/>
            </w:tcBorders>
            <w:shd w:val="clear" w:color="auto" w:fill="auto"/>
            <w:tcMar>
              <w:top w:w="113" w:type="dxa"/>
              <w:bottom w:w="85" w:type="dxa"/>
            </w:tcMar>
          </w:tcPr>
          <w:p w:rsidR="004C53FA" w:rsidRPr="003E1C54" w:rsidRDefault="004C53FA" w:rsidP="00C1753F">
            <w:pPr>
              <w:rPr>
                <w:rFonts w:cs="Arial"/>
                <w:sz w:val="16"/>
                <w:szCs w:val="16"/>
              </w:rPr>
            </w:pPr>
          </w:p>
        </w:tc>
        <w:tc>
          <w:tcPr>
            <w:tcW w:w="2163" w:type="pct"/>
            <w:tcBorders>
              <w:top w:val="nil"/>
              <w:bottom w:val="nil"/>
            </w:tcBorders>
            <w:shd w:val="clear" w:color="auto" w:fill="auto"/>
            <w:tcMar>
              <w:top w:w="113" w:type="dxa"/>
              <w:bottom w:w="85" w:type="dxa"/>
            </w:tcMar>
          </w:tcPr>
          <w:p w:rsidR="004C53FA" w:rsidRPr="00C95729" w:rsidRDefault="004C53FA" w:rsidP="00C1753F">
            <w:pPr>
              <w:rPr>
                <w:rFonts w:cs="Arial"/>
                <w:sz w:val="16"/>
                <w:szCs w:val="16"/>
              </w:rPr>
            </w:pPr>
            <w:r w:rsidRPr="00C95729">
              <w:rPr>
                <w:rFonts w:cs="Arial"/>
                <w:sz w:val="16"/>
                <w:szCs w:val="16"/>
              </w:rPr>
              <w:t>N</w:t>
            </w:r>
            <w:r>
              <w:rPr>
                <w:rFonts w:cs="Arial"/>
                <w:sz w:val="16"/>
                <w:szCs w:val="16"/>
              </w:rPr>
              <w:t>o.</w:t>
            </w:r>
            <w:r w:rsidRPr="00C95729">
              <w:rPr>
                <w:rFonts w:cs="Arial"/>
                <w:sz w:val="16"/>
                <w:szCs w:val="16"/>
              </w:rPr>
              <w:t xml:space="preserve"> of established TTOs and/or IP information centers</w:t>
            </w:r>
          </w:p>
        </w:tc>
        <w:tc>
          <w:tcPr>
            <w:tcW w:w="880" w:type="pct"/>
            <w:tcBorders>
              <w:top w:val="nil"/>
              <w:bottom w:val="nil"/>
            </w:tcBorders>
            <w:shd w:val="clear" w:color="auto" w:fill="FFFFFF"/>
            <w:tcMar>
              <w:top w:w="113" w:type="dxa"/>
              <w:bottom w:w="85" w:type="dxa"/>
            </w:tcMar>
          </w:tcPr>
          <w:p w:rsidR="004C53FA" w:rsidRDefault="004C53FA" w:rsidP="00C1753F">
            <w:pPr>
              <w:jc w:val="center"/>
              <w:rPr>
                <w:rFonts w:cs="Arial"/>
                <w:sz w:val="16"/>
                <w:szCs w:val="16"/>
                <w:lang w:bidi="th-TH"/>
              </w:rPr>
            </w:pPr>
            <w:r>
              <w:rPr>
                <w:rFonts w:cs="Arial"/>
                <w:sz w:val="16"/>
                <w:szCs w:val="16"/>
                <w:lang w:bidi="th-TH"/>
              </w:rPr>
              <w:t>Program 10</w:t>
            </w:r>
          </w:p>
        </w:tc>
        <w:tc>
          <w:tcPr>
            <w:tcW w:w="475" w:type="pct"/>
            <w:tcBorders>
              <w:top w:val="nil"/>
              <w:bottom w:val="nil"/>
              <w:right w:val="single" w:sz="4" w:space="0" w:color="auto"/>
            </w:tcBorders>
            <w:shd w:val="clear" w:color="auto" w:fill="FFFFFF"/>
          </w:tcPr>
          <w:p w:rsidR="004C53FA" w:rsidRDefault="004C53FA" w:rsidP="00C1753F">
            <w:pPr>
              <w:spacing w:before="40"/>
              <w:jc w:val="center"/>
            </w:pPr>
            <w:r w:rsidRPr="00365F93">
              <w:rPr>
                <w:rFonts w:cs="Arial"/>
                <w:color w:val="008000"/>
                <w:sz w:val="22"/>
                <w:szCs w:val="22"/>
              </w:rPr>
              <w:sym w:font="Wingdings" w:char="F06C"/>
            </w:r>
          </w:p>
        </w:tc>
      </w:tr>
      <w:tr w:rsidR="004C53FA" w:rsidRPr="00AF5E7C" w:rsidTr="00C1753F">
        <w:trPr>
          <w:cantSplit/>
          <w:trHeight w:val="795"/>
        </w:trPr>
        <w:tc>
          <w:tcPr>
            <w:tcW w:w="1482" w:type="pct"/>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tcBorders>
              <w:top w:val="nil"/>
              <w:bottom w:val="nil"/>
            </w:tcBorders>
            <w:shd w:val="clear" w:color="auto" w:fill="auto"/>
            <w:tcMar>
              <w:top w:w="113" w:type="dxa"/>
              <w:bottom w:w="85" w:type="dxa"/>
            </w:tcMar>
          </w:tcPr>
          <w:p w:rsidR="004C53FA" w:rsidRPr="003E1C54" w:rsidRDefault="004C53FA" w:rsidP="00C1753F">
            <w:pPr>
              <w:rPr>
                <w:rFonts w:cs="Arial"/>
                <w:sz w:val="16"/>
                <w:szCs w:val="16"/>
              </w:rPr>
            </w:pPr>
            <w:r w:rsidRPr="003E1C54">
              <w:rPr>
                <w:rFonts w:cs="Arial"/>
                <w:sz w:val="16"/>
                <w:szCs w:val="16"/>
              </w:rPr>
              <w:t>No. of different users per quarter in all systems (PATENTSCOPE/Global Brand Database</w:t>
            </w:r>
            <w:r>
              <w:rPr>
                <w:rFonts w:cs="Arial"/>
                <w:sz w:val="16"/>
                <w:szCs w:val="16"/>
              </w:rPr>
              <w:t>)</w:t>
            </w:r>
          </w:p>
        </w:tc>
        <w:tc>
          <w:tcPr>
            <w:tcW w:w="880" w:type="pct"/>
            <w:tcBorders>
              <w:top w:val="nil"/>
              <w:bottom w:val="nil"/>
            </w:tcBorders>
            <w:shd w:val="clear" w:color="auto" w:fill="FFFFFF"/>
            <w:tcMar>
              <w:top w:w="113" w:type="dxa"/>
              <w:bottom w:w="85" w:type="dxa"/>
            </w:tcMar>
          </w:tcPr>
          <w:p w:rsidR="004C53FA" w:rsidRPr="00AF5E7C" w:rsidRDefault="004C53FA" w:rsidP="00C1753F">
            <w:pPr>
              <w:jc w:val="center"/>
              <w:rPr>
                <w:rFonts w:cs="Arial"/>
                <w:sz w:val="16"/>
                <w:szCs w:val="16"/>
                <w:lang w:bidi="th-TH"/>
              </w:rPr>
            </w:pPr>
            <w:r>
              <w:rPr>
                <w:rFonts w:cs="Arial"/>
                <w:sz w:val="16"/>
                <w:szCs w:val="16"/>
                <w:lang w:bidi="th-TH"/>
              </w:rPr>
              <w:t>Program 13</w:t>
            </w:r>
          </w:p>
        </w:tc>
        <w:tc>
          <w:tcPr>
            <w:tcW w:w="475" w:type="pct"/>
            <w:tcBorders>
              <w:top w:val="nil"/>
              <w:bottom w:val="nil"/>
              <w:right w:val="single" w:sz="4" w:space="0" w:color="auto"/>
            </w:tcBorders>
            <w:shd w:val="clear" w:color="auto" w:fill="FFFFFF"/>
          </w:tcPr>
          <w:p w:rsidR="004C53FA" w:rsidRPr="00B77A50" w:rsidRDefault="004C53FA" w:rsidP="00C1753F">
            <w:pPr>
              <w:jc w:val="center"/>
              <w:rPr>
                <w:rFonts w:cs="Arial"/>
                <w:color w:val="008000"/>
                <w:sz w:val="22"/>
                <w:szCs w:val="22"/>
              </w:rPr>
            </w:pPr>
            <w:r w:rsidRPr="00365F93">
              <w:rPr>
                <w:rFonts w:cs="Arial"/>
                <w:color w:val="008000"/>
                <w:sz w:val="22"/>
                <w:szCs w:val="22"/>
              </w:rPr>
              <w:sym w:font="Wingdings" w:char="F06C"/>
            </w:r>
            <w:r w:rsidRPr="00365F93">
              <w:rPr>
                <w:rFonts w:cs="Arial"/>
                <w:color w:val="008000"/>
                <w:sz w:val="22"/>
                <w:szCs w:val="22"/>
              </w:rPr>
              <w:sym w:font="Wingdings" w:char="F06C"/>
            </w:r>
          </w:p>
        </w:tc>
      </w:tr>
      <w:tr w:rsidR="004C53FA" w:rsidRPr="00AF5E7C" w:rsidTr="00C1753F">
        <w:trPr>
          <w:cantSplit/>
          <w:trHeight w:val="399"/>
        </w:trPr>
        <w:tc>
          <w:tcPr>
            <w:tcW w:w="1482" w:type="pct"/>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tcBorders>
              <w:top w:val="nil"/>
              <w:bottom w:val="nil"/>
            </w:tcBorders>
            <w:shd w:val="clear" w:color="auto" w:fill="auto"/>
            <w:tcMar>
              <w:top w:w="113" w:type="dxa"/>
              <w:bottom w:w="85" w:type="dxa"/>
            </w:tcMar>
          </w:tcPr>
          <w:p w:rsidR="004C53FA" w:rsidRPr="003E1C54" w:rsidRDefault="004C53FA" w:rsidP="00C1753F">
            <w:pPr>
              <w:rPr>
                <w:rFonts w:cs="Arial"/>
                <w:sz w:val="16"/>
                <w:szCs w:val="16"/>
              </w:rPr>
            </w:pPr>
            <w:r w:rsidRPr="003E1C54">
              <w:rPr>
                <w:rFonts w:cs="Arial"/>
                <w:sz w:val="16"/>
                <w:szCs w:val="16"/>
              </w:rPr>
              <w:t>No. of languages in which cross-lingual search is available</w:t>
            </w:r>
          </w:p>
        </w:tc>
        <w:tc>
          <w:tcPr>
            <w:tcW w:w="880" w:type="pct"/>
            <w:tcBorders>
              <w:top w:val="nil"/>
              <w:bottom w:val="nil"/>
            </w:tcBorders>
            <w:shd w:val="clear" w:color="auto" w:fill="FFFFFF"/>
            <w:tcMar>
              <w:top w:w="113" w:type="dxa"/>
              <w:bottom w:w="85" w:type="dxa"/>
            </w:tcMar>
          </w:tcPr>
          <w:p w:rsidR="004C53FA" w:rsidRPr="00AF5E7C" w:rsidRDefault="004C53FA" w:rsidP="00C1753F">
            <w:pPr>
              <w:jc w:val="center"/>
              <w:rPr>
                <w:rFonts w:cs="Arial"/>
                <w:sz w:val="16"/>
                <w:szCs w:val="16"/>
                <w:lang w:bidi="th-TH"/>
              </w:rPr>
            </w:pPr>
            <w:r>
              <w:rPr>
                <w:rFonts w:cs="Arial"/>
                <w:sz w:val="16"/>
                <w:szCs w:val="16"/>
                <w:lang w:bidi="th-TH"/>
              </w:rPr>
              <w:t>Program 13</w:t>
            </w:r>
          </w:p>
        </w:tc>
        <w:tc>
          <w:tcPr>
            <w:tcW w:w="475" w:type="pct"/>
            <w:tcBorders>
              <w:top w:val="nil"/>
              <w:bottom w:val="nil"/>
              <w:right w:val="single" w:sz="4" w:space="0" w:color="auto"/>
            </w:tcBorders>
            <w:shd w:val="clear" w:color="auto" w:fill="FFFFFF"/>
          </w:tcPr>
          <w:p w:rsidR="004C53FA" w:rsidRDefault="004C53FA" w:rsidP="00C1753F">
            <w:pPr>
              <w:jc w:val="center"/>
            </w:pPr>
            <w:r w:rsidRPr="00365F93">
              <w:rPr>
                <w:rFonts w:cs="Arial"/>
                <w:color w:val="008000"/>
                <w:sz w:val="22"/>
                <w:szCs w:val="22"/>
              </w:rPr>
              <w:sym w:font="Wingdings" w:char="F06C"/>
            </w:r>
          </w:p>
        </w:tc>
      </w:tr>
      <w:tr w:rsidR="004C53FA" w:rsidRPr="00AF5E7C" w:rsidTr="00C1753F">
        <w:trPr>
          <w:cantSplit/>
          <w:trHeight w:val="615"/>
        </w:trPr>
        <w:tc>
          <w:tcPr>
            <w:tcW w:w="1482" w:type="pct"/>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tcBorders>
              <w:top w:val="nil"/>
              <w:bottom w:val="nil"/>
            </w:tcBorders>
            <w:shd w:val="clear" w:color="auto" w:fill="auto"/>
            <w:tcMar>
              <w:top w:w="113" w:type="dxa"/>
              <w:bottom w:w="85" w:type="dxa"/>
            </w:tcMar>
          </w:tcPr>
          <w:p w:rsidR="004C53FA" w:rsidRPr="003E1C54" w:rsidRDefault="004C53FA" w:rsidP="00C1753F">
            <w:pPr>
              <w:rPr>
                <w:rFonts w:cs="Arial"/>
                <w:sz w:val="16"/>
                <w:szCs w:val="16"/>
              </w:rPr>
            </w:pPr>
            <w:r w:rsidRPr="003E1C54">
              <w:rPr>
                <w:rFonts w:cs="Arial"/>
                <w:sz w:val="16"/>
                <w:szCs w:val="16"/>
              </w:rPr>
              <w:t>No. of language pairs available for machine translation of titles and abstracts</w:t>
            </w:r>
          </w:p>
        </w:tc>
        <w:tc>
          <w:tcPr>
            <w:tcW w:w="880" w:type="pct"/>
            <w:tcBorders>
              <w:top w:val="nil"/>
              <w:bottom w:val="nil"/>
            </w:tcBorders>
            <w:shd w:val="clear" w:color="auto" w:fill="FFFFFF"/>
            <w:tcMar>
              <w:top w:w="113" w:type="dxa"/>
              <w:bottom w:w="85" w:type="dxa"/>
            </w:tcMar>
          </w:tcPr>
          <w:p w:rsidR="004C53FA" w:rsidRPr="00AF5E7C" w:rsidRDefault="004C53FA" w:rsidP="00C1753F">
            <w:pPr>
              <w:jc w:val="center"/>
              <w:rPr>
                <w:rFonts w:cs="Arial"/>
                <w:sz w:val="16"/>
                <w:szCs w:val="16"/>
                <w:lang w:bidi="th-TH"/>
              </w:rPr>
            </w:pPr>
            <w:r>
              <w:rPr>
                <w:rFonts w:cs="Arial"/>
                <w:sz w:val="16"/>
                <w:szCs w:val="16"/>
                <w:lang w:bidi="th-TH"/>
              </w:rPr>
              <w:t>Program 13</w:t>
            </w:r>
          </w:p>
        </w:tc>
        <w:tc>
          <w:tcPr>
            <w:tcW w:w="475" w:type="pct"/>
            <w:tcBorders>
              <w:top w:val="nil"/>
              <w:bottom w:val="nil"/>
              <w:right w:val="single" w:sz="4" w:space="0" w:color="auto"/>
            </w:tcBorders>
            <w:shd w:val="clear" w:color="auto" w:fill="FFFFFF"/>
          </w:tcPr>
          <w:p w:rsidR="004C53FA" w:rsidRDefault="004C53FA" w:rsidP="00C1753F">
            <w:pPr>
              <w:jc w:val="center"/>
            </w:pPr>
            <w:r w:rsidRPr="00365F93">
              <w:rPr>
                <w:rFonts w:cs="Arial"/>
                <w:color w:val="008000"/>
                <w:sz w:val="22"/>
                <w:szCs w:val="22"/>
              </w:rPr>
              <w:sym w:font="Wingdings" w:char="F06C"/>
            </w:r>
          </w:p>
        </w:tc>
      </w:tr>
      <w:tr w:rsidR="004C53FA" w:rsidRPr="00AF5E7C" w:rsidTr="00C1753F">
        <w:trPr>
          <w:cantSplit/>
          <w:trHeight w:val="389"/>
        </w:trPr>
        <w:tc>
          <w:tcPr>
            <w:tcW w:w="1482" w:type="pct"/>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tcBorders>
              <w:top w:val="nil"/>
              <w:bottom w:val="nil"/>
            </w:tcBorders>
            <w:shd w:val="clear" w:color="auto" w:fill="auto"/>
            <w:tcMar>
              <w:top w:w="113" w:type="dxa"/>
              <w:bottom w:w="85" w:type="dxa"/>
            </w:tcMar>
          </w:tcPr>
          <w:p w:rsidR="004C53FA" w:rsidRPr="007C1AA9" w:rsidRDefault="004C53FA" w:rsidP="00C1753F">
            <w:pPr>
              <w:rPr>
                <w:rFonts w:cs="Arial"/>
                <w:sz w:val="16"/>
                <w:szCs w:val="16"/>
              </w:rPr>
            </w:pPr>
            <w:r w:rsidRPr="00861788">
              <w:rPr>
                <w:rFonts w:cs="Arial"/>
                <w:sz w:val="16"/>
                <w:szCs w:val="16"/>
              </w:rPr>
              <w:t>N</w:t>
            </w:r>
            <w:r>
              <w:rPr>
                <w:rFonts w:cs="Arial"/>
                <w:sz w:val="16"/>
                <w:szCs w:val="16"/>
              </w:rPr>
              <w:t>o.</w:t>
            </w:r>
            <w:r w:rsidRPr="00861788">
              <w:rPr>
                <w:rFonts w:cs="Arial"/>
                <w:sz w:val="16"/>
                <w:szCs w:val="16"/>
              </w:rPr>
              <w:t xml:space="preserve"> of active registered users of ARDI and ASPI</w:t>
            </w:r>
          </w:p>
        </w:tc>
        <w:tc>
          <w:tcPr>
            <w:tcW w:w="880" w:type="pct"/>
            <w:tcBorders>
              <w:top w:val="nil"/>
              <w:bottom w:val="nil"/>
            </w:tcBorders>
            <w:shd w:val="clear" w:color="auto" w:fill="FFFFFF"/>
            <w:tcMar>
              <w:top w:w="113" w:type="dxa"/>
              <w:bottom w:w="85" w:type="dxa"/>
            </w:tcMar>
          </w:tcPr>
          <w:p w:rsidR="004C53FA" w:rsidRPr="00AF5E7C" w:rsidRDefault="004C53FA" w:rsidP="00C1753F">
            <w:pPr>
              <w:jc w:val="center"/>
              <w:rPr>
                <w:rFonts w:cs="Arial"/>
                <w:sz w:val="16"/>
                <w:szCs w:val="16"/>
                <w:lang w:bidi="th-TH"/>
              </w:rPr>
            </w:pPr>
            <w:r>
              <w:rPr>
                <w:rFonts w:cs="Arial"/>
                <w:sz w:val="16"/>
                <w:szCs w:val="16"/>
                <w:lang w:bidi="th-TH"/>
              </w:rPr>
              <w:t>Program 14</w:t>
            </w:r>
          </w:p>
        </w:tc>
        <w:tc>
          <w:tcPr>
            <w:tcW w:w="475" w:type="pct"/>
            <w:tcBorders>
              <w:top w:val="nil"/>
              <w:bottom w:val="nil"/>
              <w:right w:val="single" w:sz="4" w:space="0" w:color="auto"/>
            </w:tcBorders>
            <w:shd w:val="clear" w:color="auto" w:fill="FFFFFF"/>
          </w:tcPr>
          <w:p w:rsidR="004C53FA" w:rsidRDefault="004C53FA" w:rsidP="00C1753F">
            <w:pPr>
              <w:jc w:val="center"/>
            </w:pPr>
            <w:r w:rsidRPr="00365F93">
              <w:rPr>
                <w:rFonts w:cs="Arial"/>
                <w:color w:val="008000"/>
                <w:sz w:val="22"/>
                <w:szCs w:val="22"/>
              </w:rPr>
              <w:sym w:font="Wingdings" w:char="F06C"/>
            </w:r>
          </w:p>
        </w:tc>
      </w:tr>
      <w:tr w:rsidR="004C53FA" w:rsidRPr="00AF5E7C" w:rsidTr="00C1753F">
        <w:trPr>
          <w:cantSplit/>
          <w:trHeight w:val="985"/>
        </w:trPr>
        <w:tc>
          <w:tcPr>
            <w:tcW w:w="1482" w:type="pct"/>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tcBorders>
              <w:top w:val="nil"/>
              <w:bottom w:val="nil"/>
            </w:tcBorders>
            <w:shd w:val="clear" w:color="auto" w:fill="auto"/>
            <w:tcMar>
              <w:top w:w="113" w:type="dxa"/>
              <w:bottom w:w="85" w:type="dxa"/>
            </w:tcMar>
          </w:tcPr>
          <w:p w:rsidR="004C53FA" w:rsidRPr="00861788" w:rsidRDefault="004C53FA" w:rsidP="00C1753F">
            <w:pPr>
              <w:rPr>
                <w:rFonts w:cs="Arial"/>
                <w:sz w:val="16"/>
                <w:szCs w:val="16"/>
              </w:rPr>
            </w:pPr>
            <w:r w:rsidRPr="00861788">
              <w:rPr>
                <w:rFonts w:cs="Arial"/>
                <w:sz w:val="16"/>
                <w:szCs w:val="16"/>
              </w:rPr>
              <w:t>% of users satisfied with the provision of value added patent information services (WPIS, ICE, patent family and legal status enquiry service)</w:t>
            </w:r>
          </w:p>
        </w:tc>
        <w:tc>
          <w:tcPr>
            <w:tcW w:w="880" w:type="pct"/>
            <w:tcBorders>
              <w:top w:val="nil"/>
              <w:bottom w:val="nil"/>
            </w:tcBorders>
            <w:shd w:val="clear" w:color="auto" w:fill="FFFFFF"/>
            <w:tcMar>
              <w:top w:w="113" w:type="dxa"/>
              <w:bottom w:w="85" w:type="dxa"/>
            </w:tcMar>
          </w:tcPr>
          <w:p w:rsidR="004C53FA" w:rsidRPr="00AF5E7C" w:rsidRDefault="004C53FA" w:rsidP="00C1753F">
            <w:pPr>
              <w:jc w:val="center"/>
              <w:rPr>
                <w:rFonts w:cs="Arial"/>
                <w:sz w:val="16"/>
                <w:szCs w:val="16"/>
                <w:lang w:bidi="th-TH"/>
              </w:rPr>
            </w:pPr>
            <w:r>
              <w:rPr>
                <w:rFonts w:cs="Arial"/>
                <w:sz w:val="16"/>
                <w:szCs w:val="16"/>
                <w:lang w:bidi="th-TH"/>
              </w:rPr>
              <w:t>Program 14</w:t>
            </w:r>
          </w:p>
        </w:tc>
        <w:tc>
          <w:tcPr>
            <w:tcW w:w="475" w:type="pct"/>
            <w:tcBorders>
              <w:top w:val="nil"/>
              <w:bottom w:val="nil"/>
              <w:right w:val="single" w:sz="4" w:space="0" w:color="auto"/>
            </w:tcBorders>
            <w:shd w:val="clear" w:color="auto" w:fill="FFFFFF"/>
          </w:tcPr>
          <w:p w:rsidR="004C53FA" w:rsidRDefault="004C53FA" w:rsidP="00C1753F">
            <w:pPr>
              <w:jc w:val="center"/>
            </w:pPr>
            <w:r w:rsidRPr="001464F0">
              <w:rPr>
                <w:rFonts w:eastAsiaTheme="minorHAnsi" w:cs="Arial"/>
                <w:b/>
                <w:bCs/>
                <w:color w:val="0070C0"/>
                <w:sz w:val="22"/>
                <w:szCs w:val="22"/>
              </w:rPr>
              <w:sym w:font="Wingdings" w:char="F06C"/>
            </w:r>
          </w:p>
        </w:tc>
      </w:tr>
      <w:tr w:rsidR="004C53FA" w:rsidRPr="00AF5E7C" w:rsidTr="00C1753F">
        <w:trPr>
          <w:cantSplit/>
          <w:trHeight w:val="163"/>
        </w:trPr>
        <w:tc>
          <w:tcPr>
            <w:tcW w:w="1482" w:type="pct"/>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tcBorders>
              <w:top w:val="nil"/>
              <w:bottom w:val="nil"/>
            </w:tcBorders>
            <w:shd w:val="clear" w:color="auto" w:fill="auto"/>
            <w:tcMar>
              <w:top w:w="113" w:type="dxa"/>
              <w:bottom w:w="85" w:type="dxa"/>
            </w:tcMar>
          </w:tcPr>
          <w:p w:rsidR="004C53FA" w:rsidRPr="00861788" w:rsidRDefault="004C53FA" w:rsidP="00C1753F">
            <w:pPr>
              <w:rPr>
                <w:rFonts w:cs="Arial"/>
                <w:sz w:val="16"/>
                <w:szCs w:val="16"/>
              </w:rPr>
            </w:pPr>
            <w:r w:rsidRPr="00861788">
              <w:rPr>
                <w:rFonts w:cs="Arial"/>
                <w:sz w:val="16"/>
                <w:szCs w:val="16"/>
              </w:rPr>
              <w:t>% of users satisfied with PLRs</w:t>
            </w:r>
          </w:p>
        </w:tc>
        <w:tc>
          <w:tcPr>
            <w:tcW w:w="880" w:type="pct"/>
            <w:tcBorders>
              <w:top w:val="nil"/>
              <w:bottom w:val="nil"/>
            </w:tcBorders>
            <w:shd w:val="clear" w:color="auto" w:fill="FFFFFF"/>
            <w:tcMar>
              <w:top w:w="113" w:type="dxa"/>
              <w:bottom w:w="85" w:type="dxa"/>
            </w:tcMar>
          </w:tcPr>
          <w:p w:rsidR="004C53FA" w:rsidRPr="00AF5E7C" w:rsidRDefault="004C53FA" w:rsidP="00C1753F">
            <w:pPr>
              <w:jc w:val="center"/>
              <w:rPr>
                <w:rFonts w:cs="Arial"/>
                <w:sz w:val="16"/>
                <w:szCs w:val="16"/>
                <w:lang w:bidi="th-TH"/>
              </w:rPr>
            </w:pPr>
            <w:r>
              <w:rPr>
                <w:rFonts w:cs="Arial"/>
                <w:sz w:val="16"/>
                <w:szCs w:val="16"/>
                <w:lang w:bidi="th-TH"/>
              </w:rPr>
              <w:t>Program 14</w:t>
            </w:r>
          </w:p>
        </w:tc>
        <w:tc>
          <w:tcPr>
            <w:tcW w:w="475" w:type="pct"/>
            <w:tcBorders>
              <w:top w:val="nil"/>
              <w:bottom w:val="nil"/>
              <w:right w:val="single" w:sz="4" w:space="0" w:color="auto"/>
            </w:tcBorders>
            <w:shd w:val="clear" w:color="auto" w:fill="FFFFFF"/>
          </w:tcPr>
          <w:p w:rsidR="004C53FA" w:rsidRDefault="004C53FA" w:rsidP="00C1753F">
            <w:pPr>
              <w:jc w:val="center"/>
            </w:pPr>
            <w:r w:rsidRPr="001464F0">
              <w:rPr>
                <w:rFonts w:eastAsiaTheme="minorHAnsi" w:cs="Arial"/>
                <w:b/>
                <w:bCs/>
                <w:color w:val="0070C0"/>
                <w:sz w:val="22"/>
                <w:szCs w:val="22"/>
              </w:rPr>
              <w:sym w:font="Wingdings" w:char="F06C"/>
            </w:r>
          </w:p>
        </w:tc>
      </w:tr>
      <w:tr w:rsidR="004C53FA" w:rsidRPr="00AF5E7C" w:rsidTr="00C1753F">
        <w:trPr>
          <w:cantSplit/>
          <w:trHeight w:val="583"/>
        </w:trPr>
        <w:tc>
          <w:tcPr>
            <w:tcW w:w="1482" w:type="pct"/>
            <w:tcBorders>
              <w:top w:val="nil"/>
              <w:left w:val="single" w:sz="4" w:space="0" w:color="auto"/>
              <w:bottom w:val="single" w:sz="4" w:space="0" w:color="auto"/>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tcBorders>
              <w:top w:val="nil"/>
              <w:bottom w:val="single" w:sz="4" w:space="0" w:color="auto"/>
            </w:tcBorders>
            <w:shd w:val="clear" w:color="auto" w:fill="auto"/>
            <w:tcMar>
              <w:top w:w="113" w:type="dxa"/>
              <w:bottom w:w="85" w:type="dxa"/>
            </w:tcMar>
          </w:tcPr>
          <w:p w:rsidR="004C53FA" w:rsidRPr="00C43F3D" w:rsidRDefault="004C53FA" w:rsidP="00C1753F">
            <w:pPr>
              <w:rPr>
                <w:rFonts w:cs="Arial"/>
                <w:sz w:val="16"/>
                <w:szCs w:val="16"/>
              </w:rPr>
            </w:pPr>
            <w:r>
              <w:rPr>
                <w:rFonts w:cs="Arial"/>
                <w:sz w:val="16"/>
                <w:szCs w:val="16"/>
              </w:rPr>
              <w:t>No. of countries that verified data and included national essential medicines into WIPO Essential</w:t>
            </w:r>
          </w:p>
        </w:tc>
        <w:tc>
          <w:tcPr>
            <w:tcW w:w="880" w:type="pct"/>
            <w:tcBorders>
              <w:top w:val="nil"/>
              <w:bottom w:val="single" w:sz="4" w:space="0" w:color="auto"/>
            </w:tcBorders>
            <w:shd w:val="clear" w:color="auto" w:fill="FFFFFF"/>
            <w:tcMar>
              <w:top w:w="113" w:type="dxa"/>
              <w:bottom w:w="85" w:type="dxa"/>
            </w:tcMar>
          </w:tcPr>
          <w:p w:rsidR="004C53FA" w:rsidRDefault="004C53FA" w:rsidP="00C1753F">
            <w:pPr>
              <w:jc w:val="center"/>
              <w:rPr>
                <w:rFonts w:cs="Arial"/>
                <w:sz w:val="16"/>
                <w:szCs w:val="16"/>
                <w:lang w:bidi="th-TH"/>
              </w:rPr>
            </w:pPr>
            <w:r>
              <w:rPr>
                <w:rFonts w:cs="Arial"/>
                <w:sz w:val="16"/>
                <w:szCs w:val="16"/>
                <w:lang w:bidi="th-TH"/>
              </w:rPr>
              <w:t>Program 18</w:t>
            </w:r>
          </w:p>
        </w:tc>
        <w:tc>
          <w:tcPr>
            <w:tcW w:w="475" w:type="pct"/>
            <w:tcBorders>
              <w:top w:val="nil"/>
              <w:bottom w:val="single" w:sz="4" w:space="0" w:color="auto"/>
              <w:right w:val="single" w:sz="4" w:space="0" w:color="auto"/>
            </w:tcBorders>
            <w:shd w:val="clear" w:color="auto" w:fill="FFFFFF"/>
          </w:tcPr>
          <w:p w:rsidR="004C53FA" w:rsidRDefault="004C53FA" w:rsidP="00C1753F">
            <w:pPr>
              <w:jc w:val="center"/>
            </w:pPr>
            <w:r w:rsidRPr="00535B20">
              <w:rPr>
                <w:rFonts w:cs="Arial"/>
                <w:sz w:val="22"/>
                <w:szCs w:val="22"/>
              </w:rPr>
              <w:sym w:font="Wingdings" w:char="F06C"/>
            </w:r>
          </w:p>
        </w:tc>
      </w:tr>
      <w:tr w:rsidR="004C53FA" w:rsidRPr="00AF5E7C" w:rsidTr="00C1753F">
        <w:trPr>
          <w:cantSplit/>
          <w:trHeight w:val="583"/>
        </w:trPr>
        <w:tc>
          <w:tcPr>
            <w:tcW w:w="1482" w:type="pct"/>
            <w:tcBorders>
              <w:top w:val="single" w:sz="4" w:space="0" w:color="auto"/>
              <w:left w:val="single" w:sz="4" w:space="0" w:color="auto"/>
              <w:bottom w:val="nil"/>
            </w:tcBorders>
            <w:shd w:val="clear" w:color="auto" w:fill="auto"/>
            <w:tcMar>
              <w:top w:w="113" w:type="dxa"/>
              <w:bottom w:w="85" w:type="dxa"/>
            </w:tcMar>
          </w:tcPr>
          <w:p w:rsidR="004C53FA" w:rsidRPr="00AF5E7C" w:rsidRDefault="004C53FA" w:rsidP="003E2D93">
            <w:pPr>
              <w:keepNext/>
              <w:keepLines/>
              <w:rPr>
                <w:rFonts w:cs="Arial"/>
                <w:sz w:val="16"/>
                <w:szCs w:val="16"/>
              </w:rPr>
            </w:pPr>
          </w:p>
        </w:tc>
        <w:tc>
          <w:tcPr>
            <w:tcW w:w="2163" w:type="pct"/>
            <w:tcBorders>
              <w:top w:val="single" w:sz="4" w:space="0" w:color="auto"/>
              <w:bottom w:val="nil"/>
            </w:tcBorders>
            <w:shd w:val="clear" w:color="auto" w:fill="auto"/>
            <w:tcMar>
              <w:top w:w="113" w:type="dxa"/>
              <w:bottom w:w="85" w:type="dxa"/>
            </w:tcMar>
          </w:tcPr>
          <w:p w:rsidR="004C53FA" w:rsidRPr="007C1AA9" w:rsidRDefault="004C53FA" w:rsidP="003E2D93">
            <w:pPr>
              <w:keepNext/>
              <w:keepLines/>
              <w:rPr>
                <w:rFonts w:cs="Arial"/>
                <w:sz w:val="16"/>
                <w:szCs w:val="16"/>
              </w:rPr>
            </w:pPr>
            <w:r w:rsidRPr="00C43F3D">
              <w:rPr>
                <w:rFonts w:cs="Arial"/>
                <w:sz w:val="16"/>
                <w:szCs w:val="16"/>
              </w:rPr>
              <w:t>No. of users of WIPO's Global Databases: PATENTSCOPE and Global Brand Database</w:t>
            </w:r>
          </w:p>
        </w:tc>
        <w:tc>
          <w:tcPr>
            <w:tcW w:w="880" w:type="pct"/>
            <w:tcBorders>
              <w:top w:val="single" w:sz="4" w:space="0" w:color="auto"/>
              <w:bottom w:val="nil"/>
            </w:tcBorders>
            <w:shd w:val="clear" w:color="auto" w:fill="FFFFFF"/>
            <w:tcMar>
              <w:top w:w="113" w:type="dxa"/>
              <w:bottom w:w="85" w:type="dxa"/>
            </w:tcMar>
          </w:tcPr>
          <w:p w:rsidR="004C53FA" w:rsidRPr="00AF5E7C" w:rsidRDefault="004C53FA" w:rsidP="003E2D93">
            <w:pPr>
              <w:keepNext/>
              <w:keepLines/>
              <w:jc w:val="center"/>
              <w:rPr>
                <w:rFonts w:cs="Arial"/>
                <w:sz w:val="16"/>
                <w:szCs w:val="16"/>
                <w:lang w:bidi="th-TH"/>
              </w:rPr>
            </w:pPr>
            <w:r>
              <w:rPr>
                <w:rFonts w:cs="Arial"/>
                <w:sz w:val="16"/>
                <w:szCs w:val="16"/>
                <w:lang w:bidi="th-TH"/>
              </w:rPr>
              <w:t>Program 20</w:t>
            </w:r>
          </w:p>
        </w:tc>
        <w:tc>
          <w:tcPr>
            <w:tcW w:w="475" w:type="pct"/>
            <w:tcBorders>
              <w:top w:val="single" w:sz="4" w:space="0" w:color="auto"/>
              <w:bottom w:val="nil"/>
              <w:right w:val="single" w:sz="4" w:space="0" w:color="auto"/>
            </w:tcBorders>
            <w:shd w:val="clear" w:color="auto" w:fill="FFFFFF"/>
          </w:tcPr>
          <w:p w:rsidR="004C53FA" w:rsidRDefault="004C53FA" w:rsidP="003E2D93">
            <w:pPr>
              <w:keepNext/>
              <w:keepLines/>
              <w:jc w:val="center"/>
              <w:rPr>
                <w:rFonts w:cs="Arial"/>
                <w:color w:val="A6A6A6" w:themeColor="background1" w:themeShade="A6"/>
                <w:sz w:val="22"/>
                <w:szCs w:val="22"/>
              </w:rPr>
            </w:pPr>
            <w:r w:rsidRPr="00365F93">
              <w:rPr>
                <w:rFonts w:cs="Arial"/>
                <w:color w:val="008000"/>
                <w:sz w:val="22"/>
                <w:szCs w:val="22"/>
              </w:rPr>
              <w:sym w:font="Wingdings" w:char="F06C"/>
            </w:r>
            <w:r w:rsidRPr="00B47C14">
              <w:rPr>
                <w:rFonts w:cs="Arial"/>
                <w:color w:val="FF0000"/>
                <w:sz w:val="22"/>
                <w:szCs w:val="22"/>
              </w:rPr>
              <w:sym w:font="Wingdings" w:char="F06C"/>
            </w:r>
            <w:r w:rsidRPr="00365F93">
              <w:rPr>
                <w:rFonts w:cs="Arial"/>
                <w:color w:val="008000"/>
                <w:sz w:val="22"/>
                <w:szCs w:val="22"/>
              </w:rPr>
              <w:sym w:font="Wingdings" w:char="F06C"/>
            </w:r>
          </w:p>
          <w:p w:rsidR="004C53FA" w:rsidRDefault="004C53FA" w:rsidP="003E2D93">
            <w:pPr>
              <w:keepNext/>
              <w:keepLines/>
              <w:jc w:val="center"/>
            </w:pPr>
            <w:r w:rsidRPr="00365F93">
              <w:rPr>
                <w:rFonts w:cs="Arial"/>
                <w:color w:val="008000"/>
                <w:sz w:val="22"/>
                <w:szCs w:val="22"/>
              </w:rPr>
              <w:sym w:font="Wingdings" w:char="F06C"/>
            </w:r>
            <w:r w:rsidRPr="00365F93">
              <w:rPr>
                <w:rFonts w:cs="Arial"/>
                <w:color w:val="008000"/>
                <w:sz w:val="22"/>
                <w:szCs w:val="22"/>
              </w:rPr>
              <w:sym w:font="Wingdings" w:char="F06C"/>
            </w:r>
            <w:r w:rsidRPr="00365F93">
              <w:rPr>
                <w:rFonts w:cs="Arial"/>
                <w:color w:val="008000"/>
                <w:sz w:val="22"/>
                <w:szCs w:val="22"/>
              </w:rPr>
              <w:sym w:font="Wingdings" w:char="F06C"/>
            </w:r>
          </w:p>
        </w:tc>
      </w:tr>
      <w:tr w:rsidR="004C53FA" w:rsidRPr="00AF5E7C" w:rsidTr="00C1753F">
        <w:trPr>
          <w:cantSplit/>
          <w:trHeight w:val="310"/>
        </w:trPr>
        <w:tc>
          <w:tcPr>
            <w:tcW w:w="1482" w:type="pct"/>
            <w:vMerge w:val="restart"/>
            <w:tcBorders>
              <w:top w:val="nil"/>
              <w:left w:val="single" w:sz="4" w:space="0" w:color="auto"/>
              <w:bottom w:val="nil"/>
              <w:right w:val="nil"/>
            </w:tcBorders>
            <w:shd w:val="clear" w:color="auto" w:fill="auto"/>
            <w:tcMar>
              <w:top w:w="113" w:type="dxa"/>
              <w:bottom w:w="85" w:type="dxa"/>
            </w:tcMar>
          </w:tcPr>
          <w:p w:rsidR="004C53FA" w:rsidRPr="00AF5E7C" w:rsidRDefault="004C53FA" w:rsidP="003E2D93">
            <w:pPr>
              <w:keepNext/>
              <w:keepLines/>
              <w:rPr>
                <w:rFonts w:cs="Arial"/>
                <w:sz w:val="16"/>
                <w:szCs w:val="16"/>
              </w:rPr>
            </w:pPr>
          </w:p>
        </w:tc>
        <w:tc>
          <w:tcPr>
            <w:tcW w:w="2163" w:type="pct"/>
            <w:tcBorders>
              <w:top w:val="nil"/>
              <w:left w:val="nil"/>
              <w:bottom w:val="nil"/>
              <w:right w:val="nil"/>
            </w:tcBorders>
            <w:shd w:val="clear" w:color="auto" w:fill="auto"/>
            <w:tcMar>
              <w:top w:w="113" w:type="dxa"/>
              <w:bottom w:w="85" w:type="dxa"/>
            </w:tcMar>
          </w:tcPr>
          <w:p w:rsidR="004C53FA" w:rsidRDefault="004C53FA" w:rsidP="003E2D93">
            <w:pPr>
              <w:keepNext/>
              <w:keepLines/>
              <w:rPr>
                <w:rFonts w:cs="Arial"/>
                <w:sz w:val="16"/>
                <w:szCs w:val="16"/>
              </w:rPr>
            </w:pPr>
            <w:r>
              <w:rPr>
                <w:rFonts w:cs="Arial"/>
                <w:sz w:val="16"/>
                <w:szCs w:val="16"/>
              </w:rPr>
              <w:t>I</w:t>
            </w:r>
            <w:r w:rsidRPr="0092679D">
              <w:rPr>
                <w:rFonts w:cs="Arial"/>
                <w:sz w:val="16"/>
                <w:szCs w:val="16"/>
              </w:rPr>
              <w:t xml:space="preserve">ncrease in the </w:t>
            </w:r>
            <w:r>
              <w:rPr>
                <w:rFonts w:cs="Arial"/>
                <w:sz w:val="16"/>
                <w:szCs w:val="16"/>
              </w:rPr>
              <w:t>no.</w:t>
            </w:r>
            <w:r w:rsidRPr="0092679D">
              <w:rPr>
                <w:rFonts w:cs="Arial"/>
                <w:sz w:val="16"/>
                <w:szCs w:val="16"/>
              </w:rPr>
              <w:t xml:space="preserve"> of WIPO Lex users </w:t>
            </w:r>
          </w:p>
          <w:p w:rsidR="004C53FA" w:rsidRPr="007C1AA9" w:rsidRDefault="004C53FA" w:rsidP="003E2D93">
            <w:pPr>
              <w:keepNext/>
              <w:keepLines/>
              <w:rPr>
                <w:rFonts w:cs="Arial"/>
                <w:sz w:val="16"/>
                <w:szCs w:val="16"/>
              </w:rPr>
            </w:pPr>
          </w:p>
        </w:tc>
        <w:tc>
          <w:tcPr>
            <w:tcW w:w="880" w:type="pct"/>
            <w:tcBorders>
              <w:top w:val="nil"/>
              <w:left w:val="nil"/>
              <w:bottom w:val="nil"/>
              <w:right w:val="nil"/>
            </w:tcBorders>
            <w:shd w:val="clear" w:color="auto" w:fill="FFFFFF"/>
            <w:tcMar>
              <w:top w:w="113" w:type="dxa"/>
              <w:bottom w:w="85" w:type="dxa"/>
            </w:tcMar>
          </w:tcPr>
          <w:p w:rsidR="004C53FA" w:rsidRPr="00AF5E7C" w:rsidRDefault="004C53FA" w:rsidP="003E2D93">
            <w:pPr>
              <w:keepNext/>
              <w:keepLines/>
              <w:jc w:val="center"/>
              <w:rPr>
                <w:rFonts w:cs="Arial"/>
                <w:sz w:val="16"/>
                <w:szCs w:val="16"/>
                <w:lang w:bidi="th-TH"/>
              </w:rPr>
            </w:pPr>
            <w:r>
              <w:rPr>
                <w:rFonts w:cs="Arial"/>
                <w:sz w:val="16"/>
                <w:szCs w:val="16"/>
                <w:lang w:bidi="th-TH"/>
              </w:rPr>
              <w:t>Program 21</w:t>
            </w:r>
          </w:p>
        </w:tc>
        <w:tc>
          <w:tcPr>
            <w:tcW w:w="475" w:type="pct"/>
            <w:tcBorders>
              <w:top w:val="nil"/>
              <w:left w:val="nil"/>
              <w:bottom w:val="nil"/>
              <w:right w:val="single" w:sz="4" w:space="0" w:color="auto"/>
            </w:tcBorders>
            <w:shd w:val="clear" w:color="auto" w:fill="FFFFFF"/>
          </w:tcPr>
          <w:p w:rsidR="004C53FA" w:rsidRDefault="004C53FA" w:rsidP="003E2D93">
            <w:pPr>
              <w:keepNext/>
              <w:keepLines/>
              <w:jc w:val="center"/>
            </w:pPr>
            <w:r w:rsidRPr="00365F93">
              <w:rPr>
                <w:rFonts w:cs="Arial"/>
                <w:color w:val="008000"/>
                <w:sz w:val="22"/>
                <w:szCs w:val="22"/>
              </w:rPr>
              <w:sym w:font="Wingdings" w:char="F06C"/>
            </w:r>
          </w:p>
        </w:tc>
      </w:tr>
      <w:tr w:rsidR="004C53FA" w:rsidRPr="00AF5E7C" w:rsidTr="00C1753F">
        <w:trPr>
          <w:cantSplit/>
          <w:trHeight w:val="551"/>
        </w:trPr>
        <w:tc>
          <w:tcPr>
            <w:tcW w:w="1482" w:type="pct"/>
            <w:vMerge/>
            <w:tcBorders>
              <w:top w:val="nil"/>
              <w:left w:val="single" w:sz="4" w:space="0" w:color="auto"/>
              <w:bottom w:val="nil"/>
              <w:right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tcBorders>
              <w:top w:val="nil"/>
              <w:left w:val="nil"/>
              <w:bottom w:val="nil"/>
              <w:right w:val="nil"/>
            </w:tcBorders>
            <w:shd w:val="clear" w:color="auto" w:fill="auto"/>
            <w:tcMar>
              <w:top w:w="113" w:type="dxa"/>
              <w:bottom w:w="85" w:type="dxa"/>
            </w:tcMar>
          </w:tcPr>
          <w:p w:rsidR="004C53FA" w:rsidRDefault="004C53FA" w:rsidP="00C1753F">
            <w:pPr>
              <w:rPr>
                <w:rFonts w:cs="Arial"/>
                <w:sz w:val="16"/>
                <w:szCs w:val="16"/>
              </w:rPr>
            </w:pPr>
            <w:r>
              <w:rPr>
                <w:rFonts w:cs="Arial"/>
                <w:sz w:val="16"/>
                <w:szCs w:val="16"/>
              </w:rPr>
              <w:t>No. of sustainable TTOs established and/or strengthened in Universities or R&amp;D institutions</w:t>
            </w:r>
          </w:p>
          <w:p w:rsidR="004C53FA" w:rsidRDefault="004C53FA" w:rsidP="00C1753F">
            <w:pPr>
              <w:rPr>
                <w:rFonts w:cs="Arial"/>
                <w:sz w:val="16"/>
                <w:szCs w:val="16"/>
              </w:rPr>
            </w:pPr>
          </w:p>
        </w:tc>
        <w:tc>
          <w:tcPr>
            <w:tcW w:w="880" w:type="pct"/>
            <w:tcBorders>
              <w:top w:val="nil"/>
              <w:left w:val="nil"/>
              <w:bottom w:val="nil"/>
              <w:right w:val="nil"/>
            </w:tcBorders>
            <w:shd w:val="clear" w:color="auto" w:fill="FFFFFF"/>
            <w:tcMar>
              <w:top w:w="113" w:type="dxa"/>
              <w:bottom w:w="85" w:type="dxa"/>
            </w:tcMar>
          </w:tcPr>
          <w:p w:rsidR="004C53FA" w:rsidRDefault="004C53FA" w:rsidP="00C1753F">
            <w:pPr>
              <w:jc w:val="center"/>
              <w:rPr>
                <w:rFonts w:cs="Arial"/>
                <w:sz w:val="16"/>
                <w:szCs w:val="16"/>
                <w:lang w:bidi="th-TH"/>
              </w:rPr>
            </w:pPr>
            <w:r>
              <w:rPr>
                <w:rFonts w:cs="Arial"/>
                <w:sz w:val="16"/>
                <w:szCs w:val="16"/>
                <w:lang w:bidi="th-TH"/>
              </w:rPr>
              <w:t>Program 30</w:t>
            </w:r>
          </w:p>
          <w:p w:rsidR="004C53FA" w:rsidRDefault="004C53FA" w:rsidP="00C1753F">
            <w:pPr>
              <w:ind w:left="660"/>
              <w:jc w:val="center"/>
              <w:rPr>
                <w:rFonts w:cs="Arial"/>
                <w:sz w:val="16"/>
                <w:szCs w:val="16"/>
                <w:lang w:bidi="th-TH"/>
              </w:rPr>
            </w:pPr>
          </w:p>
        </w:tc>
        <w:tc>
          <w:tcPr>
            <w:tcW w:w="475" w:type="pct"/>
            <w:tcBorders>
              <w:top w:val="nil"/>
              <w:left w:val="nil"/>
              <w:bottom w:val="nil"/>
              <w:right w:val="single" w:sz="4" w:space="0" w:color="auto"/>
            </w:tcBorders>
            <w:shd w:val="clear" w:color="auto" w:fill="FFFFFF"/>
          </w:tcPr>
          <w:p w:rsidR="004C53FA" w:rsidRPr="00F718E6" w:rsidRDefault="004C53FA" w:rsidP="00C1753F">
            <w:pPr>
              <w:jc w:val="center"/>
              <w:rPr>
                <w:rFonts w:cs="Arial"/>
                <w:color w:val="A6A6A6" w:themeColor="background1" w:themeShade="A6"/>
                <w:sz w:val="22"/>
                <w:szCs w:val="22"/>
              </w:rPr>
            </w:pPr>
            <w:r w:rsidRPr="00B47C14">
              <w:rPr>
                <w:rFonts w:cs="Arial"/>
                <w:color w:val="FF0000"/>
                <w:sz w:val="22"/>
                <w:szCs w:val="22"/>
              </w:rPr>
              <w:sym w:font="Wingdings" w:char="F06C"/>
            </w:r>
          </w:p>
        </w:tc>
      </w:tr>
      <w:tr w:rsidR="004C53FA" w:rsidRPr="00AF5E7C" w:rsidTr="00C1753F">
        <w:trPr>
          <w:cantSplit/>
          <w:trHeight w:val="551"/>
        </w:trPr>
        <w:tc>
          <w:tcPr>
            <w:tcW w:w="1482" w:type="pct"/>
            <w:vMerge/>
            <w:tcBorders>
              <w:top w:val="nil"/>
              <w:left w:val="single" w:sz="4" w:space="0" w:color="auto"/>
              <w:bottom w:val="nil"/>
              <w:right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tcBorders>
              <w:top w:val="nil"/>
              <w:left w:val="nil"/>
              <w:bottom w:val="nil"/>
              <w:right w:val="nil"/>
            </w:tcBorders>
            <w:shd w:val="clear" w:color="auto" w:fill="auto"/>
            <w:tcMar>
              <w:top w:w="113" w:type="dxa"/>
              <w:bottom w:w="85" w:type="dxa"/>
            </w:tcMar>
          </w:tcPr>
          <w:p w:rsidR="004C53FA" w:rsidRDefault="004C53FA" w:rsidP="00C1753F">
            <w:pPr>
              <w:rPr>
                <w:rFonts w:cs="Arial"/>
                <w:sz w:val="16"/>
                <w:szCs w:val="16"/>
              </w:rPr>
            </w:pPr>
            <w:r>
              <w:rPr>
                <w:rFonts w:cs="Arial"/>
                <w:sz w:val="16"/>
                <w:szCs w:val="16"/>
              </w:rPr>
              <w:t>No. of universities and/or research institutions which have established IP policies</w:t>
            </w:r>
          </w:p>
          <w:p w:rsidR="004C53FA" w:rsidRDefault="004C53FA" w:rsidP="00C1753F">
            <w:pPr>
              <w:rPr>
                <w:rFonts w:cs="Arial"/>
                <w:sz w:val="16"/>
                <w:szCs w:val="16"/>
              </w:rPr>
            </w:pPr>
          </w:p>
        </w:tc>
        <w:tc>
          <w:tcPr>
            <w:tcW w:w="880" w:type="pct"/>
            <w:tcBorders>
              <w:top w:val="nil"/>
              <w:left w:val="nil"/>
              <w:bottom w:val="nil"/>
              <w:right w:val="nil"/>
            </w:tcBorders>
            <w:shd w:val="clear" w:color="auto" w:fill="FFFFFF"/>
            <w:tcMar>
              <w:top w:w="113" w:type="dxa"/>
              <w:bottom w:w="85" w:type="dxa"/>
            </w:tcMar>
          </w:tcPr>
          <w:p w:rsidR="004C53FA" w:rsidRDefault="004C53FA" w:rsidP="00C1753F">
            <w:pPr>
              <w:jc w:val="center"/>
              <w:rPr>
                <w:rFonts w:cs="Arial"/>
                <w:sz w:val="16"/>
                <w:szCs w:val="16"/>
                <w:lang w:bidi="th-TH"/>
              </w:rPr>
            </w:pPr>
            <w:r>
              <w:rPr>
                <w:rFonts w:cs="Arial"/>
                <w:sz w:val="16"/>
                <w:szCs w:val="16"/>
                <w:lang w:bidi="th-TH"/>
              </w:rPr>
              <w:t>Program 30</w:t>
            </w:r>
          </w:p>
        </w:tc>
        <w:tc>
          <w:tcPr>
            <w:tcW w:w="475" w:type="pct"/>
            <w:tcBorders>
              <w:top w:val="nil"/>
              <w:left w:val="nil"/>
              <w:bottom w:val="nil"/>
              <w:right w:val="single" w:sz="4" w:space="0" w:color="auto"/>
            </w:tcBorders>
            <w:shd w:val="clear" w:color="auto" w:fill="FFFFFF"/>
          </w:tcPr>
          <w:p w:rsidR="004C53FA" w:rsidRPr="00F718E6" w:rsidRDefault="004C53FA" w:rsidP="00C1753F">
            <w:pPr>
              <w:jc w:val="center"/>
              <w:rPr>
                <w:rFonts w:cs="Arial"/>
                <w:color w:val="A6A6A6" w:themeColor="background1" w:themeShade="A6"/>
                <w:sz w:val="22"/>
                <w:szCs w:val="22"/>
              </w:rPr>
            </w:pPr>
            <w:r w:rsidRPr="00365F93">
              <w:rPr>
                <w:rFonts w:cs="Arial"/>
                <w:color w:val="008000"/>
                <w:sz w:val="22"/>
                <w:szCs w:val="22"/>
              </w:rPr>
              <w:sym w:font="Wingdings" w:char="F06C"/>
            </w:r>
          </w:p>
        </w:tc>
      </w:tr>
      <w:tr w:rsidR="004C53FA" w:rsidRPr="00AF5E7C" w:rsidTr="00C1753F">
        <w:trPr>
          <w:cantSplit/>
          <w:trHeight w:val="464"/>
        </w:trPr>
        <w:tc>
          <w:tcPr>
            <w:tcW w:w="1482" w:type="pct"/>
            <w:vMerge w:val="restart"/>
            <w:tcBorders>
              <w:top w:val="nil"/>
              <w:left w:val="single" w:sz="4" w:space="0" w:color="auto"/>
              <w:bottom w:val="nil"/>
            </w:tcBorders>
            <w:shd w:val="clear" w:color="auto" w:fill="auto"/>
            <w:tcMar>
              <w:top w:w="113" w:type="dxa"/>
              <w:bottom w:w="85" w:type="dxa"/>
            </w:tcMar>
          </w:tcPr>
          <w:p w:rsidR="004C53FA" w:rsidRPr="003E1C54" w:rsidRDefault="004C53FA" w:rsidP="00C1753F">
            <w:pPr>
              <w:rPr>
                <w:rFonts w:cs="Arial"/>
                <w:sz w:val="16"/>
                <w:szCs w:val="16"/>
              </w:rPr>
            </w:pPr>
            <w:r w:rsidRPr="003E1C54">
              <w:rPr>
                <w:rFonts w:cs="Arial"/>
                <w:sz w:val="16"/>
                <w:szCs w:val="16"/>
              </w:rPr>
              <w:t>IV.</w:t>
            </w:r>
            <w:r w:rsidRPr="00BD3063">
              <w:rPr>
                <w:rFonts w:cs="Arial"/>
                <w:sz w:val="16"/>
                <w:szCs w:val="16"/>
              </w:rPr>
              <w:t xml:space="preserve">3 </w:t>
            </w:r>
            <w:r>
              <w:rPr>
                <w:rFonts w:cs="Arial"/>
                <w:sz w:val="16"/>
                <w:szCs w:val="16"/>
              </w:rPr>
              <w:t xml:space="preserve"> </w:t>
            </w:r>
            <w:r w:rsidRPr="00BD3063">
              <w:rPr>
                <w:rFonts w:cs="Arial"/>
                <w:sz w:val="16"/>
                <w:szCs w:val="16"/>
              </w:rPr>
              <w:t>Broad geographical coverage of the content and use of WIPO Global IP Databases</w:t>
            </w:r>
          </w:p>
        </w:tc>
        <w:tc>
          <w:tcPr>
            <w:tcW w:w="2163" w:type="pct"/>
            <w:tcBorders>
              <w:top w:val="nil"/>
              <w:bottom w:val="nil"/>
            </w:tcBorders>
            <w:shd w:val="clear" w:color="auto" w:fill="auto"/>
            <w:tcMar>
              <w:top w:w="113" w:type="dxa"/>
              <w:bottom w:w="85" w:type="dxa"/>
            </w:tcMar>
          </w:tcPr>
          <w:p w:rsidR="004C53FA" w:rsidRPr="003E1C54" w:rsidRDefault="004C53FA" w:rsidP="00C1753F">
            <w:pPr>
              <w:rPr>
                <w:rFonts w:cs="Arial"/>
                <w:sz w:val="16"/>
                <w:szCs w:val="16"/>
              </w:rPr>
            </w:pPr>
            <w:r w:rsidRPr="003E1C54">
              <w:rPr>
                <w:rFonts w:cs="Arial"/>
                <w:sz w:val="16"/>
                <w:szCs w:val="16"/>
              </w:rPr>
              <w:t>No</w:t>
            </w:r>
            <w:r>
              <w:rPr>
                <w:rFonts w:cs="Arial"/>
                <w:sz w:val="16"/>
                <w:szCs w:val="16"/>
              </w:rPr>
              <w:t>.</w:t>
            </w:r>
            <w:r w:rsidRPr="003E1C54">
              <w:rPr>
                <w:rFonts w:cs="Arial"/>
                <w:sz w:val="16"/>
                <w:szCs w:val="16"/>
              </w:rPr>
              <w:t xml:space="preserve"> of records contained in PATENTSCOPE </w:t>
            </w:r>
          </w:p>
        </w:tc>
        <w:tc>
          <w:tcPr>
            <w:tcW w:w="880" w:type="pct"/>
            <w:tcBorders>
              <w:top w:val="nil"/>
              <w:bottom w:val="nil"/>
            </w:tcBorders>
            <w:shd w:val="clear" w:color="auto" w:fill="FFFFFF"/>
            <w:tcMar>
              <w:top w:w="113" w:type="dxa"/>
              <w:bottom w:w="85" w:type="dxa"/>
            </w:tcMar>
          </w:tcPr>
          <w:p w:rsidR="004C53FA" w:rsidRPr="00AF5E7C" w:rsidRDefault="004C53FA" w:rsidP="00C1753F">
            <w:pPr>
              <w:jc w:val="center"/>
              <w:rPr>
                <w:rFonts w:cs="Arial"/>
                <w:sz w:val="16"/>
                <w:szCs w:val="16"/>
                <w:lang w:bidi="th-TH"/>
              </w:rPr>
            </w:pPr>
            <w:r>
              <w:rPr>
                <w:rFonts w:cs="Arial"/>
                <w:sz w:val="16"/>
                <w:szCs w:val="16"/>
                <w:lang w:bidi="th-TH"/>
              </w:rPr>
              <w:t>Program 13</w:t>
            </w:r>
          </w:p>
        </w:tc>
        <w:tc>
          <w:tcPr>
            <w:tcW w:w="475" w:type="pct"/>
            <w:tcBorders>
              <w:top w:val="nil"/>
              <w:bottom w:val="nil"/>
              <w:right w:val="single" w:sz="4" w:space="0" w:color="auto"/>
            </w:tcBorders>
            <w:shd w:val="clear" w:color="auto" w:fill="FFFFFF"/>
          </w:tcPr>
          <w:p w:rsidR="004C53FA" w:rsidRDefault="004C53FA" w:rsidP="00C1753F">
            <w:pPr>
              <w:jc w:val="center"/>
            </w:pPr>
            <w:r w:rsidRPr="00365F93">
              <w:rPr>
                <w:rFonts w:cs="Arial"/>
                <w:color w:val="008000"/>
                <w:sz w:val="22"/>
                <w:szCs w:val="22"/>
              </w:rPr>
              <w:sym w:font="Wingdings" w:char="F06C"/>
            </w:r>
          </w:p>
        </w:tc>
      </w:tr>
      <w:tr w:rsidR="004C53FA" w:rsidRPr="00AF5E7C" w:rsidTr="00C1753F">
        <w:trPr>
          <w:cantSplit/>
          <w:trHeight w:val="463"/>
        </w:trPr>
        <w:tc>
          <w:tcPr>
            <w:tcW w:w="1482" w:type="pct"/>
            <w:vMerge/>
            <w:tcBorders>
              <w:top w:val="nil"/>
              <w:left w:val="single" w:sz="4" w:space="0" w:color="auto"/>
              <w:bottom w:val="nil"/>
            </w:tcBorders>
            <w:shd w:val="clear" w:color="auto" w:fill="auto"/>
            <w:tcMar>
              <w:top w:w="113" w:type="dxa"/>
              <w:bottom w:w="85" w:type="dxa"/>
            </w:tcMar>
          </w:tcPr>
          <w:p w:rsidR="004C53FA" w:rsidRPr="003E1C54" w:rsidRDefault="004C53FA" w:rsidP="00C1753F">
            <w:pPr>
              <w:rPr>
                <w:rFonts w:cs="Arial"/>
                <w:sz w:val="16"/>
                <w:szCs w:val="16"/>
              </w:rPr>
            </w:pPr>
          </w:p>
        </w:tc>
        <w:tc>
          <w:tcPr>
            <w:tcW w:w="2163" w:type="pct"/>
            <w:tcBorders>
              <w:top w:val="nil"/>
              <w:bottom w:val="nil"/>
            </w:tcBorders>
            <w:shd w:val="clear" w:color="auto" w:fill="auto"/>
            <w:tcMar>
              <w:top w:w="113" w:type="dxa"/>
              <w:bottom w:w="85" w:type="dxa"/>
            </w:tcMar>
          </w:tcPr>
          <w:p w:rsidR="004C53FA" w:rsidRPr="003E1C54" w:rsidRDefault="004C53FA" w:rsidP="00C1753F">
            <w:pPr>
              <w:rPr>
                <w:rFonts w:cs="Arial"/>
                <w:sz w:val="16"/>
                <w:szCs w:val="16"/>
              </w:rPr>
            </w:pPr>
            <w:r w:rsidRPr="003E1C54">
              <w:rPr>
                <w:rFonts w:cs="Arial"/>
                <w:sz w:val="16"/>
                <w:szCs w:val="16"/>
              </w:rPr>
              <w:t>No. of records contained in Global Brand Databases</w:t>
            </w:r>
          </w:p>
        </w:tc>
        <w:tc>
          <w:tcPr>
            <w:tcW w:w="880" w:type="pct"/>
            <w:tcBorders>
              <w:top w:val="nil"/>
              <w:bottom w:val="nil"/>
            </w:tcBorders>
            <w:shd w:val="clear" w:color="auto" w:fill="FFFFFF"/>
            <w:tcMar>
              <w:top w:w="113" w:type="dxa"/>
              <w:bottom w:w="85" w:type="dxa"/>
            </w:tcMar>
          </w:tcPr>
          <w:p w:rsidR="004C53FA" w:rsidRDefault="004C53FA" w:rsidP="00C1753F">
            <w:pPr>
              <w:jc w:val="center"/>
              <w:rPr>
                <w:rFonts w:cs="Arial"/>
                <w:sz w:val="16"/>
                <w:szCs w:val="16"/>
                <w:lang w:bidi="th-TH"/>
              </w:rPr>
            </w:pPr>
            <w:r>
              <w:rPr>
                <w:rFonts w:cs="Arial"/>
                <w:sz w:val="16"/>
                <w:szCs w:val="16"/>
                <w:lang w:bidi="th-TH"/>
              </w:rPr>
              <w:t>Program 13</w:t>
            </w:r>
          </w:p>
        </w:tc>
        <w:tc>
          <w:tcPr>
            <w:tcW w:w="475" w:type="pct"/>
            <w:tcBorders>
              <w:top w:val="nil"/>
              <w:bottom w:val="nil"/>
              <w:right w:val="single" w:sz="4" w:space="0" w:color="auto"/>
            </w:tcBorders>
            <w:shd w:val="clear" w:color="auto" w:fill="FFFFFF"/>
          </w:tcPr>
          <w:p w:rsidR="004C53FA" w:rsidRPr="00F718E6" w:rsidRDefault="004C53FA" w:rsidP="00C1753F">
            <w:pPr>
              <w:jc w:val="center"/>
              <w:rPr>
                <w:rFonts w:cs="Arial"/>
                <w:color w:val="A6A6A6" w:themeColor="background1" w:themeShade="A6"/>
                <w:sz w:val="22"/>
                <w:szCs w:val="22"/>
              </w:rPr>
            </w:pPr>
            <w:r w:rsidRPr="00365F93">
              <w:rPr>
                <w:rFonts w:cs="Arial"/>
                <w:color w:val="008000"/>
                <w:sz w:val="22"/>
                <w:szCs w:val="22"/>
              </w:rPr>
              <w:sym w:font="Wingdings" w:char="F06C"/>
            </w:r>
          </w:p>
        </w:tc>
      </w:tr>
      <w:tr w:rsidR="004C53FA" w:rsidRPr="00AF5E7C" w:rsidTr="00C1753F">
        <w:trPr>
          <w:cantSplit/>
          <w:trHeight w:val="370"/>
        </w:trPr>
        <w:tc>
          <w:tcPr>
            <w:tcW w:w="1482" w:type="pct"/>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tcBorders>
              <w:top w:val="nil"/>
              <w:bottom w:val="nil"/>
            </w:tcBorders>
            <w:shd w:val="clear" w:color="auto" w:fill="auto"/>
            <w:tcMar>
              <w:top w:w="113" w:type="dxa"/>
              <w:bottom w:w="85" w:type="dxa"/>
            </w:tcMar>
          </w:tcPr>
          <w:p w:rsidR="004C53FA" w:rsidRPr="003E1C54" w:rsidRDefault="004C53FA" w:rsidP="00C1753F">
            <w:pPr>
              <w:rPr>
                <w:rFonts w:cs="Arial"/>
                <w:sz w:val="16"/>
                <w:szCs w:val="16"/>
              </w:rPr>
            </w:pPr>
            <w:r w:rsidRPr="003E1C54">
              <w:rPr>
                <w:rFonts w:cs="Arial"/>
                <w:sz w:val="16"/>
                <w:szCs w:val="16"/>
              </w:rPr>
              <w:t>No. of national collections in PATENTSCOPE</w:t>
            </w:r>
          </w:p>
        </w:tc>
        <w:tc>
          <w:tcPr>
            <w:tcW w:w="880" w:type="pct"/>
            <w:tcBorders>
              <w:top w:val="nil"/>
              <w:bottom w:val="nil"/>
            </w:tcBorders>
            <w:shd w:val="clear" w:color="auto" w:fill="FFFFFF"/>
            <w:tcMar>
              <w:top w:w="113" w:type="dxa"/>
              <w:bottom w:w="85" w:type="dxa"/>
            </w:tcMar>
          </w:tcPr>
          <w:p w:rsidR="004C53FA" w:rsidRPr="00AF5E7C" w:rsidRDefault="004C53FA" w:rsidP="00C1753F">
            <w:pPr>
              <w:jc w:val="center"/>
              <w:rPr>
                <w:rFonts w:cs="Arial"/>
                <w:sz w:val="16"/>
                <w:szCs w:val="16"/>
                <w:lang w:bidi="th-TH"/>
              </w:rPr>
            </w:pPr>
            <w:r>
              <w:rPr>
                <w:rFonts w:cs="Arial"/>
                <w:sz w:val="16"/>
                <w:szCs w:val="16"/>
                <w:lang w:bidi="th-TH"/>
              </w:rPr>
              <w:t>Program 13</w:t>
            </w:r>
          </w:p>
        </w:tc>
        <w:tc>
          <w:tcPr>
            <w:tcW w:w="475" w:type="pct"/>
            <w:tcBorders>
              <w:top w:val="nil"/>
              <w:bottom w:val="nil"/>
              <w:right w:val="single" w:sz="4" w:space="0" w:color="auto"/>
            </w:tcBorders>
            <w:shd w:val="clear" w:color="auto" w:fill="FFFFFF"/>
          </w:tcPr>
          <w:p w:rsidR="004C53FA" w:rsidRDefault="004C53FA" w:rsidP="00C1753F">
            <w:pPr>
              <w:jc w:val="center"/>
            </w:pPr>
            <w:r w:rsidRPr="00365F93">
              <w:rPr>
                <w:rFonts w:cs="Arial"/>
                <w:color w:val="008000"/>
                <w:sz w:val="22"/>
                <w:szCs w:val="22"/>
              </w:rPr>
              <w:sym w:font="Wingdings" w:char="F06C"/>
            </w:r>
          </w:p>
        </w:tc>
      </w:tr>
      <w:tr w:rsidR="004C53FA" w:rsidRPr="00AF5E7C" w:rsidTr="00C1753F">
        <w:trPr>
          <w:cantSplit/>
          <w:trHeight w:val="445"/>
        </w:trPr>
        <w:tc>
          <w:tcPr>
            <w:tcW w:w="1482" w:type="pct"/>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tcBorders>
              <w:top w:val="nil"/>
              <w:bottom w:val="nil"/>
            </w:tcBorders>
            <w:shd w:val="clear" w:color="auto" w:fill="auto"/>
            <w:tcMar>
              <w:top w:w="113" w:type="dxa"/>
              <w:bottom w:w="85" w:type="dxa"/>
            </w:tcMar>
          </w:tcPr>
          <w:p w:rsidR="004C53FA" w:rsidRPr="003E1C54" w:rsidRDefault="004C53FA" w:rsidP="00C1753F">
            <w:pPr>
              <w:rPr>
                <w:rFonts w:cs="Arial"/>
                <w:sz w:val="16"/>
                <w:szCs w:val="16"/>
              </w:rPr>
            </w:pPr>
            <w:r w:rsidRPr="003E1C54">
              <w:rPr>
                <w:rFonts w:cs="Arial"/>
                <w:sz w:val="16"/>
                <w:szCs w:val="16"/>
              </w:rPr>
              <w:t>No. of national collections in Global Brand Database</w:t>
            </w:r>
          </w:p>
        </w:tc>
        <w:tc>
          <w:tcPr>
            <w:tcW w:w="880" w:type="pct"/>
            <w:tcBorders>
              <w:top w:val="nil"/>
              <w:bottom w:val="nil"/>
            </w:tcBorders>
            <w:shd w:val="clear" w:color="auto" w:fill="FFFFFF"/>
            <w:tcMar>
              <w:top w:w="113" w:type="dxa"/>
              <w:bottom w:w="85" w:type="dxa"/>
            </w:tcMar>
          </w:tcPr>
          <w:p w:rsidR="004C53FA" w:rsidRPr="00AF5E7C" w:rsidRDefault="004C53FA" w:rsidP="00C1753F">
            <w:pPr>
              <w:jc w:val="center"/>
              <w:rPr>
                <w:rFonts w:cs="Arial"/>
                <w:sz w:val="16"/>
                <w:szCs w:val="16"/>
                <w:lang w:bidi="th-TH"/>
              </w:rPr>
            </w:pPr>
            <w:r>
              <w:rPr>
                <w:rFonts w:cs="Arial"/>
                <w:sz w:val="16"/>
                <w:szCs w:val="16"/>
                <w:lang w:bidi="th-TH"/>
              </w:rPr>
              <w:t>Program 13</w:t>
            </w:r>
          </w:p>
        </w:tc>
        <w:tc>
          <w:tcPr>
            <w:tcW w:w="475" w:type="pct"/>
            <w:tcBorders>
              <w:top w:val="nil"/>
              <w:bottom w:val="nil"/>
              <w:right w:val="single" w:sz="4" w:space="0" w:color="auto"/>
            </w:tcBorders>
            <w:shd w:val="clear" w:color="auto" w:fill="FFFFFF"/>
          </w:tcPr>
          <w:p w:rsidR="004C53FA" w:rsidRDefault="004C53FA" w:rsidP="00C1753F">
            <w:pPr>
              <w:jc w:val="center"/>
            </w:pPr>
            <w:r w:rsidRPr="00365F93">
              <w:rPr>
                <w:rFonts w:cs="Arial"/>
                <w:color w:val="008000"/>
                <w:sz w:val="22"/>
                <w:szCs w:val="22"/>
              </w:rPr>
              <w:sym w:font="Wingdings" w:char="F06C"/>
            </w:r>
          </w:p>
        </w:tc>
      </w:tr>
      <w:tr w:rsidR="004C53FA" w:rsidRPr="00AF5E7C" w:rsidTr="00C1753F">
        <w:trPr>
          <w:cantSplit/>
          <w:trHeight w:val="432"/>
        </w:trPr>
        <w:tc>
          <w:tcPr>
            <w:tcW w:w="1482" w:type="pct"/>
            <w:vMerge w:val="restart"/>
            <w:tcBorders>
              <w:top w:val="nil"/>
              <w:left w:val="single" w:sz="4" w:space="0" w:color="auto"/>
              <w:bottom w:val="nil"/>
              <w:right w:val="nil"/>
            </w:tcBorders>
            <w:shd w:val="clear" w:color="auto" w:fill="auto"/>
            <w:tcMar>
              <w:top w:w="113" w:type="dxa"/>
              <w:bottom w:w="85" w:type="dxa"/>
            </w:tcMar>
          </w:tcPr>
          <w:p w:rsidR="004C53FA" w:rsidRPr="00B004F2" w:rsidRDefault="004C53FA" w:rsidP="00C1753F">
            <w:pPr>
              <w:rPr>
                <w:rFonts w:cs="Arial"/>
                <w:sz w:val="16"/>
                <w:szCs w:val="16"/>
              </w:rPr>
            </w:pPr>
            <w:r w:rsidRPr="00B004F2">
              <w:rPr>
                <w:rFonts w:cs="Arial"/>
                <w:sz w:val="16"/>
                <w:szCs w:val="16"/>
              </w:rPr>
              <w:t>IV.4</w:t>
            </w:r>
            <w:r>
              <w:rPr>
                <w:rFonts w:cs="Arial"/>
                <w:sz w:val="16"/>
                <w:szCs w:val="16"/>
              </w:rPr>
              <w:t xml:space="preserve">  </w:t>
            </w:r>
            <w:r w:rsidRPr="00B004F2">
              <w:rPr>
                <w:rFonts w:cs="Arial"/>
                <w:sz w:val="16"/>
                <w:szCs w:val="16"/>
              </w:rPr>
              <w:t>Enhanced technical and knowledge infrastructure for IP Offices and other IP institutions leading to better services (cheaper, faster, higher quality) to their stakeholders</w:t>
            </w:r>
          </w:p>
        </w:tc>
        <w:tc>
          <w:tcPr>
            <w:tcW w:w="2163" w:type="pct"/>
            <w:tcBorders>
              <w:top w:val="nil"/>
              <w:left w:val="nil"/>
              <w:bottom w:val="nil"/>
              <w:right w:val="nil"/>
            </w:tcBorders>
            <w:shd w:val="clear" w:color="auto" w:fill="auto"/>
            <w:tcMar>
              <w:top w:w="113" w:type="dxa"/>
              <w:bottom w:w="85" w:type="dxa"/>
            </w:tcMar>
          </w:tcPr>
          <w:p w:rsidR="004C53FA" w:rsidRPr="00B004F2" w:rsidRDefault="004C53FA" w:rsidP="00C1753F">
            <w:pPr>
              <w:rPr>
                <w:rFonts w:cs="Arial"/>
                <w:sz w:val="16"/>
                <w:szCs w:val="16"/>
              </w:rPr>
            </w:pPr>
            <w:r w:rsidRPr="00B004F2">
              <w:rPr>
                <w:rFonts w:cs="Arial"/>
                <w:sz w:val="16"/>
                <w:szCs w:val="16"/>
              </w:rPr>
              <w:t>N</w:t>
            </w:r>
            <w:r>
              <w:rPr>
                <w:rFonts w:cs="Arial"/>
                <w:sz w:val="16"/>
                <w:szCs w:val="16"/>
              </w:rPr>
              <w:t>o.</w:t>
            </w:r>
            <w:r w:rsidRPr="00B004F2">
              <w:rPr>
                <w:rFonts w:cs="Arial"/>
                <w:sz w:val="16"/>
                <w:szCs w:val="16"/>
              </w:rPr>
              <w:t xml:space="preserve"> of governments and CMOs signing an agreement with WIPO to re-engineer WIPOCOS</w:t>
            </w:r>
          </w:p>
        </w:tc>
        <w:tc>
          <w:tcPr>
            <w:tcW w:w="880" w:type="pct"/>
            <w:tcBorders>
              <w:top w:val="nil"/>
              <w:left w:val="nil"/>
              <w:bottom w:val="nil"/>
              <w:right w:val="nil"/>
            </w:tcBorders>
            <w:shd w:val="clear" w:color="auto" w:fill="FFFFFF"/>
            <w:tcMar>
              <w:top w:w="113" w:type="dxa"/>
              <w:bottom w:w="85" w:type="dxa"/>
            </w:tcMar>
          </w:tcPr>
          <w:p w:rsidR="004C53FA" w:rsidRPr="00AF5E7C" w:rsidRDefault="004C53FA" w:rsidP="00C1753F">
            <w:pPr>
              <w:jc w:val="center"/>
              <w:rPr>
                <w:rFonts w:cs="Arial"/>
                <w:sz w:val="16"/>
                <w:szCs w:val="16"/>
                <w:lang w:bidi="th-TH"/>
              </w:rPr>
            </w:pPr>
            <w:r>
              <w:rPr>
                <w:rFonts w:cs="Arial"/>
                <w:sz w:val="16"/>
                <w:szCs w:val="16"/>
                <w:lang w:bidi="th-TH"/>
              </w:rPr>
              <w:t>Program 3</w:t>
            </w:r>
          </w:p>
        </w:tc>
        <w:tc>
          <w:tcPr>
            <w:tcW w:w="475" w:type="pct"/>
            <w:tcBorders>
              <w:top w:val="nil"/>
              <w:left w:val="nil"/>
              <w:bottom w:val="nil"/>
              <w:right w:val="single" w:sz="4" w:space="0" w:color="auto"/>
            </w:tcBorders>
            <w:shd w:val="clear" w:color="auto" w:fill="FFFFFF"/>
          </w:tcPr>
          <w:p w:rsidR="004C53FA" w:rsidRPr="00167066" w:rsidRDefault="004C53FA" w:rsidP="00C1753F">
            <w:pPr>
              <w:spacing w:before="40"/>
              <w:jc w:val="center"/>
              <w:rPr>
                <w:b/>
              </w:rPr>
            </w:pPr>
            <w:r w:rsidRPr="00167066">
              <w:rPr>
                <w:rFonts w:cs="Arial"/>
                <w:b/>
                <w:color w:val="008000"/>
                <w:sz w:val="22"/>
                <w:szCs w:val="22"/>
              </w:rPr>
              <w:sym w:font="Wingdings" w:char="F06C"/>
            </w:r>
          </w:p>
        </w:tc>
      </w:tr>
      <w:tr w:rsidR="004C53FA" w:rsidRPr="00AF5E7C" w:rsidTr="00C1753F">
        <w:trPr>
          <w:cantSplit/>
          <w:trHeight w:val="382"/>
        </w:trPr>
        <w:tc>
          <w:tcPr>
            <w:tcW w:w="1482" w:type="pct"/>
            <w:vMerge/>
            <w:tcBorders>
              <w:top w:val="nil"/>
              <w:left w:val="single" w:sz="4" w:space="0" w:color="auto"/>
              <w:bottom w:val="nil"/>
              <w:right w:val="nil"/>
            </w:tcBorders>
            <w:shd w:val="clear" w:color="auto" w:fill="auto"/>
            <w:tcMar>
              <w:top w:w="113" w:type="dxa"/>
              <w:bottom w:w="85" w:type="dxa"/>
            </w:tcMar>
          </w:tcPr>
          <w:p w:rsidR="004C53FA" w:rsidRPr="00B004F2" w:rsidRDefault="004C53FA" w:rsidP="00C1753F">
            <w:pPr>
              <w:rPr>
                <w:rFonts w:cs="Arial"/>
                <w:sz w:val="16"/>
                <w:szCs w:val="16"/>
              </w:rPr>
            </w:pPr>
          </w:p>
        </w:tc>
        <w:tc>
          <w:tcPr>
            <w:tcW w:w="2163" w:type="pct"/>
            <w:vMerge w:val="restart"/>
            <w:tcBorders>
              <w:top w:val="nil"/>
              <w:left w:val="nil"/>
              <w:bottom w:val="nil"/>
              <w:right w:val="nil"/>
            </w:tcBorders>
            <w:shd w:val="clear" w:color="auto" w:fill="auto"/>
            <w:tcMar>
              <w:top w:w="113" w:type="dxa"/>
              <w:bottom w:w="85" w:type="dxa"/>
            </w:tcMar>
          </w:tcPr>
          <w:p w:rsidR="004C53FA" w:rsidRPr="00B004F2" w:rsidRDefault="004C53FA" w:rsidP="00C1753F">
            <w:pPr>
              <w:rPr>
                <w:rFonts w:cs="Arial"/>
                <w:sz w:val="16"/>
                <w:szCs w:val="16"/>
              </w:rPr>
            </w:pPr>
            <w:r w:rsidRPr="005362F0">
              <w:rPr>
                <w:rFonts w:cs="Arial"/>
                <w:sz w:val="16"/>
                <w:szCs w:val="16"/>
              </w:rPr>
              <w:t>N</w:t>
            </w:r>
            <w:r>
              <w:rPr>
                <w:rFonts w:cs="Arial"/>
                <w:sz w:val="16"/>
                <w:szCs w:val="16"/>
              </w:rPr>
              <w:t>o.</w:t>
            </w:r>
            <w:r w:rsidRPr="005362F0">
              <w:rPr>
                <w:rFonts w:cs="Arial"/>
                <w:sz w:val="16"/>
                <w:szCs w:val="16"/>
              </w:rPr>
              <w:t xml:space="preserve"> of CMOs </w:t>
            </w:r>
            <w:r w:rsidRPr="003E2A85">
              <w:rPr>
                <w:rFonts w:cs="Arial"/>
                <w:sz w:val="16"/>
                <w:szCs w:val="16"/>
              </w:rPr>
              <w:t>in developing countries and LDCs</w:t>
            </w:r>
            <w:r w:rsidRPr="005362F0">
              <w:rPr>
                <w:rFonts w:cs="Arial"/>
                <w:sz w:val="16"/>
                <w:szCs w:val="16"/>
              </w:rPr>
              <w:t xml:space="preserve"> participating in regional and global networks facilitated by WIPO</w:t>
            </w:r>
          </w:p>
        </w:tc>
        <w:tc>
          <w:tcPr>
            <w:tcW w:w="880" w:type="pct"/>
            <w:tcBorders>
              <w:top w:val="nil"/>
              <w:left w:val="nil"/>
              <w:bottom w:val="nil"/>
              <w:right w:val="nil"/>
            </w:tcBorders>
            <w:shd w:val="clear" w:color="auto" w:fill="FFFFFF"/>
            <w:tcMar>
              <w:top w:w="113" w:type="dxa"/>
              <w:bottom w:w="85" w:type="dxa"/>
            </w:tcMar>
          </w:tcPr>
          <w:p w:rsidR="004C53FA" w:rsidRDefault="004C53FA" w:rsidP="00C1753F">
            <w:pPr>
              <w:jc w:val="center"/>
              <w:rPr>
                <w:rFonts w:cs="Arial"/>
                <w:sz w:val="16"/>
                <w:szCs w:val="16"/>
                <w:lang w:bidi="th-TH"/>
              </w:rPr>
            </w:pPr>
            <w:r>
              <w:rPr>
                <w:rFonts w:cs="Arial"/>
                <w:sz w:val="16"/>
                <w:szCs w:val="16"/>
                <w:lang w:bidi="th-TH"/>
              </w:rPr>
              <w:t>Program 3</w:t>
            </w:r>
          </w:p>
          <w:p w:rsidR="004C53FA" w:rsidRDefault="004C53FA" w:rsidP="00C1753F">
            <w:pPr>
              <w:rPr>
                <w:rFonts w:cs="Arial"/>
                <w:sz w:val="16"/>
                <w:szCs w:val="16"/>
                <w:lang w:bidi="th-TH"/>
              </w:rPr>
            </w:pPr>
          </w:p>
        </w:tc>
        <w:tc>
          <w:tcPr>
            <w:tcW w:w="475" w:type="pct"/>
            <w:vMerge w:val="restart"/>
            <w:tcBorders>
              <w:top w:val="nil"/>
              <w:left w:val="nil"/>
              <w:bottom w:val="nil"/>
              <w:right w:val="single" w:sz="4" w:space="0" w:color="auto"/>
            </w:tcBorders>
            <w:shd w:val="clear" w:color="auto" w:fill="FFFFFF"/>
          </w:tcPr>
          <w:p w:rsidR="004C53FA" w:rsidRDefault="004C53FA" w:rsidP="00C1753F">
            <w:pPr>
              <w:spacing w:before="40"/>
              <w:jc w:val="center"/>
              <w:rPr>
                <w:rFonts w:cs="Arial"/>
                <w:b/>
                <w:color w:val="008000"/>
                <w:sz w:val="22"/>
                <w:szCs w:val="22"/>
              </w:rPr>
            </w:pPr>
            <w:r w:rsidRPr="00CC5242">
              <w:rPr>
                <w:rFonts w:cs="Arial"/>
                <w:b/>
                <w:color w:val="008000"/>
                <w:sz w:val="22"/>
                <w:szCs w:val="22"/>
              </w:rPr>
              <w:sym w:font="Wingdings" w:char="F06C"/>
            </w:r>
          </w:p>
          <w:p w:rsidR="004C53FA" w:rsidRPr="00CC5242" w:rsidRDefault="004C53FA" w:rsidP="00C1753F">
            <w:pPr>
              <w:spacing w:before="40"/>
              <w:jc w:val="center"/>
              <w:rPr>
                <w:rFonts w:cs="Arial"/>
                <w:b/>
                <w:color w:val="008000"/>
                <w:sz w:val="22"/>
                <w:szCs w:val="22"/>
              </w:rPr>
            </w:pPr>
          </w:p>
          <w:p w:rsidR="004C53FA" w:rsidRPr="00F718E6" w:rsidRDefault="004C53FA" w:rsidP="00C1753F">
            <w:pPr>
              <w:jc w:val="center"/>
              <w:rPr>
                <w:rFonts w:cs="Arial"/>
                <w:color w:val="A6A6A6" w:themeColor="background1" w:themeShade="A6"/>
                <w:sz w:val="22"/>
                <w:szCs w:val="22"/>
              </w:rPr>
            </w:pPr>
            <w:r w:rsidRPr="001464F0">
              <w:rPr>
                <w:rFonts w:eastAsiaTheme="minorHAnsi" w:cs="Arial"/>
                <w:b/>
                <w:bCs/>
                <w:color w:val="0070C0"/>
                <w:sz w:val="22"/>
                <w:szCs w:val="22"/>
              </w:rPr>
              <w:sym w:font="Wingdings" w:char="F06C"/>
            </w:r>
          </w:p>
        </w:tc>
      </w:tr>
      <w:tr w:rsidR="004C53FA" w:rsidRPr="00AF5E7C" w:rsidTr="00C1753F">
        <w:trPr>
          <w:cantSplit/>
          <w:trHeight w:val="255"/>
        </w:trPr>
        <w:tc>
          <w:tcPr>
            <w:tcW w:w="1482" w:type="pct"/>
            <w:vMerge/>
            <w:tcBorders>
              <w:top w:val="nil"/>
              <w:left w:val="single" w:sz="4" w:space="0" w:color="auto"/>
              <w:bottom w:val="nil"/>
              <w:right w:val="nil"/>
            </w:tcBorders>
            <w:shd w:val="clear" w:color="auto" w:fill="auto"/>
            <w:tcMar>
              <w:top w:w="113" w:type="dxa"/>
              <w:bottom w:w="85" w:type="dxa"/>
            </w:tcMar>
          </w:tcPr>
          <w:p w:rsidR="004C53FA" w:rsidRPr="00B004F2" w:rsidRDefault="004C53FA" w:rsidP="00C1753F">
            <w:pPr>
              <w:rPr>
                <w:rFonts w:cs="Arial"/>
                <w:sz w:val="16"/>
                <w:szCs w:val="16"/>
              </w:rPr>
            </w:pPr>
          </w:p>
        </w:tc>
        <w:tc>
          <w:tcPr>
            <w:tcW w:w="2163" w:type="pct"/>
            <w:vMerge/>
            <w:tcBorders>
              <w:top w:val="nil"/>
              <w:left w:val="nil"/>
              <w:bottom w:val="nil"/>
              <w:right w:val="nil"/>
            </w:tcBorders>
            <w:shd w:val="clear" w:color="auto" w:fill="auto"/>
            <w:tcMar>
              <w:top w:w="113" w:type="dxa"/>
              <w:bottom w:w="85" w:type="dxa"/>
            </w:tcMar>
          </w:tcPr>
          <w:p w:rsidR="004C53FA" w:rsidRPr="005362F0" w:rsidRDefault="004C53FA" w:rsidP="00C1753F">
            <w:pPr>
              <w:rPr>
                <w:rFonts w:cs="Arial"/>
                <w:sz w:val="16"/>
                <w:szCs w:val="16"/>
              </w:rPr>
            </w:pPr>
          </w:p>
        </w:tc>
        <w:tc>
          <w:tcPr>
            <w:tcW w:w="880" w:type="pct"/>
            <w:tcBorders>
              <w:top w:val="nil"/>
              <w:left w:val="nil"/>
              <w:bottom w:val="nil"/>
              <w:right w:val="nil"/>
            </w:tcBorders>
            <w:shd w:val="clear" w:color="auto" w:fill="FFFFFF"/>
            <w:tcMar>
              <w:top w:w="113" w:type="dxa"/>
              <w:bottom w:w="85" w:type="dxa"/>
            </w:tcMar>
          </w:tcPr>
          <w:p w:rsidR="004C53FA" w:rsidRDefault="004C53FA" w:rsidP="00C1753F">
            <w:pPr>
              <w:jc w:val="center"/>
              <w:rPr>
                <w:rFonts w:cs="Arial"/>
                <w:sz w:val="16"/>
                <w:szCs w:val="16"/>
                <w:lang w:bidi="th-TH"/>
              </w:rPr>
            </w:pPr>
            <w:r>
              <w:rPr>
                <w:rFonts w:cs="Arial"/>
                <w:sz w:val="16"/>
                <w:szCs w:val="16"/>
                <w:lang w:bidi="th-TH"/>
              </w:rPr>
              <w:t>Program 15</w:t>
            </w:r>
          </w:p>
        </w:tc>
        <w:tc>
          <w:tcPr>
            <w:tcW w:w="475" w:type="pct"/>
            <w:vMerge/>
            <w:tcBorders>
              <w:top w:val="nil"/>
              <w:left w:val="nil"/>
              <w:bottom w:val="nil"/>
              <w:right w:val="single" w:sz="4" w:space="0" w:color="auto"/>
            </w:tcBorders>
            <w:shd w:val="clear" w:color="auto" w:fill="FFFFFF"/>
          </w:tcPr>
          <w:p w:rsidR="004C53FA" w:rsidRPr="00CC5242" w:rsidRDefault="004C53FA" w:rsidP="00C1753F">
            <w:pPr>
              <w:spacing w:before="40"/>
              <w:jc w:val="center"/>
              <w:rPr>
                <w:rFonts w:cs="Arial"/>
                <w:b/>
                <w:color w:val="008000"/>
                <w:sz w:val="22"/>
                <w:szCs w:val="22"/>
              </w:rPr>
            </w:pPr>
          </w:p>
        </w:tc>
      </w:tr>
      <w:tr w:rsidR="004C53FA" w:rsidRPr="00AF5E7C" w:rsidTr="00C1753F">
        <w:trPr>
          <w:cantSplit/>
          <w:trHeight w:val="662"/>
        </w:trPr>
        <w:tc>
          <w:tcPr>
            <w:tcW w:w="1482" w:type="pct"/>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tcBorders>
              <w:top w:val="nil"/>
              <w:bottom w:val="nil"/>
            </w:tcBorders>
            <w:shd w:val="clear" w:color="auto" w:fill="auto"/>
            <w:tcMar>
              <w:top w:w="113" w:type="dxa"/>
              <w:bottom w:w="85" w:type="dxa"/>
            </w:tcMar>
          </w:tcPr>
          <w:p w:rsidR="004C53FA" w:rsidRPr="005362F0" w:rsidRDefault="004C53FA" w:rsidP="00C1753F">
            <w:pPr>
              <w:rPr>
                <w:rFonts w:cs="Arial"/>
                <w:sz w:val="16"/>
                <w:szCs w:val="16"/>
              </w:rPr>
            </w:pPr>
            <w:r w:rsidRPr="000900E1">
              <w:rPr>
                <w:rFonts w:cs="Arial"/>
                <w:sz w:val="16"/>
                <w:szCs w:val="16"/>
              </w:rPr>
              <w:t>% of governments that report positively on the improved effectiveness (and governance) of copyright offices and other institutions in the country</w:t>
            </w:r>
          </w:p>
        </w:tc>
        <w:tc>
          <w:tcPr>
            <w:tcW w:w="880" w:type="pct"/>
            <w:tcBorders>
              <w:top w:val="nil"/>
              <w:bottom w:val="nil"/>
            </w:tcBorders>
            <w:shd w:val="clear" w:color="auto" w:fill="FFFFFF"/>
            <w:tcMar>
              <w:top w:w="113" w:type="dxa"/>
              <w:bottom w:w="85" w:type="dxa"/>
            </w:tcMar>
          </w:tcPr>
          <w:p w:rsidR="004C53FA" w:rsidRDefault="004C53FA" w:rsidP="00C1753F">
            <w:pPr>
              <w:jc w:val="center"/>
              <w:rPr>
                <w:rFonts w:cs="Arial"/>
                <w:sz w:val="16"/>
                <w:szCs w:val="16"/>
                <w:lang w:bidi="th-TH"/>
              </w:rPr>
            </w:pPr>
            <w:r>
              <w:rPr>
                <w:rFonts w:cs="Arial"/>
                <w:sz w:val="16"/>
                <w:szCs w:val="16"/>
                <w:lang w:bidi="th-TH"/>
              </w:rPr>
              <w:t>Program 3</w:t>
            </w:r>
          </w:p>
        </w:tc>
        <w:tc>
          <w:tcPr>
            <w:tcW w:w="475" w:type="pct"/>
            <w:tcBorders>
              <w:top w:val="nil"/>
              <w:bottom w:val="nil"/>
              <w:right w:val="single" w:sz="4" w:space="0" w:color="auto"/>
            </w:tcBorders>
            <w:shd w:val="clear" w:color="auto" w:fill="FFFFFF"/>
          </w:tcPr>
          <w:p w:rsidR="004C53FA" w:rsidRPr="007916B2" w:rsidRDefault="004C53FA" w:rsidP="00C1753F">
            <w:pPr>
              <w:spacing w:before="40"/>
              <w:jc w:val="center"/>
              <w:rPr>
                <w:rFonts w:cs="Arial"/>
                <w:b/>
                <w:color w:val="008000"/>
                <w:sz w:val="22"/>
                <w:szCs w:val="22"/>
              </w:rPr>
            </w:pPr>
            <w:r w:rsidRPr="00167066">
              <w:rPr>
                <w:rFonts w:cs="Arial"/>
                <w:b/>
                <w:color w:val="008000"/>
                <w:sz w:val="22"/>
                <w:szCs w:val="22"/>
              </w:rPr>
              <w:sym w:font="Wingdings" w:char="F06C"/>
            </w:r>
          </w:p>
        </w:tc>
      </w:tr>
      <w:tr w:rsidR="004C53FA" w:rsidRPr="00AF5E7C" w:rsidTr="00C1753F">
        <w:trPr>
          <w:cantSplit/>
          <w:trHeight w:val="363"/>
        </w:trPr>
        <w:tc>
          <w:tcPr>
            <w:tcW w:w="1482" w:type="pct"/>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tcBorders>
              <w:top w:val="nil"/>
              <w:bottom w:val="nil"/>
            </w:tcBorders>
            <w:shd w:val="clear" w:color="auto" w:fill="auto"/>
            <w:tcMar>
              <w:top w:w="113" w:type="dxa"/>
              <w:bottom w:w="85" w:type="dxa"/>
            </w:tcMar>
          </w:tcPr>
          <w:p w:rsidR="004C53FA" w:rsidRPr="004475FB" w:rsidRDefault="004C53FA" w:rsidP="00C1753F">
            <w:pPr>
              <w:rPr>
                <w:rFonts w:cs="Arial"/>
                <w:sz w:val="16"/>
                <w:szCs w:val="16"/>
              </w:rPr>
            </w:pPr>
            <w:r w:rsidRPr="004475FB">
              <w:rPr>
                <w:rFonts w:cs="Arial"/>
                <w:sz w:val="16"/>
                <w:szCs w:val="16"/>
              </w:rPr>
              <w:t>N</w:t>
            </w:r>
            <w:r>
              <w:rPr>
                <w:rFonts w:cs="Arial"/>
                <w:sz w:val="16"/>
                <w:szCs w:val="16"/>
              </w:rPr>
              <w:t>o.</w:t>
            </w:r>
            <w:r w:rsidRPr="004475FB">
              <w:rPr>
                <w:rFonts w:cs="Arial"/>
                <w:sz w:val="16"/>
                <w:szCs w:val="16"/>
              </w:rPr>
              <w:t xml:space="preserve"> of offices using WIPO infrastructure platforms</w:t>
            </w:r>
          </w:p>
        </w:tc>
        <w:tc>
          <w:tcPr>
            <w:tcW w:w="880" w:type="pct"/>
            <w:tcBorders>
              <w:top w:val="nil"/>
              <w:bottom w:val="nil"/>
            </w:tcBorders>
            <w:shd w:val="clear" w:color="auto" w:fill="FFFFFF"/>
            <w:tcMar>
              <w:top w:w="113" w:type="dxa"/>
              <w:bottom w:w="85" w:type="dxa"/>
            </w:tcMar>
          </w:tcPr>
          <w:p w:rsidR="004C53FA" w:rsidRPr="00AF5E7C" w:rsidRDefault="004C53FA" w:rsidP="00C1753F">
            <w:pPr>
              <w:jc w:val="center"/>
              <w:rPr>
                <w:rFonts w:cs="Arial"/>
                <w:sz w:val="16"/>
                <w:szCs w:val="16"/>
                <w:lang w:bidi="th-TH"/>
              </w:rPr>
            </w:pPr>
            <w:r>
              <w:rPr>
                <w:rFonts w:cs="Arial"/>
                <w:sz w:val="16"/>
                <w:szCs w:val="16"/>
                <w:lang w:bidi="th-TH"/>
              </w:rPr>
              <w:t>Program 15</w:t>
            </w:r>
          </w:p>
        </w:tc>
        <w:tc>
          <w:tcPr>
            <w:tcW w:w="475" w:type="pct"/>
            <w:tcBorders>
              <w:top w:val="nil"/>
              <w:bottom w:val="nil"/>
              <w:right w:val="single" w:sz="4" w:space="0" w:color="auto"/>
            </w:tcBorders>
            <w:shd w:val="clear" w:color="auto" w:fill="FFFFFF"/>
          </w:tcPr>
          <w:p w:rsidR="004C53FA" w:rsidRPr="001464F0" w:rsidRDefault="004C53FA" w:rsidP="00C1753F">
            <w:pPr>
              <w:spacing w:before="40"/>
              <w:jc w:val="center"/>
              <w:rPr>
                <w:rFonts w:cs="Arial"/>
                <w:b/>
                <w:color w:val="008000"/>
                <w:sz w:val="22"/>
                <w:szCs w:val="22"/>
              </w:rPr>
            </w:pPr>
            <w:r w:rsidRPr="00365F93">
              <w:rPr>
                <w:rFonts w:cs="Arial"/>
                <w:b/>
                <w:color w:val="008000"/>
                <w:sz w:val="22"/>
                <w:szCs w:val="22"/>
              </w:rPr>
              <w:sym w:font="Wingdings" w:char="F06C"/>
            </w:r>
          </w:p>
        </w:tc>
      </w:tr>
      <w:tr w:rsidR="004C53FA" w:rsidRPr="00AF5E7C" w:rsidTr="00C1753F">
        <w:trPr>
          <w:cantSplit/>
          <w:trHeight w:val="256"/>
        </w:trPr>
        <w:tc>
          <w:tcPr>
            <w:tcW w:w="1482" w:type="pct"/>
            <w:vMerge w:val="restart"/>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vMerge w:val="restart"/>
            <w:tcBorders>
              <w:top w:val="nil"/>
              <w:bottom w:val="nil"/>
            </w:tcBorders>
            <w:shd w:val="clear" w:color="auto" w:fill="auto"/>
            <w:tcMar>
              <w:top w:w="113" w:type="dxa"/>
              <w:bottom w:w="85" w:type="dxa"/>
            </w:tcMar>
          </w:tcPr>
          <w:p w:rsidR="004C53FA" w:rsidRPr="008B3B36" w:rsidRDefault="004C53FA" w:rsidP="00C1753F">
            <w:pPr>
              <w:rPr>
                <w:rFonts w:cs="Arial"/>
                <w:sz w:val="16"/>
                <w:szCs w:val="16"/>
              </w:rPr>
            </w:pPr>
            <w:r w:rsidRPr="005362F0">
              <w:rPr>
                <w:rFonts w:cs="Arial"/>
                <w:sz w:val="16"/>
                <w:szCs w:val="16"/>
              </w:rPr>
              <w:t>Average Service Level of IP Offices assisted (ranging from 1 to 5)</w:t>
            </w:r>
          </w:p>
        </w:tc>
        <w:tc>
          <w:tcPr>
            <w:tcW w:w="880" w:type="pct"/>
            <w:tcBorders>
              <w:top w:val="nil"/>
              <w:bottom w:val="nil"/>
            </w:tcBorders>
            <w:shd w:val="clear" w:color="auto" w:fill="FFFFFF"/>
            <w:tcMar>
              <w:top w:w="113" w:type="dxa"/>
              <w:bottom w:w="85" w:type="dxa"/>
            </w:tcMar>
          </w:tcPr>
          <w:p w:rsidR="004C53FA" w:rsidRPr="00AF5E7C" w:rsidRDefault="004C53FA" w:rsidP="00C1753F">
            <w:pPr>
              <w:jc w:val="center"/>
              <w:rPr>
                <w:rFonts w:cs="Arial"/>
                <w:sz w:val="16"/>
                <w:szCs w:val="16"/>
                <w:lang w:bidi="th-TH"/>
              </w:rPr>
            </w:pPr>
            <w:r>
              <w:rPr>
                <w:rFonts w:cs="Arial"/>
                <w:sz w:val="16"/>
                <w:szCs w:val="16"/>
                <w:lang w:bidi="th-TH"/>
              </w:rPr>
              <w:t>Program 9</w:t>
            </w:r>
          </w:p>
        </w:tc>
        <w:tc>
          <w:tcPr>
            <w:tcW w:w="475" w:type="pct"/>
            <w:tcBorders>
              <w:top w:val="nil"/>
              <w:bottom w:val="nil"/>
              <w:right w:val="single" w:sz="4" w:space="0" w:color="auto"/>
            </w:tcBorders>
            <w:shd w:val="clear" w:color="auto" w:fill="FFFFFF"/>
          </w:tcPr>
          <w:p w:rsidR="004C53FA" w:rsidRPr="00EA56A7" w:rsidRDefault="004C53FA" w:rsidP="00C1753F">
            <w:pPr>
              <w:jc w:val="center"/>
              <w:rPr>
                <w:rFonts w:cs="Arial"/>
                <w:color w:val="A6A6A6" w:themeColor="background1" w:themeShade="A6"/>
                <w:sz w:val="22"/>
                <w:szCs w:val="22"/>
              </w:rPr>
            </w:pPr>
            <w:r w:rsidRPr="00365F93">
              <w:rPr>
                <w:rFonts w:cs="Arial"/>
                <w:b/>
                <w:color w:val="008000"/>
                <w:sz w:val="22"/>
                <w:szCs w:val="22"/>
              </w:rPr>
              <w:sym w:font="Wingdings" w:char="F06C"/>
            </w:r>
          </w:p>
        </w:tc>
      </w:tr>
      <w:tr w:rsidR="004C53FA" w:rsidRPr="00AF5E7C" w:rsidTr="00C1753F">
        <w:trPr>
          <w:cantSplit/>
          <w:trHeight w:val="254"/>
        </w:trPr>
        <w:tc>
          <w:tcPr>
            <w:tcW w:w="1482" w:type="pct"/>
            <w:vMerge/>
            <w:tcBorders>
              <w:top w:val="nil"/>
              <w:left w:val="single" w:sz="4" w:space="0" w:color="auto"/>
              <w:bottom w:val="nil"/>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vMerge/>
            <w:tcBorders>
              <w:top w:val="nil"/>
              <w:bottom w:val="nil"/>
            </w:tcBorders>
            <w:shd w:val="clear" w:color="auto" w:fill="auto"/>
            <w:tcMar>
              <w:top w:w="113" w:type="dxa"/>
              <w:bottom w:w="85" w:type="dxa"/>
            </w:tcMar>
          </w:tcPr>
          <w:p w:rsidR="004C53FA" w:rsidRPr="005362F0" w:rsidRDefault="004C53FA" w:rsidP="00C1753F">
            <w:pPr>
              <w:rPr>
                <w:rFonts w:cs="Arial"/>
                <w:sz w:val="16"/>
                <w:szCs w:val="16"/>
              </w:rPr>
            </w:pPr>
          </w:p>
        </w:tc>
        <w:tc>
          <w:tcPr>
            <w:tcW w:w="880" w:type="pct"/>
            <w:tcBorders>
              <w:top w:val="nil"/>
              <w:bottom w:val="nil"/>
            </w:tcBorders>
            <w:shd w:val="clear" w:color="auto" w:fill="FFFFFF"/>
            <w:tcMar>
              <w:top w:w="113" w:type="dxa"/>
              <w:bottom w:w="85" w:type="dxa"/>
            </w:tcMar>
          </w:tcPr>
          <w:p w:rsidR="004C53FA" w:rsidRDefault="004C53FA" w:rsidP="00C1753F">
            <w:pPr>
              <w:jc w:val="center"/>
              <w:rPr>
                <w:rFonts w:cs="Arial"/>
                <w:sz w:val="16"/>
                <w:szCs w:val="16"/>
                <w:lang w:bidi="th-TH"/>
              </w:rPr>
            </w:pPr>
            <w:r>
              <w:rPr>
                <w:rFonts w:cs="Arial"/>
                <w:sz w:val="16"/>
                <w:szCs w:val="16"/>
                <w:lang w:bidi="th-TH"/>
              </w:rPr>
              <w:t>Program 10</w:t>
            </w:r>
          </w:p>
        </w:tc>
        <w:tc>
          <w:tcPr>
            <w:tcW w:w="475" w:type="pct"/>
            <w:tcBorders>
              <w:top w:val="nil"/>
              <w:bottom w:val="nil"/>
              <w:right w:val="single" w:sz="4" w:space="0" w:color="auto"/>
            </w:tcBorders>
            <w:shd w:val="clear" w:color="auto" w:fill="FFFFFF"/>
          </w:tcPr>
          <w:p w:rsidR="004C53FA" w:rsidRPr="00EA56A7" w:rsidRDefault="004C53FA" w:rsidP="00C1753F">
            <w:pPr>
              <w:spacing w:before="40"/>
              <w:jc w:val="center"/>
              <w:rPr>
                <w:rFonts w:cs="Arial"/>
                <w:b/>
                <w:color w:val="008000"/>
                <w:sz w:val="22"/>
                <w:szCs w:val="22"/>
              </w:rPr>
            </w:pPr>
            <w:r w:rsidRPr="00365F93">
              <w:rPr>
                <w:rFonts w:cs="Arial"/>
                <w:b/>
                <w:color w:val="008000"/>
                <w:sz w:val="22"/>
                <w:szCs w:val="22"/>
              </w:rPr>
              <w:sym w:font="Wingdings" w:char="F06C"/>
            </w:r>
          </w:p>
        </w:tc>
      </w:tr>
      <w:tr w:rsidR="004C53FA" w:rsidRPr="00AF5E7C" w:rsidTr="00C1753F">
        <w:trPr>
          <w:cantSplit/>
          <w:trHeight w:val="254"/>
        </w:trPr>
        <w:tc>
          <w:tcPr>
            <w:tcW w:w="1482" w:type="pct"/>
            <w:vMerge/>
            <w:tcBorders>
              <w:top w:val="nil"/>
              <w:left w:val="single" w:sz="4" w:space="0" w:color="auto"/>
              <w:bottom w:val="single" w:sz="4" w:space="0" w:color="auto"/>
            </w:tcBorders>
            <w:shd w:val="clear" w:color="auto" w:fill="auto"/>
            <w:tcMar>
              <w:top w:w="113" w:type="dxa"/>
              <w:bottom w:w="85" w:type="dxa"/>
            </w:tcMar>
          </w:tcPr>
          <w:p w:rsidR="004C53FA" w:rsidRPr="00AF5E7C" w:rsidRDefault="004C53FA" w:rsidP="00C1753F">
            <w:pPr>
              <w:rPr>
                <w:rFonts w:cs="Arial"/>
                <w:sz w:val="16"/>
                <w:szCs w:val="16"/>
              </w:rPr>
            </w:pPr>
          </w:p>
        </w:tc>
        <w:tc>
          <w:tcPr>
            <w:tcW w:w="2163" w:type="pct"/>
            <w:vMerge/>
            <w:tcBorders>
              <w:top w:val="nil"/>
              <w:bottom w:val="single" w:sz="4" w:space="0" w:color="auto"/>
            </w:tcBorders>
            <w:shd w:val="clear" w:color="auto" w:fill="auto"/>
            <w:tcMar>
              <w:top w:w="113" w:type="dxa"/>
              <w:bottom w:w="85" w:type="dxa"/>
            </w:tcMar>
          </w:tcPr>
          <w:p w:rsidR="004C53FA" w:rsidRPr="005362F0" w:rsidRDefault="004C53FA" w:rsidP="00C1753F">
            <w:pPr>
              <w:rPr>
                <w:rFonts w:cs="Arial"/>
                <w:sz w:val="16"/>
                <w:szCs w:val="16"/>
              </w:rPr>
            </w:pPr>
          </w:p>
        </w:tc>
        <w:tc>
          <w:tcPr>
            <w:tcW w:w="880" w:type="pct"/>
            <w:tcBorders>
              <w:top w:val="nil"/>
              <w:bottom w:val="single" w:sz="4" w:space="0" w:color="auto"/>
            </w:tcBorders>
            <w:shd w:val="clear" w:color="auto" w:fill="FFFFFF"/>
            <w:tcMar>
              <w:top w:w="113" w:type="dxa"/>
              <w:bottom w:w="85" w:type="dxa"/>
            </w:tcMar>
          </w:tcPr>
          <w:p w:rsidR="004C53FA" w:rsidRDefault="004C53FA" w:rsidP="00C1753F">
            <w:pPr>
              <w:jc w:val="center"/>
              <w:rPr>
                <w:rFonts w:cs="Arial"/>
                <w:sz w:val="16"/>
                <w:szCs w:val="16"/>
                <w:lang w:bidi="th-TH"/>
              </w:rPr>
            </w:pPr>
            <w:r>
              <w:rPr>
                <w:rFonts w:cs="Arial"/>
                <w:sz w:val="16"/>
                <w:szCs w:val="16"/>
                <w:lang w:bidi="th-TH"/>
              </w:rPr>
              <w:t>Program 15</w:t>
            </w:r>
          </w:p>
        </w:tc>
        <w:tc>
          <w:tcPr>
            <w:tcW w:w="475" w:type="pct"/>
            <w:tcBorders>
              <w:top w:val="nil"/>
              <w:bottom w:val="single" w:sz="4" w:space="0" w:color="auto"/>
              <w:right w:val="single" w:sz="4" w:space="0" w:color="auto"/>
            </w:tcBorders>
            <w:shd w:val="clear" w:color="auto" w:fill="FFFFFF"/>
          </w:tcPr>
          <w:p w:rsidR="004C53FA" w:rsidRPr="00C41574" w:rsidRDefault="004C53FA" w:rsidP="00C1753F">
            <w:pPr>
              <w:jc w:val="center"/>
              <w:rPr>
                <w:rFonts w:cs="Arial"/>
                <w:color w:val="A6A6A6" w:themeColor="background1" w:themeShade="A6"/>
                <w:sz w:val="22"/>
                <w:szCs w:val="22"/>
              </w:rPr>
            </w:pPr>
            <w:r w:rsidRPr="00365F93">
              <w:rPr>
                <w:rFonts w:cs="Arial"/>
                <w:b/>
                <w:color w:val="008000"/>
                <w:sz w:val="22"/>
                <w:szCs w:val="22"/>
              </w:rPr>
              <w:sym w:font="Wingdings" w:char="F06C"/>
            </w:r>
          </w:p>
        </w:tc>
      </w:tr>
    </w:tbl>
    <w:p w:rsidR="004C53FA" w:rsidRPr="00B93297" w:rsidRDefault="004C53FA" w:rsidP="00C1753F"/>
    <w:p w:rsidR="00B11299" w:rsidRDefault="00B11299"/>
    <w:p w:rsidR="004C53FA" w:rsidRDefault="004C53FA"/>
    <w:p w:rsidR="00794EDE" w:rsidRDefault="00794EDE">
      <w:r>
        <w:br w:type="page"/>
      </w:r>
    </w:p>
    <w:p w:rsidR="00794EDE" w:rsidRPr="001243AF" w:rsidRDefault="00794EDE" w:rsidP="00F54CA4">
      <w:pPr>
        <w:pStyle w:val="Heading2"/>
        <w:tabs>
          <w:tab w:val="clear" w:pos="567"/>
          <w:tab w:val="left" w:pos="1985"/>
        </w:tabs>
        <w:jc w:val="both"/>
      </w:pPr>
      <w:bookmarkStart w:id="70" w:name="_Toc422210496"/>
      <w:r w:rsidRPr="001243AF">
        <w:lastRenderedPageBreak/>
        <w:t>PROGRAM 1</w:t>
      </w:r>
      <w:r>
        <w:t>2</w:t>
      </w:r>
      <w:r>
        <w:tab/>
      </w:r>
      <w:r>
        <w:tab/>
        <w:t>INTERNATIONAL CLASSIFICATIONS AND STANDARDS</w:t>
      </w:r>
      <w:bookmarkEnd w:id="70"/>
    </w:p>
    <w:p w:rsidR="00794EDE" w:rsidRPr="00383D2D" w:rsidRDefault="00794EDE" w:rsidP="00F54CA4">
      <w:pPr>
        <w:jc w:val="both"/>
        <w:rPr>
          <w:szCs w:val="20"/>
        </w:rPr>
      </w:pPr>
    </w:p>
    <w:p w:rsidR="00794EDE" w:rsidRPr="00C44FE1" w:rsidRDefault="00794EDE" w:rsidP="00F54CA4">
      <w:pPr>
        <w:tabs>
          <w:tab w:val="left" w:pos="1985"/>
        </w:tabs>
        <w:jc w:val="both"/>
        <w:rPr>
          <w:b/>
          <w:szCs w:val="22"/>
        </w:rPr>
      </w:pPr>
      <w:r w:rsidRPr="00C44FE1">
        <w:rPr>
          <w:b/>
          <w:szCs w:val="22"/>
        </w:rPr>
        <w:t>Program Manager</w:t>
      </w:r>
      <w:r w:rsidRPr="00C44FE1">
        <w:rPr>
          <w:b/>
          <w:szCs w:val="22"/>
        </w:rPr>
        <w:tab/>
        <w:t>Mr. Y. Takagi</w:t>
      </w:r>
    </w:p>
    <w:p w:rsidR="00794EDE" w:rsidRPr="008F4A6D" w:rsidRDefault="00794EDE" w:rsidP="00F54CA4">
      <w:pPr>
        <w:jc w:val="both"/>
        <w:rPr>
          <w:szCs w:val="20"/>
        </w:rPr>
      </w:pPr>
    </w:p>
    <w:p w:rsidR="00794EDE" w:rsidRPr="00DB2852" w:rsidRDefault="00794EDE" w:rsidP="00F54CA4">
      <w:pPr>
        <w:jc w:val="both"/>
        <w:rPr>
          <w:szCs w:val="20"/>
        </w:rPr>
      </w:pPr>
    </w:p>
    <w:p w:rsidR="00794EDE" w:rsidRPr="00C44FE1" w:rsidRDefault="00794EDE" w:rsidP="00F54CA4">
      <w:pPr>
        <w:jc w:val="both"/>
        <w:rPr>
          <w:bCs/>
          <w:sz w:val="22"/>
          <w:szCs w:val="20"/>
        </w:rPr>
      </w:pPr>
      <w:r w:rsidRPr="00C44FE1">
        <w:rPr>
          <w:bCs/>
          <w:sz w:val="22"/>
          <w:szCs w:val="20"/>
        </w:rPr>
        <w:t>OVERVIEW OF PROGRESS IN 2014</w:t>
      </w:r>
    </w:p>
    <w:p w:rsidR="00794EDE" w:rsidRPr="00276F92" w:rsidRDefault="00794EDE" w:rsidP="00F54CA4">
      <w:pPr>
        <w:jc w:val="both"/>
        <w:rPr>
          <w:szCs w:val="20"/>
        </w:rPr>
      </w:pPr>
    </w:p>
    <w:p w:rsidR="00794EDE" w:rsidRPr="00C44FE1" w:rsidRDefault="00794EDE" w:rsidP="00520CAA">
      <w:pPr>
        <w:pStyle w:val="ListParagraph"/>
        <w:numPr>
          <w:ilvl w:val="0"/>
          <w:numId w:val="28"/>
        </w:numPr>
        <w:tabs>
          <w:tab w:val="left" w:pos="709"/>
        </w:tabs>
        <w:ind w:left="0" w:firstLine="0"/>
        <w:jc w:val="both"/>
        <w:rPr>
          <w:b/>
        </w:rPr>
      </w:pPr>
      <w:r w:rsidRPr="00F23ED8">
        <w:rPr>
          <w:rFonts w:cs="Arial"/>
        </w:rPr>
        <w:t>In 2014</w:t>
      </w:r>
      <w:r w:rsidRPr="00C44FE1">
        <w:rPr>
          <w:rFonts w:cs="Arial"/>
        </w:rPr>
        <w:t>, progress was uneven as regards International Classifications and WIPO IP Standards, exceeding expectations in certain areas and trailing behind in others.</w:t>
      </w:r>
      <w:r w:rsidRPr="00C44FE1">
        <w:rPr>
          <w:b/>
        </w:rPr>
        <w:t xml:space="preserve"> </w:t>
      </w:r>
    </w:p>
    <w:p w:rsidR="00794EDE" w:rsidRPr="00276F92" w:rsidRDefault="00794EDE" w:rsidP="00F54CA4">
      <w:pPr>
        <w:tabs>
          <w:tab w:val="left" w:pos="709"/>
        </w:tabs>
        <w:jc w:val="both"/>
        <w:rPr>
          <w:b/>
          <w:szCs w:val="20"/>
        </w:rPr>
      </w:pPr>
    </w:p>
    <w:p w:rsidR="00794EDE" w:rsidRPr="00C44FE1" w:rsidRDefault="00794EDE" w:rsidP="00520CAA">
      <w:pPr>
        <w:pStyle w:val="ListParagraph"/>
        <w:numPr>
          <w:ilvl w:val="0"/>
          <w:numId w:val="28"/>
        </w:numPr>
        <w:tabs>
          <w:tab w:val="left" w:pos="709"/>
        </w:tabs>
        <w:ind w:left="0" w:firstLine="0"/>
        <w:jc w:val="both"/>
        <w:rPr>
          <w:rFonts w:cs="Arial"/>
        </w:rPr>
      </w:pPr>
      <w:r w:rsidRPr="00F23ED8">
        <w:rPr>
          <w:rFonts w:cs="Arial"/>
        </w:rPr>
        <w:t>As regards the Nice Classification</w:t>
      </w:r>
      <w:r w:rsidRPr="00C44FE1">
        <w:rPr>
          <w:rFonts w:cs="Arial"/>
        </w:rPr>
        <w:t xml:space="preserve">, a total of 570 new amendments and 20 new information files were introduced in 2014.  The number of amendments represents a 32 per cent increase over 2013. </w:t>
      </w:r>
      <w:r>
        <w:rPr>
          <w:rFonts w:cs="Arial"/>
        </w:rPr>
        <w:t xml:space="preserve"> </w:t>
      </w:r>
      <w:r w:rsidRPr="00F23ED8">
        <w:rPr>
          <w:bCs/>
        </w:rPr>
        <w:t>In addition, the official Spanish version of the NCL</w:t>
      </w:r>
      <w:r w:rsidRPr="00C44FE1">
        <w:rPr>
          <w:bCs/>
        </w:rPr>
        <w:t xml:space="preserve"> 10-2015 was made available in XLS format in November</w:t>
      </w:r>
      <w:r>
        <w:rPr>
          <w:bCs/>
        </w:rPr>
        <w:t> </w:t>
      </w:r>
      <w:r w:rsidRPr="00C44FE1">
        <w:rPr>
          <w:bCs/>
        </w:rPr>
        <w:t>2014.</w:t>
      </w:r>
    </w:p>
    <w:p w:rsidR="00794EDE" w:rsidRPr="00276F92" w:rsidRDefault="00794EDE" w:rsidP="00F54CA4">
      <w:pPr>
        <w:tabs>
          <w:tab w:val="left" w:pos="709"/>
        </w:tabs>
        <w:jc w:val="both"/>
        <w:rPr>
          <w:rFonts w:cs="Arial"/>
          <w:szCs w:val="20"/>
        </w:rPr>
      </w:pPr>
    </w:p>
    <w:p w:rsidR="00794EDE" w:rsidRPr="00C44FE1" w:rsidRDefault="00794EDE" w:rsidP="00520CAA">
      <w:pPr>
        <w:pStyle w:val="ListParagraph"/>
        <w:numPr>
          <w:ilvl w:val="0"/>
          <w:numId w:val="28"/>
        </w:numPr>
        <w:tabs>
          <w:tab w:val="left" w:pos="709"/>
        </w:tabs>
        <w:ind w:left="0" w:firstLine="0"/>
        <w:jc w:val="both"/>
      </w:pPr>
      <w:r w:rsidRPr="00F23ED8">
        <w:t xml:space="preserve">In the </w:t>
      </w:r>
      <w:r w:rsidR="00A952CD">
        <w:t>International Patent Classification (</w:t>
      </w:r>
      <w:r w:rsidRPr="00F23ED8">
        <w:t>IPC</w:t>
      </w:r>
      <w:r w:rsidR="00A952CD">
        <w:t>)</w:t>
      </w:r>
      <w:r w:rsidRPr="00F23ED8">
        <w:t>, the modified publication platform</w:t>
      </w:r>
      <w:r w:rsidRPr="00C44FE1">
        <w:t xml:space="preserve"> to facilitate the use of the system, including a new search tool and the IPC/CPC/FI parallel viewer, was launched in April 2014.  Due to the implementation of several new revision projects for the maintenance and enhancement of the IPC, the number of new subdivisions introduced in 2014 (337) was lower than anticipated.  The number of new groups being introduced is expected to be achieved by the end of the biennium.</w:t>
      </w:r>
    </w:p>
    <w:p w:rsidR="00794EDE" w:rsidRPr="00276F92" w:rsidRDefault="00794EDE" w:rsidP="00F54CA4">
      <w:pPr>
        <w:tabs>
          <w:tab w:val="left" w:pos="709"/>
        </w:tabs>
        <w:jc w:val="both"/>
        <w:rPr>
          <w:szCs w:val="20"/>
        </w:rPr>
      </w:pPr>
      <w:r>
        <w:rPr>
          <w:rFonts w:cs="Arial"/>
          <w:szCs w:val="20"/>
        </w:rPr>
        <w:t xml:space="preserve">  </w:t>
      </w:r>
    </w:p>
    <w:p w:rsidR="00794EDE" w:rsidRPr="00C44FE1" w:rsidRDefault="00794EDE" w:rsidP="00520CAA">
      <w:pPr>
        <w:pStyle w:val="ListParagraph"/>
        <w:numPr>
          <w:ilvl w:val="0"/>
          <w:numId w:val="28"/>
        </w:numPr>
        <w:tabs>
          <w:tab w:val="left" w:pos="709"/>
        </w:tabs>
        <w:ind w:left="0" w:firstLine="0"/>
        <w:jc w:val="both"/>
        <w:rPr>
          <w:bCs/>
        </w:rPr>
      </w:pPr>
      <w:r w:rsidRPr="00C44FE1">
        <w:rPr>
          <w:bCs/>
        </w:rPr>
        <w:t xml:space="preserve">At its fourth session, the Committee on WIPO Standards (CWS) was unable to adopt an agenda, resulting in informal decisions not being formalized.  Despite this set-back, there was one new standard adopted and one standard revised informally in 2014.  </w:t>
      </w:r>
    </w:p>
    <w:p w:rsidR="00794EDE" w:rsidRPr="00276F92" w:rsidRDefault="00794EDE" w:rsidP="00F54CA4">
      <w:pPr>
        <w:tabs>
          <w:tab w:val="left" w:pos="709"/>
        </w:tabs>
        <w:jc w:val="both"/>
        <w:rPr>
          <w:bCs/>
          <w:szCs w:val="20"/>
        </w:rPr>
      </w:pPr>
    </w:p>
    <w:p w:rsidR="00794EDE" w:rsidRPr="00C44FE1" w:rsidRDefault="00794EDE" w:rsidP="00520CAA">
      <w:pPr>
        <w:pStyle w:val="ListParagraph"/>
        <w:numPr>
          <w:ilvl w:val="0"/>
          <w:numId w:val="28"/>
        </w:numPr>
        <w:tabs>
          <w:tab w:val="left" w:pos="709"/>
        </w:tabs>
        <w:ind w:left="0" w:firstLine="0"/>
        <w:jc w:val="both"/>
        <w:rPr>
          <w:bCs/>
        </w:rPr>
      </w:pPr>
      <w:r w:rsidRPr="00F23ED8">
        <w:rPr>
          <w:bCs/>
        </w:rPr>
        <w:t xml:space="preserve">The use of </w:t>
      </w:r>
      <w:r w:rsidRPr="00C44FE1">
        <w:rPr>
          <w:bCs/>
        </w:rPr>
        <w:t xml:space="preserve">internet tools for accessing classifications and standards publications showed stable growth with visits to the IPC Publications substantially higher (a </w:t>
      </w:r>
      <w:r>
        <w:rPr>
          <w:bCs/>
        </w:rPr>
        <w:t>61 per cent</w:t>
      </w:r>
      <w:r w:rsidRPr="00C44FE1">
        <w:rPr>
          <w:bCs/>
        </w:rPr>
        <w:t xml:space="preserve"> increase over 2013), due to the inclusion of revised classifications and new tools.  The number of visits to NICE Pub and to Locarno Home also saw increases of 8.4 per cent and 21.3 percent respectively.  The Vienna Home publication and the WIPO Standards Handbook saw decreases of 8.7 per cent and 29.7 per cent as compared to 2013, possibly due to the institutional challenges faced in the CWS.</w:t>
      </w:r>
    </w:p>
    <w:p w:rsidR="00794EDE" w:rsidRDefault="00794EDE" w:rsidP="00F54CA4">
      <w:pPr>
        <w:tabs>
          <w:tab w:val="left" w:pos="709"/>
        </w:tabs>
        <w:jc w:val="both"/>
        <w:rPr>
          <w:bCs/>
          <w:szCs w:val="20"/>
        </w:rPr>
      </w:pPr>
    </w:p>
    <w:p w:rsidR="00794EDE" w:rsidRPr="00C44FE1" w:rsidRDefault="00794EDE" w:rsidP="00520CAA">
      <w:pPr>
        <w:pStyle w:val="ListParagraph"/>
        <w:numPr>
          <w:ilvl w:val="0"/>
          <w:numId w:val="28"/>
        </w:numPr>
        <w:tabs>
          <w:tab w:val="left" w:pos="709"/>
        </w:tabs>
        <w:ind w:left="0" w:firstLine="0"/>
        <w:jc w:val="both"/>
        <w:rPr>
          <w:bCs/>
        </w:rPr>
      </w:pPr>
      <w:r w:rsidRPr="00F23ED8">
        <w:rPr>
          <w:rFonts w:eastAsia="MS Mincho"/>
          <w:lang w:eastAsia="ja-JP" w:bidi="th-TH"/>
        </w:rPr>
        <w:t>The work of Program 12 continued to support the implementation of DA Recommendations 8, 30 and 31 by facilitating access for developing countries to publicly available patent information.  In doing so, it also contribute</w:t>
      </w:r>
      <w:r w:rsidRPr="00C44FE1">
        <w:rPr>
          <w:rFonts w:eastAsia="MS Mincho"/>
          <w:lang w:eastAsia="ja-JP" w:bidi="th-TH"/>
        </w:rPr>
        <w:t>d to efforts related to the transfer of technologies.</w:t>
      </w:r>
    </w:p>
    <w:p w:rsidR="00794EDE" w:rsidRDefault="00794EDE" w:rsidP="00F54CA4">
      <w:pPr>
        <w:jc w:val="both"/>
        <w:rPr>
          <w:bCs/>
          <w:sz w:val="22"/>
          <w:szCs w:val="22"/>
        </w:rPr>
      </w:pPr>
    </w:p>
    <w:p w:rsidR="00794EDE" w:rsidRDefault="00794EDE" w:rsidP="00F54CA4">
      <w:pPr>
        <w:jc w:val="both"/>
        <w:rPr>
          <w:bCs/>
          <w:sz w:val="22"/>
          <w:szCs w:val="22"/>
        </w:rPr>
      </w:pPr>
    </w:p>
    <w:p w:rsidR="00794EDE" w:rsidRDefault="00794EDE" w:rsidP="00F54CA4">
      <w:pPr>
        <w:jc w:val="both"/>
        <w:rPr>
          <w:rFonts w:cs="Arial"/>
          <w:sz w:val="22"/>
          <w:szCs w:val="22"/>
        </w:rPr>
      </w:pPr>
      <w:r w:rsidRPr="005E6AFC">
        <w:rPr>
          <w:rFonts w:cs="Arial"/>
          <w:sz w:val="22"/>
          <w:szCs w:val="22"/>
        </w:rPr>
        <w:t>PERFORMANCE DATA</w:t>
      </w:r>
    </w:p>
    <w:p w:rsidR="00794EDE" w:rsidRDefault="00794EDE" w:rsidP="00F54CA4">
      <w:pPr>
        <w:rPr>
          <w:bCs/>
          <w:sz w:val="22"/>
          <w:szCs w:val="22"/>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9"/>
        <w:gridCol w:w="2268"/>
        <w:gridCol w:w="1698"/>
        <w:gridCol w:w="2268"/>
        <w:gridCol w:w="995"/>
      </w:tblGrid>
      <w:tr w:rsidR="00794EDE" w:rsidRPr="0068151C" w:rsidTr="00F54CA4">
        <w:tc>
          <w:tcPr>
            <w:tcW w:w="5000" w:type="pct"/>
            <w:gridSpan w:val="5"/>
            <w:tcBorders>
              <w:top w:val="single" w:sz="4" w:space="0" w:color="auto"/>
              <w:bottom w:val="single" w:sz="4" w:space="0" w:color="auto"/>
            </w:tcBorders>
            <w:shd w:val="clear" w:color="auto" w:fill="CCFFFF"/>
            <w:vAlign w:val="center"/>
          </w:tcPr>
          <w:p w:rsidR="00794EDE" w:rsidRPr="0068151C" w:rsidRDefault="00794EDE">
            <w:pPr>
              <w:keepNext/>
              <w:keepLines/>
              <w:tabs>
                <w:tab w:val="left" w:pos="1452"/>
              </w:tabs>
              <w:spacing w:before="120" w:after="120"/>
              <w:ind w:left="1452" w:hanging="1452"/>
              <w:rPr>
                <w:rFonts w:cs="Arial"/>
                <w:b/>
                <w:bCs/>
                <w:sz w:val="16"/>
                <w:szCs w:val="16"/>
              </w:rPr>
            </w:pPr>
            <w:r w:rsidRPr="0068151C">
              <w:rPr>
                <w:rFonts w:cs="Arial"/>
                <w:b/>
                <w:bCs/>
                <w:sz w:val="16"/>
                <w:szCs w:val="16"/>
              </w:rPr>
              <w:t>Expected Result:</w:t>
            </w:r>
            <w:r w:rsidRPr="0068151C">
              <w:rPr>
                <w:rFonts w:cs="Arial"/>
                <w:b/>
                <w:bCs/>
                <w:sz w:val="16"/>
                <w:szCs w:val="16"/>
              </w:rPr>
              <w:tab/>
            </w:r>
            <w:r w:rsidRPr="00093A89">
              <w:rPr>
                <w:rFonts w:cs="Arial"/>
                <w:sz w:val="16"/>
                <w:szCs w:val="16"/>
              </w:rPr>
              <w:t>IV.1 Updated and globally accepted system of international classifications and WIPO standards to facilitate access, use and dissemination of IP information among stakeholders in the world</w:t>
            </w:r>
          </w:p>
        </w:tc>
      </w:tr>
      <w:tr w:rsidR="00794EDE" w:rsidRPr="0068151C" w:rsidTr="00F54CA4">
        <w:tc>
          <w:tcPr>
            <w:tcW w:w="1194" w:type="pct"/>
            <w:tcBorders>
              <w:top w:val="single" w:sz="4" w:space="0" w:color="auto"/>
            </w:tcBorders>
            <w:shd w:val="clear" w:color="auto" w:fill="auto"/>
            <w:vAlign w:val="center"/>
          </w:tcPr>
          <w:p w:rsidR="00794EDE" w:rsidRPr="0068151C" w:rsidRDefault="00794EDE">
            <w:pPr>
              <w:rPr>
                <w:rFonts w:cs="Arial"/>
                <w:sz w:val="16"/>
                <w:szCs w:val="16"/>
              </w:rPr>
            </w:pPr>
            <w:r w:rsidRPr="0068151C">
              <w:rPr>
                <w:rFonts w:cs="Arial"/>
                <w:b/>
                <w:bCs/>
                <w:sz w:val="16"/>
                <w:szCs w:val="16"/>
              </w:rPr>
              <w:t>Performance Indicators</w:t>
            </w:r>
          </w:p>
        </w:tc>
        <w:tc>
          <w:tcPr>
            <w:tcW w:w="1194" w:type="pct"/>
            <w:tcBorders>
              <w:top w:val="single" w:sz="4" w:space="0" w:color="auto"/>
            </w:tcBorders>
            <w:shd w:val="clear" w:color="auto" w:fill="auto"/>
            <w:vAlign w:val="center"/>
          </w:tcPr>
          <w:p w:rsidR="00794EDE" w:rsidRPr="0068151C" w:rsidRDefault="00794EDE">
            <w:pPr>
              <w:rPr>
                <w:rFonts w:cs="Arial"/>
                <w:b/>
                <w:bCs/>
                <w:sz w:val="16"/>
                <w:szCs w:val="16"/>
              </w:rPr>
            </w:pPr>
            <w:r w:rsidRPr="0068151C">
              <w:rPr>
                <w:rFonts w:cs="Arial"/>
                <w:b/>
                <w:bCs/>
                <w:sz w:val="16"/>
                <w:szCs w:val="16"/>
              </w:rPr>
              <w:t>Baselines</w:t>
            </w:r>
          </w:p>
        </w:tc>
        <w:tc>
          <w:tcPr>
            <w:tcW w:w="894" w:type="pct"/>
            <w:tcBorders>
              <w:top w:val="single" w:sz="4" w:space="0" w:color="auto"/>
            </w:tcBorders>
            <w:shd w:val="clear" w:color="auto" w:fill="auto"/>
            <w:tcMar>
              <w:top w:w="110" w:type="dxa"/>
            </w:tcMar>
            <w:vAlign w:val="center"/>
          </w:tcPr>
          <w:p w:rsidR="00794EDE" w:rsidRPr="0068151C" w:rsidRDefault="00794EDE">
            <w:pPr>
              <w:rPr>
                <w:rFonts w:cs="Arial"/>
                <w:b/>
                <w:sz w:val="16"/>
                <w:szCs w:val="16"/>
              </w:rPr>
            </w:pPr>
            <w:r w:rsidRPr="0068151C">
              <w:rPr>
                <w:rFonts w:cs="Arial"/>
                <w:b/>
                <w:sz w:val="16"/>
                <w:szCs w:val="16"/>
              </w:rPr>
              <w:t>Target</w:t>
            </w:r>
            <w:r>
              <w:rPr>
                <w:rFonts w:cs="Arial"/>
                <w:b/>
                <w:sz w:val="16"/>
                <w:szCs w:val="16"/>
              </w:rPr>
              <w:t>s</w:t>
            </w:r>
          </w:p>
        </w:tc>
        <w:tc>
          <w:tcPr>
            <w:tcW w:w="1194" w:type="pct"/>
            <w:tcBorders>
              <w:top w:val="single" w:sz="4" w:space="0" w:color="auto"/>
            </w:tcBorders>
            <w:shd w:val="clear" w:color="auto" w:fill="FFFFFF"/>
            <w:tcMar>
              <w:top w:w="110" w:type="dxa"/>
            </w:tcMar>
            <w:vAlign w:val="center"/>
          </w:tcPr>
          <w:p w:rsidR="00794EDE" w:rsidRPr="0068151C" w:rsidRDefault="00794EDE">
            <w:pPr>
              <w:rPr>
                <w:rFonts w:cs="Arial"/>
                <w:sz w:val="16"/>
                <w:szCs w:val="16"/>
              </w:rPr>
            </w:pPr>
            <w:r w:rsidRPr="0068151C">
              <w:rPr>
                <w:rFonts w:cs="Arial"/>
                <w:b/>
                <w:bCs/>
                <w:sz w:val="16"/>
                <w:szCs w:val="16"/>
              </w:rPr>
              <w:t>Performance Data</w:t>
            </w:r>
          </w:p>
        </w:tc>
        <w:tc>
          <w:tcPr>
            <w:tcW w:w="523" w:type="pct"/>
            <w:tcBorders>
              <w:top w:val="single" w:sz="4" w:space="0" w:color="auto"/>
            </w:tcBorders>
            <w:shd w:val="clear" w:color="auto" w:fill="auto"/>
            <w:tcMar>
              <w:top w:w="110" w:type="dxa"/>
            </w:tcMar>
            <w:vAlign w:val="center"/>
          </w:tcPr>
          <w:p w:rsidR="00794EDE" w:rsidRPr="0068151C" w:rsidRDefault="00794EDE">
            <w:pPr>
              <w:keepNext/>
              <w:keepLines/>
              <w:jc w:val="center"/>
              <w:rPr>
                <w:rFonts w:cs="Arial"/>
                <w:b/>
                <w:bCs/>
                <w:sz w:val="16"/>
                <w:szCs w:val="16"/>
              </w:rPr>
            </w:pPr>
            <w:r w:rsidRPr="0068151C">
              <w:rPr>
                <w:rFonts w:cs="Arial"/>
                <w:b/>
                <w:bCs/>
                <w:sz w:val="16"/>
                <w:szCs w:val="16"/>
              </w:rPr>
              <w:t>TLS</w:t>
            </w:r>
          </w:p>
        </w:tc>
      </w:tr>
      <w:tr w:rsidR="00794EDE" w:rsidRPr="0068151C" w:rsidTr="00F54CA4">
        <w:tc>
          <w:tcPr>
            <w:tcW w:w="1194" w:type="pct"/>
            <w:shd w:val="clear" w:color="auto" w:fill="auto"/>
          </w:tcPr>
          <w:p w:rsidR="00794EDE" w:rsidRPr="0068151C" w:rsidRDefault="00794EDE">
            <w:pPr>
              <w:rPr>
                <w:rFonts w:cs="Arial"/>
                <w:color w:val="000000"/>
                <w:sz w:val="16"/>
                <w:szCs w:val="16"/>
              </w:rPr>
            </w:pPr>
            <w:r w:rsidRPr="00093A89">
              <w:rPr>
                <w:rFonts w:cs="Arial"/>
                <w:color w:val="000000"/>
                <w:sz w:val="16"/>
                <w:szCs w:val="16"/>
              </w:rPr>
              <w:t>No. of amendments and information files introduced into the Nice Classification</w:t>
            </w:r>
          </w:p>
        </w:tc>
        <w:tc>
          <w:tcPr>
            <w:tcW w:w="1194" w:type="pct"/>
            <w:shd w:val="clear" w:color="auto" w:fill="auto"/>
          </w:tcPr>
          <w:p w:rsidR="00794EDE" w:rsidRPr="00093A89" w:rsidRDefault="00794EDE">
            <w:pPr>
              <w:rPr>
                <w:rFonts w:cs="Arial"/>
                <w:color w:val="002060"/>
                <w:sz w:val="16"/>
                <w:szCs w:val="16"/>
                <w:lang w:bidi="th-TH"/>
              </w:rPr>
            </w:pPr>
            <w:r>
              <w:rPr>
                <w:rFonts w:cs="Arial"/>
                <w:i/>
                <w:color w:val="002060"/>
                <w:sz w:val="16"/>
                <w:szCs w:val="16"/>
              </w:rPr>
              <w:t>Updated Baseline end 2013</w:t>
            </w:r>
            <w:r w:rsidRPr="0068151C">
              <w:rPr>
                <w:rFonts w:cs="Arial"/>
                <w:i/>
                <w:color w:val="002060"/>
                <w:sz w:val="16"/>
                <w:szCs w:val="16"/>
              </w:rPr>
              <w:t xml:space="preserve">:  </w:t>
            </w:r>
          </w:p>
          <w:p w:rsidR="00794EDE" w:rsidRDefault="00794EDE">
            <w:pPr>
              <w:rPr>
                <w:rFonts w:cs="Arial"/>
                <w:color w:val="002060"/>
                <w:sz w:val="16"/>
                <w:szCs w:val="16"/>
                <w:lang w:bidi="th-TH"/>
              </w:rPr>
            </w:pPr>
            <w:r>
              <w:rPr>
                <w:rFonts w:cs="Arial"/>
                <w:color w:val="002060"/>
                <w:sz w:val="16"/>
                <w:szCs w:val="16"/>
                <w:lang w:bidi="th-TH"/>
              </w:rPr>
              <w:t>432 modifications in 2013</w:t>
            </w:r>
          </w:p>
          <w:p w:rsidR="00794EDE" w:rsidRDefault="00794EDE">
            <w:pPr>
              <w:rPr>
                <w:rFonts w:cs="Arial"/>
                <w:color w:val="002060"/>
                <w:sz w:val="16"/>
                <w:szCs w:val="16"/>
                <w:lang w:bidi="th-TH"/>
              </w:rPr>
            </w:pPr>
            <w:r>
              <w:rPr>
                <w:rFonts w:cs="Arial"/>
                <w:color w:val="002060"/>
                <w:sz w:val="16"/>
                <w:szCs w:val="16"/>
                <w:lang w:bidi="th-TH"/>
              </w:rPr>
              <w:t>339 modifications in 2012</w:t>
            </w:r>
          </w:p>
          <w:p w:rsidR="00794EDE" w:rsidRPr="00093A89" w:rsidRDefault="00794EDE">
            <w:pPr>
              <w:rPr>
                <w:rFonts w:cs="Arial"/>
                <w:color w:val="002060"/>
                <w:sz w:val="16"/>
                <w:szCs w:val="16"/>
                <w:lang w:bidi="th-TH"/>
              </w:rPr>
            </w:pPr>
          </w:p>
          <w:p w:rsidR="00794EDE" w:rsidRPr="0068151C" w:rsidRDefault="00794EDE">
            <w:pPr>
              <w:rPr>
                <w:rFonts w:cs="Arial"/>
                <w:i/>
                <w:color w:val="002060"/>
                <w:sz w:val="16"/>
                <w:szCs w:val="16"/>
              </w:rPr>
            </w:pPr>
            <w:r w:rsidRPr="00093A89">
              <w:rPr>
                <w:rFonts w:cs="Arial"/>
                <w:color w:val="002060"/>
                <w:sz w:val="16"/>
                <w:szCs w:val="16"/>
                <w:lang w:bidi="th-TH"/>
              </w:rPr>
              <w:t>9 info</w:t>
            </w:r>
            <w:r>
              <w:rPr>
                <w:rFonts w:cs="Arial"/>
                <w:color w:val="002060"/>
                <w:sz w:val="16"/>
                <w:szCs w:val="16"/>
                <w:lang w:bidi="th-TH"/>
              </w:rPr>
              <w:t>rmation</w:t>
            </w:r>
            <w:r w:rsidRPr="00093A89">
              <w:rPr>
                <w:rFonts w:cs="Arial"/>
                <w:color w:val="002060"/>
                <w:sz w:val="16"/>
                <w:szCs w:val="16"/>
                <w:lang w:bidi="th-TH"/>
              </w:rPr>
              <w:t xml:space="preserve"> files revised and 17 new info</w:t>
            </w:r>
            <w:r>
              <w:rPr>
                <w:rFonts w:cs="Arial"/>
                <w:color w:val="002060"/>
                <w:sz w:val="16"/>
                <w:szCs w:val="16"/>
                <w:lang w:bidi="th-TH"/>
              </w:rPr>
              <w:t>rmation</w:t>
            </w:r>
            <w:r w:rsidRPr="00093A89">
              <w:rPr>
                <w:rFonts w:cs="Arial"/>
                <w:color w:val="002060"/>
                <w:sz w:val="16"/>
                <w:szCs w:val="16"/>
                <w:lang w:bidi="th-TH"/>
              </w:rPr>
              <w:t xml:space="preserve"> files introduced</w:t>
            </w:r>
          </w:p>
          <w:p w:rsidR="00794EDE" w:rsidRPr="0068151C" w:rsidRDefault="00794EDE">
            <w:pPr>
              <w:rPr>
                <w:rFonts w:cs="Arial"/>
                <w:i/>
                <w:sz w:val="8"/>
                <w:szCs w:val="8"/>
              </w:rPr>
            </w:pPr>
          </w:p>
          <w:p w:rsidR="00794EDE" w:rsidRDefault="00794EDE">
            <w:pPr>
              <w:rPr>
                <w:rFonts w:cs="Arial"/>
                <w:sz w:val="16"/>
                <w:szCs w:val="16"/>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sidRPr="00093A89">
              <w:rPr>
                <w:rFonts w:cs="Arial"/>
                <w:sz w:val="16"/>
                <w:szCs w:val="16"/>
              </w:rPr>
              <w:t>No of amendments and info files introduced in 2013.</w:t>
            </w:r>
          </w:p>
          <w:p w:rsidR="00794EDE" w:rsidRPr="0068151C" w:rsidRDefault="00794EDE">
            <w:pPr>
              <w:rPr>
                <w:rFonts w:cs="Arial"/>
                <w:sz w:val="16"/>
                <w:szCs w:val="16"/>
              </w:rPr>
            </w:pPr>
          </w:p>
        </w:tc>
        <w:tc>
          <w:tcPr>
            <w:tcW w:w="894" w:type="pct"/>
            <w:shd w:val="clear" w:color="auto" w:fill="auto"/>
            <w:tcMar>
              <w:top w:w="110" w:type="dxa"/>
            </w:tcMar>
          </w:tcPr>
          <w:p w:rsidR="00794EDE" w:rsidRPr="0068151C" w:rsidRDefault="00794EDE">
            <w:pPr>
              <w:rPr>
                <w:rFonts w:cs="Arial"/>
                <w:sz w:val="16"/>
                <w:szCs w:val="16"/>
                <w:lang w:bidi="th-TH"/>
              </w:rPr>
            </w:pPr>
            <w:r w:rsidRPr="00093A89">
              <w:rPr>
                <w:rFonts w:cs="Arial"/>
                <w:sz w:val="16"/>
                <w:szCs w:val="16"/>
              </w:rPr>
              <w:t>Increase compared to baseline</w:t>
            </w:r>
          </w:p>
        </w:tc>
        <w:tc>
          <w:tcPr>
            <w:tcW w:w="1194" w:type="pct"/>
            <w:shd w:val="clear" w:color="auto" w:fill="FFFFFF"/>
            <w:tcMar>
              <w:top w:w="110" w:type="dxa"/>
            </w:tcMar>
          </w:tcPr>
          <w:p w:rsidR="00794EDE" w:rsidRPr="00820597" w:rsidRDefault="00794EDE">
            <w:pPr>
              <w:rPr>
                <w:rFonts w:cs="Arial"/>
                <w:sz w:val="16"/>
                <w:szCs w:val="16"/>
              </w:rPr>
            </w:pPr>
            <w:r w:rsidRPr="00820597">
              <w:rPr>
                <w:rFonts w:cs="Arial"/>
                <w:sz w:val="16"/>
                <w:szCs w:val="16"/>
              </w:rPr>
              <w:t>279</w:t>
            </w:r>
            <w:r>
              <w:rPr>
                <w:rFonts w:cs="Arial"/>
                <w:sz w:val="16"/>
                <w:szCs w:val="16"/>
              </w:rPr>
              <w:t xml:space="preserve"> amendments</w:t>
            </w:r>
            <w:r w:rsidRPr="00820597">
              <w:rPr>
                <w:rFonts w:cs="Arial"/>
                <w:sz w:val="16"/>
                <w:szCs w:val="16"/>
              </w:rPr>
              <w:t xml:space="preserve"> in English</w:t>
            </w:r>
          </w:p>
          <w:p w:rsidR="00794EDE" w:rsidRPr="00820597" w:rsidRDefault="00794EDE">
            <w:pPr>
              <w:rPr>
                <w:rFonts w:cs="Arial"/>
                <w:sz w:val="16"/>
                <w:szCs w:val="16"/>
              </w:rPr>
            </w:pPr>
            <w:r w:rsidRPr="00820597">
              <w:rPr>
                <w:rFonts w:cs="Arial"/>
                <w:sz w:val="16"/>
                <w:szCs w:val="16"/>
              </w:rPr>
              <w:t>291</w:t>
            </w:r>
            <w:r>
              <w:rPr>
                <w:rFonts w:cs="Arial"/>
                <w:sz w:val="16"/>
                <w:szCs w:val="16"/>
              </w:rPr>
              <w:t xml:space="preserve"> amendments </w:t>
            </w:r>
            <w:r w:rsidRPr="00820597">
              <w:rPr>
                <w:rFonts w:cs="Arial"/>
                <w:sz w:val="16"/>
                <w:szCs w:val="16"/>
              </w:rPr>
              <w:t xml:space="preserve"> in French</w:t>
            </w:r>
          </w:p>
          <w:p w:rsidR="00794EDE" w:rsidRPr="00820597" w:rsidRDefault="00794EDE">
            <w:pPr>
              <w:rPr>
                <w:rFonts w:cs="Arial"/>
                <w:sz w:val="16"/>
                <w:szCs w:val="16"/>
              </w:rPr>
            </w:pPr>
            <w:r w:rsidRPr="00820597">
              <w:rPr>
                <w:rFonts w:cs="Arial"/>
                <w:sz w:val="16"/>
                <w:szCs w:val="16"/>
              </w:rPr>
              <w:t>570 Total</w:t>
            </w:r>
          </w:p>
          <w:p w:rsidR="00794EDE" w:rsidRDefault="00794EDE">
            <w:pPr>
              <w:rPr>
                <w:rFonts w:cs="Arial"/>
                <w:sz w:val="16"/>
                <w:szCs w:val="16"/>
              </w:rPr>
            </w:pPr>
          </w:p>
          <w:p w:rsidR="00794EDE" w:rsidRPr="00820597" w:rsidRDefault="00794EDE">
            <w:pPr>
              <w:rPr>
                <w:rFonts w:cs="Arial"/>
                <w:sz w:val="16"/>
                <w:szCs w:val="16"/>
              </w:rPr>
            </w:pPr>
            <w:r w:rsidRPr="00820597">
              <w:rPr>
                <w:rFonts w:cs="Arial"/>
                <w:sz w:val="16"/>
                <w:szCs w:val="16"/>
              </w:rPr>
              <w:t>20 new info</w:t>
            </w:r>
            <w:r>
              <w:rPr>
                <w:rFonts w:cs="Arial"/>
                <w:sz w:val="16"/>
                <w:szCs w:val="16"/>
              </w:rPr>
              <w:t xml:space="preserve">rmation </w:t>
            </w:r>
            <w:r w:rsidRPr="00820597">
              <w:rPr>
                <w:rFonts w:cs="Arial"/>
                <w:sz w:val="16"/>
                <w:szCs w:val="16"/>
              </w:rPr>
              <w:t xml:space="preserve"> files</w:t>
            </w:r>
          </w:p>
          <w:p w:rsidR="00794EDE" w:rsidRPr="0068151C" w:rsidRDefault="00794EDE">
            <w:pPr>
              <w:rPr>
                <w:rFonts w:cs="Arial"/>
                <w:sz w:val="16"/>
                <w:szCs w:val="16"/>
              </w:rPr>
            </w:pPr>
            <w:r w:rsidRPr="00820597">
              <w:rPr>
                <w:rFonts w:cs="Arial"/>
                <w:sz w:val="16"/>
                <w:szCs w:val="16"/>
              </w:rPr>
              <w:t>39 info</w:t>
            </w:r>
            <w:r>
              <w:rPr>
                <w:rFonts w:cs="Arial"/>
                <w:sz w:val="16"/>
                <w:szCs w:val="16"/>
              </w:rPr>
              <w:t xml:space="preserve">rmation </w:t>
            </w:r>
            <w:r w:rsidRPr="00820597">
              <w:rPr>
                <w:rFonts w:cs="Arial"/>
                <w:sz w:val="16"/>
                <w:szCs w:val="16"/>
              </w:rPr>
              <w:t xml:space="preserve"> files revised</w:t>
            </w:r>
          </w:p>
        </w:tc>
        <w:tc>
          <w:tcPr>
            <w:tcW w:w="523" w:type="pct"/>
            <w:shd w:val="clear" w:color="auto" w:fill="auto"/>
            <w:tcMar>
              <w:top w:w="110" w:type="dxa"/>
            </w:tcMar>
          </w:tcPr>
          <w:p w:rsidR="00794EDE" w:rsidRPr="00276F92" w:rsidRDefault="00794EDE">
            <w:pPr>
              <w:keepNext/>
              <w:keepLines/>
              <w:jc w:val="center"/>
              <w:rPr>
                <w:rFonts w:cs="Arial"/>
                <w:b/>
                <w:bCs/>
                <w:color w:val="00B050"/>
                <w:sz w:val="16"/>
                <w:szCs w:val="16"/>
              </w:rPr>
            </w:pPr>
            <w:r w:rsidRPr="00276F92">
              <w:rPr>
                <w:rFonts w:cs="Arial"/>
                <w:b/>
                <w:bCs/>
                <w:color w:val="00B050"/>
                <w:sz w:val="16"/>
                <w:szCs w:val="16"/>
              </w:rPr>
              <w:t>On track</w:t>
            </w:r>
          </w:p>
        </w:tc>
      </w:tr>
    </w:tbl>
    <w:p w:rsidR="00794EDE" w:rsidRDefault="00794EDE">
      <w:r>
        <w:br w:type="page"/>
      </w: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9"/>
        <w:gridCol w:w="2269"/>
        <w:gridCol w:w="1699"/>
        <w:gridCol w:w="2268"/>
        <w:gridCol w:w="993"/>
      </w:tblGrid>
      <w:tr w:rsidR="00794EDE" w:rsidRPr="0068151C" w:rsidTr="00F54CA4">
        <w:tc>
          <w:tcPr>
            <w:tcW w:w="1194" w:type="pct"/>
            <w:shd w:val="clear" w:color="auto" w:fill="auto"/>
            <w:vAlign w:val="center"/>
          </w:tcPr>
          <w:p w:rsidR="00794EDE" w:rsidRPr="0068151C" w:rsidRDefault="00794EDE" w:rsidP="00F54CA4">
            <w:pPr>
              <w:rPr>
                <w:rFonts w:cs="Arial"/>
                <w:sz w:val="16"/>
                <w:szCs w:val="16"/>
              </w:rPr>
            </w:pPr>
            <w:r w:rsidRPr="0068151C">
              <w:rPr>
                <w:rFonts w:cs="Arial"/>
                <w:b/>
                <w:bCs/>
                <w:sz w:val="16"/>
                <w:szCs w:val="16"/>
              </w:rPr>
              <w:lastRenderedPageBreak/>
              <w:t>Performance Indicators</w:t>
            </w:r>
          </w:p>
        </w:tc>
        <w:tc>
          <w:tcPr>
            <w:tcW w:w="1194" w:type="pct"/>
            <w:shd w:val="clear" w:color="auto" w:fill="auto"/>
            <w:vAlign w:val="center"/>
          </w:tcPr>
          <w:p w:rsidR="00794EDE" w:rsidRPr="0068151C" w:rsidRDefault="00794EDE" w:rsidP="00F54CA4">
            <w:pPr>
              <w:rPr>
                <w:rFonts w:cs="Arial"/>
                <w:b/>
                <w:bCs/>
                <w:sz w:val="16"/>
                <w:szCs w:val="16"/>
              </w:rPr>
            </w:pPr>
            <w:r w:rsidRPr="0068151C">
              <w:rPr>
                <w:rFonts w:cs="Arial"/>
                <w:b/>
                <w:bCs/>
                <w:sz w:val="16"/>
                <w:szCs w:val="16"/>
              </w:rPr>
              <w:t>Baselines</w:t>
            </w:r>
          </w:p>
        </w:tc>
        <w:tc>
          <w:tcPr>
            <w:tcW w:w="894" w:type="pct"/>
            <w:shd w:val="clear" w:color="auto" w:fill="auto"/>
            <w:tcMar>
              <w:top w:w="110" w:type="dxa"/>
            </w:tcMar>
            <w:vAlign w:val="center"/>
          </w:tcPr>
          <w:p w:rsidR="00794EDE" w:rsidRPr="0068151C" w:rsidRDefault="00794EDE" w:rsidP="00F54CA4">
            <w:pPr>
              <w:rPr>
                <w:rFonts w:cs="Arial"/>
                <w:b/>
                <w:sz w:val="16"/>
                <w:szCs w:val="16"/>
              </w:rPr>
            </w:pPr>
            <w:r w:rsidRPr="0068151C">
              <w:rPr>
                <w:rFonts w:cs="Arial"/>
                <w:b/>
                <w:sz w:val="16"/>
                <w:szCs w:val="16"/>
              </w:rPr>
              <w:t>Target</w:t>
            </w:r>
            <w:r>
              <w:rPr>
                <w:rFonts w:cs="Arial"/>
                <w:b/>
                <w:sz w:val="16"/>
                <w:szCs w:val="16"/>
              </w:rPr>
              <w:t>s</w:t>
            </w:r>
          </w:p>
        </w:tc>
        <w:tc>
          <w:tcPr>
            <w:tcW w:w="1194" w:type="pct"/>
            <w:shd w:val="clear" w:color="auto" w:fill="FFFFFF"/>
            <w:tcMar>
              <w:top w:w="110" w:type="dxa"/>
            </w:tcMar>
            <w:vAlign w:val="center"/>
          </w:tcPr>
          <w:p w:rsidR="00794EDE" w:rsidRPr="0068151C" w:rsidRDefault="00794EDE" w:rsidP="00F54CA4">
            <w:pPr>
              <w:rPr>
                <w:rFonts w:cs="Arial"/>
                <w:sz w:val="16"/>
                <w:szCs w:val="16"/>
              </w:rPr>
            </w:pPr>
            <w:r w:rsidRPr="0068151C">
              <w:rPr>
                <w:rFonts w:cs="Arial"/>
                <w:b/>
                <w:bCs/>
                <w:sz w:val="16"/>
                <w:szCs w:val="16"/>
              </w:rPr>
              <w:t>Performance Data</w:t>
            </w:r>
          </w:p>
        </w:tc>
        <w:tc>
          <w:tcPr>
            <w:tcW w:w="523" w:type="pct"/>
            <w:shd w:val="clear" w:color="auto" w:fill="auto"/>
            <w:tcMar>
              <w:top w:w="110" w:type="dxa"/>
            </w:tcMar>
            <w:vAlign w:val="center"/>
          </w:tcPr>
          <w:p w:rsidR="00794EDE" w:rsidRPr="0068151C" w:rsidRDefault="00794EDE" w:rsidP="00F54CA4">
            <w:pPr>
              <w:keepNext/>
              <w:keepLines/>
              <w:jc w:val="center"/>
              <w:rPr>
                <w:rFonts w:cs="Arial"/>
                <w:b/>
                <w:bCs/>
                <w:sz w:val="16"/>
                <w:szCs w:val="16"/>
              </w:rPr>
            </w:pPr>
            <w:r w:rsidRPr="0068151C">
              <w:rPr>
                <w:rFonts w:cs="Arial"/>
                <w:b/>
                <w:bCs/>
                <w:sz w:val="16"/>
                <w:szCs w:val="16"/>
              </w:rPr>
              <w:t>TLS</w:t>
            </w:r>
          </w:p>
        </w:tc>
      </w:tr>
      <w:tr w:rsidR="00794EDE" w:rsidRPr="0068151C" w:rsidTr="00F54CA4">
        <w:tc>
          <w:tcPr>
            <w:tcW w:w="1194" w:type="pct"/>
            <w:shd w:val="clear" w:color="auto" w:fill="auto"/>
          </w:tcPr>
          <w:p w:rsidR="00794EDE" w:rsidRPr="00093A89" w:rsidRDefault="00794EDE">
            <w:pPr>
              <w:rPr>
                <w:rFonts w:cs="Arial"/>
                <w:color w:val="000000"/>
                <w:sz w:val="16"/>
                <w:szCs w:val="16"/>
              </w:rPr>
            </w:pPr>
            <w:r w:rsidRPr="00C57B4B">
              <w:rPr>
                <w:rFonts w:cs="Arial"/>
                <w:color w:val="000000"/>
                <w:sz w:val="16"/>
                <w:szCs w:val="16"/>
              </w:rPr>
              <w:t>No. of new subdivisions introduced into the IPC per year</w:t>
            </w:r>
          </w:p>
        </w:tc>
        <w:tc>
          <w:tcPr>
            <w:tcW w:w="1194" w:type="pct"/>
            <w:shd w:val="clear" w:color="auto" w:fill="auto"/>
          </w:tcPr>
          <w:p w:rsidR="00794EDE" w:rsidRPr="002F3A66" w:rsidRDefault="00794EDE">
            <w:pPr>
              <w:rPr>
                <w:rFonts w:cs="Arial"/>
                <w:color w:val="002060"/>
                <w:sz w:val="16"/>
                <w:szCs w:val="16"/>
              </w:rPr>
            </w:pPr>
            <w:r>
              <w:rPr>
                <w:rFonts w:cs="Arial"/>
                <w:i/>
                <w:color w:val="002060"/>
                <w:sz w:val="16"/>
                <w:szCs w:val="16"/>
              </w:rPr>
              <w:t>Updated Baseline end 2013</w:t>
            </w:r>
            <w:r w:rsidRPr="0068151C">
              <w:rPr>
                <w:rFonts w:cs="Arial"/>
                <w:i/>
                <w:color w:val="002060"/>
                <w:sz w:val="16"/>
                <w:szCs w:val="16"/>
              </w:rPr>
              <w:t xml:space="preserve">:  </w:t>
            </w:r>
            <w:r w:rsidRPr="002F3A66">
              <w:rPr>
                <w:rFonts w:cs="Arial"/>
                <w:color w:val="002060"/>
                <w:sz w:val="16"/>
                <w:szCs w:val="16"/>
              </w:rPr>
              <w:t>617</w:t>
            </w:r>
          </w:p>
          <w:p w:rsidR="00794EDE" w:rsidRPr="0068151C" w:rsidRDefault="00794EDE">
            <w:pPr>
              <w:rPr>
                <w:rFonts w:cs="Arial"/>
                <w:i/>
                <w:sz w:val="8"/>
                <w:szCs w:val="8"/>
              </w:rPr>
            </w:pPr>
          </w:p>
          <w:p w:rsidR="00794EDE" w:rsidRPr="0068151C" w:rsidRDefault="00794EDE" w:rsidP="008218F3">
            <w:pPr>
              <w:rPr>
                <w:rFonts w:cs="Arial"/>
                <w:i/>
                <w:color w:val="002060"/>
                <w:sz w:val="16"/>
                <w:szCs w:val="16"/>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sidRPr="00C57B4B">
              <w:rPr>
                <w:rFonts w:cs="Arial"/>
                <w:sz w:val="16"/>
                <w:szCs w:val="16"/>
              </w:rPr>
              <w:t>500 new groups</w:t>
            </w:r>
            <w:r w:rsidR="008218F3">
              <w:rPr>
                <w:rFonts w:cs="Arial"/>
                <w:sz w:val="16"/>
                <w:szCs w:val="16"/>
              </w:rPr>
              <w:t xml:space="preserve"> (</w:t>
            </w:r>
            <w:r w:rsidRPr="00C57B4B">
              <w:rPr>
                <w:rFonts w:cs="Arial"/>
                <w:sz w:val="16"/>
                <w:szCs w:val="16"/>
              </w:rPr>
              <w:t>average of 2009-13</w:t>
            </w:r>
            <w:r w:rsidR="008218F3">
              <w:rPr>
                <w:rFonts w:cs="Arial"/>
                <w:sz w:val="16"/>
                <w:szCs w:val="16"/>
              </w:rPr>
              <w:t>)</w:t>
            </w:r>
          </w:p>
        </w:tc>
        <w:tc>
          <w:tcPr>
            <w:tcW w:w="894" w:type="pct"/>
            <w:shd w:val="clear" w:color="auto" w:fill="auto"/>
            <w:tcMar>
              <w:top w:w="110" w:type="dxa"/>
            </w:tcMar>
          </w:tcPr>
          <w:p w:rsidR="00794EDE" w:rsidRPr="00093A89" w:rsidRDefault="00794EDE">
            <w:pPr>
              <w:rPr>
                <w:rFonts w:cs="Arial"/>
                <w:sz w:val="16"/>
                <w:szCs w:val="16"/>
              </w:rPr>
            </w:pPr>
            <w:r w:rsidRPr="00C57B4B">
              <w:rPr>
                <w:rFonts w:cs="Arial"/>
                <w:sz w:val="16"/>
                <w:szCs w:val="16"/>
              </w:rPr>
              <w:t>800 new groups per year</w:t>
            </w:r>
          </w:p>
        </w:tc>
        <w:tc>
          <w:tcPr>
            <w:tcW w:w="1194" w:type="pct"/>
            <w:shd w:val="clear" w:color="auto" w:fill="FFFFFF"/>
            <w:tcMar>
              <w:top w:w="110" w:type="dxa"/>
            </w:tcMar>
          </w:tcPr>
          <w:p w:rsidR="00794EDE" w:rsidRPr="00681EDE" w:rsidRDefault="00794EDE">
            <w:pPr>
              <w:rPr>
                <w:rFonts w:cs="Arial"/>
                <w:sz w:val="8"/>
                <w:szCs w:val="8"/>
                <w:lang w:bidi="th-TH"/>
              </w:rPr>
            </w:pPr>
            <w:r w:rsidRPr="00820597">
              <w:rPr>
                <w:rFonts w:cs="Arial"/>
                <w:color w:val="000000"/>
                <w:sz w:val="16"/>
                <w:szCs w:val="16"/>
              </w:rPr>
              <w:t>3</w:t>
            </w:r>
            <w:r>
              <w:rPr>
                <w:rFonts w:cs="Arial"/>
                <w:color w:val="000000"/>
                <w:sz w:val="16"/>
                <w:szCs w:val="16"/>
              </w:rPr>
              <w:t>37</w:t>
            </w:r>
            <w:r w:rsidRPr="00820597">
              <w:rPr>
                <w:rFonts w:cs="Arial"/>
                <w:color w:val="000000"/>
                <w:sz w:val="16"/>
                <w:szCs w:val="16"/>
              </w:rPr>
              <w:t xml:space="preserve"> new groups were introduced in 2015.01 version of the IPC</w:t>
            </w:r>
          </w:p>
        </w:tc>
        <w:tc>
          <w:tcPr>
            <w:tcW w:w="523" w:type="pct"/>
            <w:shd w:val="clear" w:color="auto" w:fill="auto"/>
            <w:tcMar>
              <w:top w:w="110" w:type="dxa"/>
            </w:tcMar>
          </w:tcPr>
          <w:p w:rsidR="00794EDE" w:rsidRPr="00F411C3" w:rsidRDefault="00794EDE">
            <w:pPr>
              <w:keepNext/>
              <w:keepLines/>
              <w:jc w:val="center"/>
              <w:rPr>
                <w:rFonts w:cs="Arial"/>
                <w:b/>
                <w:bCs/>
                <w:color w:val="FFB050"/>
                <w:sz w:val="16"/>
                <w:szCs w:val="16"/>
              </w:rPr>
            </w:pPr>
            <w:r w:rsidRPr="00C44FE1">
              <w:rPr>
                <w:rFonts w:cs="Arial"/>
                <w:b/>
                <w:bCs/>
                <w:color w:val="FF0000"/>
                <w:sz w:val="16"/>
                <w:szCs w:val="16"/>
              </w:rPr>
              <w:t>Not on track</w:t>
            </w:r>
          </w:p>
        </w:tc>
      </w:tr>
      <w:tr w:rsidR="00794EDE" w:rsidRPr="0068151C" w:rsidTr="00F54CA4">
        <w:tc>
          <w:tcPr>
            <w:tcW w:w="1194" w:type="pct"/>
            <w:shd w:val="clear" w:color="auto" w:fill="auto"/>
          </w:tcPr>
          <w:p w:rsidR="00794EDE" w:rsidRPr="00C57B4B" w:rsidRDefault="00794EDE">
            <w:pPr>
              <w:rPr>
                <w:rFonts w:cs="Arial"/>
                <w:color w:val="000000"/>
                <w:sz w:val="16"/>
                <w:szCs w:val="16"/>
              </w:rPr>
            </w:pPr>
            <w:r w:rsidRPr="00C57B4B">
              <w:rPr>
                <w:rFonts w:cs="Arial"/>
                <w:color w:val="000000"/>
                <w:sz w:val="16"/>
                <w:szCs w:val="16"/>
              </w:rPr>
              <w:t>No. of amended and new standards adopted</w:t>
            </w:r>
          </w:p>
        </w:tc>
        <w:tc>
          <w:tcPr>
            <w:tcW w:w="1194" w:type="pct"/>
            <w:shd w:val="clear" w:color="auto" w:fill="auto"/>
          </w:tcPr>
          <w:p w:rsidR="00794EDE" w:rsidRDefault="00794EDE">
            <w:pPr>
              <w:pStyle w:val="CommentText"/>
            </w:pPr>
            <w:r>
              <w:rPr>
                <w:rFonts w:cs="Arial"/>
                <w:i/>
                <w:color w:val="002060"/>
                <w:sz w:val="16"/>
                <w:szCs w:val="16"/>
              </w:rPr>
              <w:t>Updated Baseline end 2013</w:t>
            </w:r>
            <w:r w:rsidRPr="0068151C">
              <w:rPr>
                <w:rFonts w:cs="Arial"/>
                <w:i/>
                <w:color w:val="002060"/>
                <w:sz w:val="16"/>
                <w:szCs w:val="16"/>
              </w:rPr>
              <w:t xml:space="preserve">:  </w:t>
            </w:r>
          </w:p>
          <w:p w:rsidR="00794EDE" w:rsidRPr="0068151C" w:rsidRDefault="00794EDE">
            <w:pPr>
              <w:rPr>
                <w:rFonts w:cs="Arial"/>
                <w:i/>
                <w:sz w:val="8"/>
                <w:szCs w:val="8"/>
              </w:rPr>
            </w:pPr>
            <w:r w:rsidRPr="0068151C">
              <w:rPr>
                <w:rFonts w:cs="Arial"/>
                <w:sz w:val="16"/>
                <w:szCs w:val="16"/>
                <w:lang w:bidi="th-TH"/>
              </w:rPr>
              <w:t>One new Standard adopted and two amended in 2012</w:t>
            </w:r>
            <w:r>
              <w:rPr>
                <w:rFonts w:cs="Arial"/>
                <w:sz w:val="16"/>
                <w:szCs w:val="16"/>
                <w:lang w:bidi="th-TH"/>
              </w:rPr>
              <w:t xml:space="preserve">.  </w:t>
            </w:r>
            <w:r w:rsidRPr="0068151C">
              <w:rPr>
                <w:rFonts w:cs="Arial"/>
                <w:sz w:val="16"/>
                <w:szCs w:val="16"/>
                <w:lang w:bidi="th-TH"/>
              </w:rPr>
              <w:t>One Standard and the Glossary amended in 2013</w:t>
            </w:r>
            <w:r>
              <w:rPr>
                <w:rFonts w:cs="Arial"/>
                <w:sz w:val="16"/>
                <w:szCs w:val="16"/>
                <w:lang w:bidi="th-TH"/>
              </w:rPr>
              <w:t>.</w:t>
            </w:r>
          </w:p>
          <w:p w:rsidR="00794EDE" w:rsidRDefault="00794EDE">
            <w:pPr>
              <w:rPr>
                <w:rFonts w:cs="Arial"/>
                <w:i/>
                <w:sz w:val="16"/>
                <w:szCs w:val="16"/>
              </w:rPr>
            </w:pPr>
          </w:p>
          <w:p w:rsidR="00794EDE" w:rsidRDefault="00794EDE" w:rsidP="008218F3">
            <w:pPr>
              <w:rPr>
                <w:rFonts w:cs="Arial"/>
                <w:i/>
                <w:color w:val="002060"/>
                <w:sz w:val="16"/>
                <w:szCs w:val="16"/>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sidRPr="00C57B4B">
              <w:rPr>
                <w:rFonts w:cs="Arial"/>
                <w:sz w:val="16"/>
                <w:szCs w:val="16"/>
              </w:rPr>
              <w:t>Average 2012</w:t>
            </w:r>
            <w:r w:rsidR="008218F3">
              <w:rPr>
                <w:rFonts w:cs="Arial"/>
                <w:sz w:val="16"/>
                <w:szCs w:val="16"/>
              </w:rPr>
              <w:t>/</w:t>
            </w:r>
            <w:r w:rsidRPr="00C57B4B">
              <w:rPr>
                <w:rFonts w:cs="Arial"/>
                <w:sz w:val="16"/>
                <w:szCs w:val="16"/>
              </w:rPr>
              <w:t>13 (</w:t>
            </w:r>
            <w:proofErr w:type="spellStart"/>
            <w:r w:rsidRPr="00C57B4B">
              <w:rPr>
                <w:rFonts w:cs="Arial"/>
                <w:sz w:val="16"/>
                <w:szCs w:val="16"/>
              </w:rPr>
              <w:t>tbd</w:t>
            </w:r>
            <w:proofErr w:type="spellEnd"/>
            <w:r w:rsidRPr="00C57B4B">
              <w:rPr>
                <w:rFonts w:cs="Arial"/>
                <w:sz w:val="16"/>
                <w:szCs w:val="16"/>
              </w:rPr>
              <w:t>)</w:t>
            </w:r>
          </w:p>
        </w:tc>
        <w:tc>
          <w:tcPr>
            <w:tcW w:w="894" w:type="pct"/>
            <w:shd w:val="clear" w:color="auto" w:fill="auto"/>
            <w:tcMar>
              <w:top w:w="110" w:type="dxa"/>
            </w:tcMar>
          </w:tcPr>
          <w:p w:rsidR="00794EDE" w:rsidRPr="00C57B4B" w:rsidRDefault="00794EDE">
            <w:pPr>
              <w:rPr>
                <w:rFonts w:cs="Arial"/>
                <w:sz w:val="16"/>
                <w:szCs w:val="16"/>
              </w:rPr>
            </w:pPr>
            <w:r w:rsidRPr="00C57B4B">
              <w:rPr>
                <w:rFonts w:cs="Arial"/>
                <w:sz w:val="16"/>
                <w:szCs w:val="16"/>
              </w:rPr>
              <w:t>Increase compared to baseline</w:t>
            </w:r>
          </w:p>
        </w:tc>
        <w:tc>
          <w:tcPr>
            <w:tcW w:w="1194" w:type="pct"/>
            <w:shd w:val="clear" w:color="auto" w:fill="FFFFFF"/>
            <w:tcMar>
              <w:top w:w="110" w:type="dxa"/>
            </w:tcMar>
          </w:tcPr>
          <w:p w:rsidR="00794EDE" w:rsidRPr="00681EDE" w:rsidRDefault="00794EDE">
            <w:pPr>
              <w:rPr>
                <w:rFonts w:cs="Arial"/>
                <w:sz w:val="8"/>
                <w:szCs w:val="8"/>
                <w:lang w:bidi="th-TH"/>
              </w:rPr>
            </w:pPr>
            <w:r w:rsidRPr="00820597">
              <w:rPr>
                <w:rFonts w:cs="Arial"/>
                <w:color w:val="000000"/>
                <w:sz w:val="16"/>
                <w:szCs w:val="16"/>
              </w:rPr>
              <w:t>One new standard adopted and one revised informally</w:t>
            </w:r>
            <w:r>
              <w:rPr>
                <w:rFonts w:cs="Arial"/>
                <w:color w:val="000000"/>
                <w:sz w:val="16"/>
                <w:szCs w:val="16"/>
              </w:rPr>
              <w:t xml:space="preserve"> (2014)</w:t>
            </w:r>
          </w:p>
        </w:tc>
        <w:tc>
          <w:tcPr>
            <w:tcW w:w="523" w:type="pct"/>
            <w:shd w:val="clear" w:color="auto" w:fill="auto"/>
            <w:tcMar>
              <w:top w:w="110" w:type="dxa"/>
            </w:tcMar>
          </w:tcPr>
          <w:p w:rsidR="00794EDE" w:rsidRPr="00F411C3" w:rsidRDefault="00794EDE">
            <w:pPr>
              <w:keepNext/>
              <w:keepLines/>
              <w:jc w:val="center"/>
              <w:rPr>
                <w:rFonts w:cs="Arial"/>
                <w:b/>
                <w:bCs/>
                <w:color w:val="FFB050"/>
                <w:sz w:val="16"/>
                <w:szCs w:val="16"/>
              </w:rPr>
            </w:pPr>
            <w:r w:rsidRPr="00F411C3">
              <w:rPr>
                <w:rFonts w:cs="Arial"/>
                <w:b/>
                <w:bCs/>
                <w:color w:val="FF0000"/>
                <w:sz w:val="16"/>
                <w:szCs w:val="16"/>
              </w:rPr>
              <w:t xml:space="preserve">Not </w:t>
            </w:r>
            <w:r>
              <w:rPr>
                <w:rFonts w:cs="Arial"/>
                <w:b/>
                <w:bCs/>
                <w:color w:val="FF0000"/>
                <w:sz w:val="16"/>
                <w:szCs w:val="16"/>
              </w:rPr>
              <w:br/>
            </w:r>
            <w:r w:rsidRPr="00F411C3">
              <w:rPr>
                <w:rFonts w:cs="Arial"/>
                <w:b/>
                <w:bCs/>
                <w:color w:val="FF0000"/>
                <w:sz w:val="16"/>
                <w:szCs w:val="16"/>
              </w:rPr>
              <w:t>on track</w:t>
            </w:r>
          </w:p>
        </w:tc>
      </w:tr>
      <w:tr w:rsidR="00794EDE" w:rsidRPr="0068151C" w:rsidTr="00F54CA4">
        <w:tc>
          <w:tcPr>
            <w:tcW w:w="1194" w:type="pct"/>
            <w:shd w:val="clear" w:color="auto" w:fill="auto"/>
          </w:tcPr>
          <w:p w:rsidR="00794EDE" w:rsidRPr="00C57B4B" w:rsidRDefault="00794EDE">
            <w:pPr>
              <w:rPr>
                <w:rFonts w:cs="Arial"/>
                <w:color w:val="000000"/>
                <w:sz w:val="16"/>
                <w:szCs w:val="16"/>
              </w:rPr>
            </w:pPr>
            <w:r w:rsidRPr="00C57B4B">
              <w:rPr>
                <w:rFonts w:cs="Arial"/>
                <w:color w:val="000000"/>
                <w:sz w:val="16"/>
                <w:szCs w:val="16"/>
              </w:rPr>
              <w:t>No. of users accessing the Internet publications of international classifications and standards, in particular from developing countries</w:t>
            </w:r>
          </w:p>
        </w:tc>
        <w:tc>
          <w:tcPr>
            <w:tcW w:w="1194" w:type="pct"/>
            <w:shd w:val="clear" w:color="auto" w:fill="auto"/>
          </w:tcPr>
          <w:p w:rsidR="00794EDE" w:rsidRDefault="00794EDE">
            <w:pPr>
              <w:rPr>
                <w:rFonts w:cs="Arial"/>
                <w:i/>
                <w:color w:val="002060"/>
                <w:sz w:val="16"/>
                <w:szCs w:val="16"/>
              </w:rPr>
            </w:pPr>
            <w:r>
              <w:rPr>
                <w:rFonts w:cs="Arial"/>
                <w:i/>
                <w:color w:val="002060"/>
                <w:sz w:val="16"/>
                <w:szCs w:val="16"/>
              </w:rPr>
              <w:t>Updated Baseline end 2013</w:t>
            </w:r>
            <w:r w:rsidRPr="0068151C">
              <w:rPr>
                <w:rFonts w:cs="Arial"/>
                <w:i/>
                <w:color w:val="002060"/>
                <w:sz w:val="16"/>
                <w:szCs w:val="16"/>
              </w:rPr>
              <w:t xml:space="preserve">:  </w:t>
            </w:r>
          </w:p>
          <w:p w:rsidR="00794EDE" w:rsidRPr="00F85BE6" w:rsidRDefault="00794EDE" w:rsidP="00F54CA4">
            <w:pPr>
              <w:spacing w:after="120"/>
              <w:rPr>
                <w:rFonts w:cs="Arial"/>
                <w:color w:val="002060"/>
                <w:sz w:val="16"/>
                <w:szCs w:val="16"/>
              </w:rPr>
            </w:pPr>
            <w:r w:rsidRPr="00F85BE6">
              <w:rPr>
                <w:rFonts w:cs="Arial"/>
                <w:color w:val="002060"/>
                <w:sz w:val="16"/>
                <w:szCs w:val="16"/>
              </w:rPr>
              <w:t>IPC Home: 387,093</w:t>
            </w:r>
          </w:p>
          <w:p w:rsidR="00794EDE" w:rsidRPr="00F85BE6" w:rsidRDefault="00794EDE" w:rsidP="00F54CA4">
            <w:pPr>
              <w:spacing w:after="120"/>
              <w:rPr>
                <w:rFonts w:cs="Arial"/>
                <w:color w:val="002060"/>
                <w:sz w:val="16"/>
                <w:szCs w:val="16"/>
              </w:rPr>
            </w:pPr>
            <w:r w:rsidRPr="00F85BE6">
              <w:rPr>
                <w:rFonts w:cs="Arial"/>
                <w:color w:val="002060"/>
                <w:sz w:val="16"/>
                <w:szCs w:val="16"/>
              </w:rPr>
              <w:t>IPC Pub: 670,032 (extrapolated from data Jan-May 2013 and readjusted by the same method of measurement used for the 2014 data)</w:t>
            </w:r>
          </w:p>
          <w:p w:rsidR="00794EDE" w:rsidRDefault="00794EDE" w:rsidP="00F54CA4">
            <w:pPr>
              <w:spacing w:after="120"/>
              <w:rPr>
                <w:rFonts w:cs="Arial"/>
                <w:color w:val="002060"/>
                <w:sz w:val="16"/>
                <w:szCs w:val="16"/>
              </w:rPr>
            </w:pPr>
            <w:r w:rsidRPr="00F85BE6">
              <w:rPr>
                <w:rFonts w:cs="Arial"/>
                <w:color w:val="002060"/>
                <w:sz w:val="16"/>
                <w:szCs w:val="16"/>
              </w:rPr>
              <w:t>NICE Home: 533,846</w:t>
            </w:r>
          </w:p>
          <w:p w:rsidR="00794EDE" w:rsidRDefault="00794EDE" w:rsidP="00F54CA4">
            <w:pPr>
              <w:spacing w:after="120"/>
              <w:rPr>
                <w:rFonts w:cs="Arial"/>
                <w:color w:val="002060"/>
                <w:sz w:val="16"/>
                <w:szCs w:val="16"/>
              </w:rPr>
            </w:pPr>
            <w:r w:rsidRPr="00C44FE1">
              <w:rPr>
                <w:rFonts w:cs="Arial"/>
                <w:color w:val="002060"/>
                <w:sz w:val="16"/>
                <w:szCs w:val="16"/>
              </w:rPr>
              <w:t>NICE Pub: 2,386,409</w:t>
            </w:r>
          </w:p>
          <w:p w:rsidR="00794EDE" w:rsidRDefault="00794EDE" w:rsidP="00F54CA4">
            <w:pPr>
              <w:spacing w:after="120"/>
              <w:rPr>
                <w:rFonts w:cs="Arial"/>
                <w:color w:val="002060"/>
                <w:sz w:val="16"/>
                <w:szCs w:val="16"/>
              </w:rPr>
            </w:pPr>
            <w:r w:rsidRPr="00C44FE1">
              <w:rPr>
                <w:rFonts w:cs="Arial"/>
                <w:color w:val="002060"/>
                <w:sz w:val="16"/>
                <w:szCs w:val="16"/>
              </w:rPr>
              <w:t>LOCARNO Home: 36,727</w:t>
            </w:r>
          </w:p>
          <w:p w:rsidR="00794EDE" w:rsidRPr="00C44FE1" w:rsidRDefault="00794EDE" w:rsidP="00F54CA4">
            <w:pPr>
              <w:spacing w:after="120"/>
              <w:rPr>
                <w:rFonts w:cs="Arial"/>
                <w:color w:val="002060"/>
                <w:sz w:val="16"/>
                <w:szCs w:val="16"/>
              </w:rPr>
            </w:pPr>
            <w:r w:rsidRPr="00C44FE1">
              <w:rPr>
                <w:rFonts w:cs="Arial"/>
                <w:color w:val="002060"/>
                <w:sz w:val="16"/>
                <w:szCs w:val="16"/>
              </w:rPr>
              <w:t>VIENNA home: 32,416</w:t>
            </w:r>
          </w:p>
          <w:p w:rsidR="00794EDE" w:rsidRPr="00C44FE1" w:rsidRDefault="00794EDE" w:rsidP="00F54CA4">
            <w:pPr>
              <w:spacing w:after="120"/>
              <w:rPr>
                <w:rFonts w:cs="Arial"/>
                <w:color w:val="002060"/>
                <w:sz w:val="16"/>
                <w:szCs w:val="16"/>
              </w:rPr>
            </w:pPr>
            <w:r w:rsidRPr="00C44FE1">
              <w:rPr>
                <w:rFonts w:cs="Arial"/>
                <w:color w:val="002060"/>
                <w:sz w:val="16"/>
                <w:szCs w:val="16"/>
              </w:rPr>
              <w:t>WIPO Standards(Handbook):  94,463</w:t>
            </w:r>
          </w:p>
          <w:p w:rsidR="00794EDE" w:rsidRDefault="00794EDE">
            <w:pPr>
              <w:rPr>
                <w:rFonts w:cs="Arial"/>
                <w:i/>
                <w:color w:val="002060"/>
                <w:sz w:val="16"/>
                <w:szCs w:val="16"/>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proofErr w:type="spellStart"/>
            <w:r w:rsidR="008218F3">
              <w:rPr>
                <w:rFonts w:cs="Arial"/>
                <w:sz w:val="16"/>
                <w:szCs w:val="16"/>
              </w:rPr>
              <w:t>t</w:t>
            </w:r>
            <w:r w:rsidRPr="00C57B4B">
              <w:rPr>
                <w:rFonts w:cs="Arial"/>
                <w:sz w:val="16"/>
                <w:szCs w:val="16"/>
              </w:rPr>
              <w:t>bd</w:t>
            </w:r>
            <w:proofErr w:type="spellEnd"/>
            <w:r w:rsidRPr="00C57B4B">
              <w:rPr>
                <w:rFonts w:cs="Arial"/>
                <w:sz w:val="16"/>
                <w:szCs w:val="16"/>
              </w:rPr>
              <w:t xml:space="preserve"> end of 2013</w:t>
            </w:r>
          </w:p>
        </w:tc>
        <w:tc>
          <w:tcPr>
            <w:tcW w:w="894" w:type="pct"/>
            <w:shd w:val="clear" w:color="auto" w:fill="auto"/>
            <w:tcMar>
              <w:top w:w="110" w:type="dxa"/>
            </w:tcMar>
          </w:tcPr>
          <w:p w:rsidR="00794EDE" w:rsidRPr="00C57B4B" w:rsidRDefault="00794EDE">
            <w:pPr>
              <w:rPr>
                <w:rFonts w:cs="Arial"/>
                <w:sz w:val="16"/>
                <w:szCs w:val="16"/>
              </w:rPr>
            </w:pPr>
            <w:r w:rsidRPr="00C57B4B">
              <w:rPr>
                <w:rFonts w:cs="Arial"/>
                <w:sz w:val="16"/>
                <w:szCs w:val="16"/>
              </w:rPr>
              <w:t>5% increase compared to baseline</w:t>
            </w:r>
          </w:p>
        </w:tc>
        <w:tc>
          <w:tcPr>
            <w:tcW w:w="1194" w:type="pct"/>
            <w:shd w:val="clear" w:color="auto" w:fill="FFFFFF"/>
            <w:tcMar>
              <w:top w:w="110" w:type="dxa"/>
            </w:tcMar>
          </w:tcPr>
          <w:p w:rsidR="00794EDE" w:rsidRDefault="00794EDE">
            <w:pPr>
              <w:spacing w:after="120"/>
              <w:rPr>
                <w:rFonts w:cs="Arial"/>
                <w:color w:val="000000"/>
                <w:sz w:val="16"/>
                <w:szCs w:val="16"/>
              </w:rPr>
            </w:pPr>
            <w:r>
              <w:rPr>
                <w:rFonts w:cs="Arial"/>
                <w:color w:val="000000"/>
                <w:sz w:val="16"/>
                <w:szCs w:val="16"/>
              </w:rPr>
              <w:t>IPC Home: 291,845 (24.6 % decrease) (44.08 % of  visits from developing countries)</w:t>
            </w:r>
          </w:p>
          <w:p w:rsidR="00794EDE" w:rsidRDefault="00794EDE">
            <w:pPr>
              <w:spacing w:after="120"/>
              <w:rPr>
                <w:rFonts w:cs="Arial"/>
                <w:color w:val="000000"/>
                <w:sz w:val="16"/>
                <w:szCs w:val="16"/>
              </w:rPr>
            </w:pPr>
            <w:r>
              <w:rPr>
                <w:rFonts w:cs="Arial"/>
                <w:color w:val="000000"/>
                <w:sz w:val="16"/>
                <w:szCs w:val="16"/>
              </w:rPr>
              <w:t xml:space="preserve">IPC Pub: </w:t>
            </w:r>
            <w:r w:rsidRPr="006B5EBC">
              <w:rPr>
                <w:rFonts w:cs="Arial"/>
                <w:color w:val="000000"/>
                <w:sz w:val="16"/>
                <w:szCs w:val="16"/>
              </w:rPr>
              <w:t xml:space="preserve">1,078,752 </w:t>
            </w:r>
            <w:r>
              <w:rPr>
                <w:rFonts w:cs="Arial"/>
                <w:color w:val="000000"/>
                <w:sz w:val="16"/>
                <w:szCs w:val="16"/>
              </w:rPr>
              <w:t xml:space="preserve">(61% increase; </w:t>
            </w:r>
            <w:r w:rsidRPr="005971D0">
              <w:rPr>
                <w:rFonts w:cs="Arial"/>
                <w:color w:val="000000"/>
                <w:sz w:val="16"/>
                <w:szCs w:val="16"/>
              </w:rPr>
              <w:t>(extrapolated from data Jun-Dec 2014)</w:t>
            </w:r>
          </w:p>
          <w:p w:rsidR="00794EDE" w:rsidRDefault="00794EDE">
            <w:pPr>
              <w:spacing w:after="120"/>
              <w:rPr>
                <w:rFonts w:cs="Arial"/>
                <w:color w:val="000000"/>
                <w:sz w:val="16"/>
                <w:szCs w:val="16"/>
              </w:rPr>
            </w:pPr>
            <w:r>
              <w:rPr>
                <w:rFonts w:cs="Arial"/>
                <w:color w:val="000000"/>
                <w:sz w:val="16"/>
                <w:szCs w:val="16"/>
              </w:rPr>
              <w:t>NICE Home: 497,629 (6.8 % decrease)  (35.14% of visits from developing countries)</w:t>
            </w:r>
          </w:p>
          <w:p w:rsidR="00794EDE" w:rsidRPr="00820597" w:rsidRDefault="00794EDE">
            <w:pPr>
              <w:spacing w:after="120"/>
              <w:rPr>
                <w:rFonts w:cs="Arial"/>
                <w:color w:val="000000"/>
                <w:sz w:val="16"/>
                <w:szCs w:val="16"/>
              </w:rPr>
            </w:pPr>
            <w:r>
              <w:rPr>
                <w:rFonts w:cs="Arial"/>
                <w:color w:val="000000"/>
                <w:sz w:val="16"/>
                <w:szCs w:val="16"/>
              </w:rPr>
              <w:t xml:space="preserve">NICE </w:t>
            </w:r>
            <w:r w:rsidRPr="00820597">
              <w:rPr>
                <w:rFonts w:cs="Arial"/>
                <w:color w:val="000000"/>
                <w:sz w:val="16"/>
                <w:szCs w:val="16"/>
              </w:rPr>
              <w:t>Pub: 2,587,788 (</w:t>
            </w:r>
            <w:r>
              <w:rPr>
                <w:rFonts w:cs="Arial"/>
                <w:color w:val="000000"/>
                <w:sz w:val="16"/>
                <w:szCs w:val="16"/>
              </w:rPr>
              <w:t>8.4</w:t>
            </w:r>
            <w:r w:rsidRPr="00820597">
              <w:rPr>
                <w:rFonts w:cs="Arial"/>
                <w:color w:val="000000"/>
                <w:sz w:val="16"/>
                <w:szCs w:val="16"/>
              </w:rPr>
              <w:t>%</w:t>
            </w:r>
            <w:r>
              <w:rPr>
                <w:rFonts w:cs="Arial"/>
                <w:color w:val="000000"/>
                <w:sz w:val="16"/>
                <w:szCs w:val="16"/>
              </w:rPr>
              <w:t xml:space="preserve"> increase</w:t>
            </w:r>
            <w:r w:rsidRPr="00820597">
              <w:rPr>
                <w:rFonts w:cs="Arial"/>
                <w:color w:val="000000"/>
                <w:sz w:val="16"/>
                <w:szCs w:val="16"/>
              </w:rPr>
              <w:t>)</w:t>
            </w:r>
            <w:r>
              <w:rPr>
                <w:rFonts w:cs="Arial"/>
                <w:color w:val="000000"/>
                <w:sz w:val="16"/>
                <w:szCs w:val="16"/>
              </w:rPr>
              <w:t xml:space="preserve"> (43.97% of visits from developing countries</w:t>
            </w:r>
          </w:p>
          <w:p w:rsidR="00794EDE" w:rsidRPr="00820597" w:rsidRDefault="00794EDE">
            <w:pPr>
              <w:spacing w:after="120"/>
              <w:rPr>
                <w:rFonts w:cs="Arial"/>
                <w:color w:val="000000"/>
                <w:sz w:val="16"/>
                <w:szCs w:val="16"/>
              </w:rPr>
            </w:pPr>
            <w:r w:rsidRPr="00820597">
              <w:rPr>
                <w:rFonts w:cs="Arial"/>
                <w:color w:val="000000"/>
                <w:sz w:val="16"/>
                <w:szCs w:val="16"/>
              </w:rPr>
              <w:t>LOCARNO Home: 44,557 (</w:t>
            </w:r>
            <w:r>
              <w:rPr>
                <w:rFonts w:cs="Arial"/>
                <w:color w:val="000000"/>
                <w:sz w:val="16"/>
                <w:szCs w:val="16"/>
              </w:rPr>
              <w:t xml:space="preserve">21.3 </w:t>
            </w:r>
            <w:r w:rsidRPr="00820597">
              <w:rPr>
                <w:rFonts w:cs="Arial"/>
                <w:color w:val="000000"/>
                <w:sz w:val="16"/>
                <w:szCs w:val="16"/>
              </w:rPr>
              <w:t>%</w:t>
            </w:r>
            <w:r>
              <w:rPr>
                <w:rFonts w:cs="Arial"/>
                <w:color w:val="000000"/>
                <w:sz w:val="16"/>
                <w:szCs w:val="16"/>
              </w:rPr>
              <w:t xml:space="preserve"> increase</w:t>
            </w:r>
            <w:r w:rsidRPr="00820597">
              <w:rPr>
                <w:rFonts w:cs="Arial"/>
                <w:color w:val="000000"/>
                <w:sz w:val="16"/>
                <w:szCs w:val="16"/>
              </w:rPr>
              <w:t>)</w:t>
            </w:r>
            <w:r>
              <w:rPr>
                <w:rFonts w:cs="Arial"/>
                <w:color w:val="000000"/>
                <w:sz w:val="16"/>
                <w:szCs w:val="16"/>
              </w:rPr>
              <w:t xml:space="preserve"> (38.42% of visits from developing countries)</w:t>
            </w:r>
          </w:p>
          <w:p w:rsidR="00794EDE" w:rsidRPr="00820597" w:rsidRDefault="00794EDE">
            <w:pPr>
              <w:spacing w:after="120"/>
              <w:rPr>
                <w:rFonts w:cs="Arial"/>
                <w:color w:val="000000"/>
                <w:sz w:val="16"/>
                <w:szCs w:val="16"/>
              </w:rPr>
            </w:pPr>
            <w:r w:rsidRPr="00820597">
              <w:rPr>
                <w:rFonts w:cs="Arial"/>
                <w:color w:val="000000"/>
                <w:sz w:val="16"/>
                <w:szCs w:val="16"/>
              </w:rPr>
              <w:t>VIENNA home: 29,596 (</w:t>
            </w:r>
            <w:r>
              <w:rPr>
                <w:rFonts w:cs="Arial"/>
                <w:color w:val="000000"/>
                <w:sz w:val="16"/>
                <w:szCs w:val="16"/>
              </w:rPr>
              <w:t>8.7</w:t>
            </w:r>
            <w:r w:rsidRPr="00820597">
              <w:rPr>
                <w:rFonts w:cs="Arial"/>
                <w:color w:val="000000"/>
                <w:sz w:val="16"/>
                <w:szCs w:val="16"/>
              </w:rPr>
              <w:t>%</w:t>
            </w:r>
            <w:r>
              <w:rPr>
                <w:rFonts w:cs="Arial"/>
                <w:color w:val="000000"/>
                <w:sz w:val="16"/>
                <w:szCs w:val="16"/>
              </w:rPr>
              <w:t xml:space="preserve"> decrease</w:t>
            </w:r>
            <w:r w:rsidRPr="00820597">
              <w:rPr>
                <w:rFonts w:cs="Arial"/>
                <w:color w:val="000000"/>
                <w:sz w:val="16"/>
                <w:szCs w:val="16"/>
              </w:rPr>
              <w:t>)</w:t>
            </w:r>
            <w:r>
              <w:rPr>
                <w:rFonts w:cs="Arial"/>
                <w:color w:val="000000"/>
                <w:sz w:val="16"/>
                <w:szCs w:val="16"/>
              </w:rPr>
              <w:t xml:space="preserve"> (56.32 % of visits from developing countries)</w:t>
            </w:r>
          </w:p>
          <w:p w:rsidR="00794EDE" w:rsidRPr="00681EDE" w:rsidRDefault="00794EDE">
            <w:pPr>
              <w:spacing w:after="120"/>
              <w:rPr>
                <w:rFonts w:cs="Arial"/>
                <w:sz w:val="8"/>
                <w:szCs w:val="8"/>
                <w:lang w:bidi="th-TH"/>
              </w:rPr>
            </w:pPr>
            <w:r w:rsidRPr="00820597">
              <w:rPr>
                <w:rFonts w:cs="Arial"/>
                <w:color w:val="000000"/>
                <w:sz w:val="16"/>
                <w:szCs w:val="16"/>
              </w:rPr>
              <w:t>WIPO Standards</w:t>
            </w:r>
            <w:r>
              <w:rPr>
                <w:rFonts w:cs="Arial"/>
                <w:color w:val="000000"/>
                <w:sz w:val="16"/>
                <w:szCs w:val="16"/>
              </w:rPr>
              <w:t xml:space="preserve"> </w:t>
            </w:r>
            <w:r w:rsidRPr="00820597">
              <w:rPr>
                <w:rFonts w:cs="Arial"/>
                <w:color w:val="000000"/>
                <w:sz w:val="16"/>
                <w:szCs w:val="16"/>
              </w:rPr>
              <w:t>(Handbook):  66,399 (29</w:t>
            </w:r>
            <w:r>
              <w:rPr>
                <w:rFonts w:cs="Arial"/>
                <w:color w:val="000000"/>
                <w:sz w:val="16"/>
                <w:szCs w:val="16"/>
              </w:rPr>
              <w:t>.7 decrease</w:t>
            </w:r>
            <w:r w:rsidRPr="00820597">
              <w:rPr>
                <w:rFonts w:cs="Arial"/>
                <w:color w:val="000000"/>
                <w:sz w:val="16"/>
                <w:szCs w:val="16"/>
              </w:rPr>
              <w:t xml:space="preserve"> %)</w:t>
            </w:r>
            <w:r>
              <w:rPr>
                <w:rFonts w:cs="Arial"/>
                <w:color w:val="000000"/>
                <w:sz w:val="16"/>
                <w:szCs w:val="16"/>
              </w:rPr>
              <w:t xml:space="preserve"> (29.04% of visits from developing countries)</w:t>
            </w:r>
          </w:p>
        </w:tc>
        <w:tc>
          <w:tcPr>
            <w:tcW w:w="523" w:type="pct"/>
            <w:shd w:val="clear" w:color="auto" w:fill="auto"/>
            <w:tcMar>
              <w:top w:w="110" w:type="dxa"/>
            </w:tcMar>
          </w:tcPr>
          <w:p w:rsidR="00794EDE" w:rsidRDefault="00794EDE" w:rsidP="00F54CA4">
            <w:pPr>
              <w:keepNext/>
              <w:keepLines/>
              <w:jc w:val="center"/>
              <w:rPr>
                <w:rFonts w:cs="Arial"/>
                <w:b/>
                <w:bCs/>
                <w:color w:val="00B050"/>
                <w:sz w:val="16"/>
                <w:szCs w:val="16"/>
              </w:rPr>
            </w:pPr>
            <w:r w:rsidRPr="00293D24">
              <w:rPr>
                <w:rFonts w:cs="Arial"/>
                <w:b/>
                <w:bCs/>
                <w:color w:val="FF0000"/>
                <w:sz w:val="16"/>
                <w:szCs w:val="16"/>
              </w:rPr>
              <w:t>Not</w:t>
            </w:r>
            <w:r>
              <w:rPr>
                <w:rFonts w:cs="Arial"/>
                <w:b/>
                <w:bCs/>
                <w:color w:val="FF0000"/>
                <w:sz w:val="16"/>
                <w:szCs w:val="16"/>
              </w:rPr>
              <w:br/>
            </w:r>
            <w:r w:rsidRPr="00293D24">
              <w:rPr>
                <w:rFonts w:cs="Arial"/>
                <w:b/>
                <w:bCs/>
                <w:color w:val="FF0000"/>
                <w:sz w:val="16"/>
                <w:szCs w:val="16"/>
              </w:rPr>
              <w:t>on track</w:t>
            </w:r>
          </w:p>
          <w:p w:rsidR="00794EDE" w:rsidRDefault="00794EDE" w:rsidP="00F54CA4">
            <w:pPr>
              <w:keepNext/>
              <w:keepLines/>
              <w:jc w:val="center"/>
              <w:rPr>
                <w:rFonts w:cs="Arial"/>
                <w:b/>
                <w:bCs/>
                <w:color w:val="00B050"/>
                <w:sz w:val="16"/>
                <w:szCs w:val="16"/>
              </w:rPr>
            </w:pPr>
          </w:p>
          <w:p w:rsidR="00F54CA4" w:rsidRDefault="00F54CA4" w:rsidP="00F54CA4">
            <w:pPr>
              <w:keepNext/>
              <w:keepLines/>
              <w:jc w:val="center"/>
              <w:rPr>
                <w:rFonts w:cs="Arial"/>
                <w:b/>
                <w:bCs/>
                <w:color w:val="00B050"/>
                <w:sz w:val="16"/>
                <w:szCs w:val="16"/>
              </w:rPr>
            </w:pPr>
          </w:p>
          <w:p w:rsidR="00794EDE" w:rsidRDefault="00794EDE" w:rsidP="00F54CA4">
            <w:pPr>
              <w:keepNext/>
              <w:keepLines/>
              <w:jc w:val="center"/>
              <w:rPr>
                <w:rFonts w:cs="Arial"/>
                <w:b/>
                <w:bCs/>
                <w:color w:val="FF0000"/>
                <w:sz w:val="16"/>
                <w:szCs w:val="16"/>
              </w:rPr>
            </w:pPr>
            <w:r w:rsidRPr="00293D24">
              <w:rPr>
                <w:rFonts w:cs="Arial"/>
                <w:b/>
                <w:bCs/>
                <w:color w:val="00B050"/>
                <w:sz w:val="16"/>
                <w:szCs w:val="16"/>
              </w:rPr>
              <w:t>On track</w:t>
            </w:r>
          </w:p>
          <w:p w:rsidR="00794EDE" w:rsidRDefault="00794EDE" w:rsidP="00F54CA4">
            <w:pPr>
              <w:keepNext/>
              <w:keepLines/>
              <w:jc w:val="center"/>
              <w:rPr>
                <w:rFonts w:cs="Arial"/>
                <w:b/>
                <w:bCs/>
                <w:color w:val="00B050"/>
                <w:sz w:val="16"/>
                <w:szCs w:val="16"/>
              </w:rPr>
            </w:pPr>
          </w:p>
          <w:p w:rsidR="00794EDE" w:rsidRDefault="00794EDE" w:rsidP="00F54CA4">
            <w:pPr>
              <w:keepNext/>
              <w:keepLines/>
              <w:jc w:val="center"/>
              <w:rPr>
                <w:rFonts w:cs="Arial"/>
                <w:b/>
                <w:bCs/>
                <w:color w:val="00B050"/>
                <w:sz w:val="16"/>
                <w:szCs w:val="16"/>
              </w:rPr>
            </w:pPr>
          </w:p>
          <w:p w:rsidR="00794EDE" w:rsidRPr="00293D24" w:rsidRDefault="00794EDE" w:rsidP="00F54CA4">
            <w:pPr>
              <w:keepNext/>
              <w:keepLines/>
              <w:jc w:val="center"/>
              <w:rPr>
                <w:rFonts w:cs="Arial"/>
                <w:b/>
                <w:bCs/>
                <w:color w:val="FF0000"/>
                <w:sz w:val="16"/>
                <w:szCs w:val="16"/>
              </w:rPr>
            </w:pPr>
            <w:r w:rsidRPr="00293D24">
              <w:rPr>
                <w:rFonts w:cs="Arial"/>
                <w:b/>
                <w:bCs/>
                <w:color w:val="FF0000"/>
                <w:sz w:val="16"/>
                <w:szCs w:val="16"/>
              </w:rPr>
              <w:t>Not</w:t>
            </w:r>
            <w:r>
              <w:rPr>
                <w:rFonts w:cs="Arial"/>
                <w:b/>
                <w:bCs/>
                <w:color w:val="FF0000"/>
                <w:sz w:val="16"/>
                <w:szCs w:val="16"/>
              </w:rPr>
              <w:br/>
            </w:r>
            <w:r w:rsidRPr="00293D24">
              <w:rPr>
                <w:rFonts w:cs="Arial"/>
                <w:b/>
                <w:bCs/>
                <w:color w:val="FF0000"/>
                <w:sz w:val="16"/>
                <w:szCs w:val="16"/>
              </w:rPr>
              <w:t>on track</w:t>
            </w:r>
          </w:p>
          <w:p w:rsidR="00794EDE" w:rsidRDefault="00794EDE" w:rsidP="00F54CA4">
            <w:pPr>
              <w:keepNext/>
              <w:keepLines/>
              <w:jc w:val="center"/>
              <w:rPr>
                <w:rFonts w:cs="Arial"/>
                <w:b/>
                <w:bCs/>
                <w:color w:val="00B050"/>
                <w:sz w:val="16"/>
                <w:szCs w:val="16"/>
              </w:rPr>
            </w:pPr>
          </w:p>
          <w:p w:rsidR="00794EDE" w:rsidRDefault="00794EDE" w:rsidP="00F54CA4">
            <w:pPr>
              <w:keepNext/>
              <w:keepLines/>
              <w:jc w:val="center"/>
              <w:rPr>
                <w:rFonts w:cs="Arial"/>
                <w:b/>
                <w:bCs/>
                <w:color w:val="00B050"/>
                <w:sz w:val="16"/>
                <w:szCs w:val="16"/>
              </w:rPr>
            </w:pPr>
          </w:p>
          <w:p w:rsidR="00794EDE" w:rsidRDefault="00794EDE" w:rsidP="00F54CA4">
            <w:pPr>
              <w:keepNext/>
              <w:keepLines/>
              <w:jc w:val="center"/>
              <w:rPr>
                <w:rFonts w:cs="Arial"/>
                <w:b/>
                <w:bCs/>
                <w:color w:val="00B050"/>
                <w:sz w:val="16"/>
                <w:szCs w:val="16"/>
              </w:rPr>
            </w:pPr>
            <w:r w:rsidRPr="00293D24">
              <w:rPr>
                <w:rFonts w:cs="Arial"/>
                <w:b/>
                <w:bCs/>
                <w:color w:val="00B050"/>
                <w:sz w:val="16"/>
                <w:szCs w:val="16"/>
              </w:rPr>
              <w:t>On track</w:t>
            </w:r>
          </w:p>
          <w:p w:rsidR="00794EDE" w:rsidRDefault="00794EDE" w:rsidP="00F54CA4">
            <w:pPr>
              <w:keepNext/>
              <w:keepLines/>
              <w:jc w:val="center"/>
              <w:rPr>
                <w:rFonts w:cs="Arial"/>
                <w:b/>
                <w:bCs/>
                <w:color w:val="00B050"/>
                <w:sz w:val="16"/>
                <w:szCs w:val="16"/>
              </w:rPr>
            </w:pPr>
          </w:p>
          <w:p w:rsidR="00794EDE" w:rsidRDefault="00794EDE" w:rsidP="00F54CA4">
            <w:pPr>
              <w:keepNext/>
              <w:keepLines/>
              <w:jc w:val="center"/>
              <w:rPr>
                <w:rFonts w:cs="Arial"/>
                <w:b/>
                <w:bCs/>
                <w:color w:val="00B050"/>
                <w:sz w:val="16"/>
                <w:szCs w:val="16"/>
              </w:rPr>
            </w:pPr>
          </w:p>
          <w:p w:rsidR="00F54CA4" w:rsidRDefault="00F54CA4" w:rsidP="00F54CA4">
            <w:pPr>
              <w:keepNext/>
              <w:keepLines/>
              <w:jc w:val="center"/>
              <w:rPr>
                <w:rFonts w:cs="Arial"/>
                <w:b/>
                <w:bCs/>
                <w:color w:val="00B050"/>
                <w:sz w:val="16"/>
                <w:szCs w:val="16"/>
              </w:rPr>
            </w:pPr>
          </w:p>
          <w:p w:rsidR="00794EDE" w:rsidRPr="00293D24" w:rsidRDefault="00794EDE" w:rsidP="00F54CA4">
            <w:pPr>
              <w:keepNext/>
              <w:keepLines/>
              <w:jc w:val="center"/>
              <w:rPr>
                <w:rFonts w:cs="Arial"/>
                <w:b/>
                <w:bCs/>
                <w:color w:val="FF0000"/>
                <w:sz w:val="16"/>
                <w:szCs w:val="16"/>
              </w:rPr>
            </w:pPr>
            <w:r w:rsidRPr="00293D24">
              <w:rPr>
                <w:rFonts w:cs="Arial"/>
                <w:b/>
                <w:bCs/>
                <w:color w:val="00B050"/>
                <w:sz w:val="16"/>
                <w:szCs w:val="16"/>
              </w:rPr>
              <w:t>On track</w:t>
            </w:r>
          </w:p>
          <w:p w:rsidR="00794EDE" w:rsidRDefault="00794EDE" w:rsidP="00F54CA4">
            <w:pPr>
              <w:keepNext/>
              <w:keepLines/>
              <w:jc w:val="center"/>
              <w:rPr>
                <w:rFonts w:cs="Arial"/>
                <w:b/>
                <w:bCs/>
                <w:color w:val="00B050"/>
                <w:sz w:val="16"/>
                <w:szCs w:val="16"/>
              </w:rPr>
            </w:pPr>
          </w:p>
          <w:p w:rsidR="00794EDE" w:rsidRDefault="00794EDE" w:rsidP="00F54CA4">
            <w:pPr>
              <w:keepNext/>
              <w:keepLines/>
              <w:jc w:val="center"/>
              <w:rPr>
                <w:rFonts w:cs="Arial"/>
                <w:b/>
                <w:bCs/>
                <w:color w:val="FF0000"/>
                <w:sz w:val="16"/>
                <w:szCs w:val="16"/>
              </w:rPr>
            </w:pPr>
          </w:p>
          <w:p w:rsidR="00F54CA4" w:rsidRDefault="00F54CA4" w:rsidP="00F54CA4">
            <w:pPr>
              <w:keepNext/>
              <w:keepLines/>
              <w:jc w:val="center"/>
              <w:rPr>
                <w:rFonts w:cs="Arial"/>
                <w:b/>
                <w:bCs/>
                <w:color w:val="FF0000"/>
                <w:sz w:val="16"/>
                <w:szCs w:val="16"/>
              </w:rPr>
            </w:pPr>
          </w:p>
          <w:p w:rsidR="00794EDE" w:rsidRPr="00293D24" w:rsidRDefault="00794EDE" w:rsidP="00F54CA4">
            <w:pPr>
              <w:keepNext/>
              <w:keepLines/>
              <w:jc w:val="center"/>
              <w:rPr>
                <w:rFonts w:cs="Arial"/>
                <w:b/>
                <w:bCs/>
                <w:color w:val="FF0000"/>
                <w:sz w:val="16"/>
                <w:szCs w:val="16"/>
              </w:rPr>
            </w:pPr>
            <w:r w:rsidRPr="00293D24">
              <w:rPr>
                <w:rFonts w:cs="Arial"/>
                <w:b/>
                <w:bCs/>
                <w:color w:val="FF0000"/>
                <w:sz w:val="16"/>
                <w:szCs w:val="16"/>
              </w:rPr>
              <w:t>Not</w:t>
            </w:r>
            <w:r>
              <w:rPr>
                <w:rFonts w:cs="Arial"/>
                <w:b/>
                <w:bCs/>
                <w:color w:val="FF0000"/>
                <w:sz w:val="16"/>
                <w:szCs w:val="16"/>
              </w:rPr>
              <w:br/>
            </w:r>
            <w:r w:rsidRPr="00293D24">
              <w:rPr>
                <w:rFonts w:cs="Arial"/>
                <w:b/>
                <w:bCs/>
                <w:color w:val="FF0000"/>
                <w:sz w:val="16"/>
                <w:szCs w:val="16"/>
              </w:rPr>
              <w:t>on track</w:t>
            </w:r>
          </w:p>
          <w:p w:rsidR="00794EDE" w:rsidRDefault="00794EDE" w:rsidP="00F54CA4">
            <w:pPr>
              <w:keepNext/>
              <w:keepLines/>
              <w:jc w:val="center"/>
              <w:rPr>
                <w:rFonts w:cs="Arial"/>
                <w:b/>
                <w:bCs/>
                <w:color w:val="00B050"/>
                <w:sz w:val="16"/>
                <w:szCs w:val="16"/>
              </w:rPr>
            </w:pPr>
          </w:p>
          <w:p w:rsidR="00794EDE" w:rsidRDefault="00794EDE" w:rsidP="00F54CA4">
            <w:pPr>
              <w:keepNext/>
              <w:keepLines/>
              <w:jc w:val="center"/>
              <w:rPr>
                <w:rFonts w:cs="Arial"/>
                <w:b/>
                <w:bCs/>
                <w:color w:val="00B050"/>
                <w:sz w:val="16"/>
                <w:szCs w:val="16"/>
              </w:rPr>
            </w:pPr>
          </w:p>
          <w:p w:rsidR="00794EDE" w:rsidRPr="00293D24" w:rsidRDefault="00794EDE" w:rsidP="00F54CA4">
            <w:pPr>
              <w:keepNext/>
              <w:keepLines/>
              <w:jc w:val="center"/>
              <w:rPr>
                <w:rFonts w:cs="Arial"/>
                <w:b/>
                <w:bCs/>
                <w:color w:val="FF0000"/>
                <w:sz w:val="16"/>
                <w:szCs w:val="16"/>
              </w:rPr>
            </w:pPr>
          </w:p>
          <w:p w:rsidR="00794EDE" w:rsidRDefault="00794EDE" w:rsidP="00F54CA4">
            <w:pPr>
              <w:keepNext/>
              <w:keepLines/>
              <w:jc w:val="center"/>
              <w:rPr>
                <w:rFonts w:cs="Arial"/>
                <w:b/>
                <w:bCs/>
                <w:color w:val="FF0000"/>
                <w:sz w:val="16"/>
                <w:szCs w:val="16"/>
              </w:rPr>
            </w:pPr>
            <w:r w:rsidRPr="00293D24">
              <w:rPr>
                <w:rFonts w:cs="Arial"/>
                <w:b/>
                <w:bCs/>
                <w:color w:val="FF0000"/>
                <w:sz w:val="16"/>
                <w:szCs w:val="16"/>
              </w:rPr>
              <w:t xml:space="preserve">Not </w:t>
            </w:r>
            <w:r>
              <w:rPr>
                <w:rFonts w:cs="Arial"/>
                <w:b/>
                <w:bCs/>
                <w:color w:val="FF0000"/>
                <w:sz w:val="16"/>
                <w:szCs w:val="16"/>
              </w:rPr>
              <w:br/>
            </w:r>
            <w:r w:rsidRPr="00293D24">
              <w:rPr>
                <w:rFonts w:cs="Arial"/>
                <w:b/>
                <w:bCs/>
                <w:color w:val="FF0000"/>
                <w:sz w:val="16"/>
                <w:szCs w:val="16"/>
              </w:rPr>
              <w:t>on track</w:t>
            </w:r>
          </w:p>
          <w:p w:rsidR="00794EDE" w:rsidRPr="0068151C" w:rsidRDefault="00794EDE">
            <w:pPr>
              <w:keepNext/>
              <w:keepLines/>
              <w:spacing w:after="120"/>
              <w:jc w:val="center"/>
              <w:rPr>
                <w:rFonts w:cs="Arial"/>
                <w:bCs/>
                <w:color w:val="808080"/>
                <w:sz w:val="16"/>
                <w:szCs w:val="16"/>
              </w:rPr>
            </w:pPr>
          </w:p>
        </w:tc>
      </w:tr>
    </w:tbl>
    <w:p w:rsidR="00794EDE" w:rsidRDefault="00794EDE" w:rsidP="00F54CA4">
      <w:pPr>
        <w:jc w:val="both"/>
        <w:rPr>
          <w:rFonts w:cs="Arial"/>
          <w:color w:val="000000"/>
          <w:sz w:val="22"/>
          <w:szCs w:val="22"/>
        </w:rPr>
      </w:pPr>
    </w:p>
    <w:p w:rsidR="00794EDE" w:rsidRDefault="00794EDE" w:rsidP="00F54CA4">
      <w:pPr>
        <w:jc w:val="both"/>
        <w:rPr>
          <w:rFonts w:cs="Arial"/>
          <w:color w:val="000000"/>
          <w:sz w:val="22"/>
          <w:szCs w:val="22"/>
        </w:rPr>
      </w:pPr>
    </w:p>
    <w:p w:rsidR="00794EDE" w:rsidRDefault="00794EDE" w:rsidP="00F54CA4">
      <w:pPr>
        <w:jc w:val="both"/>
        <w:rPr>
          <w:b/>
          <w:sz w:val="18"/>
          <w:szCs w:val="18"/>
        </w:rPr>
      </w:pPr>
      <w:r>
        <w:rPr>
          <w:rFonts w:cs="Arial"/>
          <w:color w:val="000000"/>
          <w:sz w:val="22"/>
          <w:szCs w:val="22"/>
        </w:rPr>
        <w:t>RESOURCE UTILIZATION</w:t>
      </w:r>
      <w:r>
        <w:rPr>
          <w:rFonts w:cs="Arial"/>
          <w:color w:val="000000"/>
          <w:sz w:val="22"/>
          <w:szCs w:val="22"/>
        </w:rPr>
        <w:tab/>
      </w:r>
    </w:p>
    <w:p w:rsidR="00794EDE" w:rsidRPr="008F4A6D" w:rsidRDefault="00794EDE" w:rsidP="00F54CA4">
      <w:pPr>
        <w:jc w:val="both"/>
        <w:rPr>
          <w:szCs w:val="20"/>
        </w:rPr>
      </w:pPr>
    </w:p>
    <w:p w:rsidR="00794EDE" w:rsidRPr="00383D2D" w:rsidRDefault="00794EDE" w:rsidP="00F54CA4">
      <w:pPr>
        <w:pStyle w:val="NormalWeb"/>
        <w:spacing w:before="0" w:beforeAutospacing="0" w:after="0" w:afterAutospacing="0"/>
        <w:jc w:val="center"/>
        <w:rPr>
          <w:sz w:val="20"/>
          <w:szCs w:val="20"/>
        </w:rPr>
      </w:pPr>
      <w:r w:rsidRPr="00383D2D">
        <w:rPr>
          <w:color w:val="000000"/>
          <w:sz w:val="20"/>
          <w:szCs w:val="20"/>
        </w:rPr>
        <w:t>Budget and Actual Expenditure (by result)</w:t>
      </w:r>
    </w:p>
    <w:p w:rsidR="00794EDE" w:rsidRDefault="00794EDE">
      <w:pPr>
        <w:pStyle w:val="NormalWeb"/>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794EDE" w:rsidRPr="00383D2D" w:rsidRDefault="00794EDE" w:rsidP="00F54CA4">
      <w:pPr>
        <w:pStyle w:val="NormalWeb"/>
        <w:spacing w:before="0" w:beforeAutospacing="0" w:after="0" w:afterAutospacing="0"/>
        <w:jc w:val="both"/>
        <w:rPr>
          <w:sz w:val="20"/>
          <w:szCs w:val="20"/>
        </w:rPr>
      </w:pPr>
    </w:p>
    <w:p w:rsidR="00794EDE" w:rsidRDefault="00794EDE" w:rsidP="00F54CA4">
      <w:pPr>
        <w:jc w:val="center"/>
      </w:pPr>
      <w:r w:rsidRPr="00083B4D">
        <w:rPr>
          <w:noProof/>
        </w:rPr>
        <w:drawing>
          <wp:inline distT="0" distB="0" distL="0" distR="0" wp14:anchorId="4DD2EB07" wp14:editId="2F8F429C">
            <wp:extent cx="5685183" cy="137196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683141" cy="1371469"/>
                    </a:xfrm>
                    <a:prstGeom prst="rect">
                      <a:avLst/>
                    </a:prstGeom>
                    <a:noFill/>
                    <a:ln>
                      <a:noFill/>
                    </a:ln>
                  </pic:spPr>
                </pic:pic>
              </a:graphicData>
            </a:graphic>
          </wp:inline>
        </w:drawing>
      </w:r>
    </w:p>
    <w:p w:rsidR="00794EDE" w:rsidRDefault="00794EDE" w:rsidP="00F54CA4">
      <w:pPr>
        <w:jc w:val="both"/>
      </w:pPr>
    </w:p>
    <w:p w:rsidR="00794EDE" w:rsidRPr="00383D2D" w:rsidRDefault="00794EDE" w:rsidP="00F54CA4">
      <w:pPr>
        <w:pStyle w:val="NormalWeb"/>
        <w:keepNext/>
        <w:keepLines/>
        <w:spacing w:before="0" w:beforeAutospacing="0" w:after="0" w:afterAutospacing="0"/>
        <w:jc w:val="center"/>
        <w:rPr>
          <w:sz w:val="20"/>
          <w:szCs w:val="20"/>
        </w:rPr>
      </w:pPr>
      <w:r w:rsidRPr="00383D2D">
        <w:rPr>
          <w:color w:val="000000"/>
          <w:sz w:val="20"/>
          <w:szCs w:val="20"/>
        </w:rPr>
        <w:lastRenderedPageBreak/>
        <w:t>Budget and Actual Expenditure (personnel and non-personnel)</w:t>
      </w:r>
    </w:p>
    <w:p w:rsidR="00794EDE" w:rsidRPr="00383D2D" w:rsidRDefault="00794EDE">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794EDE" w:rsidRDefault="00794EDE" w:rsidP="00F54CA4">
      <w:pPr>
        <w:pStyle w:val="NormalWeb"/>
        <w:keepNext/>
        <w:keepLines/>
        <w:spacing w:before="0" w:beforeAutospacing="0" w:after="0" w:afterAutospacing="0"/>
        <w:jc w:val="both"/>
      </w:pPr>
    </w:p>
    <w:p w:rsidR="00794EDE" w:rsidRPr="00383D2D" w:rsidRDefault="00794EDE" w:rsidP="00F54CA4">
      <w:pPr>
        <w:jc w:val="center"/>
        <w:rPr>
          <w:szCs w:val="20"/>
        </w:rPr>
      </w:pPr>
      <w:r w:rsidRPr="00083B4D">
        <w:rPr>
          <w:noProof/>
        </w:rPr>
        <w:drawing>
          <wp:inline distT="0" distB="0" distL="0" distR="0" wp14:anchorId="25FB370F" wp14:editId="317C12DE">
            <wp:extent cx="5812404" cy="124841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805416" cy="1246909"/>
                    </a:xfrm>
                    <a:prstGeom prst="rect">
                      <a:avLst/>
                    </a:prstGeom>
                    <a:noFill/>
                    <a:ln>
                      <a:noFill/>
                    </a:ln>
                  </pic:spPr>
                </pic:pic>
              </a:graphicData>
            </a:graphic>
          </wp:inline>
        </w:drawing>
      </w:r>
    </w:p>
    <w:p w:rsidR="00794EDE" w:rsidRPr="004312A2" w:rsidRDefault="00794EDE" w:rsidP="00F54CA4">
      <w:pPr>
        <w:keepNext/>
        <w:autoSpaceDE w:val="0"/>
        <w:autoSpaceDN w:val="0"/>
        <w:jc w:val="both"/>
        <w:rPr>
          <w:sz w:val="16"/>
          <w:szCs w:val="16"/>
        </w:rPr>
      </w:pPr>
      <w:r w:rsidRPr="00C44FE1">
        <w:rPr>
          <w:i/>
          <w:sz w:val="16"/>
          <w:szCs w:val="16"/>
        </w:rPr>
        <w:t>NOTE: The 2014/15 Budget after Transfers reflects transfers as of March 31, 2015 to address needs during the 2014/15 biennium in line with Financial Regulation 5.5.</w:t>
      </w:r>
    </w:p>
    <w:p w:rsidR="00794EDE" w:rsidRPr="008F4A6D" w:rsidRDefault="00794EDE" w:rsidP="00F54CA4">
      <w:pPr>
        <w:widowControl w:val="0"/>
        <w:autoSpaceDE w:val="0"/>
        <w:autoSpaceDN w:val="0"/>
        <w:adjustRightInd w:val="0"/>
        <w:jc w:val="both"/>
        <w:rPr>
          <w:rFonts w:cs="Arial"/>
          <w:szCs w:val="20"/>
        </w:rPr>
      </w:pPr>
    </w:p>
    <w:p w:rsidR="00794EDE" w:rsidRPr="001C6F4D" w:rsidRDefault="00794EDE" w:rsidP="00F54CA4">
      <w:pPr>
        <w:widowControl w:val="0"/>
        <w:autoSpaceDE w:val="0"/>
        <w:autoSpaceDN w:val="0"/>
        <w:adjustRightInd w:val="0"/>
        <w:jc w:val="both"/>
        <w:rPr>
          <w:rFonts w:cs="Arial"/>
          <w:szCs w:val="20"/>
        </w:rPr>
      </w:pPr>
    </w:p>
    <w:p w:rsidR="00794EDE" w:rsidRDefault="00794EDE" w:rsidP="00F54CA4">
      <w:pPr>
        <w:jc w:val="both"/>
        <w:rPr>
          <w:rFonts w:cs="Arial"/>
          <w:u w:val="single"/>
        </w:rPr>
      </w:pPr>
      <w:r w:rsidRPr="00420F90">
        <w:rPr>
          <w:rFonts w:cs="Arial"/>
          <w:szCs w:val="20"/>
        </w:rPr>
        <w:t>A.</w:t>
      </w:r>
      <w:r w:rsidRPr="00420F90">
        <w:rPr>
          <w:rFonts w:cs="Arial"/>
        </w:rPr>
        <w:tab/>
      </w:r>
      <w:r w:rsidRPr="00420F90">
        <w:rPr>
          <w:rFonts w:cs="Arial"/>
          <w:u w:val="single"/>
        </w:rPr>
        <w:t>Budget after Transfers 201</w:t>
      </w:r>
      <w:r>
        <w:rPr>
          <w:rFonts w:cs="Arial"/>
          <w:u w:val="single"/>
        </w:rPr>
        <w:t>4/15</w:t>
      </w:r>
    </w:p>
    <w:p w:rsidR="00794EDE" w:rsidRPr="00420F90" w:rsidRDefault="00794EDE" w:rsidP="00F54CA4">
      <w:pPr>
        <w:jc w:val="both"/>
        <w:rPr>
          <w:rFonts w:cs="Arial"/>
          <w:u w:val="single"/>
        </w:rPr>
      </w:pPr>
    </w:p>
    <w:p w:rsidR="00794EDE" w:rsidRPr="00842C9D" w:rsidRDefault="00794EDE" w:rsidP="00F54CA4">
      <w:r w:rsidRPr="00C44FE1">
        <w:t xml:space="preserve">The </w:t>
      </w:r>
      <w:r>
        <w:t>slight decrease in the B</w:t>
      </w:r>
      <w:r w:rsidRPr="00C44FE1">
        <w:t xml:space="preserve">udget after </w:t>
      </w:r>
      <w:r>
        <w:t>T</w:t>
      </w:r>
      <w:r w:rsidRPr="00C44FE1">
        <w:t>ransfers for 2014/15 reflects the result of reclassific</w:t>
      </w:r>
      <w:r w:rsidRPr="00842C9D">
        <w:t>ations downward of two pos</w:t>
      </w:r>
      <w:r>
        <w:t xml:space="preserve">ts (personnel resources) </w:t>
      </w:r>
      <w:r w:rsidRPr="00C44FE1">
        <w:t xml:space="preserve">and </w:t>
      </w:r>
      <w:r>
        <w:t>a</w:t>
      </w:r>
      <w:r w:rsidRPr="00C44FE1">
        <w:t xml:space="preserve"> reduction under non-personne</w:t>
      </w:r>
      <w:r w:rsidRPr="00842C9D">
        <w:t xml:space="preserve">l resources </w:t>
      </w:r>
      <w:r w:rsidRPr="00C44FE1">
        <w:t>to implement cost efficiency savings.</w:t>
      </w:r>
      <w:r w:rsidRPr="00842C9D">
        <w:t xml:space="preserve"> </w:t>
      </w:r>
    </w:p>
    <w:p w:rsidR="00794EDE" w:rsidRPr="006D1EA0" w:rsidRDefault="00794EDE" w:rsidP="00F54CA4">
      <w:pPr>
        <w:pStyle w:val="ListParagraph"/>
        <w:tabs>
          <w:tab w:val="left" w:pos="709"/>
        </w:tabs>
        <w:ind w:left="0"/>
        <w:jc w:val="both"/>
        <w:rPr>
          <w:rFonts w:cs="Arial"/>
          <w:color w:val="000000"/>
        </w:rPr>
      </w:pPr>
    </w:p>
    <w:p w:rsidR="00794EDE" w:rsidRDefault="00794EDE" w:rsidP="00F54CA4">
      <w:pPr>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Budget utilization 2014</w:t>
      </w:r>
    </w:p>
    <w:p w:rsidR="00794EDE" w:rsidRDefault="00794EDE" w:rsidP="00F54CA4">
      <w:pPr>
        <w:tabs>
          <w:tab w:val="left" w:pos="709"/>
        </w:tabs>
        <w:jc w:val="both"/>
        <w:rPr>
          <w:rFonts w:cs="Arial"/>
          <w:szCs w:val="20"/>
          <w:u w:val="single"/>
          <w:lang w:eastAsia="ko-KR"/>
        </w:rPr>
      </w:pPr>
    </w:p>
    <w:p w:rsidR="00794EDE" w:rsidRDefault="00794EDE" w:rsidP="00520CAA">
      <w:pPr>
        <w:pStyle w:val="ListParagraph"/>
        <w:numPr>
          <w:ilvl w:val="0"/>
          <w:numId w:val="28"/>
        </w:numPr>
        <w:tabs>
          <w:tab w:val="left" w:pos="709"/>
        </w:tabs>
        <w:ind w:left="0" w:firstLine="0"/>
        <w:jc w:val="both"/>
        <w:rPr>
          <w:rFonts w:ascii="Calibri" w:hAnsi="Calibri"/>
          <w:sz w:val="22"/>
          <w:szCs w:val="22"/>
        </w:rPr>
      </w:pPr>
      <w:r>
        <w:rPr>
          <w:rFonts w:cs="Arial"/>
          <w:lang w:eastAsia="ko-KR"/>
        </w:rPr>
        <w:t xml:space="preserve">Budget utilization is within the expected range of 40-60 per cent for the first year of the biennium and is on track. </w:t>
      </w:r>
    </w:p>
    <w:p w:rsidR="00794EDE" w:rsidRDefault="00794EDE">
      <w:pPr>
        <w:autoSpaceDE w:val="0"/>
        <w:autoSpaceDN w:val="0"/>
        <w:jc w:val="both"/>
      </w:pPr>
    </w:p>
    <w:p w:rsidR="00794EDE" w:rsidRDefault="00794EDE"/>
    <w:p w:rsidR="007852E3" w:rsidRDefault="007852E3">
      <w:r>
        <w:br w:type="page"/>
      </w:r>
    </w:p>
    <w:p w:rsidR="007852E3" w:rsidRPr="001243AF" w:rsidRDefault="007852E3" w:rsidP="00F54CA4">
      <w:pPr>
        <w:pStyle w:val="Heading2"/>
        <w:tabs>
          <w:tab w:val="clear" w:pos="567"/>
          <w:tab w:val="left" w:pos="1985"/>
        </w:tabs>
      </w:pPr>
      <w:bookmarkStart w:id="71" w:name="_Toc422210497"/>
      <w:r w:rsidRPr="001243AF">
        <w:lastRenderedPageBreak/>
        <w:t>PROGRAM 1</w:t>
      </w:r>
      <w:r>
        <w:t>3</w:t>
      </w:r>
      <w:r>
        <w:tab/>
      </w:r>
      <w:r>
        <w:tab/>
        <w:t>GLOBAL DATABASES</w:t>
      </w:r>
      <w:bookmarkEnd w:id="71"/>
    </w:p>
    <w:p w:rsidR="007852E3" w:rsidRPr="00383D2D" w:rsidRDefault="007852E3" w:rsidP="000E148D">
      <w:pPr>
        <w:rPr>
          <w:szCs w:val="20"/>
        </w:rPr>
      </w:pPr>
    </w:p>
    <w:p w:rsidR="007852E3" w:rsidRPr="00D55DB3" w:rsidRDefault="007852E3" w:rsidP="00F54CA4">
      <w:pPr>
        <w:tabs>
          <w:tab w:val="left" w:pos="1985"/>
        </w:tabs>
        <w:rPr>
          <w:b/>
          <w:sz w:val="22"/>
          <w:szCs w:val="22"/>
        </w:rPr>
      </w:pPr>
      <w:r w:rsidRPr="00193791">
        <w:rPr>
          <w:b/>
          <w:szCs w:val="22"/>
        </w:rPr>
        <w:t>Program Manager</w:t>
      </w:r>
      <w:r w:rsidRPr="00193791">
        <w:rPr>
          <w:b/>
          <w:szCs w:val="22"/>
        </w:rPr>
        <w:tab/>
        <w:t>Mr. Y. Takagi</w:t>
      </w:r>
    </w:p>
    <w:p w:rsidR="007852E3" w:rsidRPr="008F4A6D" w:rsidRDefault="007852E3" w:rsidP="000E148D">
      <w:pPr>
        <w:rPr>
          <w:szCs w:val="20"/>
        </w:rPr>
      </w:pPr>
    </w:p>
    <w:p w:rsidR="007852E3" w:rsidRPr="00DD5C7E" w:rsidRDefault="007852E3" w:rsidP="000E148D">
      <w:pPr>
        <w:rPr>
          <w:szCs w:val="20"/>
        </w:rPr>
      </w:pPr>
    </w:p>
    <w:p w:rsidR="007852E3" w:rsidRPr="00193791" w:rsidRDefault="007852E3" w:rsidP="000E148D">
      <w:pPr>
        <w:rPr>
          <w:bCs/>
          <w:sz w:val="22"/>
          <w:szCs w:val="20"/>
        </w:rPr>
      </w:pPr>
      <w:r w:rsidRPr="00193791">
        <w:rPr>
          <w:bCs/>
          <w:sz w:val="22"/>
          <w:szCs w:val="20"/>
        </w:rPr>
        <w:t>OVERVIEW OF PROGRESS IN 2014</w:t>
      </w:r>
    </w:p>
    <w:p w:rsidR="007852E3" w:rsidRPr="00DD5C7E" w:rsidRDefault="007852E3" w:rsidP="00F54CA4">
      <w:pPr>
        <w:jc w:val="both"/>
        <w:rPr>
          <w:szCs w:val="20"/>
        </w:rPr>
      </w:pPr>
    </w:p>
    <w:p w:rsidR="007852E3" w:rsidRPr="00480AE9" w:rsidRDefault="007852E3" w:rsidP="00520CAA">
      <w:pPr>
        <w:pStyle w:val="ListParagraph"/>
        <w:numPr>
          <w:ilvl w:val="0"/>
          <w:numId w:val="30"/>
        </w:numPr>
        <w:tabs>
          <w:tab w:val="left" w:pos="709"/>
        </w:tabs>
        <w:ind w:left="0" w:firstLine="0"/>
        <w:jc w:val="both"/>
      </w:pPr>
      <w:r w:rsidRPr="00480AE9">
        <w:t xml:space="preserve">The PATENTSCOPE system was further strengthened in 2014, with a significant focus on improving access to the system in regions experiencing poor latency.   Two additional languages were developed for inclusion in the Cross Lingual Information Retrieval (CLIR) multilingual searching system, to be added to the existing 12 languages by the end of the biennium, pending the finalization of the interface. </w:t>
      </w:r>
      <w:r>
        <w:t xml:space="preserve"> </w:t>
      </w:r>
      <w:r w:rsidRPr="00480AE9">
        <w:t>The Translation Assistant for Patent Titles and Abstracts (TAPTA)</w:t>
      </w:r>
      <w:r>
        <w:rPr>
          <w:rStyle w:val="FootnoteReference"/>
        </w:rPr>
        <w:footnoteReference w:id="39"/>
      </w:r>
      <w:r w:rsidRPr="00480AE9">
        <w:t xml:space="preserve">, a statistical machine translation system developed in-house, was extended to include one additional and difficult language pair, English and Chinese, bringing the total number to five.  </w:t>
      </w:r>
      <w:r w:rsidRPr="00480AE9">
        <w:rPr>
          <w:bCs/>
        </w:rPr>
        <w:t>Research into additional machine translation functions also progressed in 2014, and the system continued to find application in other UN Organizations.</w:t>
      </w:r>
      <w:r w:rsidRPr="00480AE9">
        <w:t xml:space="preserve">     </w:t>
      </w:r>
    </w:p>
    <w:p w:rsidR="007852E3" w:rsidRDefault="007852E3" w:rsidP="00F54CA4">
      <w:pPr>
        <w:tabs>
          <w:tab w:val="left" w:pos="709"/>
        </w:tabs>
        <w:jc w:val="both"/>
        <w:rPr>
          <w:szCs w:val="20"/>
        </w:rPr>
      </w:pPr>
    </w:p>
    <w:p w:rsidR="007852E3" w:rsidRPr="00480AE9" w:rsidRDefault="007852E3" w:rsidP="00520CAA">
      <w:pPr>
        <w:pStyle w:val="ListParagraph"/>
        <w:numPr>
          <w:ilvl w:val="0"/>
          <w:numId w:val="30"/>
        </w:numPr>
        <w:tabs>
          <w:tab w:val="left" w:pos="709"/>
        </w:tabs>
        <w:ind w:left="0" w:firstLine="0"/>
        <w:jc w:val="both"/>
      </w:pPr>
      <w:r w:rsidRPr="00480AE9">
        <w:t xml:space="preserve">Use of PATENTSCOPE increased by </w:t>
      </w:r>
      <w:r>
        <w:t>3.5</w:t>
      </w:r>
      <w:r w:rsidRPr="00480AE9">
        <w:t xml:space="preserve"> per cent from 237,446 </w:t>
      </w:r>
      <w:r>
        <w:t xml:space="preserve">unique </w:t>
      </w:r>
      <w:r w:rsidRPr="00480AE9">
        <w:t xml:space="preserve">users per quarter in 2013 to </w:t>
      </w:r>
      <w:r>
        <w:t>245,769</w:t>
      </w:r>
      <w:r w:rsidRPr="00480AE9">
        <w:t xml:space="preserve"> </w:t>
      </w:r>
      <w:r>
        <w:t xml:space="preserve">unique </w:t>
      </w:r>
      <w:r w:rsidRPr="00480AE9">
        <w:t>users per quarter in 2014</w:t>
      </w:r>
      <w:r>
        <w:t xml:space="preserve"> from 169 countries</w:t>
      </w:r>
      <w:r w:rsidRPr="00480AE9">
        <w:t>.  The number of collections held in PATEN</w:t>
      </w:r>
      <w:r w:rsidR="00330226">
        <w:t>T</w:t>
      </w:r>
      <w:r w:rsidRPr="00480AE9">
        <w:t>SCOPE also saw a 12 per cent increase over 2014, bringing the total number of national and regional collections (indicated as “non-PCT” in the graph below) to 41 and the total number of records contained to 43 million, a 26 per cent increase over 2013.</w:t>
      </w:r>
    </w:p>
    <w:p w:rsidR="007852E3" w:rsidRDefault="007852E3" w:rsidP="00F54CA4">
      <w:pPr>
        <w:jc w:val="both"/>
        <w:rPr>
          <w:szCs w:val="20"/>
        </w:rPr>
      </w:pPr>
    </w:p>
    <w:p w:rsidR="007852E3" w:rsidRDefault="007852E3" w:rsidP="00F54CA4">
      <w:pPr>
        <w:autoSpaceDE w:val="0"/>
        <w:autoSpaceDN w:val="0"/>
        <w:adjustRightInd w:val="0"/>
        <w:jc w:val="center"/>
        <w:rPr>
          <w:rFonts w:cs="Arial"/>
          <w:bCs/>
          <w:color w:val="000000"/>
          <w:sz w:val="22"/>
          <w:szCs w:val="22"/>
        </w:rPr>
      </w:pPr>
      <w:r>
        <w:rPr>
          <w:rFonts w:cs="Arial"/>
          <w:bCs/>
          <w:color w:val="000000"/>
          <w:sz w:val="22"/>
          <w:szCs w:val="22"/>
        </w:rPr>
        <w:t>PATENTSCOPE Records 2014</w:t>
      </w:r>
    </w:p>
    <w:p w:rsidR="00587465" w:rsidRPr="00587465" w:rsidRDefault="00587465" w:rsidP="00F54CA4">
      <w:pPr>
        <w:autoSpaceDE w:val="0"/>
        <w:autoSpaceDN w:val="0"/>
        <w:adjustRightInd w:val="0"/>
        <w:jc w:val="center"/>
        <w:rPr>
          <w:rFonts w:cs="Arial"/>
          <w:bCs/>
          <w:color w:val="000000"/>
          <w:sz w:val="12"/>
          <w:szCs w:val="22"/>
        </w:rPr>
      </w:pPr>
    </w:p>
    <w:p w:rsidR="007852E3" w:rsidRPr="005A6DA1" w:rsidRDefault="00587465" w:rsidP="00587465">
      <w:pPr>
        <w:jc w:val="center"/>
        <w:rPr>
          <w:rFonts w:cs="Arial"/>
          <w:szCs w:val="20"/>
        </w:rPr>
      </w:pPr>
      <w:r w:rsidRPr="00587465">
        <w:rPr>
          <w:noProof/>
        </w:rPr>
        <w:drawing>
          <wp:inline distT="0" distB="0" distL="0" distR="0" wp14:anchorId="7FEC8F02" wp14:editId="3137410E">
            <wp:extent cx="5568287" cy="1710033"/>
            <wp:effectExtent l="0" t="0" r="0" b="508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575442" cy="1712230"/>
                    </a:xfrm>
                    <a:prstGeom prst="rect">
                      <a:avLst/>
                    </a:prstGeom>
                    <a:noFill/>
                    <a:ln>
                      <a:noFill/>
                    </a:ln>
                  </pic:spPr>
                </pic:pic>
              </a:graphicData>
            </a:graphic>
          </wp:inline>
        </w:drawing>
      </w:r>
    </w:p>
    <w:p w:rsidR="007852E3" w:rsidRDefault="007852E3" w:rsidP="00F54CA4">
      <w:pPr>
        <w:jc w:val="both"/>
        <w:rPr>
          <w:bCs/>
          <w:szCs w:val="20"/>
        </w:rPr>
      </w:pPr>
    </w:p>
    <w:p w:rsidR="007852E3" w:rsidRDefault="007852E3" w:rsidP="00520CAA">
      <w:pPr>
        <w:pStyle w:val="ListParagraph"/>
        <w:numPr>
          <w:ilvl w:val="0"/>
          <w:numId w:val="30"/>
        </w:numPr>
        <w:tabs>
          <w:tab w:val="left" w:pos="709"/>
        </w:tabs>
        <w:ind w:left="0" w:firstLine="0"/>
        <w:jc w:val="both"/>
        <w:rPr>
          <w:bCs/>
        </w:rPr>
      </w:pPr>
      <w:r>
        <w:rPr>
          <w:bCs/>
        </w:rPr>
        <w:t>W</w:t>
      </w:r>
      <w:r w:rsidRPr="00B93294">
        <w:rPr>
          <w:bCs/>
        </w:rPr>
        <w:t>ith the introduction of a powerful image similarity search func</w:t>
      </w:r>
      <w:r>
        <w:rPr>
          <w:bCs/>
        </w:rPr>
        <w:t xml:space="preserve">tion, use of the </w:t>
      </w:r>
      <w:r w:rsidRPr="005A6DA1">
        <w:rPr>
          <w:bCs/>
        </w:rPr>
        <w:t xml:space="preserve">Global Brand Database </w:t>
      </w:r>
      <w:r>
        <w:rPr>
          <w:bCs/>
        </w:rPr>
        <w:t xml:space="preserve">exceeded expectations in 2014, more than doubling the number of users per quarter from 23,000 in 2013 to 49,977 in 2014.  The number of national collections (indicated as “non-Madrid” in the graph below) increased significantly (50 per cent), bringing the total number to 18 in 2014.  Likewise, the total number of records contained in the system increased 28 per cent, from 12 million in 2013 to 15.4 million in 2014. </w:t>
      </w:r>
    </w:p>
    <w:p w:rsidR="007852E3" w:rsidRDefault="007852E3" w:rsidP="00F54CA4">
      <w:pPr>
        <w:jc w:val="both"/>
        <w:rPr>
          <w:bCs/>
          <w:szCs w:val="20"/>
        </w:rPr>
      </w:pPr>
    </w:p>
    <w:p w:rsidR="007852E3" w:rsidRDefault="007852E3" w:rsidP="00F54CA4">
      <w:pPr>
        <w:pStyle w:val="Style1"/>
        <w:keepNext/>
        <w:keepLines/>
        <w:numPr>
          <w:ilvl w:val="0"/>
          <w:numId w:val="0"/>
        </w:numPr>
        <w:ind w:left="720"/>
        <w:jc w:val="center"/>
        <w:rPr>
          <w:sz w:val="22"/>
          <w:szCs w:val="22"/>
        </w:rPr>
      </w:pPr>
      <w:r w:rsidRPr="001A6D6B">
        <w:rPr>
          <w:sz w:val="22"/>
          <w:szCs w:val="22"/>
        </w:rPr>
        <w:t xml:space="preserve">Global Brand Database Records </w:t>
      </w:r>
      <w:r>
        <w:rPr>
          <w:sz w:val="22"/>
          <w:szCs w:val="22"/>
        </w:rPr>
        <w:t>2014</w:t>
      </w:r>
    </w:p>
    <w:p w:rsidR="00587465" w:rsidRPr="00587465" w:rsidRDefault="00587465" w:rsidP="00F54CA4">
      <w:pPr>
        <w:pStyle w:val="Style1"/>
        <w:keepNext/>
        <w:keepLines/>
        <w:numPr>
          <w:ilvl w:val="0"/>
          <w:numId w:val="0"/>
        </w:numPr>
        <w:ind w:left="720"/>
        <w:jc w:val="center"/>
        <w:rPr>
          <w:sz w:val="14"/>
          <w:szCs w:val="22"/>
        </w:rPr>
      </w:pPr>
    </w:p>
    <w:p w:rsidR="007852E3" w:rsidRDefault="00587465" w:rsidP="00587465">
      <w:pPr>
        <w:keepNext/>
        <w:keepLines/>
        <w:jc w:val="center"/>
        <w:rPr>
          <w:bCs/>
          <w:szCs w:val="20"/>
        </w:rPr>
      </w:pPr>
      <w:r w:rsidRPr="00587465">
        <w:rPr>
          <w:noProof/>
        </w:rPr>
        <w:drawing>
          <wp:inline distT="0" distB="0" distL="0" distR="0" wp14:anchorId="2FC77D32" wp14:editId="131AA91B">
            <wp:extent cx="5602406" cy="1706690"/>
            <wp:effectExtent l="0" t="0" r="0" b="8255"/>
            <wp:docPr id="877" name="Picture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605830" cy="1707733"/>
                    </a:xfrm>
                    <a:prstGeom prst="rect">
                      <a:avLst/>
                    </a:prstGeom>
                    <a:noFill/>
                    <a:ln>
                      <a:noFill/>
                    </a:ln>
                  </pic:spPr>
                </pic:pic>
              </a:graphicData>
            </a:graphic>
          </wp:inline>
        </w:drawing>
      </w:r>
    </w:p>
    <w:p w:rsidR="007705FF" w:rsidRDefault="007705FF" w:rsidP="007705FF">
      <w:pPr>
        <w:rPr>
          <w:bCs/>
          <w:szCs w:val="20"/>
        </w:rPr>
      </w:pPr>
    </w:p>
    <w:p w:rsidR="007852E3" w:rsidRPr="005A6DA1" w:rsidRDefault="007852E3" w:rsidP="00520CAA">
      <w:pPr>
        <w:pStyle w:val="ListParagraph"/>
        <w:numPr>
          <w:ilvl w:val="0"/>
          <w:numId w:val="30"/>
        </w:numPr>
        <w:tabs>
          <w:tab w:val="left" w:pos="709"/>
        </w:tabs>
        <w:ind w:left="0" w:firstLine="0"/>
        <w:rPr>
          <w:bCs/>
        </w:rPr>
      </w:pPr>
      <w:r w:rsidRPr="00CD26D6">
        <w:rPr>
          <w:rFonts w:eastAsia="MS Mincho"/>
          <w:lang w:eastAsia="ja-JP" w:bidi="th-TH"/>
        </w:rPr>
        <w:lastRenderedPageBreak/>
        <w:t>Program</w:t>
      </w:r>
      <w:r>
        <w:rPr>
          <w:rFonts w:eastAsia="MS Mincho"/>
          <w:lang w:eastAsia="ja-JP" w:bidi="th-TH"/>
        </w:rPr>
        <w:t xml:space="preserve"> 13</w:t>
      </w:r>
      <w:r w:rsidRPr="00CD26D6">
        <w:rPr>
          <w:rFonts w:eastAsia="MS Mincho"/>
          <w:lang w:eastAsia="ja-JP" w:bidi="th-TH"/>
        </w:rPr>
        <w:t xml:space="preserve"> continued to contribute to DA Recommendations 24 and 31, bridging the digital divide and facilitating better access to publicly available </w:t>
      </w:r>
      <w:r>
        <w:rPr>
          <w:rFonts w:eastAsia="MS Mincho"/>
          <w:lang w:eastAsia="ja-JP" w:bidi="th-TH"/>
        </w:rPr>
        <w:t>intellectual property</w:t>
      </w:r>
      <w:r w:rsidRPr="00CD26D6">
        <w:rPr>
          <w:rFonts w:eastAsia="MS Mincho"/>
          <w:lang w:eastAsia="ja-JP" w:bidi="th-TH"/>
        </w:rPr>
        <w:t xml:space="preserve"> information by continuing to increase the amount of IP records available for searching and extending search and multilingual support functionalities.</w:t>
      </w:r>
    </w:p>
    <w:p w:rsidR="007852E3" w:rsidRDefault="007852E3" w:rsidP="00C3728B">
      <w:pPr>
        <w:rPr>
          <w:bCs/>
          <w:sz w:val="22"/>
          <w:szCs w:val="22"/>
        </w:rPr>
      </w:pPr>
    </w:p>
    <w:p w:rsidR="007852E3" w:rsidRPr="00523BE7" w:rsidRDefault="007852E3" w:rsidP="00F54CA4">
      <w:pPr>
        <w:rPr>
          <w:rFonts w:cs="Arial"/>
          <w:sz w:val="22"/>
          <w:szCs w:val="22"/>
        </w:rPr>
      </w:pPr>
      <w:r>
        <w:rPr>
          <w:rFonts w:cs="Arial"/>
          <w:sz w:val="22"/>
          <w:szCs w:val="22"/>
        </w:rPr>
        <w:t>P</w:t>
      </w:r>
      <w:r w:rsidRPr="00523BE7">
        <w:rPr>
          <w:rFonts w:cs="Arial"/>
          <w:sz w:val="22"/>
          <w:szCs w:val="22"/>
        </w:rPr>
        <w:t>ERFORMANCE DATA</w:t>
      </w:r>
    </w:p>
    <w:p w:rsidR="007852E3" w:rsidRDefault="007852E3" w:rsidP="00C3728B">
      <w:pPr>
        <w:rPr>
          <w:bCs/>
          <w:sz w:val="22"/>
          <w:szCs w:val="22"/>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6"/>
        <w:gridCol w:w="2412"/>
        <w:gridCol w:w="1419"/>
        <w:gridCol w:w="2411"/>
        <w:gridCol w:w="990"/>
      </w:tblGrid>
      <w:tr w:rsidR="007852E3" w:rsidRPr="0068151C" w:rsidTr="00F54CA4">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7852E3" w:rsidRPr="0068151C" w:rsidRDefault="007852E3" w:rsidP="00F54CA4">
            <w:pPr>
              <w:keepNext/>
              <w:keepLines/>
              <w:tabs>
                <w:tab w:val="left" w:pos="1452"/>
              </w:tabs>
              <w:spacing w:before="120" w:after="120"/>
              <w:ind w:left="1452" w:hanging="1452"/>
              <w:rPr>
                <w:rFonts w:cs="Arial"/>
                <w:b/>
                <w:bCs/>
                <w:sz w:val="16"/>
                <w:szCs w:val="16"/>
              </w:rPr>
            </w:pPr>
            <w:r w:rsidRPr="0068151C">
              <w:rPr>
                <w:rFonts w:cs="Arial"/>
                <w:b/>
                <w:bCs/>
                <w:sz w:val="16"/>
                <w:szCs w:val="16"/>
              </w:rPr>
              <w:t>Expected Result:</w:t>
            </w:r>
            <w:r w:rsidRPr="0068151C">
              <w:rPr>
                <w:rFonts w:cs="Arial"/>
                <w:b/>
                <w:bCs/>
                <w:sz w:val="16"/>
                <w:szCs w:val="16"/>
              </w:rPr>
              <w:tab/>
            </w:r>
            <w:r w:rsidRPr="009A6091">
              <w:rPr>
                <w:rFonts w:cs="Arial"/>
                <w:sz w:val="16"/>
                <w:szCs w:val="16"/>
              </w:rPr>
              <w:t>IV.2 Enhanced access to, and use of, IP information by IP institutions and the public to promote innovation and creativity</w:t>
            </w:r>
          </w:p>
        </w:tc>
      </w:tr>
      <w:tr w:rsidR="007852E3" w:rsidRPr="0068151C" w:rsidTr="00F54CA4">
        <w:trPr>
          <w:cantSplit/>
        </w:trPr>
        <w:tc>
          <w:tcPr>
            <w:tcW w:w="1193" w:type="pct"/>
            <w:tcBorders>
              <w:top w:val="single" w:sz="4" w:space="0" w:color="auto"/>
              <w:left w:val="single" w:sz="4" w:space="0" w:color="auto"/>
              <w:bottom w:val="nil"/>
            </w:tcBorders>
            <w:shd w:val="clear" w:color="auto" w:fill="auto"/>
            <w:vAlign w:val="center"/>
          </w:tcPr>
          <w:p w:rsidR="007852E3" w:rsidRPr="0068151C" w:rsidRDefault="007852E3" w:rsidP="00F54CA4">
            <w:pPr>
              <w:rPr>
                <w:rFonts w:cs="Arial"/>
                <w:sz w:val="16"/>
                <w:szCs w:val="16"/>
              </w:rPr>
            </w:pPr>
            <w:r w:rsidRPr="0068151C">
              <w:rPr>
                <w:rFonts w:cs="Arial"/>
                <w:b/>
                <w:bCs/>
                <w:sz w:val="16"/>
                <w:szCs w:val="16"/>
              </w:rPr>
              <w:t>Performance Indicators</w:t>
            </w:r>
          </w:p>
        </w:tc>
        <w:tc>
          <w:tcPr>
            <w:tcW w:w="1270" w:type="pct"/>
            <w:tcBorders>
              <w:top w:val="single" w:sz="4" w:space="0" w:color="auto"/>
              <w:bottom w:val="nil"/>
            </w:tcBorders>
            <w:shd w:val="clear" w:color="auto" w:fill="auto"/>
            <w:vAlign w:val="center"/>
          </w:tcPr>
          <w:p w:rsidR="007852E3" w:rsidRPr="0068151C" w:rsidRDefault="007852E3" w:rsidP="00F54CA4">
            <w:pPr>
              <w:rPr>
                <w:rFonts w:cs="Arial"/>
                <w:b/>
                <w:bCs/>
                <w:sz w:val="16"/>
                <w:szCs w:val="16"/>
              </w:rPr>
            </w:pPr>
            <w:r w:rsidRPr="0068151C">
              <w:rPr>
                <w:rFonts w:cs="Arial"/>
                <w:b/>
                <w:bCs/>
                <w:sz w:val="16"/>
                <w:szCs w:val="16"/>
              </w:rPr>
              <w:t>Baselines</w:t>
            </w:r>
          </w:p>
        </w:tc>
        <w:tc>
          <w:tcPr>
            <w:tcW w:w="747" w:type="pct"/>
            <w:tcBorders>
              <w:top w:val="single" w:sz="4" w:space="0" w:color="auto"/>
              <w:bottom w:val="nil"/>
            </w:tcBorders>
            <w:shd w:val="clear" w:color="auto" w:fill="auto"/>
            <w:tcMar>
              <w:top w:w="110" w:type="dxa"/>
            </w:tcMar>
            <w:vAlign w:val="center"/>
          </w:tcPr>
          <w:p w:rsidR="007852E3" w:rsidRPr="0068151C" w:rsidRDefault="007852E3" w:rsidP="00F54CA4">
            <w:pPr>
              <w:rPr>
                <w:rFonts w:cs="Arial"/>
                <w:b/>
                <w:sz w:val="16"/>
                <w:szCs w:val="16"/>
              </w:rPr>
            </w:pPr>
            <w:r w:rsidRPr="0068151C">
              <w:rPr>
                <w:rFonts w:cs="Arial"/>
                <w:b/>
                <w:sz w:val="16"/>
                <w:szCs w:val="16"/>
              </w:rPr>
              <w:t>Target</w:t>
            </w:r>
            <w:r>
              <w:rPr>
                <w:rFonts w:cs="Arial"/>
                <w:b/>
                <w:sz w:val="16"/>
                <w:szCs w:val="16"/>
              </w:rPr>
              <w:t>s</w:t>
            </w:r>
          </w:p>
        </w:tc>
        <w:tc>
          <w:tcPr>
            <w:tcW w:w="1269" w:type="pct"/>
            <w:tcBorders>
              <w:top w:val="single" w:sz="4" w:space="0" w:color="auto"/>
              <w:bottom w:val="nil"/>
            </w:tcBorders>
            <w:shd w:val="clear" w:color="auto" w:fill="FFFFFF"/>
            <w:tcMar>
              <w:top w:w="110" w:type="dxa"/>
            </w:tcMar>
            <w:vAlign w:val="center"/>
          </w:tcPr>
          <w:p w:rsidR="007852E3" w:rsidRPr="0068151C" w:rsidRDefault="007852E3" w:rsidP="00F54CA4">
            <w:pPr>
              <w:rPr>
                <w:rFonts w:cs="Arial"/>
                <w:sz w:val="16"/>
                <w:szCs w:val="16"/>
              </w:rPr>
            </w:pPr>
            <w:r w:rsidRPr="0068151C">
              <w:rPr>
                <w:rFonts w:cs="Arial"/>
                <w:b/>
                <w:bCs/>
                <w:sz w:val="16"/>
                <w:szCs w:val="16"/>
              </w:rPr>
              <w:t>Performance Data</w:t>
            </w:r>
          </w:p>
        </w:tc>
        <w:tc>
          <w:tcPr>
            <w:tcW w:w="522" w:type="pct"/>
            <w:tcBorders>
              <w:top w:val="single" w:sz="4" w:space="0" w:color="auto"/>
              <w:bottom w:val="nil"/>
              <w:right w:val="single" w:sz="4" w:space="0" w:color="auto"/>
            </w:tcBorders>
            <w:shd w:val="clear" w:color="auto" w:fill="auto"/>
            <w:tcMar>
              <w:top w:w="110" w:type="dxa"/>
            </w:tcMar>
            <w:vAlign w:val="center"/>
          </w:tcPr>
          <w:p w:rsidR="007852E3" w:rsidRPr="0068151C" w:rsidRDefault="007852E3" w:rsidP="00F54CA4">
            <w:pPr>
              <w:keepNext/>
              <w:keepLines/>
              <w:jc w:val="center"/>
              <w:rPr>
                <w:rFonts w:cs="Arial"/>
                <w:b/>
                <w:bCs/>
                <w:sz w:val="16"/>
                <w:szCs w:val="16"/>
              </w:rPr>
            </w:pPr>
            <w:r w:rsidRPr="0068151C">
              <w:rPr>
                <w:rFonts w:cs="Arial"/>
                <w:b/>
                <w:bCs/>
                <w:sz w:val="16"/>
                <w:szCs w:val="16"/>
              </w:rPr>
              <w:t>TLS</w:t>
            </w:r>
          </w:p>
        </w:tc>
      </w:tr>
      <w:tr w:rsidR="007852E3" w:rsidRPr="0068151C" w:rsidTr="00F54CA4">
        <w:trPr>
          <w:cantSplit/>
        </w:trPr>
        <w:tc>
          <w:tcPr>
            <w:tcW w:w="1193" w:type="pct"/>
            <w:tcBorders>
              <w:top w:val="nil"/>
              <w:left w:val="single" w:sz="4" w:space="0" w:color="auto"/>
              <w:bottom w:val="nil"/>
            </w:tcBorders>
            <w:shd w:val="clear" w:color="auto" w:fill="auto"/>
          </w:tcPr>
          <w:p w:rsidR="007852E3" w:rsidRPr="0068151C" w:rsidRDefault="007852E3" w:rsidP="00F54CA4">
            <w:pPr>
              <w:rPr>
                <w:rFonts w:cs="Arial"/>
                <w:sz w:val="16"/>
                <w:szCs w:val="16"/>
              </w:rPr>
            </w:pPr>
            <w:r w:rsidRPr="009A6091">
              <w:rPr>
                <w:rFonts w:cs="Arial"/>
                <w:sz w:val="16"/>
                <w:szCs w:val="16"/>
              </w:rPr>
              <w:t>No. of different users per quarter in all systems (PATENTSCOPE/Global Brand Database</w:t>
            </w:r>
            <w:r>
              <w:rPr>
                <w:rFonts w:cs="Arial"/>
                <w:sz w:val="16"/>
                <w:szCs w:val="16"/>
              </w:rPr>
              <w:t>)</w:t>
            </w:r>
            <w:r>
              <w:rPr>
                <w:rStyle w:val="FootnoteReference"/>
                <w:rFonts w:cs="Arial"/>
                <w:sz w:val="16"/>
                <w:szCs w:val="16"/>
              </w:rPr>
              <w:footnoteReference w:id="40"/>
            </w:r>
          </w:p>
        </w:tc>
        <w:tc>
          <w:tcPr>
            <w:tcW w:w="1270" w:type="pct"/>
            <w:tcBorders>
              <w:top w:val="nil"/>
              <w:bottom w:val="nil"/>
            </w:tcBorders>
            <w:shd w:val="clear" w:color="auto" w:fill="auto"/>
          </w:tcPr>
          <w:p w:rsidR="007852E3" w:rsidRPr="009A6091" w:rsidRDefault="007852E3" w:rsidP="00F54CA4">
            <w:pPr>
              <w:rPr>
                <w:rFonts w:cs="Arial"/>
                <w:color w:val="002060"/>
                <w:sz w:val="16"/>
                <w:szCs w:val="16"/>
              </w:rPr>
            </w:pPr>
            <w:r w:rsidRPr="0068151C">
              <w:rPr>
                <w:rFonts w:cs="Arial"/>
                <w:i/>
                <w:color w:val="002060"/>
                <w:sz w:val="16"/>
                <w:szCs w:val="16"/>
              </w:rPr>
              <w:t xml:space="preserve">Updated Baseline </w:t>
            </w:r>
            <w:r>
              <w:rPr>
                <w:rFonts w:cs="Arial"/>
                <w:i/>
                <w:color w:val="002060"/>
                <w:sz w:val="16"/>
                <w:szCs w:val="16"/>
              </w:rPr>
              <w:br/>
              <w:t>end 2013</w:t>
            </w:r>
            <w:r w:rsidRPr="0068151C">
              <w:rPr>
                <w:rFonts w:cs="Arial"/>
                <w:i/>
                <w:color w:val="002060"/>
                <w:sz w:val="16"/>
                <w:szCs w:val="16"/>
              </w:rPr>
              <w:t>:</w:t>
            </w:r>
            <w:r>
              <w:rPr>
                <w:rFonts w:cs="Arial"/>
                <w:i/>
                <w:color w:val="002060"/>
                <w:sz w:val="16"/>
                <w:szCs w:val="16"/>
              </w:rPr>
              <w:t xml:space="preserve"> </w:t>
            </w:r>
            <w:r w:rsidRPr="005A6DA1">
              <w:rPr>
                <w:rFonts w:cs="Arial"/>
                <w:color w:val="002060"/>
                <w:sz w:val="16"/>
                <w:szCs w:val="16"/>
              </w:rPr>
              <w:t>PATENTSCOPE 237,446 Global Brand Database 23,000</w:t>
            </w:r>
            <w:r>
              <w:rPr>
                <w:rFonts w:cs="Arial"/>
                <w:i/>
                <w:color w:val="002060"/>
                <w:sz w:val="16"/>
                <w:szCs w:val="16"/>
              </w:rPr>
              <w:br/>
            </w:r>
          </w:p>
          <w:p w:rsidR="007852E3" w:rsidRPr="0068151C" w:rsidRDefault="007852E3" w:rsidP="00F54CA4">
            <w:pPr>
              <w:rPr>
                <w:rFonts w:cs="Arial"/>
                <w:sz w:val="16"/>
                <w:szCs w:val="16"/>
                <w:lang w:bidi="th-TH"/>
              </w:rPr>
            </w:pPr>
            <w:r w:rsidRPr="0068151C">
              <w:rPr>
                <w:rFonts w:cs="Arial"/>
                <w:i/>
                <w:sz w:val="16"/>
                <w:szCs w:val="16"/>
                <w:lang w:bidi="th-TH"/>
              </w:rPr>
              <w:t>Original Baseline</w:t>
            </w:r>
          </w:p>
          <w:p w:rsidR="007852E3" w:rsidRPr="0068151C" w:rsidRDefault="007852E3" w:rsidP="00F54CA4">
            <w:pPr>
              <w:rPr>
                <w:rFonts w:cs="Arial"/>
                <w:sz w:val="16"/>
                <w:szCs w:val="16"/>
              </w:rPr>
            </w:pPr>
            <w:r>
              <w:rPr>
                <w:rFonts w:cs="Arial"/>
                <w:i/>
                <w:sz w:val="16"/>
                <w:szCs w:val="16"/>
              </w:rPr>
              <w:t>P&amp;B 2014/15</w:t>
            </w:r>
            <w:r w:rsidRPr="0068151C">
              <w:rPr>
                <w:rFonts w:cs="Arial"/>
                <w:i/>
                <w:sz w:val="16"/>
                <w:szCs w:val="16"/>
              </w:rPr>
              <w:t>:</w:t>
            </w:r>
            <w:r>
              <w:rPr>
                <w:rFonts w:cs="Arial"/>
                <w:i/>
                <w:sz w:val="16"/>
                <w:szCs w:val="16"/>
              </w:rPr>
              <w:t xml:space="preserve"> </w:t>
            </w:r>
            <w:r w:rsidRPr="005A6DA1">
              <w:rPr>
                <w:rFonts w:cs="Arial"/>
                <w:sz w:val="16"/>
                <w:szCs w:val="16"/>
              </w:rPr>
              <w:t>PATENTSCOPE 566,782 Global Brand Database 13,339 unique visitors (4</w:t>
            </w:r>
            <w:r w:rsidRPr="00480AE9">
              <w:rPr>
                <w:rFonts w:cs="Arial"/>
                <w:sz w:val="16"/>
                <w:szCs w:val="16"/>
                <w:vertAlign w:val="superscript"/>
              </w:rPr>
              <w:t>th</w:t>
            </w:r>
            <w:r>
              <w:rPr>
                <w:rFonts w:cs="Arial"/>
                <w:sz w:val="16"/>
                <w:szCs w:val="16"/>
              </w:rPr>
              <w:t> </w:t>
            </w:r>
            <w:r w:rsidRPr="005A6DA1">
              <w:rPr>
                <w:rFonts w:cs="Arial"/>
                <w:sz w:val="16"/>
                <w:szCs w:val="16"/>
              </w:rPr>
              <w:t>quarter 2012)</w:t>
            </w:r>
          </w:p>
          <w:p w:rsidR="007852E3" w:rsidRPr="0068151C" w:rsidRDefault="007852E3" w:rsidP="00F54CA4">
            <w:pPr>
              <w:rPr>
                <w:rFonts w:cs="Arial"/>
                <w:sz w:val="16"/>
                <w:szCs w:val="16"/>
              </w:rPr>
            </w:pPr>
          </w:p>
        </w:tc>
        <w:tc>
          <w:tcPr>
            <w:tcW w:w="747" w:type="pct"/>
            <w:tcBorders>
              <w:top w:val="nil"/>
              <w:bottom w:val="nil"/>
            </w:tcBorders>
            <w:shd w:val="clear" w:color="auto" w:fill="auto"/>
            <w:tcMar>
              <w:top w:w="110" w:type="dxa"/>
            </w:tcMar>
          </w:tcPr>
          <w:p w:rsidR="007852E3" w:rsidRPr="009A6091" w:rsidRDefault="007852E3" w:rsidP="00F54CA4">
            <w:pPr>
              <w:rPr>
                <w:rFonts w:cs="Arial"/>
                <w:sz w:val="16"/>
                <w:szCs w:val="16"/>
              </w:rPr>
            </w:pPr>
            <w:r w:rsidRPr="009A6091">
              <w:rPr>
                <w:rFonts w:cs="Arial"/>
                <w:sz w:val="16"/>
                <w:szCs w:val="16"/>
              </w:rPr>
              <w:t xml:space="preserve">PATENTSCOPE 650,000 </w:t>
            </w:r>
          </w:p>
          <w:p w:rsidR="007852E3" w:rsidRPr="00F03901" w:rsidRDefault="007852E3" w:rsidP="00F54CA4">
            <w:pPr>
              <w:rPr>
                <w:rFonts w:cs="Arial"/>
                <w:sz w:val="16"/>
                <w:szCs w:val="16"/>
              </w:rPr>
            </w:pPr>
            <w:r w:rsidRPr="009A6091">
              <w:rPr>
                <w:rFonts w:cs="Arial"/>
                <w:sz w:val="16"/>
                <w:szCs w:val="16"/>
              </w:rPr>
              <w:t>Global Brand Database 20,000 unique visitors per quarter</w:t>
            </w:r>
            <w:r>
              <w:rPr>
                <w:rStyle w:val="FootnoteReference"/>
                <w:rFonts w:cs="Arial"/>
                <w:sz w:val="16"/>
                <w:szCs w:val="16"/>
              </w:rPr>
              <w:footnoteReference w:id="41"/>
            </w:r>
          </w:p>
        </w:tc>
        <w:tc>
          <w:tcPr>
            <w:tcW w:w="1269" w:type="pct"/>
            <w:tcBorders>
              <w:top w:val="nil"/>
              <w:bottom w:val="nil"/>
            </w:tcBorders>
            <w:shd w:val="clear" w:color="auto" w:fill="FFFFFF"/>
            <w:tcMar>
              <w:top w:w="110" w:type="dxa"/>
            </w:tcMar>
          </w:tcPr>
          <w:p w:rsidR="007852E3" w:rsidRDefault="007852E3" w:rsidP="00F54CA4">
            <w:pPr>
              <w:rPr>
                <w:rFonts w:cs="Arial"/>
                <w:sz w:val="16"/>
                <w:szCs w:val="16"/>
              </w:rPr>
            </w:pPr>
            <w:r w:rsidRPr="009A6091">
              <w:rPr>
                <w:rFonts w:cs="Arial"/>
                <w:sz w:val="16"/>
                <w:szCs w:val="16"/>
              </w:rPr>
              <w:t xml:space="preserve">PATENTSCOPE </w:t>
            </w:r>
            <w:r>
              <w:rPr>
                <w:rFonts w:cs="Arial"/>
                <w:sz w:val="16"/>
                <w:szCs w:val="16"/>
              </w:rPr>
              <w:t>245,769</w:t>
            </w:r>
            <w:r w:rsidRPr="009A6091">
              <w:rPr>
                <w:rFonts w:cs="Arial"/>
                <w:sz w:val="16"/>
                <w:szCs w:val="16"/>
              </w:rPr>
              <w:t xml:space="preserve"> </w:t>
            </w:r>
          </w:p>
          <w:p w:rsidR="007852E3" w:rsidRDefault="007852E3" w:rsidP="00F54CA4">
            <w:pPr>
              <w:rPr>
                <w:rFonts w:cs="Arial"/>
                <w:sz w:val="16"/>
                <w:szCs w:val="16"/>
              </w:rPr>
            </w:pPr>
          </w:p>
          <w:p w:rsidR="007852E3" w:rsidRPr="0068151C" w:rsidRDefault="007852E3" w:rsidP="00F54CA4">
            <w:pPr>
              <w:rPr>
                <w:rFonts w:cs="Arial"/>
                <w:sz w:val="16"/>
                <w:szCs w:val="16"/>
              </w:rPr>
            </w:pPr>
            <w:r w:rsidRPr="009A6091">
              <w:rPr>
                <w:rFonts w:cs="Arial"/>
                <w:sz w:val="16"/>
                <w:szCs w:val="16"/>
              </w:rPr>
              <w:t>Global Brand Database</w:t>
            </w:r>
            <w:r>
              <w:rPr>
                <w:rFonts w:cs="Arial"/>
                <w:sz w:val="16"/>
                <w:szCs w:val="16"/>
              </w:rPr>
              <w:t xml:space="preserve"> </w:t>
            </w:r>
            <w:r w:rsidRPr="009A6091">
              <w:rPr>
                <w:rFonts w:cs="Arial"/>
                <w:sz w:val="16"/>
                <w:szCs w:val="16"/>
              </w:rPr>
              <w:t>49,977</w:t>
            </w:r>
            <w:r>
              <w:rPr>
                <w:rFonts w:cs="Arial"/>
                <w:sz w:val="16"/>
                <w:szCs w:val="16"/>
              </w:rPr>
              <w:t xml:space="preserve"> </w:t>
            </w:r>
          </w:p>
        </w:tc>
        <w:tc>
          <w:tcPr>
            <w:tcW w:w="522" w:type="pct"/>
            <w:tcBorders>
              <w:top w:val="nil"/>
              <w:bottom w:val="nil"/>
              <w:right w:val="single" w:sz="4" w:space="0" w:color="auto"/>
            </w:tcBorders>
            <w:shd w:val="clear" w:color="auto" w:fill="auto"/>
            <w:tcMar>
              <w:top w:w="110" w:type="dxa"/>
            </w:tcMar>
          </w:tcPr>
          <w:p w:rsidR="007852E3" w:rsidRDefault="007852E3" w:rsidP="00F54CA4">
            <w:pPr>
              <w:keepNext/>
              <w:keepLines/>
              <w:jc w:val="center"/>
              <w:rPr>
                <w:rStyle w:val="Style5"/>
                <w:rFonts w:ascii="Arial" w:hAnsi="Arial" w:cs="Arial"/>
                <w:b/>
                <w:color w:val="00B050"/>
                <w:sz w:val="16"/>
                <w:szCs w:val="16"/>
              </w:rPr>
            </w:pPr>
            <w:r w:rsidRPr="005A6DA1">
              <w:rPr>
                <w:rStyle w:val="Style5"/>
                <w:rFonts w:ascii="Arial" w:hAnsi="Arial" w:cs="Arial"/>
                <w:b/>
                <w:color w:val="00B050"/>
                <w:sz w:val="16"/>
                <w:szCs w:val="16"/>
              </w:rPr>
              <w:t>On track</w:t>
            </w:r>
          </w:p>
          <w:p w:rsidR="007852E3" w:rsidRDefault="007852E3" w:rsidP="00F54CA4">
            <w:pPr>
              <w:keepNext/>
              <w:keepLines/>
              <w:jc w:val="center"/>
              <w:rPr>
                <w:rStyle w:val="Style5"/>
                <w:rFonts w:ascii="Arial" w:hAnsi="Arial" w:cs="Arial"/>
                <w:b/>
                <w:color w:val="00B050"/>
                <w:sz w:val="16"/>
                <w:szCs w:val="16"/>
              </w:rPr>
            </w:pPr>
          </w:p>
          <w:p w:rsidR="007852E3" w:rsidRPr="005A6DA1" w:rsidRDefault="007852E3" w:rsidP="00F54CA4">
            <w:pPr>
              <w:keepNext/>
              <w:keepLines/>
              <w:jc w:val="center"/>
              <w:rPr>
                <w:rFonts w:cs="Arial"/>
                <w:b/>
                <w:bCs/>
                <w:color w:val="00B050"/>
                <w:sz w:val="16"/>
                <w:szCs w:val="16"/>
              </w:rPr>
            </w:pPr>
            <w:r w:rsidRPr="00022AC8">
              <w:rPr>
                <w:rStyle w:val="Style5"/>
                <w:rFonts w:ascii="Arial" w:hAnsi="Arial" w:cs="Arial"/>
                <w:b/>
                <w:color w:val="00B050"/>
                <w:sz w:val="16"/>
                <w:szCs w:val="16"/>
              </w:rPr>
              <w:t>On track</w:t>
            </w:r>
          </w:p>
        </w:tc>
      </w:tr>
      <w:tr w:rsidR="007852E3" w:rsidRPr="0068151C" w:rsidTr="00F54CA4">
        <w:trPr>
          <w:cantSplit/>
        </w:trPr>
        <w:tc>
          <w:tcPr>
            <w:tcW w:w="1193" w:type="pct"/>
            <w:tcBorders>
              <w:top w:val="nil"/>
              <w:left w:val="single" w:sz="4" w:space="0" w:color="auto"/>
              <w:bottom w:val="nil"/>
            </w:tcBorders>
            <w:shd w:val="clear" w:color="auto" w:fill="FFFFFF"/>
          </w:tcPr>
          <w:p w:rsidR="007852E3" w:rsidRPr="0068151C" w:rsidRDefault="007852E3" w:rsidP="00F54CA4">
            <w:pPr>
              <w:rPr>
                <w:rFonts w:cs="Arial"/>
                <w:sz w:val="16"/>
                <w:szCs w:val="16"/>
                <w:lang w:bidi="th-TH"/>
              </w:rPr>
            </w:pPr>
            <w:r w:rsidRPr="009A6091">
              <w:rPr>
                <w:rFonts w:cs="Arial"/>
                <w:sz w:val="16"/>
                <w:szCs w:val="16"/>
              </w:rPr>
              <w:t>No. of languages in which cross-lingual search is available</w:t>
            </w:r>
          </w:p>
        </w:tc>
        <w:tc>
          <w:tcPr>
            <w:tcW w:w="1270" w:type="pct"/>
            <w:tcBorders>
              <w:top w:val="nil"/>
              <w:bottom w:val="nil"/>
            </w:tcBorders>
            <w:shd w:val="clear" w:color="auto" w:fill="auto"/>
          </w:tcPr>
          <w:p w:rsidR="007852E3" w:rsidRPr="009A6091" w:rsidRDefault="007852E3" w:rsidP="00F54CA4">
            <w:pPr>
              <w:rPr>
                <w:rFonts w:cs="Arial"/>
                <w:color w:val="002060"/>
                <w:sz w:val="16"/>
                <w:szCs w:val="16"/>
              </w:rPr>
            </w:pPr>
            <w:r w:rsidRPr="0068151C">
              <w:rPr>
                <w:rFonts w:cs="Arial"/>
                <w:i/>
                <w:color w:val="002060"/>
                <w:sz w:val="16"/>
                <w:szCs w:val="16"/>
              </w:rPr>
              <w:t xml:space="preserve">Updated Baseline </w:t>
            </w:r>
            <w:r>
              <w:rPr>
                <w:rFonts w:cs="Arial"/>
                <w:i/>
                <w:color w:val="002060"/>
                <w:sz w:val="16"/>
                <w:szCs w:val="16"/>
              </w:rPr>
              <w:br/>
              <w:t>end 2013</w:t>
            </w:r>
            <w:r w:rsidRPr="0068151C">
              <w:rPr>
                <w:rFonts w:cs="Arial"/>
                <w:i/>
                <w:color w:val="002060"/>
                <w:sz w:val="16"/>
                <w:szCs w:val="16"/>
              </w:rPr>
              <w:t>:</w:t>
            </w:r>
            <w:r>
              <w:rPr>
                <w:rFonts w:cs="Arial"/>
                <w:i/>
                <w:color w:val="002060"/>
                <w:sz w:val="16"/>
                <w:szCs w:val="16"/>
              </w:rPr>
              <w:t xml:space="preserve"> </w:t>
            </w:r>
            <w:r w:rsidRPr="005A6DA1">
              <w:rPr>
                <w:rFonts w:cs="Arial"/>
                <w:color w:val="002060"/>
                <w:sz w:val="16"/>
                <w:szCs w:val="16"/>
              </w:rPr>
              <w:t>12</w:t>
            </w:r>
            <w:r>
              <w:rPr>
                <w:rFonts w:cs="Arial"/>
                <w:i/>
                <w:color w:val="002060"/>
                <w:sz w:val="16"/>
                <w:szCs w:val="16"/>
              </w:rPr>
              <w:br/>
            </w:r>
          </w:p>
          <w:p w:rsidR="007852E3" w:rsidRPr="0068151C" w:rsidRDefault="007852E3" w:rsidP="00F54CA4">
            <w:pPr>
              <w:rPr>
                <w:rFonts w:cs="Arial"/>
                <w:sz w:val="16"/>
                <w:szCs w:val="16"/>
                <w:lang w:bidi="th-TH"/>
              </w:rPr>
            </w:pPr>
            <w:r w:rsidRPr="0068151C">
              <w:rPr>
                <w:rFonts w:cs="Arial"/>
                <w:i/>
                <w:sz w:val="16"/>
                <w:szCs w:val="16"/>
                <w:lang w:bidi="th-TH"/>
              </w:rPr>
              <w:t>Original Baseline</w:t>
            </w:r>
          </w:p>
          <w:p w:rsidR="007852E3" w:rsidRPr="0068151C" w:rsidRDefault="007852E3" w:rsidP="00F54CA4">
            <w:pPr>
              <w:autoSpaceDE w:val="0"/>
              <w:autoSpaceDN w:val="0"/>
              <w:adjustRightInd w:val="0"/>
              <w:rPr>
                <w:rFonts w:cs="Arial"/>
                <w:sz w:val="16"/>
                <w:szCs w:val="16"/>
              </w:rPr>
            </w:pPr>
            <w:r>
              <w:rPr>
                <w:rFonts w:cs="Arial"/>
                <w:i/>
                <w:sz w:val="16"/>
                <w:szCs w:val="16"/>
              </w:rPr>
              <w:t>P&amp;B 2014/15</w:t>
            </w:r>
            <w:r w:rsidRPr="0068151C">
              <w:rPr>
                <w:rFonts w:cs="Arial"/>
                <w:i/>
                <w:sz w:val="16"/>
                <w:szCs w:val="16"/>
              </w:rPr>
              <w:t>:</w:t>
            </w:r>
            <w:r>
              <w:rPr>
                <w:rFonts w:cs="Arial"/>
                <w:i/>
                <w:sz w:val="16"/>
                <w:szCs w:val="16"/>
              </w:rPr>
              <w:t xml:space="preserve"> </w:t>
            </w:r>
            <w:r w:rsidRPr="005A6DA1">
              <w:rPr>
                <w:rFonts w:cs="Arial"/>
                <w:sz w:val="16"/>
                <w:szCs w:val="16"/>
              </w:rPr>
              <w:t>12 (Feb 2013)</w:t>
            </w:r>
          </w:p>
        </w:tc>
        <w:tc>
          <w:tcPr>
            <w:tcW w:w="747" w:type="pct"/>
            <w:tcBorders>
              <w:top w:val="nil"/>
              <w:bottom w:val="nil"/>
            </w:tcBorders>
            <w:shd w:val="clear" w:color="auto" w:fill="auto"/>
            <w:tcMar>
              <w:top w:w="110" w:type="dxa"/>
            </w:tcMar>
          </w:tcPr>
          <w:p w:rsidR="007852E3" w:rsidRPr="0068151C" w:rsidRDefault="007852E3" w:rsidP="00F54CA4">
            <w:pPr>
              <w:rPr>
                <w:rFonts w:cs="Arial"/>
                <w:sz w:val="16"/>
                <w:szCs w:val="16"/>
                <w:lang w:bidi="th-TH"/>
              </w:rPr>
            </w:pPr>
            <w:r>
              <w:rPr>
                <w:rFonts w:cs="Arial"/>
                <w:sz w:val="16"/>
                <w:szCs w:val="16"/>
              </w:rPr>
              <w:t>13</w:t>
            </w:r>
          </w:p>
        </w:tc>
        <w:tc>
          <w:tcPr>
            <w:tcW w:w="1269" w:type="pct"/>
            <w:tcBorders>
              <w:top w:val="nil"/>
              <w:bottom w:val="nil"/>
            </w:tcBorders>
            <w:shd w:val="clear" w:color="auto" w:fill="FFFFFF"/>
            <w:tcMar>
              <w:top w:w="110" w:type="dxa"/>
            </w:tcMar>
          </w:tcPr>
          <w:p w:rsidR="007852E3" w:rsidRDefault="007852E3" w:rsidP="00F54CA4">
            <w:pPr>
              <w:rPr>
                <w:rFonts w:cs="Arial"/>
                <w:sz w:val="16"/>
                <w:szCs w:val="16"/>
                <w:lang w:bidi="th-TH"/>
              </w:rPr>
            </w:pPr>
            <w:r>
              <w:rPr>
                <w:rFonts w:cs="Arial"/>
                <w:sz w:val="16"/>
                <w:szCs w:val="16"/>
                <w:lang w:bidi="th-TH"/>
              </w:rPr>
              <w:t>In 2014, two additional languages were developed and will be made available by end 2015, pending finalization of the interface.</w:t>
            </w:r>
          </w:p>
          <w:p w:rsidR="007852E3" w:rsidRPr="0068151C" w:rsidRDefault="007852E3" w:rsidP="00F54CA4">
            <w:pPr>
              <w:rPr>
                <w:rFonts w:cs="Arial"/>
                <w:sz w:val="16"/>
                <w:szCs w:val="16"/>
                <w:lang w:bidi="th-TH"/>
              </w:rPr>
            </w:pPr>
          </w:p>
        </w:tc>
        <w:tc>
          <w:tcPr>
            <w:tcW w:w="522" w:type="pct"/>
            <w:tcBorders>
              <w:top w:val="nil"/>
              <w:bottom w:val="nil"/>
              <w:right w:val="single" w:sz="4" w:space="0" w:color="auto"/>
            </w:tcBorders>
            <w:shd w:val="clear" w:color="auto" w:fill="auto"/>
            <w:tcMar>
              <w:top w:w="110" w:type="dxa"/>
            </w:tcMar>
          </w:tcPr>
          <w:p w:rsidR="007852E3" w:rsidRPr="005A6DA1" w:rsidRDefault="007852E3" w:rsidP="00F54CA4">
            <w:pPr>
              <w:keepNext/>
              <w:keepLines/>
              <w:jc w:val="center"/>
              <w:rPr>
                <w:rStyle w:val="Style5"/>
                <w:rFonts w:ascii="Arial" w:hAnsi="Arial"/>
                <w:b/>
                <w:color w:val="00B050"/>
                <w:sz w:val="16"/>
              </w:rPr>
            </w:pPr>
            <w:r w:rsidRPr="005A6DA1">
              <w:rPr>
                <w:rStyle w:val="Style5"/>
                <w:rFonts w:ascii="Arial" w:hAnsi="Arial" w:cs="Arial"/>
                <w:b/>
                <w:color w:val="00B050"/>
                <w:sz w:val="16"/>
                <w:szCs w:val="16"/>
              </w:rPr>
              <w:t>On track</w:t>
            </w:r>
          </w:p>
        </w:tc>
      </w:tr>
      <w:tr w:rsidR="007852E3" w:rsidRPr="0068151C" w:rsidTr="00F54CA4">
        <w:trPr>
          <w:cantSplit/>
        </w:trPr>
        <w:tc>
          <w:tcPr>
            <w:tcW w:w="1193" w:type="pct"/>
            <w:tcBorders>
              <w:top w:val="nil"/>
              <w:left w:val="single" w:sz="4" w:space="0" w:color="auto"/>
              <w:bottom w:val="single" w:sz="4" w:space="0" w:color="auto"/>
            </w:tcBorders>
            <w:shd w:val="clear" w:color="auto" w:fill="FFFFFF"/>
          </w:tcPr>
          <w:p w:rsidR="007852E3" w:rsidRPr="009A6091" w:rsidRDefault="007852E3" w:rsidP="00F54CA4">
            <w:pPr>
              <w:rPr>
                <w:rFonts w:cs="Arial"/>
                <w:sz w:val="16"/>
                <w:szCs w:val="16"/>
              </w:rPr>
            </w:pPr>
            <w:r w:rsidRPr="009A6091">
              <w:rPr>
                <w:rFonts w:cs="Arial"/>
                <w:sz w:val="16"/>
                <w:szCs w:val="16"/>
              </w:rPr>
              <w:t>No. of language pairs available for machine translation of titles and abstracts</w:t>
            </w:r>
          </w:p>
        </w:tc>
        <w:tc>
          <w:tcPr>
            <w:tcW w:w="1270" w:type="pct"/>
            <w:tcBorders>
              <w:top w:val="nil"/>
              <w:bottom w:val="single" w:sz="4" w:space="0" w:color="auto"/>
            </w:tcBorders>
            <w:shd w:val="clear" w:color="auto" w:fill="auto"/>
          </w:tcPr>
          <w:p w:rsidR="007852E3" w:rsidRPr="009A6091" w:rsidRDefault="007852E3" w:rsidP="00F54CA4">
            <w:pPr>
              <w:rPr>
                <w:rFonts w:cs="Arial"/>
                <w:color w:val="002060"/>
                <w:sz w:val="16"/>
                <w:szCs w:val="16"/>
              </w:rPr>
            </w:pPr>
            <w:r w:rsidRPr="0068151C">
              <w:rPr>
                <w:rFonts w:cs="Arial"/>
                <w:i/>
                <w:color w:val="002060"/>
                <w:sz w:val="16"/>
                <w:szCs w:val="16"/>
              </w:rPr>
              <w:t xml:space="preserve">Updated Baseline </w:t>
            </w:r>
            <w:r>
              <w:rPr>
                <w:rFonts w:cs="Arial"/>
                <w:i/>
                <w:color w:val="002060"/>
                <w:sz w:val="16"/>
                <w:szCs w:val="16"/>
              </w:rPr>
              <w:br/>
              <w:t>end 2013</w:t>
            </w:r>
            <w:r w:rsidRPr="0068151C">
              <w:rPr>
                <w:rFonts w:cs="Arial"/>
                <w:i/>
                <w:color w:val="002060"/>
                <w:sz w:val="16"/>
                <w:szCs w:val="16"/>
              </w:rPr>
              <w:t>:</w:t>
            </w:r>
            <w:r>
              <w:rPr>
                <w:rFonts w:cs="Arial"/>
                <w:i/>
                <w:color w:val="002060"/>
                <w:sz w:val="16"/>
                <w:szCs w:val="16"/>
              </w:rPr>
              <w:t xml:space="preserve"> </w:t>
            </w:r>
            <w:r w:rsidRPr="005A6DA1">
              <w:rPr>
                <w:rFonts w:cs="Arial"/>
                <w:color w:val="002060"/>
                <w:sz w:val="16"/>
                <w:szCs w:val="16"/>
              </w:rPr>
              <w:t>4 (cumulative)</w:t>
            </w:r>
            <w:r>
              <w:rPr>
                <w:rFonts w:cs="Arial"/>
                <w:i/>
                <w:color w:val="002060"/>
                <w:sz w:val="16"/>
                <w:szCs w:val="16"/>
              </w:rPr>
              <w:br/>
            </w:r>
          </w:p>
          <w:p w:rsidR="007852E3" w:rsidRPr="0068151C" w:rsidRDefault="007852E3" w:rsidP="00F54CA4">
            <w:pPr>
              <w:rPr>
                <w:rFonts w:cs="Arial"/>
                <w:sz w:val="16"/>
                <w:szCs w:val="16"/>
                <w:lang w:bidi="th-TH"/>
              </w:rPr>
            </w:pPr>
            <w:r w:rsidRPr="0068151C">
              <w:rPr>
                <w:rFonts w:cs="Arial"/>
                <w:i/>
                <w:sz w:val="16"/>
                <w:szCs w:val="16"/>
                <w:lang w:bidi="th-TH"/>
              </w:rPr>
              <w:t>Original Baseline</w:t>
            </w:r>
          </w:p>
          <w:p w:rsidR="007852E3" w:rsidRPr="0068151C" w:rsidRDefault="007852E3" w:rsidP="00F54CA4">
            <w:pPr>
              <w:rPr>
                <w:rFonts w:cs="Arial"/>
                <w:i/>
                <w:color w:val="002060"/>
                <w:sz w:val="16"/>
                <w:szCs w:val="16"/>
              </w:rPr>
            </w:pPr>
            <w:r>
              <w:rPr>
                <w:rFonts w:cs="Arial"/>
                <w:i/>
                <w:sz w:val="16"/>
                <w:szCs w:val="16"/>
              </w:rPr>
              <w:t>P&amp;B 2014/15</w:t>
            </w:r>
            <w:r w:rsidRPr="0068151C">
              <w:rPr>
                <w:rFonts w:cs="Arial"/>
                <w:i/>
                <w:sz w:val="16"/>
                <w:szCs w:val="16"/>
              </w:rPr>
              <w:t>:</w:t>
            </w:r>
            <w:r>
              <w:rPr>
                <w:rFonts w:cs="Arial"/>
                <w:i/>
                <w:sz w:val="16"/>
                <w:szCs w:val="16"/>
              </w:rPr>
              <w:t xml:space="preserve"> </w:t>
            </w:r>
            <w:r w:rsidRPr="005A6DA1">
              <w:rPr>
                <w:rFonts w:cs="Arial"/>
                <w:sz w:val="16"/>
                <w:szCs w:val="16"/>
              </w:rPr>
              <w:t>2 (Feb 2013)</w:t>
            </w:r>
          </w:p>
        </w:tc>
        <w:tc>
          <w:tcPr>
            <w:tcW w:w="747" w:type="pct"/>
            <w:tcBorders>
              <w:top w:val="nil"/>
              <w:bottom w:val="single" w:sz="4" w:space="0" w:color="auto"/>
            </w:tcBorders>
            <w:shd w:val="clear" w:color="auto" w:fill="auto"/>
            <w:tcMar>
              <w:top w:w="110" w:type="dxa"/>
            </w:tcMar>
          </w:tcPr>
          <w:p w:rsidR="007852E3" w:rsidRDefault="007852E3" w:rsidP="00F54CA4">
            <w:pPr>
              <w:rPr>
                <w:rFonts w:cs="Arial"/>
                <w:sz w:val="16"/>
                <w:szCs w:val="16"/>
              </w:rPr>
            </w:pPr>
            <w:r>
              <w:rPr>
                <w:rFonts w:cs="Arial"/>
                <w:sz w:val="16"/>
                <w:szCs w:val="16"/>
              </w:rPr>
              <w:t>5</w:t>
            </w:r>
          </w:p>
        </w:tc>
        <w:tc>
          <w:tcPr>
            <w:tcW w:w="1269" w:type="pct"/>
            <w:tcBorders>
              <w:top w:val="nil"/>
              <w:bottom w:val="single" w:sz="4" w:space="0" w:color="auto"/>
            </w:tcBorders>
            <w:shd w:val="clear" w:color="auto" w:fill="FFFFFF"/>
            <w:tcMar>
              <w:top w:w="110" w:type="dxa"/>
            </w:tcMar>
          </w:tcPr>
          <w:p w:rsidR="007852E3" w:rsidRPr="005A6DA1" w:rsidRDefault="007852E3" w:rsidP="00F54CA4">
            <w:pPr>
              <w:rPr>
                <w:rFonts w:cs="Arial"/>
                <w:sz w:val="16"/>
                <w:szCs w:val="16"/>
                <w:lang w:bidi="th-TH"/>
              </w:rPr>
            </w:pPr>
            <w:r w:rsidRPr="005A6DA1">
              <w:rPr>
                <w:rFonts w:cs="Arial"/>
                <w:sz w:val="16"/>
                <w:szCs w:val="16"/>
                <w:lang w:bidi="th-TH"/>
              </w:rPr>
              <w:t xml:space="preserve">One additional language </w:t>
            </w:r>
            <w:r w:rsidRPr="00C93DEC">
              <w:rPr>
                <w:rFonts w:cs="Arial"/>
                <w:sz w:val="16"/>
                <w:szCs w:val="16"/>
                <w:lang w:bidi="th-TH"/>
              </w:rPr>
              <w:t>pair</w:t>
            </w:r>
            <w:r w:rsidRPr="005A6DA1">
              <w:rPr>
                <w:rFonts w:cs="Arial"/>
                <w:sz w:val="16"/>
                <w:szCs w:val="16"/>
                <w:lang w:bidi="th-TH"/>
              </w:rPr>
              <w:t xml:space="preserve"> (</w:t>
            </w:r>
            <w:r w:rsidRPr="00C93DEC">
              <w:rPr>
                <w:rFonts w:cs="Arial"/>
                <w:sz w:val="16"/>
                <w:szCs w:val="16"/>
                <w:lang w:bidi="th-TH"/>
              </w:rPr>
              <w:t>English</w:t>
            </w:r>
            <w:r w:rsidRPr="005A6DA1">
              <w:rPr>
                <w:rFonts w:cs="Arial"/>
                <w:sz w:val="16"/>
                <w:szCs w:val="16"/>
                <w:lang w:bidi="th-TH"/>
              </w:rPr>
              <w:t>-Chinese) in 2014</w:t>
            </w:r>
          </w:p>
          <w:p w:rsidR="007852E3" w:rsidRPr="005A6DA1" w:rsidRDefault="007852E3" w:rsidP="00F54CA4">
            <w:pPr>
              <w:rPr>
                <w:rFonts w:cs="Arial"/>
                <w:sz w:val="16"/>
                <w:szCs w:val="16"/>
                <w:lang w:val="fr-CH" w:bidi="th-TH"/>
              </w:rPr>
            </w:pPr>
            <w:r>
              <w:rPr>
                <w:rFonts w:cs="Arial"/>
                <w:sz w:val="16"/>
                <w:szCs w:val="16"/>
                <w:lang w:val="fr-CH" w:bidi="th-TH"/>
              </w:rPr>
              <w:t>(</w:t>
            </w:r>
            <w:r w:rsidRPr="005A6DA1">
              <w:rPr>
                <w:rFonts w:cs="Arial"/>
                <w:sz w:val="16"/>
                <w:szCs w:val="16"/>
                <w:lang w:val="fr-CH" w:bidi="th-TH"/>
              </w:rPr>
              <w:t>5</w:t>
            </w:r>
            <w:r>
              <w:rPr>
                <w:rFonts w:cs="Arial"/>
                <w:sz w:val="16"/>
                <w:szCs w:val="16"/>
                <w:lang w:val="fr-CH" w:bidi="th-TH"/>
              </w:rPr>
              <w:t xml:space="preserve"> </w:t>
            </w:r>
            <w:r>
              <w:rPr>
                <w:rFonts w:cs="Arial"/>
                <w:sz w:val="16"/>
                <w:szCs w:val="16"/>
                <w:lang w:bidi="th-TH"/>
              </w:rPr>
              <w:t>cumulative)</w:t>
            </w:r>
          </w:p>
        </w:tc>
        <w:tc>
          <w:tcPr>
            <w:tcW w:w="522" w:type="pct"/>
            <w:tcBorders>
              <w:top w:val="nil"/>
              <w:bottom w:val="single" w:sz="4" w:space="0" w:color="auto"/>
              <w:right w:val="single" w:sz="4" w:space="0" w:color="auto"/>
            </w:tcBorders>
            <w:shd w:val="clear" w:color="auto" w:fill="auto"/>
            <w:tcMar>
              <w:top w:w="110" w:type="dxa"/>
            </w:tcMar>
          </w:tcPr>
          <w:p w:rsidR="007852E3" w:rsidRPr="005A6DA1" w:rsidRDefault="007852E3" w:rsidP="00F54CA4">
            <w:pPr>
              <w:keepNext/>
              <w:keepLines/>
              <w:jc w:val="center"/>
              <w:rPr>
                <w:rStyle w:val="Style5"/>
                <w:rFonts w:ascii="Arial" w:hAnsi="Arial" w:cs="Arial"/>
                <w:b/>
                <w:color w:val="00B050"/>
                <w:sz w:val="16"/>
                <w:szCs w:val="16"/>
              </w:rPr>
            </w:pPr>
            <w:r w:rsidRPr="005A6DA1">
              <w:rPr>
                <w:rStyle w:val="Style5"/>
                <w:rFonts w:ascii="Arial" w:hAnsi="Arial" w:cs="Arial"/>
                <w:b/>
                <w:color w:val="00B050"/>
                <w:sz w:val="16"/>
                <w:szCs w:val="16"/>
              </w:rPr>
              <w:t>On track</w:t>
            </w:r>
          </w:p>
        </w:tc>
      </w:tr>
      <w:tr w:rsidR="007852E3" w:rsidRPr="0068151C" w:rsidTr="00F54CA4">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7852E3" w:rsidRPr="00D93C36" w:rsidRDefault="007852E3" w:rsidP="00F54CA4">
            <w:pPr>
              <w:keepNext/>
              <w:keepLines/>
              <w:tabs>
                <w:tab w:val="left" w:pos="1452"/>
              </w:tabs>
              <w:spacing w:before="120" w:after="120"/>
              <w:ind w:left="1452" w:hanging="1452"/>
              <w:rPr>
                <w:rFonts w:cs="Arial"/>
                <w:b/>
                <w:bCs/>
                <w:sz w:val="16"/>
                <w:szCs w:val="16"/>
              </w:rPr>
            </w:pPr>
            <w:r w:rsidRPr="00D93C36">
              <w:rPr>
                <w:rFonts w:cs="Arial"/>
                <w:b/>
                <w:bCs/>
                <w:sz w:val="16"/>
                <w:szCs w:val="16"/>
              </w:rPr>
              <w:t>Expected Result:</w:t>
            </w:r>
            <w:r w:rsidRPr="00D93C36">
              <w:rPr>
                <w:rFonts w:cs="Arial"/>
                <w:b/>
                <w:bCs/>
                <w:sz w:val="16"/>
                <w:szCs w:val="16"/>
              </w:rPr>
              <w:tab/>
            </w:r>
            <w:r w:rsidRPr="00D93C36">
              <w:rPr>
                <w:rFonts w:cs="Arial"/>
                <w:sz w:val="16"/>
                <w:szCs w:val="16"/>
              </w:rPr>
              <w:t>IV.3 Broad geographical coverage of the content and use of WIPO Global IP Databases</w:t>
            </w:r>
          </w:p>
        </w:tc>
      </w:tr>
      <w:tr w:rsidR="007852E3" w:rsidRPr="0068151C" w:rsidTr="00F54CA4">
        <w:trPr>
          <w:cantSplit/>
        </w:trPr>
        <w:tc>
          <w:tcPr>
            <w:tcW w:w="1193" w:type="pct"/>
            <w:tcBorders>
              <w:top w:val="single" w:sz="4" w:space="0" w:color="auto"/>
              <w:left w:val="single" w:sz="4" w:space="0" w:color="auto"/>
              <w:bottom w:val="nil"/>
            </w:tcBorders>
            <w:shd w:val="clear" w:color="auto" w:fill="auto"/>
            <w:vAlign w:val="center"/>
          </w:tcPr>
          <w:p w:rsidR="007852E3" w:rsidRPr="0068151C" w:rsidRDefault="007852E3" w:rsidP="00F54CA4">
            <w:pPr>
              <w:keepNext/>
              <w:keepLines/>
              <w:rPr>
                <w:rFonts w:cs="Arial"/>
                <w:sz w:val="16"/>
                <w:szCs w:val="16"/>
              </w:rPr>
            </w:pPr>
            <w:r w:rsidRPr="0068151C">
              <w:rPr>
                <w:rFonts w:cs="Arial"/>
                <w:b/>
                <w:bCs/>
                <w:sz w:val="16"/>
                <w:szCs w:val="16"/>
              </w:rPr>
              <w:t>Performance Indicators</w:t>
            </w:r>
          </w:p>
        </w:tc>
        <w:tc>
          <w:tcPr>
            <w:tcW w:w="1270" w:type="pct"/>
            <w:tcBorders>
              <w:top w:val="single" w:sz="4" w:space="0" w:color="auto"/>
              <w:bottom w:val="nil"/>
            </w:tcBorders>
            <w:shd w:val="clear" w:color="auto" w:fill="auto"/>
            <w:vAlign w:val="center"/>
          </w:tcPr>
          <w:p w:rsidR="007852E3" w:rsidRPr="0068151C" w:rsidRDefault="007852E3" w:rsidP="00F54CA4">
            <w:pPr>
              <w:keepNext/>
              <w:keepLines/>
              <w:rPr>
                <w:rFonts w:cs="Arial"/>
                <w:b/>
                <w:bCs/>
                <w:sz w:val="16"/>
                <w:szCs w:val="16"/>
              </w:rPr>
            </w:pPr>
            <w:r w:rsidRPr="0068151C">
              <w:rPr>
                <w:rFonts w:cs="Arial"/>
                <w:b/>
                <w:bCs/>
                <w:sz w:val="16"/>
                <w:szCs w:val="16"/>
              </w:rPr>
              <w:t>Baselines</w:t>
            </w:r>
          </w:p>
        </w:tc>
        <w:tc>
          <w:tcPr>
            <w:tcW w:w="747" w:type="pct"/>
            <w:tcBorders>
              <w:top w:val="single" w:sz="4" w:space="0" w:color="auto"/>
              <w:bottom w:val="nil"/>
            </w:tcBorders>
            <w:shd w:val="clear" w:color="auto" w:fill="auto"/>
            <w:tcMar>
              <w:top w:w="110" w:type="dxa"/>
            </w:tcMar>
            <w:vAlign w:val="center"/>
          </w:tcPr>
          <w:p w:rsidR="007852E3" w:rsidRPr="0068151C" w:rsidRDefault="007852E3" w:rsidP="00F54CA4">
            <w:pPr>
              <w:keepNext/>
              <w:keepLines/>
              <w:rPr>
                <w:rFonts w:cs="Arial"/>
                <w:b/>
                <w:sz w:val="16"/>
                <w:szCs w:val="16"/>
              </w:rPr>
            </w:pPr>
            <w:r w:rsidRPr="0068151C">
              <w:rPr>
                <w:rFonts w:cs="Arial"/>
                <w:b/>
                <w:sz w:val="16"/>
                <w:szCs w:val="16"/>
              </w:rPr>
              <w:t>Target</w:t>
            </w:r>
            <w:r>
              <w:rPr>
                <w:rFonts w:cs="Arial"/>
                <w:b/>
                <w:sz w:val="16"/>
                <w:szCs w:val="16"/>
              </w:rPr>
              <w:t>s</w:t>
            </w:r>
          </w:p>
        </w:tc>
        <w:tc>
          <w:tcPr>
            <w:tcW w:w="1269" w:type="pct"/>
            <w:tcBorders>
              <w:top w:val="single" w:sz="4" w:space="0" w:color="auto"/>
              <w:bottom w:val="nil"/>
            </w:tcBorders>
            <w:shd w:val="clear" w:color="auto" w:fill="FFFFFF"/>
            <w:tcMar>
              <w:top w:w="110" w:type="dxa"/>
            </w:tcMar>
            <w:vAlign w:val="center"/>
          </w:tcPr>
          <w:p w:rsidR="007852E3" w:rsidRPr="0068151C" w:rsidRDefault="007852E3" w:rsidP="00F54CA4">
            <w:pPr>
              <w:keepNext/>
              <w:keepLines/>
              <w:rPr>
                <w:rFonts w:cs="Arial"/>
                <w:sz w:val="16"/>
                <w:szCs w:val="16"/>
              </w:rPr>
            </w:pPr>
            <w:r w:rsidRPr="0068151C">
              <w:rPr>
                <w:rFonts w:cs="Arial"/>
                <w:b/>
                <w:bCs/>
                <w:sz w:val="16"/>
                <w:szCs w:val="16"/>
              </w:rPr>
              <w:t>Performance Data</w:t>
            </w:r>
          </w:p>
        </w:tc>
        <w:tc>
          <w:tcPr>
            <w:tcW w:w="522" w:type="pct"/>
            <w:tcBorders>
              <w:top w:val="single" w:sz="4" w:space="0" w:color="auto"/>
              <w:bottom w:val="nil"/>
              <w:right w:val="single" w:sz="4" w:space="0" w:color="auto"/>
            </w:tcBorders>
            <w:shd w:val="clear" w:color="auto" w:fill="auto"/>
            <w:tcMar>
              <w:top w:w="110" w:type="dxa"/>
            </w:tcMar>
            <w:vAlign w:val="center"/>
          </w:tcPr>
          <w:p w:rsidR="007852E3" w:rsidRPr="00D93C36" w:rsidRDefault="007852E3" w:rsidP="00F54CA4">
            <w:pPr>
              <w:keepNext/>
              <w:keepLines/>
              <w:jc w:val="center"/>
              <w:rPr>
                <w:rFonts w:cs="Arial"/>
                <w:b/>
                <w:bCs/>
                <w:sz w:val="16"/>
                <w:szCs w:val="16"/>
              </w:rPr>
            </w:pPr>
            <w:r w:rsidRPr="00D93C36">
              <w:rPr>
                <w:rFonts w:cs="Arial"/>
                <w:b/>
                <w:bCs/>
                <w:sz w:val="16"/>
                <w:szCs w:val="16"/>
              </w:rPr>
              <w:t>TLS</w:t>
            </w:r>
          </w:p>
        </w:tc>
      </w:tr>
      <w:tr w:rsidR="007852E3" w:rsidRPr="0068151C" w:rsidTr="00F54CA4">
        <w:trPr>
          <w:cantSplit/>
        </w:trPr>
        <w:tc>
          <w:tcPr>
            <w:tcW w:w="1193" w:type="pct"/>
            <w:tcBorders>
              <w:top w:val="nil"/>
              <w:left w:val="single" w:sz="4" w:space="0" w:color="auto"/>
              <w:bottom w:val="nil"/>
            </w:tcBorders>
            <w:shd w:val="clear" w:color="auto" w:fill="auto"/>
          </w:tcPr>
          <w:p w:rsidR="007852E3" w:rsidRPr="0068151C" w:rsidRDefault="007852E3" w:rsidP="00F54CA4">
            <w:pPr>
              <w:keepNext/>
              <w:keepLines/>
              <w:rPr>
                <w:rFonts w:cs="Arial"/>
                <w:sz w:val="16"/>
                <w:szCs w:val="16"/>
              </w:rPr>
            </w:pPr>
            <w:r w:rsidRPr="009A6091">
              <w:rPr>
                <w:rFonts w:cs="Arial"/>
                <w:sz w:val="16"/>
                <w:szCs w:val="16"/>
              </w:rPr>
              <w:t>No</w:t>
            </w:r>
            <w:r>
              <w:rPr>
                <w:rFonts w:cs="Arial"/>
                <w:sz w:val="16"/>
                <w:szCs w:val="16"/>
              </w:rPr>
              <w:t>.</w:t>
            </w:r>
            <w:r w:rsidRPr="009A6091">
              <w:rPr>
                <w:rFonts w:cs="Arial"/>
                <w:sz w:val="16"/>
                <w:szCs w:val="16"/>
              </w:rPr>
              <w:t xml:space="preserve"> of records contained in PATENTSCOPE</w:t>
            </w:r>
          </w:p>
        </w:tc>
        <w:tc>
          <w:tcPr>
            <w:tcW w:w="1270" w:type="pct"/>
            <w:tcBorders>
              <w:top w:val="nil"/>
              <w:bottom w:val="nil"/>
            </w:tcBorders>
            <w:shd w:val="clear" w:color="auto" w:fill="auto"/>
          </w:tcPr>
          <w:p w:rsidR="007852E3" w:rsidRPr="00F03901" w:rsidRDefault="007852E3" w:rsidP="00F54CA4">
            <w:pPr>
              <w:keepNext/>
              <w:keepLines/>
              <w:rPr>
                <w:rFonts w:cs="Arial"/>
                <w:i/>
                <w:color w:val="002060"/>
                <w:sz w:val="16"/>
                <w:szCs w:val="16"/>
              </w:rPr>
            </w:pPr>
            <w:r w:rsidRPr="0068151C">
              <w:rPr>
                <w:rFonts w:cs="Arial"/>
                <w:i/>
                <w:color w:val="002060"/>
                <w:sz w:val="16"/>
                <w:szCs w:val="16"/>
              </w:rPr>
              <w:t xml:space="preserve">Updated Baseline </w:t>
            </w:r>
            <w:r>
              <w:rPr>
                <w:rFonts w:cs="Arial"/>
                <w:i/>
                <w:color w:val="002060"/>
                <w:sz w:val="16"/>
                <w:szCs w:val="16"/>
              </w:rPr>
              <w:br/>
              <w:t>end 2013</w:t>
            </w:r>
            <w:r w:rsidRPr="0068151C">
              <w:rPr>
                <w:rFonts w:cs="Arial"/>
                <w:i/>
                <w:color w:val="002060"/>
                <w:sz w:val="16"/>
                <w:szCs w:val="16"/>
              </w:rPr>
              <w:t>:</w:t>
            </w:r>
            <w:r w:rsidRPr="0068151C">
              <w:rPr>
                <w:rFonts w:cs="Arial"/>
                <w:color w:val="002060"/>
                <w:sz w:val="16"/>
                <w:szCs w:val="16"/>
                <w:lang w:bidi="th-TH"/>
              </w:rPr>
              <w:t xml:space="preserve">  </w:t>
            </w:r>
            <w:r w:rsidRPr="009A6091">
              <w:rPr>
                <w:rFonts w:cs="Arial"/>
                <w:color w:val="002060"/>
                <w:sz w:val="16"/>
                <w:szCs w:val="16"/>
                <w:lang w:bidi="th-TH"/>
              </w:rPr>
              <w:t>34</w:t>
            </w:r>
            <w:r>
              <w:rPr>
                <w:rFonts w:cs="Arial"/>
                <w:color w:val="002060"/>
                <w:sz w:val="16"/>
                <w:szCs w:val="16"/>
                <w:lang w:bidi="th-TH"/>
              </w:rPr>
              <w:t>,000,000</w:t>
            </w:r>
          </w:p>
          <w:p w:rsidR="007852E3" w:rsidRPr="00A25763" w:rsidRDefault="007852E3" w:rsidP="00F54CA4">
            <w:pPr>
              <w:keepNext/>
              <w:keepLines/>
              <w:rPr>
                <w:rFonts w:cs="Arial"/>
                <w:i/>
                <w:sz w:val="8"/>
                <w:szCs w:val="8"/>
                <w:lang w:bidi="th-TH"/>
              </w:rPr>
            </w:pPr>
          </w:p>
          <w:p w:rsidR="007852E3" w:rsidRPr="0068151C" w:rsidRDefault="007852E3" w:rsidP="00F54CA4">
            <w:pPr>
              <w:keepNext/>
              <w:keepLines/>
              <w:rPr>
                <w:rFonts w:cs="Arial"/>
                <w:sz w:val="16"/>
                <w:szCs w:val="16"/>
                <w:lang w:bidi="th-TH"/>
              </w:rPr>
            </w:pPr>
            <w:r w:rsidRPr="0068151C">
              <w:rPr>
                <w:rFonts w:cs="Arial"/>
                <w:i/>
                <w:sz w:val="16"/>
                <w:szCs w:val="16"/>
                <w:lang w:bidi="th-TH"/>
              </w:rPr>
              <w:t>Original Baseline</w:t>
            </w:r>
          </w:p>
          <w:p w:rsidR="007852E3" w:rsidRPr="0068151C" w:rsidRDefault="007852E3" w:rsidP="00F54CA4">
            <w:pPr>
              <w:keepNext/>
              <w:keepLines/>
              <w:rPr>
                <w:rFonts w:cs="Arial"/>
                <w:sz w:val="16"/>
                <w:szCs w:val="16"/>
              </w:rPr>
            </w:pPr>
            <w:r>
              <w:rPr>
                <w:rFonts w:cs="Arial"/>
                <w:i/>
                <w:sz w:val="16"/>
                <w:szCs w:val="16"/>
              </w:rPr>
              <w:t>P&amp;B 20124/15</w:t>
            </w:r>
            <w:r w:rsidRPr="0068151C">
              <w:rPr>
                <w:rFonts w:cs="Arial"/>
                <w:i/>
                <w:sz w:val="16"/>
                <w:szCs w:val="16"/>
              </w:rPr>
              <w:t>:</w:t>
            </w:r>
            <w:r>
              <w:rPr>
                <w:rFonts w:cs="Arial"/>
                <w:i/>
                <w:sz w:val="16"/>
                <w:szCs w:val="16"/>
              </w:rPr>
              <w:t xml:space="preserve"> </w:t>
            </w:r>
            <w:r w:rsidRPr="009A6091">
              <w:rPr>
                <w:rFonts w:cs="Arial"/>
                <w:i/>
                <w:sz w:val="16"/>
                <w:szCs w:val="16"/>
              </w:rPr>
              <w:t>18,733,406 (Feb 2013)</w:t>
            </w:r>
          </w:p>
          <w:p w:rsidR="007852E3" w:rsidRPr="0068151C" w:rsidRDefault="007852E3" w:rsidP="00F54CA4">
            <w:pPr>
              <w:keepNext/>
              <w:keepLines/>
              <w:rPr>
                <w:rFonts w:cs="Arial"/>
                <w:sz w:val="16"/>
                <w:szCs w:val="16"/>
              </w:rPr>
            </w:pPr>
          </w:p>
        </w:tc>
        <w:tc>
          <w:tcPr>
            <w:tcW w:w="747" w:type="pct"/>
            <w:tcBorders>
              <w:top w:val="nil"/>
              <w:bottom w:val="nil"/>
            </w:tcBorders>
            <w:shd w:val="clear" w:color="auto" w:fill="auto"/>
            <w:tcMar>
              <w:top w:w="110" w:type="dxa"/>
            </w:tcMar>
          </w:tcPr>
          <w:p w:rsidR="007852E3" w:rsidRPr="0068151C" w:rsidRDefault="007852E3" w:rsidP="00F54CA4">
            <w:pPr>
              <w:keepNext/>
              <w:keepLines/>
              <w:rPr>
                <w:rFonts w:cs="Arial"/>
                <w:sz w:val="16"/>
                <w:szCs w:val="16"/>
                <w:lang w:bidi="th-TH"/>
              </w:rPr>
            </w:pPr>
            <w:r w:rsidRPr="009A6091">
              <w:rPr>
                <w:rFonts w:cs="Arial"/>
                <w:sz w:val="16"/>
                <w:szCs w:val="16"/>
                <w:lang w:bidi="th-TH"/>
              </w:rPr>
              <w:t>40,000,000</w:t>
            </w:r>
          </w:p>
        </w:tc>
        <w:tc>
          <w:tcPr>
            <w:tcW w:w="1269" w:type="pct"/>
            <w:tcBorders>
              <w:top w:val="nil"/>
              <w:bottom w:val="nil"/>
            </w:tcBorders>
            <w:shd w:val="clear" w:color="auto" w:fill="FFFFFF"/>
            <w:tcMar>
              <w:top w:w="110" w:type="dxa"/>
            </w:tcMar>
          </w:tcPr>
          <w:p w:rsidR="007852E3" w:rsidRPr="0068151C" w:rsidRDefault="007852E3" w:rsidP="00F54CA4">
            <w:pPr>
              <w:keepNext/>
              <w:keepLines/>
              <w:rPr>
                <w:rFonts w:cs="Arial"/>
                <w:sz w:val="16"/>
                <w:szCs w:val="16"/>
              </w:rPr>
            </w:pPr>
            <w:r w:rsidRPr="009A6091">
              <w:rPr>
                <w:rFonts w:cs="Arial"/>
                <w:sz w:val="16"/>
                <w:szCs w:val="16"/>
              </w:rPr>
              <w:t>43,000,000</w:t>
            </w:r>
          </w:p>
        </w:tc>
        <w:tc>
          <w:tcPr>
            <w:tcW w:w="522" w:type="pct"/>
            <w:tcBorders>
              <w:top w:val="nil"/>
              <w:bottom w:val="nil"/>
              <w:right w:val="single" w:sz="4" w:space="0" w:color="auto"/>
            </w:tcBorders>
            <w:shd w:val="clear" w:color="auto" w:fill="auto"/>
            <w:tcMar>
              <w:top w:w="110" w:type="dxa"/>
            </w:tcMar>
          </w:tcPr>
          <w:p w:rsidR="007852E3" w:rsidRPr="00D93C36" w:rsidRDefault="007852E3" w:rsidP="00F54CA4">
            <w:pPr>
              <w:keepNext/>
              <w:keepLines/>
              <w:jc w:val="center"/>
              <w:rPr>
                <w:rFonts w:cs="Arial"/>
                <w:bCs/>
                <w:color w:val="808080"/>
                <w:sz w:val="16"/>
                <w:szCs w:val="16"/>
              </w:rPr>
            </w:pPr>
            <w:r w:rsidRPr="005A6DA1">
              <w:rPr>
                <w:rStyle w:val="Style5"/>
                <w:rFonts w:ascii="Arial" w:hAnsi="Arial" w:cs="Arial"/>
                <w:b/>
                <w:color w:val="00B050"/>
                <w:sz w:val="16"/>
                <w:szCs w:val="16"/>
              </w:rPr>
              <w:t>On track</w:t>
            </w:r>
          </w:p>
        </w:tc>
      </w:tr>
      <w:tr w:rsidR="007852E3" w:rsidRPr="0068151C" w:rsidTr="00F54CA4">
        <w:trPr>
          <w:cantSplit/>
        </w:trPr>
        <w:tc>
          <w:tcPr>
            <w:tcW w:w="1193" w:type="pct"/>
            <w:tcBorders>
              <w:top w:val="nil"/>
              <w:left w:val="single" w:sz="4" w:space="0" w:color="auto"/>
              <w:bottom w:val="nil"/>
            </w:tcBorders>
            <w:shd w:val="clear" w:color="auto" w:fill="auto"/>
          </w:tcPr>
          <w:p w:rsidR="007852E3" w:rsidRPr="0068151C" w:rsidRDefault="007852E3" w:rsidP="00F54CA4">
            <w:pPr>
              <w:keepNext/>
              <w:keepLines/>
              <w:rPr>
                <w:rFonts w:cs="Arial"/>
                <w:sz w:val="16"/>
                <w:szCs w:val="16"/>
              </w:rPr>
            </w:pPr>
            <w:r w:rsidRPr="009A6091">
              <w:rPr>
                <w:rFonts w:cs="Arial"/>
                <w:sz w:val="16"/>
                <w:szCs w:val="16"/>
              </w:rPr>
              <w:t>No. of records contained in Global Brand Databases</w:t>
            </w:r>
          </w:p>
        </w:tc>
        <w:tc>
          <w:tcPr>
            <w:tcW w:w="1270" w:type="pct"/>
            <w:tcBorders>
              <w:top w:val="nil"/>
              <w:bottom w:val="nil"/>
            </w:tcBorders>
            <w:shd w:val="clear" w:color="auto" w:fill="auto"/>
          </w:tcPr>
          <w:p w:rsidR="007852E3" w:rsidRPr="00F03901" w:rsidRDefault="007852E3" w:rsidP="00F54CA4">
            <w:pPr>
              <w:keepNext/>
              <w:keepLines/>
              <w:rPr>
                <w:rFonts w:cs="Arial"/>
                <w:i/>
                <w:color w:val="002060"/>
                <w:sz w:val="16"/>
                <w:szCs w:val="16"/>
              </w:rPr>
            </w:pPr>
            <w:r w:rsidRPr="0068151C">
              <w:rPr>
                <w:rFonts w:cs="Arial"/>
                <w:i/>
                <w:color w:val="002060"/>
                <w:sz w:val="16"/>
                <w:szCs w:val="16"/>
              </w:rPr>
              <w:t xml:space="preserve">Updated Baseline </w:t>
            </w:r>
            <w:r>
              <w:rPr>
                <w:rFonts w:cs="Arial"/>
                <w:i/>
                <w:color w:val="002060"/>
                <w:sz w:val="16"/>
                <w:szCs w:val="16"/>
              </w:rPr>
              <w:br/>
              <w:t>end 2013</w:t>
            </w:r>
            <w:r w:rsidRPr="0068151C">
              <w:rPr>
                <w:rFonts w:cs="Arial"/>
                <w:i/>
                <w:color w:val="002060"/>
                <w:sz w:val="16"/>
                <w:szCs w:val="16"/>
              </w:rPr>
              <w:t>:</w:t>
            </w:r>
            <w:r w:rsidRPr="0068151C">
              <w:rPr>
                <w:rFonts w:cs="Arial"/>
                <w:color w:val="002060"/>
                <w:sz w:val="16"/>
                <w:szCs w:val="16"/>
                <w:lang w:bidi="th-TH"/>
              </w:rPr>
              <w:t xml:space="preserve">  </w:t>
            </w:r>
            <w:r w:rsidRPr="009A6091">
              <w:rPr>
                <w:rFonts w:cs="Arial"/>
                <w:color w:val="002060"/>
                <w:sz w:val="16"/>
                <w:szCs w:val="16"/>
                <w:lang w:bidi="th-TH"/>
              </w:rPr>
              <w:t>12</w:t>
            </w:r>
            <w:r>
              <w:rPr>
                <w:rFonts w:cs="Arial"/>
                <w:color w:val="002060"/>
                <w:sz w:val="16"/>
                <w:szCs w:val="16"/>
                <w:lang w:bidi="th-TH"/>
              </w:rPr>
              <w:t>,000,000</w:t>
            </w:r>
          </w:p>
          <w:p w:rsidR="007852E3" w:rsidRPr="00A25763" w:rsidRDefault="007852E3" w:rsidP="00F54CA4">
            <w:pPr>
              <w:keepNext/>
              <w:keepLines/>
              <w:rPr>
                <w:rFonts w:cs="Arial"/>
                <w:i/>
                <w:sz w:val="8"/>
                <w:szCs w:val="8"/>
                <w:lang w:bidi="th-TH"/>
              </w:rPr>
            </w:pPr>
          </w:p>
          <w:p w:rsidR="007852E3" w:rsidRPr="0068151C" w:rsidRDefault="007852E3" w:rsidP="00F54CA4">
            <w:pPr>
              <w:keepNext/>
              <w:keepLines/>
              <w:rPr>
                <w:rFonts w:cs="Arial"/>
                <w:sz w:val="16"/>
                <w:szCs w:val="16"/>
                <w:lang w:bidi="th-TH"/>
              </w:rPr>
            </w:pPr>
            <w:r w:rsidRPr="0068151C">
              <w:rPr>
                <w:rFonts w:cs="Arial"/>
                <w:i/>
                <w:sz w:val="16"/>
                <w:szCs w:val="16"/>
                <w:lang w:bidi="th-TH"/>
              </w:rPr>
              <w:t>Original Baseline</w:t>
            </w:r>
          </w:p>
          <w:p w:rsidR="007852E3" w:rsidRPr="0068151C" w:rsidRDefault="007852E3" w:rsidP="00F54CA4">
            <w:pPr>
              <w:keepNext/>
              <w:keepLines/>
              <w:rPr>
                <w:rFonts w:cs="Arial"/>
                <w:sz w:val="16"/>
                <w:szCs w:val="16"/>
              </w:rPr>
            </w:pPr>
            <w:r>
              <w:rPr>
                <w:rFonts w:cs="Arial"/>
                <w:i/>
                <w:sz w:val="16"/>
                <w:szCs w:val="16"/>
              </w:rPr>
              <w:t>P&amp;B 20124/15</w:t>
            </w:r>
            <w:r w:rsidRPr="0068151C">
              <w:rPr>
                <w:rFonts w:cs="Arial"/>
                <w:i/>
                <w:sz w:val="16"/>
                <w:szCs w:val="16"/>
              </w:rPr>
              <w:t>:</w:t>
            </w:r>
            <w:r>
              <w:rPr>
                <w:rFonts w:cs="Arial"/>
                <w:i/>
                <w:sz w:val="16"/>
                <w:szCs w:val="16"/>
              </w:rPr>
              <w:t xml:space="preserve"> </w:t>
            </w:r>
            <w:r w:rsidRPr="009A6091">
              <w:rPr>
                <w:rFonts w:cs="Arial"/>
                <w:i/>
                <w:sz w:val="16"/>
                <w:szCs w:val="16"/>
              </w:rPr>
              <w:t>10,928,326 (Feb 2013)</w:t>
            </w:r>
          </w:p>
          <w:p w:rsidR="007852E3" w:rsidRPr="0068151C" w:rsidRDefault="007852E3" w:rsidP="00F54CA4">
            <w:pPr>
              <w:keepNext/>
              <w:keepLines/>
              <w:rPr>
                <w:rFonts w:cs="Arial"/>
                <w:sz w:val="16"/>
                <w:szCs w:val="16"/>
                <w:lang w:bidi="th-TH"/>
              </w:rPr>
            </w:pPr>
          </w:p>
        </w:tc>
        <w:tc>
          <w:tcPr>
            <w:tcW w:w="747" w:type="pct"/>
            <w:tcBorders>
              <w:top w:val="nil"/>
              <w:bottom w:val="nil"/>
            </w:tcBorders>
            <w:shd w:val="clear" w:color="auto" w:fill="auto"/>
            <w:tcMar>
              <w:top w:w="110" w:type="dxa"/>
            </w:tcMar>
          </w:tcPr>
          <w:p w:rsidR="007852E3" w:rsidRDefault="007852E3" w:rsidP="00F54CA4">
            <w:pPr>
              <w:keepNext/>
              <w:keepLines/>
              <w:autoSpaceDE w:val="0"/>
              <w:autoSpaceDN w:val="0"/>
              <w:adjustRightInd w:val="0"/>
              <w:rPr>
                <w:rFonts w:cs="Arial"/>
                <w:sz w:val="16"/>
                <w:szCs w:val="16"/>
              </w:rPr>
            </w:pPr>
          </w:p>
          <w:p w:rsidR="007852E3" w:rsidRPr="0068151C" w:rsidRDefault="007852E3" w:rsidP="00F54CA4">
            <w:pPr>
              <w:keepNext/>
              <w:keepLines/>
              <w:autoSpaceDE w:val="0"/>
              <w:autoSpaceDN w:val="0"/>
              <w:adjustRightInd w:val="0"/>
              <w:rPr>
                <w:rFonts w:cs="Arial"/>
                <w:sz w:val="16"/>
                <w:szCs w:val="16"/>
              </w:rPr>
            </w:pPr>
            <w:r w:rsidRPr="009A6091">
              <w:rPr>
                <w:rFonts w:cs="Arial"/>
                <w:sz w:val="16"/>
                <w:szCs w:val="16"/>
              </w:rPr>
              <w:t>20,000,000</w:t>
            </w:r>
          </w:p>
        </w:tc>
        <w:tc>
          <w:tcPr>
            <w:tcW w:w="1269" w:type="pct"/>
            <w:tcBorders>
              <w:top w:val="nil"/>
              <w:bottom w:val="nil"/>
            </w:tcBorders>
            <w:shd w:val="clear" w:color="auto" w:fill="FFFFFF"/>
            <w:tcMar>
              <w:top w:w="110" w:type="dxa"/>
            </w:tcMar>
          </w:tcPr>
          <w:p w:rsidR="007852E3" w:rsidRDefault="007852E3" w:rsidP="00F54CA4">
            <w:pPr>
              <w:keepNext/>
              <w:keepLines/>
              <w:rPr>
                <w:rFonts w:cs="Arial"/>
                <w:sz w:val="16"/>
                <w:szCs w:val="16"/>
                <w:lang w:bidi="th-TH"/>
              </w:rPr>
            </w:pPr>
          </w:p>
          <w:p w:rsidR="007852E3" w:rsidRPr="0068151C" w:rsidRDefault="007852E3" w:rsidP="00F54CA4">
            <w:pPr>
              <w:keepNext/>
              <w:keepLines/>
              <w:rPr>
                <w:rFonts w:cs="Arial"/>
                <w:sz w:val="16"/>
                <w:szCs w:val="16"/>
              </w:rPr>
            </w:pPr>
            <w:r w:rsidRPr="009A6091">
              <w:rPr>
                <w:rFonts w:cs="Arial"/>
                <w:sz w:val="16"/>
                <w:szCs w:val="16"/>
                <w:lang w:bidi="th-TH"/>
              </w:rPr>
              <w:t>15,400,000</w:t>
            </w:r>
          </w:p>
        </w:tc>
        <w:tc>
          <w:tcPr>
            <w:tcW w:w="522" w:type="pct"/>
            <w:tcBorders>
              <w:top w:val="nil"/>
              <w:bottom w:val="nil"/>
              <w:right w:val="single" w:sz="4" w:space="0" w:color="auto"/>
            </w:tcBorders>
            <w:shd w:val="clear" w:color="auto" w:fill="auto"/>
            <w:tcMar>
              <w:top w:w="110" w:type="dxa"/>
            </w:tcMar>
          </w:tcPr>
          <w:p w:rsidR="007852E3" w:rsidRPr="00D93C36" w:rsidRDefault="007852E3" w:rsidP="00F54CA4">
            <w:pPr>
              <w:keepNext/>
              <w:keepLines/>
              <w:jc w:val="center"/>
              <w:rPr>
                <w:rFonts w:cs="Arial"/>
                <w:bCs/>
                <w:color w:val="808080"/>
                <w:sz w:val="16"/>
                <w:szCs w:val="16"/>
              </w:rPr>
            </w:pPr>
            <w:r w:rsidRPr="005A6DA1">
              <w:rPr>
                <w:rStyle w:val="Style5"/>
                <w:rFonts w:ascii="Arial" w:hAnsi="Arial" w:cs="Arial"/>
                <w:b/>
                <w:color w:val="00B050"/>
                <w:sz w:val="16"/>
                <w:szCs w:val="16"/>
              </w:rPr>
              <w:t>On track</w:t>
            </w:r>
          </w:p>
        </w:tc>
      </w:tr>
      <w:tr w:rsidR="007852E3" w:rsidRPr="0068151C" w:rsidTr="00F54CA4">
        <w:trPr>
          <w:cantSplit/>
        </w:trPr>
        <w:tc>
          <w:tcPr>
            <w:tcW w:w="1193" w:type="pct"/>
            <w:tcBorders>
              <w:top w:val="nil"/>
              <w:left w:val="single" w:sz="4" w:space="0" w:color="auto"/>
              <w:bottom w:val="nil"/>
            </w:tcBorders>
            <w:shd w:val="clear" w:color="auto" w:fill="auto"/>
          </w:tcPr>
          <w:p w:rsidR="007852E3" w:rsidRPr="0068151C" w:rsidRDefault="007852E3" w:rsidP="00F54CA4">
            <w:pPr>
              <w:keepNext/>
              <w:keepLines/>
              <w:rPr>
                <w:rFonts w:cs="Arial"/>
                <w:sz w:val="16"/>
                <w:szCs w:val="16"/>
              </w:rPr>
            </w:pPr>
            <w:r w:rsidRPr="00AB5AF1">
              <w:rPr>
                <w:rFonts w:cs="Arial"/>
                <w:sz w:val="16"/>
                <w:szCs w:val="16"/>
              </w:rPr>
              <w:t>No. of national collections in PATENTSCOPE</w:t>
            </w:r>
          </w:p>
        </w:tc>
        <w:tc>
          <w:tcPr>
            <w:tcW w:w="1270" w:type="pct"/>
            <w:tcBorders>
              <w:top w:val="nil"/>
              <w:bottom w:val="nil"/>
            </w:tcBorders>
            <w:shd w:val="clear" w:color="auto" w:fill="auto"/>
          </w:tcPr>
          <w:p w:rsidR="007852E3" w:rsidRPr="00F03901" w:rsidRDefault="007852E3" w:rsidP="00F54CA4">
            <w:pPr>
              <w:keepNext/>
              <w:keepLines/>
              <w:rPr>
                <w:rFonts w:cs="Arial"/>
                <w:i/>
                <w:color w:val="002060"/>
                <w:sz w:val="16"/>
                <w:szCs w:val="16"/>
              </w:rPr>
            </w:pPr>
            <w:r w:rsidRPr="0068151C">
              <w:rPr>
                <w:rFonts w:cs="Arial"/>
                <w:i/>
                <w:color w:val="002060"/>
                <w:sz w:val="16"/>
                <w:szCs w:val="16"/>
              </w:rPr>
              <w:t xml:space="preserve">Updated Baseline </w:t>
            </w:r>
            <w:r>
              <w:rPr>
                <w:rFonts w:cs="Arial"/>
                <w:i/>
                <w:color w:val="002060"/>
                <w:sz w:val="16"/>
                <w:szCs w:val="16"/>
              </w:rPr>
              <w:br/>
              <w:t>end 2013</w:t>
            </w:r>
            <w:r w:rsidRPr="0068151C">
              <w:rPr>
                <w:rFonts w:cs="Arial"/>
                <w:i/>
                <w:color w:val="002060"/>
                <w:sz w:val="16"/>
                <w:szCs w:val="16"/>
              </w:rPr>
              <w:t>:</w:t>
            </w:r>
            <w:r w:rsidRPr="0068151C">
              <w:rPr>
                <w:rFonts w:cs="Arial"/>
                <w:color w:val="002060"/>
                <w:sz w:val="16"/>
                <w:szCs w:val="16"/>
                <w:lang w:bidi="th-TH"/>
              </w:rPr>
              <w:t xml:space="preserve">  </w:t>
            </w:r>
            <w:r w:rsidRPr="00AB5AF1">
              <w:rPr>
                <w:rFonts w:cs="Arial"/>
                <w:color w:val="002060"/>
                <w:sz w:val="16"/>
                <w:szCs w:val="16"/>
                <w:lang w:bidi="th-TH"/>
              </w:rPr>
              <w:t>3</w:t>
            </w:r>
            <w:r>
              <w:rPr>
                <w:rFonts w:cs="Arial"/>
                <w:color w:val="002060"/>
                <w:sz w:val="16"/>
                <w:szCs w:val="16"/>
                <w:lang w:bidi="th-TH"/>
              </w:rPr>
              <w:t>6 (cumulative)</w:t>
            </w:r>
          </w:p>
          <w:p w:rsidR="007852E3" w:rsidRPr="00A25763" w:rsidRDefault="007852E3" w:rsidP="00F54CA4">
            <w:pPr>
              <w:keepNext/>
              <w:keepLines/>
              <w:rPr>
                <w:rFonts w:cs="Arial"/>
                <w:i/>
                <w:sz w:val="8"/>
                <w:szCs w:val="8"/>
                <w:lang w:bidi="th-TH"/>
              </w:rPr>
            </w:pPr>
          </w:p>
          <w:p w:rsidR="007852E3" w:rsidRPr="0068151C" w:rsidRDefault="007852E3" w:rsidP="00F54CA4">
            <w:pPr>
              <w:keepNext/>
              <w:keepLines/>
              <w:rPr>
                <w:rFonts w:cs="Arial"/>
                <w:sz w:val="16"/>
                <w:szCs w:val="16"/>
                <w:lang w:bidi="th-TH"/>
              </w:rPr>
            </w:pPr>
            <w:r w:rsidRPr="0068151C">
              <w:rPr>
                <w:rFonts w:cs="Arial"/>
                <w:i/>
                <w:sz w:val="16"/>
                <w:szCs w:val="16"/>
                <w:lang w:bidi="th-TH"/>
              </w:rPr>
              <w:t>Original Baseline</w:t>
            </w:r>
          </w:p>
          <w:p w:rsidR="007852E3" w:rsidRPr="0068151C" w:rsidRDefault="007852E3" w:rsidP="00F54CA4">
            <w:pPr>
              <w:keepNext/>
              <w:keepLines/>
              <w:rPr>
                <w:rFonts w:cs="Arial"/>
                <w:sz w:val="16"/>
                <w:szCs w:val="16"/>
              </w:rPr>
            </w:pPr>
            <w:r>
              <w:rPr>
                <w:rFonts w:cs="Arial"/>
                <w:i/>
                <w:sz w:val="16"/>
                <w:szCs w:val="16"/>
              </w:rPr>
              <w:t>P&amp;B 20124/15</w:t>
            </w:r>
            <w:r w:rsidRPr="0068151C">
              <w:rPr>
                <w:rFonts w:cs="Arial"/>
                <w:i/>
                <w:sz w:val="16"/>
                <w:szCs w:val="16"/>
              </w:rPr>
              <w:t>:</w:t>
            </w:r>
            <w:r>
              <w:rPr>
                <w:rFonts w:cs="Arial"/>
                <w:i/>
                <w:sz w:val="16"/>
                <w:szCs w:val="16"/>
              </w:rPr>
              <w:t xml:space="preserve"> </w:t>
            </w:r>
            <w:r w:rsidRPr="00AB5AF1">
              <w:rPr>
                <w:rFonts w:cs="Arial"/>
                <w:i/>
                <w:sz w:val="16"/>
                <w:szCs w:val="16"/>
              </w:rPr>
              <w:t>27 (Feb 2013)</w:t>
            </w:r>
          </w:p>
          <w:p w:rsidR="007852E3" w:rsidRPr="0068151C" w:rsidRDefault="007852E3" w:rsidP="00F54CA4">
            <w:pPr>
              <w:keepNext/>
              <w:keepLines/>
              <w:ind w:left="1" w:hanging="1"/>
              <w:rPr>
                <w:rFonts w:cs="Arial"/>
                <w:sz w:val="16"/>
                <w:szCs w:val="16"/>
              </w:rPr>
            </w:pPr>
          </w:p>
        </w:tc>
        <w:tc>
          <w:tcPr>
            <w:tcW w:w="747" w:type="pct"/>
            <w:tcBorders>
              <w:top w:val="nil"/>
              <w:bottom w:val="nil"/>
            </w:tcBorders>
            <w:shd w:val="clear" w:color="auto" w:fill="auto"/>
            <w:tcMar>
              <w:top w:w="110" w:type="dxa"/>
            </w:tcMar>
          </w:tcPr>
          <w:p w:rsidR="007852E3" w:rsidRPr="0068151C" w:rsidRDefault="007852E3" w:rsidP="00F54CA4">
            <w:pPr>
              <w:keepNext/>
              <w:keepLines/>
              <w:rPr>
                <w:rFonts w:cs="Arial"/>
                <w:sz w:val="16"/>
                <w:szCs w:val="16"/>
                <w:lang w:bidi="th-TH"/>
              </w:rPr>
            </w:pPr>
            <w:r>
              <w:rPr>
                <w:rFonts w:cs="Arial"/>
                <w:sz w:val="16"/>
                <w:szCs w:val="16"/>
              </w:rPr>
              <w:t>35</w:t>
            </w:r>
          </w:p>
        </w:tc>
        <w:tc>
          <w:tcPr>
            <w:tcW w:w="1269" w:type="pct"/>
            <w:tcBorders>
              <w:top w:val="nil"/>
              <w:bottom w:val="nil"/>
            </w:tcBorders>
            <w:shd w:val="clear" w:color="auto" w:fill="FFFFFF"/>
            <w:tcMar>
              <w:top w:w="110" w:type="dxa"/>
            </w:tcMar>
          </w:tcPr>
          <w:p w:rsidR="007852E3" w:rsidRPr="0068151C" w:rsidRDefault="007852E3" w:rsidP="00F54CA4">
            <w:pPr>
              <w:keepNext/>
              <w:keepLines/>
              <w:rPr>
                <w:rFonts w:cs="Arial"/>
                <w:sz w:val="16"/>
                <w:szCs w:val="16"/>
              </w:rPr>
            </w:pPr>
            <w:r>
              <w:rPr>
                <w:rFonts w:cs="Arial"/>
                <w:sz w:val="16"/>
                <w:szCs w:val="16"/>
                <w:lang w:bidi="th-TH"/>
              </w:rPr>
              <w:t>41 national and regional collections (cumulative)</w:t>
            </w:r>
          </w:p>
        </w:tc>
        <w:tc>
          <w:tcPr>
            <w:tcW w:w="522" w:type="pct"/>
            <w:tcBorders>
              <w:top w:val="nil"/>
              <w:bottom w:val="nil"/>
              <w:right w:val="single" w:sz="4" w:space="0" w:color="auto"/>
            </w:tcBorders>
            <w:shd w:val="clear" w:color="auto" w:fill="auto"/>
            <w:tcMar>
              <w:top w:w="110" w:type="dxa"/>
            </w:tcMar>
          </w:tcPr>
          <w:p w:rsidR="007852E3" w:rsidRPr="005A6DA1" w:rsidRDefault="007852E3" w:rsidP="00F54CA4">
            <w:pPr>
              <w:keepNext/>
              <w:keepLines/>
              <w:jc w:val="center"/>
              <w:rPr>
                <w:rStyle w:val="Style5"/>
                <w:rFonts w:ascii="Arial" w:hAnsi="Arial"/>
                <w:b/>
                <w:color w:val="00B050"/>
                <w:sz w:val="16"/>
              </w:rPr>
            </w:pPr>
            <w:r w:rsidRPr="005A6DA1">
              <w:rPr>
                <w:rStyle w:val="Style5"/>
                <w:rFonts w:ascii="Arial" w:hAnsi="Arial" w:cs="Arial"/>
                <w:b/>
                <w:color w:val="00B050"/>
                <w:sz w:val="16"/>
                <w:szCs w:val="16"/>
              </w:rPr>
              <w:t>On track</w:t>
            </w:r>
          </w:p>
        </w:tc>
      </w:tr>
      <w:tr w:rsidR="007852E3" w:rsidRPr="0068151C" w:rsidTr="00F54CA4">
        <w:trPr>
          <w:cantSplit/>
        </w:trPr>
        <w:tc>
          <w:tcPr>
            <w:tcW w:w="1193" w:type="pct"/>
            <w:tcBorders>
              <w:top w:val="nil"/>
              <w:left w:val="single" w:sz="4" w:space="0" w:color="auto"/>
              <w:bottom w:val="single" w:sz="4" w:space="0" w:color="auto"/>
            </w:tcBorders>
            <w:shd w:val="clear" w:color="auto" w:fill="auto"/>
          </w:tcPr>
          <w:p w:rsidR="007852E3" w:rsidRPr="00AB5AF1" w:rsidRDefault="007852E3" w:rsidP="00F54CA4">
            <w:pPr>
              <w:keepNext/>
              <w:keepLines/>
              <w:rPr>
                <w:rFonts w:cs="Arial"/>
                <w:sz w:val="16"/>
                <w:szCs w:val="16"/>
              </w:rPr>
            </w:pPr>
            <w:r w:rsidRPr="00AB5AF1">
              <w:rPr>
                <w:rFonts w:cs="Arial"/>
                <w:sz w:val="16"/>
                <w:szCs w:val="16"/>
              </w:rPr>
              <w:t>No. of national collections in Global Brand Database</w:t>
            </w:r>
          </w:p>
        </w:tc>
        <w:tc>
          <w:tcPr>
            <w:tcW w:w="1270" w:type="pct"/>
            <w:tcBorders>
              <w:top w:val="nil"/>
              <w:bottom w:val="single" w:sz="4" w:space="0" w:color="auto"/>
            </w:tcBorders>
            <w:shd w:val="clear" w:color="auto" w:fill="auto"/>
          </w:tcPr>
          <w:p w:rsidR="007852E3" w:rsidRPr="00F03901" w:rsidRDefault="007852E3" w:rsidP="00F54CA4">
            <w:pPr>
              <w:keepNext/>
              <w:keepLines/>
              <w:rPr>
                <w:rFonts w:cs="Arial"/>
                <w:i/>
                <w:color w:val="002060"/>
                <w:sz w:val="16"/>
                <w:szCs w:val="16"/>
              </w:rPr>
            </w:pPr>
            <w:r w:rsidRPr="0068151C">
              <w:rPr>
                <w:rFonts w:cs="Arial"/>
                <w:i/>
                <w:color w:val="002060"/>
                <w:sz w:val="16"/>
                <w:szCs w:val="16"/>
              </w:rPr>
              <w:t xml:space="preserve">Updated Baseline </w:t>
            </w:r>
            <w:r>
              <w:rPr>
                <w:rFonts w:cs="Arial"/>
                <w:i/>
                <w:color w:val="002060"/>
                <w:sz w:val="16"/>
                <w:szCs w:val="16"/>
              </w:rPr>
              <w:br/>
              <w:t>end 2013</w:t>
            </w:r>
            <w:r w:rsidRPr="0068151C">
              <w:rPr>
                <w:rFonts w:cs="Arial"/>
                <w:i/>
                <w:color w:val="002060"/>
                <w:sz w:val="16"/>
                <w:szCs w:val="16"/>
              </w:rPr>
              <w:t>:</w:t>
            </w:r>
            <w:r w:rsidRPr="0068151C">
              <w:rPr>
                <w:rFonts w:cs="Arial"/>
                <w:color w:val="002060"/>
                <w:sz w:val="16"/>
                <w:szCs w:val="16"/>
                <w:lang w:bidi="th-TH"/>
              </w:rPr>
              <w:t xml:space="preserve">  </w:t>
            </w:r>
            <w:r>
              <w:rPr>
                <w:rFonts w:cs="Arial"/>
                <w:color w:val="002060"/>
                <w:sz w:val="16"/>
                <w:szCs w:val="16"/>
                <w:lang w:bidi="th-TH"/>
              </w:rPr>
              <w:t>12</w:t>
            </w:r>
          </w:p>
          <w:p w:rsidR="007852E3" w:rsidRPr="00A25763" w:rsidRDefault="007852E3" w:rsidP="00F54CA4">
            <w:pPr>
              <w:keepNext/>
              <w:keepLines/>
              <w:rPr>
                <w:rFonts w:cs="Arial"/>
                <w:i/>
                <w:sz w:val="8"/>
                <w:szCs w:val="8"/>
                <w:lang w:bidi="th-TH"/>
              </w:rPr>
            </w:pPr>
          </w:p>
          <w:p w:rsidR="007852E3" w:rsidRPr="0068151C" w:rsidRDefault="007852E3" w:rsidP="00F54CA4">
            <w:pPr>
              <w:keepNext/>
              <w:keepLines/>
              <w:rPr>
                <w:rFonts w:cs="Arial"/>
                <w:sz w:val="16"/>
                <w:szCs w:val="16"/>
                <w:lang w:bidi="th-TH"/>
              </w:rPr>
            </w:pPr>
            <w:r w:rsidRPr="0068151C">
              <w:rPr>
                <w:rFonts w:cs="Arial"/>
                <w:i/>
                <w:sz w:val="16"/>
                <w:szCs w:val="16"/>
                <w:lang w:bidi="th-TH"/>
              </w:rPr>
              <w:t>Original Baseline</w:t>
            </w:r>
          </w:p>
          <w:p w:rsidR="007852E3" w:rsidRPr="0068151C" w:rsidRDefault="007852E3" w:rsidP="00F54CA4">
            <w:pPr>
              <w:keepNext/>
              <w:keepLines/>
              <w:rPr>
                <w:rFonts w:cs="Arial"/>
                <w:i/>
                <w:color w:val="002060"/>
                <w:sz w:val="16"/>
                <w:szCs w:val="16"/>
              </w:rPr>
            </w:pPr>
            <w:r>
              <w:rPr>
                <w:rFonts w:cs="Arial"/>
                <w:i/>
                <w:sz w:val="16"/>
                <w:szCs w:val="16"/>
              </w:rPr>
              <w:t>P&amp;B 20124/15</w:t>
            </w:r>
            <w:r w:rsidRPr="0068151C">
              <w:rPr>
                <w:rFonts w:cs="Arial"/>
                <w:i/>
                <w:sz w:val="16"/>
                <w:szCs w:val="16"/>
              </w:rPr>
              <w:t>:</w:t>
            </w:r>
            <w:r>
              <w:rPr>
                <w:rFonts w:cs="Arial"/>
                <w:i/>
                <w:sz w:val="16"/>
                <w:szCs w:val="16"/>
              </w:rPr>
              <w:t xml:space="preserve"> </w:t>
            </w:r>
            <w:r w:rsidRPr="00AB5AF1">
              <w:rPr>
                <w:rFonts w:cs="Arial"/>
                <w:i/>
                <w:sz w:val="16"/>
                <w:szCs w:val="16"/>
              </w:rPr>
              <w:t>9</w:t>
            </w:r>
            <w:r>
              <w:rPr>
                <w:rFonts w:cs="Arial"/>
                <w:i/>
                <w:sz w:val="16"/>
                <w:szCs w:val="16"/>
              </w:rPr>
              <w:t xml:space="preserve"> </w:t>
            </w:r>
            <w:r w:rsidRPr="00AB5AF1">
              <w:rPr>
                <w:rFonts w:cs="Arial"/>
                <w:i/>
                <w:sz w:val="16"/>
                <w:szCs w:val="16"/>
              </w:rPr>
              <w:t>(Feb 2013)</w:t>
            </w:r>
          </w:p>
        </w:tc>
        <w:tc>
          <w:tcPr>
            <w:tcW w:w="747" w:type="pct"/>
            <w:tcBorders>
              <w:top w:val="nil"/>
              <w:bottom w:val="single" w:sz="4" w:space="0" w:color="auto"/>
            </w:tcBorders>
            <w:shd w:val="clear" w:color="auto" w:fill="auto"/>
            <w:tcMar>
              <w:top w:w="110" w:type="dxa"/>
            </w:tcMar>
          </w:tcPr>
          <w:p w:rsidR="007852E3" w:rsidRDefault="007852E3" w:rsidP="00F54CA4">
            <w:pPr>
              <w:keepNext/>
              <w:keepLines/>
              <w:rPr>
                <w:rFonts w:cs="Arial"/>
                <w:sz w:val="16"/>
                <w:szCs w:val="16"/>
              </w:rPr>
            </w:pPr>
            <w:r>
              <w:rPr>
                <w:rFonts w:cs="Arial"/>
                <w:sz w:val="16"/>
                <w:szCs w:val="16"/>
              </w:rPr>
              <w:t>18</w:t>
            </w:r>
          </w:p>
        </w:tc>
        <w:tc>
          <w:tcPr>
            <w:tcW w:w="1269" w:type="pct"/>
            <w:tcBorders>
              <w:top w:val="nil"/>
              <w:bottom w:val="single" w:sz="4" w:space="0" w:color="auto"/>
            </w:tcBorders>
            <w:shd w:val="clear" w:color="auto" w:fill="FFFFFF"/>
            <w:tcMar>
              <w:top w:w="110" w:type="dxa"/>
            </w:tcMar>
          </w:tcPr>
          <w:p w:rsidR="007852E3" w:rsidRDefault="007852E3" w:rsidP="00F54CA4">
            <w:pPr>
              <w:keepNext/>
              <w:keepLines/>
              <w:rPr>
                <w:rFonts w:cs="Arial"/>
                <w:sz w:val="16"/>
                <w:szCs w:val="16"/>
                <w:lang w:bidi="th-TH"/>
              </w:rPr>
            </w:pPr>
            <w:r>
              <w:rPr>
                <w:rFonts w:cs="Arial"/>
                <w:sz w:val="16"/>
                <w:szCs w:val="16"/>
                <w:lang w:bidi="th-TH"/>
              </w:rPr>
              <w:t>18</w:t>
            </w:r>
          </w:p>
        </w:tc>
        <w:tc>
          <w:tcPr>
            <w:tcW w:w="522" w:type="pct"/>
            <w:tcBorders>
              <w:top w:val="nil"/>
              <w:bottom w:val="single" w:sz="4" w:space="0" w:color="auto"/>
              <w:right w:val="single" w:sz="4" w:space="0" w:color="auto"/>
            </w:tcBorders>
            <w:shd w:val="clear" w:color="auto" w:fill="auto"/>
            <w:tcMar>
              <w:top w:w="110" w:type="dxa"/>
            </w:tcMar>
          </w:tcPr>
          <w:p w:rsidR="007852E3" w:rsidRPr="005A6DA1" w:rsidRDefault="007852E3" w:rsidP="00F54CA4">
            <w:pPr>
              <w:keepNext/>
              <w:keepLines/>
              <w:jc w:val="center"/>
              <w:rPr>
                <w:rStyle w:val="Style5"/>
                <w:rFonts w:ascii="Arial" w:hAnsi="Arial" w:cs="Arial"/>
                <w:b/>
                <w:color w:val="00B050"/>
                <w:sz w:val="16"/>
                <w:szCs w:val="16"/>
              </w:rPr>
            </w:pPr>
            <w:r w:rsidRPr="005A6DA1">
              <w:rPr>
                <w:rStyle w:val="Style5"/>
                <w:rFonts w:ascii="Arial" w:hAnsi="Arial" w:cs="Arial"/>
                <w:b/>
                <w:color w:val="00B050"/>
                <w:sz w:val="16"/>
                <w:szCs w:val="16"/>
              </w:rPr>
              <w:t>On track</w:t>
            </w:r>
          </w:p>
        </w:tc>
      </w:tr>
    </w:tbl>
    <w:p w:rsidR="007852E3" w:rsidRPr="00801FF2" w:rsidRDefault="007852E3" w:rsidP="00C3728B">
      <w:pPr>
        <w:rPr>
          <w:bCs/>
          <w:sz w:val="22"/>
          <w:szCs w:val="22"/>
        </w:rPr>
      </w:pPr>
    </w:p>
    <w:p w:rsidR="007852E3" w:rsidRDefault="007852E3">
      <w:pPr>
        <w:rPr>
          <w:rFonts w:cs="Arial"/>
          <w:color w:val="000000"/>
          <w:sz w:val="22"/>
          <w:szCs w:val="22"/>
        </w:rPr>
      </w:pPr>
    </w:p>
    <w:p w:rsidR="007852E3" w:rsidRDefault="007852E3" w:rsidP="00A8525E">
      <w:pPr>
        <w:rPr>
          <w:b/>
          <w:sz w:val="18"/>
          <w:szCs w:val="18"/>
        </w:rPr>
      </w:pPr>
      <w:r>
        <w:rPr>
          <w:rFonts w:cs="Arial"/>
          <w:color w:val="000000"/>
          <w:sz w:val="22"/>
          <w:szCs w:val="22"/>
        </w:rPr>
        <w:lastRenderedPageBreak/>
        <w:t>RESOURCE UTILIZATION</w:t>
      </w:r>
      <w:r>
        <w:rPr>
          <w:rFonts w:cs="Arial"/>
          <w:color w:val="000000"/>
          <w:sz w:val="22"/>
          <w:szCs w:val="22"/>
        </w:rPr>
        <w:tab/>
      </w:r>
    </w:p>
    <w:p w:rsidR="007852E3" w:rsidRPr="008F4A6D" w:rsidRDefault="007852E3">
      <w:pPr>
        <w:rPr>
          <w:szCs w:val="20"/>
        </w:rPr>
      </w:pPr>
    </w:p>
    <w:p w:rsidR="007852E3" w:rsidRPr="00383D2D" w:rsidRDefault="007852E3" w:rsidP="004611B9">
      <w:pPr>
        <w:pStyle w:val="NormalWeb"/>
        <w:spacing w:before="0" w:beforeAutospacing="0" w:after="0" w:afterAutospacing="0"/>
        <w:jc w:val="center"/>
        <w:rPr>
          <w:sz w:val="20"/>
          <w:szCs w:val="20"/>
        </w:rPr>
      </w:pPr>
      <w:r w:rsidRPr="00383D2D">
        <w:rPr>
          <w:color w:val="000000"/>
          <w:sz w:val="20"/>
          <w:szCs w:val="20"/>
        </w:rPr>
        <w:t xml:space="preserve">Budget and Actual Expenditure (by result) </w:t>
      </w:r>
    </w:p>
    <w:p w:rsidR="007852E3" w:rsidRDefault="007852E3" w:rsidP="004611B9">
      <w:pPr>
        <w:pStyle w:val="NormalWeb"/>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7852E3" w:rsidRPr="00383D2D" w:rsidRDefault="007852E3" w:rsidP="004611B9">
      <w:pPr>
        <w:pStyle w:val="NormalWeb"/>
        <w:spacing w:before="0" w:beforeAutospacing="0" w:after="0" w:afterAutospacing="0"/>
        <w:jc w:val="center"/>
        <w:rPr>
          <w:sz w:val="20"/>
          <w:szCs w:val="20"/>
        </w:rPr>
      </w:pPr>
    </w:p>
    <w:p w:rsidR="007852E3" w:rsidRDefault="007852E3" w:rsidP="00F54CA4">
      <w:pPr>
        <w:jc w:val="center"/>
      </w:pPr>
      <w:r w:rsidRPr="00A25CEE">
        <w:rPr>
          <w:noProof/>
        </w:rPr>
        <w:drawing>
          <wp:inline distT="0" distB="0" distL="0" distR="0" wp14:anchorId="00D61E4B" wp14:editId="3154E08A">
            <wp:extent cx="5581291" cy="166055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581464" cy="1660602"/>
                    </a:xfrm>
                    <a:prstGeom prst="rect">
                      <a:avLst/>
                    </a:prstGeom>
                    <a:noFill/>
                    <a:ln>
                      <a:noFill/>
                    </a:ln>
                  </pic:spPr>
                </pic:pic>
              </a:graphicData>
            </a:graphic>
          </wp:inline>
        </w:drawing>
      </w:r>
    </w:p>
    <w:p w:rsidR="007852E3" w:rsidRDefault="007852E3"/>
    <w:p w:rsidR="007852E3" w:rsidRDefault="007852E3"/>
    <w:p w:rsidR="007852E3" w:rsidRPr="00383D2D" w:rsidRDefault="007852E3" w:rsidP="00383D2D">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7852E3" w:rsidRPr="00383D2D" w:rsidRDefault="007852E3" w:rsidP="00383D2D">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7852E3" w:rsidRDefault="007852E3" w:rsidP="00383D2D">
      <w:pPr>
        <w:pStyle w:val="NormalWeb"/>
        <w:keepNext/>
        <w:keepLines/>
        <w:spacing w:before="0" w:beforeAutospacing="0" w:after="0" w:afterAutospacing="0"/>
        <w:jc w:val="center"/>
      </w:pPr>
    </w:p>
    <w:p w:rsidR="007852E3" w:rsidRPr="00383D2D" w:rsidRDefault="007852E3" w:rsidP="00F54CA4">
      <w:pPr>
        <w:jc w:val="center"/>
        <w:rPr>
          <w:szCs w:val="20"/>
        </w:rPr>
      </w:pPr>
      <w:r w:rsidRPr="00A25CEE">
        <w:rPr>
          <w:noProof/>
        </w:rPr>
        <w:drawing>
          <wp:inline distT="0" distB="0" distL="0" distR="0" wp14:anchorId="2036D7F1" wp14:editId="7306F44E">
            <wp:extent cx="5624423" cy="120803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638002" cy="1210951"/>
                    </a:xfrm>
                    <a:prstGeom prst="rect">
                      <a:avLst/>
                    </a:prstGeom>
                    <a:noFill/>
                    <a:ln>
                      <a:noFill/>
                    </a:ln>
                  </pic:spPr>
                </pic:pic>
              </a:graphicData>
            </a:graphic>
          </wp:inline>
        </w:drawing>
      </w:r>
    </w:p>
    <w:p w:rsidR="007852E3" w:rsidRPr="004312A2" w:rsidRDefault="007852E3" w:rsidP="00DD012F">
      <w:pPr>
        <w:keepNext/>
        <w:autoSpaceDE w:val="0"/>
        <w:autoSpaceDN w:val="0"/>
        <w:rPr>
          <w:sz w:val="16"/>
          <w:szCs w:val="16"/>
        </w:rPr>
      </w:pPr>
      <w:r w:rsidRPr="005A6DA1">
        <w:rPr>
          <w:i/>
          <w:sz w:val="16"/>
          <w:szCs w:val="16"/>
        </w:rPr>
        <w:t>NOTE: The 2014/15 Budget after Transfers reflects transfers as of March 31, 2015 to address needs during the 2014/15 biennium in line with Financial Regulation 5.5.</w:t>
      </w:r>
    </w:p>
    <w:p w:rsidR="007852E3" w:rsidRPr="004312A2" w:rsidRDefault="007852E3" w:rsidP="00DD012F">
      <w:pPr>
        <w:keepNext/>
        <w:autoSpaceDE w:val="0"/>
        <w:autoSpaceDN w:val="0"/>
        <w:rPr>
          <w:sz w:val="16"/>
          <w:szCs w:val="16"/>
        </w:rPr>
      </w:pPr>
    </w:p>
    <w:p w:rsidR="007852E3" w:rsidRPr="008F4A6D" w:rsidRDefault="007852E3" w:rsidP="00420F90">
      <w:pPr>
        <w:widowControl w:val="0"/>
        <w:autoSpaceDE w:val="0"/>
        <w:autoSpaceDN w:val="0"/>
        <w:adjustRightInd w:val="0"/>
        <w:rPr>
          <w:rFonts w:cs="Arial"/>
          <w:szCs w:val="20"/>
        </w:rPr>
      </w:pPr>
    </w:p>
    <w:p w:rsidR="007852E3" w:rsidRPr="001C6F4D" w:rsidRDefault="007852E3" w:rsidP="00420F90">
      <w:pPr>
        <w:widowControl w:val="0"/>
        <w:autoSpaceDE w:val="0"/>
        <w:autoSpaceDN w:val="0"/>
        <w:adjustRightInd w:val="0"/>
        <w:rPr>
          <w:rFonts w:cs="Arial"/>
          <w:szCs w:val="20"/>
        </w:rPr>
      </w:pPr>
    </w:p>
    <w:p w:rsidR="007852E3" w:rsidRDefault="007852E3" w:rsidP="00F54CA4">
      <w:pPr>
        <w:keepNext/>
        <w:keepLines/>
        <w:rPr>
          <w:rFonts w:cs="Arial"/>
          <w:u w:val="single"/>
        </w:rPr>
      </w:pPr>
      <w:r w:rsidRPr="00420F90">
        <w:rPr>
          <w:rFonts w:cs="Arial"/>
          <w:szCs w:val="20"/>
        </w:rPr>
        <w:t>A.</w:t>
      </w:r>
      <w:r w:rsidRPr="00420F90">
        <w:rPr>
          <w:rFonts w:cs="Arial"/>
        </w:rPr>
        <w:tab/>
      </w:r>
      <w:r w:rsidRPr="00420F90">
        <w:rPr>
          <w:rFonts w:cs="Arial"/>
          <w:u w:val="single"/>
        </w:rPr>
        <w:t>Budget after Transfers 201</w:t>
      </w:r>
      <w:r>
        <w:rPr>
          <w:rFonts w:cs="Arial"/>
          <w:u w:val="single"/>
        </w:rPr>
        <w:t>4/15</w:t>
      </w:r>
    </w:p>
    <w:p w:rsidR="007852E3" w:rsidRPr="00420F90" w:rsidRDefault="007852E3" w:rsidP="00714DE0">
      <w:pPr>
        <w:keepNext/>
        <w:keepLines/>
        <w:jc w:val="both"/>
        <w:rPr>
          <w:rFonts w:cs="Arial"/>
          <w:u w:val="single"/>
        </w:rPr>
      </w:pPr>
    </w:p>
    <w:p w:rsidR="007852E3" w:rsidRDefault="007852E3" w:rsidP="00714DE0">
      <w:pPr>
        <w:pStyle w:val="ListParagraph"/>
        <w:keepNext/>
        <w:keepLines/>
        <w:numPr>
          <w:ilvl w:val="0"/>
          <w:numId w:val="30"/>
        </w:numPr>
        <w:tabs>
          <w:tab w:val="left" w:pos="709"/>
        </w:tabs>
        <w:ind w:left="0" w:firstLine="0"/>
        <w:jc w:val="both"/>
        <w:rPr>
          <w:rFonts w:cs="Arial"/>
        </w:rPr>
      </w:pPr>
      <w:r w:rsidRPr="00480AE9">
        <w:t>The</w:t>
      </w:r>
      <w:r>
        <w:rPr>
          <w:rFonts w:cs="Arial"/>
        </w:rPr>
        <w:t xml:space="preserve"> slight increase in the 2014/15 Budget after Transfers reflects the reclassification of a post and the redeployment of additional personnel resources into the Program for the promotion of the global databases. This is reflected in the increase under Expected Result IV.2.  The increase in resources under Expected Result IV.2 is furthermore due to the redistribution of personnel resources within the Program for the development of the database search engine. </w:t>
      </w:r>
    </w:p>
    <w:p w:rsidR="007852E3" w:rsidRDefault="007852E3" w:rsidP="00714DE0">
      <w:pPr>
        <w:jc w:val="both"/>
        <w:rPr>
          <w:rFonts w:cs="Arial"/>
          <w:szCs w:val="20"/>
        </w:rPr>
      </w:pPr>
    </w:p>
    <w:p w:rsidR="007852E3" w:rsidRDefault="007852E3" w:rsidP="00714DE0">
      <w:pPr>
        <w:pStyle w:val="ListParagraph"/>
        <w:numPr>
          <w:ilvl w:val="0"/>
          <w:numId w:val="30"/>
        </w:numPr>
        <w:tabs>
          <w:tab w:val="left" w:pos="709"/>
        </w:tabs>
        <w:ind w:left="0" w:firstLine="0"/>
        <w:jc w:val="both"/>
        <w:rPr>
          <w:rFonts w:cs="Arial"/>
        </w:rPr>
      </w:pPr>
      <w:r>
        <w:rPr>
          <w:rFonts w:cs="Arial"/>
        </w:rPr>
        <w:t xml:space="preserve">The slight reduction under non-personnel resources reflects cost efficiency savings. </w:t>
      </w:r>
    </w:p>
    <w:p w:rsidR="007852E3" w:rsidRDefault="007852E3" w:rsidP="00714DE0">
      <w:pPr>
        <w:autoSpaceDE w:val="0"/>
        <w:autoSpaceDN w:val="0"/>
        <w:jc w:val="both"/>
        <w:rPr>
          <w:rFonts w:cs="Arial"/>
          <w:szCs w:val="20"/>
          <w:lang w:eastAsia="ko-KR"/>
        </w:rPr>
      </w:pPr>
    </w:p>
    <w:p w:rsidR="007852E3" w:rsidRDefault="007852E3" w:rsidP="00714DE0">
      <w:pPr>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Budget utilization 2014</w:t>
      </w:r>
    </w:p>
    <w:p w:rsidR="007852E3" w:rsidRDefault="007852E3" w:rsidP="00714DE0">
      <w:pPr>
        <w:tabs>
          <w:tab w:val="left" w:pos="709"/>
        </w:tabs>
        <w:jc w:val="both"/>
        <w:rPr>
          <w:rFonts w:cs="Arial"/>
          <w:szCs w:val="20"/>
          <w:u w:val="single"/>
          <w:lang w:eastAsia="ko-KR"/>
        </w:rPr>
      </w:pPr>
    </w:p>
    <w:p w:rsidR="007852E3" w:rsidRDefault="007852E3" w:rsidP="00714DE0">
      <w:pPr>
        <w:pStyle w:val="ListParagraph"/>
        <w:numPr>
          <w:ilvl w:val="0"/>
          <w:numId w:val="30"/>
        </w:numPr>
        <w:tabs>
          <w:tab w:val="left" w:pos="709"/>
        </w:tabs>
        <w:ind w:left="0" w:firstLine="0"/>
        <w:jc w:val="both"/>
        <w:rPr>
          <w:rFonts w:ascii="Calibri" w:hAnsi="Calibri"/>
          <w:sz w:val="22"/>
          <w:szCs w:val="22"/>
        </w:rPr>
      </w:pPr>
      <w:r>
        <w:rPr>
          <w:rFonts w:cs="Arial"/>
          <w:lang w:eastAsia="ko-KR"/>
        </w:rPr>
        <w:t xml:space="preserve">Budget utilization is within the expected range of 40-60 per cent for the first year of the biennium and is on track. </w:t>
      </w:r>
    </w:p>
    <w:p w:rsidR="007852E3" w:rsidRDefault="007852E3" w:rsidP="00714DE0">
      <w:pPr>
        <w:autoSpaceDE w:val="0"/>
        <w:autoSpaceDN w:val="0"/>
        <w:jc w:val="both"/>
      </w:pPr>
    </w:p>
    <w:p w:rsidR="007852E3" w:rsidRDefault="007852E3"/>
    <w:p w:rsidR="00714DE0" w:rsidRDefault="00714DE0">
      <w:r>
        <w:br w:type="page"/>
      </w:r>
    </w:p>
    <w:p w:rsidR="00714DE0" w:rsidRPr="00A608E9" w:rsidRDefault="00714DE0" w:rsidP="00E70E02">
      <w:pPr>
        <w:pStyle w:val="Heading2"/>
        <w:tabs>
          <w:tab w:val="clear" w:pos="567"/>
          <w:tab w:val="left" w:pos="1985"/>
        </w:tabs>
        <w:jc w:val="both"/>
        <w:rPr>
          <w:sz w:val="20"/>
          <w:szCs w:val="20"/>
        </w:rPr>
      </w:pPr>
      <w:bookmarkStart w:id="72" w:name="_Toc422210498"/>
      <w:r w:rsidRPr="00F00FA6">
        <w:rPr>
          <w:szCs w:val="20"/>
        </w:rPr>
        <w:lastRenderedPageBreak/>
        <w:t>PROGRAM 14</w:t>
      </w:r>
      <w:r w:rsidRPr="00F00FA6">
        <w:rPr>
          <w:szCs w:val="20"/>
        </w:rPr>
        <w:tab/>
      </w:r>
      <w:r w:rsidRPr="00F00FA6">
        <w:rPr>
          <w:szCs w:val="20"/>
        </w:rPr>
        <w:tab/>
        <w:t>SERVICES FOR ACCESS TO INFORMATION AND KNOWLEDGE</w:t>
      </w:r>
      <w:bookmarkEnd w:id="72"/>
    </w:p>
    <w:p w:rsidR="00714DE0" w:rsidRPr="00A608E9" w:rsidRDefault="00714DE0" w:rsidP="00E70E02">
      <w:pPr>
        <w:jc w:val="both"/>
        <w:rPr>
          <w:szCs w:val="20"/>
        </w:rPr>
      </w:pPr>
    </w:p>
    <w:p w:rsidR="00714DE0" w:rsidRPr="00A608E9" w:rsidRDefault="00714DE0" w:rsidP="00E70E02">
      <w:pPr>
        <w:tabs>
          <w:tab w:val="left" w:pos="1985"/>
        </w:tabs>
        <w:jc w:val="both"/>
        <w:rPr>
          <w:b/>
          <w:szCs w:val="20"/>
        </w:rPr>
      </w:pPr>
      <w:r w:rsidRPr="00A608E9">
        <w:rPr>
          <w:b/>
          <w:szCs w:val="20"/>
        </w:rPr>
        <w:t>Program Manager</w:t>
      </w:r>
      <w:r w:rsidRPr="00A608E9">
        <w:rPr>
          <w:b/>
          <w:szCs w:val="20"/>
        </w:rPr>
        <w:tab/>
        <w:t>Mr. Y</w:t>
      </w:r>
      <w:r>
        <w:rPr>
          <w:b/>
          <w:szCs w:val="20"/>
        </w:rPr>
        <w:t>.</w:t>
      </w:r>
      <w:r w:rsidRPr="00A608E9">
        <w:rPr>
          <w:b/>
          <w:szCs w:val="20"/>
        </w:rPr>
        <w:t xml:space="preserve"> Takagi</w:t>
      </w:r>
    </w:p>
    <w:p w:rsidR="00714DE0" w:rsidRPr="00A608E9" w:rsidRDefault="00714DE0" w:rsidP="00E70E02">
      <w:pPr>
        <w:jc w:val="both"/>
        <w:rPr>
          <w:szCs w:val="20"/>
        </w:rPr>
      </w:pPr>
    </w:p>
    <w:p w:rsidR="00714DE0" w:rsidRPr="00A608E9" w:rsidRDefault="00714DE0" w:rsidP="00E70E02">
      <w:pPr>
        <w:jc w:val="both"/>
        <w:rPr>
          <w:szCs w:val="20"/>
        </w:rPr>
      </w:pPr>
    </w:p>
    <w:p w:rsidR="00714DE0" w:rsidRPr="00F00FA6" w:rsidRDefault="00714DE0" w:rsidP="00E70E02">
      <w:pPr>
        <w:jc w:val="both"/>
        <w:rPr>
          <w:bCs/>
          <w:sz w:val="22"/>
          <w:szCs w:val="20"/>
        </w:rPr>
      </w:pPr>
      <w:r w:rsidRPr="00F00FA6">
        <w:rPr>
          <w:bCs/>
          <w:sz w:val="22"/>
          <w:szCs w:val="20"/>
        </w:rPr>
        <w:t>OVERVIEW OF PROGRESS IN 2014</w:t>
      </w:r>
    </w:p>
    <w:p w:rsidR="00714DE0" w:rsidRPr="00717A27" w:rsidRDefault="00714DE0" w:rsidP="00E70E02">
      <w:pPr>
        <w:jc w:val="both"/>
        <w:rPr>
          <w:rFonts w:cs="Arial"/>
          <w:bCs/>
          <w:sz w:val="22"/>
          <w:szCs w:val="22"/>
        </w:rPr>
      </w:pPr>
      <w:bookmarkStart w:id="73" w:name="OLE_LINK3"/>
      <w:bookmarkStart w:id="74" w:name="OLE_LINK4"/>
    </w:p>
    <w:p w:rsidR="00714DE0" w:rsidRPr="00BD71FF" w:rsidRDefault="00714DE0" w:rsidP="00714DE0">
      <w:pPr>
        <w:pStyle w:val="ListParagraph"/>
        <w:numPr>
          <w:ilvl w:val="0"/>
          <w:numId w:val="37"/>
        </w:numPr>
        <w:tabs>
          <w:tab w:val="left" w:pos="0"/>
          <w:tab w:val="left" w:pos="709"/>
        </w:tabs>
        <w:ind w:left="0" w:firstLine="0"/>
        <w:jc w:val="both"/>
        <w:rPr>
          <w:rFonts w:cs="Arial"/>
          <w:bCs/>
        </w:rPr>
      </w:pPr>
      <w:r w:rsidRPr="007826B2">
        <w:rPr>
          <w:rFonts w:cs="Arial"/>
          <w:bCs/>
        </w:rPr>
        <w:t>The year 2014 brought t</w:t>
      </w:r>
      <w:r w:rsidRPr="00BD71FF">
        <w:rPr>
          <w:rFonts w:cs="Arial"/>
          <w:bCs/>
        </w:rPr>
        <w:t xml:space="preserve">he total number of Member States that had established Technology Innovation Support Centers (TISCs) in their countries to 45.  The Program continued its focus on reinforcing the long-term sustainability of the networks, and by the end of 2014, 20 TISC networks were considered sustainable.  </w:t>
      </w:r>
    </w:p>
    <w:p w:rsidR="00714DE0" w:rsidRDefault="00714DE0" w:rsidP="00E70E02">
      <w:pPr>
        <w:tabs>
          <w:tab w:val="left" w:pos="0"/>
          <w:tab w:val="left" w:pos="709"/>
        </w:tabs>
        <w:jc w:val="both"/>
        <w:rPr>
          <w:rFonts w:cs="Arial"/>
          <w:bCs/>
          <w:szCs w:val="20"/>
        </w:rPr>
      </w:pPr>
    </w:p>
    <w:p w:rsidR="00714DE0" w:rsidRPr="00A608E9" w:rsidRDefault="00714DE0" w:rsidP="00714DE0">
      <w:pPr>
        <w:pStyle w:val="ListParagraph"/>
        <w:numPr>
          <w:ilvl w:val="0"/>
          <w:numId w:val="37"/>
        </w:numPr>
        <w:tabs>
          <w:tab w:val="left" w:pos="0"/>
          <w:tab w:val="left" w:pos="709"/>
        </w:tabs>
        <w:ind w:left="0" w:firstLine="0"/>
        <w:jc w:val="both"/>
        <w:rPr>
          <w:rFonts w:cs="Arial"/>
          <w:bCs/>
        </w:rPr>
      </w:pPr>
      <w:r>
        <w:rPr>
          <w:rFonts w:cs="Arial"/>
        </w:rPr>
        <w:t xml:space="preserve">The structured program of </w:t>
      </w:r>
      <w:r w:rsidRPr="00A608E9">
        <w:rPr>
          <w:rFonts w:cs="Arial"/>
        </w:rPr>
        <w:t xml:space="preserve">capacity building </w:t>
      </w:r>
      <w:r>
        <w:rPr>
          <w:rFonts w:cs="Arial"/>
        </w:rPr>
        <w:t xml:space="preserve">at the local level, including </w:t>
      </w:r>
      <w:r w:rsidRPr="00A608E9">
        <w:rPr>
          <w:rFonts w:cs="Arial"/>
        </w:rPr>
        <w:t xml:space="preserve">through onsite awareness raising and training events, additional training-of-trainers and project planning sessions </w:t>
      </w:r>
      <w:r>
        <w:rPr>
          <w:rFonts w:cs="Arial"/>
        </w:rPr>
        <w:t xml:space="preserve">that had been started in 2013 continued throughout 2014. A total of </w:t>
      </w:r>
      <w:r w:rsidRPr="00A608E9">
        <w:rPr>
          <w:rFonts w:cs="Arial"/>
        </w:rPr>
        <w:t>three sub-regional events</w:t>
      </w:r>
      <w:r>
        <w:rPr>
          <w:rFonts w:cs="Arial"/>
        </w:rPr>
        <w:t xml:space="preserve">, co-organized </w:t>
      </w:r>
      <w:r w:rsidRPr="00A608E9">
        <w:rPr>
          <w:rFonts w:cs="Arial"/>
        </w:rPr>
        <w:t>with the Association of Southeast Asian Nations (ASEAN)</w:t>
      </w:r>
      <w:r>
        <w:rPr>
          <w:rFonts w:cs="Arial"/>
        </w:rPr>
        <w:t>;</w:t>
      </w:r>
      <w:r w:rsidRPr="00A608E9">
        <w:rPr>
          <w:rFonts w:cs="Arial"/>
        </w:rPr>
        <w:t xml:space="preserve"> the </w:t>
      </w:r>
      <w:proofErr w:type="spellStart"/>
      <w:r w:rsidRPr="00A608E9">
        <w:rPr>
          <w:rFonts w:cs="Arial"/>
        </w:rPr>
        <w:t>Organi</w:t>
      </w:r>
      <w:r>
        <w:rPr>
          <w:rFonts w:cs="Arial"/>
        </w:rPr>
        <w:t>s</w:t>
      </w:r>
      <w:r w:rsidRPr="00A608E9">
        <w:rPr>
          <w:rFonts w:cs="Arial"/>
        </w:rPr>
        <w:t>ation</w:t>
      </w:r>
      <w:proofErr w:type="spellEnd"/>
      <w:r w:rsidRPr="00A608E9">
        <w:rPr>
          <w:rFonts w:cs="Arial"/>
        </w:rPr>
        <w:t xml:space="preserve"> of Islamic Cooperation (OIC)</w:t>
      </w:r>
      <w:proofErr w:type="gramStart"/>
      <w:r>
        <w:rPr>
          <w:rFonts w:cs="Arial"/>
        </w:rPr>
        <w:t xml:space="preserve">;  </w:t>
      </w:r>
      <w:r w:rsidRPr="00A608E9">
        <w:rPr>
          <w:rFonts w:cs="Arial"/>
        </w:rPr>
        <w:t>and</w:t>
      </w:r>
      <w:proofErr w:type="gramEnd"/>
      <w:r w:rsidRPr="00A608E9">
        <w:rPr>
          <w:rFonts w:cs="Arial"/>
        </w:rPr>
        <w:t xml:space="preserve"> the </w:t>
      </w:r>
      <w:r>
        <w:rPr>
          <w:rFonts w:cs="Arial"/>
        </w:rPr>
        <w:t xml:space="preserve">IP Office of Honduras (DIGEPIH) and the Honduras National Autonomous University (UNAH) and </w:t>
      </w:r>
      <w:r w:rsidRPr="00A608E9">
        <w:rPr>
          <w:rFonts w:cs="Arial"/>
        </w:rPr>
        <w:t>14</w:t>
      </w:r>
      <w:r>
        <w:rPr>
          <w:rFonts w:cs="Arial"/>
        </w:rPr>
        <w:t xml:space="preserve"> national training events were carried out to strengthen</w:t>
      </w:r>
      <w:r w:rsidRPr="00A608E9">
        <w:rPr>
          <w:rFonts w:cs="Arial"/>
        </w:rPr>
        <w:t xml:space="preserve"> the exchange of experiences and best practices between countries at a regional level.</w:t>
      </w:r>
      <w:bookmarkEnd w:id="73"/>
      <w:bookmarkEnd w:id="74"/>
      <w:r w:rsidRPr="00A608E9">
        <w:rPr>
          <w:rFonts w:cs="Arial"/>
          <w:bCs/>
        </w:rPr>
        <w:t xml:space="preserve"> </w:t>
      </w:r>
    </w:p>
    <w:p w:rsidR="00714DE0" w:rsidRPr="00A608E9" w:rsidRDefault="00714DE0" w:rsidP="00E70E02">
      <w:pPr>
        <w:tabs>
          <w:tab w:val="left" w:pos="0"/>
          <w:tab w:val="left" w:pos="709"/>
        </w:tabs>
        <w:jc w:val="both"/>
        <w:rPr>
          <w:rFonts w:cs="Arial"/>
          <w:szCs w:val="20"/>
        </w:rPr>
      </w:pPr>
    </w:p>
    <w:p w:rsidR="00714DE0" w:rsidRPr="00BD71FF" w:rsidRDefault="00714DE0" w:rsidP="00714DE0">
      <w:pPr>
        <w:pStyle w:val="ListParagraph"/>
        <w:numPr>
          <w:ilvl w:val="0"/>
          <w:numId w:val="37"/>
        </w:numPr>
        <w:tabs>
          <w:tab w:val="left" w:pos="0"/>
          <w:tab w:val="left" w:pos="709"/>
        </w:tabs>
        <w:ind w:left="0" w:firstLine="0"/>
        <w:jc w:val="both"/>
        <w:rPr>
          <w:rFonts w:cs="Arial"/>
          <w:bCs/>
        </w:rPr>
      </w:pPr>
      <w:r w:rsidRPr="007826B2">
        <w:rPr>
          <w:rFonts w:cs="Arial"/>
        </w:rPr>
        <w:t xml:space="preserve">The </w:t>
      </w:r>
      <w:proofErr w:type="spellStart"/>
      <w:r w:rsidRPr="007826B2">
        <w:rPr>
          <w:rFonts w:cs="Arial"/>
        </w:rPr>
        <w:t>eTISC</w:t>
      </w:r>
      <w:proofErr w:type="spellEnd"/>
      <w:r w:rsidRPr="007826B2">
        <w:rPr>
          <w:rFonts w:cs="Arial"/>
        </w:rPr>
        <w:t xml:space="preserve"> knowledge management platform</w:t>
      </w:r>
      <w:r>
        <w:rPr>
          <w:rStyle w:val="FootnoteReference"/>
          <w:rFonts w:cs="Arial"/>
        </w:rPr>
        <w:footnoteReference w:id="42"/>
      </w:r>
      <w:r w:rsidRPr="007826B2">
        <w:rPr>
          <w:rFonts w:cs="Arial"/>
        </w:rPr>
        <w:t xml:space="preserve"> </w:t>
      </w:r>
      <w:r>
        <w:rPr>
          <w:rFonts w:cs="Arial"/>
        </w:rPr>
        <w:t xml:space="preserve"> </w:t>
      </w:r>
      <w:r w:rsidRPr="007826B2">
        <w:rPr>
          <w:rFonts w:cs="Arial"/>
        </w:rPr>
        <w:t xml:space="preserve">continued to experience </w:t>
      </w:r>
      <w:r w:rsidRPr="00BD71FF">
        <w:rPr>
          <w:rFonts w:cs="Arial"/>
        </w:rPr>
        <w:t>strong growth with a 57</w:t>
      </w:r>
      <w:r>
        <w:rPr>
          <w:rFonts w:cs="Arial"/>
        </w:rPr>
        <w:t> </w:t>
      </w:r>
      <w:r w:rsidRPr="007826B2">
        <w:rPr>
          <w:rFonts w:cs="Arial"/>
        </w:rPr>
        <w:t xml:space="preserve">per cent increase in the number of registered members from </w:t>
      </w:r>
      <w:r w:rsidRPr="00BD71FF">
        <w:rPr>
          <w:rFonts w:cs="Arial"/>
        </w:rPr>
        <w:t>700 at the end of 2013 to over 1,100</w:t>
      </w:r>
      <w:r>
        <w:rPr>
          <w:rFonts w:cs="Arial"/>
        </w:rPr>
        <w:t> </w:t>
      </w:r>
      <w:r w:rsidRPr="007826B2">
        <w:rPr>
          <w:rFonts w:cs="Arial"/>
        </w:rPr>
        <w:t xml:space="preserve">members from more than </w:t>
      </w:r>
      <w:r w:rsidRPr="00BD71FF">
        <w:rPr>
          <w:rFonts w:cs="Arial"/>
        </w:rPr>
        <w:t xml:space="preserve">90 countries by the end of 2014. </w:t>
      </w:r>
      <w:r>
        <w:rPr>
          <w:rFonts w:cs="Arial"/>
        </w:rPr>
        <w:t xml:space="preserve"> </w:t>
      </w:r>
      <w:r w:rsidRPr="007826B2">
        <w:rPr>
          <w:rFonts w:cs="Arial"/>
        </w:rPr>
        <w:t xml:space="preserve">The </w:t>
      </w:r>
      <w:proofErr w:type="spellStart"/>
      <w:r w:rsidRPr="007826B2">
        <w:rPr>
          <w:rFonts w:cs="Arial"/>
        </w:rPr>
        <w:t>eTISC</w:t>
      </w:r>
      <w:proofErr w:type="spellEnd"/>
      <w:r w:rsidRPr="007826B2">
        <w:rPr>
          <w:rFonts w:cs="Arial"/>
        </w:rPr>
        <w:t xml:space="preserve"> platform added 14 training webinars in 2014 </w:t>
      </w:r>
      <w:r w:rsidRPr="00BD71FF">
        <w:rPr>
          <w:rFonts w:cs="Arial"/>
        </w:rPr>
        <w:t>and hosted six live question-and-answer sessions with innovation support experts.  Demand also continued for the interactive e-Tutorial on using and exploiting patent information launched in the last biennium and available on CD-ROM and online in both English</w:t>
      </w:r>
      <w:r w:rsidRPr="00A608E9">
        <w:rPr>
          <w:vertAlign w:val="superscript"/>
        </w:rPr>
        <w:footnoteReference w:id="43"/>
      </w:r>
      <w:r w:rsidRPr="007826B2">
        <w:rPr>
          <w:rFonts w:cs="Arial"/>
        </w:rPr>
        <w:t xml:space="preserve"> and French</w:t>
      </w:r>
      <w:r>
        <w:rPr>
          <w:rStyle w:val="FootnoteReference"/>
          <w:rFonts w:cs="Arial"/>
        </w:rPr>
        <w:footnoteReference w:id="44"/>
      </w:r>
      <w:r w:rsidRPr="00BD71FF">
        <w:rPr>
          <w:rFonts w:cs="Arial"/>
        </w:rPr>
        <w:t xml:space="preserve">. </w:t>
      </w:r>
    </w:p>
    <w:p w:rsidR="00714DE0" w:rsidRPr="00A608E9" w:rsidRDefault="00714DE0" w:rsidP="00E70E02">
      <w:pPr>
        <w:tabs>
          <w:tab w:val="left" w:pos="0"/>
          <w:tab w:val="left" w:pos="709"/>
        </w:tabs>
        <w:jc w:val="both"/>
        <w:rPr>
          <w:rFonts w:cs="Arial"/>
          <w:szCs w:val="20"/>
        </w:rPr>
      </w:pPr>
    </w:p>
    <w:p w:rsidR="00714DE0" w:rsidRPr="00BD71FF" w:rsidRDefault="00714DE0" w:rsidP="00714DE0">
      <w:pPr>
        <w:pStyle w:val="ListParagraph"/>
        <w:numPr>
          <w:ilvl w:val="0"/>
          <w:numId w:val="37"/>
        </w:numPr>
        <w:tabs>
          <w:tab w:val="left" w:pos="0"/>
          <w:tab w:val="left" w:pos="709"/>
        </w:tabs>
        <w:ind w:left="0" w:firstLine="0"/>
        <w:jc w:val="both"/>
        <w:rPr>
          <w:rFonts w:cs="Arial"/>
          <w:bCs/>
        </w:rPr>
      </w:pPr>
      <w:r w:rsidRPr="007826B2">
        <w:rPr>
          <w:rFonts w:cs="Arial"/>
          <w:bCs/>
        </w:rPr>
        <w:t xml:space="preserve">The volume of accessible content of </w:t>
      </w:r>
      <w:r w:rsidRPr="007826B2">
        <w:rPr>
          <w:rFonts w:cs="Arial"/>
        </w:rPr>
        <w:t>scientific and technical journals</w:t>
      </w:r>
      <w:r w:rsidRPr="00BD71FF">
        <w:rPr>
          <w:rFonts w:cs="Arial"/>
          <w:bCs/>
        </w:rPr>
        <w:t xml:space="preserve"> in the </w:t>
      </w:r>
      <w:r w:rsidRPr="00BD71FF">
        <w:rPr>
          <w:rFonts w:cs="Arial"/>
        </w:rPr>
        <w:t>Access to Research for Development and Innovation (ARDI) program, including through the Research4Life partner programs,</w:t>
      </w:r>
      <w:r w:rsidRPr="007826B2">
        <w:rPr>
          <w:rFonts w:cs="Arial"/>
        </w:rPr>
        <w:t xml:space="preserve"> continued</w:t>
      </w:r>
      <w:r w:rsidRPr="00BD71FF">
        <w:rPr>
          <w:rFonts w:cs="Arial"/>
        </w:rPr>
        <w:t xml:space="preserve"> to increase, reaching 16,758 journals, 46,318 e-books and 116 reference works and databases.  The number of active ARDI </w:t>
      </w:r>
      <w:r w:rsidRPr="00BD71FF">
        <w:rPr>
          <w:rFonts w:cs="Arial"/>
          <w:bCs/>
        </w:rPr>
        <w:t xml:space="preserve">users doubled from 207 in 2013 to 411 in 2014. </w:t>
      </w:r>
      <w:r>
        <w:rPr>
          <w:rFonts w:cs="Arial"/>
          <w:bCs/>
        </w:rPr>
        <w:t xml:space="preserve"> </w:t>
      </w:r>
      <w:r w:rsidRPr="00BD71FF">
        <w:rPr>
          <w:rFonts w:cs="Arial"/>
          <w:bCs/>
        </w:rPr>
        <w:t xml:space="preserve">The number of registered active users of the </w:t>
      </w:r>
      <w:r w:rsidRPr="00BD71FF">
        <w:rPr>
          <w:rFonts w:cs="Arial"/>
        </w:rPr>
        <w:t>Access to Specialized Patent Information (ASPI) program</w:t>
      </w:r>
      <w:r w:rsidRPr="007826B2">
        <w:rPr>
          <w:rFonts w:cs="Arial"/>
        </w:rPr>
        <w:t>, which provides access to commercial patent databases</w:t>
      </w:r>
      <w:r w:rsidRPr="00BD71FF">
        <w:rPr>
          <w:rFonts w:cs="Arial"/>
        </w:rPr>
        <w:t>, also increased steadily, albeit at a more moderate level, to 35</w:t>
      </w:r>
      <w:r>
        <w:rPr>
          <w:rFonts w:cs="Arial"/>
        </w:rPr>
        <w:t> </w:t>
      </w:r>
      <w:r w:rsidRPr="007826B2">
        <w:rPr>
          <w:rFonts w:cs="Arial"/>
        </w:rPr>
        <w:t>active institutional users, a 75 per cent increase from 2013</w:t>
      </w:r>
      <w:r w:rsidRPr="00BD71FF">
        <w:rPr>
          <w:rFonts w:cs="Arial"/>
        </w:rPr>
        <w:t>.</w:t>
      </w:r>
      <w:r w:rsidRPr="00BD71FF">
        <w:rPr>
          <w:rFonts w:cs="Arial"/>
          <w:bCs/>
        </w:rPr>
        <w:t xml:space="preserve">   </w:t>
      </w:r>
    </w:p>
    <w:p w:rsidR="00714DE0" w:rsidRPr="00A608E9" w:rsidRDefault="00714DE0" w:rsidP="00E70E02">
      <w:pPr>
        <w:tabs>
          <w:tab w:val="left" w:pos="0"/>
          <w:tab w:val="left" w:pos="709"/>
        </w:tabs>
        <w:jc w:val="both"/>
        <w:rPr>
          <w:rFonts w:cs="Arial"/>
          <w:szCs w:val="20"/>
        </w:rPr>
      </w:pPr>
    </w:p>
    <w:p w:rsidR="00714DE0" w:rsidRPr="00BD71FF" w:rsidRDefault="00714DE0" w:rsidP="00714DE0">
      <w:pPr>
        <w:pStyle w:val="ListParagraph"/>
        <w:numPr>
          <w:ilvl w:val="0"/>
          <w:numId w:val="37"/>
        </w:numPr>
        <w:tabs>
          <w:tab w:val="left" w:pos="0"/>
          <w:tab w:val="left" w:pos="709"/>
        </w:tabs>
        <w:ind w:left="0" w:firstLine="0"/>
        <w:jc w:val="both"/>
        <w:rPr>
          <w:rFonts w:cs="Arial"/>
        </w:rPr>
      </w:pPr>
      <w:r w:rsidRPr="007826B2">
        <w:rPr>
          <w:rFonts w:cs="Arial"/>
        </w:rPr>
        <w:t xml:space="preserve">In October 2014, the </w:t>
      </w:r>
      <w:r w:rsidRPr="00BD71FF">
        <w:rPr>
          <w:rFonts w:cs="Arial"/>
        </w:rPr>
        <w:t xml:space="preserve">WIPO Patent Information Services (WPIS) published a Patent Landscape Report (PLR) on Animal Genetic Resources in cooperation with the Food and Agricultural Organization (FAO) and with substantive input from Program 4.  The report is the first large-scale qualitative analysis related to patent-based information on animal genetic resources.  The PLR on Assistive Devices for </w:t>
      </w:r>
      <w:proofErr w:type="gramStart"/>
      <w:r w:rsidRPr="00BD71FF">
        <w:rPr>
          <w:rFonts w:cs="Arial"/>
        </w:rPr>
        <w:t>Visually</w:t>
      </w:r>
      <w:proofErr w:type="gramEnd"/>
      <w:r w:rsidRPr="00BD71FF">
        <w:rPr>
          <w:rFonts w:cs="Arial"/>
        </w:rPr>
        <w:t xml:space="preserve"> and Hearing Impaired Persons, which includes a section on technologies that could facilitate access of visually impaired persons to published works, was finalized. Since the report is intended to complement the Marrakesh VIP treaty, the launch is scheduled to take place at a side event during the SCCR 2015 and will be made available in an accessible to visually impaired persons format. </w:t>
      </w:r>
      <w:r>
        <w:rPr>
          <w:rFonts w:cs="Arial"/>
        </w:rPr>
        <w:t xml:space="preserve"> </w:t>
      </w:r>
      <w:r w:rsidRPr="00BD71FF">
        <w:rPr>
          <w:rFonts w:cs="Arial"/>
        </w:rPr>
        <w:t xml:space="preserve">As part of the dissemination activities, a series of webinars with Ministries of Environment, organized by the Secretariat of the Basel Convention (SBC), presented the findings of the PLR on E-waste Recycling Technologies, which was completed in 2013.  Also in 2014, cooperation was initiated with Malaysia for the preparation of a PLR on palm oil related technologies. </w:t>
      </w:r>
    </w:p>
    <w:p w:rsidR="00714DE0" w:rsidRDefault="00714DE0" w:rsidP="00E70E02">
      <w:pPr>
        <w:tabs>
          <w:tab w:val="left" w:pos="0"/>
          <w:tab w:val="left" w:pos="709"/>
        </w:tabs>
        <w:jc w:val="both"/>
        <w:rPr>
          <w:rFonts w:cs="Arial"/>
          <w:szCs w:val="20"/>
        </w:rPr>
      </w:pPr>
    </w:p>
    <w:p w:rsidR="00714DE0" w:rsidRPr="00BD71FF" w:rsidRDefault="00714DE0" w:rsidP="00714DE0">
      <w:pPr>
        <w:pStyle w:val="ListParagraph"/>
        <w:numPr>
          <w:ilvl w:val="0"/>
          <w:numId w:val="37"/>
        </w:numPr>
        <w:tabs>
          <w:tab w:val="left" w:pos="0"/>
          <w:tab w:val="left" w:pos="709"/>
        </w:tabs>
        <w:ind w:left="0" w:firstLine="0"/>
        <w:jc w:val="both"/>
        <w:rPr>
          <w:rFonts w:cs="Arial"/>
        </w:rPr>
      </w:pPr>
      <w:r w:rsidRPr="007826B2">
        <w:rPr>
          <w:rFonts w:cs="Arial"/>
        </w:rPr>
        <w:t xml:space="preserve">Interest in PLRs, particularly on water technologies and </w:t>
      </w:r>
      <w:r w:rsidRPr="00BD71FF">
        <w:rPr>
          <w:rFonts w:cs="Arial"/>
        </w:rPr>
        <w:t xml:space="preserve">e-waste recycling, remained high in 2014, as indicated by the 11,111 unique hits on the PLR website, 42,629 downloads of the PDF version of the PLRs and 2,808 downloads of infographics. </w:t>
      </w:r>
      <w:r>
        <w:rPr>
          <w:rFonts w:cs="Arial"/>
        </w:rPr>
        <w:t xml:space="preserve"> </w:t>
      </w:r>
      <w:r w:rsidRPr="007826B2">
        <w:rPr>
          <w:rFonts w:cs="Arial"/>
        </w:rPr>
        <w:t>The PLR w</w:t>
      </w:r>
      <w:r w:rsidRPr="00BD71FF">
        <w:rPr>
          <w:rFonts w:cs="Arial"/>
        </w:rPr>
        <w:t xml:space="preserve">ebsite was further enriched with 36 new PLRs prepared by various public and private sector organizations and translated into French and Spanish. Furthermore, the Guidelines for Preparing PLRs, drafted with an external expert in 2013, were finalized and </w:t>
      </w:r>
      <w:proofErr w:type="gramStart"/>
      <w:r w:rsidRPr="00BD71FF">
        <w:rPr>
          <w:rFonts w:cs="Arial"/>
        </w:rPr>
        <w:t>is</w:t>
      </w:r>
      <w:proofErr w:type="gramEnd"/>
      <w:r w:rsidRPr="00BD71FF">
        <w:rPr>
          <w:rFonts w:cs="Arial"/>
        </w:rPr>
        <w:t xml:space="preserve"> expected to be published in 2015.</w:t>
      </w:r>
    </w:p>
    <w:p w:rsidR="00714DE0" w:rsidRPr="00A608E9" w:rsidRDefault="00714DE0" w:rsidP="00E70E02">
      <w:pPr>
        <w:tabs>
          <w:tab w:val="left" w:pos="0"/>
          <w:tab w:val="left" w:pos="709"/>
        </w:tabs>
        <w:jc w:val="both"/>
        <w:rPr>
          <w:rFonts w:cs="Arial"/>
          <w:szCs w:val="20"/>
        </w:rPr>
      </w:pPr>
    </w:p>
    <w:p w:rsidR="00714DE0" w:rsidRPr="00BD71FF" w:rsidRDefault="00714DE0" w:rsidP="00714DE0">
      <w:pPr>
        <w:pStyle w:val="ListParagraph"/>
        <w:numPr>
          <w:ilvl w:val="0"/>
          <w:numId w:val="37"/>
        </w:numPr>
        <w:tabs>
          <w:tab w:val="left" w:pos="0"/>
          <w:tab w:val="left" w:pos="709"/>
        </w:tabs>
        <w:ind w:left="0" w:firstLine="0"/>
        <w:jc w:val="both"/>
        <w:rPr>
          <w:rFonts w:cs="Arial"/>
        </w:rPr>
      </w:pPr>
      <w:r w:rsidRPr="007826B2">
        <w:rPr>
          <w:rFonts w:cs="Arial"/>
          <w:bCs/>
        </w:rPr>
        <w:t xml:space="preserve">The design, planning and implementation of activities undertaken by Program 14 were informed by the </w:t>
      </w:r>
      <w:r w:rsidRPr="00BD71FF">
        <w:rPr>
          <w:rFonts w:cs="Arial"/>
          <w:bCs/>
        </w:rPr>
        <w:t>relevant DA Recommendations, in particular Recommendations 1, 8, 19, 30 and 31.</w:t>
      </w:r>
    </w:p>
    <w:p w:rsidR="00714DE0" w:rsidRDefault="00714DE0" w:rsidP="00E70E02">
      <w:pPr>
        <w:jc w:val="both"/>
        <w:rPr>
          <w:rFonts w:cs="Arial"/>
          <w:szCs w:val="20"/>
        </w:rPr>
      </w:pPr>
    </w:p>
    <w:p w:rsidR="00714DE0" w:rsidRPr="002D3C7F" w:rsidRDefault="00714DE0" w:rsidP="00E70E02">
      <w:pPr>
        <w:ind w:left="2268" w:hanging="2268"/>
        <w:rPr>
          <w:rFonts w:cs="Arial"/>
          <w:sz w:val="22"/>
          <w:szCs w:val="22"/>
        </w:rPr>
      </w:pPr>
      <w:r w:rsidRPr="002D3C7F">
        <w:rPr>
          <w:rFonts w:cs="Arial"/>
          <w:sz w:val="22"/>
          <w:szCs w:val="22"/>
        </w:rPr>
        <w:lastRenderedPageBreak/>
        <w:t>PERFORMANCE DATA</w:t>
      </w:r>
    </w:p>
    <w:p w:rsidR="00714DE0" w:rsidRDefault="00714DE0" w:rsidP="00E70E02">
      <w:pPr>
        <w:jc w:val="both"/>
        <w:rPr>
          <w:rFonts w:cs="Arial"/>
          <w:szCs w:val="20"/>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2412"/>
        <w:gridCol w:w="1560"/>
        <w:gridCol w:w="2405"/>
        <w:gridCol w:w="993"/>
      </w:tblGrid>
      <w:tr w:rsidR="00714DE0" w:rsidRPr="0068151C" w:rsidTr="00E70E02">
        <w:trPr>
          <w:cantSplit/>
        </w:trPr>
        <w:tc>
          <w:tcPr>
            <w:tcW w:w="5000" w:type="pct"/>
            <w:gridSpan w:val="5"/>
            <w:tcBorders>
              <w:top w:val="single" w:sz="4" w:space="0" w:color="auto"/>
              <w:bottom w:val="single" w:sz="4" w:space="0" w:color="auto"/>
            </w:tcBorders>
            <w:shd w:val="clear" w:color="auto" w:fill="CCFFFF"/>
            <w:vAlign w:val="center"/>
          </w:tcPr>
          <w:p w:rsidR="00714DE0" w:rsidRPr="0068151C" w:rsidRDefault="00714DE0">
            <w:pPr>
              <w:keepNext/>
              <w:keepLines/>
              <w:tabs>
                <w:tab w:val="left" w:pos="1452"/>
              </w:tabs>
              <w:spacing w:before="120" w:after="120"/>
              <w:ind w:left="1452" w:hanging="1452"/>
              <w:rPr>
                <w:rFonts w:cs="Arial"/>
                <w:b/>
                <w:bCs/>
                <w:sz w:val="16"/>
                <w:szCs w:val="16"/>
              </w:rPr>
            </w:pPr>
            <w:r w:rsidRPr="0068151C">
              <w:rPr>
                <w:rFonts w:cs="Arial"/>
                <w:b/>
                <w:bCs/>
                <w:sz w:val="16"/>
                <w:szCs w:val="16"/>
              </w:rPr>
              <w:t>Expected Result:</w:t>
            </w:r>
            <w:r w:rsidRPr="0068151C">
              <w:rPr>
                <w:rFonts w:cs="Arial"/>
                <w:b/>
                <w:bCs/>
                <w:sz w:val="16"/>
                <w:szCs w:val="16"/>
              </w:rPr>
              <w:tab/>
            </w:r>
            <w:r w:rsidRPr="007776CB">
              <w:rPr>
                <w:rFonts w:cs="Arial"/>
                <w:sz w:val="16"/>
                <w:szCs w:val="16"/>
              </w:rPr>
              <w:t>IV.2 Enhanced access to, and use of, IP information by IP institutions and the public to promote innovation and creativity</w:t>
            </w:r>
          </w:p>
        </w:tc>
      </w:tr>
      <w:tr w:rsidR="00714DE0" w:rsidRPr="0068151C" w:rsidTr="00714DE0">
        <w:trPr>
          <w:cantSplit/>
        </w:trPr>
        <w:tc>
          <w:tcPr>
            <w:tcW w:w="1120" w:type="pct"/>
            <w:tcBorders>
              <w:top w:val="single" w:sz="4" w:space="0" w:color="auto"/>
            </w:tcBorders>
            <w:shd w:val="clear" w:color="auto" w:fill="auto"/>
            <w:vAlign w:val="center"/>
          </w:tcPr>
          <w:p w:rsidR="00714DE0" w:rsidRPr="0068151C" w:rsidRDefault="00714DE0">
            <w:pPr>
              <w:rPr>
                <w:rFonts w:cs="Arial"/>
                <w:sz w:val="16"/>
                <w:szCs w:val="16"/>
              </w:rPr>
            </w:pPr>
            <w:r w:rsidRPr="0068151C">
              <w:rPr>
                <w:rFonts w:cs="Arial"/>
                <w:b/>
                <w:bCs/>
                <w:sz w:val="16"/>
                <w:szCs w:val="16"/>
              </w:rPr>
              <w:t>Performance Indicators</w:t>
            </w:r>
          </w:p>
        </w:tc>
        <w:tc>
          <w:tcPr>
            <w:tcW w:w="1270" w:type="pct"/>
            <w:tcBorders>
              <w:top w:val="single" w:sz="4" w:space="0" w:color="auto"/>
            </w:tcBorders>
            <w:shd w:val="clear" w:color="auto" w:fill="auto"/>
            <w:vAlign w:val="center"/>
          </w:tcPr>
          <w:p w:rsidR="00714DE0" w:rsidRPr="0068151C" w:rsidRDefault="00714DE0">
            <w:pPr>
              <w:rPr>
                <w:rFonts w:cs="Arial"/>
                <w:b/>
                <w:bCs/>
                <w:sz w:val="16"/>
                <w:szCs w:val="16"/>
              </w:rPr>
            </w:pPr>
            <w:r w:rsidRPr="0068151C">
              <w:rPr>
                <w:rFonts w:cs="Arial"/>
                <w:b/>
                <w:bCs/>
                <w:sz w:val="16"/>
                <w:szCs w:val="16"/>
              </w:rPr>
              <w:t>Baselines</w:t>
            </w:r>
          </w:p>
        </w:tc>
        <w:tc>
          <w:tcPr>
            <w:tcW w:w="821" w:type="pct"/>
            <w:tcBorders>
              <w:top w:val="single" w:sz="4" w:space="0" w:color="auto"/>
            </w:tcBorders>
            <w:shd w:val="clear" w:color="auto" w:fill="auto"/>
            <w:tcMar>
              <w:top w:w="110" w:type="dxa"/>
            </w:tcMar>
            <w:vAlign w:val="center"/>
          </w:tcPr>
          <w:p w:rsidR="00714DE0" w:rsidRPr="0068151C" w:rsidRDefault="00714DE0">
            <w:pPr>
              <w:rPr>
                <w:rFonts w:cs="Arial"/>
                <w:b/>
                <w:sz w:val="16"/>
                <w:szCs w:val="16"/>
              </w:rPr>
            </w:pPr>
            <w:r w:rsidRPr="0068151C">
              <w:rPr>
                <w:rFonts w:cs="Arial"/>
                <w:b/>
                <w:sz w:val="16"/>
                <w:szCs w:val="16"/>
              </w:rPr>
              <w:t>Target</w:t>
            </w:r>
            <w:r>
              <w:rPr>
                <w:rFonts w:cs="Arial"/>
                <w:b/>
                <w:sz w:val="16"/>
                <w:szCs w:val="16"/>
              </w:rPr>
              <w:t>s</w:t>
            </w:r>
          </w:p>
        </w:tc>
        <w:tc>
          <w:tcPr>
            <w:tcW w:w="1266" w:type="pct"/>
            <w:tcBorders>
              <w:top w:val="single" w:sz="4" w:space="0" w:color="auto"/>
            </w:tcBorders>
            <w:shd w:val="clear" w:color="auto" w:fill="FFFFFF"/>
            <w:tcMar>
              <w:top w:w="110" w:type="dxa"/>
            </w:tcMar>
            <w:vAlign w:val="center"/>
          </w:tcPr>
          <w:p w:rsidR="00714DE0" w:rsidRPr="0068151C" w:rsidRDefault="00714DE0">
            <w:pPr>
              <w:rPr>
                <w:rFonts w:cs="Arial"/>
                <w:sz w:val="16"/>
                <w:szCs w:val="16"/>
              </w:rPr>
            </w:pPr>
            <w:r w:rsidRPr="0068151C">
              <w:rPr>
                <w:rFonts w:cs="Arial"/>
                <w:b/>
                <w:bCs/>
                <w:sz w:val="16"/>
                <w:szCs w:val="16"/>
              </w:rPr>
              <w:t>Performance Data</w:t>
            </w:r>
          </w:p>
        </w:tc>
        <w:tc>
          <w:tcPr>
            <w:tcW w:w="523" w:type="pct"/>
            <w:tcBorders>
              <w:top w:val="single" w:sz="4" w:space="0" w:color="auto"/>
            </w:tcBorders>
            <w:shd w:val="clear" w:color="auto" w:fill="auto"/>
            <w:tcMar>
              <w:top w:w="110" w:type="dxa"/>
            </w:tcMar>
            <w:vAlign w:val="center"/>
          </w:tcPr>
          <w:p w:rsidR="00714DE0" w:rsidRPr="0068151C" w:rsidRDefault="00714DE0">
            <w:pPr>
              <w:keepNext/>
              <w:keepLines/>
              <w:jc w:val="center"/>
              <w:rPr>
                <w:rFonts w:cs="Arial"/>
                <w:b/>
                <w:bCs/>
                <w:sz w:val="16"/>
                <w:szCs w:val="16"/>
              </w:rPr>
            </w:pPr>
            <w:r w:rsidRPr="0068151C">
              <w:rPr>
                <w:rFonts w:cs="Arial"/>
                <w:b/>
                <w:bCs/>
                <w:sz w:val="16"/>
                <w:szCs w:val="16"/>
              </w:rPr>
              <w:t>TLS</w:t>
            </w:r>
          </w:p>
        </w:tc>
      </w:tr>
      <w:tr w:rsidR="00714DE0" w:rsidRPr="0068151C" w:rsidTr="00714DE0">
        <w:trPr>
          <w:cantSplit/>
        </w:trPr>
        <w:tc>
          <w:tcPr>
            <w:tcW w:w="1120" w:type="pct"/>
            <w:shd w:val="clear" w:color="auto" w:fill="auto"/>
          </w:tcPr>
          <w:p w:rsidR="00714DE0" w:rsidRPr="0068151C" w:rsidRDefault="00714DE0">
            <w:pPr>
              <w:rPr>
                <w:rFonts w:cs="Arial"/>
                <w:sz w:val="16"/>
                <w:szCs w:val="16"/>
              </w:rPr>
            </w:pPr>
            <w:r w:rsidRPr="007776CB">
              <w:rPr>
                <w:rFonts w:cs="Arial"/>
                <w:sz w:val="16"/>
                <w:szCs w:val="16"/>
              </w:rPr>
              <w:t>No. of sustainable national networks of TISCs</w:t>
            </w:r>
          </w:p>
        </w:tc>
        <w:tc>
          <w:tcPr>
            <w:tcW w:w="1270" w:type="pct"/>
            <w:shd w:val="clear" w:color="auto" w:fill="auto"/>
          </w:tcPr>
          <w:p w:rsidR="00714DE0" w:rsidRDefault="00714DE0">
            <w:pPr>
              <w:rPr>
                <w:rFonts w:cs="Arial"/>
                <w:color w:val="002060"/>
                <w:sz w:val="16"/>
                <w:szCs w:val="16"/>
                <w:lang w:bidi="th-TH"/>
              </w:rPr>
            </w:pPr>
            <w:r>
              <w:rPr>
                <w:rFonts w:cs="Arial"/>
                <w:i/>
                <w:color w:val="002060"/>
                <w:sz w:val="16"/>
                <w:szCs w:val="16"/>
              </w:rPr>
              <w:t>Updated Baseline end 2013</w:t>
            </w:r>
            <w:r w:rsidRPr="0068151C">
              <w:rPr>
                <w:rFonts w:cs="Arial"/>
                <w:i/>
                <w:color w:val="002060"/>
                <w:sz w:val="16"/>
                <w:szCs w:val="16"/>
              </w:rPr>
              <w:t>:</w:t>
            </w:r>
            <w:r>
              <w:t xml:space="preserve"> </w:t>
            </w:r>
            <w:r w:rsidRPr="007776CB">
              <w:rPr>
                <w:rFonts w:cs="Arial"/>
                <w:color w:val="002060"/>
                <w:sz w:val="16"/>
                <w:szCs w:val="16"/>
              </w:rPr>
              <w:t>15 sustainable</w:t>
            </w:r>
            <w:r>
              <w:rPr>
                <w:rFonts w:cs="Arial"/>
                <w:color w:val="002060"/>
                <w:sz w:val="16"/>
                <w:szCs w:val="16"/>
              </w:rPr>
              <w:t xml:space="preserve"> (out of 39 established)</w:t>
            </w:r>
            <w:r w:rsidRPr="007776CB">
              <w:rPr>
                <w:rFonts w:cs="Arial"/>
                <w:color w:val="002060"/>
                <w:sz w:val="16"/>
                <w:szCs w:val="16"/>
              </w:rPr>
              <w:t xml:space="preserve"> TISC networks</w:t>
            </w:r>
            <w:r w:rsidRPr="0068151C">
              <w:rPr>
                <w:rFonts w:cs="Arial"/>
                <w:color w:val="002060"/>
                <w:sz w:val="16"/>
                <w:szCs w:val="16"/>
              </w:rPr>
              <w:br/>
            </w:r>
          </w:p>
          <w:p w:rsidR="00714DE0" w:rsidRPr="00CD26D6" w:rsidRDefault="00714DE0">
            <w:pPr>
              <w:rPr>
                <w:rFonts w:cs="Arial"/>
                <w:color w:val="002060"/>
                <w:sz w:val="8"/>
                <w:szCs w:val="8"/>
                <w:lang w:bidi="th-TH"/>
              </w:rPr>
            </w:pPr>
          </w:p>
          <w:p w:rsidR="00714DE0" w:rsidRPr="0068151C" w:rsidRDefault="00714DE0">
            <w:pPr>
              <w:rPr>
                <w:rFonts w:cs="Arial"/>
                <w:sz w:val="16"/>
                <w:szCs w:val="16"/>
                <w:lang w:bidi="th-TH"/>
              </w:rPr>
            </w:pPr>
            <w:r w:rsidRPr="0068151C">
              <w:rPr>
                <w:rFonts w:cs="Arial"/>
                <w:i/>
                <w:sz w:val="16"/>
                <w:szCs w:val="16"/>
                <w:lang w:bidi="th-TH"/>
              </w:rPr>
              <w:t>Original Baseline</w:t>
            </w:r>
          </w:p>
          <w:p w:rsidR="00714DE0" w:rsidRPr="007776CB" w:rsidRDefault="00714DE0">
            <w:pPr>
              <w:rPr>
                <w:rFonts w:cs="Arial"/>
                <w:sz w:val="16"/>
                <w:szCs w:val="16"/>
              </w:rPr>
            </w:pPr>
            <w:r>
              <w:rPr>
                <w:rFonts w:cs="Arial"/>
                <w:i/>
                <w:sz w:val="16"/>
                <w:szCs w:val="16"/>
              </w:rPr>
              <w:t>P&amp;B 2014/15</w:t>
            </w:r>
            <w:r w:rsidRPr="0068151C">
              <w:rPr>
                <w:rFonts w:cs="Arial"/>
                <w:i/>
                <w:sz w:val="16"/>
                <w:szCs w:val="16"/>
              </w:rPr>
              <w:t>:</w:t>
            </w:r>
            <w:r>
              <w:rPr>
                <w:rFonts w:cs="Arial"/>
                <w:i/>
                <w:sz w:val="16"/>
                <w:szCs w:val="16"/>
              </w:rPr>
              <w:t xml:space="preserve"> </w:t>
            </w:r>
            <w:r w:rsidRPr="007776CB">
              <w:rPr>
                <w:rFonts w:cs="Arial"/>
                <w:sz w:val="16"/>
                <w:szCs w:val="16"/>
              </w:rPr>
              <w:t xml:space="preserve">15 national TISC networks: (cumulative per end first quarter 2013):  Africa (6);  </w:t>
            </w:r>
          </w:p>
          <w:p w:rsidR="00714DE0" w:rsidRPr="007776CB" w:rsidRDefault="00714DE0">
            <w:pPr>
              <w:rPr>
                <w:rFonts w:cs="Arial"/>
                <w:sz w:val="16"/>
                <w:szCs w:val="16"/>
              </w:rPr>
            </w:pPr>
            <w:r w:rsidRPr="007776CB">
              <w:rPr>
                <w:rFonts w:cs="Arial"/>
                <w:sz w:val="16"/>
                <w:szCs w:val="16"/>
              </w:rPr>
              <w:t xml:space="preserve">Arab region (2); </w:t>
            </w:r>
          </w:p>
          <w:p w:rsidR="00714DE0" w:rsidRPr="007776CB" w:rsidRDefault="00714DE0">
            <w:pPr>
              <w:rPr>
                <w:rFonts w:cs="Arial"/>
                <w:sz w:val="16"/>
                <w:szCs w:val="16"/>
              </w:rPr>
            </w:pPr>
            <w:r w:rsidRPr="007776CB">
              <w:rPr>
                <w:rFonts w:cs="Arial"/>
                <w:sz w:val="16"/>
                <w:szCs w:val="16"/>
              </w:rPr>
              <w:t xml:space="preserve"> Asia and </w:t>
            </w:r>
            <w:r w:rsidR="00135F6B">
              <w:rPr>
                <w:rFonts w:cs="Arial"/>
                <w:sz w:val="16"/>
                <w:szCs w:val="16"/>
              </w:rPr>
              <w:t xml:space="preserve">the </w:t>
            </w:r>
            <w:r w:rsidRPr="007776CB">
              <w:rPr>
                <w:rFonts w:cs="Arial"/>
                <w:sz w:val="16"/>
                <w:szCs w:val="16"/>
              </w:rPr>
              <w:t xml:space="preserve">Pacific (2);  Latin America and the Caribbean (4);  </w:t>
            </w:r>
          </w:p>
          <w:p w:rsidR="00714DE0" w:rsidRPr="007776CB" w:rsidRDefault="00714DE0">
            <w:pPr>
              <w:rPr>
                <w:rFonts w:cs="Arial"/>
                <w:sz w:val="16"/>
                <w:szCs w:val="16"/>
              </w:rPr>
            </w:pPr>
            <w:r w:rsidRPr="007776CB">
              <w:rPr>
                <w:rFonts w:cs="Arial"/>
                <w:sz w:val="16"/>
                <w:szCs w:val="16"/>
              </w:rPr>
              <w:t>Certain Countries in Europe and Asia (1)</w:t>
            </w:r>
          </w:p>
          <w:p w:rsidR="00714DE0" w:rsidRPr="0068151C" w:rsidRDefault="00714DE0">
            <w:pPr>
              <w:rPr>
                <w:rFonts w:cs="Arial"/>
                <w:sz w:val="16"/>
                <w:szCs w:val="16"/>
              </w:rPr>
            </w:pPr>
          </w:p>
        </w:tc>
        <w:tc>
          <w:tcPr>
            <w:tcW w:w="821" w:type="pct"/>
            <w:shd w:val="clear" w:color="auto" w:fill="auto"/>
            <w:tcMar>
              <w:top w:w="110" w:type="dxa"/>
            </w:tcMar>
          </w:tcPr>
          <w:p w:rsidR="00714DE0" w:rsidRPr="007776CB" w:rsidRDefault="00714DE0">
            <w:pPr>
              <w:rPr>
                <w:rFonts w:cs="Arial"/>
                <w:sz w:val="16"/>
                <w:szCs w:val="16"/>
              </w:rPr>
            </w:pPr>
            <w:r w:rsidRPr="007776CB">
              <w:rPr>
                <w:rFonts w:cs="Arial"/>
                <w:sz w:val="16"/>
                <w:szCs w:val="16"/>
              </w:rPr>
              <w:t>25</w:t>
            </w:r>
            <w:r>
              <w:rPr>
                <w:rFonts w:cs="Arial"/>
                <w:sz w:val="16"/>
                <w:szCs w:val="16"/>
              </w:rPr>
              <w:t xml:space="preserve"> </w:t>
            </w:r>
            <w:r w:rsidRPr="007776CB">
              <w:rPr>
                <w:rFonts w:cs="Arial"/>
                <w:sz w:val="16"/>
                <w:szCs w:val="16"/>
              </w:rPr>
              <w:t>national TISC networks</w:t>
            </w:r>
            <w:r>
              <w:rPr>
                <w:rFonts w:cs="Arial"/>
                <w:sz w:val="16"/>
                <w:szCs w:val="16"/>
              </w:rPr>
              <w:t xml:space="preserve"> (cumulative): </w:t>
            </w:r>
            <w:r w:rsidRPr="007776CB">
              <w:rPr>
                <w:rFonts w:cs="Arial"/>
                <w:sz w:val="16"/>
                <w:szCs w:val="16"/>
              </w:rPr>
              <w:t xml:space="preserve">Africa (10 of which 8 LDCs);  </w:t>
            </w:r>
          </w:p>
          <w:p w:rsidR="00714DE0" w:rsidRPr="007776CB" w:rsidRDefault="00714DE0">
            <w:pPr>
              <w:rPr>
                <w:rFonts w:cs="Arial"/>
                <w:sz w:val="16"/>
                <w:szCs w:val="16"/>
              </w:rPr>
            </w:pPr>
            <w:r w:rsidRPr="007776CB">
              <w:rPr>
                <w:rFonts w:cs="Arial"/>
                <w:sz w:val="16"/>
                <w:szCs w:val="16"/>
              </w:rPr>
              <w:t xml:space="preserve">Arab region (3);  </w:t>
            </w:r>
          </w:p>
          <w:p w:rsidR="00714DE0" w:rsidRPr="007776CB" w:rsidRDefault="00714DE0">
            <w:pPr>
              <w:rPr>
                <w:rFonts w:cs="Arial"/>
                <w:sz w:val="16"/>
                <w:szCs w:val="16"/>
              </w:rPr>
            </w:pPr>
            <w:r w:rsidRPr="007776CB">
              <w:rPr>
                <w:rFonts w:cs="Arial"/>
                <w:sz w:val="16"/>
                <w:szCs w:val="16"/>
              </w:rPr>
              <w:t xml:space="preserve">Asia and </w:t>
            </w:r>
            <w:r w:rsidR="00135F6B">
              <w:rPr>
                <w:rFonts w:cs="Arial"/>
                <w:sz w:val="16"/>
                <w:szCs w:val="16"/>
              </w:rPr>
              <w:t xml:space="preserve">the </w:t>
            </w:r>
            <w:r w:rsidRPr="007776CB">
              <w:rPr>
                <w:rFonts w:cs="Arial"/>
                <w:sz w:val="16"/>
                <w:szCs w:val="16"/>
              </w:rPr>
              <w:t xml:space="preserve">Pacific (4 of which 2 LDCs);  </w:t>
            </w:r>
          </w:p>
          <w:p w:rsidR="00714DE0" w:rsidRPr="007776CB" w:rsidRDefault="00714DE0">
            <w:pPr>
              <w:rPr>
                <w:rFonts w:cs="Arial"/>
                <w:sz w:val="16"/>
                <w:szCs w:val="16"/>
              </w:rPr>
            </w:pPr>
            <w:r w:rsidRPr="007776CB">
              <w:rPr>
                <w:rFonts w:cs="Arial"/>
                <w:sz w:val="16"/>
                <w:szCs w:val="16"/>
              </w:rPr>
              <w:t xml:space="preserve">Latin America and the Caribbean (6);  </w:t>
            </w:r>
          </w:p>
          <w:p w:rsidR="00714DE0" w:rsidRPr="0068151C" w:rsidRDefault="00714DE0">
            <w:pPr>
              <w:rPr>
                <w:rFonts w:cs="Arial"/>
                <w:i/>
                <w:sz w:val="16"/>
                <w:szCs w:val="16"/>
              </w:rPr>
            </w:pPr>
            <w:r w:rsidRPr="007776CB">
              <w:rPr>
                <w:rFonts w:cs="Arial"/>
                <w:sz w:val="16"/>
                <w:szCs w:val="16"/>
              </w:rPr>
              <w:t>Certain Countries in Europe and Asia (2)</w:t>
            </w:r>
          </w:p>
        </w:tc>
        <w:tc>
          <w:tcPr>
            <w:tcW w:w="1266" w:type="pct"/>
            <w:shd w:val="clear" w:color="auto" w:fill="FFFFFF"/>
            <w:tcMar>
              <w:top w:w="110" w:type="dxa"/>
            </w:tcMar>
          </w:tcPr>
          <w:p w:rsidR="00714DE0" w:rsidRPr="0068151C" w:rsidRDefault="00714DE0">
            <w:pPr>
              <w:rPr>
                <w:rFonts w:cs="Arial"/>
                <w:sz w:val="16"/>
                <w:szCs w:val="16"/>
              </w:rPr>
            </w:pPr>
            <w:r w:rsidRPr="007776CB">
              <w:rPr>
                <w:rFonts w:cs="Arial"/>
                <w:sz w:val="16"/>
                <w:szCs w:val="16"/>
              </w:rPr>
              <w:t>20</w:t>
            </w:r>
            <w:r>
              <w:rPr>
                <w:rFonts w:cs="Arial"/>
                <w:sz w:val="16"/>
                <w:szCs w:val="16"/>
              </w:rPr>
              <w:t xml:space="preserve"> sustainable </w:t>
            </w:r>
            <w:r w:rsidRPr="007776CB">
              <w:rPr>
                <w:rFonts w:cs="Arial"/>
                <w:sz w:val="16"/>
                <w:szCs w:val="16"/>
              </w:rPr>
              <w:t>national TISC networks</w:t>
            </w:r>
            <w:r>
              <w:rPr>
                <w:rFonts w:cs="Arial"/>
                <w:sz w:val="16"/>
                <w:szCs w:val="16"/>
              </w:rPr>
              <w:t xml:space="preserve"> out of 45 established (cumulative): </w:t>
            </w:r>
            <w:r w:rsidRPr="007776CB">
              <w:rPr>
                <w:rFonts w:cs="Arial"/>
                <w:sz w:val="16"/>
                <w:szCs w:val="16"/>
              </w:rPr>
              <w:t xml:space="preserve"> Africa </w:t>
            </w:r>
            <w:r>
              <w:rPr>
                <w:rFonts w:cs="Arial"/>
                <w:sz w:val="16"/>
                <w:szCs w:val="16"/>
              </w:rPr>
              <w:t>(</w:t>
            </w:r>
            <w:r w:rsidRPr="007776CB">
              <w:rPr>
                <w:rFonts w:cs="Arial"/>
                <w:sz w:val="16"/>
                <w:szCs w:val="16"/>
              </w:rPr>
              <w:t>9 of which 6 LDCs)</w:t>
            </w:r>
            <w:r>
              <w:rPr>
                <w:rFonts w:cs="Arial"/>
                <w:sz w:val="16"/>
                <w:szCs w:val="16"/>
              </w:rPr>
              <w:t>;</w:t>
            </w:r>
            <w:r w:rsidRPr="007776CB">
              <w:rPr>
                <w:rFonts w:cs="Arial"/>
                <w:sz w:val="16"/>
                <w:szCs w:val="16"/>
              </w:rPr>
              <w:t xml:space="preserve"> Arab</w:t>
            </w:r>
            <w:r>
              <w:rPr>
                <w:rFonts w:cs="Arial"/>
                <w:sz w:val="16"/>
                <w:szCs w:val="16"/>
              </w:rPr>
              <w:t xml:space="preserve"> region</w:t>
            </w:r>
            <w:r w:rsidRPr="007776CB">
              <w:rPr>
                <w:rFonts w:cs="Arial"/>
                <w:sz w:val="16"/>
                <w:szCs w:val="16"/>
              </w:rPr>
              <w:t xml:space="preserve"> (2)</w:t>
            </w:r>
            <w:r>
              <w:rPr>
                <w:rFonts w:cs="Arial"/>
                <w:sz w:val="16"/>
                <w:szCs w:val="16"/>
              </w:rPr>
              <w:t>;</w:t>
            </w:r>
            <w:r w:rsidRPr="007776CB">
              <w:rPr>
                <w:rFonts w:cs="Arial"/>
                <w:sz w:val="16"/>
                <w:szCs w:val="16"/>
              </w:rPr>
              <w:t xml:space="preserve"> </w:t>
            </w:r>
            <w:r>
              <w:rPr>
                <w:rFonts w:cs="Arial"/>
                <w:sz w:val="16"/>
                <w:szCs w:val="16"/>
              </w:rPr>
              <w:t xml:space="preserve"> Asia and </w:t>
            </w:r>
            <w:r w:rsidR="00135F6B">
              <w:rPr>
                <w:rFonts w:cs="Arial"/>
                <w:sz w:val="16"/>
                <w:szCs w:val="16"/>
              </w:rPr>
              <w:t xml:space="preserve">the </w:t>
            </w:r>
            <w:r>
              <w:rPr>
                <w:rFonts w:cs="Arial"/>
                <w:sz w:val="16"/>
                <w:szCs w:val="16"/>
              </w:rPr>
              <w:t>Pacific</w:t>
            </w:r>
            <w:r w:rsidRPr="007776CB">
              <w:rPr>
                <w:rFonts w:cs="Arial"/>
                <w:sz w:val="16"/>
                <w:szCs w:val="16"/>
              </w:rPr>
              <w:t xml:space="preserve"> (3</w:t>
            </w:r>
            <w:r>
              <w:rPr>
                <w:rFonts w:cs="Arial"/>
                <w:sz w:val="16"/>
                <w:szCs w:val="16"/>
              </w:rPr>
              <w:t xml:space="preserve"> </w:t>
            </w:r>
            <w:r w:rsidRPr="007776CB">
              <w:rPr>
                <w:rFonts w:cs="Arial"/>
                <w:sz w:val="16"/>
                <w:szCs w:val="16"/>
              </w:rPr>
              <w:t>of which 1 LDC)</w:t>
            </w:r>
            <w:r>
              <w:rPr>
                <w:rFonts w:cs="Arial"/>
                <w:sz w:val="16"/>
                <w:szCs w:val="16"/>
              </w:rPr>
              <w:t>;</w:t>
            </w:r>
            <w:r w:rsidRPr="007776CB">
              <w:rPr>
                <w:rFonts w:cs="Arial"/>
                <w:sz w:val="16"/>
                <w:szCs w:val="16"/>
              </w:rPr>
              <w:t xml:space="preserve">  </w:t>
            </w:r>
            <w:r>
              <w:rPr>
                <w:rFonts w:cs="Arial"/>
                <w:sz w:val="16"/>
                <w:szCs w:val="16"/>
              </w:rPr>
              <w:t>Latin America and the Caribbean</w:t>
            </w:r>
            <w:r w:rsidRPr="007776CB">
              <w:rPr>
                <w:rFonts w:cs="Arial"/>
                <w:sz w:val="16"/>
                <w:szCs w:val="16"/>
              </w:rPr>
              <w:t xml:space="preserve"> (5)</w:t>
            </w:r>
            <w:r>
              <w:rPr>
                <w:rFonts w:cs="Arial"/>
                <w:sz w:val="16"/>
                <w:szCs w:val="16"/>
              </w:rPr>
              <w:t>;</w:t>
            </w:r>
            <w:r w:rsidRPr="007776CB">
              <w:rPr>
                <w:rFonts w:cs="Arial"/>
                <w:sz w:val="16"/>
                <w:szCs w:val="16"/>
              </w:rPr>
              <w:t xml:space="preserve"> </w:t>
            </w:r>
            <w:r>
              <w:rPr>
                <w:rFonts w:cs="Arial"/>
                <w:sz w:val="16"/>
                <w:szCs w:val="16"/>
              </w:rPr>
              <w:t xml:space="preserve"> </w:t>
            </w:r>
            <w:r w:rsidRPr="00B3417F">
              <w:rPr>
                <w:rFonts w:cs="Arial"/>
                <w:sz w:val="16"/>
                <w:szCs w:val="16"/>
              </w:rPr>
              <w:t>Certain Countries in Europe and Asia (1)</w:t>
            </w:r>
          </w:p>
        </w:tc>
        <w:tc>
          <w:tcPr>
            <w:tcW w:w="523" w:type="pct"/>
            <w:shd w:val="clear" w:color="auto" w:fill="auto"/>
            <w:tcMar>
              <w:top w:w="110" w:type="dxa"/>
            </w:tcMar>
          </w:tcPr>
          <w:p w:rsidR="00714DE0" w:rsidRPr="00845557" w:rsidRDefault="00714DE0">
            <w:pPr>
              <w:keepNext/>
              <w:keepLines/>
              <w:jc w:val="center"/>
              <w:rPr>
                <w:rFonts w:cs="Arial"/>
                <w:b/>
                <w:bCs/>
                <w:color w:val="00B050"/>
                <w:sz w:val="16"/>
                <w:szCs w:val="16"/>
              </w:rPr>
            </w:pPr>
            <w:r w:rsidRPr="00845557">
              <w:rPr>
                <w:rStyle w:val="Style5"/>
                <w:rFonts w:ascii="Arial" w:hAnsi="Arial" w:cs="Arial"/>
                <w:b/>
                <w:color w:val="00B050"/>
                <w:sz w:val="16"/>
                <w:szCs w:val="16"/>
              </w:rPr>
              <w:t>On track</w:t>
            </w:r>
          </w:p>
        </w:tc>
      </w:tr>
      <w:tr w:rsidR="00714DE0" w:rsidRPr="0068151C" w:rsidTr="00714DE0">
        <w:trPr>
          <w:cantSplit/>
        </w:trPr>
        <w:tc>
          <w:tcPr>
            <w:tcW w:w="1120" w:type="pct"/>
            <w:shd w:val="clear" w:color="auto" w:fill="auto"/>
          </w:tcPr>
          <w:p w:rsidR="00714DE0" w:rsidRPr="0068151C" w:rsidRDefault="00714DE0">
            <w:pPr>
              <w:rPr>
                <w:rFonts w:cs="Arial"/>
                <w:sz w:val="16"/>
                <w:szCs w:val="16"/>
              </w:rPr>
            </w:pPr>
            <w:r w:rsidRPr="007776CB">
              <w:rPr>
                <w:rFonts w:cs="Arial"/>
                <w:sz w:val="16"/>
                <w:szCs w:val="16"/>
              </w:rPr>
              <w:t>Average number of users serviced by TISCs per quarter and country</w:t>
            </w:r>
          </w:p>
        </w:tc>
        <w:tc>
          <w:tcPr>
            <w:tcW w:w="1270" w:type="pct"/>
            <w:shd w:val="clear" w:color="auto" w:fill="auto"/>
          </w:tcPr>
          <w:p w:rsidR="00714DE0" w:rsidRPr="007776CB" w:rsidRDefault="00714DE0">
            <w:pPr>
              <w:rPr>
                <w:rFonts w:cs="Arial"/>
                <w:color w:val="002060"/>
                <w:sz w:val="16"/>
                <w:szCs w:val="16"/>
                <w:lang w:bidi="th-TH"/>
              </w:rPr>
            </w:pPr>
            <w:r>
              <w:rPr>
                <w:rFonts w:cs="Arial"/>
                <w:i/>
                <w:color w:val="002060"/>
                <w:sz w:val="16"/>
                <w:szCs w:val="16"/>
              </w:rPr>
              <w:t>Updated Baseline end 2013</w:t>
            </w:r>
            <w:r w:rsidRPr="0068151C">
              <w:rPr>
                <w:rFonts w:cs="Arial"/>
                <w:i/>
                <w:color w:val="002060"/>
                <w:sz w:val="16"/>
                <w:szCs w:val="16"/>
              </w:rPr>
              <w:t>:</w:t>
            </w:r>
            <w:r>
              <w:t xml:space="preserve"> </w:t>
            </w:r>
            <w:r w:rsidRPr="00B3417F">
              <w:rPr>
                <w:rFonts w:cs="Arial"/>
                <w:color w:val="002060"/>
                <w:sz w:val="16"/>
                <w:szCs w:val="16"/>
              </w:rPr>
              <w:t>532 (min.) to 1370 (max.) average no. of users serviced by TISCs per day during 2013.</w:t>
            </w:r>
            <w:r w:rsidRPr="0068151C">
              <w:rPr>
                <w:rFonts w:cs="Arial"/>
                <w:color w:val="002060"/>
                <w:sz w:val="16"/>
                <w:szCs w:val="16"/>
              </w:rPr>
              <w:br/>
            </w:r>
          </w:p>
          <w:p w:rsidR="00714DE0" w:rsidRPr="0068151C" w:rsidRDefault="00714DE0">
            <w:pPr>
              <w:rPr>
                <w:rFonts w:cs="Arial"/>
                <w:sz w:val="16"/>
                <w:szCs w:val="16"/>
                <w:lang w:bidi="th-TH"/>
              </w:rPr>
            </w:pPr>
            <w:r w:rsidRPr="0068151C">
              <w:rPr>
                <w:rFonts w:cs="Arial"/>
                <w:i/>
                <w:sz w:val="16"/>
                <w:szCs w:val="16"/>
                <w:lang w:bidi="th-TH"/>
              </w:rPr>
              <w:t>Original Baseline</w:t>
            </w:r>
          </w:p>
          <w:p w:rsidR="00714DE0" w:rsidRPr="007776CB" w:rsidRDefault="00714DE0">
            <w:pPr>
              <w:rPr>
                <w:rFonts w:cs="Arial"/>
                <w:sz w:val="16"/>
                <w:szCs w:val="16"/>
              </w:rPr>
            </w:pPr>
            <w:r>
              <w:rPr>
                <w:rFonts w:cs="Arial"/>
                <w:i/>
                <w:sz w:val="16"/>
                <w:szCs w:val="16"/>
              </w:rPr>
              <w:t>P&amp;B 2014/15</w:t>
            </w:r>
            <w:r w:rsidRPr="0068151C">
              <w:rPr>
                <w:rFonts w:cs="Arial"/>
                <w:i/>
                <w:sz w:val="16"/>
                <w:szCs w:val="16"/>
              </w:rPr>
              <w:t>:</w:t>
            </w:r>
            <w:r>
              <w:rPr>
                <w:rFonts w:cs="Arial"/>
                <w:i/>
                <w:sz w:val="16"/>
                <w:szCs w:val="16"/>
              </w:rPr>
              <w:t xml:space="preserve"> </w:t>
            </w:r>
            <w:r w:rsidRPr="0015377F">
              <w:rPr>
                <w:rFonts w:cs="Arial"/>
                <w:sz w:val="16"/>
                <w:szCs w:val="16"/>
              </w:rPr>
              <w:t>200 (min.) – 630 (max.)</w:t>
            </w:r>
          </w:p>
          <w:p w:rsidR="00714DE0" w:rsidRPr="0068151C" w:rsidRDefault="00714DE0">
            <w:pPr>
              <w:rPr>
                <w:rFonts w:cs="Arial"/>
                <w:sz w:val="16"/>
                <w:szCs w:val="16"/>
              </w:rPr>
            </w:pPr>
          </w:p>
        </w:tc>
        <w:tc>
          <w:tcPr>
            <w:tcW w:w="821" w:type="pct"/>
            <w:shd w:val="clear" w:color="auto" w:fill="auto"/>
            <w:tcMar>
              <w:top w:w="110" w:type="dxa"/>
            </w:tcMar>
          </w:tcPr>
          <w:p w:rsidR="00714DE0" w:rsidRPr="0068151C" w:rsidRDefault="00714DE0">
            <w:pPr>
              <w:rPr>
                <w:rFonts w:cs="Arial"/>
                <w:sz w:val="16"/>
                <w:szCs w:val="16"/>
              </w:rPr>
            </w:pPr>
            <w:r w:rsidRPr="0015377F">
              <w:rPr>
                <w:rFonts w:cs="Arial"/>
                <w:sz w:val="16"/>
                <w:szCs w:val="16"/>
              </w:rPr>
              <w:t>300 (min.) – 750 (max.)</w:t>
            </w:r>
          </w:p>
        </w:tc>
        <w:tc>
          <w:tcPr>
            <w:tcW w:w="1266" w:type="pct"/>
            <w:shd w:val="clear" w:color="auto" w:fill="FFFFFF"/>
            <w:tcMar>
              <w:top w:w="110" w:type="dxa"/>
            </w:tcMar>
          </w:tcPr>
          <w:p w:rsidR="00714DE0" w:rsidRPr="0068151C" w:rsidRDefault="00714DE0">
            <w:pPr>
              <w:rPr>
                <w:rFonts w:cs="Arial"/>
                <w:sz w:val="16"/>
                <w:szCs w:val="16"/>
              </w:rPr>
            </w:pPr>
            <w:r w:rsidRPr="00B3417F">
              <w:rPr>
                <w:rFonts w:cs="Arial"/>
                <w:sz w:val="16"/>
                <w:szCs w:val="16"/>
                <w:lang w:bidi="th-TH"/>
              </w:rPr>
              <w:t>513 (min) - 1521 (max) average no. of users serviced by TISCs per day during 2014.</w:t>
            </w:r>
          </w:p>
        </w:tc>
        <w:tc>
          <w:tcPr>
            <w:tcW w:w="523" w:type="pct"/>
            <w:shd w:val="clear" w:color="auto" w:fill="auto"/>
            <w:tcMar>
              <w:top w:w="110" w:type="dxa"/>
            </w:tcMar>
          </w:tcPr>
          <w:p w:rsidR="00714DE0" w:rsidRPr="00BD71FF" w:rsidRDefault="00714DE0">
            <w:pPr>
              <w:keepNext/>
              <w:keepLines/>
              <w:jc w:val="center"/>
              <w:rPr>
                <w:rFonts w:cs="Arial"/>
                <w:b/>
                <w:bCs/>
                <w:color w:val="808080"/>
                <w:sz w:val="16"/>
                <w:szCs w:val="16"/>
              </w:rPr>
            </w:pPr>
            <w:r w:rsidRPr="00AB5747">
              <w:rPr>
                <w:b/>
                <w:bCs/>
                <w:color w:val="00B050"/>
                <w:sz w:val="16"/>
                <w:szCs w:val="16"/>
              </w:rPr>
              <w:t>On track</w:t>
            </w:r>
            <w:r w:rsidRPr="00876ED1">
              <w:rPr>
                <w:rStyle w:val="Style5"/>
                <w:rFonts w:ascii="Arial" w:hAnsi="Arial" w:cs="Arial"/>
                <w:b/>
                <w:color w:val="10862C"/>
                <w:sz w:val="16"/>
                <w:szCs w:val="16"/>
              </w:rPr>
              <w:t xml:space="preserve"> </w:t>
            </w:r>
          </w:p>
        </w:tc>
      </w:tr>
      <w:tr w:rsidR="00714DE0" w:rsidRPr="0068151C" w:rsidTr="00714DE0">
        <w:trPr>
          <w:cantSplit/>
        </w:trPr>
        <w:tc>
          <w:tcPr>
            <w:tcW w:w="1120" w:type="pct"/>
            <w:shd w:val="clear" w:color="auto" w:fill="auto"/>
          </w:tcPr>
          <w:p w:rsidR="00714DE0" w:rsidRPr="0068151C" w:rsidRDefault="00714DE0">
            <w:pPr>
              <w:rPr>
                <w:rFonts w:cs="Arial"/>
                <w:sz w:val="16"/>
                <w:szCs w:val="16"/>
              </w:rPr>
            </w:pPr>
            <w:r w:rsidRPr="0015377F">
              <w:rPr>
                <w:rFonts w:cs="Arial"/>
                <w:sz w:val="16"/>
                <w:szCs w:val="16"/>
              </w:rPr>
              <w:t>No. of active registered users of ARDI and ASPI</w:t>
            </w:r>
          </w:p>
        </w:tc>
        <w:tc>
          <w:tcPr>
            <w:tcW w:w="1270" w:type="pct"/>
            <w:shd w:val="clear" w:color="auto" w:fill="auto"/>
          </w:tcPr>
          <w:p w:rsidR="00714DE0" w:rsidRPr="003B7638" w:rsidRDefault="00714DE0">
            <w:pPr>
              <w:rPr>
                <w:rFonts w:cs="Arial"/>
                <w:color w:val="002060"/>
                <w:sz w:val="16"/>
                <w:szCs w:val="16"/>
              </w:rPr>
            </w:pPr>
            <w:r>
              <w:rPr>
                <w:rFonts w:cs="Arial"/>
                <w:i/>
                <w:color w:val="002060"/>
                <w:sz w:val="16"/>
                <w:szCs w:val="16"/>
              </w:rPr>
              <w:t>Updated Baseline end 2013</w:t>
            </w:r>
            <w:r w:rsidRPr="0068151C">
              <w:rPr>
                <w:rFonts w:cs="Arial"/>
                <w:i/>
                <w:color w:val="002060"/>
                <w:sz w:val="16"/>
                <w:szCs w:val="16"/>
              </w:rPr>
              <w:t>:</w:t>
            </w:r>
            <w:r>
              <w:t xml:space="preserve"> </w:t>
            </w:r>
            <w:r>
              <w:rPr>
                <w:rFonts w:cs="Arial"/>
                <w:color w:val="002060"/>
                <w:sz w:val="16"/>
                <w:szCs w:val="16"/>
              </w:rPr>
              <w:t>A</w:t>
            </w:r>
            <w:r w:rsidRPr="003B7638">
              <w:rPr>
                <w:rFonts w:cs="Arial"/>
                <w:color w:val="002060"/>
                <w:sz w:val="16"/>
                <w:szCs w:val="16"/>
              </w:rPr>
              <w:t>RDI (207 active users)</w:t>
            </w:r>
          </w:p>
          <w:p w:rsidR="00714DE0" w:rsidRPr="00DF4E63" w:rsidRDefault="00714DE0">
            <w:r w:rsidRPr="003B7638">
              <w:rPr>
                <w:rFonts w:cs="Arial"/>
                <w:color w:val="002060"/>
                <w:sz w:val="16"/>
                <w:szCs w:val="16"/>
              </w:rPr>
              <w:t>ASPI (20 active users)</w:t>
            </w:r>
          </w:p>
          <w:p w:rsidR="00714DE0" w:rsidRDefault="00714DE0">
            <w:pPr>
              <w:rPr>
                <w:rFonts w:cs="Arial"/>
                <w:color w:val="002060"/>
                <w:sz w:val="16"/>
                <w:szCs w:val="16"/>
              </w:rPr>
            </w:pPr>
          </w:p>
          <w:p w:rsidR="00714DE0" w:rsidRPr="0068151C" w:rsidRDefault="00714DE0">
            <w:pPr>
              <w:rPr>
                <w:rFonts w:cs="Arial"/>
                <w:sz w:val="16"/>
                <w:szCs w:val="16"/>
                <w:lang w:bidi="th-TH"/>
              </w:rPr>
            </w:pPr>
            <w:r w:rsidRPr="0068151C">
              <w:rPr>
                <w:rFonts w:cs="Arial"/>
                <w:i/>
                <w:sz w:val="16"/>
                <w:szCs w:val="16"/>
                <w:lang w:bidi="th-TH"/>
              </w:rPr>
              <w:t>Original Baseline</w:t>
            </w:r>
          </w:p>
          <w:p w:rsidR="00714DE0" w:rsidRDefault="00714DE0">
            <w:r>
              <w:rPr>
                <w:rFonts w:cs="Arial"/>
                <w:i/>
                <w:sz w:val="16"/>
                <w:szCs w:val="16"/>
              </w:rPr>
              <w:t>P&amp;B 2014/15</w:t>
            </w:r>
            <w:r w:rsidRPr="0068151C">
              <w:rPr>
                <w:rFonts w:cs="Arial"/>
                <w:i/>
                <w:sz w:val="16"/>
                <w:szCs w:val="16"/>
              </w:rPr>
              <w:t>:</w:t>
            </w:r>
            <w:r>
              <w:t xml:space="preserve"> </w:t>
            </w:r>
          </w:p>
          <w:p w:rsidR="00714DE0" w:rsidRPr="00DF4E63" w:rsidRDefault="00714DE0">
            <w:pPr>
              <w:rPr>
                <w:rFonts w:cs="Arial"/>
                <w:sz w:val="16"/>
                <w:szCs w:val="16"/>
              </w:rPr>
            </w:pPr>
            <w:r w:rsidRPr="00DF4E63">
              <w:rPr>
                <w:rFonts w:cs="Arial"/>
                <w:sz w:val="16"/>
                <w:szCs w:val="16"/>
              </w:rPr>
              <w:t>ARDI 50</w:t>
            </w:r>
          </w:p>
          <w:p w:rsidR="00714DE0" w:rsidRPr="00DF4E63" w:rsidRDefault="00714DE0">
            <w:pPr>
              <w:rPr>
                <w:rFonts w:cs="Arial"/>
                <w:sz w:val="16"/>
                <w:szCs w:val="16"/>
              </w:rPr>
            </w:pPr>
            <w:r w:rsidRPr="00DF4E63">
              <w:rPr>
                <w:rFonts w:cs="Arial"/>
                <w:sz w:val="16"/>
                <w:szCs w:val="16"/>
              </w:rPr>
              <w:t>ASPI 20</w:t>
            </w:r>
          </w:p>
          <w:p w:rsidR="00714DE0" w:rsidRPr="0068151C" w:rsidRDefault="00714DE0">
            <w:pPr>
              <w:rPr>
                <w:rFonts w:cs="Arial"/>
                <w:sz w:val="16"/>
                <w:szCs w:val="16"/>
              </w:rPr>
            </w:pPr>
          </w:p>
        </w:tc>
        <w:tc>
          <w:tcPr>
            <w:tcW w:w="821" w:type="pct"/>
            <w:shd w:val="clear" w:color="auto" w:fill="auto"/>
            <w:tcMar>
              <w:top w:w="110" w:type="dxa"/>
            </w:tcMar>
          </w:tcPr>
          <w:p w:rsidR="00714DE0" w:rsidRPr="0015377F" w:rsidRDefault="00714DE0">
            <w:pPr>
              <w:rPr>
                <w:rFonts w:cs="Arial"/>
                <w:sz w:val="16"/>
                <w:szCs w:val="16"/>
              </w:rPr>
            </w:pPr>
            <w:r w:rsidRPr="0015377F">
              <w:rPr>
                <w:rFonts w:cs="Arial"/>
                <w:sz w:val="16"/>
                <w:szCs w:val="16"/>
              </w:rPr>
              <w:t>ARDI 300</w:t>
            </w:r>
          </w:p>
          <w:p w:rsidR="00714DE0" w:rsidRPr="0068151C" w:rsidRDefault="00714DE0">
            <w:pPr>
              <w:rPr>
                <w:rFonts w:cs="Arial"/>
                <w:i/>
                <w:sz w:val="16"/>
                <w:szCs w:val="16"/>
              </w:rPr>
            </w:pPr>
            <w:r w:rsidRPr="0015377F">
              <w:rPr>
                <w:rFonts w:cs="Arial"/>
                <w:sz w:val="16"/>
                <w:szCs w:val="16"/>
              </w:rPr>
              <w:t>ASPI 30</w:t>
            </w:r>
          </w:p>
        </w:tc>
        <w:tc>
          <w:tcPr>
            <w:tcW w:w="1266" w:type="pct"/>
            <w:shd w:val="clear" w:color="auto" w:fill="FFFFFF"/>
            <w:tcMar>
              <w:top w:w="110" w:type="dxa"/>
            </w:tcMar>
          </w:tcPr>
          <w:p w:rsidR="00714DE0" w:rsidRDefault="00714DE0">
            <w:pPr>
              <w:rPr>
                <w:rFonts w:cs="Arial"/>
                <w:sz w:val="16"/>
                <w:szCs w:val="16"/>
              </w:rPr>
            </w:pPr>
            <w:r w:rsidRPr="0015377F">
              <w:rPr>
                <w:rFonts w:cs="Arial"/>
                <w:sz w:val="16"/>
                <w:szCs w:val="16"/>
              </w:rPr>
              <w:t xml:space="preserve">ARDI </w:t>
            </w:r>
            <w:r w:rsidRPr="00CE0CD2">
              <w:rPr>
                <w:rFonts w:cs="Arial"/>
                <w:sz w:val="16"/>
                <w:szCs w:val="16"/>
              </w:rPr>
              <w:t>4</w:t>
            </w:r>
            <w:r>
              <w:rPr>
                <w:rFonts w:cs="Arial"/>
                <w:sz w:val="16"/>
                <w:szCs w:val="16"/>
              </w:rPr>
              <w:t>11 active users</w:t>
            </w:r>
            <w:r w:rsidRPr="0015377F">
              <w:rPr>
                <w:rFonts w:cs="Arial"/>
                <w:sz w:val="16"/>
                <w:szCs w:val="16"/>
              </w:rPr>
              <w:t xml:space="preserve"> </w:t>
            </w:r>
          </w:p>
          <w:p w:rsidR="00714DE0" w:rsidRPr="0015377F" w:rsidRDefault="00714DE0">
            <w:pPr>
              <w:rPr>
                <w:rFonts w:cs="Arial"/>
                <w:lang w:bidi="th-TH"/>
              </w:rPr>
            </w:pPr>
            <w:r w:rsidRPr="0015377F">
              <w:rPr>
                <w:rFonts w:cs="Arial"/>
                <w:sz w:val="16"/>
                <w:szCs w:val="16"/>
              </w:rPr>
              <w:t xml:space="preserve">ASPI </w:t>
            </w:r>
            <w:r>
              <w:rPr>
                <w:rFonts w:cs="Arial"/>
                <w:sz w:val="16"/>
                <w:szCs w:val="16"/>
              </w:rPr>
              <w:t>(35 active users)</w:t>
            </w:r>
          </w:p>
        </w:tc>
        <w:tc>
          <w:tcPr>
            <w:tcW w:w="523" w:type="pct"/>
            <w:shd w:val="clear" w:color="auto" w:fill="auto"/>
            <w:tcMar>
              <w:top w:w="110" w:type="dxa"/>
            </w:tcMar>
          </w:tcPr>
          <w:p w:rsidR="00714DE0" w:rsidRPr="00BD71FF" w:rsidRDefault="00714DE0">
            <w:pPr>
              <w:keepNext/>
              <w:keepLines/>
              <w:jc w:val="center"/>
              <w:rPr>
                <w:rFonts w:cs="Arial"/>
                <w:b/>
                <w:bCs/>
                <w:color w:val="00B050"/>
                <w:sz w:val="16"/>
                <w:szCs w:val="16"/>
              </w:rPr>
            </w:pPr>
            <w:r w:rsidRPr="00BD71FF">
              <w:rPr>
                <w:rStyle w:val="Style5"/>
                <w:rFonts w:ascii="Arial" w:hAnsi="Arial" w:cs="Arial"/>
                <w:b/>
                <w:color w:val="00B050"/>
                <w:sz w:val="16"/>
                <w:szCs w:val="16"/>
              </w:rPr>
              <w:t>On track</w:t>
            </w:r>
            <w:r w:rsidRPr="00BD71FF">
              <w:rPr>
                <w:rFonts w:cs="Arial"/>
                <w:b/>
                <w:bCs/>
                <w:color w:val="00B050"/>
                <w:sz w:val="16"/>
                <w:szCs w:val="16"/>
              </w:rPr>
              <w:t xml:space="preserve"> </w:t>
            </w:r>
          </w:p>
          <w:p w:rsidR="00714DE0" w:rsidRPr="0068151C" w:rsidRDefault="00714DE0">
            <w:pPr>
              <w:keepNext/>
              <w:keepLines/>
              <w:jc w:val="center"/>
              <w:rPr>
                <w:rFonts w:cs="Arial"/>
                <w:bCs/>
                <w:sz w:val="16"/>
                <w:szCs w:val="16"/>
              </w:rPr>
            </w:pPr>
          </w:p>
          <w:p w:rsidR="00714DE0" w:rsidRPr="0068151C" w:rsidRDefault="00714DE0">
            <w:pPr>
              <w:keepNext/>
              <w:keepLines/>
              <w:jc w:val="center"/>
              <w:rPr>
                <w:rFonts w:cs="Arial"/>
                <w:bCs/>
                <w:sz w:val="16"/>
                <w:szCs w:val="16"/>
              </w:rPr>
            </w:pPr>
          </w:p>
          <w:p w:rsidR="00714DE0" w:rsidRPr="0068151C" w:rsidRDefault="00714DE0">
            <w:pPr>
              <w:keepNext/>
              <w:keepLines/>
              <w:jc w:val="center"/>
              <w:rPr>
                <w:rFonts w:cs="Arial"/>
                <w:bCs/>
                <w:sz w:val="16"/>
                <w:szCs w:val="16"/>
              </w:rPr>
            </w:pPr>
          </w:p>
          <w:p w:rsidR="00714DE0" w:rsidRPr="0068151C" w:rsidRDefault="00714DE0">
            <w:pPr>
              <w:keepNext/>
              <w:keepLines/>
              <w:jc w:val="center"/>
              <w:rPr>
                <w:rFonts w:cs="Arial"/>
                <w:bCs/>
                <w:color w:val="808080"/>
                <w:sz w:val="16"/>
                <w:szCs w:val="16"/>
              </w:rPr>
            </w:pPr>
          </w:p>
        </w:tc>
      </w:tr>
      <w:tr w:rsidR="00714DE0" w:rsidRPr="0068151C" w:rsidTr="00714DE0">
        <w:trPr>
          <w:cantSplit/>
        </w:trPr>
        <w:tc>
          <w:tcPr>
            <w:tcW w:w="1120" w:type="pct"/>
            <w:shd w:val="clear" w:color="auto" w:fill="auto"/>
          </w:tcPr>
          <w:p w:rsidR="00714DE0" w:rsidRPr="0068151C" w:rsidRDefault="00714DE0">
            <w:pPr>
              <w:rPr>
                <w:rFonts w:cs="Arial"/>
                <w:sz w:val="16"/>
                <w:szCs w:val="16"/>
              </w:rPr>
            </w:pPr>
            <w:r w:rsidRPr="0015377F">
              <w:rPr>
                <w:rFonts w:cs="Arial"/>
                <w:sz w:val="16"/>
                <w:szCs w:val="16"/>
              </w:rPr>
              <w:t>% of users satisfied with the provision of value added patent information services (WPIS, ICE, patent family and legal status enquiry service)</w:t>
            </w:r>
          </w:p>
        </w:tc>
        <w:tc>
          <w:tcPr>
            <w:tcW w:w="1270" w:type="pct"/>
            <w:shd w:val="clear" w:color="auto" w:fill="auto"/>
          </w:tcPr>
          <w:p w:rsidR="00714DE0" w:rsidRDefault="00714DE0">
            <w:pPr>
              <w:rPr>
                <w:rFonts w:cs="Arial"/>
                <w:color w:val="002060"/>
                <w:sz w:val="16"/>
                <w:szCs w:val="16"/>
              </w:rPr>
            </w:pPr>
            <w:r>
              <w:rPr>
                <w:rFonts w:cs="Arial"/>
                <w:i/>
                <w:color w:val="002060"/>
                <w:sz w:val="16"/>
                <w:szCs w:val="16"/>
              </w:rPr>
              <w:t>Updated Baseline end 2013</w:t>
            </w:r>
            <w:r w:rsidRPr="0068151C">
              <w:rPr>
                <w:rFonts w:cs="Arial"/>
                <w:i/>
                <w:color w:val="002060"/>
                <w:sz w:val="16"/>
                <w:szCs w:val="16"/>
              </w:rPr>
              <w:t>:</w:t>
            </w:r>
            <w:r>
              <w:t xml:space="preserve"> </w:t>
            </w:r>
            <w:r w:rsidRPr="00BD71FF">
              <w:rPr>
                <w:rFonts w:cs="Arial"/>
                <w:color w:val="002060"/>
                <w:sz w:val="16"/>
                <w:szCs w:val="16"/>
              </w:rPr>
              <w:t>No satisfaction surveys for WPIS and ICE were conducted.  Discussions with donor offices on how to evaluate and retrieve feedback for the work carried out are under way.</w:t>
            </w:r>
          </w:p>
          <w:p w:rsidR="00714DE0" w:rsidRDefault="00714DE0">
            <w:pPr>
              <w:rPr>
                <w:rFonts w:cs="Arial"/>
                <w:color w:val="002060"/>
                <w:sz w:val="16"/>
                <w:szCs w:val="16"/>
              </w:rPr>
            </w:pPr>
          </w:p>
          <w:p w:rsidR="00714DE0" w:rsidRPr="0068151C" w:rsidRDefault="00714DE0">
            <w:pPr>
              <w:rPr>
                <w:rFonts w:cs="Arial"/>
                <w:sz w:val="16"/>
                <w:szCs w:val="16"/>
                <w:lang w:bidi="th-TH"/>
              </w:rPr>
            </w:pPr>
            <w:r w:rsidRPr="0068151C">
              <w:rPr>
                <w:rFonts w:cs="Arial"/>
                <w:i/>
                <w:sz w:val="16"/>
                <w:szCs w:val="16"/>
                <w:lang w:bidi="th-TH"/>
              </w:rPr>
              <w:t>Original Baseline</w:t>
            </w:r>
          </w:p>
          <w:p w:rsidR="00714DE0" w:rsidRPr="0068151C" w:rsidRDefault="00714DE0">
            <w:pPr>
              <w:rPr>
                <w:rFonts w:cs="Arial"/>
                <w:sz w:val="16"/>
                <w:szCs w:val="16"/>
              </w:rPr>
            </w:pPr>
            <w:r>
              <w:rPr>
                <w:rFonts w:cs="Arial"/>
                <w:i/>
                <w:sz w:val="16"/>
                <w:szCs w:val="16"/>
              </w:rPr>
              <w:t>P&amp;B 2014/15</w:t>
            </w:r>
            <w:r w:rsidRPr="0068151C">
              <w:rPr>
                <w:rFonts w:cs="Arial"/>
                <w:i/>
                <w:sz w:val="16"/>
                <w:szCs w:val="16"/>
              </w:rPr>
              <w:t>:</w:t>
            </w:r>
            <w:r>
              <w:t xml:space="preserve"> </w:t>
            </w:r>
            <w:r w:rsidRPr="0015377F">
              <w:rPr>
                <w:rFonts w:cs="Arial"/>
                <w:sz w:val="16"/>
                <w:szCs w:val="16"/>
              </w:rPr>
              <w:t>Not available</w:t>
            </w:r>
          </w:p>
        </w:tc>
        <w:tc>
          <w:tcPr>
            <w:tcW w:w="821" w:type="pct"/>
            <w:shd w:val="clear" w:color="auto" w:fill="auto"/>
            <w:tcMar>
              <w:top w:w="110" w:type="dxa"/>
            </w:tcMar>
          </w:tcPr>
          <w:p w:rsidR="00714DE0" w:rsidRPr="0068151C" w:rsidRDefault="00714DE0">
            <w:pPr>
              <w:rPr>
                <w:rFonts w:cs="Arial"/>
                <w:i/>
                <w:sz w:val="16"/>
                <w:szCs w:val="16"/>
              </w:rPr>
            </w:pPr>
            <w:r w:rsidRPr="0015377F">
              <w:rPr>
                <w:rFonts w:cs="Arial"/>
                <w:sz w:val="16"/>
                <w:szCs w:val="16"/>
              </w:rPr>
              <w:t>75%</w:t>
            </w:r>
          </w:p>
        </w:tc>
        <w:tc>
          <w:tcPr>
            <w:tcW w:w="1266" w:type="pct"/>
            <w:shd w:val="clear" w:color="auto" w:fill="FFFFFF"/>
            <w:tcMar>
              <w:top w:w="110" w:type="dxa"/>
            </w:tcMar>
          </w:tcPr>
          <w:p w:rsidR="00714DE0" w:rsidRPr="0068151C" w:rsidRDefault="00714DE0">
            <w:pPr>
              <w:rPr>
                <w:rFonts w:cs="Arial"/>
                <w:sz w:val="16"/>
                <w:szCs w:val="16"/>
              </w:rPr>
            </w:pPr>
            <w:r>
              <w:rPr>
                <w:rFonts w:cs="Arial"/>
                <w:sz w:val="16"/>
                <w:szCs w:val="16"/>
              </w:rPr>
              <w:t>Survey data to be collected in 2014. Analysis and results to be reported in 2015.</w:t>
            </w:r>
          </w:p>
        </w:tc>
        <w:tc>
          <w:tcPr>
            <w:tcW w:w="523" w:type="pct"/>
            <w:shd w:val="clear" w:color="auto" w:fill="auto"/>
            <w:tcMar>
              <w:top w:w="110" w:type="dxa"/>
            </w:tcMar>
          </w:tcPr>
          <w:p w:rsidR="00714DE0" w:rsidRPr="00BD71FF" w:rsidRDefault="00714DE0">
            <w:pPr>
              <w:keepNext/>
              <w:keepLines/>
              <w:jc w:val="center"/>
              <w:rPr>
                <w:rFonts w:cs="Arial"/>
                <w:b/>
                <w:bCs/>
                <w:color w:val="808080"/>
                <w:sz w:val="16"/>
                <w:szCs w:val="16"/>
              </w:rPr>
            </w:pPr>
            <w:r w:rsidRPr="00BD71FF">
              <w:rPr>
                <w:rFonts w:cs="Arial"/>
                <w:b/>
                <w:bCs/>
                <w:color w:val="0070C0"/>
                <w:sz w:val="16"/>
                <w:szCs w:val="16"/>
              </w:rPr>
              <w:t>N/A 2014</w:t>
            </w:r>
          </w:p>
        </w:tc>
      </w:tr>
      <w:tr w:rsidR="00714DE0" w:rsidRPr="0068151C" w:rsidTr="00714DE0">
        <w:trPr>
          <w:cantSplit/>
        </w:trPr>
        <w:tc>
          <w:tcPr>
            <w:tcW w:w="1120" w:type="pct"/>
            <w:shd w:val="clear" w:color="auto" w:fill="auto"/>
          </w:tcPr>
          <w:p w:rsidR="00714DE0" w:rsidRPr="0015377F" w:rsidRDefault="00714DE0">
            <w:pPr>
              <w:rPr>
                <w:rFonts w:cs="Arial"/>
                <w:sz w:val="16"/>
                <w:szCs w:val="16"/>
              </w:rPr>
            </w:pPr>
            <w:r w:rsidRPr="0015377F">
              <w:rPr>
                <w:rFonts w:cs="Arial"/>
                <w:sz w:val="16"/>
                <w:szCs w:val="16"/>
              </w:rPr>
              <w:t>% of users satisfied with PLRs</w:t>
            </w:r>
          </w:p>
        </w:tc>
        <w:tc>
          <w:tcPr>
            <w:tcW w:w="1270" w:type="pct"/>
            <w:shd w:val="clear" w:color="auto" w:fill="auto"/>
          </w:tcPr>
          <w:p w:rsidR="00714DE0" w:rsidRDefault="00714DE0">
            <w:pPr>
              <w:rPr>
                <w:rFonts w:cs="Arial"/>
                <w:color w:val="002060"/>
                <w:sz w:val="16"/>
                <w:szCs w:val="16"/>
              </w:rPr>
            </w:pPr>
            <w:r>
              <w:rPr>
                <w:rFonts w:cs="Arial"/>
                <w:i/>
                <w:color w:val="002060"/>
                <w:sz w:val="16"/>
                <w:szCs w:val="16"/>
              </w:rPr>
              <w:t>Updated Baseline end 2013</w:t>
            </w:r>
            <w:r w:rsidRPr="0068151C">
              <w:rPr>
                <w:rFonts w:cs="Arial"/>
                <w:i/>
                <w:color w:val="002060"/>
                <w:sz w:val="16"/>
                <w:szCs w:val="16"/>
              </w:rPr>
              <w:t>:</w:t>
            </w:r>
            <w:r>
              <w:t xml:space="preserve">  </w:t>
            </w:r>
            <w:r w:rsidRPr="009F2CC0">
              <w:rPr>
                <w:rFonts w:cs="Arial"/>
                <w:color w:val="002060"/>
                <w:sz w:val="16"/>
                <w:szCs w:val="16"/>
              </w:rPr>
              <w:t>A satisfaction survey for the PLR was carried out in March 2014 and received 39 r</w:t>
            </w:r>
            <w:r>
              <w:rPr>
                <w:rFonts w:cs="Arial"/>
                <w:color w:val="002060"/>
                <w:sz w:val="16"/>
                <w:szCs w:val="16"/>
              </w:rPr>
              <w:t xml:space="preserve">esponses (3 first level users; </w:t>
            </w:r>
            <w:r w:rsidRPr="009F2CC0">
              <w:rPr>
                <w:rFonts w:cs="Arial"/>
                <w:color w:val="002060"/>
                <w:sz w:val="16"/>
                <w:szCs w:val="16"/>
              </w:rPr>
              <w:t>36 second level users).  The results showed that approximately 70% of the users were satisfied with the quality of the reports</w:t>
            </w:r>
          </w:p>
          <w:p w:rsidR="00714DE0" w:rsidRDefault="00714DE0">
            <w:pPr>
              <w:rPr>
                <w:rFonts w:cs="Arial"/>
                <w:color w:val="002060"/>
                <w:sz w:val="16"/>
                <w:szCs w:val="16"/>
              </w:rPr>
            </w:pPr>
          </w:p>
          <w:p w:rsidR="00714DE0" w:rsidRPr="0068151C" w:rsidRDefault="00714DE0">
            <w:pPr>
              <w:rPr>
                <w:rFonts w:cs="Arial"/>
                <w:sz w:val="16"/>
                <w:szCs w:val="16"/>
                <w:lang w:bidi="th-TH"/>
              </w:rPr>
            </w:pPr>
            <w:r w:rsidRPr="0068151C">
              <w:rPr>
                <w:rFonts w:cs="Arial"/>
                <w:i/>
                <w:sz w:val="16"/>
                <w:szCs w:val="16"/>
                <w:lang w:bidi="th-TH"/>
              </w:rPr>
              <w:t>Original Baseline</w:t>
            </w:r>
          </w:p>
          <w:p w:rsidR="00714DE0" w:rsidRDefault="00714DE0">
            <w:pPr>
              <w:rPr>
                <w:rFonts w:cs="Arial"/>
                <w:i/>
                <w:color w:val="002060"/>
                <w:sz w:val="16"/>
                <w:szCs w:val="16"/>
              </w:rPr>
            </w:pPr>
            <w:r>
              <w:rPr>
                <w:rFonts w:cs="Arial"/>
                <w:i/>
                <w:sz w:val="16"/>
                <w:szCs w:val="16"/>
              </w:rPr>
              <w:t>P&amp;B 2014/15</w:t>
            </w:r>
            <w:r w:rsidRPr="0068151C">
              <w:rPr>
                <w:rFonts w:cs="Arial"/>
                <w:i/>
                <w:sz w:val="16"/>
                <w:szCs w:val="16"/>
              </w:rPr>
              <w:t>:</w:t>
            </w:r>
            <w:r>
              <w:t xml:space="preserve"> </w:t>
            </w:r>
            <w:r w:rsidRPr="0015377F">
              <w:rPr>
                <w:rFonts w:cs="Arial"/>
                <w:sz w:val="16"/>
                <w:szCs w:val="16"/>
              </w:rPr>
              <w:t>Not available</w:t>
            </w:r>
          </w:p>
        </w:tc>
        <w:tc>
          <w:tcPr>
            <w:tcW w:w="821" w:type="pct"/>
            <w:shd w:val="clear" w:color="auto" w:fill="auto"/>
            <w:tcMar>
              <w:top w:w="110" w:type="dxa"/>
            </w:tcMar>
          </w:tcPr>
          <w:p w:rsidR="00714DE0" w:rsidRPr="0015377F" w:rsidRDefault="00714DE0">
            <w:pPr>
              <w:rPr>
                <w:rFonts w:cs="Arial"/>
                <w:sz w:val="16"/>
                <w:szCs w:val="16"/>
              </w:rPr>
            </w:pPr>
            <w:r w:rsidRPr="0015377F">
              <w:rPr>
                <w:rFonts w:cs="Arial"/>
                <w:sz w:val="16"/>
                <w:szCs w:val="16"/>
              </w:rPr>
              <w:t>75%</w:t>
            </w:r>
          </w:p>
        </w:tc>
        <w:tc>
          <w:tcPr>
            <w:tcW w:w="1266" w:type="pct"/>
            <w:shd w:val="clear" w:color="auto" w:fill="FFFFFF"/>
            <w:tcMar>
              <w:top w:w="110" w:type="dxa"/>
            </w:tcMar>
          </w:tcPr>
          <w:p w:rsidR="00714DE0" w:rsidRPr="0068151C" w:rsidRDefault="00714DE0">
            <w:pPr>
              <w:rPr>
                <w:rFonts w:cs="Arial"/>
                <w:sz w:val="16"/>
                <w:szCs w:val="16"/>
              </w:rPr>
            </w:pPr>
            <w:r>
              <w:rPr>
                <w:rFonts w:cs="Arial"/>
                <w:sz w:val="16"/>
                <w:szCs w:val="16"/>
              </w:rPr>
              <w:t>A voluntary online survey is under preparation and expected to be launched in 2015. .</w:t>
            </w:r>
          </w:p>
        </w:tc>
        <w:tc>
          <w:tcPr>
            <w:tcW w:w="523" w:type="pct"/>
            <w:shd w:val="clear" w:color="auto" w:fill="auto"/>
            <w:tcMar>
              <w:top w:w="110" w:type="dxa"/>
            </w:tcMar>
          </w:tcPr>
          <w:p w:rsidR="00714DE0" w:rsidRPr="00BD71FF" w:rsidRDefault="00714DE0">
            <w:pPr>
              <w:keepNext/>
              <w:keepLines/>
              <w:jc w:val="center"/>
              <w:rPr>
                <w:rFonts w:cs="Arial"/>
                <w:b/>
                <w:bCs/>
                <w:color w:val="0070C0"/>
                <w:sz w:val="16"/>
                <w:szCs w:val="16"/>
              </w:rPr>
            </w:pPr>
            <w:r w:rsidRPr="00BD71FF">
              <w:rPr>
                <w:rStyle w:val="Style5"/>
                <w:rFonts w:ascii="Arial" w:hAnsi="Arial" w:cs="Arial"/>
                <w:b/>
                <w:color w:val="0070C0"/>
                <w:sz w:val="16"/>
                <w:szCs w:val="16"/>
              </w:rPr>
              <w:t>N/A 2014</w:t>
            </w:r>
          </w:p>
          <w:p w:rsidR="00714DE0" w:rsidRPr="0068151C" w:rsidRDefault="00714DE0">
            <w:pPr>
              <w:keepNext/>
              <w:keepLines/>
              <w:jc w:val="center"/>
              <w:rPr>
                <w:rFonts w:cs="Arial"/>
                <w:bCs/>
                <w:color w:val="808080"/>
                <w:sz w:val="16"/>
                <w:szCs w:val="16"/>
              </w:rPr>
            </w:pPr>
          </w:p>
        </w:tc>
      </w:tr>
    </w:tbl>
    <w:p w:rsidR="00714DE0" w:rsidRPr="00255E19" w:rsidRDefault="00714DE0" w:rsidP="00E70E02">
      <w:pPr>
        <w:jc w:val="both"/>
        <w:rPr>
          <w:rFonts w:cs="Arial"/>
          <w:szCs w:val="20"/>
        </w:rPr>
      </w:pPr>
    </w:p>
    <w:p w:rsidR="00714DE0" w:rsidRPr="00255E19" w:rsidRDefault="00714DE0" w:rsidP="00E70E02">
      <w:pPr>
        <w:jc w:val="both"/>
        <w:rPr>
          <w:rFonts w:cs="Arial"/>
          <w:szCs w:val="20"/>
        </w:rPr>
      </w:pPr>
    </w:p>
    <w:p w:rsidR="00714DE0" w:rsidRDefault="00714DE0">
      <w:pPr>
        <w:rPr>
          <w:rFonts w:cs="Arial"/>
          <w:color w:val="000000"/>
          <w:szCs w:val="20"/>
        </w:rPr>
      </w:pPr>
      <w:r>
        <w:rPr>
          <w:rFonts w:cs="Arial"/>
          <w:color w:val="000000"/>
          <w:szCs w:val="20"/>
        </w:rPr>
        <w:br w:type="page"/>
      </w:r>
    </w:p>
    <w:p w:rsidR="00714DE0" w:rsidRPr="00BD71FF" w:rsidRDefault="00714DE0" w:rsidP="00E70E02">
      <w:pPr>
        <w:jc w:val="both"/>
        <w:rPr>
          <w:b/>
          <w:sz w:val="22"/>
          <w:szCs w:val="20"/>
        </w:rPr>
      </w:pPr>
      <w:r w:rsidRPr="00BD71FF">
        <w:rPr>
          <w:rFonts w:cs="Arial"/>
          <w:color w:val="000000"/>
          <w:sz w:val="22"/>
          <w:szCs w:val="20"/>
        </w:rPr>
        <w:lastRenderedPageBreak/>
        <w:t>RESOURCE UTILIZATION</w:t>
      </w:r>
      <w:r w:rsidRPr="00BD71FF">
        <w:rPr>
          <w:rFonts w:cs="Arial"/>
          <w:color w:val="000000"/>
          <w:sz w:val="22"/>
          <w:szCs w:val="20"/>
        </w:rPr>
        <w:tab/>
      </w:r>
    </w:p>
    <w:p w:rsidR="00714DE0" w:rsidRPr="00255E19" w:rsidRDefault="00714DE0" w:rsidP="00E70E02">
      <w:pPr>
        <w:jc w:val="both"/>
        <w:rPr>
          <w:szCs w:val="20"/>
        </w:rPr>
      </w:pPr>
    </w:p>
    <w:p w:rsidR="00714DE0" w:rsidRPr="00255E19" w:rsidRDefault="00714DE0" w:rsidP="00E70E02">
      <w:pPr>
        <w:pStyle w:val="NormalWeb"/>
        <w:spacing w:before="0" w:beforeAutospacing="0" w:after="0" w:afterAutospacing="0"/>
        <w:jc w:val="center"/>
        <w:rPr>
          <w:sz w:val="20"/>
          <w:szCs w:val="20"/>
        </w:rPr>
      </w:pPr>
      <w:r w:rsidRPr="00255E19">
        <w:rPr>
          <w:color w:val="000000"/>
          <w:sz w:val="20"/>
          <w:szCs w:val="20"/>
        </w:rPr>
        <w:t>Budget and Actual Expenditure (by result)</w:t>
      </w:r>
    </w:p>
    <w:p w:rsidR="00714DE0" w:rsidRPr="00255E19" w:rsidRDefault="00714DE0" w:rsidP="00E70E02">
      <w:pPr>
        <w:pStyle w:val="NormalWeb"/>
        <w:spacing w:before="0" w:beforeAutospacing="0" w:after="0" w:afterAutospacing="0"/>
        <w:jc w:val="center"/>
        <w:rPr>
          <w:i/>
          <w:iCs/>
          <w:color w:val="000000"/>
          <w:sz w:val="20"/>
          <w:szCs w:val="20"/>
        </w:rPr>
      </w:pPr>
      <w:r w:rsidRPr="00255E19">
        <w:rPr>
          <w:i/>
          <w:iCs/>
          <w:color w:val="000000"/>
          <w:sz w:val="20"/>
          <w:szCs w:val="20"/>
        </w:rPr>
        <w:t>(</w:t>
      </w:r>
      <w:proofErr w:type="gramStart"/>
      <w:r w:rsidRPr="00255E19">
        <w:rPr>
          <w:i/>
          <w:iCs/>
          <w:color w:val="000000"/>
          <w:sz w:val="20"/>
          <w:szCs w:val="20"/>
        </w:rPr>
        <w:t>in</w:t>
      </w:r>
      <w:proofErr w:type="gramEnd"/>
      <w:r w:rsidRPr="00255E19">
        <w:rPr>
          <w:i/>
          <w:iCs/>
          <w:color w:val="000000"/>
          <w:sz w:val="20"/>
          <w:szCs w:val="20"/>
        </w:rPr>
        <w:t xml:space="preserve"> thousands of Swiss francs)</w:t>
      </w:r>
    </w:p>
    <w:p w:rsidR="00714DE0" w:rsidRPr="00255E19" w:rsidRDefault="00714DE0" w:rsidP="00E70E02">
      <w:pPr>
        <w:jc w:val="both"/>
        <w:rPr>
          <w:szCs w:val="20"/>
        </w:rPr>
      </w:pPr>
    </w:p>
    <w:p w:rsidR="00714DE0" w:rsidRPr="00255E19" w:rsidRDefault="00714DE0" w:rsidP="00E70E02">
      <w:pPr>
        <w:jc w:val="center"/>
        <w:rPr>
          <w:szCs w:val="20"/>
        </w:rPr>
      </w:pPr>
      <w:r w:rsidRPr="0033392A">
        <w:rPr>
          <w:noProof/>
        </w:rPr>
        <w:drawing>
          <wp:inline distT="0" distB="0" distL="0" distR="0" wp14:anchorId="6CD73BEC" wp14:editId="1822BE41">
            <wp:extent cx="5585460" cy="131896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594415" cy="1321084"/>
                    </a:xfrm>
                    <a:prstGeom prst="rect">
                      <a:avLst/>
                    </a:prstGeom>
                    <a:noFill/>
                    <a:ln>
                      <a:noFill/>
                    </a:ln>
                  </pic:spPr>
                </pic:pic>
              </a:graphicData>
            </a:graphic>
          </wp:inline>
        </w:drawing>
      </w:r>
    </w:p>
    <w:p w:rsidR="00714DE0" w:rsidRPr="00255E19" w:rsidRDefault="00714DE0" w:rsidP="00E70E02">
      <w:pPr>
        <w:jc w:val="both"/>
        <w:rPr>
          <w:szCs w:val="20"/>
        </w:rPr>
      </w:pPr>
    </w:p>
    <w:p w:rsidR="00714DE0" w:rsidRPr="00255E19" w:rsidRDefault="00714DE0" w:rsidP="00E70E02">
      <w:pPr>
        <w:pStyle w:val="NormalWeb"/>
        <w:keepNext/>
        <w:keepLines/>
        <w:spacing w:before="0" w:beforeAutospacing="0" w:after="0" w:afterAutospacing="0"/>
        <w:jc w:val="center"/>
        <w:rPr>
          <w:sz w:val="20"/>
          <w:szCs w:val="20"/>
        </w:rPr>
      </w:pPr>
      <w:r w:rsidRPr="00255E19">
        <w:rPr>
          <w:color w:val="000000"/>
          <w:sz w:val="20"/>
          <w:szCs w:val="20"/>
        </w:rPr>
        <w:t>Budget and Actual Expenditure (personnel and non-personnel)</w:t>
      </w:r>
    </w:p>
    <w:p w:rsidR="00714DE0" w:rsidRPr="00255E19" w:rsidRDefault="00714DE0" w:rsidP="00E70E02">
      <w:pPr>
        <w:pStyle w:val="NormalWeb"/>
        <w:keepNext/>
        <w:keepLines/>
        <w:spacing w:before="0" w:beforeAutospacing="0" w:after="0" w:afterAutospacing="0"/>
        <w:jc w:val="center"/>
        <w:rPr>
          <w:i/>
          <w:iCs/>
          <w:color w:val="000000"/>
          <w:sz w:val="20"/>
          <w:szCs w:val="20"/>
        </w:rPr>
      </w:pPr>
      <w:r w:rsidRPr="00255E19">
        <w:rPr>
          <w:i/>
          <w:iCs/>
          <w:color w:val="000000"/>
          <w:sz w:val="20"/>
          <w:szCs w:val="20"/>
        </w:rPr>
        <w:t>(</w:t>
      </w:r>
      <w:proofErr w:type="gramStart"/>
      <w:r w:rsidRPr="00255E19">
        <w:rPr>
          <w:i/>
          <w:iCs/>
          <w:color w:val="000000"/>
          <w:sz w:val="20"/>
          <w:szCs w:val="20"/>
        </w:rPr>
        <w:t>in</w:t>
      </w:r>
      <w:proofErr w:type="gramEnd"/>
      <w:r w:rsidRPr="00255E19">
        <w:rPr>
          <w:i/>
          <w:iCs/>
          <w:color w:val="000000"/>
          <w:sz w:val="20"/>
          <w:szCs w:val="20"/>
        </w:rPr>
        <w:t xml:space="preserve"> thousands of Swiss francs)</w:t>
      </w:r>
    </w:p>
    <w:p w:rsidR="00714DE0" w:rsidRPr="00255E19" w:rsidRDefault="00714DE0" w:rsidP="00E70E02">
      <w:pPr>
        <w:pStyle w:val="NormalWeb"/>
        <w:keepNext/>
        <w:keepLines/>
        <w:spacing w:before="0" w:beforeAutospacing="0" w:after="0" w:afterAutospacing="0"/>
        <w:jc w:val="both"/>
        <w:rPr>
          <w:sz w:val="20"/>
          <w:szCs w:val="20"/>
        </w:rPr>
      </w:pPr>
    </w:p>
    <w:p w:rsidR="00714DE0" w:rsidRPr="00255E19" w:rsidRDefault="00714DE0" w:rsidP="00E70E02">
      <w:pPr>
        <w:jc w:val="center"/>
        <w:rPr>
          <w:szCs w:val="20"/>
        </w:rPr>
      </w:pPr>
      <w:r w:rsidRPr="0033392A">
        <w:rPr>
          <w:noProof/>
        </w:rPr>
        <w:drawing>
          <wp:inline distT="0" distB="0" distL="0" distR="0" wp14:anchorId="07E97E49" wp14:editId="239E729D">
            <wp:extent cx="5554980" cy="1220029"/>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567470" cy="1222772"/>
                    </a:xfrm>
                    <a:prstGeom prst="rect">
                      <a:avLst/>
                    </a:prstGeom>
                    <a:noFill/>
                    <a:ln>
                      <a:noFill/>
                    </a:ln>
                  </pic:spPr>
                </pic:pic>
              </a:graphicData>
            </a:graphic>
          </wp:inline>
        </w:drawing>
      </w:r>
    </w:p>
    <w:p w:rsidR="00714DE0" w:rsidRDefault="00714DE0" w:rsidP="00E70E02">
      <w:pPr>
        <w:widowControl w:val="0"/>
        <w:autoSpaceDE w:val="0"/>
        <w:autoSpaceDN w:val="0"/>
        <w:adjustRightInd w:val="0"/>
        <w:jc w:val="both"/>
        <w:rPr>
          <w:i/>
          <w:sz w:val="16"/>
          <w:szCs w:val="16"/>
        </w:rPr>
      </w:pPr>
    </w:p>
    <w:p w:rsidR="00714DE0" w:rsidRPr="00255E19" w:rsidRDefault="00714DE0" w:rsidP="00E70E02">
      <w:pPr>
        <w:widowControl w:val="0"/>
        <w:autoSpaceDE w:val="0"/>
        <w:autoSpaceDN w:val="0"/>
        <w:adjustRightInd w:val="0"/>
        <w:jc w:val="both"/>
        <w:rPr>
          <w:rFonts w:cs="Arial"/>
          <w:szCs w:val="20"/>
        </w:rPr>
      </w:pPr>
      <w:r w:rsidRPr="00BD71FF">
        <w:rPr>
          <w:i/>
          <w:sz w:val="16"/>
          <w:szCs w:val="16"/>
        </w:rPr>
        <w:t>NOTE: The 2014/15 Budget after Transfers reflects transfers as of March 31, 2015 to address needs during the 2014/15 biennium in line with Financial Regulation 5.5</w:t>
      </w:r>
      <w:r w:rsidRPr="00EE70B8">
        <w:rPr>
          <w:sz w:val="16"/>
          <w:szCs w:val="16"/>
        </w:rPr>
        <w:t>.</w:t>
      </w:r>
    </w:p>
    <w:p w:rsidR="00714DE0" w:rsidRPr="00255E19" w:rsidRDefault="00714DE0" w:rsidP="00E70E02">
      <w:pPr>
        <w:widowControl w:val="0"/>
        <w:autoSpaceDE w:val="0"/>
        <w:autoSpaceDN w:val="0"/>
        <w:adjustRightInd w:val="0"/>
        <w:jc w:val="both"/>
        <w:rPr>
          <w:rFonts w:cs="Arial"/>
          <w:szCs w:val="20"/>
        </w:rPr>
      </w:pPr>
    </w:p>
    <w:p w:rsidR="00714DE0" w:rsidRPr="00255E19" w:rsidRDefault="00714DE0" w:rsidP="00E70E02">
      <w:pPr>
        <w:jc w:val="both"/>
        <w:rPr>
          <w:rFonts w:cs="Arial"/>
          <w:szCs w:val="20"/>
          <w:u w:val="single"/>
        </w:rPr>
      </w:pPr>
      <w:r w:rsidRPr="00255E19">
        <w:rPr>
          <w:rFonts w:cs="Arial"/>
          <w:szCs w:val="20"/>
        </w:rPr>
        <w:t>A.</w:t>
      </w:r>
      <w:r w:rsidRPr="00255E19">
        <w:rPr>
          <w:rFonts w:cs="Arial"/>
          <w:szCs w:val="20"/>
        </w:rPr>
        <w:tab/>
      </w:r>
      <w:r w:rsidRPr="00255E19">
        <w:rPr>
          <w:rFonts w:cs="Arial"/>
          <w:szCs w:val="20"/>
          <w:u w:val="single"/>
        </w:rPr>
        <w:t>Budget after Transfers 2014/15</w:t>
      </w:r>
    </w:p>
    <w:p w:rsidR="00714DE0" w:rsidRPr="00255E19" w:rsidRDefault="00714DE0" w:rsidP="00E70E02">
      <w:pPr>
        <w:jc w:val="both"/>
        <w:rPr>
          <w:rFonts w:cs="Arial"/>
          <w:szCs w:val="20"/>
          <w:u w:val="single"/>
        </w:rPr>
      </w:pPr>
    </w:p>
    <w:p w:rsidR="00714DE0" w:rsidRDefault="00714DE0" w:rsidP="001E4922">
      <w:pPr>
        <w:pStyle w:val="ListParagraph"/>
        <w:numPr>
          <w:ilvl w:val="0"/>
          <w:numId w:val="37"/>
        </w:numPr>
        <w:tabs>
          <w:tab w:val="left" w:pos="0"/>
          <w:tab w:val="left" w:pos="709"/>
        </w:tabs>
        <w:ind w:left="0" w:firstLine="0"/>
        <w:jc w:val="both"/>
        <w:rPr>
          <w:lang w:eastAsia="ko-KR"/>
        </w:rPr>
      </w:pPr>
      <w:r>
        <w:rPr>
          <w:lang w:eastAsia="ko-KR"/>
        </w:rPr>
        <w:t xml:space="preserve">The overall decrease in the 2014/15 Budget after Transfers is primarily the net result of, on the one hand, ongoing regularizations of continuing functions and, on the other hand, the redeployment of a post from the Program to the External Offices. </w:t>
      </w:r>
    </w:p>
    <w:p w:rsidR="00714DE0" w:rsidRDefault="00714DE0" w:rsidP="00E70E02">
      <w:pPr>
        <w:autoSpaceDE w:val="0"/>
        <w:autoSpaceDN w:val="0"/>
        <w:jc w:val="both"/>
        <w:rPr>
          <w:lang w:eastAsia="ko-KR"/>
        </w:rPr>
      </w:pPr>
    </w:p>
    <w:p w:rsidR="00714DE0" w:rsidRDefault="00714DE0" w:rsidP="001E4922">
      <w:pPr>
        <w:pStyle w:val="ListParagraph"/>
        <w:numPr>
          <w:ilvl w:val="0"/>
          <w:numId w:val="37"/>
        </w:numPr>
        <w:tabs>
          <w:tab w:val="left" w:pos="0"/>
          <w:tab w:val="left" w:pos="709"/>
        </w:tabs>
        <w:ind w:left="0" w:firstLine="0"/>
        <w:jc w:val="both"/>
        <w:rPr>
          <w:lang w:eastAsia="ko-KR"/>
        </w:rPr>
      </w:pPr>
      <w:r>
        <w:rPr>
          <w:lang w:eastAsia="ko-KR"/>
        </w:rPr>
        <w:t xml:space="preserve">The slight increase in non-personnel resources is due to additional resources provided for the completion of the DA project </w:t>
      </w:r>
      <w:r>
        <w:rPr>
          <w:i/>
          <w:iCs/>
          <w:lang w:eastAsia="ko-KR"/>
        </w:rPr>
        <w:t>Developing Tools for Access to Patent Information - Phase 2 for Patent Landscape component (project now closed)</w:t>
      </w:r>
      <w:r>
        <w:rPr>
          <w:lang w:eastAsia="ko-KR"/>
        </w:rPr>
        <w:t xml:space="preserve">. </w:t>
      </w:r>
    </w:p>
    <w:p w:rsidR="00714DE0" w:rsidRPr="00255E19" w:rsidRDefault="00714DE0" w:rsidP="00E70E02">
      <w:pPr>
        <w:autoSpaceDE w:val="0"/>
        <w:autoSpaceDN w:val="0"/>
        <w:jc w:val="both"/>
        <w:rPr>
          <w:rFonts w:cs="Arial"/>
          <w:szCs w:val="20"/>
          <w:lang w:eastAsia="ko-KR"/>
        </w:rPr>
      </w:pPr>
    </w:p>
    <w:p w:rsidR="00714DE0" w:rsidRDefault="00714DE0" w:rsidP="00E70E02">
      <w:pPr>
        <w:jc w:val="both"/>
        <w:rPr>
          <w:rFonts w:cs="Arial"/>
          <w:szCs w:val="20"/>
          <w:u w:val="single"/>
          <w:lang w:eastAsia="ko-KR"/>
        </w:rPr>
      </w:pPr>
      <w:r w:rsidRPr="00255E19">
        <w:rPr>
          <w:rFonts w:cs="Arial"/>
          <w:szCs w:val="20"/>
          <w:lang w:eastAsia="ko-KR"/>
        </w:rPr>
        <w:t>B.</w:t>
      </w:r>
      <w:r w:rsidRPr="00255E19">
        <w:rPr>
          <w:rFonts w:cs="Arial"/>
          <w:szCs w:val="20"/>
          <w:lang w:eastAsia="ko-KR"/>
        </w:rPr>
        <w:tab/>
      </w:r>
      <w:r w:rsidRPr="00255E19">
        <w:rPr>
          <w:rFonts w:cs="Arial"/>
          <w:szCs w:val="20"/>
          <w:u w:val="single"/>
          <w:lang w:eastAsia="ko-KR"/>
        </w:rPr>
        <w:t>Budget utilization 2014</w:t>
      </w:r>
    </w:p>
    <w:p w:rsidR="00714DE0" w:rsidRDefault="00714DE0" w:rsidP="00E70E02">
      <w:pPr>
        <w:jc w:val="both"/>
        <w:rPr>
          <w:rFonts w:cs="Arial"/>
          <w:szCs w:val="20"/>
          <w:u w:val="single"/>
          <w:lang w:eastAsia="ko-KR"/>
        </w:rPr>
      </w:pPr>
    </w:p>
    <w:p w:rsidR="00714DE0" w:rsidRDefault="00714DE0" w:rsidP="001E4922">
      <w:pPr>
        <w:pStyle w:val="ListParagraph"/>
        <w:numPr>
          <w:ilvl w:val="0"/>
          <w:numId w:val="37"/>
        </w:numPr>
        <w:tabs>
          <w:tab w:val="left" w:pos="0"/>
          <w:tab w:val="left" w:pos="709"/>
        </w:tabs>
        <w:ind w:left="0" w:firstLine="0"/>
        <w:jc w:val="both"/>
      </w:pPr>
      <w:r w:rsidRPr="001E4922">
        <w:rPr>
          <w:rFonts w:cs="Arial"/>
        </w:rPr>
        <w:t>The</w:t>
      </w:r>
      <w:r>
        <w:rPr>
          <w:lang w:eastAsia="ko-KR"/>
        </w:rPr>
        <w:t xml:space="preserve"> overall budget utilization is within the expected range of 40-60% for the first year of the biennium. The low utilization of non-personnel </w:t>
      </w:r>
      <w:r>
        <w:t>resources was due to a concerted promotion of self-sustainability for existing TISC networks.  </w:t>
      </w:r>
    </w:p>
    <w:p w:rsidR="00714DE0" w:rsidRPr="00255E19" w:rsidRDefault="00714DE0" w:rsidP="00E70E02">
      <w:pPr>
        <w:jc w:val="both"/>
        <w:rPr>
          <w:rFonts w:cs="Arial"/>
          <w:szCs w:val="20"/>
          <w:u w:val="single"/>
          <w:lang w:eastAsia="ko-KR"/>
        </w:rPr>
      </w:pPr>
    </w:p>
    <w:p w:rsidR="007852E3" w:rsidRDefault="007852E3"/>
    <w:p w:rsidR="00D97F1C" w:rsidRDefault="00D97F1C">
      <w:r>
        <w:br w:type="page"/>
      </w:r>
    </w:p>
    <w:p w:rsidR="00D97F1C" w:rsidRPr="00CE1FA2" w:rsidRDefault="00D97F1C" w:rsidP="00D97F1C">
      <w:pPr>
        <w:pStyle w:val="Heading2"/>
        <w:tabs>
          <w:tab w:val="clear" w:pos="567"/>
          <w:tab w:val="left" w:pos="1985"/>
        </w:tabs>
        <w:jc w:val="both"/>
        <w:rPr>
          <w:sz w:val="20"/>
          <w:szCs w:val="20"/>
        </w:rPr>
      </w:pPr>
      <w:bookmarkStart w:id="75" w:name="_Toc422210499"/>
      <w:r w:rsidRPr="00671186">
        <w:rPr>
          <w:szCs w:val="20"/>
        </w:rPr>
        <w:lastRenderedPageBreak/>
        <w:t>PROGRAM 15</w:t>
      </w:r>
      <w:r w:rsidRPr="00671186">
        <w:rPr>
          <w:szCs w:val="20"/>
        </w:rPr>
        <w:tab/>
      </w:r>
      <w:r w:rsidRPr="00671186">
        <w:rPr>
          <w:szCs w:val="20"/>
        </w:rPr>
        <w:tab/>
        <w:t>BUSINESS SOLUTIONS FOR IP OFFICES</w:t>
      </w:r>
      <w:bookmarkEnd w:id="75"/>
    </w:p>
    <w:p w:rsidR="00D97F1C" w:rsidRPr="009022DD" w:rsidRDefault="00D97F1C" w:rsidP="00D97F1C">
      <w:pPr>
        <w:jc w:val="both"/>
        <w:rPr>
          <w:rFonts w:cs="Arial"/>
          <w:szCs w:val="20"/>
        </w:rPr>
      </w:pPr>
    </w:p>
    <w:p w:rsidR="00D97F1C" w:rsidRPr="00CE1FA2" w:rsidRDefault="00D97F1C" w:rsidP="00D97F1C">
      <w:pPr>
        <w:tabs>
          <w:tab w:val="left" w:pos="1985"/>
        </w:tabs>
        <w:jc w:val="both"/>
        <w:rPr>
          <w:rFonts w:cs="Arial"/>
          <w:b/>
          <w:szCs w:val="20"/>
        </w:rPr>
      </w:pPr>
      <w:r w:rsidRPr="00CE1FA2">
        <w:rPr>
          <w:rFonts w:cs="Arial"/>
          <w:b/>
          <w:szCs w:val="20"/>
        </w:rPr>
        <w:t>Program Manager</w:t>
      </w:r>
      <w:r w:rsidRPr="00CE1FA2">
        <w:rPr>
          <w:rFonts w:cs="Arial"/>
          <w:b/>
          <w:szCs w:val="20"/>
        </w:rPr>
        <w:tab/>
        <w:t>Mr. Y</w:t>
      </w:r>
      <w:r>
        <w:rPr>
          <w:rFonts w:cs="Arial"/>
          <w:b/>
          <w:szCs w:val="20"/>
        </w:rPr>
        <w:t>.</w:t>
      </w:r>
      <w:r w:rsidRPr="00CE1FA2">
        <w:rPr>
          <w:rFonts w:cs="Arial"/>
          <w:b/>
          <w:szCs w:val="20"/>
        </w:rPr>
        <w:t xml:space="preserve"> Takagi</w:t>
      </w:r>
    </w:p>
    <w:p w:rsidR="00D97F1C" w:rsidRPr="009022DD" w:rsidRDefault="00D97F1C" w:rsidP="00D97F1C">
      <w:pPr>
        <w:jc w:val="both"/>
        <w:rPr>
          <w:rFonts w:cs="Arial"/>
          <w:szCs w:val="20"/>
        </w:rPr>
      </w:pPr>
    </w:p>
    <w:p w:rsidR="00F27486" w:rsidRPr="009022DD" w:rsidRDefault="00F27486" w:rsidP="00FD7155">
      <w:pPr>
        <w:jc w:val="both"/>
        <w:rPr>
          <w:rFonts w:cs="Arial"/>
          <w:szCs w:val="20"/>
        </w:rPr>
      </w:pPr>
    </w:p>
    <w:p w:rsidR="00F27486" w:rsidRPr="00CE1FA2" w:rsidRDefault="00F27486" w:rsidP="00FD7155">
      <w:pPr>
        <w:jc w:val="both"/>
        <w:rPr>
          <w:rFonts w:cs="Arial"/>
          <w:bCs/>
          <w:szCs w:val="20"/>
        </w:rPr>
      </w:pPr>
      <w:r w:rsidRPr="00671186">
        <w:rPr>
          <w:rFonts w:cs="Arial"/>
          <w:bCs/>
          <w:sz w:val="22"/>
          <w:szCs w:val="20"/>
        </w:rPr>
        <w:t>OVERVIEW OF PROGRESS IN 2014</w:t>
      </w:r>
    </w:p>
    <w:p w:rsidR="00F27486" w:rsidRPr="00CE1FA2" w:rsidRDefault="00F27486" w:rsidP="00FD7155">
      <w:pPr>
        <w:jc w:val="both"/>
        <w:rPr>
          <w:rFonts w:cs="Arial"/>
          <w:szCs w:val="20"/>
        </w:rPr>
      </w:pPr>
    </w:p>
    <w:p w:rsidR="00F27486" w:rsidRPr="00671186" w:rsidRDefault="00F27486" w:rsidP="00F27486">
      <w:pPr>
        <w:pStyle w:val="ListParagraph"/>
        <w:numPr>
          <w:ilvl w:val="0"/>
          <w:numId w:val="76"/>
        </w:numPr>
        <w:tabs>
          <w:tab w:val="left" w:pos="709"/>
        </w:tabs>
        <w:ind w:left="0" w:firstLine="0"/>
        <w:jc w:val="both"/>
        <w:rPr>
          <w:rFonts w:cs="Arial"/>
          <w:lang w:val="en-SG"/>
        </w:rPr>
      </w:pPr>
      <w:r w:rsidRPr="00F47B71">
        <w:rPr>
          <w:rFonts w:cs="Arial"/>
          <w:lang w:val="en-SG"/>
        </w:rPr>
        <w:t xml:space="preserve">During 2014, </w:t>
      </w:r>
      <w:r w:rsidRPr="00671186">
        <w:rPr>
          <w:rFonts w:cs="Arial"/>
          <w:lang w:val="en-SG"/>
        </w:rPr>
        <w:t xml:space="preserve">demand for technical assistance from IP Offices continued to increase both in terms of the number of offices requesting assistance and in the range of assistance requested, in particular with regard to electronic document management, online filing, and online publication.  </w:t>
      </w:r>
    </w:p>
    <w:p w:rsidR="00F27486" w:rsidRPr="004656AC" w:rsidRDefault="00F27486" w:rsidP="00FD7155">
      <w:pPr>
        <w:tabs>
          <w:tab w:val="left" w:pos="709"/>
        </w:tabs>
        <w:jc w:val="both"/>
        <w:rPr>
          <w:rFonts w:cs="Arial"/>
          <w:szCs w:val="20"/>
        </w:rPr>
      </w:pPr>
    </w:p>
    <w:p w:rsidR="00F27486" w:rsidRPr="00671186" w:rsidRDefault="00F27486" w:rsidP="00F27486">
      <w:pPr>
        <w:pStyle w:val="ListParagraph"/>
        <w:numPr>
          <w:ilvl w:val="0"/>
          <w:numId w:val="76"/>
        </w:numPr>
        <w:tabs>
          <w:tab w:val="left" w:pos="709"/>
        </w:tabs>
        <w:ind w:left="0" w:firstLine="0"/>
        <w:jc w:val="both"/>
        <w:rPr>
          <w:rFonts w:cs="Arial"/>
          <w:lang w:val="en-SG"/>
        </w:rPr>
      </w:pPr>
      <w:r w:rsidRPr="00F47B71">
        <w:rPr>
          <w:rFonts w:cs="Arial"/>
          <w:lang w:val="en-SG"/>
        </w:rPr>
        <w:t xml:space="preserve">In response, </w:t>
      </w:r>
      <w:r w:rsidRPr="00671186">
        <w:rPr>
          <w:rFonts w:cs="Arial"/>
          <w:lang w:val="en-SG"/>
        </w:rPr>
        <w:t xml:space="preserve">the IB continued to develop the products to support IP Offices’ business processes, in particular the Industrial Property Administration System (IPAS).  Major new features added in 2014 included better support for electronic document management and support for bilingual operations, particularly for offices working in </w:t>
      </w:r>
      <w:r>
        <w:rPr>
          <w:rFonts w:cs="Arial"/>
          <w:lang w:val="en-SG"/>
        </w:rPr>
        <w:t xml:space="preserve">the </w:t>
      </w:r>
      <w:r w:rsidRPr="00671186">
        <w:rPr>
          <w:rFonts w:cs="Arial"/>
          <w:lang w:val="en-SG"/>
        </w:rPr>
        <w:t>Arabic</w:t>
      </w:r>
      <w:r>
        <w:rPr>
          <w:rFonts w:cs="Arial"/>
          <w:lang w:val="en-SG"/>
        </w:rPr>
        <w:t xml:space="preserve"> language</w:t>
      </w:r>
      <w:r w:rsidRPr="00671186">
        <w:rPr>
          <w:rFonts w:cs="Arial"/>
          <w:lang w:val="en-SG"/>
        </w:rPr>
        <w:t xml:space="preserve">. </w:t>
      </w:r>
    </w:p>
    <w:p w:rsidR="00F27486" w:rsidRPr="00CE1FA2" w:rsidRDefault="00F27486" w:rsidP="00FD7155">
      <w:pPr>
        <w:tabs>
          <w:tab w:val="left" w:pos="709"/>
        </w:tabs>
        <w:jc w:val="both"/>
        <w:rPr>
          <w:rFonts w:cs="Arial"/>
          <w:szCs w:val="20"/>
          <w:lang w:val="en-SG"/>
        </w:rPr>
      </w:pPr>
    </w:p>
    <w:p w:rsidR="00F27486" w:rsidRPr="00671186" w:rsidRDefault="00F27486" w:rsidP="00F27486">
      <w:pPr>
        <w:pStyle w:val="ListParagraph"/>
        <w:numPr>
          <w:ilvl w:val="0"/>
          <w:numId w:val="76"/>
        </w:numPr>
        <w:tabs>
          <w:tab w:val="left" w:pos="709"/>
        </w:tabs>
        <w:ind w:left="0" w:firstLine="0"/>
        <w:jc w:val="both"/>
        <w:rPr>
          <w:rFonts w:cs="Arial"/>
          <w:lang w:val="en-SG"/>
        </w:rPr>
      </w:pPr>
      <w:r w:rsidRPr="00F47B71">
        <w:rPr>
          <w:rFonts w:cs="Arial"/>
          <w:lang w:val="en-SG"/>
        </w:rPr>
        <w:t xml:space="preserve">Two new modules </w:t>
      </w:r>
      <w:r w:rsidRPr="00671186">
        <w:rPr>
          <w:rFonts w:cs="Arial"/>
          <w:lang w:val="en-SG"/>
        </w:rPr>
        <w:t xml:space="preserve">were developed and are now being tested and piloted in several IP offices: </w:t>
      </w:r>
    </w:p>
    <w:p w:rsidR="00F27486" w:rsidRPr="00CE1FA2" w:rsidRDefault="00F27486" w:rsidP="00FD7155">
      <w:pPr>
        <w:jc w:val="both"/>
        <w:rPr>
          <w:rFonts w:cs="Arial"/>
          <w:szCs w:val="20"/>
          <w:lang w:val="en-SG"/>
        </w:rPr>
      </w:pPr>
    </w:p>
    <w:p w:rsidR="00F27486" w:rsidRDefault="00F27486" w:rsidP="00F27486">
      <w:pPr>
        <w:pStyle w:val="ListParagraph"/>
        <w:numPr>
          <w:ilvl w:val="0"/>
          <w:numId w:val="75"/>
        </w:numPr>
        <w:ind w:left="1134" w:hanging="425"/>
        <w:jc w:val="both"/>
        <w:rPr>
          <w:rFonts w:cs="Arial"/>
        </w:rPr>
      </w:pPr>
      <w:r w:rsidRPr="00CE1FA2">
        <w:rPr>
          <w:rFonts w:cs="Arial"/>
          <w:lang w:val="en-SG"/>
        </w:rPr>
        <w:t xml:space="preserve">WIPO Publish </w:t>
      </w:r>
      <w:r>
        <w:rPr>
          <w:rFonts w:cs="Arial"/>
          <w:lang w:val="en-SG"/>
        </w:rPr>
        <w:t>was</w:t>
      </w:r>
      <w:r w:rsidRPr="00CE1FA2">
        <w:rPr>
          <w:rFonts w:cs="Arial"/>
          <w:lang w:val="en-SG"/>
        </w:rPr>
        <w:t xml:space="preserve"> </w:t>
      </w:r>
      <w:r w:rsidRPr="00CE1FA2">
        <w:rPr>
          <w:rFonts w:cs="Arial"/>
        </w:rPr>
        <w:t xml:space="preserve">designed to meet </w:t>
      </w:r>
      <w:r>
        <w:rPr>
          <w:rFonts w:cs="Arial"/>
        </w:rPr>
        <w:t>O</w:t>
      </w:r>
      <w:r w:rsidRPr="00CE1FA2">
        <w:rPr>
          <w:rFonts w:cs="Arial"/>
        </w:rPr>
        <w:t xml:space="preserve">ffices’ needs for online publication of IP data, documents, legal status and dossier information, as well as data exchange needs (including data exchange for WIPO global databases). </w:t>
      </w:r>
    </w:p>
    <w:p w:rsidR="00F27486" w:rsidRPr="00CE1FA2" w:rsidRDefault="00F27486" w:rsidP="00FD7155">
      <w:pPr>
        <w:pStyle w:val="ListParagraph"/>
        <w:jc w:val="both"/>
        <w:rPr>
          <w:rFonts w:cs="Arial"/>
        </w:rPr>
      </w:pPr>
    </w:p>
    <w:p w:rsidR="00F27486" w:rsidRPr="00CE1FA2" w:rsidRDefault="00F27486" w:rsidP="00F27486">
      <w:pPr>
        <w:pStyle w:val="ListParagraph"/>
        <w:numPr>
          <w:ilvl w:val="0"/>
          <w:numId w:val="75"/>
        </w:numPr>
        <w:ind w:left="1134" w:hanging="425"/>
        <w:jc w:val="both"/>
        <w:rPr>
          <w:rFonts w:cs="Arial"/>
        </w:rPr>
      </w:pPr>
      <w:r w:rsidRPr="00CE1FA2">
        <w:rPr>
          <w:rFonts w:cs="Arial"/>
          <w:lang w:val="en-SG"/>
        </w:rPr>
        <w:t xml:space="preserve">WIPO File </w:t>
      </w:r>
      <w:r>
        <w:rPr>
          <w:rFonts w:cs="Arial"/>
          <w:lang w:val="en-SG"/>
        </w:rPr>
        <w:t>was</w:t>
      </w:r>
      <w:r w:rsidRPr="00CE1FA2">
        <w:rPr>
          <w:rFonts w:cs="Arial"/>
          <w:lang w:val="en-SG"/>
        </w:rPr>
        <w:t xml:space="preserve"> </w:t>
      </w:r>
      <w:r w:rsidRPr="00CE1FA2">
        <w:rPr>
          <w:rFonts w:cs="Arial"/>
        </w:rPr>
        <w:t>designed to provide an online filing solution for small</w:t>
      </w:r>
      <w:r>
        <w:rPr>
          <w:rFonts w:cs="Arial"/>
        </w:rPr>
        <w:t xml:space="preserve"> and </w:t>
      </w:r>
      <w:r w:rsidRPr="00CE1FA2">
        <w:rPr>
          <w:rFonts w:cs="Arial"/>
        </w:rPr>
        <w:t>medium offices</w:t>
      </w:r>
      <w:r>
        <w:rPr>
          <w:rFonts w:cs="Arial"/>
        </w:rPr>
        <w:t xml:space="preserve">, including the flexibility to </w:t>
      </w:r>
      <w:r w:rsidRPr="00CE1FA2">
        <w:rPr>
          <w:rFonts w:cs="Arial"/>
        </w:rPr>
        <w:t>be extensively customized for local conditions (e.g. for local payment systems).</w:t>
      </w:r>
    </w:p>
    <w:p w:rsidR="00F27486" w:rsidRDefault="00F27486" w:rsidP="00FD7155">
      <w:pPr>
        <w:jc w:val="both"/>
        <w:rPr>
          <w:rFonts w:cs="Arial"/>
        </w:rPr>
      </w:pPr>
    </w:p>
    <w:p w:rsidR="00F27486" w:rsidRPr="008B1357" w:rsidRDefault="00F27486" w:rsidP="00F27486">
      <w:pPr>
        <w:pStyle w:val="ListParagraph"/>
        <w:numPr>
          <w:ilvl w:val="0"/>
          <w:numId w:val="76"/>
        </w:numPr>
        <w:tabs>
          <w:tab w:val="left" w:pos="709"/>
        </w:tabs>
        <w:ind w:left="0" w:firstLine="0"/>
        <w:jc w:val="both"/>
        <w:rPr>
          <w:rFonts w:cs="Arial"/>
        </w:rPr>
      </w:pPr>
      <w:r>
        <w:rPr>
          <w:rFonts w:cs="Arial"/>
        </w:rPr>
        <w:t xml:space="preserve">In 2014, </w:t>
      </w:r>
      <w:r w:rsidRPr="008B1357">
        <w:rPr>
          <w:rFonts w:cs="Arial"/>
        </w:rPr>
        <w:t xml:space="preserve">the Program </w:t>
      </w:r>
      <w:r>
        <w:rPr>
          <w:rFonts w:cs="Arial"/>
        </w:rPr>
        <w:t>began</w:t>
      </w:r>
      <w:r w:rsidRPr="008B1357">
        <w:rPr>
          <w:rFonts w:cs="Arial"/>
        </w:rPr>
        <w:t xml:space="preserve"> implementation of </w:t>
      </w:r>
      <w:r>
        <w:rPr>
          <w:rFonts w:cs="Arial"/>
        </w:rPr>
        <w:t>a</w:t>
      </w:r>
      <w:r w:rsidRPr="008B1357">
        <w:rPr>
          <w:rFonts w:cs="Arial"/>
        </w:rPr>
        <w:t xml:space="preserve"> new strategy </w:t>
      </w:r>
      <w:r>
        <w:rPr>
          <w:rFonts w:cs="Arial"/>
        </w:rPr>
        <w:t xml:space="preserve">defined in 2013 </w:t>
      </w:r>
      <w:r w:rsidRPr="008B1357">
        <w:rPr>
          <w:rFonts w:cs="Arial"/>
        </w:rPr>
        <w:t xml:space="preserve">to enhance support levels, knowledge transfer and training.  As part of the strategy, </w:t>
      </w:r>
      <w:r w:rsidRPr="00CE1FA2">
        <w:rPr>
          <w:rFonts w:cs="Arial"/>
        </w:rPr>
        <w:t xml:space="preserve">a new support model, featuring an “IPAS Helpdesk” was </w:t>
      </w:r>
      <w:r>
        <w:rPr>
          <w:rFonts w:cs="Arial"/>
        </w:rPr>
        <w:t xml:space="preserve">implemented </w:t>
      </w:r>
      <w:r w:rsidRPr="00CE1FA2">
        <w:rPr>
          <w:rFonts w:cs="Arial"/>
        </w:rPr>
        <w:t xml:space="preserve">with dedicated resources and more formal procedures.  In addition, </w:t>
      </w:r>
      <w:r>
        <w:rPr>
          <w:rFonts w:cs="Arial"/>
        </w:rPr>
        <w:t xml:space="preserve">several </w:t>
      </w:r>
      <w:r w:rsidRPr="008B1357">
        <w:rPr>
          <w:rFonts w:cs="Arial"/>
        </w:rPr>
        <w:t>technical training workshops to enhance capacities on relevant topics were organized in several regions.</w:t>
      </w:r>
      <w:r w:rsidRPr="00906426">
        <w:rPr>
          <w:rFonts w:cs="Arial"/>
        </w:rPr>
        <w:t xml:space="preserve"> </w:t>
      </w:r>
    </w:p>
    <w:p w:rsidR="00F27486" w:rsidRPr="00CE1FA2" w:rsidRDefault="00F27486" w:rsidP="00FD7155">
      <w:pPr>
        <w:jc w:val="both"/>
        <w:rPr>
          <w:rFonts w:cs="Arial"/>
          <w:szCs w:val="20"/>
        </w:rPr>
      </w:pPr>
    </w:p>
    <w:p w:rsidR="00F27486" w:rsidRDefault="00F27486" w:rsidP="00F27486">
      <w:pPr>
        <w:pStyle w:val="ListParagraph"/>
        <w:numPr>
          <w:ilvl w:val="0"/>
          <w:numId w:val="76"/>
        </w:numPr>
        <w:tabs>
          <w:tab w:val="left" w:pos="709"/>
        </w:tabs>
        <w:ind w:left="0" w:firstLine="0"/>
        <w:jc w:val="both"/>
        <w:rPr>
          <w:rFonts w:cs="Arial"/>
        </w:rPr>
      </w:pPr>
      <w:r>
        <w:rPr>
          <w:rFonts w:cs="Arial"/>
        </w:rPr>
        <w:t xml:space="preserve">With the assistance of the </w:t>
      </w:r>
      <w:r w:rsidRPr="001B6464">
        <w:rPr>
          <w:rFonts w:cs="Arial"/>
        </w:rPr>
        <w:t>Government of Japan through the Funds-in-Trust (FIT</w:t>
      </w:r>
      <w:r>
        <w:rPr>
          <w:rFonts w:cs="Arial"/>
        </w:rPr>
        <w:t>s</w:t>
      </w:r>
      <w:r w:rsidRPr="001B6464">
        <w:rPr>
          <w:rFonts w:cs="Arial"/>
        </w:rPr>
        <w:t>), the Program</w:t>
      </w:r>
      <w:r>
        <w:rPr>
          <w:rFonts w:cs="Arial"/>
        </w:rPr>
        <w:t xml:space="preserve"> supported </w:t>
      </w:r>
      <w:r w:rsidRPr="00054FBF">
        <w:rPr>
          <w:rFonts w:cs="Arial"/>
        </w:rPr>
        <w:t xml:space="preserve">digitization projects in IP Offices, in particular in Africa (ARIPO, Ethiopia, Nigeria, </w:t>
      </w:r>
      <w:proofErr w:type="gramStart"/>
      <w:r w:rsidRPr="00054FBF">
        <w:rPr>
          <w:rFonts w:cs="Arial"/>
        </w:rPr>
        <w:t>OAPI</w:t>
      </w:r>
      <w:proofErr w:type="gramEnd"/>
      <w:r w:rsidRPr="00054FBF">
        <w:rPr>
          <w:rFonts w:cs="Arial"/>
        </w:rPr>
        <w:t xml:space="preserve">) and Asia and the Pacific (Brunei Darussalam, Cambodia).  A workshop was organized in July 2014 on technical requirements to facilitate </w:t>
      </w:r>
      <w:r>
        <w:rPr>
          <w:rFonts w:cs="Arial"/>
        </w:rPr>
        <w:t>the ASEAN Patent Examination Cooperation program</w:t>
      </w:r>
      <w:r w:rsidRPr="00054FBF">
        <w:rPr>
          <w:rFonts w:cs="Arial"/>
        </w:rPr>
        <w:t xml:space="preserve"> (ASPEC)</w:t>
      </w:r>
      <w:r>
        <w:rPr>
          <w:rFonts w:cs="Arial"/>
        </w:rPr>
        <w:t xml:space="preserve"> </w:t>
      </w:r>
      <w:r w:rsidRPr="00054FBF">
        <w:rPr>
          <w:rFonts w:cs="Arial"/>
        </w:rPr>
        <w:t>and the ASEAN IP Portal.  Substantial progress was made on the implementation of</w:t>
      </w:r>
      <w:r w:rsidRPr="00A730BD">
        <w:rPr>
          <w:rFonts w:cs="Arial"/>
        </w:rPr>
        <w:t xml:space="preserve"> new requirements</w:t>
      </w:r>
      <w:r w:rsidRPr="00512FD6">
        <w:rPr>
          <w:rFonts w:cs="Arial"/>
        </w:rPr>
        <w:t xml:space="preserve"> for ASEAN in WIPO CASE</w:t>
      </w:r>
      <w:r>
        <w:rPr>
          <w:rFonts w:cs="Arial"/>
        </w:rPr>
        <w:t>, resulting in the successful development of</w:t>
      </w:r>
      <w:r w:rsidRPr="00512FD6">
        <w:rPr>
          <w:rFonts w:cs="Arial"/>
        </w:rPr>
        <w:t xml:space="preserve"> a communication forum for ASEAN IP offices </w:t>
      </w:r>
      <w:r>
        <w:rPr>
          <w:rFonts w:cs="Arial"/>
        </w:rPr>
        <w:t xml:space="preserve">that was </w:t>
      </w:r>
      <w:r w:rsidRPr="00512FD6">
        <w:rPr>
          <w:rFonts w:cs="Arial"/>
        </w:rPr>
        <w:t>made available for testing purposes by participating IP office examiners</w:t>
      </w:r>
      <w:r>
        <w:rPr>
          <w:rFonts w:cs="Arial"/>
        </w:rPr>
        <w:t xml:space="preserve">. </w:t>
      </w:r>
    </w:p>
    <w:p w:rsidR="00F27486" w:rsidRPr="00512FD6" w:rsidRDefault="00F27486" w:rsidP="00FD7155">
      <w:pPr>
        <w:jc w:val="both"/>
        <w:rPr>
          <w:rFonts w:cs="Arial"/>
          <w:szCs w:val="20"/>
        </w:rPr>
      </w:pPr>
    </w:p>
    <w:p w:rsidR="00F27486" w:rsidRDefault="00F27486" w:rsidP="00F27486">
      <w:pPr>
        <w:pStyle w:val="ListParagraph"/>
        <w:numPr>
          <w:ilvl w:val="0"/>
          <w:numId w:val="76"/>
        </w:numPr>
        <w:tabs>
          <w:tab w:val="left" w:pos="709"/>
        </w:tabs>
        <w:ind w:left="0" w:firstLine="0"/>
        <w:jc w:val="both"/>
        <w:rPr>
          <w:rFonts w:cs="Arial"/>
        </w:rPr>
      </w:pPr>
      <w:r w:rsidRPr="00CE1FA2">
        <w:rPr>
          <w:rFonts w:cs="Arial"/>
        </w:rPr>
        <w:t>The WIPO Copyright Connection</w:t>
      </w:r>
      <w:r>
        <w:rPr>
          <w:rFonts w:cs="Arial"/>
        </w:rPr>
        <w:t xml:space="preserve"> (WCC)</w:t>
      </w:r>
      <w:r w:rsidRPr="00CE1FA2">
        <w:rPr>
          <w:rFonts w:cs="Arial"/>
        </w:rPr>
        <w:t xml:space="preserve"> project (successor to WIPOCOS) was </w:t>
      </w:r>
      <w:r>
        <w:rPr>
          <w:rFonts w:cs="Arial"/>
        </w:rPr>
        <w:t xml:space="preserve">also </w:t>
      </w:r>
      <w:r w:rsidRPr="00CE1FA2">
        <w:rPr>
          <w:rFonts w:cs="Arial"/>
        </w:rPr>
        <w:t xml:space="preserve">launched </w:t>
      </w:r>
      <w:r>
        <w:rPr>
          <w:rFonts w:cs="Arial"/>
        </w:rPr>
        <w:t xml:space="preserve">in 2014, </w:t>
      </w:r>
      <w:r w:rsidRPr="00CE1FA2">
        <w:rPr>
          <w:rFonts w:cs="Arial"/>
        </w:rPr>
        <w:t>with the aim of releasing an interconnected system for the management of author and neighboring rights.  A Business Expert Group (BEG) made up of representatives of volunteering</w:t>
      </w:r>
      <w:r>
        <w:rPr>
          <w:rFonts w:cs="Arial"/>
        </w:rPr>
        <w:t xml:space="preserve"> </w:t>
      </w:r>
      <w:r w:rsidRPr="00CE1FA2">
        <w:rPr>
          <w:rFonts w:cs="Arial"/>
        </w:rPr>
        <w:t xml:space="preserve">CMOs and business partners (representatives of international organizations and interested companies) was set up to define the business requirements of the system. </w:t>
      </w:r>
      <w:r>
        <w:rPr>
          <w:rFonts w:cs="Arial"/>
        </w:rPr>
        <w:t xml:space="preserve"> </w:t>
      </w:r>
      <w:r w:rsidRPr="00CE1FA2">
        <w:rPr>
          <w:rFonts w:cs="Arial"/>
        </w:rPr>
        <w:t>An external contractor was engaged at the end of 2014</w:t>
      </w:r>
      <w:r>
        <w:rPr>
          <w:rFonts w:cs="Arial"/>
        </w:rPr>
        <w:t>,</w:t>
      </w:r>
      <w:r w:rsidRPr="00CE1FA2">
        <w:rPr>
          <w:rFonts w:cs="Arial"/>
        </w:rPr>
        <w:t xml:space="preserve"> and a technical Proof of Concept is in progress.</w:t>
      </w:r>
      <w:r>
        <w:rPr>
          <w:rFonts w:cs="Arial"/>
        </w:rPr>
        <w:t xml:space="preserve"> The system is planned to be deployed in the relevant developing countries and LDCs in 2016.</w:t>
      </w:r>
    </w:p>
    <w:p w:rsidR="0042593C" w:rsidRDefault="0042593C" w:rsidP="0042593C">
      <w:pPr>
        <w:tabs>
          <w:tab w:val="left" w:pos="709"/>
        </w:tabs>
        <w:jc w:val="both"/>
        <w:rPr>
          <w:rFonts w:cs="Arial"/>
        </w:rPr>
      </w:pPr>
    </w:p>
    <w:p w:rsidR="0042593C" w:rsidRPr="0042593C" w:rsidRDefault="0042593C" w:rsidP="0042593C">
      <w:pPr>
        <w:tabs>
          <w:tab w:val="left" w:pos="709"/>
        </w:tabs>
        <w:jc w:val="both"/>
        <w:rPr>
          <w:rFonts w:cs="Arial"/>
        </w:rPr>
      </w:pPr>
    </w:p>
    <w:p w:rsidR="00F27486" w:rsidRPr="00043E22" w:rsidRDefault="00F27486" w:rsidP="0042593C">
      <w:pPr>
        <w:rPr>
          <w:b/>
        </w:rPr>
      </w:pPr>
      <w:r w:rsidRPr="00043E22">
        <w:rPr>
          <w:b/>
        </w:rPr>
        <w:t xml:space="preserve">IP Office Business Software Systems </w:t>
      </w:r>
    </w:p>
    <w:p w:rsidR="00F27486" w:rsidRPr="00043E22" w:rsidRDefault="00F27486" w:rsidP="0042593C">
      <w:pPr>
        <w:rPr>
          <w:b/>
        </w:rPr>
      </w:pPr>
    </w:p>
    <w:p w:rsidR="00F27486" w:rsidRPr="00022AC8" w:rsidRDefault="00F27486" w:rsidP="0042593C">
      <w:pPr>
        <w:pStyle w:val="ListParagraph"/>
        <w:numPr>
          <w:ilvl w:val="0"/>
          <w:numId w:val="76"/>
        </w:numPr>
        <w:tabs>
          <w:tab w:val="left" w:pos="709"/>
        </w:tabs>
        <w:ind w:left="0" w:firstLine="0"/>
        <w:jc w:val="both"/>
        <w:rPr>
          <w:rFonts w:cs="Arial"/>
        </w:rPr>
      </w:pPr>
      <w:r w:rsidRPr="00022AC8">
        <w:rPr>
          <w:rFonts w:cs="Arial"/>
        </w:rPr>
        <w:t xml:space="preserve">The graph </w:t>
      </w:r>
      <w:r>
        <w:rPr>
          <w:rFonts w:cs="Arial"/>
        </w:rPr>
        <w:t xml:space="preserve">below provides an overview of the steady increase in usage of the WIPO IP Office systems over the past five years. </w:t>
      </w:r>
      <w:r w:rsidRPr="00D342F4">
        <w:rPr>
          <w:bCs/>
        </w:rPr>
        <w:t>Some 6</w:t>
      </w:r>
      <w:r>
        <w:rPr>
          <w:bCs/>
        </w:rPr>
        <w:t>8</w:t>
      </w:r>
      <w:r w:rsidRPr="00D342F4">
        <w:rPr>
          <w:bCs/>
        </w:rPr>
        <w:t xml:space="preserve"> IP Off</w:t>
      </w:r>
      <w:r>
        <w:rPr>
          <w:bCs/>
        </w:rPr>
        <w:t>ices were using WIPO IP Office S</w:t>
      </w:r>
      <w:r w:rsidRPr="00D342F4">
        <w:rPr>
          <w:bCs/>
        </w:rPr>
        <w:t xml:space="preserve">ystems at the end of </w:t>
      </w:r>
      <w:r>
        <w:rPr>
          <w:bCs/>
        </w:rPr>
        <w:t>2014</w:t>
      </w:r>
      <w:r w:rsidRPr="00D342F4">
        <w:rPr>
          <w:bCs/>
        </w:rPr>
        <w:t xml:space="preserve"> (comprising IPAS, the WIPO Arab Industrial Property Management System (AIPMS), EDMS, </w:t>
      </w:r>
      <w:proofErr w:type="spellStart"/>
      <w:r w:rsidRPr="00D342F4">
        <w:rPr>
          <w:bCs/>
        </w:rPr>
        <w:t>WIPOScan</w:t>
      </w:r>
      <w:proofErr w:type="spellEnd"/>
      <w:r w:rsidRPr="00D342F4">
        <w:rPr>
          <w:bCs/>
        </w:rPr>
        <w:t xml:space="preserve"> and the WIPO Madrid Module).</w:t>
      </w:r>
    </w:p>
    <w:p w:rsidR="00F27486" w:rsidRPr="00CE1FA2" w:rsidRDefault="00F27486" w:rsidP="0042593C">
      <w:pPr>
        <w:jc w:val="both"/>
        <w:rPr>
          <w:rFonts w:cs="Arial"/>
          <w:szCs w:val="20"/>
        </w:rPr>
      </w:pPr>
    </w:p>
    <w:p w:rsidR="00F27486" w:rsidRPr="00CE1FA2" w:rsidRDefault="00F27486" w:rsidP="00F27486">
      <w:pPr>
        <w:keepNext/>
        <w:keepLines/>
        <w:autoSpaceDE w:val="0"/>
        <w:autoSpaceDN w:val="0"/>
        <w:adjustRightInd w:val="0"/>
        <w:jc w:val="center"/>
        <w:rPr>
          <w:rFonts w:cs="Arial"/>
          <w:szCs w:val="20"/>
        </w:rPr>
      </w:pPr>
      <w:r w:rsidRPr="00CE1FA2">
        <w:rPr>
          <w:rFonts w:cs="Arial"/>
          <w:noProof/>
          <w:szCs w:val="20"/>
        </w:rPr>
        <w:lastRenderedPageBreak/>
        <w:drawing>
          <wp:inline distT="0" distB="0" distL="0" distR="0" wp14:anchorId="109FBE70" wp14:editId="5B599A83">
            <wp:extent cx="5028947" cy="2943225"/>
            <wp:effectExtent l="0" t="0" r="635" b="0"/>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5027962" cy="2942648"/>
                    </a:xfrm>
                    <a:prstGeom prst="rect">
                      <a:avLst/>
                    </a:prstGeom>
                  </pic:spPr>
                </pic:pic>
              </a:graphicData>
            </a:graphic>
          </wp:inline>
        </w:drawing>
      </w:r>
    </w:p>
    <w:p w:rsidR="00F27486" w:rsidRDefault="00F27486" w:rsidP="00FD7155">
      <w:pPr>
        <w:keepNext/>
        <w:keepLines/>
        <w:autoSpaceDE w:val="0"/>
        <w:autoSpaceDN w:val="0"/>
        <w:adjustRightInd w:val="0"/>
        <w:jc w:val="both"/>
        <w:rPr>
          <w:rFonts w:cs="Arial"/>
          <w:szCs w:val="20"/>
        </w:rPr>
      </w:pPr>
    </w:p>
    <w:p w:rsidR="00F27486" w:rsidRPr="00043E22" w:rsidRDefault="00F27486" w:rsidP="00043E22">
      <w:pPr>
        <w:pStyle w:val="PlainText"/>
        <w:rPr>
          <w:rFonts w:ascii="Arial" w:hAnsi="Arial" w:cs="Arial"/>
          <w:b/>
          <w:color w:val="auto"/>
        </w:rPr>
      </w:pPr>
      <w:r w:rsidRPr="00043E22">
        <w:rPr>
          <w:rFonts w:ascii="Arial" w:hAnsi="Arial" w:cs="Arial"/>
          <w:b/>
          <w:color w:val="auto"/>
        </w:rPr>
        <w:t xml:space="preserve">Resource Sharing Platforms </w:t>
      </w:r>
    </w:p>
    <w:p w:rsidR="00F27486" w:rsidRPr="00CE1FA2" w:rsidRDefault="00F27486" w:rsidP="00FD7155">
      <w:pPr>
        <w:jc w:val="both"/>
        <w:rPr>
          <w:rFonts w:cs="Arial"/>
          <w:szCs w:val="20"/>
        </w:rPr>
      </w:pPr>
    </w:p>
    <w:tbl>
      <w:tblPr>
        <w:tblW w:w="0" w:type="auto"/>
        <w:tblLook w:val="01E0" w:firstRow="1" w:lastRow="1" w:firstColumn="1" w:lastColumn="1" w:noHBand="0" w:noVBand="0"/>
      </w:tblPr>
      <w:tblGrid>
        <w:gridCol w:w="1526"/>
        <w:gridCol w:w="7796"/>
      </w:tblGrid>
      <w:tr w:rsidR="00F27486" w:rsidRPr="009022DD" w:rsidTr="0042593C">
        <w:tc>
          <w:tcPr>
            <w:tcW w:w="1526" w:type="dxa"/>
            <w:shd w:val="clear" w:color="auto" w:fill="auto"/>
          </w:tcPr>
          <w:p w:rsidR="00F27486" w:rsidRPr="00CE1FA2" w:rsidRDefault="00F27486">
            <w:pPr>
              <w:tabs>
                <w:tab w:val="center" w:pos="4320"/>
                <w:tab w:val="right" w:pos="8640"/>
              </w:tabs>
              <w:jc w:val="both"/>
              <w:rPr>
                <w:rFonts w:cs="Arial"/>
                <w:szCs w:val="20"/>
                <w:lang w:val="es-ES"/>
              </w:rPr>
            </w:pPr>
            <w:r w:rsidRPr="00CE1FA2">
              <w:rPr>
                <w:rFonts w:cs="Arial"/>
                <w:szCs w:val="20"/>
                <w:lang w:val="es-ES"/>
              </w:rPr>
              <w:t xml:space="preserve">WIPO </w:t>
            </w:r>
            <w:r w:rsidRPr="00CE1FA2">
              <w:rPr>
                <w:rFonts w:cs="Arial"/>
                <w:szCs w:val="20"/>
              </w:rPr>
              <w:t xml:space="preserve">DAS </w:t>
            </w:r>
          </w:p>
        </w:tc>
        <w:tc>
          <w:tcPr>
            <w:tcW w:w="7796" w:type="dxa"/>
            <w:shd w:val="clear" w:color="auto" w:fill="auto"/>
          </w:tcPr>
          <w:p w:rsidR="00F27486" w:rsidRPr="00CE1FA2" w:rsidRDefault="00F27486" w:rsidP="00FD7155">
            <w:pPr>
              <w:shd w:val="clear" w:color="auto" w:fill="FFFFFF"/>
              <w:jc w:val="both"/>
              <w:rPr>
                <w:rFonts w:cs="Arial"/>
                <w:szCs w:val="20"/>
              </w:rPr>
            </w:pPr>
            <w:r>
              <w:rPr>
                <w:rFonts w:cs="Arial"/>
                <w:color w:val="282828"/>
                <w:szCs w:val="20"/>
              </w:rPr>
              <w:t xml:space="preserve">Based </w:t>
            </w:r>
            <w:proofErr w:type="gramStart"/>
            <w:r>
              <w:rPr>
                <w:rFonts w:cs="Arial"/>
                <w:color w:val="282828"/>
                <w:szCs w:val="20"/>
              </w:rPr>
              <w:t>on  a</w:t>
            </w:r>
            <w:proofErr w:type="gramEnd"/>
            <w:r>
              <w:rPr>
                <w:rFonts w:cs="Arial"/>
                <w:color w:val="282828"/>
                <w:szCs w:val="20"/>
              </w:rPr>
              <w:t xml:space="preserve"> specification and review process with participating Offices, a new version of the Digital Access Service (DAS) portal to support the revised framework of DAS 2.0 </w:t>
            </w:r>
            <w:r w:rsidRPr="00CE1FA2">
              <w:rPr>
                <w:rFonts w:cs="Arial"/>
                <w:szCs w:val="20"/>
                <w:lang w:val="en-SG"/>
              </w:rPr>
              <w:t xml:space="preserve">was </w:t>
            </w:r>
            <w:r>
              <w:rPr>
                <w:rFonts w:cs="Arial"/>
                <w:szCs w:val="20"/>
                <w:lang w:val="en-SG"/>
              </w:rPr>
              <w:t>launched</w:t>
            </w:r>
            <w:r w:rsidRPr="00CE1FA2">
              <w:rPr>
                <w:rFonts w:cs="Arial"/>
                <w:szCs w:val="20"/>
                <w:lang w:val="en-SG"/>
              </w:rPr>
              <w:t xml:space="preserve"> in December 2014</w:t>
            </w:r>
            <w:r>
              <w:rPr>
                <w:rFonts w:cs="Arial"/>
                <w:szCs w:val="20"/>
                <w:lang w:val="en-SG"/>
              </w:rPr>
              <w:t xml:space="preserve">.  The number of participating Offices remained steady in 2014 at </w:t>
            </w:r>
            <w:r w:rsidRPr="00CE1FA2">
              <w:rPr>
                <w:rFonts w:cs="Arial"/>
                <w:szCs w:val="20"/>
                <w:lang w:val="en-SG"/>
              </w:rPr>
              <w:t>11</w:t>
            </w:r>
            <w:r>
              <w:rPr>
                <w:rFonts w:cs="Arial"/>
                <w:szCs w:val="20"/>
                <w:lang w:val="en-SG"/>
              </w:rPr>
              <w:t>.</w:t>
            </w:r>
          </w:p>
          <w:p w:rsidR="00F27486" w:rsidRPr="00CE1FA2" w:rsidRDefault="00F27486" w:rsidP="00FD7155">
            <w:pPr>
              <w:tabs>
                <w:tab w:val="center" w:pos="4320"/>
                <w:tab w:val="right" w:pos="8640"/>
              </w:tabs>
              <w:jc w:val="both"/>
              <w:rPr>
                <w:rFonts w:cs="Arial"/>
                <w:szCs w:val="20"/>
              </w:rPr>
            </w:pPr>
          </w:p>
        </w:tc>
      </w:tr>
      <w:tr w:rsidR="00F27486" w:rsidRPr="009022DD" w:rsidTr="0042593C">
        <w:tc>
          <w:tcPr>
            <w:tcW w:w="1526" w:type="dxa"/>
            <w:shd w:val="clear" w:color="auto" w:fill="auto"/>
          </w:tcPr>
          <w:p w:rsidR="00F27486" w:rsidRPr="00CE1FA2" w:rsidRDefault="00F27486" w:rsidP="00FD7155">
            <w:pPr>
              <w:tabs>
                <w:tab w:val="center" w:pos="4320"/>
                <w:tab w:val="right" w:pos="8640"/>
              </w:tabs>
              <w:jc w:val="both"/>
              <w:rPr>
                <w:rFonts w:cs="Arial"/>
                <w:szCs w:val="20"/>
              </w:rPr>
            </w:pPr>
            <w:r w:rsidRPr="00CE1FA2">
              <w:rPr>
                <w:rFonts w:cs="Arial"/>
                <w:szCs w:val="20"/>
              </w:rPr>
              <w:t xml:space="preserve">WIPO CASE </w:t>
            </w:r>
          </w:p>
        </w:tc>
        <w:tc>
          <w:tcPr>
            <w:tcW w:w="7796" w:type="dxa"/>
            <w:shd w:val="clear" w:color="auto" w:fill="auto"/>
          </w:tcPr>
          <w:p w:rsidR="00F27486" w:rsidRPr="00CE1FA2" w:rsidRDefault="00F27486">
            <w:pPr>
              <w:tabs>
                <w:tab w:val="center" w:pos="4320"/>
                <w:tab w:val="right" w:pos="8640"/>
              </w:tabs>
              <w:jc w:val="both"/>
              <w:rPr>
                <w:rFonts w:cs="Arial"/>
                <w:szCs w:val="20"/>
              </w:rPr>
            </w:pPr>
            <w:r>
              <w:rPr>
                <w:rFonts w:cs="Arial"/>
                <w:szCs w:val="20"/>
              </w:rPr>
              <w:t>In</w:t>
            </w:r>
            <w:r w:rsidRPr="00277BF1">
              <w:rPr>
                <w:rFonts w:cs="Arial"/>
                <w:szCs w:val="20"/>
              </w:rPr>
              <w:t xml:space="preserve"> April 2014, the WIPO </w:t>
            </w:r>
            <w:r>
              <w:rPr>
                <w:rFonts w:cs="Arial"/>
                <w:szCs w:val="20"/>
              </w:rPr>
              <w:t>Centralized Access to Search and Examination (</w:t>
            </w:r>
            <w:r w:rsidRPr="00277BF1">
              <w:rPr>
                <w:rFonts w:cs="Arial"/>
                <w:szCs w:val="20"/>
              </w:rPr>
              <w:t>CASE</w:t>
            </w:r>
            <w:r>
              <w:rPr>
                <w:rFonts w:cs="Arial"/>
                <w:szCs w:val="20"/>
              </w:rPr>
              <w:t>)</w:t>
            </w:r>
            <w:r w:rsidRPr="00277BF1">
              <w:rPr>
                <w:rFonts w:cs="Arial"/>
                <w:szCs w:val="20"/>
              </w:rPr>
              <w:t xml:space="preserve"> </w:t>
            </w:r>
            <w:r>
              <w:rPr>
                <w:rFonts w:cs="Arial"/>
                <w:szCs w:val="20"/>
              </w:rPr>
              <w:t>was</w:t>
            </w:r>
            <w:r w:rsidRPr="00277BF1">
              <w:rPr>
                <w:rFonts w:cs="Arial"/>
                <w:szCs w:val="20"/>
              </w:rPr>
              <w:t xml:space="preserve"> linked to the IP5 One Dossier Portal system</w:t>
            </w:r>
            <w:r>
              <w:rPr>
                <w:rFonts w:cs="Arial"/>
                <w:szCs w:val="20"/>
              </w:rPr>
              <w:t>,</w:t>
            </w:r>
            <w:r w:rsidRPr="00277BF1">
              <w:rPr>
                <w:rFonts w:cs="Arial"/>
                <w:szCs w:val="20"/>
              </w:rPr>
              <w:t xml:space="preserve"> allowing full two way exchange of dossier information between CASE and IP5 </w:t>
            </w:r>
            <w:r>
              <w:rPr>
                <w:rFonts w:cs="Arial"/>
                <w:szCs w:val="20"/>
              </w:rPr>
              <w:t>O</w:t>
            </w:r>
            <w:r w:rsidRPr="00277BF1">
              <w:rPr>
                <w:rFonts w:cs="Arial"/>
                <w:szCs w:val="20"/>
              </w:rPr>
              <w:t>ffices.</w:t>
            </w:r>
            <w:r>
              <w:rPr>
                <w:rFonts w:cs="Arial"/>
                <w:szCs w:val="20"/>
              </w:rPr>
              <w:t xml:space="preserve">  By mid-2014, the system was being utilized by several Offices as part of a pilot project.  Five</w:t>
            </w:r>
            <w:r w:rsidRPr="00CE1FA2">
              <w:rPr>
                <w:rFonts w:cs="Arial"/>
                <w:szCs w:val="20"/>
              </w:rPr>
              <w:t xml:space="preserve"> new </w:t>
            </w:r>
            <w:r>
              <w:rPr>
                <w:rFonts w:cs="Arial"/>
                <w:szCs w:val="20"/>
              </w:rPr>
              <w:t>O</w:t>
            </w:r>
            <w:r w:rsidRPr="00CE1FA2">
              <w:rPr>
                <w:rFonts w:cs="Arial"/>
                <w:szCs w:val="20"/>
              </w:rPr>
              <w:t xml:space="preserve">ffices </w:t>
            </w:r>
            <w:r>
              <w:rPr>
                <w:rFonts w:cs="Arial"/>
                <w:szCs w:val="20"/>
              </w:rPr>
              <w:t>registered</w:t>
            </w:r>
            <w:r w:rsidRPr="00CE1FA2">
              <w:rPr>
                <w:rFonts w:cs="Arial"/>
                <w:szCs w:val="20"/>
              </w:rPr>
              <w:t xml:space="preserve"> to use</w:t>
            </w:r>
            <w:r>
              <w:rPr>
                <w:rFonts w:cs="Arial"/>
                <w:szCs w:val="20"/>
              </w:rPr>
              <w:t xml:space="preserve"> </w:t>
            </w:r>
            <w:r w:rsidRPr="009022DD">
              <w:rPr>
                <w:rFonts w:cs="Arial"/>
                <w:szCs w:val="20"/>
              </w:rPr>
              <w:t xml:space="preserve">the </w:t>
            </w:r>
            <w:r>
              <w:rPr>
                <w:rFonts w:cs="Arial"/>
                <w:szCs w:val="20"/>
              </w:rPr>
              <w:t>WIPO</w:t>
            </w:r>
            <w:r w:rsidRPr="00CE1FA2">
              <w:rPr>
                <w:rFonts w:cs="Arial"/>
                <w:szCs w:val="20"/>
              </w:rPr>
              <w:t xml:space="preserve"> CASE</w:t>
            </w:r>
            <w:r>
              <w:rPr>
                <w:rFonts w:cs="Arial"/>
                <w:szCs w:val="20"/>
              </w:rPr>
              <w:t xml:space="preserve">, bringing the total number of </w:t>
            </w:r>
            <w:r w:rsidRPr="00CE1FA2">
              <w:rPr>
                <w:rFonts w:cs="Arial"/>
                <w:szCs w:val="20"/>
              </w:rPr>
              <w:t xml:space="preserve">participating </w:t>
            </w:r>
            <w:r>
              <w:rPr>
                <w:rFonts w:cs="Arial"/>
                <w:szCs w:val="20"/>
              </w:rPr>
              <w:t>O</w:t>
            </w:r>
            <w:r w:rsidRPr="00CE1FA2">
              <w:rPr>
                <w:rFonts w:cs="Arial"/>
                <w:szCs w:val="20"/>
              </w:rPr>
              <w:t>ffices</w:t>
            </w:r>
            <w:r>
              <w:rPr>
                <w:rFonts w:cs="Arial"/>
                <w:szCs w:val="20"/>
              </w:rPr>
              <w:t xml:space="preserve"> to 14</w:t>
            </w:r>
            <w:r>
              <w:rPr>
                <w:rStyle w:val="FootnoteReference"/>
                <w:rFonts w:cs="Arial"/>
                <w:szCs w:val="20"/>
              </w:rPr>
              <w:footnoteReference w:id="45"/>
            </w:r>
            <w:r w:rsidRPr="00CE1FA2">
              <w:rPr>
                <w:rFonts w:cs="Arial"/>
                <w:szCs w:val="20"/>
              </w:rPr>
              <w:t xml:space="preserve">. </w:t>
            </w:r>
          </w:p>
        </w:tc>
      </w:tr>
    </w:tbl>
    <w:p w:rsidR="00F27486" w:rsidRPr="00CE1FA2" w:rsidRDefault="00F27486" w:rsidP="00FD7155">
      <w:pPr>
        <w:jc w:val="both"/>
        <w:rPr>
          <w:rFonts w:cs="Arial"/>
          <w:bCs/>
          <w:szCs w:val="20"/>
        </w:rPr>
      </w:pPr>
    </w:p>
    <w:p w:rsidR="00F27486" w:rsidRPr="00CE1FA2" w:rsidRDefault="00F27486" w:rsidP="00F27486">
      <w:pPr>
        <w:pStyle w:val="ListParagraph"/>
        <w:numPr>
          <w:ilvl w:val="0"/>
          <w:numId w:val="76"/>
        </w:numPr>
        <w:tabs>
          <w:tab w:val="left" w:pos="709"/>
        </w:tabs>
        <w:ind w:left="0" w:firstLine="0"/>
        <w:jc w:val="both"/>
        <w:rPr>
          <w:rFonts w:cs="Arial"/>
          <w:bCs/>
        </w:rPr>
      </w:pPr>
      <w:r>
        <w:rPr>
          <w:rFonts w:cs="Arial"/>
          <w:bCs/>
        </w:rPr>
        <w:t>The</w:t>
      </w:r>
      <w:r w:rsidRPr="00CE1FA2">
        <w:rPr>
          <w:rFonts w:cs="Arial"/>
          <w:bCs/>
        </w:rPr>
        <w:t xml:space="preserve"> design, planning and implementation of activities undertaken by Program 15 </w:t>
      </w:r>
      <w:r>
        <w:rPr>
          <w:rFonts w:cs="Arial"/>
          <w:bCs/>
        </w:rPr>
        <w:t>were</w:t>
      </w:r>
      <w:r w:rsidRPr="00CE1FA2">
        <w:rPr>
          <w:rFonts w:cs="Arial"/>
          <w:bCs/>
        </w:rPr>
        <w:t xml:space="preserve"> informed and guided by the relevant DA Recommendations</w:t>
      </w:r>
      <w:r>
        <w:rPr>
          <w:rFonts w:cs="Arial"/>
          <w:bCs/>
        </w:rPr>
        <w:t>,</w:t>
      </w:r>
      <w:r w:rsidRPr="00CE1FA2">
        <w:rPr>
          <w:rFonts w:cs="Arial"/>
          <w:bCs/>
        </w:rPr>
        <w:t xml:space="preserve"> in particular 1, 2 and 10.  </w:t>
      </w:r>
    </w:p>
    <w:p w:rsidR="00F27486" w:rsidRDefault="00F27486" w:rsidP="00FD7155">
      <w:pPr>
        <w:tabs>
          <w:tab w:val="left" w:pos="709"/>
        </w:tabs>
        <w:jc w:val="both"/>
        <w:rPr>
          <w:rFonts w:cs="Arial"/>
          <w:bCs/>
          <w:szCs w:val="20"/>
        </w:rPr>
      </w:pPr>
    </w:p>
    <w:p w:rsidR="00F27486" w:rsidRDefault="00F27486" w:rsidP="00FD7155">
      <w:pPr>
        <w:tabs>
          <w:tab w:val="left" w:pos="709"/>
        </w:tabs>
        <w:jc w:val="both"/>
        <w:rPr>
          <w:rFonts w:cs="Arial"/>
          <w:bCs/>
          <w:szCs w:val="20"/>
        </w:rPr>
      </w:pPr>
    </w:p>
    <w:p w:rsidR="00F27486" w:rsidRPr="00F1494E" w:rsidRDefault="00F27486" w:rsidP="00FD7155">
      <w:pPr>
        <w:rPr>
          <w:rFonts w:cs="Arial"/>
          <w:sz w:val="22"/>
          <w:szCs w:val="22"/>
        </w:rPr>
      </w:pPr>
      <w:r w:rsidRPr="00F1494E">
        <w:rPr>
          <w:rFonts w:cs="Arial"/>
          <w:sz w:val="22"/>
          <w:szCs w:val="22"/>
        </w:rPr>
        <w:t>PERFORMANCE DATA</w:t>
      </w:r>
    </w:p>
    <w:p w:rsidR="00F27486" w:rsidRPr="00CE1FA2" w:rsidRDefault="00F27486" w:rsidP="00FD7155">
      <w:pPr>
        <w:tabs>
          <w:tab w:val="left" w:pos="709"/>
        </w:tabs>
        <w:jc w:val="both"/>
        <w:rPr>
          <w:rFonts w:cs="Arial"/>
          <w:bCs/>
          <w:szCs w:val="20"/>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6"/>
        <w:gridCol w:w="2409"/>
        <w:gridCol w:w="1277"/>
        <w:gridCol w:w="2553"/>
        <w:gridCol w:w="993"/>
      </w:tblGrid>
      <w:tr w:rsidR="00F27486" w:rsidRPr="0068151C" w:rsidTr="00F27486">
        <w:tc>
          <w:tcPr>
            <w:tcW w:w="5000" w:type="pct"/>
            <w:gridSpan w:val="5"/>
            <w:tcBorders>
              <w:top w:val="single" w:sz="4" w:space="0" w:color="auto"/>
              <w:bottom w:val="single" w:sz="4" w:space="0" w:color="auto"/>
            </w:tcBorders>
            <w:shd w:val="clear" w:color="auto" w:fill="CCFFFF"/>
            <w:vAlign w:val="center"/>
          </w:tcPr>
          <w:p w:rsidR="00F27486" w:rsidRPr="0068151C" w:rsidRDefault="00F27486" w:rsidP="00FD7155">
            <w:pPr>
              <w:keepNext/>
              <w:keepLines/>
              <w:tabs>
                <w:tab w:val="left" w:pos="1452"/>
              </w:tabs>
              <w:spacing w:before="120" w:after="120"/>
              <w:ind w:left="1452" w:hanging="1452"/>
              <w:rPr>
                <w:rFonts w:cs="Arial"/>
                <w:b/>
                <w:bCs/>
                <w:sz w:val="16"/>
                <w:szCs w:val="16"/>
              </w:rPr>
            </w:pPr>
            <w:r w:rsidRPr="0068151C">
              <w:rPr>
                <w:rFonts w:cs="Arial"/>
                <w:b/>
                <w:bCs/>
                <w:sz w:val="16"/>
                <w:szCs w:val="16"/>
              </w:rPr>
              <w:t>Expected Result:</w:t>
            </w:r>
            <w:r w:rsidRPr="0068151C">
              <w:rPr>
                <w:rFonts w:cs="Arial"/>
                <w:b/>
                <w:bCs/>
                <w:sz w:val="16"/>
                <w:szCs w:val="16"/>
              </w:rPr>
              <w:tab/>
            </w:r>
            <w:r w:rsidRPr="009022DD">
              <w:rPr>
                <w:rFonts w:cs="Arial"/>
                <w:sz w:val="16"/>
                <w:szCs w:val="16"/>
              </w:rPr>
              <w:t>IV.4 Enhanced technical and knowledge infrastructure for IP Offices and other IP institutions leading to better services (cheaper, faster, higher quality) to their stakeholders</w:t>
            </w:r>
          </w:p>
        </w:tc>
      </w:tr>
      <w:tr w:rsidR="00F27486" w:rsidRPr="0068151C" w:rsidTr="0042593C">
        <w:tc>
          <w:tcPr>
            <w:tcW w:w="1193" w:type="pct"/>
            <w:tcBorders>
              <w:top w:val="single" w:sz="4" w:space="0" w:color="auto"/>
            </w:tcBorders>
            <w:shd w:val="clear" w:color="auto" w:fill="auto"/>
            <w:vAlign w:val="center"/>
          </w:tcPr>
          <w:p w:rsidR="00F27486" w:rsidRPr="0068151C" w:rsidRDefault="00F27486" w:rsidP="00FD7155">
            <w:pPr>
              <w:spacing w:after="40"/>
              <w:rPr>
                <w:rFonts w:cs="Arial"/>
                <w:sz w:val="16"/>
                <w:szCs w:val="16"/>
              </w:rPr>
            </w:pPr>
            <w:r w:rsidRPr="0068151C">
              <w:rPr>
                <w:rFonts w:cs="Arial"/>
                <w:b/>
                <w:bCs/>
                <w:sz w:val="16"/>
                <w:szCs w:val="16"/>
              </w:rPr>
              <w:t>Performance Indicators</w:t>
            </w:r>
          </w:p>
        </w:tc>
        <w:tc>
          <w:tcPr>
            <w:tcW w:w="1268" w:type="pct"/>
            <w:tcBorders>
              <w:top w:val="single" w:sz="4" w:space="0" w:color="auto"/>
            </w:tcBorders>
            <w:shd w:val="clear" w:color="auto" w:fill="auto"/>
            <w:vAlign w:val="center"/>
          </w:tcPr>
          <w:p w:rsidR="00F27486" w:rsidRPr="0068151C" w:rsidRDefault="00F27486" w:rsidP="00FD7155">
            <w:pPr>
              <w:spacing w:after="40"/>
              <w:rPr>
                <w:rFonts w:cs="Arial"/>
                <w:b/>
                <w:bCs/>
                <w:sz w:val="16"/>
                <w:szCs w:val="16"/>
              </w:rPr>
            </w:pPr>
            <w:r w:rsidRPr="0068151C">
              <w:rPr>
                <w:rFonts w:cs="Arial"/>
                <w:b/>
                <w:bCs/>
                <w:sz w:val="16"/>
                <w:szCs w:val="16"/>
              </w:rPr>
              <w:t>Baselines</w:t>
            </w:r>
          </w:p>
        </w:tc>
        <w:tc>
          <w:tcPr>
            <w:tcW w:w="672" w:type="pct"/>
            <w:tcBorders>
              <w:top w:val="single" w:sz="4" w:space="0" w:color="auto"/>
            </w:tcBorders>
            <w:shd w:val="clear" w:color="auto" w:fill="auto"/>
            <w:tcMar>
              <w:top w:w="110" w:type="dxa"/>
            </w:tcMar>
            <w:vAlign w:val="center"/>
          </w:tcPr>
          <w:p w:rsidR="00F27486" w:rsidRPr="0068151C" w:rsidRDefault="00F27486" w:rsidP="00FD7155">
            <w:pPr>
              <w:spacing w:after="40"/>
              <w:rPr>
                <w:rFonts w:cs="Arial"/>
                <w:b/>
                <w:sz w:val="16"/>
                <w:szCs w:val="16"/>
              </w:rPr>
            </w:pPr>
            <w:r w:rsidRPr="0068151C">
              <w:rPr>
                <w:rFonts w:cs="Arial"/>
                <w:b/>
                <w:sz w:val="16"/>
                <w:szCs w:val="16"/>
              </w:rPr>
              <w:t>Target</w:t>
            </w:r>
            <w:r>
              <w:rPr>
                <w:rFonts w:cs="Arial"/>
                <w:b/>
                <w:sz w:val="16"/>
                <w:szCs w:val="16"/>
              </w:rPr>
              <w:t>s</w:t>
            </w:r>
          </w:p>
        </w:tc>
        <w:tc>
          <w:tcPr>
            <w:tcW w:w="1344" w:type="pct"/>
            <w:tcBorders>
              <w:top w:val="single" w:sz="4" w:space="0" w:color="auto"/>
            </w:tcBorders>
            <w:shd w:val="clear" w:color="auto" w:fill="FFFFFF"/>
            <w:tcMar>
              <w:top w:w="110" w:type="dxa"/>
            </w:tcMar>
            <w:vAlign w:val="center"/>
          </w:tcPr>
          <w:p w:rsidR="00F27486" w:rsidRPr="0068151C" w:rsidRDefault="00F27486" w:rsidP="00FD7155">
            <w:pPr>
              <w:spacing w:after="40"/>
              <w:rPr>
                <w:rFonts w:cs="Arial"/>
                <w:sz w:val="16"/>
                <w:szCs w:val="16"/>
              </w:rPr>
            </w:pPr>
            <w:r w:rsidRPr="0068151C">
              <w:rPr>
                <w:rFonts w:cs="Arial"/>
                <w:b/>
                <w:bCs/>
                <w:sz w:val="16"/>
                <w:szCs w:val="16"/>
              </w:rPr>
              <w:t>Performance Data</w:t>
            </w:r>
          </w:p>
        </w:tc>
        <w:tc>
          <w:tcPr>
            <w:tcW w:w="522" w:type="pct"/>
            <w:tcBorders>
              <w:top w:val="single" w:sz="4" w:space="0" w:color="auto"/>
            </w:tcBorders>
            <w:shd w:val="clear" w:color="auto" w:fill="auto"/>
            <w:tcMar>
              <w:top w:w="110" w:type="dxa"/>
            </w:tcMar>
            <w:vAlign w:val="center"/>
          </w:tcPr>
          <w:p w:rsidR="00F27486" w:rsidRPr="0068151C" w:rsidRDefault="00F27486" w:rsidP="00FD7155">
            <w:pPr>
              <w:keepNext/>
              <w:keepLines/>
              <w:spacing w:after="40"/>
              <w:jc w:val="center"/>
              <w:rPr>
                <w:rFonts w:cs="Arial"/>
                <w:b/>
                <w:bCs/>
                <w:sz w:val="16"/>
                <w:szCs w:val="16"/>
              </w:rPr>
            </w:pPr>
            <w:r w:rsidRPr="0068151C">
              <w:rPr>
                <w:rFonts w:cs="Arial"/>
                <w:b/>
                <w:bCs/>
                <w:sz w:val="16"/>
                <w:szCs w:val="16"/>
              </w:rPr>
              <w:t>TLS</w:t>
            </w:r>
          </w:p>
        </w:tc>
      </w:tr>
      <w:tr w:rsidR="00F27486" w:rsidRPr="0068151C" w:rsidTr="0042593C">
        <w:tc>
          <w:tcPr>
            <w:tcW w:w="1193" w:type="pct"/>
            <w:shd w:val="clear" w:color="auto" w:fill="auto"/>
          </w:tcPr>
          <w:p w:rsidR="00F27486" w:rsidRPr="0068151C" w:rsidRDefault="00F27486" w:rsidP="00FD7155">
            <w:pPr>
              <w:rPr>
                <w:rFonts w:cs="Arial"/>
                <w:sz w:val="16"/>
                <w:szCs w:val="16"/>
              </w:rPr>
            </w:pPr>
            <w:r w:rsidRPr="009022DD">
              <w:rPr>
                <w:rFonts w:cs="Arial"/>
                <w:sz w:val="16"/>
                <w:szCs w:val="16"/>
              </w:rPr>
              <w:t>No. of offices using WIPO Infrastructure Platforms</w:t>
            </w:r>
          </w:p>
        </w:tc>
        <w:tc>
          <w:tcPr>
            <w:tcW w:w="1268" w:type="pct"/>
            <w:shd w:val="clear" w:color="auto" w:fill="auto"/>
          </w:tcPr>
          <w:p w:rsidR="00F27486" w:rsidRDefault="00F27486" w:rsidP="00FD7155">
            <w:pPr>
              <w:rPr>
                <w:rFonts w:cs="Arial"/>
                <w:color w:val="002060"/>
                <w:sz w:val="16"/>
                <w:szCs w:val="16"/>
              </w:rPr>
            </w:pPr>
            <w:r w:rsidRPr="00CE1FA2">
              <w:rPr>
                <w:rFonts w:cs="Arial"/>
                <w:i/>
                <w:color w:val="002060"/>
                <w:sz w:val="16"/>
                <w:szCs w:val="16"/>
              </w:rPr>
              <w:t>Updated Baseline end 2013:</w:t>
            </w:r>
            <w:r w:rsidRPr="00CE1FA2">
              <w:rPr>
                <w:rFonts w:cs="Arial"/>
                <w:color w:val="002060"/>
                <w:sz w:val="16"/>
                <w:szCs w:val="16"/>
              </w:rPr>
              <w:t xml:space="preserve">  </w:t>
            </w:r>
          </w:p>
          <w:p w:rsidR="00F27486" w:rsidRPr="00CE1FA2" w:rsidRDefault="00F27486" w:rsidP="00FD7155">
            <w:pPr>
              <w:spacing w:after="120"/>
              <w:rPr>
                <w:rFonts w:cs="Arial"/>
                <w:color w:val="002060"/>
                <w:sz w:val="16"/>
                <w:szCs w:val="16"/>
              </w:rPr>
            </w:pPr>
            <w:r w:rsidRPr="00CE1FA2">
              <w:rPr>
                <w:rFonts w:cs="Arial"/>
                <w:color w:val="002060"/>
                <w:sz w:val="16"/>
                <w:szCs w:val="16"/>
              </w:rPr>
              <w:t xml:space="preserve">Asia and </w:t>
            </w:r>
            <w:r w:rsidR="00135F6B">
              <w:rPr>
                <w:rFonts w:cs="Arial"/>
                <w:color w:val="002060"/>
                <w:sz w:val="16"/>
                <w:szCs w:val="16"/>
              </w:rPr>
              <w:t xml:space="preserve">the </w:t>
            </w:r>
            <w:r w:rsidRPr="00CE1FA2">
              <w:rPr>
                <w:rFonts w:cs="Arial"/>
                <w:color w:val="002060"/>
                <w:sz w:val="16"/>
                <w:szCs w:val="16"/>
              </w:rPr>
              <w:t>Pacific (4): China, Mongolia, Singapore, Viet Nam</w:t>
            </w:r>
          </w:p>
          <w:p w:rsidR="00F27486" w:rsidRPr="00CE1FA2" w:rsidRDefault="00F27486" w:rsidP="00FD7155">
            <w:pPr>
              <w:rPr>
                <w:color w:val="000000" w:themeColor="text1"/>
                <w:sz w:val="16"/>
                <w:szCs w:val="16"/>
              </w:rPr>
            </w:pPr>
            <w:r w:rsidRPr="00CE1FA2">
              <w:rPr>
                <w:rFonts w:cs="Arial"/>
                <w:color w:val="002060"/>
                <w:sz w:val="16"/>
                <w:szCs w:val="16"/>
              </w:rPr>
              <w:t xml:space="preserve">Other (12): Australia, Canada, Denmark, Finland, Israel, Japan, Republic of Korea, New Zealand, Spain, Sweden,  United Kingdom, United States of America </w:t>
            </w:r>
          </w:p>
          <w:p w:rsidR="00F27486" w:rsidRPr="0068151C" w:rsidRDefault="00F27486" w:rsidP="00FD7155">
            <w:pPr>
              <w:rPr>
                <w:rFonts w:cs="Arial"/>
                <w:color w:val="002060"/>
                <w:sz w:val="16"/>
                <w:szCs w:val="16"/>
              </w:rPr>
            </w:pPr>
            <w:r w:rsidRPr="00CE1FA2" w:rsidDel="00A371D5">
              <w:rPr>
                <w:rFonts w:cs="Arial"/>
                <w:color w:val="002060"/>
                <w:sz w:val="16"/>
                <w:szCs w:val="16"/>
              </w:rPr>
              <w:t xml:space="preserve"> </w:t>
            </w:r>
            <w:r w:rsidRPr="00A371D5">
              <w:rPr>
                <w:rFonts w:cs="Arial"/>
                <w:color w:val="002060"/>
                <w:sz w:val="16"/>
                <w:szCs w:val="16"/>
              </w:rPr>
              <w:t>(16 cumulative)</w:t>
            </w:r>
          </w:p>
          <w:p w:rsidR="00F27486" w:rsidRPr="00AE7502" w:rsidRDefault="00F27486" w:rsidP="00FD7155">
            <w:pPr>
              <w:rPr>
                <w:rFonts w:cs="Arial"/>
                <w:i/>
                <w:sz w:val="8"/>
                <w:szCs w:val="8"/>
              </w:rPr>
            </w:pPr>
          </w:p>
          <w:p w:rsidR="00F27486" w:rsidRPr="009022DD" w:rsidRDefault="00F27486" w:rsidP="00FD7155">
            <w:pPr>
              <w:rPr>
                <w:rFonts w:cs="Arial"/>
                <w:sz w:val="16"/>
                <w:szCs w:val="16"/>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r w:rsidRPr="009022DD">
              <w:rPr>
                <w:rFonts w:cs="Arial"/>
                <w:sz w:val="16"/>
                <w:szCs w:val="16"/>
              </w:rPr>
              <w:t xml:space="preserve">North America - 2  </w:t>
            </w:r>
          </w:p>
          <w:p w:rsidR="00F27486" w:rsidRPr="009022DD" w:rsidRDefault="00F27486" w:rsidP="00FD7155">
            <w:pPr>
              <w:rPr>
                <w:rFonts w:cs="Arial"/>
                <w:sz w:val="16"/>
                <w:szCs w:val="16"/>
              </w:rPr>
            </w:pPr>
            <w:r w:rsidRPr="009022DD">
              <w:rPr>
                <w:rFonts w:cs="Arial"/>
                <w:sz w:val="16"/>
                <w:szCs w:val="16"/>
              </w:rPr>
              <w:t xml:space="preserve">Western Europe - 7  </w:t>
            </w:r>
          </w:p>
          <w:p w:rsidR="00F27486" w:rsidRPr="0068151C" w:rsidRDefault="00F27486" w:rsidP="00FD7155">
            <w:pPr>
              <w:rPr>
                <w:rFonts w:cs="Arial"/>
                <w:sz w:val="16"/>
                <w:szCs w:val="16"/>
              </w:rPr>
            </w:pPr>
            <w:r w:rsidRPr="009022DD">
              <w:rPr>
                <w:rFonts w:cs="Arial"/>
                <w:sz w:val="16"/>
                <w:szCs w:val="16"/>
              </w:rPr>
              <w:t xml:space="preserve">Asia/Pacific - 6  </w:t>
            </w:r>
          </w:p>
        </w:tc>
        <w:tc>
          <w:tcPr>
            <w:tcW w:w="672" w:type="pct"/>
            <w:shd w:val="clear" w:color="auto" w:fill="auto"/>
            <w:tcMar>
              <w:top w:w="110" w:type="dxa"/>
            </w:tcMar>
          </w:tcPr>
          <w:p w:rsidR="00F27486" w:rsidRPr="0068151C" w:rsidRDefault="00F27486" w:rsidP="00FD7155">
            <w:pPr>
              <w:rPr>
                <w:rFonts w:cs="Arial"/>
                <w:color w:val="000000" w:themeColor="text1"/>
                <w:sz w:val="16"/>
                <w:szCs w:val="16"/>
              </w:rPr>
            </w:pPr>
            <w:r w:rsidRPr="009022DD">
              <w:rPr>
                <w:rFonts w:cs="Arial"/>
                <w:color w:val="000000" w:themeColor="text1"/>
                <w:sz w:val="16"/>
                <w:szCs w:val="16"/>
              </w:rPr>
              <w:t>25 (by regional breakdown)</w:t>
            </w:r>
          </w:p>
        </w:tc>
        <w:tc>
          <w:tcPr>
            <w:tcW w:w="1344" w:type="pct"/>
            <w:shd w:val="clear" w:color="auto" w:fill="FFFFFF"/>
            <w:tcMar>
              <w:top w:w="110" w:type="dxa"/>
            </w:tcMar>
          </w:tcPr>
          <w:p w:rsidR="00F27486" w:rsidRDefault="00F27486">
            <w:pPr>
              <w:rPr>
                <w:rFonts w:cs="Arial"/>
                <w:color w:val="000000" w:themeColor="text1"/>
                <w:sz w:val="16"/>
                <w:szCs w:val="16"/>
                <w:lang w:bidi="th-TH"/>
              </w:rPr>
            </w:pPr>
            <w:r>
              <w:rPr>
                <w:rFonts w:cs="Arial"/>
                <w:color w:val="000000" w:themeColor="text1"/>
                <w:sz w:val="16"/>
                <w:szCs w:val="16"/>
                <w:lang w:bidi="th-TH"/>
              </w:rPr>
              <w:t xml:space="preserve">5 additional offices in Asia and the Pacific: </w:t>
            </w:r>
            <w:r w:rsidRPr="009022DD">
              <w:rPr>
                <w:rFonts w:cs="Arial"/>
                <w:color w:val="000000" w:themeColor="text1"/>
                <w:sz w:val="16"/>
                <w:szCs w:val="16"/>
                <w:lang w:bidi="th-TH"/>
              </w:rPr>
              <w:t>Brunei Darussalam, India, Indonesia</w:t>
            </w:r>
            <w:r>
              <w:rPr>
                <w:rFonts w:cs="Arial"/>
                <w:color w:val="000000" w:themeColor="text1"/>
                <w:sz w:val="16"/>
                <w:szCs w:val="16"/>
                <w:lang w:bidi="th-TH"/>
              </w:rPr>
              <w:t xml:space="preserve">, Malaysia, Philippines </w:t>
            </w:r>
          </w:p>
          <w:p w:rsidR="00F27486" w:rsidRPr="0068151C" w:rsidRDefault="00F27486">
            <w:pPr>
              <w:rPr>
                <w:rFonts w:cs="Arial"/>
                <w:color w:val="000000" w:themeColor="text1"/>
                <w:sz w:val="16"/>
                <w:szCs w:val="16"/>
              </w:rPr>
            </w:pPr>
            <w:r>
              <w:rPr>
                <w:rFonts w:cs="Arial"/>
                <w:color w:val="000000" w:themeColor="text1"/>
                <w:sz w:val="16"/>
                <w:szCs w:val="16"/>
                <w:lang w:bidi="th-TH"/>
              </w:rPr>
              <w:t>(</w:t>
            </w:r>
            <w:r w:rsidRPr="009022DD">
              <w:rPr>
                <w:rFonts w:cs="Arial"/>
                <w:color w:val="000000" w:themeColor="text1"/>
                <w:sz w:val="16"/>
                <w:szCs w:val="16"/>
                <w:lang w:bidi="th-TH"/>
              </w:rPr>
              <w:t xml:space="preserve">21 </w:t>
            </w:r>
            <w:r>
              <w:rPr>
                <w:rFonts w:cs="Arial"/>
                <w:color w:val="000000" w:themeColor="text1"/>
                <w:sz w:val="16"/>
                <w:szCs w:val="16"/>
                <w:lang w:bidi="th-TH"/>
              </w:rPr>
              <w:t>cumulative)</w:t>
            </w:r>
          </w:p>
        </w:tc>
        <w:tc>
          <w:tcPr>
            <w:tcW w:w="522" w:type="pct"/>
            <w:shd w:val="clear" w:color="auto" w:fill="auto"/>
            <w:tcMar>
              <w:top w:w="110" w:type="dxa"/>
            </w:tcMar>
          </w:tcPr>
          <w:p w:rsidR="00F27486" w:rsidRPr="001B6464" w:rsidRDefault="00F27486" w:rsidP="00FD7155">
            <w:pPr>
              <w:keepNext/>
              <w:keepLines/>
              <w:jc w:val="center"/>
              <w:rPr>
                <w:rFonts w:cs="Arial"/>
                <w:b/>
                <w:bCs/>
                <w:color w:val="00B050"/>
                <w:sz w:val="16"/>
                <w:szCs w:val="16"/>
              </w:rPr>
            </w:pPr>
            <w:r w:rsidRPr="00CE1FA2">
              <w:rPr>
                <w:rStyle w:val="Style5"/>
                <w:rFonts w:ascii="Arial" w:hAnsi="Arial" w:cs="Arial"/>
                <w:b/>
                <w:color w:val="00B050"/>
                <w:sz w:val="16"/>
                <w:szCs w:val="16"/>
              </w:rPr>
              <w:t>On track</w:t>
            </w:r>
            <w:r w:rsidRPr="00CE1FA2" w:rsidDel="008E5DB1">
              <w:rPr>
                <w:rStyle w:val="StyleStyleHeading3ComplexItalicLatin12ptChar"/>
                <w:rFonts w:cs="Arial"/>
                <w:color w:val="00B050"/>
                <w:sz w:val="16"/>
                <w:szCs w:val="16"/>
              </w:rPr>
              <w:t xml:space="preserve"> </w:t>
            </w:r>
          </w:p>
        </w:tc>
      </w:tr>
      <w:tr w:rsidR="0042593C" w:rsidRPr="0068151C" w:rsidTr="0042593C">
        <w:tc>
          <w:tcPr>
            <w:tcW w:w="1193" w:type="pct"/>
            <w:shd w:val="clear" w:color="auto" w:fill="auto"/>
            <w:vAlign w:val="center"/>
          </w:tcPr>
          <w:p w:rsidR="0042593C" w:rsidRPr="0068151C" w:rsidRDefault="0042593C" w:rsidP="00F25872">
            <w:pPr>
              <w:spacing w:after="40"/>
              <w:rPr>
                <w:rFonts w:cs="Arial"/>
                <w:sz w:val="16"/>
                <w:szCs w:val="16"/>
              </w:rPr>
            </w:pPr>
            <w:r w:rsidRPr="0068151C">
              <w:rPr>
                <w:rFonts w:cs="Arial"/>
                <w:b/>
                <w:bCs/>
                <w:sz w:val="16"/>
                <w:szCs w:val="16"/>
              </w:rPr>
              <w:lastRenderedPageBreak/>
              <w:t>Performance Indicators</w:t>
            </w:r>
          </w:p>
        </w:tc>
        <w:tc>
          <w:tcPr>
            <w:tcW w:w="1268" w:type="pct"/>
            <w:shd w:val="clear" w:color="auto" w:fill="auto"/>
            <w:vAlign w:val="center"/>
          </w:tcPr>
          <w:p w:rsidR="0042593C" w:rsidRPr="0068151C" w:rsidRDefault="0042593C" w:rsidP="00F25872">
            <w:pPr>
              <w:spacing w:after="40"/>
              <w:rPr>
                <w:rFonts w:cs="Arial"/>
                <w:b/>
                <w:bCs/>
                <w:sz w:val="16"/>
                <w:szCs w:val="16"/>
              </w:rPr>
            </w:pPr>
            <w:r w:rsidRPr="0068151C">
              <w:rPr>
                <w:rFonts w:cs="Arial"/>
                <w:b/>
                <w:bCs/>
                <w:sz w:val="16"/>
                <w:szCs w:val="16"/>
              </w:rPr>
              <w:t>Baselines</w:t>
            </w:r>
          </w:p>
        </w:tc>
        <w:tc>
          <w:tcPr>
            <w:tcW w:w="672" w:type="pct"/>
            <w:shd w:val="clear" w:color="auto" w:fill="auto"/>
            <w:tcMar>
              <w:top w:w="110" w:type="dxa"/>
            </w:tcMar>
            <w:vAlign w:val="center"/>
          </w:tcPr>
          <w:p w:rsidR="0042593C" w:rsidRPr="0068151C" w:rsidRDefault="0042593C" w:rsidP="00F25872">
            <w:pPr>
              <w:spacing w:after="40"/>
              <w:rPr>
                <w:rFonts w:cs="Arial"/>
                <w:b/>
                <w:sz w:val="16"/>
                <w:szCs w:val="16"/>
              </w:rPr>
            </w:pPr>
            <w:r w:rsidRPr="0068151C">
              <w:rPr>
                <w:rFonts w:cs="Arial"/>
                <w:b/>
                <w:sz w:val="16"/>
                <w:szCs w:val="16"/>
              </w:rPr>
              <w:t>Target</w:t>
            </w:r>
            <w:r>
              <w:rPr>
                <w:rFonts w:cs="Arial"/>
                <w:b/>
                <w:sz w:val="16"/>
                <w:szCs w:val="16"/>
              </w:rPr>
              <w:t>s</w:t>
            </w:r>
          </w:p>
        </w:tc>
        <w:tc>
          <w:tcPr>
            <w:tcW w:w="1344" w:type="pct"/>
            <w:shd w:val="clear" w:color="auto" w:fill="FFFFFF"/>
            <w:tcMar>
              <w:top w:w="110" w:type="dxa"/>
            </w:tcMar>
            <w:vAlign w:val="center"/>
          </w:tcPr>
          <w:p w:rsidR="0042593C" w:rsidRPr="0068151C" w:rsidRDefault="0042593C" w:rsidP="00F25872">
            <w:pPr>
              <w:spacing w:after="40"/>
              <w:rPr>
                <w:rFonts w:cs="Arial"/>
                <w:sz w:val="16"/>
                <w:szCs w:val="16"/>
              </w:rPr>
            </w:pPr>
            <w:r w:rsidRPr="0068151C">
              <w:rPr>
                <w:rFonts w:cs="Arial"/>
                <w:b/>
                <w:bCs/>
                <w:sz w:val="16"/>
                <w:szCs w:val="16"/>
              </w:rPr>
              <w:t>Performance Data</w:t>
            </w:r>
          </w:p>
        </w:tc>
        <w:tc>
          <w:tcPr>
            <w:tcW w:w="522" w:type="pct"/>
            <w:shd w:val="clear" w:color="auto" w:fill="auto"/>
            <w:tcMar>
              <w:top w:w="110" w:type="dxa"/>
            </w:tcMar>
            <w:vAlign w:val="center"/>
          </w:tcPr>
          <w:p w:rsidR="0042593C" w:rsidRPr="0068151C" w:rsidRDefault="0042593C" w:rsidP="00F25872">
            <w:pPr>
              <w:keepNext/>
              <w:keepLines/>
              <w:spacing w:after="40"/>
              <w:jc w:val="center"/>
              <w:rPr>
                <w:rFonts w:cs="Arial"/>
                <w:b/>
                <w:bCs/>
                <w:sz w:val="16"/>
                <w:szCs w:val="16"/>
              </w:rPr>
            </w:pPr>
            <w:r w:rsidRPr="0068151C">
              <w:rPr>
                <w:rFonts w:cs="Arial"/>
                <w:b/>
                <w:bCs/>
                <w:sz w:val="16"/>
                <w:szCs w:val="16"/>
              </w:rPr>
              <w:t>TLS</w:t>
            </w:r>
          </w:p>
        </w:tc>
      </w:tr>
      <w:tr w:rsidR="0042593C" w:rsidRPr="0068151C" w:rsidTr="0042593C">
        <w:tc>
          <w:tcPr>
            <w:tcW w:w="1193" w:type="pct"/>
            <w:shd w:val="clear" w:color="auto" w:fill="auto"/>
          </w:tcPr>
          <w:p w:rsidR="0042593C" w:rsidRPr="0068151C" w:rsidRDefault="0042593C" w:rsidP="00FD7155">
            <w:pPr>
              <w:ind w:firstLineChars="3" w:firstLine="5"/>
              <w:rPr>
                <w:rFonts w:cs="Arial"/>
                <w:sz w:val="16"/>
                <w:szCs w:val="16"/>
              </w:rPr>
            </w:pPr>
            <w:r w:rsidRPr="009022DD">
              <w:rPr>
                <w:rFonts w:cs="Arial"/>
                <w:sz w:val="16"/>
                <w:szCs w:val="16"/>
              </w:rPr>
              <w:t>Average Service Level of IP Offices assisted (ranging from 1 to 5)</w:t>
            </w:r>
          </w:p>
        </w:tc>
        <w:tc>
          <w:tcPr>
            <w:tcW w:w="1268" w:type="pct"/>
            <w:shd w:val="clear" w:color="auto" w:fill="auto"/>
          </w:tcPr>
          <w:p w:rsidR="0042593C" w:rsidRPr="0068151C" w:rsidRDefault="0042593C" w:rsidP="00FD7155">
            <w:pPr>
              <w:rPr>
                <w:rFonts w:cs="Arial"/>
                <w:color w:val="002060"/>
                <w:sz w:val="16"/>
                <w:szCs w:val="16"/>
              </w:rPr>
            </w:pPr>
            <w:r>
              <w:rPr>
                <w:rFonts w:cs="Arial"/>
                <w:i/>
                <w:color w:val="002060"/>
                <w:sz w:val="16"/>
                <w:szCs w:val="16"/>
              </w:rPr>
              <w:t>Updated Baseline end 2013</w:t>
            </w:r>
            <w:r w:rsidRPr="0068151C">
              <w:rPr>
                <w:rFonts w:cs="Arial"/>
                <w:i/>
                <w:color w:val="002060"/>
                <w:sz w:val="16"/>
                <w:szCs w:val="16"/>
              </w:rPr>
              <w:t>:</w:t>
            </w:r>
            <w:r w:rsidRPr="0068151C">
              <w:rPr>
                <w:rFonts w:cs="Arial"/>
                <w:color w:val="002060"/>
                <w:sz w:val="16"/>
                <w:szCs w:val="16"/>
              </w:rPr>
              <w:t xml:space="preserve">  </w:t>
            </w:r>
            <w:r w:rsidRPr="003F74EA">
              <w:rPr>
                <w:color w:val="000000" w:themeColor="text1"/>
                <w:sz w:val="16"/>
                <w:szCs w:val="16"/>
              </w:rPr>
              <w:t>2.8</w:t>
            </w:r>
          </w:p>
          <w:p w:rsidR="0042593C" w:rsidRPr="00AE7502" w:rsidRDefault="0042593C" w:rsidP="00FD7155">
            <w:pPr>
              <w:rPr>
                <w:rFonts w:cs="Arial"/>
                <w:i/>
                <w:sz w:val="8"/>
                <w:szCs w:val="8"/>
              </w:rPr>
            </w:pPr>
          </w:p>
          <w:p w:rsidR="0042593C" w:rsidRDefault="0042593C" w:rsidP="00FD7155">
            <w:pPr>
              <w:rPr>
                <w:rFonts w:cs="Arial"/>
                <w:sz w:val="16"/>
                <w:szCs w:val="16"/>
              </w:rPr>
            </w:pPr>
            <w:r>
              <w:rPr>
                <w:rFonts w:cs="Arial"/>
                <w:i/>
                <w:sz w:val="16"/>
                <w:szCs w:val="16"/>
              </w:rPr>
              <w:t>Original Baseline P&amp;B 2014/15</w:t>
            </w:r>
            <w:r w:rsidRPr="0068151C">
              <w:rPr>
                <w:rFonts w:cs="Arial"/>
                <w:i/>
                <w:sz w:val="16"/>
                <w:szCs w:val="16"/>
              </w:rPr>
              <w:t>:</w:t>
            </w:r>
            <w:r w:rsidRPr="0068151C">
              <w:rPr>
                <w:rFonts w:cs="Arial"/>
                <w:sz w:val="16"/>
                <w:szCs w:val="16"/>
              </w:rPr>
              <w:t xml:space="preserve">  </w:t>
            </w:r>
            <w:proofErr w:type="spellStart"/>
            <w:r w:rsidRPr="003F74EA">
              <w:rPr>
                <w:rFonts w:cs="Arial"/>
                <w:sz w:val="16"/>
                <w:szCs w:val="16"/>
              </w:rPr>
              <w:t>tbd</w:t>
            </w:r>
            <w:proofErr w:type="spellEnd"/>
          </w:p>
          <w:p w:rsidR="0042593C" w:rsidRPr="0068151C" w:rsidRDefault="0042593C" w:rsidP="00FD7155">
            <w:pPr>
              <w:rPr>
                <w:rFonts w:cs="Arial"/>
                <w:sz w:val="16"/>
                <w:szCs w:val="16"/>
              </w:rPr>
            </w:pPr>
          </w:p>
        </w:tc>
        <w:tc>
          <w:tcPr>
            <w:tcW w:w="672" w:type="pct"/>
            <w:shd w:val="clear" w:color="auto" w:fill="auto"/>
            <w:tcMar>
              <w:top w:w="110" w:type="dxa"/>
            </w:tcMar>
          </w:tcPr>
          <w:p w:rsidR="0042593C" w:rsidRDefault="0042593C" w:rsidP="00FD7155">
            <w:pPr>
              <w:pStyle w:val="Default"/>
              <w:rPr>
                <w:rFonts w:eastAsia="Times New Roman"/>
                <w:color w:val="002060"/>
                <w:sz w:val="16"/>
                <w:szCs w:val="16"/>
                <w:lang w:eastAsia="en-US"/>
              </w:rPr>
            </w:pPr>
            <w:r w:rsidRPr="009C34D1">
              <w:rPr>
                <w:rFonts w:eastAsia="Times New Roman"/>
                <w:i/>
                <w:color w:val="002060"/>
                <w:sz w:val="16"/>
                <w:szCs w:val="16"/>
                <w:lang w:eastAsia="en-US"/>
              </w:rPr>
              <w:t xml:space="preserve">Defined Target: </w:t>
            </w:r>
            <w:r w:rsidRPr="009C34D1">
              <w:rPr>
                <w:rFonts w:eastAsia="Times New Roman"/>
                <w:color w:val="002060"/>
                <w:sz w:val="16"/>
                <w:szCs w:val="16"/>
                <w:lang w:eastAsia="en-US"/>
              </w:rPr>
              <w:t>3</w:t>
            </w:r>
          </w:p>
          <w:p w:rsidR="0042593C" w:rsidRPr="00CE1FA2" w:rsidRDefault="0042593C" w:rsidP="00FD7155">
            <w:pPr>
              <w:pStyle w:val="Default"/>
              <w:rPr>
                <w:rFonts w:eastAsia="Times New Roman"/>
                <w:color w:val="002060"/>
                <w:sz w:val="16"/>
                <w:szCs w:val="16"/>
                <w:lang w:eastAsia="en-US"/>
              </w:rPr>
            </w:pPr>
          </w:p>
          <w:p w:rsidR="0042593C" w:rsidRPr="0068151C" w:rsidRDefault="0042593C" w:rsidP="00FD7155">
            <w:pPr>
              <w:pStyle w:val="Default"/>
              <w:rPr>
                <w:color w:val="000000" w:themeColor="text1"/>
                <w:sz w:val="16"/>
                <w:szCs w:val="16"/>
              </w:rPr>
            </w:pPr>
            <w:r>
              <w:rPr>
                <w:rFonts w:eastAsia="Times New Roman"/>
                <w:i/>
                <w:color w:val="002060"/>
                <w:sz w:val="16"/>
                <w:szCs w:val="16"/>
                <w:lang w:eastAsia="en-US"/>
              </w:rPr>
              <w:t xml:space="preserve">Original Target P&amp;B 2014/15: </w:t>
            </w:r>
            <w:proofErr w:type="spellStart"/>
            <w:r w:rsidRPr="009C34D1">
              <w:rPr>
                <w:rFonts w:eastAsia="Times New Roman"/>
                <w:color w:val="002060"/>
                <w:sz w:val="16"/>
                <w:szCs w:val="16"/>
                <w:lang w:eastAsia="en-US"/>
              </w:rPr>
              <w:t>tbd</w:t>
            </w:r>
            <w:proofErr w:type="spellEnd"/>
          </w:p>
        </w:tc>
        <w:tc>
          <w:tcPr>
            <w:tcW w:w="1344" w:type="pct"/>
            <w:shd w:val="clear" w:color="auto" w:fill="FFFFFF"/>
            <w:tcMar>
              <w:top w:w="110" w:type="dxa"/>
            </w:tcMar>
          </w:tcPr>
          <w:p w:rsidR="0042593C" w:rsidRDefault="0042593C" w:rsidP="00FD7155">
            <w:pPr>
              <w:rPr>
                <w:color w:val="000000" w:themeColor="text1"/>
                <w:sz w:val="16"/>
                <w:szCs w:val="16"/>
              </w:rPr>
            </w:pPr>
            <w:r>
              <w:rPr>
                <w:color w:val="000000" w:themeColor="text1"/>
                <w:sz w:val="16"/>
                <w:szCs w:val="16"/>
              </w:rPr>
              <w:t>Overall average: 2.9</w:t>
            </w:r>
          </w:p>
          <w:p w:rsidR="0042593C" w:rsidRPr="00CE1FA2" w:rsidRDefault="0042593C" w:rsidP="00F27486">
            <w:pPr>
              <w:pStyle w:val="ListParagraph"/>
              <w:numPr>
                <w:ilvl w:val="0"/>
                <w:numId w:val="34"/>
              </w:numPr>
              <w:rPr>
                <w:color w:val="000000" w:themeColor="text1"/>
                <w:sz w:val="16"/>
                <w:szCs w:val="16"/>
              </w:rPr>
            </w:pPr>
            <w:r w:rsidRPr="00CE1FA2">
              <w:rPr>
                <w:color w:val="000000" w:themeColor="text1"/>
                <w:sz w:val="16"/>
                <w:szCs w:val="16"/>
              </w:rPr>
              <w:t>Africa: 3</w:t>
            </w:r>
          </w:p>
          <w:p w:rsidR="0042593C" w:rsidRPr="00CE1FA2" w:rsidRDefault="0042593C" w:rsidP="00F27486">
            <w:pPr>
              <w:pStyle w:val="ListParagraph"/>
              <w:numPr>
                <w:ilvl w:val="0"/>
                <w:numId w:val="34"/>
              </w:numPr>
              <w:rPr>
                <w:color w:val="000000" w:themeColor="text1"/>
                <w:sz w:val="16"/>
                <w:szCs w:val="16"/>
              </w:rPr>
            </w:pPr>
            <w:r w:rsidRPr="00CE1FA2">
              <w:rPr>
                <w:color w:val="000000" w:themeColor="text1"/>
                <w:sz w:val="16"/>
                <w:szCs w:val="16"/>
              </w:rPr>
              <w:t>Arab: 2.7</w:t>
            </w:r>
          </w:p>
          <w:p w:rsidR="0042593C" w:rsidRPr="00CE1FA2" w:rsidRDefault="0042593C" w:rsidP="00F27486">
            <w:pPr>
              <w:pStyle w:val="ListParagraph"/>
              <w:numPr>
                <w:ilvl w:val="0"/>
                <w:numId w:val="34"/>
              </w:numPr>
              <w:rPr>
                <w:color w:val="000000" w:themeColor="text1"/>
                <w:sz w:val="16"/>
                <w:szCs w:val="16"/>
              </w:rPr>
            </w:pPr>
            <w:r w:rsidRPr="00CE1FA2">
              <w:rPr>
                <w:color w:val="000000" w:themeColor="text1"/>
                <w:sz w:val="16"/>
                <w:szCs w:val="16"/>
              </w:rPr>
              <w:t xml:space="preserve">Asia and </w:t>
            </w:r>
            <w:r>
              <w:rPr>
                <w:color w:val="000000" w:themeColor="text1"/>
                <w:sz w:val="16"/>
                <w:szCs w:val="16"/>
              </w:rPr>
              <w:t xml:space="preserve">the </w:t>
            </w:r>
            <w:r w:rsidRPr="00CE1FA2">
              <w:rPr>
                <w:color w:val="000000" w:themeColor="text1"/>
                <w:sz w:val="16"/>
                <w:szCs w:val="16"/>
              </w:rPr>
              <w:t>Pacific: 2.7</w:t>
            </w:r>
          </w:p>
          <w:p w:rsidR="0042593C" w:rsidRPr="00CE1FA2" w:rsidRDefault="0042593C" w:rsidP="00F27486">
            <w:pPr>
              <w:pStyle w:val="ListParagraph"/>
              <w:numPr>
                <w:ilvl w:val="0"/>
                <w:numId w:val="34"/>
              </w:numPr>
              <w:rPr>
                <w:color w:val="000000" w:themeColor="text1"/>
                <w:sz w:val="16"/>
                <w:szCs w:val="16"/>
              </w:rPr>
            </w:pPr>
            <w:r w:rsidRPr="00CE1FA2">
              <w:rPr>
                <w:color w:val="000000" w:themeColor="text1"/>
                <w:sz w:val="16"/>
                <w:szCs w:val="16"/>
              </w:rPr>
              <w:t>Certain Countries in Europe and Asia: 3.2</w:t>
            </w:r>
          </w:p>
          <w:p w:rsidR="0042593C" w:rsidRPr="00CE1FA2" w:rsidRDefault="0042593C" w:rsidP="00F27486">
            <w:pPr>
              <w:pStyle w:val="ListParagraph"/>
              <w:numPr>
                <w:ilvl w:val="0"/>
                <w:numId w:val="34"/>
              </w:numPr>
              <w:rPr>
                <w:color w:val="000000" w:themeColor="text1"/>
                <w:sz w:val="16"/>
                <w:szCs w:val="16"/>
              </w:rPr>
            </w:pPr>
            <w:r w:rsidRPr="00CE1FA2">
              <w:rPr>
                <w:color w:val="000000" w:themeColor="text1"/>
                <w:sz w:val="16"/>
                <w:szCs w:val="16"/>
              </w:rPr>
              <w:t>Latin America and the Caribbean: 3.1</w:t>
            </w:r>
          </w:p>
          <w:p w:rsidR="0042593C" w:rsidRPr="0068151C" w:rsidRDefault="0042593C" w:rsidP="0042593C">
            <w:pPr>
              <w:pStyle w:val="ListParagraph"/>
              <w:numPr>
                <w:ilvl w:val="0"/>
                <w:numId w:val="34"/>
              </w:numPr>
              <w:rPr>
                <w:rFonts w:cs="Arial"/>
                <w:color w:val="000000" w:themeColor="text1"/>
                <w:sz w:val="16"/>
                <w:szCs w:val="16"/>
              </w:rPr>
            </w:pPr>
            <w:r w:rsidRPr="00CE1FA2">
              <w:rPr>
                <w:color w:val="000000" w:themeColor="text1"/>
                <w:sz w:val="16"/>
                <w:szCs w:val="16"/>
              </w:rPr>
              <w:t>Other: 2.4</w:t>
            </w:r>
          </w:p>
        </w:tc>
        <w:tc>
          <w:tcPr>
            <w:tcW w:w="522" w:type="pct"/>
            <w:shd w:val="clear" w:color="auto" w:fill="auto"/>
            <w:tcMar>
              <w:top w:w="110" w:type="dxa"/>
            </w:tcMar>
          </w:tcPr>
          <w:p w:rsidR="0042593C" w:rsidRPr="00CE1FA2" w:rsidRDefault="0042593C" w:rsidP="00FD7155">
            <w:pPr>
              <w:keepNext/>
              <w:keepLines/>
              <w:jc w:val="center"/>
              <w:rPr>
                <w:rStyle w:val="Style5"/>
                <w:rFonts w:ascii="Arial" w:hAnsi="Arial"/>
                <w:b/>
                <w:color w:val="00B050"/>
                <w:sz w:val="16"/>
              </w:rPr>
            </w:pPr>
            <w:r w:rsidRPr="00CE1FA2">
              <w:rPr>
                <w:rStyle w:val="Style5"/>
                <w:rFonts w:ascii="Arial" w:hAnsi="Arial" w:cs="Arial"/>
                <w:b/>
                <w:color w:val="00B050"/>
                <w:sz w:val="16"/>
                <w:szCs w:val="16"/>
              </w:rPr>
              <w:t>On track</w:t>
            </w:r>
          </w:p>
        </w:tc>
      </w:tr>
      <w:tr w:rsidR="0042593C" w:rsidRPr="0068151C" w:rsidTr="0042593C">
        <w:tc>
          <w:tcPr>
            <w:tcW w:w="1193" w:type="pct"/>
            <w:shd w:val="clear" w:color="auto" w:fill="auto"/>
          </w:tcPr>
          <w:p w:rsidR="0042593C" w:rsidRPr="0068151C" w:rsidRDefault="0042593C" w:rsidP="0042593C">
            <w:pPr>
              <w:ind w:firstLineChars="3" w:firstLine="5"/>
              <w:rPr>
                <w:rFonts w:cs="Arial"/>
                <w:sz w:val="16"/>
                <w:szCs w:val="16"/>
              </w:rPr>
            </w:pPr>
            <w:r w:rsidRPr="003F74EA">
              <w:rPr>
                <w:rFonts w:cs="Arial"/>
                <w:sz w:val="16"/>
                <w:szCs w:val="16"/>
              </w:rPr>
              <w:t xml:space="preserve">No. of Collective Management Organizations (CMOs) in developing countries and LDCs participating in regional and global networks facilitated by WIPO </w:t>
            </w:r>
          </w:p>
        </w:tc>
        <w:tc>
          <w:tcPr>
            <w:tcW w:w="1268" w:type="pct"/>
            <w:shd w:val="clear" w:color="auto" w:fill="auto"/>
          </w:tcPr>
          <w:p w:rsidR="0042593C" w:rsidRPr="0068151C" w:rsidRDefault="0042593C" w:rsidP="00FD7155">
            <w:pPr>
              <w:rPr>
                <w:rFonts w:cs="Arial"/>
                <w:i/>
                <w:sz w:val="16"/>
                <w:szCs w:val="16"/>
              </w:rPr>
            </w:pPr>
            <w:r>
              <w:rPr>
                <w:rFonts w:cs="Arial"/>
                <w:sz w:val="16"/>
                <w:szCs w:val="16"/>
              </w:rPr>
              <w:t>0 zero</w:t>
            </w:r>
          </w:p>
        </w:tc>
        <w:tc>
          <w:tcPr>
            <w:tcW w:w="672" w:type="pct"/>
            <w:shd w:val="clear" w:color="auto" w:fill="auto"/>
            <w:tcMar>
              <w:top w:w="110" w:type="dxa"/>
            </w:tcMar>
          </w:tcPr>
          <w:p w:rsidR="0042593C" w:rsidRPr="0068151C" w:rsidRDefault="0042593C" w:rsidP="00FD7155">
            <w:pPr>
              <w:pStyle w:val="Default"/>
              <w:rPr>
                <w:i/>
                <w:color w:val="000000" w:themeColor="text1"/>
                <w:sz w:val="16"/>
                <w:szCs w:val="16"/>
              </w:rPr>
            </w:pPr>
            <w:r>
              <w:rPr>
                <w:color w:val="000000" w:themeColor="text1"/>
                <w:sz w:val="16"/>
                <w:szCs w:val="16"/>
              </w:rPr>
              <w:t>10</w:t>
            </w:r>
          </w:p>
        </w:tc>
        <w:tc>
          <w:tcPr>
            <w:tcW w:w="1344" w:type="pct"/>
            <w:shd w:val="clear" w:color="auto" w:fill="FFFFFF"/>
            <w:tcMar>
              <w:top w:w="110" w:type="dxa"/>
            </w:tcMar>
          </w:tcPr>
          <w:p w:rsidR="0042593C" w:rsidRPr="0068151C" w:rsidRDefault="0042593C" w:rsidP="00FD7155">
            <w:pPr>
              <w:rPr>
                <w:rFonts w:cs="Arial"/>
                <w:color w:val="000000" w:themeColor="text1"/>
                <w:sz w:val="16"/>
                <w:szCs w:val="16"/>
              </w:rPr>
            </w:pPr>
            <w:r>
              <w:rPr>
                <w:rFonts w:cs="Arial"/>
                <w:color w:val="000000" w:themeColor="text1"/>
                <w:sz w:val="16"/>
                <w:szCs w:val="16"/>
                <w:lang w:bidi="th-TH"/>
              </w:rPr>
              <w:t>The WCC system is under development and is expected to be deployed in 2015.</w:t>
            </w:r>
          </w:p>
        </w:tc>
        <w:tc>
          <w:tcPr>
            <w:tcW w:w="522" w:type="pct"/>
            <w:shd w:val="clear" w:color="auto" w:fill="auto"/>
            <w:tcMar>
              <w:top w:w="110" w:type="dxa"/>
            </w:tcMar>
          </w:tcPr>
          <w:p w:rsidR="0042593C" w:rsidRPr="00CE1FA2" w:rsidRDefault="0042593C" w:rsidP="00FD7155">
            <w:pPr>
              <w:keepNext/>
              <w:keepLines/>
              <w:jc w:val="center"/>
              <w:rPr>
                <w:rFonts w:cs="Arial"/>
                <w:b/>
                <w:bCs/>
                <w:color w:val="808080"/>
                <w:sz w:val="16"/>
                <w:szCs w:val="16"/>
              </w:rPr>
            </w:pPr>
            <w:r w:rsidRPr="00671186">
              <w:rPr>
                <w:rStyle w:val="Style5"/>
                <w:rFonts w:ascii="Arial" w:hAnsi="Arial" w:cs="Arial"/>
                <w:b/>
                <w:color w:val="0070C0"/>
                <w:sz w:val="16"/>
                <w:szCs w:val="16"/>
              </w:rPr>
              <w:t>N/A 2014</w:t>
            </w:r>
            <w:r w:rsidRPr="00671186" w:rsidDel="008E5DB1">
              <w:rPr>
                <w:rStyle w:val="StyleStyleHeading3ComplexItalicLatin12ptChar"/>
                <w:rFonts w:cs="Arial"/>
                <w:color w:val="0070C0"/>
                <w:sz w:val="16"/>
                <w:szCs w:val="16"/>
              </w:rPr>
              <w:t xml:space="preserve"> </w:t>
            </w:r>
          </w:p>
        </w:tc>
      </w:tr>
    </w:tbl>
    <w:p w:rsidR="00F27486" w:rsidRPr="00CE1FA2" w:rsidRDefault="00F27486" w:rsidP="00FD7155">
      <w:pPr>
        <w:jc w:val="both"/>
        <w:rPr>
          <w:rFonts w:cs="Arial"/>
          <w:bCs/>
          <w:szCs w:val="20"/>
        </w:rPr>
      </w:pPr>
    </w:p>
    <w:p w:rsidR="00F27486" w:rsidRDefault="00F27486">
      <w:pPr>
        <w:rPr>
          <w:rFonts w:cs="Arial"/>
          <w:color w:val="000000"/>
          <w:szCs w:val="20"/>
        </w:rPr>
      </w:pPr>
    </w:p>
    <w:p w:rsidR="00F27486" w:rsidRPr="00CE1FA2" w:rsidRDefault="00F27486" w:rsidP="00FD7155">
      <w:pPr>
        <w:jc w:val="both"/>
        <w:rPr>
          <w:rFonts w:cs="Arial"/>
          <w:b/>
          <w:szCs w:val="20"/>
        </w:rPr>
      </w:pPr>
      <w:r w:rsidRPr="00671186">
        <w:rPr>
          <w:rFonts w:cs="Arial"/>
          <w:color w:val="000000"/>
          <w:sz w:val="22"/>
          <w:szCs w:val="20"/>
        </w:rPr>
        <w:t>RESOURCE UTILIZATION</w:t>
      </w:r>
      <w:r w:rsidRPr="00671186">
        <w:rPr>
          <w:rFonts w:cs="Arial"/>
          <w:color w:val="000000"/>
          <w:sz w:val="22"/>
          <w:szCs w:val="20"/>
        </w:rPr>
        <w:tab/>
      </w:r>
    </w:p>
    <w:p w:rsidR="00F27486" w:rsidRPr="009022DD" w:rsidRDefault="00F27486" w:rsidP="00FD7155">
      <w:pPr>
        <w:jc w:val="both"/>
        <w:rPr>
          <w:rFonts w:cs="Arial"/>
          <w:szCs w:val="20"/>
        </w:rPr>
      </w:pPr>
    </w:p>
    <w:p w:rsidR="00F27486" w:rsidRPr="009022DD" w:rsidRDefault="00F27486" w:rsidP="00FD7155">
      <w:pPr>
        <w:pStyle w:val="NormalWeb"/>
        <w:spacing w:before="0" w:beforeAutospacing="0" w:after="0" w:afterAutospacing="0"/>
        <w:jc w:val="center"/>
        <w:rPr>
          <w:sz w:val="20"/>
          <w:szCs w:val="20"/>
        </w:rPr>
      </w:pPr>
      <w:r w:rsidRPr="009022DD">
        <w:rPr>
          <w:color w:val="000000"/>
          <w:sz w:val="20"/>
          <w:szCs w:val="20"/>
        </w:rPr>
        <w:t>Budget and Actual Expenditure (by result)</w:t>
      </w:r>
    </w:p>
    <w:p w:rsidR="00F27486" w:rsidRDefault="00F27486">
      <w:pPr>
        <w:pStyle w:val="NormalWeb"/>
        <w:spacing w:before="0" w:beforeAutospacing="0" w:after="0" w:afterAutospacing="0"/>
        <w:jc w:val="center"/>
        <w:rPr>
          <w:i/>
          <w:iCs/>
          <w:color w:val="000000"/>
          <w:sz w:val="20"/>
          <w:szCs w:val="20"/>
        </w:rPr>
      </w:pPr>
      <w:r w:rsidRPr="00462BD5">
        <w:rPr>
          <w:i/>
          <w:iCs/>
          <w:color w:val="000000"/>
          <w:sz w:val="20"/>
          <w:szCs w:val="20"/>
        </w:rPr>
        <w:t>(</w:t>
      </w:r>
      <w:proofErr w:type="gramStart"/>
      <w:r w:rsidRPr="00462BD5">
        <w:rPr>
          <w:i/>
          <w:iCs/>
          <w:color w:val="000000"/>
          <w:sz w:val="20"/>
          <w:szCs w:val="20"/>
        </w:rPr>
        <w:t>in</w:t>
      </w:r>
      <w:proofErr w:type="gramEnd"/>
      <w:r w:rsidRPr="00462BD5">
        <w:rPr>
          <w:i/>
          <w:iCs/>
          <w:color w:val="000000"/>
          <w:sz w:val="20"/>
          <w:szCs w:val="20"/>
        </w:rPr>
        <w:t xml:space="preserve"> thousands of Swiss francs)</w:t>
      </w:r>
    </w:p>
    <w:p w:rsidR="0042593C" w:rsidRPr="0042593C" w:rsidRDefault="0042593C">
      <w:pPr>
        <w:pStyle w:val="NormalWeb"/>
        <w:spacing w:before="0" w:beforeAutospacing="0" w:after="0" w:afterAutospacing="0"/>
        <w:jc w:val="center"/>
        <w:rPr>
          <w:i/>
          <w:iCs/>
          <w:color w:val="000000"/>
          <w:sz w:val="14"/>
          <w:szCs w:val="20"/>
        </w:rPr>
      </w:pPr>
    </w:p>
    <w:p w:rsidR="00F27486" w:rsidRPr="009022DD" w:rsidRDefault="00F27486" w:rsidP="00FD7155">
      <w:pPr>
        <w:jc w:val="center"/>
        <w:rPr>
          <w:rFonts w:cs="Arial"/>
          <w:szCs w:val="20"/>
        </w:rPr>
      </w:pPr>
      <w:r w:rsidRPr="00F042FB">
        <w:rPr>
          <w:noProof/>
        </w:rPr>
        <w:drawing>
          <wp:inline distT="0" distB="0" distL="0" distR="0" wp14:anchorId="17898CE7" wp14:editId="12EF3052">
            <wp:extent cx="5762625" cy="1352550"/>
            <wp:effectExtent l="0" t="0" r="9525" b="0"/>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62625" cy="1352550"/>
                    </a:xfrm>
                    <a:prstGeom prst="rect">
                      <a:avLst/>
                    </a:prstGeom>
                    <a:noFill/>
                    <a:ln>
                      <a:noFill/>
                    </a:ln>
                  </pic:spPr>
                </pic:pic>
              </a:graphicData>
            </a:graphic>
          </wp:inline>
        </w:drawing>
      </w:r>
    </w:p>
    <w:p w:rsidR="00F27486" w:rsidRPr="009022DD" w:rsidRDefault="00F27486" w:rsidP="00FD7155">
      <w:pPr>
        <w:jc w:val="both"/>
        <w:rPr>
          <w:rFonts w:cs="Arial"/>
          <w:szCs w:val="20"/>
        </w:rPr>
      </w:pPr>
    </w:p>
    <w:p w:rsidR="00F27486" w:rsidRPr="00462BD5" w:rsidRDefault="00F27486" w:rsidP="00FD7155">
      <w:pPr>
        <w:pStyle w:val="NormalWeb"/>
        <w:keepNext/>
        <w:keepLines/>
        <w:spacing w:before="0" w:beforeAutospacing="0" w:after="0" w:afterAutospacing="0"/>
        <w:jc w:val="center"/>
        <w:rPr>
          <w:sz w:val="20"/>
          <w:szCs w:val="20"/>
        </w:rPr>
      </w:pPr>
      <w:r w:rsidRPr="00462BD5">
        <w:rPr>
          <w:color w:val="000000"/>
          <w:sz w:val="20"/>
          <w:szCs w:val="20"/>
        </w:rPr>
        <w:t>Budget and Actual Expenditure (personnel and non-personnel)</w:t>
      </w:r>
    </w:p>
    <w:p w:rsidR="00F27486" w:rsidRDefault="00F27486">
      <w:pPr>
        <w:pStyle w:val="NormalWeb"/>
        <w:keepNext/>
        <w:keepLines/>
        <w:spacing w:before="0" w:beforeAutospacing="0" w:after="0" w:afterAutospacing="0"/>
        <w:jc w:val="center"/>
        <w:rPr>
          <w:i/>
          <w:iCs/>
          <w:color w:val="000000"/>
          <w:sz w:val="20"/>
          <w:szCs w:val="20"/>
        </w:rPr>
      </w:pPr>
      <w:r w:rsidRPr="007D30DE">
        <w:rPr>
          <w:i/>
          <w:iCs/>
          <w:color w:val="000000"/>
          <w:sz w:val="20"/>
          <w:szCs w:val="20"/>
        </w:rPr>
        <w:t>(</w:t>
      </w:r>
      <w:proofErr w:type="gramStart"/>
      <w:r w:rsidRPr="007D30DE">
        <w:rPr>
          <w:i/>
          <w:iCs/>
          <w:color w:val="000000"/>
          <w:sz w:val="20"/>
          <w:szCs w:val="20"/>
        </w:rPr>
        <w:t>in</w:t>
      </w:r>
      <w:proofErr w:type="gramEnd"/>
      <w:r w:rsidRPr="007D30DE">
        <w:rPr>
          <w:i/>
          <w:iCs/>
          <w:color w:val="000000"/>
          <w:sz w:val="20"/>
          <w:szCs w:val="20"/>
        </w:rPr>
        <w:t xml:space="preserve"> thousands of Swiss francs)</w:t>
      </w:r>
    </w:p>
    <w:p w:rsidR="0042593C" w:rsidRPr="0042593C" w:rsidRDefault="0042593C">
      <w:pPr>
        <w:pStyle w:val="NormalWeb"/>
        <w:keepNext/>
        <w:keepLines/>
        <w:spacing w:before="0" w:beforeAutospacing="0" w:after="0" w:afterAutospacing="0"/>
        <w:jc w:val="center"/>
        <w:rPr>
          <w:i/>
          <w:iCs/>
          <w:color w:val="000000"/>
          <w:sz w:val="14"/>
          <w:szCs w:val="20"/>
        </w:rPr>
      </w:pPr>
    </w:p>
    <w:p w:rsidR="00F27486" w:rsidRPr="00CE1FA2" w:rsidRDefault="00F27486" w:rsidP="00F27486">
      <w:pPr>
        <w:jc w:val="center"/>
        <w:rPr>
          <w:rFonts w:cs="Arial"/>
          <w:szCs w:val="20"/>
        </w:rPr>
      </w:pPr>
      <w:r w:rsidRPr="00F042FB">
        <w:rPr>
          <w:noProof/>
        </w:rPr>
        <w:drawing>
          <wp:inline distT="0" distB="0" distL="0" distR="0" wp14:anchorId="7D1D6851" wp14:editId="6C37E3E8">
            <wp:extent cx="5764696" cy="1262284"/>
            <wp:effectExtent l="0" t="0" r="0" b="0"/>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57765" cy="1260766"/>
                    </a:xfrm>
                    <a:prstGeom prst="rect">
                      <a:avLst/>
                    </a:prstGeom>
                    <a:noFill/>
                    <a:ln>
                      <a:noFill/>
                    </a:ln>
                  </pic:spPr>
                </pic:pic>
              </a:graphicData>
            </a:graphic>
          </wp:inline>
        </w:drawing>
      </w:r>
    </w:p>
    <w:p w:rsidR="00F27486" w:rsidRPr="009022DD" w:rsidRDefault="00F27486" w:rsidP="00FD7155">
      <w:pPr>
        <w:widowControl w:val="0"/>
        <w:autoSpaceDE w:val="0"/>
        <w:autoSpaceDN w:val="0"/>
        <w:adjustRightInd w:val="0"/>
        <w:jc w:val="both"/>
        <w:rPr>
          <w:rFonts w:cs="Arial"/>
          <w:szCs w:val="20"/>
        </w:rPr>
      </w:pPr>
      <w:r w:rsidRPr="008B1357">
        <w:rPr>
          <w:rFonts w:cs="Arial"/>
          <w:sz w:val="16"/>
          <w:szCs w:val="16"/>
        </w:rPr>
        <w:t>NOTE:</w:t>
      </w:r>
      <w:r>
        <w:rPr>
          <w:rFonts w:cs="Arial"/>
          <w:sz w:val="16"/>
          <w:szCs w:val="16"/>
        </w:rPr>
        <w:t xml:space="preserve"> </w:t>
      </w:r>
      <w:r w:rsidRPr="00A21E4B">
        <w:rPr>
          <w:i/>
          <w:sz w:val="16"/>
          <w:szCs w:val="16"/>
        </w:rPr>
        <w:t>The 2014/15 Budget after Transfers reflects transfers as of March 31, 2015 to address needs during the 2014/15 biennium in line with Financial Regulation 5.5.</w:t>
      </w:r>
    </w:p>
    <w:p w:rsidR="00F27486" w:rsidRPr="009022DD" w:rsidRDefault="00F27486" w:rsidP="00FD7155">
      <w:pPr>
        <w:widowControl w:val="0"/>
        <w:autoSpaceDE w:val="0"/>
        <w:autoSpaceDN w:val="0"/>
        <w:adjustRightInd w:val="0"/>
        <w:jc w:val="both"/>
        <w:rPr>
          <w:rFonts w:cs="Arial"/>
          <w:szCs w:val="20"/>
        </w:rPr>
      </w:pPr>
    </w:p>
    <w:p w:rsidR="00F27486" w:rsidRDefault="00F27486" w:rsidP="00FD7155">
      <w:pPr>
        <w:jc w:val="both"/>
        <w:rPr>
          <w:rFonts w:cs="Arial"/>
          <w:szCs w:val="20"/>
          <w:u w:val="single"/>
        </w:rPr>
      </w:pPr>
      <w:r w:rsidRPr="00462BD5">
        <w:rPr>
          <w:rFonts w:cs="Arial"/>
          <w:szCs w:val="20"/>
        </w:rPr>
        <w:t>A.</w:t>
      </w:r>
      <w:r w:rsidRPr="00462BD5">
        <w:rPr>
          <w:rFonts w:cs="Arial"/>
          <w:szCs w:val="20"/>
        </w:rPr>
        <w:tab/>
      </w:r>
      <w:r w:rsidRPr="00462BD5">
        <w:rPr>
          <w:rFonts w:cs="Arial"/>
          <w:szCs w:val="20"/>
          <w:u w:val="single"/>
        </w:rPr>
        <w:t>Budget after Transfers 201</w:t>
      </w:r>
      <w:r w:rsidRPr="007D30DE">
        <w:rPr>
          <w:rFonts w:cs="Arial"/>
          <w:szCs w:val="20"/>
          <w:u w:val="single"/>
        </w:rPr>
        <w:t>4/15</w:t>
      </w:r>
    </w:p>
    <w:p w:rsidR="00F27486" w:rsidRPr="007D30DE" w:rsidRDefault="00F27486" w:rsidP="00FD7155">
      <w:pPr>
        <w:jc w:val="both"/>
        <w:rPr>
          <w:rFonts w:cs="Arial"/>
          <w:szCs w:val="20"/>
          <w:u w:val="single"/>
        </w:rPr>
      </w:pPr>
    </w:p>
    <w:p w:rsidR="00F27486" w:rsidRDefault="00F27486" w:rsidP="00F27486">
      <w:pPr>
        <w:pStyle w:val="ListParagraph"/>
        <w:keepNext/>
        <w:keepLines/>
        <w:numPr>
          <w:ilvl w:val="0"/>
          <w:numId w:val="76"/>
        </w:numPr>
        <w:tabs>
          <w:tab w:val="left" w:pos="709"/>
        </w:tabs>
        <w:ind w:left="0" w:firstLine="0"/>
        <w:jc w:val="both"/>
      </w:pPr>
      <w:r>
        <w:t>The increase in the 2014/15 Budget after Transfers is primarily the result of (</w:t>
      </w:r>
      <w:proofErr w:type="spellStart"/>
      <w:r>
        <w:t>i</w:t>
      </w:r>
      <w:proofErr w:type="spellEnd"/>
      <w:r>
        <w:t>) additional non-personnel resources provided to cover ICT-related costs for TIGAR following the transfer of responsibilities for the ICT component of TIGAR to Program 15 from Program 3; and (ii) a transfer of one position into the Program to assist with the deployment and support of WIPO business solutions for IP Offices.</w:t>
      </w:r>
    </w:p>
    <w:p w:rsidR="00F27486" w:rsidRPr="00B23E73" w:rsidRDefault="00F27486" w:rsidP="00FD7155">
      <w:pPr>
        <w:autoSpaceDE w:val="0"/>
        <w:autoSpaceDN w:val="0"/>
        <w:jc w:val="both"/>
        <w:rPr>
          <w:rFonts w:cs="Arial"/>
          <w:szCs w:val="20"/>
          <w:lang w:eastAsia="ko-KR"/>
        </w:rPr>
      </w:pPr>
    </w:p>
    <w:p w:rsidR="00F27486" w:rsidRPr="009022DD" w:rsidRDefault="00F27486" w:rsidP="00FD7155">
      <w:pPr>
        <w:jc w:val="both"/>
        <w:rPr>
          <w:rFonts w:cs="Arial"/>
          <w:szCs w:val="20"/>
          <w:u w:val="single"/>
          <w:lang w:eastAsia="ko-KR"/>
        </w:rPr>
      </w:pPr>
      <w:r w:rsidRPr="009022DD">
        <w:rPr>
          <w:rFonts w:cs="Arial"/>
          <w:szCs w:val="20"/>
          <w:lang w:eastAsia="ko-KR"/>
        </w:rPr>
        <w:t>B.</w:t>
      </w:r>
      <w:r w:rsidRPr="009022DD">
        <w:rPr>
          <w:rFonts w:cs="Arial"/>
          <w:szCs w:val="20"/>
          <w:lang w:eastAsia="ko-KR"/>
        </w:rPr>
        <w:tab/>
      </w:r>
      <w:r w:rsidRPr="009022DD">
        <w:rPr>
          <w:rFonts w:cs="Arial"/>
          <w:szCs w:val="20"/>
          <w:u w:val="single"/>
          <w:lang w:eastAsia="ko-KR"/>
        </w:rPr>
        <w:t>Budget utilization 2014</w:t>
      </w:r>
    </w:p>
    <w:p w:rsidR="00F27486" w:rsidRPr="009022DD" w:rsidRDefault="00F27486" w:rsidP="00FD7155">
      <w:pPr>
        <w:tabs>
          <w:tab w:val="left" w:pos="709"/>
        </w:tabs>
        <w:jc w:val="both"/>
        <w:rPr>
          <w:rFonts w:cs="Arial"/>
          <w:szCs w:val="20"/>
          <w:u w:val="single"/>
          <w:lang w:eastAsia="ko-KR"/>
        </w:rPr>
      </w:pPr>
    </w:p>
    <w:p w:rsidR="00F27486" w:rsidRDefault="00F27486" w:rsidP="00F27486">
      <w:pPr>
        <w:pStyle w:val="ListParagraph"/>
        <w:keepNext/>
        <w:keepLines/>
        <w:numPr>
          <w:ilvl w:val="0"/>
          <w:numId w:val="76"/>
        </w:numPr>
        <w:tabs>
          <w:tab w:val="left" w:pos="709"/>
        </w:tabs>
        <w:ind w:left="0" w:firstLine="0"/>
        <w:jc w:val="both"/>
      </w:pPr>
      <w:r>
        <w:rPr>
          <w:lang w:eastAsia="ko-KR"/>
        </w:rPr>
        <w:t>The overall budget utilization is within the expected range of 40-60% for the first year of the biennium. The low budget utilization for non-personnel</w:t>
      </w:r>
      <w:r>
        <w:t xml:space="preserve"> is primarily due to uneven expenditure on the WCC project </w:t>
      </w:r>
      <w:r w:rsidRPr="00671186">
        <w:rPr>
          <w:iCs/>
        </w:rPr>
        <w:t>for CMOs</w:t>
      </w:r>
      <w:r>
        <w:rPr>
          <w:iCs/>
        </w:rPr>
        <w:t xml:space="preserve"> in the biennium (the </w:t>
      </w:r>
      <w:r>
        <w:t>majority of biennial expenditure for WCC is expected in</w:t>
      </w:r>
      <w:r w:rsidR="0042593C">
        <w:t> </w:t>
      </w:r>
      <w:r>
        <w:t>2015).</w:t>
      </w:r>
    </w:p>
    <w:p w:rsidR="00DA7475" w:rsidRDefault="00DA7475">
      <w:r>
        <w:br w:type="page"/>
      </w:r>
    </w:p>
    <w:p w:rsidR="00DA7475" w:rsidRDefault="00DA7475" w:rsidP="00C1753F">
      <w:pPr>
        <w:pStyle w:val="StyleHeading214ptAuto"/>
        <w:rPr>
          <w:rFonts w:ascii="Arial" w:hAnsi="Arial" w:cs="Arial"/>
          <w:sz w:val="20"/>
          <w:szCs w:val="20"/>
        </w:rPr>
      </w:pPr>
      <w:bookmarkStart w:id="76" w:name="_Toc422210500"/>
      <w:bookmarkStart w:id="77" w:name="_Toc367350592"/>
      <w:r w:rsidRPr="00E07FBB">
        <w:rPr>
          <w:rFonts w:ascii="Arial" w:hAnsi="Arial" w:cs="Arial"/>
          <w:sz w:val="20"/>
          <w:szCs w:val="20"/>
        </w:rPr>
        <w:lastRenderedPageBreak/>
        <w:t>STRATEGIC GOAL V</w:t>
      </w:r>
      <w:bookmarkEnd w:id="76"/>
      <w:r w:rsidRPr="00E07FBB">
        <w:rPr>
          <w:rFonts w:ascii="Arial" w:hAnsi="Arial" w:cs="Arial"/>
          <w:sz w:val="20"/>
          <w:szCs w:val="20"/>
        </w:rPr>
        <w:t xml:space="preserve"> </w:t>
      </w:r>
    </w:p>
    <w:p w:rsidR="00DA7475" w:rsidRDefault="00DA7475" w:rsidP="003E2D93"/>
    <w:p w:rsidR="00DA7475" w:rsidRPr="003E2D93" w:rsidRDefault="00DA7475" w:rsidP="003E2D93">
      <w:pPr>
        <w:jc w:val="center"/>
      </w:pPr>
      <w:r w:rsidRPr="003E2D93">
        <w:rPr>
          <w:b/>
        </w:rPr>
        <w:t>WORLD REFERENCE SOURCE FOR IP INFORMATION AND ANALYSIS</w:t>
      </w:r>
      <w:bookmarkEnd w:id="77"/>
    </w:p>
    <w:p w:rsidR="00DA7475" w:rsidRPr="00E07FBB" w:rsidRDefault="00DA7475" w:rsidP="003E2D93">
      <w:pPr>
        <w:jc w:val="center"/>
      </w:pPr>
    </w:p>
    <w:p w:rsidR="00DA7475" w:rsidRDefault="00DA7475">
      <w:pPr>
        <w:jc w:val="center"/>
        <w:rPr>
          <w:b/>
        </w:rPr>
      </w:pPr>
      <w:r>
        <w:rPr>
          <w:b/>
        </w:rPr>
        <w:t>Mid-term Performance Dashboard (2014)</w:t>
      </w:r>
    </w:p>
    <w:p w:rsidR="00DA7475" w:rsidRDefault="00DA7475" w:rsidP="003E2D93"/>
    <w:p w:rsidR="00DA7475" w:rsidRDefault="00DA7475" w:rsidP="003E2D93">
      <w:r>
        <w:t>The dashboard below provides a summary of the progress towards the achievement of the Results in 2014 as measured by the indicators under the Programs contributing to this Strategic Goal.</w:t>
      </w:r>
    </w:p>
    <w:p w:rsidR="00DA7475" w:rsidRDefault="00DA7475" w:rsidP="003E2D93"/>
    <w:p w:rsidR="00DA7475" w:rsidRDefault="00DA7475">
      <w:pPr>
        <w:jc w:val="center"/>
      </w:pPr>
      <w:r>
        <w:rPr>
          <w:noProof/>
        </w:rPr>
        <w:drawing>
          <wp:inline distT="0" distB="0" distL="0" distR="0" wp14:anchorId="372F3E7B" wp14:editId="2A7CD09F">
            <wp:extent cx="4572635" cy="2743200"/>
            <wp:effectExtent l="0" t="0" r="0" b="0"/>
            <wp:docPr id="872" name="Picture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DA7475" w:rsidRDefault="00DA7475" w:rsidP="003E2D93"/>
    <w:p w:rsidR="00DA7475" w:rsidRPr="00A522FE" w:rsidRDefault="00DA7475" w:rsidP="003E2D93">
      <w:pPr>
        <w:rPr>
          <w:b/>
          <w:bCs/>
          <w:caps/>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21"/>
        <w:gridCol w:w="4089"/>
        <w:gridCol w:w="1754"/>
        <w:gridCol w:w="696"/>
      </w:tblGrid>
      <w:tr w:rsidR="00DA7475" w:rsidRPr="00B35175" w:rsidTr="00C1753F">
        <w:trPr>
          <w:cantSplit/>
          <w:trHeight w:val="605"/>
        </w:trPr>
        <w:tc>
          <w:tcPr>
            <w:tcW w:w="1544" w:type="pct"/>
            <w:tcBorders>
              <w:top w:val="single" w:sz="4" w:space="0" w:color="auto"/>
              <w:bottom w:val="single" w:sz="4" w:space="0" w:color="auto"/>
            </w:tcBorders>
            <w:shd w:val="clear" w:color="auto" w:fill="CCFFFF"/>
            <w:tcMar>
              <w:top w:w="113" w:type="dxa"/>
              <w:bottom w:w="85" w:type="dxa"/>
            </w:tcMar>
            <w:vAlign w:val="center"/>
          </w:tcPr>
          <w:p w:rsidR="00DA7475" w:rsidRPr="00B35175" w:rsidRDefault="00DA7475" w:rsidP="00C1753F">
            <w:pPr>
              <w:spacing w:after="120"/>
              <w:jc w:val="center"/>
              <w:rPr>
                <w:rFonts w:cs="Arial"/>
                <w:b/>
                <w:bCs/>
                <w:sz w:val="18"/>
                <w:szCs w:val="18"/>
              </w:rPr>
            </w:pPr>
            <w:r w:rsidRPr="00B35175">
              <w:rPr>
                <w:rFonts w:cs="Arial"/>
                <w:b/>
                <w:bCs/>
                <w:sz w:val="18"/>
                <w:szCs w:val="18"/>
              </w:rPr>
              <w:t>Expected Results</w:t>
            </w:r>
          </w:p>
        </w:tc>
        <w:tc>
          <w:tcPr>
            <w:tcW w:w="2161" w:type="pct"/>
            <w:tcBorders>
              <w:top w:val="single" w:sz="4" w:space="0" w:color="auto"/>
              <w:bottom w:val="single" w:sz="4" w:space="0" w:color="auto"/>
            </w:tcBorders>
            <w:shd w:val="clear" w:color="auto" w:fill="CCFFFF"/>
            <w:tcMar>
              <w:top w:w="113" w:type="dxa"/>
              <w:bottom w:w="85" w:type="dxa"/>
            </w:tcMar>
            <w:vAlign w:val="center"/>
          </w:tcPr>
          <w:p w:rsidR="00DA7475" w:rsidRPr="00B35175" w:rsidRDefault="00DA7475" w:rsidP="00C1753F">
            <w:pPr>
              <w:spacing w:after="120"/>
              <w:jc w:val="center"/>
              <w:rPr>
                <w:rFonts w:cs="Arial"/>
                <w:b/>
                <w:bCs/>
                <w:sz w:val="18"/>
                <w:szCs w:val="18"/>
              </w:rPr>
            </w:pPr>
            <w:r w:rsidRPr="00B35175">
              <w:rPr>
                <w:rFonts w:cs="Arial"/>
                <w:b/>
                <w:bCs/>
                <w:sz w:val="18"/>
                <w:szCs w:val="18"/>
              </w:rPr>
              <w:t>Performance Indicators</w:t>
            </w:r>
          </w:p>
        </w:tc>
        <w:tc>
          <w:tcPr>
            <w:tcW w:w="927" w:type="pct"/>
            <w:tcBorders>
              <w:top w:val="single" w:sz="4" w:space="0" w:color="auto"/>
              <w:bottom w:val="single" w:sz="4" w:space="0" w:color="auto"/>
            </w:tcBorders>
            <w:shd w:val="clear" w:color="auto" w:fill="CCFFFF"/>
            <w:tcMar>
              <w:top w:w="113" w:type="dxa"/>
              <w:bottom w:w="85" w:type="dxa"/>
            </w:tcMar>
            <w:vAlign w:val="center"/>
          </w:tcPr>
          <w:p w:rsidR="00DA7475" w:rsidRPr="00B35175" w:rsidRDefault="00DA7475" w:rsidP="00C1753F">
            <w:pPr>
              <w:spacing w:after="120"/>
              <w:ind w:left="85"/>
              <w:jc w:val="center"/>
              <w:rPr>
                <w:rFonts w:cs="Arial"/>
                <w:b/>
                <w:bCs/>
                <w:sz w:val="18"/>
                <w:szCs w:val="18"/>
              </w:rPr>
            </w:pPr>
            <w:r w:rsidRPr="00B35175">
              <w:rPr>
                <w:rFonts w:cs="Arial"/>
                <w:b/>
                <w:bCs/>
                <w:sz w:val="18"/>
                <w:szCs w:val="18"/>
              </w:rPr>
              <w:t>Responsible Program(s)</w:t>
            </w:r>
          </w:p>
        </w:tc>
        <w:tc>
          <w:tcPr>
            <w:tcW w:w="368" w:type="pct"/>
            <w:tcBorders>
              <w:top w:val="single" w:sz="4" w:space="0" w:color="auto"/>
              <w:bottom w:val="single" w:sz="4" w:space="0" w:color="auto"/>
            </w:tcBorders>
            <w:shd w:val="clear" w:color="auto" w:fill="CCFFFF"/>
            <w:vAlign w:val="center"/>
          </w:tcPr>
          <w:p w:rsidR="00DA7475" w:rsidRPr="00B35175" w:rsidRDefault="00DA7475" w:rsidP="00C1753F">
            <w:pPr>
              <w:spacing w:after="120"/>
              <w:ind w:left="85"/>
              <w:jc w:val="center"/>
              <w:rPr>
                <w:rFonts w:cs="Arial"/>
                <w:b/>
                <w:bCs/>
                <w:sz w:val="18"/>
                <w:szCs w:val="18"/>
              </w:rPr>
            </w:pPr>
            <w:r>
              <w:rPr>
                <w:rFonts w:cs="Arial"/>
                <w:b/>
                <w:bCs/>
                <w:sz w:val="18"/>
                <w:szCs w:val="18"/>
              </w:rPr>
              <w:t>TLS</w:t>
            </w:r>
          </w:p>
        </w:tc>
      </w:tr>
      <w:tr w:rsidR="00DA7475" w:rsidRPr="00AF5E7C" w:rsidTr="00C1753F">
        <w:trPr>
          <w:cantSplit/>
        </w:trPr>
        <w:tc>
          <w:tcPr>
            <w:tcW w:w="1544" w:type="pct"/>
            <w:tcBorders>
              <w:top w:val="single" w:sz="4" w:space="0" w:color="auto"/>
            </w:tcBorders>
            <w:shd w:val="clear" w:color="auto" w:fill="auto"/>
            <w:tcMar>
              <w:top w:w="113" w:type="dxa"/>
              <w:bottom w:w="85" w:type="dxa"/>
            </w:tcMar>
          </w:tcPr>
          <w:p w:rsidR="00DA7475" w:rsidRPr="00A020B6" w:rsidRDefault="00DA7475" w:rsidP="00C1753F">
            <w:pPr>
              <w:rPr>
                <w:rFonts w:cs="Arial"/>
                <w:sz w:val="16"/>
                <w:szCs w:val="16"/>
              </w:rPr>
            </w:pPr>
            <w:r w:rsidRPr="00A020B6">
              <w:rPr>
                <w:rFonts w:cs="Arial"/>
                <w:sz w:val="16"/>
                <w:szCs w:val="16"/>
              </w:rPr>
              <w:t>V.</w:t>
            </w:r>
            <w:r w:rsidRPr="0067218E">
              <w:rPr>
                <w:rFonts w:cs="Arial"/>
                <w:sz w:val="16"/>
                <w:szCs w:val="16"/>
              </w:rPr>
              <w:t xml:space="preserve">1 </w:t>
            </w:r>
            <w:r>
              <w:rPr>
                <w:rFonts w:cs="Arial"/>
                <w:sz w:val="16"/>
                <w:szCs w:val="16"/>
              </w:rPr>
              <w:t xml:space="preserve"> </w:t>
            </w:r>
            <w:r w:rsidRPr="0067218E">
              <w:rPr>
                <w:rFonts w:cs="Arial"/>
                <w:sz w:val="16"/>
                <w:szCs w:val="16"/>
              </w:rPr>
              <w:t>Wider and better use of WIPO IP statistical information</w:t>
            </w:r>
          </w:p>
        </w:tc>
        <w:tc>
          <w:tcPr>
            <w:tcW w:w="2161" w:type="pct"/>
            <w:tcBorders>
              <w:top w:val="single" w:sz="4" w:space="0" w:color="auto"/>
            </w:tcBorders>
            <w:shd w:val="clear" w:color="auto" w:fill="auto"/>
            <w:tcMar>
              <w:top w:w="113" w:type="dxa"/>
              <w:bottom w:w="85" w:type="dxa"/>
            </w:tcMar>
          </w:tcPr>
          <w:p w:rsidR="00DA7475" w:rsidRPr="00A020B6" w:rsidRDefault="00DA7475" w:rsidP="00C1753F">
            <w:pPr>
              <w:rPr>
                <w:rFonts w:cs="Arial"/>
                <w:sz w:val="16"/>
                <w:szCs w:val="16"/>
              </w:rPr>
            </w:pPr>
            <w:r w:rsidRPr="00A020B6">
              <w:rPr>
                <w:rFonts w:cs="Arial"/>
                <w:sz w:val="16"/>
                <w:szCs w:val="16"/>
              </w:rPr>
              <w:t>N</w:t>
            </w:r>
            <w:r>
              <w:rPr>
                <w:rFonts w:cs="Arial"/>
                <w:sz w:val="16"/>
                <w:szCs w:val="16"/>
              </w:rPr>
              <w:t>o.</w:t>
            </w:r>
            <w:r w:rsidRPr="00A020B6">
              <w:rPr>
                <w:rFonts w:cs="Arial"/>
                <w:sz w:val="16"/>
                <w:szCs w:val="16"/>
              </w:rPr>
              <w:t xml:space="preserve"> of downloads of four main statistical reports (WIPI and PCT, Hague, Madrid Yearly Reviews)</w:t>
            </w:r>
          </w:p>
        </w:tc>
        <w:tc>
          <w:tcPr>
            <w:tcW w:w="927" w:type="pct"/>
            <w:tcBorders>
              <w:top w:val="single" w:sz="4" w:space="0" w:color="auto"/>
            </w:tcBorders>
            <w:shd w:val="clear" w:color="auto" w:fill="FFFFFF"/>
            <w:tcMar>
              <w:top w:w="113" w:type="dxa"/>
              <w:bottom w:w="85" w:type="dxa"/>
            </w:tcMar>
          </w:tcPr>
          <w:p w:rsidR="00DA7475" w:rsidRPr="00AF5E7C" w:rsidRDefault="00DA7475" w:rsidP="00C1753F">
            <w:pPr>
              <w:jc w:val="center"/>
              <w:rPr>
                <w:rFonts w:cs="Arial"/>
                <w:sz w:val="16"/>
                <w:szCs w:val="16"/>
                <w:lang w:bidi="th-TH"/>
              </w:rPr>
            </w:pPr>
            <w:r>
              <w:rPr>
                <w:rFonts w:cs="Arial"/>
                <w:sz w:val="16"/>
                <w:szCs w:val="16"/>
                <w:lang w:bidi="th-TH"/>
              </w:rPr>
              <w:t>Program 16</w:t>
            </w:r>
          </w:p>
        </w:tc>
        <w:tc>
          <w:tcPr>
            <w:tcW w:w="368" w:type="pct"/>
            <w:tcBorders>
              <w:top w:val="single" w:sz="4" w:space="0" w:color="auto"/>
            </w:tcBorders>
            <w:shd w:val="clear" w:color="auto" w:fill="FFFFFF"/>
          </w:tcPr>
          <w:p w:rsidR="00DA7475" w:rsidRPr="00F718E6" w:rsidRDefault="00DA7475" w:rsidP="00C1753F">
            <w:pPr>
              <w:jc w:val="center"/>
              <w:rPr>
                <w:rFonts w:cs="Arial"/>
                <w:color w:val="A6A6A6" w:themeColor="background1" w:themeShade="A6"/>
                <w:sz w:val="22"/>
                <w:szCs w:val="22"/>
              </w:rPr>
            </w:pPr>
            <w:r w:rsidRPr="00F718E6">
              <w:rPr>
                <w:rFonts w:cs="Arial"/>
                <w:color w:val="A6A6A6" w:themeColor="background1" w:themeShade="A6"/>
                <w:sz w:val="22"/>
                <w:szCs w:val="22"/>
              </w:rPr>
              <w:sym w:font="Wingdings" w:char="F06C"/>
            </w:r>
          </w:p>
        </w:tc>
      </w:tr>
      <w:tr w:rsidR="00DA7475" w:rsidRPr="00AF5E7C" w:rsidTr="00C1753F">
        <w:trPr>
          <w:cantSplit/>
          <w:trHeight w:val="500"/>
        </w:trPr>
        <w:tc>
          <w:tcPr>
            <w:tcW w:w="1544" w:type="pct"/>
            <w:shd w:val="clear" w:color="auto" w:fill="auto"/>
            <w:tcMar>
              <w:top w:w="113" w:type="dxa"/>
              <w:bottom w:w="85" w:type="dxa"/>
            </w:tcMar>
          </w:tcPr>
          <w:p w:rsidR="00DA7475" w:rsidRPr="00AF5E7C" w:rsidRDefault="00DA7475" w:rsidP="00C1753F">
            <w:pPr>
              <w:rPr>
                <w:rFonts w:cs="Arial"/>
                <w:sz w:val="16"/>
                <w:szCs w:val="16"/>
              </w:rPr>
            </w:pPr>
          </w:p>
        </w:tc>
        <w:tc>
          <w:tcPr>
            <w:tcW w:w="2161" w:type="pct"/>
            <w:shd w:val="clear" w:color="auto" w:fill="auto"/>
            <w:tcMar>
              <w:top w:w="113" w:type="dxa"/>
              <w:bottom w:w="85" w:type="dxa"/>
            </w:tcMar>
          </w:tcPr>
          <w:p w:rsidR="00DA7475" w:rsidRPr="00A020B6" w:rsidRDefault="00DA7475" w:rsidP="00C1753F">
            <w:pPr>
              <w:rPr>
                <w:rFonts w:cs="Arial"/>
                <w:sz w:val="16"/>
                <w:szCs w:val="16"/>
              </w:rPr>
            </w:pPr>
            <w:r w:rsidRPr="00A020B6">
              <w:rPr>
                <w:rFonts w:cs="Arial"/>
                <w:sz w:val="16"/>
                <w:szCs w:val="16"/>
              </w:rPr>
              <w:t>N</w:t>
            </w:r>
            <w:r>
              <w:rPr>
                <w:rFonts w:cs="Arial"/>
                <w:sz w:val="16"/>
                <w:szCs w:val="16"/>
              </w:rPr>
              <w:t>o.</w:t>
            </w:r>
            <w:r w:rsidRPr="00A020B6">
              <w:rPr>
                <w:rFonts w:cs="Arial"/>
                <w:sz w:val="16"/>
                <w:szCs w:val="16"/>
              </w:rPr>
              <w:t xml:space="preserve"> of visitors using IP Statistics data Center</w:t>
            </w:r>
          </w:p>
        </w:tc>
        <w:tc>
          <w:tcPr>
            <w:tcW w:w="927" w:type="pct"/>
            <w:shd w:val="clear" w:color="auto" w:fill="FFFFFF"/>
            <w:tcMar>
              <w:top w:w="113" w:type="dxa"/>
              <w:bottom w:w="85" w:type="dxa"/>
            </w:tcMar>
          </w:tcPr>
          <w:p w:rsidR="00DA7475" w:rsidRPr="00AF5E7C" w:rsidRDefault="00DA7475" w:rsidP="00C1753F">
            <w:pPr>
              <w:jc w:val="center"/>
              <w:rPr>
                <w:rFonts w:cs="Arial"/>
                <w:sz w:val="16"/>
                <w:szCs w:val="16"/>
                <w:lang w:bidi="th-TH"/>
              </w:rPr>
            </w:pPr>
            <w:r>
              <w:rPr>
                <w:rFonts w:cs="Arial"/>
                <w:sz w:val="16"/>
                <w:szCs w:val="16"/>
                <w:lang w:bidi="th-TH"/>
              </w:rPr>
              <w:t>Program 16</w:t>
            </w:r>
          </w:p>
        </w:tc>
        <w:tc>
          <w:tcPr>
            <w:tcW w:w="368" w:type="pct"/>
            <w:shd w:val="clear" w:color="auto" w:fill="FFFFFF"/>
          </w:tcPr>
          <w:p w:rsidR="00DA7475" w:rsidRDefault="00DA7475" w:rsidP="00C1753F">
            <w:pPr>
              <w:jc w:val="center"/>
            </w:pPr>
            <w:r w:rsidRPr="00CC5242">
              <w:rPr>
                <w:rFonts w:cs="Arial"/>
                <w:b/>
                <w:color w:val="008000"/>
                <w:sz w:val="22"/>
                <w:szCs w:val="22"/>
              </w:rPr>
              <w:sym w:font="Wingdings" w:char="F06C"/>
            </w:r>
          </w:p>
        </w:tc>
      </w:tr>
      <w:tr w:rsidR="00DA7475" w:rsidRPr="00AF5E7C" w:rsidTr="00C1753F">
        <w:trPr>
          <w:cantSplit/>
          <w:trHeight w:val="507"/>
        </w:trPr>
        <w:tc>
          <w:tcPr>
            <w:tcW w:w="1544" w:type="pct"/>
            <w:shd w:val="clear" w:color="auto" w:fill="auto"/>
            <w:tcMar>
              <w:top w:w="113" w:type="dxa"/>
              <w:bottom w:w="85" w:type="dxa"/>
            </w:tcMar>
          </w:tcPr>
          <w:p w:rsidR="00DA7475" w:rsidRPr="00E936DE" w:rsidRDefault="00DA7475" w:rsidP="00C1753F">
            <w:pPr>
              <w:tabs>
                <w:tab w:val="right" w:pos="2835"/>
              </w:tabs>
              <w:spacing w:after="60"/>
              <w:rPr>
                <w:rFonts w:cs="Arial"/>
                <w:sz w:val="15"/>
                <w:szCs w:val="15"/>
              </w:rPr>
            </w:pPr>
            <w:r w:rsidRPr="003E2A85">
              <w:rPr>
                <w:rFonts w:cs="Arial"/>
                <w:sz w:val="16"/>
                <w:szCs w:val="16"/>
              </w:rPr>
              <w:t>V.</w:t>
            </w:r>
            <w:r w:rsidRPr="0067218E">
              <w:rPr>
                <w:rFonts w:cs="Arial"/>
                <w:sz w:val="16"/>
                <w:szCs w:val="16"/>
              </w:rPr>
              <w:t>2</w:t>
            </w:r>
            <w:r w:rsidRPr="0067218E">
              <w:rPr>
                <w:rFonts w:cs="Arial"/>
                <w:sz w:val="15"/>
                <w:szCs w:val="15"/>
              </w:rPr>
              <w:t xml:space="preserve"> </w:t>
            </w:r>
            <w:r>
              <w:rPr>
                <w:rFonts w:cs="Arial"/>
                <w:sz w:val="15"/>
                <w:szCs w:val="15"/>
              </w:rPr>
              <w:t xml:space="preserve"> </w:t>
            </w:r>
            <w:r w:rsidRPr="0067218E">
              <w:rPr>
                <w:rFonts w:cs="Arial"/>
                <w:sz w:val="16"/>
                <w:szCs w:val="16"/>
              </w:rPr>
              <w:t>Wider and better use of WIPO economic analysis in policy formulation</w:t>
            </w:r>
            <w:r w:rsidRPr="00E936DE">
              <w:rPr>
                <w:rFonts w:cs="Arial"/>
                <w:sz w:val="15"/>
                <w:szCs w:val="15"/>
              </w:rPr>
              <w:t xml:space="preserve"> </w:t>
            </w:r>
          </w:p>
          <w:p w:rsidR="00DA7475" w:rsidRPr="003E2A85" w:rsidRDefault="00DA7475" w:rsidP="00C1753F">
            <w:pPr>
              <w:rPr>
                <w:rFonts w:cs="Arial"/>
                <w:sz w:val="16"/>
                <w:szCs w:val="16"/>
              </w:rPr>
            </w:pPr>
          </w:p>
        </w:tc>
        <w:tc>
          <w:tcPr>
            <w:tcW w:w="2161" w:type="pct"/>
            <w:shd w:val="clear" w:color="auto" w:fill="auto"/>
            <w:tcMar>
              <w:top w:w="113" w:type="dxa"/>
              <w:bottom w:w="85" w:type="dxa"/>
            </w:tcMar>
          </w:tcPr>
          <w:p w:rsidR="00DA7475" w:rsidRPr="003E2A85" w:rsidRDefault="00DA7475" w:rsidP="00C1753F">
            <w:pPr>
              <w:rPr>
                <w:rFonts w:cs="Arial"/>
                <w:sz w:val="16"/>
                <w:szCs w:val="16"/>
              </w:rPr>
            </w:pPr>
            <w:r w:rsidRPr="003E2A85">
              <w:rPr>
                <w:rFonts w:cs="Arial"/>
                <w:sz w:val="16"/>
                <w:szCs w:val="16"/>
              </w:rPr>
              <w:t>Use of WIPO economic studies on copyright by governments and NGOs in decision-making</w:t>
            </w:r>
          </w:p>
        </w:tc>
        <w:tc>
          <w:tcPr>
            <w:tcW w:w="927" w:type="pct"/>
            <w:shd w:val="clear" w:color="auto" w:fill="FFFFFF"/>
            <w:tcMar>
              <w:top w:w="113" w:type="dxa"/>
              <w:bottom w:w="85" w:type="dxa"/>
            </w:tcMar>
          </w:tcPr>
          <w:p w:rsidR="00DA7475" w:rsidRPr="00AF5E7C" w:rsidRDefault="00DA7475" w:rsidP="00C1753F">
            <w:pPr>
              <w:jc w:val="center"/>
              <w:rPr>
                <w:rFonts w:cs="Arial"/>
                <w:sz w:val="16"/>
                <w:szCs w:val="16"/>
                <w:lang w:bidi="th-TH"/>
              </w:rPr>
            </w:pPr>
            <w:r>
              <w:rPr>
                <w:rFonts w:cs="Arial"/>
                <w:sz w:val="16"/>
                <w:szCs w:val="16"/>
                <w:lang w:bidi="th-TH"/>
              </w:rPr>
              <w:t>Program 3</w:t>
            </w:r>
          </w:p>
        </w:tc>
        <w:tc>
          <w:tcPr>
            <w:tcW w:w="368" w:type="pct"/>
            <w:shd w:val="clear" w:color="auto" w:fill="FFFFFF"/>
          </w:tcPr>
          <w:p w:rsidR="00DA7475" w:rsidRDefault="00DA7475" w:rsidP="00C1753F">
            <w:pPr>
              <w:spacing w:before="40"/>
              <w:jc w:val="center"/>
            </w:pPr>
            <w:r w:rsidRPr="00CC5242">
              <w:rPr>
                <w:rFonts w:cs="Arial"/>
                <w:b/>
                <w:color w:val="008000"/>
                <w:sz w:val="22"/>
                <w:szCs w:val="22"/>
              </w:rPr>
              <w:sym w:font="Wingdings" w:char="F06C"/>
            </w:r>
          </w:p>
        </w:tc>
      </w:tr>
      <w:tr w:rsidR="00DA7475" w:rsidRPr="00AF5E7C" w:rsidTr="00C1753F">
        <w:trPr>
          <w:cantSplit/>
          <w:trHeight w:val="842"/>
        </w:trPr>
        <w:tc>
          <w:tcPr>
            <w:tcW w:w="1544" w:type="pct"/>
            <w:shd w:val="clear" w:color="auto" w:fill="auto"/>
            <w:tcMar>
              <w:top w:w="113" w:type="dxa"/>
              <w:bottom w:w="85" w:type="dxa"/>
            </w:tcMar>
          </w:tcPr>
          <w:p w:rsidR="00DA7475" w:rsidRPr="00AF5E7C" w:rsidRDefault="00DA7475" w:rsidP="00C1753F">
            <w:pPr>
              <w:rPr>
                <w:rFonts w:cs="Arial"/>
                <w:sz w:val="16"/>
                <w:szCs w:val="16"/>
              </w:rPr>
            </w:pPr>
          </w:p>
        </w:tc>
        <w:tc>
          <w:tcPr>
            <w:tcW w:w="2161" w:type="pct"/>
            <w:shd w:val="clear" w:color="auto" w:fill="auto"/>
            <w:tcMar>
              <w:top w:w="113" w:type="dxa"/>
              <w:bottom w:w="85" w:type="dxa"/>
            </w:tcMar>
          </w:tcPr>
          <w:p w:rsidR="00DA7475" w:rsidRPr="003E2A85" w:rsidRDefault="00DA7475" w:rsidP="00C1753F">
            <w:pPr>
              <w:rPr>
                <w:rFonts w:cs="Arial"/>
                <w:sz w:val="16"/>
                <w:szCs w:val="16"/>
              </w:rPr>
            </w:pPr>
            <w:r w:rsidRPr="003E2A85">
              <w:rPr>
                <w:rFonts w:cs="Arial"/>
                <w:sz w:val="16"/>
                <w:szCs w:val="16"/>
              </w:rPr>
              <w:t>National initiatives to develop further statistics on the creative industries based upon WIPO’s work in the field</w:t>
            </w:r>
          </w:p>
        </w:tc>
        <w:tc>
          <w:tcPr>
            <w:tcW w:w="927" w:type="pct"/>
            <w:shd w:val="clear" w:color="auto" w:fill="FFFFFF"/>
            <w:tcMar>
              <w:top w:w="113" w:type="dxa"/>
              <w:bottom w:w="85" w:type="dxa"/>
            </w:tcMar>
          </w:tcPr>
          <w:p w:rsidR="00DA7475" w:rsidRPr="00AF5E7C" w:rsidRDefault="00DA7475" w:rsidP="00C1753F">
            <w:pPr>
              <w:jc w:val="center"/>
              <w:rPr>
                <w:rFonts w:cs="Arial"/>
                <w:sz w:val="16"/>
                <w:szCs w:val="16"/>
                <w:lang w:bidi="th-TH"/>
              </w:rPr>
            </w:pPr>
            <w:r>
              <w:rPr>
                <w:rFonts w:cs="Arial"/>
                <w:sz w:val="16"/>
                <w:szCs w:val="16"/>
                <w:lang w:bidi="th-TH"/>
              </w:rPr>
              <w:t>Program 3</w:t>
            </w:r>
          </w:p>
        </w:tc>
        <w:tc>
          <w:tcPr>
            <w:tcW w:w="368" w:type="pct"/>
            <w:shd w:val="clear" w:color="auto" w:fill="FFFFFF"/>
          </w:tcPr>
          <w:p w:rsidR="00DA7475" w:rsidRDefault="00DA7475" w:rsidP="00C1753F">
            <w:pPr>
              <w:spacing w:before="40"/>
              <w:jc w:val="center"/>
            </w:pPr>
            <w:r w:rsidRPr="00C7257F">
              <w:rPr>
                <w:rFonts w:cs="Arial"/>
                <w:b/>
                <w:color w:val="008000"/>
                <w:sz w:val="22"/>
                <w:szCs w:val="22"/>
              </w:rPr>
              <w:sym w:font="Wingdings" w:char="F06C"/>
            </w:r>
          </w:p>
        </w:tc>
      </w:tr>
      <w:tr w:rsidR="00DA7475" w:rsidRPr="00AF5E7C" w:rsidTr="00C1753F">
        <w:trPr>
          <w:cantSplit/>
          <w:trHeight w:val="512"/>
        </w:trPr>
        <w:tc>
          <w:tcPr>
            <w:tcW w:w="1544" w:type="pct"/>
            <w:shd w:val="clear" w:color="auto" w:fill="auto"/>
            <w:tcMar>
              <w:top w:w="113" w:type="dxa"/>
              <w:bottom w:w="85" w:type="dxa"/>
            </w:tcMar>
          </w:tcPr>
          <w:p w:rsidR="00DA7475" w:rsidRPr="00AF5E7C" w:rsidRDefault="00DA7475" w:rsidP="00C1753F">
            <w:pPr>
              <w:rPr>
                <w:rFonts w:cs="Arial"/>
                <w:sz w:val="16"/>
                <w:szCs w:val="16"/>
              </w:rPr>
            </w:pPr>
          </w:p>
        </w:tc>
        <w:tc>
          <w:tcPr>
            <w:tcW w:w="2161" w:type="pct"/>
            <w:shd w:val="clear" w:color="auto" w:fill="auto"/>
            <w:tcMar>
              <w:top w:w="113" w:type="dxa"/>
              <w:bottom w:w="85" w:type="dxa"/>
            </w:tcMar>
          </w:tcPr>
          <w:p w:rsidR="00DA7475" w:rsidRPr="00A020B6" w:rsidRDefault="00DA7475" w:rsidP="00C1753F">
            <w:pPr>
              <w:rPr>
                <w:rFonts w:cs="Arial"/>
                <w:sz w:val="16"/>
                <w:szCs w:val="16"/>
              </w:rPr>
            </w:pPr>
            <w:r w:rsidRPr="00A020B6">
              <w:rPr>
                <w:rFonts w:cs="Arial"/>
                <w:sz w:val="16"/>
                <w:szCs w:val="16"/>
              </w:rPr>
              <w:t>N</w:t>
            </w:r>
            <w:r>
              <w:rPr>
                <w:rFonts w:cs="Arial"/>
                <w:sz w:val="16"/>
                <w:szCs w:val="16"/>
              </w:rPr>
              <w:t>o.</w:t>
            </w:r>
            <w:r w:rsidRPr="00A020B6">
              <w:rPr>
                <w:rFonts w:cs="Arial"/>
                <w:sz w:val="16"/>
                <w:szCs w:val="16"/>
              </w:rPr>
              <w:t xml:space="preserve"> of downloads of main economic publications</w:t>
            </w:r>
          </w:p>
        </w:tc>
        <w:tc>
          <w:tcPr>
            <w:tcW w:w="927" w:type="pct"/>
            <w:shd w:val="clear" w:color="auto" w:fill="FFFFFF"/>
            <w:tcMar>
              <w:top w:w="113" w:type="dxa"/>
              <w:bottom w:w="85" w:type="dxa"/>
            </w:tcMar>
          </w:tcPr>
          <w:p w:rsidR="00DA7475" w:rsidRPr="00AF5E7C" w:rsidRDefault="00DA7475" w:rsidP="00C1753F">
            <w:pPr>
              <w:jc w:val="center"/>
              <w:rPr>
                <w:rFonts w:cs="Arial"/>
                <w:sz w:val="16"/>
                <w:szCs w:val="16"/>
                <w:lang w:bidi="th-TH"/>
              </w:rPr>
            </w:pPr>
            <w:r>
              <w:rPr>
                <w:rFonts w:cs="Arial"/>
                <w:sz w:val="16"/>
                <w:szCs w:val="16"/>
                <w:lang w:bidi="th-TH"/>
              </w:rPr>
              <w:t>Program 16</w:t>
            </w:r>
          </w:p>
        </w:tc>
        <w:tc>
          <w:tcPr>
            <w:tcW w:w="368" w:type="pct"/>
            <w:shd w:val="clear" w:color="auto" w:fill="FFFFFF"/>
          </w:tcPr>
          <w:p w:rsidR="00DA7475" w:rsidRPr="00F718E6" w:rsidRDefault="00DA7475" w:rsidP="00C1753F">
            <w:pPr>
              <w:jc w:val="center"/>
              <w:rPr>
                <w:rFonts w:cs="Arial"/>
                <w:color w:val="A6A6A6" w:themeColor="background1" w:themeShade="A6"/>
                <w:sz w:val="22"/>
                <w:szCs w:val="22"/>
              </w:rPr>
            </w:pPr>
            <w:r w:rsidRPr="00F718E6">
              <w:rPr>
                <w:rFonts w:cs="Arial"/>
                <w:color w:val="A6A6A6" w:themeColor="background1" w:themeShade="A6"/>
                <w:sz w:val="22"/>
                <w:szCs w:val="22"/>
              </w:rPr>
              <w:sym w:font="Wingdings" w:char="F06C"/>
            </w:r>
          </w:p>
        </w:tc>
      </w:tr>
      <w:tr w:rsidR="00DA7475" w:rsidRPr="00AF5E7C" w:rsidTr="00C1753F">
        <w:trPr>
          <w:cantSplit/>
          <w:trHeight w:val="532"/>
        </w:trPr>
        <w:tc>
          <w:tcPr>
            <w:tcW w:w="1544" w:type="pct"/>
            <w:shd w:val="clear" w:color="auto" w:fill="auto"/>
            <w:tcMar>
              <w:top w:w="113" w:type="dxa"/>
              <w:bottom w:w="85" w:type="dxa"/>
            </w:tcMar>
          </w:tcPr>
          <w:p w:rsidR="00DA7475" w:rsidRPr="00AF5E7C" w:rsidRDefault="00DA7475" w:rsidP="00C1753F">
            <w:pPr>
              <w:rPr>
                <w:rFonts w:cs="Arial"/>
                <w:sz w:val="16"/>
                <w:szCs w:val="16"/>
              </w:rPr>
            </w:pPr>
          </w:p>
        </w:tc>
        <w:tc>
          <w:tcPr>
            <w:tcW w:w="2161" w:type="pct"/>
            <w:shd w:val="clear" w:color="auto" w:fill="auto"/>
            <w:tcMar>
              <w:top w:w="113" w:type="dxa"/>
              <w:bottom w:w="85" w:type="dxa"/>
            </w:tcMar>
          </w:tcPr>
          <w:p w:rsidR="00DA7475" w:rsidRPr="00A020B6" w:rsidRDefault="00DA7475" w:rsidP="00C1753F">
            <w:pPr>
              <w:rPr>
                <w:rFonts w:cs="Arial"/>
                <w:sz w:val="16"/>
                <w:szCs w:val="16"/>
              </w:rPr>
            </w:pPr>
            <w:r w:rsidRPr="00A020B6">
              <w:rPr>
                <w:rFonts w:cs="Arial"/>
                <w:sz w:val="16"/>
                <w:szCs w:val="16"/>
              </w:rPr>
              <w:t>N</w:t>
            </w:r>
            <w:r>
              <w:rPr>
                <w:rFonts w:cs="Arial"/>
                <w:sz w:val="16"/>
                <w:szCs w:val="16"/>
              </w:rPr>
              <w:t>o.</w:t>
            </w:r>
            <w:r w:rsidRPr="00A020B6">
              <w:rPr>
                <w:rFonts w:cs="Arial"/>
                <w:sz w:val="16"/>
                <w:szCs w:val="16"/>
              </w:rPr>
              <w:t xml:space="preserve"> and number of downloads of studies</w:t>
            </w:r>
          </w:p>
        </w:tc>
        <w:tc>
          <w:tcPr>
            <w:tcW w:w="927" w:type="pct"/>
            <w:shd w:val="clear" w:color="auto" w:fill="FFFFFF"/>
            <w:tcMar>
              <w:top w:w="113" w:type="dxa"/>
              <w:bottom w:w="85" w:type="dxa"/>
            </w:tcMar>
          </w:tcPr>
          <w:p w:rsidR="00DA7475" w:rsidRPr="00AF5E7C" w:rsidRDefault="00DA7475" w:rsidP="00C1753F">
            <w:pPr>
              <w:jc w:val="center"/>
              <w:rPr>
                <w:rFonts w:cs="Arial"/>
                <w:sz w:val="16"/>
                <w:szCs w:val="16"/>
                <w:lang w:bidi="th-TH"/>
              </w:rPr>
            </w:pPr>
            <w:r>
              <w:rPr>
                <w:rFonts w:cs="Arial"/>
                <w:sz w:val="16"/>
                <w:szCs w:val="16"/>
                <w:lang w:bidi="th-TH"/>
              </w:rPr>
              <w:t>Program 16</w:t>
            </w:r>
          </w:p>
        </w:tc>
        <w:tc>
          <w:tcPr>
            <w:tcW w:w="368" w:type="pct"/>
            <w:shd w:val="clear" w:color="auto" w:fill="FFFFFF"/>
          </w:tcPr>
          <w:p w:rsidR="00DA7475" w:rsidRDefault="00DA7475" w:rsidP="00C1753F">
            <w:pPr>
              <w:jc w:val="center"/>
            </w:pPr>
            <w:r w:rsidRPr="00CC5242">
              <w:rPr>
                <w:rFonts w:cs="Arial"/>
                <w:b/>
                <w:color w:val="008000"/>
                <w:sz w:val="22"/>
                <w:szCs w:val="22"/>
              </w:rPr>
              <w:sym w:font="Wingdings" w:char="F06C"/>
            </w:r>
          </w:p>
        </w:tc>
      </w:tr>
      <w:tr w:rsidR="00DA7475" w:rsidRPr="00AF5E7C" w:rsidTr="00C1753F">
        <w:trPr>
          <w:cantSplit/>
          <w:trHeight w:val="381"/>
        </w:trPr>
        <w:tc>
          <w:tcPr>
            <w:tcW w:w="1544" w:type="pct"/>
            <w:shd w:val="clear" w:color="auto" w:fill="auto"/>
            <w:tcMar>
              <w:top w:w="113" w:type="dxa"/>
              <w:bottom w:w="85" w:type="dxa"/>
            </w:tcMar>
          </w:tcPr>
          <w:p w:rsidR="00DA7475" w:rsidRPr="00AF5E7C" w:rsidRDefault="00DA7475" w:rsidP="00C1753F">
            <w:pPr>
              <w:rPr>
                <w:rFonts w:cs="Arial"/>
                <w:sz w:val="16"/>
                <w:szCs w:val="16"/>
              </w:rPr>
            </w:pPr>
          </w:p>
        </w:tc>
        <w:tc>
          <w:tcPr>
            <w:tcW w:w="2161" w:type="pct"/>
            <w:shd w:val="clear" w:color="auto" w:fill="auto"/>
            <w:tcMar>
              <w:top w:w="113" w:type="dxa"/>
              <w:bottom w:w="85" w:type="dxa"/>
            </w:tcMar>
          </w:tcPr>
          <w:p w:rsidR="00DA7475" w:rsidRPr="00A020B6" w:rsidRDefault="00DA7475" w:rsidP="00C1753F">
            <w:pPr>
              <w:rPr>
                <w:rFonts w:cs="Arial"/>
                <w:sz w:val="16"/>
                <w:szCs w:val="16"/>
              </w:rPr>
            </w:pPr>
            <w:r w:rsidRPr="00A020B6">
              <w:rPr>
                <w:rFonts w:cs="Arial"/>
                <w:sz w:val="16"/>
                <w:szCs w:val="16"/>
              </w:rPr>
              <w:t>N</w:t>
            </w:r>
            <w:r>
              <w:rPr>
                <w:rFonts w:cs="Arial"/>
                <w:sz w:val="16"/>
                <w:szCs w:val="16"/>
              </w:rPr>
              <w:t xml:space="preserve">o. </w:t>
            </w:r>
            <w:r w:rsidRPr="00A020B6">
              <w:rPr>
                <w:rFonts w:cs="Arial"/>
                <w:sz w:val="16"/>
                <w:szCs w:val="16"/>
              </w:rPr>
              <w:t>and number of downloads of seminars</w:t>
            </w:r>
          </w:p>
        </w:tc>
        <w:tc>
          <w:tcPr>
            <w:tcW w:w="927" w:type="pct"/>
            <w:shd w:val="clear" w:color="auto" w:fill="FFFFFF"/>
            <w:tcMar>
              <w:top w:w="113" w:type="dxa"/>
              <w:bottom w:w="85" w:type="dxa"/>
            </w:tcMar>
          </w:tcPr>
          <w:p w:rsidR="00DA7475" w:rsidRPr="00AF5E7C" w:rsidRDefault="00DA7475" w:rsidP="00C1753F">
            <w:pPr>
              <w:jc w:val="center"/>
              <w:rPr>
                <w:rFonts w:cs="Arial"/>
                <w:sz w:val="16"/>
                <w:szCs w:val="16"/>
                <w:lang w:bidi="th-TH"/>
              </w:rPr>
            </w:pPr>
            <w:r>
              <w:rPr>
                <w:rFonts w:cs="Arial"/>
                <w:sz w:val="16"/>
                <w:szCs w:val="16"/>
                <w:lang w:bidi="th-TH"/>
              </w:rPr>
              <w:t>Program 16</w:t>
            </w:r>
          </w:p>
        </w:tc>
        <w:tc>
          <w:tcPr>
            <w:tcW w:w="368" w:type="pct"/>
            <w:shd w:val="clear" w:color="auto" w:fill="FFFFFF"/>
          </w:tcPr>
          <w:p w:rsidR="00DA7475" w:rsidRDefault="00DA7475" w:rsidP="00C1753F">
            <w:pPr>
              <w:jc w:val="center"/>
            </w:pPr>
            <w:r w:rsidRPr="004B4CBD">
              <w:rPr>
                <w:rFonts w:cs="Arial"/>
                <w:sz w:val="22"/>
                <w:szCs w:val="22"/>
              </w:rPr>
              <w:sym w:font="Wingdings" w:char="F06C"/>
            </w:r>
          </w:p>
        </w:tc>
      </w:tr>
    </w:tbl>
    <w:p w:rsidR="00DA7475" w:rsidRPr="00372C42" w:rsidRDefault="00DA7475" w:rsidP="00C1753F"/>
    <w:p w:rsidR="00DA7475" w:rsidRDefault="00DA7475"/>
    <w:p w:rsidR="001562E0" w:rsidRDefault="001562E0">
      <w:pPr>
        <w:rPr>
          <w:rFonts w:cs="Arial"/>
          <w:b/>
          <w:bCs/>
          <w:iCs/>
          <w:sz w:val="22"/>
          <w:szCs w:val="28"/>
        </w:rPr>
      </w:pPr>
      <w:r>
        <w:br w:type="page"/>
      </w:r>
    </w:p>
    <w:p w:rsidR="00A8525E" w:rsidRPr="007F6F24" w:rsidRDefault="00A8525E" w:rsidP="007F6F24">
      <w:pPr>
        <w:pStyle w:val="Heading2"/>
        <w:tabs>
          <w:tab w:val="clear" w:pos="567"/>
          <w:tab w:val="clear" w:pos="9072"/>
        </w:tabs>
        <w:spacing w:before="240" w:after="60"/>
        <w:ind w:left="1985" w:hanging="1985"/>
        <w:rPr>
          <w:rFonts w:eastAsia="SimSun"/>
          <w:bCs w:val="0"/>
          <w:caps/>
          <w:szCs w:val="22"/>
          <w:lang w:eastAsia="zh-CN"/>
        </w:rPr>
      </w:pPr>
      <w:bookmarkStart w:id="78" w:name="_Toc422210501"/>
      <w:r w:rsidRPr="007F6F24">
        <w:rPr>
          <w:rFonts w:eastAsia="SimSun"/>
          <w:bCs w:val="0"/>
          <w:caps/>
          <w:szCs w:val="22"/>
          <w:lang w:eastAsia="zh-CN"/>
        </w:rPr>
        <w:lastRenderedPageBreak/>
        <w:t>PROGRAM 1</w:t>
      </w:r>
      <w:bookmarkEnd w:id="0"/>
      <w:r w:rsidR="00885DDE" w:rsidRPr="007F6F24">
        <w:rPr>
          <w:rFonts w:eastAsia="SimSun"/>
          <w:bCs w:val="0"/>
          <w:caps/>
          <w:szCs w:val="22"/>
          <w:lang w:eastAsia="zh-CN"/>
        </w:rPr>
        <w:t>6</w:t>
      </w:r>
      <w:r w:rsidR="000E148D" w:rsidRPr="007F6F24">
        <w:rPr>
          <w:rFonts w:eastAsia="SimSun"/>
          <w:bCs w:val="0"/>
          <w:caps/>
          <w:szCs w:val="22"/>
          <w:lang w:eastAsia="zh-CN"/>
        </w:rPr>
        <w:tab/>
      </w:r>
      <w:r w:rsidR="00885DDE" w:rsidRPr="007F6F24">
        <w:rPr>
          <w:rFonts w:eastAsia="SimSun"/>
          <w:bCs w:val="0"/>
          <w:caps/>
          <w:szCs w:val="22"/>
          <w:lang w:eastAsia="zh-CN"/>
        </w:rPr>
        <w:t>ECONOMICS AND STATISTICS</w:t>
      </w:r>
      <w:bookmarkEnd w:id="78"/>
    </w:p>
    <w:p w:rsidR="00A8525E" w:rsidRPr="00383D2D" w:rsidRDefault="00A8525E" w:rsidP="00D35BF7">
      <w:pPr>
        <w:tabs>
          <w:tab w:val="left" w:pos="1985"/>
        </w:tabs>
        <w:jc w:val="both"/>
        <w:rPr>
          <w:szCs w:val="20"/>
        </w:rPr>
      </w:pPr>
    </w:p>
    <w:p w:rsidR="00A8525E" w:rsidRPr="00D35BF7" w:rsidRDefault="000E148D" w:rsidP="00475443">
      <w:pPr>
        <w:tabs>
          <w:tab w:val="left" w:pos="1985"/>
        </w:tabs>
        <w:jc w:val="both"/>
        <w:rPr>
          <w:b/>
          <w:szCs w:val="22"/>
        </w:rPr>
      </w:pPr>
      <w:r w:rsidRPr="00D35BF7">
        <w:rPr>
          <w:b/>
          <w:szCs w:val="22"/>
        </w:rPr>
        <w:t>Program Manager</w:t>
      </w:r>
      <w:r w:rsidRPr="00D35BF7">
        <w:rPr>
          <w:b/>
          <w:szCs w:val="22"/>
        </w:rPr>
        <w:tab/>
      </w:r>
      <w:r w:rsidR="00AF3240" w:rsidRPr="00D35BF7">
        <w:rPr>
          <w:b/>
          <w:szCs w:val="22"/>
        </w:rPr>
        <w:t>Director General</w:t>
      </w:r>
    </w:p>
    <w:p w:rsidR="00A8525E" w:rsidRPr="008F4A6D" w:rsidRDefault="00A8525E" w:rsidP="00981E14">
      <w:pPr>
        <w:jc w:val="both"/>
        <w:rPr>
          <w:szCs w:val="20"/>
        </w:rPr>
      </w:pPr>
    </w:p>
    <w:p w:rsidR="00A8525E" w:rsidRPr="001C6F4D" w:rsidRDefault="00A8525E" w:rsidP="00981E14">
      <w:pPr>
        <w:jc w:val="both"/>
        <w:rPr>
          <w:szCs w:val="20"/>
        </w:rPr>
      </w:pPr>
    </w:p>
    <w:p w:rsidR="00A8525E" w:rsidRPr="005E6AFC" w:rsidRDefault="00383D2D" w:rsidP="00981E14">
      <w:pPr>
        <w:jc w:val="both"/>
        <w:rPr>
          <w:bCs/>
          <w:sz w:val="22"/>
          <w:szCs w:val="22"/>
        </w:rPr>
      </w:pPr>
      <w:r>
        <w:rPr>
          <w:bCs/>
          <w:sz w:val="22"/>
          <w:szCs w:val="22"/>
        </w:rPr>
        <w:t>OVERVIEW OF PROGRESS IN 2014</w:t>
      </w:r>
    </w:p>
    <w:p w:rsidR="00A8525E" w:rsidRDefault="00A8525E" w:rsidP="00981E14">
      <w:pPr>
        <w:jc w:val="both"/>
        <w:rPr>
          <w:szCs w:val="20"/>
        </w:rPr>
      </w:pPr>
    </w:p>
    <w:p w:rsidR="00C46441" w:rsidRPr="002919FF" w:rsidRDefault="00C46441" w:rsidP="00520CAA">
      <w:pPr>
        <w:pStyle w:val="ListParagraph"/>
        <w:numPr>
          <w:ilvl w:val="0"/>
          <w:numId w:val="2"/>
        </w:numPr>
        <w:tabs>
          <w:tab w:val="left" w:pos="709"/>
        </w:tabs>
        <w:ind w:left="0" w:firstLine="0"/>
        <w:jc w:val="both"/>
      </w:pPr>
      <w:r w:rsidRPr="003A63F6">
        <w:t xml:space="preserve">The statistical work fully achieved its objective </w:t>
      </w:r>
      <w:r w:rsidR="00AF3240" w:rsidRPr="003A63F6">
        <w:t xml:space="preserve">in </w:t>
      </w:r>
      <w:r w:rsidR="00AF3240" w:rsidRPr="00617E0D">
        <w:t>promoting the</w:t>
      </w:r>
      <w:r w:rsidRPr="00617E0D">
        <w:t xml:space="preserve"> availability of accurate, comprehensive, and timely statistical information on the performance of the IP system worldwide.  As in previous years, the Program conducted a statistical survey of national and regional </w:t>
      </w:r>
      <w:r w:rsidRPr="00D73383">
        <w:t xml:space="preserve">IP offices.  </w:t>
      </w:r>
      <w:r w:rsidR="00A405AD" w:rsidRPr="00D73383">
        <w:t>R</w:t>
      </w:r>
      <w:r w:rsidRPr="00D73383">
        <w:t xml:space="preserve">esponses covered more than 90 countries, including the largest IP-using jurisdictions. </w:t>
      </w:r>
      <w:r w:rsidR="00475443">
        <w:t xml:space="preserve"> </w:t>
      </w:r>
      <w:r w:rsidRPr="00D73383">
        <w:t xml:space="preserve">For many IP </w:t>
      </w:r>
      <w:r w:rsidR="002A635B" w:rsidRPr="0003661F">
        <w:t xml:space="preserve">Offices </w:t>
      </w:r>
      <w:r w:rsidRPr="00361214">
        <w:t>from small and less developed economies, resource limitations continue</w:t>
      </w:r>
      <w:r w:rsidR="00AF3240" w:rsidRPr="0051060D">
        <w:t>d</w:t>
      </w:r>
      <w:r w:rsidRPr="0051060D">
        <w:t xml:space="preserve"> to pose an obstacle towards responding to the statistics survey.  Howeve</w:t>
      </w:r>
      <w:r w:rsidRPr="00650CAD">
        <w:t>r, through outreach programs and targeted assistance, the Program has been</w:t>
      </w:r>
      <w:r w:rsidR="002A635B" w:rsidRPr="002919FF">
        <w:t xml:space="preserve"> </w:t>
      </w:r>
      <w:r w:rsidRPr="002919FF">
        <w:t>able to gradually improve coverage over the years.</w:t>
      </w:r>
    </w:p>
    <w:p w:rsidR="00C46441" w:rsidRDefault="00C46441" w:rsidP="00D35BF7">
      <w:pPr>
        <w:tabs>
          <w:tab w:val="left" w:pos="709"/>
        </w:tabs>
        <w:jc w:val="both"/>
        <w:rPr>
          <w:szCs w:val="20"/>
        </w:rPr>
      </w:pPr>
    </w:p>
    <w:p w:rsidR="00B63AC7" w:rsidRPr="00D35BF7" w:rsidRDefault="00E30078" w:rsidP="00520CAA">
      <w:pPr>
        <w:pStyle w:val="ListParagraph"/>
        <w:numPr>
          <w:ilvl w:val="0"/>
          <w:numId w:val="2"/>
        </w:numPr>
        <w:tabs>
          <w:tab w:val="left" w:pos="709"/>
        </w:tabs>
        <w:ind w:left="0" w:firstLine="0"/>
        <w:jc w:val="both"/>
      </w:pPr>
      <w:r w:rsidRPr="003A63F6">
        <w:t>The Program also fulfilled its statistical reporting function, notably through the timely release of the World IP Indicators,</w:t>
      </w:r>
      <w:r w:rsidRPr="00617E0D">
        <w:t xml:space="preserve"> the WIPO IP Facts and Figures report, the Yearly Reviews for the Patent Cooperation Treaty (PCT), Madrid, and Hague Systems, as well as through the IP Statistics Data Center and IP statistical country profiles available on WIPO’s statistics webpage.  </w:t>
      </w:r>
      <w:r w:rsidR="005C6058" w:rsidRPr="00D73383">
        <w:t xml:space="preserve">One major achievement in 2014 was </w:t>
      </w:r>
      <w:r w:rsidR="00AF3240" w:rsidRPr="00D73383">
        <w:t xml:space="preserve">the </w:t>
      </w:r>
      <w:r w:rsidR="005C6058" w:rsidRPr="00D73383">
        <w:t xml:space="preserve">upgrade </w:t>
      </w:r>
      <w:r w:rsidR="00AF3240" w:rsidRPr="00D73383">
        <w:t xml:space="preserve">of </w:t>
      </w:r>
      <w:r w:rsidR="005C6058" w:rsidRPr="00D73383">
        <w:t xml:space="preserve">the functionality of the Data Center, including the development of user interfaces in French and Spanish.  Another achievement was </w:t>
      </w:r>
      <w:r w:rsidR="00AF3240" w:rsidRPr="0003661F">
        <w:t xml:space="preserve">the </w:t>
      </w:r>
      <w:r w:rsidR="005C6058" w:rsidRPr="0003661F">
        <w:t xml:space="preserve">re-design </w:t>
      </w:r>
      <w:r w:rsidR="00AF3240" w:rsidRPr="00361214">
        <w:t xml:space="preserve">of </w:t>
      </w:r>
      <w:r w:rsidR="005C6058" w:rsidRPr="0051060D">
        <w:t>the World Intellectual Property Indicators</w:t>
      </w:r>
      <w:r w:rsidR="00243E68" w:rsidRPr="0051060D">
        <w:t xml:space="preserve"> (WIPI)</w:t>
      </w:r>
      <w:r w:rsidR="00CC22AD" w:rsidRPr="00014996">
        <w:t xml:space="preserve"> rep</w:t>
      </w:r>
      <w:r w:rsidR="00CC22AD" w:rsidRPr="00650CAD">
        <w:t>ort</w:t>
      </w:r>
      <w:r w:rsidR="005C6058" w:rsidRPr="002919FF">
        <w:t xml:space="preserve">, with a view to </w:t>
      </w:r>
      <w:r w:rsidR="00AF3240" w:rsidRPr="002919FF">
        <w:t xml:space="preserve">making </w:t>
      </w:r>
      <w:r w:rsidR="00C06E1F" w:rsidRPr="002919FF">
        <w:t xml:space="preserve">it easier for readers to find </w:t>
      </w:r>
      <w:r w:rsidR="00AF3240" w:rsidRPr="002919FF">
        <w:t xml:space="preserve">the desired </w:t>
      </w:r>
      <w:r w:rsidR="00C06E1F" w:rsidRPr="002919FF">
        <w:t>information</w:t>
      </w:r>
      <w:r w:rsidR="00C06E1F" w:rsidRPr="00D12994">
        <w:t xml:space="preserve">.  Overall, the Program’s statistical offerings served the data and statistical analysis needs of a wide range of users – from specialists in IP </w:t>
      </w:r>
      <w:r w:rsidR="002A635B" w:rsidRPr="00D12994">
        <w:t xml:space="preserve">Offices </w:t>
      </w:r>
      <w:r w:rsidR="00C06E1F" w:rsidRPr="00D12994">
        <w:t>and academia to more general users outside of the IP community.</w:t>
      </w:r>
    </w:p>
    <w:p w:rsidR="00A3390F" w:rsidRDefault="00A3390F" w:rsidP="00D35BF7">
      <w:pPr>
        <w:tabs>
          <w:tab w:val="left" w:pos="709"/>
        </w:tabs>
        <w:jc w:val="both"/>
        <w:rPr>
          <w:szCs w:val="20"/>
        </w:rPr>
      </w:pPr>
    </w:p>
    <w:p w:rsidR="00A3390F" w:rsidRPr="00D35BF7" w:rsidRDefault="00A3390F" w:rsidP="00520CAA">
      <w:pPr>
        <w:pStyle w:val="ListParagraph"/>
        <w:numPr>
          <w:ilvl w:val="0"/>
          <w:numId w:val="2"/>
        </w:numPr>
        <w:tabs>
          <w:tab w:val="left" w:pos="709"/>
        </w:tabs>
        <w:ind w:left="0" w:firstLine="0"/>
        <w:jc w:val="both"/>
      </w:pPr>
      <w:r w:rsidRPr="003A63F6">
        <w:t xml:space="preserve">The Program’s economic analysis work also </w:t>
      </w:r>
      <w:r w:rsidR="00AF3240" w:rsidRPr="003A63F6">
        <w:t>made good progress</w:t>
      </w:r>
      <w:r w:rsidRPr="00617E0D">
        <w:t xml:space="preserve"> </w:t>
      </w:r>
      <w:r w:rsidR="00AF3240" w:rsidRPr="00617E0D">
        <w:t>on the promotion of</w:t>
      </w:r>
      <w:r w:rsidRPr="00D73383">
        <w:t xml:space="preserve"> high quality empirical analysis in support of evidence-based policymaking.  As in previous years, WIPO co-published the Global Innovation Index (GII), in partnership with INSEAD and Cornell University.  The 2014 GII </w:t>
      </w:r>
      <w:r w:rsidR="00ED3544" w:rsidRPr="00D73383">
        <w:t xml:space="preserve">covered 143 economies and </w:t>
      </w:r>
      <w:r w:rsidRPr="00D73383">
        <w:t xml:space="preserve">was launched </w:t>
      </w:r>
      <w:r w:rsidR="00ED3544" w:rsidRPr="00D73383">
        <w:t xml:space="preserve">in Sydney, Australia </w:t>
      </w:r>
      <w:r w:rsidRPr="00D73383">
        <w:t xml:space="preserve">at </w:t>
      </w:r>
      <w:r w:rsidR="00ED3544" w:rsidRPr="00D73383">
        <w:t>a gathering of international business leaders</w:t>
      </w:r>
      <w:r w:rsidR="00243E68" w:rsidRPr="00D73383">
        <w:t xml:space="preserve"> </w:t>
      </w:r>
      <w:r w:rsidR="00ED3544" w:rsidRPr="0003661F">
        <w:t>known as the B20.  It was subsequently presented at national and international conference</w:t>
      </w:r>
      <w:r w:rsidR="00AF3240" w:rsidRPr="00361214">
        <w:t>s</w:t>
      </w:r>
      <w:r w:rsidR="00ED3544" w:rsidRPr="0051060D">
        <w:t xml:space="preserve"> across the world.  </w:t>
      </w:r>
      <w:r w:rsidR="00AF3240" w:rsidRPr="00014996">
        <w:t>T</w:t>
      </w:r>
      <w:r w:rsidR="00ED3544" w:rsidRPr="00650CAD">
        <w:t xml:space="preserve">he publication of the GII </w:t>
      </w:r>
      <w:r w:rsidR="00AF3240" w:rsidRPr="002919FF">
        <w:t xml:space="preserve">also continued to </w:t>
      </w:r>
      <w:r w:rsidR="00ED3544" w:rsidRPr="002919FF">
        <w:t xml:space="preserve">attract significant media attention.  In addition, national governments, international organizations and other stakeholders in the innovation system </w:t>
      </w:r>
      <w:r w:rsidR="00CC22AD" w:rsidRPr="002919FF">
        <w:t xml:space="preserve">regularly </w:t>
      </w:r>
      <w:r w:rsidR="00ED3544" w:rsidRPr="002919FF">
        <w:t>employ</w:t>
      </w:r>
      <w:r w:rsidR="00AF3240" w:rsidRPr="002919FF">
        <w:t>ed</w:t>
      </w:r>
      <w:r w:rsidR="00ED3544" w:rsidRPr="00D12994">
        <w:t xml:space="preserve"> the GII as a reference source for analyzing innovation performance</w:t>
      </w:r>
      <w:r w:rsidR="00AF3240" w:rsidRPr="00D12994">
        <w:t xml:space="preserve">, </w:t>
      </w:r>
      <w:r w:rsidR="00ED3544" w:rsidRPr="00D12994">
        <w:t>as captured by n</w:t>
      </w:r>
      <w:r w:rsidR="00ED3544" w:rsidRPr="00D35BF7">
        <w:t>umerous citations, data inquiries, and requests for advisory services.</w:t>
      </w:r>
    </w:p>
    <w:p w:rsidR="000B1C74" w:rsidRDefault="000B1C74" w:rsidP="00D35BF7">
      <w:pPr>
        <w:tabs>
          <w:tab w:val="left" w:pos="709"/>
        </w:tabs>
        <w:jc w:val="both"/>
        <w:rPr>
          <w:szCs w:val="20"/>
        </w:rPr>
      </w:pPr>
    </w:p>
    <w:p w:rsidR="000B1C74" w:rsidRPr="00D73383" w:rsidRDefault="00B54F43" w:rsidP="00520CAA">
      <w:pPr>
        <w:pStyle w:val="ListParagraph"/>
        <w:numPr>
          <w:ilvl w:val="0"/>
          <w:numId w:val="2"/>
        </w:numPr>
        <w:tabs>
          <w:tab w:val="left" w:pos="709"/>
        </w:tabs>
        <w:ind w:left="0" w:firstLine="0"/>
        <w:jc w:val="both"/>
      </w:pPr>
      <w:r w:rsidRPr="003A63F6">
        <w:t>Notable</w:t>
      </w:r>
      <w:r w:rsidR="00CC22AD" w:rsidRPr="003A63F6">
        <w:t xml:space="preserve"> achievements were made on other fronts as well.  </w:t>
      </w:r>
      <w:r w:rsidR="00AF3240" w:rsidRPr="00617E0D">
        <w:t>G</w:t>
      </w:r>
      <w:r w:rsidR="00CC22AD" w:rsidRPr="00617E0D">
        <w:t xml:space="preserve">ood progress </w:t>
      </w:r>
      <w:r w:rsidR="006C5AA1" w:rsidRPr="00617E0D">
        <w:t xml:space="preserve">was made </w:t>
      </w:r>
      <w:r w:rsidR="00CC22AD" w:rsidRPr="00D73383">
        <w:t xml:space="preserve">towards the development of a new World IP Report, which will be published in the second half of 2015.  </w:t>
      </w:r>
      <w:r w:rsidR="008A3B3B" w:rsidRPr="00D73383">
        <w:t xml:space="preserve">The Program also </w:t>
      </w:r>
      <w:r w:rsidR="00CC22AD" w:rsidRPr="00D73383">
        <w:t xml:space="preserve">directly </w:t>
      </w:r>
      <w:r w:rsidR="000B1C74" w:rsidRPr="00D73383">
        <w:t>supported the work of WIPO committees – notably through a study on PCT fee elasticity for the PCT Working Group and a se</w:t>
      </w:r>
      <w:r w:rsidR="000B1C74" w:rsidRPr="0003661F">
        <w:t xml:space="preserve">minar on exceptions and limitations to patent rights during the </w:t>
      </w:r>
      <w:r w:rsidR="008A3B3B" w:rsidRPr="00361214">
        <w:t>SCP</w:t>
      </w:r>
      <w:r w:rsidR="000B1C74" w:rsidRPr="0051060D">
        <w:t xml:space="preserve">.  In addition, assisting WIPO Member States with country studies </w:t>
      </w:r>
      <w:r w:rsidR="008A3B3B" w:rsidRPr="00014996">
        <w:t xml:space="preserve">continued </w:t>
      </w:r>
      <w:r w:rsidR="000B1C74" w:rsidRPr="00650CAD">
        <w:t>to be an important pillar of the Program’s economic analysis wo</w:t>
      </w:r>
      <w:r w:rsidR="000B1C74" w:rsidRPr="002919FF">
        <w:t xml:space="preserve">rk and </w:t>
      </w:r>
      <w:r w:rsidR="008A3B3B" w:rsidRPr="002919FF">
        <w:t xml:space="preserve">took </w:t>
      </w:r>
      <w:r w:rsidR="000B1C74" w:rsidRPr="002919FF">
        <w:t xml:space="preserve">place under the umbrella of the </w:t>
      </w:r>
      <w:r w:rsidR="00364618" w:rsidRPr="002919FF">
        <w:t xml:space="preserve">DA </w:t>
      </w:r>
      <w:r w:rsidR="000B1C74" w:rsidRPr="002919FF">
        <w:t xml:space="preserve">project on IP and </w:t>
      </w:r>
      <w:r w:rsidR="00243E68" w:rsidRPr="002919FF">
        <w:t>S</w:t>
      </w:r>
      <w:r w:rsidR="000B1C74" w:rsidRPr="00D12994">
        <w:t>ocio</w:t>
      </w:r>
      <w:r w:rsidR="00243E68" w:rsidRPr="00D12994">
        <w:t>-E</w:t>
      </w:r>
      <w:r w:rsidR="000B1C74" w:rsidRPr="00D12994">
        <w:t xml:space="preserve">conomic </w:t>
      </w:r>
      <w:r w:rsidR="00243E68" w:rsidRPr="00D35BF7">
        <w:t>D</w:t>
      </w:r>
      <w:r w:rsidR="000B1C74" w:rsidRPr="00D35BF7">
        <w:t>evelopment.  In 2014, the first phase of this project (CDIP/5/7) came to an end</w:t>
      </w:r>
      <w:r w:rsidR="0087375C" w:rsidRPr="00D35BF7">
        <w:t xml:space="preserve"> and underwent </w:t>
      </w:r>
      <w:r w:rsidR="008A3B3B" w:rsidRPr="00D35BF7">
        <w:t xml:space="preserve">an </w:t>
      </w:r>
      <w:r w:rsidR="0087375C" w:rsidRPr="00D35BF7">
        <w:t>external evaluation</w:t>
      </w:r>
      <w:r w:rsidR="00243E68" w:rsidRPr="00D35BF7">
        <w:t xml:space="preserve"> (CDIP/14/3), which was presented at the fourteenth session of the CDIP</w:t>
      </w:r>
      <w:r w:rsidR="008A3B3B" w:rsidRPr="00D35BF7">
        <w:t>.</w:t>
      </w:r>
      <w:r w:rsidR="0087375C" w:rsidRPr="00D35BF7">
        <w:t xml:space="preserve"> WIPO Member States</w:t>
      </w:r>
      <w:r w:rsidR="008A3B3B" w:rsidRPr="00D35BF7">
        <w:t xml:space="preserve"> </w:t>
      </w:r>
      <w:r w:rsidR="0087375C" w:rsidRPr="00D35BF7">
        <w:t xml:space="preserve">approved a second phase of </w:t>
      </w:r>
      <w:r w:rsidR="008A3B3B" w:rsidRPr="00D35BF7">
        <w:t xml:space="preserve">the </w:t>
      </w:r>
      <w:r w:rsidR="0087375C" w:rsidRPr="00D35BF7">
        <w:t xml:space="preserve">project (CDIP/14/7), </w:t>
      </w:r>
      <w:r w:rsidR="00CC22AD" w:rsidRPr="00D35BF7">
        <w:t>which will</w:t>
      </w:r>
      <w:r w:rsidR="0087375C" w:rsidRPr="00D35BF7">
        <w:t xml:space="preserve"> be implemented </w:t>
      </w:r>
      <w:r w:rsidR="002912AF" w:rsidRPr="00D35BF7">
        <w:t xml:space="preserve">in </w:t>
      </w:r>
      <w:r w:rsidR="0087375C" w:rsidRPr="00D35BF7">
        <w:t>2015</w:t>
      </w:r>
      <w:r w:rsidR="002912AF" w:rsidRPr="00D35BF7">
        <w:t xml:space="preserve"> through </w:t>
      </w:r>
      <w:r w:rsidR="0087375C" w:rsidRPr="00D35BF7">
        <w:t>2017.</w:t>
      </w:r>
      <w:r w:rsidR="00364618" w:rsidRPr="003A63F6">
        <w:t xml:space="preserve"> </w:t>
      </w:r>
      <w:r w:rsidR="00475443">
        <w:t xml:space="preserve"> </w:t>
      </w:r>
      <w:r w:rsidR="00364618" w:rsidRPr="003A63F6">
        <w:t>The studies under the DA project continue</w:t>
      </w:r>
      <w:r w:rsidR="00D12994">
        <w:t>d</w:t>
      </w:r>
      <w:r w:rsidR="00364618" w:rsidRPr="003A63F6">
        <w:t xml:space="preserve"> to respond to relevant DA </w:t>
      </w:r>
      <w:r w:rsidR="00364618" w:rsidRPr="00617E0D">
        <w:t>Recommendations, in particular Recommendations 35 and 37.</w:t>
      </w:r>
    </w:p>
    <w:p w:rsidR="0087375C" w:rsidRDefault="0087375C" w:rsidP="00D35BF7">
      <w:pPr>
        <w:tabs>
          <w:tab w:val="left" w:pos="709"/>
        </w:tabs>
        <w:jc w:val="both"/>
        <w:rPr>
          <w:szCs w:val="20"/>
        </w:rPr>
      </w:pPr>
    </w:p>
    <w:p w:rsidR="0087375C" w:rsidRPr="00D73383" w:rsidRDefault="0087375C" w:rsidP="00520CAA">
      <w:pPr>
        <w:pStyle w:val="ListParagraph"/>
        <w:numPr>
          <w:ilvl w:val="0"/>
          <w:numId w:val="2"/>
        </w:numPr>
        <w:tabs>
          <w:tab w:val="left" w:pos="709"/>
        </w:tabs>
        <w:ind w:left="0" w:firstLine="0"/>
        <w:jc w:val="both"/>
        <w:rPr>
          <w:rFonts w:cs="Arial"/>
        </w:rPr>
      </w:pPr>
      <w:r w:rsidRPr="003A63F6">
        <w:t xml:space="preserve">Finally, the Program continued to coordinate a network of IP office economists – open to all IP </w:t>
      </w:r>
      <w:r w:rsidR="00440BE5" w:rsidRPr="003A63F6">
        <w:t xml:space="preserve">Offices </w:t>
      </w:r>
      <w:r w:rsidRPr="00617E0D">
        <w:t xml:space="preserve">with an economic research capacity – </w:t>
      </w:r>
      <w:r w:rsidR="008A3B3B" w:rsidRPr="00617E0D">
        <w:t>to help</w:t>
      </w:r>
      <w:r w:rsidRPr="00D73383">
        <w:t xml:space="preserve"> foster and facilitate empirical and scientifically rigorous economic research on IP.</w:t>
      </w:r>
    </w:p>
    <w:p w:rsidR="00A8525E" w:rsidRDefault="00A8525E" w:rsidP="00981E14">
      <w:pPr>
        <w:jc w:val="both"/>
        <w:rPr>
          <w:b/>
          <w:szCs w:val="20"/>
        </w:rPr>
      </w:pPr>
    </w:p>
    <w:p w:rsidR="00BF7DD8" w:rsidRDefault="00BF7DD8" w:rsidP="00981E14">
      <w:pPr>
        <w:jc w:val="both"/>
        <w:rPr>
          <w:b/>
          <w:szCs w:val="20"/>
        </w:rPr>
      </w:pPr>
    </w:p>
    <w:p w:rsidR="00981E14" w:rsidRDefault="00981E14" w:rsidP="00D35BF7">
      <w:pPr>
        <w:keepNext/>
        <w:keepLines/>
        <w:jc w:val="both"/>
        <w:rPr>
          <w:rFonts w:cs="Arial"/>
          <w:sz w:val="22"/>
          <w:szCs w:val="22"/>
        </w:rPr>
      </w:pPr>
      <w:r w:rsidRPr="0047788F">
        <w:rPr>
          <w:rFonts w:cs="Arial"/>
          <w:sz w:val="22"/>
          <w:szCs w:val="22"/>
        </w:rPr>
        <w:lastRenderedPageBreak/>
        <w:t>PERFORMANCE DATA</w:t>
      </w:r>
    </w:p>
    <w:p w:rsidR="00A872A7" w:rsidRPr="00383D2D" w:rsidRDefault="00A872A7" w:rsidP="00D35BF7">
      <w:pPr>
        <w:keepNext/>
        <w:keepLines/>
        <w:jc w:val="both"/>
        <w:rPr>
          <w:b/>
          <w:szCs w:val="20"/>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2268"/>
        <w:gridCol w:w="1422"/>
        <w:gridCol w:w="2545"/>
        <w:gridCol w:w="75"/>
        <w:gridCol w:w="919"/>
      </w:tblGrid>
      <w:tr w:rsidR="00981E14" w:rsidTr="00D35BF7">
        <w:trPr>
          <w:cantSplit/>
        </w:trPr>
        <w:tc>
          <w:tcPr>
            <w:tcW w:w="5000" w:type="pct"/>
            <w:gridSpan w:val="6"/>
            <w:tcBorders>
              <w:top w:val="single" w:sz="4" w:space="0" w:color="auto"/>
              <w:bottom w:val="single" w:sz="4" w:space="0" w:color="auto"/>
            </w:tcBorders>
            <w:shd w:val="clear" w:color="auto" w:fill="CCFFFF"/>
            <w:vAlign w:val="center"/>
          </w:tcPr>
          <w:p w:rsidR="00981E14" w:rsidRDefault="00981E14">
            <w:pPr>
              <w:keepNext/>
              <w:keepLines/>
              <w:tabs>
                <w:tab w:val="left" w:pos="1452"/>
              </w:tabs>
              <w:spacing w:before="120" w:after="120"/>
              <w:ind w:left="1452" w:hanging="1452"/>
              <w:rPr>
                <w:rFonts w:cs="Arial"/>
                <w:b/>
                <w:bCs/>
                <w:sz w:val="16"/>
                <w:szCs w:val="16"/>
              </w:rPr>
            </w:pPr>
            <w:r w:rsidRPr="00234BEF">
              <w:rPr>
                <w:rFonts w:cs="Arial"/>
                <w:b/>
                <w:bCs/>
                <w:sz w:val="16"/>
                <w:szCs w:val="16"/>
              </w:rPr>
              <w:t>Expected Result</w:t>
            </w:r>
            <w:r>
              <w:rPr>
                <w:rFonts w:cs="Arial"/>
                <w:b/>
                <w:bCs/>
                <w:sz w:val="16"/>
                <w:szCs w:val="16"/>
              </w:rPr>
              <w:t>:</w:t>
            </w:r>
            <w:r>
              <w:rPr>
                <w:rFonts w:cs="Arial"/>
                <w:b/>
                <w:bCs/>
                <w:sz w:val="16"/>
                <w:szCs w:val="16"/>
              </w:rPr>
              <w:tab/>
            </w:r>
            <w:r w:rsidRPr="00981E14">
              <w:rPr>
                <w:rFonts w:cs="Arial"/>
                <w:sz w:val="16"/>
                <w:szCs w:val="16"/>
              </w:rPr>
              <w:t>V.1 Wider and better use of WIPO IP statistical information</w:t>
            </w:r>
          </w:p>
        </w:tc>
      </w:tr>
      <w:tr w:rsidR="0004489D" w:rsidRPr="008D63A6" w:rsidTr="00F54CA4">
        <w:trPr>
          <w:cantSplit/>
        </w:trPr>
        <w:tc>
          <w:tcPr>
            <w:tcW w:w="1137" w:type="pct"/>
            <w:tcBorders>
              <w:top w:val="single" w:sz="4" w:space="0" w:color="auto"/>
            </w:tcBorders>
            <w:shd w:val="clear" w:color="auto" w:fill="auto"/>
            <w:vAlign w:val="center"/>
          </w:tcPr>
          <w:p w:rsidR="00981E14" w:rsidRPr="008D63A6" w:rsidRDefault="00981E14" w:rsidP="00D35BF7">
            <w:pPr>
              <w:keepNext/>
              <w:keepLines/>
              <w:rPr>
                <w:rFonts w:cs="Arial"/>
                <w:sz w:val="16"/>
                <w:szCs w:val="16"/>
              </w:rPr>
            </w:pPr>
            <w:r w:rsidRPr="008D63A6">
              <w:rPr>
                <w:rFonts w:cs="Arial"/>
                <w:b/>
                <w:bCs/>
                <w:sz w:val="16"/>
                <w:szCs w:val="16"/>
              </w:rPr>
              <w:t>Performance Indicators</w:t>
            </w:r>
          </w:p>
        </w:tc>
        <w:tc>
          <w:tcPr>
            <w:tcW w:w="1212" w:type="pct"/>
            <w:tcBorders>
              <w:top w:val="single" w:sz="4" w:space="0" w:color="auto"/>
            </w:tcBorders>
            <w:shd w:val="clear" w:color="auto" w:fill="auto"/>
            <w:vAlign w:val="center"/>
          </w:tcPr>
          <w:p w:rsidR="00981E14" w:rsidRPr="008D63A6" w:rsidRDefault="00981E14" w:rsidP="00D35BF7">
            <w:pPr>
              <w:keepNext/>
              <w:keepLines/>
              <w:rPr>
                <w:rFonts w:cs="Arial"/>
                <w:b/>
                <w:bCs/>
                <w:sz w:val="16"/>
                <w:szCs w:val="16"/>
              </w:rPr>
            </w:pPr>
            <w:r w:rsidRPr="008D63A6">
              <w:rPr>
                <w:rFonts w:cs="Arial"/>
                <w:b/>
                <w:bCs/>
                <w:sz w:val="16"/>
                <w:szCs w:val="16"/>
              </w:rPr>
              <w:t>Baselines</w:t>
            </w:r>
          </w:p>
        </w:tc>
        <w:tc>
          <w:tcPr>
            <w:tcW w:w="760" w:type="pct"/>
            <w:tcBorders>
              <w:top w:val="single" w:sz="4" w:space="0" w:color="auto"/>
            </w:tcBorders>
            <w:shd w:val="clear" w:color="auto" w:fill="auto"/>
            <w:tcMar>
              <w:top w:w="110" w:type="dxa"/>
            </w:tcMar>
            <w:vAlign w:val="center"/>
          </w:tcPr>
          <w:p w:rsidR="00981E14" w:rsidRPr="008D63A6" w:rsidRDefault="00981E14" w:rsidP="00D35BF7">
            <w:pPr>
              <w:keepNext/>
              <w:keepLines/>
              <w:rPr>
                <w:rFonts w:cs="Arial"/>
                <w:b/>
                <w:sz w:val="16"/>
                <w:szCs w:val="16"/>
              </w:rPr>
            </w:pPr>
            <w:r w:rsidRPr="008D63A6">
              <w:rPr>
                <w:rFonts w:cs="Arial"/>
                <w:b/>
                <w:sz w:val="16"/>
                <w:szCs w:val="16"/>
              </w:rPr>
              <w:t>Targets</w:t>
            </w:r>
          </w:p>
        </w:tc>
        <w:tc>
          <w:tcPr>
            <w:tcW w:w="1360" w:type="pct"/>
            <w:tcBorders>
              <w:top w:val="single" w:sz="4" w:space="0" w:color="auto"/>
            </w:tcBorders>
            <w:shd w:val="clear" w:color="auto" w:fill="FFFFFF"/>
            <w:tcMar>
              <w:top w:w="110" w:type="dxa"/>
            </w:tcMar>
            <w:vAlign w:val="center"/>
          </w:tcPr>
          <w:p w:rsidR="00981E14" w:rsidRPr="008D63A6" w:rsidRDefault="00981E14" w:rsidP="00D35BF7">
            <w:pPr>
              <w:keepNext/>
              <w:keepLines/>
              <w:rPr>
                <w:rFonts w:cs="Arial"/>
                <w:sz w:val="16"/>
                <w:szCs w:val="16"/>
              </w:rPr>
            </w:pPr>
            <w:r w:rsidRPr="008D63A6">
              <w:rPr>
                <w:rFonts w:cs="Arial"/>
                <w:b/>
                <w:bCs/>
                <w:sz w:val="16"/>
                <w:szCs w:val="16"/>
              </w:rPr>
              <w:t>Performance Data</w:t>
            </w:r>
          </w:p>
        </w:tc>
        <w:tc>
          <w:tcPr>
            <w:tcW w:w="531" w:type="pct"/>
            <w:gridSpan w:val="2"/>
            <w:tcBorders>
              <w:top w:val="single" w:sz="4" w:space="0" w:color="auto"/>
            </w:tcBorders>
            <w:shd w:val="clear" w:color="auto" w:fill="auto"/>
            <w:tcMar>
              <w:top w:w="110" w:type="dxa"/>
            </w:tcMar>
            <w:vAlign w:val="center"/>
          </w:tcPr>
          <w:p w:rsidR="00981E14" w:rsidRPr="008D63A6" w:rsidRDefault="00981E14">
            <w:pPr>
              <w:keepNext/>
              <w:keepLines/>
              <w:jc w:val="center"/>
              <w:rPr>
                <w:rFonts w:cs="Arial"/>
                <w:b/>
                <w:bCs/>
                <w:sz w:val="16"/>
                <w:szCs w:val="16"/>
              </w:rPr>
            </w:pPr>
            <w:r w:rsidRPr="008D63A6">
              <w:rPr>
                <w:rFonts w:cs="Arial"/>
                <w:b/>
                <w:bCs/>
                <w:sz w:val="16"/>
                <w:szCs w:val="16"/>
              </w:rPr>
              <w:t>TLS</w:t>
            </w:r>
          </w:p>
        </w:tc>
      </w:tr>
      <w:tr w:rsidR="0004489D" w:rsidTr="00F54CA4">
        <w:trPr>
          <w:cantSplit/>
        </w:trPr>
        <w:tc>
          <w:tcPr>
            <w:tcW w:w="1137" w:type="pct"/>
            <w:shd w:val="clear" w:color="auto" w:fill="auto"/>
          </w:tcPr>
          <w:p w:rsidR="0017534C" w:rsidRPr="00746757" w:rsidRDefault="0017534C" w:rsidP="00D35BF7">
            <w:pPr>
              <w:keepNext/>
              <w:keepLines/>
              <w:rPr>
                <w:rFonts w:cs="Arial"/>
                <w:sz w:val="16"/>
                <w:szCs w:val="16"/>
              </w:rPr>
            </w:pPr>
            <w:r w:rsidRPr="00981E14">
              <w:rPr>
                <w:rFonts w:cs="Arial"/>
                <w:sz w:val="16"/>
                <w:szCs w:val="16"/>
              </w:rPr>
              <w:t>No. of downloads of four main statistical reports (WIPI and PCT, Hague, Madrid Yearly Reviews)</w:t>
            </w:r>
          </w:p>
        </w:tc>
        <w:tc>
          <w:tcPr>
            <w:tcW w:w="1212" w:type="pct"/>
            <w:shd w:val="clear" w:color="auto" w:fill="auto"/>
          </w:tcPr>
          <w:p w:rsidR="0017534C" w:rsidRPr="006C5AA1" w:rsidRDefault="0017534C" w:rsidP="00D35BF7">
            <w:pPr>
              <w:keepNext/>
              <w:keepLines/>
              <w:rPr>
                <w:rFonts w:cs="Arial"/>
                <w:color w:val="002060"/>
                <w:sz w:val="16"/>
                <w:szCs w:val="16"/>
              </w:rPr>
            </w:pPr>
            <w:r>
              <w:rPr>
                <w:rFonts w:cs="Arial"/>
                <w:i/>
                <w:color w:val="002060"/>
                <w:sz w:val="16"/>
                <w:szCs w:val="16"/>
              </w:rPr>
              <w:t>Updated Baseline end 2013</w:t>
            </w:r>
            <w:r w:rsidRPr="005675B4">
              <w:rPr>
                <w:rFonts w:cs="Arial"/>
                <w:i/>
                <w:color w:val="002060"/>
                <w:sz w:val="16"/>
                <w:szCs w:val="16"/>
              </w:rPr>
              <w:t xml:space="preserve">: </w:t>
            </w:r>
            <w:r w:rsidRPr="006C5AA1">
              <w:rPr>
                <w:rFonts w:cs="Arial"/>
                <w:color w:val="002060"/>
                <w:sz w:val="16"/>
                <w:szCs w:val="16"/>
              </w:rPr>
              <w:t>In 2013, the latest available editions (2012 and 2013 editions) of the World Intellectual Property Indi</w:t>
            </w:r>
            <w:r>
              <w:rPr>
                <w:rFonts w:cs="Arial"/>
                <w:color w:val="002060"/>
                <w:sz w:val="16"/>
                <w:szCs w:val="16"/>
              </w:rPr>
              <w:t xml:space="preserve">cators (publication n°941) </w:t>
            </w:r>
            <w:r w:rsidRPr="006C5AA1">
              <w:rPr>
                <w:rFonts w:cs="Arial"/>
                <w:color w:val="002060"/>
                <w:sz w:val="16"/>
                <w:szCs w:val="16"/>
              </w:rPr>
              <w:t>and WIPO IP Facts and Figures (n°943) were downloaded, altogether, 52,670 times.</w:t>
            </w:r>
          </w:p>
          <w:p w:rsidR="0017534C" w:rsidRDefault="0017534C" w:rsidP="00D35BF7">
            <w:pPr>
              <w:keepNext/>
              <w:keepLines/>
              <w:spacing w:before="120"/>
              <w:rPr>
                <w:rFonts w:cs="Arial"/>
                <w:sz w:val="16"/>
                <w:szCs w:val="16"/>
              </w:rPr>
            </w:pPr>
            <w:r>
              <w:rPr>
                <w:rFonts w:cs="Arial"/>
                <w:i/>
                <w:sz w:val="16"/>
                <w:szCs w:val="16"/>
              </w:rPr>
              <w:t>Original Baseline P&amp;B 2014/15</w:t>
            </w:r>
            <w:r w:rsidRPr="0027745B">
              <w:rPr>
                <w:rFonts w:cs="Arial"/>
                <w:i/>
                <w:sz w:val="16"/>
                <w:szCs w:val="16"/>
              </w:rPr>
              <w:t>:</w:t>
            </w:r>
            <w:r>
              <w:rPr>
                <w:rFonts w:cs="Arial"/>
                <w:i/>
                <w:sz w:val="16"/>
                <w:szCs w:val="16"/>
              </w:rPr>
              <w:t xml:space="preserve"> </w:t>
            </w:r>
            <w:proofErr w:type="spellStart"/>
            <w:r w:rsidRPr="00022AC8">
              <w:rPr>
                <w:rFonts w:cs="Arial"/>
                <w:sz w:val="16"/>
                <w:szCs w:val="16"/>
              </w:rPr>
              <w:t>tbd</w:t>
            </w:r>
            <w:proofErr w:type="spellEnd"/>
            <w:r>
              <w:rPr>
                <w:rFonts w:cs="Arial"/>
                <w:i/>
                <w:sz w:val="16"/>
                <w:szCs w:val="16"/>
              </w:rPr>
              <w:t xml:space="preserve"> </w:t>
            </w:r>
            <w:r w:rsidR="008218F3" w:rsidRPr="00845557">
              <w:rPr>
                <w:rFonts w:cs="Arial"/>
                <w:sz w:val="16"/>
                <w:szCs w:val="16"/>
              </w:rPr>
              <w:t>end 2013</w:t>
            </w:r>
          </w:p>
          <w:p w:rsidR="0017534C" w:rsidRPr="00812DE2" w:rsidRDefault="0017534C" w:rsidP="00D35BF7">
            <w:pPr>
              <w:keepNext/>
              <w:keepLines/>
              <w:rPr>
                <w:rFonts w:cs="Arial"/>
                <w:i/>
                <w:sz w:val="16"/>
                <w:szCs w:val="16"/>
              </w:rPr>
            </w:pPr>
          </w:p>
        </w:tc>
        <w:tc>
          <w:tcPr>
            <w:tcW w:w="760" w:type="pct"/>
            <w:shd w:val="clear" w:color="auto" w:fill="auto"/>
            <w:tcMar>
              <w:top w:w="110" w:type="dxa"/>
            </w:tcMar>
          </w:tcPr>
          <w:p w:rsidR="0017534C" w:rsidRPr="008D63A6" w:rsidRDefault="0017534C" w:rsidP="00D35BF7">
            <w:pPr>
              <w:keepNext/>
              <w:keepLines/>
              <w:rPr>
                <w:rFonts w:cs="Arial"/>
                <w:i/>
                <w:sz w:val="16"/>
                <w:szCs w:val="16"/>
              </w:rPr>
            </w:pPr>
            <w:r w:rsidRPr="00981E14">
              <w:rPr>
                <w:rFonts w:ascii="ArialMT" w:hAnsi="ArialMT" w:cs="ArialMT"/>
                <w:sz w:val="16"/>
                <w:szCs w:val="16"/>
              </w:rPr>
              <w:t>10% increase in number of downloads and users over 2012/13</w:t>
            </w:r>
          </w:p>
        </w:tc>
        <w:tc>
          <w:tcPr>
            <w:tcW w:w="1360" w:type="pct"/>
            <w:shd w:val="clear" w:color="auto" w:fill="FFFFFF"/>
            <w:tcMar>
              <w:top w:w="110" w:type="dxa"/>
            </w:tcMar>
          </w:tcPr>
          <w:p w:rsidR="0017534C" w:rsidRDefault="0017534C" w:rsidP="00D35BF7">
            <w:pPr>
              <w:keepNext/>
              <w:keepLines/>
              <w:rPr>
                <w:rFonts w:cs="Arial"/>
                <w:sz w:val="16"/>
                <w:szCs w:val="16"/>
                <w:lang w:bidi="th-TH"/>
              </w:rPr>
            </w:pPr>
            <w:r>
              <w:rPr>
                <w:rFonts w:cs="Arial"/>
                <w:sz w:val="16"/>
                <w:szCs w:val="16"/>
                <w:lang w:bidi="th-TH"/>
              </w:rPr>
              <w:t xml:space="preserve">New web-based statistical tools and methodologies are being developed and tested.  Data to be available end 2015. </w:t>
            </w:r>
          </w:p>
          <w:p w:rsidR="0017534C" w:rsidRPr="00FC3952" w:rsidRDefault="0017534C" w:rsidP="00D35BF7">
            <w:pPr>
              <w:pStyle w:val="ListParagraph"/>
              <w:keepNext/>
              <w:keepLines/>
              <w:ind w:left="360"/>
              <w:rPr>
                <w:rFonts w:cs="Arial"/>
                <w:sz w:val="16"/>
                <w:szCs w:val="16"/>
              </w:rPr>
            </w:pPr>
          </w:p>
        </w:tc>
        <w:tc>
          <w:tcPr>
            <w:tcW w:w="531" w:type="pct"/>
            <w:gridSpan w:val="2"/>
            <w:shd w:val="clear" w:color="auto" w:fill="auto"/>
            <w:tcMar>
              <w:top w:w="110" w:type="dxa"/>
            </w:tcMar>
          </w:tcPr>
          <w:p w:rsidR="0017534C" w:rsidRPr="00FF3639" w:rsidRDefault="0017534C">
            <w:pPr>
              <w:keepNext/>
              <w:keepLines/>
              <w:jc w:val="center"/>
              <w:rPr>
                <w:rFonts w:cs="Arial"/>
                <w:b/>
                <w:bCs/>
                <w:color w:val="808080"/>
                <w:sz w:val="12"/>
                <w:szCs w:val="12"/>
              </w:rPr>
            </w:pPr>
            <w:r w:rsidRPr="00FF3639">
              <w:rPr>
                <w:b/>
                <w:bCs/>
                <w:color w:val="808080"/>
                <w:sz w:val="12"/>
                <w:szCs w:val="12"/>
              </w:rPr>
              <w:t>Not Assessable</w:t>
            </w:r>
          </w:p>
        </w:tc>
      </w:tr>
      <w:tr w:rsidR="0004489D" w:rsidTr="00F54CA4">
        <w:trPr>
          <w:cantSplit/>
        </w:trPr>
        <w:tc>
          <w:tcPr>
            <w:tcW w:w="1137" w:type="pct"/>
            <w:tcBorders>
              <w:bottom w:val="single" w:sz="4" w:space="0" w:color="auto"/>
            </w:tcBorders>
            <w:shd w:val="clear" w:color="auto" w:fill="auto"/>
          </w:tcPr>
          <w:p w:rsidR="00981E14" w:rsidRPr="00746757" w:rsidRDefault="00981E14" w:rsidP="00D35BF7">
            <w:pPr>
              <w:rPr>
                <w:rFonts w:cs="Arial"/>
                <w:sz w:val="16"/>
                <w:szCs w:val="16"/>
              </w:rPr>
            </w:pPr>
            <w:r w:rsidRPr="00981E14">
              <w:rPr>
                <w:rFonts w:cs="Arial"/>
                <w:sz w:val="16"/>
                <w:szCs w:val="16"/>
              </w:rPr>
              <w:t>No. of visitors using IP Statistics Data Center</w:t>
            </w:r>
          </w:p>
        </w:tc>
        <w:tc>
          <w:tcPr>
            <w:tcW w:w="1212" w:type="pct"/>
            <w:tcBorders>
              <w:bottom w:val="single" w:sz="4" w:space="0" w:color="auto"/>
            </w:tcBorders>
            <w:shd w:val="clear" w:color="auto" w:fill="auto"/>
          </w:tcPr>
          <w:p w:rsidR="00323D6E" w:rsidRPr="005675B4" w:rsidRDefault="00323D6E" w:rsidP="00323D6E">
            <w:pPr>
              <w:rPr>
                <w:rFonts w:cs="Arial"/>
                <w:i/>
                <w:color w:val="002060"/>
                <w:sz w:val="16"/>
                <w:szCs w:val="16"/>
              </w:rPr>
            </w:pPr>
            <w:r>
              <w:rPr>
                <w:rFonts w:cs="Arial"/>
                <w:i/>
                <w:color w:val="002060"/>
                <w:sz w:val="16"/>
                <w:szCs w:val="16"/>
              </w:rPr>
              <w:t>Updated Baseline end 2013</w:t>
            </w:r>
            <w:r w:rsidRPr="005675B4">
              <w:rPr>
                <w:rFonts w:cs="Arial"/>
                <w:i/>
                <w:color w:val="002060"/>
                <w:sz w:val="16"/>
                <w:szCs w:val="16"/>
              </w:rPr>
              <w:t xml:space="preserve">: </w:t>
            </w:r>
          </w:p>
          <w:p w:rsidR="00323D6E" w:rsidRPr="00323D6E" w:rsidRDefault="00323D6E" w:rsidP="00323D6E">
            <w:pPr>
              <w:rPr>
                <w:rFonts w:cs="Arial"/>
                <w:color w:val="002060"/>
                <w:sz w:val="16"/>
                <w:szCs w:val="16"/>
              </w:rPr>
            </w:pPr>
            <w:r w:rsidRPr="00323D6E">
              <w:rPr>
                <w:rFonts w:cs="Arial"/>
                <w:color w:val="002060"/>
                <w:sz w:val="16"/>
                <w:szCs w:val="16"/>
              </w:rPr>
              <w:t>In 2013, the WIPO Statistics Data Center was used by 23,496 unique visitors</w:t>
            </w:r>
            <w:r w:rsidR="00D73383">
              <w:rPr>
                <w:rFonts w:cs="Arial"/>
                <w:color w:val="002060"/>
                <w:sz w:val="16"/>
                <w:szCs w:val="16"/>
              </w:rPr>
              <w:t xml:space="preserve"> (1,958 per month)</w:t>
            </w:r>
            <w:r w:rsidRPr="00323D6E">
              <w:rPr>
                <w:rFonts w:cs="Arial"/>
                <w:color w:val="002060"/>
                <w:sz w:val="16"/>
                <w:szCs w:val="16"/>
              </w:rPr>
              <w:t xml:space="preserve"> who viewed 162,463 pages </w:t>
            </w:r>
          </w:p>
          <w:p w:rsidR="00981E14" w:rsidRPr="00746757" w:rsidRDefault="00323D6E">
            <w:pPr>
              <w:spacing w:before="120"/>
              <w:rPr>
                <w:rFonts w:cs="Arial"/>
                <w:sz w:val="16"/>
                <w:szCs w:val="16"/>
              </w:rPr>
            </w:pPr>
            <w:r>
              <w:rPr>
                <w:rFonts w:cs="Arial"/>
                <w:i/>
                <w:sz w:val="16"/>
                <w:szCs w:val="16"/>
              </w:rPr>
              <w:t>Original Baseline P&amp;B 2014/15</w:t>
            </w:r>
            <w:r w:rsidRPr="0027745B">
              <w:rPr>
                <w:rFonts w:cs="Arial"/>
                <w:i/>
                <w:sz w:val="16"/>
                <w:szCs w:val="16"/>
              </w:rPr>
              <w:t>:</w:t>
            </w:r>
            <w:r>
              <w:rPr>
                <w:rFonts w:cs="Arial"/>
                <w:i/>
                <w:sz w:val="16"/>
                <w:szCs w:val="16"/>
              </w:rPr>
              <w:t xml:space="preserve"> </w:t>
            </w:r>
            <w:proofErr w:type="spellStart"/>
            <w:r w:rsidRPr="00FC3952">
              <w:rPr>
                <w:rFonts w:cs="Arial"/>
                <w:sz w:val="16"/>
                <w:szCs w:val="16"/>
              </w:rPr>
              <w:t>tbd</w:t>
            </w:r>
            <w:proofErr w:type="spellEnd"/>
            <w:r>
              <w:rPr>
                <w:rFonts w:cs="Arial"/>
                <w:i/>
                <w:sz w:val="16"/>
                <w:szCs w:val="16"/>
              </w:rPr>
              <w:t xml:space="preserve"> </w:t>
            </w:r>
            <w:r w:rsidR="008218F3" w:rsidRPr="00845557">
              <w:rPr>
                <w:rFonts w:cs="Arial"/>
                <w:sz w:val="16"/>
                <w:szCs w:val="16"/>
              </w:rPr>
              <w:t>end 2013</w:t>
            </w:r>
            <w:r w:rsidR="0004489D">
              <w:rPr>
                <w:rFonts w:cs="Arial"/>
                <w:sz w:val="16"/>
                <w:szCs w:val="16"/>
              </w:rPr>
              <w:br/>
            </w:r>
          </w:p>
        </w:tc>
        <w:tc>
          <w:tcPr>
            <w:tcW w:w="760" w:type="pct"/>
            <w:tcBorders>
              <w:bottom w:val="single" w:sz="4" w:space="0" w:color="auto"/>
            </w:tcBorders>
            <w:shd w:val="clear" w:color="auto" w:fill="auto"/>
            <w:tcMar>
              <w:top w:w="110" w:type="dxa"/>
            </w:tcMar>
          </w:tcPr>
          <w:p w:rsidR="00981E14" w:rsidRDefault="00981E14" w:rsidP="00E023E5">
            <w:pPr>
              <w:rPr>
                <w:rFonts w:ascii="ArialMT" w:hAnsi="ArialMT" w:cs="ArialMT"/>
                <w:sz w:val="16"/>
                <w:szCs w:val="16"/>
              </w:rPr>
            </w:pPr>
            <w:r w:rsidRPr="00981E14">
              <w:rPr>
                <w:rFonts w:ascii="ArialMT" w:hAnsi="ArialMT" w:cs="ArialMT"/>
                <w:sz w:val="16"/>
                <w:szCs w:val="16"/>
              </w:rPr>
              <w:t>10% increase in number of users, over 2012/13</w:t>
            </w:r>
          </w:p>
          <w:p w:rsidR="00981E14" w:rsidRDefault="00981E14" w:rsidP="00E023E5">
            <w:pPr>
              <w:rPr>
                <w:rFonts w:ascii="ArialMT" w:hAnsi="ArialMT" w:cs="ArialMT"/>
                <w:sz w:val="16"/>
                <w:szCs w:val="16"/>
              </w:rPr>
            </w:pPr>
          </w:p>
          <w:p w:rsidR="00981E14" w:rsidRPr="008D63A6" w:rsidRDefault="00981E14" w:rsidP="00E023E5">
            <w:pPr>
              <w:rPr>
                <w:rFonts w:cs="Arial"/>
                <w:i/>
                <w:sz w:val="16"/>
                <w:szCs w:val="16"/>
              </w:rPr>
            </w:pPr>
          </w:p>
        </w:tc>
        <w:tc>
          <w:tcPr>
            <w:tcW w:w="1360" w:type="pct"/>
            <w:tcBorders>
              <w:bottom w:val="single" w:sz="4" w:space="0" w:color="auto"/>
            </w:tcBorders>
            <w:shd w:val="clear" w:color="auto" w:fill="FFFFFF"/>
            <w:tcMar>
              <w:top w:w="110" w:type="dxa"/>
            </w:tcMar>
          </w:tcPr>
          <w:p w:rsidR="00981E14" w:rsidRPr="008D63A6" w:rsidRDefault="00D73383" w:rsidP="0003661F">
            <w:pPr>
              <w:rPr>
                <w:rFonts w:cs="Arial"/>
                <w:sz w:val="16"/>
                <w:szCs w:val="16"/>
              </w:rPr>
            </w:pPr>
            <w:r>
              <w:rPr>
                <w:rFonts w:eastAsia="Batang" w:cs="Arial"/>
                <w:sz w:val="16"/>
                <w:szCs w:val="16"/>
                <w:lang w:eastAsia="ja-JP"/>
              </w:rPr>
              <w:t>2,</w:t>
            </w:r>
            <w:r w:rsidR="0003661F">
              <w:rPr>
                <w:rFonts w:eastAsia="Batang" w:cs="Arial"/>
                <w:sz w:val="16"/>
                <w:szCs w:val="16"/>
                <w:lang w:eastAsia="ja-JP"/>
              </w:rPr>
              <w:t>999</w:t>
            </w:r>
            <w:r w:rsidR="00981E14" w:rsidRPr="00981E14">
              <w:rPr>
                <w:rFonts w:eastAsia="Batang" w:cs="Arial"/>
                <w:sz w:val="16"/>
                <w:szCs w:val="16"/>
                <w:lang w:eastAsia="ja-JP"/>
              </w:rPr>
              <w:t xml:space="preserve"> sessions per month</w:t>
            </w:r>
            <w:r>
              <w:rPr>
                <w:rFonts w:eastAsia="Batang" w:cs="Arial"/>
                <w:sz w:val="16"/>
                <w:szCs w:val="16"/>
                <w:lang w:eastAsia="ja-JP"/>
              </w:rPr>
              <w:t xml:space="preserve"> on average</w:t>
            </w:r>
            <w:r>
              <w:rPr>
                <w:rStyle w:val="FootnoteReference"/>
                <w:rFonts w:eastAsia="Batang" w:cs="Arial"/>
                <w:sz w:val="16"/>
                <w:szCs w:val="16"/>
                <w:lang w:eastAsia="ja-JP"/>
              </w:rPr>
              <w:footnoteReference w:id="46"/>
            </w:r>
          </w:p>
        </w:tc>
        <w:tc>
          <w:tcPr>
            <w:tcW w:w="531" w:type="pct"/>
            <w:gridSpan w:val="2"/>
            <w:tcBorders>
              <w:bottom w:val="single" w:sz="4" w:space="0" w:color="auto"/>
            </w:tcBorders>
            <w:shd w:val="clear" w:color="auto" w:fill="auto"/>
            <w:tcMar>
              <w:top w:w="110" w:type="dxa"/>
            </w:tcMar>
          </w:tcPr>
          <w:p w:rsidR="00981E14" w:rsidRPr="00981E14" w:rsidRDefault="00981E14" w:rsidP="00F54CA4">
            <w:pPr>
              <w:keepNext/>
              <w:keepLines/>
              <w:jc w:val="center"/>
              <w:rPr>
                <w:rFonts w:cs="Arial"/>
                <w:b/>
                <w:bCs/>
                <w:color w:val="00B050"/>
                <w:sz w:val="16"/>
                <w:szCs w:val="16"/>
              </w:rPr>
            </w:pPr>
            <w:r w:rsidRPr="00981E14">
              <w:rPr>
                <w:b/>
                <w:bCs/>
                <w:color w:val="00B050"/>
                <w:sz w:val="16"/>
                <w:szCs w:val="16"/>
              </w:rPr>
              <w:t>On track</w:t>
            </w:r>
          </w:p>
        </w:tc>
      </w:tr>
      <w:tr w:rsidR="00981E14" w:rsidTr="00D35BF7">
        <w:trPr>
          <w:cantSplit/>
        </w:trPr>
        <w:tc>
          <w:tcPr>
            <w:tcW w:w="5000" w:type="pct"/>
            <w:gridSpan w:val="6"/>
            <w:tcBorders>
              <w:top w:val="single" w:sz="4" w:space="0" w:color="auto"/>
              <w:bottom w:val="single" w:sz="4" w:space="0" w:color="auto"/>
            </w:tcBorders>
            <w:shd w:val="clear" w:color="auto" w:fill="CCFFFF"/>
            <w:vAlign w:val="center"/>
          </w:tcPr>
          <w:p w:rsidR="00981E14" w:rsidRDefault="00981E14" w:rsidP="00E023E5">
            <w:pPr>
              <w:keepNext/>
              <w:keepLines/>
              <w:tabs>
                <w:tab w:val="left" w:pos="1452"/>
              </w:tabs>
              <w:spacing w:before="120" w:after="120"/>
              <w:ind w:left="1452" w:hanging="1452"/>
              <w:rPr>
                <w:rFonts w:cs="Arial"/>
                <w:b/>
                <w:bCs/>
                <w:sz w:val="16"/>
                <w:szCs w:val="16"/>
              </w:rPr>
            </w:pPr>
            <w:r w:rsidRPr="00234BEF">
              <w:rPr>
                <w:rFonts w:cs="Arial"/>
                <w:b/>
                <w:bCs/>
                <w:sz w:val="16"/>
                <w:szCs w:val="16"/>
              </w:rPr>
              <w:t>Expected Result</w:t>
            </w:r>
            <w:r>
              <w:rPr>
                <w:rFonts w:cs="Arial"/>
                <w:b/>
                <w:bCs/>
                <w:sz w:val="16"/>
                <w:szCs w:val="16"/>
              </w:rPr>
              <w:t>:</w:t>
            </w:r>
            <w:r>
              <w:rPr>
                <w:rFonts w:cs="Arial"/>
                <w:b/>
                <w:bCs/>
                <w:sz w:val="16"/>
                <w:szCs w:val="16"/>
              </w:rPr>
              <w:tab/>
            </w:r>
            <w:r w:rsidRPr="00981E14">
              <w:rPr>
                <w:rFonts w:cs="Arial"/>
                <w:sz w:val="16"/>
                <w:szCs w:val="16"/>
              </w:rPr>
              <w:t>V.2 Wider and better use of WIPO economic analysis in policy formulation</w:t>
            </w:r>
          </w:p>
        </w:tc>
      </w:tr>
      <w:tr w:rsidR="0004489D" w:rsidRPr="003C4C1D" w:rsidTr="00FF3639">
        <w:trPr>
          <w:cantSplit/>
        </w:trPr>
        <w:tc>
          <w:tcPr>
            <w:tcW w:w="1137" w:type="pct"/>
            <w:tcBorders>
              <w:top w:val="single" w:sz="4" w:space="0" w:color="auto"/>
            </w:tcBorders>
            <w:shd w:val="clear" w:color="auto" w:fill="auto"/>
            <w:vAlign w:val="center"/>
          </w:tcPr>
          <w:p w:rsidR="00981E14" w:rsidRPr="003C4C1D" w:rsidRDefault="00981E14" w:rsidP="00E023E5">
            <w:pPr>
              <w:rPr>
                <w:rFonts w:cs="Arial"/>
                <w:sz w:val="16"/>
                <w:szCs w:val="16"/>
              </w:rPr>
            </w:pPr>
            <w:r w:rsidRPr="003C4C1D">
              <w:rPr>
                <w:rFonts w:cs="Arial"/>
                <w:b/>
                <w:bCs/>
                <w:sz w:val="16"/>
                <w:szCs w:val="16"/>
              </w:rPr>
              <w:t>Performance Indicators</w:t>
            </w:r>
          </w:p>
        </w:tc>
        <w:tc>
          <w:tcPr>
            <w:tcW w:w="1212" w:type="pct"/>
            <w:tcBorders>
              <w:top w:val="single" w:sz="4" w:space="0" w:color="auto"/>
            </w:tcBorders>
            <w:shd w:val="clear" w:color="auto" w:fill="auto"/>
            <w:vAlign w:val="center"/>
          </w:tcPr>
          <w:p w:rsidR="00981E14" w:rsidRPr="003C4C1D" w:rsidRDefault="00981E14" w:rsidP="00E023E5">
            <w:pPr>
              <w:rPr>
                <w:rFonts w:cs="Arial"/>
                <w:b/>
                <w:bCs/>
                <w:sz w:val="16"/>
                <w:szCs w:val="16"/>
              </w:rPr>
            </w:pPr>
            <w:r w:rsidRPr="003C4C1D">
              <w:rPr>
                <w:rFonts w:cs="Arial"/>
                <w:b/>
                <w:bCs/>
                <w:sz w:val="16"/>
                <w:szCs w:val="16"/>
              </w:rPr>
              <w:t>Baselines</w:t>
            </w:r>
          </w:p>
        </w:tc>
        <w:tc>
          <w:tcPr>
            <w:tcW w:w="760" w:type="pct"/>
            <w:tcBorders>
              <w:top w:val="single" w:sz="4" w:space="0" w:color="auto"/>
            </w:tcBorders>
            <w:shd w:val="clear" w:color="auto" w:fill="auto"/>
            <w:tcMar>
              <w:top w:w="110" w:type="dxa"/>
            </w:tcMar>
            <w:vAlign w:val="center"/>
          </w:tcPr>
          <w:p w:rsidR="00981E14" w:rsidRPr="0027745B" w:rsidRDefault="00981E14" w:rsidP="00E023E5">
            <w:pPr>
              <w:rPr>
                <w:rFonts w:cs="Arial"/>
                <w:b/>
                <w:sz w:val="16"/>
                <w:szCs w:val="16"/>
              </w:rPr>
            </w:pPr>
            <w:r w:rsidRPr="003C4C1D">
              <w:rPr>
                <w:rFonts w:cs="Arial"/>
                <w:b/>
                <w:sz w:val="16"/>
                <w:szCs w:val="16"/>
              </w:rPr>
              <w:t>Targets</w:t>
            </w:r>
          </w:p>
        </w:tc>
        <w:tc>
          <w:tcPr>
            <w:tcW w:w="1400" w:type="pct"/>
            <w:gridSpan w:val="2"/>
            <w:tcBorders>
              <w:top w:val="single" w:sz="4" w:space="0" w:color="auto"/>
            </w:tcBorders>
            <w:shd w:val="clear" w:color="auto" w:fill="FFFFFF"/>
            <w:tcMar>
              <w:top w:w="110" w:type="dxa"/>
            </w:tcMar>
            <w:vAlign w:val="center"/>
          </w:tcPr>
          <w:p w:rsidR="00981E14" w:rsidRPr="003C4C1D" w:rsidRDefault="00981E14" w:rsidP="00E023E5">
            <w:pPr>
              <w:rPr>
                <w:rFonts w:cs="Arial"/>
                <w:sz w:val="16"/>
                <w:szCs w:val="16"/>
              </w:rPr>
            </w:pPr>
            <w:r w:rsidRPr="003C4C1D">
              <w:rPr>
                <w:rFonts w:cs="Arial"/>
                <w:b/>
                <w:bCs/>
                <w:sz w:val="16"/>
                <w:szCs w:val="16"/>
              </w:rPr>
              <w:t>Performance Data</w:t>
            </w:r>
          </w:p>
        </w:tc>
        <w:tc>
          <w:tcPr>
            <w:tcW w:w="491" w:type="pct"/>
            <w:tcBorders>
              <w:top w:val="single" w:sz="4" w:space="0" w:color="auto"/>
            </w:tcBorders>
            <w:shd w:val="clear" w:color="auto" w:fill="auto"/>
            <w:tcMar>
              <w:top w:w="110" w:type="dxa"/>
            </w:tcMar>
            <w:vAlign w:val="center"/>
          </w:tcPr>
          <w:p w:rsidR="00981E14" w:rsidRPr="0027745B" w:rsidRDefault="00981E14" w:rsidP="00E023E5">
            <w:pPr>
              <w:keepNext/>
              <w:keepLines/>
              <w:jc w:val="center"/>
              <w:rPr>
                <w:rFonts w:cs="Arial"/>
                <w:b/>
                <w:bCs/>
                <w:sz w:val="16"/>
                <w:szCs w:val="16"/>
              </w:rPr>
            </w:pPr>
            <w:r w:rsidRPr="003C4C1D">
              <w:rPr>
                <w:rFonts w:cs="Arial"/>
                <w:b/>
                <w:bCs/>
                <w:sz w:val="16"/>
                <w:szCs w:val="16"/>
              </w:rPr>
              <w:t>TLS</w:t>
            </w:r>
          </w:p>
        </w:tc>
      </w:tr>
      <w:tr w:rsidR="0004489D" w:rsidTr="00FF3639">
        <w:trPr>
          <w:cantSplit/>
        </w:trPr>
        <w:tc>
          <w:tcPr>
            <w:tcW w:w="1137" w:type="pct"/>
            <w:shd w:val="clear" w:color="auto" w:fill="auto"/>
          </w:tcPr>
          <w:p w:rsidR="00981E14" w:rsidRPr="00746757" w:rsidRDefault="00981E14" w:rsidP="00E023E5">
            <w:pPr>
              <w:rPr>
                <w:rFonts w:cs="Arial"/>
                <w:sz w:val="16"/>
                <w:szCs w:val="16"/>
              </w:rPr>
            </w:pPr>
            <w:r w:rsidRPr="00981E14">
              <w:rPr>
                <w:rFonts w:cs="Arial"/>
                <w:sz w:val="16"/>
                <w:szCs w:val="16"/>
              </w:rPr>
              <w:t>No. of downloads of main economic publications</w:t>
            </w:r>
          </w:p>
        </w:tc>
        <w:tc>
          <w:tcPr>
            <w:tcW w:w="1212" w:type="pct"/>
            <w:shd w:val="clear" w:color="auto" w:fill="auto"/>
          </w:tcPr>
          <w:p w:rsidR="00981E14" w:rsidRPr="00746757" w:rsidRDefault="008218F3" w:rsidP="00E023E5">
            <w:pPr>
              <w:rPr>
                <w:rFonts w:cs="Arial"/>
                <w:sz w:val="16"/>
                <w:szCs w:val="16"/>
              </w:rPr>
            </w:pPr>
            <w:proofErr w:type="spellStart"/>
            <w:r>
              <w:rPr>
                <w:rFonts w:cs="Arial"/>
                <w:sz w:val="16"/>
                <w:szCs w:val="16"/>
              </w:rPr>
              <w:t>T</w:t>
            </w:r>
            <w:r w:rsidR="00981E14">
              <w:rPr>
                <w:rFonts w:cs="Arial"/>
                <w:sz w:val="16"/>
                <w:szCs w:val="16"/>
              </w:rPr>
              <w:t>bd</w:t>
            </w:r>
            <w:proofErr w:type="spellEnd"/>
            <w:r>
              <w:rPr>
                <w:rFonts w:cs="Arial"/>
                <w:sz w:val="16"/>
                <w:szCs w:val="16"/>
              </w:rPr>
              <w:t xml:space="preserve"> end 2013</w:t>
            </w:r>
          </w:p>
        </w:tc>
        <w:tc>
          <w:tcPr>
            <w:tcW w:w="760" w:type="pct"/>
            <w:shd w:val="clear" w:color="auto" w:fill="auto"/>
            <w:tcMar>
              <w:top w:w="110" w:type="dxa"/>
            </w:tcMar>
          </w:tcPr>
          <w:p w:rsidR="00981E14" w:rsidRPr="0027745B" w:rsidRDefault="00981E14" w:rsidP="00E023E5">
            <w:pPr>
              <w:autoSpaceDE w:val="0"/>
              <w:autoSpaceDN w:val="0"/>
              <w:adjustRightInd w:val="0"/>
              <w:rPr>
                <w:rFonts w:ascii="ArialMT" w:hAnsi="ArialMT" w:cs="ArialMT"/>
                <w:sz w:val="16"/>
                <w:szCs w:val="16"/>
              </w:rPr>
            </w:pPr>
            <w:r w:rsidRPr="00981E14">
              <w:rPr>
                <w:rFonts w:ascii="ArialMT" w:hAnsi="ArialMT" w:cs="ArialMT"/>
                <w:sz w:val="16"/>
                <w:szCs w:val="16"/>
              </w:rPr>
              <w:t>20% increase over 2012/13</w:t>
            </w:r>
          </w:p>
        </w:tc>
        <w:tc>
          <w:tcPr>
            <w:tcW w:w="1400" w:type="pct"/>
            <w:gridSpan w:val="2"/>
            <w:shd w:val="clear" w:color="auto" w:fill="FFFFFF"/>
            <w:tcMar>
              <w:top w:w="110" w:type="dxa"/>
            </w:tcMar>
          </w:tcPr>
          <w:p w:rsidR="00981E14" w:rsidRDefault="0017534C" w:rsidP="00E023E5">
            <w:pPr>
              <w:rPr>
                <w:rFonts w:cs="Arial"/>
                <w:sz w:val="16"/>
                <w:szCs w:val="16"/>
                <w:lang w:bidi="th-TH"/>
              </w:rPr>
            </w:pPr>
            <w:r>
              <w:rPr>
                <w:rFonts w:cs="Arial"/>
                <w:sz w:val="16"/>
                <w:szCs w:val="16"/>
                <w:lang w:bidi="th-TH"/>
              </w:rPr>
              <w:t xml:space="preserve">New web-based statistical tools and methodologies are being developed and tested.  Data to be available end 2015. </w:t>
            </w:r>
          </w:p>
          <w:p w:rsidR="00981E14" w:rsidRPr="005E6AFC" w:rsidRDefault="00981E14" w:rsidP="00E023E5">
            <w:pPr>
              <w:rPr>
                <w:rFonts w:cs="Arial"/>
                <w:sz w:val="16"/>
                <w:szCs w:val="16"/>
                <w:lang w:bidi="th-TH"/>
              </w:rPr>
            </w:pPr>
          </w:p>
        </w:tc>
        <w:tc>
          <w:tcPr>
            <w:tcW w:w="491" w:type="pct"/>
            <w:shd w:val="clear" w:color="auto" w:fill="auto"/>
            <w:tcMar>
              <w:top w:w="110" w:type="dxa"/>
            </w:tcMar>
          </w:tcPr>
          <w:p w:rsidR="00981E14" w:rsidRPr="00FF3639" w:rsidRDefault="00D73383" w:rsidP="00E023E5">
            <w:pPr>
              <w:keepNext/>
              <w:keepLines/>
              <w:jc w:val="center"/>
              <w:rPr>
                <w:rFonts w:cs="Arial"/>
                <w:bCs/>
                <w:color w:val="595959" w:themeColor="text1" w:themeTint="A6"/>
                <w:sz w:val="12"/>
                <w:szCs w:val="12"/>
              </w:rPr>
            </w:pPr>
            <w:r w:rsidRPr="00FF3639">
              <w:rPr>
                <w:b/>
                <w:bCs/>
                <w:color w:val="808080"/>
                <w:sz w:val="12"/>
                <w:szCs w:val="12"/>
              </w:rPr>
              <w:t>Not Assessable</w:t>
            </w:r>
          </w:p>
        </w:tc>
      </w:tr>
      <w:tr w:rsidR="0004489D" w:rsidTr="00FF3639">
        <w:trPr>
          <w:cantSplit/>
        </w:trPr>
        <w:tc>
          <w:tcPr>
            <w:tcW w:w="1137" w:type="pct"/>
            <w:shd w:val="clear" w:color="auto" w:fill="auto"/>
          </w:tcPr>
          <w:p w:rsidR="00981E14" w:rsidRPr="00746757" w:rsidRDefault="00981E14" w:rsidP="00E023E5">
            <w:pPr>
              <w:rPr>
                <w:rFonts w:cs="Arial"/>
                <w:sz w:val="16"/>
                <w:szCs w:val="16"/>
              </w:rPr>
            </w:pPr>
            <w:r w:rsidRPr="00981E14">
              <w:rPr>
                <w:rFonts w:cs="Arial"/>
                <w:sz w:val="16"/>
                <w:szCs w:val="16"/>
              </w:rPr>
              <w:t>No. of downloads of studies</w:t>
            </w:r>
          </w:p>
        </w:tc>
        <w:tc>
          <w:tcPr>
            <w:tcW w:w="1212" w:type="pct"/>
            <w:shd w:val="clear" w:color="auto" w:fill="auto"/>
          </w:tcPr>
          <w:p w:rsidR="00981E14" w:rsidRPr="005675B4" w:rsidRDefault="00323D6E" w:rsidP="00E023E5">
            <w:pPr>
              <w:rPr>
                <w:rFonts w:cs="Arial"/>
                <w:i/>
                <w:color w:val="002060"/>
                <w:sz w:val="16"/>
                <w:szCs w:val="16"/>
              </w:rPr>
            </w:pPr>
            <w:r>
              <w:rPr>
                <w:rFonts w:cs="Arial"/>
                <w:i/>
                <w:color w:val="002060"/>
                <w:sz w:val="16"/>
                <w:szCs w:val="16"/>
              </w:rPr>
              <w:t>Updated Baseline end 2013</w:t>
            </w:r>
            <w:r w:rsidR="00981E14" w:rsidRPr="005675B4">
              <w:rPr>
                <w:rFonts w:cs="Arial"/>
                <w:i/>
                <w:color w:val="002060"/>
                <w:sz w:val="16"/>
                <w:szCs w:val="16"/>
              </w:rPr>
              <w:t xml:space="preserve">: </w:t>
            </w:r>
          </w:p>
          <w:p w:rsidR="00981E14" w:rsidRDefault="00323D6E" w:rsidP="00E023E5">
            <w:pPr>
              <w:rPr>
                <w:rFonts w:cs="Arial"/>
                <w:color w:val="002060"/>
                <w:sz w:val="16"/>
                <w:szCs w:val="16"/>
                <w:lang w:bidi="th-TH"/>
              </w:rPr>
            </w:pPr>
            <w:r w:rsidRPr="00323D6E">
              <w:rPr>
                <w:rFonts w:cs="Arial"/>
                <w:color w:val="002060"/>
                <w:sz w:val="16"/>
                <w:szCs w:val="16"/>
                <w:lang w:bidi="th-TH"/>
              </w:rPr>
              <w:t xml:space="preserve">7 working papers published in 2013 </w:t>
            </w:r>
          </w:p>
          <w:p w:rsidR="00323D6E" w:rsidRPr="000B3714" w:rsidRDefault="00323D6E" w:rsidP="00E023E5">
            <w:pPr>
              <w:rPr>
                <w:rFonts w:cs="Arial"/>
                <w:i/>
                <w:sz w:val="8"/>
                <w:szCs w:val="8"/>
              </w:rPr>
            </w:pPr>
          </w:p>
          <w:p w:rsidR="00981E14" w:rsidRPr="00746757" w:rsidRDefault="00323D6E" w:rsidP="00E023E5">
            <w:pPr>
              <w:autoSpaceDE w:val="0"/>
              <w:autoSpaceDN w:val="0"/>
              <w:adjustRightInd w:val="0"/>
              <w:rPr>
                <w:rFonts w:cs="Arial"/>
                <w:sz w:val="16"/>
                <w:szCs w:val="16"/>
              </w:rPr>
            </w:pPr>
            <w:r>
              <w:rPr>
                <w:rFonts w:cs="Arial"/>
                <w:i/>
                <w:sz w:val="16"/>
                <w:szCs w:val="16"/>
              </w:rPr>
              <w:t>Original Baseline P&amp;B 2014/15</w:t>
            </w:r>
            <w:r w:rsidR="00981E14" w:rsidRPr="0027745B">
              <w:rPr>
                <w:rFonts w:cs="Arial"/>
                <w:i/>
                <w:sz w:val="16"/>
                <w:szCs w:val="16"/>
              </w:rPr>
              <w:t>:</w:t>
            </w:r>
            <w:r w:rsidR="00981E14">
              <w:rPr>
                <w:rFonts w:cs="Arial"/>
                <w:i/>
                <w:sz w:val="16"/>
                <w:szCs w:val="16"/>
              </w:rPr>
              <w:t xml:space="preserve"> </w:t>
            </w:r>
            <w:proofErr w:type="spellStart"/>
            <w:r w:rsidRPr="00323D6E">
              <w:rPr>
                <w:rFonts w:cs="Arial"/>
                <w:sz w:val="16"/>
                <w:szCs w:val="16"/>
              </w:rPr>
              <w:t>tbd</w:t>
            </w:r>
            <w:proofErr w:type="spellEnd"/>
            <w:r w:rsidRPr="00323D6E">
              <w:rPr>
                <w:rFonts w:cs="Arial"/>
                <w:sz w:val="16"/>
                <w:szCs w:val="16"/>
              </w:rPr>
              <w:t xml:space="preserve"> end of 2013</w:t>
            </w:r>
            <w:r w:rsidR="00981E14" w:rsidRPr="00323D6E">
              <w:rPr>
                <w:rFonts w:cs="Arial"/>
                <w:sz w:val="16"/>
                <w:szCs w:val="16"/>
              </w:rPr>
              <w:br/>
            </w:r>
          </w:p>
        </w:tc>
        <w:tc>
          <w:tcPr>
            <w:tcW w:w="760" w:type="pct"/>
            <w:shd w:val="clear" w:color="auto" w:fill="auto"/>
            <w:tcMar>
              <w:top w:w="110" w:type="dxa"/>
            </w:tcMar>
          </w:tcPr>
          <w:p w:rsidR="00981E14" w:rsidRDefault="008218F3" w:rsidP="00E023E5">
            <w:pPr>
              <w:autoSpaceDE w:val="0"/>
              <w:autoSpaceDN w:val="0"/>
              <w:adjustRightInd w:val="0"/>
              <w:rPr>
                <w:rFonts w:ascii="ArialMT" w:hAnsi="ArialMT" w:cs="ArialMT"/>
                <w:sz w:val="16"/>
                <w:szCs w:val="16"/>
              </w:rPr>
            </w:pPr>
            <w:r>
              <w:rPr>
                <w:rFonts w:ascii="ArialMT" w:hAnsi="ArialMT" w:cs="ArialMT"/>
                <w:sz w:val="16"/>
                <w:szCs w:val="16"/>
              </w:rPr>
              <w:t>Eight</w:t>
            </w:r>
            <w:r w:rsidRPr="00323D6E">
              <w:rPr>
                <w:rFonts w:ascii="ArialMT" w:hAnsi="ArialMT" w:cs="ArialMT"/>
                <w:sz w:val="16"/>
                <w:szCs w:val="16"/>
              </w:rPr>
              <w:t xml:space="preserve"> </w:t>
            </w:r>
            <w:r w:rsidR="00323D6E" w:rsidRPr="00323D6E">
              <w:rPr>
                <w:rFonts w:ascii="ArialMT" w:hAnsi="ArialMT" w:cs="ArialMT"/>
                <w:sz w:val="16"/>
                <w:szCs w:val="16"/>
              </w:rPr>
              <w:t>new working papers</w:t>
            </w:r>
          </w:p>
          <w:p w:rsidR="00323D6E" w:rsidRDefault="00323D6E" w:rsidP="00E023E5">
            <w:pPr>
              <w:autoSpaceDE w:val="0"/>
              <w:autoSpaceDN w:val="0"/>
              <w:adjustRightInd w:val="0"/>
              <w:rPr>
                <w:rFonts w:ascii="ArialMT" w:hAnsi="ArialMT" w:cs="ArialMT"/>
                <w:sz w:val="16"/>
                <w:szCs w:val="16"/>
              </w:rPr>
            </w:pPr>
          </w:p>
          <w:p w:rsidR="00323D6E" w:rsidRPr="0027745B" w:rsidRDefault="00323D6E" w:rsidP="00323D6E">
            <w:pPr>
              <w:autoSpaceDE w:val="0"/>
              <w:autoSpaceDN w:val="0"/>
              <w:adjustRightInd w:val="0"/>
              <w:rPr>
                <w:rFonts w:ascii="ArialMT" w:hAnsi="ArialMT" w:cs="ArialMT"/>
                <w:sz w:val="16"/>
                <w:szCs w:val="16"/>
              </w:rPr>
            </w:pPr>
          </w:p>
        </w:tc>
        <w:tc>
          <w:tcPr>
            <w:tcW w:w="1400" w:type="pct"/>
            <w:gridSpan w:val="2"/>
            <w:shd w:val="clear" w:color="auto" w:fill="FFFFFF"/>
            <w:tcMar>
              <w:top w:w="110" w:type="dxa"/>
            </w:tcMar>
          </w:tcPr>
          <w:p w:rsidR="00617E0D" w:rsidRPr="005E6AFC" w:rsidRDefault="00323D6E">
            <w:r w:rsidRPr="00323D6E">
              <w:rPr>
                <w:rFonts w:ascii="ArialMT" w:hAnsi="ArialMT" w:cs="ArialMT"/>
                <w:sz w:val="16"/>
                <w:szCs w:val="16"/>
              </w:rPr>
              <w:t>11 working papers published in</w:t>
            </w:r>
            <w:r w:rsidR="0004489D">
              <w:rPr>
                <w:rFonts w:ascii="ArialMT" w:hAnsi="ArialMT" w:cs="ArialMT"/>
                <w:sz w:val="16"/>
                <w:szCs w:val="16"/>
              </w:rPr>
              <w:t> </w:t>
            </w:r>
            <w:r w:rsidRPr="00323D6E">
              <w:rPr>
                <w:rFonts w:ascii="ArialMT" w:hAnsi="ArialMT" w:cs="ArialMT"/>
                <w:sz w:val="16"/>
                <w:szCs w:val="16"/>
              </w:rPr>
              <w:t>2014</w:t>
            </w:r>
          </w:p>
        </w:tc>
        <w:tc>
          <w:tcPr>
            <w:tcW w:w="491" w:type="pct"/>
            <w:shd w:val="clear" w:color="auto" w:fill="auto"/>
            <w:tcMar>
              <w:top w:w="110" w:type="dxa"/>
            </w:tcMar>
          </w:tcPr>
          <w:p w:rsidR="00981E14" w:rsidRPr="008D63A6" w:rsidRDefault="00323D6E" w:rsidP="00F54CA4">
            <w:pPr>
              <w:keepNext/>
              <w:keepLines/>
              <w:jc w:val="center"/>
              <w:rPr>
                <w:rFonts w:cs="Arial"/>
                <w:bCs/>
                <w:color w:val="595959" w:themeColor="text1" w:themeTint="A6"/>
                <w:sz w:val="16"/>
                <w:szCs w:val="16"/>
              </w:rPr>
            </w:pPr>
            <w:r w:rsidRPr="00981E14">
              <w:rPr>
                <w:b/>
                <w:bCs/>
                <w:color w:val="00B050"/>
                <w:sz w:val="16"/>
                <w:szCs w:val="16"/>
              </w:rPr>
              <w:t>On track</w:t>
            </w:r>
          </w:p>
        </w:tc>
      </w:tr>
      <w:tr w:rsidR="0004489D" w:rsidTr="00FF3639">
        <w:trPr>
          <w:cantSplit/>
        </w:trPr>
        <w:tc>
          <w:tcPr>
            <w:tcW w:w="1137" w:type="pct"/>
            <w:shd w:val="clear" w:color="auto" w:fill="auto"/>
          </w:tcPr>
          <w:p w:rsidR="00323D6E" w:rsidRPr="00981E14" w:rsidRDefault="00323D6E" w:rsidP="00E023E5">
            <w:pPr>
              <w:rPr>
                <w:rFonts w:cs="Arial"/>
                <w:sz w:val="16"/>
                <w:szCs w:val="16"/>
              </w:rPr>
            </w:pPr>
            <w:r w:rsidRPr="00323D6E">
              <w:rPr>
                <w:rFonts w:cs="Arial"/>
                <w:sz w:val="16"/>
                <w:szCs w:val="16"/>
              </w:rPr>
              <w:t>No. of downloads of seminars</w:t>
            </w:r>
          </w:p>
        </w:tc>
        <w:tc>
          <w:tcPr>
            <w:tcW w:w="1212" w:type="pct"/>
            <w:shd w:val="clear" w:color="auto" w:fill="auto"/>
          </w:tcPr>
          <w:p w:rsidR="00323D6E" w:rsidRPr="005675B4" w:rsidRDefault="00323D6E" w:rsidP="00323D6E">
            <w:pPr>
              <w:rPr>
                <w:rFonts w:cs="Arial"/>
                <w:i/>
                <w:color w:val="002060"/>
                <w:sz w:val="16"/>
                <w:szCs w:val="16"/>
              </w:rPr>
            </w:pPr>
            <w:r>
              <w:rPr>
                <w:rFonts w:cs="Arial"/>
                <w:i/>
                <w:color w:val="002060"/>
                <w:sz w:val="16"/>
                <w:szCs w:val="16"/>
              </w:rPr>
              <w:t>Updated Baseline end 2013</w:t>
            </w:r>
            <w:r w:rsidRPr="005675B4">
              <w:rPr>
                <w:rFonts w:cs="Arial"/>
                <w:i/>
                <w:color w:val="002060"/>
                <w:sz w:val="16"/>
                <w:szCs w:val="16"/>
              </w:rPr>
              <w:t xml:space="preserve">: </w:t>
            </w:r>
          </w:p>
          <w:p w:rsidR="00323D6E" w:rsidRDefault="002919FF" w:rsidP="00323D6E">
            <w:pPr>
              <w:rPr>
                <w:rFonts w:cs="Arial"/>
                <w:color w:val="002060"/>
                <w:sz w:val="16"/>
                <w:szCs w:val="16"/>
                <w:lang w:bidi="th-TH"/>
              </w:rPr>
            </w:pPr>
            <w:r>
              <w:rPr>
                <w:rFonts w:cs="Arial"/>
                <w:color w:val="002060"/>
                <w:sz w:val="16"/>
                <w:szCs w:val="16"/>
                <w:lang w:bidi="th-TH"/>
              </w:rPr>
              <w:t>n/a</w:t>
            </w:r>
          </w:p>
          <w:p w:rsidR="00323D6E" w:rsidRPr="000B3714" w:rsidRDefault="00323D6E" w:rsidP="00323D6E">
            <w:pPr>
              <w:rPr>
                <w:rFonts w:cs="Arial"/>
                <w:i/>
                <w:sz w:val="8"/>
                <w:szCs w:val="8"/>
              </w:rPr>
            </w:pPr>
          </w:p>
          <w:p w:rsidR="00323D6E" w:rsidRDefault="00323D6E" w:rsidP="00323D6E">
            <w:pPr>
              <w:rPr>
                <w:rFonts w:cs="Arial"/>
                <w:i/>
                <w:color w:val="002060"/>
                <w:sz w:val="16"/>
                <w:szCs w:val="16"/>
              </w:rPr>
            </w:pPr>
            <w:r>
              <w:rPr>
                <w:rFonts w:cs="Arial"/>
                <w:i/>
                <w:sz w:val="16"/>
                <w:szCs w:val="16"/>
              </w:rPr>
              <w:t>Original Baseline P&amp;B 2014/15</w:t>
            </w:r>
            <w:r w:rsidRPr="0027745B">
              <w:rPr>
                <w:rFonts w:cs="Arial"/>
                <w:i/>
                <w:sz w:val="16"/>
                <w:szCs w:val="16"/>
              </w:rPr>
              <w:t>:</w:t>
            </w:r>
            <w:r>
              <w:rPr>
                <w:rFonts w:cs="Arial"/>
                <w:i/>
                <w:sz w:val="16"/>
                <w:szCs w:val="16"/>
              </w:rPr>
              <w:t xml:space="preserve"> </w:t>
            </w:r>
            <w:proofErr w:type="spellStart"/>
            <w:r w:rsidRPr="00323D6E">
              <w:rPr>
                <w:rFonts w:cs="Arial"/>
                <w:sz w:val="16"/>
                <w:szCs w:val="16"/>
              </w:rPr>
              <w:t>tbd</w:t>
            </w:r>
            <w:proofErr w:type="spellEnd"/>
            <w:r w:rsidRPr="00323D6E">
              <w:rPr>
                <w:rFonts w:cs="Arial"/>
                <w:sz w:val="16"/>
                <w:szCs w:val="16"/>
              </w:rPr>
              <w:t xml:space="preserve"> end of 2013</w:t>
            </w:r>
          </w:p>
        </w:tc>
        <w:tc>
          <w:tcPr>
            <w:tcW w:w="760" w:type="pct"/>
            <w:shd w:val="clear" w:color="auto" w:fill="auto"/>
            <w:tcMar>
              <w:top w:w="110" w:type="dxa"/>
            </w:tcMar>
          </w:tcPr>
          <w:p w:rsidR="00323D6E" w:rsidRDefault="00323D6E" w:rsidP="00E023E5">
            <w:pPr>
              <w:autoSpaceDE w:val="0"/>
              <w:autoSpaceDN w:val="0"/>
              <w:adjustRightInd w:val="0"/>
              <w:rPr>
                <w:rFonts w:ascii="ArialMT" w:hAnsi="ArialMT" w:cs="ArialMT"/>
                <w:sz w:val="16"/>
                <w:szCs w:val="16"/>
              </w:rPr>
            </w:pPr>
            <w:r w:rsidRPr="00323D6E">
              <w:rPr>
                <w:rFonts w:ascii="ArialMT" w:hAnsi="ArialMT" w:cs="ArialMT"/>
                <w:sz w:val="16"/>
                <w:szCs w:val="16"/>
              </w:rPr>
              <w:t>Maintain performance as in previous biennium</w:t>
            </w:r>
          </w:p>
          <w:p w:rsidR="00323D6E" w:rsidRDefault="00323D6E" w:rsidP="00E023E5">
            <w:pPr>
              <w:autoSpaceDE w:val="0"/>
              <w:autoSpaceDN w:val="0"/>
              <w:adjustRightInd w:val="0"/>
              <w:rPr>
                <w:rFonts w:ascii="ArialMT" w:hAnsi="ArialMT" w:cs="ArialMT"/>
                <w:sz w:val="16"/>
                <w:szCs w:val="16"/>
              </w:rPr>
            </w:pPr>
          </w:p>
          <w:p w:rsidR="00323D6E" w:rsidRDefault="00323D6E" w:rsidP="00E023E5">
            <w:pPr>
              <w:autoSpaceDE w:val="0"/>
              <w:autoSpaceDN w:val="0"/>
              <w:adjustRightInd w:val="0"/>
              <w:rPr>
                <w:rFonts w:ascii="ArialMT" w:hAnsi="ArialMT" w:cs="ArialMT"/>
                <w:sz w:val="16"/>
                <w:szCs w:val="16"/>
              </w:rPr>
            </w:pPr>
          </w:p>
        </w:tc>
        <w:tc>
          <w:tcPr>
            <w:tcW w:w="1400" w:type="pct"/>
            <w:gridSpan w:val="2"/>
            <w:shd w:val="clear" w:color="auto" w:fill="FFFFFF"/>
            <w:tcMar>
              <w:top w:w="110" w:type="dxa"/>
            </w:tcMar>
          </w:tcPr>
          <w:p w:rsidR="00323D6E" w:rsidRPr="00323D6E" w:rsidRDefault="00D35BF7" w:rsidP="002262EB">
            <w:pPr>
              <w:rPr>
                <w:rFonts w:ascii="ArialMT" w:hAnsi="ArialMT" w:cs="ArialMT"/>
                <w:sz w:val="16"/>
                <w:szCs w:val="16"/>
              </w:rPr>
            </w:pPr>
            <w:r>
              <w:rPr>
                <w:rFonts w:ascii="ArialMT" w:hAnsi="ArialMT" w:cs="ArialMT"/>
                <w:sz w:val="16"/>
                <w:szCs w:val="16"/>
              </w:rPr>
              <w:t xml:space="preserve">Data </w:t>
            </w:r>
            <w:r w:rsidR="002262EB">
              <w:rPr>
                <w:rFonts w:ascii="ArialMT" w:hAnsi="ArialMT" w:cs="ArialMT"/>
                <w:sz w:val="16"/>
                <w:szCs w:val="16"/>
              </w:rPr>
              <w:t>are</w:t>
            </w:r>
            <w:r>
              <w:rPr>
                <w:rFonts w:ascii="ArialMT" w:hAnsi="ArialMT" w:cs="ArialMT"/>
                <w:sz w:val="16"/>
                <w:szCs w:val="16"/>
              </w:rPr>
              <w:t xml:space="preserve"> not available.</w:t>
            </w:r>
          </w:p>
        </w:tc>
        <w:tc>
          <w:tcPr>
            <w:tcW w:w="491" w:type="pct"/>
            <w:shd w:val="clear" w:color="auto" w:fill="auto"/>
            <w:tcMar>
              <w:top w:w="110" w:type="dxa"/>
            </w:tcMar>
          </w:tcPr>
          <w:p w:rsidR="00323D6E" w:rsidRPr="00FF3639" w:rsidRDefault="002919FF" w:rsidP="00E023E5">
            <w:pPr>
              <w:keepNext/>
              <w:keepLines/>
              <w:jc w:val="center"/>
              <w:rPr>
                <w:b/>
                <w:bCs/>
                <w:color w:val="00B050"/>
                <w:sz w:val="12"/>
                <w:szCs w:val="12"/>
              </w:rPr>
            </w:pPr>
            <w:r w:rsidRPr="00FF3639">
              <w:rPr>
                <w:b/>
                <w:bCs/>
                <w:sz w:val="12"/>
                <w:szCs w:val="12"/>
              </w:rPr>
              <w:t>Dis</w:t>
            </w:r>
            <w:r w:rsidR="00475443" w:rsidRPr="00FF3639">
              <w:rPr>
                <w:b/>
                <w:bCs/>
                <w:sz w:val="12"/>
                <w:szCs w:val="12"/>
              </w:rPr>
              <w:t>-</w:t>
            </w:r>
            <w:r w:rsidR="00475443" w:rsidRPr="00FF3639">
              <w:rPr>
                <w:b/>
                <w:bCs/>
                <w:sz w:val="12"/>
                <w:szCs w:val="12"/>
              </w:rPr>
              <w:br/>
            </w:r>
            <w:r w:rsidRPr="00FF3639">
              <w:rPr>
                <w:b/>
                <w:bCs/>
                <w:sz w:val="12"/>
                <w:szCs w:val="12"/>
              </w:rPr>
              <w:t>continued</w:t>
            </w:r>
          </w:p>
        </w:tc>
      </w:tr>
    </w:tbl>
    <w:p w:rsidR="009A0548" w:rsidRDefault="009A0548" w:rsidP="00981E14">
      <w:pPr>
        <w:jc w:val="both"/>
        <w:rPr>
          <w:rFonts w:cs="Arial"/>
          <w:bCs/>
          <w:color w:val="000000"/>
          <w:sz w:val="22"/>
          <w:szCs w:val="22"/>
          <w:highlight w:val="yellow"/>
        </w:rPr>
      </w:pPr>
    </w:p>
    <w:p w:rsidR="00C3728B" w:rsidRDefault="00C3728B" w:rsidP="00981E14">
      <w:pPr>
        <w:jc w:val="both"/>
        <w:rPr>
          <w:bCs/>
          <w:sz w:val="22"/>
          <w:szCs w:val="22"/>
        </w:rPr>
      </w:pPr>
    </w:p>
    <w:p w:rsidR="00C3728B" w:rsidRDefault="00C3728B" w:rsidP="00981E14">
      <w:pPr>
        <w:jc w:val="both"/>
        <w:rPr>
          <w:bCs/>
          <w:sz w:val="22"/>
          <w:szCs w:val="22"/>
        </w:rPr>
      </w:pPr>
    </w:p>
    <w:p w:rsidR="00C3728B" w:rsidRDefault="00C3728B" w:rsidP="00981E14">
      <w:pPr>
        <w:jc w:val="both"/>
        <w:rPr>
          <w:bCs/>
          <w:sz w:val="22"/>
          <w:szCs w:val="22"/>
        </w:rPr>
      </w:pPr>
    </w:p>
    <w:p w:rsidR="00C3728B" w:rsidRDefault="00C3728B" w:rsidP="00981E14">
      <w:pPr>
        <w:jc w:val="both"/>
        <w:rPr>
          <w:bCs/>
          <w:sz w:val="22"/>
          <w:szCs w:val="22"/>
        </w:rPr>
      </w:pPr>
    </w:p>
    <w:p w:rsidR="00C3728B" w:rsidRDefault="00C3728B" w:rsidP="00981E14">
      <w:pPr>
        <w:jc w:val="both"/>
        <w:rPr>
          <w:bCs/>
          <w:sz w:val="22"/>
          <w:szCs w:val="22"/>
        </w:rPr>
      </w:pPr>
    </w:p>
    <w:p w:rsidR="00C3728B" w:rsidRDefault="00C3728B" w:rsidP="00981E14">
      <w:pPr>
        <w:jc w:val="both"/>
        <w:rPr>
          <w:bCs/>
          <w:sz w:val="22"/>
          <w:szCs w:val="22"/>
        </w:rPr>
      </w:pPr>
    </w:p>
    <w:p w:rsidR="00295D7D" w:rsidRDefault="00295D7D" w:rsidP="00981E14">
      <w:pPr>
        <w:jc w:val="both"/>
        <w:rPr>
          <w:rFonts w:cs="Arial"/>
          <w:color w:val="000000"/>
          <w:sz w:val="22"/>
          <w:szCs w:val="22"/>
        </w:rPr>
      </w:pPr>
      <w:r>
        <w:rPr>
          <w:rFonts w:cs="Arial"/>
          <w:color w:val="000000"/>
          <w:sz w:val="22"/>
          <w:szCs w:val="22"/>
        </w:rPr>
        <w:br w:type="page"/>
      </w:r>
    </w:p>
    <w:p w:rsidR="00144890" w:rsidRDefault="00383D2D" w:rsidP="00FC3952">
      <w:pPr>
        <w:rPr>
          <w:b/>
          <w:sz w:val="18"/>
          <w:szCs w:val="18"/>
        </w:rPr>
      </w:pPr>
      <w:r>
        <w:rPr>
          <w:rFonts w:cs="Arial"/>
          <w:color w:val="000000"/>
          <w:sz w:val="22"/>
          <w:szCs w:val="22"/>
        </w:rPr>
        <w:lastRenderedPageBreak/>
        <w:t>RESOURCE UTILIZATION</w:t>
      </w:r>
    </w:p>
    <w:p w:rsidR="007E7815" w:rsidRPr="008F4A6D" w:rsidRDefault="007E7815" w:rsidP="00A872A7">
      <w:pPr>
        <w:jc w:val="center"/>
        <w:rPr>
          <w:szCs w:val="20"/>
        </w:rPr>
      </w:pPr>
    </w:p>
    <w:p w:rsidR="004611B9" w:rsidRPr="00383D2D" w:rsidRDefault="004611B9" w:rsidP="00A872A7">
      <w:pPr>
        <w:pStyle w:val="NormalWeb"/>
        <w:spacing w:before="0" w:beforeAutospacing="0" w:after="0" w:afterAutospacing="0"/>
        <w:jc w:val="center"/>
        <w:rPr>
          <w:sz w:val="20"/>
          <w:szCs w:val="20"/>
        </w:rPr>
      </w:pPr>
      <w:r w:rsidRPr="00383D2D">
        <w:rPr>
          <w:color w:val="000000"/>
          <w:sz w:val="20"/>
          <w:szCs w:val="20"/>
        </w:rPr>
        <w:t>Budget and Actual Expenditure (by result)</w:t>
      </w:r>
    </w:p>
    <w:p w:rsidR="004611B9" w:rsidRDefault="004611B9" w:rsidP="00A872A7">
      <w:pPr>
        <w:pStyle w:val="NormalWeb"/>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4611B9" w:rsidRDefault="004611B9" w:rsidP="00981E14">
      <w:pPr>
        <w:jc w:val="both"/>
      </w:pPr>
    </w:p>
    <w:p w:rsidR="001B013D" w:rsidRDefault="008C4427" w:rsidP="00D35BF7">
      <w:pPr>
        <w:jc w:val="center"/>
      </w:pPr>
      <w:r w:rsidRPr="008C4427">
        <w:rPr>
          <w:noProof/>
        </w:rPr>
        <w:drawing>
          <wp:inline distT="0" distB="0" distL="0" distR="0" wp14:anchorId="7478F009" wp14:editId="5E9D8F04">
            <wp:extent cx="5632983" cy="148971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641597" cy="1491993"/>
                    </a:xfrm>
                    <a:prstGeom prst="rect">
                      <a:avLst/>
                    </a:prstGeom>
                    <a:noFill/>
                    <a:ln>
                      <a:noFill/>
                    </a:ln>
                  </pic:spPr>
                </pic:pic>
              </a:graphicData>
            </a:graphic>
          </wp:inline>
        </w:drawing>
      </w:r>
    </w:p>
    <w:p w:rsidR="008F4A6D" w:rsidRDefault="008F4A6D" w:rsidP="00981E14">
      <w:pPr>
        <w:jc w:val="both"/>
      </w:pPr>
    </w:p>
    <w:p w:rsidR="004F501F" w:rsidRDefault="004F501F" w:rsidP="00981E14">
      <w:pPr>
        <w:jc w:val="both"/>
      </w:pPr>
    </w:p>
    <w:p w:rsidR="004611B9" w:rsidRPr="00383D2D" w:rsidRDefault="004611B9" w:rsidP="000A1987">
      <w:pPr>
        <w:pStyle w:val="NormalWeb"/>
        <w:keepNext/>
        <w:keepLines/>
        <w:spacing w:before="0" w:beforeAutospacing="0" w:after="0" w:afterAutospacing="0"/>
        <w:jc w:val="center"/>
        <w:rPr>
          <w:sz w:val="20"/>
          <w:szCs w:val="20"/>
        </w:rPr>
      </w:pPr>
      <w:r w:rsidRPr="00383D2D">
        <w:rPr>
          <w:color w:val="000000"/>
          <w:sz w:val="20"/>
          <w:szCs w:val="20"/>
        </w:rPr>
        <w:t>Budget and Actual Expenditure (personnel and non-personnel)</w:t>
      </w:r>
    </w:p>
    <w:p w:rsidR="004611B9" w:rsidRPr="00383D2D" w:rsidRDefault="004611B9" w:rsidP="000A1987">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1B013D" w:rsidRDefault="001B013D" w:rsidP="00981E14">
      <w:pPr>
        <w:pStyle w:val="NormalWeb"/>
        <w:keepNext/>
        <w:keepLines/>
        <w:spacing w:before="0" w:beforeAutospacing="0" w:after="0" w:afterAutospacing="0"/>
        <w:jc w:val="both"/>
      </w:pPr>
    </w:p>
    <w:p w:rsidR="007E7815" w:rsidRPr="00383D2D" w:rsidRDefault="008C4427" w:rsidP="00D35BF7">
      <w:pPr>
        <w:jc w:val="center"/>
        <w:rPr>
          <w:szCs w:val="20"/>
        </w:rPr>
      </w:pPr>
      <w:r w:rsidRPr="008C4427">
        <w:rPr>
          <w:noProof/>
        </w:rPr>
        <w:drawing>
          <wp:inline distT="0" distB="0" distL="0" distR="0" wp14:anchorId="5D846F22" wp14:editId="3CA84DA8">
            <wp:extent cx="5667884" cy="121737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663309" cy="1216387"/>
                    </a:xfrm>
                    <a:prstGeom prst="rect">
                      <a:avLst/>
                    </a:prstGeom>
                    <a:noFill/>
                    <a:ln>
                      <a:noFill/>
                    </a:ln>
                  </pic:spPr>
                </pic:pic>
              </a:graphicData>
            </a:graphic>
          </wp:inline>
        </w:drawing>
      </w:r>
    </w:p>
    <w:p w:rsidR="007E7815" w:rsidRPr="008F4A6D" w:rsidRDefault="000601E0" w:rsidP="00981E14">
      <w:pPr>
        <w:widowControl w:val="0"/>
        <w:autoSpaceDE w:val="0"/>
        <w:autoSpaceDN w:val="0"/>
        <w:adjustRightInd w:val="0"/>
        <w:jc w:val="both"/>
        <w:rPr>
          <w:rFonts w:cs="Arial"/>
          <w:szCs w:val="20"/>
        </w:rPr>
      </w:pPr>
      <w:r w:rsidRPr="00FC3952">
        <w:rPr>
          <w:i/>
          <w:sz w:val="16"/>
          <w:szCs w:val="16"/>
        </w:rPr>
        <w:t>NOTE: The 2014/15 Budget after Transfers reflects transfers as of March 31, 2015 to address needs during the 2014/15 biennium in line with Financial Regulation 5.5.</w:t>
      </w:r>
    </w:p>
    <w:p w:rsidR="007E7815" w:rsidRDefault="007E7815" w:rsidP="00981E14">
      <w:pPr>
        <w:widowControl w:val="0"/>
        <w:autoSpaceDE w:val="0"/>
        <w:autoSpaceDN w:val="0"/>
        <w:adjustRightInd w:val="0"/>
        <w:jc w:val="both"/>
        <w:rPr>
          <w:rFonts w:cs="Arial"/>
          <w:szCs w:val="20"/>
        </w:rPr>
      </w:pPr>
    </w:p>
    <w:p w:rsidR="00475443" w:rsidRPr="001C6F4D" w:rsidRDefault="00475443" w:rsidP="00981E14">
      <w:pPr>
        <w:widowControl w:val="0"/>
        <w:autoSpaceDE w:val="0"/>
        <w:autoSpaceDN w:val="0"/>
        <w:adjustRightInd w:val="0"/>
        <w:jc w:val="both"/>
        <w:rPr>
          <w:rFonts w:cs="Arial"/>
          <w:szCs w:val="20"/>
        </w:rPr>
      </w:pPr>
    </w:p>
    <w:p w:rsidR="007E7815" w:rsidRDefault="007E7815" w:rsidP="00981E14">
      <w:pPr>
        <w:jc w:val="both"/>
        <w:rPr>
          <w:rFonts w:cs="Arial"/>
          <w:u w:val="single"/>
        </w:rPr>
      </w:pPr>
      <w:r w:rsidRPr="00420F90">
        <w:rPr>
          <w:rFonts w:cs="Arial"/>
          <w:szCs w:val="20"/>
        </w:rPr>
        <w:t>A.</w:t>
      </w:r>
      <w:r w:rsidRPr="00420F90">
        <w:rPr>
          <w:rFonts w:cs="Arial"/>
        </w:rPr>
        <w:tab/>
      </w:r>
      <w:r w:rsidRPr="00420F90">
        <w:rPr>
          <w:rFonts w:cs="Arial"/>
          <w:u w:val="single"/>
        </w:rPr>
        <w:t>Budget after Transfers 201</w:t>
      </w:r>
      <w:r w:rsidR="00295D7D">
        <w:rPr>
          <w:rFonts w:cs="Arial"/>
          <w:u w:val="single"/>
        </w:rPr>
        <w:t>4/15</w:t>
      </w:r>
    </w:p>
    <w:p w:rsidR="00295D7D" w:rsidRDefault="00295D7D" w:rsidP="00981E14">
      <w:pPr>
        <w:autoSpaceDE w:val="0"/>
        <w:autoSpaceDN w:val="0"/>
        <w:jc w:val="both"/>
        <w:rPr>
          <w:rFonts w:cs="Arial"/>
          <w:szCs w:val="20"/>
          <w:lang w:eastAsia="ko-KR"/>
        </w:rPr>
      </w:pPr>
    </w:p>
    <w:p w:rsidR="008E175F" w:rsidRDefault="008E175F" w:rsidP="00520CAA">
      <w:pPr>
        <w:pStyle w:val="ListParagraph"/>
        <w:numPr>
          <w:ilvl w:val="0"/>
          <w:numId w:val="2"/>
        </w:numPr>
        <w:tabs>
          <w:tab w:val="left" w:pos="709"/>
        </w:tabs>
        <w:ind w:left="0" w:firstLine="0"/>
        <w:jc w:val="both"/>
        <w:rPr>
          <w:rFonts w:cs="Arial"/>
          <w:lang w:eastAsia="ko-KR"/>
        </w:rPr>
      </w:pPr>
      <w:r>
        <w:rPr>
          <w:rFonts w:cs="Arial"/>
          <w:lang w:eastAsia="ko-KR"/>
        </w:rPr>
        <w:t>The overall net decrease in non-personnel resources is primarily due to: (</w:t>
      </w:r>
      <w:proofErr w:type="spellStart"/>
      <w:r>
        <w:rPr>
          <w:rFonts w:cs="Arial"/>
          <w:lang w:eastAsia="ko-KR"/>
        </w:rPr>
        <w:t>i</w:t>
      </w:r>
      <w:proofErr w:type="spellEnd"/>
      <w:r>
        <w:rPr>
          <w:rFonts w:cs="Arial"/>
          <w:lang w:eastAsia="ko-KR"/>
        </w:rPr>
        <w:t xml:space="preserve">) </w:t>
      </w:r>
      <w:r w:rsidRPr="009C019B">
        <w:rPr>
          <w:rFonts w:cs="Arial"/>
          <w:lang w:eastAsia="ko-KR"/>
        </w:rPr>
        <w:t xml:space="preserve">the </w:t>
      </w:r>
      <w:r w:rsidR="002B0CDF">
        <w:rPr>
          <w:rFonts w:cs="Arial"/>
          <w:lang w:eastAsia="ko-KR"/>
        </w:rPr>
        <w:t xml:space="preserve">adjustment in the allocation </w:t>
      </w:r>
      <w:r>
        <w:rPr>
          <w:rFonts w:cs="Arial"/>
          <w:lang w:eastAsia="ko-KR"/>
        </w:rPr>
        <w:t xml:space="preserve">for the DA Project on </w:t>
      </w:r>
      <w:r>
        <w:t xml:space="preserve">IP and Socio-Economic Development </w:t>
      </w:r>
      <w:r w:rsidR="002B0CDF">
        <w:t xml:space="preserve">following </w:t>
      </w:r>
      <w:r>
        <w:t>the</w:t>
      </w:r>
      <w:r w:rsidR="00503603">
        <w:t xml:space="preserve"> </w:t>
      </w:r>
      <w:r w:rsidR="002B0CDF">
        <w:t xml:space="preserve">approval of the second phase of the project </w:t>
      </w:r>
      <w:r>
        <w:t>at the fourteenth session of the CDIP (CDIP/14/7)</w:t>
      </w:r>
      <w:proofErr w:type="gramStart"/>
      <w:r w:rsidRPr="009C019B">
        <w:rPr>
          <w:rFonts w:cs="Arial"/>
          <w:lang w:eastAsia="ko-KR"/>
        </w:rPr>
        <w:t xml:space="preserve">; </w:t>
      </w:r>
      <w:r w:rsidR="00475443">
        <w:rPr>
          <w:rFonts w:cs="Arial"/>
          <w:lang w:eastAsia="ko-KR"/>
        </w:rPr>
        <w:t xml:space="preserve"> </w:t>
      </w:r>
      <w:r w:rsidRPr="009C019B">
        <w:rPr>
          <w:rFonts w:cs="Arial"/>
          <w:lang w:eastAsia="ko-KR"/>
        </w:rPr>
        <w:t>and</w:t>
      </w:r>
      <w:proofErr w:type="gramEnd"/>
      <w:r>
        <w:rPr>
          <w:rFonts w:cs="Arial"/>
          <w:lang w:eastAsia="ko-KR"/>
        </w:rPr>
        <w:t xml:space="preserve"> (ii) </w:t>
      </w:r>
      <w:r w:rsidRPr="00CC6E90">
        <w:rPr>
          <w:rFonts w:cs="Arial"/>
          <w:lang w:eastAsia="ko-KR"/>
        </w:rPr>
        <w:t>the transfer of non-personnel resource</w:t>
      </w:r>
      <w:r>
        <w:rPr>
          <w:rFonts w:cs="Arial"/>
          <w:lang w:eastAsia="ko-KR"/>
        </w:rPr>
        <w:t xml:space="preserve">s for an intern to support the work of the Program. </w:t>
      </w:r>
    </w:p>
    <w:p w:rsidR="00295D7D" w:rsidRDefault="00295D7D" w:rsidP="00981E14">
      <w:pPr>
        <w:autoSpaceDE w:val="0"/>
        <w:autoSpaceDN w:val="0"/>
        <w:jc w:val="both"/>
        <w:rPr>
          <w:rFonts w:cs="Arial"/>
          <w:szCs w:val="20"/>
          <w:lang w:eastAsia="ko-KR"/>
        </w:rPr>
      </w:pPr>
    </w:p>
    <w:p w:rsidR="007E7815" w:rsidRDefault="007E7815" w:rsidP="00981E14">
      <w:pPr>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 xml:space="preserve">Budget utilization </w:t>
      </w:r>
      <w:r w:rsidR="00295D7D">
        <w:rPr>
          <w:rFonts w:cs="Arial"/>
          <w:szCs w:val="20"/>
          <w:u w:val="single"/>
          <w:lang w:eastAsia="ko-KR"/>
        </w:rPr>
        <w:t>2014</w:t>
      </w:r>
    </w:p>
    <w:p w:rsidR="007E7815" w:rsidRDefault="007E7815" w:rsidP="00981E14">
      <w:pPr>
        <w:tabs>
          <w:tab w:val="left" w:pos="709"/>
        </w:tabs>
        <w:jc w:val="both"/>
        <w:rPr>
          <w:rFonts w:cs="Arial"/>
          <w:szCs w:val="20"/>
          <w:u w:val="single"/>
          <w:lang w:eastAsia="ko-KR"/>
        </w:rPr>
      </w:pPr>
    </w:p>
    <w:p w:rsidR="004F501F" w:rsidRPr="002651C8" w:rsidRDefault="004F501F" w:rsidP="00520CAA">
      <w:pPr>
        <w:pStyle w:val="ListParagraph"/>
        <w:numPr>
          <w:ilvl w:val="0"/>
          <w:numId w:val="2"/>
        </w:numPr>
        <w:tabs>
          <w:tab w:val="left" w:pos="709"/>
        </w:tabs>
        <w:ind w:left="0" w:firstLine="0"/>
        <w:jc w:val="both"/>
        <w:rPr>
          <w:rFonts w:ascii="Calibri" w:hAnsi="Calibri"/>
          <w:sz w:val="22"/>
          <w:szCs w:val="22"/>
        </w:rPr>
      </w:pPr>
      <w:r>
        <w:rPr>
          <w:rFonts w:cs="Arial"/>
          <w:lang w:eastAsia="ko-KR"/>
        </w:rPr>
        <w:t xml:space="preserve">Budget utilization is within the expected range of 40-60 per cent for the first year of the biennium and is on track. </w:t>
      </w:r>
    </w:p>
    <w:p w:rsidR="00361A1E" w:rsidRDefault="00361A1E"/>
    <w:p w:rsidR="00055B26" w:rsidRDefault="00055B26"/>
    <w:p w:rsidR="00DA7475" w:rsidRDefault="00DA7475"/>
    <w:p w:rsidR="00DA7475" w:rsidRDefault="00DA7475">
      <w:r>
        <w:br w:type="page"/>
      </w:r>
    </w:p>
    <w:p w:rsidR="00DA7475" w:rsidRDefault="00DA7475" w:rsidP="00C1753F">
      <w:pPr>
        <w:pStyle w:val="StyleHeading214ptAuto"/>
        <w:rPr>
          <w:rFonts w:ascii="Arial" w:hAnsi="Arial" w:cs="Arial"/>
          <w:sz w:val="20"/>
          <w:szCs w:val="20"/>
        </w:rPr>
      </w:pPr>
      <w:bookmarkStart w:id="79" w:name="_Toc422210502"/>
      <w:bookmarkStart w:id="80" w:name="_Toc367350594"/>
      <w:r w:rsidRPr="00E07FBB">
        <w:rPr>
          <w:rFonts w:ascii="Arial" w:hAnsi="Arial" w:cs="Arial"/>
          <w:sz w:val="20"/>
          <w:szCs w:val="20"/>
        </w:rPr>
        <w:lastRenderedPageBreak/>
        <w:t>STRATEGIC GOAL VI</w:t>
      </w:r>
      <w:bookmarkEnd w:id="79"/>
    </w:p>
    <w:p w:rsidR="00DA7475" w:rsidRDefault="00DA7475" w:rsidP="003E2D93">
      <w:pPr>
        <w:jc w:val="center"/>
      </w:pPr>
    </w:p>
    <w:p w:rsidR="00DA7475" w:rsidRPr="003E2D93" w:rsidRDefault="00DA7475" w:rsidP="003E2D93">
      <w:pPr>
        <w:jc w:val="center"/>
      </w:pPr>
      <w:r w:rsidRPr="003E2D93">
        <w:rPr>
          <w:b/>
        </w:rPr>
        <w:t>INTERNATIONAL COOPERATION ON BUILDING RESPECT FOR IP</w:t>
      </w:r>
      <w:bookmarkEnd w:id="80"/>
    </w:p>
    <w:p w:rsidR="00DA7475" w:rsidRDefault="00DA7475" w:rsidP="003E2D93">
      <w:pPr>
        <w:jc w:val="center"/>
      </w:pPr>
    </w:p>
    <w:p w:rsidR="00DA7475" w:rsidRDefault="00DA7475">
      <w:pPr>
        <w:jc w:val="center"/>
        <w:rPr>
          <w:b/>
        </w:rPr>
      </w:pPr>
      <w:r>
        <w:rPr>
          <w:b/>
        </w:rPr>
        <w:t>Mid-term Performance Dashboard (2014)</w:t>
      </w:r>
    </w:p>
    <w:p w:rsidR="00DA7475" w:rsidRDefault="00DA7475" w:rsidP="003E2D93"/>
    <w:p w:rsidR="00DA7475" w:rsidRDefault="00DA7475" w:rsidP="003E2D93">
      <w:r>
        <w:t>The dashboard below provides a summary of the progress towards the achievement of the Results in 2014 as measured by the indicators under the Programs contributing to this Strategic Goal.</w:t>
      </w:r>
    </w:p>
    <w:p w:rsidR="00DA7475" w:rsidRDefault="00DA7475" w:rsidP="003E2D93"/>
    <w:p w:rsidR="00DA7475" w:rsidRDefault="00DA7475">
      <w:pPr>
        <w:jc w:val="center"/>
      </w:pPr>
      <w:r>
        <w:rPr>
          <w:noProof/>
        </w:rPr>
        <w:drawing>
          <wp:inline distT="0" distB="0" distL="0" distR="0" wp14:anchorId="1FB80BDC" wp14:editId="72ABCAFD">
            <wp:extent cx="4572635" cy="2743200"/>
            <wp:effectExtent l="0" t="0" r="0" b="0"/>
            <wp:docPr id="873"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DA7475" w:rsidRPr="00A522FE" w:rsidRDefault="00DA7475" w:rsidP="003E2D93">
      <w:pPr>
        <w:rPr>
          <w:b/>
          <w:bCs/>
          <w:caps/>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21"/>
        <w:gridCol w:w="4091"/>
        <w:gridCol w:w="1754"/>
        <w:gridCol w:w="694"/>
      </w:tblGrid>
      <w:tr w:rsidR="00DA7475" w:rsidRPr="00AF5E7C" w:rsidTr="00C1753F">
        <w:trPr>
          <w:cantSplit/>
          <w:trHeight w:val="455"/>
        </w:trPr>
        <w:tc>
          <w:tcPr>
            <w:tcW w:w="1544" w:type="pct"/>
            <w:tcBorders>
              <w:top w:val="single" w:sz="4" w:space="0" w:color="auto"/>
              <w:bottom w:val="single" w:sz="4" w:space="0" w:color="auto"/>
            </w:tcBorders>
            <w:shd w:val="clear" w:color="auto" w:fill="CCFFFF"/>
            <w:vAlign w:val="center"/>
          </w:tcPr>
          <w:p w:rsidR="00DA7475" w:rsidRPr="002A1191" w:rsidRDefault="00DA7475" w:rsidP="00C1753F">
            <w:pPr>
              <w:spacing w:after="120"/>
              <w:jc w:val="center"/>
              <w:rPr>
                <w:rFonts w:cs="Arial"/>
                <w:b/>
                <w:bCs/>
                <w:sz w:val="18"/>
                <w:szCs w:val="18"/>
              </w:rPr>
            </w:pPr>
            <w:r w:rsidRPr="002A1191">
              <w:rPr>
                <w:rFonts w:cs="Arial"/>
                <w:b/>
                <w:bCs/>
                <w:sz w:val="18"/>
                <w:szCs w:val="18"/>
              </w:rPr>
              <w:t>Expected Results</w:t>
            </w:r>
          </w:p>
        </w:tc>
        <w:tc>
          <w:tcPr>
            <w:tcW w:w="2162" w:type="pct"/>
            <w:tcBorders>
              <w:top w:val="single" w:sz="4" w:space="0" w:color="auto"/>
              <w:bottom w:val="single" w:sz="4" w:space="0" w:color="auto"/>
            </w:tcBorders>
            <w:shd w:val="clear" w:color="auto" w:fill="CCFFFF"/>
            <w:tcMar>
              <w:top w:w="110" w:type="dxa"/>
            </w:tcMar>
            <w:vAlign w:val="center"/>
          </w:tcPr>
          <w:p w:rsidR="00DA7475" w:rsidRPr="002A1191" w:rsidRDefault="00DA7475" w:rsidP="00C1753F">
            <w:pPr>
              <w:spacing w:after="120"/>
              <w:jc w:val="center"/>
              <w:rPr>
                <w:rFonts w:cs="Arial"/>
                <w:b/>
                <w:bCs/>
                <w:sz w:val="18"/>
                <w:szCs w:val="18"/>
              </w:rPr>
            </w:pPr>
            <w:r>
              <w:rPr>
                <w:rFonts w:cs="Arial"/>
                <w:b/>
                <w:bCs/>
                <w:sz w:val="18"/>
                <w:szCs w:val="18"/>
              </w:rPr>
              <w:t>Performance I</w:t>
            </w:r>
            <w:r w:rsidRPr="002A1191">
              <w:rPr>
                <w:rFonts w:cs="Arial"/>
                <w:b/>
                <w:bCs/>
                <w:sz w:val="18"/>
                <w:szCs w:val="18"/>
              </w:rPr>
              <w:t>ndicator</w:t>
            </w:r>
            <w:r>
              <w:rPr>
                <w:rFonts w:cs="Arial"/>
                <w:b/>
                <w:bCs/>
                <w:sz w:val="18"/>
                <w:szCs w:val="18"/>
              </w:rPr>
              <w:t>s</w:t>
            </w:r>
          </w:p>
        </w:tc>
        <w:tc>
          <w:tcPr>
            <w:tcW w:w="927" w:type="pct"/>
            <w:tcBorders>
              <w:top w:val="single" w:sz="4" w:space="0" w:color="auto"/>
              <w:bottom w:val="single" w:sz="4" w:space="0" w:color="auto"/>
            </w:tcBorders>
            <w:shd w:val="clear" w:color="auto" w:fill="CCFFFF"/>
            <w:tcMar>
              <w:top w:w="110" w:type="dxa"/>
            </w:tcMar>
            <w:vAlign w:val="center"/>
          </w:tcPr>
          <w:p w:rsidR="00DA7475" w:rsidRPr="002A1191" w:rsidRDefault="00DA7475" w:rsidP="00C1753F">
            <w:pPr>
              <w:spacing w:after="120"/>
              <w:ind w:left="85"/>
              <w:jc w:val="center"/>
              <w:rPr>
                <w:rFonts w:cs="Arial"/>
                <w:b/>
                <w:bCs/>
                <w:sz w:val="18"/>
                <w:szCs w:val="18"/>
              </w:rPr>
            </w:pPr>
            <w:r w:rsidRPr="002A1191">
              <w:rPr>
                <w:rFonts w:cs="Arial"/>
                <w:b/>
                <w:bCs/>
                <w:sz w:val="18"/>
                <w:szCs w:val="18"/>
              </w:rPr>
              <w:t>Responsible Program(s)</w:t>
            </w:r>
          </w:p>
        </w:tc>
        <w:tc>
          <w:tcPr>
            <w:tcW w:w="367" w:type="pct"/>
            <w:tcBorders>
              <w:top w:val="single" w:sz="4" w:space="0" w:color="auto"/>
              <w:bottom w:val="single" w:sz="4" w:space="0" w:color="auto"/>
            </w:tcBorders>
            <w:shd w:val="clear" w:color="auto" w:fill="CCFFFF"/>
          </w:tcPr>
          <w:p w:rsidR="00DA7475" w:rsidRPr="002A1191" w:rsidRDefault="00DA7475" w:rsidP="00C1753F">
            <w:pPr>
              <w:spacing w:after="120"/>
              <w:ind w:left="85"/>
              <w:jc w:val="center"/>
              <w:rPr>
                <w:rFonts w:cs="Arial"/>
                <w:b/>
                <w:bCs/>
                <w:sz w:val="18"/>
                <w:szCs w:val="18"/>
              </w:rPr>
            </w:pPr>
            <w:r>
              <w:rPr>
                <w:rFonts w:cs="Arial"/>
                <w:b/>
                <w:bCs/>
                <w:sz w:val="18"/>
                <w:szCs w:val="18"/>
              </w:rPr>
              <w:t>TLS</w:t>
            </w:r>
          </w:p>
        </w:tc>
      </w:tr>
      <w:tr w:rsidR="00DA7475" w:rsidRPr="00AF5E7C" w:rsidTr="00C1753F">
        <w:trPr>
          <w:cantSplit/>
          <w:trHeight w:val="944"/>
        </w:trPr>
        <w:tc>
          <w:tcPr>
            <w:tcW w:w="1544" w:type="pct"/>
            <w:tcBorders>
              <w:top w:val="single" w:sz="4" w:space="0" w:color="auto"/>
            </w:tcBorders>
            <w:shd w:val="clear" w:color="auto" w:fill="auto"/>
            <w:tcMar>
              <w:top w:w="113" w:type="dxa"/>
              <w:bottom w:w="85" w:type="dxa"/>
            </w:tcMar>
          </w:tcPr>
          <w:p w:rsidR="00DA7475" w:rsidRPr="00DC5B92" w:rsidRDefault="00DA7475" w:rsidP="00C1753F">
            <w:pPr>
              <w:rPr>
                <w:rFonts w:cs="Arial"/>
                <w:sz w:val="16"/>
                <w:szCs w:val="16"/>
              </w:rPr>
            </w:pPr>
            <w:r w:rsidRPr="00DC5B92">
              <w:rPr>
                <w:rFonts w:cs="Arial"/>
                <w:sz w:val="16"/>
                <w:szCs w:val="16"/>
              </w:rPr>
              <w:t>VI.1</w:t>
            </w:r>
            <w:r>
              <w:rPr>
                <w:rFonts w:cs="Arial"/>
                <w:sz w:val="16"/>
                <w:szCs w:val="16"/>
              </w:rPr>
              <w:t xml:space="preserve">  </w:t>
            </w:r>
            <w:r w:rsidRPr="00DC5B92">
              <w:rPr>
                <w:rFonts w:cs="Arial"/>
                <w:sz w:val="16"/>
                <w:szCs w:val="16"/>
              </w:rPr>
              <w:t>Progress in the international policy dialogue among WIPO Member States on building respect for IP, guided by Recommendation 45 of the WIPO Development Agenda</w:t>
            </w:r>
          </w:p>
        </w:tc>
        <w:tc>
          <w:tcPr>
            <w:tcW w:w="2162" w:type="pct"/>
            <w:tcBorders>
              <w:top w:val="single" w:sz="4" w:space="0" w:color="auto"/>
            </w:tcBorders>
            <w:shd w:val="clear" w:color="auto" w:fill="auto"/>
            <w:tcMar>
              <w:top w:w="113" w:type="dxa"/>
              <w:bottom w:w="85" w:type="dxa"/>
            </w:tcMar>
          </w:tcPr>
          <w:p w:rsidR="00DA7475" w:rsidRPr="00DC5B92" w:rsidRDefault="00DA7475" w:rsidP="00C1753F">
            <w:pPr>
              <w:rPr>
                <w:rFonts w:cs="Arial"/>
                <w:sz w:val="16"/>
                <w:szCs w:val="16"/>
              </w:rPr>
            </w:pPr>
            <w:r w:rsidRPr="00DC5B92">
              <w:rPr>
                <w:rFonts w:cs="Arial"/>
                <w:sz w:val="16"/>
                <w:szCs w:val="16"/>
              </w:rPr>
              <w:t>Continued agreement by Member States on the substantive work of the WIPO Advisory Committee on Enforcement (ACE), incorporating development-oriented concerns</w:t>
            </w:r>
          </w:p>
        </w:tc>
        <w:tc>
          <w:tcPr>
            <w:tcW w:w="927" w:type="pct"/>
            <w:tcBorders>
              <w:top w:val="single" w:sz="4" w:space="0" w:color="auto"/>
            </w:tcBorders>
            <w:shd w:val="clear" w:color="auto" w:fill="FFFFFF"/>
            <w:tcMar>
              <w:top w:w="113" w:type="dxa"/>
              <w:bottom w:w="85" w:type="dxa"/>
            </w:tcMar>
          </w:tcPr>
          <w:p w:rsidR="00DA7475" w:rsidRPr="00AF5E7C" w:rsidRDefault="00DA7475" w:rsidP="00C1753F">
            <w:pPr>
              <w:jc w:val="center"/>
              <w:rPr>
                <w:rFonts w:cs="Arial"/>
                <w:sz w:val="16"/>
                <w:szCs w:val="16"/>
              </w:rPr>
            </w:pPr>
            <w:r>
              <w:rPr>
                <w:rFonts w:cs="Arial"/>
                <w:sz w:val="16"/>
                <w:szCs w:val="16"/>
                <w:lang w:bidi="th-TH"/>
              </w:rPr>
              <w:t>Program 17</w:t>
            </w:r>
          </w:p>
        </w:tc>
        <w:tc>
          <w:tcPr>
            <w:tcW w:w="367" w:type="pct"/>
            <w:tcBorders>
              <w:top w:val="single" w:sz="4" w:space="0" w:color="auto"/>
            </w:tcBorders>
            <w:shd w:val="clear" w:color="auto" w:fill="FFFFFF"/>
          </w:tcPr>
          <w:p w:rsidR="00DA7475" w:rsidRPr="00F718E6" w:rsidRDefault="00DA7475" w:rsidP="00C1753F">
            <w:pPr>
              <w:jc w:val="center"/>
              <w:rPr>
                <w:rFonts w:cs="Arial"/>
                <w:color w:val="A6A6A6" w:themeColor="background1" w:themeShade="A6"/>
                <w:sz w:val="22"/>
                <w:szCs w:val="22"/>
              </w:rPr>
            </w:pPr>
            <w:r w:rsidRPr="005F33CE">
              <w:rPr>
                <w:rFonts w:cs="Arial"/>
                <w:color w:val="008000"/>
                <w:sz w:val="22"/>
                <w:szCs w:val="22"/>
              </w:rPr>
              <w:sym w:font="Wingdings" w:char="F06C"/>
            </w:r>
          </w:p>
        </w:tc>
      </w:tr>
      <w:tr w:rsidR="00DA7475" w:rsidRPr="00AF5E7C" w:rsidTr="00C1753F">
        <w:trPr>
          <w:cantSplit/>
          <w:trHeight w:val="704"/>
        </w:trPr>
        <w:tc>
          <w:tcPr>
            <w:tcW w:w="1544" w:type="pct"/>
            <w:shd w:val="clear" w:color="auto" w:fill="auto"/>
            <w:tcMar>
              <w:top w:w="113" w:type="dxa"/>
              <w:bottom w:w="85" w:type="dxa"/>
            </w:tcMar>
          </w:tcPr>
          <w:p w:rsidR="00DA7475" w:rsidRPr="00DC5B92" w:rsidRDefault="00DA7475" w:rsidP="00C1753F">
            <w:pPr>
              <w:rPr>
                <w:rFonts w:cs="Arial"/>
                <w:sz w:val="16"/>
                <w:szCs w:val="16"/>
              </w:rPr>
            </w:pPr>
            <w:r w:rsidRPr="00DC5B92">
              <w:rPr>
                <w:rFonts w:cs="Arial"/>
                <w:sz w:val="16"/>
                <w:szCs w:val="16"/>
              </w:rPr>
              <w:t>VI.2</w:t>
            </w:r>
            <w:r>
              <w:rPr>
                <w:rFonts w:cs="Arial"/>
                <w:sz w:val="16"/>
                <w:szCs w:val="16"/>
              </w:rPr>
              <w:t xml:space="preserve">  </w:t>
            </w:r>
            <w:r w:rsidRPr="00DC5B92">
              <w:rPr>
                <w:rFonts w:cs="Arial"/>
                <w:sz w:val="16"/>
                <w:szCs w:val="16"/>
              </w:rPr>
              <w:t>Systematic</w:t>
            </w:r>
            <w:r>
              <w:rPr>
                <w:rFonts w:cs="Arial"/>
                <w:sz w:val="16"/>
                <w:szCs w:val="16"/>
              </w:rPr>
              <w:t>,</w:t>
            </w:r>
            <w:r w:rsidRPr="00DC5B92">
              <w:rPr>
                <w:rFonts w:cs="Arial"/>
                <w:sz w:val="16"/>
                <w:szCs w:val="16"/>
              </w:rPr>
              <w:t xml:space="preserve"> effective</w:t>
            </w:r>
            <w:r>
              <w:rPr>
                <w:rFonts w:cs="Arial"/>
                <w:sz w:val="16"/>
                <w:szCs w:val="16"/>
              </w:rPr>
              <w:t xml:space="preserve"> and transparent</w:t>
            </w:r>
            <w:r w:rsidRPr="00DC5B92">
              <w:rPr>
                <w:rFonts w:cs="Arial"/>
                <w:sz w:val="16"/>
                <w:szCs w:val="16"/>
              </w:rPr>
              <w:t xml:space="preserve"> cooperation and coordination between the work of WIPO and other international organizations in the field of building respect for IP</w:t>
            </w:r>
          </w:p>
        </w:tc>
        <w:tc>
          <w:tcPr>
            <w:tcW w:w="2162" w:type="pct"/>
            <w:shd w:val="clear" w:color="auto" w:fill="auto"/>
            <w:tcMar>
              <w:top w:w="113" w:type="dxa"/>
              <w:bottom w:w="85" w:type="dxa"/>
            </w:tcMar>
          </w:tcPr>
          <w:p w:rsidR="00DA7475" w:rsidRPr="00DC5B92" w:rsidRDefault="00DA7475" w:rsidP="00C1753F">
            <w:pPr>
              <w:rPr>
                <w:rFonts w:cs="Arial"/>
                <w:sz w:val="16"/>
                <w:szCs w:val="16"/>
              </w:rPr>
            </w:pPr>
            <w:r w:rsidRPr="00DC5B92">
              <w:rPr>
                <w:rFonts w:cs="Arial"/>
                <w:sz w:val="16"/>
                <w:szCs w:val="16"/>
              </w:rPr>
              <w:t>No. of joint activities on building respect for IP</w:t>
            </w:r>
          </w:p>
        </w:tc>
        <w:tc>
          <w:tcPr>
            <w:tcW w:w="927" w:type="pct"/>
            <w:shd w:val="clear" w:color="auto" w:fill="FFFFFF"/>
            <w:tcMar>
              <w:top w:w="113" w:type="dxa"/>
              <w:bottom w:w="85" w:type="dxa"/>
            </w:tcMar>
          </w:tcPr>
          <w:p w:rsidR="00DA7475" w:rsidRPr="00AF5E7C" w:rsidRDefault="00DA7475" w:rsidP="00C1753F">
            <w:pPr>
              <w:jc w:val="center"/>
              <w:rPr>
                <w:rFonts w:cs="Arial"/>
                <w:sz w:val="16"/>
                <w:szCs w:val="16"/>
              </w:rPr>
            </w:pPr>
            <w:r>
              <w:rPr>
                <w:rFonts w:cs="Arial"/>
                <w:sz w:val="16"/>
                <w:szCs w:val="16"/>
                <w:lang w:bidi="th-TH"/>
              </w:rPr>
              <w:t>Program 17</w:t>
            </w:r>
          </w:p>
        </w:tc>
        <w:tc>
          <w:tcPr>
            <w:tcW w:w="367" w:type="pct"/>
            <w:shd w:val="clear" w:color="auto" w:fill="FFFFFF"/>
          </w:tcPr>
          <w:p w:rsidR="00DA7475" w:rsidRDefault="00DA7475" w:rsidP="00C1753F">
            <w:pPr>
              <w:jc w:val="center"/>
            </w:pPr>
            <w:r w:rsidRPr="005F33CE">
              <w:rPr>
                <w:rFonts w:cs="Arial"/>
                <w:color w:val="008000"/>
                <w:sz w:val="22"/>
                <w:szCs w:val="22"/>
              </w:rPr>
              <w:sym w:font="Wingdings" w:char="F06C"/>
            </w:r>
          </w:p>
        </w:tc>
      </w:tr>
    </w:tbl>
    <w:p w:rsidR="00DA7475" w:rsidRPr="009D0AD7" w:rsidRDefault="00DA7475" w:rsidP="00C1753F"/>
    <w:p w:rsidR="00DA7475" w:rsidRDefault="00DA7475"/>
    <w:p w:rsidR="00DA7475" w:rsidRDefault="00DA7475"/>
    <w:p w:rsidR="00055B26" w:rsidRDefault="00055B26">
      <w:r>
        <w:br w:type="page"/>
      </w:r>
    </w:p>
    <w:p w:rsidR="00055B26" w:rsidRPr="008855BE" w:rsidRDefault="00055B26" w:rsidP="00271CFB">
      <w:pPr>
        <w:pStyle w:val="Heading2"/>
        <w:tabs>
          <w:tab w:val="clear" w:pos="567"/>
          <w:tab w:val="left" w:pos="1985"/>
        </w:tabs>
        <w:jc w:val="both"/>
        <w:rPr>
          <w:szCs w:val="20"/>
        </w:rPr>
      </w:pPr>
      <w:bookmarkStart w:id="81" w:name="_Toc422210503"/>
      <w:r w:rsidRPr="008855BE">
        <w:rPr>
          <w:szCs w:val="20"/>
        </w:rPr>
        <w:lastRenderedPageBreak/>
        <w:t>PROGRAM 17</w:t>
      </w:r>
      <w:r w:rsidRPr="008855BE">
        <w:rPr>
          <w:szCs w:val="20"/>
        </w:rPr>
        <w:tab/>
      </w:r>
      <w:r w:rsidRPr="008855BE">
        <w:rPr>
          <w:szCs w:val="20"/>
        </w:rPr>
        <w:tab/>
        <w:t>BUILDING RESPECT FOR IP</w:t>
      </w:r>
      <w:bookmarkEnd w:id="81"/>
    </w:p>
    <w:p w:rsidR="00055B26" w:rsidRPr="0057012D" w:rsidRDefault="00055B26" w:rsidP="00271CFB">
      <w:pPr>
        <w:jc w:val="both"/>
        <w:rPr>
          <w:rFonts w:cs="Arial"/>
          <w:szCs w:val="20"/>
        </w:rPr>
      </w:pPr>
    </w:p>
    <w:p w:rsidR="00055B26" w:rsidRPr="0057012D" w:rsidRDefault="00055B26" w:rsidP="00271CFB">
      <w:pPr>
        <w:tabs>
          <w:tab w:val="left" w:pos="1985"/>
        </w:tabs>
        <w:jc w:val="both"/>
        <w:rPr>
          <w:rFonts w:cs="Arial"/>
          <w:b/>
          <w:szCs w:val="20"/>
        </w:rPr>
      </w:pPr>
      <w:r w:rsidRPr="0057012D">
        <w:rPr>
          <w:rFonts w:cs="Arial"/>
          <w:b/>
          <w:szCs w:val="20"/>
        </w:rPr>
        <w:t>Program Manager</w:t>
      </w:r>
      <w:r w:rsidRPr="0057012D">
        <w:rPr>
          <w:rFonts w:cs="Arial"/>
          <w:b/>
          <w:szCs w:val="20"/>
        </w:rPr>
        <w:tab/>
        <w:t xml:space="preserve">Mr. </w:t>
      </w:r>
      <w:r>
        <w:rPr>
          <w:rFonts w:cs="Arial"/>
          <w:b/>
          <w:szCs w:val="20"/>
        </w:rPr>
        <w:t>M.A.</w:t>
      </w:r>
      <w:r w:rsidRPr="0057012D">
        <w:rPr>
          <w:rFonts w:cs="Arial"/>
          <w:b/>
          <w:szCs w:val="20"/>
        </w:rPr>
        <w:t xml:space="preserve"> Getahun</w:t>
      </w:r>
    </w:p>
    <w:p w:rsidR="00055B26" w:rsidRPr="0057012D" w:rsidRDefault="00055B26" w:rsidP="00271CFB">
      <w:pPr>
        <w:jc w:val="both"/>
        <w:rPr>
          <w:rFonts w:cs="Arial"/>
          <w:szCs w:val="20"/>
        </w:rPr>
      </w:pPr>
    </w:p>
    <w:p w:rsidR="00055B26" w:rsidRPr="0057012D" w:rsidRDefault="00055B26" w:rsidP="00271CFB">
      <w:pPr>
        <w:jc w:val="both"/>
        <w:rPr>
          <w:rFonts w:cs="Arial"/>
          <w:szCs w:val="20"/>
        </w:rPr>
      </w:pPr>
    </w:p>
    <w:p w:rsidR="00055B26" w:rsidRPr="008855BE" w:rsidRDefault="00055B26" w:rsidP="00271CFB">
      <w:pPr>
        <w:jc w:val="both"/>
        <w:rPr>
          <w:rFonts w:cs="Arial"/>
          <w:bCs/>
          <w:sz w:val="22"/>
          <w:szCs w:val="20"/>
        </w:rPr>
      </w:pPr>
      <w:r w:rsidRPr="008855BE">
        <w:rPr>
          <w:rFonts w:cs="Arial"/>
          <w:bCs/>
          <w:sz w:val="22"/>
          <w:szCs w:val="20"/>
        </w:rPr>
        <w:t>OVERVIEW OF PROGRESS IN 2014</w:t>
      </w:r>
    </w:p>
    <w:p w:rsidR="00055B26" w:rsidRPr="0057012D" w:rsidRDefault="00055B26" w:rsidP="00271CFB">
      <w:pPr>
        <w:tabs>
          <w:tab w:val="left" w:pos="709"/>
        </w:tabs>
        <w:jc w:val="both"/>
        <w:rPr>
          <w:rFonts w:cs="Arial"/>
          <w:szCs w:val="20"/>
        </w:rPr>
      </w:pPr>
    </w:p>
    <w:p w:rsidR="00055B26" w:rsidRPr="0057012D" w:rsidRDefault="00055B26" w:rsidP="00055B26">
      <w:pPr>
        <w:pStyle w:val="ListParagraph"/>
        <w:numPr>
          <w:ilvl w:val="0"/>
          <w:numId w:val="45"/>
        </w:numPr>
        <w:tabs>
          <w:tab w:val="left" w:pos="709"/>
        </w:tabs>
        <w:ind w:left="0" w:firstLine="0"/>
        <w:jc w:val="both"/>
        <w:rPr>
          <w:rFonts w:cs="Arial"/>
        </w:rPr>
      </w:pPr>
      <w:r w:rsidRPr="0057012D">
        <w:rPr>
          <w:rFonts w:cs="Arial"/>
        </w:rPr>
        <w:t xml:space="preserve">Guided by Strategic Goal VI and DA Recommendation 45, all of the various activities of Program 17 were geared towards enhanced international cooperation on building respect for IP that seeks to achieve the appropriate balance between private rights and public interest.  </w:t>
      </w:r>
    </w:p>
    <w:p w:rsidR="00055B26" w:rsidRPr="0057012D" w:rsidRDefault="00055B26" w:rsidP="00271CFB">
      <w:pPr>
        <w:pStyle w:val="ListParagraph"/>
        <w:tabs>
          <w:tab w:val="left" w:pos="709"/>
        </w:tabs>
        <w:ind w:left="0"/>
        <w:jc w:val="both"/>
        <w:rPr>
          <w:rFonts w:cs="Arial"/>
        </w:rPr>
      </w:pPr>
    </w:p>
    <w:p w:rsidR="00055B26" w:rsidRPr="0057012D" w:rsidRDefault="00055B26" w:rsidP="00055B26">
      <w:pPr>
        <w:pStyle w:val="ListParagraph"/>
        <w:numPr>
          <w:ilvl w:val="0"/>
          <w:numId w:val="45"/>
        </w:numPr>
        <w:tabs>
          <w:tab w:val="left" w:pos="709"/>
        </w:tabs>
        <w:ind w:left="0" w:firstLine="0"/>
        <w:jc w:val="both"/>
        <w:rPr>
          <w:rFonts w:cs="Arial"/>
        </w:rPr>
      </w:pPr>
      <w:r w:rsidRPr="0057012D">
        <w:rPr>
          <w:rFonts w:cs="Arial"/>
        </w:rPr>
        <w:t>With a view to achieving progress in the international policy dialogue among WIPO Member States on building respect for IP, the ninth session of the Advisory Committee on Enforcement (ACE) (March 3 to 5, 2014) served as a “marketplace of ideas”, allowing for the exchange of national practices and experiences.  The three day meeting showed growing interest in effective preventive strategies, ranging from awareness raising, new business models and supply chain security, to alternative mechanisms for resolving IP disputes.  For the first time, an audiovisual exhibition was organized with the session, presenting nine national and one regional awareness</w:t>
      </w:r>
      <w:r>
        <w:rPr>
          <w:rFonts w:cs="Arial"/>
        </w:rPr>
        <w:t xml:space="preserve"> </w:t>
      </w:r>
      <w:r w:rsidRPr="0057012D">
        <w:rPr>
          <w:rFonts w:cs="Arial"/>
        </w:rPr>
        <w:t>raising initiatives.  Member States agreed for the work program of the tenth session to remain dedicated to</w:t>
      </w:r>
      <w:r>
        <w:rPr>
          <w:rFonts w:cs="Arial"/>
        </w:rPr>
        <w:t>:</w:t>
      </w:r>
      <w:r w:rsidRPr="0057012D">
        <w:rPr>
          <w:rFonts w:cs="Arial"/>
        </w:rPr>
        <w:t xml:space="preserve"> (</w:t>
      </w:r>
      <w:proofErr w:type="spellStart"/>
      <w:r w:rsidRPr="0057012D">
        <w:rPr>
          <w:rFonts w:cs="Arial"/>
        </w:rPr>
        <w:t>i</w:t>
      </w:r>
      <w:proofErr w:type="spellEnd"/>
      <w:r w:rsidRPr="0057012D">
        <w:rPr>
          <w:rFonts w:cs="Arial"/>
        </w:rPr>
        <w:t>) alternative dispute resolution practices in the field of IP and (ii) preventive actions, measures or successful experiences to complement enforcement measures with a view to reducing the size of the market for pirated or counterfeited goods.</w:t>
      </w:r>
    </w:p>
    <w:p w:rsidR="00055B26" w:rsidRPr="0057012D" w:rsidRDefault="00055B26" w:rsidP="00271CFB">
      <w:pPr>
        <w:tabs>
          <w:tab w:val="left" w:pos="709"/>
        </w:tabs>
        <w:jc w:val="both"/>
        <w:rPr>
          <w:rFonts w:cs="Arial"/>
          <w:szCs w:val="20"/>
        </w:rPr>
      </w:pPr>
    </w:p>
    <w:p w:rsidR="00055B26" w:rsidRPr="0057012D" w:rsidRDefault="00055B26" w:rsidP="00055B26">
      <w:pPr>
        <w:pStyle w:val="ListParagraph"/>
        <w:numPr>
          <w:ilvl w:val="0"/>
          <w:numId w:val="45"/>
        </w:numPr>
        <w:tabs>
          <w:tab w:val="left" w:pos="709"/>
        </w:tabs>
        <w:ind w:left="0" w:firstLine="0"/>
        <w:jc w:val="both"/>
        <w:rPr>
          <w:rFonts w:cs="Arial"/>
        </w:rPr>
      </w:pPr>
      <w:r w:rsidRPr="0057012D">
        <w:rPr>
          <w:rFonts w:cs="Arial"/>
        </w:rPr>
        <w:t xml:space="preserve">To achieve international policy cohesion and maximum impact through shared resources in the area of building respect for IP, Program 17 coordinated its work with intergovernmental and non-governmental organizations, associations of stakeholders as well as academic institutions. Through systematic, transparent, and effective collaboration, WIPO was able to mainstream its development-oriented approach to building respect for IP into the work of its international partners.  The joint activities were guided by DA Recommendation 40.  </w:t>
      </w:r>
    </w:p>
    <w:p w:rsidR="00055B26" w:rsidRPr="0057012D" w:rsidRDefault="00055B26" w:rsidP="00271CFB">
      <w:pPr>
        <w:tabs>
          <w:tab w:val="left" w:pos="709"/>
        </w:tabs>
        <w:jc w:val="both"/>
        <w:rPr>
          <w:rFonts w:cs="Arial"/>
          <w:szCs w:val="20"/>
        </w:rPr>
      </w:pPr>
    </w:p>
    <w:p w:rsidR="00055B26" w:rsidRPr="0057012D" w:rsidRDefault="00055B26" w:rsidP="00055B26">
      <w:pPr>
        <w:pStyle w:val="ListParagraph"/>
        <w:numPr>
          <w:ilvl w:val="0"/>
          <w:numId w:val="45"/>
        </w:numPr>
        <w:tabs>
          <w:tab w:val="left" w:pos="709"/>
        </w:tabs>
        <w:ind w:left="0" w:firstLine="0"/>
        <w:jc w:val="both"/>
        <w:rPr>
          <w:rFonts w:cs="Arial"/>
        </w:rPr>
      </w:pPr>
      <w:r w:rsidRPr="0057012D">
        <w:rPr>
          <w:rFonts w:cs="Arial"/>
        </w:rPr>
        <w:t>Demand for WIPO assistance in the form of legislative advice on the compatibility of draft or current national enforcement-related provisions with Part III of the TRIPS Agreement continued to rise in 2014.  In close dialogue with national drafters, Program 17 helped Member States devise legislative solutions that are appropriate to their national requirements and take full account of the available flexibilities and options.  Activities in this area of legislative, regulatory and policy assistance implemented DA</w:t>
      </w:r>
      <w:r>
        <w:rPr>
          <w:rFonts w:cs="Arial"/>
        </w:rPr>
        <w:t> </w:t>
      </w:r>
      <w:r w:rsidRPr="0057012D">
        <w:rPr>
          <w:rFonts w:cs="Arial"/>
        </w:rPr>
        <w:t>Recommendations 1, 6, 12, 13, 14 and 17.</w:t>
      </w:r>
    </w:p>
    <w:p w:rsidR="00055B26" w:rsidRPr="0057012D" w:rsidRDefault="00055B26" w:rsidP="00271CFB">
      <w:pPr>
        <w:pStyle w:val="ListParagraph"/>
        <w:tabs>
          <w:tab w:val="left" w:pos="709"/>
        </w:tabs>
        <w:ind w:left="0"/>
        <w:jc w:val="both"/>
        <w:rPr>
          <w:rFonts w:cs="Arial"/>
        </w:rPr>
      </w:pPr>
    </w:p>
    <w:p w:rsidR="00055B26" w:rsidRPr="0057012D" w:rsidRDefault="00055B26" w:rsidP="00055B26">
      <w:pPr>
        <w:pStyle w:val="ListParagraph"/>
        <w:numPr>
          <w:ilvl w:val="0"/>
          <w:numId w:val="45"/>
        </w:numPr>
        <w:tabs>
          <w:tab w:val="left" w:pos="709"/>
        </w:tabs>
        <w:ind w:left="0" w:firstLine="0"/>
        <w:jc w:val="both"/>
        <w:rPr>
          <w:rFonts w:cs="Arial"/>
        </w:rPr>
      </w:pPr>
      <w:r>
        <w:rPr>
          <w:rFonts w:cs="Arial"/>
        </w:rPr>
        <w:t xml:space="preserve">The </w:t>
      </w:r>
      <w:r w:rsidRPr="0057012D">
        <w:rPr>
          <w:rFonts w:cs="Arial"/>
        </w:rPr>
        <w:t xml:space="preserve">Program’s capacity building activities sought to empower national authorities to build respect for IP through a combination of balanced enforcement activities and preventive measures designed to reduce demand for infringing goods and underscore the value of </w:t>
      </w:r>
      <w:r w:rsidRPr="0057012D">
        <w:rPr>
          <w:rFonts w:cs="Arial"/>
          <w:color w:val="000000"/>
        </w:rPr>
        <w:t>the IP-legitimate market.</w:t>
      </w:r>
      <w:r w:rsidRPr="0057012D">
        <w:rPr>
          <w:rFonts w:cs="Arial"/>
        </w:rPr>
        <w:t xml:space="preserve">  To enhance the sustainability of the knowledge transfer, specific collaborations were established with national law enforcement training entities capable of serving as multipliers</w:t>
      </w:r>
      <w:r>
        <w:rPr>
          <w:rFonts w:cs="Arial"/>
        </w:rPr>
        <w:t>.</w:t>
      </w:r>
      <w:r w:rsidRPr="0057012D">
        <w:rPr>
          <w:rFonts w:cs="Arial"/>
        </w:rPr>
        <w:t xml:space="preserve"> </w:t>
      </w:r>
      <w:r>
        <w:rPr>
          <w:rFonts w:cs="Arial"/>
        </w:rPr>
        <w:t xml:space="preserve">In addition, </w:t>
      </w:r>
      <w:r w:rsidRPr="0057012D">
        <w:rPr>
          <w:rFonts w:cs="Arial"/>
        </w:rPr>
        <w:t xml:space="preserve">a French edition and an Arabic translation of the English edition of the </w:t>
      </w:r>
      <w:r w:rsidRPr="008855BE">
        <w:rPr>
          <w:rFonts w:cs="Arial"/>
          <w:i/>
        </w:rPr>
        <w:t>WIPO Casebook on the Enforcement of IP Rights</w:t>
      </w:r>
      <w:r w:rsidRPr="0057012D">
        <w:rPr>
          <w:rFonts w:cs="Arial"/>
        </w:rPr>
        <w:t xml:space="preserve"> were published.  The activities in this area were informed by DA Recommendations 3, 10, and 11. </w:t>
      </w:r>
    </w:p>
    <w:p w:rsidR="00055B26" w:rsidRPr="0057012D" w:rsidRDefault="00055B26" w:rsidP="00271CFB">
      <w:pPr>
        <w:pStyle w:val="ListParagraph"/>
        <w:tabs>
          <w:tab w:val="left" w:pos="709"/>
        </w:tabs>
        <w:ind w:left="0"/>
        <w:jc w:val="both"/>
        <w:rPr>
          <w:rFonts w:cs="Arial"/>
        </w:rPr>
      </w:pPr>
    </w:p>
    <w:p w:rsidR="00055B26" w:rsidRPr="0057012D" w:rsidRDefault="00055B26" w:rsidP="00055B26">
      <w:pPr>
        <w:pStyle w:val="ListParagraph"/>
        <w:numPr>
          <w:ilvl w:val="0"/>
          <w:numId w:val="45"/>
        </w:numPr>
        <w:tabs>
          <w:tab w:val="left" w:pos="709"/>
        </w:tabs>
        <w:ind w:left="0" w:firstLine="0"/>
        <w:jc w:val="both"/>
        <w:rPr>
          <w:rFonts w:cs="Arial"/>
        </w:rPr>
      </w:pPr>
      <w:r w:rsidRPr="0057012D">
        <w:rPr>
          <w:rFonts w:cs="Arial"/>
        </w:rPr>
        <w:t>In order to support Member State IP education and awareness initiatives, seeking to reduce IP infringement through behavioral change, a modular methodology for devising national awareness</w:t>
      </w:r>
      <w:r>
        <w:rPr>
          <w:rFonts w:cs="Arial"/>
        </w:rPr>
        <w:t xml:space="preserve"> </w:t>
      </w:r>
      <w:r w:rsidRPr="0057012D">
        <w:rPr>
          <w:rFonts w:cs="Arial"/>
        </w:rPr>
        <w:t xml:space="preserve">raising strategies </w:t>
      </w:r>
      <w:r>
        <w:rPr>
          <w:rFonts w:cs="Arial"/>
        </w:rPr>
        <w:t xml:space="preserve">was developed </w:t>
      </w:r>
      <w:r w:rsidRPr="0057012D">
        <w:rPr>
          <w:rFonts w:cs="Arial"/>
        </w:rPr>
        <w:t xml:space="preserve">and two Member States </w:t>
      </w:r>
      <w:r>
        <w:rPr>
          <w:rFonts w:cs="Arial"/>
        </w:rPr>
        <w:t xml:space="preserve">were assisted </w:t>
      </w:r>
      <w:r w:rsidRPr="0057012D">
        <w:rPr>
          <w:rFonts w:cs="Arial"/>
        </w:rPr>
        <w:t xml:space="preserve">in its implementation in accordance with the respective particular national needs.  </w:t>
      </w:r>
      <w:r>
        <w:rPr>
          <w:rFonts w:cs="Arial"/>
        </w:rPr>
        <w:t xml:space="preserve">The </w:t>
      </w:r>
      <w:r w:rsidRPr="0057012D">
        <w:rPr>
          <w:rFonts w:cs="Arial"/>
        </w:rPr>
        <w:t>Program </w:t>
      </w:r>
      <w:r>
        <w:rPr>
          <w:rFonts w:cs="Arial"/>
        </w:rPr>
        <w:t xml:space="preserve">also </w:t>
      </w:r>
      <w:r w:rsidRPr="0057012D">
        <w:rPr>
          <w:rFonts w:cs="Arial"/>
        </w:rPr>
        <w:t>supported six Member States in the organization of school competitions around the 2014 IP Day theme and published workbooks featuring “</w:t>
      </w:r>
      <w:proofErr w:type="spellStart"/>
      <w:r w:rsidRPr="0057012D">
        <w:rPr>
          <w:rFonts w:cs="Arial"/>
        </w:rPr>
        <w:t>Pororo</w:t>
      </w:r>
      <w:proofErr w:type="spellEnd"/>
      <w:r w:rsidRPr="0057012D">
        <w:rPr>
          <w:rFonts w:cs="Arial"/>
        </w:rPr>
        <w:t xml:space="preserve"> the little penguin” in English and French</w:t>
      </w:r>
      <w:r>
        <w:rPr>
          <w:rFonts w:cs="Arial"/>
        </w:rPr>
        <w:t xml:space="preserve"> as a way</w:t>
      </w:r>
      <w:r w:rsidRPr="0057012D">
        <w:rPr>
          <w:rFonts w:cs="Arial"/>
        </w:rPr>
        <w:t xml:space="preserve"> to increase popular understanding of the value of IP, particularly by young people.  In addition, the WIPO Awards Program continued to celebrate the achievements of inventors, creators and innovative companies with 160 WIPO Awards being bestowed on recipients from 38 Member States.  </w:t>
      </w:r>
      <w:r>
        <w:rPr>
          <w:rFonts w:cs="Arial"/>
        </w:rPr>
        <w:t>The Program’s</w:t>
      </w:r>
      <w:r w:rsidRPr="0057012D">
        <w:rPr>
          <w:rFonts w:cs="Arial"/>
        </w:rPr>
        <w:t xml:space="preserve"> awareness</w:t>
      </w:r>
      <w:r>
        <w:rPr>
          <w:rFonts w:cs="Arial"/>
        </w:rPr>
        <w:t xml:space="preserve"> </w:t>
      </w:r>
      <w:r w:rsidRPr="0057012D">
        <w:rPr>
          <w:rFonts w:cs="Arial"/>
        </w:rPr>
        <w:t xml:space="preserve">raising activities </w:t>
      </w:r>
      <w:r>
        <w:rPr>
          <w:rFonts w:cs="Arial"/>
        </w:rPr>
        <w:t xml:space="preserve">contributed to the </w:t>
      </w:r>
      <w:r w:rsidRPr="0057012D">
        <w:rPr>
          <w:rFonts w:cs="Arial"/>
        </w:rPr>
        <w:t>implement</w:t>
      </w:r>
      <w:r>
        <w:rPr>
          <w:rFonts w:cs="Arial"/>
        </w:rPr>
        <w:t>ation of</w:t>
      </w:r>
      <w:r w:rsidRPr="0057012D">
        <w:rPr>
          <w:rFonts w:cs="Arial"/>
        </w:rPr>
        <w:t xml:space="preserve"> DA Recommendation 3. </w:t>
      </w:r>
    </w:p>
    <w:p w:rsidR="00055B26" w:rsidRDefault="00055B26" w:rsidP="00271CFB">
      <w:pPr>
        <w:tabs>
          <w:tab w:val="left" w:pos="709"/>
        </w:tabs>
        <w:jc w:val="both"/>
        <w:rPr>
          <w:rFonts w:cs="Arial"/>
          <w:szCs w:val="20"/>
        </w:rPr>
      </w:pPr>
    </w:p>
    <w:p w:rsidR="00055B26" w:rsidRDefault="00055B26" w:rsidP="00271CFB">
      <w:pPr>
        <w:tabs>
          <w:tab w:val="left" w:pos="709"/>
        </w:tabs>
        <w:jc w:val="both"/>
        <w:rPr>
          <w:rFonts w:cs="Arial"/>
          <w:szCs w:val="20"/>
        </w:rPr>
      </w:pPr>
    </w:p>
    <w:p w:rsidR="00055B26" w:rsidRDefault="00055B26">
      <w:pPr>
        <w:rPr>
          <w:rFonts w:cs="Arial"/>
          <w:sz w:val="22"/>
          <w:szCs w:val="22"/>
        </w:rPr>
      </w:pPr>
      <w:r>
        <w:rPr>
          <w:rFonts w:cs="Arial"/>
          <w:sz w:val="22"/>
          <w:szCs w:val="22"/>
        </w:rPr>
        <w:br w:type="page"/>
      </w:r>
    </w:p>
    <w:p w:rsidR="00055B26" w:rsidRPr="00FB32DC" w:rsidRDefault="00055B26" w:rsidP="00271CFB">
      <w:pPr>
        <w:ind w:left="2268" w:hanging="2268"/>
        <w:rPr>
          <w:rFonts w:cs="Arial"/>
          <w:sz w:val="22"/>
          <w:szCs w:val="22"/>
        </w:rPr>
      </w:pPr>
      <w:r w:rsidRPr="00FB32DC">
        <w:rPr>
          <w:rFonts w:cs="Arial"/>
          <w:sz w:val="22"/>
          <w:szCs w:val="22"/>
        </w:rPr>
        <w:lastRenderedPageBreak/>
        <w:t>PERFORMANCE DATA</w:t>
      </w:r>
    </w:p>
    <w:p w:rsidR="00055B26" w:rsidRPr="0057012D" w:rsidRDefault="00055B26" w:rsidP="00271CFB">
      <w:pPr>
        <w:jc w:val="both"/>
        <w:rPr>
          <w:rFonts w:cs="Arial"/>
          <w:szCs w:val="20"/>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2411"/>
        <w:gridCol w:w="1560"/>
        <w:gridCol w:w="2409"/>
        <w:gridCol w:w="990"/>
      </w:tblGrid>
      <w:tr w:rsidR="00055B26" w:rsidRPr="000B3714" w:rsidTr="00271CFB">
        <w:trPr>
          <w:cantSplit/>
          <w:trHeight w:val="423"/>
        </w:trPr>
        <w:tc>
          <w:tcPr>
            <w:tcW w:w="5000" w:type="pct"/>
            <w:gridSpan w:val="5"/>
            <w:tcBorders>
              <w:top w:val="single" w:sz="4" w:space="0" w:color="auto"/>
              <w:bottom w:val="single" w:sz="4" w:space="0" w:color="auto"/>
            </w:tcBorders>
            <w:shd w:val="clear" w:color="auto" w:fill="CCFFFF"/>
            <w:vAlign w:val="center"/>
          </w:tcPr>
          <w:p w:rsidR="00055B26" w:rsidRPr="000B3714" w:rsidRDefault="00055B26" w:rsidP="00271CFB">
            <w:pPr>
              <w:keepNext/>
              <w:keepLines/>
              <w:tabs>
                <w:tab w:val="left" w:pos="1452"/>
              </w:tabs>
              <w:ind w:left="1452" w:hanging="1452"/>
              <w:rPr>
                <w:rFonts w:cs="Arial"/>
                <w:b/>
                <w:bCs/>
                <w:sz w:val="16"/>
                <w:szCs w:val="16"/>
              </w:rPr>
            </w:pPr>
            <w:r w:rsidRPr="000B3714">
              <w:rPr>
                <w:rFonts w:cs="Arial"/>
                <w:b/>
                <w:bCs/>
                <w:sz w:val="16"/>
                <w:szCs w:val="16"/>
              </w:rPr>
              <w:t>Expected Result:</w:t>
            </w:r>
            <w:r w:rsidRPr="000B3714">
              <w:rPr>
                <w:rFonts w:cs="Arial"/>
                <w:b/>
                <w:bCs/>
                <w:sz w:val="16"/>
                <w:szCs w:val="16"/>
              </w:rPr>
              <w:tab/>
            </w:r>
            <w:r w:rsidRPr="00905094">
              <w:rPr>
                <w:rFonts w:cs="Arial"/>
                <w:sz w:val="16"/>
                <w:szCs w:val="16"/>
              </w:rPr>
              <w:t>I.2 Tailored and balanced IP legislative, regulatory and policy frameworks</w:t>
            </w:r>
          </w:p>
        </w:tc>
      </w:tr>
      <w:tr w:rsidR="00055B26" w:rsidRPr="000B3714" w:rsidTr="00271CFB">
        <w:trPr>
          <w:cantSplit/>
        </w:trPr>
        <w:tc>
          <w:tcPr>
            <w:tcW w:w="1121" w:type="pct"/>
            <w:tcBorders>
              <w:top w:val="single" w:sz="4" w:space="0" w:color="auto"/>
            </w:tcBorders>
            <w:shd w:val="clear" w:color="auto" w:fill="auto"/>
            <w:vAlign w:val="center"/>
          </w:tcPr>
          <w:p w:rsidR="00055B26" w:rsidRPr="000B3714" w:rsidRDefault="00055B26" w:rsidP="00271CFB">
            <w:pPr>
              <w:rPr>
                <w:rFonts w:cs="Arial"/>
                <w:sz w:val="16"/>
                <w:szCs w:val="16"/>
              </w:rPr>
            </w:pPr>
            <w:r w:rsidRPr="000B3714">
              <w:rPr>
                <w:rFonts w:cs="Arial"/>
                <w:b/>
                <w:bCs/>
                <w:sz w:val="16"/>
                <w:szCs w:val="16"/>
              </w:rPr>
              <w:t>Performance Indicators</w:t>
            </w:r>
          </w:p>
        </w:tc>
        <w:tc>
          <w:tcPr>
            <w:tcW w:w="1269" w:type="pct"/>
            <w:tcBorders>
              <w:top w:val="single" w:sz="4" w:space="0" w:color="auto"/>
            </w:tcBorders>
            <w:shd w:val="clear" w:color="auto" w:fill="auto"/>
            <w:vAlign w:val="center"/>
          </w:tcPr>
          <w:p w:rsidR="00055B26" w:rsidRPr="000B3714" w:rsidRDefault="00055B26" w:rsidP="00271CFB">
            <w:pPr>
              <w:rPr>
                <w:rFonts w:cs="Arial"/>
                <w:b/>
                <w:bCs/>
                <w:sz w:val="16"/>
                <w:szCs w:val="16"/>
              </w:rPr>
            </w:pPr>
            <w:r w:rsidRPr="000B3714">
              <w:rPr>
                <w:rFonts w:cs="Arial"/>
                <w:b/>
                <w:bCs/>
                <w:sz w:val="16"/>
                <w:szCs w:val="16"/>
              </w:rPr>
              <w:t>Baselines</w:t>
            </w:r>
          </w:p>
        </w:tc>
        <w:tc>
          <w:tcPr>
            <w:tcW w:w="821" w:type="pct"/>
            <w:tcBorders>
              <w:top w:val="single" w:sz="4" w:space="0" w:color="auto"/>
            </w:tcBorders>
            <w:shd w:val="clear" w:color="auto" w:fill="auto"/>
            <w:tcMar>
              <w:top w:w="110" w:type="dxa"/>
            </w:tcMar>
            <w:vAlign w:val="center"/>
          </w:tcPr>
          <w:p w:rsidR="00055B26" w:rsidRPr="000B3714" w:rsidRDefault="00055B26" w:rsidP="00271CFB">
            <w:pPr>
              <w:rPr>
                <w:rFonts w:cs="Arial"/>
                <w:b/>
                <w:sz w:val="16"/>
                <w:szCs w:val="16"/>
              </w:rPr>
            </w:pPr>
            <w:r w:rsidRPr="000B3714">
              <w:rPr>
                <w:rFonts w:cs="Arial"/>
                <w:b/>
                <w:sz w:val="16"/>
                <w:szCs w:val="16"/>
              </w:rPr>
              <w:t>Targets</w:t>
            </w:r>
          </w:p>
        </w:tc>
        <w:tc>
          <w:tcPr>
            <w:tcW w:w="1268" w:type="pct"/>
            <w:tcBorders>
              <w:top w:val="single" w:sz="4" w:space="0" w:color="auto"/>
            </w:tcBorders>
            <w:shd w:val="clear" w:color="auto" w:fill="FFFFFF"/>
            <w:tcMar>
              <w:top w:w="110" w:type="dxa"/>
            </w:tcMar>
            <w:vAlign w:val="center"/>
          </w:tcPr>
          <w:p w:rsidR="00055B26" w:rsidRPr="000B3714" w:rsidRDefault="00055B26" w:rsidP="00271CFB">
            <w:pPr>
              <w:rPr>
                <w:rFonts w:cs="Arial"/>
                <w:sz w:val="16"/>
                <w:szCs w:val="16"/>
              </w:rPr>
            </w:pPr>
            <w:r w:rsidRPr="000B3714">
              <w:rPr>
                <w:rFonts w:cs="Arial"/>
                <w:b/>
                <w:bCs/>
                <w:sz w:val="16"/>
                <w:szCs w:val="16"/>
              </w:rPr>
              <w:t>Performance Data</w:t>
            </w:r>
          </w:p>
        </w:tc>
        <w:tc>
          <w:tcPr>
            <w:tcW w:w="522" w:type="pct"/>
            <w:tcBorders>
              <w:top w:val="single" w:sz="4" w:space="0" w:color="auto"/>
            </w:tcBorders>
            <w:shd w:val="clear" w:color="auto" w:fill="auto"/>
            <w:tcMar>
              <w:top w:w="110" w:type="dxa"/>
            </w:tcMar>
            <w:vAlign w:val="center"/>
          </w:tcPr>
          <w:p w:rsidR="00055B26" w:rsidRPr="000B3714" w:rsidRDefault="00055B26" w:rsidP="00271CFB">
            <w:pPr>
              <w:keepNext/>
              <w:keepLines/>
              <w:jc w:val="center"/>
              <w:rPr>
                <w:rFonts w:cs="Arial"/>
                <w:b/>
                <w:bCs/>
                <w:sz w:val="16"/>
                <w:szCs w:val="16"/>
              </w:rPr>
            </w:pPr>
            <w:r w:rsidRPr="000B3714">
              <w:rPr>
                <w:rFonts w:cs="Arial"/>
                <w:b/>
                <w:bCs/>
                <w:sz w:val="16"/>
                <w:szCs w:val="16"/>
              </w:rPr>
              <w:t>TLS</w:t>
            </w:r>
          </w:p>
        </w:tc>
      </w:tr>
      <w:tr w:rsidR="00055B26" w:rsidRPr="000B3714" w:rsidTr="00271CFB">
        <w:trPr>
          <w:cantSplit/>
        </w:trPr>
        <w:tc>
          <w:tcPr>
            <w:tcW w:w="1121" w:type="pct"/>
            <w:tcBorders>
              <w:bottom w:val="single" w:sz="4" w:space="0" w:color="auto"/>
            </w:tcBorders>
            <w:shd w:val="clear" w:color="auto" w:fill="auto"/>
          </w:tcPr>
          <w:p w:rsidR="00055B26" w:rsidRDefault="00055B26" w:rsidP="00271CFB">
            <w:pPr>
              <w:rPr>
                <w:rFonts w:cs="Arial"/>
                <w:sz w:val="16"/>
                <w:szCs w:val="16"/>
              </w:rPr>
            </w:pPr>
            <w:r w:rsidRPr="00905094">
              <w:rPr>
                <w:rFonts w:cs="Arial"/>
                <w:sz w:val="16"/>
                <w:szCs w:val="16"/>
              </w:rPr>
              <w:t>No. of countries that have adopted or amended relevant frameworks (or are in the process of doing so) further to WIPO assistance</w:t>
            </w:r>
          </w:p>
          <w:p w:rsidR="00055B26" w:rsidRPr="000B3714" w:rsidRDefault="00055B26" w:rsidP="00271CFB">
            <w:pPr>
              <w:rPr>
                <w:rFonts w:cs="Arial"/>
                <w:sz w:val="16"/>
                <w:szCs w:val="16"/>
              </w:rPr>
            </w:pPr>
          </w:p>
        </w:tc>
        <w:tc>
          <w:tcPr>
            <w:tcW w:w="1269" w:type="pct"/>
            <w:tcBorders>
              <w:bottom w:val="single" w:sz="4" w:space="0" w:color="auto"/>
            </w:tcBorders>
            <w:shd w:val="clear" w:color="auto" w:fill="auto"/>
          </w:tcPr>
          <w:p w:rsidR="00055B26" w:rsidRPr="000B3714" w:rsidRDefault="00055B26" w:rsidP="00271CFB">
            <w:pPr>
              <w:rPr>
                <w:rFonts w:cs="Arial"/>
                <w:i/>
                <w:color w:val="002060"/>
                <w:sz w:val="16"/>
                <w:szCs w:val="16"/>
              </w:rPr>
            </w:pPr>
            <w:r>
              <w:rPr>
                <w:rFonts w:cs="Arial"/>
                <w:i/>
                <w:color w:val="002060"/>
                <w:sz w:val="16"/>
                <w:szCs w:val="16"/>
              </w:rPr>
              <w:t>Updated Baseline end 2013</w:t>
            </w:r>
            <w:r w:rsidRPr="000B3714">
              <w:rPr>
                <w:rFonts w:cs="Arial"/>
                <w:i/>
                <w:color w:val="002060"/>
                <w:sz w:val="16"/>
                <w:szCs w:val="16"/>
              </w:rPr>
              <w:t xml:space="preserve">:  </w:t>
            </w:r>
          </w:p>
          <w:p w:rsidR="00055B26" w:rsidRPr="000B3714" w:rsidRDefault="00055B26" w:rsidP="00271CFB">
            <w:pPr>
              <w:rPr>
                <w:rFonts w:cs="Arial"/>
                <w:color w:val="002060"/>
                <w:sz w:val="16"/>
                <w:szCs w:val="16"/>
                <w:lang w:eastAsia="ko-KR" w:bidi="th-TH"/>
              </w:rPr>
            </w:pPr>
            <w:r>
              <w:rPr>
                <w:rFonts w:cs="Arial"/>
                <w:color w:val="002060"/>
                <w:sz w:val="16"/>
                <w:szCs w:val="16"/>
                <w:lang w:eastAsia="ko-KR" w:bidi="th-TH"/>
              </w:rPr>
              <w:t>9</w:t>
            </w:r>
            <w:r>
              <w:t xml:space="preserve"> </w:t>
            </w:r>
            <w:r w:rsidRPr="00A3319F">
              <w:rPr>
                <w:rFonts w:cs="Arial"/>
                <w:color w:val="002060"/>
                <w:sz w:val="16"/>
                <w:szCs w:val="16"/>
                <w:lang w:eastAsia="ko-KR" w:bidi="th-TH"/>
              </w:rPr>
              <w:t>countries</w:t>
            </w:r>
            <w:r>
              <w:rPr>
                <w:rFonts w:cs="Arial"/>
                <w:color w:val="002060"/>
                <w:sz w:val="16"/>
                <w:szCs w:val="16"/>
                <w:lang w:eastAsia="ko-KR" w:bidi="th-TH"/>
              </w:rPr>
              <w:t>/ organizations</w:t>
            </w:r>
            <w:r w:rsidRPr="00A3319F">
              <w:rPr>
                <w:rFonts w:cs="Arial"/>
                <w:color w:val="002060"/>
                <w:sz w:val="16"/>
                <w:szCs w:val="16"/>
                <w:lang w:eastAsia="ko-KR" w:bidi="th-TH"/>
              </w:rPr>
              <w:t xml:space="preserve"> in the process of amending and/or adopting relevant frameworks towards effective IP enforcement</w:t>
            </w:r>
            <w:r>
              <w:rPr>
                <w:rFonts w:cs="Arial"/>
                <w:color w:val="002060"/>
                <w:sz w:val="16"/>
                <w:szCs w:val="16"/>
                <w:lang w:eastAsia="ko-KR" w:bidi="th-TH"/>
              </w:rPr>
              <w:t xml:space="preserve">: </w:t>
            </w:r>
            <w:r w:rsidRPr="008855BE">
              <w:rPr>
                <w:rFonts w:cs="Arial"/>
                <w:color w:val="002060"/>
                <w:sz w:val="16"/>
                <w:szCs w:val="16"/>
                <w:lang w:eastAsia="ko-KR" w:bidi="th-TH"/>
              </w:rPr>
              <w:t>Africa (5), Asia and the Pacific (2), Latin America and the Caribbean (2</w:t>
            </w:r>
            <w:r w:rsidRPr="0069246C">
              <w:rPr>
                <w:rFonts w:cs="Arial"/>
                <w:color w:val="002060"/>
                <w:sz w:val="16"/>
                <w:szCs w:val="16"/>
                <w:lang w:eastAsia="ko-KR" w:bidi="th-TH"/>
              </w:rPr>
              <w:t>)</w:t>
            </w:r>
          </w:p>
          <w:p w:rsidR="00055B26" w:rsidRPr="001E0812" w:rsidRDefault="00055B26" w:rsidP="00271CFB">
            <w:pPr>
              <w:rPr>
                <w:rFonts w:cs="Arial"/>
                <w:i/>
                <w:sz w:val="8"/>
                <w:szCs w:val="8"/>
              </w:rPr>
            </w:pPr>
          </w:p>
          <w:p w:rsidR="00055B26" w:rsidRPr="000B3714" w:rsidRDefault="00055B26" w:rsidP="00271CFB">
            <w:pPr>
              <w:rPr>
                <w:rFonts w:cs="Arial"/>
                <w:sz w:val="16"/>
                <w:szCs w:val="16"/>
                <w:lang w:bidi="th-TH"/>
              </w:rPr>
            </w:pPr>
            <w:r>
              <w:rPr>
                <w:rFonts w:cs="Arial"/>
                <w:i/>
                <w:sz w:val="16"/>
                <w:szCs w:val="16"/>
              </w:rPr>
              <w:t>Original Baseline P&amp;B 2014/15</w:t>
            </w:r>
            <w:r w:rsidRPr="000B3714">
              <w:rPr>
                <w:rFonts w:cs="Arial"/>
                <w:i/>
                <w:sz w:val="16"/>
                <w:szCs w:val="16"/>
              </w:rPr>
              <w:t>:</w:t>
            </w:r>
            <w:r w:rsidRPr="000B3714">
              <w:rPr>
                <w:rFonts w:cs="Arial"/>
                <w:sz w:val="16"/>
                <w:szCs w:val="16"/>
              </w:rPr>
              <w:br/>
            </w:r>
            <w:proofErr w:type="spellStart"/>
            <w:r>
              <w:rPr>
                <w:rFonts w:cs="Arial"/>
                <w:sz w:val="16"/>
                <w:szCs w:val="16"/>
                <w:lang w:bidi="th-TH"/>
              </w:rPr>
              <w:t>tbd</w:t>
            </w:r>
            <w:proofErr w:type="spellEnd"/>
          </w:p>
          <w:p w:rsidR="00055B26" w:rsidRPr="000B3714" w:rsidRDefault="00055B26" w:rsidP="00271CFB">
            <w:pPr>
              <w:rPr>
                <w:rFonts w:cs="Arial"/>
                <w:sz w:val="16"/>
                <w:szCs w:val="16"/>
              </w:rPr>
            </w:pPr>
          </w:p>
        </w:tc>
        <w:tc>
          <w:tcPr>
            <w:tcW w:w="821" w:type="pct"/>
            <w:tcBorders>
              <w:bottom w:val="single" w:sz="4" w:space="0" w:color="auto"/>
            </w:tcBorders>
            <w:shd w:val="clear" w:color="auto" w:fill="auto"/>
            <w:tcMar>
              <w:top w:w="110" w:type="dxa"/>
            </w:tcMar>
          </w:tcPr>
          <w:p w:rsidR="00055B26" w:rsidRPr="000B3714" w:rsidRDefault="00055B26" w:rsidP="00271CFB">
            <w:pPr>
              <w:rPr>
                <w:rFonts w:cs="Arial"/>
                <w:i/>
                <w:sz w:val="16"/>
                <w:szCs w:val="16"/>
              </w:rPr>
            </w:pPr>
            <w:r>
              <w:rPr>
                <w:rFonts w:cs="Arial"/>
                <w:sz w:val="16"/>
                <w:szCs w:val="16"/>
              </w:rPr>
              <w:t>6</w:t>
            </w:r>
            <w:r w:rsidRPr="000B3714" w:rsidDel="0069614F">
              <w:rPr>
                <w:rFonts w:cs="Arial"/>
                <w:sz w:val="16"/>
                <w:szCs w:val="16"/>
                <w:lang w:bidi="th-TH"/>
              </w:rPr>
              <w:t xml:space="preserve"> </w:t>
            </w:r>
          </w:p>
        </w:tc>
        <w:tc>
          <w:tcPr>
            <w:tcW w:w="1268" w:type="pct"/>
            <w:tcBorders>
              <w:bottom w:val="single" w:sz="4" w:space="0" w:color="auto"/>
            </w:tcBorders>
            <w:shd w:val="clear" w:color="auto" w:fill="FFFFFF"/>
            <w:tcMar>
              <w:top w:w="110" w:type="dxa"/>
            </w:tcMar>
          </w:tcPr>
          <w:p w:rsidR="00055B26" w:rsidRDefault="00055B26" w:rsidP="00271CFB">
            <w:pPr>
              <w:rPr>
                <w:rFonts w:cs="Arial"/>
                <w:sz w:val="16"/>
                <w:szCs w:val="16"/>
                <w:lang w:bidi="th-TH"/>
              </w:rPr>
            </w:pPr>
            <w:r>
              <w:rPr>
                <w:rFonts w:cs="Arial"/>
                <w:sz w:val="16"/>
                <w:szCs w:val="16"/>
                <w:lang w:bidi="th-TH"/>
              </w:rPr>
              <w:t>9 additional</w:t>
            </w:r>
            <w:r w:rsidRPr="00FA7537">
              <w:rPr>
                <w:rFonts w:cs="Arial"/>
                <w:sz w:val="16"/>
                <w:szCs w:val="16"/>
                <w:lang w:bidi="th-TH"/>
              </w:rPr>
              <w:t xml:space="preserve"> countries</w:t>
            </w:r>
            <w:r>
              <w:rPr>
                <w:rFonts w:cs="Arial"/>
                <w:sz w:val="16"/>
                <w:szCs w:val="16"/>
                <w:lang w:bidi="th-TH"/>
              </w:rPr>
              <w:t>/ organizations</w:t>
            </w:r>
            <w:r w:rsidRPr="00FA7537">
              <w:rPr>
                <w:rFonts w:cs="Arial"/>
                <w:sz w:val="16"/>
                <w:szCs w:val="16"/>
                <w:lang w:bidi="th-TH"/>
              </w:rPr>
              <w:t xml:space="preserve"> in the process of amending and/or adopting relevant frameworks towards effective IP enforcement</w:t>
            </w:r>
            <w:r w:rsidR="00135F6B">
              <w:rPr>
                <w:rFonts w:cs="Arial"/>
                <w:sz w:val="16"/>
                <w:szCs w:val="16"/>
                <w:lang w:bidi="th-TH"/>
              </w:rPr>
              <w:t xml:space="preserve">: Africa (4), Asia and the </w:t>
            </w:r>
            <w:r w:rsidRPr="008855BE">
              <w:rPr>
                <w:rFonts w:cs="Arial"/>
                <w:sz w:val="16"/>
                <w:szCs w:val="16"/>
                <w:lang w:bidi="th-TH"/>
              </w:rPr>
              <w:t>Pacific (3), Latin America and the Caribbean (2)</w:t>
            </w:r>
          </w:p>
          <w:p w:rsidR="00055B26" w:rsidRPr="000B3714" w:rsidRDefault="00055B26" w:rsidP="00271CFB">
            <w:pPr>
              <w:rPr>
                <w:rFonts w:cs="Arial"/>
                <w:sz w:val="16"/>
                <w:szCs w:val="16"/>
              </w:rPr>
            </w:pPr>
            <w:r>
              <w:rPr>
                <w:rFonts w:cs="Arial"/>
                <w:sz w:val="16"/>
                <w:szCs w:val="16"/>
                <w:lang w:bidi="th-TH"/>
              </w:rPr>
              <w:t>(18 cumulative)</w:t>
            </w:r>
          </w:p>
        </w:tc>
        <w:tc>
          <w:tcPr>
            <w:tcW w:w="522" w:type="pct"/>
            <w:tcBorders>
              <w:bottom w:val="single" w:sz="4" w:space="0" w:color="auto"/>
            </w:tcBorders>
            <w:shd w:val="clear" w:color="auto" w:fill="auto"/>
            <w:tcMar>
              <w:top w:w="110" w:type="dxa"/>
            </w:tcMar>
          </w:tcPr>
          <w:p w:rsidR="00055B26" w:rsidRPr="00905094" w:rsidRDefault="00055B26" w:rsidP="00271CFB">
            <w:pPr>
              <w:keepNext/>
              <w:keepLines/>
              <w:jc w:val="center"/>
              <w:rPr>
                <w:rFonts w:cs="Arial"/>
                <w:b/>
                <w:bCs/>
                <w:color w:val="00B050"/>
                <w:sz w:val="16"/>
                <w:szCs w:val="16"/>
              </w:rPr>
            </w:pPr>
            <w:r w:rsidRPr="00905094">
              <w:rPr>
                <w:rFonts w:cs="Arial"/>
                <w:b/>
                <w:bCs/>
                <w:color w:val="00B050"/>
                <w:sz w:val="16"/>
                <w:szCs w:val="16"/>
              </w:rPr>
              <w:t>On track</w:t>
            </w:r>
          </w:p>
        </w:tc>
      </w:tr>
      <w:tr w:rsidR="00055B26" w:rsidRPr="000B3714" w:rsidTr="00271CFB">
        <w:trPr>
          <w:cantSplit/>
          <w:trHeight w:val="525"/>
        </w:trPr>
        <w:tc>
          <w:tcPr>
            <w:tcW w:w="5000" w:type="pct"/>
            <w:gridSpan w:val="5"/>
            <w:tcBorders>
              <w:top w:val="single" w:sz="4" w:space="0" w:color="auto"/>
              <w:bottom w:val="single" w:sz="4" w:space="0" w:color="auto"/>
            </w:tcBorders>
            <w:shd w:val="clear" w:color="auto" w:fill="CCFFFF"/>
            <w:vAlign w:val="center"/>
          </w:tcPr>
          <w:p w:rsidR="00055B26" w:rsidRPr="000B3714" w:rsidRDefault="00055B26" w:rsidP="00271CFB">
            <w:pPr>
              <w:keepNext/>
              <w:keepLines/>
              <w:tabs>
                <w:tab w:val="left" w:pos="1452"/>
              </w:tabs>
              <w:ind w:left="1452" w:hanging="1452"/>
              <w:rPr>
                <w:rFonts w:cs="Arial"/>
                <w:b/>
                <w:bCs/>
                <w:sz w:val="16"/>
                <w:szCs w:val="16"/>
              </w:rPr>
            </w:pPr>
            <w:r w:rsidRPr="000B3714">
              <w:rPr>
                <w:rFonts w:cs="Arial"/>
                <w:b/>
                <w:bCs/>
                <w:sz w:val="16"/>
                <w:szCs w:val="16"/>
              </w:rPr>
              <w:t>Expected Result:</w:t>
            </w:r>
            <w:r w:rsidRPr="000B3714">
              <w:rPr>
                <w:rFonts w:cs="Arial"/>
                <w:b/>
                <w:bCs/>
                <w:sz w:val="16"/>
                <w:szCs w:val="16"/>
              </w:rPr>
              <w:tab/>
            </w:r>
            <w:r w:rsidRPr="00905094">
              <w:rPr>
                <w:rFonts w:cs="Arial"/>
                <w:sz w:val="16"/>
                <w:szCs w:val="16"/>
              </w:rPr>
              <w:t>III.2 Enhanced human resource capacities able to deal with the broad range of requirements for the effective use of IP for development in developing countries, LDCs and countries with economies in transition</w:t>
            </w:r>
          </w:p>
        </w:tc>
      </w:tr>
      <w:tr w:rsidR="00055B26" w:rsidRPr="000B3714" w:rsidTr="00271CFB">
        <w:trPr>
          <w:cantSplit/>
        </w:trPr>
        <w:tc>
          <w:tcPr>
            <w:tcW w:w="1121" w:type="pct"/>
            <w:tcBorders>
              <w:top w:val="single" w:sz="4" w:space="0" w:color="auto"/>
              <w:left w:val="single" w:sz="4" w:space="0" w:color="auto"/>
              <w:bottom w:val="nil"/>
            </w:tcBorders>
            <w:shd w:val="clear" w:color="auto" w:fill="auto"/>
            <w:vAlign w:val="center"/>
          </w:tcPr>
          <w:p w:rsidR="00055B26" w:rsidRPr="000B3714" w:rsidRDefault="00055B26" w:rsidP="00271CFB">
            <w:pPr>
              <w:rPr>
                <w:rFonts w:cs="Arial"/>
                <w:sz w:val="16"/>
                <w:szCs w:val="16"/>
              </w:rPr>
            </w:pPr>
            <w:r w:rsidRPr="000B3714">
              <w:rPr>
                <w:rFonts w:cs="Arial"/>
                <w:b/>
                <w:bCs/>
                <w:sz w:val="16"/>
                <w:szCs w:val="16"/>
              </w:rPr>
              <w:t>Performance Indicators</w:t>
            </w:r>
          </w:p>
        </w:tc>
        <w:tc>
          <w:tcPr>
            <w:tcW w:w="1269" w:type="pct"/>
            <w:tcBorders>
              <w:top w:val="single" w:sz="4" w:space="0" w:color="auto"/>
              <w:bottom w:val="nil"/>
            </w:tcBorders>
            <w:shd w:val="clear" w:color="auto" w:fill="auto"/>
            <w:vAlign w:val="center"/>
          </w:tcPr>
          <w:p w:rsidR="00055B26" w:rsidRPr="000B3714" w:rsidRDefault="00055B26" w:rsidP="00271CFB">
            <w:pPr>
              <w:rPr>
                <w:rFonts w:cs="Arial"/>
                <w:b/>
                <w:bCs/>
                <w:sz w:val="16"/>
                <w:szCs w:val="16"/>
              </w:rPr>
            </w:pPr>
            <w:r w:rsidRPr="000B3714">
              <w:rPr>
                <w:rFonts w:cs="Arial"/>
                <w:b/>
                <w:bCs/>
                <w:sz w:val="16"/>
                <w:szCs w:val="16"/>
              </w:rPr>
              <w:t>Baselines</w:t>
            </w:r>
          </w:p>
        </w:tc>
        <w:tc>
          <w:tcPr>
            <w:tcW w:w="821" w:type="pct"/>
            <w:tcBorders>
              <w:top w:val="single" w:sz="4" w:space="0" w:color="auto"/>
              <w:bottom w:val="nil"/>
            </w:tcBorders>
            <w:shd w:val="clear" w:color="auto" w:fill="auto"/>
            <w:tcMar>
              <w:top w:w="110" w:type="dxa"/>
            </w:tcMar>
            <w:vAlign w:val="center"/>
          </w:tcPr>
          <w:p w:rsidR="00055B26" w:rsidRPr="000B3714" w:rsidRDefault="00055B26" w:rsidP="00271CFB">
            <w:pPr>
              <w:rPr>
                <w:rFonts w:cs="Arial"/>
                <w:b/>
                <w:sz w:val="16"/>
                <w:szCs w:val="16"/>
              </w:rPr>
            </w:pPr>
            <w:r w:rsidRPr="000B3714">
              <w:rPr>
                <w:rFonts w:cs="Arial"/>
                <w:b/>
                <w:sz w:val="16"/>
                <w:szCs w:val="16"/>
              </w:rPr>
              <w:t>Targets</w:t>
            </w:r>
          </w:p>
        </w:tc>
        <w:tc>
          <w:tcPr>
            <w:tcW w:w="1268" w:type="pct"/>
            <w:tcBorders>
              <w:top w:val="single" w:sz="4" w:space="0" w:color="auto"/>
              <w:bottom w:val="nil"/>
            </w:tcBorders>
            <w:shd w:val="clear" w:color="auto" w:fill="FFFFFF"/>
            <w:tcMar>
              <w:top w:w="110" w:type="dxa"/>
            </w:tcMar>
            <w:vAlign w:val="center"/>
          </w:tcPr>
          <w:p w:rsidR="00055B26" w:rsidRPr="000B3714" w:rsidRDefault="00055B26" w:rsidP="00271CFB">
            <w:pPr>
              <w:rPr>
                <w:rFonts w:cs="Arial"/>
                <w:sz w:val="16"/>
                <w:szCs w:val="16"/>
              </w:rPr>
            </w:pPr>
            <w:r w:rsidRPr="000B3714">
              <w:rPr>
                <w:rFonts w:cs="Arial"/>
                <w:b/>
                <w:bCs/>
                <w:sz w:val="16"/>
                <w:szCs w:val="16"/>
              </w:rPr>
              <w:t>Performance Data</w:t>
            </w:r>
          </w:p>
        </w:tc>
        <w:tc>
          <w:tcPr>
            <w:tcW w:w="522" w:type="pct"/>
            <w:tcBorders>
              <w:top w:val="single" w:sz="4" w:space="0" w:color="auto"/>
              <w:bottom w:val="nil"/>
              <w:right w:val="single" w:sz="4" w:space="0" w:color="auto"/>
            </w:tcBorders>
            <w:shd w:val="clear" w:color="auto" w:fill="auto"/>
            <w:tcMar>
              <w:top w:w="110" w:type="dxa"/>
            </w:tcMar>
            <w:vAlign w:val="center"/>
          </w:tcPr>
          <w:p w:rsidR="00055B26" w:rsidRPr="000B3714" w:rsidRDefault="00055B26" w:rsidP="00271CFB">
            <w:pPr>
              <w:keepNext/>
              <w:keepLines/>
              <w:jc w:val="center"/>
              <w:rPr>
                <w:rFonts w:cs="Arial"/>
                <w:b/>
                <w:bCs/>
                <w:sz w:val="16"/>
                <w:szCs w:val="16"/>
              </w:rPr>
            </w:pPr>
            <w:r w:rsidRPr="000B3714">
              <w:rPr>
                <w:rFonts w:cs="Arial"/>
                <w:b/>
                <w:bCs/>
                <w:sz w:val="16"/>
                <w:szCs w:val="16"/>
              </w:rPr>
              <w:t>TLS</w:t>
            </w:r>
          </w:p>
        </w:tc>
      </w:tr>
      <w:tr w:rsidR="00055B26" w:rsidRPr="000B3714" w:rsidTr="00271CFB">
        <w:trPr>
          <w:cantSplit/>
        </w:trPr>
        <w:tc>
          <w:tcPr>
            <w:tcW w:w="1121" w:type="pct"/>
            <w:tcBorders>
              <w:top w:val="nil"/>
              <w:left w:val="single" w:sz="4" w:space="0" w:color="auto"/>
              <w:bottom w:val="nil"/>
            </w:tcBorders>
            <w:shd w:val="clear" w:color="auto" w:fill="auto"/>
          </w:tcPr>
          <w:p w:rsidR="00055B26" w:rsidRPr="000B3714" w:rsidRDefault="00055B26" w:rsidP="00271CFB">
            <w:pPr>
              <w:rPr>
                <w:rFonts w:cs="Arial"/>
                <w:sz w:val="16"/>
                <w:szCs w:val="16"/>
              </w:rPr>
            </w:pPr>
            <w:r w:rsidRPr="00905094">
              <w:rPr>
                <w:rFonts w:cs="Arial"/>
                <w:color w:val="000000"/>
                <w:sz w:val="16"/>
                <w:szCs w:val="16"/>
                <w:lang w:bidi="th-TH"/>
              </w:rPr>
              <w:t>% of trained participants that report satisfaction with the usefulness and relevance of the training provided for their professional life</w:t>
            </w:r>
          </w:p>
        </w:tc>
        <w:tc>
          <w:tcPr>
            <w:tcW w:w="1269" w:type="pct"/>
            <w:tcBorders>
              <w:top w:val="nil"/>
              <w:bottom w:val="nil"/>
            </w:tcBorders>
            <w:shd w:val="clear" w:color="auto" w:fill="auto"/>
          </w:tcPr>
          <w:p w:rsidR="00055B26" w:rsidRPr="000B3714" w:rsidRDefault="00055B26" w:rsidP="00271CFB">
            <w:pPr>
              <w:rPr>
                <w:rFonts w:cs="Arial"/>
                <w:i/>
                <w:color w:val="002060"/>
                <w:sz w:val="16"/>
                <w:szCs w:val="16"/>
              </w:rPr>
            </w:pPr>
            <w:r>
              <w:rPr>
                <w:rFonts w:cs="Arial"/>
                <w:i/>
                <w:color w:val="002060"/>
                <w:sz w:val="16"/>
                <w:szCs w:val="16"/>
              </w:rPr>
              <w:t>Updated Baseline end 2013</w:t>
            </w:r>
            <w:r w:rsidRPr="000B3714">
              <w:rPr>
                <w:rFonts w:cs="Arial"/>
                <w:i/>
                <w:color w:val="002060"/>
                <w:sz w:val="16"/>
                <w:szCs w:val="16"/>
              </w:rPr>
              <w:t xml:space="preserve">:  </w:t>
            </w:r>
          </w:p>
          <w:p w:rsidR="00055B26" w:rsidRDefault="00055B26" w:rsidP="00271CFB">
            <w:pPr>
              <w:rPr>
                <w:rFonts w:cs="Arial"/>
                <w:color w:val="002060"/>
                <w:sz w:val="16"/>
                <w:szCs w:val="16"/>
                <w:lang w:eastAsia="ko-KR" w:bidi="th-TH"/>
              </w:rPr>
            </w:pPr>
            <w:r>
              <w:rPr>
                <w:rFonts w:cs="Arial"/>
                <w:color w:val="002060"/>
                <w:sz w:val="16"/>
                <w:szCs w:val="16"/>
                <w:lang w:eastAsia="ko-KR" w:bidi="th-TH"/>
              </w:rPr>
              <w:t>8</w:t>
            </w:r>
            <w:r w:rsidRPr="00905094">
              <w:rPr>
                <w:rFonts w:cs="Arial"/>
                <w:color w:val="002060"/>
                <w:sz w:val="16"/>
                <w:szCs w:val="16"/>
                <w:lang w:eastAsia="ko-KR" w:bidi="th-TH"/>
              </w:rPr>
              <w:t>5%</w:t>
            </w:r>
          </w:p>
          <w:p w:rsidR="00055B26" w:rsidRPr="001E0812" w:rsidRDefault="00055B26" w:rsidP="00271CFB">
            <w:pPr>
              <w:rPr>
                <w:rFonts w:cs="Arial"/>
                <w:i/>
                <w:sz w:val="8"/>
                <w:szCs w:val="8"/>
              </w:rPr>
            </w:pPr>
          </w:p>
          <w:p w:rsidR="00055B26" w:rsidRPr="000B3714" w:rsidRDefault="00055B26" w:rsidP="00271CFB">
            <w:pPr>
              <w:rPr>
                <w:rFonts w:cs="Arial"/>
                <w:sz w:val="16"/>
                <w:szCs w:val="16"/>
                <w:lang w:bidi="th-TH"/>
              </w:rPr>
            </w:pPr>
            <w:r>
              <w:rPr>
                <w:rFonts w:cs="Arial"/>
                <w:i/>
                <w:sz w:val="16"/>
                <w:szCs w:val="16"/>
              </w:rPr>
              <w:t>Original Baseline P&amp;B 2014/15</w:t>
            </w:r>
            <w:r w:rsidRPr="000B3714">
              <w:rPr>
                <w:rFonts w:cs="Arial"/>
                <w:i/>
                <w:sz w:val="16"/>
                <w:szCs w:val="16"/>
              </w:rPr>
              <w:t>:</w:t>
            </w:r>
            <w:r w:rsidRPr="000B3714">
              <w:rPr>
                <w:rFonts w:cs="Arial"/>
                <w:sz w:val="16"/>
                <w:szCs w:val="16"/>
              </w:rPr>
              <w:br/>
            </w:r>
            <w:r w:rsidRPr="00905094">
              <w:rPr>
                <w:rFonts w:cs="Arial"/>
                <w:sz w:val="16"/>
                <w:szCs w:val="16"/>
                <w:lang w:bidi="th-TH"/>
              </w:rPr>
              <w:t>75%</w:t>
            </w:r>
          </w:p>
          <w:p w:rsidR="00055B26" w:rsidRPr="000B3714" w:rsidRDefault="00055B26" w:rsidP="00271CFB">
            <w:pPr>
              <w:rPr>
                <w:rFonts w:cs="Arial"/>
                <w:sz w:val="16"/>
                <w:szCs w:val="16"/>
              </w:rPr>
            </w:pPr>
          </w:p>
        </w:tc>
        <w:tc>
          <w:tcPr>
            <w:tcW w:w="821" w:type="pct"/>
            <w:tcBorders>
              <w:top w:val="nil"/>
              <w:bottom w:val="nil"/>
            </w:tcBorders>
            <w:shd w:val="clear" w:color="auto" w:fill="auto"/>
            <w:tcMar>
              <w:top w:w="110" w:type="dxa"/>
            </w:tcMar>
          </w:tcPr>
          <w:p w:rsidR="00055B26" w:rsidRPr="000B3714" w:rsidRDefault="00055B26" w:rsidP="00271CFB">
            <w:pPr>
              <w:rPr>
                <w:rFonts w:cs="Arial"/>
                <w:i/>
                <w:sz w:val="16"/>
                <w:szCs w:val="16"/>
              </w:rPr>
            </w:pPr>
            <w:r w:rsidRPr="00905094">
              <w:rPr>
                <w:rFonts w:cs="Arial"/>
                <w:sz w:val="16"/>
                <w:szCs w:val="16"/>
                <w:lang w:bidi="th-TH"/>
              </w:rPr>
              <w:t>75%</w:t>
            </w:r>
          </w:p>
        </w:tc>
        <w:tc>
          <w:tcPr>
            <w:tcW w:w="1268" w:type="pct"/>
            <w:tcBorders>
              <w:top w:val="nil"/>
              <w:bottom w:val="nil"/>
            </w:tcBorders>
            <w:shd w:val="clear" w:color="auto" w:fill="FFFFFF"/>
            <w:tcMar>
              <w:top w:w="110" w:type="dxa"/>
            </w:tcMar>
          </w:tcPr>
          <w:p w:rsidR="00055B26" w:rsidRPr="00905094" w:rsidRDefault="00055B26" w:rsidP="00271CFB">
            <w:pPr>
              <w:pStyle w:val="ListParagraph"/>
              <w:tabs>
                <w:tab w:val="left" w:pos="307"/>
              </w:tabs>
              <w:ind w:left="24"/>
              <w:rPr>
                <w:rFonts w:cs="Arial"/>
                <w:sz w:val="16"/>
                <w:szCs w:val="16"/>
                <w:lang w:bidi="th-TH"/>
              </w:rPr>
            </w:pPr>
            <w:r w:rsidRPr="00905094">
              <w:rPr>
                <w:rFonts w:cs="Arial"/>
                <w:sz w:val="16"/>
                <w:szCs w:val="16"/>
                <w:lang w:bidi="th-TH"/>
              </w:rPr>
              <w:t xml:space="preserve">An </w:t>
            </w:r>
            <w:r>
              <w:rPr>
                <w:rFonts w:cs="Arial"/>
                <w:sz w:val="16"/>
                <w:szCs w:val="16"/>
                <w:lang w:bidi="th-TH"/>
              </w:rPr>
              <w:t xml:space="preserve">average of 90% of participants </w:t>
            </w:r>
            <w:r w:rsidRPr="00905094">
              <w:rPr>
                <w:rFonts w:cs="Arial"/>
                <w:sz w:val="16"/>
                <w:szCs w:val="16"/>
                <w:lang w:bidi="th-TH"/>
              </w:rPr>
              <w:t>reported that they found the training useful for their professional life.</w:t>
            </w:r>
          </w:p>
          <w:p w:rsidR="00055B26" w:rsidRPr="00905094" w:rsidRDefault="00055B26" w:rsidP="00271CFB">
            <w:pPr>
              <w:pStyle w:val="ListParagraph"/>
              <w:tabs>
                <w:tab w:val="left" w:pos="307"/>
              </w:tabs>
              <w:ind w:left="307" w:hanging="283"/>
              <w:rPr>
                <w:rFonts w:cs="Arial"/>
                <w:sz w:val="16"/>
                <w:szCs w:val="16"/>
                <w:lang w:bidi="th-TH"/>
              </w:rPr>
            </w:pPr>
          </w:p>
          <w:p w:rsidR="00055B26" w:rsidRPr="000B3714" w:rsidRDefault="00055B26" w:rsidP="00055B26">
            <w:pPr>
              <w:pStyle w:val="ListParagraph"/>
              <w:tabs>
                <w:tab w:val="left" w:pos="307"/>
              </w:tabs>
              <w:ind w:left="24"/>
              <w:rPr>
                <w:rFonts w:cs="Arial"/>
                <w:sz w:val="16"/>
                <w:szCs w:val="16"/>
              </w:rPr>
            </w:pPr>
            <w:r>
              <w:rPr>
                <w:rFonts w:cs="Arial"/>
                <w:sz w:val="16"/>
                <w:szCs w:val="16"/>
                <w:lang w:bidi="th-TH"/>
              </w:rPr>
              <w:t xml:space="preserve">An average of 90% </w:t>
            </w:r>
            <w:r w:rsidRPr="00905094">
              <w:rPr>
                <w:rFonts w:cs="Arial"/>
                <w:sz w:val="16"/>
                <w:szCs w:val="16"/>
                <w:lang w:bidi="th-TH"/>
              </w:rPr>
              <w:t>of participants reported that they were satisfied with the training.</w:t>
            </w:r>
            <w:r w:rsidRPr="000B3714">
              <w:rPr>
                <w:rFonts w:cs="Arial"/>
                <w:sz w:val="16"/>
                <w:szCs w:val="16"/>
                <w:lang w:bidi="th-TH"/>
              </w:rPr>
              <w:t xml:space="preserve"> </w:t>
            </w:r>
          </w:p>
        </w:tc>
        <w:tc>
          <w:tcPr>
            <w:tcW w:w="522" w:type="pct"/>
            <w:tcBorders>
              <w:top w:val="nil"/>
              <w:bottom w:val="nil"/>
              <w:right w:val="single" w:sz="4" w:space="0" w:color="auto"/>
            </w:tcBorders>
            <w:shd w:val="clear" w:color="auto" w:fill="auto"/>
            <w:tcMar>
              <w:top w:w="110" w:type="dxa"/>
            </w:tcMar>
          </w:tcPr>
          <w:p w:rsidR="00055B26" w:rsidRPr="000B3714" w:rsidRDefault="00055B26" w:rsidP="00271CFB">
            <w:pPr>
              <w:keepNext/>
              <w:keepLines/>
              <w:jc w:val="center"/>
              <w:rPr>
                <w:rFonts w:cs="Arial"/>
                <w:bCs/>
                <w:color w:val="808080"/>
                <w:sz w:val="16"/>
                <w:szCs w:val="16"/>
              </w:rPr>
            </w:pPr>
            <w:r w:rsidRPr="00905094">
              <w:rPr>
                <w:rFonts w:cs="Arial"/>
                <w:b/>
                <w:bCs/>
                <w:color w:val="00B050"/>
                <w:sz w:val="16"/>
                <w:szCs w:val="16"/>
              </w:rPr>
              <w:t>On track</w:t>
            </w:r>
          </w:p>
        </w:tc>
      </w:tr>
      <w:tr w:rsidR="00055B26" w:rsidRPr="000B3714" w:rsidTr="00271CFB">
        <w:trPr>
          <w:cantSplit/>
        </w:trPr>
        <w:tc>
          <w:tcPr>
            <w:tcW w:w="1121" w:type="pct"/>
            <w:tcBorders>
              <w:top w:val="nil"/>
              <w:left w:val="single" w:sz="4" w:space="0" w:color="auto"/>
              <w:bottom w:val="nil"/>
            </w:tcBorders>
            <w:shd w:val="clear" w:color="auto" w:fill="auto"/>
          </w:tcPr>
          <w:p w:rsidR="00055B26" w:rsidRPr="00905094" w:rsidRDefault="00055B26" w:rsidP="00271CFB">
            <w:pPr>
              <w:rPr>
                <w:rFonts w:cs="Arial"/>
                <w:color w:val="000000"/>
                <w:sz w:val="16"/>
                <w:szCs w:val="16"/>
                <w:lang w:bidi="th-TH"/>
              </w:rPr>
            </w:pPr>
            <w:r w:rsidRPr="00905094">
              <w:rPr>
                <w:rFonts w:cs="Arial"/>
                <w:color w:val="000000"/>
                <w:sz w:val="16"/>
                <w:szCs w:val="16"/>
                <w:lang w:bidi="th-TH"/>
              </w:rPr>
              <w:t>% of targeted audience who have demonstrated a basic knowledge of a balanced IP system further to WIPO activities</w:t>
            </w:r>
          </w:p>
        </w:tc>
        <w:tc>
          <w:tcPr>
            <w:tcW w:w="1269" w:type="pct"/>
            <w:tcBorders>
              <w:top w:val="nil"/>
              <w:bottom w:val="nil"/>
            </w:tcBorders>
            <w:shd w:val="clear" w:color="auto" w:fill="auto"/>
          </w:tcPr>
          <w:p w:rsidR="00055B26" w:rsidRPr="00845557" w:rsidRDefault="00055B26" w:rsidP="00271CFB">
            <w:pPr>
              <w:rPr>
                <w:rFonts w:cs="Arial"/>
                <w:i/>
                <w:color w:val="002060"/>
                <w:sz w:val="16"/>
                <w:szCs w:val="16"/>
                <w:lang w:val="pt-BR"/>
              </w:rPr>
            </w:pPr>
            <w:r w:rsidRPr="00845557">
              <w:rPr>
                <w:rFonts w:cs="Arial"/>
                <w:sz w:val="16"/>
                <w:szCs w:val="16"/>
                <w:lang w:val="pt-BR"/>
              </w:rPr>
              <w:t>n/a</w:t>
            </w:r>
          </w:p>
        </w:tc>
        <w:tc>
          <w:tcPr>
            <w:tcW w:w="821" w:type="pct"/>
            <w:tcBorders>
              <w:top w:val="nil"/>
              <w:bottom w:val="nil"/>
            </w:tcBorders>
            <w:shd w:val="clear" w:color="auto" w:fill="auto"/>
            <w:tcMar>
              <w:top w:w="110" w:type="dxa"/>
            </w:tcMar>
          </w:tcPr>
          <w:p w:rsidR="00055B26" w:rsidRPr="00905094" w:rsidRDefault="00055B26" w:rsidP="00271CFB">
            <w:pPr>
              <w:rPr>
                <w:rFonts w:cs="Arial"/>
                <w:sz w:val="16"/>
                <w:szCs w:val="16"/>
                <w:lang w:bidi="th-TH"/>
              </w:rPr>
            </w:pPr>
            <w:r w:rsidRPr="00905094">
              <w:rPr>
                <w:rFonts w:cs="Arial"/>
                <w:sz w:val="16"/>
                <w:szCs w:val="16"/>
                <w:lang w:bidi="th-TH"/>
              </w:rPr>
              <w:t>75%</w:t>
            </w:r>
          </w:p>
        </w:tc>
        <w:tc>
          <w:tcPr>
            <w:tcW w:w="1268" w:type="pct"/>
            <w:tcBorders>
              <w:top w:val="nil"/>
              <w:bottom w:val="nil"/>
            </w:tcBorders>
            <w:shd w:val="clear" w:color="auto" w:fill="FFFFFF"/>
            <w:tcMar>
              <w:top w:w="110" w:type="dxa"/>
            </w:tcMar>
          </w:tcPr>
          <w:p w:rsidR="00055B26" w:rsidRPr="00905094" w:rsidRDefault="00055B26" w:rsidP="00271CFB">
            <w:pPr>
              <w:pStyle w:val="ListParagraph"/>
              <w:tabs>
                <w:tab w:val="left" w:pos="307"/>
              </w:tabs>
              <w:ind w:left="24"/>
              <w:rPr>
                <w:rFonts w:cs="Arial"/>
                <w:sz w:val="16"/>
                <w:szCs w:val="16"/>
                <w:lang w:bidi="th-TH"/>
              </w:rPr>
            </w:pPr>
            <w:r w:rsidRPr="00905094">
              <w:rPr>
                <w:rFonts w:cs="Arial"/>
                <w:sz w:val="16"/>
                <w:szCs w:val="16"/>
                <w:lang w:bidi="th-TH"/>
              </w:rPr>
              <w:t>&gt;75%</w:t>
            </w:r>
          </w:p>
        </w:tc>
        <w:tc>
          <w:tcPr>
            <w:tcW w:w="522" w:type="pct"/>
            <w:tcBorders>
              <w:top w:val="nil"/>
              <w:bottom w:val="nil"/>
              <w:right w:val="single" w:sz="4" w:space="0" w:color="auto"/>
            </w:tcBorders>
            <w:shd w:val="clear" w:color="auto" w:fill="auto"/>
            <w:tcMar>
              <w:top w:w="110" w:type="dxa"/>
            </w:tcMar>
          </w:tcPr>
          <w:p w:rsidR="00055B26" w:rsidRPr="00905094" w:rsidRDefault="00055B26" w:rsidP="00271CFB">
            <w:pPr>
              <w:keepNext/>
              <w:keepLines/>
              <w:jc w:val="center"/>
              <w:rPr>
                <w:rFonts w:cs="Arial"/>
                <w:b/>
                <w:bCs/>
                <w:color w:val="00B050"/>
                <w:sz w:val="16"/>
                <w:szCs w:val="16"/>
              </w:rPr>
            </w:pPr>
            <w:r w:rsidRPr="00905094">
              <w:rPr>
                <w:rFonts w:cs="Arial"/>
                <w:b/>
                <w:bCs/>
                <w:color w:val="00B050"/>
                <w:sz w:val="16"/>
                <w:szCs w:val="16"/>
              </w:rPr>
              <w:t>On track</w:t>
            </w:r>
          </w:p>
        </w:tc>
      </w:tr>
      <w:tr w:rsidR="00055B26" w:rsidRPr="000B3714" w:rsidTr="00271CFB">
        <w:trPr>
          <w:cantSplit/>
        </w:trPr>
        <w:tc>
          <w:tcPr>
            <w:tcW w:w="1121" w:type="pct"/>
            <w:tcBorders>
              <w:top w:val="nil"/>
              <w:left w:val="single" w:sz="4" w:space="0" w:color="auto"/>
              <w:bottom w:val="single" w:sz="4" w:space="0" w:color="auto"/>
            </w:tcBorders>
            <w:shd w:val="clear" w:color="auto" w:fill="auto"/>
          </w:tcPr>
          <w:p w:rsidR="00055B26" w:rsidRPr="00905094" w:rsidRDefault="00055B26" w:rsidP="00271CFB">
            <w:pPr>
              <w:rPr>
                <w:rFonts w:cs="Arial"/>
                <w:color w:val="000000"/>
                <w:sz w:val="16"/>
                <w:szCs w:val="16"/>
                <w:lang w:bidi="th-TH"/>
              </w:rPr>
            </w:pPr>
            <w:r w:rsidRPr="00905094">
              <w:rPr>
                <w:rFonts w:cs="Arial"/>
                <w:color w:val="000000"/>
                <w:sz w:val="16"/>
                <w:szCs w:val="16"/>
                <w:lang w:bidi="th-TH"/>
              </w:rPr>
              <w:t>No. of countries participating in WIPO Awards Program</w:t>
            </w:r>
          </w:p>
        </w:tc>
        <w:tc>
          <w:tcPr>
            <w:tcW w:w="1269" w:type="pct"/>
            <w:tcBorders>
              <w:top w:val="nil"/>
              <w:bottom w:val="single" w:sz="4" w:space="0" w:color="auto"/>
            </w:tcBorders>
            <w:shd w:val="clear" w:color="auto" w:fill="auto"/>
          </w:tcPr>
          <w:p w:rsidR="00055B26" w:rsidRPr="000B3714" w:rsidRDefault="00055B26" w:rsidP="00271CFB">
            <w:pPr>
              <w:rPr>
                <w:rFonts w:cs="Arial"/>
                <w:i/>
                <w:color w:val="002060"/>
                <w:sz w:val="16"/>
                <w:szCs w:val="16"/>
              </w:rPr>
            </w:pPr>
            <w:r>
              <w:rPr>
                <w:rFonts w:cs="Arial"/>
                <w:i/>
                <w:color w:val="002060"/>
                <w:sz w:val="16"/>
                <w:szCs w:val="16"/>
              </w:rPr>
              <w:t>Updated Baseline end 2013</w:t>
            </w:r>
            <w:r w:rsidRPr="000B3714">
              <w:rPr>
                <w:rFonts w:cs="Arial"/>
                <w:i/>
                <w:color w:val="002060"/>
                <w:sz w:val="16"/>
                <w:szCs w:val="16"/>
              </w:rPr>
              <w:t xml:space="preserve">:  </w:t>
            </w:r>
            <w:r>
              <w:rPr>
                <w:rFonts w:cs="Arial"/>
                <w:i/>
                <w:color w:val="002060"/>
                <w:sz w:val="16"/>
                <w:szCs w:val="16"/>
              </w:rPr>
              <w:t>42 in 2013</w:t>
            </w:r>
          </w:p>
          <w:p w:rsidR="00055B26" w:rsidRPr="001E0812" w:rsidRDefault="00055B26" w:rsidP="00271CFB">
            <w:pPr>
              <w:rPr>
                <w:rFonts w:cs="Arial"/>
                <w:i/>
                <w:sz w:val="8"/>
                <w:szCs w:val="8"/>
              </w:rPr>
            </w:pPr>
          </w:p>
          <w:p w:rsidR="00055B26" w:rsidRDefault="00055B26" w:rsidP="00055B26">
            <w:pPr>
              <w:rPr>
                <w:rFonts w:cs="Arial"/>
                <w:i/>
                <w:color w:val="002060"/>
                <w:sz w:val="16"/>
                <w:szCs w:val="16"/>
              </w:rPr>
            </w:pPr>
            <w:r>
              <w:rPr>
                <w:rFonts w:cs="Arial"/>
                <w:i/>
                <w:sz w:val="16"/>
                <w:szCs w:val="16"/>
              </w:rPr>
              <w:t>Original Baseline P&amp;B 2014/15</w:t>
            </w:r>
            <w:r w:rsidRPr="000B3714">
              <w:rPr>
                <w:rFonts w:cs="Arial"/>
                <w:i/>
                <w:sz w:val="16"/>
                <w:szCs w:val="16"/>
              </w:rPr>
              <w:t>:</w:t>
            </w:r>
            <w:r w:rsidRPr="000B3714">
              <w:rPr>
                <w:rFonts w:cs="Arial"/>
                <w:sz w:val="16"/>
                <w:szCs w:val="16"/>
              </w:rPr>
              <w:br/>
            </w:r>
            <w:r w:rsidRPr="00905094">
              <w:rPr>
                <w:rFonts w:cs="Arial"/>
                <w:sz w:val="16"/>
                <w:szCs w:val="16"/>
                <w:lang w:bidi="th-TH"/>
              </w:rPr>
              <w:t>40 per year</w:t>
            </w:r>
          </w:p>
        </w:tc>
        <w:tc>
          <w:tcPr>
            <w:tcW w:w="821" w:type="pct"/>
            <w:tcBorders>
              <w:top w:val="nil"/>
              <w:bottom w:val="single" w:sz="4" w:space="0" w:color="auto"/>
            </w:tcBorders>
            <w:shd w:val="clear" w:color="auto" w:fill="auto"/>
            <w:tcMar>
              <w:top w:w="110" w:type="dxa"/>
            </w:tcMar>
          </w:tcPr>
          <w:p w:rsidR="00055B26" w:rsidRPr="00905094" w:rsidRDefault="00055B26" w:rsidP="00271CFB">
            <w:pPr>
              <w:rPr>
                <w:rFonts w:cs="Arial"/>
                <w:sz w:val="16"/>
                <w:szCs w:val="16"/>
                <w:lang w:bidi="th-TH"/>
              </w:rPr>
            </w:pPr>
            <w:r w:rsidRPr="00905094">
              <w:rPr>
                <w:rFonts w:cs="Arial"/>
                <w:sz w:val="16"/>
                <w:szCs w:val="16"/>
                <w:lang w:bidi="th-TH"/>
              </w:rPr>
              <w:t xml:space="preserve">40 </w:t>
            </w:r>
            <w:r w:rsidRPr="00EA58EF">
              <w:rPr>
                <w:rFonts w:cs="Arial"/>
                <w:i/>
                <w:sz w:val="16"/>
                <w:szCs w:val="16"/>
                <w:lang w:bidi="th-TH"/>
              </w:rPr>
              <w:t>per</w:t>
            </w:r>
            <w:r w:rsidRPr="00905094">
              <w:rPr>
                <w:rFonts w:cs="Arial"/>
                <w:sz w:val="16"/>
                <w:szCs w:val="16"/>
                <w:lang w:bidi="th-TH"/>
              </w:rPr>
              <w:t xml:space="preserve"> year</w:t>
            </w:r>
          </w:p>
        </w:tc>
        <w:tc>
          <w:tcPr>
            <w:tcW w:w="1268" w:type="pct"/>
            <w:tcBorders>
              <w:top w:val="nil"/>
              <w:bottom w:val="single" w:sz="4" w:space="0" w:color="auto"/>
            </w:tcBorders>
            <w:shd w:val="clear" w:color="auto" w:fill="FFFFFF"/>
            <w:tcMar>
              <w:top w:w="110" w:type="dxa"/>
            </w:tcMar>
          </w:tcPr>
          <w:p w:rsidR="00055B26" w:rsidRPr="00905094" w:rsidRDefault="00055B26" w:rsidP="00271CFB">
            <w:pPr>
              <w:pStyle w:val="ListParagraph"/>
              <w:tabs>
                <w:tab w:val="left" w:pos="307"/>
              </w:tabs>
              <w:ind w:left="24"/>
              <w:rPr>
                <w:rFonts w:cs="Arial"/>
                <w:sz w:val="16"/>
                <w:szCs w:val="16"/>
                <w:lang w:bidi="th-TH"/>
              </w:rPr>
            </w:pPr>
            <w:r w:rsidRPr="00905094">
              <w:rPr>
                <w:rFonts w:cs="Arial"/>
                <w:sz w:val="16"/>
                <w:szCs w:val="16"/>
                <w:lang w:bidi="th-TH"/>
              </w:rPr>
              <w:t>38 in 2014</w:t>
            </w:r>
          </w:p>
        </w:tc>
        <w:tc>
          <w:tcPr>
            <w:tcW w:w="522" w:type="pct"/>
            <w:tcBorders>
              <w:top w:val="nil"/>
              <w:bottom w:val="single" w:sz="4" w:space="0" w:color="auto"/>
              <w:right w:val="single" w:sz="4" w:space="0" w:color="auto"/>
            </w:tcBorders>
            <w:shd w:val="clear" w:color="auto" w:fill="auto"/>
            <w:tcMar>
              <w:top w:w="110" w:type="dxa"/>
            </w:tcMar>
          </w:tcPr>
          <w:p w:rsidR="00055B26" w:rsidRPr="00905094" w:rsidRDefault="00055B26" w:rsidP="00271CFB">
            <w:pPr>
              <w:keepNext/>
              <w:keepLines/>
              <w:jc w:val="center"/>
              <w:rPr>
                <w:rFonts w:cs="Arial"/>
                <w:b/>
                <w:bCs/>
                <w:color w:val="00B050"/>
                <w:sz w:val="16"/>
                <w:szCs w:val="16"/>
              </w:rPr>
            </w:pPr>
            <w:r w:rsidRPr="00905094">
              <w:rPr>
                <w:rFonts w:cs="Arial"/>
                <w:b/>
                <w:bCs/>
                <w:color w:val="00B050"/>
                <w:sz w:val="16"/>
                <w:szCs w:val="16"/>
              </w:rPr>
              <w:t>On track</w:t>
            </w:r>
          </w:p>
        </w:tc>
      </w:tr>
      <w:tr w:rsidR="00055B26" w:rsidRPr="000B3714" w:rsidTr="00271CFB">
        <w:trPr>
          <w:cantSplit/>
          <w:trHeight w:val="513"/>
        </w:trPr>
        <w:tc>
          <w:tcPr>
            <w:tcW w:w="5000" w:type="pct"/>
            <w:gridSpan w:val="5"/>
            <w:tcBorders>
              <w:top w:val="single" w:sz="4" w:space="0" w:color="auto"/>
              <w:bottom w:val="single" w:sz="4" w:space="0" w:color="auto"/>
            </w:tcBorders>
            <w:shd w:val="clear" w:color="auto" w:fill="CCFFFF"/>
            <w:vAlign w:val="center"/>
          </w:tcPr>
          <w:p w:rsidR="00055B26" w:rsidRPr="000B3714" w:rsidRDefault="00055B26" w:rsidP="00271CFB">
            <w:pPr>
              <w:keepNext/>
              <w:keepLines/>
              <w:tabs>
                <w:tab w:val="left" w:pos="1452"/>
              </w:tabs>
              <w:ind w:left="1452" w:hanging="1452"/>
              <w:rPr>
                <w:rFonts w:cs="Arial"/>
                <w:b/>
                <w:bCs/>
                <w:sz w:val="16"/>
                <w:szCs w:val="16"/>
              </w:rPr>
            </w:pPr>
            <w:r w:rsidRPr="000B3714">
              <w:rPr>
                <w:rFonts w:cs="Arial"/>
                <w:b/>
                <w:bCs/>
                <w:sz w:val="16"/>
                <w:szCs w:val="16"/>
              </w:rPr>
              <w:t>Expected Result:</w:t>
            </w:r>
            <w:r w:rsidRPr="000B3714">
              <w:rPr>
                <w:rFonts w:cs="Arial"/>
                <w:b/>
                <w:bCs/>
                <w:sz w:val="16"/>
                <w:szCs w:val="16"/>
              </w:rPr>
              <w:tab/>
            </w:r>
            <w:r w:rsidRPr="00905094">
              <w:rPr>
                <w:rFonts w:cs="Arial"/>
                <w:sz w:val="16"/>
                <w:szCs w:val="16"/>
              </w:rPr>
              <w:t>VI.1 Progress in the international policy dialogue among WIPO Member States on building respect for IP, guided by Recommendation 45 of the WIPO Development Agenda</w:t>
            </w:r>
          </w:p>
        </w:tc>
      </w:tr>
      <w:tr w:rsidR="00055B26" w:rsidRPr="000B3714" w:rsidTr="00271CFB">
        <w:trPr>
          <w:cantSplit/>
        </w:trPr>
        <w:tc>
          <w:tcPr>
            <w:tcW w:w="1121" w:type="pct"/>
            <w:tcBorders>
              <w:top w:val="single" w:sz="4" w:space="0" w:color="auto"/>
            </w:tcBorders>
            <w:shd w:val="clear" w:color="auto" w:fill="auto"/>
            <w:vAlign w:val="center"/>
          </w:tcPr>
          <w:p w:rsidR="00055B26" w:rsidRPr="001E0812" w:rsidRDefault="00055B26" w:rsidP="00271CFB">
            <w:pPr>
              <w:rPr>
                <w:rFonts w:cs="Arial"/>
                <w:sz w:val="16"/>
                <w:szCs w:val="16"/>
              </w:rPr>
            </w:pPr>
            <w:r w:rsidRPr="001E0812">
              <w:rPr>
                <w:rFonts w:cs="Arial"/>
                <w:b/>
                <w:bCs/>
                <w:sz w:val="16"/>
                <w:szCs w:val="16"/>
              </w:rPr>
              <w:t>Performance Indicators</w:t>
            </w:r>
          </w:p>
        </w:tc>
        <w:tc>
          <w:tcPr>
            <w:tcW w:w="1269" w:type="pct"/>
            <w:tcBorders>
              <w:top w:val="single" w:sz="4" w:space="0" w:color="auto"/>
            </w:tcBorders>
            <w:shd w:val="clear" w:color="auto" w:fill="auto"/>
            <w:vAlign w:val="center"/>
          </w:tcPr>
          <w:p w:rsidR="00055B26" w:rsidRPr="001E0812" w:rsidRDefault="00055B26" w:rsidP="00271CFB">
            <w:pPr>
              <w:rPr>
                <w:rFonts w:cs="Arial"/>
                <w:b/>
                <w:bCs/>
                <w:sz w:val="16"/>
                <w:szCs w:val="16"/>
              </w:rPr>
            </w:pPr>
            <w:r w:rsidRPr="001E0812">
              <w:rPr>
                <w:rFonts w:cs="Arial"/>
                <w:b/>
                <w:bCs/>
                <w:sz w:val="16"/>
                <w:szCs w:val="16"/>
              </w:rPr>
              <w:t>Baselines</w:t>
            </w:r>
          </w:p>
        </w:tc>
        <w:tc>
          <w:tcPr>
            <w:tcW w:w="821" w:type="pct"/>
            <w:tcBorders>
              <w:top w:val="single" w:sz="4" w:space="0" w:color="auto"/>
            </w:tcBorders>
            <w:shd w:val="clear" w:color="auto" w:fill="auto"/>
            <w:tcMar>
              <w:top w:w="110" w:type="dxa"/>
            </w:tcMar>
            <w:vAlign w:val="center"/>
          </w:tcPr>
          <w:p w:rsidR="00055B26" w:rsidRPr="001E0812" w:rsidRDefault="00055B26" w:rsidP="00271CFB">
            <w:pPr>
              <w:rPr>
                <w:rFonts w:cs="Arial"/>
                <w:b/>
                <w:sz w:val="16"/>
                <w:szCs w:val="16"/>
              </w:rPr>
            </w:pPr>
            <w:r w:rsidRPr="001E0812">
              <w:rPr>
                <w:rFonts w:cs="Arial"/>
                <w:b/>
                <w:sz w:val="16"/>
                <w:szCs w:val="16"/>
              </w:rPr>
              <w:t>Targets</w:t>
            </w:r>
          </w:p>
        </w:tc>
        <w:tc>
          <w:tcPr>
            <w:tcW w:w="1268" w:type="pct"/>
            <w:tcBorders>
              <w:top w:val="single" w:sz="4" w:space="0" w:color="auto"/>
            </w:tcBorders>
            <w:shd w:val="clear" w:color="auto" w:fill="FFFFFF"/>
            <w:tcMar>
              <w:top w:w="110" w:type="dxa"/>
            </w:tcMar>
            <w:vAlign w:val="center"/>
          </w:tcPr>
          <w:p w:rsidR="00055B26" w:rsidRPr="001E0812" w:rsidRDefault="00055B26" w:rsidP="00271CFB">
            <w:pPr>
              <w:rPr>
                <w:rFonts w:cs="Arial"/>
                <w:sz w:val="16"/>
                <w:szCs w:val="16"/>
              </w:rPr>
            </w:pPr>
            <w:r w:rsidRPr="001E0812">
              <w:rPr>
                <w:rFonts w:cs="Arial"/>
                <w:b/>
                <w:bCs/>
                <w:sz w:val="16"/>
                <w:szCs w:val="16"/>
              </w:rPr>
              <w:t>Performance Data</w:t>
            </w:r>
          </w:p>
        </w:tc>
        <w:tc>
          <w:tcPr>
            <w:tcW w:w="522" w:type="pct"/>
            <w:tcBorders>
              <w:top w:val="single" w:sz="4" w:space="0" w:color="auto"/>
            </w:tcBorders>
            <w:shd w:val="clear" w:color="auto" w:fill="auto"/>
            <w:tcMar>
              <w:top w:w="110" w:type="dxa"/>
            </w:tcMar>
            <w:vAlign w:val="center"/>
          </w:tcPr>
          <w:p w:rsidR="00055B26" w:rsidRPr="001E0812" w:rsidRDefault="00055B26" w:rsidP="00271CFB">
            <w:pPr>
              <w:keepNext/>
              <w:keepLines/>
              <w:jc w:val="center"/>
              <w:rPr>
                <w:rFonts w:cs="Arial"/>
                <w:b/>
                <w:bCs/>
                <w:sz w:val="16"/>
                <w:szCs w:val="16"/>
              </w:rPr>
            </w:pPr>
            <w:r w:rsidRPr="001E0812">
              <w:rPr>
                <w:rFonts w:cs="Arial"/>
                <w:b/>
                <w:bCs/>
                <w:sz w:val="16"/>
                <w:szCs w:val="16"/>
              </w:rPr>
              <w:t>TLS</w:t>
            </w:r>
          </w:p>
        </w:tc>
      </w:tr>
      <w:tr w:rsidR="00055B26" w:rsidRPr="000B3714" w:rsidTr="00271CFB">
        <w:trPr>
          <w:cantSplit/>
        </w:trPr>
        <w:tc>
          <w:tcPr>
            <w:tcW w:w="1121" w:type="pct"/>
            <w:shd w:val="clear" w:color="auto" w:fill="auto"/>
          </w:tcPr>
          <w:p w:rsidR="00055B26" w:rsidRPr="000B3714" w:rsidRDefault="00055B26" w:rsidP="00271CFB">
            <w:pPr>
              <w:rPr>
                <w:rFonts w:cs="Arial"/>
                <w:sz w:val="16"/>
                <w:szCs w:val="16"/>
              </w:rPr>
            </w:pPr>
            <w:r w:rsidRPr="00905094">
              <w:rPr>
                <w:rFonts w:cs="Arial"/>
                <w:sz w:val="16"/>
                <w:szCs w:val="16"/>
              </w:rPr>
              <w:t>Continued agreement by Member States on the substantive work of the WIPO Advisory Committee on Enforcement (ACE), incorporating development-oriented concern</w:t>
            </w:r>
            <w:r>
              <w:rPr>
                <w:rFonts w:cs="Arial"/>
                <w:sz w:val="16"/>
                <w:szCs w:val="16"/>
              </w:rPr>
              <w:t>s</w:t>
            </w:r>
          </w:p>
        </w:tc>
        <w:tc>
          <w:tcPr>
            <w:tcW w:w="1269" w:type="pct"/>
            <w:shd w:val="clear" w:color="auto" w:fill="auto"/>
          </w:tcPr>
          <w:p w:rsidR="00055B26" w:rsidRPr="000B3714" w:rsidRDefault="00055B26" w:rsidP="00271CFB">
            <w:pPr>
              <w:rPr>
                <w:rFonts w:cs="Arial"/>
                <w:i/>
                <w:color w:val="002060"/>
                <w:sz w:val="16"/>
                <w:szCs w:val="16"/>
              </w:rPr>
            </w:pPr>
            <w:r>
              <w:rPr>
                <w:rFonts w:cs="Arial"/>
                <w:i/>
                <w:color w:val="002060"/>
                <w:sz w:val="16"/>
                <w:szCs w:val="16"/>
              </w:rPr>
              <w:t>Updated Baseline end 2013</w:t>
            </w:r>
            <w:r w:rsidRPr="000B3714">
              <w:rPr>
                <w:rFonts w:cs="Arial"/>
                <w:i/>
                <w:color w:val="002060"/>
                <w:sz w:val="16"/>
                <w:szCs w:val="16"/>
              </w:rPr>
              <w:t xml:space="preserve">:  </w:t>
            </w:r>
            <w:r w:rsidRPr="00905094">
              <w:rPr>
                <w:rFonts w:cs="Arial"/>
                <w:color w:val="002060"/>
                <w:sz w:val="16"/>
                <w:szCs w:val="16"/>
              </w:rPr>
              <w:t>Agreement on work program for the 9th session</w:t>
            </w:r>
            <w:r>
              <w:rPr>
                <w:rFonts w:cs="Arial"/>
                <w:color w:val="002060"/>
                <w:sz w:val="16"/>
                <w:szCs w:val="16"/>
              </w:rPr>
              <w:t xml:space="preserve"> of the</w:t>
            </w:r>
            <w:r w:rsidRPr="00905094">
              <w:rPr>
                <w:rFonts w:cs="Arial"/>
                <w:color w:val="002060"/>
                <w:sz w:val="16"/>
                <w:szCs w:val="16"/>
              </w:rPr>
              <w:t xml:space="preserve"> ACE </w:t>
            </w:r>
          </w:p>
          <w:p w:rsidR="00055B26" w:rsidRPr="001E0812" w:rsidRDefault="00055B26" w:rsidP="00271CFB">
            <w:pPr>
              <w:rPr>
                <w:rFonts w:cs="Arial"/>
                <w:i/>
                <w:sz w:val="8"/>
                <w:szCs w:val="8"/>
              </w:rPr>
            </w:pPr>
          </w:p>
          <w:p w:rsidR="00055B26" w:rsidRDefault="00055B26" w:rsidP="00271CFB">
            <w:pPr>
              <w:rPr>
                <w:rFonts w:cs="Arial"/>
                <w:sz w:val="16"/>
                <w:szCs w:val="16"/>
                <w:lang w:bidi="th-TH"/>
              </w:rPr>
            </w:pPr>
            <w:r>
              <w:rPr>
                <w:rFonts w:cs="Arial"/>
                <w:i/>
                <w:sz w:val="16"/>
                <w:szCs w:val="16"/>
              </w:rPr>
              <w:t>Original Baseline P&amp;B 2014/15</w:t>
            </w:r>
            <w:r w:rsidRPr="000B3714">
              <w:rPr>
                <w:rFonts w:cs="Arial"/>
                <w:i/>
                <w:sz w:val="16"/>
                <w:szCs w:val="16"/>
              </w:rPr>
              <w:t>:</w:t>
            </w:r>
            <w:r w:rsidRPr="000B3714">
              <w:rPr>
                <w:rFonts w:cs="Arial"/>
                <w:sz w:val="16"/>
                <w:szCs w:val="16"/>
              </w:rPr>
              <w:br/>
            </w:r>
            <w:r w:rsidRPr="00905094">
              <w:rPr>
                <w:rFonts w:cs="Arial"/>
                <w:sz w:val="16"/>
                <w:szCs w:val="16"/>
                <w:lang w:bidi="th-TH"/>
              </w:rPr>
              <w:t>Agreement on work program for the 8th session of the ACE</w:t>
            </w:r>
          </w:p>
          <w:p w:rsidR="00055B26" w:rsidRPr="000B3714" w:rsidRDefault="00055B26" w:rsidP="00271CFB">
            <w:pPr>
              <w:rPr>
                <w:rFonts w:cs="Arial"/>
                <w:sz w:val="16"/>
                <w:szCs w:val="16"/>
              </w:rPr>
            </w:pPr>
          </w:p>
        </w:tc>
        <w:tc>
          <w:tcPr>
            <w:tcW w:w="821" w:type="pct"/>
            <w:shd w:val="clear" w:color="auto" w:fill="auto"/>
            <w:tcMar>
              <w:top w:w="110" w:type="dxa"/>
            </w:tcMar>
          </w:tcPr>
          <w:p w:rsidR="00055B26" w:rsidRPr="000B3714" w:rsidRDefault="00055B26" w:rsidP="00271CFB">
            <w:pPr>
              <w:rPr>
                <w:rFonts w:cs="Arial"/>
                <w:i/>
                <w:sz w:val="16"/>
                <w:szCs w:val="16"/>
              </w:rPr>
            </w:pPr>
            <w:r w:rsidRPr="00905094">
              <w:rPr>
                <w:rFonts w:cs="Arial"/>
                <w:sz w:val="16"/>
                <w:szCs w:val="16"/>
              </w:rPr>
              <w:t>Agreement on work program for the next ACE session</w:t>
            </w:r>
          </w:p>
        </w:tc>
        <w:tc>
          <w:tcPr>
            <w:tcW w:w="1268" w:type="pct"/>
            <w:shd w:val="clear" w:color="auto" w:fill="FFFFFF"/>
            <w:tcMar>
              <w:top w:w="110" w:type="dxa"/>
            </w:tcMar>
          </w:tcPr>
          <w:p w:rsidR="00055B26" w:rsidRDefault="00055B26" w:rsidP="00271CFB">
            <w:pPr>
              <w:pStyle w:val="ListParagraph"/>
              <w:ind w:left="0"/>
              <w:rPr>
                <w:rFonts w:cs="Arial"/>
                <w:sz w:val="16"/>
                <w:szCs w:val="16"/>
                <w:lang w:bidi="th-TH"/>
              </w:rPr>
            </w:pPr>
            <w:r>
              <w:rPr>
                <w:rFonts w:cs="Arial"/>
                <w:sz w:val="16"/>
                <w:szCs w:val="16"/>
                <w:lang w:bidi="th-TH"/>
              </w:rPr>
              <w:t>Agreement on the following work program for the 10</w:t>
            </w:r>
            <w:r w:rsidRPr="008855BE">
              <w:rPr>
                <w:rFonts w:cs="Arial"/>
                <w:sz w:val="16"/>
                <w:szCs w:val="16"/>
                <w:vertAlign w:val="superscript"/>
                <w:lang w:bidi="th-TH"/>
              </w:rPr>
              <w:t>th</w:t>
            </w:r>
            <w:r>
              <w:rPr>
                <w:rFonts w:cs="Arial"/>
                <w:sz w:val="16"/>
                <w:szCs w:val="16"/>
                <w:lang w:bidi="th-TH"/>
              </w:rPr>
              <w:t xml:space="preserve"> session of the ACE</w:t>
            </w:r>
            <w:r w:rsidRPr="00905094">
              <w:rPr>
                <w:rFonts w:cs="Arial"/>
                <w:sz w:val="16"/>
                <w:szCs w:val="16"/>
                <w:lang w:bidi="th-TH"/>
              </w:rPr>
              <w:t xml:space="preserve">:  </w:t>
            </w:r>
            <w:r w:rsidRPr="00C11287">
              <w:rPr>
                <w:rFonts w:cs="Arial"/>
                <w:sz w:val="16"/>
                <w:szCs w:val="16"/>
                <w:lang w:bidi="th-TH"/>
              </w:rPr>
              <w:t>(</w:t>
            </w:r>
            <w:proofErr w:type="spellStart"/>
            <w:r w:rsidRPr="00C11287">
              <w:rPr>
                <w:rFonts w:cs="Arial"/>
                <w:sz w:val="16"/>
                <w:szCs w:val="16"/>
                <w:lang w:bidi="th-TH"/>
              </w:rPr>
              <w:t>i</w:t>
            </w:r>
            <w:proofErr w:type="spellEnd"/>
            <w:r w:rsidRPr="00C11287">
              <w:rPr>
                <w:rFonts w:cs="Arial"/>
                <w:sz w:val="16"/>
                <w:szCs w:val="16"/>
                <w:lang w:bidi="th-TH"/>
              </w:rPr>
              <w:t>) alternative dispute resolution practices in the field of IP and (ii) preventive actions, measures or successful experiences to complement enforcement measures with a view to reducing the size of the market for pirated or counterfeited goods.</w:t>
            </w:r>
            <w:r>
              <w:rPr>
                <w:rFonts w:cs="Arial"/>
                <w:sz w:val="16"/>
                <w:szCs w:val="16"/>
                <w:lang w:bidi="th-TH"/>
              </w:rPr>
              <w:t xml:space="preserve">  (</w:t>
            </w:r>
            <w:r w:rsidRPr="00F660AC">
              <w:rPr>
                <w:rFonts w:cs="Arial"/>
                <w:sz w:val="16"/>
                <w:szCs w:val="16"/>
                <w:lang w:bidi="th-TH"/>
              </w:rPr>
              <w:t>WIPO/ACE/9/29 PROV.</w:t>
            </w:r>
            <w:r>
              <w:rPr>
                <w:rFonts w:cs="Arial"/>
                <w:sz w:val="16"/>
                <w:szCs w:val="16"/>
                <w:lang w:bidi="th-TH"/>
              </w:rPr>
              <w:t>)</w:t>
            </w:r>
          </w:p>
          <w:p w:rsidR="00055B26" w:rsidRPr="000B3714" w:rsidRDefault="00055B26" w:rsidP="00271CFB">
            <w:pPr>
              <w:pStyle w:val="ListParagraph"/>
              <w:ind w:left="0"/>
              <w:rPr>
                <w:rFonts w:cs="Arial"/>
                <w:sz w:val="16"/>
                <w:szCs w:val="16"/>
              </w:rPr>
            </w:pPr>
          </w:p>
        </w:tc>
        <w:tc>
          <w:tcPr>
            <w:tcW w:w="522" w:type="pct"/>
            <w:shd w:val="clear" w:color="auto" w:fill="auto"/>
            <w:tcMar>
              <w:top w:w="110" w:type="dxa"/>
            </w:tcMar>
          </w:tcPr>
          <w:p w:rsidR="00055B26" w:rsidRPr="000B3714" w:rsidRDefault="00055B26" w:rsidP="00271CFB">
            <w:pPr>
              <w:keepNext/>
              <w:keepLines/>
              <w:jc w:val="center"/>
              <w:rPr>
                <w:rFonts w:cs="Arial"/>
                <w:bCs/>
                <w:color w:val="808080"/>
                <w:sz w:val="16"/>
                <w:szCs w:val="16"/>
              </w:rPr>
            </w:pPr>
            <w:r w:rsidRPr="00905094">
              <w:rPr>
                <w:rFonts w:cs="Arial"/>
                <w:b/>
                <w:bCs/>
                <w:color w:val="00B050"/>
                <w:sz w:val="16"/>
                <w:szCs w:val="16"/>
              </w:rPr>
              <w:t>On track</w:t>
            </w:r>
          </w:p>
        </w:tc>
      </w:tr>
      <w:tr w:rsidR="00055B26" w:rsidRPr="000B3714" w:rsidTr="00271CFB">
        <w:trPr>
          <w:cantSplit/>
          <w:trHeight w:val="549"/>
        </w:trPr>
        <w:tc>
          <w:tcPr>
            <w:tcW w:w="5000" w:type="pct"/>
            <w:gridSpan w:val="5"/>
            <w:tcBorders>
              <w:top w:val="single" w:sz="4" w:space="0" w:color="auto"/>
              <w:bottom w:val="single" w:sz="4" w:space="0" w:color="auto"/>
            </w:tcBorders>
            <w:shd w:val="clear" w:color="auto" w:fill="CCFFFF"/>
            <w:vAlign w:val="center"/>
          </w:tcPr>
          <w:p w:rsidR="00055B26" w:rsidRPr="000B3714" w:rsidRDefault="00055B26" w:rsidP="00055B26">
            <w:pPr>
              <w:tabs>
                <w:tab w:val="left" w:pos="1452"/>
              </w:tabs>
              <w:ind w:left="1452" w:hanging="1452"/>
              <w:rPr>
                <w:rFonts w:cs="Arial"/>
                <w:b/>
                <w:bCs/>
                <w:sz w:val="16"/>
                <w:szCs w:val="16"/>
              </w:rPr>
            </w:pPr>
            <w:r w:rsidRPr="000B3714">
              <w:rPr>
                <w:rFonts w:cs="Arial"/>
                <w:b/>
                <w:bCs/>
                <w:sz w:val="16"/>
                <w:szCs w:val="16"/>
              </w:rPr>
              <w:t>Expected Result:</w:t>
            </w:r>
            <w:r w:rsidRPr="000B3714">
              <w:rPr>
                <w:rFonts w:cs="Arial"/>
                <w:b/>
                <w:bCs/>
                <w:sz w:val="16"/>
                <w:szCs w:val="16"/>
              </w:rPr>
              <w:tab/>
            </w:r>
            <w:r w:rsidRPr="00905094">
              <w:rPr>
                <w:rFonts w:cs="Arial"/>
                <w:sz w:val="16"/>
                <w:szCs w:val="16"/>
              </w:rPr>
              <w:t>VI.2 Systematic, effective and transparent cooperation and coordination between the work of WIPO and other international organizations in the field of building respect for IP</w:t>
            </w:r>
          </w:p>
        </w:tc>
      </w:tr>
      <w:tr w:rsidR="00055B26" w:rsidRPr="001E0812" w:rsidTr="00271CFB">
        <w:trPr>
          <w:cantSplit/>
        </w:trPr>
        <w:tc>
          <w:tcPr>
            <w:tcW w:w="1121" w:type="pct"/>
            <w:tcBorders>
              <w:top w:val="single" w:sz="4" w:space="0" w:color="auto"/>
            </w:tcBorders>
            <w:shd w:val="clear" w:color="auto" w:fill="auto"/>
            <w:vAlign w:val="center"/>
          </w:tcPr>
          <w:p w:rsidR="00055B26" w:rsidRPr="001E0812" w:rsidRDefault="00055B26" w:rsidP="00055B26">
            <w:pPr>
              <w:rPr>
                <w:rFonts w:cs="Arial"/>
                <w:sz w:val="16"/>
                <w:szCs w:val="16"/>
              </w:rPr>
            </w:pPr>
            <w:r w:rsidRPr="001E0812">
              <w:rPr>
                <w:rFonts w:cs="Arial"/>
                <w:b/>
                <w:bCs/>
                <w:sz w:val="16"/>
                <w:szCs w:val="16"/>
              </w:rPr>
              <w:t>Performance Indicators</w:t>
            </w:r>
          </w:p>
        </w:tc>
        <w:tc>
          <w:tcPr>
            <w:tcW w:w="1269" w:type="pct"/>
            <w:tcBorders>
              <w:top w:val="single" w:sz="4" w:space="0" w:color="auto"/>
            </w:tcBorders>
            <w:shd w:val="clear" w:color="auto" w:fill="auto"/>
            <w:vAlign w:val="center"/>
          </w:tcPr>
          <w:p w:rsidR="00055B26" w:rsidRPr="001E0812" w:rsidRDefault="00055B26" w:rsidP="00055B26">
            <w:pPr>
              <w:rPr>
                <w:rFonts w:cs="Arial"/>
                <w:b/>
                <w:bCs/>
                <w:sz w:val="16"/>
                <w:szCs w:val="16"/>
              </w:rPr>
            </w:pPr>
            <w:r w:rsidRPr="001E0812">
              <w:rPr>
                <w:rFonts w:cs="Arial"/>
                <w:b/>
                <w:bCs/>
                <w:sz w:val="16"/>
                <w:szCs w:val="16"/>
              </w:rPr>
              <w:t>Baselines</w:t>
            </w:r>
          </w:p>
        </w:tc>
        <w:tc>
          <w:tcPr>
            <w:tcW w:w="821" w:type="pct"/>
            <w:tcBorders>
              <w:top w:val="single" w:sz="4" w:space="0" w:color="auto"/>
            </w:tcBorders>
            <w:shd w:val="clear" w:color="auto" w:fill="auto"/>
            <w:tcMar>
              <w:top w:w="110" w:type="dxa"/>
            </w:tcMar>
            <w:vAlign w:val="center"/>
          </w:tcPr>
          <w:p w:rsidR="00055B26" w:rsidRPr="001E0812" w:rsidRDefault="00055B26" w:rsidP="00055B26">
            <w:pPr>
              <w:rPr>
                <w:rFonts w:cs="Arial"/>
                <w:b/>
                <w:sz w:val="16"/>
                <w:szCs w:val="16"/>
              </w:rPr>
            </w:pPr>
            <w:r w:rsidRPr="001E0812">
              <w:rPr>
                <w:rFonts w:cs="Arial"/>
                <w:b/>
                <w:sz w:val="16"/>
                <w:szCs w:val="16"/>
              </w:rPr>
              <w:t>Targets</w:t>
            </w:r>
          </w:p>
        </w:tc>
        <w:tc>
          <w:tcPr>
            <w:tcW w:w="1268" w:type="pct"/>
            <w:tcBorders>
              <w:top w:val="single" w:sz="4" w:space="0" w:color="auto"/>
            </w:tcBorders>
            <w:shd w:val="clear" w:color="auto" w:fill="FFFFFF"/>
            <w:tcMar>
              <w:top w:w="110" w:type="dxa"/>
            </w:tcMar>
            <w:vAlign w:val="center"/>
          </w:tcPr>
          <w:p w:rsidR="00055B26" w:rsidRPr="001E0812" w:rsidRDefault="00055B26" w:rsidP="00055B26">
            <w:pPr>
              <w:rPr>
                <w:rFonts w:cs="Arial"/>
                <w:sz w:val="16"/>
                <w:szCs w:val="16"/>
              </w:rPr>
            </w:pPr>
            <w:r w:rsidRPr="001E0812">
              <w:rPr>
                <w:rFonts w:cs="Arial"/>
                <w:b/>
                <w:bCs/>
                <w:sz w:val="16"/>
                <w:szCs w:val="16"/>
              </w:rPr>
              <w:t>Performance Data</w:t>
            </w:r>
          </w:p>
        </w:tc>
        <w:tc>
          <w:tcPr>
            <w:tcW w:w="522" w:type="pct"/>
            <w:tcBorders>
              <w:top w:val="single" w:sz="4" w:space="0" w:color="auto"/>
            </w:tcBorders>
            <w:shd w:val="clear" w:color="auto" w:fill="auto"/>
            <w:tcMar>
              <w:top w:w="110" w:type="dxa"/>
            </w:tcMar>
            <w:vAlign w:val="center"/>
          </w:tcPr>
          <w:p w:rsidR="00055B26" w:rsidRPr="001E0812" w:rsidRDefault="00055B26" w:rsidP="00055B26">
            <w:pPr>
              <w:jc w:val="center"/>
              <w:rPr>
                <w:rFonts w:cs="Arial"/>
                <w:b/>
                <w:bCs/>
                <w:sz w:val="16"/>
                <w:szCs w:val="16"/>
              </w:rPr>
            </w:pPr>
            <w:r w:rsidRPr="001E0812">
              <w:rPr>
                <w:rFonts w:cs="Arial"/>
                <w:b/>
                <w:bCs/>
                <w:sz w:val="16"/>
                <w:szCs w:val="16"/>
              </w:rPr>
              <w:t>TLS</w:t>
            </w:r>
          </w:p>
        </w:tc>
      </w:tr>
      <w:tr w:rsidR="00055B26" w:rsidRPr="000B3714" w:rsidTr="00271CFB">
        <w:trPr>
          <w:cantSplit/>
        </w:trPr>
        <w:tc>
          <w:tcPr>
            <w:tcW w:w="1121" w:type="pct"/>
            <w:shd w:val="clear" w:color="auto" w:fill="auto"/>
          </w:tcPr>
          <w:p w:rsidR="00055B26" w:rsidRPr="000B3714" w:rsidRDefault="00055B26" w:rsidP="00055B26">
            <w:pPr>
              <w:rPr>
                <w:rFonts w:cs="Arial"/>
                <w:sz w:val="16"/>
                <w:szCs w:val="16"/>
              </w:rPr>
            </w:pPr>
            <w:r w:rsidRPr="00905094">
              <w:rPr>
                <w:rFonts w:cs="Arial"/>
                <w:sz w:val="16"/>
                <w:szCs w:val="16"/>
              </w:rPr>
              <w:t>No. of joint activities on building respect for IP</w:t>
            </w:r>
          </w:p>
        </w:tc>
        <w:tc>
          <w:tcPr>
            <w:tcW w:w="1269" w:type="pct"/>
            <w:shd w:val="clear" w:color="auto" w:fill="auto"/>
          </w:tcPr>
          <w:p w:rsidR="00055B26" w:rsidRPr="001E0812" w:rsidRDefault="00055B26" w:rsidP="00055B26">
            <w:pPr>
              <w:rPr>
                <w:rFonts w:cs="Arial"/>
                <w:i/>
                <w:color w:val="002060"/>
                <w:sz w:val="16"/>
                <w:szCs w:val="16"/>
              </w:rPr>
            </w:pPr>
            <w:r>
              <w:rPr>
                <w:rFonts w:cs="Arial"/>
                <w:i/>
                <w:color w:val="002060"/>
                <w:sz w:val="16"/>
                <w:szCs w:val="16"/>
              </w:rPr>
              <w:t>Updated Baseline end 2013</w:t>
            </w:r>
            <w:r w:rsidRPr="000B3714">
              <w:rPr>
                <w:rFonts w:cs="Arial"/>
                <w:i/>
                <w:color w:val="002060"/>
                <w:sz w:val="16"/>
                <w:szCs w:val="16"/>
              </w:rPr>
              <w:t xml:space="preserve">:  </w:t>
            </w:r>
            <w:r>
              <w:rPr>
                <w:rFonts w:cs="Arial"/>
                <w:color w:val="002060"/>
                <w:sz w:val="16"/>
                <w:szCs w:val="16"/>
                <w:lang w:bidi="th-TH"/>
              </w:rPr>
              <w:t>39 in 2014/15</w:t>
            </w:r>
          </w:p>
          <w:p w:rsidR="00055B26" w:rsidRPr="000B3714" w:rsidRDefault="00055B26" w:rsidP="00055B26">
            <w:pPr>
              <w:rPr>
                <w:rFonts w:cs="Arial"/>
                <w:i/>
                <w:sz w:val="16"/>
                <w:szCs w:val="16"/>
              </w:rPr>
            </w:pPr>
          </w:p>
          <w:p w:rsidR="00055B26" w:rsidRPr="000B3714" w:rsidRDefault="00055B26" w:rsidP="00055B26">
            <w:pPr>
              <w:rPr>
                <w:rFonts w:cs="Arial"/>
                <w:sz w:val="16"/>
                <w:szCs w:val="16"/>
              </w:rPr>
            </w:pPr>
            <w:r>
              <w:rPr>
                <w:rFonts w:cs="Arial"/>
                <w:i/>
                <w:sz w:val="16"/>
                <w:szCs w:val="16"/>
              </w:rPr>
              <w:t>Original Baseline P&amp;B 2014/15</w:t>
            </w:r>
            <w:r w:rsidRPr="000B3714">
              <w:rPr>
                <w:rFonts w:cs="Arial"/>
                <w:i/>
                <w:sz w:val="16"/>
                <w:szCs w:val="16"/>
              </w:rPr>
              <w:t>:</w:t>
            </w:r>
            <w:r>
              <w:rPr>
                <w:rFonts w:cs="Arial"/>
                <w:sz w:val="16"/>
                <w:szCs w:val="16"/>
              </w:rPr>
              <w:t xml:space="preserve">  </w:t>
            </w:r>
            <w:r w:rsidRPr="000B3714">
              <w:rPr>
                <w:rFonts w:cs="Arial"/>
                <w:sz w:val="16"/>
                <w:szCs w:val="16"/>
              </w:rPr>
              <w:t>30</w:t>
            </w:r>
          </w:p>
        </w:tc>
        <w:tc>
          <w:tcPr>
            <w:tcW w:w="821" w:type="pct"/>
            <w:shd w:val="clear" w:color="auto" w:fill="auto"/>
            <w:tcMar>
              <w:top w:w="110" w:type="dxa"/>
            </w:tcMar>
          </w:tcPr>
          <w:p w:rsidR="00055B26" w:rsidRPr="000B3714" w:rsidRDefault="00055B26" w:rsidP="00055B26">
            <w:pPr>
              <w:rPr>
                <w:rFonts w:cs="Arial"/>
                <w:sz w:val="16"/>
                <w:szCs w:val="16"/>
                <w:lang w:bidi="th-TH"/>
              </w:rPr>
            </w:pPr>
            <w:r w:rsidRPr="000B3714">
              <w:rPr>
                <w:rFonts w:cs="Arial"/>
                <w:sz w:val="16"/>
                <w:szCs w:val="16"/>
              </w:rPr>
              <w:t xml:space="preserve">30 </w:t>
            </w:r>
          </w:p>
        </w:tc>
        <w:tc>
          <w:tcPr>
            <w:tcW w:w="1268" w:type="pct"/>
            <w:shd w:val="clear" w:color="auto" w:fill="FFFFFF"/>
            <w:tcMar>
              <w:top w:w="110" w:type="dxa"/>
            </w:tcMar>
          </w:tcPr>
          <w:p w:rsidR="00055B26" w:rsidRPr="000B3714" w:rsidRDefault="00055B26" w:rsidP="00055B26">
            <w:pPr>
              <w:rPr>
                <w:rFonts w:cs="Arial"/>
                <w:sz w:val="16"/>
                <w:szCs w:val="16"/>
              </w:rPr>
            </w:pPr>
            <w:r w:rsidRPr="00905094">
              <w:rPr>
                <w:rFonts w:cs="Arial"/>
                <w:sz w:val="16"/>
                <w:szCs w:val="16"/>
              </w:rPr>
              <w:t>30 activities jointly organized with partner organizations and stakeholders and/or in which Program 17 participated</w:t>
            </w:r>
          </w:p>
        </w:tc>
        <w:tc>
          <w:tcPr>
            <w:tcW w:w="522" w:type="pct"/>
            <w:shd w:val="clear" w:color="auto" w:fill="auto"/>
            <w:tcMar>
              <w:top w:w="110" w:type="dxa"/>
            </w:tcMar>
          </w:tcPr>
          <w:p w:rsidR="00055B26" w:rsidRPr="000B3714" w:rsidRDefault="00055B26" w:rsidP="00055B26">
            <w:pPr>
              <w:jc w:val="center"/>
              <w:rPr>
                <w:rFonts w:cs="Arial"/>
                <w:bCs/>
                <w:color w:val="008000"/>
                <w:sz w:val="16"/>
                <w:szCs w:val="16"/>
              </w:rPr>
            </w:pPr>
            <w:r w:rsidRPr="00905094">
              <w:rPr>
                <w:rFonts w:cs="Arial"/>
                <w:b/>
                <w:bCs/>
                <w:color w:val="00B050"/>
                <w:sz w:val="16"/>
                <w:szCs w:val="16"/>
              </w:rPr>
              <w:t>On track</w:t>
            </w:r>
          </w:p>
        </w:tc>
      </w:tr>
    </w:tbl>
    <w:p w:rsidR="00055B26" w:rsidRDefault="00055B26" w:rsidP="00271CFB">
      <w:pPr>
        <w:jc w:val="both"/>
        <w:rPr>
          <w:rFonts w:cs="Arial"/>
          <w:color w:val="000000"/>
          <w:szCs w:val="20"/>
        </w:rPr>
      </w:pPr>
    </w:p>
    <w:p w:rsidR="00055B26" w:rsidRDefault="00055B26" w:rsidP="00271CFB">
      <w:pPr>
        <w:jc w:val="both"/>
        <w:rPr>
          <w:rFonts w:cs="Arial"/>
          <w:color w:val="000000"/>
          <w:szCs w:val="20"/>
        </w:rPr>
      </w:pPr>
    </w:p>
    <w:p w:rsidR="00055B26" w:rsidRPr="008855BE" w:rsidRDefault="00055B26" w:rsidP="00271CFB">
      <w:pPr>
        <w:rPr>
          <w:rFonts w:cs="Arial"/>
          <w:b/>
          <w:sz w:val="22"/>
          <w:szCs w:val="20"/>
        </w:rPr>
      </w:pPr>
      <w:r w:rsidRPr="008855BE">
        <w:rPr>
          <w:rFonts w:cs="Arial"/>
          <w:color w:val="000000"/>
          <w:sz w:val="22"/>
          <w:szCs w:val="20"/>
        </w:rPr>
        <w:t>RESOURCE UTILIZATION</w:t>
      </w:r>
    </w:p>
    <w:p w:rsidR="00055B26" w:rsidRPr="0057012D" w:rsidRDefault="00055B26" w:rsidP="00271CFB">
      <w:pPr>
        <w:jc w:val="center"/>
        <w:rPr>
          <w:rFonts w:cs="Arial"/>
          <w:szCs w:val="20"/>
        </w:rPr>
      </w:pPr>
    </w:p>
    <w:p w:rsidR="00055B26" w:rsidRPr="0057012D" w:rsidRDefault="00055B26" w:rsidP="00271CFB">
      <w:pPr>
        <w:pStyle w:val="NormalWeb"/>
        <w:spacing w:before="0" w:beforeAutospacing="0" w:after="0" w:afterAutospacing="0"/>
        <w:jc w:val="center"/>
        <w:rPr>
          <w:sz w:val="20"/>
          <w:szCs w:val="20"/>
        </w:rPr>
      </w:pPr>
      <w:r w:rsidRPr="0057012D">
        <w:rPr>
          <w:color w:val="000000"/>
          <w:sz w:val="20"/>
          <w:szCs w:val="20"/>
        </w:rPr>
        <w:t>Budget and Actual Expenditure (by result)</w:t>
      </w:r>
    </w:p>
    <w:p w:rsidR="00055B26" w:rsidRPr="0057012D" w:rsidRDefault="00055B26" w:rsidP="00271CFB">
      <w:pPr>
        <w:pStyle w:val="NormalWeb"/>
        <w:spacing w:before="0" w:beforeAutospacing="0" w:after="120" w:afterAutospacing="0"/>
        <w:jc w:val="center"/>
        <w:rPr>
          <w:i/>
          <w:iCs/>
          <w:color w:val="000000"/>
          <w:sz w:val="20"/>
          <w:szCs w:val="20"/>
        </w:rPr>
      </w:pPr>
      <w:r w:rsidRPr="0057012D">
        <w:rPr>
          <w:i/>
          <w:iCs/>
          <w:color w:val="000000"/>
          <w:sz w:val="20"/>
          <w:szCs w:val="20"/>
        </w:rPr>
        <w:t>(</w:t>
      </w:r>
      <w:proofErr w:type="gramStart"/>
      <w:r w:rsidRPr="0057012D">
        <w:rPr>
          <w:i/>
          <w:iCs/>
          <w:color w:val="000000"/>
          <w:sz w:val="20"/>
          <w:szCs w:val="20"/>
        </w:rPr>
        <w:t>in</w:t>
      </w:r>
      <w:proofErr w:type="gramEnd"/>
      <w:r w:rsidRPr="0057012D">
        <w:rPr>
          <w:i/>
          <w:iCs/>
          <w:color w:val="000000"/>
          <w:sz w:val="20"/>
          <w:szCs w:val="20"/>
        </w:rPr>
        <w:t xml:space="preserve"> thousands of Swiss francs)</w:t>
      </w:r>
    </w:p>
    <w:p w:rsidR="00055B26" w:rsidRPr="0057012D" w:rsidRDefault="00055B26" w:rsidP="00271CFB">
      <w:pPr>
        <w:jc w:val="center"/>
        <w:rPr>
          <w:rFonts w:cs="Arial"/>
          <w:szCs w:val="20"/>
        </w:rPr>
      </w:pPr>
      <w:r w:rsidRPr="00B00263">
        <w:rPr>
          <w:noProof/>
        </w:rPr>
        <w:drawing>
          <wp:inline distT="0" distB="0" distL="0" distR="0" wp14:anchorId="60DBCE49" wp14:editId="6B85BE54">
            <wp:extent cx="5565913" cy="274862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566183" cy="2748755"/>
                    </a:xfrm>
                    <a:prstGeom prst="rect">
                      <a:avLst/>
                    </a:prstGeom>
                    <a:noFill/>
                    <a:ln>
                      <a:noFill/>
                    </a:ln>
                  </pic:spPr>
                </pic:pic>
              </a:graphicData>
            </a:graphic>
          </wp:inline>
        </w:drawing>
      </w:r>
    </w:p>
    <w:p w:rsidR="00055B26" w:rsidRPr="0057012D" w:rsidRDefault="00055B26" w:rsidP="00271CFB">
      <w:pPr>
        <w:jc w:val="both"/>
        <w:rPr>
          <w:rFonts w:cs="Arial"/>
          <w:szCs w:val="20"/>
        </w:rPr>
      </w:pPr>
    </w:p>
    <w:p w:rsidR="00055B26" w:rsidRPr="0057012D" w:rsidRDefault="00055B26" w:rsidP="00271CFB">
      <w:pPr>
        <w:jc w:val="both"/>
        <w:rPr>
          <w:rFonts w:cs="Arial"/>
          <w:szCs w:val="20"/>
        </w:rPr>
      </w:pPr>
    </w:p>
    <w:p w:rsidR="00055B26" w:rsidRPr="0057012D" w:rsidRDefault="00055B26" w:rsidP="00271CFB">
      <w:pPr>
        <w:pStyle w:val="NormalWeb"/>
        <w:keepNext/>
        <w:keepLines/>
        <w:spacing w:before="0" w:beforeAutospacing="0" w:after="0" w:afterAutospacing="0"/>
        <w:jc w:val="center"/>
        <w:rPr>
          <w:sz w:val="20"/>
          <w:szCs w:val="20"/>
        </w:rPr>
      </w:pPr>
      <w:r w:rsidRPr="0057012D">
        <w:rPr>
          <w:color w:val="000000"/>
          <w:sz w:val="20"/>
          <w:szCs w:val="20"/>
        </w:rPr>
        <w:t>Budget and Actual Expenditure (personnel and non-personnel)</w:t>
      </w:r>
    </w:p>
    <w:p w:rsidR="00055B26" w:rsidRPr="008855BE" w:rsidRDefault="00055B26" w:rsidP="00271CFB">
      <w:pPr>
        <w:pStyle w:val="NormalWeb"/>
        <w:keepNext/>
        <w:keepLines/>
        <w:spacing w:before="0" w:beforeAutospacing="0" w:after="120" w:afterAutospacing="0"/>
        <w:jc w:val="center"/>
        <w:rPr>
          <w:i/>
          <w:iCs/>
          <w:color w:val="000000"/>
          <w:sz w:val="20"/>
          <w:szCs w:val="20"/>
        </w:rPr>
      </w:pPr>
      <w:r w:rsidRPr="0057012D">
        <w:rPr>
          <w:i/>
          <w:iCs/>
          <w:color w:val="000000"/>
          <w:sz w:val="20"/>
          <w:szCs w:val="20"/>
        </w:rPr>
        <w:t>(</w:t>
      </w:r>
      <w:proofErr w:type="gramStart"/>
      <w:r w:rsidRPr="0057012D">
        <w:rPr>
          <w:i/>
          <w:iCs/>
          <w:color w:val="000000"/>
          <w:sz w:val="20"/>
          <w:szCs w:val="20"/>
        </w:rPr>
        <w:t>in</w:t>
      </w:r>
      <w:proofErr w:type="gramEnd"/>
      <w:r w:rsidRPr="0057012D">
        <w:rPr>
          <w:i/>
          <w:iCs/>
          <w:color w:val="000000"/>
          <w:sz w:val="20"/>
          <w:szCs w:val="20"/>
        </w:rPr>
        <w:t xml:space="preserve"> thousands of Swiss francs)</w:t>
      </w:r>
    </w:p>
    <w:p w:rsidR="00055B26" w:rsidRPr="0057012D" w:rsidRDefault="00055B26" w:rsidP="00271CFB">
      <w:pPr>
        <w:jc w:val="center"/>
        <w:rPr>
          <w:rFonts w:cs="Arial"/>
          <w:szCs w:val="20"/>
        </w:rPr>
      </w:pPr>
      <w:r w:rsidRPr="00B00263">
        <w:rPr>
          <w:noProof/>
        </w:rPr>
        <w:drawing>
          <wp:inline distT="0" distB="0" distL="0" distR="0" wp14:anchorId="04E3875E" wp14:editId="27CCD560">
            <wp:extent cx="5645426" cy="116309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642531" cy="1162500"/>
                    </a:xfrm>
                    <a:prstGeom prst="rect">
                      <a:avLst/>
                    </a:prstGeom>
                    <a:noFill/>
                    <a:ln>
                      <a:noFill/>
                    </a:ln>
                  </pic:spPr>
                </pic:pic>
              </a:graphicData>
            </a:graphic>
          </wp:inline>
        </w:drawing>
      </w:r>
    </w:p>
    <w:p w:rsidR="00055B26" w:rsidRPr="0057012D" w:rsidRDefault="00055B26" w:rsidP="00271CFB">
      <w:pPr>
        <w:widowControl w:val="0"/>
        <w:autoSpaceDE w:val="0"/>
        <w:autoSpaceDN w:val="0"/>
        <w:adjustRightInd w:val="0"/>
        <w:jc w:val="both"/>
        <w:rPr>
          <w:rFonts w:cs="Arial"/>
          <w:szCs w:val="20"/>
        </w:rPr>
      </w:pPr>
      <w:r w:rsidRPr="008855BE">
        <w:rPr>
          <w:rFonts w:cs="Arial"/>
          <w:i/>
          <w:sz w:val="16"/>
          <w:szCs w:val="16"/>
        </w:rPr>
        <w:t>NOTE: The 2014/15 Budget after Transfers reflects transfers as of March 31, 2015 to address needs during the 2014/15 biennium in line with Financial Regulation 5.5.</w:t>
      </w:r>
    </w:p>
    <w:p w:rsidR="00055B26" w:rsidRDefault="00055B26" w:rsidP="00271CFB">
      <w:pPr>
        <w:widowControl w:val="0"/>
        <w:autoSpaceDE w:val="0"/>
        <w:autoSpaceDN w:val="0"/>
        <w:adjustRightInd w:val="0"/>
        <w:jc w:val="both"/>
        <w:rPr>
          <w:rFonts w:cs="Arial"/>
          <w:szCs w:val="20"/>
        </w:rPr>
      </w:pPr>
    </w:p>
    <w:p w:rsidR="00055B26" w:rsidRPr="0057012D" w:rsidRDefault="00055B26" w:rsidP="00271CFB">
      <w:pPr>
        <w:widowControl w:val="0"/>
        <w:autoSpaceDE w:val="0"/>
        <w:autoSpaceDN w:val="0"/>
        <w:adjustRightInd w:val="0"/>
        <w:jc w:val="both"/>
        <w:rPr>
          <w:rFonts w:cs="Arial"/>
          <w:szCs w:val="20"/>
        </w:rPr>
      </w:pPr>
    </w:p>
    <w:p w:rsidR="00055B26" w:rsidRPr="0057012D" w:rsidRDefault="00055B26" w:rsidP="00271CFB">
      <w:pPr>
        <w:jc w:val="both"/>
        <w:rPr>
          <w:rFonts w:cs="Arial"/>
          <w:szCs w:val="20"/>
          <w:u w:val="single"/>
        </w:rPr>
      </w:pPr>
      <w:r w:rsidRPr="0057012D">
        <w:rPr>
          <w:rFonts w:cs="Arial"/>
          <w:szCs w:val="20"/>
        </w:rPr>
        <w:t>A.</w:t>
      </w:r>
      <w:r w:rsidRPr="0057012D">
        <w:rPr>
          <w:rFonts w:cs="Arial"/>
          <w:szCs w:val="20"/>
        </w:rPr>
        <w:tab/>
      </w:r>
      <w:r w:rsidRPr="0057012D">
        <w:rPr>
          <w:rFonts w:cs="Arial"/>
          <w:szCs w:val="20"/>
          <w:u w:val="single"/>
        </w:rPr>
        <w:t>Budget after Transfers 2014/15</w:t>
      </w:r>
    </w:p>
    <w:p w:rsidR="00055B26" w:rsidRPr="0057012D" w:rsidRDefault="00055B26" w:rsidP="00271CFB">
      <w:pPr>
        <w:autoSpaceDE w:val="0"/>
        <w:autoSpaceDN w:val="0"/>
        <w:jc w:val="both"/>
        <w:rPr>
          <w:rFonts w:cs="Arial"/>
          <w:szCs w:val="20"/>
          <w:lang w:eastAsia="ko-KR"/>
        </w:rPr>
      </w:pPr>
    </w:p>
    <w:p w:rsidR="00055B26" w:rsidRDefault="00055B26" w:rsidP="00055B26">
      <w:pPr>
        <w:pStyle w:val="ListParagraph"/>
        <w:numPr>
          <w:ilvl w:val="0"/>
          <w:numId w:val="45"/>
        </w:numPr>
        <w:tabs>
          <w:tab w:val="left" w:pos="709"/>
        </w:tabs>
        <w:ind w:left="0" w:firstLine="0"/>
        <w:jc w:val="both"/>
        <w:rPr>
          <w:rFonts w:cs="Arial"/>
          <w:lang w:eastAsia="ko-KR"/>
        </w:rPr>
      </w:pPr>
      <w:r>
        <w:rPr>
          <w:rFonts w:cs="Arial"/>
          <w:lang w:eastAsia="ko-KR"/>
        </w:rPr>
        <w:t xml:space="preserve">The adjustments across Results in the Budget after Transfers 2014/15 reflects the new and more accurate methodology for allocation of personnel resources resulting  from enhancements made to the EPM planning system for the 2014 annual work planning exercise. </w:t>
      </w:r>
    </w:p>
    <w:p w:rsidR="00055B26" w:rsidRPr="0057012D" w:rsidRDefault="00055B26" w:rsidP="00271CFB">
      <w:pPr>
        <w:autoSpaceDE w:val="0"/>
        <w:autoSpaceDN w:val="0"/>
        <w:jc w:val="both"/>
        <w:rPr>
          <w:rFonts w:cs="Arial"/>
          <w:szCs w:val="20"/>
          <w:lang w:eastAsia="ko-KR"/>
        </w:rPr>
      </w:pPr>
    </w:p>
    <w:p w:rsidR="00055B26" w:rsidRDefault="00055B26" w:rsidP="00271CFB">
      <w:pPr>
        <w:jc w:val="both"/>
        <w:rPr>
          <w:rFonts w:cs="Arial"/>
          <w:szCs w:val="20"/>
          <w:u w:val="single"/>
          <w:lang w:eastAsia="ko-KR"/>
        </w:rPr>
      </w:pPr>
      <w:r w:rsidRPr="0057012D">
        <w:rPr>
          <w:rFonts w:cs="Arial"/>
          <w:szCs w:val="20"/>
          <w:lang w:eastAsia="ko-KR"/>
        </w:rPr>
        <w:t>B.</w:t>
      </w:r>
      <w:r w:rsidRPr="0057012D">
        <w:rPr>
          <w:rFonts w:cs="Arial"/>
          <w:szCs w:val="20"/>
          <w:lang w:eastAsia="ko-KR"/>
        </w:rPr>
        <w:tab/>
      </w:r>
      <w:r w:rsidRPr="0057012D">
        <w:rPr>
          <w:rFonts w:cs="Arial"/>
          <w:szCs w:val="20"/>
          <w:u w:val="single"/>
          <w:lang w:eastAsia="ko-KR"/>
        </w:rPr>
        <w:t>Budget utilization 2014</w:t>
      </w:r>
    </w:p>
    <w:p w:rsidR="00055B26" w:rsidRPr="0057012D" w:rsidRDefault="00055B26" w:rsidP="00271CFB">
      <w:pPr>
        <w:jc w:val="both"/>
        <w:rPr>
          <w:rFonts w:cs="Arial"/>
          <w:szCs w:val="20"/>
          <w:u w:val="single"/>
          <w:lang w:eastAsia="ko-KR"/>
        </w:rPr>
      </w:pPr>
    </w:p>
    <w:p w:rsidR="00055B26" w:rsidRPr="00E81BE7" w:rsidRDefault="00055B26" w:rsidP="00055B26">
      <w:pPr>
        <w:pStyle w:val="ListParagraph"/>
        <w:numPr>
          <w:ilvl w:val="0"/>
          <w:numId w:val="45"/>
        </w:numPr>
        <w:tabs>
          <w:tab w:val="left" w:pos="709"/>
        </w:tabs>
        <w:ind w:left="0" w:firstLine="0"/>
        <w:jc w:val="both"/>
        <w:rPr>
          <w:rFonts w:ascii="Calibri" w:hAnsi="Calibri"/>
          <w:sz w:val="22"/>
          <w:szCs w:val="22"/>
        </w:rPr>
      </w:pPr>
      <w:r>
        <w:rPr>
          <w:rFonts w:cs="Arial"/>
          <w:lang w:eastAsia="ko-KR"/>
        </w:rPr>
        <w:t xml:space="preserve">Budget utilization is within the expected range of 40-60 per cent for the first year of the biennium and is on track. </w:t>
      </w:r>
    </w:p>
    <w:p w:rsidR="005C6F8E" w:rsidRDefault="005C6F8E"/>
    <w:p w:rsidR="005C6F8E" w:rsidRDefault="005C6F8E"/>
    <w:p w:rsidR="005C6F8E" w:rsidRDefault="005C6F8E"/>
    <w:p w:rsidR="00DA7475" w:rsidRDefault="00DA7475">
      <w:r>
        <w:br w:type="page"/>
      </w:r>
    </w:p>
    <w:p w:rsidR="00C1753F" w:rsidRDefault="00C1753F" w:rsidP="00C1753F">
      <w:pPr>
        <w:pStyle w:val="StyleHeading214ptAuto"/>
        <w:rPr>
          <w:rFonts w:ascii="Arial" w:hAnsi="Arial" w:cs="Arial"/>
          <w:sz w:val="20"/>
          <w:szCs w:val="20"/>
        </w:rPr>
      </w:pPr>
      <w:bookmarkStart w:id="82" w:name="_Toc422210504"/>
      <w:bookmarkStart w:id="83" w:name="_Toc367350596"/>
      <w:r w:rsidRPr="00E07FBB">
        <w:rPr>
          <w:rFonts w:ascii="Arial" w:hAnsi="Arial" w:cs="Arial"/>
          <w:sz w:val="20"/>
          <w:szCs w:val="20"/>
        </w:rPr>
        <w:lastRenderedPageBreak/>
        <w:t>STRATEGIC GOAL VII</w:t>
      </w:r>
      <w:bookmarkEnd w:id="82"/>
    </w:p>
    <w:p w:rsidR="00C1753F" w:rsidRDefault="00C1753F" w:rsidP="003E2D93"/>
    <w:p w:rsidR="00C1753F" w:rsidRPr="003E2D93" w:rsidRDefault="00C1753F" w:rsidP="003E2D93">
      <w:pPr>
        <w:jc w:val="center"/>
      </w:pPr>
      <w:r w:rsidRPr="003E2D93">
        <w:rPr>
          <w:b/>
        </w:rPr>
        <w:t>ADDRESSING IP IN RELATION TO GLOBAL POLICY ISSUES</w:t>
      </w:r>
      <w:bookmarkEnd w:id="83"/>
    </w:p>
    <w:p w:rsidR="00C1753F" w:rsidRDefault="00C1753F" w:rsidP="003E2D93">
      <w:pPr>
        <w:jc w:val="center"/>
      </w:pPr>
    </w:p>
    <w:p w:rsidR="00C1753F" w:rsidRDefault="00C1753F">
      <w:pPr>
        <w:jc w:val="center"/>
        <w:rPr>
          <w:b/>
        </w:rPr>
      </w:pPr>
      <w:r>
        <w:rPr>
          <w:b/>
        </w:rPr>
        <w:t>Mid-term Performance Dashboard (2014)</w:t>
      </w:r>
    </w:p>
    <w:p w:rsidR="00C1753F" w:rsidRDefault="00C1753F" w:rsidP="003E2D93"/>
    <w:p w:rsidR="00C1753F" w:rsidRDefault="00C1753F" w:rsidP="003E2D93">
      <w:r>
        <w:t>The dashboard below provides a summary of the progress towards the achievement of the Results in the 2014 as measured by the indicators under the Programs contributing to this Strategic Goal.</w:t>
      </w:r>
    </w:p>
    <w:p w:rsidR="00C1753F" w:rsidRDefault="00C1753F" w:rsidP="00565E68">
      <w:pPr>
        <w:jc w:val="center"/>
      </w:pPr>
      <w:r>
        <w:rPr>
          <w:noProof/>
        </w:rPr>
        <w:drawing>
          <wp:inline distT="0" distB="0" distL="0" distR="0" wp14:anchorId="78228E80" wp14:editId="60C1C167">
            <wp:extent cx="4572635" cy="2743200"/>
            <wp:effectExtent l="0" t="0" r="0" b="0"/>
            <wp:docPr id="874" name="Picture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565E68" w:rsidRPr="00CB5A85" w:rsidRDefault="00565E68" w:rsidP="00565E68">
      <w:pPr>
        <w:jc w:val="center"/>
      </w:pPr>
    </w:p>
    <w:tbl>
      <w:tblPr>
        <w:tblW w:w="5148" w:type="pct"/>
        <w:tblInd w:w="-17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36"/>
        <w:gridCol w:w="4186"/>
        <w:gridCol w:w="1628"/>
        <w:gridCol w:w="1204"/>
      </w:tblGrid>
      <w:tr w:rsidR="00C1753F" w:rsidRPr="00AF5E7C" w:rsidTr="00565E68">
        <w:trPr>
          <w:cantSplit/>
          <w:tblHeader/>
        </w:trPr>
        <w:tc>
          <w:tcPr>
            <w:tcW w:w="1439" w:type="pct"/>
            <w:tcBorders>
              <w:top w:val="single" w:sz="4" w:space="0" w:color="auto"/>
              <w:bottom w:val="single" w:sz="4" w:space="0" w:color="auto"/>
            </w:tcBorders>
            <w:shd w:val="clear" w:color="auto" w:fill="CCFFFF"/>
            <w:tcMar>
              <w:top w:w="113" w:type="dxa"/>
              <w:bottom w:w="85" w:type="dxa"/>
            </w:tcMar>
            <w:vAlign w:val="center"/>
          </w:tcPr>
          <w:p w:rsidR="00C1753F" w:rsidRPr="00206A01" w:rsidRDefault="00C1753F" w:rsidP="003E2D93">
            <w:pPr>
              <w:rPr>
                <w:b/>
                <w:bCs/>
                <w:sz w:val="18"/>
                <w:szCs w:val="18"/>
              </w:rPr>
            </w:pPr>
            <w:r w:rsidRPr="00206A01">
              <w:rPr>
                <w:b/>
                <w:bCs/>
                <w:sz w:val="18"/>
                <w:szCs w:val="18"/>
              </w:rPr>
              <w:t>Expected Results</w:t>
            </w:r>
          </w:p>
        </w:tc>
        <w:tc>
          <w:tcPr>
            <w:tcW w:w="2124" w:type="pct"/>
            <w:tcBorders>
              <w:top w:val="single" w:sz="4" w:space="0" w:color="auto"/>
              <w:bottom w:val="single" w:sz="4" w:space="0" w:color="auto"/>
            </w:tcBorders>
            <w:shd w:val="clear" w:color="auto" w:fill="CCFFFF"/>
            <w:tcMar>
              <w:top w:w="113" w:type="dxa"/>
              <w:bottom w:w="85" w:type="dxa"/>
            </w:tcMar>
            <w:vAlign w:val="center"/>
          </w:tcPr>
          <w:p w:rsidR="00C1753F" w:rsidRPr="00206A01" w:rsidRDefault="00C1753F" w:rsidP="003E2D93">
            <w:pPr>
              <w:rPr>
                <w:b/>
                <w:sz w:val="18"/>
                <w:szCs w:val="18"/>
              </w:rPr>
            </w:pPr>
            <w:r w:rsidRPr="00206A01">
              <w:rPr>
                <w:b/>
                <w:sz w:val="18"/>
                <w:szCs w:val="18"/>
              </w:rPr>
              <w:t>Performance Indicators</w:t>
            </w:r>
          </w:p>
        </w:tc>
        <w:tc>
          <w:tcPr>
            <w:tcW w:w="826" w:type="pct"/>
            <w:tcBorders>
              <w:top w:val="single" w:sz="4" w:space="0" w:color="auto"/>
              <w:bottom w:val="single" w:sz="4" w:space="0" w:color="auto"/>
            </w:tcBorders>
            <w:shd w:val="clear" w:color="auto" w:fill="CCFFFF"/>
            <w:tcMar>
              <w:top w:w="113" w:type="dxa"/>
              <w:bottom w:w="85" w:type="dxa"/>
            </w:tcMar>
            <w:vAlign w:val="center"/>
          </w:tcPr>
          <w:p w:rsidR="00C1753F" w:rsidRPr="00206A01" w:rsidRDefault="00C1753F" w:rsidP="003E2D93">
            <w:pPr>
              <w:rPr>
                <w:sz w:val="18"/>
                <w:szCs w:val="18"/>
              </w:rPr>
            </w:pPr>
            <w:r w:rsidRPr="00206A01">
              <w:rPr>
                <w:b/>
                <w:bCs/>
                <w:sz w:val="18"/>
                <w:szCs w:val="18"/>
              </w:rPr>
              <w:t>Responsible Program(s)</w:t>
            </w:r>
          </w:p>
        </w:tc>
        <w:tc>
          <w:tcPr>
            <w:tcW w:w="611" w:type="pct"/>
            <w:tcBorders>
              <w:top w:val="single" w:sz="4" w:space="0" w:color="auto"/>
              <w:bottom w:val="single" w:sz="4" w:space="0" w:color="auto"/>
            </w:tcBorders>
            <w:shd w:val="clear" w:color="auto" w:fill="CCFFFF"/>
            <w:vAlign w:val="center"/>
          </w:tcPr>
          <w:p w:rsidR="00C1753F" w:rsidRPr="00206A01" w:rsidRDefault="00C1753F" w:rsidP="003E2D93">
            <w:pPr>
              <w:rPr>
                <w:b/>
                <w:bCs/>
                <w:sz w:val="18"/>
                <w:szCs w:val="18"/>
              </w:rPr>
            </w:pPr>
            <w:r>
              <w:rPr>
                <w:b/>
                <w:bCs/>
                <w:sz w:val="18"/>
                <w:szCs w:val="18"/>
              </w:rPr>
              <w:t>TLS</w:t>
            </w:r>
          </w:p>
        </w:tc>
      </w:tr>
      <w:tr w:rsidR="00C1753F" w:rsidRPr="00AF5E7C" w:rsidTr="00565E68">
        <w:trPr>
          <w:cantSplit/>
          <w:trHeight w:val="486"/>
        </w:trPr>
        <w:tc>
          <w:tcPr>
            <w:tcW w:w="1439" w:type="pct"/>
            <w:vMerge w:val="restart"/>
            <w:tcBorders>
              <w:top w:val="single" w:sz="4" w:space="0" w:color="auto"/>
              <w:right w:val="nil"/>
            </w:tcBorders>
            <w:shd w:val="clear" w:color="auto" w:fill="auto"/>
            <w:tcMar>
              <w:top w:w="113" w:type="dxa"/>
              <w:bottom w:w="85" w:type="dxa"/>
            </w:tcMar>
          </w:tcPr>
          <w:p w:rsidR="00C1753F" w:rsidRPr="00300636" w:rsidRDefault="00C1753F" w:rsidP="00C1753F">
            <w:pPr>
              <w:rPr>
                <w:rFonts w:cs="Arial"/>
                <w:sz w:val="16"/>
                <w:szCs w:val="16"/>
              </w:rPr>
            </w:pPr>
            <w:r>
              <w:rPr>
                <w:rFonts w:cs="Arial"/>
                <w:sz w:val="16"/>
                <w:szCs w:val="16"/>
              </w:rPr>
              <w:t xml:space="preserve">VII.2  </w:t>
            </w:r>
            <w:r w:rsidRPr="004E24C9">
              <w:rPr>
                <w:rFonts w:cs="Arial"/>
                <w:sz w:val="16"/>
                <w:szCs w:val="16"/>
              </w:rPr>
              <w:t>IP-based platforms and tools are used for knowledge transfer, technology adaptation and diffusion from developed to developing countries, particularly least developed countries, to address global challenges</w:t>
            </w:r>
          </w:p>
        </w:tc>
        <w:tc>
          <w:tcPr>
            <w:tcW w:w="2124" w:type="pct"/>
            <w:tcBorders>
              <w:top w:val="single" w:sz="4" w:space="0" w:color="auto"/>
              <w:left w:val="nil"/>
              <w:bottom w:val="nil"/>
              <w:right w:val="nil"/>
            </w:tcBorders>
            <w:shd w:val="clear" w:color="auto" w:fill="auto"/>
            <w:tcMar>
              <w:top w:w="113" w:type="dxa"/>
              <w:bottom w:w="85" w:type="dxa"/>
            </w:tcMar>
          </w:tcPr>
          <w:p w:rsidR="00C1753F" w:rsidRPr="00300636" w:rsidRDefault="00C1753F" w:rsidP="00565E68">
            <w:pPr>
              <w:rPr>
                <w:rFonts w:cs="Arial"/>
                <w:sz w:val="16"/>
                <w:szCs w:val="16"/>
              </w:rPr>
            </w:pPr>
            <w:r>
              <w:rPr>
                <w:rFonts w:cs="Arial"/>
                <w:sz w:val="16"/>
                <w:szCs w:val="16"/>
              </w:rPr>
              <w:t xml:space="preserve">Increase in membership in WIPO </w:t>
            </w:r>
            <w:proofErr w:type="spellStart"/>
            <w:r>
              <w:rPr>
                <w:rFonts w:cs="Arial"/>
                <w:sz w:val="16"/>
                <w:szCs w:val="16"/>
              </w:rPr>
              <w:t>Re:Search</w:t>
            </w:r>
            <w:proofErr w:type="spellEnd"/>
            <w:r>
              <w:rPr>
                <w:rFonts w:cs="Arial"/>
                <w:sz w:val="16"/>
                <w:szCs w:val="16"/>
              </w:rPr>
              <w:t xml:space="preserve">, including from developing countries and LDCs </w:t>
            </w:r>
          </w:p>
        </w:tc>
        <w:tc>
          <w:tcPr>
            <w:tcW w:w="826" w:type="pct"/>
            <w:tcBorders>
              <w:top w:val="single" w:sz="4" w:space="0" w:color="auto"/>
              <w:left w:val="nil"/>
              <w:bottom w:val="nil"/>
              <w:right w:val="nil"/>
            </w:tcBorders>
            <w:shd w:val="clear" w:color="auto" w:fill="FFFFFF"/>
            <w:tcMar>
              <w:top w:w="113" w:type="dxa"/>
              <w:bottom w:w="85" w:type="dxa"/>
            </w:tcMar>
          </w:tcPr>
          <w:p w:rsidR="00C1753F" w:rsidRPr="00AF5E7C" w:rsidRDefault="00C1753F" w:rsidP="00565E68">
            <w:pPr>
              <w:jc w:val="center"/>
              <w:rPr>
                <w:rFonts w:cs="Arial"/>
                <w:sz w:val="16"/>
                <w:szCs w:val="16"/>
                <w:lang w:bidi="th-TH"/>
              </w:rPr>
            </w:pPr>
            <w:r>
              <w:rPr>
                <w:rFonts w:cs="Arial"/>
                <w:sz w:val="16"/>
                <w:szCs w:val="16"/>
                <w:lang w:bidi="th-TH"/>
              </w:rPr>
              <w:t xml:space="preserve">Program 18 </w:t>
            </w:r>
          </w:p>
        </w:tc>
        <w:tc>
          <w:tcPr>
            <w:tcW w:w="611" w:type="pct"/>
            <w:tcBorders>
              <w:top w:val="single" w:sz="4" w:space="0" w:color="auto"/>
              <w:left w:val="nil"/>
            </w:tcBorders>
            <w:shd w:val="clear" w:color="auto" w:fill="FFFFFF"/>
          </w:tcPr>
          <w:p w:rsidR="00C1753F" w:rsidRPr="00F718E6" w:rsidRDefault="00C1753F" w:rsidP="00C1753F">
            <w:pPr>
              <w:jc w:val="center"/>
              <w:rPr>
                <w:rFonts w:cs="Arial"/>
                <w:color w:val="A6A6A6" w:themeColor="background1" w:themeShade="A6"/>
                <w:sz w:val="22"/>
                <w:szCs w:val="22"/>
              </w:rPr>
            </w:pPr>
            <w:r w:rsidRPr="005F33CE">
              <w:rPr>
                <w:rFonts w:cs="Arial"/>
                <w:color w:val="008000"/>
                <w:sz w:val="22"/>
                <w:szCs w:val="22"/>
              </w:rPr>
              <w:sym w:font="Wingdings" w:char="F06C"/>
            </w:r>
          </w:p>
        </w:tc>
      </w:tr>
      <w:tr w:rsidR="00C1753F" w:rsidRPr="00AF5E7C" w:rsidTr="00565E68">
        <w:trPr>
          <w:cantSplit/>
          <w:trHeight w:val="294"/>
        </w:trPr>
        <w:tc>
          <w:tcPr>
            <w:tcW w:w="1439" w:type="pct"/>
            <w:vMerge/>
            <w:tcBorders>
              <w:right w:val="nil"/>
            </w:tcBorders>
            <w:shd w:val="clear" w:color="auto" w:fill="auto"/>
            <w:tcMar>
              <w:top w:w="113" w:type="dxa"/>
              <w:bottom w:w="85" w:type="dxa"/>
            </w:tcMar>
          </w:tcPr>
          <w:p w:rsidR="00C1753F" w:rsidRDefault="00C1753F" w:rsidP="00C1753F">
            <w:pPr>
              <w:rPr>
                <w:rFonts w:cs="Arial"/>
                <w:sz w:val="16"/>
                <w:szCs w:val="16"/>
              </w:rPr>
            </w:pPr>
          </w:p>
        </w:tc>
        <w:tc>
          <w:tcPr>
            <w:tcW w:w="2124" w:type="pct"/>
            <w:tcBorders>
              <w:top w:val="nil"/>
              <w:left w:val="nil"/>
              <w:bottom w:val="nil"/>
              <w:right w:val="nil"/>
            </w:tcBorders>
            <w:shd w:val="clear" w:color="auto" w:fill="auto"/>
            <w:tcMar>
              <w:top w:w="113" w:type="dxa"/>
              <w:bottom w:w="85" w:type="dxa"/>
            </w:tcMar>
          </w:tcPr>
          <w:p w:rsidR="00C1753F" w:rsidRDefault="00C1753F" w:rsidP="00C1753F">
            <w:pPr>
              <w:rPr>
                <w:rFonts w:cs="Arial"/>
                <w:sz w:val="16"/>
                <w:szCs w:val="16"/>
              </w:rPr>
            </w:pPr>
            <w:r>
              <w:rPr>
                <w:rFonts w:cs="Arial"/>
                <w:sz w:val="16"/>
                <w:szCs w:val="16"/>
              </w:rPr>
              <w:t xml:space="preserve">Increased contributions to WIPO </w:t>
            </w:r>
            <w:proofErr w:type="spellStart"/>
            <w:r>
              <w:rPr>
                <w:rFonts w:cs="Arial"/>
                <w:sz w:val="16"/>
                <w:szCs w:val="16"/>
              </w:rPr>
              <w:t>Re:Search</w:t>
            </w:r>
            <w:proofErr w:type="spellEnd"/>
            <w:r>
              <w:rPr>
                <w:rFonts w:cs="Arial"/>
                <w:sz w:val="16"/>
                <w:szCs w:val="16"/>
              </w:rPr>
              <w:t xml:space="preserve"> database </w:t>
            </w:r>
          </w:p>
        </w:tc>
        <w:tc>
          <w:tcPr>
            <w:tcW w:w="826" w:type="pct"/>
            <w:tcBorders>
              <w:top w:val="nil"/>
              <w:left w:val="nil"/>
              <w:bottom w:val="nil"/>
              <w:right w:val="nil"/>
            </w:tcBorders>
            <w:shd w:val="clear" w:color="auto" w:fill="FFFFFF"/>
            <w:tcMar>
              <w:top w:w="113" w:type="dxa"/>
              <w:bottom w:w="85" w:type="dxa"/>
            </w:tcMar>
          </w:tcPr>
          <w:p w:rsidR="00C1753F" w:rsidRDefault="00C1753F" w:rsidP="00C1753F">
            <w:pPr>
              <w:jc w:val="center"/>
              <w:rPr>
                <w:rFonts w:cs="Arial"/>
                <w:sz w:val="16"/>
                <w:szCs w:val="16"/>
                <w:lang w:bidi="th-TH"/>
              </w:rPr>
            </w:pPr>
            <w:r>
              <w:rPr>
                <w:rFonts w:cs="Arial"/>
                <w:sz w:val="16"/>
                <w:szCs w:val="16"/>
                <w:lang w:bidi="th-TH"/>
              </w:rPr>
              <w:t xml:space="preserve">Program 18 </w:t>
            </w:r>
          </w:p>
        </w:tc>
        <w:tc>
          <w:tcPr>
            <w:tcW w:w="611" w:type="pct"/>
            <w:tcBorders>
              <w:top w:val="nil"/>
              <w:left w:val="nil"/>
            </w:tcBorders>
            <w:shd w:val="clear" w:color="auto" w:fill="FFFFFF"/>
          </w:tcPr>
          <w:p w:rsidR="00C1753F" w:rsidRDefault="00C1753F" w:rsidP="00C1753F">
            <w:pPr>
              <w:jc w:val="center"/>
            </w:pPr>
            <w:r w:rsidRPr="00535B20">
              <w:rPr>
                <w:rFonts w:cs="Arial"/>
                <w:color w:val="FF0000"/>
                <w:sz w:val="22"/>
                <w:szCs w:val="22"/>
              </w:rPr>
              <w:sym w:font="Wingdings" w:char="F06C"/>
            </w:r>
          </w:p>
        </w:tc>
      </w:tr>
      <w:tr w:rsidR="00C1753F" w:rsidRPr="00AF5E7C" w:rsidTr="00565E68">
        <w:trPr>
          <w:cantSplit/>
          <w:trHeight w:val="516"/>
        </w:trPr>
        <w:tc>
          <w:tcPr>
            <w:tcW w:w="1439" w:type="pct"/>
            <w:vMerge/>
            <w:tcBorders>
              <w:right w:val="nil"/>
            </w:tcBorders>
            <w:shd w:val="clear" w:color="auto" w:fill="auto"/>
            <w:tcMar>
              <w:top w:w="113" w:type="dxa"/>
              <w:bottom w:w="85" w:type="dxa"/>
            </w:tcMar>
          </w:tcPr>
          <w:p w:rsidR="00C1753F" w:rsidRDefault="00C1753F" w:rsidP="00C1753F">
            <w:pPr>
              <w:rPr>
                <w:rFonts w:cs="Arial"/>
                <w:sz w:val="16"/>
                <w:szCs w:val="16"/>
              </w:rPr>
            </w:pPr>
          </w:p>
        </w:tc>
        <w:tc>
          <w:tcPr>
            <w:tcW w:w="2124" w:type="pct"/>
            <w:tcBorders>
              <w:top w:val="nil"/>
              <w:left w:val="nil"/>
              <w:bottom w:val="nil"/>
              <w:right w:val="nil"/>
            </w:tcBorders>
            <w:shd w:val="clear" w:color="auto" w:fill="auto"/>
            <w:tcMar>
              <w:top w:w="113" w:type="dxa"/>
              <w:bottom w:w="85" w:type="dxa"/>
            </w:tcMar>
          </w:tcPr>
          <w:p w:rsidR="00C1753F" w:rsidRDefault="00C1753F" w:rsidP="00C1753F">
            <w:pPr>
              <w:rPr>
                <w:rFonts w:cs="Arial"/>
                <w:sz w:val="16"/>
                <w:szCs w:val="16"/>
              </w:rPr>
            </w:pPr>
            <w:r>
              <w:rPr>
                <w:rFonts w:cs="Arial"/>
                <w:sz w:val="16"/>
                <w:szCs w:val="16"/>
              </w:rPr>
              <w:t xml:space="preserve">Increased no. of agreements under WIPO </w:t>
            </w:r>
            <w:proofErr w:type="spellStart"/>
            <w:r>
              <w:rPr>
                <w:rFonts w:cs="Arial"/>
                <w:sz w:val="16"/>
                <w:szCs w:val="16"/>
              </w:rPr>
              <w:t>Re:Search</w:t>
            </w:r>
            <w:proofErr w:type="spellEnd"/>
            <w:r>
              <w:rPr>
                <w:rFonts w:cs="Arial"/>
                <w:sz w:val="16"/>
                <w:szCs w:val="16"/>
              </w:rPr>
              <w:t xml:space="preserve"> which lead to new or accelerated R&amp;D in NTDs, Malaria and TB</w:t>
            </w:r>
          </w:p>
        </w:tc>
        <w:tc>
          <w:tcPr>
            <w:tcW w:w="826" w:type="pct"/>
            <w:tcBorders>
              <w:top w:val="nil"/>
              <w:left w:val="nil"/>
              <w:bottom w:val="nil"/>
              <w:right w:val="nil"/>
            </w:tcBorders>
            <w:shd w:val="clear" w:color="auto" w:fill="FFFFFF"/>
            <w:tcMar>
              <w:top w:w="113" w:type="dxa"/>
              <w:bottom w:w="85" w:type="dxa"/>
            </w:tcMar>
          </w:tcPr>
          <w:p w:rsidR="00C1753F" w:rsidRDefault="00C1753F" w:rsidP="00C1753F">
            <w:pPr>
              <w:jc w:val="center"/>
              <w:rPr>
                <w:rFonts w:cs="Arial"/>
                <w:sz w:val="16"/>
                <w:szCs w:val="16"/>
                <w:lang w:bidi="th-TH"/>
              </w:rPr>
            </w:pPr>
            <w:r>
              <w:rPr>
                <w:rFonts w:cs="Arial"/>
                <w:sz w:val="16"/>
                <w:szCs w:val="16"/>
                <w:lang w:bidi="th-TH"/>
              </w:rPr>
              <w:t xml:space="preserve">Program 18 </w:t>
            </w:r>
          </w:p>
          <w:p w:rsidR="00C1753F" w:rsidRDefault="00C1753F" w:rsidP="00C1753F">
            <w:pPr>
              <w:ind w:left="661"/>
              <w:rPr>
                <w:rFonts w:cs="Arial"/>
                <w:sz w:val="16"/>
                <w:szCs w:val="16"/>
                <w:lang w:bidi="th-TH"/>
              </w:rPr>
            </w:pPr>
          </w:p>
        </w:tc>
        <w:tc>
          <w:tcPr>
            <w:tcW w:w="611" w:type="pct"/>
            <w:tcBorders>
              <w:top w:val="nil"/>
              <w:left w:val="nil"/>
            </w:tcBorders>
            <w:shd w:val="clear" w:color="auto" w:fill="FFFFFF"/>
          </w:tcPr>
          <w:p w:rsidR="00C1753F" w:rsidRDefault="00C1753F" w:rsidP="00C1753F">
            <w:pPr>
              <w:jc w:val="center"/>
            </w:pPr>
            <w:r w:rsidRPr="005F33CE">
              <w:rPr>
                <w:rFonts w:cs="Arial"/>
                <w:color w:val="008000"/>
                <w:sz w:val="22"/>
                <w:szCs w:val="22"/>
              </w:rPr>
              <w:sym w:font="Wingdings" w:char="F06C"/>
            </w:r>
          </w:p>
        </w:tc>
      </w:tr>
      <w:tr w:rsidR="00C1753F" w:rsidRPr="00AF5E7C" w:rsidTr="00565E68">
        <w:trPr>
          <w:cantSplit/>
          <w:trHeight w:val="272"/>
        </w:trPr>
        <w:tc>
          <w:tcPr>
            <w:tcW w:w="1439" w:type="pct"/>
            <w:shd w:val="clear" w:color="auto" w:fill="auto"/>
            <w:tcMar>
              <w:top w:w="113" w:type="dxa"/>
              <w:bottom w:w="85" w:type="dxa"/>
            </w:tcMar>
          </w:tcPr>
          <w:p w:rsidR="00C1753F" w:rsidRPr="00AF5E7C" w:rsidRDefault="00C1753F" w:rsidP="00C1753F">
            <w:pPr>
              <w:rPr>
                <w:rFonts w:cs="Arial"/>
                <w:sz w:val="16"/>
                <w:szCs w:val="16"/>
              </w:rPr>
            </w:pPr>
          </w:p>
        </w:tc>
        <w:tc>
          <w:tcPr>
            <w:tcW w:w="2124" w:type="pct"/>
            <w:tcBorders>
              <w:top w:val="nil"/>
            </w:tcBorders>
            <w:shd w:val="clear" w:color="auto" w:fill="auto"/>
            <w:tcMar>
              <w:top w:w="113" w:type="dxa"/>
              <w:bottom w:w="85" w:type="dxa"/>
            </w:tcMar>
          </w:tcPr>
          <w:p w:rsidR="00C1753F" w:rsidRPr="00300636" w:rsidRDefault="00C1753F" w:rsidP="00C1753F">
            <w:pPr>
              <w:rPr>
                <w:rFonts w:cs="Arial"/>
                <w:sz w:val="16"/>
                <w:szCs w:val="16"/>
              </w:rPr>
            </w:pPr>
            <w:r>
              <w:rPr>
                <w:rFonts w:cs="Arial"/>
                <w:sz w:val="16"/>
                <w:szCs w:val="16"/>
              </w:rPr>
              <w:t>No. of WIPO GREEN Members</w:t>
            </w:r>
          </w:p>
        </w:tc>
        <w:tc>
          <w:tcPr>
            <w:tcW w:w="826" w:type="pct"/>
            <w:tcBorders>
              <w:top w:val="nil"/>
            </w:tcBorders>
            <w:shd w:val="clear" w:color="auto" w:fill="FFFFFF"/>
            <w:tcMar>
              <w:top w:w="113" w:type="dxa"/>
              <w:bottom w:w="85" w:type="dxa"/>
            </w:tcMar>
          </w:tcPr>
          <w:p w:rsidR="00C1753F" w:rsidRPr="00AF5E7C" w:rsidRDefault="00C1753F" w:rsidP="00C1753F">
            <w:pPr>
              <w:jc w:val="center"/>
              <w:rPr>
                <w:rFonts w:cs="Arial"/>
                <w:sz w:val="16"/>
                <w:szCs w:val="16"/>
                <w:lang w:bidi="th-TH"/>
              </w:rPr>
            </w:pPr>
            <w:r>
              <w:rPr>
                <w:rFonts w:cs="Arial"/>
                <w:sz w:val="16"/>
                <w:szCs w:val="16"/>
                <w:lang w:bidi="th-TH"/>
              </w:rPr>
              <w:t>Program 18</w:t>
            </w:r>
          </w:p>
        </w:tc>
        <w:tc>
          <w:tcPr>
            <w:tcW w:w="611" w:type="pct"/>
            <w:shd w:val="clear" w:color="auto" w:fill="FFFFFF"/>
          </w:tcPr>
          <w:p w:rsidR="00C1753F" w:rsidRDefault="00C1753F" w:rsidP="00C1753F">
            <w:pPr>
              <w:jc w:val="center"/>
            </w:pPr>
            <w:r w:rsidRPr="005F33CE">
              <w:rPr>
                <w:rFonts w:cs="Arial"/>
                <w:color w:val="008000"/>
                <w:sz w:val="22"/>
                <w:szCs w:val="22"/>
              </w:rPr>
              <w:sym w:font="Wingdings" w:char="F06C"/>
            </w:r>
          </w:p>
        </w:tc>
      </w:tr>
      <w:tr w:rsidR="00C1753F" w:rsidRPr="00AF5E7C" w:rsidTr="00565E68">
        <w:trPr>
          <w:cantSplit/>
          <w:trHeight w:val="706"/>
        </w:trPr>
        <w:tc>
          <w:tcPr>
            <w:tcW w:w="1439" w:type="pct"/>
            <w:shd w:val="clear" w:color="auto" w:fill="auto"/>
            <w:tcMar>
              <w:top w:w="113" w:type="dxa"/>
              <w:bottom w:w="85" w:type="dxa"/>
            </w:tcMar>
          </w:tcPr>
          <w:p w:rsidR="00C1753F" w:rsidRPr="00AF5E7C" w:rsidRDefault="00C1753F" w:rsidP="00C1753F">
            <w:pPr>
              <w:rPr>
                <w:rFonts w:cs="Arial"/>
                <w:sz w:val="16"/>
                <w:szCs w:val="16"/>
              </w:rPr>
            </w:pPr>
          </w:p>
        </w:tc>
        <w:tc>
          <w:tcPr>
            <w:tcW w:w="2124" w:type="pct"/>
            <w:shd w:val="clear" w:color="auto" w:fill="auto"/>
            <w:tcMar>
              <w:top w:w="113" w:type="dxa"/>
              <w:bottom w:w="85" w:type="dxa"/>
            </w:tcMar>
          </w:tcPr>
          <w:p w:rsidR="00C1753F" w:rsidRPr="00AF5E7C" w:rsidRDefault="00C1753F" w:rsidP="00C1753F">
            <w:pPr>
              <w:rPr>
                <w:rFonts w:cs="Arial"/>
                <w:sz w:val="16"/>
                <w:szCs w:val="16"/>
              </w:rPr>
            </w:pPr>
            <w:r>
              <w:rPr>
                <w:rFonts w:cs="Arial"/>
                <w:sz w:val="16"/>
                <w:szCs w:val="16"/>
              </w:rPr>
              <w:t>No. of established links of WIPO GREEN to relevant mechanisms, such as Climate Technology Centers and Networks (UNFCCC) and Climate Innovation Centers (</w:t>
            </w:r>
            <w:proofErr w:type="spellStart"/>
            <w:r>
              <w:rPr>
                <w:rFonts w:cs="Arial"/>
                <w:sz w:val="16"/>
                <w:szCs w:val="16"/>
              </w:rPr>
              <w:t>infoDev</w:t>
            </w:r>
            <w:proofErr w:type="spellEnd"/>
            <w:r>
              <w:rPr>
                <w:rFonts w:cs="Arial"/>
                <w:sz w:val="16"/>
                <w:szCs w:val="16"/>
              </w:rPr>
              <w:t>)</w:t>
            </w:r>
          </w:p>
        </w:tc>
        <w:tc>
          <w:tcPr>
            <w:tcW w:w="826" w:type="pct"/>
            <w:shd w:val="clear" w:color="auto" w:fill="FFFFFF"/>
            <w:tcMar>
              <w:top w:w="113" w:type="dxa"/>
              <w:bottom w:w="85" w:type="dxa"/>
            </w:tcMar>
          </w:tcPr>
          <w:p w:rsidR="00C1753F" w:rsidRPr="00AF5E7C" w:rsidRDefault="00C1753F" w:rsidP="00C1753F">
            <w:pPr>
              <w:jc w:val="center"/>
              <w:rPr>
                <w:rFonts w:cs="Arial"/>
                <w:sz w:val="16"/>
                <w:szCs w:val="16"/>
                <w:lang w:bidi="th-TH"/>
              </w:rPr>
            </w:pPr>
            <w:r>
              <w:rPr>
                <w:rFonts w:cs="Arial"/>
                <w:sz w:val="16"/>
                <w:szCs w:val="16"/>
                <w:lang w:bidi="th-TH"/>
              </w:rPr>
              <w:t>Program 18</w:t>
            </w:r>
          </w:p>
        </w:tc>
        <w:tc>
          <w:tcPr>
            <w:tcW w:w="611" w:type="pct"/>
            <w:shd w:val="clear" w:color="auto" w:fill="FFFFFF"/>
          </w:tcPr>
          <w:p w:rsidR="00C1753F" w:rsidRPr="00F718E6" w:rsidRDefault="00C1753F" w:rsidP="00C1753F">
            <w:pPr>
              <w:jc w:val="center"/>
              <w:rPr>
                <w:rFonts w:cs="Arial"/>
                <w:color w:val="A6A6A6" w:themeColor="background1" w:themeShade="A6"/>
                <w:sz w:val="22"/>
                <w:szCs w:val="22"/>
              </w:rPr>
            </w:pPr>
            <w:r w:rsidRPr="005F33CE">
              <w:rPr>
                <w:rFonts w:cs="Arial"/>
                <w:color w:val="008000"/>
                <w:sz w:val="22"/>
                <w:szCs w:val="22"/>
              </w:rPr>
              <w:sym w:font="Wingdings" w:char="F06C"/>
            </w:r>
          </w:p>
        </w:tc>
      </w:tr>
      <w:tr w:rsidR="00C1753F" w:rsidRPr="00AF5E7C" w:rsidTr="00565E68">
        <w:trPr>
          <w:cantSplit/>
          <w:trHeight w:val="296"/>
        </w:trPr>
        <w:tc>
          <w:tcPr>
            <w:tcW w:w="1439" w:type="pct"/>
            <w:shd w:val="clear" w:color="auto" w:fill="auto"/>
            <w:tcMar>
              <w:top w:w="113" w:type="dxa"/>
              <w:bottom w:w="85" w:type="dxa"/>
            </w:tcMar>
          </w:tcPr>
          <w:p w:rsidR="00C1753F" w:rsidRPr="00AF5E7C" w:rsidRDefault="00C1753F" w:rsidP="00C1753F">
            <w:pPr>
              <w:rPr>
                <w:rFonts w:cs="Arial"/>
                <w:sz w:val="16"/>
                <w:szCs w:val="16"/>
              </w:rPr>
            </w:pPr>
          </w:p>
        </w:tc>
        <w:tc>
          <w:tcPr>
            <w:tcW w:w="2124" w:type="pct"/>
            <w:shd w:val="clear" w:color="auto" w:fill="auto"/>
            <w:tcMar>
              <w:top w:w="113" w:type="dxa"/>
              <w:bottom w:w="85" w:type="dxa"/>
            </w:tcMar>
          </w:tcPr>
          <w:p w:rsidR="00C1753F" w:rsidRDefault="00C1753F" w:rsidP="00C1753F">
            <w:pPr>
              <w:rPr>
                <w:rFonts w:cs="Arial"/>
                <w:sz w:val="16"/>
                <w:szCs w:val="16"/>
              </w:rPr>
            </w:pPr>
            <w:r>
              <w:rPr>
                <w:rFonts w:cs="Arial"/>
                <w:sz w:val="16"/>
                <w:szCs w:val="16"/>
              </w:rPr>
              <w:t>No. of agreements catalyzed by WIPO GREEN facilitating knowledge transfer, technology adaptation, transfer and/or diffusion</w:t>
            </w:r>
          </w:p>
        </w:tc>
        <w:tc>
          <w:tcPr>
            <w:tcW w:w="826" w:type="pct"/>
            <w:shd w:val="clear" w:color="auto" w:fill="FFFFFF"/>
            <w:tcMar>
              <w:top w:w="113" w:type="dxa"/>
              <w:bottom w:w="85" w:type="dxa"/>
            </w:tcMar>
          </w:tcPr>
          <w:p w:rsidR="00C1753F" w:rsidRDefault="00C1753F" w:rsidP="00C1753F">
            <w:pPr>
              <w:jc w:val="center"/>
              <w:rPr>
                <w:rFonts w:cs="Arial"/>
                <w:sz w:val="16"/>
                <w:szCs w:val="16"/>
                <w:lang w:bidi="th-TH"/>
              </w:rPr>
            </w:pPr>
            <w:r>
              <w:rPr>
                <w:rFonts w:cs="Arial"/>
                <w:sz w:val="16"/>
                <w:szCs w:val="16"/>
                <w:lang w:bidi="th-TH"/>
              </w:rPr>
              <w:t>Program 18</w:t>
            </w:r>
          </w:p>
        </w:tc>
        <w:tc>
          <w:tcPr>
            <w:tcW w:w="611" w:type="pct"/>
            <w:shd w:val="clear" w:color="auto" w:fill="FFFFFF"/>
          </w:tcPr>
          <w:p w:rsidR="00C1753F" w:rsidRDefault="00C1753F" w:rsidP="00C1753F">
            <w:pPr>
              <w:jc w:val="center"/>
            </w:pPr>
            <w:r w:rsidRPr="00535B20">
              <w:rPr>
                <w:rFonts w:cs="Arial"/>
                <w:color w:val="FF0000"/>
                <w:sz w:val="22"/>
                <w:szCs w:val="22"/>
              </w:rPr>
              <w:sym w:font="Wingdings" w:char="F06C"/>
            </w:r>
          </w:p>
        </w:tc>
      </w:tr>
      <w:tr w:rsidR="00C1753F" w:rsidRPr="00AF5E7C" w:rsidTr="00565E68">
        <w:trPr>
          <w:cantSplit/>
          <w:trHeight w:val="344"/>
        </w:trPr>
        <w:tc>
          <w:tcPr>
            <w:tcW w:w="1439" w:type="pct"/>
            <w:shd w:val="clear" w:color="auto" w:fill="auto"/>
            <w:tcMar>
              <w:top w:w="113" w:type="dxa"/>
              <w:bottom w:w="85" w:type="dxa"/>
            </w:tcMar>
          </w:tcPr>
          <w:p w:rsidR="00C1753F" w:rsidRPr="00AF5E7C" w:rsidRDefault="00C1753F" w:rsidP="00C1753F">
            <w:pPr>
              <w:rPr>
                <w:rFonts w:cs="Arial"/>
                <w:sz w:val="16"/>
                <w:szCs w:val="16"/>
              </w:rPr>
            </w:pPr>
          </w:p>
        </w:tc>
        <w:tc>
          <w:tcPr>
            <w:tcW w:w="2124" w:type="pct"/>
            <w:shd w:val="clear" w:color="auto" w:fill="auto"/>
            <w:tcMar>
              <w:top w:w="113" w:type="dxa"/>
              <w:bottom w:w="85" w:type="dxa"/>
            </w:tcMar>
          </w:tcPr>
          <w:p w:rsidR="00C1753F" w:rsidRDefault="00C1753F" w:rsidP="00C1753F">
            <w:pPr>
              <w:rPr>
                <w:rFonts w:cs="Arial"/>
                <w:sz w:val="16"/>
                <w:szCs w:val="16"/>
              </w:rPr>
            </w:pPr>
            <w:r>
              <w:rPr>
                <w:rFonts w:cs="Arial"/>
                <w:sz w:val="16"/>
                <w:szCs w:val="16"/>
              </w:rPr>
              <w:t>No. of visits of Global Challenges website</w:t>
            </w:r>
          </w:p>
        </w:tc>
        <w:tc>
          <w:tcPr>
            <w:tcW w:w="826" w:type="pct"/>
            <w:shd w:val="clear" w:color="auto" w:fill="FFFFFF"/>
            <w:tcMar>
              <w:top w:w="113" w:type="dxa"/>
              <w:bottom w:w="85" w:type="dxa"/>
            </w:tcMar>
          </w:tcPr>
          <w:p w:rsidR="00C1753F" w:rsidRDefault="00C1753F" w:rsidP="00C1753F">
            <w:pPr>
              <w:jc w:val="center"/>
              <w:rPr>
                <w:rFonts w:cs="Arial"/>
                <w:sz w:val="16"/>
                <w:szCs w:val="16"/>
                <w:lang w:bidi="th-TH"/>
              </w:rPr>
            </w:pPr>
            <w:r>
              <w:rPr>
                <w:rFonts w:cs="Arial"/>
                <w:sz w:val="16"/>
                <w:szCs w:val="16"/>
                <w:lang w:bidi="th-TH"/>
              </w:rPr>
              <w:t>Program 18</w:t>
            </w:r>
          </w:p>
        </w:tc>
        <w:tc>
          <w:tcPr>
            <w:tcW w:w="611" w:type="pct"/>
            <w:shd w:val="clear" w:color="auto" w:fill="FFFFFF"/>
          </w:tcPr>
          <w:p w:rsidR="00C1753F" w:rsidRPr="00F718E6" w:rsidRDefault="00C1753F" w:rsidP="00565E68">
            <w:pPr>
              <w:jc w:val="center"/>
              <w:rPr>
                <w:rFonts w:cs="Arial"/>
                <w:color w:val="A6A6A6" w:themeColor="background1" w:themeShade="A6"/>
                <w:sz w:val="22"/>
                <w:szCs w:val="22"/>
              </w:rPr>
            </w:pPr>
            <w:r w:rsidRPr="00535B20">
              <w:rPr>
                <w:rFonts w:cs="Arial"/>
                <w:color w:val="FF0000"/>
                <w:sz w:val="22"/>
                <w:szCs w:val="22"/>
              </w:rPr>
              <w:sym w:font="Wingdings" w:char="F06C"/>
            </w:r>
            <w:r w:rsidRPr="00F718E6">
              <w:rPr>
                <w:rFonts w:cs="Arial"/>
                <w:color w:val="A6A6A6" w:themeColor="background1" w:themeShade="A6"/>
                <w:sz w:val="22"/>
                <w:szCs w:val="22"/>
              </w:rPr>
              <w:sym w:font="Wingdings" w:char="F06C"/>
            </w:r>
            <w:r w:rsidRPr="00F718E6">
              <w:rPr>
                <w:rFonts w:cs="Arial"/>
                <w:color w:val="A6A6A6" w:themeColor="background1" w:themeShade="A6"/>
                <w:sz w:val="22"/>
                <w:szCs w:val="22"/>
              </w:rPr>
              <w:sym w:font="Wingdings" w:char="F06C"/>
            </w:r>
            <w:r w:rsidRPr="00535B20">
              <w:rPr>
                <w:rFonts w:cs="Arial"/>
                <w:color w:val="FF0000"/>
                <w:sz w:val="22"/>
                <w:szCs w:val="22"/>
              </w:rPr>
              <w:sym w:font="Wingdings" w:char="F06C"/>
            </w:r>
            <w:r w:rsidRPr="005F33CE">
              <w:rPr>
                <w:rFonts w:cs="Arial"/>
                <w:color w:val="008000"/>
                <w:sz w:val="22"/>
                <w:szCs w:val="22"/>
              </w:rPr>
              <w:sym w:font="Wingdings" w:char="F06C"/>
            </w:r>
          </w:p>
        </w:tc>
      </w:tr>
      <w:tr w:rsidR="00C1753F" w:rsidRPr="00AF5E7C" w:rsidTr="00565E68">
        <w:trPr>
          <w:cantSplit/>
          <w:trHeight w:val="344"/>
        </w:trPr>
        <w:tc>
          <w:tcPr>
            <w:tcW w:w="1439" w:type="pct"/>
            <w:shd w:val="clear" w:color="auto" w:fill="auto"/>
            <w:tcMar>
              <w:top w:w="113" w:type="dxa"/>
              <w:bottom w:w="85" w:type="dxa"/>
            </w:tcMar>
          </w:tcPr>
          <w:p w:rsidR="00C1753F" w:rsidRPr="00AF5E7C" w:rsidRDefault="00C1753F" w:rsidP="00C1753F">
            <w:pPr>
              <w:rPr>
                <w:rFonts w:cs="Arial"/>
                <w:sz w:val="16"/>
                <w:szCs w:val="16"/>
              </w:rPr>
            </w:pPr>
          </w:p>
        </w:tc>
        <w:tc>
          <w:tcPr>
            <w:tcW w:w="2124" w:type="pct"/>
            <w:shd w:val="clear" w:color="auto" w:fill="auto"/>
            <w:tcMar>
              <w:top w:w="113" w:type="dxa"/>
              <w:bottom w:w="85" w:type="dxa"/>
            </w:tcMar>
          </w:tcPr>
          <w:p w:rsidR="00C1753F" w:rsidRDefault="00C1753F" w:rsidP="00C1753F">
            <w:pPr>
              <w:rPr>
                <w:rFonts w:cs="Arial"/>
                <w:sz w:val="16"/>
                <w:szCs w:val="16"/>
              </w:rPr>
            </w:pPr>
            <w:r w:rsidRPr="00CB69C7">
              <w:rPr>
                <w:rFonts w:cs="Arial"/>
                <w:sz w:val="16"/>
                <w:szCs w:val="16"/>
              </w:rPr>
              <w:t xml:space="preserve">Participation of stakeholders in WIPO's platform such as WIPO GREEN and WIPO </w:t>
            </w:r>
            <w:proofErr w:type="spellStart"/>
            <w:r w:rsidRPr="00CB69C7">
              <w:rPr>
                <w:rFonts w:cs="Arial"/>
                <w:sz w:val="16"/>
                <w:szCs w:val="16"/>
              </w:rPr>
              <w:t>Re:Search</w:t>
            </w:r>
            <w:proofErr w:type="spellEnd"/>
          </w:p>
        </w:tc>
        <w:tc>
          <w:tcPr>
            <w:tcW w:w="826" w:type="pct"/>
            <w:shd w:val="clear" w:color="auto" w:fill="FFFFFF"/>
            <w:tcMar>
              <w:top w:w="113" w:type="dxa"/>
              <w:bottom w:w="85" w:type="dxa"/>
            </w:tcMar>
          </w:tcPr>
          <w:p w:rsidR="00C1753F" w:rsidRDefault="00C1753F" w:rsidP="00C1753F">
            <w:pPr>
              <w:jc w:val="center"/>
              <w:rPr>
                <w:rFonts w:cs="Arial"/>
                <w:sz w:val="16"/>
                <w:szCs w:val="16"/>
                <w:lang w:bidi="th-TH"/>
              </w:rPr>
            </w:pPr>
            <w:r>
              <w:rPr>
                <w:rFonts w:cs="Arial"/>
                <w:sz w:val="16"/>
                <w:szCs w:val="16"/>
                <w:lang w:bidi="th-TH"/>
              </w:rPr>
              <w:t>Program 20</w:t>
            </w:r>
          </w:p>
        </w:tc>
        <w:tc>
          <w:tcPr>
            <w:tcW w:w="611" w:type="pct"/>
            <w:shd w:val="clear" w:color="auto" w:fill="FFFFFF"/>
          </w:tcPr>
          <w:p w:rsidR="00C1753F" w:rsidRPr="00533FD6" w:rsidRDefault="00C1753F" w:rsidP="00C1753F">
            <w:pPr>
              <w:jc w:val="center"/>
              <w:rPr>
                <w:rFonts w:cs="Arial"/>
                <w:color w:val="008000"/>
                <w:sz w:val="22"/>
                <w:szCs w:val="22"/>
              </w:rPr>
            </w:pPr>
            <w:r w:rsidRPr="00535B20">
              <w:rPr>
                <w:rFonts w:cs="Arial"/>
                <w:color w:val="FF0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r w:rsidRPr="00F718E6">
              <w:rPr>
                <w:rFonts w:cs="Arial"/>
                <w:color w:val="A6A6A6" w:themeColor="background1" w:themeShade="A6"/>
                <w:sz w:val="22"/>
                <w:szCs w:val="22"/>
              </w:rPr>
              <w:sym w:font="Wingdings" w:char="F06C"/>
            </w:r>
            <w:r w:rsidRPr="005F33CE">
              <w:rPr>
                <w:rFonts w:cs="Arial"/>
                <w:color w:val="008000"/>
                <w:sz w:val="22"/>
                <w:szCs w:val="22"/>
              </w:rPr>
              <w:sym w:font="Wingdings" w:char="F06C"/>
            </w:r>
          </w:p>
        </w:tc>
      </w:tr>
      <w:tr w:rsidR="00565E68" w:rsidRPr="00AF5E7C" w:rsidTr="00565E68">
        <w:trPr>
          <w:cantSplit/>
          <w:trHeight w:val="344"/>
        </w:trPr>
        <w:tc>
          <w:tcPr>
            <w:tcW w:w="1439" w:type="pct"/>
            <w:shd w:val="clear" w:color="auto" w:fill="auto"/>
            <w:tcMar>
              <w:top w:w="113" w:type="dxa"/>
              <w:bottom w:w="85" w:type="dxa"/>
            </w:tcMar>
          </w:tcPr>
          <w:p w:rsidR="00565E68" w:rsidRPr="00AF5E7C" w:rsidRDefault="00565E68" w:rsidP="00F25872">
            <w:pPr>
              <w:rPr>
                <w:rFonts w:cs="Arial"/>
                <w:sz w:val="16"/>
                <w:szCs w:val="16"/>
              </w:rPr>
            </w:pPr>
            <w:r w:rsidRPr="00300636">
              <w:rPr>
                <w:rFonts w:cs="Arial"/>
                <w:sz w:val="16"/>
                <w:szCs w:val="16"/>
              </w:rPr>
              <w:t>VII.</w:t>
            </w:r>
            <w:r>
              <w:rPr>
                <w:rFonts w:cs="Arial"/>
                <w:sz w:val="16"/>
                <w:szCs w:val="16"/>
              </w:rPr>
              <w:t>3</w:t>
            </w:r>
            <w:r w:rsidRPr="00783B9B">
              <w:rPr>
                <w:rFonts w:cs="Arial"/>
                <w:sz w:val="16"/>
                <w:szCs w:val="16"/>
              </w:rPr>
              <w:t xml:space="preserve"> </w:t>
            </w:r>
            <w:r>
              <w:rPr>
                <w:rFonts w:cs="Arial"/>
                <w:sz w:val="16"/>
                <w:szCs w:val="16"/>
              </w:rPr>
              <w:t xml:space="preserve"> </w:t>
            </w:r>
            <w:r w:rsidRPr="00783B9B">
              <w:rPr>
                <w:rFonts w:cs="Arial"/>
                <w:sz w:val="16"/>
                <w:szCs w:val="16"/>
              </w:rPr>
              <w:t>Growing credibility of WIPO as a forum for analysis of issues in the field of IP and competition policy</w:t>
            </w:r>
          </w:p>
        </w:tc>
        <w:tc>
          <w:tcPr>
            <w:tcW w:w="2124" w:type="pct"/>
            <w:shd w:val="clear" w:color="auto" w:fill="auto"/>
            <w:tcMar>
              <w:top w:w="113" w:type="dxa"/>
              <w:bottom w:w="85" w:type="dxa"/>
            </w:tcMar>
          </w:tcPr>
          <w:p w:rsidR="00565E68" w:rsidRDefault="00565E68" w:rsidP="00F25872">
            <w:pPr>
              <w:rPr>
                <w:rFonts w:cs="Arial"/>
                <w:sz w:val="16"/>
                <w:szCs w:val="16"/>
              </w:rPr>
            </w:pPr>
            <w:r w:rsidRPr="001D0949">
              <w:rPr>
                <w:rFonts w:eastAsia="MS Mincho" w:cs="Courier New"/>
                <w:sz w:val="16"/>
                <w:szCs w:val="16"/>
                <w:lang w:eastAsia="zh-CN" w:bidi="th-TH"/>
              </w:rPr>
              <w:t>No</w:t>
            </w:r>
            <w:r>
              <w:rPr>
                <w:rFonts w:eastAsia="MS Mincho" w:cs="Courier New"/>
                <w:sz w:val="16"/>
                <w:szCs w:val="16"/>
                <w:lang w:eastAsia="zh-CN" w:bidi="th-TH"/>
              </w:rPr>
              <w:t>.</w:t>
            </w:r>
            <w:r w:rsidRPr="001D0949">
              <w:rPr>
                <w:rFonts w:eastAsia="MS Mincho" w:cs="Courier New"/>
                <w:sz w:val="16"/>
                <w:szCs w:val="16"/>
                <w:lang w:eastAsia="zh-CN" w:bidi="th-TH"/>
              </w:rPr>
              <w:t xml:space="preserve"> of countries requesting WIPO’s specific contribution on IP in relation to CP-related issues</w:t>
            </w:r>
          </w:p>
        </w:tc>
        <w:tc>
          <w:tcPr>
            <w:tcW w:w="826" w:type="pct"/>
            <w:shd w:val="clear" w:color="auto" w:fill="FFFFFF"/>
            <w:tcMar>
              <w:top w:w="113" w:type="dxa"/>
              <w:bottom w:w="85" w:type="dxa"/>
            </w:tcMar>
          </w:tcPr>
          <w:p w:rsidR="00565E68" w:rsidRDefault="00565E68" w:rsidP="00F25872">
            <w:pPr>
              <w:jc w:val="center"/>
              <w:rPr>
                <w:rFonts w:cs="Arial"/>
                <w:sz w:val="16"/>
                <w:szCs w:val="16"/>
                <w:lang w:bidi="th-TH"/>
              </w:rPr>
            </w:pPr>
            <w:r>
              <w:rPr>
                <w:rFonts w:cs="Arial"/>
                <w:sz w:val="16"/>
                <w:szCs w:val="16"/>
                <w:lang w:bidi="th-TH"/>
              </w:rPr>
              <w:t>Program 18</w:t>
            </w:r>
          </w:p>
        </w:tc>
        <w:tc>
          <w:tcPr>
            <w:tcW w:w="611" w:type="pct"/>
            <w:shd w:val="clear" w:color="auto" w:fill="FFFFFF"/>
          </w:tcPr>
          <w:p w:rsidR="00565E68" w:rsidRDefault="00565E68" w:rsidP="00F25872">
            <w:pPr>
              <w:jc w:val="center"/>
            </w:pPr>
            <w:r w:rsidRPr="005F33CE">
              <w:rPr>
                <w:rFonts w:cs="Arial"/>
                <w:color w:val="008000"/>
                <w:sz w:val="22"/>
                <w:szCs w:val="22"/>
              </w:rPr>
              <w:sym w:font="Wingdings" w:char="F06C"/>
            </w:r>
          </w:p>
        </w:tc>
      </w:tr>
      <w:tr w:rsidR="00565E68" w:rsidRPr="00AF5E7C" w:rsidTr="00565E68">
        <w:trPr>
          <w:cantSplit/>
          <w:trHeight w:val="344"/>
        </w:trPr>
        <w:tc>
          <w:tcPr>
            <w:tcW w:w="1439" w:type="pct"/>
            <w:shd w:val="clear" w:color="auto" w:fill="auto"/>
            <w:tcMar>
              <w:top w:w="113" w:type="dxa"/>
              <w:bottom w:w="85" w:type="dxa"/>
            </w:tcMar>
          </w:tcPr>
          <w:p w:rsidR="00565E68" w:rsidRPr="00AF5E7C" w:rsidRDefault="00565E68" w:rsidP="00C1753F">
            <w:pPr>
              <w:rPr>
                <w:rFonts w:cs="Arial"/>
                <w:sz w:val="16"/>
                <w:szCs w:val="16"/>
              </w:rPr>
            </w:pPr>
          </w:p>
        </w:tc>
        <w:tc>
          <w:tcPr>
            <w:tcW w:w="2124" w:type="pct"/>
            <w:shd w:val="clear" w:color="auto" w:fill="auto"/>
            <w:tcMar>
              <w:top w:w="113" w:type="dxa"/>
              <w:bottom w:w="85" w:type="dxa"/>
            </w:tcMar>
          </w:tcPr>
          <w:p w:rsidR="00565E68" w:rsidRPr="001D0949" w:rsidRDefault="00565E68" w:rsidP="00F25872">
            <w:pPr>
              <w:rPr>
                <w:rFonts w:eastAsia="MS Mincho" w:cs="Courier New"/>
                <w:sz w:val="16"/>
                <w:szCs w:val="16"/>
                <w:lang w:eastAsia="zh-CN" w:bidi="th-TH"/>
              </w:rPr>
            </w:pPr>
            <w:r w:rsidRPr="00300636">
              <w:rPr>
                <w:rFonts w:cs="Arial"/>
                <w:sz w:val="16"/>
                <w:szCs w:val="16"/>
              </w:rPr>
              <w:t>N</w:t>
            </w:r>
            <w:r>
              <w:rPr>
                <w:rFonts w:cs="Arial"/>
                <w:sz w:val="16"/>
                <w:szCs w:val="16"/>
              </w:rPr>
              <w:t>o.</w:t>
            </w:r>
            <w:r w:rsidRPr="00300636">
              <w:rPr>
                <w:rFonts w:cs="Arial"/>
                <w:sz w:val="16"/>
                <w:szCs w:val="16"/>
              </w:rPr>
              <w:t xml:space="preserve"> and diversity of stakeholders (IP offices, competition authorities, relevant IGOs and NGOs) engaged in dialogue with WIPO</w:t>
            </w:r>
          </w:p>
        </w:tc>
        <w:tc>
          <w:tcPr>
            <w:tcW w:w="826" w:type="pct"/>
            <w:shd w:val="clear" w:color="auto" w:fill="FFFFFF"/>
            <w:tcMar>
              <w:top w:w="113" w:type="dxa"/>
              <w:bottom w:w="85" w:type="dxa"/>
            </w:tcMar>
          </w:tcPr>
          <w:p w:rsidR="00565E68" w:rsidRDefault="00565E68" w:rsidP="00F25872">
            <w:pPr>
              <w:jc w:val="center"/>
              <w:rPr>
                <w:rFonts w:cs="Arial"/>
                <w:sz w:val="16"/>
                <w:szCs w:val="16"/>
                <w:lang w:bidi="th-TH"/>
              </w:rPr>
            </w:pPr>
            <w:r>
              <w:rPr>
                <w:rFonts w:cs="Arial"/>
                <w:sz w:val="16"/>
                <w:szCs w:val="16"/>
                <w:lang w:bidi="th-TH"/>
              </w:rPr>
              <w:t>Program 18</w:t>
            </w:r>
          </w:p>
        </w:tc>
        <w:tc>
          <w:tcPr>
            <w:tcW w:w="611" w:type="pct"/>
            <w:shd w:val="clear" w:color="auto" w:fill="FFFFFF"/>
          </w:tcPr>
          <w:p w:rsidR="00565E68" w:rsidRPr="00F718E6" w:rsidRDefault="00565E68" w:rsidP="00F25872">
            <w:pPr>
              <w:jc w:val="center"/>
              <w:rPr>
                <w:rFonts w:cs="Arial"/>
                <w:color w:val="A6A6A6" w:themeColor="background1" w:themeShade="A6"/>
                <w:sz w:val="22"/>
                <w:szCs w:val="22"/>
              </w:rPr>
            </w:pPr>
            <w:r w:rsidRPr="005F33CE">
              <w:rPr>
                <w:rFonts w:cs="Arial"/>
                <w:color w:val="008000"/>
                <w:sz w:val="22"/>
                <w:szCs w:val="22"/>
              </w:rPr>
              <w:sym w:font="Wingdings" w:char="F06C"/>
            </w:r>
          </w:p>
        </w:tc>
      </w:tr>
    </w:tbl>
    <w:p w:rsidR="005C6F8E" w:rsidRDefault="005C6F8E">
      <w:r>
        <w:br w:type="page"/>
      </w:r>
    </w:p>
    <w:p w:rsidR="005C6F8E" w:rsidRPr="00E2456D" w:rsidRDefault="005C6F8E" w:rsidP="00271CFB">
      <w:pPr>
        <w:pStyle w:val="Heading2"/>
        <w:tabs>
          <w:tab w:val="clear" w:pos="567"/>
          <w:tab w:val="left" w:pos="1985"/>
          <w:tab w:val="left" w:pos="2268"/>
        </w:tabs>
        <w:rPr>
          <w:szCs w:val="20"/>
        </w:rPr>
      </w:pPr>
      <w:bookmarkStart w:id="84" w:name="_Toc422210505"/>
      <w:r w:rsidRPr="00E2456D">
        <w:rPr>
          <w:szCs w:val="20"/>
        </w:rPr>
        <w:lastRenderedPageBreak/>
        <w:t>PROGRAM 18</w:t>
      </w:r>
      <w:r w:rsidRPr="00E2456D">
        <w:rPr>
          <w:szCs w:val="20"/>
        </w:rPr>
        <w:tab/>
      </w:r>
      <w:r w:rsidRPr="00E2456D">
        <w:rPr>
          <w:szCs w:val="20"/>
        </w:rPr>
        <w:tab/>
        <w:t>IP AND GLOBAL CHALLENGES</w:t>
      </w:r>
      <w:bookmarkEnd w:id="84"/>
    </w:p>
    <w:p w:rsidR="005C6F8E" w:rsidRPr="001F6CEB" w:rsidRDefault="005C6F8E" w:rsidP="000E148D">
      <w:pPr>
        <w:rPr>
          <w:szCs w:val="20"/>
        </w:rPr>
      </w:pPr>
    </w:p>
    <w:p w:rsidR="005C6F8E" w:rsidRPr="001F6CEB" w:rsidRDefault="005C6F8E" w:rsidP="00271CFB">
      <w:pPr>
        <w:tabs>
          <w:tab w:val="left" w:pos="1985"/>
        </w:tabs>
        <w:rPr>
          <w:b/>
          <w:szCs w:val="20"/>
        </w:rPr>
      </w:pPr>
      <w:r w:rsidRPr="001F6CEB">
        <w:rPr>
          <w:b/>
          <w:szCs w:val="20"/>
        </w:rPr>
        <w:t>Program Manager</w:t>
      </w:r>
      <w:r w:rsidRPr="001F6CEB">
        <w:rPr>
          <w:b/>
          <w:szCs w:val="20"/>
        </w:rPr>
        <w:tab/>
        <w:t>Mr. M</w:t>
      </w:r>
      <w:r>
        <w:rPr>
          <w:b/>
          <w:szCs w:val="20"/>
        </w:rPr>
        <w:t>. A.</w:t>
      </w:r>
      <w:r w:rsidRPr="001F6CEB">
        <w:rPr>
          <w:b/>
          <w:szCs w:val="20"/>
        </w:rPr>
        <w:t xml:space="preserve"> Getahun</w:t>
      </w:r>
    </w:p>
    <w:p w:rsidR="005C6F8E" w:rsidRPr="001F6CEB" w:rsidRDefault="005C6F8E" w:rsidP="000E148D">
      <w:pPr>
        <w:rPr>
          <w:szCs w:val="20"/>
        </w:rPr>
      </w:pPr>
    </w:p>
    <w:p w:rsidR="005C6F8E" w:rsidRPr="001F6CEB" w:rsidRDefault="005C6F8E" w:rsidP="000E148D">
      <w:pPr>
        <w:rPr>
          <w:szCs w:val="20"/>
        </w:rPr>
      </w:pPr>
    </w:p>
    <w:p w:rsidR="005C6F8E" w:rsidRPr="00E2456D" w:rsidRDefault="005C6F8E" w:rsidP="000E148D">
      <w:pPr>
        <w:rPr>
          <w:bCs/>
          <w:sz w:val="22"/>
          <w:szCs w:val="20"/>
        </w:rPr>
      </w:pPr>
      <w:r w:rsidRPr="00E2456D">
        <w:rPr>
          <w:bCs/>
          <w:sz w:val="22"/>
          <w:szCs w:val="20"/>
        </w:rPr>
        <w:t>OVERVIEW OF PROGRESS IN 2014</w:t>
      </w:r>
    </w:p>
    <w:p w:rsidR="005C6F8E" w:rsidRPr="001F6CEB" w:rsidRDefault="005C6F8E" w:rsidP="00271CFB">
      <w:pPr>
        <w:jc w:val="both"/>
        <w:rPr>
          <w:rFonts w:cs="Arial"/>
          <w:szCs w:val="20"/>
        </w:rPr>
      </w:pPr>
    </w:p>
    <w:p w:rsidR="005C6F8E" w:rsidRPr="001F6CEB" w:rsidRDefault="005C6F8E" w:rsidP="005C6F8E">
      <w:pPr>
        <w:pStyle w:val="Default"/>
        <w:numPr>
          <w:ilvl w:val="0"/>
          <w:numId w:val="49"/>
        </w:numPr>
        <w:tabs>
          <w:tab w:val="left" w:pos="709"/>
        </w:tabs>
        <w:ind w:left="0" w:firstLine="0"/>
        <w:jc w:val="both"/>
        <w:rPr>
          <w:color w:val="000000" w:themeColor="text1"/>
          <w:sz w:val="20"/>
          <w:szCs w:val="20"/>
        </w:rPr>
      </w:pPr>
      <w:r w:rsidRPr="001F6CEB">
        <w:rPr>
          <w:rFonts w:eastAsia="MS Mincho"/>
          <w:color w:val="000000" w:themeColor="text1"/>
          <w:sz w:val="20"/>
          <w:szCs w:val="20"/>
        </w:rPr>
        <w:t xml:space="preserve">Program 18 </w:t>
      </w:r>
      <w:r w:rsidRPr="001F6CEB">
        <w:rPr>
          <w:bCs/>
          <w:color w:val="000000" w:themeColor="text1"/>
          <w:sz w:val="20"/>
          <w:szCs w:val="20"/>
        </w:rPr>
        <w:t xml:space="preserve">addresses innovation and IP at the intersection of pressing global and interconnected issues, in particular global health, climate change, and food security.  In 2014, the Program continued to contribute to an enhanced understanding among policy makers on the interface between global challenges, innovation and IP, including </w:t>
      </w:r>
      <w:r>
        <w:rPr>
          <w:bCs/>
          <w:color w:val="000000" w:themeColor="text1"/>
          <w:sz w:val="20"/>
          <w:szCs w:val="20"/>
        </w:rPr>
        <w:t xml:space="preserve">through </w:t>
      </w:r>
      <w:r w:rsidRPr="001F6CEB">
        <w:rPr>
          <w:color w:val="000000" w:themeColor="text1"/>
          <w:sz w:val="20"/>
          <w:szCs w:val="20"/>
        </w:rPr>
        <w:t>two multi-stakeholder innovation and technology transfer</w:t>
      </w:r>
      <w:r>
        <w:rPr>
          <w:color w:val="000000" w:themeColor="text1"/>
          <w:sz w:val="20"/>
          <w:szCs w:val="20"/>
        </w:rPr>
        <w:t xml:space="preserve"> and</w:t>
      </w:r>
      <w:r w:rsidRPr="001F6CEB">
        <w:rPr>
          <w:color w:val="000000" w:themeColor="text1"/>
          <w:sz w:val="20"/>
          <w:szCs w:val="20"/>
        </w:rPr>
        <w:t xml:space="preserve"> </w:t>
      </w:r>
      <w:r>
        <w:rPr>
          <w:color w:val="000000" w:themeColor="text1"/>
          <w:sz w:val="20"/>
          <w:szCs w:val="20"/>
        </w:rPr>
        <w:t xml:space="preserve">diffusion </w:t>
      </w:r>
      <w:r w:rsidRPr="001F6CEB">
        <w:rPr>
          <w:color w:val="000000" w:themeColor="text1"/>
          <w:sz w:val="20"/>
          <w:szCs w:val="20"/>
        </w:rPr>
        <w:t xml:space="preserve">platforms (WIPO </w:t>
      </w:r>
      <w:proofErr w:type="spellStart"/>
      <w:r w:rsidRPr="001F6CEB">
        <w:rPr>
          <w:color w:val="000000" w:themeColor="text1"/>
          <w:sz w:val="20"/>
          <w:szCs w:val="20"/>
        </w:rPr>
        <w:t>Re:Search</w:t>
      </w:r>
      <w:proofErr w:type="spellEnd"/>
      <w:r w:rsidRPr="001F6CEB">
        <w:rPr>
          <w:color w:val="000000" w:themeColor="text1"/>
          <w:sz w:val="20"/>
          <w:szCs w:val="20"/>
        </w:rPr>
        <w:t xml:space="preserve"> and WIPO GREEN, respectively), and the ongoing collaboration with WHO and WTO addressing the </w:t>
      </w:r>
      <w:r>
        <w:rPr>
          <w:color w:val="000000" w:themeColor="text1"/>
          <w:sz w:val="20"/>
          <w:szCs w:val="20"/>
        </w:rPr>
        <w:t>intersection</w:t>
      </w:r>
      <w:r w:rsidRPr="001F6CEB">
        <w:rPr>
          <w:color w:val="000000" w:themeColor="text1"/>
          <w:sz w:val="20"/>
          <w:szCs w:val="20"/>
        </w:rPr>
        <w:t xml:space="preserve"> of health, IP, innovation and trade.  During the year, the Program continued to receive positive feedback from a wide range of stakeholders for WIPO’s work on IP and Global Challenges.   </w:t>
      </w:r>
    </w:p>
    <w:p w:rsidR="005C6F8E" w:rsidRPr="001F6CEB" w:rsidRDefault="005C6F8E" w:rsidP="00271CFB">
      <w:pPr>
        <w:pStyle w:val="Default"/>
        <w:tabs>
          <w:tab w:val="left" w:pos="709"/>
        </w:tabs>
        <w:jc w:val="both"/>
        <w:rPr>
          <w:color w:val="000000" w:themeColor="text1"/>
          <w:sz w:val="20"/>
          <w:szCs w:val="20"/>
        </w:rPr>
      </w:pPr>
    </w:p>
    <w:p w:rsidR="005C6F8E" w:rsidRPr="001F6CEB" w:rsidRDefault="005C6F8E" w:rsidP="005C6F8E">
      <w:pPr>
        <w:pStyle w:val="Default"/>
        <w:numPr>
          <w:ilvl w:val="0"/>
          <w:numId w:val="49"/>
        </w:numPr>
        <w:tabs>
          <w:tab w:val="left" w:pos="709"/>
        </w:tabs>
        <w:ind w:left="0" w:firstLine="0"/>
        <w:jc w:val="both"/>
        <w:rPr>
          <w:color w:val="000000" w:themeColor="text1"/>
          <w:sz w:val="20"/>
          <w:szCs w:val="20"/>
        </w:rPr>
      </w:pPr>
      <w:r w:rsidRPr="001F6CEB">
        <w:rPr>
          <w:color w:val="000000" w:themeColor="text1"/>
          <w:sz w:val="20"/>
          <w:szCs w:val="20"/>
        </w:rPr>
        <w:t xml:space="preserve">Working closely with relevant </w:t>
      </w:r>
      <w:r>
        <w:rPr>
          <w:color w:val="000000" w:themeColor="text1"/>
          <w:sz w:val="20"/>
          <w:szCs w:val="20"/>
        </w:rPr>
        <w:t>Programs</w:t>
      </w:r>
      <w:r w:rsidRPr="001F6CEB">
        <w:rPr>
          <w:color w:val="000000" w:themeColor="text1"/>
          <w:sz w:val="20"/>
          <w:szCs w:val="20"/>
        </w:rPr>
        <w:t xml:space="preserve"> within WIPO, most notably Programs 20 (External Relations, Partnerships and External Offices) and 30 (SMEs and Innovation), WIPO consolidated its position as a credible source of support</w:t>
      </w:r>
      <w:r>
        <w:rPr>
          <w:color w:val="000000" w:themeColor="text1"/>
          <w:sz w:val="20"/>
          <w:szCs w:val="20"/>
        </w:rPr>
        <w:t xml:space="preserve"> </w:t>
      </w:r>
      <w:r w:rsidRPr="001F6CEB">
        <w:rPr>
          <w:color w:val="000000" w:themeColor="text1"/>
          <w:sz w:val="20"/>
          <w:szCs w:val="20"/>
        </w:rPr>
        <w:t xml:space="preserve">and reference for information on issues related to public policy and IP, resulting in continued requests for WIPO to contribute to and participate in relevant public policy fora by other organizations, including WHO, WTO, NGOs, the private sector and universities.  A WIPO Global Challenges Seminar </w:t>
      </w:r>
      <w:hyperlink r:id="rId129" w:history="1">
        <w:r w:rsidRPr="001F6CEB">
          <w:rPr>
            <w:rStyle w:val="Hyperlink"/>
            <w:color w:val="auto"/>
            <w:sz w:val="20"/>
            <w:szCs w:val="20"/>
            <w:u w:val="none"/>
            <w:lang w:val="en"/>
          </w:rPr>
          <w:t xml:space="preserve"> </w:t>
        </w:r>
        <w:r>
          <w:rPr>
            <w:rStyle w:val="Hyperlink"/>
            <w:color w:val="auto"/>
            <w:sz w:val="20"/>
            <w:szCs w:val="20"/>
            <w:u w:val="none"/>
            <w:lang w:val="en"/>
          </w:rPr>
          <w:t>“</w:t>
        </w:r>
        <w:r w:rsidRPr="001F6CEB">
          <w:rPr>
            <w:rStyle w:val="Hyperlink"/>
            <w:color w:val="auto"/>
            <w:sz w:val="20"/>
            <w:szCs w:val="20"/>
            <w:u w:val="none"/>
            <w:lang w:val="en"/>
          </w:rPr>
          <w:t>Innovation and Access to Medicines: A Case Study for HIV/AIDS and Hepatitis C</w:t>
        </w:r>
      </w:hyperlink>
      <w:r>
        <w:rPr>
          <w:rStyle w:val="Hyperlink"/>
          <w:color w:val="auto"/>
          <w:sz w:val="20"/>
          <w:szCs w:val="20"/>
          <w:u w:val="none"/>
          <w:lang w:val="en"/>
        </w:rPr>
        <w:t>”</w:t>
      </w:r>
      <w:r w:rsidRPr="001F6CEB">
        <w:rPr>
          <w:rStyle w:val="Hyperlink"/>
          <w:color w:val="auto"/>
          <w:sz w:val="20"/>
          <w:szCs w:val="20"/>
          <w:u w:val="none"/>
          <w:lang w:val="en"/>
        </w:rPr>
        <w:t xml:space="preserve"> </w:t>
      </w:r>
      <w:r w:rsidRPr="001F6CEB">
        <w:rPr>
          <w:color w:val="000000" w:themeColor="text1"/>
          <w:sz w:val="20"/>
          <w:szCs w:val="20"/>
        </w:rPr>
        <w:t>was organized and provided a forum for participants to share ideas, expertise and information</w:t>
      </w:r>
      <w:r w:rsidRPr="001F6CEB">
        <w:rPr>
          <w:sz w:val="20"/>
          <w:szCs w:val="20"/>
          <w:lang w:val="en"/>
        </w:rPr>
        <w:t xml:space="preserve">.  </w:t>
      </w:r>
      <w:r w:rsidRPr="001F6CEB">
        <w:rPr>
          <w:rFonts w:eastAsia="Times New Roman"/>
          <w:color w:val="000000" w:themeColor="text1"/>
          <w:sz w:val="20"/>
          <w:szCs w:val="20"/>
        </w:rPr>
        <w:t xml:space="preserve">A Global Challenges </w:t>
      </w:r>
      <w:r>
        <w:rPr>
          <w:rFonts w:eastAsia="Times New Roman"/>
          <w:color w:val="000000" w:themeColor="text1"/>
          <w:sz w:val="20"/>
          <w:szCs w:val="20"/>
        </w:rPr>
        <w:t xml:space="preserve">Brief </w:t>
      </w:r>
      <w:r w:rsidRPr="001F6CEB">
        <w:rPr>
          <w:rFonts w:eastAsia="Times New Roman"/>
          <w:color w:val="000000" w:themeColor="text1"/>
          <w:sz w:val="20"/>
          <w:szCs w:val="20"/>
        </w:rPr>
        <w:t xml:space="preserve">on </w:t>
      </w:r>
      <w:r w:rsidRPr="00962B36">
        <w:rPr>
          <w:rFonts w:eastAsia="Times New Roman"/>
          <w:i/>
          <w:color w:val="000000" w:themeColor="text1"/>
          <w:sz w:val="20"/>
          <w:szCs w:val="20"/>
        </w:rPr>
        <w:t>Renewable Energy Technology: Evolution and Policy Implications –Evidence from Patent Literature</w:t>
      </w:r>
      <w:r w:rsidRPr="001F6CEB">
        <w:rPr>
          <w:rFonts w:eastAsia="Times New Roman"/>
          <w:i/>
          <w:color w:val="000000" w:themeColor="text1"/>
          <w:sz w:val="20"/>
          <w:szCs w:val="20"/>
        </w:rPr>
        <w:t xml:space="preserve"> </w:t>
      </w:r>
      <w:r w:rsidRPr="001F6CEB">
        <w:rPr>
          <w:rFonts w:eastAsia="Times New Roman"/>
          <w:color w:val="000000" w:themeColor="text1"/>
          <w:sz w:val="20"/>
          <w:szCs w:val="20"/>
        </w:rPr>
        <w:t xml:space="preserve">was </w:t>
      </w:r>
      <w:r>
        <w:rPr>
          <w:rFonts w:eastAsia="Times New Roman"/>
          <w:color w:val="000000" w:themeColor="text1"/>
          <w:sz w:val="20"/>
          <w:szCs w:val="20"/>
        </w:rPr>
        <w:t>published</w:t>
      </w:r>
      <w:r w:rsidRPr="001F6CEB">
        <w:rPr>
          <w:rFonts w:eastAsia="Times New Roman"/>
          <w:color w:val="000000" w:themeColor="text1"/>
          <w:sz w:val="20"/>
          <w:szCs w:val="20"/>
        </w:rPr>
        <w:t xml:space="preserve"> in June 2014.  A further Global Challenges Brief on </w:t>
      </w:r>
      <w:proofErr w:type="gramStart"/>
      <w:r w:rsidRPr="00962B36">
        <w:rPr>
          <w:rFonts w:eastAsia="Times New Roman"/>
          <w:i/>
          <w:color w:val="000000" w:themeColor="text1"/>
          <w:sz w:val="20"/>
          <w:szCs w:val="20"/>
        </w:rPr>
        <w:t>Incentivizing</w:t>
      </w:r>
      <w:proofErr w:type="gramEnd"/>
      <w:r w:rsidRPr="00962B36">
        <w:rPr>
          <w:rFonts w:eastAsia="Times New Roman"/>
          <w:i/>
          <w:color w:val="000000" w:themeColor="text1"/>
          <w:sz w:val="20"/>
          <w:szCs w:val="20"/>
        </w:rPr>
        <w:t xml:space="preserve"> the adoption of green technology on a global scale</w:t>
      </w:r>
      <w:r w:rsidRPr="001F6CEB">
        <w:rPr>
          <w:rFonts w:eastAsia="Times New Roman"/>
          <w:color w:val="000000" w:themeColor="text1"/>
          <w:sz w:val="20"/>
          <w:szCs w:val="20"/>
        </w:rPr>
        <w:t xml:space="preserve"> was released at UNFCCC’s COP 20 in Lima in November 2014.  </w:t>
      </w:r>
      <w:r w:rsidRPr="001F6CEB">
        <w:rPr>
          <w:sz w:val="20"/>
          <w:szCs w:val="20"/>
          <w:lang w:val="en"/>
        </w:rPr>
        <w:t xml:space="preserve">As part of the work of WIPO </w:t>
      </w:r>
      <w:proofErr w:type="spellStart"/>
      <w:r w:rsidRPr="001F6CEB">
        <w:rPr>
          <w:sz w:val="20"/>
          <w:szCs w:val="20"/>
          <w:lang w:val="en"/>
        </w:rPr>
        <w:t>Re:Search</w:t>
      </w:r>
      <w:proofErr w:type="spellEnd"/>
      <w:r w:rsidRPr="001F6CEB">
        <w:rPr>
          <w:sz w:val="20"/>
          <w:szCs w:val="20"/>
          <w:lang w:val="en"/>
        </w:rPr>
        <w:t xml:space="preserve"> to strengthen capacities in developing countries, an IP management training seminar was organized, together with Program</w:t>
      </w:r>
      <w:r w:rsidR="00FB35F2">
        <w:rPr>
          <w:sz w:val="20"/>
          <w:szCs w:val="20"/>
          <w:lang w:val="en"/>
        </w:rPr>
        <w:t> </w:t>
      </w:r>
      <w:r w:rsidRPr="001F6CEB">
        <w:rPr>
          <w:sz w:val="20"/>
          <w:szCs w:val="20"/>
          <w:lang w:val="en"/>
        </w:rPr>
        <w:t>30</w:t>
      </w:r>
      <w:r w:rsidR="00FB35F2">
        <w:rPr>
          <w:sz w:val="20"/>
          <w:szCs w:val="20"/>
          <w:lang w:val="en"/>
        </w:rPr>
        <w:t> </w:t>
      </w:r>
      <w:r w:rsidRPr="001F6CEB">
        <w:rPr>
          <w:color w:val="000000" w:themeColor="text1"/>
          <w:sz w:val="20"/>
          <w:szCs w:val="20"/>
        </w:rPr>
        <w:t>(SMEs and Innovation)</w:t>
      </w:r>
      <w:r w:rsidRPr="001F6CEB">
        <w:rPr>
          <w:sz w:val="20"/>
          <w:szCs w:val="20"/>
          <w:lang w:val="en"/>
        </w:rPr>
        <w:t xml:space="preserve">, for the benefit of developing country scientists who are Members of the platform.  </w:t>
      </w:r>
    </w:p>
    <w:p w:rsidR="005C6F8E" w:rsidRPr="001F6CEB" w:rsidRDefault="005C6F8E" w:rsidP="00271CFB">
      <w:pPr>
        <w:pStyle w:val="Default"/>
        <w:tabs>
          <w:tab w:val="left" w:pos="709"/>
        </w:tabs>
        <w:jc w:val="both"/>
        <w:rPr>
          <w:bCs/>
          <w:color w:val="000000" w:themeColor="text1"/>
          <w:sz w:val="20"/>
          <w:szCs w:val="20"/>
        </w:rPr>
      </w:pPr>
    </w:p>
    <w:p w:rsidR="005C6F8E" w:rsidRPr="00E2456D" w:rsidRDefault="005C6F8E" w:rsidP="005C6F8E">
      <w:pPr>
        <w:pStyle w:val="Default"/>
        <w:numPr>
          <w:ilvl w:val="0"/>
          <w:numId w:val="49"/>
        </w:numPr>
        <w:tabs>
          <w:tab w:val="left" w:pos="567"/>
          <w:tab w:val="left" w:pos="709"/>
        </w:tabs>
        <w:ind w:left="0" w:firstLine="0"/>
        <w:jc w:val="both"/>
        <w:rPr>
          <w:rFonts w:eastAsia="Times New Roman"/>
          <w:color w:val="000000" w:themeColor="text1"/>
          <w:sz w:val="20"/>
          <w:szCs w:val="20"/>
        </w:rPr>
      </w:pPr>
      <w:r w:rsidRPr="001F6CEB">
        <w:rPr>
          <w:color w:val="000000" w:themeColor="text1"/>
          <w:sz w:val="20"/>
          <w:szCs w:val="20"/>
        </w:rPr>
        <w:t xml:space="preserve">Following its launch in November 2013, </w:t>
      </w:r>
      <w:r>
        <w:rPr>
          <w:color w:val="000000" w:themeColor="text1"/>
          <w:sz w:val="20"/>
          <w:szCs w:val="20"/>
        </w:rPr>
        <w:t xml:space="preserve">the year </w:t>
      </w:r>
      <w:r w:rsidRPr="001F6CEB">
        <w:rPr>
          <w:color w:val="000000" w:themeColor="text1"/>
          <w:sz w:val="20"/>
          <w:szCs w:val="20"/>
        </w:rPr>
        <w:t xml:space="preserve">2014 marked the first full year of WIPO GREEN operations.  Through a targeted awareness raising campaign, the profile of WIPO GREEN was raised significantly in 2014.  The network of </w:t>
      </w:r>
      <w:r>
        <w:rPr>
          <w:color w:val="000000" w:themeColor="text1"/>
          <w:sz w:val="20"/>
          <w:szCs w:val="20"/>
        </w:rPr>
        <w:t>p</w:t>
      </w:r>
      <w:r w:rsidRPr="001F6CEB">
        <w:rPr>
          <w:color w:val="000000" w:themeColor="text1"/>
          <w:sz w:val="20"/>
          <w:szCs w:val="20"/>
        </w:rPr>
        <w:t xml:space="preserve">artners grew from 36 to 54, and the number of registered users almost doubled from </w:t>
      </w:r>
      <w:r w:rsidRPr="00962B36">
        <w:rPr>
          <w:color w:val="000000" w:themeColor="text1"/>
          <w:sz w:val="20"/>
          <w:szCs w:val="20"/>
        </w:rPr>
        <w:t>160</w:t>
      </w:r>
      <w:r w:rsidRPr="001F6CEB">
        <w:rPr>
          <w:color w:val="000000" w:themeColor="text1"/>
          <w:sz w:val="20"/>
          <w:szCs w:val="20"/>
        </w:rPr>
        <w:t xml:space="preserve"> to </w:t>
      </w:r>
      <w:r w:rsidRPr="00962B36">
        <w:rPr>
          <w:color w:val="000000" w:themeColor="text1"/>
          <w:sz w:val="20"/>
          <w:szCs w:val="20"/>
        </w:rPr>
        <w:t>300</w:t>
      </w:r>
      <w:r w:rsidRPr="001F6CEB">
        <w:rPr>
          <w:color w:val="000000" w:themeColor="text1"/>
          <w:sz w:val="20"/>
          <w:szCs w:val="20"/>
        </w:rPr>
        <w:t>.  This growth reflects the success of outreach efforts encompassing a wide range of channels</w:t>
      </w:r>
      <w:r>
        <w:rPr>
          <w:color w:val="000000" w:themeColor="text1"/>
          <w:sz w:val="20"/>
          <w:szCs w:val="20"/>
        </w:rPr>
        <w:t>,</w:t>
      </w:r>
      <w:r w:rsidRPr="001F6CEB">
        <w:rPr>
          <w:color w:val="000000" w:themeColor="text1"/>
          <w:sz w:val="20"/>
          <w:szCs w:val="20"/>
        </w:rPr>
        <w:t xml:space="preserve"> including social and specialist media, the regular WIPO GREEN Newsletter and attendance at a range of global, regional and national fora.  </w:t>
      </w:r>
      <w:r w:rsidRPr="001F6CEB">
        <w:rPr>
          <w:rFonts w:eastAsia="Times New Roman"/>
          <w:color w:val="000000" w:themeColor="text1"/>
          <w:sz w:val="20"/>
          <w:szCs w:val="20"/>
        </w:rPr>
        <w:t xml:space="preserve">The WIPO GREEN database also more than doubled from 830 to 1,773 entries resulting from a combination of database integration agreements and individual uploads.  </w:t>
      </w:r>
      <w:r w:rsidRPr="001F6CEB">
        <w:rPr>
          <w:color w:val="000000" w:themeColor="text1"/>
          <w:sz w:val="20"/>
          <w:szCs w:val="20"/>
        </w:rPr>
        <w:t xml:space="preserve">With the focus in 2014 remaining on building a robust set of partners and increasing the number of entries to promote increased levels of marketplace interaction and transactional usage, the </w:t>
      </w:r>
      <w:r w:rsidRPr="001F6CEB">
        <w:rPr>
          <w:rFonts w:eastAsia="Times New Roman"/>
          <w:color w:val="000000" w:themeColor="text1"/>
          <w:sz w:val="20"/>
          <w:szCs w:val="20"/>
        </w:rPr>
        <w:t xml:space="preserve">progress, nevertheless, did not yet translate into </w:t>
      </w:r>
      <w:r>
        <w:rPr>
          <w:rFonts w:eastAsia="Times New Roman"/>
          <w:color w:val="000000" w:themeColor="text1"/>
          <w:sz w:val="20"/>
          <w:szCs w:val="20"/>
        </w:rPr>
        <w:t xml:space="preserve">transactions </w:t>
      </w:r>
      <w:r w:rsidRPr="001F6CEB">
        <w:rPr>
          <w:rFonts w:eastAsia="Times New Roman"/>
          <w:color w:val="000000" w:themeColor="text1"/>
          <w:sz w:val="20"/>
          <w:szCs w:val="20"/>
        </w:rPr>
        <w:t xml:space="preserve">that could be directly attributed to the use of WIPO GREEN.  </w:t>
      </w:r>
      <w:r>
        <w:rPr>
          <w:rFonts w:eastAsia="Times New Roman"/>
          <w:color w:val="000000" w:themeColor="text1"/>
          <w:sz w:val="20"/>
          <w:szCs w:val="20"/>
        </w:rPr>
        <w:t>Moreover,</w:t>
      </w:r>
      <w:r w:rsidRPr="00E2456D">
        <w:rPr>
          <w:rFonts w:eastAsia="Times New Roman"/>
          <w:color w:val="000000" w:themeColor="text1"/>
          <w:sz w:val="20"/>
          <w:szCs w:val="20"/>
        </w:rPr>
        <w:t xml:space="preserve"> the fact that WIPO GREEN does not currently have</w:t>
      </w:r>
      <w:r>
        <w:rPr>
          <w:rFonts w:eastAsia="Times New Roman"/>
          <w:color w:val="000000" w:themeColor="text1"/>
          <w:sz w:val="20"/>
          <w:szCs w:val="20"/>
        </w:rPr>
        <w:t xml:space="preserve"> a</w:t>
      </w:r>
      <w:r w:rsidRPr="00E2456D">
        <w:rPr>
          <w:rFonts w:eastAsia="Times New Roman"/>
          <w:color w:val="000000" w:themeColor="text1"/>
          <w:sz w:val="20"/>
          <w:szCs w:val="20"/>
        </w:rPr>
        <w:t xml:space="preserve"> “partnership hub” </w:t>
      </w:r>
      <w:r>
        <w:rPr>
          <w:rFonts w:eastAsia="Times New Roman"/>
          <w:color w:val="000000" w:themeColor="text1"/>
          <w:sz w:val="20"/>
          <w:szCs w:val="20"/>
        </w:rPr>
        <w:t xml:space="preserve">or </w:t>
      </w:r>
      <w:r w:rsidRPr="00E2456D">
        <w:rPr>
          <w:rFonts w:eastAsia="Times New Roman"/>
          <w:color w:val="000000" w:themeColor="text1"/>
          <w:sz w:val="20"/>
          <w:szCs w:val="20"/>
        </w:rPr>
        <w:t>service provider</w:t>
      </w:r>
      <w:r>
        <w:rPr>
          <w:rFonts w:eastAsia="Times New Roman"/>
          <w:color w:val="000000" w:themeColor="text1"/>
          <w:sz w:val="20"/>
          <w:szCs w:val="20"/>
        </w:rPr>
        <w:t>, coupled with the lengthy timeframe needed for deals to be concluded, also contribute to the lack of catalyzed transactions.</w:t>
      </w:r>
    </w:p>
    <w:p w:rsidR="005C6F8E" w:rsidRPr="001F6CEB" w:rsidRDefault="005C6F8E" w:rsidP="00271CFB">
      <w:pPr>
        <w:pStyle w:val="Default"/>
        <w:tabs>
          <w:tab w:val="left" w:pos="567"/>
          <w:tab w:val="left" w:pos="709"/>
        </w:tabs>
        <w:jc w:val="both"/>
        <w:rPr>
          <w:color w:val="000000" w:themeColor="text1"/>
          <w:sz w:val="20"/>
          <w:szCs w:val="20"/>
        </w:rPr>
      </w:pPr>
    </w:p>
    <w:p w:rsidR="005C6F8E" w:rsidRPr="001F6CEB" w:rsidRDefault="005C6F8E" w:rsidP="005C6F8E">
      <w:pPr>
        <w:pStyle w:val="Default"/>
        <w:numPr>
          <w:ilvl w:val="0"/>
          <w:numId w:val="49"/>
        </w:numPr>
        <w:tabs>
          <w:tab w:val="left" w:pos="567"/>
          <w:tab w:val="left" w:pos="709"/>
        </w:tabs>
        <w:ind w:left="0" w:firstLine="0"/>
        <w:jc w:val="both"/>
        <w:rPr>
          <w:color w:val="000000" w:themeColor="text1"/>
          <w:sz w:val="20"/>
          <w:szCs w:val="20"/>
        </w:rPr>
      </w:pPr>
      <w:r w:rsidRPr="001F6CEB">
        <w:rPr>
          <w:color w:val="000000" w:themeColor="text1"/>
          <w:sz w:val="20"/>
          <w:szCs w:val="20"/>
        </w:rPr>
        <w:t xml:space="preserve">WIPO </w:t>
      </w:r>
      <w:proofErr w:type="spellStart"/>
      <w:r w:rsidRPr="001F6CEB">
        <w:rPr>
          <w:color w:val="000000" w:themeColor="text1"/>
          <w:sz w:val="20"/>
          <w:szCs w:val="20"/>
        </w:rPr>
        <w:t>Re</w:t>
      </w:r>
      <w:proofErr w:type="gramStart"/>
      <w:r w:rsidRPr="001F6CEB">
        <w:rPr>
          <w:color w:val="000000" w:themeColor="text1"/>
          <w:sz w:val="20"/>
          <w:szCs w:val="20"/>
        </w:rPr>
        <w:t>:Search</w:t>
      </w:r>
      <w:proofErr w:type="spellEnd"/>
      <w:proofErr w:type="gramEnd"/>
      <w:r w:rsidRPr="001F6CEB">
        <w:rPr>
          <w:color w:val="000000" w:themeColor="text1"/>
          <w:sz w:val="20"/>
          <w:szCs w:val="20"/>
        </w:rPr>
        <w:t xml:space="preserve"> </w:t>
      </w:r>
      <w:r w:rsidR="00FB35F2">
        <w:rPr>
          <w:color w:val="000000" w:themeColor="text1"/>
          <w:sz w:val="20"/>
          <w:szCs w:val="20"/>
        </w:rPr>
        <w:noBreakHyphen/>
      </w:r>
      <w:r w:rsidRPr="001F6CEB">
        <w:rPr>
          <w:color w:val="000000" w:themeColor="text1"/>
          <w:sz w:val="20"/>
          <w:szCs w:val="20"/>
        </w:rPr>
        <w:t xml:space="preserve"> </w:t>
      </w:r>
      <w:r w:rsidRPr="001F6CEB">
        <w:rPr>
          <w:i/>
          <w:color w:val="000000" w:themeColor="text1"/>
          <w:sz w:val="20"/>
          <w:szCs w:val="20"/>
        </w:rPr>
        <w:t xml:space="preserve">Sharing Innovation in the Fight Against Neglected Tropical Diseases </w:t>
      </w:r>
      <w:r w:rsidRPr="001F6CEB">
        <w:rPr>
          <w:color w:val="000000" w:themeColor="text1"/>
          <w:sz w:val="20"/>
          <w:szCs w:val="20"/>
        </w:rPr>
        <w:t>(NTDs)</w:t>
      </w:r>
      <w:r w:rsidR="00FB35F2">
        <w:rPr>
          <w:color w:val="000000" w:themeColor="text1"/>
          <w:sz w:val="20"/>
          <w:szCs w:val="20"/>
        </w:rPr>
        <w:t> </w:t>
      </w:r>
      <w:r w:rsidR="00FB35F2">
        <w:rPr>
          <w:color w:val="000000" w:themeColor="text1"/>
          <w:sz w:val="20"/>
          <w:szCs w:val="20"/>
        </w:rPr>
        <w:noBreakHyphen/>
        <w:t> </w:t>
      </w:r>
      <w:r w:rsidRPr="001F6CEB">
        <w:rPr>
          <w:color w:val="000000" w:themeColor="text1"/>
          <w:sz w:val="20"/>
          <w:szCs w:val="20"/>
        </w:rPr>
        <w:t xml:space="preserve">gained in recognition as a platform to support innovation and </w:t>
      </w:r>
      <w:r>
        <w:rPr>
          <w:color w:val="000000" w:themeColor="text1"/>
          <w:sz w:val="20"/>
          <w:szCs w:val="20"/>
        </w:rPr>
        <w:t xml:space="preserve">knowledge sharing </w:t>
      </w:r>
      <w:r w:rsidRPr="001F6CEB">
        <w:rPr>
          <w:color w:val="000000" w:themeColor="text1"/>
          <w:sz w:val="20"/>
          <w:szCs w:val="20"/>
        </w:rPr>
        <w:t xml:space="preserve">related to research for NTDs, tuberculosis and malaria.  The year 2014 saw 38 additional collaborations and 16 new Members, bringing the totals to 82 collaborations and 96 Members, 6 </w:t>
      </w:r>
      <w:r>
        <w:rPr>
          <w:color w:val="000000" w:themeColor="text1"/>
          <w:sz w:val="20"/>
          <w:szCs w:val="20"/>
        </w:rPr>
        <w:t xml:space="preserve">of which </w:t>
      </w:r>
      <w:r w:rsidRPr="001F6CEB">
        <w:rPr>
          <w:color w:val="000000" w:themeColor="text1"/>
          <w:sz w:val="20"/>
          <w:szCs w:val="20"/>
        </w:rPr>
        <w:t xml:space="preserve">from developing countries.  In addition, the platform’s potential for technology transfer from developed to developing countries of IP assets, including know-how and expertise, was further demonstrated by the </w:t>
      </w:r>
      <w:r>
        <w:rPr>
          <w:color w:val="000000" w:themeColor="text1"/>
          <w:sz w:val="20"/>
          <w:szCs w:val="20"/>
        </w:rPr>
        <w:t xml:space="preserve">continued </w:t>
      </w:r>
      <w:r w:rsidRPr="001F6CEB">
        <w:rPr>
          <w:color w:val="000000" w:themeColor="text1"/>
          <w:sz w:val="20"/>
          <w:szCs w:val="20"/>
        </w:rPr>
        <w:t>facilitation of research sabbaticals for five African scientists in overseas research institutions</w:t>
      </w:r>
      <w:r>
        <w:rPr>
          <w:color w:val="000000" w:themeColor="text1"/>
          <w:sz w:val="20"/>
          <w:szCs w:val="20"/>
        </w:rPr>
        <w:t>. The sabbaticals, which began in the last biennium</w:t>
      </w:r>
      <w:r w:rsidRPr="001F6CEB">
        <w:rPr>
          <w:color w:val="000000" w:themeColor="text1"/>
          <w:sz w:val="20"/>
          <w:szCs w:val="20"/>
        </w:rPr>
        <w:t xml:space="preserve">, </w:t>
      </w:r>
      <w:r>
        <w:rPr>
          <w:color w:val="000000" w:themeColor="text1"/>
          <w:sz w:val="20"/>
          <w:szCs w:val="20"/>
        </w:rPr>
        <w:t xml:space="preserve">were </w:t>
      </w:r>
      <w:r w:rsidRPr="001F6CEB">
        <w:rPr>
          <w:color w:val="000000" w:themeColor="text1"/>
          <w:sz w:val="20"/>
          <w:szCs w:val="20"/>
        </w:rPr>
        <w:t>made possible by a Fund-in-Trust from the Government of Australia</w:t>
      </w:r>
      <w:r w:rsidR="00A952CD">
        <w:rPr>
          <w:color w:val="000000" w:themeColor="text1"/>
          <w:sz w:val="20"/>
          <w:szCs w:val="20"/>
        </w:rPr>
        <w:t>. At the end of 2014</w:t>
      </w:r>
      <w:proofErr w:type="gramStart"/>
      <w:r w:rsidR="00A952CD">
        <w:rPr>
          <w:color w:val="000000" w:themeColor="text1"/>
          <w:sz w:val="20"/>
          <w:szCs w:val="20"/>
        </w:rPr>
        <w:t xml:space="preserve">, </w:t>
      </w:r>
      <w:r>
        <w:rPr>
          <w:color w:val="000000" w:themeColor="text1"/>
          <w:sz w:val="20"/>
          <w:szCs w:val="20"/>
        </w:rPr>
        <w:t xml:space="preserve"> four</w:t>
      </w:r>
      <w:proofErr w:type="gramEnd"/>
      <w:r>
        <w:rPr>
          <w:color w:val="000000" w:themeColor="text1"/>
          <w:sz w:val="20"/>
          <w:szCs w:val="20"/>
        </w:rPr>
        <w:t xml:space="preserve"> </w:t>
      </w:r>
      <w:r w:rsidR="00A952CD">
        <w:rPr>
          <w:color w:val="000000" w:themeColor="text1"/>
          <w:sz w:val="20"/>
          <w:szCs w:val="20"/>
        </w:rPr>
        <w:t>of the sabbaticals</w:t>
      </w:r>
      <w:r>
        <w:rPr>
          <w:color w:val="000000" w:themeColor="text1"/>
          <w:sz w:val="20"/>
          <w:szCs w:val="20"/>
        </w:rPr>
        <w:t xml:space="preserve"> were concluded.</w:t>
      </w:r>
    </w:p>
    <w:p w:rsidR="005C6F8E" w:rsidRPr="001F6CEB" w:rsidRDefault="005C6F8E" w:rsidP="00271CFB">
      <w:pPr>
        <w:tabs>
          <w:tab w:val="left" w:pos="709"/>
        </w:tabs>
        <w:jc w:val="both"/>
        <w:rPr>
          <w:rFonts w:cs="Arial"/>
          <w:bCs/>
          <w:szCs w:val="20"/>
        </w:rPr>
      </w:pPr>
    </w:p>
    <w:p w:rsidR="005C6F8E" w:rsidRPr="009D1164" w:rsidRDefault="005C6F8E" w:rsidP="005C6F8E">
      <w:pPr>
        <w:pStyle w:val="ListParagraph"/>
        <w:numPr>
          <w:ilvl w:val="0"/>
          <w:numId w:val="49"/>
        </w:numPr>
        <w:tabs>
          <w:tab w:val="left" w:pos="709"/>
        </w:tabs>
        <w:ind w:left="0" w:firstLine="0"/>
        <w:jc w:val="both"/>
        <w:rPr>
          <w:rFonts w:cs="Arial"/>
        </w:rPr>
      </w:pPr>
      <w:r w:rsidRPr="009D1164">
        <w:rPr>
          <w:rFonts w:cs="Arial"/>
        </w:rPr>
        <w:t xml:space="preserve">The trilateral cooperation with WHO and WTO continued to focus on enhanced understanding among policymakers for the interplay between health, IP and trade.  In November 2014, the fourth Trilateral Symposium took place in Geneva, exploring the challenges and opportunities in the health innovation area of middle-income countries, and the public policies necessary to ensure that rapid economic growth contributes to access and universal health coverage. .  </w:t>
      </w:r>
    </w:p>
    <w:p w:rsidR="005C6F8E" w:rsidRPr="001F6CEB" w:rsidRDefault="005C6F8E" w:rsidP="00271CFB">
      <w:pPr>
        <w:tabs>
          <w:tab w:val="left" w:pos="709"/>
        </w:tabs>
        <w:jc w:val="both"/>
        <w:rPr>
          <w:szCs w:val="20"/>
        </w:rPr>
      </w:pPr>
    </w:p>
    <w:p w:rsidR="005C6F8E" w:rsidRPr="001F6CEB" w:rsidRDefault="005C6F8E" w:rsidP="00271CFB">
      <w:pPr>
        <w:tabs>
          <w:tab w:val="left" w:pos="709"/>
        </w:tabs>
        <w:jc w:val="both"/>
        <w:rPr>
          <w:szCs w:val="20"/>
        </w:rPr>
      </w:pPr>
    </w:p>
    <w:p w:rsidR="005C6F8E" w:rsidRPr="009D1164" w:rsidRDefault="005C6F8E" w:rsidP="005C6F8E">
      <w:pPr>
        <w:pStyle w:val="ListParagraph"/>
        <w:numPr>
          <w:ilvl w:val="0"/>
          <w:numId w:val="49"/>
        </w:numPr>
        <w:tabs>
          <w:tab w:val="left" w:pos="709"/>
        </w:tabs>
        <w:ind w:left="0" w:firstLine="0"/>
        <w:jc w:val="both"/>
        <w:rPr>
          <w:bCs/>
        </w:rPr>
      </w:pPr>
      <w:r w:rsidRPr="009D1164">
        <w:rPr>
          <w:bCs/>
        </w:rPr>
        <w:t>The area of IP and competition policy experienced sustained interest from Member States to engage in a dialogue for enhancing their understanding of the interface between IP and competition policy.  Requests involved both IP Offices and Competition Authorities, including from economies that are less familiar with competition-related issues in the field of IP.</w:t>
      </w:r>
    </w:p>
    <w:p w:rsidR="005C6F8E" w:rsidRPr="001F6CEB" w:rsidRDefault="005C6F8E" w:rsidP="00271CFB">
      <w:pPr>
        <w:tabs>
          <w:tab w:val="left" w:pos="709"/>
        </w:tabs>
        <w:jc w:val="both"/>
        <w:rPr>
          <w:bCs/>
          <w:szCs w:val="20"/>
        </w:rPr>
      </w:pPr>
    </w:p>
    <w:p w:rsidR="005C6F8E" w:rsidRPr="009D1164" w:rsidRDefault="005C6F8E" w:rsidP="005C6F8E">
      <w:pPr>
        <w:pStyle w:val="ListParagraph"/>
        <w:numPr>
          <w:ilvl w:val="0"/>
          <w:numId w:val="49"/>
        </w:numPr>
        <w:tabs>
          <w:tab w:val="left" w:pos="709"/>
        </w:tabs>
        <w:ind w:left="0" w:firstLine="0"/>
        <w:jc w:val="both"/>
        <w:rPr>
          <w:bCs/>
        </w:rPr>
      </w:pPr>
      <w:r w:rsidRPr="009D1164">
        <w:rPr>
          <w:bCs/>
        </w:rPr>
        <w:t>The number of stakeholders engaged in dialogue with WIPO reached 26 Competition Authorities, and the structured, informal cooperation with other relevant Organizations in the field, most notably OECD, UNCTAD, the WTO, International Competition Network (ICN), and the Common market for Eastern and Southern Africa (COMESA) that was established in the previous biennium was further strengthened</w:t>
      </w:r>
      <w:proofErr w:type="gramStart"/>
      <w:r w:rsidRPr="009D1164">
        <w:rPr>
          <w:bCs/>
        </w:rPr>
        <w:t>..</w:t>
      </w:r>
      <w:proofErr w:type="gramEnd"/>
      <w:r w:rsidRPr="009D1164">
        <w:rPr>
          <w:bCs/>
        </w:rPr>
        <w:t xml:space="preserve"> WIPO jointly organized and/or participated in nine workshops.  These joint efforts of both IP Offices and Competition Authorities provided an effective forum for dialogue and debate as regards the interface between IP and competition policy.</w:t>
      </w:r>
    </w:p>
    <w:p w:rsidR="005C6F8E" w:rsidRDefault="005C6F8E" w:rsidP="00271CFB">
      <w:pPr>
        <w:tabs>
          <w:tab w:val="left" w:pos="709"/>
        </w:tabs>
        <w:jc w:val="both"/>
        <w:rPr>
          <w:bCs/>
          <w:sz w:val="22"/>
          <w:szCs w:val="22"/>
        </w:rPr>
      </w:pPr>
    </w:p>
    <w:p w:rsidR="005C6F8E" w:rsidRPr="009D1164" w:rsidRDefault="005C6F8E" w:rsidP="005C6F8E">
      <w:pPr>
        <w:pStyle w:val="ListParagraph"/>
        <w:numPr>
          <w:ilvl w:val="0"/>
          <w:numId w:val="49"/>
        </w:numPr>
        <w:tabs>
          <w:tab w:val="left" w:pos="709"/>
        </w:tabs>
        <w:ind w:left="0" w:firstLine="0"/>
        <w:jc w:val="both"/>
        <w:rPr>
          <w:bCs/>
          <w:sz w:val="22"/>
          <w:szCs w:val="22"/>
        </w:rPr>
      </w:pPr>
      <w:r w:rsidRPr="009D1164">
        <w:rPr>
          <w:rFonts w:cs="Arial"/>
          <w:bCs/>
          <w:color w:val="000000"/>
        </w:rPr>
        <w:t>The design, planning and implementation of activities undertaken by Program 18 were guided by the relevant DA Recommendations, in particular</w:t>
      </w:r>
      <w:r w:rsidRPr="001F6CEB">
        <w:t xml:space="preserve"> </w:t>
      </w:r>
      <w:r w:rsidRPr="009D1164">
        <w:rPr>
          <w:rFonts w:cs="Arial"/>
          <w:bCs/>
          <w:color w:val="000000"/>
        </w:rPr>
        <w:t>DA Recommendations 19, 25, 30, 40, and 42.</w:t>
      </w:r>
    </w:p>
    <w:p w:rsidR="005C6F8E" w:rsidRDefault="005C6F8E" w:rsidP="00271CFB">
      <w:pPr>
        <w:tabs>
          <w:tab w:val="left" w:pos="709"/>
        </w:tabs>
        <w:jc w:val="both"/>
        <w:rPr>
          <w:bCs/>
          <w:sz w:val="22"/>
          <w:szCs w:val="22"/>
        </w:rPr>
      </w:pPr>
    </w:p>
    <w:p w:rsidR="005C6F8E" w:rsidRDefault="005C6F8E" w:rsidP="00271CFB">
      <w:pPr>
        <w:tabs>
          <w:tab w:val="left" w:pos="709"/>
        </w:tabs>
        <w:rPr>
          <w:bCs/>
          <w:sz w:val="22"/>
          <w:szCs w:val="22"/>
        </w:rPr>
      </w:pPr>
    </w:p>
    <w:p w:rsidR="005C6F8E" w:rsidRDefault="005C6F8E" w:rsidP="00271CFB">
      <w:pPr>
        <w:rPr>
          <w:rFonts w:cs="Arial"/>
        </w:rPr>
      </w:pPr>
      <w:r w:rsidRPr="00B97A7D">
        <w:rPr>
          <w:rFonts w:cs="Arial"/>
          <w:sz w:val="22"/>
          <w:szCs w:val="22"/>
        </w:rPr>
        <w:t>PERFORMANCE DATA</w:t>
      </w:r>
    </w:p>
    <w:p w:rsidR="005C6F8E" w:rsidRDefault="005C6F8E" w:rsidP="00C3728B">
      <w:pPr>
        <w:rPr>
          <w:bCs/>
          <w:sz w:val="22"/>
          <w:szCs w:val="22"/>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89"/>
        <w:gridCol w:w="179"/>
        <w:gridCol w:w="2270"/>
        <w:gridCol w:w="226"/>
        <w:gridCol w:w="55"/>
        <w:gridCol w:w="1140"/>
        <w:gridCol w:w="139"/>
        <w:gridCol w:w="2414"/>
        <w:gridCol w:w="986"/>
      </w:tblGrid>
      <w:tr w:rsidR="005C6F8E" w:rsidRPr="00A1131D" w:rsidTr="00FB35F2">
        <w:trPr>
          <w:cantSplit/>
          <w:trHeight w:val="479"/>
        </w:trPr>
        <w:tc>
          <w:tcPr>
            <w:tcW w:w="5000" w:type="pct"/>
            <w:gridSpan w:val="9"/>
            <w:tcBorders>
              <w:top w:val="single" w:sz="4" w:space="0" w:color="auto"/>
              <w:bottom w:val="single" w:sz="4" w:space="0" w:color="auto"/>
            </w:tcBorders>
            <w:shd w:val="clear" w:color="auto" w:fill="CCFFFF"/>
            <w:vAlign w:val="center"/>
          </w:tcPr>
          <w:p w:rsidR="005C6F8E" w:rsidRPr="00A1131D" w:rsidRDefault="005C6F8E" w:rsidP="00271CFB">
            <w:pPr>
              <w:keepNext/>
              <w:keepLines/>
              <w:tabs>
                <w:tab w:val="left" w:pos="1452"/>
              </w:tabs>
              <w:ind w:left="1452" w:hanging="1452"/>
              <w:rPr>
                <w:rFonts w:cs="Arial"/>
                <w:b/>
                <w:bCs/>
                <w:sz w:val="16"/>
                <w:szCs w:val="16"/>
              </w:rPr>
            </w:pPr>
            <w:r w:rsidRPr="00A1131D">
              <w:rPr>
                <w:rFonts w:cs="Arial"/>
                <w:b/>
                <w:bCs/>
                <w:sz w:val="16"/>
                <w:szCs w:val="16"/>
              </w:rPr>
              <w:t>Expected Result:</w:t>
            </w:r>
            <w:r w:rsidRPr="00A1131D">
              <w:rPr>
                <w:rFonts w:cs="Arial"/>
                <w:b/>
                <w:bCs/>
                <w:sz w:val="16"/>
                <w:szCs w:val="16"/>
              </w:rPr>
              <w:tab/>
            </w:r>
            <w:r w:rsidRPr="00A1131D">
              <w:rPr>
                <w:rFonts w:cs="Arial"/>
                <w:sz w:val="16"/>
                <w:szCs w:val="16"/>
              </w:rPr>
              <w:t>III.2 Enhanced human resource capacities able to deal with the broad range of requirements for the effective use of IP for development in developing countries, LDCs and countries with economies in transition</w:t>
            </w:r>
          </w:p>
        </w:tc>
      </w:tr>
      <w:tr w:rsidR="005C6F8E" w:rsidRPr="00A1131D" w:rsidTr="00565E68">
        <w:trPr>
          <w:cantSplit/>
        </w:trPr>
        <w:tc>
          <w:tcPr>
            <w:tcW w:w="1100" w:type="pct"/>
            <w:tcBorders>
              <w:top w:val="single" w:sz="4" w:space="0" w:color="auto"/>
            </w:tcBorders>
            <w:shd w:val="clear" w:color="auto" w:fill="auto"/>
            <w:vAlign w:val="center"/>
          </w:tcPr>
          <w:p w:rsidR="005C6F8E" w:rsidRPr="00A1131D" w:rsidRDefault="005C6F8E" w:rsidP="00271CFB">
            <w:pPr>
              <w:rPr>
                <w:rFonts w:cs="Arial"/>
                <w:sz w:val="16"/>
                <w:szCs w:val="16"/>
              </w:rPr>
            </w:pPr>
            <w:r w:rsidRPr="00A1131D">
              <w:rPr>
                <w:rFonts w:cs="Arial"/>
                <w:b/>
                <w:bCs/>
                <w:sz w:val="16"/>
                <w:szCs w:val="16"/>
              </w:rPr>
              <w:t>Performance Indicators</w:t>
            </w:r>
          </w:p>
        </w:tc>
        <w:tc>
          <w:tcPr>
            <w:tcW w:w="1289" w:type="pct"/>
            <w:gridSpan w:val="2"/>
            <w:tcBorders>
              <w:top w:val="single" w:sz="4" w:space="0" w:color="auto"/>
            </w:tcBorders>
            <w:shd w:val="clear" w:color="auto" w:fill="auto"/>
            <w:vAlign w:val="center"/>
          </w:tcPr>
          <w:p w:rsidR="005C6F8E" w:rsidRPr="00A1131D" w:rsidRDefault="005C6F8E" w:rsidP="00271CFB">
            <w:pPr>
              <w:rPr>
                <w:rFonts w:cs="Arial"/>
                <w:b/>
                <w:bCs/>
                <w:sz w:val="16"/>
                <w:szCs w:val="16"/>
              </w:rPr>
            </w:pPr>
            <w:r w:rsidRPr="00A1131D">
              <w:rPr>
                <w:rFonts w:cs="Arial"/>
                <w:b/>
                <w:bCs/>
                <w:sz w:val="16"/>
                <w:szCs w:val="16"/>
              </w:rPr>
              <w:t>Baselines</w:t>
            </w:r>
          </w:p>
        </w:tc>
        <w:tc>
          <w:tcPr>
            <w:tcW w:w="821" w:type="pct"/>
            <w:gridSpan w:val="4"/>
            <w:tcBorders>
              <w:top w:val="single" w:sz="4" w:space="0" w:color="auto"/>
            </w:tcBorders>
            <w:shd w:val="clear" w:color="auto" w:fill="auto"/>
            <w:tcMar>
              <w:top w:w="110" w:type="dxa"/>
            </w:tcMar>
            <w:vAlign w:val="center"/>
          </w:tcPr>
          <w:p w:rsidR="005C6F8E" w:rsidRPr="00A1131D" w:rsidRDefault="005C6F8E" w:rsidP="00271CFB">
            <w:pPr>
              <w:rPr>
                <w:rFonts w:cs="Arial"/>
                <w:b/>
                <w:sz w:val="16"/>
                <w:szCs w:val="16"/>
              </w:rPr>
            </w:pPr>
            <w:r w:rsidRPr="00A1131D">
              <w:rPr>
                <w:rFonts w:cs="Arial"/>
                <w:b/>
                <w:sz w:val="16"/>
                <w:szCs w:val="16"/>
              </w:rPr>
              <w:t>Targets</w:t>
            </w:r>
          </w:p>
        </w:tc>
        <w:tc>
          <w:tcPr>
            <w:tcW w:w="1271" w:type="pct"/>
            <w:tcBorders>
              <w:top w:val="single" w:sz="4" w:space="0" w:color="auto"/>
            </w:tcBorders>
            <w:shd w:val="clear" w:color="auto" w:fill="FFFFFF"/>
            <w:tcMar>
              <w:top w:w="110" w:type="dxa"/>
            </w:tcMar>
            <w:vAlign w:val="center"/>
          </w:tcPr>
          <w:p w:rsidR="005C6F8E" w:rsidRPr="00A1131D" w:rsidRDefault="005C6F8E" w:rsidP="00271CFB">
            <w:pPr>
              <w:rPr>
                <w:rFonts w:cs="Arial"/>
                <w:sz w:val="16"/>
                <w:szCs w:val="16"/>
              </w:rPr>
            </w:pPr>
            <w:r w:rsidRPr="00A1131D">
              <w:rPr>
                <w:rFonts w:cs="Arial"/>
                <w:b/>
                <w:bCs/>
                <w:sz w:val="16"/>
                <w:szCs w:val="16"/>
              </w:rPr>
              <w:t>Performance Data</w:t>
            </w:r>
          </w:p>
        </w:tc>
        <w:tc>
          <w:tcPr>
            <w:tcW w:w="519" w:type="pct"/>
            <w:tcBorders>
              <w:top w:val="single" w:sz="4" w:space="0" w:color="auto"/>
            </w:tcBorders>
            <w:shd w:val="clear" w:color="auto" w:fill="auto"/>
            <w:tcMar>
              <w:top w:w="110" w:type="dxa"/>
            </w:tcMar>
            <w:vAlign w:val="center"/>
          </w:tcPr>
          <w:p w:rsidR="005C6F8E" w:rsidRPr="00A1131D" w:rsidRDefault="005C6F8E" w:rsidP="00271CFB">
            <w:pPr>
              <w:keepNext/>
              <w:keepLines/>
              <w:jc w:val="center"/>
              <w:rPr>
                <w:rFonts w:cs="Arial"/>
                <w:b/>
                <w:bCs/>
                <w:sz w:val="16"/>
                <w:szCs w:val="16"/>
              </w:rPr>
            </w:pPr>
            <w:r w:rsidRPr="00A1131D">
              <w:rPr>
                <w:rFonts w:cs="Arial"/>
                <w:b/>
                <w:bCs/>
                <w:sz w:val="16"/>
                <w:szCs w:val="16"/>
              </w:rPr>
              <w:t>TLS</w:t>
            </w:r>
          </w:p>
        </w:tc>
      </w:tr>
      <w:tr w:rsidR="005C6F8E" w:rsidRPr="00A1131D" w:rsidTr="00565E68">
        <w:trPr>
          <w:cantSplit/>
        </w:trPr>
        <w:tc>
          <w:tcPr>
            <w:tcW w:w="1100" w:type="pct"/>
            <w:shd w:val="clear" w:color="auto" w:fill="auto"/>
          </w:tcPr>
          <w:p w:rsidR="005C6F8E" w:rsidRDefault="005C6F8E" w:rsidP="00271CFB">
            <w:pPr>
              <w:rPr>
                <w:rFonts w:cs="Arial"/>
                <w:sz w:val="16"/>
                <w:szCs w:val="16"/>
              </w:rPr>
            </w:pPr>
            <w:r w:rsidRPr="00492FEC">
              <w:rPr>
                <w:rFonts w:cs="Arial"/>
                <w:sz w:val="16"/>
                <w:szCs w:val="16"/>
              </w:rPr>
              <w:t>No. of hosting arrangements of developing country scientists</w:t>
            </w:r>
          </w:p>
          <w:p w:rsidR="005C6F8E" w:rsidRPr="00A1131D" w:rsidRDefault="005C6F8E" w:rsidP="00271CFB">
            <w:pPr>
              <w:rPr>
                <w:rFonts w:cs="Arial"/>
                <w:sz w:val="16"/>
                <w:szCs w:val="16"/>
              </w:rPr>
            </w:pPr>
          </w:p>
        </w:tc>
        <w:tc>
          <w:tcPr>
            <w:tcW w:w="1289" w:type="pct"/>
            <w:gridSpan w:val="2"/>
            <w:shd w:val="clear" w:color="auto" w:fill="auto"/>
          </w:tcPr>
          <w:p w:rsidR="005C6F8E" w:rsidRDefault="005C6F8E" w:rsidP="00271CFB">
            <w:r w:rsidRPr="00A1131D">
              <w:rPr>
                <w:rFonts w:cs="Arial"/>
                <w:i/>
                <w:sz w:val="16"/>
                <w:szCs w:val="16"/>
              </w:rPr>
              <w:t>Original Baseline P&amp;B 201</w:t>
            </w:r>
            <w:r>
              <w:rPr>
                <w:rFonts w:cs="Arial"/>
                <w:i/>
                <w:sz w:val="16"/>
                <w:szCs w:val="16"/>
              </w:rPr>
              <w:t>4</w:t>
            </w:r>
            <w:r w:rsidRPr="00A1131D">
              <w:rPr>
                <w:rFonts w:cs="Arial"/>
                <w:i/>
                <w:sz w:val="16"/>
                <w:szCs w:val="16"/>
              </w:rPr>
              <w:t>/1</w:t>
            </w:r>
            <w:r>
              <w:rPr>
                <w:rFonts w:cs="Arial"/>
                <w:i/>
                <w:sz w:val="16"/>
                <w:szCs w:val="16"/>
              </w:rPr>
              <w:t>5</w:t>
            </w:r>
            <w:r w:rsidRPr="00A1131D">
              <w:rPr>
                <w:rFonts w:cs="Arial"/>
                <w:i/>
                <w:sz w:val="16"/>
                <w:szCs w:val="16"/>
              </w:rPr>
              <w:t>:</w:t>
            </w:r>
            <w:r w:rsidRPr="00A1131D">
              <w:rPr>
                <w:rFonts w:cs="Arial"/>
                <w:sz w:val="16"/>
                <w:szCs w:val="16"/>
              </w:rPr>
              <w:t xml:space="preserve"> </w:t>
            </w:r>
            <w:r w:rsidRPr="00492FEC">
              <w:rPr>
                <w:rFonts w:cs="Arial"/>
                <w:i/>
                <w:sz w:val="16"/>
                <w:szCs w:val="16"/>
              </w:rPr>
              <w:t>5</w:t>
            </w:r>
          </w:p>
          <w:p w:rsidR="005C6F8E" w:rsidRPr="00A1131D" w:rsidRDefault="005C6F8E" w:rsidP="00271CFB">
            <w:pPr>
              <w:rPr>
                <w:rFonts w:cs="Arial"/>
                <w:sz w:val="16"/>
                <w:szCs w:val="16"/>
              </w:rPr>
            </w:pPr>
          </w:p>
        </w:tc>
        <w:tc>
          <w:tcPr>
            <w:tcW w:w="821" w:type="pct"/>
            <w:gridSpan w:val="4"/>
            <w:shd w:val="clear" w:color="auto" w:fill="auto"/>
            <w:tcMar>
              <w:top w:w="110" w:type="dxa"/>
            </w:tcMar>
          </w:tcPr>
          <w:p w:rsidR="005C6F8E" w:rsidRPr="006941D7" w:rsidRDefault="005C6F8E" w:rsidP="00271CFB">
            <w:pPr>
              <w:autoSpaceDE w:val="0"/>
              <w:autoSpaceDN w:val="0"/>
              <w:adjustRightInd w:val="0"/>
              <w:rPr>
                <w:rFonts w:cs="Arial"/>
                <w:sz w:val="16"/>
                <w:szCs w:val="16"/>
              </w:rPr>
            </w:pPr>
            <w:r w:rsidRPr="006941D7">
              <w:rPr>
                <w:rFonts w:cs="Arial"/>
                <w:sz w:val="16"/>
                <w:szCs w:val="16"/>
              </w:rPr>
              <w:t>4</w:t>
            </w:r>
          </w:p>
        </w:tc>
        <w:tc>
          <w:tcPr>
            <w:tcW w:w="1271" w:type="pct"/>
            <w:shd w:val="clear" w:color="auto" w:fill="FFFFFF"/>
            <w:tcMar>
              <w:top w:w="110" w:type="dxa"/>
            </w:tcMar>
          </w:tcPr>
          <w:p w:rsidR="005C6F8E" w:rsidRPr="006941D7" w:rsidRDefault="005C6F8E" w:rsidP="00271CFB">
            <w:pPr>
              <w:rPr>
                <w:rFonts w:cs="Arial"/>
                <w:sz w:val="16"/>
                <w:szCs w:val="16"/>
                <w:lang w:bidi="th-TH"/>
              </w:rPr>
            </w:pPr>
            <w:r>
              <w:rPr>
                <w:rFonts w:cs="Arial"/>
                <w:sz w:val="16"/>
                <w:szCs w:val="16"/>
                <w:lang w:bidi="th-TH"/>
              </w:rPr>
              <w:t>N</w:t>
            </w:r>
            <w:r w:rsidRPr="006941D7">
              <w:rPr>
                <w:rFonts w:cs="Arial"/>
                <w:sz w:val="16"/>
                <w:szCs w:val="16"/>
                <w:lang w:bidi="th-TH"/>
              </w:rPr>
              <w:t>o additional hosting arrangements were facilitated in 2014.</w:t>
            </w:r>
          </w:p>
        </w:tc>
        <w:tc>
          <w:tcPr>
            <w:tcW w:w="519" w:type="pct"/>
            <w:shd w:val="clear" w:color="auto" w:fill="auto"/>
            <w:tcMar>
              <w:top w:w="110" w:type="dxa"/>
            </w:tcMar>
          </w:tcPr>
          <w:p w:rsidR="005C6F8E" w:rsidRPr="00A1131D" w:rsidRDefault="005C6F8E" w:rsidP="00271CFB">
            <w:pPr>
              <w:keepNext/>
              <w:keepLines/>
              <w:jc w:val="center"/>
              <w:rPr>
                <w:rFonts w:cs="Arial"/>
                <w:b/>
                <w:bCs/>
                <w:color w:val="808080"/>
                <w:sz w:val="16"/>
                <w:szCs w:val="16"/>
              </w:rPr>
            </w:pPr>
            <w:r w:rsidRPr="00046770">
              <w:rPr>
                <w:rFonts w:cs="Arial"/>
                <w:b/>
                <w:bCs/>
                <w:color w:val="FF0000"/>
                <w:sz w:val="16"/>
                <w:szCs w:val="16"/>
              </w:rPr>
              <w:t xml:space="preserve">Not </w:t>
            </w:r>
            <w:r>
              <w:rPr>
                <w:rFonts w:cs="Arial"/>
                <w:b/>
                <w:bCs/>
                <w:color w:val="FF0000"/>
                <w:sz w:val="16"/>
                <w:szCs w:val="16"/>
              </w:rPr>
              <w:br/>
            </w:r>
            <w:r w:rsidRPr="00046770">
              <w:rPr>
                <w:rFonts w:cs="Arial"/>
                <w:b/>
                <w:bCs/>
                <w:color w:val="FF0000"/>
                <w:sz w:val="16"/>
                <w:szCs w:val="16"/>
              </w:rPr>
              <w:t>on track</w:t>
            </w:r>
          </w:p>
        </w:tc>
      </w:tr>
      <w:tr w:rsidR="005C6F8E" w:rsidRPr="00A1131D" w:rsidTr="00FB35F2">
        <w:trPr>
          <w:cantSplit/>
          <w:trHeight w:val="492"/>
        </w:trPr>
        <w:tc>
          <w:tcPr>
            <w:tcW w:w="5000" w:type="pct"/>
            <w:gridSpan w:val="9"/>
            <w:tcBorders>
              <w:top w:val="single" w:sz="4" w:space="0" w:color="auto"/>
              <w:bottom w:val="single" w:sz="4" w:space="0" w:color="auto"/>
            </w:tcBorders>
            <w:shd w:val="clear" w:color="auto" w:fill="CCFFFF"/>
            <w:vAlign w:val="center"/>
          </w:tcPr>
          <w:p w:rsidR="005C6F8E" w:rsidRPr="00A1131D" w:rsidRDefault="005C6F8E" w:rsidP="00271CFB">
            <w:pPr>
              <w:keepNext/>
              <w:keepLines/>
              <w:tabs>
                <w:tab w:val="left" w:pos="1452"/>
              </w:tabs>
              <w:ind w:left="1452" w:hanging="1452"/>
              <w:rPr>
                <w:rFonts w:cs="Arial"/>
                <w:b/>
                <w:bCs/>
                <w:sz w:val="16"/>
                <w:szCs w:val="16"/>
              </w:rPr>
            </w:pPr>
            <w:r w:rsidRPr="00A1131D">
              <w:rPr>
                <w:rFonts w:cs="Arial"/>
                <w:b/>
                <w:bCs/>
                <w:sz w:val="16"/>
                <w:szCs w:val="16"/>
              </w:rPr>
              <w:t>Expected Result:</w:t>
            </w:r>
            <w:r w:rsidRPr="00A1131D">
              <w:rPr>
                <w:rFonts w:cs="Arial"/>
                <w:b/>
                <w:bCs/>
                <w:sz w:val="16"/>
                <w:szCs w:val="16"/>
              </w:rPr>
              <w:tab/>
            </w:r>
            <w:r w:rsidRPr="00A1131D">
              <w:rPr>
                <w:rFonts w:cs="Arial"/>
                <w:sz w:val="16"/>
                <w:szCs w:val="16"/>
              </w:rPr>
              <w:t>IV.2 Enhanced access to, and use of, IP information by IP institutions and the public to promote innovation and creativity</w:t>
            </w:r>
          </w:p>
        </w:tc>
      </w:tr>
      <w:tr w:rsidR="005C6F8E" w:rsidRPr="00A1131D" w:rsidTr="00565E68">
        <w:trPr>
          <w:cantSplit/>
        </w:trPr>
        <w:tc>
          <w:tcPr>
            <w:tcW w:w="1100" w:type="pct"/>
            <w:tcBorders>
              <w:top w:val="single" w:sz="4" w:space="0" w:color="auto"/>
            </w:tcBorders>
            <w:shd w:val="clear" w:color="auto" w:fill="auto"/>
            <w:vAlign w:val="center"/>
          </w:tcPr>
          <w:p w:rsidR="005C6F8E" w:rsidRPr="00A1131D" w:rsidRDefault="005C6F8E" w:rsidP="00271CFB">
            <w:pPr>
              <w:rPr>
                <w:rFonts w:cs="Arial"/>
                <w:sz w:val="16"/>
                <w:szCs w:val="16"/>
              </w:rPr>
            </w:pPr>
            <w:r w:rsidRPr="00A1131D">
              <w:rPr>
                <w:rFonts w:cs="Arial"/>
                <w:b/>
                <w:bCs/>
                <w:sz w:val="16"/>
                <w:szCs w:val="16"/>
              </w:rPr>
              <w:t>Performance Indicators</w:t>
            </w:r>
          </w:p>
        </w:tc>
        <w:tc>
          <w:tcPr>
            <w:tcW w:w="1289" w:type="pct"/>
            <w:gridSpan w:val="2"/>
            <w:tcBorders>
              <w:top w:val="single" w:sz="4" w:space="0" w:color="auto"/>
            </w:tcBorders>
            <w:shd w:val="clear" w:color="auto" w:fill="auto"/>
            <w:vAlign w:val="center"/>
          </w:tcPr>
          <w:p w:rsidR="005C6F8E" w:rsidRPr="00A1131D" w:rsidRDefault="005C6F8E" w:rsidP="00271CFB">
            <w:pPr>
              <w:rPr>
                <w:rFonts w:cs="Arial"/>
                <w:b/>
                <w:bCs/>
                <w:sz w:val="16"/>
                <w:szCs w:val="16"/>
              </w:rPr>
            </w:pPr>
            <w:r w:rsidRPr="00A1131D">
              <w:rPr>
                <w:rFonts w:cs="Arial"/>
                <w:b/>
                <w:bCs/>
                <w:sz w:val="16"/>
                <w:szCs w:val="16"/>
              </w:rPr>
              <w:t>Baselines</w:t>
            </w:r>
          </w:p>
        </w:tc>
        <w:tc>
          <w:tcPr>
            <w:tcW w:w="821" w:type="pct"/>
            <w:gridSpan w:val="4"/>
            <w:tcBorders>
              <w:top w:val="single" w:sz="4" w:space="0" w:color="auto"/>
            </w:tcBorders>
            <w:shd w:val="clear" w:color="auto" w:fill="auto"/>
            <w:tcMar>
              <w:top w:w="110" w:type="dxa"/>
            </w:tcMar>
            <w:vAlign w:val="center"/>
          </w:tcPr>
          <w:p w:rsidR="005C6F8E" w:rsidRPr="00A1131D" w:rsidRDefault="005C6F8E" w:rsidP="00271CFB">
            <w:pPr>
              <w:rPr>
                <w:rFonts w:cs="Arial"/>
                <w:b/>
                <w:sz w:val="16"/>
                <w:szCs w:val="16"/>
              </w:rPr>
            </w:pPr>
            <w:r w:rsidRPr="00A1131D">
              <w:rPr>
                <w:rFonts w:cs="Arial"/>
                <w:b/>
                <w:sz w:val="16"/>
                <w:szCs w:val="16"/>
              </w:rPr>
              <w:t>Targets</w:t>
            </w:r>
          </w:p>
        </w:tc>
        <w:tc>
          <w:tcPr>
            <w:tcW w:w="1271" w:type="pct"/>
            <w:tcBorders>
              <w:top w:val="single" w:sz="4" w:space="0" w:color="auto"/>
            </w:tcBorders>
            <w:shd w:val="clear" w:color="auto" w:fill="FFFFFF"/>
            <w:tcMar>
              <w:top w:w="110" w:type="dxa"/>
            </w:tcMar>
            <w:vAlign w:val="center"/>
          </w:tcPr>
          <w:p w:rsidR="005C6F8E" w:rsidRPr="00A1131D" w:rsidRDefault="005C6F8E" w:rsidP="00271CFB">
            <w:pPr>
              <w:rPr>
                <w:rFonts w:cs="Arial"/>
                <w:sz w:val="16"/>
                <w:szCs w:val="16"/>
              </w:rPr>
            </w:pPr>
            <w:r w:rsidRPr="00A1131D">
              <w:rPr>
                <w:rFonts w:cs="Arial"/>
                <w:b/>
                <w:bCs/>
                <w:sz w:val="16"/>
                <w:szCs w:val="16"/>
              </w:rPr>
              <w:t>Performance Data</w:t>
            </w:r>
          </w:p>
        </w:tc>
        <w:tc>
          <w:tcPr>
            <w:tcW w:w="519" w:type="pct"/>
            <w:tcBorders>
              <w:top w:val="single" w:sz="4" w:space="0" w:color="auto"/>
            </w:tcBorders>
            <w:shd w:val="clear" w:color="auto" w:fill="auto"/>
            <w:tcMar>
              <w:top w:w="110" w:type="dxa"/>
            </w:tcMar>
            <w:vAlign w:val="center"/>
          </w:tcPr>
          <w:p w:rsidR="005C6F8E" w:rsidRPr="00A1131D" w:rsidRDefault="005C6F8E" w:rsidP="00271CFB">
            <w:pPr>
              <w:keepNext/>
              <w:keepLines/>
              <w:jc w:val="center"/>
              <w:rPr>
                <w:rFonts w:cs="Arial"/>
                <w:b/>
                <w:bCs/>
                <w:sz w:val="16"/>
                <w:szCs w:val="16"/>
              </w:rPr>
            </w:pPr>
            <w:r w:rsidRPr="00A1131D">
              <w:rPr>
                <w:rFonts w:cs="Arial"/>
                <w:b/>
                <w:bCs/>
                <w:sz w:val="16"/>
                <w:szCs w:val="16"/>
              </w:rPr>
              <w:t>TLS</w:t>
            </w:r>
          </w:p>
        </w:tc>
      </w:tr>
      <w:tr w:rsidR="005C6F8E" w:rsidRPr="00A1131D" w:rsidTr="00565E68">
        <w:trPr>
          <w:cantSplit/>
        </w:trPr>
        <w:tc>
          <w:tcPr>
            <w:tcW w:w="1100" w:type="pct"/>
            <w:tcBorders>
              <w:bottom w:val="single" w:sz="4" w:space="0" w:color="auto"/>
            </w:tcBorders>
            <w:shd w:val="clear" w:color="auto" w:fill="auto"/>
          </w:tcPr>
          <w:p w:rsidR="005C6F8E" w:rsidRDefault="005C6F8E" w:rsidP="00271CFB">
            <w:pPr>
              <w:rPr>
                <w:rFonts w:cs="Arial"/>
                <w:sz w:val="16"/>
                <w:szCs w:val="16"/>
              </w:rPr>
            </w:pPr>
            <w:r w:rsidRPr="00046770">
              <w:rPr>
                <w:rFonts w:cs="Arial"/>
                <w:sz w:val="16"/>
                <w:szCs w:val="16"/>
              </w:rPr>
              <w:t>Number of countries that verified data and included national essential medicines into WIPO Essential</w:t>
            </w:r>
          </w:p>
          <w:p w:rsidR="005C6F8E" w:rsidRPr="00A1131D" w:rsidRDefault="005C6F8E" w:rsidP="00271CFB">
            <w:pPr>
              <w:rPr>
                <w:rFonts w:cs="Arial"/>
                <w:sz w:val="16"/>
                <w:szCs w:val="16"/>
              </w:rPr>
            </w:pPr>
          </w:p>
        </w:tc>
        <w:tc>
          <w:tcPr>
            <w:tcW w:w="1289" w:type="pct"/>
            <w:gridSpan w:val="2"/>
            <w:tcBorders>
              <w:bottom w:val="single" w:sz="4" w:space="0" w:color="auto"/>
            </w:tcBorders>
            <w:shd w:val="clear" w:color="auto" w:fill="auto"/>
          </w:tcPr>
          <w:p w:rsidR="005C6F8E" w:rsidRDefault="005C6F8E" w:rsidP="00271CFB">
            <w:r w:rsidRPr="00046770">
              <w:rPr>
                <w:rFonts w:cs="Arial"/>
                <w:sz w:val="16"/>
                <w:szCs w:val="16"/>
              </w:rPr>
              <w:t>0 (zero)</w:t>
            </w:r>
            <w:r w:rsidRPr="00A1131D">
              <w:rPr>
                <w:rFonts w:cs="Arial"/>
                <w:sz w:val="16"/>
                <w:szCs w:val="16"/>
              </w:rPr>
              <w:t xml:space="preserve"> </w:t>
            </w:r>
          </w:p>
          <w:p w:rsidR="005C6F8E" w:rsidRPr="00A1131D" w:rsidRDefault="005C6F8E" w:rsidP="00271CFB">
            <w:pPr>
              <w:rPr>
                <w:rFonts w:cs="Arial"/>
                <w:sz w:val="16"/>
                <w:szCs w:val="16"/>
              </w:rPr>
            </w:pPr>
          </w:p>
        </w:tc>
        <w:tc>
          <w:tcPr>
            <w:tcW w:w="821" w:type="pct"/>
            <w:gridSpan w:val="4"/>
            <w:tcBorders>
              <w:bottom w:val="single" w:sz="4" w:space="0" w:color="auto"/>
            </w:tcBorders>
            <w:shd w:val="clear" w:color="auto" w:fill="auto"/>
            <w:tcMar>
              <w:top w:w="110" w:type="dxa"/>
            </w:tcMar>
          </w:tcPr>
          <w:p w:rsidR="005C6F8E" w:rsidRPr="00A1131D" w:rsidRDefault="005C6F8E" w:rsidP="00271CFB">
            <w:pPr>
              <w:rPr>
                <w:rFonts w:cs="Arial"/>
                <w:i/>
                <w:sz w:val="16"/>
                <w:szCs w:val="16"/>
              </w:rPr>
            </w:pPr>
            <w:r w:rsidRPr="00046770">
              <w:rPr>
                <w:rFonts w:cs="Arial"/>
                <w:sz w:val="16"/>
                <w:szCs w:val="16"/>
              </w:rPr>
              <w:t>1 country per region (Africa, Asia, Latin America and the Caribbean)</w:t>
            </w:r>
          </w:p>
        </w:tc>
        <w:tc>
          <w:tcPr>
            <w:tcW w:w="1271" w:type="pct"/>
            <w:tcBorders>
              <w:bottom w:val="single" w:sz="4" w:space="0" w:color="auto"/>
            </w:tcBorders>
            <w:shd w:val="clear" w:color="auto" w:fill="FFFFFF"/>
            <w:tcMar>
              <w:top w:w="110" w:type="dxa"/>
            </w:tcMar>
          </w:tcPr>
          <w:p w:rsidR="005C6F8E" w:rsidRPr="00A1131D" w:rsidRDefault="005C6F8E" w:rsidP="00271CFB">
            <w:pPr>
              <w:rPr>
                <w:rFonts w:cs="Arial"/>
                <w:sz w:val="16"/>
                <w:szCs w:val="16"/>
              </w:rPr>
            </w:pPr>
            <w:r w:rsidRPr="00E2456D">
              <w:rPr>
                <w:rFonts w:cs="Arial"/>
                <w:sz w:val="16"/>
                <w:szCs w:val="16"/>
              </w:rPr>
              <w:t xml:space="preserve">WIPO Essential was re-purposed in 2014 as a study on </w:t>
            </w:r>
            <w:r w:rsidRPr="008B0EBA">
              <w:rPr>
                <w:rFonts w:cs="Arial"/>
                <w:sz w:val="16"/>
                <w:szCs w:val="16"/>
              </w:rPr>
              <w:t xml:space="preserve">the patent status of medicines </w:t>
            </w:r>
            <w:r w:rsidRPr="00E2456D">
              <w:rPr>
                <w:rFonts w:cs="Arial"/>
                <w:sz w:val="16"/>
                <w:szCs w:val="16"/>
              </w:rPr>
              <w:t xml:space="preserve">contained </w:t>
            </w:r>
            <w:r w:rsidRPr="008B0EBA">
              <w:rPr>
                <w:rFonts w:cs="Arial"/>
                <w:sz w:val="16"/>
                <w:szCs w:val="16"/>
              </w:rPr>
              <w:t xml:space="preserve">in the </w:t>
            </w:r>
            <w:r w:rsidRPr="00E2456D">
              <w:rPr>
                <w:rFonts w:cs="Arial"/>
                <w:sz w:val="16"/>
                <w:szCs w:val="16"/>
              </w:rPr>
              <w:t xml:space="preserve">WHO </w:t>
            </w:r>
            <w:r w:rsidRPr="008B0EBA">
              <w:rPr>
                <w:rFonts w:cs="Arial"/>
                <w:sz w:val="16"/>
                <w:szCs w:val="16"/>
              </w:rPr>
              <w:t>Model List of Essential Medicines (</w:t>
            </w:r>
            <w:r w:rsidRPr="00E2456D">
              <w:rPr>
                <w:rFonts w:cs="Arial"/>
                <w:sz w:val="16"/>
                <w:szCs w:val="16"/>
              </w:rPr>
              <w:t>MLEM).</w:t>
            </w:r>
            <w:r>
              <w:rPr>
                <w:rFonts w:cs="Arial"/>
                <w:sz w:val="16"/>
                <w:szCs w:val="16"/>
              </w:rPr>
              <w:t xml:space="preserve">  Publication is expected by the end of 2015.</w:t>
            </w:r>
          </w:p>
        </w:tc>
        <w:tc>
          <w:tcPr>
            <w:tcW w:w="519" w:type="pct"/>
            <w:tcBorders>
              <w:bottom w:val="single" w:sz="4" w:space="0" w:color="auto"/>
            </w:tcBorders>
            <w:shd w:val="clear" w:color="auto" w:fill="auto"/>
            <w:tcMar>
              <w:top w:w="110" w:type="dxa"/>
            </w:tcMar>
          </w:tcPr>
          <w:p w:rsidR="005C6F8E" w:rsidRPr="00A1131D" w:rsidRDefault="005C6F8E" w:rsidP="00271CFB">
            <w:pPr>
              <w:keepNext/>
              <w:keepLines/>
              <w:jc w:val="center"/>
              <w:rPr>
                <w:rFonts w:cs="Arial"/>
                <w:b/>
                <w:bCs/>
                <w:color w:val="808080"/>
                <w:sz w:val="16"/>
                <w:szCs w:val="16"/>
              </w:rPr>
            </w:pPr>
            <w:r w:rsidRPr="009D1164">
              <w:rPr>
                <w:rFonts w:cs="Arial"/>
                <w:b/>
                <w:bCs/>
                <w:sz w:val="12"/>
                <w:szCs w:val="16"/>
              </w:rPr>
              <w:t>Dis-continued</w:t>
            </w:r>
            <w:r w:rsidRPr="009D1164" w:rsidDel="00683D81">
              <w:rPr>
                <w:rFonts w:cs="Arial"/>
                <w:b/>
                <w:sz w:val="12"/>
                <w:szCs w:val="16"/>
              </w:rPr>
              <w:t xml:space="preserve"> </w:t>
            </w:r>
          </w:p>
        </w:tc>
      </w:tr>
      <w:tr w:rsidR="005C6F8E" w:rsidRPr="00A1131D" w:rsidTr="00FB35F2">
        <w:trPr>
          <w:cantSplit/>
          <w:trHeight w:val="430"/>
        </w:trPr>
        <w:tc>
          <w:tcPr>
            <w:tcW w:w="5000" w:type="pct"/>
            <w:gridSpan w:val="9"/>
            <w:tcBorders>
              <w:top w:val="single" w:sz="4" w:space="0" w:color="auto"/>
              <w:bottom w:val="single" w:sz="4" w:space="0" w:color="auto"/>
            </w:tcBorders>
            <w:shd w:val="clear" w:color="auto" w:fill="CCFFFF"/>
            <w:vAlign w:val="center"/>
          </w:tcPr>
          <w:p w:rsidR="005C6F8E" w:rsidRPr="00A1131D" w:rsidRDefault="005C6F8E" w:rsidP="00FB35F2">
            <w:pPr>
              <w:tabs>
                <w:tab w:val="left" w:pos="1452"/>
              </w:tabs>
              <w:ind w:left="1452" w:hanging="1452"/>
              <w:rPr>
                <w:rFonts w:cs="Arial"/>
                <w:b/>
                <w:bCs/>
                <w:sz w:val="16"/>
                <w:szCs w:val="16"/>
              </w:rPr>
            </w:pPr>
            <w:r w:rsidRPr="00A1131D">
              <w:rPr>
                <w:rFonts w:cs="Arial"/>
                <w:b/>
                <w:bCs/>
                <w:sz w:val="16"/>
                <w:szCs w:val="16"/>
              </w:rPr>
              <w:t>Expected Result:</w:t>
            </w:r>
            <w:r w:rsidRPr="00A1131D">
              <w:rPr>
                <w:rFonts w:cs="Arial"/>
                <w:b/>
                <w:bCs/>
                <w:sz w:val="16"/>
                <w:szCs w:val="16"/>
              </w:rPr>
              <w:tab/>
            </w:r>
            <w:r w:rsidRPr="00A1131D">
              <w:rPr>
                <w:rFonts w:cs="Arial"/>
                <w:sz w:val="16"/>
                <w:szCs w:val="16"/>
              </w:rPr>
              <w:t>VII.2 IP-based platforms and tools are used for knowledge transfer, technology adaptation and diffusion from developed to developing countries, particularly least developed countries, to address global challenges</w:t>
            </w:r>
          </w:p>
        </w:tc>
      </w:tr>
      <w:tr w:rsidR="005C6F8E" w:rsidRPr="00A1131D" w:rsidTr="00565E68">
        <w:trPr>
          <w:cantSplit/>
        </w:trPr>
        <w:tc>
          <w:tcPr>
            <w:tcW w:w="1194" w:type="pct"/>
            <w:gridSpan w:val="2"/>
            <w:tcBorders>
              <w:top w:val="single" w:sz="4" w:space="0" w:color="auto"/>
            </w:tcBorders>
            <w:shd w:val="clear" w:color="auto" w:fill="auto"/>
            <w:vAlign w:val="center"/>
          </w:tcPr>
          <w:p w:rsidR="005C6F8E" w:rsidRPr="00A1131D" w:rsidRDefault="005C6F8E" w:rsidP="00FB35F2">
            <w:pPr>
              <w:rPr>
                <w:rFonts w:cs="Arial"/>
                <w:sz w:val="16"/>
                <w:szCs w:val="16"/>
              </w:rPr>
            </w:pPr>
            <w:r w:rsidRPr="00A1131D">
              <w:rPr>
                <w:rFonts w:cs="Arial"/>
                <w:b/>
                <w:bCs/>
                <w:sz w:val="16"/>
                <w:szCs w:val="16"/>
              </w:rPr>
              <w:t>Performance Indicators</w:t>
            </w:r>
          </w:p>
        </w:tc>
        <w:tc>
          <w:tcPr>
            <w:tcW w:w="1314" w:type="pct"/>
            <w:gridSpan w:val="2"/>
            <w:tcBorders>
              <w:top w:val="single" w:sz="4" w:space="0" w:color="auto"/>
            </w:tcBorders>
            <w:shd w:val="clear" w:color="auto" w:fill="auto"/>
            <w:vAlign w:val="center"/>
          </w:tcPr>
          <w:p w:rsidR="005C6F8E" w:rsidRPr="00A1131D" w:rsidRDefault="005C6F8E" w:rsidP="00FB35F2">
            <w:pPr>
              <w:rPr>
                <w:rFonts w:cs="Arial"/>
                <w:b/>
                <w:bCs/>
                <w:sz w:val="16"/>
                <w:szCs w:val="16"/>
              </w:rPr>
            </w:pPr>
            <w:r w:rsidRPr="00A1131D">
              <w:rPr>
                <w:rFonts w:cs="Arial"/>
                <w:b/>
                <w:bCs/>
                <w:sz w:val="16"/>
                <w:szCs w:val="16"/>
              </w:rPr>
              <w:t>Baselines</w:t>
            </w:r>
          </w:p>
        </w:tc>
        <w:tc>
          <w:tcPr>
            <w:tcW w:w="629" w:type="pct"/>
            <w:gridSpan w:val="2"/>
            <w:tcBorders>
              <w:top w:val="single" w:sz="4" w:space="0" w:color="auto"/>
            </w:tcBorders>
            <w:shd w:val="clear" w:color="auto" w:fill="auto"/>
            <w:tcMar>
              <w:top w:w="110" w:type="dxa"/>
            </w:tcMar>
            <w:vAlign w:val="center"/>
          </w:tcPr>
          <w:p w:rsidR="005C6F8E" w:rsidRPr="00A1131D" w:rsidRDefault="005C6F8E" w:rsidP="00FB35F2">
            <w:pPr>
              <w:rPr>
                <w:rFonts w:cs="Arial"/>
                <w:b/>
                <w:sz w:val="16"/>
                <w:szCs w:val="16"/>
              </w:rPr>
            </w:pPr>
            <w:r w:rsidRPr="00A1131D">
              <w:rPr>
                <w:rFonts w:cs="Arial"/>
                <w:b/>
                <w:sz w:val="16"/>
                <w:szCs w:val="16"/>
              </w:rPr>
              <w:t>Targets</w:t>
            </w:r>
          </w:p>
        </w:tc>
        <w:tc>
          <w:tcPr>
            <w:tcW w:w="1344" w:type="pct"/>
            <w:gridSpan w:val="2"/>
            <w:tcBorders>
              <w:top w:val="single" w:sz="4" w:space="0" w:color="auto"/>
            </w:tcBorders>
            <w:shd w:val="clear" w:color="auto" w:fill="FFFFFF"/>
            <w:tcMar>
              <w:top w:w="110" w:type="dxa"/>
            </w:tcMar>
            <w:vAlign w:val="center"/>
          </w:tcPr>
          <w:p w:rsidR="005C6F8E" w:rsidRPr="00A1131D" w:rsidRDefault="005C6F8E" w:rsidP="00FB35F2">
            <w:pPr>
              <w:rPr>
                <w:rFonts w:cs="Arial"/>
                <w:sz w:val="16"/>
                <w:szCs w:val="16"/>
              </w:rPr>
            </w:pPr>
            <w:r w:rsidRPr="00A1131D">
              <w:rPr>
                <w:rFonts w:cs="Arial"/>
                <w:b/>
                <w:bCs/>
                <w:sz w:val="16"/>
                <w:szCs w:val="16"/>
              </w:rPr>
              <w:t>Performance Data</w:t>
            </w:r>
          </w:p>
        </w:tc>
        <w:tc>
          <w:tcPr>
            <w:tcW w:w="519" w:type="pct"/>
            <w:tcBorders>
              <w:top w:val="single" w:sz="4" w:space="0" w:color="auto"/>
            </w:tcBorders>
            <w:shd w:val="clear" w:color="auto" w:fill="auto"/>
            <w:tcMar>
              <w:top w:w="110" w:type="dxa"/>
            </w:tcMar>
            <w:vAlign w:val="center"/>
          </w:tcPr>
          <w:p w:rsidR="005C6F8E" w:rsidRPr="00A1131D" w:rsidRDefault="005C6F8E" w:rsidP="00FB35F2">
            <w:pPr>
              <w:jc w:val="center"/>
              <w:rPr>
                <w:rFonts w:cs="Arial"/>
                <w:b/>
                <w:bCs/>
                <w:sz w:val="16"/>
                <w:szCs w:val="16"/>
              </w:rPr>
            </w:pPr>
            <w:r w:rsidRPr="00A1131D">
              <w:rPr>
                <w:rFonts w:cs="Arial"/>
                <w:b/>
                <w:bCs/>
                <w:sz w:val="16"/>
                <w:szCs w:val="16"/>
              </w:rPr>
              <w:t>TLS</w:t>
            </w:r>
          </w:p>
        </w:tc>
      </w:tr>
      <w:tr w:rsidR="005C6F8E" w:rsidRPr="00A1131D" w:rsidTr="00565E68">
        <w:trPr>
          <w:cantSplit/>
        </w:trPr>
        <w:tc>
          <w:tcPr>
            <w:tcW w:w="1194" w:type="pct"/>
            <w:gridSpan w:val="2"/>
            <w:shd w:val="clear" w:color="auto" w:fill="auto"/>
          </w:tcPr>
          <w:p w:rsidR="005C6F8E" w:rsidRPr="00A1131D" w:rsidRDefault="005C6F8E" w:rsidP="00FB35F2">
            <w:pPr>
              <w:rPr>
                <w:rFonts w:cs="Arial"/>
                <w:sz w:val="16"/>
                <w:szCs w:val="16"/>
              </w:rPr>
            </w:pPr>
            <w:r w:rsidRPr="00A1131D">
              <w:rPr>
                <w:rFonts w:cs="Arial"/>
                <w:sz w:val="16"/>
                <w:szCs w:val="16"/>
              </w:rPr>
              <w:t xml:space="preserve">Increase in membership in WIPO </w:t>
            </w:r>
            <w:proofErr w:type="spellStart"/>
            <w:r w:rsidRPr="00A1131D">
              <w:rPr>
                <w:rFonts w:cs="Arial"/>
                <w:sz w:val="16"/>
                <w:szCs w:val="16"/>
              </w:rPr>
              <w:t>Re:Search</w:t>
            </w:r>
            <w:proofErr w:type="spellEnd"/>
            <w:r w:rsidRPr="00A1131D">
              <w:rPr>
                <w:rFonts w:cs="Arial"/>
                <w:sz w:val="16"/>
                <w:szCs w:val="16"/>
              </w:rPr>
              <w:t>, including from developing countries and LDCs</w:t>
            </w:r>
          </w:p>
        </w:tc>
        <w:tc>
          <w:tcPr>
            <w:tcW w:w="1314" w:type="pct"/>
            <w:gridSpan w:val="2"/>
            <w:shd w:val="clear" w:color="auto" w:fill="auto"/>
          </w:tcPr>
          <w:p w:rsidR="005C6F8E" w:rsidRPr="00EF03E1" w:rsidRDefault="005C6F8E" w:rsidP="00FB35F2">
            <w:pPr>
              <w:rPr>
                <w:rFonts w:cs="Arial"/>
                <w:color w:val="002060"/>
                <w:sz w:val="16"/>
                <w:szCs w:val="16"/>
              </w:rPr>
            </w:pPr>
            <w:r w:rsidRPr="00A1131D">
              <w:rPr>
                <w:rFonts w:cs="Arial"/>
                <w:i/>
                <w:color w:val="002060"/>
                <w:sz w:val="16"/>
                <w:szCs w:val="16"/>
              </w:rPr>
              <w:t>Updated Baseline end 201</w:t>
            </w:r>
            <w:r>
              <w:rPr>
                <w:rFonts w:cs="Arial"/>
                <w:i/>
                <w:color w:val="002060"/>
                <w:sz w:val="16"/>
                <w:szCs w:val="16"/>
              </w:rPr>
              <w:t>3</w:t>
            </w:r>
            <w:r w:rsidRPr="00A1131D">
              <w:rPr>
                <w:rFonts w:cs="Arial"/>
                <w:i/>
                <w:color w:val="002060"/>
                <w:sz w:val="16"/>
                <w:szCs w:val="16"/>
              </w:rPr>
              <w:t xml:space="preserve">: </w:t>
            </w:r>
            <w:r w:rsidRPr="00EF03E1">
              <w:rPr>
                <w:rFonts w:cs="Arial"/>
                <w:color w:val="002060"/>
                <w:sz w:val="16"/>
                <w:szCs w:val="16"/>
              </w:rPr>
              <w:t xml:space="preserve">During the biennium, WIPO </w:t>
            </w:r>
            <w:proofErr w:type="spellStart"/>
            <w:r w:rsidRPr="00EF03E1">
              <w:rPr>
                <w:rFonts w:cs="Arial"/>
                <w:color w:val="002060"/>
                <w:sz w:val="16"/>
                <w:szCs w:val="16"/>
              </w:rPr>
              <w:t>Re:Search</w:t>
            </w:r>
            <w:proofErr w:type="spellEnd"/>
            <w:r w:rsidRPr="00EF03E1">
              <w:rPr>
                <w:rFonts w:cs="Arial"/>
                <w:color w:val="002060"/>
                <w:sz w:val="16"/>
                <w:szCs w:val="16"/>
              </w:rPr>
              <w:t xml:space="preserve"> added 49 new members (providers, users and supporters) and 167 new entries in the database:</w:t>
            </w:r>
          </w:p>
          <w:p w:rsidR="005C6F8E" w:rsidRPr="00EF03E1" w:rsidRDefault="005C6F8E" w:rsidP="00FB35F2">
            <w:pPr>
              <w:numPr>
                <w:ilvl w:val="0"/>
                <w:numId w:val="46"/>
              </w:numPr>
              <w:ind w:left="278" w:hanging="278"/>
              <w:rPr>
                <w:rFonts w:cs="Arial"/>
                <w:color w:val="002060"/>
                <w:sz w:val="16"/>
                <w:szCs w:val="16"/>
              </w:rPr>
            </w:pPr>
            <w:r w:rsidRPr="00EF03E1">
              <w:rPr>
                <w:rFonts w:cs="Arial"/>
                <w:color w:val="002060"/>
                <w:sz w:val="16"/>
                <w:szCs w:val="16"/>
              </w:rPr>
              <w:t xml:space="preserve">30 new members and 90 new entries in 2012; and  </w:t>
            </w:r>
          </w:p>
          <w:p w:rsidR="005C6F8E" w:rsidRPr="00EF03E1" w:rsidRDefault="005C6F8E" w:rsidP="00FB35F2">
            <w:pPr>
              <w:numPr>
                <w:ilvl w:val="0"/>
                <w:numId w:val="46"/>
              </w:numPr>
              <w:ind w:left="278" w:hanging="278"/>
              <w:rPr>
                <w:rFonts w:cs="Arial"/>
                <w:color w:val="002060"/>
                <w:sz w:val="16"/>
                <w:szCs w:val="16"/>
              </w:rPr>
            </w:pPr>
            <w:r w:rsidRPr="00EF03E1">
              <w:rPr>
                <w:rFonts w:cs="Arial"/>
                <w:color w:val="002060"/>
                <w:sz w:val="16"/>
                <w:szCs w:val="16"/>
              </w:rPr>
              <w:t>19 new members and 77 new entries in 2013</w:t>
            </w:r>
          </w:p>
          <w:p w:rsidR="005C6F8E" w:rsidRPr="00EF03E1" w:rsidRDefault="005C6F8E" w:rsidP="00FB35F2">
            <w:pPr>
              <w:rPr>
                <w:rFonts w:cs="Arial"/>
                <w:color w:val="002060"/>
                <w:sz w:val="16"/>
                <w:szCs w:val="16"/>
              </w:rPr>
            </w:pPr>
            <w:proofErr w:type="gramStart"/>
            <w:r w:rsidRPr="00EF03E1">
              <w:rPr>
                <w:rFonts w:cs="Arial"/>
                <w:color w:val="002060"/>
                <w:sz w:val="16"/>
                <w:szCs w:val="16"/>
              </w:rPr>
              <w:t>bringing</w:t>
            </w:r>
            <w:proofErr w:type="gramEnd"/>
            <w:r w:rsidRPr="00EF03E1">
              <w:rPr>
                <w:rFonts w:cs="Arial"/>
                <w:color w:val="002060"/>
                <w:sz w:val="16"/>
                <w:szCs w:val="16"/>
              </w:rPr>
              <w:t xml:space="preserve"> the total cumulative to 80 members and 247 entries.</w:t>
            </w:r>
          </w:p>
          <w:p w:rsidR="005C6F8E" w:rsidRPr="00A1131D" w:rsidRDefault="005C6F8E" w:rsidP="00FB35F2">
            <w:pPr>
              <w:rPr>
                <w:rFonts w:cs="Arial"/>
                <w:i/>
                <w:color w:val="002060"/>
                <w:sz w:val="8"/>
                <w:szCs w:val="8"/>
              </w:rPr>
            </w:pPr>
            <w:r w:rsidRPr="00A1131D">
              <w:rPr>
                <w:rFonts w:cs="Arial"/>
                <w:color w:val="993300"/>
                <w:sz w:val="16"/>
                <w:szCs w:val="16"/>
              </w:rPr>
              <w:br/>
            </w:r>
          </w:p>
          <w:p w:rsidR="005C6F8E" w:rsidRPr="00A1131D" w:rsidRDefault="005C6F8E" w:rsidP="00FB35F2">
            <w:pPr>
              <w:rPr>
                <w:rFonts w:cs="Arial"/>
                <w:sz w:val="16"/>
                <w:szCs w:val="16"/>
              </w:rPr>
            </w:pPr>
            <w:r w:rsidRPr="00A1131D">
              <w:rPr>
                <w:rFonts w:cs="Arial"/>
                <w:i/>
                <w:sz w:val="16"/>
                <w:szCs w:val="16"/>
              </w:rPr>
              <w:t>Original Baseline P&amp;B 201</w:t>
            </w:r>
            <w:r>
              <w:rPr>
                <w:rFonts w:cs="Arial"/>
                <w:i/>
                <w:sz w:val="16"/>
                <w:szCs w:val="16"/>
              </w:rPr>
              <w:t>4</w:t>
            </w:r>
            <w:r w:rsidRPr="00A1131D">
              <w:rPr>
                <w:rFonts w:cs="Arial"/>
                <w:i/>
                <w:sz w:val="16"/>
                <w:szCs w:val="16"/>
              </w:rPr>
              <w:t>/1</w:t>
            </w:r>
            <w:r>
              <w:rPr>
                <w:rFonts w:cs="Arial"/>
                <w:i/>
                <w:sz w:val="16"/>
                <w:szCs w:val="16"/>
              </w:rPr>
              <w:t>5</w:t>
            </w:r>
            <w:r w:rsidRPr="00A1131D">
              <w:rPr>
                <w:rFonts w:cs="Arial"/>
                <w:i/>
                <w:sz w:val="16"/>
                <w:szCs w:val="16"/>
              </w:rPr>
              <w:t>:</w:t>
            </w:r>
            <w:r w:rsidRPr="00A1131D">
              <w:rPr>
                <w:rFonts w:cs="Arial"/>
                <w:sz w:val="16"/>
                <w:szCs w:val="16"/>
              </w:rPr>
              <w:t xml:space="preserve">  </w:t>
            </w:r>
            <w:r w:rsidRPr="00EF03E1">
              <w:rPr>
                <w:rFonts w:cs="Arial"/>
                <w:sz w:val="16"/>
                <w:szCs w:val="16"/>
              </w:rPr>
              <w:t>67 Members; 16 from Developing Countries</w:t>
            </w:r>
          </w:p>
        </w:tc>
        <w:tc>
          <w:tcPr>
            <w:tcW w:w="629" w:type="pct"/>
            <w:gridSpan w:val="2"/>
            <w:shd w:val="clear" w:color="auto" w:fill="auto"/>
            <w:tcMar>
              <w:top w:w="110" w:type="dxa"/>
            </w:tcMar>
          </w:tcPr>
          <w:p w:rsidR="005C6F8E" w:rsidRPr="00A1131D" w:rsidRDefault="005C6F8E" w:rsidP="00FB35F2">
            <w:pPr>
              <w:rPr>
                <w:rFonts w:cs="Arial"/>
                <w:sz w:val="16"/>
                <w:szCs w:val="16"/>
              </w:rPr>
            </w:pPr>
            <w:r w:rsidRPr="003867E3">
              <w:rPr>
                <w:rFonts w:cs="Arial"/>
                <w:sz w:val="16"/>
                <w:szCs w:val="16"/>
              </w:rPr>
              <w:t>15 (of which at least 5 from developing countries/LDCs)</w:t>
            </w:r>
          </w:p>
        </w:tc>
        <w:tc>
          <w:tcPr>
            <w:tcW w:w="1344" w:type="pct"/>
            <w:gridSpan w:val="2"/>
            <w:shd w:val="clear" w:color="auto" w:fill="FFFFFF"/>
            <w:tcMar>
              <w:top w:w="110" w:type="dxa"/>
            </w:tcMar>
          </w:tcPr>
          <w:p w:rsidR="005C6F8E" w:rsidRDefault="005C6F8E" w:rsidP="00FB35F2">
            <w:pPr>
              <w:rPr>
                <w:rFonts w:cs="Arial"/>
                <w:sz w:val="16"/>
                <w:szCs w:val="16"/>
                <w:lang w:bidi="th-TH"/>
              </w:rPr>
            </w:pPr>
            <w:r>
              <w:rPr>
                <w:rFonts w:cs="Arial"/>
                <w:sz w:val="16"/>
                <w:szCs w:val="16"/>
                <w:lang w:bidi="th-TH"/>
              </w:rPr>
              <w:t xml:space="preserve">16 new Members (of which </w:t>
            </w:r>
            <w:r w:rsidRPr="003867E3">
              <w:rPr>
                <w:rFonts w:cs="Arial"/>
                <w:sz w:val="16"/>
                <w:szCs w:val="16"/>
                <w:lang w:bidi="th-TH"/>
              </w:rPr>
              <w:t>6</w:t>
            </w:r>
            <w:r>
              <w:rPr>
                <w:rFonts w:cs="Arial"/>
                <w:sz w:val="16"/>
                <w:szCs w:val="16"/>
                <w:lang w:bidi="th-TH"/>
              </w:rPr>
              <w:t> from  developing countries/LDCs)</w:t>
            </w:r>
          </w:p>
          <w:p w:rsidR="005C6F8E" w:rsidRDefault="005C6F8E" w:rsidP="00FB35F2">
            <w:pPr>
              <w:rPr>
                <w:rFonts w:cs="Arial"/>
                <w:sz w:val="16"/>
                <w:szCs w:val="16"/>
                <w:lang w:bidi="th-TH"/>
              </w:rPr>
            </w:pPr>
            <w:r>
              <w:rPr>
                <w:rFonts w:cs="Arial"/>
                <w:sz w:val="16"/>
                <w:szCs w:val="16"/>
                <w:lang w:bidi="th-TH"/>
              </w:rPr>
              <w:t>96</w:t>
            </w:r>
            <w:r w:rsidRPr="003867E3">
              <w:rPr>
                <w:rFonts w:cs="Arial"/>
                <w:sz w:val="16"/>
                <w:szCs w:val="16"/>
                <w:lang w:bidi="th-TH"/>
              </w:rPr>
              <w:t xml:space="preserve"> total Members</w:t>
            </w:r>
            <w:r>
              <w:rPr>
                <w:rFonts w:cs="Arial"/>
                <w:sz w:val="16"/>
                <w:szCs w:val="16"/>
                <w:lang w:bidi="th-TH"/>
              </w:rPr>
              <w:t xml:space="preserve"> (27 of which from developing countries)</w:t>
            </w:r>
          </w:p>
          <w:p w:rsidR="005C6F8E" w:rsidRDefault="005C6F8E" w:rsidP="00FB35F2">
            <w:pPr>
              <w:rPr>
                <w:rFonts w:cs="Arial"/>
                <w:sz w:val="16"/>
                <w:szCs w:val="16"/>
                <w:lang w:bidi="th-TH"/>
              </w:rPr>
            </w:pPr>
          </w:p>
          <w:p w:rsidR="005C6F8E" w:rsidRDefault="005C6F8E" w:rsidP="00FB35F2">
            <w:pPr>
              <w:rPr>
                <w:rFonts w:cs="Arial"/>
                <w:sz w:val="16"/>
                <w:szCs w:val="16"/>
                <w:lang w:bidi="th-TH"/>
              </w:rPr>
            </w:pPr>
          </w:p>
          <w:p w:rsidR="005C6F8E" w:rsidRDefault="005C6F8E" w:rsidP="00FB35F2">
            <w:pPr>
              <w:rPr>
                <w:rFonts w:cs="Arial"/>
                <w:sz w:val="16"/>
                <w:szCs w:val="16"/>
                <w:lang w:bidi="th-TH"/>
              </w:rPr>
            </w:pPr>
          </w:p>
          <w:p w:rsidR="005C6F8E" w:rsidRDefault="005C6F8E" w:rsidP="00FB35F2">
            <w:pPr>
              <w:rPr>
                <w:rFonts w:cs="Arial"/>
                <w:sz w:val="16"/>
                <w:szCs w:val="16"/>
                <w:lang w:bidi="th-TH"/>
              </w:rPr>
            </w:pPr>
          </w:p>
          <w:p w:rsidR="005C6F8E" w:rsidRPr="00A1131D" w:rsidRDefault="005C6F8E" w:rsidP="00FB35F2">
            <w:pPr>
              <w:rPr>
                <w:rFonts w:cs="Arial"/>
                <w:sz w:val="16"/>
                <w:szCs w:val="16"/>
              </w:rPr>
            </w:pPr>
          </w:p>
        </w:tc>
        <w:tc>
          <w:tcPr>
            <w:tcW w:w="519" w:type="pct"/>
            <w:shd w:val="clear" w:color="auto" w:fill="auto"/>
            <w:tcMar>
              <w:top w:w="110" w:type="dxa"/>
            </w:tcMar>
          </w:tcPr>
          <w:p w:rsidR="005C6F8E" w:rsidRPr="00845557" w:rsidRDefault="005C6F8E" w:rsidP="00FB35F2">
            <w:pPr>
              <w:jc w:val="center"/>
              <w:rPr>
                <w:b/>
                <w:color w:val="00B050"/>
                <w:sz w:val="16"/>
              </w:rPr>
            </w:pPr>
            <w:r w:rsidRPr="00845557">
              <w:rPr>
                <w:b/>
                <w:color w:val="00B050"/>
                <w:sz w:val="16"/>
              </w:rPr>
              <w:t>On track</w:t>
            </w:r>
          </w:p>
        </w:tc>
      </w:tr>
      <w:tr w:rsidR="00FB35F2" w:rsidRPr="00A1131D" w:rsidTr="00565E68">
        <w:trPr>
          <w:cantSplit/>
        </w:trPr>
        <w:tc>
          <w:tcPr>
            <w:tcW w:w="1194" w:type="pct"/>
            <w:gridSpan w:val="2"/>
            <w:tcBorders>
              <w:bottom w:val="nil"/>
            </w:tcBorders>
            <w:shd w:val="clear" w:color="auto" w:fill="auto"/>
            <w:vAlign w:val="center"/>
          </w:tcPr>
          <w:p w:rsidR="00FB35F2" w:rsidRPr="00A1131D" w:rsidRDefault="00FB35F2" w:rsidP="00FB35F2">
            <w:pPr>
              <w:keepNext/>
              <w:keepLines/>
              <w:rPr>
                <w:rFonts w:cs="Arial"/>
                <w:sz w:val="16"/>
                <w:szCs w:val="16"/>
              </w:rPr>
            </w:pPr>
            <w:r w:rsidRPr="00A1131D">
              <w:rPr>
                <w:rFonts w:cs="Arial"/>
                <w:b/>
                <w:bCs/>
                <w:sz w:val="16"/>
                <w:szCs w:val="16"/>
              </w:rPr>
              <w:lastRenderedPageBreak/>
              <w:t>Performance Indicators</w:t>
            </w:r>
          </w:p>
        </w:tc>
        <w:tc>
          <w:tcPr>
            <w:tcW w:w="1314" w:type="pct"/>
            <w:gridSpan w:val="2"/>
            <w:tcBorders>
              <w:bottom w:val="nil"/>
            </w:tcBorders>
            <w:shd w:val="clear" w:color="auto" w:fill="auto"/>
            <w:vAlign w:val="center"/>
          </w:tcPr>
          <w:p w:rsidR="00FB35F2" w:rsidRPr="00A1131D" w:rsidRDefault="00FB35F2" w:rsidP="00FB35F2">
            <w:pPr>
              <w:keepNext/>
              <w:keepLines/>
              <w:rPr>
                <w:rFonts w:cs="Arial"/>
                <w:b/>
                <w:bCs/>
                <w:sz w:val="16"/>
                <w:szCs w:val="16"/>
              </w:rPr>
            </w:pPr>
            <w:r w:rsidRPr="00A1131D">
              <w:rPr>
                <w:rFonts w:cs="Arial"/>
                <w:b/>
                <w:bCs/>
                <w:sz w:val="16"/>
                <w:szCs w:val="16"/>
              </w:rPr>
              <w:t>Baselines</w:t>
            </w:r>
          </w:p>
        </w:tc>
        <w:tc>
          <w:tcPr>
            <w:tcW w:w="629" w:type="pct"/>
            <w:gridSpan w:val="2"/>
            <w:tcBorders>
              <w:bottom w:val="nil"/>
            </w:tcBorders>
            <w:shd w:val="clear" w:color="auto" w:fill="auto"/>
            <w:tcMar>
              <w:top w:w="110" w:type="dxa"/>
            </w:tcMar>
            <w:vAlign w:val="center"/>
          </w:tcPr>
          <w:p w:rsidR="00FB35F2" w:rsidRPr="00A1131D" w:rsidRDefault="00FB35F2" w:rsidP="00FB35F2">
            <w:pPr>
              <w:keepNext/>
              <w:keepLines/>
              <w:rPr>
                <w:rFonts w:cs="Arial"/>
                <w:b/>
                <w:sz w:val="16"/>
                <w:szCs w:val="16"/>
              </w:rPr>
            </w:pPr>
            <w:r w:rsidRPr="00A1131D">
              <w:rPr>
                <w:rFonts w:cs="Arial"/>
                <w:b/>
                <w:sz w:val="16"/>
                <w:szCs w:val="16"/>
              </w:rPr>
              <w:t>Targets</w:t>
            </w:r>
          </w:p>
        </w:tc>
        <w:tc>
          <w:tcPr>
            <w:tcW w:w="1344" w:type="pct"/>
            <w:gridSpan w:val="2"/>
            <w:tcBorders>
              <w:bottom w:val="nil"/>
            </w:tcBorders>
            <w:shd w:val="clear" w:color="auto" w:fill="FFFFFF"/>
            <w:tcMar>
              <w:top w:w="110" w:type="dxa"/>
            </w:tcMar>
            <w:vAlign w:val="center"/>
          </w:tcPr>
          <w:p w:rsidR="00FB35F2" w:rsidRPr="00A1131D" w:rsidRDefault="00FB35F2" w:rsidP="00FB35F2">
            <w:pPr>
              <w:keepNext/>
              <w:keepLines/>
              <w:rPr>
                <w:rFonts w:cs="Arial"/>
                <w:sz w:val="16"/>
                <w:szCs w:val="16"/>
              </w:rPr>
            </w:pPr>
            <w:r w:rsidRPr="00A1131D">
              <w:rPr>
                <w:rFonts w:cs="Arial"/>
                <w:b/>
                <w:bCs/>
                <w:sz w:val="16"/>
                <w:szCs w:val="16"/>
              </w:rPr>
              <w:t>Performance Data</w:t>
            </w:r>
          </w:p>
        </w:tc>
        <w:tc>
          <w:tcPr>
            <w:tcW w:w="519" w:type="pct"/>
            <w:tcBorders>
              <w:bottom w:val="nil"/>
            </w:tcBorders>
            <w:shd w:val="clear" w:color="auto" w:fill="auto"/>
            <w:tcMar>
              <w:top w:w="110" w:type="dxa"/>
            </w:tcMar>
            <w:vAlign w:val="center"/>
          </w:tcPr>
          <w:p w:rsidR="00FB35F2" w:rsidRPr="00A1131D" w:rsidRDefault="00FB35F2" w:rsidP="00FB35F2">
            <w:pPr>
              <w:keepNext/>
              <w:keepLines/>
              <w:jc w:val="center"/>
              <w:rPr>
                <w:rFonts w:cs="Arial"/>
                <w:b/>
                <w:bCs/>
                <w:sz w:val="16"/>
                <w:szCs w:val="16"/>
              </w:rPr>
            </w:pPr>
            <w:r w:rsidRPr="00A1131D">
              <w:rPr>
                <w:rFonts w:cs="Arial"/>
                <w:b/>
                <w:bCs/>
                <w:sz w:val="16"/>
                <w:szCs w:val="16"/>
              </w:rPr>
              <w:t>TLS</w:t>
            </w:r>
          </w:p>
        </w:tc>
      </w:tr>
      <w:tr w:rsidR="00FB35F2" w:rsidRPr="00A1131D" w:rsidTr="00565E68">
        <w:trPr>
          <w:cantSplit/>
        </w:trPr>
        <w:tc>
          <w:tcPr>
            <w:tcW w:w="1194" w:type="pct"/>
            <w:gridSpan w:val="2"/>
            <w:tcBorders>
              <w:bottom w:val="nil"/>
            </w:tcBorders>
            <w:shd w:val="clear" w:color="auto" w:fill="auto"/>
          </w:tcPr>
          <w:p w:rsidR="00FB35F2" w:rsidRPr="00A1131D" w:rsidRDefault="00FB35F2" w:rsidP="00FB35F2">
            <w:pPr>
              <w:keepNext/>
              <w:keepLines/>
              <w:rPr>
                <w:rFonts w:cs="Arial"/>
                <w:sz w:val="16"/>
                <w:szCs w:val="16"/>
              </w:rPr>
            </w:pPr>
            <w:r>
              <w:rPr>
                <w:rFonts w:cs="Arial"/>
                <w:sz w:val="16"/>
                <w:szCs w:val="16"/>
              </w:rPr>
              <w:t>Increased</w:t>
            </w:r>
            <w:r w:rsidRPr="003867E3">
              <w:rPr>
                <w:rFonts w:cs="Arial"/>
                <w:sz w:val="16"/>
                <w:szCs w:val="16"/>
              </w:rPr>
              <w:t xml:space="preserve"> contributions to WIPO </w:t>
            </w:r>
            <w:proofErr w:type="spellStart"/>
            <w:r w:rsidRPr="003867E3">
              <w:rPr>
                <w:rFonts w:cs="Arial"/>
                <w:sz w:val="16"/>
                <w:szCs w:val="16"/>
              </w:rPr>
              <w:t>Re:Search</w:t>
            </w:r>
            <w:proofErr w:type="spellEnd"/>
            <w:r w:rsidRPr="003867E3">
              <w:rPr>
                <w:rFonts w:cs="Arial"/>
                <w:sz w:val="16"/>
                <w:szCs w:val="16"/>
              </w:rPr>
              <w:t xml:space="preserve"> database</w:t>
            </w:r>
          </w:p>
        </w:tc>
        <w:tc>
          <w:tcPr>
            <w:tcW w:w="1314" w:type="pct"/>
            <w:gridSpan w:val="2"/>
            <w:tcBorders>
              <w:bottom w:val="nil"/>
            </w:tcBorders>
            <w:shd w:val="clear" w:color="auto" w:fill="auto"/>
          </w:tcPr>
          <w:p w:rsidR="00FB35F2" w:rsidRPr="00EF03E1" w:rsidRDefault="00FB35F2" w:rsidP="00FB35F2">
            <w:pPr>
              <w:keepNext/>
              <w:keepLines/>
              <w:rPr>
                <w:rFonts w:cs="Arial"/>
                <w:color w:val="002060"/>
                <w:sz w:val="16"/>
                <w:szCs w:val="16"/>
              </w:rPr>
            </w:pPr>
            <w:r w:rsidRPr="00962B36">
              <w:rPr>
                <w:rFonts w:cs="Arial"/>
                <w:i/>
                <w:color w:val="002060"/>
                <w:sz w:val="16"/>
                <w:szCs w:val="16"/>
              </w:rPr>
              <w:t xml:space="preserve">Updated Baseline end 2013: </w:t>
            </w:r>
            <w:r w:rsidRPr="00EF03E1">
              <w:rPr>
                <w:rFonts w:cs="Arial"/>
                <w:color w:val="002060"/>
                <w:sz w:val="16"/>
                <w:szCs w:val="16"/>
              </w:rPr>
              <w:t xml:space="preserve">By end of 2013 WIPO </w:t>
            </w:r>
            <w:proofErr w:type="spellStart"/>
            <w:r w:rsidRPr="00EF03E1">
              <w:rPr>
                <w:rFonts w:cs="Arial"/>
                <w:color w:val="002060"/>
                <w:sz w:val="16"/>
                <w:szCs w:val="16"/>
              </w:rPr>
              <w:t>Re:Search</w:t>
            </w:r>
            <w:proofErr w:type="spellEnd"/>
            <w:r w:rsidRPr="00EF03E1">
              <w:rPr>
                <w:rFonts w:cs="Arial"/>
                <w:color w:val="002060"/>
                <w:sz w:val="16"/>
                <w:szCs w:val="16"/>
              </w:rPr>
              <w:t xml:space="preserve"> had facilitated 44 research collaborations (11 in 2012  and 33 in 2013) </w:t>
            </w:r>
          </w:p>
          <w:p w:rsidR="00FB35F2" w:rsidRPr="00A1131D" w:rsidRDefault="00FB35F2" w:rsidP="00FB35F2">
            <w:pPr>
              <w:keepNext/>
              <w:keepLines/>
              <w:rPr>
                <w:rFonts w:cs="Arial"/>
                <w:i/>
                <w:color w:val="002060"/>
                <w:sz w:val="8"/>
                <w:szCs w:val="8"/>
              </w:rPr>
            </w:pPr>
            <w:r w:rsidRPr="00A1131D">
              <w:rPr>
                <w:rFonts w:cs="Arial"/>
                <w:color w:val="993300"/>
                <w:sz w:val="16"/>
                <w:szCs w:val="16"/>
              </w:rPr>
              <w:br/>
            </w:r>
          </w:p>
          <w:p w:rsidR="00FB35F2" w:rsidRPr="003867E3" w:rsidRDefault="00FB35F2" w:rsidP="00FB35F2">
            <w:pPr>
              <w:keepNext/>
              <w:keepLines/>
              <w:rPr>
                <w:i/>
              </w:rPr>
            </w:pPr>
            <w:r w:rsidRPr="00A1131D">
              <w:rPr>
                <w:rFonts w:cs="Arial"/>
                <w:i/>
                <w:sz w:val="16"/>
                <w:szCs w:val="16"/>
              </w:rPr>
              <w:t>Original Baseline P&amp;B 201</w:t>
            </w:r>
            <w:r>
              <w:rPr>
                <w:rFonts w:cs="Arial"/>
                <w:i/>
                <w:sz w:val="16"/>
                <w:szCs w:val="16"/>
              </w:rPr>
              <w:t>4</w:t>
            </w:r>
            <w:r w:rsidRPr="00A1131D">
              <w:rPr>
                <w:rFonts w:cs="Arial"/>
                <w:i/>
                <w:sz w:val="16"/>
                <w:szCs w:val="16"/>
              </w:rPr>
              <w:t>/1</w:t>
            </w:r>
            <w:r>
              <w:rPr>
                <w:rFonts w:cs="Arial"/>
                <w:i/>
                <w:sz w:val="16"/>
                <w:szCs w:val="16"/>
              </w:rPr>
              <w:t>5</w:t>
            </w:r>
            <w:r w:rsidRPr="00A1131D">
              <w:rPr>
                <w:rFonts w:cs="Arial"/>
                <w:i/>
                <w:sz w:val="16"/>
                <w:szCs w:val="16"/>
              </w:rPr>
              <w:t>:</w:t>
            </w:r>
            <w:r w:rsidRPr="00A1131D">
              <w:rPr>
                <w:rFonts w:cs="Arial"/>
                <w:sz w:val="16"/>
                <w:szCs w:val="16"/>
              </w:rPr>
              <w:t xml:space="preserve">  </w:t>
            </w:r>
            <w:r w:rsidRPr="00EF03E1">
              <w:rPr>
                <w:rFonts w:cs="Arial"/>
                <w:sz w:val="16"/>
                <w:szCs w:val="16"/>
              </w:rPr>
              <w:t>200</w:t>
            </w:r>
          </w:p>
          <w:p w:rsidR="00FB35F2" w:rsidRPr="00A1131D" w:rsidRDefault="00FB35F2" w:rsidP="00FB35F2">
            <w:pPr>
              <w:keepNext/>
              <w:keepLines/>
              <w:rPr>
                <w:rFonts w:cs="Arial"/>
                <w:sz w:val="16"/>
                <w:szCs w:val="16"/>
              </w:rPr>
            </w:pPr>
          </w:p>
        </w:tc>
        <w:tc>
          <w:tcPr>
            <w:tcW w:w="629" w:type="pct"/>
            <w:gridSpan w:val="2"/>
            <w:tcBorders>
              <w:bottom w:val="nil"/>
            </w:tcBorders>
            <w:shd w:val="clear" w:color="auto" w:fill="auto"/>
            <w:tcMar>
              <w:top w:w="110" w:type="dxa"/>
            </w:tcMar>
          </w:tcPr>
          <w:p w:rsidR="00FB35F2" w:rsidRPr="00A1131D" w:rsidRDefault="00FB35F2" w:rsidP="00FB35F2">
            <w:pPr>
              <w:keepNext/>
              <w:keepLines/>
              <w:rPr>
                <w:rFonts w:cs="Arial"/>
                <w:sz w:val="16"/>
                <w:szCs w:val="16"/>
              </w:rPr>
            </w:pPr>
            <w:r>
              <w:rPr>
                <w:rFonts w:cs="Arial"/>
                <w:sz w:val="16"/>
                <w:szCs w:val="16"/>
              </w:rPr>
              <w:t>50%</w:t>
            </w:r>
          </w:p>
        </w:tc>
        <w:tc>
          <w:tcPr>
            <w:tcW w:w="1344" w:type="pct"/>
            <w:gridSpan w:val="2"/>
            <w:tcBorders>
              <w:bottom w:val="nil"/>
            </w:tcBorders>
            <w:shd w:val="clear" w:color="auto" w:fill="FFFFFF"/>
            <w:tcMar>
              <w:top w:w="110" w:type="dxa"/>
            </w:tcMar>
          </w:tcPr>
          <w:p w:rsidR="00FB35F2" w:rsidRDefault="00FB35F2" w:rsidP="00FB35F2">
            <w:pPr>
              <w:keepNext/>
              <w:keepLines/>
              <w:rPr>
                <w:rFonts w:cs="Arial"/>
                <w:sz w:val="16"/>
                <w:szCs w:val="16"/>
                <w:lang w:bidi="th-TH"/>
              </w:rPr>
            </w:pPr>
            <w:r>
              <w:rPr>
                <w:rFonts w:cs="Arial"/>
                <w:sz w:val="16"/>
                <w:szCs w:val="16"/>
                <w:lang w:bidi="th-TH"/>
              </w:rPr>
              <w:t>180 database records</w:t>
            </w:r>
          </w:p>
          <w:p w:rsidR="00FB35F2" w:rsidRDefault="00FB35F2" w:rsidP="00FB35F2">
            <w:pPr>
              <w:keepNext/>
              <w:keepLines/>
              <w:rPr>
                <w:rFonts w:cs="Arial"/>
                <w:sz w:val="16"/>
                <w:szCs w:val="16"/>
                <w:lang w:bidi="th-TH"/>
              </w:rPr>
            </w:pPr>
          </w:p>
          <w:p w:rsidR="00FB35F2" w:rsidRDefault="00FB35F2" w:rsidP="00FB35F2">
            <w:pPr>
              <w:keepNext/>
              <w:keepLines/>
              <w:rPr>
                <w:rFonts w:cs="Arial"/>
                <w:sz w:val="16"/>
                <w:szCs w:val="16"/>
                <w:lang w:bidi="th-TH"/>
              </w:rPr>
            </w:pPr>
            <w:r>
              <w:rPr>
                <w:rFonts w:cs="Arial"/>
                <w:sz w:val="16"/>
                <w:szCs w:val="16"/>
                <w:lang w:bidi="th-TH"/>
              </w:rPr>
              <w:t>The decrease in the number of records in 2014 was due to the withdrawal of two members.</w:t>
            </w:r>
          </w:p>
          <w:p w:rsidR="00FB35F2" w:rsidRDefault="00FB35F2" w:rsidP="00FB35F2">
            <w:pPr>
              <w:keepNext/>
              <w:keepLines/>
              <w:rPr>
                <w:rFonts w:cs="Arial"/>
                <w:sz w:val="16"/>
                <w:szCs w:val="16"/>
                <w:lang w:bidi="th-TH"/>
              </w:rPr>
            </w:pPr>
          </w:p>
          <w:p w:rsidR="00FB35F2" w:rsidRPr="00A1131D" w:rsidRDefault="00FB35F2" w:rsidP="00FB35F2">
            <w:pPr>
              <w:keepNext/>
              <w:keepLines/>
              <w:rPr>
                <w:rFonts w:cs="Arial"/>
                <w:sz w:val="16"/>
                <w:szCs w:val="16"/>
              </w:rPr>
            </w:pPr>
          </w:p>
        </w:tc>
        <w:tc>
          <w:tcPr>
            <w:tcW w:w="519" w:type="pct"/>
            <w:tcBorders>
              <w:bottom w:val="nil"/>
            </w:tcBorders>
            <w:shd w:val="clear" w:color="auto" w:fill="auto"/>
            <w:tcMar>
              <w:top w:w="110" w:type="dxa"/>
            </w:tcMar>
          </w:tcPr>
          <w:p w:rsidR="00FB35F2" w:rsidRPr="00A1131D" w:rsidRDefault="00FB35F2" w:rsidP="00FB35F2">
            <w:pPr>
              <w:keepNext/>
              <w:keepLines/>
              <w:jc w:val="center"/>
              <w:rPr>
                <w:rFonts w:cs="Arial"/>
                <w:b/>
                <w:bCs/>
                <w:color w:val="808080"/>
                <w:sz w:val="16"/>
                <w:szCs w:val="16"/>
              </w:rPr>
            </w:pPr>
            <w:r w:rsidRPr="00046770">
              <w:rPr>
                <w:rFonts w:cs="Arial"/>
                <w:b/>
                <w:bCs/>
                <w:color w:val="FF0000"/>
                <w:sz w:val="16"/>
                <w:szCs w:val="16"/>
              </w:rPr>
              <w:t xml:space="preserve">Not </w:t>
            </w:r>
            <w:r>
              <w:rPr>
                <w:rFonts w:cs="Arial"/>
                <w:b/>
                <w:bCs/>
                <w:color w:val="FF0000"/>
                <w:sz w:val="16"/>
                <w:szCs w:val="16"/>
              </w:rPr>
              <w:br/>
            </w:r>
            <w:r w:rsidRPr="00046770">
              <w:rPr>
                <w:rFonts w:cs="Arial"/>
                <w:b/>
                <w:bCs/>
                <w:color w:val="FF0000"/>
                <w:sz w:val="16"/>
                <w:szCs w:val="16"/>
              </w:rPr>
              <w:t>on track</w:t>
            </w:r>
          </w:p>
        </w:tc>
      </w:tr>
      <w:tr w:rsidR="00FB35F2" w:rsidRPr="00A1131D" w:rsidTr="00565E68">
        <w:trPr>
          <w:cantSplit/>
        </w:trPr>
        <w:tc>
          <w:tcPr>
            <w:tcW w:w="1194" w:type="pct"/>
            <w:gridSpan w:val="2"/>
            <w:tcBorders>
              <w:top w:val="nil"/>
              <w:bottom w:val="nil"/>
            </w:tcBorders>
            <w:shd w:val="clear" w:color="auto" w:fill="auto"/>
          </w:tcPr>
          <w:p w:rsidR="00FB35F2" w:rsidRPr="003867E3" w:rsidRDefault="00FB35F2" w:rsidP="00271CFB">
            <w:pPr>
              <w:rPr>
                <w:rFonts w:cs="Arial"/>
                <w:sz w:val="16"/>
                <w:szCs w:val="16"/>
              </w:rPr>
            </w:pPr>
            <w:r w:rsidRPr="0015324A">
              <w:rPr>
                <w:rFonts w:cs="Arial"/>
                <w:sz w:val="16"/>
                <w:szCs w:val="16"/>
              </w:rPr>
              <w:t xml:space="preserve">Increased no. of agreements under WIPO </w:t>
            </w:r>
            <w:proofErr w:type="spellStart"/>
            <w:r w:rsidRPr="0015324A">
              <w:rPr>
                <w:rFonts w:cs="Arial"/>
                <w:sz w:val="16"/>
                <w:szCs w:val="16"/>
              </w:rPr>
              <w:t>Re:Search</w:t>
            </w:r>
            <w:proofErr w:type="spellEnd"/>
            <w:r w:rsidRPr="0015324A">
              <w:rPr>
                <w:rFonts w:cs="Arial"/>
                <w:sz w:val="16"/>
                <w:szCs w:val="16"/>
              </w:rPr>
              <w:t xml:space="preserve"> which lead to new or accelerated R&amp;D in NTDs, Malaria and TB</w:t>
            </w:r>
          </w:p>
        </w:tc>
        <w:tc>
          <w:tcPr>
            <w:tcW w:w="1314" w:type="pct"/>
            <w:gridSpan w:val="2"/>
            <w:tcBorders>
              <w:top w:val="nil"/>
              <w:bottom w:val="nil"/>
            </w:tcBorders>
            <w:shd w:val="clear" w:color="auto" w:fill="auto"/>
          </w:tcPr>
          <w:p w:rsidR="00FB35F2" w:rsidRPr="00A1131D" w:rsidRDefault="00FB35F2" w:rsidP="00271CFB">
            <w:pPr>
              <w:rPr>
                <w:rFonts w:cs="Arial"/>
                <w:i/>
                <w:color w:val="002060"/>
                <w:sz w:val="16"/>
                <w:szCs w:val="16"/>
              </w:rPr>
            </w:pPr>
            <w:r w:rsidRPr="00A1131D">
              <w:rPr>
                <w:rFonts w:cs="Arial"/>
                <w:i/>
                <w:color w:val="002060"/>
                <w:sz w:val="16"/>
                <w:szCs w:val="16"/>
              </w:rPr>
              <w:t>Updated Baseline end 201</w:t>
            </w:r>
            <w:r>
              <w:rPr>
                <w:rFonts w:cs="Arial"/>
                <w:i/>
                <w:color w:val="002060"/>
                <w:sz w:val="16"/>
                <w:szCs w:val="16"/>
              </w:rPr>
              <w:t>3</w:t>
            </w:r>
            <w:r w:rsidRPr="00A1131D">
              <w:rPr>
                <w:rFonts w:cs="Arial"/>
                <w:i/>
                <w:color w:val="002060"/>
                <w:sz w:val="16"/>
                <w:szCs w:val="16"/>
              </w:rPr>
              <w:t xml:space="preserve">: </w:t>
            </w:r>
            <w:r w:rsidRPr="00EF03E1">
              <w:rPr>
                <w:rFonts w:cs="Arial"/>
                <w:color w:val="002060"/>
                <w:sz w:val="16"/>
                <w:szCs w:val="16"/>
              </w:rPr>
              <w:t>44</w:t>
            </w:r>
          </w:p>
          <w:p w:rsidR="00FB35F2" w:rsidRPr="00A1131D" w:rsidRDefault="00FB35F2" w:rsidP="00271CFB">
            <w:pPr>
              <w:rPr>
                <w:rFonts w:cs="Arial"/>
                <w:i/>
                <w:color w:val="002060"/>
                <w:sz w:val="8"/>
                <w:szCs w:val="8"/>
              </w:rPr>
            </w:pPr>
            <w:r w:rsidRPr="00A1131D">
              <w:rPr>
                <w:rFonts w:cs="Arial"/>
                <w:color w:val="993300"/>
                <w:sz w:val="16"/>
                <w:szCs w:val="16"/>
              </w:rPr>
              <w:br/>
            </w:r>
          </w:p>
          <w:p w:rsidR="00FB35F2" w:rsidRPr="002C289B" w:rsidRDefault="00FB35F2" w:rsidP="00271CFB">
            <w:pPr>
              <w:rPr>
                <w:rFonts w:asciiTheme="minorHAnsi" w:eastAsiaTheme="minorHAnsi" w:hAnsiTheme="minorHAnsi" w:cstheme="minorBidi"/>
                <w:i/>
                <w:sz w:val="22"/>
                <w:szCs w:val="22"/>
              </w:rPr>
            </w:pPr>
            <w:r w:rsidRPr="00A1131D">
              <w:rPr>
                <w:rFonts w:cs="Arial"/>
                <w:i/>
                <w:sz w:val="16"/>
                <w:szCs w:val="16"/>
              </w:rPr>
              <w:t>Original Baseline P&amp;B 201</w:t>
            </w:r>
            <w:r>
              <w:rPr>
                <w:rFonts w:cs="Arial"/>
                <w:i/>
                <w:sz w:val="16"/>
                <w:szCs w:val="16"/>
              </w:rPr>
              <w:t>4</w:t>
            </w:r>
            <w:r w:rsidRPr="00A1131D">
              <w:rPr>
                <w:rFonts w:cs="Arial"/>
                <w:i/>
                <w:sz w:val="16"/>
                <w:szCs w:val="16"/>
              </w:rPr>
              <w:t>/1</w:t>
            </w:r>
            <w:r>
              <w:rPr>
                <w:rFonts w:cs="Arial"/>
                <w:i/>
                <w:sz w:val="16"/>
                <w:szCs w:val="16"/>
              </w:rPr>
              <w:t>5</w:t>
            </w:r>
            <w:r w:rsidRPr="00A1131D">
              <w:rPr>
                <w:rFonts w:cs="Arial"/>
                <w:i/>
                <w:sz w:val="16"/>
                <w:szCs w:val="16"/>
              </w:rPr>
              <w:t>:</w:t>
            </w:r>
            <w:r w:rsidRPr="00A1131D">
              <w:rPr>
                <w:rFonts w:cs="Arial"/>
                <w:sz w:val="16"/>
                <w:szCs w:val="16"/>
              </w:rPr>
              <w:t xml:space="preserve">  </w:t>
            </w:r>
            <w:r w:rsidRPr="00EF03E1">
              <w:rPr>
                <w:rFonts w:cs="Arial"/>
                <w:sz w:val="16"/>
                <w:szCs w:val="16"/>
              </w:rPr>
              <w:t>16</w:t>
            </w:r>
          </w:p>
        </w:tc>
        <w:tc>
          <w:tcPr>
            <w:tcW w:w="629" w:type="pct"/>
            <w:gridSpan w:val="2"/>
            <w:tcBorders>
              <w:top w:val="nil"/>
              <w:bottom w:val="nil"/>
            </w:tcBorders>
            <w:shd w:val="clear" w:color="auto" w:fill="auto"/>
            <w:tcMar>
              <w:top w:w="110" w:type="dxa"/>
            </w:tcMar>
          </w:tcPr>
          <w:p w:rsidR="00FB35F2" w:rsidRDefault="00FB35F2" w:rsidP="00271CFB">
            <w:pPr>
              <w:rPr>
                <w:rFonts w:cs="Arial"/>
                <w:sz w:val="16"/>
                <w:szCs w:val="16"/>
              </w:rPr>
            </w:pPr>
            <w:r>
              <w:rPr>
                <w:rFonts w:cs="Arial"/>
                <w:sz w:val="16"/>
                <w:szCs w:val="16"/>
              </w:rPr>
              <w:t>20</w:t>
            </w:r>
          </w:p>
        </w:tc>
        <w:tc>
          <w:tcPr>
            <w:tcW w:w="1344" w:type="pct"/>
            <w:gridSpan w:val="2"/>
            <w:tcBorders>
              <w:top w:val="nil"/>
              <w:bottom w:val="nil"/>
            </w:tcBorders>
            <w:shd w:val="clear" w:color="auto" w:fill="FFFFFF"/>
            <w:tcMar>
              <w:top w:w="110" w:type="dxa"/>
            </w:tcMar>
          </w:tcPr>
          <w:p w:rsidR="00FB35F2" w:rsidRDefault="00FB35F2" w:rsidP="00271CFB">
            <w:pPr>
              <w:rPr>
                <w:rFonts w:cs="Arial"/>
                <w:sz w:val="16"/>
                <w:szCs w:val="16"/>
                <w:lang w:bidi="th-TH"/>
              </w:rPr>
            </w:pPr>
            <w:r>
              <w:rPr>
                <w:rFonts w:cs="Arial"/>
                <w:sz w:val="16"/>
                <w:szCs w:val="16"/>
                <w:lang w:bidi="th-TH"/>
              </w:rPr>
              <w:t>38 new a</w:t>
            </w:r>
            <w:r w:rsidRPr="0015324A">
              <w:rPr>
                <w:rFonts w:cs="Arial"/>
                <w:sz w:val="16"/>
                <w:szCs w:val="16"/>
                <w:lang w:bidi="th-TH"/>
              </w:rPr>
              <w:t>greements in 2014</w:t>
            </w:r>
            <w:r>
              <w:rPr>
                <w:rFonts w:cs="Arial"/>
                <w:sz w:val="16"/>
                <w:szCs w:val="16"/>
                <w:lang w:bidi="th-TH"/>
              </w:rPr>
              <w:t xml:space="preserve"> (</w:t>
            </w:r>
            <w:r w:rsidRPr="0015324A">
              <w:rPr>
                <w:rFonts w:cs="Arial"/>
                <w:sz w:val="16"/>
                <w:szCs w:val="16"/>
                <w:lang w:bidi="th-TH"/>
              </w:rPr>
              <w:t xml:space="preserve">82 </w:t>
            </w:r>
            <w:r>
              <w:rPr>
                <w:rFonts w:cs="Arial"/>
                <w:sz w:val="16"/>
                <w:szCs w:val="16"/>
                <w:lang w:bidi="th-TH"/>
              </w:rPr>
              <w:t xml:space="preserve">in </w:t>
            </w:r>
            <w:r w:rsidRPr="0015324A">
              <w:rPr>
                <w:rFonts w:cs="Arial"/>
                <w:sz w:val="16"/>
                <w:szCs w:val="16"/>
                <w:lang w:bidi="th-TH"/>
              </w:rPr>
              <w:t>total</w:t>
            </w:r>
            <w:r>
              <w:rPr>
                <w:rFonts w:cs="Arial"/>
                <w:sz w:val="16"/>
                <w:szCs w:val="16"/>
                <w:lang w:bidi="th-TH"/>
              </w:rPr>
              <w:t>)</w:t>
            </w:r>
          </w:p>
        </w:tc>
        <w:tc>
          <w:tcPr>
            <w:tcW w:w="519" w:type="pct"/>
            <w:tcBorders>
              <w:top w:val="nil"/>
              <w:bottom w:val="nil"/>
            </w:tcBorders>
            <w:shd w:val="clear" w:color="auto" w:fill="auto"/>
            <w:tcMar>
              <w:top w:w="110" w:type="dxa"/>
            </w:tcMar>
          </w:tcPr>
          <w:p w:rsidR="00FB35F2" w:rsidRPr="00845557" w:rsidRDefault="00FB35F2" w:rsidP="00271CFB">
            <w:pPr>
              <w:keepNext/>
              <w:keepLines/>
              <w:jc w:val="center"/>
              <w:rPr>
                <w:b/>
                <w:color w:val="00B050"/>
                <w:sz w:val="16"/>
              </w:rPr>
            </w:pPr>
            <w:r w:rsidRPr="00845557">
              <w:rPr>
                <w:b/>
                <w:color w:val="00B050"/>
                <w:sz w:val="16"/>
              </w:rPr>
              <w:t>On track</w:t>
            </w:r>
          </w:p>
        </w:tc>
      </w:tr>
      <w:tr w:rsidR="00FB35F2" w:rsidRPr="00A1131D" w:rsidTr="00565E68">
        <w:trPr>
          <w:cantSplit/>
          <w:trHeight w:val="421"/>
        </w:trPr>
        <w:tc>
          <w:tcPr>
            <w:tcW w:w="1194" w:type="pct"/>
            <w:gridSpan w:val="2"/>
            <w:tcBorders>
              <w:top w:val="nil"/>
              <w:bottom w:val="nil"/>
            </w:tcBorders>
            <w:shd w:val="clear" w:color="auto" w:fill="auto"/>
          </w:tcPr>
          <w:p w:rsidR="00FB35F2" w:rsidRPr="003867E3" w:rsidRDefault="00FB35F2" w:rsidP="00271CFB">
            <w:pPr>
              <w:rPr>
                <w:rFonts w:cs="Arial"/>
                <w:sz w:val="16"/>
                <w:szCs w:val="16"/>
              </w:rPr>
            </w:pPr>
            <w:r w:rsidRPr="0015324A">
              <w:rPr>
                <w:rFonts w:cs="Arial"/>
                <w:sz w:val="16"/>
                <w:szCs w:val="16"/>
              </w:rPr>
              <w:t>No. of WIPO GREEN Members</w:t>
            </w:r>
          </w:p>
        </w:tc>
        <w:tc>
          <w:tcPr>
            <w:tcW w:w="1314" w:type="pct"/>
            <w:gridSpan w:val="2"/>
            <w:tcBorders>
              <w:top w:val="nil"/>
              <w:bottom w:val="nil"/>
            </w:tcBorders>
            <w:shd w:val="clear" w:color="auto" w:fill="auto"/>
          </w:tcPr>
          <w:p w:rsidR="00FB35F2" w:rsidRPr="00EF03E1" w:rsidRDefault="00FB35F2" w:rsidP="00271CFB">
            <w:pPr>
              <w:rPr>
                <w:rFonts w:cs="Arial"/>
                <w:color w:val="002060"/>
                <w:sz w:val="16"/>
                <w:szCs w:val="16"/>
              </w:rPr>
            </w:pPr>
            <w:r w:rsidRPr="00A1131D">
              <w:rPr>
                <w:rFonts w:cs="Arial"/>
                <w:i/>
                <w:color w:val="002060"/>
                <w:sz w:val="16"/>
                <w:szCs w:val="16"/>
              </w:rPr>
              <w:t>Updated Baseline end 201</w:t>
            </w:r>
            <w:r>
              <w:rPr>
                <w:rFonts w:cs="Arial"/>
                <w:i/>
                <w:color w:val="002060"/>
                <w:sz w:val="16"/>
                <w:szCs w:val="16"/>
              </w:rPr>
              <w:t>3</w:t>
            </w:r>
            <w:r w:rsidRPr="00A1131D">
              <w:rPr>
                <w:rFonts w:cs="Arial"/>
                <w:i/>
                <w:color w:val="002060"/>
                <w:sz w:val="16"/>
                <w:szCs w:val="16"/>
              </w:rPr>
              <w:t xml:space="preserve">: </w:t>
            </w:r>
            <w:r w:rsidRPr="00EF03E1">
              <w:rPr>
                <w:rFonts w:cs="Arial"/>
                <w:color w:val="002060"/>
                <w:sz w:val="16"/>
                <w:szCs w:val="16"/>
              </w:rPr>
              <w:t>36 Partners, 160 users, 830 uploads</w:t>
            </w:r>
            <w:r w:rsidRPr="00EF03E1">
              <w:rPr>
                <w:rStyle w:val="FootnoteReference"/>
                <w:rFonts w:cs="Arial"/>
                <w:color w:val="002060"/>
                <w:sz w:val="16"/>
                <w:szCs w:val="16"/>
              </w:rPr>
              <w:footnoteReference w:id="47"/>
            </w:r>
          </w:p>
          <w:p w:rsidR="00FB35F2" w:rsidRPr="00A1131D" w:rsidRDefault="00FB35F2" w:rsidP="00271CFB">
            <w:pPr>
              <w:rPr>
                <w:rFonts w:cs="Arial"/>
                <w:i/>
                <w:color w:val="002060"/>
                <w:sz w:val="8"/>
                <w:szCs w:val="8"/>
              </w:rPr>
            </w:pPr>
            <w:r w:rsidRPr="00A1131D">
              <w:rPr>
                <w:rFonts w:cs="Arial"/>
                <w:color w:val="993300"/>
                <w:sz w:val="16"/>
                <w:szCs w:val="16"/>
              </w:rPr>
              <w:br/>
            </w:r>
          </w:p>
          <w:p w:rsidR="00FB35F2" w:rsidRPr="00D22D36" w:rsidRDefault="00FB35F2" w:rsidP="00271CFB">
            <w:r w:rsidRPr="00A1131D">
              <w:rPr>
                <w:rFonts w:cs="Arial"/>
                <w:i/>
                <w:sz w:val="16"/>
                <w:szCs w:val="16"/>
              </w:rPr>
              <w:t>Original Baseline P&amp;B 201</w:t>
            </w:r>
            <w:r>
              <w:rPr>
                <w:rFonts w:cs="Arial"/>
                <w:i/>
                <w:sz w:val="16"/>
                <w:szCs w:val="16"/>
              </w:rPr>
              <w:t>4</w:t>
            </w:r>
            <w:r w:rsidRPr="00A1131D">
              <w:rPr>
                <w:rFonts w:cs="Arial"/>
                <w:i/>
                <w:sz w:val="16"/>
                <w:szCs w:val="16"/>
              </w:rPr>
              <w:t>/1</w:t>
            </w:r>
            <w:r>
              <w:rPr>
                <w:rFonts w:cs="Arial"/>
                <w:i/>
                <w:sz w:val="16"/>
                <w:szCs w:val="16"/>
              </w:rPr>
              <w:t>5</w:t>
            </w:r>
            <w:r w:rsidRPr="00A1131D">
              <w:rPr>
                <w:rFonts w:cs="Arial"/>
                <w:i/>
                <w:sz w:val="16"/>
                <w:szCs w:val="16"/>
              </w:rPr>
              <w:t xml:space="preserve">:  </w:t>
            </w:r>
            <w:r w:rsidRPr="00EF03E1">
              <w:rPr>
                <w:rFonts w:cs="Arial"/>
                <w:sz w:val="16"/>
                <w:szCs w:val="16"/>
              </w:rPr>
              <w:t>1 partner;  48 uploads</w:t>
            </w:r>
          </w:p>
          <w:p w:rsidR="00FB35F2" w:rsidRPr="00A1131D" w:rsidRDefault="00FB35F2" w:rsidP="00271CFB">
            <w:pPr>
              <w:rPr>
                <w:rFonts w:cs="Arial"/>
                <w:i/>
                <w:color w:val="002060"/>
                <w:sz w:val="16"/>
                <w:szCs w:val="16"/>
                <w:highlight w:val="yellow"/>
              </w:rPr>
            </w:pPr>
          </w:p>
        </w:tc>
        <w:tc>
          <w:tcPr>
            <w:tcW w:w="629" w:type="pct"/>
            <w:gridSpan w:val="2"/>
            <w:tcBorders>
              <w:top w:val="nil"/>
              <w:bottom w:val="nil"/>
            </w:tcBorders>
            <w:shd w:val="clear" w:color="auto" w:fill="auto"/>
            <w:tcMar>
              <w:top w:w="110" w:type="dxa"/>
            </w:tcMar>
          </w:tcPr>
          <w:p w:rsidR="00FB35F2" w:rsidRDefault="00FB35F2" w:rsidP="00271CFB">
            <w:pPr>
              <w:rPr>
                <w:rFonts w:cs="Arial"/>
                <w:sz w:val="16"/>
                <w:szCs w:val="16"/>
              </w:rPr>
            </w:pPr>
            <w:r w:rsidRPr="00046770">
              <w:rPr>
                <w:rFonts w:cs="Arial"/>
                <w:sz w:val="16"/>
                <w:szCs w:val="16"/>
              </w:rPr>
              <w:t>10 new partners;  400 uploads</w:t>
            </w:r>
          </w:p>
        </w:tc>
        <w:tc>
          <w:tcPr>
            <w:tcW w:w="1344" w:type="pct"/>
            <w:gridSpan w:val="2"/>
            <w:tcBorders>
              <w:top w:val="nil"/>
              <w:bottom w:val="nil"/>
            </w:tcBorders>
            <w:shd w:val="clear" w:color="auto" w:fill="FFFFFF"/>
            <w:tcMar>
              <w:top w:w="110" w:type="dxa"/>
            </w:tcMar>
          </w:tcPr>
          <w:p w:rsidR="00FB35F2" w:rsidRPr="00962B36" w:rsidRDefault="00FB35F2" w:rsidP="005C6F8E">
            <w:pPr>
              <w:pStyle w:val="ListParagraph"/>
              <w:numPr>
                <w:ilvl w:val="0"/>
                <w:numId w:val="47"/>
              </w:numPr>
              <w:rPr>
                <w:rFonts w:cs="Arial"/>
                <w:sz w:val="16"/>
                <w:szCs w:val="16"/>
                <w:lang w:bidi="th-TH"/>
              </w:rPr>
            </w:pPr>
            <w:r w:rsidRPr="00962B36">
              <w:rPr>
                <w:rFonts w:cs="Arial"/>
                <w:sz w:val="16"/>
                <w:szCs w:val="16"/>
                <w:lang w:bidi="th-TH"/>
              </w:rPr>
              <w:t>18 new partners (total 54)</w:t>
            </w:r>
          </w:p>
          <w:p w:rsidR="00FB35F2" w:rsidRPr="00962B36" w:rsidRDefault="00FB35F2" w:rsidP="005C6F8E">
            <w:pPr>
              <w:pStyle w:val="ListParagraph"/>
              <w:numPr>
                <w:ilvl w:val="0"/>
                <w:numId w:val="47"/>
              </w:numPr>
              <w:rPr>
                <w:rFonts w:cs="Arial"/>
                <w:sz w:val="16"/>
                <w:szCs w:val="16"/>
                <w:lang w:bidi="th-TH"/>
              </w:rPr>
            </w:pPr>
            <w:r w:rsidRPr="00962B36">
              <w:rPr>
                <w:rFonts w:cs="Arial"/>
                <w:sz w:val="16"/>
                <w:szCs w:val="16"/>
                <w:lang w:bidi="th-TH"/>
              </w:rPr>
              <w:t>140 new users (total 300)</w:t>
            </w:r>
          </w:p>
          <w:p w:rsidR="00FB35F2" w:rsidRPr="00962B36" w:rsidRDefault="00FB35F2" w:rsidP="005C6F8E">
            <w:pPr>
              <w:pStyle w:val="ListParagraph"/>
              <w:numPr>
                <w:ilvl w:val="0"/>
                <w:numId w:val="47"/>
              </w:numPr>
              <w:rPr>
                <w:rFonts w:cs="Arial"/>
                <w:sz w:val="16"/>
                <w:szCs w:val="16"/>
                <w:lang w:bidi="th-TH"/>
              </w:rPr>
            </w:pPr>
            <w:r w:rsidRPr="00962B36">
              <w:rPr>
                <w:rFonts w:cs="Arial"/>
                <w:sz w:val="16"/>
                <w:szCs w:val="16"/>
                <w:lang w:bidi="th-TH"/>
              </w:rPr>
              <w:t>943 new uploads (total 2,050)</w:t>
            </w:r>
          </w:p>
        </w:tc>
        <w:tc>
          <w:tcPr>
            <w:tcW w:w="519" w:type="pct"/>
            <w:tcBorders>
              <w:top w:val="nil"/>
              <w:bottom w:val="nil"/>
            </w:tcBorders>
            <w:shd w:val="clear" w:color="auto" w:fill="auto"/>
            <w:tcMar>
              <w:top w:w="110" w:type="dxa"/>
            </w:tcMar>
          </w:tcPr>
          <w:p w:rsidR="00FB35F2" w:rsidRPr="00845557" w:rsidRDefault="00FB35F2" w:rsidP="00271CFB">
            <w:pPr>
              <w:keepNext/>
              <w:keepLines/>
              <w:jc w:val="center"/>
              <w:rPr>
                <w:b/>
                <w:color w:val="00B050"/>
                <w:sz w:val="16"/>
              </w:rPr>
            </w:pPr>
            <w:r w:rsidRPr="00845557">
              <w:rPr>
                <w:b/>
                <w:color w:val="00B050"/>
                <w:sz w:val="16"/>
              </w:rPr>
              <w:t>On track</w:t>
            </w:r>
          </w:p>
        </w:tc>
      </w:tr>
      <w:tr w:rsidR="00FB35F2" w:rsidRPr="00A1131D" w:rsidTr="00565E68">
        <w:trPr>
          <w:cantSplit/>
        </w:trPr>
        <w:tc>
          <w:tcPr>
            <w:tcW w:w="1194" w:type="pct"/>
            <w:gridSpan w:val="2"/>
            <w:tcBorders>
              <w:top w:val="nil"/>
              <w:bottom w:val="nil"/>
            </w:tcBorders>
            <w:shd w:val="clear" w:color="auto" w:fill="auto"/>
          </w:tcPr>
          <w:p w:rsidR="00FB35F2" w:rsidRDefault="00FB35F2" w:rsidP="00271CFB">
            <w:pPr>
              <w:rPr>
                <w:rFonts w:cs="Arial"/>
                <w:sz w:val="16"/>
                <w:szCs w:val="16"/>
              </w:rPr>
            </w:pPr>
            <w:r w:rsidRPr="0015324A">
              <w:rPr>
                <w:rFonts w:cs="Arial"/>
                <w:sz w:val="16"/>
                <w:szCs w:val="16"/>
              </w:rPr>
              <w:t>No. of established links of WIPO GREEN to relevant mechanisms, such as Climate Technology Centers and Networks (UNFCCC) and Climate Innovation Centers (</w:t>
            </w:r>
            <w:proofErr w:type="spellStart"/>
            <w:r w:rsidRPr="0015324A">
              <w:rPr>
                <w:rFonts w:cs="Arial"/>
                <w:sz w:val="16"/>
                <w:szCs w:val="16"/>
              </w:rPr>
              <w:t>infoDev</w:t>
            </w:r>
            <w:proofErr w:type="spellEnd"/>
            <w:r w:rsidRPr="0015324A">
              <w:rPr>
                <w:rFonts w:cs="Arial"/>
                <w:sz w:val="16"/>
                <w:szCs w:val="16"/>
              </w:rPr>
              <w:t>)</w:t>
            </w:r>
          </w:p>
          <w:p w:rsidR="00FB35F2" w:rsidRPr="003867E3" w:rsidRDefault="00FB35F2" w:rsidP="00271CFB">
            <w:pPr>
              <w:rPr>
                <w:rFonts w:cs="Arial"/>
                <w:sz w:val="16"/>
                <w:szCs w:val="16"/>
              </w:rPr>
            </w:pPr>
          </w:p>
        </w:tc>
        <w:tc>
          <w:tcPr>
            <w:tcW w:w="1314" w:type="pct"/>
            <w:gridSpan w:val="2"/>
            <w:tcBorders>
              <w:top w:val="nil"/>
              <w:bottom w:val="nil"/>
            </w:tcBorders>
            <w:shd w:val="clear" w:color="auto" w:fill="auto"/>
          </w:tcPr>
          <w:p w:rsidR="00FB35F2" w:rsidRDefault="00FB35F2" w:rsidP="00271CFB">
            <w:pPr>
              <w:rPr>
                <w:rFonts w:cs="Arial"/>
                <w:i/>
                <w:color w:val="002060"/>
                <w:sz w:val="16"/>
                <w:szCs w:val="16"/>
              </w:rPr>
            </w:pPr>
            <w:r w:rsidRPr="00A1131D">
              <w:rPr>
                <w:rFonts w:cs="Arial"/>
                <w:i/>
                <w:color w:val="002060"/>
                <w:sz w:val="16"/>
                <w:szCs w:val="16"/>
              </w:rPr>
              <w:t>Updated Baseline end 201</w:t>
            </w:r>
            <w:r>
              <w:rPr>
                <w:rFonts w:cs="Arial"/>
                <w:i/>
                <w:color w:val="002060"/>
                <w:sz w:val="16"/>
                <w:szCs w:val="16"/>
              </w:rPr>
              <w:t>3</w:t>
            </w:r>
            <w:r w:rsidRPr="00A1131D">
              <w:rPr>
                <w:rFonts w:cs="Arial"/>
                <w:i/>
                <w:color w:val="002060"/>
                <w:sz w:val="16"/>
                <w:szCs w:val="16"/>
              </w:rPr>
              <w:t xml:space="preserve">: </w:t>
            </w:r>
          </w:p>
          <w:p w:rsidR="00FB35F2" w:rsidRPr="00A1131D" w:rsidRDefault="00FB35F2" w:rsidP="00271CFB">
            <w:pPr>
              <w:rPr>
                <w:rFonts w:cs="Arial"/>
                <w:i/>
                <w:color w:val="002060"/>
                <w:sz w:val="16"/>
                <w:szCs w:val="16"/>
              </w:rPr>
            </w:pPr>
            <w:r>
              <w:rPr>
                <w:rFonts w:cs="Arial"/>
                <w:color w:val="002060"/>
                <w:sz w:val="16"/>
                <w:szCs w:val="16"/>
              </w:rPr>
              <w:t>1 (</w:t>
            </w:r>
            <w:r w:rsidRPr="00D22D36">
              <w:rPr>
                <w:rFonts w:cs="Arial"/>
                <w:color w:val="002060"/>
                <w:sz w:val="16"/>
                <w:szCs w:val="16"/>
              </w:rPr>
              <w:t>East Africa Climate Innovation Network (EACIN)</w:t>
            </w:r>
            <w:r>
              <w:rPr>
                <w:rFonts w:cs="Arial"/>
                <w:color w:val="002060"/>
                <w:sz w:val="16"/>
                <w:szCs w:val="16"/>
              </w:rPr>
              <w:t>)</w:t>
            </w:r>
          </w:p>
          <w:p w:rsidR="00FB35F2" w:rsidRPr="00A1131D" w:rsidRDefault="00FB35F2" w:rsidP="00271CFB">
            <w:pPr>
              <w:rPr>
                <w:rFonts w:cs="Arial"/>
                <w:i/>
                <w:color w:val="002060"/>
                <w:sz w:val="8"/>
                <w:szCs w:val="8"/>
              </w:rPr>
            </w:pPr>
            <w:r w:rsidRPr="00A1131D">
              <w:rPr>
                <w:rFonts w:cs="Arial"/>
                <w:color w:val="993300"/>
                <w:sz w:val="16"/>
                <w:szCs w:val="16"/>
              </w:rPr>
              <w:br/>
            </w:r>
          </w:p>
          <w:p w:rsidR="00FB35F2" w:rsidRPr="00D22D36" w:rsidRDefault="00FB35F2" w:rsidP="00271CFB">
            <w:r w:rsidRPr="00A1131D">
              <w:rPr>
                <w:rFonts w:cs="Arial"/>
                <w:i/>
                <w:sz w:val="16"/>
                <w:szCs w:val="16"/>
              </w:rPr>
              <w:t>Original Baseline P&amp;B 201</w:t>
            </w:r>
            <w:r>
              <w:rPr>
                <w:rFonts w:cs="Arial"/>
                <w:i/>
                <w:sz w:val="16"/>
                <w:szCs w:val="16"/>
              </w:rPr>
              <w:t>4</w:t>
            </w:r>
            <w:r w:rsidRPr="00A1131D">
              <w:rPr>
                <w:rFonts w:cs="Arial"/>
                <w:i/>
                <w:sz w:val="16"/>
                <w:szCs w:val="16"/>
              </w:rPr>
              <w:t>/1</w:t>
            </w:r>
            <w:r>
              <w:rPr>
                <w:rFonts w:cs="Arial"/>
                <w:i/>
                <w:sz w:val="16"/>
                <w:szCs w:val="16"/>
              </w:rPr>
              <w:t>5</w:t>
            </w:r>
            <w:r w:rsidRPr="00A1131D">
              <w:rPr>
                <w:rFonts w:cs="Arial"/>
                <w:i/>
                <w:sz w:val="16"/>
                <w:szCs w:val="16"/>
              </w:rPr>
              <w:t>:</w:t>
            </w:r>
            <w:r>
              <w:t xml:space="preserve"> </w:t>
            </w:r>
            <w:r w:rsidRPr="00D22D36">
              <w:rPr>
                <w:rFonts w:cs="Arial"/>
                <w:sz w:val="16"/>
                <w:szCs w:val="16"/>
              </w:rPr>
              <w:t xml:space="preserve">0 (zero)  </w:t>
            </w:r>
          </w:p>
          <w:p w:rsidR="00FB35F2" w:rsidRPr="00A1131D" w:rsidRDefault="00FB35F2" w:rsidP="00271CFB">
            <w:pPr>
              <w:rPr>
                <w:rFonts w:cs="Arial"/>
                <w:i/>
                <w:color w:val="002060"/>
                <w:sz w:val="16"/>
                <w:szCs w:val="16"/>
                <w:highlight w:val="yellow"/>
              </w:rPr>
            </w:pPr>
          </w:p>
        </w:tc>
        <w:tc>
          <w:tcPr>
            <w:tcW w:w="629" w:type="pct"/>
            <w:gridSpan w:val="2"/>
            <w:tcBorders>
              <w:top w:val="nil"/>
              <w:bottom w:val="nil"/>
            </w:tcBorders>
            <w:shd w:val="clear" w:color="auto" w:fill="auto"/>
            <w:tcMar>
              <w:top w:w="110" w:type="dxa"/>
            </w:tcMar>
          </w:tcPr>
          <w:p w:rsidR="00FB35F2" w:rsidRDefault="00FB35F2" w:rsidP="00271CFB">
            <w:pPr>
              <w:rPr>
                <w:rFonts w:cs="Arial"/>
                <w:sz w:val="16"/>
                <w:szCs w:val="16"/>
              </w:rPr>
            </w:pPr>
            <w:r w:rsidRPr="00046770">
              <w:rPr>
                <w:rFonts w:cs="Arial"/>
                <w:sz w:val="16"/>
                <w:szCs w:val="16"/>
              </w:rPr>
              <w:t>3</w:t>
            </w:r>
          </w:p>
        </w:tc>
        <w:tc>
          <w:tcPr>
            <w:tcW w:w="1344" w:type="pct"/>
            <w:gridSpan w:val="2"/>
            <w:tcBorders>
              <w:top w:val="nil"/>
              <w:bottom w:val="nil"/>
            </w:tcBorders>
            <w:shd w:val="clear" w:color="auto" w:fill="FFFFFF"/>
            <w:tcMar>
              <w:top w:w="110" w:type="dxa"/>
            </w:tcMar>
          </w:tcPr>
          <w:p w:rsidR="00FB35F2" w:rsidRPr="00962B36" w:rsidRDefault="00FB35F2" w:rsidP="00271CFB">
            <w:pPr>
              <w:rPr>
                <w:rFonts w:cs="Arial"/>
                <w:sz w:val="16"/>
                <w:szCs w:val="16"/>
                <w:highlight w:val="yellow"/>
                <w:lang w:bidi="th-TH"/>
              </w:rPr>
            </w:pPr>
            <w:r w:rsidRPr="00D22D36">
              <w:rPr>
                <w:rFonts w:cs="Arial"/>
                <w:sz w:val="16"/>
                <w:szCs w:val="16"/>
                <w:lang w:bidi="th-TH"/>
              </w:rPr>
              <w:t xml:space="preserve">3 (Climate Technology Centre and Network (CTCN), </w:t>
            </w:r>
            <w:proofErr w:type="spellStart"/>
            <w:r w:rsidRPr="00D22D36">
              <w:rPr>
                <w:rFonts w:cs="Arial"/>
                <w:sz w:val="16"/>
                <w:szCs w:val="16"/>
                <w:lang w:bidi="th-TH"/>
              </w:rPr>
              <w:t>Waseda</w:t>
            </w:r>
            <w:proofErr w:type="spellEnd"/>
            <w:r w:rsidRPr="00D22D36">
              <w:rPr>
                <w:rFonts w:cs="Arial"/>
                <w:sz w:val="16"/>
                <w:szCs w:val="16"/>
                <w:lang w:bidi="th-TH"/>
              </w:rPr>
              <w:t xml:space="preserve"> Environmental Institute and </w:t>
            </w:r>
            <w:proofErr w:type="spellStart"/>
            <w:r w:rsidRPr="00D22D36">
              <w:rPr>
                <w:rFonts w:cs="Arial"/>
                <w:sz w:val="16"/>
                <w:szCs w:val="16"/>
                <w:lang w:bidi="th-TH"/>
              </w:rPr>
              <w:t>EcoPatent</w:t>
            </w:r>
            <w:proofErr w:type="spellEnd"/>
            <w:r w:rsidRPr="00D22D36">
              <w:rPr>
                <w:rFonts w:cs="Arial"/>
                <w:sz w:val="16"/>
                <w:szCs w:val="16"/>
                <w:lang w:bidi="th-TH"/>
              </w:rPr>
              <w:t xml:space="preserve"> Commons)</w:t>
            </w:r>
          </w:p>
        </w:tc>
        <w:tc>
          <w:tcPr>
            <w:tcW w:w="519" w:type="pct"/>
            <w:tcBorders>
              <w:top w:val="nil"/>
              <w:bottom w:val="nil"/>
            </w:tcBorders>
            <w:shd w:val="clear" w:color="auto" w:fill="auto"/>
            <w:tcMar>
              <w:top w:w="110" w:type="dxa"/>
            </w:tcMar>
          </w:tcPr>
          <w:p w:rsidR="00FB35F2" w:rsidRPr="00845557" w:rsidRDefault="00FB35F2" w:rsidP="00271CFB">
            <w:pPr>
              <w:keepNext/>
              <w:keepLines/>
              <w:jc w:val="center"/>
              <w:rPr>
                <w:b/>
                <w:color w:val="00B050"/>
                <w:sz w:val="16"/>
              </w:rPr>
            </w:pPr>
            <w:r w:rsidRPr="00845557">
              <w:rPr>
                <w:b/>
                <w:color w:val="00B050"/>
                <w:sz w:val="16"/>
              </w:rPr>
              <w:t>On track</w:t>
            </w:r>
          </w:p>
        </w:tc>
      </w:tr>
      <w:tr w:rsidR="00FB35F2" w:rsidRPr="00A1131D" w:rsidTr="00565E68">
        <w:trPr>
          <w:cantSplit/>
        </w:trPr>
        <w:tc>
          <w:tcPr>
            <w:tcW w:w="1194" w:type="pct"/>
            <w:gridSpan w:val="2"/>
            <w:tcBorders>
              <w:top w:val="nil"/>
              <w:left w:val="single" w:sz="4" w:space="0" w:color="auto"/>
              <w:bottom w:val="nil"/>
            </w:tcBorders>
            <w:shd w:val="clear" w:color="auto" w:fill="auto"/>
          </w:tcPr>
          <w:p w:rsidR="00FB35F2" w:rsidRPr="003867E3" w:rsidRDefault="00FB35F2" w:rsidP="00271CFB">
            <w:pPr>
              <w:rPr>
                <w:rFonts w:cs="Arial"/>
                <w:sz w:val="16"/>
                <w:szCs w:val="16"/>
              </w:rPr>
            </w:pPr>
            <w:r w:rsidRPr="0015324A">
              <w:rPr>
                <w:rFonts w:cs="Arial"/>
                <w:sz w:val="16"/>
                <w:szCs w:val="16"/>
              </w:rPr>
              <w:t>No. of agreements catalyzed by WIPO GREEN facilitating knowledge transfer, technology adaptation, transfer and/or diffusion</w:t>
            </w:r>
          </w:p>
        </w:tc>
        <w:tc>
          <w:tcPr>
            <w:tcW w:w="1314" w:type="pct"/>
            <w:gridSpan w:val="2"/>
            <w:tcBorders>
              <w:top w:val="nil"/>
              <w:bottom w:val="nil"/>
            </w:tcBorders>
            <w:shd w:val="clear" w:color="auto" w:fill="auto"/>
          </w:tcPr>
          <w:p w:rsidR="00FB35F2" w:rsidRPr="00D22D36" w:rsidRDefault="00FB35F2" w:rsidP="00271CFB">
            <w:pPr>
              <w:rPr>
                <w:rFonts w:cs="Arial"/>
                <w:color w:val="002060"/>
                <w:sz w:val="16"/>
                <w:szCs w:val="16"/>
              </w:rPr>
            </w:pPr>
            <w:r w:rsidRPr="00A1131D">
              <w:rPr>
                <w:rFonts w:cs="Arial"/>
                <w:i/>
                <w:color w:val="002060"/>
                <w:sz w:val="16"/>
                <w:szCs w:val="16"/>
              </w:rPr>
              <w:t>Updated Baseline end 201</w:t>
            </w:r>
            <w:r>
              <w:rPr>
                <w:rFonts w:cs="Arial"/>
                <w:i/>
                <w:color w:val="002060"/>
                <w:sz w:val="16"/>
                <w:szCs w:val="16"/>
              </w:rPr>
              <w:t>3</w:t>
            </w:r>
            <w:r w:rsidRPr="00A1131D">
              <w:rPr>
                <w:rFonts w:cs="Arial"/>
                <w:i/>
                <w:color w:val="002060"/>
                <w:sz w:val="16"/>
                <w:szCs w:val="16"/>
              </w:rPr>
              <w:t xml:space="preserve">: </w:t>
            </w:r>
            <w:r w:rsidRPr="00D22D36">
              <w:rPr>
                <w:rFonts w:cs="Arial"/>
                <w:color w:val="002060"/>
                <w:sz w:val="16"/>
                <w:szCs w:val="16"/>
              </w:rPr>
              <w:t xml:space="preserve">During  2012 and 2013 WIPO GREEN concluded : </w:t>
            </w:r>
          </w:p>
          <w:p w:rsidR="00FB35F2" w:rsidRPr="00D22D36" w:rsidRDefault="00FB35F2" w:rsidP="00271CFB">
            <w:pPr>
              <w:rPr>
                <w:rFonts w:cs="Arial"/>
                <w:color w:val="002060"/>
                <w:sz w:val="16"/>
                <w:szCs w:val="16"/>
              </w:rPr>
            </w:pPr>
            <w:r w:rsidRPr="00D22D36">
              <w:rPr>
                <w:rFonts w:cs="Arial"/>
                <w:color w:val="002060"/>
                <w:sz w:val="16"/>
                <w:szCs w:val="16"/>
              </w:rPr>
              <w:t>Two agreements with external partners for data integration</w:t>
            </w:r>
          </w:p>
          <w:p w:rsidR="00FB35F2" w:rsidRPr="00A1131D" w:rsidRDefault="00FB35F2" w:rsidP="00271CFB">
            <w:pPr>
              <w:rPr>
                <w:rFonts w:cs="Arial"/>
                <w:i/>
                <w:color w:val="002060"/>
                <w:sz w:val="8"/>
                <w:szCs w:val="8"/>
              </w:rPr>
            </w:pPr>
            <w:r w:rsidRPr="00A70ABA">
              <w:rPr>
                <w:rFonts w:cs="Arial"/>
                <w:color w:val="002060"/>
                <w:sz w:val="16"/>
                <w:szCs w:val="16"/>
              </w:rPr>
              <w:t>(Association of University Technology Managers (AUTM) and East Africa Climate Innovation Network (EACIN))</w:t>
            </w:r>
            <w:r w:rsidRPr="00A1131D">
              <w:rPr>
                <w:rFonts w:cs="Arial"/>
                <w:color w:val="993300"/>
                <w:sz w:val="16"/>
                <w:szCs w:val="16"/>
              </w:rPr>
              <w:br/>
            </w:r>
          </w:p>
          <w:p w:rsidR="00FB35F2" w:rsidRPr="00EF03E1" w:rsidRDefault="00FB35F2" w:rsidP="00271CFB">
            <w:r w:rsidRPr="00A1131D">
              <w:rPr>
                <w:rFonts w:cs="Arial"/>
                <w:i/>
                <w:sz w:val="16"/>
                <w:szCs w:val="16"/>
              </w:rPr>
              <w:t>Original Baseline P&amp;B 201</w:t>
            </w:r>
            <w:r>
              <w:rPr>
                <w:rFonts w:cs="Arial"/>
                <w:i/>
                <w:sz w:val="16"/>
                <w:szCs w:val="16"/>
              </w:rPr>
              <w:t>4</w:t>
            </w:r>
            <w:r w:rsidRPr="00A1131D">
              <w:rPr>
                <w:rFonts w:cs="Arial"/>
                <w:i/>
                <w:sz w:val="16"/>
                <w:szCs w:val="16"/>
              </w:rPr>
              <w:t>/1</w:t>
            </w:r>
            <w:r>
              <w:rPr>
                <w:rFonts w:cs="Arial"/>
                <w:i/>
                <w:sz w:val="16"/>
                <w:szCs w:val="16"/>
              </w:rPr>
              <w:t>5</w:t>
            </w:r>
            <w:r w:rsidRPr="00A1131D">
              <w:rPr>
                <w:rFonts w:cs="Arial"/>
                <w:i/>
                <w:sz w:val="16"/>
                <w:szCs w:val="16"/>
              </w:rPr>
              <w:t>:</w:t>
            </w:r>
            <w:r w:rsidRPr="00A1131D">
              <w:rPr>
                <w:rFonts w:cs="Arial"/>
                <w:sz w:val="16"/>
                <w:szCs w:val="16"/>
              </w:rPr>
              <w:t xml:space="preserve">  </w:t>
            </w:r>
            <w:r w:rsidRPr="00D22D36">
              <w:rPr>
                <w:rFonts w:cs="Arial"/>
                <w:sz w:val="16"/>
                <w:szCs w:val="16"/>
              </w:rPr>
              <w:t>0 (zero)</w:t>
            </w:r>
          </w:p>
          <w:p w:rsidR="00FB35F2" w:rsidRPr="00A1131D" w:rsidRDefault="00FB35F2" w:rsidP="00271CFB">
            <w:pPr>
              <w:rPr>
                <w:rFonts w:cs="Arial"/>
                <w:i/>
                <w:color w:val="002060"/>
                <w:sz w:val="16"/>
                <w:szCs w:val="16"/>
                <w:highlight w:val="yellow"/>
              </w:rPr>
            </w:pPr>
          </w:p>
        </w:tc>
        <w:tc>
          <w:tcPr>
            <w:tcW w:w="629" w:type="pct"/>
            <w:gridSpan w:val="2"/>
            <w:tcBorders>
              <w:top w:val="nil"/>
              <w:bottom w:val="nil"/>
            </w:tcBorders>
            <w:shd w:val="clear" w:color="auto" w:fill="auto"/>
            <w:tcMar>
              <w:top w:w="110" w:type="dxa"/>
            </w:tcMar>
          </w:tcPr>
          <w:p w:rsidR="00FB35F2" w:rsidRDefault="00FB35F2" w:rsidP="00271CFB">
            <w:pPr>
              <w:rPr>
                <w:rFonts w:cs="Arial"/>
                <w:sz w:val="16"/>
                <w:szCs w:val="16"/>
              </w:rPr>
            </w:pPr>
            <w:r w:rsidRPr="00046770">
              <w:rPr>
                <w:rFonts w:cs="Arial"/>
                <w:sz w:val="16"/>
                <w:szCs w:val="16"/>
              </w:rPr>
              <w:t>250</w:t>
            </w:r>
          </w:p>
        </w:tc>
        <w:tc>
          <w:tcPr>
            <w:tcW w:w="1344" w:type="pct"/>
            <w:gridSpan w:val="2"/>
            <w:tcBorders>
              <w:top w:val="nil"/>
              <w:bottom w:val="nil"/>
            </w:tcBorders>
            <w:shd w:val="clear" w:color="auto" w:fill="FFFFFF"/>
            <w:tcMar>
              <w:top w:w="110" w:type="dxa"/>
            </w:tcMar>
          </w:tcPr>
          <w:p w:rsidR="00FB35F2" w:rsidRDefault="00FB35F2" w:rsidP="00271CFB">
            <w:pPr>
              <w:rPr>
                <w:rFonts w:cs="Arial"/>
                <w:sz w:val="16"/>
                <w:szCs w:val="16"/>
                <w:lang w:bidi="th-TH"/>
              </w:rPr>
            </w:pPr>
            <w:r w:rsidRPr="00046770">
              <w:rPr>
                <w:rFonts w:cs="Arial"/>
                <w:sz w:val="16"/>
                <w:szCs w:val="16"/>
                <w:lang w:bidi="th-TH"/>
              </w:rPr>
              <w:t xml:space="preserve">3 </w:t>
            </w:r>
            <w:r>
              <w:rPr>
                <w:rFonts w:cs="Arial"/>
                <w:sz w:val="16"/>
                <w:szCs w:val="16"/>
                <w:lang w:bidi="th-TH"/>
              </w:rPr>
              <w:t>additional a</w:t>
            </w:r>
            <w:r w:rsidRPr="00046770">
              <w:rPr>
                <w:rFonts w:cs="Arial"/>
                <w:sz w:val="16"/>
                <w:szCs w:val="16"/>
                <w:lang w:bidi="th-TH"/>
              </w:rPr>
              <w:t>greements</w:t>
            </w:r>
            <w:r>
              <w:rPr>
                <w:rFonts w:cs="Arial"/>
                <w:sz w:val="16"/>
                <w:szCs w:val="16"/>
                <w:lang w:bidi="th-TH"/>
              </w:rPr>
              <w:t xml:space="preserve">: </w:t>
            </w:r>
            <w:r w:rsidRPr="00D050C6">
              <w:rPr>
                <w:rFonts w:cs="Arial"/>
                <w:sz w:val="16"/>
                <w:szCs w:val="16"/>
                <w:lang w:bidi="th-TH"/>
              </w:rPr>
              <w:t>Danish Patent and Trademark Office (DKPTO)</w:t>
            </w:r>
            <w:r>
              <w:rPr>
                <w:rFonts w:cs="Arial"/>
                <w:sz w:val="16"/>
                <w:szCs w:val="16"/>
                <w:lang w:bidi="th-TH"/>
              </w:rPr>
              <w:t xml:space="preserve">; </w:t>
            </w:r>
            <w:proofErr w:type="spellStart"/>
            <w:r>
              <w:rPr>
                <w:rFonts w:cs="Arial"/>
                <w:sz w:val="16"/>
                <w:szCs w:val="16"/>
                <w:lang w:bidi="th-TH"/>
              </w:rPr>
              <w:t>Technologie</w:t>
            </w:r>
            <w:proofErr w:type="spellEnd"/>
            <w:r>
              <w:rPr>
                <w:rFonts w:cs="Arial"/>
                <w:sz w:val="16"/>
                <w:szCs w:val="16"/>
                <w:lang w:bidi="th-TH"/>
              </w:rPr>
              <w:t xml:space="preserve"> Allianz; </w:t>
            </w:r>
            <w:r w:rsidRPr="005A2693">
              <w:rPr>
                <w:rFonts w:cs="Arial"/>
                <w:sz w:val="16"/>
                <w:szCs w:val="16"/>
                <w:lang w:bidi="th-TH"/>
              </w:rPr>
              <w:t>United Nations Office for South-South Cooperation</w:t>
            </w:r>
            <w:r>
              <w:rPr>
                <w:rFonts w:cs="Arial"/>
                <w:sz w:val="16"/>
                <w:szCs w:val="16"/>
                <w:lang w:bidi="th-TH"/>
              </w:rPr>
              <w:t xml:space="preserve"> (UNOSSC)</w:t>
            </w:r>
          </w:p>
        </w:tc>
        <w:tc>
          <w:tcPr>
            <w:tcW w:w="519" w:type="pct"/>
            <w:tcBorders>
              <w:top w:val="nil"/>
              <w:bottom w:val="nil"/>
              <w:right w:val="single" w:sz="4" w:space="0" w:color="auto"/>
            </w:tcBorders>
            <w:shd w:val="clear" w:color="auto" w:fill="auto"/>
            <w:tcMar>
              <w:top w:w="110" w:type="dxa"/>
            </w:tcMar>
          </w:tcPr>
          <w:p w:rsidR="00FB35F2" w:rsidRPr="00046770" w:rsidRDefault="00FB35F2" w:rsidP="00271CFB">
            <w:pPr>
              <w:keepNext/>
              <w:keepLines/>
              <w:jc w:val="center"/>
              <w:rPr>
                <w:rFonts w:cs="Arial"/>
                <w:b/>
                <w:bCs/>
                <w:color w:val="FF0000"/>
                <w:sz w:val="16"/>
                <w:szCs w:val="16"/>
              </w:rPr>
            </w:pPr>
            <w:r w:rsidRPr="00046770">
              <w:rPr>
                <w:rFonts w:cs="Arial"/>
                <w:b/>
                <w:bCs/>
                <w:color w:val="FF0000"/>
                <w:sz w:val="16"/>
                <w:szCs w:val="16"/>
              </w:rPr>
              <w:t xml:space="preserve">Not </w:t>
            </w:r>
            <w:r>
              <w:rPr>
                <w:rFonts w:cs="Arial"/>
                <w:b/>
                <w:bCs/>
                <w:color w:val="FF0000"/>
                <w:sz w:val="16"/>
                <w:szCs w:val="16"/>
              </w:rPr>
              <w:br/>
            </w:r>
            <w:r w:rsidRPr="00046770">
              <w:rPr>
                <w:rFonts w:cs="Arial"/>
                <w:b/>
                <w:bCs/>
                <w:color w:val="FF0000"/>
                <w:sz w:val="16"/>
                <w:szCs w:val="16"/>
              </w:rPr>
              <w:t>on track</w:t>
            </w:r>
          </w:p>
        </w:tc>
      </w:tr>
      <w:tr w:rsidR="00FB35F2" w:rsidRPr="00A1131D" w:rsidTr="00565E68">
        <w:trPr>
          <w:cantSplit/>
          <w:trHeight w:val="2060"/>
        </w:trPr>
        <w:tc>
          <w:tcPr>
            <w:tcW w:w="1194" w:type="pct"/>
            <w:gridSpan w:val="2"/>
            <w:tcBorders>
              <w:top w:val="nil"/>
              <w:left w:val="single" w:sz="4" w:space="0" w:color="auto"/>
              <w:bottom w:val="single" w:sz="4" w:space="0" w:color="auto"/>
            </w:tcBorders>
            <w:shd w:val="clear" w:color="auto" w:fill="auto"/>
          </w:tcPr>
          <w:p w:rsidR="00FB35F2" w:rsidRDefault="00FB35F2" w:rsidP="00271CFB">
            <w:pPr>
              <w:rPr>
                <w:rFonts w:cs="Arial"/>
                <w:sz w:val="16"/>
                <w:szCs w:val="16"/>
              </w:rPr>
            </w:pPr>
            <w:r>
              <w:rPr>
                <w:rFonts w:cs="Arial"/>
                <w:sz w:val="16"/>
                <w:szCs w:val="16"/>
              </w:rPr>
              <w:t>No. of visits of Global Challenges website</w:t>
            </w:r>
          </w:p>
          <w:p w:rsidR="00FB35F2" w:rsidRPr="003867E3" w:rsidRDefault="00FB35F2" w:rsidP="00271CFB">
            <w:pPr>
              <w:rPr>
                <w:rFonts w:cs="Arial"/>
                <w:sz w:val="16"/>
                <w:szCs w:val="16"/>
              </w:rPr>
            </w:pPr>
          </w:p>
        </w:tc>
        <w:tc>
          <w:tcPr>
            <w:tcW w:w="1343" w:type="pct"/>
            <w:gridSpan w:val="3"/>
            <w:tcBorders>
              <w:top w:val="nil"/>
              <w:bottom w:val="single" w:sz="4" w:space="0" w:color="auto"/>
            </w:tcBorders>
            <w:shd w:val="clear" w:color="auto" w:fill="auto"/>
          </w:tcPr>
          <w:p w:rsidR="00FB35F2" w:rsidRPr="00EF03E1" w:rsidRDefault="00FB35F2" w:rsidP="00271CFB">
            <w:pPr>
              <w:rPr>
                <w:rFonts w:cs="Arial"/>
                <w:color w:val="002060"/>
                <w:sz w:val="16"/>
                <w:szCs w:val="16"/>
              </w:rPr>
            </w:pPr>
            <w:r w:rsidRPr="00A1131D">
              <w:rPr>
                <w:rFonts w:cs="Arial"/>
                <w:i/>
                <w:color w:val="002060"/>
                <w:sz w:val="16"/>
                <w:szCs w:val="16"/>
              </w:rPr>
              <w:t xml:space="preserve">Updated Baseline </w:t>
            </w:r>
            <w:r w:rsidRPr="00EF03E1">
              <w:rPr>
                <w:rFonts w:cs="Arial"/>
                <w:color w:val="002060"/>
                <w:sz w:val="16"/>
                <w:szCs w:val="16"/>
              </w:rPr>
              <w:t xml:space="preserve">end 2013: </w:t>
            </w:r>
          </w:p>
          <w:p w:rsidR="00FB35F2" w:rsidRPr="00EF03E1" w:rsidRDefault="00FB35F2" w:rsidP="00271CFB">
            <w:pPr>
              <w:rPr>
                <w:rFonts w:cs="Arial"/>
                <w:color w:val="002060"/>
                <w:sz w:val="16"/>
                <w:szCs w:val="16"/>
              </w:rPr>
            </w:pPr>
            <w:r w:rsidRPr="00EF03E1">
              <w:rPr>
                <w:rFonts w:cs="Arial"/>
                <w:color w:val="002060"/>
                <w:sz w:val="16"/>
                <w:szCs w:val="16"/>
              </w:rPr>
              <w:t>6,476 page views (GCD)</w:t>
            </w:r>
          </w:p>
          <w:p w:rsidR="00FB35F2" w:rsidRPr="00EF03E1" w:rsidRDefault="00FB35F2" w:rsidP="00271CFB">
            <w:pPr>
              <w:rPr>
                <w:rFonts w:cs="Arial"/>
                <w:color w:val="002060"/>
                <w:sz w:val="16"/>
                <w:szCs w:val="16"/>
              </w:rPr>
            </w:pPr>
            <w:r w:rsidRPr="00EF03E1">
              <w:rPr>
                <w:rFonts w:cs="Arial"/>
                <w:color w:val="002060"/>
                <w:sz w:val="16"/>
                <w:szCs w:val="16"/>
              </w:rPr>
              <w:t>3,773 downloads of pdf files</w:t>
            </w:r>
          </w:p>
          <w:p w:rsidR="00FB35F2" w:rsidRPr="00EF03E1" w:rsidRDefault="00FB35F2" w:rsidP="00271CFB">
            <w:pPr>
              <w:rPr>
                <w:rFonts w:cs="Arial"/>
                <w:color w:val="002060"/>
                <w:sz w:val="16"/>
                <w:szCs w:val="16"/>
              </w:rPr>
            </w:pPr>
            <w:r w:rsidRPr="00EF03E1">
              <w:rPr>
                <w:rFonts w:cs="Arial"/>
                <w:color w:val="002060"/>
                <w:sz w:val="16"/>
                <w:szCs w:val="16"/>
              </w:rPr>
              <w:t>73,648 page views of WIPO GREEN</w:t>
            </w:r>
          </w:p>
          <w:p w:rsidR="00FB35F2" w:rsidRDefault="00FB35F2" w:rsidP="00271CFB">
            <w:pPr>
              <w:rPr>
                <w:rFonts w:cs="Arial"/>
                <w:i/>
                <w:color w:val="002060"/>
                <w:sz w:val="16"/>
                <w:szCs w:val="16"/>
              </w:rPr>
            </w:pPr>
            <w:r w:rsidRPr="00EF03E1">
              <w:rPr>
                <w:rFonts w:cs="Arial"/>
                <w:color w:val="002060"/>
                <w:sz w:val="16"/>
                <w:szCs w:val="16"/>
              </w:rPr>
              <w:t xml:space="preserve">60,712 page views of WIPO </w:t>
            </w:r>
            <w:proofErr w:type="spellStart"/>
            <w:r w:rsidRPr="00EF03E1">
              <w:rPr>
                <w:rFonts w:cs="Arial"/>
                <w:color w:val="002060"/>
                <w:sz w:val="16"/>
                <w:szCs w:val="16"/>
              </w:rPr>
              <w:t>Re:Search</w:t>
            </w:r>
            <w:proofErr w:type="spellEnd"/>
          </w:p>
          <w:p w:rsidR="00FB35F2" w:rsidRDefault="00FB35F2" w:rsidP="00271CFB">
            <w:pPr>
              <w:rPr>
                <w:rFonts w:cs="Arial"/>
                <w:i/>
                <w:color w:val="002060"/>
                <w:sz w:val="16"/>
                <w:szCs w:val="16"/>
              </w:rPr>
            </w:pPr>
          </w:p>
          <w:p w:rsidR="00FB35F2" w:rsidRPr="00845557" w:rsidRDefault="00FB35F2" w:rsidP="00271CFB">
            <w:pPr>
              <w:rPr>
                <w:rFonts w:cs="Arial"/>
                <w:i/>
                <w:color w:val="002060"/>
                <w:sz w:val="16"/>
                <w:szCs w:val="16"/>
                <w:highlight w:val="yellow"/>
                <w:lang w:val="pt-BR"/>
              </w:rPr>
            </w:pPr>
            <w:r w:rsidRPr="00845557">
              <w:rPr>
                <w:rFonts w:cs="Arial"/>
                <w:i/>
                <w:sz w:val="16"/>
                <w:szCs w:val="16"/>
                <w:lang w:val="pt-BR"/>
              </w:rPr>
              <w:t>Original Baseline P&amp;B 2014/15:</w:t>
            </w:r>
            <w:r w:rsidRPr="00845557">
              <w:rPr>
                <w:rFonts w:cs="Arial"/>
                <w:sz w:val="16"/>
                <w:szCs w:val="16"/>
                <w:lang w:val="pt-BR"/>
              </w:rPr>
              <w:t xml:space="preserve">  n/a</w:t>
            </w:r>
          </w:p>
        </w:tc>
        <w:tc>
          <w:tcPr>
            <w:tcW w:w="600" w:type="pct"/>
            <w:tcBorders>
              <w:top w:val="nil"/>
              <w:bottom w:val="single" w:sz="4" w:space="0" w:color="auto"/>
            </w:tcBorders>
            <w:shd w:val="clear" w:color="auto" w:fill="auto"/>
            <w:tcMar>
              <w:top w:w="110" w:type="dxa"/>
            </w:tcMar>
          </w:tcPr>
          <w:p w:rsidR="00FB35F2" w:rsidRDefault="00FB35F2" w:rsidP="00271CFB">
            <w:pPr>
              <w:rPr>
                <w:rFonts w:cs="Arial"/>
                <w:sz w:val="16"/>
                <w:szCs w:val="16"/>
              </w:rPr>
            </w:pPr>
            <w:r>
              <w:rPr>
                <w:rFonts w:cs="Arial"/>
                <w:sz w:val="16"/>
                <w:szCs w:val="16"/>
              </w:rPr>
              <w:t>50% increase</w:t>
            </w:r>
          </w:p>
        </w:tc>
        <w:tc>
          <w:tcPr>
            <w:tcW w:w="1344" w:type="pct"/>
            <w:gridSpan w:val="2"/>
            <w:tcBorders>
              <w:top w:val="nil"/>
              <w:bottom w:val="single" w:sz="4" w:space="0" w:color="auto"/>
            </w:tcBorders>
            <w:shd w:val="clear" w:color="auto" w:fill="FFFFFF"/>
            <w:tcMar>
              <w:top w:w="110" w:type="dxa"/>
            </w:tcMar>
          </w:tcPr>
          <w:p w:rsidR="00FB35F2" w:rsidRPr="00962B36" w:rsidRDefault="00FB35F2" w:rsidP="00271CFB">
            <w:pPr>
              <w:rPr>
                <w:rFonts w:cs="Arial"/>
                <w:sz w:val="16"/>
                <w:szCs w:val="16"/>
                <w:lang w:bidi="th-TH"/>
              </w:rPr>
            </w:pPr>
            <w:r w:rsidRPr="00962B36">
              <w:rPr>
                <w:rFonts w:cs="Arial"/>
                <w:sz w:val="16"/>
                <w:szCs w:val="16"/>
                <w:lang w:bidi="th-TH"/>
              </w:rPr>
              <w:t xml:space="preserve">No. of page views: </w:t>
            </w:r>
          </w:p>
          <w:p w:rsidR="00FB35F2" w:rsidRPr="00126F92" w:rsidRDefault="00FB35F2" w:rsidP="005C6F8E">
            <w:pPr>
              <w:pStyle w:val="ListParagraph"/>
              <w:numPr>
                <w:ilvl w:val="0"/>
                <w:numId w:val="48"/>
              </w:numPr>
              <w:spacing w:after="120"/>
              <w:ind w:left="357" w:hanging="357"/>
              <w:rPr>
                <w:rFonts w:cs="Arial"/>
                <w:sz w:val="16"/>
                <w:szCs w:val="16"/>
                <w:lang w:bidi="th-TH"/>
              </w:rPr>
            </w:pPr>
            <w:r w:rsidRPr="00126F92">
              <w:rPr>
                <w:rFonts w:cs="Arial"/>
                <w:sz w:val="16"/>
                <w:szCs w:val="16"/>
                <w:lang w:bidi="th-TH"/>
              </w:rPr>
              <w:t xml:space="preserve">GCD: 1,353 </w:t>
            </w:r>
          </w:p>
          <w:p w:rsidR="00FB35F2" w:rsidRPr="00962B36" w:rsidRDefault="00FB35F2" w:rsidP="005C6F8E">
            <w:pPr>
              <w:pStyle w:val="ListParagraph"/>
              <w:numPr>
                <w:ilvl w:val="0"/>
                <w:numId w:val="48"/>
              </w:numPr>
              <w:spacing w:after="120"/>
              <w:ind w:left="357" w:hanging="357"/>
              <w:rPr>
                <w:rFonts w:cs="Arial"/>
                <w:sz w:val="16"/>
                <w:szCs w:val="16"/>
                <w:lang w:bidi="th-TH"/>
              </w:rPr>
            </w:pPr>
            <w:r w:rsidRPr="00962B36">
              <w:rPr>
                <w:rFonts w:cs="Arial"/>
                <w:sz w:val="16"/>
                <w:szCs w:val="16"/>
                <w:lang w:bidi="th-TH"/>
              </w:rPr>
              <w:t>Global Health and IP: 4,778</w:t>
            </w:r>
          </w:p>
          <w:p w:rsidR="00FB35F2" w:rsidRPr="00126F92" w:rsidRDefault="00FB35F2" w:rsidP="005C6F8E">
            <w:pPr>
              <w:pStyle w:val="ListParagraph"/>
              <w:numPr>
                <w:ilvl w:val="0"/>
                <w:numId w:val="48"/>
              </w:numPr>
              <w:spacing w:after="120"/>
              <w:ind w:left="357" w:hanging="357"/>
              <w:rPr>
                <w:rFonts w:cs="Arial"/>
                <w:sz w:val="16"/>
                <w:szCs w:val="16"/>
                <w:lang w:bidi="th-TH"/>
              </w:rPr>
            </w:pPr>
            <w:r w:rsidRPr="00126F92">
              <w:rPr>
                <w:rFonts w:cs="Arial"/>
                <w:sz w:val="16"/>
                <w:szCs w:val="16"/>
                <w:lang w:bidi="th-TH"/>
              </w:rPr>
              <w:t xml:space="preserve">Climate Change and IP: 2,462 </w:t>
            </w:r>
          </w:p>
          <w:p w:rsidR="00FB35F2" w:rsidRPr="00FB7DDB" w:rsidRDefault="00FB35F2" w:rsidP="005C6F8E">
            <w:pPr>
              <w:pStyle w:val="ListParagraph"/>
              <w:numPr>
                <w:ilvl w:val="0"/>
                <w:numId w:val="48"/>
              </w:numPr>
              <w:spacing w:after="120"/>
              <w:ind w:left="357" w:hanging="357"/>
              <w:rPr>
                <w:rFonts w:cs="Arial"/>
                <w:sz w:val="16"/>
                <w:szCs w:val="16"/>
                <w:lang w:bidi="th-TH"/>
              </w:rPr>
            </w:pPr>
            <w:r w:rsidRPr="00FB7DDB">
              <w:rPr>
                <w:rFonts w:cs="Arial"/>
                <w:sz w:val="16"/>
                <w:szCs w:val="16"/>
                <w:lang w:bidi="th-TH"/>
              </w:rPr>
              <w:t xml:space="preserve">WIPO </w:t>
            </w:r>
            <w:proofErr w:type="spellStart"/>
            <w:r w:rsidRPr="00FB7DDB">
              <w:rPr>
                <w:rFonts w:cs="Arial"/>
                <w:sz w:val="16"/>
                <w:szCs w:val="16"/>
                <w:lang w:bidi="th-TH"/>
              </w:rPr>
              <w:t>Re:Search</w:t>
            </w:r>
            <w:proofErr w:type="spellEnd"/>
            <w:r w:rsidRPr="00FB7DDB">
              <w:rPr>
                <w:rFonts w:cs="Arial"/>
                <w:sz w:val="16"/>
                <w:szCs w:val="16"/>
                <w:lang w:bidi="th-TH"/>
              </w:rPr>
              <w:t>:</w:t>
            </w:r>
            <w:r w:rsidRPr="00962B36">
              <w:rPr>
                <w:rFonts w:cs="Arial"/>
                <w:sz w:val="16"/>
                <w:szCs w:val="16"/>
                <w:lang w:bidi="th-TH"/>
              </w:rPr>
              <w:t xml:space="preserve"> 38,852 </w:t>
            </w:r>
          </w:p>
          <w:p w:rsidR="00FB35F2" w:rsidRPr="00962B36" w:rsidRDefault="00FB35F2" w:rsidP="005C6F8E">
            <w:pPr>
              <w:pStyle w:val="ListParagraph"/>
              <w:numPr>
                <w:ilvl w:val="0"/>
                <w:numId w:val="48"/>
              </w:numPr>
              <w:rPr>
                <w:rFonts w:cs="Arial"/>
                <w:sz w:val="16"/>
                <w:szCs w:val="16"/>
                <w:lang w:bidi="th-TH"/>
              </w:rPr>
            </w:pPr>
            <w:r w:rsidRPr="00FB7DDB">
              <w:rPr>
                <w:rFonts w:cs="Arial"/>
                <w:sz w:val="16"/>
                <w:szCs w:val="16"/>
                <w:lang w:bidi="th-TH"/>
              </w:rPr>
              <w:t>WIPO GREEN:</w:t>
            </w:r>
            <w:r>
              <w:rPr>
                <w:rFonts w:cs="Arial"/>
                <w:sz w:val="16"/>
                <w:szCs w:val="16"/>
                <w:lang w:bidi="th-TH"/>
              </w:rPr>
              <w:t xml:space="preserve"> </w:t>
            </w:r>
            <w:r w:rsidRPr="00962B36">
              <w:rPr>
                <w:rFonts w:cs="Arial"/>
                <w:sz w:val="16"/>
                <w:szCs w:val="16"/>
                <w:lang w:bidi="th-TH"/>
              </w:rPr>
              <w:t xml:space="preserve"> </w:t>
            </w:r>
            <w:r>
              <w:rPr>
                <w:rFonts w:cs="Arial"/>
                <w:sz w:val="16"/>
                <w:szCs w:val="16"/>
                <w:lang w:bidi="th-TH"/>
              </w:rPr>
              <w:t>77,752</w:t>
            </w:r>
          </w:p>
        </w:tc>
        <w:tc>
          <w:tcPr>
            <w:tcW w:w="519" w:type="pct"/>
            <w:tcBorders>
              <w:top w:val="nil"/>
              <w:bottom w:val="single" w:sz="4" w:space="0" w:color="auto"/>
              <w:right w:val="single" w:sz="4" w:space="0" w:color="auto"/>
            </w:tcBorders>
            <w:shd w:val="clear" w:color="auto" w:fill="auto"/>
            <w:tcMar>
              <w:top w:w="110" w:type="dxa"/>
            </w:tcMar>
          </w:tcPr>
          <w:p w:rsidR="00FB35F2" w:rsidRPr="00614E6E" w:rsidRDefault="00FB35F2" w:rsidP="00271CFB">
            <w:pPr>
              <w:keepNext/>
              <w:keepLines/>
              <w:spacing w:after="60"/>
              <w:jc w:val="center"/>
              <w:rPr>
                <w:rFonts w:cs="Arial"/>
                <w:b/>
                <w:bCs/>
                <w:color w:val="FF0000"/>
                <w:sz w:val="15"/>
                <w:szCs w:val="15"/>
              </w:rPr>
            </w:pPr>
            <w:r w:rsidRPr="00614E6E">
              <w:rPr>
                <w:rFonts w:cs="Arial"/>
                <w:b/>
                <w:bCs/>
                <w:color w:val="FF0000"/>
                <w:sz w:val="15"/>
                <w:szCs w:val="15"/>
              </w:rPr>
              <w:t xml:space="preserve">Not </w:t>
            </w:r>
            <w:r>
              <w:rPr>
                <w:rFonts w:cs="Arial"/>
                <w:b/>
                <w:bCs/>
                <w:color w:val="FF0000"/>
                <w:sz w:val="15"/>
                <w:szCs w:val="15"/>
              </w:rPr>
              <w:br/>
            </w:r>
            <w:r w:rsidRPr="00614E6E">
              <w:rPr>
                <w:rFonts w:cs="Arial"/>
                <w:b/>
                <w:bCs/>
                <w:color w:val="FF0000"/>
                <w:sz w:val="15"/>
                <w:szCs w:val="15"/>
              </w:rPr>
              <w:t>on track</w:t>
            </w:r>
          </w:p>
          <w:p w:rsidR="00FB35F2" w:rsidRPr="00614E6E" w:rsidRDefault="00FB35F2" w:rsidP="00271CFB">
            <w:pPr>
              <w:keepNext/>
              <w:keepLines/>
              <w:jc w:val="center"/>
              <w:rPr>
                <w:rFonts w:cs="Arial"/>
                <w:b/>
                <w:bCs/>
                <w:color w:val="A6A6A6" w:themeColor="background1" w:themeShade="A6"/>
                <w:sz w:val="12"/>
                <w:szCs w:val="16"/>
              </w:rPr>
            </w:pPr>
            <w:r w:rsidRPr="00614E6E">
              <w:rPr>
                <w:rFonts w:cs="Arial"/>
                <w:b/>
                <w:bCs/>
                <w:color w:val="A6A6A6" w:themeColor="background1" w:themeShade="A6"/>
                <w:sz w:val="12"/>
                <w:szCs w:val="16"/>
              </w:rPr>
              <w:t>Not Assessable</w:t>
            </w:r>
          </w:p>
          <w:p w:rsidR="00FB35F2" w:rsidRPr="00614E6E" w:rsidRDefault="00FB35F2" w:rsidP="00271CFB">
            <w:pPr>
              <w:keepNext/>
              <w:keepLines/>
              <w:spacing w:after="60"/>
              <w:jc w:val="center"/>
              <w:rPr>
                <w:rFonts w:cs="Arial"/>
                <w:b/>
                <w:bCs/>
                <w:color w:val="A6A6A6" w:themeColor="background1" w:themeShade="A6"/>
                <w:sz w:val="12"/>
                <w:szCs w:val="16"/>
              </w:rPr>
            </w:pPr>
          </w:p>
          <w:p w:rsidR="00FB35F2" w:rsidRPr="00614E6E" w:rsidRDefault="00FB35F2" w:rsidP="00271CFB">
            <w:pPr>
              <w:keepNext/>
              <w:keepLines/>
              <w:spacing w:after="60"/>
              <w:jc w:val="center"/>
              <w:rPr>
                <w:rFonts w:cs="Arial"/>
                <w:b/>
                <w:bCs/>
                <w:color w:val="A6A6A6" w:themeColor="background1" w:themeShade="A6"/>
                <w:sz w:val="12"/>
                <w:szCs w:val="16"/>
              </w:rPr>
            </w:pPr>
            <w:r w:rsidRPr="00614E6E">
              <w:rPr>
                <w:rFonts w:cs="Arial"/>
                <w:b/>
                <w:bCs/>
                <w:color w:val="A6A6A6" w:themeColor="background1" w:themeShade="A6"/>
                <w:sz w:val="12"/>
                <w:szCs w:val="16"/>
              </w:rPr>
              <w:t>Not Assessable</w:t>
            </w:r>
          </w:p>
          <w:p w:rsidR="00FB35F2" w:rsidRPr="00614E6E" w:rsidRDefault="00FB35F2" w:rsidP="00271CFB">
            <w:pPr>
              <w:keepNext/>
              <w:keepLines/>
              <w:jc w:val="center"/>
              <w:rPr>
                <w:rFonts w:cs="Arial"/>
                <w:b/>
                <w:bCs/>
                <w:color w:val="FF0000"/>
                <w:sz w:val="15"/>
                <w:szCs w:val="15"/>
              </w:rPr>
            </w:pPr>
            <w:r w:rsidRPr="00614E6E">
              <w:rPr>
                <w:rFonts w:cs="Arial"/>
                <w:b/>
                <w:bCs/>
                <w:color w:val="FF0000"/>
                <w:sz w:val="15"/>
                <w:szCs w:val="15"/>
              </w:rPr>
              <w:t xml:space="preserve">Not </w:t>
            </w:r>
            <w:r>
              <w:rPr>
                <w:rFonts w:cs="Arial"/>
                <w:b/>
                <w:bCs/>
                <w:color w:val="FF0000"/>
                <w:sz w:val="15"/>
                <w:szCs w:val="15"/>
              </w:rPr>
              <w:br/>
            </w:r>
            <w:r w:rsidRPr="00614E6E">
              <w:rPr>
                <w:rFonts w:cs="Arial"/>
                <w:b/>
                <w:bCs/>
                <w:color w:val="FF0000"/>
                <w:sz w:val="15"/>
                <w:szCs w:val="15"/>
              </w:rPr>
              <w:t>on track</w:t>
            </w:r>
          </w:p>
          <w:p w:rsidR="00FB35F2" w:rsidRPr="00614E6E" w:rsidRDefault="00FB35F2" w:rsidP="00271CFB">
            <w:pPr>
              <w:keepNext/>
              <w:keepLines/>
              <w:jc w:val="center"/>
              <w:rPr>
                <w:rFonts w:cs="Arial"/>
                <w:b/>
                <w:bCs/>
                <w:color w:val="008000"/>
                <w:sz w:val="11"/>
                <w:szCs w:val="15"/>
              </w:rPr>
            </w:pPr>
          </w:p>
          <w:p w:rsidR="00FB35F2" w:rsidRPr="00845557" w:rsidRDefault="00FB35F2" w:rsidP="00FB35F2">
            <w:pPr>
              <w:keepNext/>
              <w:keepLines/>
              <w:jc w:val="center"/>
              <w:rPr>
                <w:color w:val="00B050"/>
                <w:sz w:val="15"/>
              </w:rPr>
            </w:pPr>
            <w:r w:rsidRPr="00845557">
              <w:rPr>
                <w:b/>
                <w:color w:val="00B050"/>
                <w:sz w:val="15"/>
              </w:rPr>
              <w:t>On track</w:t>
            </w:r>
          </w:p>
        </w:tc>
      </w:tr>
    </w:tbl>
    <w:p w:rsidR="00FB35F2" w:rsidRDefault="00FB35F2">
      <w:r>
        <w:br w:type="page"/>
      </w: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5"/>
        <w:gridCol w:w="2696"/>
        <w:gridCol w:w="1275"/>
        <w:gridCol w:w="2412"/>
        <w:gridCol w:w="990"/>
      </w:tblGrid>
      <w:tr w:rsidR="00FB35F2" w:rsidRPr="00A1131D" w:rsidTr="00845557">
        <w:trPr>
          <w:cantSplit/>
          <w:trHeight w:val="521"/>
        </w:trPr>
        <w:tc>
          <w:tcPr>
            <w:tcW w:w="5000" w:type="pct"/>
            <w:gridSpan w:val="5"/>
            <w:tcBorders>
              <w:top w:val="single" w:sz="4" w:space="0" w:color="auto"/>
              <w:bottom w:val="single" w:sz="4" w:space="0" w:color="auto"/>
            </w:tcBorders>
            <w:shd w:val="clear" w:color="auto" w:fill="CCFFFF"/>
            <w:vAlign w:val="center"/>
          </w:tcPr>
          <w:p w:rsidR="00FB35F2" w:rsidRPr="00A1131D" w:rsidRDefault="00FB35F2" w:rsidP="00271CFB">
            <w:pPr>
              <w:keepNext/>
              <w:keepLines/>
              <w:tabs>
                <w:tab w:val="left" w:pos="1452"/>
              </w:tabs>
              <w:ind w:left="1452" w:hanging="1452"/>
              <w:rPr>
                <w:rFonts w:cs="Arial"/>
                <w:b/>
                <w:bCs/>
                <w:sz w:val="16"/>
                <w:szCs w:val="16"/>
              </w:rPr>
            </w:pPr>
            <w:r w:rsidRPr="00A1131D">
              <w:rPr>
                <w:rFonts w:cs="Arial"/>
                <w:b/>
                <w:bCs/>
                <w:sz w:val="16"/>
                <w:szCs w:val="16"/>
              </w:rPr>
              <w:lastRenderedPageBreak/>
              <w:t>Expected Result:</w:t>
            </w:r>
            <w:r w:rsidRPr="00A1131D">
              <w:rPr>
                <w:rFonts w:cs="Arial"/>
                <w:b/>
                <w:bCs/>
                <w:sz w:val="16"/>
                <w:szCs w:val="16"/>
              </w:rPr>
              <w:tab/>
            </w:r>
            <w:r w:rsidRPr="00A1131D">
              <w:rPr>
                <w:rFonts w:cs="Arial"/>
                <w:sz w:val="16"/>
                <w:szCs w:val="16"/>
              </w:rPr>
              <w:t>VII.3 Growing credibility of WIPO as a forum for analysis of issues in the field of IP and competition policy</w:t>
            </w:r>
          </w:p>
        </w:tc>
      </w:tr>
      <w:tr w:rsidR="00FB35F2" w:rsidRPr="00A1131D" w:rsidTr="00FB35F2">
        <w:trPr>
          <w:cantSplit/>
        </w:trPr>
        <w:tc>
          <w:tcPr>
            <w:tcW w:w="1119" w:type="pct"/>
            <w:tcBorders>
              <w:top w:val="single" w:sz="4" w:space="0" w:color="auto"/>
            </w:tcBorders>
            <w:shd w:val="clear" w:color="auto" w:fill="auto"/>
            <w:vAlign w:val="center"/>
          </w:tcPr>
          <w:p w:rsidR="00FB35F2" w:rsidRPr="00A1131D" w:rsidRDefault="00FB35F2" w:rsidP="00271CFB">
            <w:pPr>
              <w:rPr>
                <w:rFonts w:cs="Arial"/>
                <w:sz w:val="16"/>
                <w:szCs w:val="16"/>
              </w:rPr>
            </w:pPr>
            <w:r w:rsidRPr="00A1131D">
              <w:rPr>
                <w:rFonts w:cs="Arial"/>
                <w:b/>
                <w:bCs/>
                <w:sz w:val="16"/>
                <w:szCs w:val="16"/>
              </w:rPr>
              <w:t>Performance Indicators</w:t>
            </w:r>
          </w:p>
        </w:tc>
        <w:tc>
          <w:tcPr>
            <w:tcW w:w="1419" w:type="pct"/>
            <w:tcBorders>
              <w:top w:val="single" w:sz="4" w:space="0" w:color="auto"/>
            </w:tcBorders>
            <w:shd w:val="clear" w:color="auto" w:fill="auto"/>
            <w:vAlign w:val="center"/>
          </w:tcPr>
          <w:p w:rsidR="00FB35F2" w:rsidRPr="00A1131D" w:rsidRDefault="00FB35F2" w:rsidP="00271CFB">
            <w:pPr>
              <w:rPr>
                <w:rFonts w:cs="Arial"/>
                <w:b/>
                <w:bCs/>
                <w:sz w:val="16"/>
                <w:szCs w:val="16"/>
              </w:rPr>
            </w:pPr>
            <w:r w:rsidRPr="00A1131D">
              <w:rPr>
                <w:rFonts w:cs="Arial"/>
                <w:b/>
                <w:bCs/>
                <w:sz w:val="16"/>
                <w:szCs w:val="16"/>
              </w:rPr>
              <w:t>Baselines</w:t>
            </w:r>
          </w:p>
        </w:tc>
        <w:tc>
          <w:tcPr>
            <w:tcW w:w="671" w:type="pct"/>
            <w:tcBorders>
              <w:top w:val="single" w:sz="4" w:space="0" w:color="auto"/>
            </w:tcBorders>
            <w:shd w:val="clear" w:color="auto" w:fill="auto"/>
            <w:tcMar>
              <w:top w:w="110" w:type="dxa"/>
            </w:tcMar>
            <w:vAlign w:val="center"/>
          </w:tcPr>
          <w:p w:rsidR="00FB35F2" w:rsidRPr="00A1131D" w:rsidRDefault="00FB35F2" w:rsidP="00271CFB">
            <w:pPr>
              <w:rPr>
                <w:rFonts w:cs="Arial"/>
                <w:b/>
                <w:sz w:val="16"/>
                <w:szCs w:val="16"/>
              </w:rPr>
            </w:pPr>
            <w:r w:rsidRPr="00A1131D">
              <w:rPr>
                <w:rFonts w:cs="Arial"/>
                <w:b/>
                <w:sz w:val="16"/>
                <w:szCs w:val="16"/>
              </w:rPr>
              <w:t>Targets</w:t>
            </w:r>
          </w:p>
        </w:tc>
        <w:tc>
          <w:tcPr>
            <w:tcW w:w="1270" w:type="pct"/>
            <w:tcBorders>
              <w:top w:val="single" w:sz="4" w:space="0" w:color="auto"/>
            </w:tcBorders>
            <w:shd w:val="clear" w:color="auto" w:fill="FFFFFF"/>
            <w:tcMar>
              <w:top w:w="110" w:type="dxa"/>
            </w:tcMar>
            <w:vAlign w:val="center"/>
          </w:tcPr>
          <w:p w:rsidR="00FB35F2" w:rsidRPr="00A1131D" w:rsidRDefault="00FB35F2" w:rsidP="00271CFB">
            <w:pPr>
              <w:rPr>
                <w:rFonts w:cs="Arial"/>
                <w:sz w:val="16"/>
                <w:szCs w:val="16"/>
              </w:rPr>
            </w:pPr>
            <w:r w:rsidRPr="00A1131D">
              <w:rPr>
                <w:rFonts w:cs="Arial"/>
                <w:b/>
                <w:bCs/>
                <w:sz w:val="16"/>
                <w:szCs w:val="16"/>
              </w:rPr>
              <w:t>Performance Data</w:t>
            </w:r>
          </w:p>
        </w:tc>
        <w:tc>
          <w:tcPr>
            <w:tcW w:w="521" w:type="pct"/>
            <w:tcBorders>
              <w:top w:val="single" w:sz="4" w:space="0" w:color="auto"/>
            </w:tcBorders>
            <w:shd w:val="clear" w:color="auto" w:fill="auto"/>
            <w:tcMar>
              <w:top w:w="110" w:type="dxa"/>
            </w:tcMar>
            <w:vAlign w:val="center"/>
          </w:tcPr>
          <w:p w:rsidR="00FB35F2" w:rsidRPr="00A1131D" w:rsidRDefault="00FB35F2" w:rsidP="00271CFB">
            <w:pPr>
              <w:keepNext/>
              <w:keepLines/>
              <w:jc w:val="center"/>
              <w:rPr>
                <w:rFonts w:cs="Arial"/>
                <w:b/>
                <w:bCs/>
                <w:sz w:val="16"/>
                <w:szCs w:val="16"/>
              </w:rPr>
            </w:pPr>
            <w:r w:rsidRPr="00A1131D">
              <w:rPr>
                <w:rFonts w:cs="Arial"/>
                <w:b/>
                <w:bCs/>
                <w:sz w:val="16"/>
                <w:szCs w:val="16"/>
              </w:rPr>
              <w:t>TLS</w:t>
            </w:r>
          </w:p>
        </w:tc>
      </w:tr>
      <w:tr w:rsidR="00FB35F2" w:rsidRPr="00A1131D" w:rsidTr="00FB35F2">
        <w:trPr>
          <w:cantSplit/>
        </w:trPr>
        <w:tc>
          <w:tcPr>
            <w:tcW w:w="1119" w:type="pct"/>
            <w:shd w:val="clear" w:color="auto" w:fill="auto"/>
          </w:tcPr>
          <w:p w:rsidR="00FB35F2" w:rsidRPr="00A1131D" w:rsidRDefault="00FB35F2" w:rsidP="00271CFB">
            <w:pPr>
              <w:rPr>
                <w:rFonts w:cs="Arial"/>
                <w:sz w:val="16"/>
                <w:szCs w:val="16"/>
              </w:rPr>
            </w:pPr>
            <w:r w:rsidRPr="00A1131D">
              <w:rPr>
                <w:rFonts w:cs="Arial"/>
                <w:sz w:val="16"/>
                <w:szCs w:val="16"/>
              </w:rPr>
              <w:t>No. of countries requesting WIPO’s specific contribution on IP in relation to CP-related issues</w:t>
            </w:r>
          </w:p>
        </w:tc>
        <w:tc>
          <w:tcPr>
            <w:tcW w:w="1419" w:type="pct"/>
            <w:shd w:val="clear" w:color="auto" w:fill="auto"/>
          </w:tcPr>
          <w:p w:rsidR="00FB35F2" w:rsidRPr="00A1131D" w:rsidRDefault="00FB35F2" w:rsidP="00271CFB">
            <w:pPr>
              <w:rPr>
                <w:rFonts w:cs="Arial"/>
                <w:i/>
                <w:color w:val="002060"/>
                <w:sz w:val="16"/>
                <w:szCs w:val="16"/>
              </w:rPr>
            </w:pPr>
            <w:r w:rsidRPr="00A1131D">
              <w:rPr>
                <w:rFonts w:cs="Arial"/>
                <w:i/>
                <w:color w:val="002060"/>
                <w:sz w:val="16"/>
                <w:szCs w:val="16"/>
              </w:rPr>
              <w:t>Updated Baseline end 201</w:t>
            </w:r>
            <w:r>
              <w:rPr>
                <w:rFonts w:cs="Arial"/>
                <w:i/>
                <w:color w:val="002060"/>
                <w:sz w:val="16"/>
                <w:szCs w:val="16"/>
              </w:rPr>
              <w:t>3</w:t>
            </w:r>
            <w:r w:rsidRPr="00A1131D">
              <w:rPr>
                <w:rFonts w:cs="Arial"/>
                <w:i/>
                <w:color w:val="002060"/>
                <w:sz w:val="16"/>
                <w:szCs w:val="16"/>
              </w:rPr>
              <w:t xml:space="preserve">: </w:t>
            </w:r>
            <w:r w:rsidRPr="00EF03E1">
              <w:rPr>
                <w:rFonts w:cs="Arial"/>
                <w:color w:val="002060"/>
                <w:sz w:val="16"/>
                <w:szCs w:val="16"/>
              </w:rPr>
              <w:t xml:space="preserve">Six requests for bilateral discussions (Chile, Brazil, Ecuador, India, the Dominican Republic, </w:t>
            </w:r>
            <w:proofErr w:type="gramStart"/>
            <w:r w:rsidRPr="00EF03E1">
              <w:rPr>
                <w:rFonts w:cs="Arial"/>
                <w:color w:val="002060"/>
                <w:sz w:val="16"/>
                <w:szCs w:val="16"/>
              </w:rPr>
              <w:t>the</w:t>
            </w:r>
            <w:proofErr w:type="gramEnd"/>
            <w:r w:rsidRPr="00EF03E1">
              <w:rPr>
                <w:rFonts w:cs="Arial"/>
                <w:color w:val="002060"/>
                <w:sz w:val="16"/>
                <w:szCs w:val="16"/>
              </w:rPr>
              <w:t xml:space="preserve"> Republic of Moldova) and one request for legislative assistance (Bhutan).</w:t>
            </w:r>
          </w:p>
          <w:p w:rsidR="00FB35F2" w:rsidRPr="00A1131D" w:rsidRDefault="00FB35F2" w:rsidP="00271CFB">
            <w:pPr>
              <w:rPr>
                <w:rFonts w:cs="Arial"/>
                <w:i/>
                <w:color w:val="002060"/>
                <w:sz w:val="8"/>
                <w:szCs w:val="8"/>
              </w:rPr>
            </w:pPr>
            <w:r w:rsidRPr="00A1131D">
              <w:rPr>
                <w:rFonts w:cs="Arial"/>
                <w:color w:val="993300"/>
                <w:sz w:val="16"/>
                <w:szCs w:val="16"/>
              </w:rPr>
              <w:br/>
            </w:r>
          </w:p>
          <w:p w:rsidR="00FB35F2" w:rsidRPr="00A1131D" w:rsidRDefault="00FB35F2" w:rsidP="00FB35F2">
            <w:pPr>
              <w:rPr>
                <w:rFonts w:cs="Arial"/>
                <w:sz w:val="16"/>
                <w:szCs w:val="16"/>
              </w:rPr>
            </w:pPr>
            <w:r w:rsidRPr="00A1131D">
              <w:rPr>
                <w:rFonts w:cs="Arial"/>
                <w:i/>
                <w:sz w:val="16"/>
                <w:szCs w:val="16"/>
              </w:rPr>
              <w:t>Original Baseline P&amp;B 201</w:t>
            </w:r>
            <w:r>
              <w:rPr>
                <w:rFonts w:cs="Arial"/>
                <w:i/>
                <w:sz w:val="16"/>
                <w:szCs w:val="16"/>
              </w:rPr>
              <w:t>4</w:t>
            </w:r>
            <w:r w:rsidRPr="00A1131D">
              <w:rPr>
                <w:rFonts w:cs="Arial"/>
                <w:i/>
                <w:sz w:val="16"/>
                <w:szCs w:val="16"/>
              </w:rPr>
              <w:t>/1</w:t>
            </w:r>
            <w:r>
              <w:rPr>
                <w:rFonts w:cs="Arial"/>
                <w:i/>
                <w:sz w:val="16"/>
                <w:szCs w:val="16"/>
              </w:rPr>
              <w:t>5</w:t>
            </w:r>
            <w:r w:rsidRPr="00A1131D">
              <w:rPr>
                <w:rFonts w:cs="Arial"/>
                <w:i/>
                <w:sz w:val="16"/>
                <w:szCs w:val="16"/>
              </w:rPr>
              <w:t>:</w:t>
            </w:r>
            <w:r>
              <w:rPr>
                <w:rFonts w:cs="Arial"/>
                <w:sz w:val="16"/>
                <w:szCs w:val="16"/>
              </w:rPr>
              <w:t xml:space="preserve">  12</w:t>
            </w:r>
          </w:p>
        </w:tc>
        <w:tc>
          <w:tcPr>
            <w:tcW w:w="671" w:type="pct"/>
            <w:shd w:val="clear" w:color="auto" w:fill="auto"/>
            <w:tcMar>
              <w:top w:w="110" w:type="dxa"/>
            </w:tcMar>
          </w:tcPr>
          <w:p w:rsidR="00FB35F2" w:rsidRPr="00A1131D" w:rsidRDefault="00FB35F2" w:rsidP="00271CFB">
            <w:pPr>
              <w:rPr>
                <w:rFonts w:cs="Arial"/>
                <w:sz w:val="16"/>
                <w:szCs w:val="16"/>
              </w:rPr>
            </w:pPr>
            <w:r>
              <w:rPr>
                <w:rFonts w:cs="Arial"/>
                <w:sz w:val="16"/>
                <w:szCs w:val="16"/>
              </w:rPr>
              <w:t>15</w:t>
            </w:r>
          </w:p>
        </w:tc>
        <w:tc>
          <w:tcPr>
            <w:tcW w:w="1270" w:type="pct"/>
            <w:shd w:val="clear" w:color="auto" w:fill="FFFFFF"/>
            <w:tcMar>
              <w:top w:w="110" w:type="dxa"/>
            </w:tcMar>
          </w:tcPr>
          <w:p w:rsidR="00FB35F2" w:rsidRPr="00B65DD3" w:rsidRDefault="00FB35F2" w:rsidP="00271CFB">
            <w:pPr>
              <w:rPr>
                <w:rFonts w:cs="Arial"/>
                <w:sz w:val="16"/>
                <w:szCs w:val="16"/>
                <w:lang w:bidi="th-TH"/>
              </w:rPr>
            </w:pPr>
            <w:r w:rsidRPr="00A1131D">
              <w:rPr>
                <w:rFonts w:cs="Arial"/>
                <w:sz w:val="16"/>
                <w:szCs w:val="16"/>
                <w:lang w:bidi="th-TH"/>
              </w:rPr>
              <w:t xml:space="preserve">12 requests received </w:t>
            </w:r>
            <w:r>
              <w:rPr>
                <w:rFonts w:cs="Arial"/>
                <w:sz w:val="16"/>
                <w:szCs w:val="16"/>
                <w:lang w:bidi="th-TH"/>
              </w:rPr>
              <w:t>(</w:t>
            </w:r>
            <w:r w:rsidRPr="00B65DD3">
              <w:rPr>
                <w:rFonts w:cs="Arial"/>
                <w:sz w:val="16"/>
                <w:szCs w:val="16"/>
                <w:lang w:bidi="th-TH"/>
              </w:rPr>
              <w:t>Brazil</w:t>
            </w:r>
            <w:r>
              <w:rPr>
                <w:rFonts w:cs="Arial"/>
                <w:sz w:val="16"/>
                <w:szCs w:val="16"/>
                <w:lang w:bidi="th-TH"/>
              </w:rPr>
              <w:t>,</w:t>
            </w:r>
          </w:p>
          <w:p w:rsidR="00FB35F2" w:rsidRPr="00A1131D" w:rsidRDefault="00FB35F2" w:rsidP="00271CFB">
            <w:pPr>
              <w:rPr>
                <w:rFonts w:cs="Arial"/>
                <w:sz w:val="16"/>
                <w:szCs w:val="16"/>
                <w:lang w:bidi="th-TH"/>
              </w:rPr>
            </w:pPr>
            <w:r w:rsidRPr="00B65DD3">
              <w:rPr>
                <w:rFonts w:cs="Arial"/>
                <w:sz w:val="16"/>
                <w:szCs w:val="16"/>
                <w:lang w:bidi="th-TH"/>
              </w:rPr>
              <w:t>Colombia</w:t>
            </w:r>
            <w:r>
              <w:rPr>
                <w:rFonts w:cs="Arial"/>
                <w:sz w:val="16"/>
                <w:szCs w:val="16"/>
                <w:lang w:bidi="th-TH"/>
              </w:rPr>
              <w:t xml:space="preserve">, </w:t>
            </w:r>
            <w:r w:rsidRPr="00B65DD3">
              <w:rPr>
                <w:rFonts w:cs="Arial"/>
                <w:sz w:val="16"/>
                <w:szCs w:val="16"/>
                <w:lang w:bidi="th-TH"/>
              </w:rPr>
              <w:t>Cuba</w:t>
            </w:r>
            <w:r>
              <w:rPr>
                <w:rFonts w:cs="Arial"/>
                <w:sz w:val="16"/>
                <w:szCs w:val="16"/>
                <w:lang w:bidi="th-TH"/>
              </w:rPr>
              <w:t xml:space="preserve">, </w:t>
            </w:r>
            <w:r w:rsidRPr="00B65DD3">
              <w:rPr>
                <w:rFonts w:cs="Arial"/>
                <w:sz w:val="16"/>
                <w:szCs w:val="16"/>
                <w:lang w:bidi="th-TH"/>
              </w:rPr>
              <w:t>Dominican Republic</w:t>
            </w:r>
            <w:r>
              <w:rPr>
                <w:rFonts w:cs="Arial"/>
                <w:sz w:val="16"/>
                <w:szCs w:val="16"/>
                <w:lang w:bidi="th-TH"/>
              </w:rPr>
              <w:t xml:space="preserve">, </w:t>
            </w:r>
            <w:r w:rsidRPr="00B65DD3">
              <w:rPr>
                <w:rFonts w:cs="Arial"/>
                <w:sz w:val="16"/>
                <w:szCs w:val="16"/>
                <w:lang w:bidi="th-TH"/>
              </w:rPr>
              <w:t>Ecuador</w:t>
            </w:r>
            <w:r>
              <w:rPr>
                <w:rFonts w:cs="Arial"/>
                <w:sz w:val="16"/>
                <w:szCs w:val="16"/>
                <w:lang w:bidi="th-TH"/>
              </w:rPr>
              <w:t xml:space="preserve">, </w:t>
            </w:r>
            <w:r w:rsidRPr="00B65DD3">
              <w:rPr>
                <w:rFonts w:cs="Arial"/>
                <w:sz w:val="16"/>
                <w:szCs w:val="16"/>
                <w:lang w:bidi="th-TH"/>
              </w:rPr>
              <w:t>India</w:t>
            </w:r>
            <w:r>
              <w:rPr>
                <w:rFonts w:cs="Arial"/>
                <w:sz w:val="16"/>
                <w:szCs w:val="16"/>
                <w:lang w:bidi="th-TH"/>
              </w:rPr>
              <w:t xml:space="preserve">, </w:t>
            </w:r>
            <w:r w:rsidRPr="00B65DD3">
              <w:rPr>
                <w:rFonts w:cs="Arial"/>
                <w:sz w:val="16"/>
                <w:szCs w:val="16"/>
                <w:lang w:bidi="th-TH"/>
              </w:rPr>
              <w:t>Italy</w:t>
            </w:r>
            <w:r>
              <w:rPr>
                <w:rFonts w:cs="Arial"/>
                <w:sz w:val="16"/>
                <w:szCs w:val="16"/>
                <w:lang w:bidi="th-TH"/>
              </w:rPr>
              <w:t xml:space="preserve">, </w:t>
            </w:r>
            <w:r w:rsidRPr="00B65DD3">
              <w:rPr>
                <w:rFonts w:cs="Arial"/>
                <w:sz w:val="16"/>
                <w:szCs w:val="16"/>
                <w:lang w:bidi="th-TH"/>
              </w:rPr>
              <w:t>Peru</w:t>
            </w:r>
            <w:r>
              <w:rPr>
                <w:rFonts w:cs="Arial"/>
                <w:sz w:val="16"/>
                <w:szCs w:val="16"/>
                <w:lang w:bidi="th-TH"/>
              </w:rPr>
              <w:t xml:space="preserve">, </w:t>
            </w:r>
            <w:r w:rsidRPr="00B65DD3">
              <w:rPr>
                <w:rFonts w:cs="Arial"/>
                <w:sz w:val="16"/>
                <w:szCs w:val="16"/>
                <w:lang w:bidi="th-TH"/>
              </w:rPr>
              <w:t>Philippines</w:t>
            </w:r>
            <w:r>
              <w:rPr>
                <w:rFonts w:cs="Arial"/>
                <w:sz w:val="16"/>
                <w:szCs w:val="16"/>
                <w:lang w:bidi="th-TH"/>
              </w:rPr>
              <w:t xml:space="preserve">, </w:t>
            </w:r>
            <w:r w:rsidRPr="00B65DD3">
              <w:rPr>
                <w:rFonts w:cs="Arial"/>
                <w:sz w:val="16"/>
                <w:szCs w:val="16"/>
                <w:lang w:bidi="th-TH"/>
              </w:rPr>
              <w:t>Singapore</w:t>
            </w:r>
            <w:r>
              <w:rPr>
                <w:rFonts w:cs="Arial"/>
                <w:sz w:val="16"/>
                <w:szCs w:val="16"/>
                <w:lang w:bidi="th-TH"/>
              </w:rPr>
              <w:t xml:space="preserve">, </w:t>
            </w:r>
            <w:r w:rsidRPr="00B65DD3">
              <w:rPr>
                <w:rFonts w:cs="Arial"/>
                <w:sz w:val="16"/>
                <w:szCs w:val="16"/>
                <w:lang w:bidi="th-TH"/>
              </w:rPr>
              <w:t>South Africa</w:t>
            </w:r>
            <w:r>
              <w:rPr>
                <w:rFonts w:cs="Arial"/>
                <w:sz w:val="16"/>
                <w:szCs w:val="16"/>
                <w:lang w:bidi="th-TH"/>
              </w:rPr>
              <w:t>, Viet N</w:t>
            </w:r>
            <w:r w:rsidRPr="00B65DD3">
              <w:rPr>
                <w:rFonts w:cs="Arial"/>
                <w:sz w:val="16"/>
                <w:szCs w:val="16"/>
                <w:lang w:bidi="th-TH"/>
              </w:rPr>
              <w:t>am</w:t>
            </w:r>
            <w:r>
              <w:rPr>
                <w:rFonts w:cs="Arial"/>
                <w:sz w:val="16"/>
                <w:szCs w:val="16"/>
                <w:lang w:bidi="th-TH"/>
              </w:rPr>
              <w:t>)</w:t>
            </w:r>
          </w:p>
        </w:tc>
        <w:tc>
          <w:tcPr>
            <w:tcW w:w="521" w:type="pct"/>
            <w:shd w:val="clear" w:color="auto" w:fill="auto"/>
            <w:tcMar>
              <w:top w:w="110" w:type="dxa"/>
            </w:tcMar>
          </w:tcPr>
          <w:p w:rsidR="00FB35F2" w:rsidRPr="00845557" w:rsidRDefault="00FB35F2" w:rsidP="00271CFB">
            <w:pPr>
              <w:keepNext/>
              <w:keepLines/>
              <w:jc w:val="center"/>
              <w:rPr>
                <w:b/>
                <w:color w:val="00B050"/>
                <w:sz w:val="16"/>
              </w:rPr>
            </w:pPr>
            <w:r w:rsidRPr="00845557">
              <w:rPr>
                <w:b/>
                <w:color w:val="00B050"/>
                <w:sz w:val="16"/>
              </w:rPr>
              <w:t>On track</w:t>
            </w:r>
            <w:r w:rsidRPr="00845557" w:rsidDel="00FF2AD6">
              <w:rPr>
                <w:b/>
                <w:color w:val="00B050"/>
                <w:sz w:val="16"/>
              </w:rPr>
              <w:t xml:space="preserve"> </w:t>
            </w:r>
          </w:p>
        </w:tc>
      </w:tr>
      <w:tr w:rsidR="00FB35F2" w:rsidRPr="00A1131D" w:rsidTr="00FB35F2">
        <w:trPr>
          <w:cantSplit/>
        </w:trPr>
        <w:tc>
          <w:tcPr>
            <w:tcW w:w="1119" w:type="pct"/>
            <w:shd w:val="clear" w:color="auto" w:fill="auto"/>
          </w:tcPr>
          <w:p w:rsidR="00FB35F2" w:rsidRPr="00A1131D" w:rsidRDefault="00FB35F2" w:rsidP="00271CFB">
            <w:pPr>
              <w:rPr>
                <w:rFonts w:cs="Arial"/>
                <w:sz w:val="16"/>
                <w:szCs w:val="16"/>
              </w:rPr>
            </w:pPr>
            <w:r w:rsidRPr="00A1131D">
              <w:rPr>
                <w:rFonts w:cs="Arial"/>
                <w:sz w:val="16"/>
                <w:szCs w:val="16"/>
              </w:rPr>
              <w:t>No. and diversity of stakeholders (IP offices, competition authorities, relevant IGOs and NGOs) engaged in dialogue with WIPO</w:t>
            </w:r>
          </w:p>
          <w:p w:rsidR="00FB35F2" w:rsidRPr="00A1131D" w:rsidRDefault="00FB35F2" w:rsidP="00271CFB">
            <w:pPr>
              <w:rPr>
                <w:rFonts w:cs="Arial"/>
                <w:sz w:val="16"/>
                <w:szCs w:val="16"/>
              </w:rPr>
            </w:pPr>
          </w:p>
        </w:tc>
        <w:tc>
          <w:tcPr>
            <w:tcW w:w="1419" w:type="pct"/>
            <w:shd w:val="clear" w:color="auto" w:fill="auto"/>
          </w:tcPr>
          <w:p w:rsidR="00FB35F2" w:rsidRPr="00EF03E1" w:rsidRDefault="00FB35F2" w:rsidP="00271CFB">
            <w:pPr>
              <w:rPr>
                <w:rFonts w:cs="Arial"/>
                <w:color w:val="002060"/>
                <w:sz w:val="16"/>
                <w:szCs w:val="16"/>
              </w:rPr>
            </w:pPr>
            <w:r w:rsidRPr="00A1131D">
              <w:rPr>
                <w:rFonts w:cs="Arial"/>
                <w:i/>
                <w:color w:val="002060"/>
                <w:sz w:val="16"/>
                <w:szCs w:val="16"/>
              </w:rPr>
              <w:t>Updated Baseline end 201</w:t>
            </w:r>
            <w:r>
              <w:rPr>
                <w:rFonts w:cs="Arial"/>
                <w:i/>
                <w:color w:val="002060"/>
                <w:sz w:val="16"/>
                <w:szCs w:val="16"/>
              </w:rPr>
              <w:t>3</w:t>
            </w:r>
            <w:r w:rsidRPr="00A1131D">
              <w:rPr>
                <w:rFonts w:cs="Arial"/>
                <w:i/>
                <w:color w:val="002060"/>
                <w:sz w:val="16"/>
                <w:szCs w:val="16"/>
              </w:rPr>
              <w:t xml:space="preserve">: </w:t>
            </w:r>
            <w:r w:rsidRPr="00EF03E1">
              <w:rPr>
                <w:rFonts w:cs="Arial"/>
                <w:color w:val="002060"/>
                <w:sz w:val="16"/>
                <w:szCs w:val="16"/>
              </w:rPr>
              <w:t>19</w:t>
            </w:r>
            <w:r>
              <w:rPr>
                <w:rFonts w:cs="Arial"/>
                <w:color w:val="002060"/>
                <w:sz w:val="16"/>
                <w:szCs w:val="16"/>
              </w:rPr>
              <w:t> </w:t>
            </w:r>
            <w:r w:rsidRPr="00EF03E1">
              <w:rPr>
                <w:rFonts w:cs="Arial"/>
                <w:color w:val="002060"/>
                <w:sz w:val="16"/>
                <w:szCs w:val="16"/>
              </w:rPr>
              <w:t xml:space="preserve">workshops and meetings engaging 38 competition authorities and 5 IGOs. Establishment of informal coordination with UNCTAD, WTO and OECD.  Active participation in the International Competition Network. Cooperation with the Common Market for Eastern and Southern Africa (COMESA). </w:t>
            </w:r>
          </w:p>
          <w:p w:rsidR="00FB35F2" w:rsidRDefault="00FB35F2" w:rsidP="00271CFB">
            <w:pPr>
              <w:rPr>
                <w:rFonts w:cs="Arial"/>
                <w:i/>
                <w:color w:val="002060"/>
                <w:sz w:val="16"/>
                <w:szCs w:val="16"/>
              </w:rPr>
            </w:pPr>
          </w:p>
          <w:p w:rsidR="00FB35F2" w:rsidRPr="00A1131D" w:rsidRDefault="00FB35F2" w:rsidP="00FB35F2">
            <w:pPr>
              <w:rPr>
                <w:rFonts w:cs="Arial"/>
                <w:sz w:val="16"/>
                <w:szCs w:val="16"/>
              </w:rPr>
            </w:pPr>
            <w:r w:rsidRPr="00A1131D">
              <w:rPr>
                <w:rFonts w:cs="Arial"/>
                <w:i/>
                <w:sz w:val="16"/>
                <w:szCs w:val="16"/>
              </w:rPr>
              <w:t>Original Baseline P&amp;B 201</w:t>
            </w:r>
            <w:r>
              <w:rPr>
                <w:rFonts w:cs="Arial"/>
                <w:i/>
                <w:sz w:val="16"/>
                <w:szCs w:val="16"/>
              </w:rPr>
              <w:t>4</w:t>
            </w:r>
            <w:r w:rsidRPr="00A1131D">
              <w:rPr>
                <w:rFonts w:cs="Arial"/>
                <w:i/>
                <w:sz w:val="16"/>
                <w:szCs w:val="16"/>
              </w:rPr>
              <w:t>/1</w:t>
            </w:r>
            <w:r>
              <w:rPr>
                <w:rFonts w:cs="Arial"/>
                <w:i/>
                <w:sz w:val="16"/>
                <w:szCs w:val="16"/>
              </w:rPr>
              <w:t>5</w:t>
            </w:r>
            <w:r w:rsidRPr="00A1131D">
              <w:rPr>
                <w:rFonts w:cs="Arial"/>
                <w:i/>
                <w:sz w:val="16"/>
                <w:szCs w:val="16"/>
              </w:rPr>
              <w:t>:</w:t>
            </w:r>
            <w:r>
              <w:rPr>
                <w:rFonts w:cs="Arial"/>
                <w:sz w:val="16"/>
                <w:szCs w:val="16"/>
              </w:rPr>
              <w:t xml:space="preserve"> </w:t>
            </w:r>
            <w:r w:rsidRPr="00EF03E1">
              <w:rPr>
                <w:rFonts w:cs="Arial"/>
                <w:sz w:val="16"/>
                <w:szCs w:val="16"/>
              </w:rPr>
              <w:t>WIPO engaged 25 national competition authorities and 3</w:t>
            </w:r>
            <w:r>
              <w:rPr>
                <w:rFonts w:cs="Arial"/>
                <w:sz w:val="16"/>
                <w:szCs w:val="16"/>
              </w:rPr>
              <w:t> </w:t>
            </w:r>
            <w:r w:rsidRPr="00EF03E1">
              <w:rPr>
                <w:rFonts w:cs="Arial"/>
                <w:sz w:val="16"/>
                <w:szCs w:val="16"/>
              </w:rPr>
              <w:t xml:space="preserve">IGOs </w:t>
            </w:r>
          </w:p>
        </w:tc>
        <w:tc>
          <w:tcPr>
            <w:tcW w:w="671" w:type="pct"/>
            <w:shd w:val="clear" w:color="auto" w:fill="auto"/>
            <w:tcMar>
              <w:top w:w="110" w:type="dxa"/>
            </w:tcMar>
          </w:tcPr>
          <w:p w:rsidR="00FB35F2" w:rsidRPr="00A1131D" w:rsidRDefault="00FB35F2" w:rsidP="00271CFB">
            <w:pPr>
              <w:autoSpaceDE w:val="0"/>
              <w:autoSpaceDN w:val="0"/>
              <w:adjustRightInd w:val="0"/>
              <w:rPr>
                <w:rFonts w:cs="Arial"/>
                <w:sz w:val="16"/>
                <w:szCs w:val="16"/>
              </w:rPr>
            </w:pPr>
            <w:r w:rsidRPr="00A1131D">
              <w:rPr>
                <w:rFonts w:cs="Arial"/>
                <w:sz w:val="16"/>
                <w:szCs w:val="16"/>
              </w:rPr>
              <w:t>Increase of stakeholders engaged in WIPO’s activities</w:t>
            </w:r>
            <w:r>
              <w:rPr>
                <w:rFonts w:cs="Arial"/>
                <w:sz w:val="16"/>
                <w:szCs w:val="16"/>
              </w:rPr>
              <w:t>:</w:t>
            </w:r>
            <w:r w:rsidRPr="00A1131D">
              <w:rPr>
                <w:rFonts w:cs="Arial"/>
                <w:sz w:val="16"/>
                <w:szCs w:val="16"/>
              </w:rPr>
              <w:t xml:space="preserve"> 35</w:t>
            </w:r>
            <w:r>
              <w:rPr>
                <w:rFonts w:cs="Arial"/>
                <w:sz w:val="16"/>
                <w:szCs w:val="16"/>
              </w:rPr>
              <w:t> </w:t>
            </w:r>
            <w:r w:rsidRPr="00A1131D">
              <w:rPr>
                <w:rFonts w:cs="Arial"/>
                <w:sz w:val="16"/>
                <w:szCs w:val="16"/>
              </w:rPr>
              <w:t>national authorities and 5</w:t>
            </w:r>
            <w:r>
              <w:rPr>
                <w:rFonts w:cs="Arial"/>
                <w:sz w:val="16"/>
                <w:szCs w:val="16"/>
              </w:rPr>
              <w:t> </w:t>
            </w:r>
            <w:r w:rsidRPr="00A1131D">
              <w:rPr>
                <w:rFonts w:cs="Arial"/>
                <w:sz w:val="16"/>
                <w:szCs w:val="16"/>
              </w:rPr>
              <w:t>IGOs/NGOs</w:t>
            </w:r>
          </w:p>
        </w:tc>
        <w:tc>
          <w:tcPr>
            <w:tcW w:w="1270" w:type="pct"/>
            <w:shd w:val="clear" w:color="auto" w:fill="FFFFFF"/>
            <w:tcMar>
              <w:top w:w="110" w:type="dxa"/>
            </w:tcMar>
          </w:tcPr>
          <w:p w:rsidR="00FB35F2" w:rsidRPr="00A1131D" w:rsidRDefault="00FB35F2" w:rsidP="00271CFB">
            <w:pPr>
              <w:rPr>
                <w:rFonts w:cs="Arial"/>
                <w:sz w:val="16"/>
                <w:szCs w:val="16"/>
              </w:rPr>
            </w:pPr>
            <w:r w:rsidRPr="00A1131D">
              <w:rPr>
                <w:rFonts w:cs="Arial"/>
                <w:sz w:val="16"/>
                <w:szCs w:val="16"/>
                <w:lang w:bidi="th-TH"/>
              </w:rPr>
              <w:t xml:space="preserve">26 </w:t>
            </w:r>
            <w:r>
              <w:rPr>
                <w:rFonts w:cs="Arial"/>
                <w:sz w:val="16"/>
                <w:szCs w:val="16"/>
                <w:lang w:bidi="th-TH"/>
              </w:rPr>
              <w:t>additional c</w:t>
            </w:r>
            <w:r w:rsidRPr="00A1131D">
              <w:rPr>
                <w:rFonts w:cs="Arial"/>
                <w:sz w:val="16"/>
                <w:szCs w:val="16"/>
                <w:lang w:bidi="th-TH"/>
              </w:rPr>
              <w:t xml:space="preserve">ompetition </w:t>
            </w:r>
            <w:r>
              <w:rPr>
                <w:rFonts w:cs="Arial"/>
                <w:sz w:val="16"/>
                <w:szCs w:val="16"/>
                <w:lang w:bidi="th-TH"/>
              </w:rPr>
              <w:t>a</w:t>
            </w:r>
            <w:r w:rsidRPr="00A1131D">
              <w:rPr>
                <w:rFonts w:cs="Arial"/>
                <w:sz w:val="16"/>
                <w:szCs w:val="16"/>
                <w:lang w:bidi="th-TH"/>
              </w:rPr>
              <w:t xml:space="preserve">uthorities involved and </w:t>
            </w:r>
            <w:r>
              <w:rPr>
                <w:rFonts w:cs="Arial"/>
                <w:sz w:val="16"/>
                <w:szCs w:val="16"/>
                <w:lang w:bidi="th-TH"/>
              </w:rPr>
              <w:t xml:space="preserve">continued engagement with </w:t>
            </w:r>
            <w:r w:rsidRPr="00A1131D">
              <w:rPr>
                <w:rFonts w:cs="Arial"/>
                <w:sz w:val="16"/>
                <w:szCs w:val="16"/>
                <w:lang w:bidi="th-TH"/>
              </w:rPr>
              <w:t>5 IGOs/NGOs</w:t>
            </w:r>
            <w:r>
              <w:rPr>
                <w:rFonts w:cs="Arial"/>
                <w:sz w:val="16"/>
                <w:szCs w:val="16"/>
                <w:lang w:bidi="th-TH"/>
              </w:rPr>
              <w:t xml:space="preserve"> </w:t>
            </w:r>
            <w:r w:rsidRPr="007B626C">
              <w:rPr>
                <w:rFonts w:cs="Arial"/>
                <w:sz w:val="16"/>
                <w:szCs w:val="16"/>
                <w:lang w:bidi="th-TH"/>
              </w:rPr>
              <w:t xml:space="preserve">(OECD, UNCTAD, </w:t>
            </w:r>
            <w:r>
              <w:rPr>
                <w:rFonts w:cs="Arial"/>
                <w:sz w:val="16"/>
                <w:szCs w:val="16"/>
                <w:lang w:bidi="th-TH"/>
              </w:rPr>
              <w:t xml:space="preserve">the </w:t>
            </w:r>
            <w:r w:rsidRPr="007B626C">
              <w:rPr>
                <w:rFonts w:cs="Arial"/>
                <w:sz w:val="16"/>
                <w:szCs w:val="16"/>
                <w:lang w:bidi="th-TH"/>
              </w:rPr>
              <w:t>WTO</w:t>
            </w:r>
            <w:r>
              <w:rPr>
                <w:rFonts w:cs="Arial"/>
                <w:sz w:val="16"/>
                <w:szCs w:val="16"/>
                <w:lang w:bidi="th-TH"/>
              </w:rPr>
              <w:t>,</w:t>
            </w:r>
            <w:r w:rsidRPr="007B626C">
              <w:rPr>
                <w:rFonts w:cs="Arial"/>
                <w:sz w:val="16"/>
                <w:szCs w:val="16"/>
                <w:lang w:bidi="th-TH"/>
              </w:rPr>
              <w:t xml:space="preserve"> ICN, COMESA)</w:t>
            </w:r>
          </w:p>
        </w:tc>
        <w:tc>
          <w:tcPr>
            <w:tcW w:w="521" w:type="pct"/>
            <w:shd w:val="clear" w:color="auto" w:fill="auto"/>
            <w:tcMar>
              <w:top w:w="110" w:type="dxa"/>
            </w:tcMar>
          </w:tcPr>
          <w:p w:rsidR="00FB35F2" w:rsidRPr="00845557" w:rsidRDefault="00FB35F2" w:rsidP="00271CFB">
            <w:pPr>
              <w:keepNext/>
              <w:keepLines/>
              <w:jc w:val="center"/>
              <w:rPr>
                <w:b/>
                <w:color w:val="00B050"/>
                <w:sz w:val="16"/>
              </w:rPr>
            </w:pPr>
            <w:r w:rsidRPr="00845557">
              <w:rPr>
                <w:b/>
                <w:color w:val="00B050"/>
                <w:sz w:val="16"/>
              </w:rPr>
              <w:t>On track</w:t>
            </w:r>
          </w:p>
        </w:tc>
      </w:tr>
    </w:tbl>
    <w:p w:rsidR="005C6F8E" w:rsidRDefault="005C6F8E" w:rsidP="00C3728B">
      <w:pPr>
        <w:rPr>
          <w:bCs/>
          <w:sz w:val="22"/>
          <w:szCs w:val="22"/>
        </w:rPr>
      </w:pPr>
    </w:p>
    <w:p w:rsidR="00FB35F2" w:rsidRDefault="00FB35F2" w:rsidP="00C3728B">
      <w:pPr>
        <w:rPr>
          <w:bCs/>
          <w:sz w:val="22"/>
          <w:szCs w:val="22"/>
        </w:rPr>
      </w:pPr>
    </w:p>
    <w:p w:rsidR="005C6F8E" w:rsidRDefault="005C6F8E" w:rsidP="00A8525E">
      <w:pPr>
        <w:rPr>
          <w:b/>
          <w:sz w:val="18"/>
          <w:szCs w:val="18"/>
        </w:rPr>
      </w:pPr>
      <w:r>
        <w:rPr>
          <w:rFonts w:cs="Arial"/>
          <w:color w:val="000000"/>
          <w:sz w:val="22"/>
          <w:szCs w:val="22"/>
        </w:rPr>
        <w:t>RESOURCE UTILIZATION</w:t>
      </w:r>
      <w:r>
        <w:rPr>
          <w:rFonts w:cs="Arial"/>
          <w:color w:val="000000"/>
          <w:sz w:val="22"/>
          <w:szCs w:val="22"/>
        </w:rPr>
        <w:tab/>
      </w:r>
    </w:p>
    <w:p w:rsidR="005C6F8E" w:rsidRPr="008F4A6D" w:rsidRDefault="005C6F8E">
      <w:pPr>
        <w:rPr>
          <w:szCs w:val="20"/>
        </w:rPr>
      </w:pPr>
    </w:p>
    <w:p w:rsidR="005C6F8E" w:rsidRPr="00383D2D" w:rsidRDefault="005C6F8E" w:rsidP="004611B9">
      <w:pPr>
        <w:pStyle w:val="NormalWeb"/>
        <w:spacing w:before="0" w:beforeAutospacing="0" w:after="0" w:afterAutospacing="0"/>
        <w:jc w:val="center"/>
        <w:rPr>
          <w:sz w:val="20"/>
          <w:szCs w:val="20"/>
        </w:rPr>
      </w:pPr>
      <w:r w:rsidRPr="00383D2D">
        <w:rPr>
          <w:color w:val="000000"/>
          <w:sz w:val="20"/>
          <w:szCs w:val="20"/>
        </w:rPr>
        <w:t xml:space="preserve">Budget and Actual Expenditure (by result) </w:t>
      </w:r>
    </w:p>
    <w:p w:rsidR="005C6F8E" w:rsidRDefault="005C6F8E" w:rsidP="004611B9">
      <w:pPr>
        <w:pStyle w:val="NormalWeb"/>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FB35F2" w:rsidRDefault="00FB35F2" w:rsidP="004611B9">
      <w:pPr>
        <w:pStyle w:val="NormalWeb"/>
        <w:spacing w:before="0" w:beforeAutospacing="0" w:after="0" w:afterAutospacing="0"/>
        <w:jc w:val="center"/>
        <w:rPr>
          <w:i/>
          <w:iCs/>
          <w:color w:val="000000"/>
          <w:sz w:val="20"/>
          <w:szCs w:val="20"/>
        </w:rPr>
      </w:pPr>
    </w:p>
    <w:p w:rsidR="005C6F8E" w:rsidRDefault="005C6F8E" w:rsidP="00271CFB">
      <w:pPr>
        <w:jc w:val="center"/>
      </w:pPr>
      <w:r w:rsidRPr="002867DB">
        <w:rPr>
          <w:noProof/>
        </w:rPr>
        <w:drawing>
          <wp:inline distT="0" distB="0" distL="0" distR="0" wp14:anchorId="159AF3D0" wp14:editId="748839BE">
            <wp:extent cx="4657060" cy="428777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670642" cy="4300284"/>
                    </a:xfrm>
                    <a:prstGeom prst="rect">
                      <a:avLst/>
                    </a:prstGeom>
                    <a:noFill/>
                    <a:ln>
                      <a:noFill/>
                    </a:ln>
                  </pic:spPr>
                </pic:pic>
              </a:graphicData>
            </a:graphic>
          </wp:inline>
        </w:drawing>
      </w:r>
    </w:p>
    <w:p w:rsidR="005C6F8E" w:rsidRDefault="005C6F8E"/>
    <w:p w:rsidR="005C6F8E" w:rsidRPr="00383D2D" w:rsidRDefault="005C6F8E" w:rsidP="00383D2D">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5C6F8E" w:rsidRPr="00383D2D" w:rsidRDefault="005C6F8E" w:rsidP="00383D2D">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5C6F8E" w:rsidRDefault="005C6F8E" w:rsidP="00383D2D">
      <w:pPr>
        <w:pStyle w:val="NormalWeb"/>
        <w:keepNext/>
        <w:keepLines/>
        <w:spacing w:before="0" w:beforeAutospacing="0" w:after="0" w:afterAutospacing="0"/>
        <w:jc w:val="center"/>
      </w:pPr>
    </w:p>
    <w:p w:rsidR="005C6F8E" w:rsidRPr="00383D2D" w:rsidRDefault="005C6F8E" w:rsidP="00271CFB">
      <w:pPr>
        <w:jc w:val="center"/>
        <w:rPr>
          <w:szCs w:val="20"/>
        </w:rPr>
      </w:pPr>
      <w:r w:rsidRPr="00BC62C3">
        <w:rPr>
          <w:noProof/>
        </w:rPr>
        <w:drawing>
          <wp:inline distT="0" distB="0" distL="0" distR="0" wp14:anchorId="291C1D4B" wp14:editId="369C960C">
            <wp:extent cx="4880344" cy="107040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887705" cy="1072023"/>
                    </a:xfrm>
                    <a:prstGeom prst="rect">
                      <a:avLst/>
                    </a:prstGeom>
                    <a:noFill/>
                    <a:ln>
                      <a:noFill/>
                    </a:ln>
                  </pic:spPr>
                </pic:pic>
              </a:graphicData>
            </a:graphic>
          </wp:inline>
        </w:drawing>
      </w:r>
    </w:p>
    <w:p w:rsidR="005C6F8E" w:rsidRPr="004312A2" w:rsidRDefault="005C6F8E" w:rsidP="00DD012F">
      <w:pPr>
        <w:keepNext/>
        <w:autoSpaceDE w:val="0"/>
        <w:autoSpaceDN w:val="0"/>
        <w:rPr>
          <w:sz w:val="16"/>
          <w:szCs w:val="16"/>
        </w:rPr>
      </w:pPr>
      <w:r w:rsidRPr="00962B36">
        <w:rPr>
          <w:i/>
          <w:sz w:val="16"/>
          <w:szCs w:val="16"/>
        </w:rPr>
        <w:t>NOTE: The 2014/15 Budget after Transfers reflects transfers as of March 31, 2015 to address needs during the 2014/15 biennium in line with Financial Regulation 5.5.</w:t>
      </w:r>
    </w:p>
    <w:p w:rsidR="005C6F8E" w:rsidRPr="008F4A6D" w:rsidRDefault="005C6F8E" w:rsidP="00420F90">
      <w:pPr>
        <w:widowControl w:val="0"/>
        <w:autoSpaceDE w:val="0"/>
        <w:autoSpaceDN w:val="0"/>
        <w:adjustRightInd w:val="0"/>
        <w:rPr>
          <w:rFonts w:cs="Arial"/>
          <w:szCs w:val="20"/>
        </w:rPr>
      </w:pPr>
    </w:p>
    <w:p w:rsidR="005C6F8E" w:rsidRPr="001C6F4D" w:rsidRDefault="005C6F8E" w:rsidP="00420F90">
      <w:pPr>
        <w:widowControl w:val="0"/>
        <w:autoSpaceDE w:val="0"/>
        <w:autoSpaceDN w:val="0"/>
        <w:adjustRightInd w:val="0"/>
        <w:rPr>
          <w:rFonts w:cs="Arial"/>
          <w:szCs w:val="20"/>
        </w:rPr>
      </w:pPr>
    </w:p>
    <w:p w:rsidR="005C6F8E" w:rsidRDefault="005C6F8E" w:rsidP="00271CFB">
      <w:pPr>
        <w:keepNext/>
        <w:keepLines/>
        <w:rPr>
          <w:rFonts w:cs="Arial"/>
          <w:u w:val="single"/>
        </w:rPr>
      </w:pPr>
      <w:r w:rsidRPr="00420F90">
        <w:rPr>
          <w:rFonts w:cs="Arial"/>
          <w:szCs w:val="20"/>
        </w:rPr>
        <w:t>A.</w:t>
      </w:r>
      <w:r w:rsidRPr="00420F90">
        <w:rPr>
          <w:rFonts w:cs="Arial"/>
        </w:rPr>
        <w:tab/>
      </w:r>
      <w:r w:rsidRPr="00420F90">
        <w:rPr>
          <w:rFonts w:cs="Arial"/>
          <w:u w:val="single"/>
        </w:rPr>
        <w:t>Budget after Transfers 201</w:t>
      </w:r>
      <w:r>
        <w:rPr>
          <w:rFonts w:cs="Arial"/>
          <w:u w:val="single"/>
        </w:rPr>
        <w:t>4/15</w:t>
      </w:r>
    </w:p>
    <w:p w:rsidR="005C6F8E" w:rsidRDefault="005C6F8E" w:rsidP="00271CFB">
      <w:pPr>
        <w:keepNext/>
        <w:keepLines/>
        <w:rPr>
          <w:rFonts w:cs="Arial"/>
          <w:szCs w:val="20"/>
          <w:lang w:eastAsia="ko-KR"/>
        </w:rPr>
      </w:pPr>
    </w:p>
    <w:p w:rsidR="005C6F8E" w:rsidRDefault="005C6F8E" w:rsidP="005C6F8E">
      <w:pPr>
        <w:pStyle w:val="ListParagraph"/>
        <w:keepNext/>
        <w:keepLines/>
        <w:numPr>
          <w:ilvl w:val="0"/>
          <w:numId w:val="49"/>
        </w:numPr>
        <w:tabs>
          <w:tab w:val="left" w:pos="709"/>
        </w:tabs>
        <w:ind w:left="0" w:firstLine="0"/>
        <w:jc w:val="both"/>
        <w:rPr>
          <w:rFonts w:cs="Arial"/>
          <w:lang w:eastAsia="ko-KR"/>
        </w:rPr>
      </w:pPr>
      <w:r>
        <w:rPr>
          <w:rFonts w:cs="Arial"/>
          <w:lang w:eastAsia="ko-KR"/>
        </w:rPr>
        <w:t>The net decrease in personnel resources reflects the temporary transfer of a staff member to Program 6 to support the work associated with the new accessions to the Madrid System.</w:t>
      </w:r>
    </w:p>
    <w:p w:rsidR="005C6F8E" w:rsidRDefault="005C6F8E" w:rsidP="00271CFB">
      <w:pPr>
        <w:autoSpaceDE w:val="0"/>
        <w:autoSpaceDN w:val="0"/>
        <w:jc w:val="both"/>
        <w:rPr>
          <w:rFonts w:cs="Arial"/>
          <w:szCs w:val="20"/>
          <w:lang w:eastAsia="ko-KR"/>
        </w:rPr>
      </w:pPr>
    </w:p>
    <w:p w:rsidR="005C6F8E" w:rsidRDefault="005C6F8E" w:rsidP="005C6F8E">
      <w:pPr>
        <w:pStyle w:val="ListParagraph"/>
        <w:numPr>
          <w:ilvl w:val="0"/>
          <w:numId w:val="49"/>
        </w:numPr>
        <w:tabs>
          <w:tab w:val="left" w:pos="709"/>
        </w:tabs>
        <w:ind w:left="0" w:firstLine="0"/>
        <w:jc w:val="both"/>
        <w:rPr>
          <w:rFonts w:cs="Arial"/>
          <w:lang w:eastAsia="ko-KR"/>
        </w:rPr>
      </w:pPr>
      <w:r>
        <w:rPr>
          <w:rFonts w:cs="Arial"/>
          <w:lang w:eastAsia="ko-KR"/>
        </w:rPr>
        <w:t xml:space="preserve">The net increase in non-personnel resources reflects the transfer of funds from Program 6 for consultant services to compensate for the temporary transfer of the above-referenced staff to ensure a seamless continuation of the work on the WIPO platforms and IT applications across the Global Issues Sector.  </w:t>
      </w:r>
    </w:p>
    <w:p w:rsidR="005C6F8E" w:rsidRDefault="005C6F8E" w:rsidP="00271CFB">
      <w:pPr>
        <w:autoSpaceDE w:val="0"/>
        <w:autoSpaceDN w:val="0"/>
        <w:jc w:val="both"/>
        <w:rPr>
          <w:rFonts w:cs="Arial"/>
          <w:szCs w:val="20"/>
          <w:lang w:eastAsia="ko-KR"/>
        </w:rPr>
      </w:pPr>
    </w:p>
    <w:p w:rsidR="005C6F8E" w:rsidRDefault="005C6F8E" w:rsidP="005C6F8E">
      <w:pPr>
        <w:pStyle w:val="ListParagraph"/>
        <w:numPr>
          <w:ilvl w:val="0"/>
          <w:numId w:val="49"/>
        </w:numPr>
        <w:tabs>
          <w:tab w:val="left" w:pos="709"/>
        </w:tabs>
        <w:ind w:left="0" w:firstLine="0"/>
        <w:jc w:val="both"/>
        <w:rPr>
          <w:rFonts w:cs="Arial"/>
          <w:lang w:eastAsia="ko-KR"/>
        </w:rPr>
      </w:pPr>
      <w:r>
        <w:rPr>
          <w:rFonts w:cs="Arial"/>
          <w:lang w:eastAsia="ko-KR"/>
        </w:rPr>
        <w:t xml:space="preserve">Overall, the adjustments across Expected Results in the 2014/15 Budget after Transfer reflect the new and more accurate methodology for allocation of personnel resources resulting from enhancements made to the EPM planning system for the 2014 annual work planning exercise. </w:t>
      </w:r>
    </w:p>
    <w:p w:rsidR="005C6F8E" w:rsidRDefault="005C6F8E" w:rsidP="00271CFB">
      <w:pPr>
        <w:autoSpaceDE w:val="0"/>
        <w:autoSpaceDN w:val="0"/>
        <w:jc w:val="both"/>
        <w:rPr>
          <w:rFonts w:cs="Arial"/>
          <w:szCs w:val="20"/>
          <w:lang w:eastAsia="ko-KR"/>
        </w:rPr>
      </w:pPr>
    </w:p>
    <w:p w:rsidR="005C6F8E" w:rsidRDefault="005C6F8E" w:rsidP="005C6F8E">
      <w:pPr>
        <w:pStyle w:val="ListParagraph"/>
        <w:numPr>
          <w:ilvl w:val="0"/>
          <w:numId w:val="49"/>
        </w:numPr>
        <w:tabs>
          <w:tab w:val="left" w:pos="709"/>
        </w:tabs>
        <w:ind w:left="0" w:firstLine="0"/>
        <w:jc w:val="both"/>
        <w:rPr>
          <w:rFonts w:cs="Arial"/>
          <w:bCs/>
        </w:rPr>
      </w:pPr>
      <w:r>
        <w:rPr>
          <w:rFonts w:cs="Arial"/>
        </w:rPr>
        <w:t xml:space="preserve">Resources linked to Expected Results I.1, VI.1, VI.2 and VIII.5 under this Program reflect efforts dedicated by the Office of the Assistance Director General of the Global Issues Sector to the activities of Programs 4, 17 and 20 respectively.          </w:t>
      </w:r>
      <w:r>
        <w:rPr>
          <w:rFonts w:cs="Arial"/>
          <w:bCs/>
        </w:rPr>
        <w:t xml:space="preserve"> </w:t>
      </w:r>
    </w:p>
    <w:p w:rsidR="005C6F8E" w:rsidRDefault="005C6F8E" w:rsidP="00271CFB">
      <w:pPr>
        <w:autoSpaceDE w:val="0"/>
        <w:autoSpaceDN w:val="0"/>
        <w:jc w:val="both"/>
        <w:rPr>
          <w:rFonts w:cs="Arial"/>
          <w:szCs w:val="20"/>
          <w:lang w:eastAsia="ko-KR"/>
        </w:rPr>
      </w:pPr>
    </w:p>
    <w:p w:rsidR="005C6F8E" w:rsidRDefault="005C6F8E" w:rsidP="00271CFB">
      <w:pPr>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Budget utilization 2014</w:t>
      </w:r>
    </w:p>
    <w:p w:rsidR="005C6F8E" w:rsidRDefault="005C6F8E" w:rsidP="00383D2D">
      <w:pPr>
        <w:tabs>
          <w:tab w:val="left" w:pos="709"/>
        </w:tabs>
        <w:jc w:val="both"/>
        <w:rPr>
          <w:rFonts w:cs="Arial"/>
          <w:szCs w:val="20"/>
          <w:u w:val="single"/>
          <w:lang w:eastAsia="ko-KR"/>
        </w:rPr>
      </w:pPr>
    </w:p>
    <w:p w:rsidR="005C6F8E" w:rsidRDefault="005C6F8E" w:rsidP="005C6F8E">
      <w:pPr>
        <w:pStyle w:val="ListParagraph"/>
        <w:numPr>
          <w:ilvl w:val="0"/>
          <w:numId w:val="49"/>
        </w:numPr>
        <w:tabs>
          <w:tab w:val="left" w:pos="709"/>
        </w:tabs>
        <w:ind w:left="0" w:firstLine="0"/>
        <w:jc w:val="both"/>
        <w:rPr>
          <w:rFonts w:ascii="Calibri" w:hAnsi="Calibri"/>
          <w:sz w:val="22"/>
          <w:szCs w:val="22"/>
        </w:rPr>
      </w:pPr>
      <w:r w:rsidRPr="004D00D4">
        <w:rPr>
          <w:rFonts w:cs="Arial"/>
          <w:bCs/>
          <w:color w:val="000000"/>
        </w:rPr>
        <w:t>The</w:t>
      </w:r>
      <w:r>
        <w:rPr>
          <w:rFonts w:cs="Arial"/>
          <w:lang w:eastAsia="ko-KR"/>
        </w:rPr>
        <w:t xml:space="preserve"> slight under-utilization of non-personnel resources reflects cost savings, in particular, in relation to travel and organization of meetings.</w:t>
      </w:r>
    </w:p>
    <w:p w:rsidR="005C6F8E" w:rsidRDefault="005C6F8E" w:rsidP="00271CFB">
      <w:pPr>
        <w:autoSpaceDE w:val="0"/>
        <w:autoSpaceDN w:val="0"/>
        <w:jc w:val="both"/>
      </w:pPr>
    </w:p>
    <w:p w:rsidR="006164BE" w:rsidRDefault="006164BE" w:rsidP="00271CFB">
      <w:pPr>
        <w:autoSpaceDE w:val="0"/>
        <w:autoSpaceDN w:val="0"/>
        <w:jc w:val="both"/>
      </w:pPr>
    </w:p>
    <w:p w:rsidR="006164BE" w:rsidRDefault="006164BE">
      <w:r>
        <w:br w:type="page"/>
      </w:r>
    </w:p>
    <w:p w:rsidR="006164BE" w:rsidRDefault="006164BE" w:rsidP="005A7878">
      <w:pPr>
        <w:pStyle w:val="StyleHeading214ptAuto"/>
        <w:rPr>
          <w:rFonts w:ascii="Arial" w:hAnsi="Arial" w:cs="Arial"/>
          <w:sz w:val="20"/>
          <w:szCs w:val="20"/>
        </w:rPr>
      </w:pPr>
      <w:bookmarkStart w:id="85" w:name="_Toc422210506"/>
      <w:bookmarkStart w:id="86" w:name="_Toc367350598"/>
      <w:r w:rsidRPr="00E07FBB">
        <w:rPr>
          <w:rFonts w:ascii="Arial" w:hAnsi="Arial" w:cs="Arial"/>
          <w:sz w:val="20"/>
          <w:szCs w:val="20"/>
        </w:rPr>
        <w:lastRenderedPageBreak/>
        <w:t>STRATEGIC GOAL VIII</w:t>
      </w:r>
      <w:bookmarkEnd w:id="85"/>
    </w:p>
    <w:p w:rsidR="006164BE" w:rsidRDefault="006164BE" w:rsidP="00845557">
      <w:pPr>
        <w:jc w:val="center"/>
      </w:pPr>
    </w:p>
    <w:p w:rsidR="006164BE" w:rsidRPr="00304D88" w:rsidRDefault="006164BE" w:rsidP="00845557">
      <w:pPr>
        <w:jc w:val="center"/>
      </w:pPr>
      <w:r w:rsidRPr="00845557">
        <w:rPr>
          <w:b/>
        </w:rPr>
        <w:t>A RESPONSIVE COMMUNICATIONS INTERFACE BETWEEN WIPO, ITS MEMBERS AND ALL</w:t>
      </w:r>
      <w:r>
        <w:rPr>
          <w:b/>
        </w:rPr>
        <w:t> </w:t>
      </w:r>
      <w:r w:rsidRPr="00845557">
        <w:rPr>
          <w:b/>
        </w:rPr>
        <w:t>STAKEHOLDERS</w:t>
      </w:r>
      <w:bookmarkEnd w:id="86"/>
    </w:p>
    <w:p w:rsidR="006164BE" w:rsidRDefault="006164BE" w:rsidP="00845557">
      <w:pPr>
        <w:jc w:val="center"/>
      </w:pPr>
    </w:p>
    <w:p w:rsidR="006164BE" w:rsidRDefault="006164BE">
      <w:pPr>
        <w:jc w:val="center"/>
        <w:rPr>
          <w:b/>
        </w:rPr>
      </w:pPr>
      <w:r>
        <w:rPr>
          <w:b/>
        </w:rPr>
        <w:t>Mid-term Performance Dashboard (2014)</w:t>
      </w:r>
    </w:p>
    <w:p w:rsidR="006164BE" w:rsidRDefault="006164BE" w:rsidP="00845557"/>
    <w:p w:rsidR="006164BE" w:rsidRDefault="006164BE" w:rsidP="00845557">
      <w:r>
        <w:t>The dashboard below provides a summary of the progress towards th</w:t>
      </w:r>
      <w:r w:rsidR="008D43FD">
        <w:t>e achievement of the Results in </w:t>
      </w:r>
      <w:r>
        <w:t>2014 as measured by the indicators under the Programs contributing to this Strategic Goal.</w:t>
      </w:r>
    </w:p>
    <w:p w:rsidR="006164BE" w:rsidRDefault="006164BE" w:rsidP="00845557">
      <w:pPr>
        <w:jc w:val="center"/>
      </w:pPr>
      <w:r>
        <w:rPr>
          <w:noProof/>
        </w:rPr>
        <w:drawing>
          <wp:inline distT="0" distB="0" distL="0" distR="0" wp14:anchorId="30350EFF" wp14:editId="7E8D0ECB">
            <wp:extent cx="4572635" cy="2743200"/>
            <wp:effectExtent l="0" t="0" r="0" b="0"/>
            <wp:docPr id="875"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6164BE" w:rsidRPr="00CB5A85" w:rsidRDefault="006164BE" w:rsidP="00845557"/>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16"/>
        <w:gridCol w:w="4087"/>
        <w:gridCol w:w="1748"/>
        <w:gridCol w:w="709"/>
      </w:tblGrid>
      <w:tr w:rsidR="006164BE" w:rsidRPr="00AF5E7C" w:rsidTr="005A7878">
        <w:trPr>
          <w:cantSplit/>
          <w:trHeight w:val="383"/>
          <w:tblHeader/>
        </w:trPr>
        <w:tc>
          <w:tcPr>
            <w:tcW w:w="1544" w:type="pct"/>
            <w:tcBorders>
              <w:top w:val="single" w:sz="4" w:space="0" w:color="auto"/>
              <w:bottom w:val="single" w:sz="4" w:space="0" w:color="auto"/>
            </w:tcBorders>
            <w:shd w:val="clear" w:color="auto" w:fill="CCFFFF"/>
            <w:tcMar>
              <w:top w:w="113" w:type="dxa"/>
              <w:bottom w:w="85" w:type="dxa"/>
            </w:tcMar>
            <w:vAlign w:val="center"/>
          </w:tcPr>
          <w:p w:rsidR="006164BE" w:rsidRPr="00396294" w:rsidRDefault="006164BE" w:rsidP="005A7878">
            <w:pPr>
              <w:spacing w:after="120"/>
              <w:jc w:val="center"/>
              <w:rPr>
                <w:rFonts w:cs="Arial"/>
                <w:b/>
                <w:bCs/>
                <w:sz w:val="18"/>
                <w:szCs w:val="18"/>
              </w:rPr>
            </w:pPr>
            <w:r w:rsidRPr="00396294">
              <w:rPr>
                <w:rFonts w:cs="Arial"/>
                <w:b/>
                <w:bCs/>
                <w:sz w:val="18"/>
                <w:szCs w:val="18"/>
              </w:rPr>
              <w:t>Expected Results</w:t>
            </w:r>
          </w:p>
        </w:tc>
        <w:tc>
          <w:tcPr>
            <w:tcW w:w="2162" w:type="pct"/>
            <w:tcBorders>
              <w:top w:val="single" w:sz="4" w:space="0" w:color="auto"/>
              <w:bottom w:val="single" w:sz="4" w:space="0" w:color="auto"/>
            </w:tcBorders>
            <w:shd w:val="clear" w:color="auto" w:fill="CCFFFF"/>
            <w:tcMar>
              <w:top w:w="113" w:type="dxa"/>
              <w:bottom w:w="85" w:type="dxa"/>
            </w:tcMar>
            <w:vAlign w:val="center"/>
          </w:tcPr>
          <w:p w:rsidR="006164BE" w:rsidRPr="00396294" w:rsidRDefault="006164BE" w:rsidP="005A7878">
            <w:pPr>
              <w:spacing w:after="120"/>
              <w:jc w:val="center"/>
              <w:rPr>
                <w:rFonts w:cs="Arial"/>
                <w:b/>
                <w:sz w:val="18"/>
                <w:szCs w:val="18"/>
              </w:rPr>
            </w:pPr>
            <w:r w:rsidRPr="00396294">
              <w:rPr>
                <w:rFonts w:cs="Arial"/>
                <w:b/>
                <w:sz w:val="18"/>
                <w:szCs w:val="18"/>
              </w:rPr>
              <w:t>Performance Indicators</w:t>
            </w:r>
          </w:p>
        </w:tc>
        <w:tc>
          <w:tcPr>
            <w:tcW w:w="926" w:type="pct"/>
            <w:tcBorders>
              <w:top w:val="single" w:sz="4" w:space="0" w:color="auto"/>
              <w:bottom w:val="single" w:sz="4" w:space="0" w:color="auto"/>
            </w:tcBorders>
            <w:shd w:val="clear" w:color="auto" w:fill="CCFFFF"/>
            <w:tcMar>
              <w:top w:w="113" w:type="dxa"/>
              <w:bottom w:w="85" w:type="dxa"/>
            </w:tcMar>
            <w:vAlign w:val="center"/>
          </w:tcPr>
          <w:p w:rsidR="006164BE" w:rsidRPr="00396294" w:rsidRDefault="006164BE" w:rsidP="005A7878">
            <w:pPr>
              <w:spacing w:after="120"/>
              <w:ind w:left="85"/>
              <w:jc w:val="center"/>
              <w:rPr>
                <w:rFonts w:cs="Arial"/>
                <w:sz w:val="18"/>
                <w:szCs w:val="18"/>
              </w:rPr>
            </w:pPr>
            <w:r w:rsidRPr="00396294">
              <w:rPr>
                <w:rFonts w:cs="Arial"/>
                <w:b/>
                <w:bCs/>
                <w:sz w:val="18"/>
                <w:szCs w:val="18"/>
              </w:rPr>
              <w:t>Responsible Program(s)</w:t>
            </w:r>
          </w:p>
        </w:tc>
        <w:tc>
          <w:tcPr>
            <w:tcW w:w="368" w:type="pct"/>
            <w:tcBorders>
              <w:top w:val="single" w:sz="4" w:space="0" w:color="auto"/>
              <w:bottom w:val="single" w:sz="4" w:space="0" w:color="auto"/>
            </w:tcBorders>
            <w:shd w:val="clear" w:color="auto" w:fill="CCFFFF"/>
          </w:tcPr>
          <w:p w:rsidR="006164BE" w:rsidRPr="00396294" w:rsidRDefault="006164BE" w:rsidP="005A7878">
            <w:pPr>
              <w:spacing w:after="120"/>
              <w:ind w:left="85"/>
              <w:jc w:val="center"/>
              <w:rPr>
                <w:rFonts w:cs="Arial"/>
                <w:b/>
                <w:bCs/>
                <w:sz w:val="18"/>
                <w:szCs w:val="18"/>
              </w:rPr>
            </w:pPr>
            <w:r>
              <w:rPr>
                <w:rFonts w:cs="Arial"/>
                <w:b/>
                <w:bCs/>
                <w:sz w:val="18"/>
                <w:szCs w:val="18"/>
              </w:rPr>
              <w:t>TLS</w:t>
            </w:r>
          </w:p>
        </w:tc>
      </w:tr>
      <w:tr w:rsidR="006164BE" w:rsidRPr="00AF5E7C" w:rsidTr="005A7878">
        <w:trPr>
          <w:cantSplit/>
          <w:trHeight w:val="501"/>
        </w:trPr>
        <w:tc>
          <w:tcPr>
            <w:tcW w:w="1544" w:type="pct"/>
            <w:tcBorders>
              <w:top w:val="single" w:sz="4" w:space="0" w:color="auto"/>
            </w:tcBorders>
            <w:shd w:val="clear" w:color="auto" w:fill="auto"/>
            <w:tcMar>
              <w:top w:w="113" w:type="dxa"/>
              <w:bottom w:w="85" w:type="dxa"/>
            </w:tcMar>
          </w:tcPr>
          <w:p w:rsidR="006164BE" w:rsidRPr="00D2533A" w:rsidRDefault="006164BE" w:rsidP="005A7878">
            <w:pPr>
              <w:rPr>
                <w:rFonts w:cs="Arial"/>
                <w:sz w:val="16"/>
                <w:szCs w:val="16"/>
              </w:rPr>
            </w:pPr>
            <w:r w:rsidRPr="00D2533A">
              <w:rPr>
                <w:rFonts w:cs="Arial"/>
                <w:sz w:val="16"/>
                <w:szCs w:val="16"/>
              </w:rPr>
              <w:t>VIII.1</w:t>
            </w:r>
            <w:r>
              <w:rPr>
                <w:rFonts w:cs="Arial"/>
                <w:sz w:val="16"/>
                <w:szCs w:val="16"/>
              </w:rPr>
              <w:t xml:space="preserve">  </w:t>
            </w:r>
            <w:r w:rsidRPr="00D2533A">
              <w:rPr>
                <w:rFonts w:cs="Arial"/>
                <w:sz w:val="16"/>
                <w:szCs w:val="16"/>
              </w:rPr>
              <w:t>More effective communication to a broad public about intellectual property and WIPO’s role</w:t>
            </w:r>
          </w:p>
        </w:tc>
        <w:tc>
          <w:tcPr>
            <w:tcW w:w="2162" w:type="pct"/>
            <w:tcBorders>
              <w:top w:val="single" w:sz="4" w:space="0" w:color="auto"/>
            </w:tcBorders>
            <w:shd w:val="clear" w:color="auto" w:fill="auto"/>
            <w:tcMar>
              <w:top w:w="113" w:type="dxa"/>
              <w:bottom w:w="85" w:type="dxa"/>
            </w:tcMar>
          </w:tcPr>
          <w:p w:rsidR="006164BE" w:rsidRPr="00D2533A" w:rsidRDefault="006164BE" w:rsidP="005A7878">
            <w:pPr>
              <w:rPr>
                <w:rFonts w:cs="Arial"/>
                <w:sz w:val="16"/>
                <w:szCs w:val="16"/>
              </w:rPr>
            </w:pPr>
            <w:r w:rsidRPr="00D2533A">
              <w:rPr>
                <w:rFonts w:cs="Arial"/>
                <w:sz w:val="16"/>
                <w:szCs w:val="16"/>
              </w:rPr>
              <w:t>Level of public interest generated in selected major WIPO events/achievements</w:t>
            </w:r>
          </w:p>
        </w:tc>
        <w:tc>
          <w:tcPr>
            <w:tcW w:w="926" w:type="pct"/>
            <w:tcBorders>
              <w:top w:val="single" w:sz="4" w:space="0" w:color="auto"/>
            </w:tcBorders>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19</w:t>
            </w:r>
          </w:p>
        </w:tc>
        <w:tc>
          <w:tcPr>
            <w:tcW w:w="368" w:type="pct"/>
            <w:tcBorders>
              <w:top w:val="single" w:sz="4" w:space="0" w:color="auto"/>
            </w:tcBorders>
            <w:shd w:val="clear" w:color="auto" w:fill="FFFFFF"/>
          </w:tcPr>
          <w:p w:rsidR="006164BE" w:rsidRDefault="006164BE" w:rsidP="005A7878">
            <w:pPr>
              <w:jc w:val="center"/>
            </w:pPr>
            <w:r w:rsidRPr="005F33CE">
              <w:rPr>
                <w:rFonts w:cs="Arial"/>
                <w:color w:val="008000"/>
                <w:sz w:val="22"/>
                <w:szCs w:val="22"/>
              </w:rPr>
              <w:sym w:font="Wingdings" w:char="F06C"/>
            </w:r>
          </w:p>
        </w:tc>
      </w:tr>
      <w:tr w:rsidR="006164BE" w:rsidRPr="00AF5E7C" w:rsidTr="005A7878">
        <w:trPr>
          <w:cantSplit/>
          <w:trHeight w:val="232"/>
        </w:trPr>
        <w:tc>
          <w:tcPr>
            <w:tcW w:w="1544" w:type="pct"/>
            <w:vMerge w:val="restart"/>
            <w:shd w:val="clear" w:color="auto" w:fill="auto"/>
            <w:tcMar>
              <w:top w:w="113" w:type="dxa"/>
              <w:bottom w:w="85" w:type="dxa"/>
            </w:tcMar>
          </w:tcPr>
          <w:p w:rsidR="006164BE" w:rsidRPr="00AF5E7C" w:rsidRDefault="006164BE" w:rsidP="005A7878">
            <w:pPr>
              <w:rPr>
                <w:rFonts w:cs="Arial"/>
                <w:sz w:val="16"/>
                <w:szCs w:val="16"/>
              </w:rPr>
            </w:pPr>
          </w:p>
        </w:tc>
        <w:tc>
          <w:tcPr>
            <w:tcW w:w="2162" w:type="pct"/>
            <w:vMerge w:val="restart"/>
            <w:shd w:val="clear" w:color="auto" w:fill="auto"/>
            <w:tcMar>
              <w:top w:w="113" w:type="dxa"/>
              <w:bottom w:w="85" w:type="dxa"/>
            </w:tcMar>
          </w:tcPr>
          <w:p w:rsidR="006164BE" w:rsidRPr="00D2533A" w:rsidRDefault="006164BE" w:rsidP="005A7878">
            <w:pPr>
              <w:rPr>
                <w:rFonts w:cs="Arial"/>
                <w:sz w:val="16"/>
                <w:szCs w:val="16"/>
              </w:rPr>
            </w:pPr>
            <w:r w:rsidRPr="00D2533A">
              <w:rPr>
                <w:rFonts w:cs="Arial"/>
                <w:sz w:val="16"/>
                <w:szCs w:val="16"/>
              </w:rPr>
              <w:t>% of stakeholders with positive recognition of WIPO’s mission, activities and organizational image</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19</w:t>
            </w:r>
          </w:p>
        </w:tc>
        <w:tc>
          <w:tcPr>
            <w:tcW w:w="368" w:type="pct"/>
            <w:shd w:val="clear" w:color="auto" w:fill="FFFFFF"/>
          </w:tcPr>
          <w:p w:rsidR="006164BE" w:rsidRPr="00F718E6" w:rsidRDefault="006164BE" w:rsidP="005A7878">
            <w:pPr>
              <w:jc w:val="center"/>
              <w:rPr>
                <w:rFonts w:cs="Arial"/>
                <w:color w:val="A6A6A6" w:themeColor="background1" w:themeShade="A6"/>
                <w:sz w:val="22"/>
                <w:szCs w:val="22"/>
              </w:rPr>
            </w:pPr>
            <w:r w:rsidRPr="005F33CE">
              <w:rPr>
                <w:rFonts w:cs="Arial"/>
                <w:color w:val="008000"/>
                <w:sz w:val="22"/>
                <w:szCs w:val="22"/>
              </w:rPr>
              <w:sym w:font="Wingdings" w:char="F06C"/>
            </w:r>
          </w:p>
        </w:tc>
      </w:tr>
      <w:tr w:rsidR="006164BE" w:rsidRPr="00AF5E7C" w:rsidTr="005A7878">
        <w:trPr>
          <w:cantSplit/>
          <w:trHeight w:val="231"/>
        </w:trPr>
        <w:tc>
          <w:tcPr>
            <w:tcW w:w="1544" w:type="pct"/>
            <w:vMerge/>
            <w:shd w:val="clear" w:color="auto" w:fill="auto"/>
            <w:tcMar>
              <w:top w:w="113" w:type="dxa"/>
              <w:bottom w:w="85" w:type="dxa"/>
            </w:tcMar>
          </w:tcPr>
          <w:p w:rsidR="006164BE" w:rsidRPr="00AF5E7C" w:rsidRDefault="006164BE" w:rsidP="005A7878">
            <w:pPr>
              <w:rPr>
                <w:rFonts w:cs="Arial"/>
                <w:sz w:val="16"/>
                <w:szCs w:val="16"/>
              </w:rPr>
            </w:pPr>
          </w:p>
        </w:tc>
        <w:tc>
          <w:tcPr>
            <w:tcW w:w="2162" w:type="pct"/>
            <w:vMerge/>
            <w:shd w:val="clear" w:color="auto" w:fill="auto"/>
            <w:tcMar>
              <w:top w:w="113" w:type="dxa"/>
              <w:bottom w:w="85" w:type="dxa"/>
            </w:tcMar>
          </w:tcPr>
          <w:p w:rsidR="006164BE" w:rsidRPr="00D2533A" w:rsidRDefault="006164BE" w:rsidP="005A7878">
            <w:pPr>
              <w:rPr>
                <w:rFonts w:cs="Arial"/>
                <w:sz w:val="16"/>
                <w:szCs w:val="16"/>
              </w:rPr>
            </w:pPr>
          </w:p>
        </w:tc>
        <w:tc>
          <w:tcPr>
            <w:tcW w:w="926" w:type="pct"/>
            <w:shd w:val="clear" w:color="auto" w:fill="FFFFFF"/>
            <w:tcMar>
              <w:top w:w="113" w:type="dxa"/>
              <w:bottom w:w="85" w:type="dxa"/>
            </w:tcMar>
          </w:tcPr>
          <w:p w:rsidR="006164BE" w:rsidRDefault="006164BE" w:rsidP="005A7878">
            <w:pPr>
              <w:jc w:val="center"/>
              <w:rPr>
                <w:rFonts w:cs="Arial"/>
                <w:sz w:val="16"/>
                <w:szCs w:val="16"/>
                <w:lang w:bidi="th-TH"/>
              </w:rPr>
            </w:pPr>
            <w:r>
              <w:rPr>
                <w:rFonts w:cs="Arial"/>
                <w:sz w:val="16"/>
                <w:szCs w:val="16"/>
                <w:lang w:bidi="th-TH"/>
              </w:rPr>
              <w:t>Program 20</w:t>
            </w:r>
          </w:p>
        </w:tc>
        <w:tc>
          <w:tcPr>
            <w:tcW w:w="368" w:type="pct"/>
            <w:shd w:val="clear" w:color="auto" w:fill="FFFFFF"/>
          </w:tcPr>
          <w:p w:rsidR="006164BE" w:rsidRPr="00F718E6" w:rsidRDefault="006164BE" w:rsidP="005A7878">
            <w:pPr>
              <w:jc w:val="center"/>
              <w:rPr>
                <w:rFonts w:cs="Arial"/>
                <w:color w:val="A6A6A6" w:themeColor="background1" w:themeShade="A6"/>
                <w:sz w:val="22"/>
                <w:szCs w:val="22"/>
              </w:rPr>
            </w:pPr>
            <w:r w:rsidRPr="00CE09B5">
              <w:rPr>
                <w:rFonts w:cs="Arial"/>
                <w:color w:val="0070C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p>
        </w:tc>
      </w:tr>
      <w:tr w:rsidR="006164BE" w:rsidRPr="00AF5E7C" w:rsidTr="005A7878">
        <w:trPr>
          <w:cantSplit/>
          <w:trHeight w:val="472"/>
        </w:trPr>
        <w:tc>
          <w:tcPr>
            <w:tcW w:w="1544" w:type="pct"/>
            <w:shd w:val="clear" w:color="auto" w:fill="auto"/>
            <w:tcMar>
              <w:top w:w="113" w:type="dxa"/>
              <w:bottom w:w="85" w:type="dxa"/>
            </w:tcMar>
          </w:tcPr>
          <w:p w:rsidR="006164BE" w:rsidRPr="00AF5E7C" w:rsidRDefault="006164BE" w:rsidP="005A7878">
            <w:pPr>
              <w:rPr>
                <w:rFonts w:cs="Arial"/>
                <w:sz w:val="16"/>
                <w:szCs w:val="16"/>
              </w:rPr>
            </w:pPr>
          </w:p>
        </w:tc>
        <w:tc>
          <w:tcPr>
            <w:tcW w:w="2162" w:type="pct"/>
            <w:shd w:val="clear" w:color="auto" w:fill="auto"/>
            <w:tcMar>
              <w:top w:w="113" w:type="dxa"/>
              <w:bottom w:w="85" w:type="dxa"/>
            </w:tcMar>
          </w:tcPr>
          <w:p w:rsidR="006164BE" w:rsidRPr="00D2533A" w:rsidRDefault="006164BE" w:rsidP="005A7878">
            <w:pPr>
              <w:rPr>
                <w:rFonts w:cs="Arial"/>
                <w:sz w:val="16"/>
                <w:szCs w:val="16"/>
              </w:rPr>
            </w:pPr>
            <w:r w:rsidRPr="00D2533A">
              <w:rPr>
                <w:rFonts w:cs="Arial"/>
                <w:sz w:val="16"/>
                <w:szCs w:val="16"/>
              </w:rPr>
              <w:t>% increase in views of WIPO press, video and photographic content</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19</w:t>
            </w:r>
          </w:p>
        </w:tc>
        <w:tc>
          <w:tcPr>
            <w:tcW w:w="368" w:type="pct"/>
            <w:shd w:val="clear" w:color="auto" w:fill="FFFFFF"/>
          </w:tcPr>
          <w:p w:rsidR="006164BE" w:rsidRDefault="006164BE" w:rsidP="005A7878">
            <w:pPr>
              <w:jc w:val="center"/>
            </w:pPr>
            <w:r w:rsidRPr="00CE09B5">
              <w:rPr>
                <w:rFonts w:cs="Arial"/>
                <w:color w:val="FF0000"/>
                <w:sz w:val="22"/>
                <w:szCs w:val="22"/>
              </w:rPr>
              <w:sym w:font="Wingdings" w:char="F06C"/>
            </w:r>
            <w:r w:rsidRPr="00CE09B5">
              <w:rPr>
                <w:rFonts w:cs="Arial"/>
                <w:color w:val="FF0000"/>
                <w:sz w:val="22"/>
                <w:szCs w:val="22"/>
              </w:rPr>
              <w:sym w:font="Wingdings" w:char="F06C"/>
            </w:r>
            <w:r w:rsidRPr="005F33CE">
              <w:rPr>
                <w:rFonts w:cs="Arial"/>
                <w:color w:val="008000"/>
                <w:sz w:val="22"/>
                <w:szCs w:val="22"/>
              </w:rPr>
              <w:sym w:font="Wingdings" w:char="F06C"/>
            </w:r>
          </w:p>
        </w:tc>
      </w:tr>
      <w:tr w:rsidR="006164BE" w:rsidRPr="00AF5E7C" w:rsidTr="005A7878">
        <w:trPr>
          <w:cantSplit/>
          <w:trHeight w:val="429"/>
        </w:trPr>
        <w:tc>
          <w:tcPr>
            <w:tcW w:w="1544" w:type="pct"/>
            <w:shd w:val="clear" w:color="auto" w:fill="auto"/>
            <w:tcMar>
              <w:top w:w="113" w:type="dxa"/>
              <w:bottom w:w="85" w:type="dxa"/>
            </w:tcMar>
          </w:tcPr>
          <w:p w:rsidR="006164BE" w:rsidRPr="00AF5E7C" w:rsidRDefault="006164BE" w:rsidP="005A7878">
            <w:pPr>
              <w:rPr>
                <w:rFonts w:cs="Arial"/>
                <w:sz w:val="16"/>
                <w:szCs w:val="16"/>
              </w:rPr>
            </w:pPr>
          </w:p>
        </w:tc>
        <w:tc>
          <w:tcPr>
            <w:tcW w:w="2162" w:type="pct"/>
            <w:shd w:val="clear" w:color="auto" w:fill="auto"/>
            <w:tcMar>
              <w:top w:w="113" w:type="dxa"/>
              <w:bottom w:w="85" w:type="dxa"/>
            </w:tcMar>
          </w:tcPr>
          <w:p w:rsidR="006164BE" w:rsidRPr="00D2533A" w:rsidRDefault="006164BE" w:rsidP="005A7878">
            <w:pPr>
              <w:rPr>
                <w:rFonts w:cs="Arial"/>
                <w:sz w:val="16"/>
                <w:szCs w:val="16"/>
              </w:rPr>
            </w:pPr>
            <w:r w:rsidRPr="00D2533A">
              <w:rPr>
                <w:rFonts w:cs="Arial"/>
                <w:sz w:val="16"/>
                <w:szCs w:val="16"/>
              </w:rPr>
              <w:t>% increase in global participation in World IP Day via Facebook page</w:t>
            </w:r>
            <w:r>
              <w:rPr>
                <w:rFonts w:cs="Arial"/>
                <w:sz w:val="16"/>
                <w:szCs w:val="16"/>
              </w:rPr>
              <w:t xml:space="preserve"> (total reach of campaign)</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19</w:t>
            </w:r>
          </w:p>
        </w:tc>
        <w:tc>
          <w:tcPr>
            <w:tcW w:w="368" w:type="pct"/>
            <w:shd w:val="clear" w:color="auto" w:fill="FFFFFF"/>
          </w:tcPr>
          <w:p w:rsidR="006164BE" w:rsidRDefault="006164BE" w:rsidP="005A7878">
            <w:pPr>
              <w:jc w:val="center"/>
            </w:pPr>
            <w:r w:rsidRPr="005F33CE">
              <w:rPr>
                <w:rFonts w:cs="Arial"/>
                <w:color w:val="008000"/>
                <w:sz w:val="22"/>
                <w:szCs w:val="22"/>
              </w:rPr>
              <w:sym w:font="Wingdings" w:char="F06C"/>
            </w:r>
          </w:p>
        </w:tc>
      </w:tr>
      <w:tr w:rsidR="006164BE" w:rsidRPr="00AF5E7C" w:rsidTr="005A7878">
        <w:trPr>
          <w:cantSplit/>
          <w:trHeight w:val="353"/>
        </w:trPr>
        <w:tc>
          <w:tcPr>
            <w:tcW w:w="1544" w:type="pct"/>
            <w:shd w:val="clear" w:color="auto" w:fill="auto"/>
            <w:tcMar>
              <w:top w:w="113" w:type="dxa"/>
              <w:bottom w:w="85" w:type="dxa"/>
            </w:tcMar>
          </w:tcPr>
          <w:p w:rsidR="006164BE" w:rsidRPr="00AF5E7C" w:rsidRDefault="006164BE" w:rsidP="005A7878">
            <w:pPr>
              <w:rPr>
                <w:rFonts w:cs="Arial"/>
                <w:sz w:val="16"/>
                <w:szCs w:val="16"/>
              </w:rPr>
            </w:pPr>
          </w:p>
        </w:tc>
        <w:tc>
          <w:tcPr>
            <w:tcW w:w="2162" w:type="pct"/>
            <w:shd w:val="clear" w:color="auto" w:fill="auto"/>
            <w:tcMar>
              <w:top w:w="113" w:type="dxa"/>
              <w:bottom w:w="85" w:type="dxa"/>
            </w:tcMar>
          </w:tcPr>
          <w:p w:rsidR="006164BE" w:rsidRPr="00512DF2" w:rsidRDefault="006164BE" w:rsidP="005A7878">
            <w:pPr>
              <w:rPr>
                <w:rFonts w:cs="Arial"/>
                <w:sz w:val="16"/>
                <w:szCs w:val="16"/>
              </w:rPr>
            </w:pPr>
            <w:r w:rsidRPr="00512DF2">
              <w:rPr>
                <w:rFonts w:cs="Arial"/>
                <w:sz w:val="16"/>
                <w:szCs w:val="16"/>
              </w:rPr>
              <w:t>% increase in views of online publications</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19</w:t>
            </w:r>
          </w:p>
        </w:tc>
        <w:tc>
          <w:tcPr>
            <w:tcW w:w="368" w:type="pct"/>
            <w:shd w:val="clear" w:color="auto" w:fill="FFFFFF"/>
          </w:tcPr>
          <w:p w:rsidR="006164BE" w:rsidRPr="00CE09B5" w:rsidRDefault="006164BE" w:rsidP="005A7878">
            <w:pPr>
              <w:jc w:val="center"/>
              <w:rPr>
                <w:rFonts w:cs="Arial"/>
                <w:color w:val="0070C0"/>
                <w:sz w:val="22"/>
                <w:szCs w:val="22"/>
              </w:rPr>
            </w:pPr>
            <w:r w:rsidRPr="00CE09B5">
              <w:rPr>
                <w:rFonts w:cs="Arial"/>
                <w:color w:val="0070C0"/>
                <w:sz w:val="22"/>
                <w:szCs w:val="22"/>
              </w:rPr>
              <w:sym w:font="Wingdings" w:char="F06C"/>
            </w:r>
            <w:r w:rsidRPr="00CE09B5">
              <w:rPr>
                <w:rFonts w:cs="Arial"/>
                <w:color w:val="0070C0"/>
                <w:sz w:val="22"/>
                <w:szCs w:val="22"/>
              </w:rPr>
              <w:sym w:font="Wingdings" w:char="F06C"/>
            </w:r>
          </w:p>
        </w:tc>
      </w:tr>
      <w:tr w:rsidR="006164BE" w:rsidRPr="00AF5E7C" w:rsidTr="005A7878">
        <w:trPr>
          <w:cantSplit/>
          <w:trHeight w:val="330"/>
        </w:trPr>
        <w:tc>
          <w:tcPr>
            <w:tcW w:w="1544" w:type="pct"/>
            <w:shd w:val="clear" w:color="auto" w:fill="auto"/>
            <w:tcMar>
              <w:top w:w="113" w:type="dxa"/>
              <w:bottom w:w="85" w:type="dxa"/>
            </w:tcMar>
          </w:tcPr>
          <w:p w:rsidR="006164BE" w:rsidRPr="00AF5E7C" w:rsidRDefault="006164BE" w:rsidP="005A7878">
            <w:pPr>
              <w:rPr>
                <w:rFonts w:cs="Arial"/>
                <w:sz w:val="16"/>
                <w:szCs w:val="16"/>
              </w:rPr>
            </w:pPr>
          </w:p>
        </w:tc>
        <w:tc>
          <w:tcPr>
            <w:tcW w:w="2162" w:type="pct"/>
            <w:shd w:val="clear" w:color="auto" w:fill="auto"/>
            <w:tcMar>
              <w:top w:w="113" w:type="dxa"/>
              <w:bottom w:w="85" w:type="dxa"/>
            </w:tcMar>
          </w:tcPr>
          <w:p w:rsidR="006164BE" w:rsidRPr="00512DF2" w:rsidRDefault="006164BE" w:rsidP="005A7878">
            <w:pPr>
              <w:rPr>
                <w:rFonts w:cs="Arial"/>
                <w:sz w:val="16"/>
                <w:szCs w:val="16"/>
              </w:rPr>
            </w:pPr>
            <w:r w:rsidRPr="00512DF2">
              <w:rPr>
                <w:rFonts w:cs="Arial"/>
                <w:sz w:val="16"/>
                <w:szCs w:val="16"/>
              </w:rPr>
              <w:t>% of users satisfied with the WIPO website</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19</w:t>
            </w:r>
          </w:p>
        </w:tc>
        <w:tc>
          <w:tcPr>
            <w:tcW w:w="368" w:type="pct"/>
            <w:shd w:val="clear" w:color="auto" w:fill="FFFFFF"/>
          </w:tcPr>
          <w:p w:rsidR="006164BE" w:rsidRDefault="006164BE" w:rsidP="005A7878">
            <w:pPr>
              <w:jc w:val="center"/>
            </w:pPr>
            <w:r w:rsidRPr="00CE09B5">
              <w:rPr>
                <w:rFonts w:cs="Arial"/>
                <w:color w:val="0070C0"/>
                <w:sz w:val="22"/>
                <w:szCs w:val="22"/>
              </w:rPr>
              <w:sym w:font="Wingdings" w:char="F06C"/>
            </w:r>
          </w:p>
        </w:tc>
      </w:tr>
      <w:tr w:rsidR="006164BE" w:rsidRPr="00AF5E7C" w:rsidTr="005A7878">
        <w:trPr>
          <w:cantSplit/>
          <w:trHeight w:val="336"/>
        </w:trPr>
        <w:tc>
          <w:tcPr>
            <w:tcW w:w="1544" w:type="pct"/>
            <w:shd w:val="clear" w:color="auto" w:fill="auto"/>
            <w:tcMar>
              <w:top w:w="113" w:type="dxa"/>
              <w:bottom w:w="85" w:type="dxa"/>
            </w:tcMar>
          </w:tcPr>
          <w:p w:rsidR="006164BE" w:rsidRPr="00AF5E7C" w:rsidRDefault="006164BE" w:rsidP="005A7878">
            <w:pPr>
              <w:rPr>
                <w:rFonts w:cs="Arial"/>
                <w:sz w:val="16"/>
                <w:szCs w:val="16"/>
              </w:rPr>
            </w:pPr>
          </w:p>
        </w:tc>
        <w:tc>
          <w:tcPr>
            <w:tcW w:w="2162" w:type="pct"/>
            <w:shd w:val="clear" w:color="auto" w:fill="auto"/>
            <w:tcMar>
              <w:top w:w="113" w:type="dxa"/>
              <w:bottom w:w="85" w:type="dxa"/>
            </w:tcMar>
          </w:tcPr>
          <w:p w:rsidR="006164BE" w:rsidRPr="00512DF2" w:rsidRDefault="006164BE" w:rsidP="005A7878">
            <w:pPr>
              <w:rPr>
                <w:rFonts w:cs="Arial"/>
                <w:sz w:val="16"/>
                <w:szCs w:val="16"/>
              </w:rPr>
            </w:pPr>
            <w:r w:rsidRPr="00512DF2">
              <w:rPr>
                <w:rFonts w:cs="Arial"/>
                <w:sz w:val="16"/>
                <w:szCs w:val="16"/>
              </w:rPr>
              <w:t>Increased WIPO influence and engagement on social media</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19</w:t>
            </w:r>
          </w:p>
        </w:tc>
        <w:tc>
          <w:tcPr>
            <w:tcW w:w="368" w:type="pct"/>
            <w:shd w:val="clear" w:color="auto" w:fill="FFFFFF"/>
          </w:tcPr>
          <w:p w:rsidR="006164BE" w:rsidRDefault="006164BE" w:rsidP="005A7878">
            <w:pPr>
              <w:jc w:val="center"/>
            </w:pPr>
            <w:r w:rsidRPr="00CE09B5">
              <w:rPr>
                <w:rFonts w:cs="Arial"/>
                <w:color w:val="FF0000"/>
                <w:sz w:val="22"/>
                <w:szCs w:val="22"/>
              </w:rPr>
              <w:sym w:font="Wingdings" w:char="F06C"/>
            </w:r>
            <w:r w:rsidRPr="005F33CE">
              <w:rPr>
                <w:rFonts w:cs="Arial"/>
                <w:color w:val="008000"/>
                <w:sz w:val="22"/>
                <w:szCs w:val="22"/>
              </w:rPr>
              <w:sym w:font="Wingdings" w:char="F06C"/>
            </w:r>
          </w:p>
        </w:tc>
      </w:tr>
      <w:tr w:rsidR="006164BE" w:rsidRPr="00AF5E7C" w:rsidTr="005A7878">
        <w:trPr>
          <w:cantSplit/>
          <w:trHeight w:val="335"/>
        </w:trPr>
        <w:tc>
          <w:tcPr>
            <w:tcW w:w="1544" w:type="pct"/>
            <w:shd w:val="clear" w:color="auto" w:fill="auto"/>
            <w:tcMar>
              <w:top w:w="113" w:type="dxa"/>
              <w:bottom w:w="85" w:type="dxa"/>
            </w:tcMar>
          </w:tcPr>
          <w:p w:rsidR="006164BE" w:rsidRPr="00AF5E7C" w:rsidRDefault="006164BE" w:rsidP="005A7878">
            <w:pPr>
              <w:rPr>
                <w:rFonts w:cs="Arial"/>
                <w:sz w:val="16"/>
                <w:szCs w:val="16"/>
              </w:rPr>
            </w:pPr>
          </w:p>
        </w:tc>
        <w:tc>
          <w:tcPr>
            <w:tcW w:w="2162" w:type="pct"/>
            <w:shd w:val="clear" w:color="auto" w:fill="auto"/>
            <w:tcMar>
              <w:top w:w="113" w:type="dxa"/>
              <w:bottom w:w="85" w:type="dxa"/>
            </w:tcMar>
          </w:tcPr>
          <w:p w:rsidR="006164BE" w:rsidRPr="00AF5E7C" w:rsidRDefault="006164BE" w:rsidP="005A7878">
            <w:pPr>
              <w:rPr>
                <w:rFonts w:cs="Arial"/>
                <w:sz w:val="16"/>
                <w:szCs w:val="16"/>
              </w:rPr>
            </w:pPr>
            <w:r w:rsidRPr="00C43F3D">
              <w:rPr>
                <w:rFonts w:cs="Arial"/>
                <w:sz w:val="16"/>
                <w:szCs w:val="16"/>
              </w:rPr>
              <w:t>Increased traffic to the website of WIPO External Offices</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20</w:t>
            </w:r>
          </w:p>
        </w:tc>
        <w:tc>
          <w:tcPr>
            <w:tcW w:w="368" w:type="pct"/>
            <w:shd w:val="clear" w:color="auto" w:fill="FFFFFF"/>
          </w:tcPr>
          <w:p w:rsidR="006164BE" w:rsidRPr="00F718E6" w:rsidRDefault="006164BE" w:rsidP="005A7878">
            <w:pPr>
              <w:jc w:val="center"/>
              <w:rPr>
                <w:rFonts w:cs="Arial"/>
                <w:color w:val="A6A6A6" w:themeColor="background1" w:themeShade="A6"/>
                <w:sz w:val="22"/>
                <w:szCs w:val="22"/>
              </w:rPr>
            </w:pPr>
            <w:r w:rsidRPr="00CE09B5">
              <w:rPr>
                <w:rFonts w:cs="Arial"/>
                <w:color w:val="0070C0"/>
                <w:sz w:val="22"/>
                <w:szCs w:val="22"/>
              </w:rPr>
              <w:sym w:font="Wingdings" w:char="F06C"/>
            </w:r>
            <w:r w:rsidRPr="005F33CE">
              <w:rPr>
                <w:rFonts w:cs="Arial"/>
                <w:color w:val="008000"/>
                <w:sz w:val="22"/>
                <w:szCs w:val="22"/>
              </w:rPr>
              <w:sym w:font="Wingdings" w:char="F06C"/>
            </w:r>
            <w:r w:rsidRPr="00CE09B5">
              <w:rPr>
                <w:rFonts w:cs="Arial"/>
                <w:color w:val="FF0000"/>
                <w:sz w:val="22"/>
                <w:szCs w:val="22"/>
              </w:rPr>
              <w:sym w:font="Wingdings" w:char="F06C"/>
            </w:r>
          </w:p>
        </w:tc>
      </w:tr>
      <w:tr w:rsidR="006164BE" w:rsidRPr="00AF5E7C" w:rsidTr="005A7878">
        <w:trPr>
          <w:cantSplit/>
          <w:trHeight w:val="385"/>
        </w:trPr>
        <w:tc>
          <w:tcPr>
            <w:tcW w:w="1544" w:type="pct"/>
            <w:shd w:val="clear" w:color="auto" w:fill="auto"/>
            <w:tcMar>
              <w:top w:w="113" w:type="dxa"/>
              <w:bottom w:w="85" w:type="dxa"/>
            </w:tcMar>
          </w:tcPr>
          <w:p w:rsidR="006164BE" w:rsidRPr="00512DF2" w:rsidRDefault="006164BE" w:rsidP="005A7878">
            <w:pPr>
              <w:rPr>
                <w:rFonts w:cs="Arial"/>
                <w:sz w:val="16"/>
                <w:szCs w:val="16"/>
              </w:rPr>
            </w:pPr>
            <w:r w:rsidRPr="00512DF2">
              <w:rPr>
                <w:rFonts w:cs="Arial"/>
                <w:sz w:val="16"/>
                <w:szCs w:val="16"/>
              </w:rPr>
              <w:t>VIII.2</w:t>
            </w:r>
            <w:r>
              <w:rPr>
                <w:rFonts w:cs="Arial"/>
                <w:sz w:val="16"/>
                <w:szCs w:val="16"/>
              </w:rPr>
              <w:t xml:space="preserve"> </w:t>
            </w:r>
            <w:r w:rsidRPr="00512DF2">
              <w:rPr>
                <w:rFonts w:cs="Arial"/>
                <w:sz w:val="16"/>
                <w:szCs w:val="16"/>
              </w:rPr>
              <w:t xml:space="preserve"> Improved service orientation and responsiveness to inquiries</w:t>
            </w:r>
          </w:p>
        </w:tc>
        <w:tc>
          <w:tcPr>
            <w:tcW w:w="2162" w:type="pct"/>
            <w:shd w:val="clear" w:color="auto" w:fill="auto"/>
            <w:tcMar>
              <w:top w:w="113" w:type="dxa"/>
              <w:bottom w:w="85" w:type="dxa"/>
            </w:tcMar>
          </w:tcPr>
          <w:p w:rsidR="006164BE" w:rsidRPr="00512DF2" w:rsidRDefault="006164BE" w:rsidP="005A7878">
            <w:pPr>
              <w:rPr>
                <w:rFonts w:cs="Arial"/>
                <w:sz w:val="16"/>
                <w:szCs w:val="16"/>
              </w:rPr>
            </w:pPr>
            <w:r w:rsidRPr="00512DF2">
              <w:rPr>
                <w:rFonts w:cs="Arial"/>
                <w:sz w:val="16"/>
                <w:szCs w:val="16"/>
              </w:rPr>
              <w:t>% of users satisfied with Library services</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19</w:t>
            </w:r>
          </w:p>
        </w:tc>
        <w:tc>
          <w:tcPr>
            <w:tcW w:w="368" w:type="pct"/>
            <w:shd w:val="clear" w:color="auto" w:fill="FFFFFF"/>
          </w:tcPr>
          <w:p w:rsidR="006164BE" w:rsidRDefault="006164BE" w:rsidP="005A7878">
            <w:pPr>
              <w:jc w:val="center"/>
            </w:pPr>
            <w:r w:rsidRPr="005F33CE">
              <w:rPr>
                <w:rFonts w:cs="Arial"/>
                <w:color w:val="008000"/>
                <w:sz w:val="22"/>
                <w:szCs w:val="22"/>
              </w:rPr>
              <w:sym w:font="Wingdings" w:char="F06C"/>
            </w:r>
          </w:p>
        </w:tc>
      </w:tr>
      <w:tr w:rsidR="006164BE" w:rsidRPr="00AF5E7C" w:rsidTr="005A7878">
        <w:trPr>
          <w:cantSplit/>
          <w:trHeight w:val="232"/>
        </w:trPr>
        <w:tc>
          <w:tcPr>
            <w:tcW w:w="1544" w:type="pct"/>
            <w:vMerge w:val="restart"/>
            <w:shd w:val="clear" w:color="auto" w:fill="auto"/>
            <w:tcMar>
              <w:top w:w="113" w:type="dxa"/>
              <w:bottom w:w="85" w:type="dxa"/>
            </w:tcMar>
          </w:tcPr>
          <w:p w:rsidR="006164BE" w:rsidRPr="00AF5E7C" w:rsidRDefault="006164BE" w:rsidP="005A7878">
            <w:pPr>
              <w:rPr>
                <w:rFonts w:cs="Arial"/>
                <w:sz w:val="16"/>
                <w:szCs w:val="16"/>
              </w:rPr>
            </w:pPr>
          </w:p>
        </w:tc>
        <w:tc>
          <w:tcPr>
            <w:tcW w:w="2162" w:type="pct"/>
            <w:vMerge w:val="restart"/>
            <w:shd w:val="clear" w:color="auto" w:fill="auto"/>
            <w:tcMar>
              <w:top w:w="113" w:type="dxa"/>
              <w:bottom w:w="85" w:type="dxa"/>
            </w:tcMar>
          </w:tcPr>
          <w:p w:rsidR="006164BE" w:rsidRPr="00512DF2" w:rsidRDefault="006164BE" w:rsidP="005A7878">
            <w:pPr>
              <w:rPr>
                <w:rFonts w:cs="Arial"/>
                <w:sz w:val="16"/>
                <w:szCs w:val="16"/>
              </w:rPr>
            </w:pPr>
            <w:r w:rsidRPr="00512DF2">
              <w:rPr>
                <w:rFonts w:cs="Arial"/>
                <w:sz w:val="16"/>
                <w:szCs w:val="16"/>
              </w:rPr>
              <w:t>Customer/stakeholder satisfaction rate</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19</w:t>
            </w:r>
          </w:p>
        </w:tc>
        <w:tc>
          <w:tcPr>
            <w:tcW w:w="368" w:type="pct"/>
            <w:shd w:val="clear" w:color="auto" w:fill="FFFFFF"/>
          </w:tcPr>
          <w:p w:rsidR="006164BE" w:rsidRPr="00EA56A7" w:rsidRDefault="006164BE" w:rsidP="005A7878">
            <w:pPr>
              <w:jc w:val="center"/>
              <w:rPr>
                <w:rFonts w:cs="Arial"/>
                <w:color w:val="A6A6A6" w:themeColor="background1" w:themeShade="A6"/>
                <w:sz w:val="22"/>
                <w:szCs w:val="22"/>
              </w:rPr>
            </w:pPr>
            <w:r w:rsidRPr="005F33CE">
              <w:rPr>
                <w:rFonts w:cs="Arial"/>
                <w:color w:val="008000"/>
                <w:sz w:val="22"/>
                <w:szCs w:val="22"/>
              </w:rPr>
              <w:sym w:font="Wingdings" w:char="F06C"/>
            </w:r>
            <w:r w:rsidRPr="00CE09B5">
              <w:rPr>
                <w:rFonts w:cs="Arial"/>
                <w:color w:val="0070C0"/>
                <w:sz w:val="22"/>
                <w:szCs w:val="22"/>
              </w:rPr>
              <w:sym w:font="Wingdings" w:char="F06C"/>
            </w:r>
          </w:p>
        </w:tc>
      </w:tr>
      <w:tr w:rsidR="006164BE" w:rsidRPr="00AF5E7C" w:rsidTr="005A7878">
        <w:trPr>
          <w:cantSplit/>
          <w:trHeight w:val="231"/>
        </w:trPr>
        <w:tc>
          <w:tcPr>
            <w:tcW w:w="1544" w:type="pct"/>
            <w:vMerge/>
            <w:shd w:val="clear" w:color="auto" w:fill="auto"/>
            <w:tcMar>
              <w:top w:w="113" w:type="dxa"/>
              <w:bottom w:w="85" w:type="dxa"/>
            </w:tcMar>
          </w:tcPr>
          <w:p w:rsidR="006164BE" w:rsidRPr="00AF5E7C" w:rsidRDefault="006164BE" w:rsidP="005A7878">
            <w:pPr>
              <w:rPr>
                <w:rFonts w:cs="Arial"/>
                <w:sz w:val="16"/>
                <w:szCs w:val="16"/>
              </w:rPr>
            </w:pPr>
          </w:p>
        </w:tc>
        <w:tc>
          <w:tcPr>
            <w:tcW w:w="2162" w:type="pct"/>
            <w:vMerge/>
            <w:shd w:val="clear" w:color="auto" w:fill="auto"/>
            <w:tcMar>
              <w:top w:w="113" w:type="dxa"/>
              <w:bottom w:w="85" w:type="dxa"/>
            </w:tcMar>
          </w:tcPr>
          <w:p w:rsidR="006164BE" w:rsidRPr="00512DF2" w:rsidRDefault="006164BE" w:rsidP="005A7878">
            <w:pPr>
              <w:rPr>
                <w:rFonts w:cs="Arial"/>
                <w:sz w:val="16"/>
                <w:szCs w:val="16"/>
              </w:rPr>
            </w:pPr>
          </w:p>
        </w:tc>
        <w:tc>
          <w:tcPr>
            <w:tcW w:w="926" w:type="pct"/>
            <w:shd w:val="clear" w:color="auto" w:fill="FFFFFF"/>
            <w:tcMar>
              <w:top w:w="113" w:type="dxa"/>
              <w:bottom w:w="85" w:type="dxa"/>
            </w:tcMar>
          </w:tcPr>
          <w:p w:rsidR="006164BE" w:rsidRDefault="006164BE" w:rsidP="005A7878">
            <w:pPr>
              <w:jc w:val="center"/>
              <w:rPr>
                <w:rFonts w:cs="Arial"/>
                <w:sz w:val="16"/>
                <w:szCs w:val="16"/>
                <w:lang w:bidi="th-TH"/>
              </w:rPr>
            </w:pPr>
            <w:r>
              <w:rPr>
                <w:rFonts w:cs="Arial"/>
                <w:sz w:val="16"/>
                <w:szCs w:val="16"/>
                <w:lang w:bidi="th-TH"/>
              </w:rPr>
              <w:t>Program 20</w:t>
            </w:r>
          </w:p>
        </w:tc>
        <w:tc>
          <w:tcPr>
            <w:tcW w:w="368" w:type="pct"/>
            <w:shd w:val="clear" w:color="auto" w:fill="FFFFFF"/>
          </w:tcPr>
          <w:p w:rsidR="006164BE" w:rsidRPr="00F718E6" w:rsidRDefault="006164BE" w:rsidP="005A7878">
            <w:pPr>
              <w:jc w:val="center"/>
              <w:rPr>
                <w:rFonts w:cs="Arial"/>
                <w:color w:val="A6A6A6" w:themeColor="background1" w:themeShade="A6"/>
                <w:sz w:val="22"/>
                <w:szCs w:val="22"/>
              </w:rPr>
            </w:pPr>
            <w:r w:rsidRPr="00CE09B5">
              <w:rPr>
                <w:rFonts w:cs="Arial"/>
                <w:color w:val="0070C0"/>
                <w:sz w:val="22"/>
                <w:szCs w:val="22"/>
              </w:rPr>
              <w:sym w:font="Wingdings" w:char="F06C"/>
            </w:r>
          </w:p>
        </w:tc>
      </w:tr>
      <w:tr w:rsidR="006164BE" w:rsidRPr="00AF5E7C" w:rsidTr="005A7878">
        <w:trPr>
          <w:cantSplit/>
          <w:trHeight w:val="317"/>
        </w:trPr>
        <w:tc>
          <w:tcPr>
            <w:tcW w:w="1544" w:type="pct"/>
            <w:shd w:val="clear" w:color="auto" w:fill="auto"/>
            <w:tcMar>
              <w:top w:w="113" w:type="dxa"/>
              <w:bottom w:w="85" w:type="dxa"/>
            </w:tcMar>
          </w:tcPr>
          <w:p w:rsidR="006164BE" w:rsidRPr="00AF5E7C" w:rsidRDefault="006164BE" w:rsidP="005A7878">
            <w:pPr>
              <w:rPr>
                <w:rFonts w:cs="Arial"/>
                <w:sz w:val="16"/>
                <w:szCs w:val="16"/>
              </w:rPr>
            </w:pPr>
          </w:p>
        </w:tc>
        <w:tc>
          <w:tcPr>
            <w:tcW w:w="2162" w:type="pct"/>
            <w:shd w:val="clear" w:color="auto" w:fill="auto"/>
            <w:tcMar>
              <w:top w:w="113" w:type="dxa"/>
              <w:bottom w:w="85" w:type="dxa"/>
            </w:tcMar>
          </w:tcPr>
          <w:p w:rsidR="006164BE" w:rsidRPr="00512DF2" w:rsidRDefault="006164BE" w:rsidP="005A7878">
            <w:pPr>
              <w:rPr>
                <w:rFonts w:cs="Arial"/>
                <w:sz w:val="16"/>
                <w:szCs w:val="16"/>
              </w:rPr>
            </w:pPr>
            <w:r w:rsidRPr="00512DF2">
              <w:rPr>
                <w:rFonts w:cs="Arial"/>
                <w:sz w:val="16"/>
                <w:szCs w:val="16"/>
              </w:rPr>
              <w:t>Service Standards targets as defined on WIPO website</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19</w:t>
            </w:r>
          </w:p>
        </w:tc>
        <w:tc>
          <w:tcPr>
            <w:tcW w:w="368" w:type="pct"/>
            <w:shd w:val="clear" w:color="auto" w:fill="FFFFFF"/>
          </w:tcPr>
          <w:p w:rsidR="006164BE" w:rsidRPr="00F718E6" w:rsidRDefault="006164BE" w:rsidP="005A7878">
            <w:pPr>
              <w:jc w:val="center"/>
              <w:rPr>
                <w:rFonts w:cs="Arial"/>
                <w:color w:val="A6A6A6" w:themeColor="background1" w:themeShade="A6"/>
                <w:sz w:val="22"/>
                <w:szCs w:val="22"/>
              </w:rPr>
            </w:pPr>
            <w:r w:rsidRPr="005F33CE">
              <w:rPr>
                <w:rFonts w:cs="Arial"/>
                <w:color w:val="008000"/>
                <w:sz w:val="22"/>
                <w:szCs w:val="22"/>
              </w:rPr>
              <w:sym w:font="Wingdings" w:char="F06C"/>
            </w:r>
            <w:r w:rsidRPr="005F33CE">
              <w:rPr>
                <w:rFonts w:cs="Arial"/>
                <w:color w:val="008000"/>
                <w:sz w:val="22"/>
                <w:szCs w:val="22"/>
              </w:rPr>
              <w:sym w:font="Wingdings" w:char="F06C"/>
            </w:r>
          </w:p>
        </w:tc>
      </w:tr>
      <w:tr w:rsidR="006164BE" w:rsidRPr="00AF5E7C" w:rsidTr="005A7878">
        <w:trPr>
          <w:cantSplit/>
          <w:trHeight w:val="297"/>
        </w:trPr>
        <w:tc>
          <w:tcPr>
            <w:tcW w:w="1544" w:type="pct"/>
            <w:shd w:val="clear" w:color="auto" w:fill="auto"/>
            <w:tcMar>
              <w:top w:w="113" w:type="dxa"/>
              <w:bottom w:w="85" w:type="dxa"/>
            </w:tcMar>
          </w:tcPr>
          <w:p w:rsidR="006164BE" w:rsidRPr="00AF5E7C" w:rsidRDefault="006164BE" w:rsidP="005A7878">
            <w:pPr>
              <w:rPr>
                <w:rFonts w:cs="Arial"/>
                <w:sz w:val="16"/>
                <w:szCs w:val="16"/>
              </w:rPr>
            </w:pPr>
          </w:p>
        </w:tc>
        <w:tc>
          <w:tcPr>
            <w:tcW w:w="2162" w:type="pct"/>
            <w:shd w:val="clear" w:color="auto" w:fill="auto"/>
            <w:tcMar>
              <w:top w:w="113" w:type="dxa"/>
              <w:bottom w:w="85" w:type="dxa"/>
            </w:tcMar>
          </w:tcPr>
          <w:p w:rsidR="006164BE" w:rsidRPr="00AF5E7C" w:rsidRDefault="006164BE" w:rsidP="005A7878">
            <w:pPr>
              <w:rPr>
                <w:rFonts w:cs="Arial"/>
                <w:sz w:val="16"/>
                <w:szCs w:val="16"/>
              </w:rPr>
            </w:pPr>
            <w:r w:rsidRPr="00C43F3D">
              <w:rPr>
                <w:rFonts w:cs="Arial"/>
                <w:sz w:val="16"/>
                <w:szCs w:val="16"/>
              </w:rPr>
              <w:t>Processing time of information inquiries</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20</w:t>
            </w:r>
          </w:p>
        </w:tc>
        <w:tc>
          <w:tcPr>
            <w:tcW w:w="368" w:type="pct"/>
            <w:shd w:val="clear" w:color="auto" w:fill="FFFFFF"/>
          </w:tcPr>
          <w:p w:rsidR="006164BE" w:rsidRDefault="006164BE" w:rsidP="005A7878">
            <w:pPr>
              <w:jc w:val="center"/>
            </w:pPr>
            <w:r w:rsidRPr="00F718E6">
              <w:rPr>
                <w:rFonts w:cs="Arial"/>
                <w:color w:val="A6A6A6" w:themeColor="background1" w:themeShade="A6"/>
                <w:sz w:val="22"/>
                <w:szCs w:val="22"/>
              </w:rPr>
              <w:sym w:font="Wingdings" w:char="F06C"/>
            </w:r>
            <w:r w:rsidRPr="00F718E6">
              <w:rPr>
                <w:rFonts w:cs="Arial"/>
                <w:color w:val="A6A6A6" w:themeColor="background1" w:themeShade="A6"/>
                <w:sz w:val="22"/>
                <w:szCs w:val="22"/>
              </w:rPr>
              <w:sym w:font="Wingdings" w:char="F06C"/>
            </w:r>
            <w:r w:rsidRPr="00365F93">
              <w:rPr>
                <w:rFonts w:cs="Arial"/>
                <w:color w:val="008000"/>
                <w:sz w:val="22"/>
                <w:szCs w:val="22"/>
              </w:rPr>
              <w:sym w:font="Wingdings" w:char="F06C"/>
            </w:r>
          </w:p>
        </w:tc>
      </w:tr>
      <w:tr w:rsidR="006164BE" w:rsidRPr="00AF5E7C" w:rsidTr="005A7878">
        <w:trPr>
          <w:cantSplit/>
          <w:trHeight w:val="622"/>
        </w:trPr>
        <w:tc>
          <w:tcPr>
            <w:tcW w:w="1544" w:type="pct"/>
            <w:shd w:val="clear" w:color="auto" w:fill="auto"/>
            <w:tcMar>
              <w:top w:w="113" w:type="dxa"/>
              <w:bottom w:w="85" w:type="dxa"/>
            </w:tcMar>
          </w:tcPr>
          <w:p w:rsidR="006164BE" w:rsidRPr="0092679D" w:rsidRDefault="006164BE" w:rsidP="005A7878">
            <w:pPr>
              <w:rPr>
                <w:rFonts w:cs="Arial"/>
                <w:sz w:val="16"/>
                <w:szCs w:val="16"/>
              </w:rPr>
            </w:pPr>
            <w:r w:rsidRPr="0092679D">
              <w:rPr>
                <w:rFonts w:cs="Arial"/>
                <w:sz w:val="16"/>
                <w:szCs w:val="16"/>
              </w:rPr>
              <w:t>VIII.3</w:t>
            </w:r>
            <w:r>
              <w:rPr>
                <w:rFonts w:cs="Arial"/>
                <w:sz w:val="16"/>
                <w:szCs w:val="16"/>
              </w:rPr>
              <w:t xml:space="preserve"> </w:t>
            </w:r>
            <w:r w:rsidRPr="0092679D">
              <w:rPr>
                <w:rFonts w:cs="Arial"/>
                <w:sz w:val="16"/>
                <w:szCs w:val="16"/>
              </w:rPr>
              <w:t>Effective engagement with Member States</w:t>
            </w:r>
          </w:p>
        </w:tc>
        <w:tc>
          <w:tcPr>
            <w:tcW w:w="2162" w:type="pct"/>
            <w:shd w:val="clear" w:color="auto" w:fill="auto"/>
            <w:tcMar>
              <w:top w:w="113" w:type="dxa"/>
              <w:bottom w:w="85" w:type="dxa"/>
            </w:tcMar>
          </w:tcPr>
          <w:p w:rsidR="006164BE" w:rsidRPr="0092679D" w:rsidRDefault="006164BE" w:rsidP="005A7878">
            <w:pPr>
              <w:rPr>
                <w:rFonts w:cs="Arial"/>
                <w:sz w:val="16"/>
                <w:szCs w:val="16"/>
              </w:rPr>
            </w:pPr>
            <w:r w:rsidRPr="0092679D">
              <w:rPr>
                <w:rFonts w:cs="Arial"/>
                <w:sz w:val="16"/>
                <w:szCs w:val="16"/>
              </w:rPr>
              <w:t>% of Committee Meetings for which pre-Committee information meetings for Member States are held</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21</w:t>
            </w:r>
          </w:p>
        </w:tc>
        <w:tc>
          <w:tcPr>
            <w:tcW w:w="368" w:type="pct"/>
            <w:shd w:val="clear" w:color="auto" w:fill="FFFFFF"/>
          </w:tcPr>
          <w:p w:rsidR="006164BE" w:rsidRDefault="006164BE" w:rsidP="005A7878">
            <w:pPr>
              <w:jc w:val="center"/>
            </w:pPr>
            <w:r w:rsidRPr="00365F93">
              <w:rPr>
                <w:rFonts w:cs="Arial"/>
                <w:color w:val="008000"/>
                <w:sz w:val="22"/>
                <w:szCs w:val="22"/>
              </w:rPr>
              <w:sym w:font="Wingdings" w:char="F06C"/>
            </w:r>
          </w:p>
        </w:tc>
      </w:tr>
      <w:tr w:rsidR="006164BE" w:rsidRPr="00AF5E7C" w:rsidTr="005A7878">
        <w:trPr>
          <w:cantSplit/>
          <w:trHeight w:val="584"/>
        </w:trPr>
        <w:tc>
          <w:tcPr>
            <w:tcW w:w="1544" w:type="pct"/>
            <w:shd w:val="clear" w:color="auto" w:fill="auto"/>
            <w:tcMar>
              <w:top w:w="113" w:type="dxa"/>
              <w:bottom w:w="85" w:type="dxa"/>
            </w:tcMar>
          </w:tcPr>
          <w:p w:rsidR="006164BE" w:rsidRPr="00AF5E7C" w:rsidRDefault="006164BE" w:rsidP="005A7878">
            <w:pPr>
              <w:rPr>
                <w:rFonts w:cs="Arial"/>
                <w:sz w:val="16"/>
                <w:szCs w:val="16"/>
              </w:rPr>
            </w:pPr>
          </w:p>
        </w:tc>
        <w:tc>
          <w:tcPr>
            <w:tcW w:w="2162" w:type="pct"/>
            <w:shd w:val="clear" w:color="auto" w:fill="auto"/>
            <w:tcMar>
              <w:top w:w="113" w:type="dxa"/>
              <w:bottom w:w="85" w:type="dxa"/>
            </w:tcMar>
          </w:tcPr>
          <w:p w:rsidR="006164BE" w:rsidRPr="0092679D" w:rsidRDefault="006164BE" w:rsidP="005A7878">
            <w:pPr>
              <w:rPr>
                <w:rFonts w:cs="Arial"/>
                <w:sz w:val="16"/>
                <w:szCs w:val="16"/>
              </w:rPr>
            </w:pPr>
            <w:r w:rsidRPr="0092679D">
              <w:rPr>
                <w:rFonts w:cs="Arial"/>
                <w:sz w:val="16"/>
                <w:szCs w:val="16"/>
              </w:rPr>
              <w:t>% of letters to the DG from Member States are responded to within 2 weeks</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21</w:t>
            </w:r>
          </w:p>
        </w:tc>
        <w:tc>
          <w:tcPr>
            <w:tcW w:w="368" w:type="pct"/>
            <w:shd w:val="clear" w:color="auto" w:fill="FFFFFF"/>
          </w:tcPr>
          <w:p w:rsidR="006164BE" w:rsidRPr="00F718E6" w:rsidRDefault="006164BE" w:rsidP="005A7878">
            <w:pPr>
              <w:jc w:val="center"/>
              <w:rPr>
                <w:rFonts w:cs="Arial"/>
                <w:color w:val="A6A6A6" w:themeColor="background1" w:themeShade="A6"/>
                <w:sz w:val="22"/>
                <w:szCs w:val="22"/>
              </w:rPr>
            </w:pPr>
            <w:r w:rsidRPr="00365F93">
              <w:rPr>
                <w:rFonts w:cs="Arial"/>
                <w:color w:val="008000"/>
                <w:sz w:val="22"/>
                <w:szCs w:val="22"/>
              </w:rPr>
              <w:sym w:font="Wingdings" w:char="F06C"/>
            </w:r>
          </w:p>
        </w:tc>
      </w:tr>
      <w:tr w:rsidR="006164BE" w:rsidRPr="00AF5E7C" w:rsidTr="005A7878">
        <w:trPr>
          <w:cantSplit/>
          <w:trHeight w:val="714"/>
        </w:trPr>
        <w:tc>
          <w:tcPr>
            <w:tcW w:w="1544" w:type="pct"/>
            <w:shd w:val="clear" w:color="auto" w:fill="auto"/>
            <w:tcMar>
              <w:top w:w="113" w:type="dxa"/>
              <w:bottom w:w="85" w:type="dxa"/>
            </w:tcMar>
          </w:tcPr>
          <w:p w:rsidR="006164BE" w:rsidRPr="00AF5E7C" w:rsidRDefault="006164BE" w:rsidP="005A7878">
            <w:pPr>
              <w:rPr>
                <w:rFonts w:cs="Arial"/>
                <w:sz w:val="16"/>
                <w:szCs w:val="16"/>
              </w:rPr>
            </w:pPr>
          </w:p>
        </w:tc>
        <w:tc>
          <w:tcPr>
            <w:tcW w:w="2162" w:type="pct"/>
            <w:shd w:val="clear" w:color="auto" w:fill="auto"/>
            <w:tcMar>
              <w:top w:w="113" w:type="dxa"/>
              <w:bottom w:w="85" w:type="dxa"/>
            </w:tcMar>
          </w:tcPr>
          <w:p w:rsidR="006164BE" w:rsidRPr="00D81234" w:rsidRDefault="006164BE" w:rsidP="005A7878">
            <w:pPr>
              <w:rPr>
                <w:rFonts w:cs="Arial"/>
                <w:sz w:val="16"/>
                <w:szCs w:val="16"/>
              </w:rPr>
            </w:pPr>
            <w:r w:rsidRPr="00D81234">
              <w:rPr>
                <w:rFonts w:cs="Arial"/>
                <w:sz w:val="16"/>
                <w:szCs w:val="16"/>
              </w:rPr>
              <w:t>% of adherence and other WIPO Treaty-related actions by Member States processed in a timely manner</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21</w:t>
            </w:r>
          </w:p>
        </w:tc>
        <w:tc>
          <w:tcPr>
            <w:tcW w:w="368" w:type="pct"/>
            <w:shd w:val="clear" w:color="auto" w:fill="FFFFFF"/>
          </w:tcPr>
          <w:p w:rsidR="006164BE" w:rsidRDefault="006164BE" w:rsidP="005A7878">
            <w:pPr>
              <w:jc w:val="center"/>
            </w:pPr>
            <w:r w:rsidRPr="00365F93">
              <w:rPr>
                <w:rFonts w:cs="Arial"/>
                <w:color w:val="008000"/>
                <w:sz w:val="22"/>
                <w:szCs w:val="22"/>
              </w:rPr>
              <w:sym w:font="Wingdings" w:char="F06C"/>
            </w:r>
          </w:p>
        </w:tc>
      </w:tr>
      <w:tr w:rsidR="006164BE" w:rsidRPr="00AF5E7C" w:rsidTr="005A7878">
        <w:trPr>
          <w:cantSplit/>
          <w:trHeight w:val="524"/>
        </w:trPr>
        <w:tc>
          <w:tcPr>
            <w:tcW w:w="1544" w:type="pct"/>
            <w:shd w:val="clear" w:color="auto" w:fill="auto"/>
            <w:tcMar>
              <w:top w:w="113" w:type="dxa"/>
              <w:bottom w:w="85" w:type="dxa"/>
            </w:tcMar>
          </w:tcPr>
          <w:p w:rsidR="006164BE" w:rsidRPr="00AF5E7C" w:rsidRDefault="006164BE" w:rsidP="005A7878">
            <w:pPr>
              <w:rPr>
                <w:rFonts w:cs="Arial"/>
                <w:sz w:val="16"/>
                <w:szCs w:val="16"/>
              </w:rPr>
            </w:pPr>
          </w:p>
        </w:tc>
        <w:tc>
          <w:tcPr>
            <w:tcW w:w="2162" w:type="pct"/>
            <w:shd w:val="clear" w:color="auto" w:fill="auto"/>
            <w:tcMar>
              <w:top w:w="113" w:type="dxa"/>
              <w:bottom w:w="85" w:type="dxa"/>
            </w:tcMar>
          </w:tcPr>
          <w:p w:rsidR="006164BE" w:rsidRPr="00970B2F" w:rsidRDefault="006164BE" w:rsidP="005A7878">
            <w:pPr>
              <w:rPr>
                <w:rFonts w:cs="Arial"/>
                <w:sz w:val="16"/>
                <w:szCs w:val="16"/>
              </w:rPr>
            </w:pPr>
            <w:r w:rsidRPr="00970B2F">
              <w:rPr>
                <w:rFonts w:cs="Arial"/>
                <w:sz w:val="16"/>
                <w:szCs w:val="16"/>
              </w:rPr>
              <w:t>Member States satisfaction levels with the preparation and functioning of the Assemblies</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21</w:t>
            </w:r>
          </w:p>
        </w:tc>
        <w:tc>
          <w:tcPr>
            <w:tcW w:w="368" w:type="pct"/>
            <w:shd w:val="clear" w:color="auto" w:fill="FFFFFF"/>
          </w:tcPr>
          <w:p w:rsidR="006164BE" w:rsidRDefault="006164BE" w:rsidP="005A7878">
            <w:pPr>
              <w:jc w:val="center"/>
            </w:pPr>
            <w:r w:rsidRPr="00365F93">
              <w:rPr>
                <w:rFonts w:cs="Arial"/>
                <w:color w:val="008000"/>
                <w:sz w:val="22"/>
                <w:szCs w:val="22"/>
              </w:rPr>
              <w:sym w:font="Wingdings" w:char="F06C"/>
            </w:r>
          </w:p>
        </w:tc>
      </w:tr>
      <w:tr w:rsidR="006164BE" w:rsidRPr="00AF5E7C" w:rsidTr="005A7878">
        <w:trPr>
          <w:cantSplit/>
          <w:trHeight w:val="503"/>
        </w:trPr>
        <w:tc>
          <w:tcPr>
            <w:tcW w:w="1544" w:type="pct"/>
            <w:shd w:val="clear" w:color="auto" w:fill="auto"/>
            <w:tcMar>
              <w:top w:w="113" w:type="dxa"/>
              <w:bottom w:w="85" w:type="dxa"/>
            </w:tcMar>
          </w:tcPr>
          <w:p w:rsidR="006164BE" w:rsidRPr="00AF5E7C" w:rsidRDefault="006164BE" w:rsidP="005A7878">
            <w:pPr>
              <w:rPr>
                <w:rFonts w:cs="Arial"/>
                <w:sz w:val="16"/>
                <w:szCs w:val="16"/>
              </w:rPr>
            </w:pPr>
          </w:p>
        </w:tc>
        <w:tc>
          <w:tcPr>
            <w:tcW w:w="2162" w:type="pct"/>
            <w:shd w:val="clear" w:color="auto" w:fill="auto"/>
            <w:tcMar>
              <w:top w:w="113" w:type="dxa"/>
              <w:bottom w:w="85" w:type="dxa"/>
            </w:tcMar>
          </w:tcPr>
          <w:p w:rsidR="006164BE" w:rsidRPr="00970B2F" w:rsidRDefault="006164BE" w:rsidP="005A7878">
            <w:pPr>
              <w:rPr>
                <w:rFonts w:cs="Arial"/>
                <w:sz w:val="16"/>
                <w:szCs w:val="16"/>
              </w:rPr>
            </w:pPr>
            <w:r w:rsidRPr="00970B2F">
              <w:rPr>
                <w:rFonts w:cs="Arial"/>
                <w:sz w:val="16"/>
                <w:szCs w:val="16"/>
              </w:rPr>
              <w:t>Timeliness of publication of Assemblies documents</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21</w:t>
            </w:r>
          </w:p>
        </w:tc>
        <w:tc>
          <w:tcPr>
            <w:tcW w:w="368" w:type="pct"/>
            <w:shd w:val="clear" w:color="auto" w:fill="FFFFFF"/>
          </w:tcPr>
          <w:p w:rsidR="006164BE" w:rsidRPr="00F718E6" w:rsidRDefault="006164BE" w:rsidP="005A7878">
            <w:pPr>
              <w:jc w:val="center"/>
              <w:rPr>
                <w:rFonts w:cs="Arial"/>
                <w:color w:val="A6A6A6" w:themeColor="background1" w:themeShade="A6"/>
                <w:sz w:val="22"/>
                <w:szCs w:val="22"/>
              </w:rPr>
            </w:pPr>
            <w:r w:rsidRPr="00365F93">
              <w:rPr>
                <w:rFonts w:cs="Arial"/>
                <w:color w:val="008000"/>
                <w:sz w:val="22"/>
                <w:szCs w:val="22"/>
              </w:rPr>
              <w:sym w:font="Wingdings" w:char="F06C"/>
            </w:r>
          </w:p>
        </w:tc>
      </w:tr>
      <w:tr w:rsidR="006164BE" w:rsidRPr="00AF5E7C" w:rsidTr="005A7878">
        <w:trPr>
          <w:cantSplit/>
          <w:trHeight w:val="522"/>
        </w:trPr>
        <w:tc>
          <w:tcPr>
            <w:tcW w:w="1544" w:type="pct"/>
            <w:shd w:val="clear" w:color="auto" w:fill="auto"/>
            <w:tcMar>
              <w:top w:w="113" w:type="dxa"/>
              <w:bottom w:w="85" w:type="dxa"/>
            </w:tcMar>
          </w:tcPr>
          <w:p w:rsidR="006164BE" w:rsidRPr="00DF155F" w:rsidRDefault="006164BE" w:rsidP="005A7878">
            <w:pPr>
              <w:rPr>
                <w:rFonts w:cs="Arial"/>
                <w:sz w:val="16"/>
                <w:szCs w:val="16"/>
              </w:rPr>
            </w:pPr>
            <w:r w:rsidRPr="00DF155F">
              <w:rPr>
                <w:rFonts w:cs="Arial"/>
                <w:sz w:val="16"/>
                <w:szCs w:val="16"/>
              </w:rPr>
              <w:t>VIII.4</w:t>
            </w:r>
            <w:r>
              <w:rPr>
                <w:rFonts w:cs="Arial"/>
                <w:sz w:val="16"/>
                <w:szCs w:val="16"/>
              </w:rPr>
              <w:t xml:space="preserve">  </w:t>
            </w:r>
            <w:r w:rsidRPr="00DF155F">
              <w:rPr>
                <w:rFonts w:cs="Arial"/>
                <w:sz w:val="16"/>
                <w:szCs w:val="16"/>
              </w:rPr>
              <w:t>Open, transparent and responsive interaction with non-governmental stakeholders</w:t>
            </w:r>
          </w:p>
        </w:tc>
        <w:tc>
          <w:tcPr>
            <w:tcW w:w="2162" w:type="pct"/>
            <w:shd w:val="clear" w:color="auto" w:fill="auto"/>
            <w:tcMar>
              <w:top w:w="113" w:type="dxa"/>
              <w:bottom w:w="85" w:type="dxa"/>
            </w:tcMar>
          </w:tcPr>
          <w:p w:rsidR="006164BE" w:rsidRPr="00DF155F" w:rsidRDefault="006164BE" w:rsidP="005A7878">
            <w:pPr>
              <w:rPr>
                <w:rFonts w:cs="Arial"/>
                <w:sz w:val="16"/>
                <w:szCs w:val="16"/>
              </w:rPr>
            </w:pPr>
            <w:r w:rsidRPr="00DF155F">
              <w:rPr>
                <w:rFonts w:cs="Arial"/>
                <w:sz w:val="16"/>
                <w:szCs w:val="16"/>
              </w:rPr>
              <w:t>Increased, effective engagement of non-governmental stakeholders at WIPO events and vice-versa</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20</w:t>
            </w:r>
          </w:p>
        </w:tc>
        <w:tc>
          <w:tcPr>
            <w:tcW w:w="368" w:type="pct"/>
            <w:shd w:val="clear" w:color="auto" w:fill="FFFFFF"/>
          </w:tcPr>
          <w:p w:rsidR="006164BE" w:rsidRDefault="006164BE" w:rsidP="005A7878">
            <w:pPr>
              <w:jc w:val="center"/>
            </w:pPr>
            <w:r w:rsidRPr="00365F93">
              <w:rPr>
                <w:rFonts w:cs="Arial"/>
                <w:color w:val="008000"/>
                <w:sz w:val="22"/>
                <w:szCs w:val="22"/>
              </w:rPr>
              <w:sym w:font="Wingdings" w:char="F06C"/>
            </w:r>
          </w:p>
        </w:tc>
      </w:tr>
      <w:tr w:rsidR="006164BE" w:rsidRPr="00AF5E7C" w:rsidTr="005A7878">
        <w:trPr>
          <w:cantSplit/>
          <w:trHeight w:val="537"/>
        </w:trPr>
        <w:tc>
          <w:tcPr>
            <w:tcW w:w="1544" w:type="pct"/>
            <w:shd w:val="clear" w:color="auto" w:fill="auto"/>
            <w:tcMar>
              <w:top w:w="113" w:type="dxa"/>
              <w:bottom w:w="85" w:type="dxa"/>
            </w:tcMar>
          </w:tcPr>
          <w:p w:rsidR="006164BE" w:rsidRPr="00DF155F" w:rsidRDefault="006164BE" w:rsidP="005A7878">
            <w:pPr>
              <w:rPr>
                <w:rFonts w:cs="Arial"/>
                <w:sz w:val="16"/>
                <w:szCs w:val="16"/>
              </w:rPr>
            </w:pPr>
            <w:r w:rsidRPr="00DF155F">
              <w:rPr>
                <w:rFonts w:cs="Arial"/>
                <w:sz w:val="16"/>
                <w:szCs w:val="16"/>
              </w:rPr>
              <w:t>VIII.5</w:t>
            </w:r>
            <w:r>
              <w:rPr>
                <w:rFonts w:cs="Arial"/>
                <w:sz w:val="16"/>
                <w:szCs w:val="16"/>
              </w:rPr>
              <w:t xml:space="preserve"> </w:t>
            </w:r>
            <w:r w:rsidRPr="00DF155F">
              <w:rPr>
                <w:rFonts w:cs="Arial"/>
                <w:sz w:val="16"/>
                <w:szCs w:val="16"/>
              </w:rPr>
              <w:t xml:space="preserve"> WIPO effectively interacts and partners with UN and other IGO processes and negotiations</w:t>
            </w:r>
          </w:p>
        </w:tc>
        <w:tc>
          <w:tcPr>
            <w:tcW w:w="2162" w:type="pct"/>
            <w:shd w:val="clear" w:color="auto" w:fill="auto"/>
            <w:tcMar>
              <w:top w:w="113" w:type="dxa"/>
              <w:bottom w:w="85" w:type="dxa"/>
            </w:tcMar>
          </w:tcPr>
          <w:p w:rsidR="006164BE" w:rsidRPr="00DF155F" w:rsidRDefault="006164BE" w:rsidP="005A7878">
            <w:pPr>
              <w:rPr>
                <w:rFonts w:cs="Arial"/>
                <w:sz w:val="16"/>
                <w:szCs w:val="16"/>
              </w:rPr>
            </w:pPr>
            <w:r w:rsidRPr="00DF155F">
              <w:rPr>
                <w:rFonts w:cs="Arial"/>
                <w:sz w:val="16"/>
                <w:szCs w:val="16"/>
              </w:rPr>
              <w:t>Use of WIPO's contribution in reports, resolutions and documents from targeted processes</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20</w:t>
            </w:r>
          </w:p>
        </w:tc>
        <w:tc>
          <w:tcPr>
            <w:tcW w:w="368" w:type="pct"/>
            <w:shd w:val="clear" w:color="auto" w:fill="FFFFFF"/>
          </w:tcPr>
          <w:p w:rsidR="006164BE" w:rsidRDefault="006164BE" w:rsidP="005A7878">
            <w:pPr>
              <w:jc w:val="center"/>
            </w:pPr>
            <w:r w:rsidRPr="00365F93">
              <w:rPr>
                <w:rFonts w:cs="Arial"/>
                <w:color w:val="008000"/>
                <w:sz w:val="22"/>
                <w:szCs w:val="22"/>
              </w:rPr>
              <w:sym w:font="Wingdings" w:char="F06C"/>
            </w:r>
          </w:p>
        </w:tc>
      </w:tr>
      <w:tr w:rsidR="006164BE" w:rsidRPr="00AF5E7C" w:rsidTr="005A7878">
        <w:trPr>
          <w:cantSplit/>
          <w:trHeight w:val="514"/>
        </w:trPr>
        <w:tc>
          <w:tcPr>
            <w:tcW w:w="1544" w:type="pct"/>
            <w:shd w:val="clear" w:color="auto" w:fill="auto"/>
            <w:tcMar>
              <w:top w:w="113" w:type="dxa"/>
              <w:bottom w:w="85" w:type="dxa"/>
            </w:tcMar>
          </w:tcPr>
          <w:p w:rsidR="006164BE" w:rsidRPr="00AF5E7C" w:rsidRDefault="006164BE" w:rsidP="005A7878">
            <w:pPr>
              <w:rPr>
                <w:rFonts w:cs="Arial"/>
                <w:sz w:val="16"/>
                <w:szCs w:val="16"/>
              </w:rPr>
            </w:pPr>
          </w:p>
        </w:tc>
        <w:tc>
          <w:tcPr>
            <w:tcW w:w="2162" w:type="pct"/>
            <w:shd w:val="clear" w:color="auto" w:fill="auto"/>
            <w:tcMar>
              <w:top w:w="113" w:type="dxa"/>
              <w:bottom w:w="85" w:type="dxa"/>
            </w:tcMar>
          </w:tcPr>
          <w:p w:rsidR="006164BE" w:rsidRPr="00DF155F" w:rsidRDefault="006164BE" w:rsidP="005A7878">
            <w:pPr>
              <w:rPr>
                <w:rFonts w:cs="Arial"/>
                <w:sz w:val="16"/>
                <w:szCs w:val="16"/>
              </w:rPr>
            </w:pPr>
            <w:r>
              <w:rPr>
                <w:rFonts w:cs="Arial"/>
                <w:sz w:val="16"/>
                <w:szCs w:val="16"/>
              </w:rPr>
              <w:t>%</w:t>
            </w:r>
            <w:r w:rsidRPr="00DF155F">
              <w:rPr>
                <w:rFonts w:cs="Arial"/>
                <w:sz w:val="16"/>
                <w:szCs w:val="16"/>
              </w:rPr>
              <w:t xml:space="preserve"> of responses to external requests for contributions from the UN, IGOs etc. submitted on time</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20</w:t>
            </w:r>
          </w:p>
        </w:tc>
        <w:tc>
          <w:tcPr>
            <w:tcW w:w="368" w:type="pct"/>
            <w:shd w:val="clear" w:color="auto" w:fill="FFFFFF"/>
          </w:tcPr>
          <w:p w:rsidR="006164BE" w:rsidRPr="00F718E6" w:rsidRDefault="006164BE" w:rsidP="005A7878">
            <w:pPr>
              <w:jc w:val="center"/>
              <w:rPr>
                <w:rFonts w:cs="Arial"/>
                <w:color w:val="A6A6A6" w:themeColor="background1" w:themeShade="A6"/>
                <w:sz w:val="22"/>
                <w:szCs w:val="22"/>
              </w:rPr>
            </w:pPr>
            <w:r w:rsidRPr="00365F93">
              <w:rPr>
                <w:rFonts w:cs="Arial"/>
                <w:color w:val="008000"/>
                <w:sz w:val="22"/>
                <w:szCs w:val="22"/>
              </w:rPr>
              <w:sym w:font="Wingdings" w:char="F06C"/>
            </w:r>
          </w:p>
        </w:tc>
      </w:tr>
      <w:tr w:rsidR="006164BE" w:rsidRPr="00AF5E7C" w:rsidTr="005A7878">
        <w:trPr>
          <w:cantSplit/>
          <w:trHeight w:val="478"/>
        </w:trPr>
        <w:tc>
          <w:tcPr>
            <w:tcW w:w="1544" w:type="pct"/>
            <w:shd w:val="clear" w:color="auto" w:fill="auto"/>
            <w:tcMar>
              <w:top w:w="113" w:type="dxa"/>
              <w:bottom w:w="85" w:type="dxa"/>
            </w:tcMar>
          </w:tcPr>
          <w:p w:rsidR="006164BE" w:rsidRPr="00AF5E7C" w:rsidRDefault="006164BE" w:rsidP="005A7878">
            <w:pPr>
              <w:rPr>
                <w:rFonts w:cs="Arial"/>
                <w:sz w:val="16"/>
                <w:szCs w:val="16"/>
              </w:rPr>
            </w:pPr>
          </w:p>
        </w:tc>
        <w:tc>
          <w:tcPr>
            <w:tcW w:w="2162" w:type="pct"/>
            <w:shd w:val="clear" w:color="auto" w:fill="auto"/>
            <w:tcMar>
              <w:top w:w="113" w:type="dxa"/>
              <w:bottom w:w="85" w:type="dxa"/>
            </w:tcMar>
          </w:tcPr>
          <w:p w:rsidR="006164BE" w:rsidRPr="00C43F3D" w:rsidRDefault="006164BE" w:rsidP="005A7878">
            <w:pPr>
              <w:rPr>
                <w:rFonts w:cs="Arial"/>
                <w:sz w:val="16"/>
                <w:szCs w:val="16"/>
              </w:rPr>
            </w:pPr>
            <w:r w:rsidRPr="00C43F3D">
              <w:rPr>
                <w:rFonts w:cs="Arial"/>
                <w:sz w:val="16"/>
                <w:szCs w:val="16"/>
              </w:rPr>
              <w:t>No. of IP Programs implemented jointly with other UN bodies and other IGOs</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20</w:t>
            </w:r>
          </w:p>
        </w:tc>
        <w:tc>
          <w:tcPr>
            <w:tcW w:w="368" w:type="pct"/>
            <w:shd w:val="clear" w:color="auto" w:fill="FFFFFF"/>
          </w:tcPr>
          <w:p w:rsidR="006164BE" w:rsidRDefault="006164BE" w:rsidP="005A7878">
            <w:pPr>
              <w:jc w:val="center"/>
            </w:pPr>
            <w:r w:rsidRPr="00365F93">
              <w:rPr>
                <w:rFonts w:cs="Arial"/>
                <w:color w:val="008000"/>
                <w:sz w:val="22"/>
                <w:szCs w:val="22"/>
              </w:rPr>
              <w:sym w:font="Wingdings" w:char="F06C"/>
            </w:r>
          </w:p>
        </w:tc>
      </w:tr>
      <w:tr w:rsidR="006164BE" w:rsidRPr="00AF5E7C" w:rsidTr="005A7878">
        <w:trPr>
          <w:cantSplit/>
          <w:trHeight w:val="356"/>
        </w:trPr>
        <w:tc>
          <w:tcPr>
            <w:tcW w:w="1544" w:type="pct"/>
            <w:shd w:val="clear" w:color="auto" w:fill="auto"/>
            <w:tcMar>
              <w:top w:w="113" w:type="dxa"/>
              <w:bottom w:w="85" w:type="dxa"/>
            </w:tcMar>
          </w:tcPr>
          <w:p w:rsidR="006164BE" w:rsidRPr="0092679D" w:rsidRDefault="006164BE" w:rsidP="005A7878">
            <w:pPr>
              <w:rPr>
                <w:rFonts w:cs="Arial"/>
                <w:sz w:val="16"/>
                <w:szCs w:val="16"/>
              </w:rPr>
            </w:pPr>
          </w:p>
        </w:tc>
        <w:tc>
          <w:tcPr>
            <w:tcW w:w="2162" w:type="pct"/>
            <w:shd w:val="clear" w:color="auto" w:fill="auto"/>
            <w:tcMar>
              <w:top w:w="113" w:type="dxa"/>
              <w:bottom w:w="85" w:type="dxa"/>
            </w:tcMar>
          </w:tcPr>
          <w:p w:rsidR="006164BE" w:rsidRPr="0092679D" w:rsidRDefault="006164BE" w:rsidP="005A7878">
            <w:pPr>
              <w:rPr>
                <w:rFonts w:cs="Arial"/>
                <w:sz w:val="16"/>
                <w:szCs w:val="16"/>
              </w:rPr>
            </w:pPr>
            <w:r w:rsidRPr="0092679D">
              <w:rPr>
                <w:rFonts w:cs="Arial"/>
                <w:sz w:val="16"/>
                <w:szCs w:val="16"/>
              </w:rPr>
              <w:t>New joint initiatives with other UN agencies</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21</w:t>
            </w:r>
          </w:p>
        </w:tc>
        <w:tc>
          <w:tcPr>
            <w:tcW w:w="368" w:type="pct"/>
            <w:shd w:val="clear" w:color="auto" w:fill="FFFFFF"/>
          </w:tcPr>
          <w:p w:rsidR="006164BE" w:rsidRDefault="006164BE" w:rsidP="005A7878">
            <w:pPr>
              <w:jc w:val="center"/>
            </w:pPr>
            <w:r w:rsidRPr="00365F93">
              <w:rPr>
                <w:rFonts w:cs="Arial"/>
                <w:color w:val="008000"/>
                <w:sz w:val="22"/>
                <w:szCs w:val="22"/>
              </w:rPr>
              <w:sym w:font="Wingdings" w:char="F06C"/>
            </w:r>
          </w:p>
        </w:tc>
      </w:tr>
      <w:tr w:rsidR="006164BE" w:rsidRPr="00AF5E7C" w:rsidTr="005A7878">
        <w:trPr>
          <w:cantSplit/>
          <w:trHeight w:val="383"/>
        </w:trPr>
        <w:tc>
          <w:tcPr>
            <w:tcW w:w="1544" w:type="pct"/>
            <w:shd w:val="clear" w:color="auto" w:fill="auto"/>
            <w:tcMar>
              <w:top w:w="113" w:type="dxa"/>
              <w:bottom w:w="85" w:type="dxa"/>
            </w:tcMar>
          </w:tcPr>
          <w:p w:rsidR="006164BE" w:rsidRPr="00AF5E7C" w:rsidRDefault="006164BE" w:rsidP="005A7878">
            <w:pPr>
              <w:rPr>
                <w:rFonts w:cs="Arial"/>
                <w:sz w:val="16"/>
                <w:szCs w:val="16"/>
              </w:rPr>
            </w:pPr>
          </w:p>
        </w:tc>
        <w:tc>
          <w:tcPr>
            <w:tcW w:w="2162" w:type="pct"/>
            <w:shd w:val="clear" w:color="auto" w:fill="auto"/>
            <w:tcMar>
              <w:top w:w="113" w:type="dxa"/>
              <w:bottom w:w="85" w:type="dxa"/>
            </w:tcMar>
          </w:tcPr>
          <w:p w:rsidR="006164BE" w:rsidRPr="006A3FC3" w:rsidRDefault="006164BE" w:rsidP="005A7878">
            <w:pPr>
              <w:rPr>
                <w:rFonts w:cs="Arial"/>
                <w:bCs/>
                <w:sz w:val="16"/>
                <w:szCs w:val="16"/>
              </w:rPr>
            </w:pPr>
            <w:r w:rsidRPr="006A3FC3">
              <w:rPr>
                <w:rFonts w:cs="Arial"/>
                <w:bCs/>
                <w:sz w:val="16"/>
                <w:szCs w:val="16"/>
              </w:rPr>
              <w:t>HLCM and Subsid</w:t>
            </w:r>
            <w:r>
              <w:rPr>
                <w:rFonts w:cs="Arial"/>
                <w:bCs/>
                <w:sz w:val="16"/>
                <w:szCs w:val="16"/>
              </w:rPr>
              <w:t>i</w:t>
            </w:r>
            <w:r w:rsidRPr="006A3FC3">
              <w:rPr>
                <w:rFonts w:cs="Arial"/>
                <w:bCs/>
                <w:sz w:val="16"/>
                <w:szCs w:val="16"/>
              </w:rPr>
              <w:t>ary Networks Closed Recommendations</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24</w:t>
            </w:r>
          </w:p>
        </w:tc>
        <w:tc>
          <w:tcPr>
            <w:tcW w:w="368" w:type="pct"/>
            <w:shd w:val="clear" w:color="auto" w:fill="FFFFFF"/>
          </w:tcPr>
          <w:p w:rsidR="006164BE" w:rsidRDefault="006164BE" w:rsidP="005A7878">
            <w:pPr>
              <w:jc w:val="center"/>
            </w:pPr>
            <w:r w:rsidRPr="00F718E6">
              <w:rPr>
                <w:rFonts w:cs="Arial"/>
                <w:color w:val="A6A6A6" w:themeColor="background1" w:themeShade="A6"/>
                <w:sz w:val="22"/>
                <w:szCs w:val="22"/>
              </w:rPr>
              <w:sym w:font="Wingdings" w:char="F06C"/>
            </w:r>
          </w:p>
        </w:tc>
      </w:tr>
      <w:tr w:rsidR="006164BE" w:rsidRPr="00AF5E7C" w:rsidTr="005A7878">
        <w:trPr>
          <w:cantSplit/>
          <w:trHeight w:val="515"/>
        </w:trPr>
        <w:tc>
          <w:tcPr>
            <w:tcW w:w="1544" w:type="pct"/>
            <w:shd w:val="clear" w:color="auto" w:fill="auto"/>
            <w:tcMar>
              <w:top w:w="113" w:type="dxa"/>
              <w:bottom w:w="85" w:type="dxa"/>
            </w:tcMar>
          </w:tcPr>
          <w:p w:rsidR="006164BE" w:rsidRPr="00AF5E7C" w:rsidRDefault="006164BE" w:rsidP="005A7878">
            <w:pPr>
              <w:rPr>
                <w:rFonts w:cs="Arial"/>
                <w:sz w:val="16"/>
                <w:szCs w:val="16"/>
              </w:rPr>
            </w:pPr>
          </w:p>
        </w:tc>
        <w:tc>
          <w:tcPr>
            <w:tcW w:w="2162" w:type="pct"/>
            <w:shd w:val="clear" w:color="auto" w:fill="auto"/>
            <w:tcMar>
              <w:top w:w="113" w:type="dxa"/>
              <w:bottom w:w="85" w:type="dxa"/>
            </w:tcMar>
          </w:tcPr>
          <w:p w:rsidR="006164BE" w:rsidRPr="00F7400E" w:rsidRDefault="006164BE" w:rsidP="005A7878">
            <w:pPr>
              <w:rPr>
                <w:rFonts w:cs="Arial"/>
                <w:sz w:val="16"/>
                <w:szCs w:val="16"/>
              </w:rPr>
            </w:pPr>
            <w:r>
              <w:rPr>
                <w:rFonts w:cs="Arial"/>
                <w:sz w:val="16"/>
                <w:szCs w:val="16"/>
              </w:rPr>
              <w:t>%</w:t>
            </w:r>
            <w:r w:rsidRPr="00F7400E">
              <w:rPr>
                <w:rFonts w:cs="Arial"/>
                <w:sz w:val="16"/>
                <w:szCs w:val="16"/>
              </w:rPr>
              <w:t xml:space="preserve"> of locally sourced good</w:t>
            </w:r>
            <w:r>
              <w:rPr>
                <w:rFonts w:cs="Arial"/>
                <w:sz w:val="16"/>
                <w:szCs w:val="16"/>
              </w:rPr>
              <w:t>s</w:t>
            </w:r>
            <w:r w:rsidRPr="00F7400E">
              <w:rPr>
                <w:rFonts w:cs="Arial"/>
                <w:sz w:val="16"/>
                <w:szCs w:val="16"/>
              </w:rPr>
              <w:t xml:space="preserve"> and services compared to total amount procured for development activity</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24</w:t>
            </w:r>
          </w:p>
        </w:tc>
        <w:tc>
          <w:tcPr>
            <w:tcW w:w="368" w:type="pct"/>
            <w:shd w:val="clear" w:color="auto" w:fill="FFFFFF"/>
          </w:tcPr>
          <w:p w:rsidR="006164BE" w:rsidRDefault="006164BE" w:rsidP="005A7878">
            <w:pPr>
              <w:jc w:val="center"/>
            </w:pPr>
            <w:r w:rsidRPr="00FF0088">
              <w:rPr>
                <w:rFonts w:cs="Arial"/>
                <w:color w:val="FF0000"/>
                <w:sz w:val="22"/>
                <w:szCs w:val="22"/>
              </w:rPr>
              <w:sym w:font="Wingdings" w:char="F06C"/>
            </w:r>
          </w:p>
        </w:tc>
      </w:tr>
      <w:tr w:rsidR="006164BE" w:rsidRPr="00AF5E7C" w:rsidTr="005A7878">
        <w:trPr>
          <w:cantSplit/>
          <w:trHeight w:val="518"/>
        </w:trPr>
        <w:tc>
          <w:tcPr>
            <w:tcW w:w="1544" w:type="pct"/>
            <w:shd w:val="clear" w:color="auto" w:fill="auto"/>
            <w:tcMar>
              <w:top w:w="113" w:type="dxa"/>
              <w:bottom w:w="85" w:type="dxa"/>
            </w:tcMar>
          </w:tcPr>
          <w:p w:rsidR="006164BE" w:rsidRPr="00AF5E7C" w:rsidRDefault="006164BE" w:rsidP="005A7878">
            <w:pPr>
              <w:rPr>
                <w:rFonts w:cs="Arial"/>
                <w:sz w:val="16"/>
                <w:szCs w:val="16"/>
              </w:rPr>
            </w:pPr>
          </w:p>
        </w:tc>
        <w:tc>
          <w:tcPr>
            <w:tcW w:w="2162" w:type="pct"/>
            <w:shd w:val="clear" w:color="auto" w:fill="auto"/>
            <w:tcMar>
              <w:top w:w="113" w:type="dxa"/>
              <w:bottom w:w="85" w:type="dxa"/>
            </w:tcMar>
          </w:tcPr>
          <w:p w:rsidR="006164BE" w:rsidRPr="00F7400E" w:rsidRDefault="006164BE" w:rsidP="005A7878">
            <w:pPr>
              <w:rPr>
                <w:rFonts w:cs="Arial"/>
                <w:sz w:val="16"/>
                <w:szCs w:val="16"/>
              </w:rPr>
            </w:pPr>
            <w:r>
              <w:rPr>
                <w:rFonts w:cs="Arial"/>
                <w:sz w:val="16"/>
                <w:szCs w:val="16"/>
              </w:rPr>
              <w:t xml:space="preserve">% of </w:t>
            </w:r>
            <w:r w:rsidRPr="00F7400E">
              <w:rPr>
                <w:rFonts w:cs="Arial"/>
                <w:sz w:val="16"/>
                <w:szCs w:val="16"/>
              </w:rPr>
              <w:t>spend subject to UN leverage (either common tender or piggy backing)</w:t>
            </w:r>
          </w:p>
        </w:tc>
        <w:tc>
          <w:tcPr>
            <w:tcW w:w="926" w:type="pct"/>
            <w:shd w:val="clear" w:color="auto" w:fill="FFFFFF"/>
            <w:tcMar>
              <w:top w:w="113" w:type="dxa"/>
              <w:bottom w:w="85" w:type="dxa"/>
            </w:tcMar>
          </w:tcPr>
          <w:p w:rsidR="006164BE" w:rsidRPr="00AF5E7C" w:rsidRDefault="006164BE" w:rsidP="005A7878">
            <w:pPr>
              <w:jc w:val="center"/>
              <w:rPr>
                <w:rFonts w:cs="Arial"/>
                <w:sz w:val="16"/>
                <w:szCs w:val="16"/>
                <w:lang w:bidi="th-TH"/>
              </w:rPr>
            </w:pPr>
            <w:r>
              <w:rPr>
                <w:rFonts w:cs="Arial"/>
                <w:sz w:val="16"/>
                <w:szCs w:val="16"/>
                <w:lang w:bidi="th-TH"/>
              </w:rPr>
              <w:t>Program 24</w:t>
            </w:r>
          </w:p>
        </w:tc>
        <w:tc>
          <w:tcPr>
            <w:tcW w:w="368" w:type="pct"/>
            <w:shd w:val="clear" w:color="auto" w:fill="FFFFFF"/>
          </w:tcPr>
          <w:p w:rsidR="006164BE" w:rsidRPr="00F718E6" w:rsidRDefault="006164BE" w:rsidP="005A7878">
            <w:pPr>
              <w:jc w:val="center"/>
              <w:rPr>
                <w:rFonts w:cs="Arial"/>
                <w:color w:val="A6A6A6" w:themeColor="background1" w:themeShade="A6"/>
                <w:sz w:val="22"/>
                <w:szCs w:val="22"/>
              </w:rPr>
            </w:pPr>
            <w:r w:rsidRPr="00365F93">
              <w:rPr>
                <w:rFonts w:cs="Arial"/>
                <w:color w:val="008000"/>
                <w:sz w:val="22"/>
                <w:szCs w:val="22"/>
              </w:rPr>
              <w:sym w:font="Wingdings" w:char="F06C"/>
            </w:r>
          </w:p>
        </w:tc>
      </w:tr>
    </w:tbl>
    <w:p w:rsidR="006164BE" w:rsidRPr="004C18F7" w:rsidRDefault="006164BE" w:rsidP="005A7878"/>
    <w:p w:rsidR="006164BE" w:rsidRDefault="006164BE" w:rsidP="00271CFB">
      <w:pPr>
        <w:autoSpaceDE w:val="0"/>
        <w:autoSpaceDN w:val="0"/>
        <w:jc w:val="both"/>
      </w:pPr>
    </w:p>
    <w:p w:rsidR="006164BE" w:rsidRDefault="006164BE" w:rsidP="00271CFB">
      <w:pPr>
        <w:autoSpaceDE w:val="0"/>
        <w:autoSpaceDN w:val="0"/>
        <w:jc w:val="both"/>
      </w:pPr>
    </w:p>
    <w:p w:rsidR="00D97F1C" w:rsidRDefault="00D97F1C">
      <w:r>
        <w:br w:type="page"/>
      </w:r>
    </w:p>
    <w:p w:rsidR="00D97F1C" w:rsidRPr="001243AF" w:rsidRDefault="00D97F1C" w:rsidP="00D97F1C">
      <w:pPr>
        <w:pStyle w:val="Heading2"/>
        <w:tabs>
          <w:tab w:val="clear" w:pos="567"/>
          <w:tab w:val="left" w:pos="1985"/>
        </w:tabs>
        <w:ind w:left="1985" w:hanging="1985"/>
        <w:jc w:val="both"/>
      </w:pPr>
      <w:bookmarkStart w:id="87" w:name="_Toc422210507"/>
      <w:r w:rsidRPr="001243AF">
        <w:lastRenderedPageBreak/>
        <w:t>PROGRAM 1</w:t>
      </w:r>
      <w:r>
        <w:t>9</w:t>
      </w:r>
      <w:r>
        <w:tab/>
        <w:t>COMMUNICATIONS</w:t>
      </w:r>
      <w:bookmarkEnd w:id="87"/>
    </w:p>
    <w:p w:rsidR="00D97F1C" w:rsidRPr="00383D2D" w:rsidRDefault="00D97F1C" w:rsidP="00D97F1C">
      <w:pPr>
        <w:tabs>
          <w:tab w:val="left" w:pos="1985"/>
        </w:tabs>
        <w:jc w:val="both"/>
        <w:rPr>
          <w:szCs w:val="20"/>
        </w:rPr>
      </w:pPr>
    </w:p>
    <w:p w:rsidR="00D97F1C" w:rsidRPr="00782825" w:rsidRDefault="00D97F1C" w:rsidP="00D97F1C">
      <w:pPr>
        <w:tabs>
          <w:tab w:val="left" w:pos="1985"/>
        </w:tabs>
        <w:jc w:val="both"/>
        <w:rPr>
          <w:b/>
          <w:szCs w:val="22"/>
        </w:rPr>
      </w:pPr>
      <w:r w:rsidRPr="00782825">
        <w:rPr>
          <w:b/>
          <w:szCs w:val="22"/>
        </w:rPr>
        <w:t>Program Manager</w:t>
      </w:r>
      <w:r w:rsidRPr="00782825">
        <w:rPr>
          <w:b/>
          <w:szCs w:val="22"/>
        </w:rPr>
        <w:tab/>
        <w:t>Ms. A. Leer</w:t>
      </w:r>
    </w:p>
    <w:p w:rsidR="00D97F1C" w:rsidRPr="008F4A6D" w:rsidRDefault="00D97F1C" w:rsidP="00D97F1C">
      <w:pPr>
        <w:jc w:val="both"/>
        <w:rPr>
          <w:szCs w:val="20"/>
        </w:rPr>
      </w:pPr>
    </w:p>
    <w:p w:rsidR="00D97F1C" w:rsidRPr="001C6F4D" w:rsidRDefault="00D97F1C" w:rsidP="00D97F1C">
      <w:pPr>
        <w:jc w:val="both"/>
        <w:rPr>
          <w:szCs w:val="20"/>
        </w:rPr>
      </w:pPr>
    </w:p>
    <w:p w:rsidR="00FD7155" w:rsidRPr="005E6AFC" w:rsidRDefault="00FD7155" w:rsidP="00FD7155">
      <w:pPr>
        <w:jc w:val="both"/>
        <w:rPr>
          <w:bCs/>
          <w:sz w:val="22"/>
          <w:szCs w:val="22"/>
        </w:rPr>
      </w:pPr>
      <w:r>
        <w:rPr>
          <w:bCs/>
          <w:sz w:val="22"/>
          <w:szCs w:val="22"/>
        </w:rPr>
        <w:t>OVERVIEW OF PROGRESS IN 2014</w:t>
      </w:r>
    </w:p>
    <w:p w:rsidR="00FD7155" w:rsidRPr="00383D2D" w:rsidRDefault="00FD7155" w:rsidP="00FD7155">
      <w:pPr>
        <w:jc w:val="both"/>
        <w:rPr>
          <w:szCs w:val="20"/>
        </w:rPr>
      </w:pPr>
    </w:p>
    <w:p w:rsidR="00FD7155" w:rsidRPr="00782825" w:rsidRDefault="00FD7155" w:rsidP="00FD7155">
      <w:pPr>
        <w:pStyle w:val="ListParagraph"/>
        <w:numPr>
          <w:ilvl w:val="0"/>
          <w:numId w:val="80"/>
        </w:numPr>
        <w:tabs>
          <w:tab w:val="left" w:pos="709"/>
        </w:tabs>
        <w:ind w:left="0" w:firstLine="0"/>
        <w:jc w:val="both"/>
        <w:rPr>
          <w:rFonts w:cs="Arial"/>
        </w:rPr>
      </w:pPr>
      <w:r w:rsidRPr="00782825">
        <w:rPr>
          <w:rFonts w:cs="Arial"/>
        </w:rPr>
        <w:t xml:space="preserve">Program 19 focused in 2014 on consolidating the results of a number of major Organization-wide strategic projects on web communications, branding, internal communications and customer service, which were completed in 2013; and on continuing to implement core strategies for improving the delivery and quality of WIPO content, increasing visibility and understanding of WIPO’s work, and strengthening the culture of service.  The Program also laid the groundwork for further initiatives to enhance the effectiveness of communications activities. </w:t>
      </w:r>
    </w:p>
    <w:p w:rsidR="00FD7155" w:rsidRPr="00767584" w:rsidRDefault="00FD7155" w:rsidP="00FD7155">
      <w:pPr>
        <w:tabs>
          <w:tab w:val="left" w:pos="709"/>
        </w:tabs>
        <w:jc w:val="both"/>
        <w:rPr>
          <w:rFonts w:cs="Arial"/>
          <w:szCs w:val="20"/>
        </w:rPr>
      </w:pPr>
    </w:p>
    <w:p w:rsidR="00FD7155" w:rsidRPr="00782825" w:rsidRDefault="00FD7155" w:rsidP="00FD7155">
      <w:pPr>
        <w:pStyle w:val="ListParagraph"/>
        <w:numPr>
          <w:ilvl w:val="0"/>
          <w:numId w:val="80"/>
        </w:numPr>
        <w:tabs>
          <w:tab w:val="left" w:pos="709"/>
        </w:tabs>
        <w:ind w:left="0" w:firstLine="0"/>
        <w:jc w:val="both"/>
        <w:rPr>
          <w:rFonts w:cs="Arial"/>
        </w:rPr>
      </w:pPr>
      <w:r w:rsidRPr="00782825">
        <w:rPr>
          <w:rFonts w:cs="Arial"/>
        </w:rPr>
        <w:t>The visibility of key WIPO events, offerings and results – from the Accessible Books Consortium</w:t>
      </w:r>
      <w:r>
        <w:rPr>
          <w:rFonts w:cs="Arial"/>
        </w:rPr>
        <w:t> </w:t>
      </w:r>
      <w:r w:rsidRPr="00782825">
        <w:rPr>
          <w:rFonts w:cs="Arial"/>
        </w:rPr>
        <w:t>(ABC) to new tools such as the WIPO Pearl terminology portal – was increased through a fully integrated approach to press, social media, video, print and online communications, delivered across multiple platforms.  High priority was given to promoting the Organization’s flagship economics and statistics reports so as to strengthen recognition of WIPO as the world reference source for authoritative IP information. Concerted promotional efforts resulted in a 16 per cent increase in views of web content relating to the 2014 Global Innovation Index (GII) launch compared to 2013, and an exponential increase (1,300 per cent) in views of related video content. High profile press coverage of the 2014 World Intellectual Property Indicators (WIPI) was achieved in influential media outlets worldwide, together with an 18 per cent increase in views of the press release. WIPO tweets about the WIPI were seen 83,700</w:t>
      </w:r>
      <w:r>
        <w:rPr>
          <w:rFonts w:cs="Arial"/>
        </w:rPr>
        <w:t> </w:t>
      </w:r>
      <w:r w:rsidRPr="00782825">
        <w:rPr>
          <w:rFonts w:cs="Arial"/>
        </w:rPr>
        <w:t>times and extensively retweeted, including by many government offices. Original infographics, created to enhance communications, were among the most shared form of content.</w:t>
      </w:r>
    </w:p>
    <w:p w:rsidR="00FD7155" w:rsidRPr="00767584" w:rsidRDefault="00FD7155" w:rsidP="00FD7155">
      <w:pPr>
        <w:tabs>
          <w:tab w:val="left" w:pos="709"/>
        </w:tabs>
        <w:jc w:val="both"/>
        <w:rPr>
          <w:rFonts w:cs="Arial"/>
          <w:szCs w:val="20"/>
        </w:rPr>
      </w:pPr>
    </w:p>
    <w:p w:rsidR="00FD7155" w:rsidRPr="00782825" w:rsidRDefault="00FD7155" w:rsidP="00FD7155">
      <w:pPr>
        <w:pStyle w:val="ListParagraph"/>
        <w:numPr>
          <w:ilvl w:val="0"/>
          <w:numId w:val="80"/>
        </w:numPr>
        <w:tabs>
          <w:tab w:val="left" w:pos="709"/>
        </w:tabs>
        <w:ind w:left="0" w:firstLine="0"/>
        <w:jc w:val="both"/>
        <w:rPr>
          <w:rFonts w:cs="Arial"/>
        </w:rPr>
      </w:pPr>
      <w:r w:rsidRPr="00782825">
        <w:rPr>
          <w:rFonts w:cs="Arial"/>
        </w:rPr>
        <w:t xml:space="preserve">Engagement by Member States and the public in the annual World IP Day campaign reached a record level. </w:t>
      </w:r>
      <w:r>
        <w:rPr>
          <w:rFonts w:cs="Arial"/>
        </w:rPr>
        <w:t xml:space="preserve"> </w:t>
      </w:r>
      <w:r w:rsidRPr="00782825">
        <w:rPr>
          <w:rFonts w:cs="Arial"/>
        </w:rPr>
        <w:t xml:space="preserve">The theme </w:t>
      </w:r>
      <w:r w:rsidRPr="00782825">
        <w:rPr>
          <w:rFonts w:cs="Arial"/>
          <w:i/>
        </w:rPr>
        <w:t>Movies – A Global Passion</w:t>
      </w:r>
      <w:r w:rsidRPr="00782825">
        <w:rPr>
          <w:rFonts w:cs="Arial"/>
        </w:rPr>
        <w:t xml:space="preserve"> was the focus for over 350 events reported in 110</w:t>
      </w:r>
      <w:r>
        <w:rPr>
          <w:rFonts w:cs="Arial"/>
        </w:rPr>
        <w:t> </w:t>
      </w:r>
      <w:r w:rsidRPr="00782825">
        <w:rPr>
          <w:rFonts w:cs="Arial"/>
        </w:rPr>
        <w:t>countries (up from 236 events in 93</w:t>
      </w:r>
      <w:r>
        <w:rPr>
          <w:rStyle w:val="FootnoteReference"/>
          <w:rFonts w:cs="Arial"/>
        </w:rPr>
        <w:footnoteReference w:id="48"/>
      </w:r>
      <w:r w:rsidRPr="00782825">
        <w:rPr>
          <w:rFonts w:cs="Arial"/>
        </w:rPr>
        <w:t xml:space="preserve"> countries in 2013). </w:t>
      </w:r>
      <w:r>
        <w:rPr>
          <w:rFonts w:cs="Arial"/>
        </w:rPr>
        <w:t xml:space="preserve"> </w:t>
      </w:r>
      <w:r w:rsidRPr="00782825">
        <w:rPr>
          <w:rFonts w:cs="Arial"/>
        </w:rPr>
        <w:t>WIPO’s World IP Day tweets gained 1.67</w:t>
      </w:r>
      <w:r>
        <w:rPr>
          <w:rFonts w:cs="Arial"/>
        </w:rPr>
        <w:t> </w:t>
      </w:r>
      <w:r w:rsidRPr="00782825">
        <w:rPr>
          <w:rFonts w:cs="Arial"/>
        </w:rPr>
        <w:t xml:space="preserve">million potential impressions, as compared to 1.55 million in 2013, and promotional materials created for the campaign were downloaded from the website over 9,000 times. </w:t>
      </w:r>
      <w:r>
        <w:rPr>
          <w:rFonts w:cs="Arial"/>
        </w:rPr>
        <w:t xml:space="preserve"> </w:t>
      </w:r>
      <w:r w:rsidRPr="00782825">
        <w:rPr>
          <w:rFonts w:cs="Arial"/>
        </w:rPr>
        <w:t>Views of the World IP Day webpage in Chinese exceeded the English version for the first time, while the highest numbers of ‘likes’ of the Facebook page came from Brazil, Egypt, India, Mexico and United States of America.  A mini-film festival held in Geneva from April 24 to 28, 2014 drew good participation from the local community, particularly for the Swiss premiere screening of the Nigerian co-production, “Half a Yellow Sun,” which played to a capacity audience.</w:t>
      </w:r>
    </w:p>
    <w:p w:rsidR="00FD7155" w:rsidRPr="00767584" w:rsidRDefault="00FD7155" w:rsidP="00FD7155">
      <w:pPr>
        <w:tabs>
          <w:tab w:val="left" w:pos="709"/>
        </w:tabs>
        <w:jc w:val="both"/>
        <w:rPr>
          <w:rFonts w:cs="Arial"/>
          <w:szCs w:val="20"/>
        </w:rPr>
      </w:pPr>
    </w:p>
    <w:p w:rsidR="00FD7155" w:rsidRPr="00782825" w:rsidRDefault="00FD7155" w:rsidP="00FD7155">
      <w:pPr>
        <w:pStyle w:val="ListParagraph"/>
        <w:numPr>
          <w:ilvl w:val="0"/>
          <w:numId w:val="80"/>
        </w:numPr>
        <w:tabs>
          <w:tab w:val="left" w:pos="709"/>
        </w:tabs>
        <w:ind w:left="0" w:firstLine="0"/>
        <w:jc w:val="both"/>
        <w:rPr>
          <w:rFonts w:cs="Arial"/>
        </w:rPr>
      </w:pPr>
      <w:r w:rsidRPr="00782825">
        <w:rPr>
          <w:rFonts w:cs="Arial"/>
        </w:rPr>
        <w:t xml:space="preserve">The production of quality content, tailored for specialist and non-specialist audiences, remained </w:t>
      </w:r>
      <w:proofErr w:type="gramStart"/>
      <w:r w:rsidRPr="00782825">
        <w:rPr>
          <w:rFonts w:cs="Arial"/>
        </w:rPr>
        <w:t>key</w:t>
      </w:r>
      <w:proofErr w:type="gramEnd"/>
      <w:r w:rsidRPr="00782825">
        <w:rPr>
          <w:rFonts w:cs="Arial"/>
        </w:rPr>
        <w:t xml:space="preserve"> to meeting users’ expectations. </w:t>
      </w:r>
      <w:r>
        <w:rPr>
          <w:rFonts w:cs="Arial"/>
        </w:rPr>
        <w:t xml:space="preserve"> </w:t>
      </w:r>
      <w:r w:rsidRPr="00782825">
        <w:rPr>
          <w:rFonts w:cs="Arial"/>
        </w:rPr>
        <w:t>The bi-monthly WIPO Magazine continued to generate positive feedback, with 93 per cent of survey respondents rating the Magazine good or very good. In keeping with external trends, and responding to the diminishing role of formal press releases as a primary form of public communication, the</w:t>
      </w:r>
      <w:r w:rsidRPr="00782825">
        <w:rPr>
          <w:rFonts w:cs="Arial"/>
          <w:lang w:val="en"/>
        </w:rPr>
        <w:t xml:space="preserve"> new WIPO Media Center webpage was used in conjunction with Twitter and YouTube to promote understanding of IP and of WIPO activities in a less formal style, with shorter articles, videos and accessible background briefs.  </w:t>
      </w:r>
      <w:r w:rsidRPr="00782825">
        <w:rPr>
          <w:rFonts w:cs="Arial"/>
        </w:rPr>
        <w:t xml:space="preserve">While views of the press releases decreased (largely reflecting the smaller number of high profile news events in 2014 compared to 2013), overall views of Media Center content increased.  </w:t>
      </w:r>
    </w:p>
    <w:p w:rsidR="00FD7155" w:rsidRDefault="00FD7155" w:rsidP="00FD7155">
      <w:pPr>
        <w:tabs>
          <w:tab w:val="left" w:pos="709"/>
        </w:tabs>
        <w:jc w:val="both"/>
        <w:rPr>
          <w:rFonts w:cs="Arial"/>
          <w:szCs w:val="20"/>
        </w:rPr>
      </w:pPr>
    </w:p>
    <w:p w:rsidR="00FD7155" w:rsidRPr="00782825" w:rsidRDefault="00FD7155" w:rsidP="00FD7155">
      <w:pPr>
        <w:pStyle w:val="ListParagraph"/>
        <w:numPr>
          <w:ilvl w:val="0"/>
          <w:numId w:val="80"/>
        </w:numPr>
        <w:tabs>
          <w:tab w:val="left" w:pos="709"/>
        </w:tabs>
        <w:ind w:left="0" w:firstLine="0"/>
        <w:jc w:val="both"/>
        <w:rPr>
          <w:rFonts w:cs="Arial"/>
        </w:rPr>
      </w:pPr>
      <w:r w:rsidRPr="00782825">
        <w:rPr>
          <w:rFonts w:cs="Arial"/>
        </w:rPr>
        <w:t>Work continued to improve the presentation of, and open access to, all WIPO publications.  Development of a major new publications platform on the website neared completion. The WIPO Library distributed over 110,000 print products, and the total number of Depository Libraries of WIPO publications in Member States reached 99, an 11 per cent increase over 2013.</w:t>
      </w:r>
    </w:p>
    <w:p w:rsidR="00FD7155" w:rsidRDefault="00FD7155" w:rsidP="00FD7155">
      <w:pPr>
        <w:tabs>
          <w:tab w:val="left" w:pos="709"/>
        </w:tabs>
        <w:jc w:val="both"/>
        <w:rPr>
          <w:rFonts w:cs="Arial"/>
          <w:szCs w:val="20"/>
        </w:rPr>
      </w:pPr>
    </w:p>
    <w:p w:rsidR="00FD7155" w:rsidRPr="00FD7155" w:rsidRDefault="00FD7155" w:rsidP="00FD7155">
      <w:pPr>
        <w:pStyle w:val="ListParagraph"/>
        <w:numPr>
          <w:ilvl w:val="0"/>
          <w:numId w:val="80"/>
        </w:numPr>
        <w:tabs>
          <w:tab w:val="left" w:pos="709"/>
        </w:tabs>
        <w:ind w:left="0" w:firstLine="0"/>
        <w:jc w:val="both"/>
        <w:rPr>
          <w:rFonts w:cs="Arial"/>
        </w:rPr>
      </w:pPr>
      <w:r w:rsidRPr="00FD7155">
        <w:rPr>
          <w:rFonts w:cs="Arial"/>
        </w:rPr>
        <w:t xml:space="preserve">Quality visuals enhanced the accessibility and presentation of numerous publicity and informational materials.  The Flickr photo galleries of WIPO’s activities, including the </w:t>
      </w:r>
      <w:r w:rsidR="00472AA6">
        <w:rPr>
          <w:rFonts w:cs="Arial"/>
        </w:rPr>
        <w:t>n</w:t>
      </w:r>
      <w:r w:rsidRPr="00FD7155">
        <w:rPr>
          <w:rFonts w:cs="Arial"/>
        </w:rPr>
        <w:t xml:space="preserve">ew </w:t>
      </w:r>
      <w:r w:rsidR="00472AA6">
        <w:rPr>
          <w:rFonts w:cs="Arial"/>
        </w:rPr>
        <w:t xml:space="preserve">WIPO </w:t>
      </w:r>
      <w:r w:rsidRPr="00FD7155">
        <w:rPr>
          <w:rFonts w:cs="Arial"/>
        </w:rPr>
        <w:t xml:space="preserve">Conference Hall inauguration and Committee meetings, attracted well over a million additional photo-views in 2014, as compared to 900,000 in 2013.  Video production was further intensified with the production of 155 new videos, including news content, IP stories and tutorials.  The viral spike in 2012/13 </w:t>
      </w:r>
      <w:r w:rsidRPr="00FD7155">
        <w:rPr>
          <w:rFonts w:cs="Arial"/>
        </w:rPr>
        <w:lastRenderedPageBreak/>
        <w:t xml:space="preserve">of the popular </w:t>
      </w:r>
      <w:proofErr w:type="spellStart"/>
      <w:r w:rsidRPr="00FD7155">
        <w:rPr>
          <w:rFonts w:cs="Arial"/>
          <w:i/>
        </w:rPr>
        <w:t>Pororo</w:t>
      </w:r>
      <w:proofErr w:type="spellEnd"/>
      <w:r w:rsidRPr="00FD7155">
        <w:rPr>
          <w:rFonts w:cs="Arial"/>
        </w:rPr>
        <w:t xml:space="preserve"> children’s cartoons subsided, leading to a decrease in the overall average video views.  The underlying viewing figures for the other (non-cartoon) videos, however, continued on an upward trend.  Total video views on the WIPO YouTube channel since its April 2010 launch exceeded 7.13 million.  </w:t>
      </w:r>
    </w:p>
    <w:p w:rsidR="00FD7155" w:rsidRPr="00707722" w:rsidRDefault="00FD7155" w:rsidP="00FD7155">
      <w:pPr>
        <w:tabs>
          <w:tab w:val="left" w:pos="709"/>
        </w:tabs>
        <w:jc w:val="both"/>
        <w:rPr>
          <w:rFonts w:cs="Arial"/>
          <w:szCs w:val="20"/>
        </w:rPr>
      </w:pPr>
    </w:p>
    <w:p w:rsidR="00FD7155" w:rsidRDefault="00FD7155" w:rsidP="00FD7155">
      <w:pPr>
        <w:pStyle w:val="ListParagraph"/>
        <w:numPr>
          <w:ilvl w:val="0"/>
          <w:numId w:val="80"/>
        </w:numPr>
        <w:tabs>
          <w:tab w:val="left" w:pos="709"/>
        </w:tabs>
        <w:ind w:left="0" w:firstLine="0"/>
        <w:jc w:val="both"/>
        <w:rPr>
          <w:rFonts w:cs="Arial"/>
        </w:rPr>
      </w:pPr>
      <w:r w:rsidRPr="00707722">
        <w:rPr>
          <w:rFonts w:cs="Arial"/>
        </w:rPr>
        <w:t xml:space="preserve">In order to enhance </w:t>
      </w:r>
      <w:r w:rsidRPr="00782825">
        <w:rPr>
          <w:rFonts w:cs="Arial"/>
        </w:rPr>
        <w:t>digital delivery</w:t>
      </w:r>
      <w:r w:rsidRPr="00707722">
        <w:rPr>
          <w:rFonts w:cs="Arial"/>
        </w:rPr>
        <w:t xml:space="preserve"> channels, a major project was conducted to transform the effectiveness and user-friendliness of WIPO’s email newsletters and mailing platform. </w:t>
      </w:r>
      <w:r>
        <w:rPr>
          <w:rFonts w:cs="Arial"/>
        </w:rPr>
        <w:t xml:space="preserve"> </w:t>
      </w:r>
      <w:r w:rsidRPr="00707722">
        <w:rPr>
          <w:rFonts w:cs="Arial"/>
        </w:rPr>
        <w:t xml:space="preserve">The results will be implemented in 2015. The project is driven by WIPO’s commitment to provide users with relevant information in the format and via the channels that best suit their needs. </w:t>
      </w:r>
      <w:r>
        <w:rPr>
          <w:rFonts w:cs="Arial"/>
        </w:rPr>
        <w:t xml:space="preserve"> </w:t>
      </w:r>
      <w:r w:rsidRPr="00707722">
        <w:rPr>
          <w:rFonts w:cs="Arial"/>
        </w:rPr>
        <w:t xml:space="preserve">A second project </w:t>
      </w:r>
      <w:r>
        <w:rPr>
          <w:rFonts w:cs="Arial"/>
        </w:rPr>
        <w:t xml:space="preserve">underway </w:t>
      </w:r>
      <w:r w:rsidRPr="00707722">
        <w:rPr>
          <w:rFonts w:cs="Arial"/>
        </w:rPr>
        <w:t>to develop a contact database to facilitate the mailing of promotional and protocol-related communications will further support this objective</w:t>
      </w:r>
      <w:r>
        <w:rPr>
          <w:rFonts w:cs="Arial"/>
        </w:rPr>
        <w:t>.  Good progress was also made on t</w:t>
      </w:r>
      <w:r w:rsidRPr="00767584">
        <w:rPr>
          <w:rFonts w:cs="Arial"/>
        </w:rPr>
        <w:t xml:space="preserve">he second phase of the WIPO </w:t>
      </w:r>
      <w:r w:rsidRPr="001D6BD9">
        <w:rPr>
          <w:rFonts w:cs="Arial"/>
        </w:rPr>
        <w:t>website</w:t>
      </w:r>
      <w:r w:rsidRPr="00767584">
        <w:rPr>
          <w:rFonts w:cs="Arial"/>
        </w:rPr>
        <w:t xml:space="preserve"> </w:t>
      </w:r>
      <w:r w:rsidRPr="00767584">
        <w:rPr>
          <w:rFonts w:eastAsia="MS Mincho" w:cs="Arial"/>
          <w:color w:val="000000"/>
          <w:lang w:eastAsia="ja-JP"/>
        </w:rPr>
        <w:t>overhaul</w:t>
      </w:r>
      <w:r>
        <w:rPr>
          <w:rFonts w:eastAsia="MS Mincho" w:cs="Arial"/>
          <w:color w:val="000000"/>
          <w:lang w:eastAsia="ja-JP"/>
        </w:rPr>
        <w:t>,</w:t>
      </w:r>
      <w:r w:rsidRPr="00767584">
        <w:rPr>
          <w:rFonts w:eastAsia="MS Mincho" w:cs="Arial"/>
          <w:color w:val="000000"/>
          <w:lang w:eastAsia="ja-JP"/>
        </w:rPr>
        <w:t xml:space="preserve"> with </w:t>
      </w:r>
      <w:r>
        <w:rPr>
          <w:rFonts w:eastAsia="MS Mincho" w:cs="Arial"/>
          <w:color w:val="000000"/>
          <w:lang w:eastAsia="ja-JP"/>
        </w:rPr>
        <w:t>systematic</w:t>
      </w:r>
      <w:r w:rsidRPr="00767584">
        <w:rPr>
          <w:rFonts w:eastAsia="MS Mincho" w:cs="Arial"/>
          <w:color w:val="000000"/>
          <w:lang w:eastAsia="ja-JP"/>
        </w:rPr>
        <w:t xml:space="preserve"> clean-up, improvement and redesign of lower level pages, and significant improvement to the in-site </w:t>
      </w:r>
      <w:r w:rsidRPr="00767584">
        <w:rPr>
          <w:rFonts w:cs="Arial"/>
        </w:rPr>
        <w:t xml:space="preserve">search functionality. </w:t>
      </w:r>
      <w:r>
        <w:rPr>
          <w:rFonts w:cs="Arial"/>
        </w:rPr>
        <w:t xml:space="preserve"> </w:t>
      </w:r>
      <w:r w:rsidRPr="00767584">
        <w:rPr>
          <w:rFonts w:cs="Arial"/>
        </w:rPr>
        <w:t xml:space="preserve">On social media, WIPO’s Twitter following grew </w:t>
      </w:r>
      <w:r w:rsidRPr="00F0074E">
        <w:rPr>
          <w:rFonts w:cs="Arial"/>
        </w:rPr>
        <w:t xml:space="preserve">by </w:t>
      </w:r>
      <w:r>
        <w:rPr>
          <w:rFonts w:cs="Arial"/>
        </w:rPr>
        <w:t xml:space="preserve">over </w:t>
      </w:r>
      <w:r w:rsidRPr="00F0074E">
        <w:rPr>
          <w:rFonts w:cs="Arial"/>
        </w:rPr>
        <w:t>60</w:t>
      </w:r>
      <w:r w:rsidR="00BA10F4">
        <w:rPr>
          <w:rFonts w:cs="Arial"/>
        </w:rPr>
        <w:t xml:space="preserve"> per cent</w:t>
      </w:r>
      <w:r w:rsidRPr="00F0074E">
        <w:rPr>
          <w:rFonts w:cs="Arial"/>
        </w:rPr>
        <w:t>, c</w:t>
      </w:r>
      <w:r>
        <w:rPr>
          <w:rFonts w:cs="Arial"/>
        </w:rPr>
        <w:t>oupled</w:t>
      </w:r>
      <w:r w:rsidRPr="00767584">
        <w:rPr>
          <w:rFonts w:cs="Arial"/>
        </w:rPr>
        <w:t xml:space="preserve"> with a </w:t>
      </w:r>
      <w:r>
        <w:rPr>
          <w:rFonts w:cs="Arial"/>
        </w:rPr>
        <w:t>76.8 per cent</w:t>
      </w:r>
      <w:r w:rsidRPr="00767584">
        <w:rPr>
          <w:rFonts w:cs="Arial"/>
        </w:rPr>
        <w:t xml:space="preserve"> increase in the number of retweets of WIPO content.</w:t>
      </w:r>
      <w:r>
        <w:rPr>
          <w:rFonts w:cs="Arial"/>
        </w:rPr>
        <w:t xml:space="preserve">  Work began to analyze the Organization’s requirements in the area of web analytics with a view to meeting needs for more sophisticated indicators for measuring impact and performance. </w:t>
      </w:r>
    </w:p>
    <w:p w:rsidR="00FD7155" w:rsidRDefault="00FD7155" w:rsidP="00FD7155">
      <w:pPr>
        <w:jc w:val="both"/>
        <w:rPr>
          <w:rFonts w:cs="Arial"/>
          <w:szCs w:val="20"/>
        </w:rPr>
      </w:pPr>
    </w:p>
    <w:p w:rsidR="00FD7155" w:rsidRPr="00767584" w:rsidRDefault="00FD7155" w:rsidP="00FD7155">
      <w:pPr>
        <w:pStyle w:val="ListParagraph"/>
        <w:numPr>
          <w:ilvl w:val="0"/>
          <w:numId w:val="80"/>
        </w:numPr>
        <w:tabs>
          <w:tab w:val="left" w:pos="709"/>
        </w:tabs>
        <w:ind w:left="0" w:firstLine="0"/>
        <w:jc w:val="both"/>
        <w:rPr>
          <w:rFonts w:cs="Arial"/>
        </w:rPr>
      </w:pPr>
      <w:r>
        <w:rPr>
          <w:rFonts w:cs="Arial"/>
        </w:rPr>
        <w:t xml:space="preserve">The brand development work carried out in the previous biennium to strengthen recognition of WIPO’s </w:t>
      </w:r>
      <w:r w:rsidRPr="001D6BD9">
        <w:rPr>
          <w:rFonts w:cs="Arial"/>
        </w:rPr>
        <w:t>identity</w:t>
      </w:r>
      <w:r>
        <w:rPr>
          <w:rFonts w:cs="Arial"/>
        </w:rPr>
        <w:t xml:space="preserve"> was mainstreamed i</w:t>
      </w:r>
      <w:r w:rsidRPr="00767584">
        <w:rPr>
          <w:rFonts w:cs="Arial"/>
        </w:rPr>
        <w:t>n 2014</w:t>
      </w:r>
      <w:r>
        <w:rPr>
          <w:rFonts w:cs="Arial"/>
        </w:rPr>
        <w:t xml:space="preserve">, with systematic attention to establishing </w:t>
      </w:r>
      <w:r w:rsidRPr="00767584">
        <w:rPr>
          <w:rFonts w:cs="Arial"/>
        </w:rPr>
        <w:t>clear and consi</w:t>
      </w:r>
      <w:r>
        <w:rPr>
          <w:rFonts w:cs="Arial"/>
        </w:rPr>
        <w:t xml:space="preserve">stent expression </w:t>
      </w:r>
      <w:r>
        <w:rPr>
          <w:rFonts w:cs="Arial"/>
        </w:rPr>
        <w:noBreakHyphen/>
        <w:t xml:space="preserve"> both verbal and visual</w:t>
      </w:r>
      <w:r w:rsidRPr="00767584">
        <w:rPr>
          <w:rFonts w:cs="Arial"/>
        </w:rPr>
        <w:t xml:space="preserve"> </w:t>
      </w:r>
      <w:r>
        <w:rPr>
          <w:rFonts w:cs="Arial"/>
        </w:rPr>
        <w:noBreakHyphen/>
      </w:r>
      <w:r w:rsidRPr="00767584">
        <w:rPr>
          <w:rFonts w:cs="Arial"/>
        </w:rPr>
        <w:t xml:space="preserve"> of WIPO’s role, mission and values across </w:t>
      </w:r>
      <w:r>
        <w:rPr>
          <w:rFonts w:cs="Arial"/>
        </w:rPr>
        <w:t>all c</w:t>
      </w:r>
      <w:r w:rsidRPr="00767584">
        <w:rPr>
          <w:rFonts w:cs="Arial"/>
        </w:rPr>
        <w:t>ommunications.</w:t>
      </w:r>
      <w:r>
        <w:rPr>
          <w:rFonts w:cs="Arial"/>
        </w:rPr>
        <w:t xml:space="preserve"> </w:t>
      </w:r>
      <w:r w:rsidRPr="00767584">
        <w:rPr>
          <w:rFonts w:cs="Arial"/>
        </w:rPr>
        <w:t xml:space="preserve"> </w:t>
      </w:r>
      <w:r w:rsidRPr="00300216">
        <w:rPr>
          <w:rFonts w:cs="Arial"/>
        </w:rPr>
        <w:t>A</w:t>
      </w:r>
      <w:r>
        <w:rPr>
          <w:rFonts w:cs="Arial"/>
        </w:rPr>
        <w:t> </w:t>
      </w:r>
      <w:r w:rsidRPr="00300216">
        <w:rPr>
          <w:rFonts w:cs="Arial"/>
        </w:rPr>
        <w:t xml:space="preserve">stakeholder perceptions </w:t>
      </w:r>
      <w:r>
        <w:rPr>
          <w:rFonts w:cs="Arial"/>
        </w:rPr>
        <w:t>survey</w:t>
      </w:r>
      <w:r w:rsidRPr="00300216">
        <w:rPr>
          <w:rFonts w:cs="Arial"/>
        </w:rPr>
        <w:t xml:space="preserve"> </w:t>
      </w:r>
      <w:r>
        <w:rPr>
          <w:rFonts w:cs="Arial"/>
        </w:rPr>
        <w:t xml:space="preserve">conducted in 2014 </w:t>
      </w:r>
      <w:r w:rsidRPr="00300216">
        <w:rPr>
          <w:rFonts w:cs="Arial"/>
        </w:rPr>
        <w:t>result</w:t>
      </w:r>
      <w:r>
        <w:rPr>
          <w:rFonts w:cs="Arial"/>
        </w:rPr>
        <w:t>ed</w:t>
      </w:r>
      <w:r w:rsidRPr="00300216">
        <w:rPr>
          <w:rFonts w:cs="Arial"/>
        </w:rPr>
        <w:t xml:space="preserve"> in the identification of the principal attributes on which WIPO is judged by its stakeholders, and </w:t>
      </w:r>
      <w:r>
        <w:rPr>
          <w:rFonts w:cs="Arial"/>
        </w:rPr>
        <w:t xml:space="preserve">the </w:t>
      </w:r>
      <w:r w:rsidRPr="00300216">
        <w:rPr>
          <w:rFonts w:cs="Arial"/>
        </w:rPr>
        <w:t>develop</w:t>
      </w:r>
      <w:r>
        <w:rPr>
          <w:rFonts w:cs="Arial"/>
        </w:rPr>
        <w:t>ment of</w:t>
      </w:r>
      <w:r w:rsidRPr="00300216">
        <w:rPr>
          <w:rFonts w:cs="Arial"/>
        </w:rPr>
        <w:t xml:space="preserve"> a tool for monitoring </w:t>
      </w:r>
      <w:r>
        <w:rPr>
          <w:rFonts w:cs="Arial"/>
        </w:rPr>
        <w:t>of</w:t>
      </w:r>
      <w:r w:rsidRPr="00300216">
        <w:rPr>
          <w:rFonts w:cs="Arial"/>
        </w:rPr>
        <w:t xml:space="preserve"> WIPO’s perceived performance in relation to these reputational drivers. </w:t>
      </w:r>
      <w:r>
        <w:rPr>
          <w:rFonts w:cs="Arial"/>
        </w:rPr>
        <w:t xml:space="preserve"> </w:t>
      </w:r>
      <w:r w:rsidRPr="00300216">
        <w:rPr>
          <w:rFonts w:cs="Arial"/>
        </w:rPr>
        <w:t>The survey was sent to 24,000</w:t>
      </w:r>
      <w:r>
        <w:rPr>
          <w:rFonts w:cs="Arial"/>
        </w:rPr>
        <w:t> </w:t>
      </w:r>
      <w:r w:rsidRPr="00300216">
        <w:rPr>
          <w:rFonts w:cs="Arial"/>
        </w:rPr>
        <w:t>users in 2014, including IP Offices, Missions, NGOs, service users and academics, and the results analyzed to identify areas requiring attention.</w:t>
      </w:r>
      <w:r w:rsidRPr="00A65EAA">
        <w:rPr>
          <w:rFonts w:cs="Arial"/>
        </w:rPr>
        <w:t xml:space="preserve"> </w:t>
      </w:r>
    </w:p>
    <w:p w:rsidR="00FD7155" w:rsidRPr="00767584" w:rsidRDefault="00FD7155" w:rsidP="00FD7155">
      <w:pPr>
        <w:jc w:val="both"/>
        <w:rPr>
          <w:rFonts w:cs="Arial"/>
          <w:szCs w:val="20"/>
        </w:rPr>
      </w:pPr>
    </w:p>
    <w:p w:rsidR="00FD7155" w:rsidRDefault="00FD7155" w:rsidP="00FD7155">
      <w:pPr>
        <w:pStyle w:val="ListParagraph"/>
        <w:numPr>
          <w:ilvl w:val="0"/>
          <w:numId w:val="80"/>
        </w:numPr>
        <w:tabs>
          <w:tab w:val="left" w:pos="709"/>
        </w:tabs>
        <w:ind w:left="0" w:firstLine="0"/>
        <w:jc w:val="both"/>
      </w:pPr>
      <w:r>
        <w:t xml:space="preserve">The enhancement of WIPO’s </w:t>
      </w:r>
      <w:r w:rsidRPr="00782825">
        <w:t>customer services</w:t>
      </w:r>
      <w:r>
        <w:t xml:space="preserve"> continued in 2014.  Program 19’s work with Madrid Operations to review the customer service structure and operations included, </w:t>
      </w:r>
      <w:r w:rsidRPr="00FD7FF9">
        <w:rPr>
          <w:i/>
        </w:rPr>
        <w:t>inter alia</w:t>
      </w:r>
      <w:r>
        <w:t>, the introduction of a ticketing system to improve and streamline the processing of Madrid customers’ inquiries.  Customer satisfaction monitoring continued with a survey of Madrid System users, 81 per cent of whom were satisfied or highly satisfied, and the preparation of a PCT-user survey in nine languages to be conducted in 2015.</w:t>
      </w:r>
      <w:r w:rsidRPr="00ED02D7">
        <w:t xml:space="preserve"> </w:t>
      </w:r>
      <w:r>
        <w:t xml:space="preserve"> Internally, staff awareness of service-orientation and best practices was further promoted through activities including the second </w:t>
      </w:r>
      <w:r w:rsidRPr="00ED02D7">
        <w:t>Netiquette Week</w:t>
      </w:r>
      <w:r>
        <w:rPr>
          <w:i/>
        </w:rPr>
        <w:t xml:space="preserve">.  </w:t>
      </w:r>
      <w:r>
        <w:t>The central WIPO Customer Service Center processed 92 per cent of the 4,693 email inquiries received within less than one working day, and 100 percent of the 127 complaints received in less than eight working hours, 86 per cent of which were processed in less than four working hours.</w:t>
      </w:r>
    </w:p>
    <w:p w:rsidR="00FD7155" w:rsidRDefault="00FD7155" w:rsidP="00FD7155">
      <w:pPr>
        <w:jc w:val="both"/>
      </w:pPr>
    </w:p>
    <w:p w:rsidR="00FD7155" w:rsidRPr="0011405E" w:rsidRDefault="00FD7155" w:rsidP="00FD7155">
      <w:pPr>
        <w:pStyle w:val="ListParagraph"/>
        <w:numPr>
          <w:ilvl w:val="0"/>
          <w:numId w:val="80"/>
        </w:numPr>
        <w:tabs>
          <w:tab w:val="left" w:pos="709"/>
        </w:tabs>
        <w:ind w:left="0" w:firstLine="0"/>
        <w:jc w:val="both"/>
        <w:rPr>
          <w:rFonts w:eastAsia="SimSun"/>
          <w:color w:val="000000"/>
          <w:lang w:eastAsia="zh-CN"/>
        </w:rPr>
      </w:pPr>
      <w:r w:rsidRPr="0011405E">
        <w:rPr>
          <w:rFonts w:eastAsia="SimSun" w:cs="Arial"/>
          <w:lang w:eastAsia="zh-CN"/>
        </w:rPr>
        <w:t xml:space="preserve">The design, planning and implementation of activities undertaken by Program 19 were informed by relevant DA Recommendations. </w:t>
      </w:r>
      <w:r>
        <w:rPr>
          <w:rFonts w:eastAsia="SimSun" w:cs="Arial"/>
          <w:lang w:eastAsia="zh-CN"/>
        </w:rPr>
        <w:t xml:space="preserve"> </w:t>
      </w:r>
      <w:r w:rsidRPr="0011405E">
        <w:rPr>
          <w:rFonts w:eastAsia="SimSun" w:cs="Arial"/>
          <w:lang w:eastAsia="zh-CN"/>
        </w:rPr>
        <w:t>Program</w:t>
      </w:r>
      <w:r>
        <w:rPr>
          <w:rFonts w:eastAsia="SimSun" w:cs="Arial"/>
          <w:lang w:eastAsia="zh-CN"/>
        </w:rPr>
        <w:t> </w:t>
      </w:r>
      <w:r w:rsidRPr="0011405E">
        <w:rPr>
          <w:rFonts w:eastAsia="SimSun" w:cs="Arial"/>
          <w:lang w:eastAsia="zh-CN"/>
        </w:rPr>
        <w:t xml:space="preserve">19 continued to build </w:t>
      </w:r>
      <w:r w:rsidRPr="00782825">
        <w:rPr>
          <w:rFonts w:eastAsia="SimSun" w:cs="Arial"/>
          <w:lang w:eastAsia="zh-CN"/>
        </w:rPr>
        <w:t xml:space="preserve">the </w:t>
      </w:r>
      <w:r w:rsidRPr="00782825">
        <w:rPr>
          <w:rFonts w:eastAsia="SimSun" w:cs="Arial"/>
          <w:iCs/>
          <w:lang w:eastAsia="zh-CN"/>
        </w:rPr>
        <w:t>IP Advantage</w:t>
      </w:r>
      <w:r w:rsidRPr="0011405E">
        <w:rPr>
          <w:rFonts w:eastAsia="SimSun" w:cs="Arial"/>
          <w:lang w:eastAsia="zh-CN"/>
        </w:rPr>
        <w:t xml:space="preserve"> database of case studies (a DA initiative endorsed by the CDIP), which attracted over </w:t>
      </w:r>
      <w:r>
        <w:rPr>
          <w:rFonts w:eastAsia="SimSun" w:cs="Arial"/>
          <w:lang w:eastAsia="zh-CN"/>
        </w:rPr>
        <w:t>199,671</w:t>
      </w:r>
      <w:r w:rsidRPr="0011405E">
        <w:rPr>
          <w:rFonts w:eastAsia="SimSun" w:cs="Arial"/>
          <w:lang w:eastAsia="zh-CN"/>
        </w:rPr>
        <w:t xml:space="preserve"> page views in </w:t>
      </w:r>
      <w:r>
        <w:rPr>
          <w:rFonts w:eastAsia="SimSun" w:cs="Arial"/>
          <w:lang w:eastAsia="zh-CN"/>
        </w:rPr>
        <w:t>2014 (compared to 193,004 in 2013)</w:t>
      </w:r>
      <w:r w:rsidRPr="0011405E">
        <w:rPr>
          <w:rFonts w:eastAsia="SimSun" w:cs="Arial"/>
          <w:lang w:eastAsia="zh-CN"/>
        </w:rPr>
        <w:t>, and provided editorial, design, video, web and other communications support to numerous DA-related products and outputs by other programs across the Organization.</w:t>
      </w:r>
    </w:p>
    <w:p w:rsidR="00FD7155" w:rsidRDefault="00FD7155" w:rsidP="00FD7155">
      <w:pPr>
        <w:jc w:val="both"/>
        <w:rPr>
          <w:b/>
          <w:szCs w:val="20"/>
        </w:rPr>
      </w:pPr>
    </w:p>
    <w:p w:rsidR="00FD7155" w:rsidRDefault="00FD7155" w:rsidP="00FD7155">
      <w:pPr>
        <w:jc w:val="both"/>
        <w:rPr>
          <w:rFonts w:cs="Arial"/>
          <w:sz w:val="22"/>
          <w:szCs w:val="22"/>
        </w:rPr>
      </w:pPr>
      <w:r w:rsidRPr="004D1BF4">
        <w:rPr>
          <w:rFonts w:cs="Arial"/>
          <w:sz w:val="22"/>
          <w:szCs w:val="22"/>
        </w:rPr>
        <w:t>PERFORMANCE DATA</w:t>
      </w:r>
    </w:p>
    <w:p w:rsidR="00FD7155" w:rsidRPr="00383D2D" w:rsidRDefault="00FD7155" w:rsidP="00FD7155">
      <w:pPr>
        <w:jc w:val="both"/>
        <w:rPr>
          <w:b/>
          <w:szCs w:val="20"/>
        </w:rPr>
      </w:pP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80"/>
        <w:gridCol w:w="2707"/>
        <w:gridCol w:w="1558"/>
        <w:gridCol w:w="2238"/>
        <w:gridCol w:w="988"/>
      </w:tblGrid>
      <w:tr w:rsidR="00FD7155" w:rsidTr="00FD7155">
        <w:trPr>
          <w:trHeight w:val="435"/>
        </w:trPr>
        <w:tc>
          <w:tcPr>
            <w:tcW w:w="5000" w:type="pct"/>
            <w:gridSpan w:val="5"/>
            <w:tcBorders>
              <w:top w:val="single" w:sz="4" w:space="0" w:color="auto"/>
              <w:bottom w:val="single" w:sz="4" w:space="0" w:color="auto"/>
            </w:tcBorders>
            <w:shd w:val="clear" w:color="auto" w:fill="CCFFFF"/>
            <w:vAlign w:val="center"/>
          </w:tcPr>
          <w:p w:rsidR="00FD7155" w:rsidRDefault="00FD7155" w:rsidP="00FD7155">
            <w:pPr>
              <w:keepNext/>
              <w:keepLines/>
              <w:tabs>
                <w:tab w:val="left" w:pos="1452"/>
              </w:tabs>
              <w:spacing w:before="120" w:after="120"/>
              <w:ind w:left="1452" w:hanging="1452"/>
              <w:rPr>
                <w:rFonts w:cs="Arial"/>
                <w:b/>
                <w:bCs/>
                <w:sz w:val="16"/>
                <w:szCs w:val="16"/>
              </w:rPr>
            </w:pPr>
            <w:r w:rsidRPr="00234BEF">
              <w:rPr>
                <w:rFonts w:cs="Arial"/>
                <w:b/>
                <w:bCs/>
                <w:sz w:val="16"/>
                <w:szCs w:val="16"/>
              </w:rPr>
              <w:t>Expected Result</w:t>
            </w:r>
            <w:r>
              <w:rPr>
                <w:rFonts w:cs="Arial"/>
                <w:b/>
                <w:bCs/>
                <w:sz w:val="16"/>
                <w:szCs w:val="16"/>
              </w:rPr>
              <w:t>:</w:t>
            </w:r>
            <w:r>
              <w:rPr>
                <w:rFonts w:cs="Arial"/>
                <w:b/>
                <w:bCs/>
                <w:sz w:val="16"/>
                <w:szCs w:val="16"/>
              </w:rPr>
              <w:tab/>
            </w:r>
            <w:r w:rsidRPr="00D46149">
              <w:rPr>
                <w:rFonts w:cs="Arial"/>
                <w:sz w:val="16"/>
                <w:szCs w:val="16"/>
              </w:rPr>
              <w:t>VIII.1 More effective communication to a broad public about intellectual property and WIPO’s role</w:t>
            </w:r>
          </w:p>
        </w:tc>
      </w:tr>
      <w:tr w:rsidR="00FD7155" w:rsidRPr="006475C7" w:rsidTr="00FD7155">
        <w:tc>
          <w:tcPr>
            <w:tcW w:w="1087" w:type="pct"/>
            <w:tcBorders>
              <w:top w:val="single" w:sz="4" w:space="0" w:color="auto"/>
            </w:tcBorders>
            <w:vAlign w:val="center"/>
          </w:tcPr>
          <w:p w:rsidR="00FD7155" w:rsidRPr="006475C7" w:rsidRDefault="00FD7155" w:rsidP="00FD7155">
            <w:pPr>
              <w:rPr>
                <w:rFonts w:cs="Arial"/>
                <w:sz w:val="16"/>
                <w:szCs w:val="16"/>
              </w:rPr>
            </w:pPr>
            <w:r w:rsidRPr="006475C7">
              <w:rPr>
                <w:rFonts w:cs="Arial"/>
                <w:b/>
                <w:bCs/>
                <w:sz w:val="16"/>
                <w:szCs w:val="16"/>
              </w:rPr>
              <w:t>Performance Indicators</w:t>
            </w:r>
          </w:p>
        </w:tc>
        <w:tc>
          <w:tcPr>
            <w:tcW w:w="1414" w:type="pct"/>
            <w:tcBorders>
              <w:top w:val="single" w:sz="4" w:space="0" w:color="auto"/>
            </w:tcBorders>
            <w:shd w:val="clear" w:color="auto" w:fill="auto"/>
            <w:vAlign w:val="center"/>
          </w:tcPr>
          <w:p w:rsidR="00FD7155" w:rsidRPr="006475C7" w:rsidRDefault="00FD7155" w:rsidP="00FD7155">
            <w:pPr>
              <w:rPr>
                <w:rFonts w:cs="Arial"/>
                <w:b/>
                <w:bCs/>
                <w:sz w:val="16"/>
                <w:szCs w:val="16"/>
              </w:rPr>
            </w:pPr>
            <w:r w:rsidRPr="0027745B">
              <w:rPr>
                <w:rFonts w:cs="Arial"/>
                <w:b/>
                <w:bCs/>
                <w:sz w:val="16"/>
                <w:szCs w:val="16"/>
              </w:rPr>
              <w:t>Baselines</w:t>
            </w:r>
          </w:p>
        </w:tc>
        <w:tc>
          <w:tcPr>
            <w:tcW w:w="814" w:type="pct"/>
            <w:tcBorders>
              <w:top w:val="single" w:sz="4" w:space="0" w:color="auto"/>
            </w:tcBorders>
            <w:tcMar>
              <w:top w:w="110" w:type="dxa"/>
            </w:tcMar>
            <w:vAlign w:val="center"/>
          </w:tcPr>
          <w:p w:rsidR="00FD7155" w:rsidRPr="0027745B" w:rsidRDefault="00FD7155" w:rsidP="00FD7155">
            <w:pPr>
              <w:rPr>
                <w:rFonts w:cs="Arial"/>
                <w:b/>
                <w:bCs/>
                <w:sz w:val="16"/>
                <w:szCs w:val="16"/>
              </w:rPr>
            </w:pPr>
            <w:r w:rsidRPr="0027745B">
              <w:rPr>
                <w:rFonts w:cs="Arial"/>
                <w:b/>
                <w:sz w:val="16"/>
                <w:szCs w:val="16"/>
              </w:rPr>
              <w:t>Targets</w:t>
            </w:r>
          </w:p>
        </w:tc>
        <w:tc>
          <w:tcPr>
            <w:tcW w:w="1169" w:type="pct"/>
            <w:tcBorders>
              <w:top w:val="single" w:sz="4" w:space="0" w:color="auto"/>
            </w:tcBorders>
            <w:shd w:val="clear" w:color="auto" w:fill="FFFFFF"/>
            <w:tcMar>
              <w:top w:w="110" w:type="dxa"/>
            </w:tcMar>
            <w:vAlign w:val="center"/>
          </w:tcPr>
          <w:p w:rsidR="00FD7155" w:rsidRPr="006475C7" w:rsidRDefault="00FD7155">
            <w:pPr>
              <w:rPr>
                <w:rFonts w:cs="Arial"/>
                <w:sz w:val="16"/>
                <w:szCs w:val="16"/>
              </w:rPr>
            </w:pPr>
            <w:r w:rsidRPr="006475C7">
              <w:rPr>
                <w:rFonts w:cs="Arial"/>
                <w:b/>
                <w:bCs/>
                <w:sz w:val="16"/>
                <w:szCs w:val="16"/>
              </w:rPr>
              <w:t>Performance Data</w:t>
            </w:r>
          </w:p>
        </w:tc>
        <w:tc>
          <w:tcPr>
            <w:tcW w:w="516" w:type="pct"/>
            <w:tcBorders>
              <w:top w:val="single" w:sz="4" w:space="0" w:color="auto"/>
            </w:tcBorders>
            <w:tcMar>
              <w:top w:w="110" w:type="dxa"/>
            </w:tcMar>
            <w:vAlign w:val="center"/>
          </w:tcPr>
          <w:p w:rsidR="00FD7155" w:rsidRPr="0027745B" w:rsidRDefault="00FD7155" w:rsidP="00FD7155">
            <w:pPr>
              <w:keepNext/>
              <w:keepLines/>
              <w:rPr>
                <w:rFonts w:cs="Arial"/>
                <w:b/>
                <w:bCs/>
                <w:sz w:val="16"/>
                <w:szCs w:val="16"/>
              </w:rPr>
            </w:pPr>
            <w:r w:rsidRPr="006475C7">
              <w:rPr>
                <w:rFonts w:cs="Arial"/>
                <w:b/>
                <w:bCs/>
                <w:sz w:val="16"/>
                <w:szCs w:val="16"/>
              </w:rPr>
              <w:t>TLS</w:t>
            </w:r>
          </w:p>
        </w:tc>
      </w:tr>
      <w:tr w:rsidR="00FD7155" w:rsidTr="00FD7155">
        <w:tc>
          <w:tcPr>
            <w:tcW w:w="1087" w:type="pct"/>
          </w:tcPr>
          <w:p w:rsidR="00FD7155" w:rsidRPr="004354B8" w:rsidRDefault="00FD7155" w:rsidP="00FD7155">
            <w:pPr>
              <w:keepNext/>
              <w:rPr>
                <w:rFonts w:cs="Arial"/>
                <w:sz w:val="16"/>
                <w:szCs w:val="16"/>
              </w:rPr>
            </w:pPr>
            <w:r w:rsidRPr="00D46149">
              <w:rPr>
                <w:rFonts w:cs="Arial"/>
                <w:sz w:val="16"/>
                <w:szCs w:val="16"/>
              </w:rPr>
              <w:t>Level of public interest generated in selected major WIPO events/</w:t>
            </w:r>
            <w:r>
              <w:rPr>
                <w:rFonts w:cs="Arial"/>
                <w:sz w:val="16"/>
                <w:szCs w:val="16"/>
              </w:rPr>
              <w:t xml:space="preserve"> </w:t>
            </w:r>
            <w:r w:rsidRPr="00D46149">
              <w:rPr>
                <w:rFonts w:cs="Arial"/>
                <w:sz w:val="16"/>
                <w:szCs w:val="16"/>
              </w:rPr>
              <w:t>achievements</w:t>
            </w:r>
          </w:p>
        </w:tc>
        <w:tc>
          <w:tcPr>
            <w:tcW w:w="1414" w:type="pct"/>
            <w:shd w:val="clear" w:color="auto" w:fill="auto"/>
          </w:tcPr>
          <w:p w:rsidR="00FD7155" w:rsidRDefault="00FD7155" w:rsidP="00FD7155">
            <w:pPr>
              <w:keepNext/>
              <w:rPr>
                <w:rFonts w:cs="Arial"/>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sidRPr="00D46149">
              <w:rPr>
                <w:rFonts w:cs="Arial"/>
                <w:color w:val="002060"/>
                <w:sz w:val="16"/>
                <w:szCs w:val="16"/>
              </w:rPr>
              <w:t>Sample event= launch of annual Global Innovation Index (GII). Aggregate views (for 11 week period after 2013 launch) of all web content (webpages, press release, infographics) = 45,564 + 685  video views</w:t>
            </w:r>
          </w:p>
          <w:p w:rsidR="00FD7155" w:rsidRPr="000D5D96" w:rsidRDefault="00FD7155" w:rsidP="00FD7155">
            <w:pPr>
              <w:keepNext/>
              <w:rPr>
                <w:rFonts w:cs="Arial"/>
                <w:i/>
                <w:color w:val="002060"/>
                <w:sz w:val="8"/>
                <w:szCs w:val="8"/>
              </w:rPr>
            </w:pPr>
          </w:p>
          <w:p w:rsidR="00FD7155" w:rsidRDefault="00FD7155" w:rsidP="00FD7155">
            <w:pPr>
              <w:keepNext/>
              <w:rPr>
                <w:rFonts w:cs="Arial"/>
                <w:sz w:val="16"/>
                <w:szCs w:val="16"/>
              </w:rPr>
            </w:pPr>
            <w:r>
              <w:rPr>
                <w:rFonts w:cs="Arial"/>
                <w:i/>
                <w:sz w:val="16"/>
                <w:szCs w:val="16"/>
              </w:rPr>
              <w:t>Original Baseline P&amp;B 2014/15</w:t>
            </w:r>
            <w:r w:rsidRPr="0027745B">
              <w:rPr>
                <w:rFonts w:cs="Arial"/>
                <w:i/>
                <w:sz w:val="16"/>
                <w:szCs w:val="16"/>
              </w:rPr>
              <w:t>:</w:t>
            </w:r>
            <w:r>
              <w:rPr>
                <w:rFonts w:cs="Arial"/>
                <w:i/>
                <w:iCs/>
                <w:sz w:val="16"/>
                <w:szCs w:val="16"/>
              </w:rPr>
              <w:t xml:space="preserve">  </w:t>
            </w:r>
            <w:r w:rsidRPr="00D46149">
              <w:rPr>
                <w:rFonts w:cs="Arial"/>
                <w:sz w:val="16"/>
                <w:szCs w:val="16"/>
              </w:rPr>
              <w:t>(Sample event) 12,111 unique page views of press release on the 2012 Global Innovation Index (GII) in a 1 month period.</w:t>
            </w:r>
          </w:p>
          <w:p w:rsidR="00FD7155" w:rsidRPr="004D1BF4" w:rsidRDefault="00FD7155" w:rsidP="00FD7155">
            <w:pPr>
              <w:keepNext/>
              <w:rPr>
                <w:rFonts w:cs="Arial"/>
                <w:sz w:val="16"/>
                <w:szCs w:val="16"/>
              </w:rPr>
            </w:pPr>
          </w:p>
        </w:tc>
        <w:tc>
          <w:tcPr>
            <w:tcW w:w="814" w:type="pct"/>
            <w:tcMar>
              <w:top w:w="110" w:type="dxa"/>
            </w:tcMar>
          </w:tcPr>
          <w:p w:rsidR="00FD7155" w:rsidRPr="0027745B" w:rsidRDefault="00FD7155">
            <w:pPr>
              <w:keepNext/>
              <w:rPr>
                <w:rFonts w:cs="Arial"/>
                <w:sz w:val="16"/>
                <w:szCs w:val="16"/>
              </w:rPr>
            </w:pPr>
            <w:r w:rsidRPr="00D46149">
              <w:rPr>
                <w:rFonts w:cs="Arial"/>
                <w:sz w:val="16"/>
                <w:szCs w:val="16"/>
              </w:rPr>
              <w:t>10% increase in views of relevant web page</w:t>
            </w:r>
          </w:p>
        </w:tc>
        <w:tc>
          <w:tcPr>
            <w:tcW w:w="1169" w:type="pct"/>
            <w:shd w:val="clear" w:color="auto" w:fill="FFFFFF"/>
            <w:tcMar>
              <w:top w:w="110" w:type="dxa"/>
            </w:tcMar>
          </w:tcPr>
          <w:p w:rsidR="00FD7155" w:rsidRPr="008A2422" w:rsidRDefault="00FD7155">
            <w:pPr>
              <w:keepNext/>
              <w:keepLines/>
              <w:rPr>
                <w:rFonts w:cs="Arial"/>
                <w:sz w:val="16"/>
                <w:szCs w:val="16"/>
                <w:highlight w:val="yellow"/>
              </w:rPr>
            </w:pPr>
            <w:r>
              <w:rPr>
                <w:rFonts w:cs="Arial"/>
                <w:sz w:val="16"/>
                <w:szCs w:val="16"/>
              </w:rPr>
              <w:t>L</w:t>
            </w:r>
            <w:r w:rsidRPr="00FE241F">
              <w:rPr>
                <w:rFonts w:cs="Arial"/>
                <w:sz w:val="16"/>
                <w:szCs w:val="16"/>
              </w:rPr>
              <w:t>aunch of annual Global Innovation Index (GII)</w:t>
            </w:r>
            <w:r>
              <w:rPr>
                <w:rFonts w:cs="Arial"/>
                <w:sz w:val="16"/>
                <w:szCs w:val="16"/>
              </w:rPr>
              <w:t xml:space="preserve">: </w:t>
            </w:r>
            <w:r w:rsidRPr="00D46149">
              <w:rPr>
                <w:rFonts w:cs="Arial"/>
                <w:sz w:val="16"/>
                <w:szCs w:val="16"/>
              </w:rPr>
              <w:t>Aggregate views (for 11 week period after launch) of all web content (webpages, press release, infographics) = 53,062 + 9,563 video views. Increase = 16.5% and 1296% (video)</w:t>
            </w:r>
          </w:p>
        </w:tc>
        <w:tc>
          <w:tcPr>
            <w:tcW w:w="516" w:type="pct"/>
            <w:tcMar>
              <w:top w:w="110" w:type="dxa"/>
            </w:tcMar>
          </w:tcPr>
          <w:p w:rsidR="00FD7155" w:rsidRPr="00D46149" w:rsidRDefault="00FD7155" w:rsidP="00FD7155">
            <w:pPr>
              <w:keepNext/>
              <w:keepLines/>
              <w:jc w:val="center"/>
              <w:rPr>
                <w:rFonts w:cs="Arial"/>
                <w:b/>
                <w:color w:val="00B050"/>
                <w:sz w:val="16"/>
                <w:szCs w:val="16"/>
              </w:rPr>
            </w:pPr>
            <w:r w:rsidRPr="00D46149">
              <w:rPr>
                <w:rFonts w:cs="Arial"/>
                <w:b/>
                <w:bCs/>
                <w:color w:val="00B050"/>
                <w:sz w:val="16"/>
                <w:szCs w:val="16"/>
              </w:rPr>
              <w:t>On track</w:t>
            </w:r>
          </w:p>
        </w:tc>
      </w:tr>
    </w:tbl>
    <w:p w:rsidR="00FD7155" w:rsidRDefault="00FD7155">
      <w:r>
        <w:br w:type="page"/>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78"/>
        <w:gridCol w:w="2709"/>
        <w:gridCol w:w="1558"/>
        <w:gridCol w:w="2234"/>
        <w:gridCol w:w="992"/>
      </w:tblGrid>
      <w:tr w:rsidR="00FD7155" w:rsidTr="00C52366">
        <w:trPr>
          <w:trHeight w:val="232"/>
        </w:trPr>
        <w:tc>
          <w:tcPr>
            <w:tcW w:w="1086" w:type="pct"/>
            <w:vAlign w:val="center"/>
          </w:tcPr>
          <w:p w:rsidR="00FD7155" w:rsidRPr="006475C7" w:rsidRDefault="00FD7155" w:rsidP="00FD7155">
            <w:pPr>
              <w:rPr>
                <w:rFonts w:cs="Arial"/>
                <w:sz w:val="16"/>
                <w:szCs w:val="16"/>
              </w:rPr>
            </w:pPr>
            <w:r w:rsidRPr="006475C7">
              <w:rPr>
                <w:rFonts w:cs="Arial"/>
                <w:b/>
                <w:bCs/>
                <w:sz w:val="16"/>
                <w:szCs w:val="16"/>
              </w:rPr>
              <w:lastRenderedPageBreak/>
              <w:t>Performance Indicators</w:t>
            </w:r>
          </w:p>
        </w:tc>
        <w:tc>
          <w:tcPr>
            <w:tcW w:w="1415" w:type="pct"/>
            <w:shd w:val="clear" w:color="auto" w:fill="auto"/>
            <w:vAlign w:val="center"/>
          </w:tcPr>
          <w:p w:rsidR="00FD7155" w:rsidRPr="006475C7" w:rsidRDefault="00FD7155" w:rsidP="00FD7155">
            <w:pPr>
              <w:rPr>
                <w:rFonts w:cs="Arial"/>
                <w:b/>
                <w:bCs/>
                <w:sz w:val="16"/>
                <w:szCs w:val="16"/>
              </w:rPr>
            </w:pPr>
            <w:r w:rsidRPr="0027745B">
              <w:rPr>
                <w:rFonts w:cs="Arial"/>
                <w:b/>
                <w:bCs/>
                <w:sz w:val="16"/>
                <w:szCs w:val="16"/>
              </w:rPr>
              <w:t>Baselines</w:t>
            </w:r>
          </w:p>
        </w:tc>
        <w:tc>
          <w:tcPr>
            <w:tcW w:w="814" w:type="pct"/>
            <w:tcMar>
              <w:top w:w="110" w:type="dxa"/>
            </w:tcMar>
            <w:vAlign w:val="center"/>
          </w:tcPr>
          <w:p w:rsidR="00FD7155" w:rsidRPr="0027745B" w:rsidRDefault="00FD7155" w:rsidP="00FD7155">
            <w:pPr>
              <w:rPr>
                <w:rFonts w:cs="Arial"/>
                <w:b/>
                <w:bCs/>
                <w:sz w:val="16"/>
                <w:szCs w:val="16"/>
              </w:rPr>
            </w:pPr>
            <w:r w:rsidRPr="0027745B">
              <w:rPr>
                <w:rFonts w:cs="Arial"/>
                <w:b/>
                <w:sz w:val="16"/>
                <w:szCs w:val="16"/>
              </w:rPr>
              <w:t>Targets</w:t>
            </w:r>
          </w:p>
        </w:tc>
        <w:tc>
          <w:tcPr>
            <w:tcW w:w="1167" w:type="pct"/>
            <w:shd w:val="clear" w:color="auto" w:fill="FFFFFF"/>
            <w:tcMar>
              <w:top w:w="110" w:type="dxa"/>
            </w:tcMar>
            <w:vAlign w:val="center"/>
          </w:tcPr>
          <w:p w:rsidR="00FD7155" w:rsidRPr="006475C7" w:rsidRDefault="00FD7155" w:rsidP="00FD7155">
            <w:pPr>
              <w:rPr>
                <w:rFonts w:cs="Arial"/>
                <w:sz w:val="16"/>
                <w:szCs w:val="16"/>
              </w:rPr>
            </w:pPr>
            <w:r w:rsidRPr="006475C7">
              <w:rPr>
                <w:rFonts w:cs="Arial"/>
                <w:b/>
                <w:bCs/>
                <w:sz w:val="16"/>
                <w:szCs w:val="16"/>
              </w:rPr>
              <w:t>Performance Data</w:t>
            </w:r>
          </w:p>
        </w:tc>
        <w:tc>
          <w:tcPr>
            <w:tcW w:w="518" w:type="pct"/>
            <w:tcMar>
              <w:top w:w="110" w:type="dxa"/>
            </w:tcMar>
            <w:vAlign w:val="center"/>
          </w:tcPr>
          <w:p w:rsidR="00FD7155" w:rsidRPr="0027745B" w:rsidRDefault="00FD7155" w:rsidP="00FD7155">
            <w:pPr>
              <w:keepNext/>
              <w:keepLines/>
              <w:rPr>
                <w:rFonts w:cs="Arial"/>
                <w:b/>
                <w:bCs/>
                <w:sz w:val="16"/>
                <w:szCs w:val="16"/>
              </w:rPr>
            </w:pPr>
            <w:r w:rsidRPr="006475C7">
              <w:rPr>
                <w:rFonts w:cs="Arial"/>
                <w:b/>
                <w:bCs/>
                <w:sz w:val="16"/>
                <w:szCs w:val="16"/>
              </w:rPr>
              <w:t>TLS</w:t>
            </w:r>
          </w:p>
        </w:tc>
      </w:tr>
      <w:tr w:rsidR="00FD7155" w:rsidTr="00C52366">
        <w:trPr>
          <w:trHeight w:val="232"/>
        </w:trPr>
        <w:tc>
          <w:tcPr>
            <w:tcW w:w="1086" w:type="pct"/>
          </w:tcPr>
          <w:p w:rsidR="00FD7155" w:rsidRPr="004354B8" w:rsidRDefault="00FD7155" w:rsidP="00FD7155">
            <w:pPr>
              <w:rPr>
                <w:rFonts w:cs="Arial"/>
                <w:sz w:val="16"/>
                <w:szCs w:val="16"/>
              </w:rPr>
            </w:pPr>
            <w:r w:rsidRPr="00334EB8">
              <w:rPr>
                <w:rFonts w:cs="Arial"/>
                <w:sz w:val="16"/>
                <w:szCs w:val="16"/>
              </w:rPr>
              <w:t>% of stakeholders with positive recognition of WIPO’s mission, activities and organizational image</w:t>
            </w:r>
          </w:p>
        </w:tc>
        <w:tc>
          <w:tcPr>
            <w:tcW w:w="1415" w:type="pct"/>
            <w:shd w:val="clear" w:color="auto" w:fill="auto"/>
          </w:tcPr>
          <w:p w:rsidR="00FD7155" w:rsidRPr="00334EB8" w:rsidRDefault="00FD7155" w:rsidP="00FD7155">
            <w:pPr>
              <w:keepNext/>
              <w:rPr>
                <w:rFonts w:cs="Arial"/>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sidRPr="00E5733B">
              <w:rPr>
                <w:rFonts w:cs="Arial"/>
                <w:color w:val="002060"/>
                <w:sz w:val="16"/>
                <w:szCs w:val="16"/>
              </w:rPr>
              <w:t>87% of survey respondents perceived WIPO’s public image as good, very good or excellent. 81% of survey respondents perceived WIPO as the global forum for the promotion of IP. (WIPO Service Orientation Survey results, August 2013).</w:t>
            </w:r>
            <w:r>
              <w:rPr>
                <w:rStyle w:val="FootnoteReference"/>
                <w:rFonts w:cs="Arial"/>
                <w:color w:val="002060"/>
                <w:sz w:val="16"/>
                <w:szCs w:val="16"/>
              </w:rPr>
              <w:footnoteReference w:id="49"/>
            </w:r>
          </w:p>
          <w:p w:rsidR="00FD7155" w:rsidRPr="000D5D96" w:rsidRDefault="00FD7155" w:rsidP="00FD7155">
            <w:pPr>
              <w:keepNext/>
              <w:rPr>
                <w:rFonts w:cs="Arial"/>
                <w:i/>
                <w:color w:val="002060"/>
                <w:sz w:val="8"/>
                <w:szCs w:val="8"/>
              </w:rPr>
            </w:pPr>
          </w:p>
          <w:p w:rsidR="00FD7155" w:rsidRPr="004D1BF4" w:rsidRDefault="00FD7155" w:rsidP="00FD7155">
            <w:pPr>
              <w:keepNext/>
              <w:rPr>
                <w:rFonts w:cs="Arial"/>
                <w:sz w:val="16"/>
                <w:szCs w:val="16"/>
              </w:rPr>
            </w:pPr>
            <w:r>
              <w:rPr>
                <w:rFonts w:cs="Arial"/>
                <w:i/>
                <w:sz w:val="16"/>
                <w:szCs w:val="16"/>
              </w:rPr>
              <w:t>Original Baseline P&amp;B 2014/15</w:t>
            </w:r>
            <w:r w:rsidRPr="0027745B">
              <w:rPr>
                <w:rFonts w:cs="Arial"/>
                <w:i/>
                <w:sz w:val="16"/>
                <w:szCs w:val="16"/>
              </w:rPr>
              <w:t>:</w:t>
            </w:r>
            <w:r>
              <w:rPr>
                <w:rFonts w:cs="Arial"/>
                <w:i/>
                <w:iCs/>
                <w:sz w:val="16"/>
                <w:szCs w:val="16"/>
              </w:rPr>
              <w:t xml:space="preserve">  </w:t>
            </w:r>
          </w:p>
          <w:p w:rsidR="00FD7155" w:rsidRPr="004D1BF4" w:rsidRDefault="00FD7155" w:rsidP="00FD7155">
            <w:pPr>
              <w:rPr>
                <w:rFonts w:cs="Arial"/>
                <w:sz w:val="16"/>
                <w:szCs w:val="16"/>
              </w:rPr>
            </w:pPr>
            <w:r w:rsidRPr="00334EB8">
              <w:rPr>
                <w:rFonts w:cs="Arial"/>
                <w:sz w:val="16"/>
                <w:szCs w:val="16"/>
              </w:rPr>
              <w:t>65% of survey respondents perceived WIPO as the global leader in the protection and promotion of IP (WIPO Stakeholders Perceptions Survey, January 2012)</w:t>
            </w:r>
          </w:p>
        </w:tc>
        <w:tc>
          <w:tcPr>
            <w:tcW w:w="814" w:type="pct"/>
            <w:tcMar>
              <w:top w:w="110" w:type="dxa"/>
            </w:tcMar>
          </w:tcPr>
          <w:p w:rsidR="00FD7155" w:rsidRPr="0027745B" w:rsidRDefault="00FD7155" w:rsidP="00FD7155">
            <w:pPr>
              <w:rPr>
                <w:rFonts w:cs="Arial"/>
                <w:sz w:val="16"/>
                <w:szCs w:val="16"/>
              </w:rPr>
            </w:pPr>
            <w:r w:rsidRPr="00334EB8">
              <w:rPr>
                <w:rFonts w:cs="Arial"/>
                <w:sz w:val="16"/>
                <w:szCs w:val="16"/>
              </w:rPr>
              <w:t>75%</w:t>
            </w:r>
          </w:p>
        </w:tc>
        <w:tc>
          <w:tcPr>
            <w:tcW w:w="1167" w:type="pct"/>
            <w:shd w:val="clear" w:color="auto" w:fill="FFFFFF"/>
            <w:tcMar>
              <w:top w:w="110" w:type="dxa"/>
            </w:tcMar>
          </w:tcPr>
          <w:p w:rsidR="00FD7155" w:rsidRPr="00C00093" w:rsidRDefault="00FD7155" w:rsidP="00FD7155">
            <w:pPr>
              <w:rPr>
                <w:rFonts w:cs="Arial"/>
                <w:sz w:val="16"/>
                <w:szCs w:val="16"/>
              </w:rPr>
            </w:pPr>
            <w:r w:rsidRPr="00782825">
              <w:rPr>
                <w:rFonts w:cs="Arial"/>
                <w:sz w:val="16"/>
                <w:szCs w:val="16"/>
              </w:rPr>
              <w:t xml:space="preserve">70% of survey </w:t>
            </w:r>
            <w:proofErr w:type="gramStart"/>
            <w:r w:rsidRPr="00782825">
              <w:rPr>
                <w:rFonts w:cs="Arial"/>
                <w:sz w:val="16"/>
                <w:szCs w:val="16"/>
              </w:rPr>
              <w:t>respondents  perceived</w:t>
            </w:r>
            <w:proofErr w:type="gramEnd"/>
            <w:r w:rsidRPr="00782825">
              <w:rPr>
                <w:rFonts w:cs="Arial"/>
                <w:sz w:val="16"/>
                <w:szCs w:val="16"/>
              </w:rPr>
              <w:t xml:space="preserve"> WIPO as the global forum for the promotion of IP services, policy, information and cooperation.</w:t>
            </w:r>
            <w:r>
              <w:rPr>
                <w:rStyle w:val="FootnoteReference"/>
                <w:rFonts w:cs="Arial"/>
                <w:sz w:val="16"/>
                <w:szCs w:val="16"/>
              </w:rPr>
              <w:footnoteReference w:id="50"/>
            </w:r>
            <w:r w:rsidRPr="00C00093">
              <w:rPr>
                <w:rFonts w:cs="Arial"/>
                <w:sz w:val="16"/>
                <w:szCs w:val="16"/>
              </w:rPr>
              <w:t xml:space="preserve"> </w:t>
            </w:r>
            <w:r>
              <w:rPr>
                <w:rFonts w:cs="Arial"/>
                <w:sz w:val="16"/>
                <w:szCs w:val="16"/>
              </w:rPr>
              <w:t xml:space="preserve">; </w:t>
            </w:r>
            <w:r w:rsidRPr="00C00093">
              <w:rPr>
                <w:rFonts w:cs="Arial"/>
                <w:sz w:val="16"/>
                <w:szCs w:val="16"/>
              </w:rPr>
              <w:t xml:space="preserve">85% of survey respondents agree or strongly agree that WIPO has a good overall reputation. </w:t>
            </w:r>
          </w:p>
          <w:p w:rsidR="00FD7155" w:rsidRDefault="00FD7155" w:rsidP="00FD7155">
            <w:pPr>
              <w:rPr>
                <w:rFonts w:cs="Arial"/>
                <w:sz w:val="16"/>
                <w:szCs w:val="16"/>
              </w:rPr>
            </w:pPr>
          </w:p>
          <w:p w:rsidR="00FD7155" w:rsidRPr="00365955" w:rsidRDefault="00FD7155" w:rsidP="00FD7155">
            <w:pPr>
              <w:rPr>
                <w:rFonts w:cs="Arial"/>
                <w:sz w:val="16"/>
                <w:szCs w:val="16"/>
                <w:highlight w:val="yellow"/>
              </w:rPr>
            </w:pPr>
            <w:r w:rsidRPr="00365955">
              <w:rPr>
                <w:rFonts w:cs="Arial"/>
                <w:sz w:val="16"/>
                <w:szCs w:val="16"/>
              </w:rPr>
              <w:t xml:space="preserve">(Source: </w:t>
            </w:r>
            <w:r>
              <w:rPr>
                <w:rFonts w:cs="Arial"/>
                <w:sz w:val="16"/>
                <w:szCs w:val="16"/>
              </w:rPr>
              <w:t xml:space="preserve">WIPO </w:t>
            </w:r>
            <w:r w:rsidRPr="00365955">
              <w:rPr>
                <w:rFonts w:cs="Arial"/>
                <w:sz w:val="16"/>
                <w:szCs w:val="16"/>
              </w:rPr>
              <w:t>Stakeholder</w:t>
            </w:r>
            <w:r>
              <w:rPr>
                <w:rFonts w:cs="Arial"/>
                <w:sz w:val="16"/>
                <w:szCs w:val="16"/>
              </w:rPr>
              <w:t>s</w:t>
            </w:r>
            <w:r w:rsidRPr="00365955">
              <w:rPr>
                <w:rFonts w:cs="Arial"/>
                <w:sz w:val="16"/>
                <w:szCs w:val="16"/>
              </w:rPr>
              <w:t xml:space="preserve"> Perceptions </w:t>
            </w:r>
            <w:r>
              <w:rPr>
                <w:rFonts w:cs="Arial"/>
                <w:sz w:val="16"/>
                <w:szCs w:val="16"/>
              </w:rPr>
              <w:t>Survey</w:t>
            </w:r>
            <w:r w:rsidRPr="00365955">
              <w:rPr>
                <w:rFonts w:cs="Arial"/>
                <w:sz w:val="16"/>
                <w:szCs w:val="16"/>
              </w:rPr>
              <w:t>, June 2014)</w:t>
            </w:r>
          </w:p>
        </w:tc>
        <w:tc>
          <w:tcPr>
            <w:tcW w:w="518" w:type="pct"/>
            <w:tcMar>
              <w:top w:w="110" w:type="dxa"/>
            </w:tcMar>
          </w:tcPr>
          <w:p w:rsidR="00FD7155" w:rsidRPr="003857D4" w:rsidRDefault="00FD7155" w:rsidP="00FD7155">
            <w:pPr>
              <w:keepNext/>
              <w:keepLines/>
              <w:jc w:val="center"/>
              <w:rPr>
                <w:rFonts w:cs="Arial"/>
                <w:b/>
                <w:bCs/>
                <w:color w:val="00B050"/>
                <w:sz w:val="16"/>
                <w:szCs w:val="16"/>
              </w:rPr>
            </w:pPr>
            <w:r>
              <w:rPr>
                <w:rFonts w:cs="Arial"/>
                <w:b/>
                <w:bCs/>
                <w:color w:val="00B050"/>
                <w:sz w:val="16"/>
                <w:szCs w:val="16"/>
              </w:rPr>
              <w:t>On track</w:t>
            </w:r>
          </w:p>
        </w:tc>
      </w:tr>
      <w:tr w:rsidR="00FD7155" w:rsidTr="00C52366">
        <w:trPr>
          <w:trHeight w:val="1989"/>
        </w:trPr>
        <w:tc>
          <w:tcPr>
            <w:tcW w:w="1086" w:type="pct"/>
          </w:tcPr>
          <w:p w:rsidR="00FD7155" w:rsidRPr="004354B8" w:rsidRDefault="00FD7155" w:rsidP="00FD7155">
            <w:pPr>
              <w:rPr>
                <w:rFonts w:cs="Arial"/>
                <w:sz w:val="16"/>
                <w:szCs w:val="16"/>
              </w:rPr>
            </w:pPr>
            <w:r w:rsidRPr="004F4BF6">
              <w:rPr>
                <w:rFonts w:cs="Arial"/>
                <w:sz w:val="16"/>
                <w:szCs w:val="16"/>
              </w:rPr>
              <w:t>% increase in views of WIPO press, video and photographic content</w:t>
            </w:r>
          </w:p>
        </w:tc>
        <w:tc>
          <w:tcPr>
            <w:tcW w:w="1415" w:type="pct"/>
            <w:shd w:val="clear" w:color="auto" w:fill="auto"/>
          </w:tcPr>
          <w:p w:rsidR="00FD7155" w:rsidRDefault="00FD7155" w:rsidP="00FD7155">
            <w:pPr>
              <w:rPr>
                <w:rFonts w:cs="Arial"/>
                <w:i/>
                <w:color w:val="002060"/>
                <w:sz w:val="16"/>
                <w:szCs w:val="16"/>
              </w:rPr>
            </w:pPr>
            <w:r>
              <w:rPr>
                <w:rFonts w:cs="Arial"/>
                <w:i/>
                <w:color w:val="002060"/>
                <w:sz w:val="16"/>
                <w:szCs w:val="16"/>
              </w:rPr>
              <w:t>Updated Baseline end 2013</w:t>
            </w:r>
            <w:r w:rsidRPr="007F330D">
              <w:rPr>
                <w:rFonts w:cs="Arial"/>
                <w:i/>
                <w:color w:val="002060"/>
                <w:sz w:val="16"/>
                <w:szCs w:val="16"/>
              </w:rPr>
              <w:t xml:space="preserve">:  </w:t>
            </w:r>
          </w:p>
          <w:p w:rsidR="00FD7155" w:rsidRPr="004F4BF6" w:rsidRDefault="00FD7155" w:rsidP="00FD7155">
            <w:pPr>
              <w:rPr>
                <w:rFonts w:cs="Arial"/>
                <w:color w:val="002060"/>
                <w:sz w:val="16"/>
                <w:szCs w:val="16"/>
              </w:rPr>
            </w:pPr>
            <w:r w:rsidRPr="004F4BF6">
              <w:rPr>
                <w:rFonts w:cs="Arial"/>
                <w:color w:val="002060"/>
                <w:sz w:val="16"/>
                <w:szCs w:val="16"/>
              </w:rPr>
              <w:t>(</w:t>
            </w:r>
            <w:proofErr w:type="spellStart"/>
            <w:r w:rsidRPr="004F4BF6">
              <w:rPr>
                <w:rFonts w:cs="Arial"/>
                <w:color w:val="002060"/>
                <w:sz w:val="16"/>
                <w:szCs w:val="16"/>
              </w:rPr>
              <w:t>i</w:t>
            </w:r>
            <w:proofErr w:type="spellEnd"/>
            <w:r w:rsidRPr="004F4BF6">
              <w:rPr>
                <w:rFonts w:cs="Arial"/>
                <w:color w:val="002060"/>
                <w:sz w:val="16"/>
                <w:szCs w:val="16"/>
              </w:rPr>
              <w:t xml:space="preserve">) </w:t>
            </w:r>
            <w:proofErr w:type="gramStart"/>
            <w:r w:rsidRPr="004F4BF6">
              <w:rPr>
                <w:rFonts w:cs="Arial"/>
                <w:color w:val="002060"/>
                <w:sz w:val="16"/>
                <w:szCs w:val="16"/>
              </w:rPr>
              <w:t>av</w:t>
            </w:r>
            <w:r>
              <w:rPr>
                <w:rFonts w:cs="Arial"/>
                <w:color w:val="002060"/>
                <w:sz w:val="16"/>
                <w:szCs w:val="16"/>
              </w:rPr>
              <w:t>erage</w:t>
            </w:r>
            <w:proofErr w:type="gramEnd"/>
            <w:r w:rsidRPr="004F4BF6">
              <w:rPr>
                <w:rFonts w:cs="Arial"/>
                <w:color w:val="002060"/>
                <w:sz w:val="16"/>
                <w:szCs w:val="16"/>
              </w:rPr>
              <w:t xml:space="preserve"> no. of unique views/press release was 5,506 (143,169 views for 26 press releases issued in 2013. All languages.)</w:t>
            </w:r>
          </w:p>
          <w:p w:rsidR="00FD7155" w:rsidRPr="004F4BF6" w:rsidRDefault="00FD7155" w:rsidP="00FD7155">
            <w:pPr>
              <w:rPr>
                <w:rFonts w:cs="Arial"/>
                <w:color w:val="002060"/>
                <w:sz w:val="16"/>
                <w:szCs w:val="16"/>
              </w:rPr>
            </w:pPr>
            <w:r w:rsidRPr="004F4BF6">
              <w:rPr>
                <w:rFonts w:cs="Arial"/>
                <w:color w:val="002060"/>
                <w:sz w:val="16"/>
                <w:szCs w:val="16"/>
              </w:rPr>
              <w:t>(ii) av</w:t>
            </w:r>
            <w:r>
              <w:rPr>
                <w:rFonts w:cs="Arial"/>
                <w:color w:val="002060"/>
                <w:sz w:val="16"/>
                <w:szCs w:val="16"/>
              </w:rPr>
              <w:t>erage</w:t>
            </w:r>
            <w:r w:rsidRPr="004F4BF6">
              <w:rPr>
                <w:rFonts w:cs="Arial"/>
                <w:color w:val="002060"/>
                <w:sz w:val="16"/>
                <w:szCs w:val="16"/>
              </w:rPr>
              <w:t xml:space="preserve"> </w:t>
            </w:r>
            <w:r>
              <w:rPr>
                <w:rFonts w:cs="Arial"/>
                <w:color w:val="002060"/>
                <w:sz w:val="16"/>
                <w:szCs w:val="16"/>
              </w:rPr>
              <w:t>n</w:t>
            </w:r>
            <w:r w:rsidRPr="004F4BF6">
              <w:rPr>
                <w:rFonts w:cs="Arial"/>
                <w:color w:val="002060"/>
                <w:sz w:val="16"/>
                <w:szCs w:val="16"/>
              </w:rPr>
              <w:t>o</w:t>
            </w:r>
            <w:r>
              <w:rPr>
                <w:rFonts w:cs="Arial"/>
                <w:color w:val="002060"/>
                <w:sz w:val="16"/>
                <w:szCs w:val="16"/>
              </w:rPr>
              <w:t>.</w:t>
            </w:r>
            <w:r w:rsidRPr="004F4BF6">
              <w:rPr>
                <w:rFonts w:cs="Arial"/>
                <w:color w:val="002060"/>
                <w:sz w:val="16"/>
                <w:szCs w:val="16"/>
              </w:rPr>
              <w:t xml:space="preserve"> of views/video was </w:t>
            </w:r>
            <w:r>
              <w:rPr>
                <w:rFonts w:cs="Arial"/>
                <w:color w:val="002060"/>
                <w:sz w:val="16"/>
                <w:szCs w:val="16"/>
              </w:rPr>
              <w:t>16,612</w:t>
            </w:r>
            <w:r w:rsidRPr="004F4BF6">
              <w:rPr>
                <w:rFonts w:cs="Arial"/>
                <w:color w:val="002060"/>
                <w:sz w:val="16"/>
                <w:szCs w:val="16"/>
              </w:rPr>
              <w:t xml:space="preserve"> (3,787,601 views for </w:t>
            </w:r>
            <w:r>
              <w:rPr>
                <w:rFonts w:cs="Arial"/>
                <w:color w:val="002060"/>
                <w:sz w:val="16"/>
                <w:szCs w:val="16"/>
              </w:rPr>
              <w:t>228</w:t>
            </w:r>
            <w:r>
              <w:rPr>
                <w:rStyle w:val="FootnoteReference"/>
                <w:rFonts w:cs="Arial"/>
                <w:color w:val="002060"/>
                <w:sz w:val="16"/>
                <w:szCs w:val="16"/>
              </w:rPr>
              <w:footnoteReference w:id="51"/>
            </w:r>
            <w:r w:rsidRPr="004F4BF6">
              <w:rPr>
                <w:rFonts w:cs="Arial"/>
                <w:color w:val="002060"/>
                <w:sz w:val="16"/>
                <w:szCs w:val="16"/>
              </w:rPr>
              <w:t xml:space="preserve"> videos)</w:t>
            </w:r>
          </w:p>
          <w:p w:rsidR="00FD7155" w:rsidRPr="004F4BF6" w:rsidRDefault="00FD7155" w:rsidP="00FD7155">
            <w:pPr>
              <w:rPr>
                <w:rFonts w:cs="Arial"/>
                <w:color w:val="002060"/>
                <w:sz w:val="16"/>
                <w:szCs w:val="16"/>
              </w:rPr>
            </w:pPr>
            <w:r w:rsidRPr="004F4BF6">
              <w:rPr>
                <w:rFonts w:cs="Arial"/>
                <w:color w:val="002060"/>
                <w:sz w:val="16"/>
                <w:szCs w:val="16"/>
              </w:rPr>
              <w:t>(iii) 900,000 lifetime photo views on Flickr</w:t>
            </w:r>
          </w:p>
          <w:p w:rsidR="00FD7155" w:rsidRPr="00861678" w:rsidRDefault="00FD7155" w:rsidP="00FD7155">
            <w:pPr>
              <w:rPr>
                <w:rFonts w:cs="Arial"/>
                <w:i/>
                <w:color w:val="002060"/>
                <w:sz w:val="8"/>
                <w:szCs w:val="8"/>
              </w:rPr>
            </w:pPr>
          </w:p>
          <w:p w:rsidR="00FD7155" w:rsidRDefault="00FD7155" w:rsidP="00FD7155">
            <w:pPr>
              <w:rPr>
                <w:rFonts w:cs="Arial"/>
                <w:sz w:val="16"/>
                <w:szCs w:val="16"/>
              </w:rPr>
            </w:pPr>
            <w:r>
              <w:rPr>
                <w:rFonts w:cs="Arial"/>
                <w:i/>
                <w:sz w:val="16"/>
                <w:szCs w:val="16"/>
              </w:rPr>
              <w:t>Original Baseline P&amp;B 2014/15</w:t>
            </w:r>
            <w:r w:rsidRPr="007F330D">
              <w:rPr>
                <w:rFonts w:cs="Arial"/>
                <w:i/>
                <w:sz w:val="16"/>
                <w:szCs w:val="16"/>
              </w:rPr>
              <w:t>:</w:t>
            </w:r>
            <w:r w:rsidRPr="004D1BF4">
              <w:rPr>
                <w:rFonts w:cs="Arial"/>
                <w:sz w:val="16"/>
                <w:szCs w:val="16"/>
              </w:rPr>
              <w:t xml:space="preserve"> </w:t>
            </w:r>
            <w:r>
              <w:rPr>
                <w:rFonts w:cs="Arial"/>
                <w:sz w:val="16"/>
                <w:szCs w:val="16"/>
              </w:rPr>
              <w:t xml:space="preserve"> </w:t>
            </w:r>
          </w:p>
          <w:p w:rsidR="00FD7155" w:rsidRPr="004F4BF6" w:rsidRDefault="00FD7155" w:rsidP="00FD7155">
            <w:pPr>
              <w:rPr>
                <w:rFonts w:cs="Arial"/>
                <w:sz w:val="16"/>
                <w:szCs w:val="16"/>
              </w:rPr>
            </w:pPr>
            <w:r w:rsidRPr="004F4BF6">
              <w:rPr>
                <w:rFonts w:cs="Arial"/>
                <w:sz w:val="16"/>
                <w:szCs w:val="16"/>
              </w:rPr>
              <w:t>(</w:t>
            </w:r>
            <w:proofErr w:type="spellStart"/>
            <w:r w:rsidRPr="004F4BF6">
              <w:rPr>
                <w:rFonts w:cs="Arial"/>
                <w:sz w:val="16"/>
                <w:szCs w:val="16"/>
              </w:rPr>
              <w:t>i</w:t>
            </w:r>
            <w:proofErr w:type="spellEnd"/>
            <w:r w:rsidRPr="004F4BF6">
              <w:rPr>
                <w:rFonts w:cs="Arial"/>
                <w:sz w:val="16"/>
                <w:szCs w:val="16"/>
              </w:rPr>
              <w:t>) In 2012, av</w:t>
            </w:r>
            <w:r>
              <w:rPr>
                <w:rFonts w:cs="Arial"/>
                <w:sz w:val="16"/>
                <w:szCs w:val="16"/>
              </w:rPr>
              <w:t>erage</w:t>
            </w:r>
            <w:r w:rsidRPr="004F4BF6">
              <w:rPr>
                <w:rFonts w:cs="Arial"/>
                <w:sz w:val="16"/>
                <w:szCs w:val="16"/>
              </w:rPr>
              <w:t xml:space="preserve"> </w:t>
            </w:r>
            <w:r>
              <w:rPr>
                <w:rFonts w:cs="Arial"/>
                <w:sz w:val="16"/>
                <w:szCs w:val="16"/>
              </w:rPr>
              <w:t>n</w:t>
            </w:r>
            <w:r w:rsidRPr="004F4BF6">
              <w:rPr>
                <w:rFonts w:cs="Arial"/>
                <w:sz w:val="16"/>
                <w:szCs w:val="16"/>
              </w:rPr>
              <w:t>o</w:t>
            </w:r>
            <w:r>
              <w:rPr>
                <w:rFonts w:cs="Arial"/>
                <w:sz w:val="16"/>
                <w:szCs w:val="16"/>
              </w:rPr>
              <w:t>.</w:t>
            </w:r>
            <w:r w:rsidRPr="004F4BF6">
              <w:rPr>
                <w:rFonts w:cs="Arial"/>
                <w:sz w:val="16"/>
                <w:szCs w:val="16"/>
              </w:rPr>
              <w:t xml:space="preserve"> of unique views/press release was 3,575. (92,958 for 26 articles issued in 2012)</w:t>
            </w:r>
          </w:p>
          <w:p w:rsidR="00FD7155" w:rsidRPr="004F4BF6" w:rsidRDefault="00FD7155" w:rsidP="00FD7155">
            <w:pPr>
              <w:rPr>
                <w:rFonts w:cs="Arial"/>
                <w:sz w:val="16"/>
                <w:szCs w:val="16"/>
              </w:rPr>
            </w:pPr>
          </w:p>
          <w:p w:rsidR="00FD7155" w:rsidRPr="004F4BF6" w:rsidRDefault="00FD7155" w:rsidP="00FD7155">
            <w:pPr>
              <w:rPr>
                <w:rFonts w:cs="Arial"/>
                <w:sz w:val="16"/>
                <w:szCs w:val="16"/>
              </w:rPr>
            </w:pPr>
            <w:r w:rsidRPr="004F4BF6">
              <w:rPr>
                <w:rFonts w:cs="Arial"/>
                <w:sz w:val="16"/>
                <w:szCs w:val="16"/>
              </w:rPr>
              <w:t>(ii) In 2012, average no of views per video was 3,280 (478,888 views for 146 total videos)</w:t>
            </w:r>
          </w:p>
          <w:p w:rsidR="00FD7155" w:rsidRPr="004F4BF6" w:rsidRDefault="00FD7155" w:rsidP="00FD7155">
            <w:pPr>
              <w:rPr>
                <w:rFonts w:cs="Arial"/>
                <w:sz w:val="16"/>
                <w:szCs w:val="16"/>
              </w:rPr>
            </w:pPr>
          </w:p>
          <w:p w:rsidR="00FD7155" w:rsidRPr="004D1BF4" w:rsidRDefault="00FD7155" w:rsidP="00FD7155">
            <w:pPr>
              <w:rPr>
                <w:rFonts w:cs="Arial"/>
                <w:sz w:val="16"/>
                <w:szCs w:val="16"/>
              </w:rPr>
            </w:pPr>
            <w:r w:rsidRPr="004F4BF6">
              <w:rPr>
                <w:rFonts w:cs="Arial"/>
                <w:sz w:val="16"/>
                <w:szCs w:val="16"/>
              </w:rPr>
              <w:t>(iii) 155,000 total photo views on Flickr at end 201</w:t>
            </w:r>
            <w:r w:rsidR="008218F3">
              <w:rPr>
                <w:rFonts w:cs="Arial"/>
                <w:sz w:val="16"/>
                <w:szCs w:val="16"/>
              </w:rPr>
              <w:t>2</w:t>
            </w:r>
          </w:p>
        </w:tc>
        <w:tc>
          <w:tcPr>
            <w:tcW w:w="814" w:type="pct"/>
            <w:tcMar>
              <w:top w:w="110" w:type="dxa"/>
            </w:tcMar>
          </w:tcPr>
          <w:p w:rsidR="00FD7155" w:rsidRPr="004F4BF6" w:rsidRDefault="00FD7155" w:rsidP="00FD7155">
            <w:pPr>
              <w:rPr>
                <w:rFonts w:cs="Arial"/>
                <w:sz w:val="16"/>
                <w:szCs w:val="16"/>
              </w:rPr>
            </w:pPr>
            <w:r w:rsidRPr="004F4BF6">
              <w:rPr>
                <w:rFonts w:cs="Arial"/>
                <w:sz w:val="16"/>
                <w:szCs w:val="16"/>
              </w:rPr>
              <w:t>(</w:t>
            </w:r>
            <w:proofErr w:type="spellStart"/>
            <w:r w:rsidRPr="004F4BF6">
              <w:rPr>
                <w:rFonts w:cs="Arial"/>
                <w:sz w:val="16"/>
                <w:szCs w:val="16"/>
              </w:rPr>
              <w:t>i</w:t>
            </w:r>
            <w:proofErr w:type="spellEnd"/>
            <w:r w:rsidRPr="004F4BF6">
              <w:rPr>
                <w:rFonts w:cs="Arial"/>
                <w:sz w:val="16"/>
                <w:szCs w:val="16"/>
              </w:rPr>
              <w:t xml:space="preserve">) 10 % increase in average no. of views per press release </w:t>
            </w:r>
          </w:p>
          <w:p w:rsidR="00FD7155" w:rsidRPr="004F4BF6" w:rsidRDefault="00FD7155" w:rsidP="00FD7155">
            <w:pPr>
              <w:rPr>
                <w:rFonts w:cs="Arial"/>
                <w:sz w:val="16"/>
                <w:szCs w:val="16"/>
              </w:rPr>
            </w:pPr>
          </w:p>
          <w:p w:rsidR="00FD7155" w:rsidRPr="004F4BF6" w:rsidRDefault="00FD7155" w:rsidP="00FD7155">
            <w:pPr>
              <w:rPr>
                <w:rFonts w:cs="Arial"/>
                <w:sz w:val="16"/>
                <w:szCs w:val="16"/>
              </w:rPr>
            </w:pPr>
            <w:r w:rsidRPr="004F4BF6">
              <w:rPr>
                <w:rFonts w:cs="Arial"/>
                <w:sz w:val="16"/>
                <w:szCs w:val="16"/>
              </w:rPr>
              <w:t>(ii) 10% increase in average views per video on the WIPO YouTube channel</w:t>
            </w:r>
          </w:p>
          <w:p w:rsidR="00FD7155" w:rsidRPr="004F4BF6" w:rsidRDefault="00FD7155" w:rsidP="00FD7155">
            <w:pPr>
              <w:rPr>
                <w:rFonts w:cs="Arial"/>
                <w:sz w:val="16"/>
                <w:szCs w:val="16"/>
              </w:rPr>
            </w:pPr>
          </w:p>
          <w:p w:rsidR="00FD7155" w:rsidRPr="0027745B" w:rsidRDefault="00FD7155" w:rsidP="00FD7155">
            <w:pPr>
              <w:rPr>
                <w:rFonts w:cs="Arial"/>
                <w:sz w:val="16"/>
                <w:szCs w:val="16"/>
              </w:rPr>
            </w:pPr>
            <w:r w:rsidRPr="004F4BF6">
              <w:rPr>
                <w:rFonts w:cs="Arial"/>
                <w:sz w:val="16"/>
                <w:szCs w:val="16"/>
              </w:rPr>
              <w:t>(iii) Target:  300,000 additional photo views on Flickr</w:t>
            </w:r>
          </w:p>
        </w:tc>
        <w:tc>
          <w:tcPr>
            <w:tcW w:w="1167" w:type="pct"/>
            <w:shd w:val="clear" w:color="auto" w:fill="FFFFFF"/>
            <w:tcMar>
              <w:top w:w="110" w:type="dxa"/>
            </w:tcMar>
          </w:tcPr>
          <w:p w:rsidR="00FD7155" w:rsidRDefault="00FD7155" w:rsidP="00FD7155">
            <w:pPr>
              <w:rPr>
                <w:rFonts w:cs="Arial"/>
                <w:sz w:val="16"/>
                <w:szCs w:val="16"/>
              </w:rPr>
            </w:pPr>
            <w:r w:rsidRPr="004F4BF6">
              <w:rPr>
                <w:rFonts w:cs="Arial"/>
                <w:sz w:val="16"/>
                <w:szCs w:val="16"/>
              </w:rPr>
              <w:t>(</w:t>
            </w:r>
            <w:proofErr w:type="spellStart"/>
            <w:r w:rsidRPr="004F4BF6">
              <w:rPr>
                <w:rFonts w:cs="Arial"/>
                <w:sz w:val="16"/>
                <w:szCs w:val="16"/>
              </w:rPr>
              <w:t>i</w:t>
            </w:r>
            <w:proofErr w:type="spellEnd"/>
            <w:r w:rsidRPr="004F4BF6">
              <w:rPr>
                <w:rFonts w:cs="Arial"/>
                <w:sz w:val="16"/>
                <w:szCs w:val="16"/>
              </w:rPr>
              <w:t>) ave</w:t>
            </w:r>
            <w:r>
              <w:rPr>
                <w:rFonts w:cs="Arial"/>
                <w:sz w:val="16"/>
                <w:szCs w:val="16"/>
              </w:rPr>
              <w:t>rage</w:t>
            </w:r>
            <w:r w:rsidRPr="004F4BF6">
              <w:rPr>
                <w:rFonts w:cs="Arial"/>
                <w:sz w:val="16"/>
                <w:szCs w:val="16"/>
              </w:rPr>
              <w:t xml:space="preserve"> no. of unique views per press release was 4,176 </w:t>
            </w:r>
          </w:p>
          <w:p w:rsidR="00FD7155" w:rsidRDefault="00FD7155" w:rsidP="00FD7155">
            <w:pPr>
              <w:rPr>
                <w:rFonts w:cs="Arial"/>
                <w:sz w:val="16"/>
                <w:szCs w:val="16"/>
              </w:rPr>
            </w:pPr>
            <w:r>
              <w:rPr>
                <w:rFonts w:cs="Arial"/>
                <w:sz w:val="16"/>
                <w:szCs w:val="16"/>
              </w:rPr>
              <w:t xml:space="preserve"> </w:t>
            </w:r>
            <w:r w:rsidRPr="004F4BF6">
              <w:rPr>
                <w:rFonts w:cs="Arial"/>
                <w:sz w:val="16"/>
                <w:szCs w:val="16"/>
              </w:rPr>
              <w:t xml:space="preserve">(75,173 views for 18 releases issued) </w:t>
            </w:r>
            <w:r>
              <w:rPr>
                <w:rFonts w:cs="Arial"/>
                <w:sz w:val="16"/>
                <w:szCs w:val="16"/>
              </w:rPr>
              <w:t>(-24.15%)</w:t>
            </w:r>
          </w:p>
          <w:p w:rsidR="00FD7155" w:rsidRDefault="00FD7155" w:rsidP="00FD7155">
            <w:pPr>
              <w:rPr>
                <w:rFonts w:cs="Arial"/>
                <w:sz w:val="16"/>
                <w:szCs w:val="16"/>
              </w:rPr>
            </w:pPr>
          </w:p>
          <w:p w:rsidR="00FD7155" w:rsidRPr="004F4BF6" w:rsidRDefault="00FD7155" w:rsidP="00FD7155">
            <w:pPr>
              <w:rPr>
                <w:rFonts w:cs="Arial"/>
                <w:sz w:val="16"/>
                <w:szCs w:val="16"/>
              </w:rPr>
            </w:pPr>
            <w:r w:rsidRPr="004F4BF6">
              <w:rPr>
                <w:rFonts w:cs="Arial"/>
                <w:sz w:val="16"/>
                <w:szCs w:val="16"/>
              </w:rPr>
              <w:t xml:space="preserve">(ii) </w:t>
            </w:r>
            <w:proofErr w:type="gramStart"/>
            <w:r w:rsidRPr="004F4BF6">
              <w:rPr>
                <w:rFonts w:cs="Arial"/>
                <w:sz w:val="16"/>
                <w:szCs w:val="16"/>
              </w:rPr>
              <w:t>ave</w:t>
            </w:r>
            <w:r>
              <w:rPr>
                <w:rFonts w:cs="Arial"/>
                <w:sz w:val="16"/>
                <w:szCs w:val="16"/>
              </w:rPr>
              <w:t>rage</w:t>
            </w:r>
            <w:proofErr w:type="gramEnd"/>
            <w:r w:rsidRPr="004F4BF6">
              <w:rPr>
                <w:rFonts w:cs="Arial"/>
                <w:sz w:val="16"/>
                <w:szCs w:val="16"/>
              </w:rPr>
              <w:t xml:space="preserve"> views per video was 8,</w:t>
            </w:r>
            <w:r>
              <w:rPr>
                <w:rFonts w:cs="Arial"/>
                <w:sz w:val="16"/>
                <w:szCs w:val="16"/>
              </w:rPr>
              <w:t>864</w:t>
            </w:r>
            <w:r w:rsidRPr="004F4BF6">
              <w:rPr>
                <w:rFonts w:cs="Arial"/>
                <w:sz w:val="16"/>
                <w:szCs w:val="16"/>
              </w:rPr>
              <w:t xml:space="preserve"> </w:t>
            </w:r>
            <w:r>
              <w:rPr>
                <w:rFonts w:cs="Arial"/>
                <w:sz w:val="16"/>
                <w:szCs w:val="16"/>
              </w:rPr>
              <w:t xml:space="preserve"> </w:t>
            </w:r>
            <w:r w:rsidRPr="004F4BF6">
              <w:rPr>
                <w:rFonts w:cs="Arial"/>
                <w:sz w:val="16"/>
                <w:szCs w:val="16"/>
              </w:rPr>
              <w:t xml:space="preserve">(2,730,260 for </w:t>
            </w:r>
            <w:r>
              <w:rPr>
                <w:rFonts w:cs="Arial"/>
                <w:sz w:val="16"/>
                <w:szCs w:val="16"/>
              </w:rPr>
              <w:t>308</w:t>
            </w:r>
            <w:r w:rsidRPr="004F4BF6">
              <w:rPr>
                <w:rFonts w:cs="Arial"/>
                <w:sz w:val="16"/>
                <w:szCs w:val="16"/>
              </w:rPr>
              <w:t xml:space="preserve"> videos)</w:t>
            </w:r>
            <w:r>
              <w:rPr>
                <w:rFonts w:cs="Arial"/>
                <w:sz w:val="16"/>
                <w:szCs w:val="16"/>
              </w:rPr>
              <w:t xml:space="preserve"> (-46%)</w:t>
            </w:r>
          </w:p>
          <w:p w:rsidR="00FD7155" w:rsidRDefault="00FD7155" w:rsidP="00FD7155">
            <w:pPr>
              <w:rPr>
                <w:rFonts w:cs="Arial"/>
                <w:sz w:val="16"/>
                <w:szCs w:val="16"/>
              </w:rPr>
            </w:pPr>
          </w:p>
          <w:p w:rsidR="00FD7155" w:rsidRDefault="00FD7155" w:rsidP="00FD7155">
            <w:pPr>
              <w:rPr>
                <w:rFonts w:cs="Arial"/>
                <w:sz w:val="16"/>
                <w:szCs w:val="16"/>
              </w:rPr>
            </w:pPr>
          </w:p>
          <w:p w:rsidR="00FD7155" w:rsidRDefault="00FD7155" w:rsidP="00FD7155">
            <w:pPr>
              <w:rPr>
                <w:rFonts w:cs="Arial"/>
                <w:sz w:val="16"/>
                <w:szCs w:val="16"/>
              </w:rPr>
            </w:pPr>
          </w:p>
          <w:p w:rsidR="00FD7155" w:rsidRPr="008A2422" w:rsidRDefault="00FD7155" w:rsidP="00FD7155">
            <w:pPr>
              <w:rPr>
                <w:rFonts w:cs="Arial"/>
                <w:sz w:val="16"/>
                <w:szCs w:val="16"/>
                <w:highlight w:val="yellow"/>
              </w:rPr>
            </w:pPr>
            <w:r w:rsidRPr="004F4BF6">
              <w:rPr>
                <w:rFonts w:cs="Arial"/>
                <w:sz w:val="16"/>
                <w:szCs w:val="16"/>
              </w:rPr>
              <w:t>(iii) 1,449,204 additional photo views on Flickr</w:t>
            </w:r>
            <w:r>
              <w:rPr>
                <w:rFonts w:cs="Arial"/>
                <w:sz w:val="16"/>
                <w:szCs w:val="16"/>
              </w:rPr>
              <w:t xml:space="preserve"> (+61%)</w:t>
            </w:r>
          </w:p>
        </w:tc>
        <w:tc>
          <w:tcPr>
            <w:tcW w:w="518" w:type="pct"/>
            <w:tcMar>
              <w:top w:w="110" w:type="dxa"/>
            </w:tcMar>
          </w:tcPr>
          <w:p w:rsidR="00FD7155" w:rsidRDefault="00FD7155" w:rsidP="00FD7155">
            <w:pPr>
              <w:keepNext/>
              <w:keepLines/>
              <w:jc w:val="center"/>
              <w:rPr>
                <w:rFonts w:cs="Arial"/>
                <w:b/>
                <w:bCs/>
                <w:color w:val="FF0000"/>
                <w:sz w:val="16"/>
                <w:szCs w:val="16"/>
              </w:rPr>
            </w:pPr>
            <w:r w:rsidRPr="004F4BF6">
              <w:rPr>
                <w:rFonts w:cs="Arial"/>
                <w:b/>
                <w:bCs/>
                <w:color w:val="FF0000"/>
                <w:sz w:val="16"/>
                <w:szCs w:val="16"/>
              </w:rPr>
              <w:t xml:space="preserve">Not </w:t>
            </w:r>
            <w:r>
              <w:rPr>
                <w:rFonts w:cs="Arial"/>
                <w:b/>
                <w:bCs/>
                <w:color w:val="FF0000"/>
                <w:sz w:val="16"/>
                <w:szCs w:val="16"/>
              </w:rPr>
              <w:br/>
            </w:r>
            <w:r w:rsidRPr="004F4BF6">
              <w:rPr>
                <w:rFonts w:cs="Arial"/>
                <w:b/>
                <w:bCs/>
                <w:color w:val="FF0000"/>
                <w:sz w:val="16"/>
                <w:szCs w:val="16"/>
              </w:rPr>
              <w:t>on track</w:t>
            </w:r>
          </w:p>
          <w:p w:rsidR="00FD7155" w:rsidRDefault="00FD7155" w:rsidP="00FD7155">
            <w:pPr>
              <w:keepNext/>
              <w:keepLines/>
              <w:jc w:val="center"/>
              <w:rPr>
                <w:rFonts w:cs="Arial"/>
                <w:b/>
                <w:bCs/>
                <w:color w:val="FF0000"/>
                <w:sz w:val="16"/>
                <w:szCs w:val="16"/>
              </w:rPr>
            </w:pPr>
          </w:p>
          <w:p w:rsidR="00FD7155" w:rsidRDefault="00FD7155" w:rsidP="00FD7155">
            <w:pPr>
              <w:keepNext/>
              <w:keepLines/>
              <w:jc w:val="center"/>
              <w:rPr>
                <w:rFonts w:cs="Arial"/>
                <w:b/>
                <w:bCs/>
                <w:color w:val="FF0000"/>
                <w:sz w:val="16"/>
                <w:szCs w:val="16"/>
              </w:rPr>
            </w:pPr>
          </w:p>
          <w:p w:rsidR="00FD7155" w:rsidRDefault="00FD7155" w:rsidP="00FD7155">
            <w:pPr>
              <w:keepNext/>
              <w:keepLines/>
              <w:jc w:val="center"/>
              <w:rPr>
                <w:rFonts w:cs="Arial"/>
                <w:b/>
                <w:bCs/>
                <w:color w:val="FF0000"/>
                <w:sz w:val="16"/>
                <w:szCs w:val="16"/>
              </w:rPr>
            </w:pPr>
          </w:p>
          <w:p w:rsidR="00FD7155" w:rsidRDefault="00FD7155" w:rsidP="00FD7155">
            <w:pPr>
              <w:keepNext/>
              <w:keepLines/>
              <w:jc w:val="center"/>
              <w:rPr>
                <w:rFonts w:cs="Arial"/>
                <w:b/>
                <w:bCs/>
                <w:color w:val="FF0000"/>
                <w:sz w:val="16"/>
                <w:szCs w:val="16"/>
              </w:rPr>
            </w:pPr>
            <w:r w:rsidRPr="004F4BF6">
              <w:rPr>
                <w:rFonts w:cs="Arial"/>
                <w:b/>
                <w:bCs/>
                <w:color w:val="FF0000"/>
                <w:sz w:val="16"/>
                <w:szCs w:val="16"/>
              </w:rPr>
              <w:t xml:space="preserve">Not </w:t>
            </w:r>
            <w:r>
              <w:rPr>
                <w:rFonts w:cs="Arial"/>
                <w:b/>
                <w:bCs/>
                <w:color w:val="FF0000"/>
                <w:sz w:val="16"/>
                <w:szCs w:val="16"/>
              </w:rPr>
              <w:br/>
            </w:r>
            <w:r w:rsidRPr="004F4BF6">
              <w:rPr>
                <w:rFonts w:cs="Arial"/>
                <w:b/>
                <w:bCs/>
                <w:color w:val="FF0000"/>
                <w:sz w:val="16"/>
                <w:szCs w:val="16"/>
              </w:rPr>
              <w:t>on track</w:t>
            </w:r>
          </w:p>
          <w:p w:rsidR="00FD7155" w:rsidRDefault="00FD7155" w:rsidP="00FD7155">
            <w:pPr>
              <w:keepNext/>
              <w:keepLines/>
              <w:jc w:val="center"/>
              <w:rPr>
                <w:rFonts w:cs="Arial"/>
                <w:b/>
                <w:bCs/>
                <w:color w:val="FF0000"/>
                <w:sz w:val="16"/>
                <w:szCs w:val="16"/>
              </w:rPr>
            </w:pPr>
          </w:p>
          <w:p w:rsidR="00FD7155" w:rsidRDefault="00FD7155" w:rsidP="00FD7155">
            <w:pPr>
              <w:keepNext/>
              <w:keepLines/>
              <w:jc w:val="center"/>
              <w:rPr>
                <w:rFonts w:cs="Arial"/>
                <w:b/>
                <w:bCs/>
                <w:color w:val="FF0000"/>
                <w:sz w:val="16"/>
                <w:szCs w:val="16"/>
              </w:rPr>
            </w:pPr>
          </w:p>
          <w:p w:rsidR="00FD7155" w:rsidRDefault="00FD7155" w:rsidP="00FD7155">
            <w:pPr>
              <w:keepNext/>
              <w:keepLines/>
              <w:jc w:val="center"/>
              <w:rPr>
                <w:rFonts w:cs="Arial"/>
                <w:b/>
                <w:bCs/>
                <w:color w:val="FF0000"/>
                <w:sz w:val="16"/>
                <w:szCs w:val="16"/>
              </w:rPr>
            </w:pPr>
          </w:p>
          <w:p w:rsidR="00FD7155" w:rsidRDefault="00FD7155" w:rsidP="00FD7155">
            <w:pPr>
              <w:keepNext/>
              <w:keepLines/>
              <w:jc w:val="center"/>
              <w:rPr>
                <w:rFonts w:cs="Arial"/>
                <w:b/>
                <w:bCs/>
                <w:color w:val="FF0000"/>
                <w:sz w:val="16"/>
                <w:szCs w:val="16"/>
              </w:rPr>
            </w:pPr>
          </w:p>
          <w:p w:rsidR="00FD7155" w:rsidRDefault="00FD7155" w:rsidP="00FD7155">
            <w:pPr>
              <w:keepNext/>
              <w:keepLines/>
              <w:jc w:val="center"/>
              <w:rPr>
                <w:rFonts w:cs="Arial"/>
                <w:b/>
                <w:bCs/>
                <w:color w:val="FF0000"/>
                <w:sz w:val="16"/>
                <w:szCs w:val="16"/>
              </w:rPr>
            </w:pPr>
          </w:p>
          <w:p w:rsidR="00FD7155" w:rsidRPr="004F4BF6" w:rsidRDefault="00FD7155" w:rsidP="00FD7155">
            <w:pPr>
              <w:keepNext/>
              <w:keepLines/>
              <w:jc w:val="center"/>
              <w:rPr>
                <w:rFonts w:cs="Arial"/>
                <w:b/>
                <w:color w:val="FF0000"/>
                <w:sz w:val="16"/>
                <w:szCs w:val="16"/>
              </w:rPr>
            </w:pPr>
            <w:r>
              <w:rPr>
                <w:rFonts w:cs="Arial"/>
                <w:b/>
                <w:bCs/>
                <w:color w:val="00B050"/>
                <w:sz w:val="16"/>
                <w:szCs w:val="16"/>
              </w:rPr>
              <w:t>On track</w:t>
            </w:r>
          </w:p>
        </w:tc>
      </w:tr>
      <w:tr w:rsidR="00FD7155" w:rsidTr="00C52366">
        <w:trPr>
          <w:trHeight w:val="1874"/>
        </w:trPr>
        <w:tc>
          <w:tcPr>
            <w:tcW w:w="1086" w:type="pct"/>
          </w:tcPr>
          <w:p w:rsidR="00FD7155" w:rsidRPr="004354B8" w:rsidRDefault="00FD7155" w:rsidP="00FD7155">
            <w:pPr>
              <w:rPr>
                <w:rFonts w:cs="Arial"/>
                <w:sz w:val="16"/>
                <w:szCs w:val="16"/>
              </w:rPr>
            </w:pPr>
            <w:r w:rsidRPr="00D46149">
              <w:rPr>
                <w:rFonts w:cs="Arial"/>
                <w:sz w:val="16"/>
                <w:szCs w:val="16"/>
              </w:rPr>
              <w:t>% increase in global participation in World IP Day via Facebook page (total reach of campaign)</w:t>
            </w:r>
          </w:p>
        </w:tc>
        <w:tc>
          <w:tcPr>
            <w:tcW w:w="1415" w:type="pct"/>
            <w:shd w:val="clear" w:color="auto" w:fill="auto"/>
          </w:tcPr>
          <w:p w:rsidR="00FD7155" w:rsidRDefault="00FD7155" w:rsidP="00FD7155">
            <w:pPr>
              <w:rPr>
                <w:rFonts w:cs="Arial"/>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sidRPr="00D46149">
              <w:rPr>
                <w:rFonts w:cs="Arial"/>
                <w:color w:val="002060"/>
                <w:sz w:val="16"/>
                <w:szCs w:val="16"/>
              </w:rPr>
              <w:t>414,121 people saw World IP Day content through our 2013 Facebook campaign (cumulative reach [constant])</w:t>
            </w:r>
            <w:r w:rsidRPr="0027745B">
              <w:rPr>
                <w:rFonts w:cs="Arial"/>
                <w:i/>
                <w:color w:val="002060"/>
                <w:sz w:val="16"/>
                <w:szCs w:val="16"/>
              </w:rPr>
              <w:t xml:space="preserve"> </w:t>
            </w:r>
          </w:p>
          <w:p w:rsidR="00FD7155" w:rsidRPr="000D5D96" w:rsidRDefault="00FD7155" w:rsidP="00FD7155">
            <w:pPr>
              <w:rPr>
                <w:rFonts w:cs="Arial"/>
                <w:i/>
                <w:color w:val="002060"/>
                <w:sz w:val="8"/>
                <w:szCs w:val="8"/>
              </w:rPr>
            </w:pPr>
          </w:p>
          <w:p w:rsidR="00FD7155" w:rsidRPr="004D1BF4" w:rsidRDefault="00FD7155" w:rsidP="00FD7155">
            <w:pPr>
              <w:rPr>
                <w:rFonts w:cs="Arial"/>
                <w:sz w:val="16"/>
                <w:szCs w:val="16"/>
              </w:rPr>
            </w:pPr>
            <w:r>
              <w:rPr>
                <w:rFonts w:cs="Arial"/>
                <w:i/>
                <w:sz w:val="16"/>
                <w:szCs w:val="16"/>
              </w:rPr>
              <w:t>Original Baseline P&amp;B 2014/15</w:t>
            </w:r>
            <w:r w:rsidRPr="0027745B">
              <w:rPr>
                <w:rFonts w:cs="Arial"/>
                <w:i/>
                <w:sz w:val="16"/>
                <w:szCs w:val="16"/>
              </w:rPr>
              <w:t>:</w:t>
            </w:r>
            <w:r>
              <w:rPr>
                <w:rFonts w:cs="Arial"/>
                <w:i/>
                <w:iCs/>
                <w:sz w:val="16"/>
                <w:szCs w:val="16"/>
              </w:rPr>
              <w:t xml:space="preserve">  </w:t>
            </w:r>
            <w:r w:rsidRPr="00D46149">
              <w:rPr>
                <w:rFonts w:cs="Arial"/>
                <w:iCs/>
                <w:sz w:val="16"/>
                <w:szCs w:val="16"/>
              </w:rPr>
              <w:t>379,600 people saw World IP Day content through our 2012 Facebook campaign</w:t>
            </w:r>
          </w:p>
        </w:tc>
        <w:tc>
          <w:tcPr>
            <w:tcW w:w="814" w:type="pct"/>
            <w:tcMar>
              <w:top w:w="110" w:type="dxa"/>
            </w:tcMar>
          </w:tcPr>
          <w:p w:rsidR="00FD7155" w:rsidRPr="0027745B" w:rsidRDefault="00FD7155" w:rsidP="00FD7155">
            <w:pPr>
              <w:rPr>
                <w:rFonts w:cs="Arial"/>
                <w:sz w:val="16"/>
                <w:szCs w:val="16"/>
              </w:rPr>
            </w:pPr>
            <w:r w:rsidRPr="00D46149">
              <w:rPr>
                <w:rFonts w:cs="Arial"/>
                <w:sz w:val="16"/>
                <w:szCs w:val="16"/>
              </w:rPr>
              <w:t>30% increase in number of people who see our World IP Day Facebook content (total reach)</w:t>
            </w:r>
          </w:p>
        </w:tc>
        <w:tc>
          <w:tcPr>
            <w:tcW w:w="1167" w:type="pct"/>
            <w:shd w:val="clear" w:color="auto" w:fill="FFFFFF"/>
            <w:tcMar>
              <w:top w:w="110" w:type="dxa"/>
            </w:tcMar>
          </w:tcPr>
          <w:p w:rsidR="00FD7155" w:rsidRPr="008A2422" w:rsidRDefault="00FD7155" w:rsidP="00FD7155">
            <w:pPr>
              <w:rPr>
                <w:rFonts w:cs="Arial"/>
                <w:b/>
                <w:bCs/>
                <w:sz w:val="16"/>
                <w:szCs w:val="16"/>
                <w:highlight w:val="yellow"/>
              </w:rPr>
            </w:pPr>
            <w:r w:rsidRPr="00D46149">
              <w:rPr>
                <w:rFonts w:cs="Arial"/>
                <w:sz w:val="16"/>
                <w:szCs w:val="16"/>
              </w:rPr>
              <w:t>563,816 (+36%) people saw World IP Day content through our 2014 Facebook campaign</w:t>
            </w:r>
            <w:r>
              <w:rPr>
                <w:rFonts w:cs="Arial"/>
                <w:sz w:val="16"/>
                <w:szCs w:val="16"/>
              </w:rPr>
              <w:t>.</w:t>
            </w:r>
          </w:p>
        </w:tc>
        <w:tc>
          <w:tcPr>
            <w:tcW w:w="518" w:type="pct"/>
            <w:tcMar>
              <w:top w:w="110" w:type="dxa"/>
            </w:tcMar>
          </w:tcPr>
          <w:p w:rsidR="00FD7155" w:rsidRPr="005E6AFC" w:rsidRDefault="00FD7155" w:rsidP="00FD7155">
            <w:pPr>
              <w:keepNext/>
              <w:keepLines/>
              <w:jc w:val="center"/>
              <w:rPr>
                <w:rFonts w:cs="Arial"/>
                <w:color w:val="808080"/>
                <w:sz w:val="16"/>
                <w:szCs w:val="16"/>
              </w:rPr>
            </w:pPr>
            <w:r>
              <w:rPr>
                <w:rFonts w:cs="Arial"/>
                <w:b/>
                <w:bCs/>
                <w:color w:val="00B050"/>
                <w:sz w:val="16"/>
                <w:szCs w:val="16"/>
              </w:rPr>
              <w:t>On track</w:t>
            </w:r>
          </w:p>
        </w:tc>
      </w:tr>
      <w:tr w:rsidR="00FD7155" w:rsidTr="00C52366">
        <w:tc>
          <w:tcPr>
            <w:tcW w:w="1086" w:type="pct"/>
          </w:tcPr>
          <w:p w:rsidR="00FD7155" w:rsidRPr="004354B8" w:rsidRDefault="00FD7155" w:rsidP="00FD7155">
            <w:pPr>
              <w:rPr>
                <w:rFonts w:cs="Arial"/>
                <w:sz w:val="16"/>
                <w:szCs w:val="16"/>
              </w:rPr>
            </w:pPr>
            <w:r w:rsidRPr="00D46149">
              <w:rPr>
                <w:rFonts w:cs="Arial"/>
                <w:sz w:val="16"/>
                <w:szCs w:val="16"/>
              </w:rPr>
              <w:t>% increase in views of online publications</w:t>
            </w:r>
          </w:p>
        </w:tc>
        <w:tc>
          <w:tcPr>
            <w:tcW w:w="1415" w:type="pct"/>
            <w:shd w:val="clear" w:color="auto" w:fill="auto"/>
          </w:tcPr>
          <w:p w:rsidR="00FD7155" w:rsidRPr="00334EB8" w:rsidRDefault="00FD7155" w:rsidP="00FD7155">
            <w:pPr>
              <w:rPr>
                <w:rFonts w:cs="Arial"/>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sidRPr="00334EB8">
              <w:rPr>
                <w:rFonts w:cs="Arial"/>
                <w:color w:val="002060"/>
                <w:sz w:val="16"/>
                <w:szCs w:val="16"/>
              </w:rPr>
              <w:t>(</w:t>
            </w:r>
            <w:proofErr w:type="spellStart"/>
            <w:r w:rsidRPr="00334EB8">
              <w:rPr>
                <w:rFonts w:cs="Arial"/>
                <w:color w:val="002060"/>
                <w:sz w:val="16"/>
                <w:szCs w:val="16"/>
              </w:rPr>
              <w:t>i</w:t>
            </w:r>
            <w:proofErr w:type="spellEnd"/>
            <w:r w:rsidRPr="00334EB8">
              <w:rPr>
                <w:rFonts w:cs="Arial"/>
                <w:color w:val="002060"/>
                <w:sz w:val="16"/>
                <w:szCs w:val="16"/>
              </w:rPr>
              <w:t>) 3,940,490 downloads of free publications in 2013 (all languages)</w:t>
            </w:r>
          </w:p>
          <w:p w:rsidR="00FD7155" w:rsidRPr="00334EB8" w:rsidRDefault="00FD7155" w:rsidP="00FD7155">
            <w:pPr>
              <w:rPr>
                <w:rFonts w:cs="Arial"/>
                <w:color w:val="002060"/>
                <w:sz w:val="16"/>
                <w:szCs w:val="16"/>
              </w:rPr>
            </w:pPr>
            <w:r w:rsidRPr="00334EB8">
              <w:rPr>
                <w:rFonts w:cs="Arial"/>
                <w:color w:val="002060"/>
                <w:sz w:val="16"/>
                <w:szCs w:val="16"/>
              </w:rPr>
              <w:t>(ii) 450,499 unique views of the WIPO Magazine site in 2013 (all languages)</w:t>
            </w:r>
          </w:p>
          <w:p w:rsidR="00FD7155" w:rsidRPr="000D5D96" w:rsidRDefault="00FD7155" w:rsidP="00FD7155">
            <w:pPr>
              <w:rPr>
                <w:rFonts w:cs="Arial"/>
                <w:i/>
                <w:color w:val="002060"/>
                <w:sz w:val="8"/>
                <w:szCs w:val="8"/>
              </w:rPr>
            </w:pPr>
          </w:p>
          <w:p w:rsidR="00FD7155" w:rsidRPr="00334EB8" w:rsidRDefault="00FD7155" w:rsidP="00FD7155">
            <w:pPr>
              <w:rPr>
                <w:rFonts w:cs="Arial"/>
                <w:iCs/>
                <w:sz w:val="16"/>
                <w:szCs w:val="16"/>
              </w:rPr>
            </w:pPr>
            <w:r>
              <w:rPr>
                <w:rFonts w:cs="Arial"/>
                <w:i/>
                <w:sz w:val="16"/>
                <w:szCs w:val="16"/>
              </w:rPr>
              <w:t>Original Baseline P&amp;B 2014/15</w:t>
            </w:r>
            <w:r w:rsidRPr="0027745B">
              <w:rPr>
                <w:rFonts w:cs="Arial"/>
                <w:i/>
                <w:sz w:val="16"/>
                <w:szCs w:val="16"/>
              </w:rPr>
              <w:t>:</w:t>
            </w:r>
            <w:r>
              <w:rPr>
                <w:rFonts w:cs="Arial"/>
                <w:i/>
                <w:iCs/>
                <w:sz w:val="16"/>
                <w:szCs w:val="16"/>
              </w:rPr>
              <w:t xml:space="preserve">  </w:t>
            </w:r>
            <w:r w:rsidRPr="00334EB8">
              <w:rPr>
                <w:rFonts w:cs="Arial"/>
                <w:iCs/>
                <w:sz w:val="16"/>
                <w:szCs w:val="16"/>
              </w:rPr>
              <w:t>(</w:t>
            </w:r>
            <w:proofErr w:type="spellStart"/>
            <w:r w:rsidRPr="00334EB8">
              <w:rPr>
                <w:rFonts w:cs="Arial"/>
                <w:iCs/>
                <w:sz w:val="16"/>
                <w:szCs w:val="16"/>
              </w:rPr>
              <w:t>i</w:t>
            </w:r>
            <w:proofErr w:type="spellEnd"/>
            <w:r w:rsidRPr="00334EB8">
              <w:rPr>
                <w:rFonts w:cs="Arial"/>
                <w:iCs/>
                <w:sz w:val="16"/>
                <w:szCs w:val="16"/>
              </w:rPr>
              <w:t xml:space="preserve">) </w:t>
            </w:r>
            <w:proofErr w:type="spellStart"/>
            <w:r w:rsidRPr="00334EB8">
              <w:rPr>
                <w:rFonts w:cs="Arial"/>
                <w:iCs/>
                <w:sz w:val="16"/>
                <w:szCs w:val="16"/>
              </w:rPr>
              <w:t>tbd</w:t>
            </w:r>
            <w:proofErr w:type="spellEnd"/>
            <w:r w:rsidRPr="00334EB8">
              <w:rPr>
                <w:rFonts w:cs="Arial"/>
                <w:iCs/>
                <w:sz w:val="16"/>
                <w:szCs w:val="16"/>
              </w:rPr>
              <w:t xml:space="preserve"> (comparable statistics not available for 2012)</w:t>
            </w:r>
          </w:p>
          <w:p w:rsidR="00FD7155" w:rsidRPr="00334EB8" w:rsidRDefault="00FD7155" w:rsidP="00FD7155">
            <w:pPr>
              <w:rPr>
                <w:rFonts w:cs="Arial"/>
                <w:iCs/>
                <w:sz w:val="16"/>
                <w:szCs w:val="16"/>
              </w:rPr>
            </w:pPr>
          </w:p>
          <w:p w:rsidR="00FD7155" w:rsidRPr="004D1BF4" w:rsidRDefault="00FD7155" w:rsidP="00FD7155">
            <w:pPr>
              <w:rPr>
                <w:rFonts w:cs="Arial"/>
                <w:sz w:val="16"/>
                <w:szCs w:val="16"/>
              </w:rPr>
            </w:pPr>
            <w:r w:rsidRPr="00334EB8">
              <w:rPr>
                <w:rFonts w:cs="Arial"/>
                <w:iCs/>
                <w:sz w:val="16"/>
                <w:szCs w:val="16"/>
              </w:rPr>
              <w:t>(ii) 409,265 unique views of the WIPO Magazine site in 2012</w:t>
            </w:r>
          </w:p>
        </w:tc>
        <w:tc>
          <w:tcPr>
            <w:tcW w:w="814" w:type="pct"/>
            <w:tcMar>
              <w:top w:w="110" w:type="dxa"/>
            </w:tcMar>
          </w:tcPr>
          <w:p w:rsidR="00FD7155" w:rsidRPr="00334EB8" w:rsidRDefault="00FD7155" w:rsidP="00FD7155">
            <w:pPr>
              <w:rPr>
                <w:rFonts w:cs="Arial"/>
                <w:sz w:val="16"/>
                <w:szCs w:val="16"/>
              </w:rPr>
            </w:pPr>
            <w:r w:rsidRPr="00334EB8">
              <w:rPr>
                <w:rFonts w:cs="Arial"/>
                <w:sz w:val="16"/>
                <w:szCs w:val="16"/>
              </w:rPr>
              <w:t>(</w:t>
            </w:r>
            <w:proofErr w:type="spellStart"/>
            <w:r w:rsidRPr="00334EB8">
              <w:rPr>
                <w:rFonts w:cs="Arial"/>
                <w:sz w:val="16"/>
                <w:szCs w:val="16"/>
              </w:rPr>
              <w:t>i</w:t>
            </w:r>
            <w:proofErr w:type="spellEnd"/>
            <w:r w:rsidRPr="00334EB8">
              <w:rPr>
                <w:rFonts w:cs="Arial"/>
                <w:sz w:val="16"/>
                <w:szCs w:val="16"/>
              </w:rPr>
              <w:t>) 10% increase in total publications views online</w:t>
            </w:r>
          </w:p>
          <w:p w:rsidR="00FD7155" w:rsidRPr="00334EB8" w:rsidRDefault="00FD7155" w:rsidP="00FD7155">
            <w:pPr>
              <w:rPr>
                <w:rFonts w:cs="Arial"/>
                <w:sz w:val="16"/>
                <w:szCs w:val="16"/>
              </w:rPr>
            </w:pPr>
          </w:p>
          <w:p w:rsidR="00FD7155" w:rsidRPr="0027745B" w:rsidRDefault="00FD7155" w:rsidP="00FD7155">
            <w:pPr>
              <w:rPr>
                <w:rFonts w:cs="Arial"/>
                <w:sz w:val="16"/>
                <w:szCs w:val="16"/>
              </w:rPr>
            </w:pPr>
            <w:r w:rsidRPr="00334EB8">
              <w:rPr>
                <w:rFonts w:cs="Arial"/>
                <w:sz w:val="16"/>
                <w:szCs w:val="16"/>
              </w:rPr>
              <w:t>(ii) 10% increase in views of WIPO Magazine site</w:t>
            </w:r>
          </w:p>
        </w:tc>
        <w:tc>
          <w:tcPr>
            <w:tcW w:w="1167" w:type="pct"/>
            <w:shd w:val="clear" w:color="auto" w:fill="FFFFFF"/>
            <w:tcMar>
              <w:top w:w="110" w:type="dxa"/>
            </w:tcMar>
          </w:tcPr>
          <w:p w:rsidR="00FD7155" w:rsidRDefault="00FD7155" w:rsidP="00FD7155">
            <w:pPr>
              <w:rPr>
                <w:rFonts w:cs="Arial"/>
                <w:sz w:val="16"/>
                <w:szCs w:val="16"/>
                <w:lang w:bidi="th-TH"/>
              </w:rPr>
            </w:pPr>
            <w:r>
              <w:rPr>
                <w:rFonts w:cs="Arial"/>
                <w:sz w:val="16"/>
                <w:szCs w:val="16"/>
                <w:lang w:bidi="th-TH"/>
              </w:rPr>
              <w:t xml:space="preserve">New web-based statistical tools and methodologies are being developed and tested.  Data to be available end 2015. </w:t>
            </w:r>
          </w:p>
          <w:p w:rsidR="00FD7155" w:rsidRPr="00334EB8" w:rsidRDefault="00FD7155" w:rsidP="00FD7155">
            <w:pPr>
              <w:rPr>
                <w:rFonts w:cs="Arial"/>
                <w:sz w:val="16"/>
                <w:szCs w:val="16"/>
              </w:rPr>
            </w:pPr>
          </w:p>
          <w:p w:rsidR="00FD7155" w:rsidRDefault="00FD7155" w:rsidP="00FD7155">
            <w:pPr>
              <w:rPr>
                <w:rFonts w:cs="Arial"/>
                <w:sz w:val="16"/>
                <w:szCs w:val="16"/>
                <w:lang w:bidi="th-TH"/>
              </w:rPr>
            </w:pPr>
            <w:r>
              <w:rPr>
                <w:rFonts w:cs="Arial"/>
                <w:sz w:val="16"/>
                <w:szCs w:val="16"/>
                <w:lang w:bidi="th-TH"/>
              </w:rPr>
              <w:t xml:space="preserve">New web-based statistical tools and methodologies are being developed and tested.  Data to be available end 2015. </w:t>
            </w:r>
          </w:p>
          <w:p w:rsidR="00FD7155" w:rsidRPr="008A2422" w:rsidRDefault="00FD7155" w:rsidP="00FD7155">
            <w:pPr>
              <w:rPr>
                <w:rFonts w:cs="Arial"/>
                <w:sz w:val="16"/>
                <w:szCs w:val="16"/>
                <w:highlight w:val="yellow"/>
              </w:rPr>
            </w:pPr>
          </w:p>
        </w:tc>
        <w:tc>
          <w:tcPr>
            <w:tcW w:w="518" w:type="pct"/>
            <w:tcMar>
              <w:top w:w="110" w:type="dxa"/>
            </w:tcMar>
          </w:tcPr>
          <w:p w:rsidR="00FD7155" w:rsidRPr="00845557" w:rsidRDefault="00FD7155" w:rsidP="00FD7155">
            <w:pPr>
              <w:keepNext/>
              <w:keepLines/>
              <w:jc w:val="center"/>
              <w:rPr>
                <w:rFonts w:cs="Arial"/>
                <w:b/>
                <w:bCs/>
                <w:color w:val="0070C0"/>
                <w:sz w:val="16"/>
                <w:szCs w:val="16"/>
              </w:rPr>
            </w:pPr>
            <w:r w:rsidRPr="00845557">
              <w:rPr>
                <w:rFonts w:cs="Arial"/>
                <w:b/>
                <w:bCs/>
                <w:color w:val="0070C0"/>
                <w:sz w:val="16"/>
                <w:szCs w:val="16"/>
              </w:rPr>
              <w:t>N/A 2014</w:t>
            </w:r>
          </w:p>
          <w:p w:rsidR="00FD7155" w:rsidRPr="00845557" w:rsidRDefault="00FD7155" w:rsidP="00FD7155">
            <w:pPr>
              <w:keepNext/>
              <w:keepLines/>
              <w:jc w:val="center"/>
              <w:rPr>
                <w:rFonts w:cs="Arial"/>
                <w:b/>
                <w:bCs/>
                <w:color w:val="0070C0"/>
                <w:sz w:val="16"/>
                <w:szCs w:val="16"/>
              </w:rPr>
            </w:pPr>
          </w:p>
          <w:p w:rsidR="00FD7155" w:rsidRPr="00845557" w:rsidRDefault="00FD7155" w:rsidP="00FD7155">
            <w:pPr>
              <w:keepNext/>
              <w:keepLines/>
              <w:jc w:val="center"/>
              <w:rPr>
                <w:rFonts w:cs="Arial"/>
                <w:b/>
                <w:bCs/>
                <w:color w:val="0070C0"/>
                <w:sz w:val="16"/>
                <w:szCs w:val="16"/>
              </w:rPr>
            </w:pPr>
          </w:p>
          <w:p w:rsidR="00FD7155" w:rsidRPr="00845557" w:rsidRDefault="00FD7155" w:rsidP="00FD7155">
            <w:pPr>
              <w:keepNext/>
              <w:keepLines/>
              <w:jc w:val="center"/>
              <w:rPr>
                <w:rFonts w:cs="Arial"/>
                <w:b/>
                <w:bCs/>
                <w:color w:val="0070C0"/>
                <w:sz w:val="16"/>
                <w:szCs w:val="16"/>
              </w:rPr>
            </w:pPr>
          </w:p>
          <w:p w:rsidR="00FD7155" w:rsidRPr="00845557" w:rsidRDefault="00FD7155" w:rsidP="00FD7155">
            <w:pPr>
              <w:keepNext/>
              <w:keepLines/>
              <w:jc w:val="center"/>
              <w:rPr>
                <w:rFonts w:cs="Arial"/>
                <w:b/>
                <w:bCs/>
                <w:color w:val="0070C0"/>
                <w:sz w:val="16"/>
                <w:szCs w:val="16"/>
              </w:rPr>
            </w:pPr>
          </w:p>
          <w:p w:rsidR="00917313" w:rsidRDefault="00917313" w:rsidP="00FD7155">
            <w:pPr>
              <w:keepNext/>
              <w:keepLines/>
              <w:jc w:val="center"/>
              <w:rPr>
                <w:rFonts w:cs="Arial"/>
                <w:b/>
                <w:bCs/>
                <w:color w:val="0070C0"/>
                <w:sz w:val="16"/>
                <w:szCs w:val="16"/>
              </w:rPr>
            </w:pPr>
          </w:p>
          <w:p w:rsidR="00FD7155" w:rsidRPr="00334EB8" w:rsidRDefault="00FD7155" w:rsidP="00FD7155">
            <w:pPr>
              <w:keepNext/>
              <w:keepLines/>
              <w:jc w:val="center"/>
              <w:rPr>
                <w:rFonts w:cs="Arial"/>
                <w:b/>
                <w:sz w:val="16"/>
                <w:szCs w:val="16"/>
              </w:rPr>
            </w:pPr>
            <w:r w:rsidRPr="00845557">
              <w:rPr>
                <w:rFonts w:cs="Arial"/>
                <w:b/>
                <w:bCs/>
                <w:color w:val="0070C0"/>
                <w:sz w:val="16"/>
                <w:szCs w:val="16"/>
              </w:rPr>
              <w:t>N/A 2014</w:t>
            </w:r>
          </w:p>
        </w:tc>
      </w:tr>
      <w:tr w:rsidR="00FD7155" w:rsidTr="00C52366">
        <w:tc>
          <w:tcPr>
            <w:tcW w:w="1086" w:type="pct"/>
            <w:vAlign w:val="center"/>
          </w:tcPr>
          <w:p w:rsidR="00FD7155" w:rsidRPr="006475C7" w:rsidRDefault="00FD7155" w:rsidP="00FD7155">
            <w:pPr>
              <w:rPr>
                <w:rFonts w:cs="Arial"/>
                <w:sz w:val="16"/>
                <w:szCs w:val="16"/>
              </w:rPr>
            </w:pPr>
            <w:r w:rsidRPr="006475C7">
              <w:rPr>
                <w:rFonts w:cs="Arial"/>
                <w:b/>
                <w:bCs/>
                <w:sz w:val="16"/>
                <w:szCs w:val="16"/>
              </w:rPr>
              <w:lastRenderedPageBreak/>
              <w:t>Performance Indicators</w:t>
            </w:r>
          </w:p>
        </w:tc>
        <w:tc>
          <w:tcPr>
            <w:tcW w:w="1415" w:type="pct"/>
            <w:shd w:val="clear" w:color="auto" w:fill="auto"/>
            <w:vAlign w:val="center"/>
          </w:tcPr>
          <w:p w:rsidR="00FD7155" w:rsidRPr="006475C7" w:rsidRDefault="00FD7155" w:rsidP="00FD7155">
            <w:pPr>
              <w:rPr>
                <w:rFonts w:cs="Arial"/>
                <w:b/>
                <w:bCs/>
                <w:sz w:val="16"/>
                <w:szCs w:val="16"/>
              </w:rPr>
            </w:pPr>
            <w:r w:rsidRPr="0027745B">
              <w:rPr>
                <w:rFonts w:cs="Arial"/>
                <w:b/>
                <w:bCs/>
                <w:sz w:val="16"/>
                <w:szCs w:val="16"/>
              </w:rPr>
              <w:t>Baselines</w:t>
            </w:r>
          </w:p>
        </w:tc>
        <w:tc>
          <w:tcPr>
            <w:tcW w:w="814" w:type="pct"/>
            <w:tcMar>
              <w:top w:w="110" w:type="dxa"/>
            </w:tcMar>
            <w:vAlign w:val="center"/>
          </w:tcPr>
          <w:p w:rsidR="00FD7155" w:rsidRPr="0027745B" w:rsidRDefault="00FD7155" w:rsidP="00FD7155">
            <w:pPr>
              <w:rPr>
                <w:rFonts w:cs="Arial"/>
                <w:b/>
                <w:bCs/>
                <w:sz w:val="16"/>
                <w:szCs w:val="16"/>
              </w:rPr>
            </w:pPr>
            <w:r w:rsidRPr="0027745B">
              <w:rPr>
                <w:rFonts w:cs="Arial"/>
                <w:b/>
                <w:sz w:val="16"/>
                <w:szCs w:val="16"/>
              </w:rPr>
              <w:t>Targets</w:t>
            </w:r>
          </w:p>
        </w:tc>
        <w:tc>
          <w:tcPr>
            <w:tcW w:w="1167" w:type="pct"/>
            <w:shd w:val="clear" w:color="auto" w:fill="FFFFFF"/>
            <w:tcMar>
              <w:top w:w="110" w:type="dxa"/>
            </w:tcMar>
            <w:vAlign w:val="center"/>
          </w:tcPr>
          <w:p w:rsidR="00FD7155" w:rsidRPr="006475C7" w:rsidRDefault="00FD7155" w:rsidP="00FD7155">
            <w:pPr>
              <w:rPr>
                <w:rFonts w:cs="Arial"/>
                <w:sz w:val="16"/>
                <w:szCs w:val="16"/>
              </w:rPr>
            </w:pPr>
            <w:r w:rsidRPr="006475C7">
              <w:rPr>
                <w:rFonts w:cs="Arial"/>
                <w:b/>
                <w:bCs/>
                <w:sz w:val="16"/>
                <w:szCs w:val="16"/>
              </w:rPr>
              <w:t>Performance Data</w:t>
            </w:r>
          </w:p>
        </w:tc>
        <w:tc>
          <w:tcPr>
            <w:tcW w:w="518" w:type="pct"/>
            <w:tcMar>
              <w:top w:w="110" w:type="dxa"/>
            </w:tcMar>
            <w:vAlign w:val="center"/>
          </w:tcPr>
          <w:p w:rsidR="00FD7155" w:rsidRPr="0027745B" w:rsidRDefault="00FD7155" w:rsidP="00FD7155">
            <w:pPr>
              <w:keepNext/>
              <w:keepLines/>
              <w:rPr>
                <w:rFonts w:cs="Arial"/>
                <w:b/>
                <w:bCs/>
                <w:sz w:val="16"/>
                <w:szCs w:val="16"/>
              </w:rPr>
            </w:pPr>
            <w:r w:rsidRPr="006475C7">
              <w:rPr>
                <w:rFonts w:cs="Arial"/>
                <w:b/>
                <w:bCs/>
                <w:sz w:val="16"/>
                <w:szCs w:val="16"/>
              </w:rPr>
              <w:t>TLS</w:t>
            </w:r>
          </w:p>
        </w:tc>
      </w:tr>
      <w:tr w:rsidR="00FD7155" w:rsidTr="00C52366">
        <w:tc>
          <w:tcPr>
            <w:tcW w:w="1086" w:type="pct"/>
          </w:tcPr>
          <w:p w:rsidR="00FD7155" w:rsidRPr="004354B8" w:rsidRDefault="00FD7155" w:rsidP="00FD7155">
            <w:pPr>
              <w:rPr>
                <w:rFonts w:cs="Arial"/>
                <w:sz w:val="16"/>
                <w:szCs w:val="16"/>
              </w:rPr>
            </w:pPr>
            <w:r w:rsidRPr="00870E1C">
              <w:rPr>
                <w:rFonts w:cs="Arial"/>
                <w:sz w:val="16"/>
                <w:szCs w:val="16"/>
              </w:rPr>
              <w:t>% of users satisfied with the WIPO website</w:t>
            </w:r>
          </w:p>
        </w:tc>
        <w:tc>
          <w:tcPr>
            <w:tcW w:w="1415" w:type="pct"/>
            <w:shd w:val="clear" w:color="auto" w:fill="auto"/>
          </w:tcPr>
          <w:p w:rsidR="00FD7155" w:rsidRPr="004D1BF4" w:rsidRDefault="00FD7155" w:rsidP="00FD7155">
            <w:pPr>
              <w:rPr>
                <w:rFonts w:cs="Arial"/>
                <w:sz w:val="16"/>
                <w:szCs w:val="16"/>
              </w:rPr>
            </w:pPr>
            <w:proofErr w:type="spellStart"/>
            <w:r>
              <w:rPr>
                <w:rFonts w:cs="Arial"/>
                <w:sz w:val="16"/>
                <w:szCs w:val="16"/>
              </w:rPr>
              <w:t>tbd</w:t>
            </w:r>
            <w:proofErr w:type="spellEnd"/>
          </w:p>
        </w:tc>
        <w:tc>
          <w:tcPr>
            <w:tcW w:w="814" w:type="pct"/>
            <w:tcMar>
              <w:top w:w="110" w:type="dxa"/>
            </w:tcMar>
          </w:tcPr>
          <w:p w:rsidR="00FD7155" w:rsidRPr="0027745B" w:rsidRDefault="00FD7155" w:rsidP="00FD7155">
            <w:pPr>
              <w:rPr>
                <w:rFonts w:cs="Arial"/>
                <w:sz w:val="16"/>
                <w:szCs w:val="16"/>
              </w:rPr>
            </w:pPr>
            <w:r w:rsidRPr="00870E1C">
              <w:rPr>
                <w:rFonts w:cs="Arial"/>
                <w:sz w:val="16"/>
                <w:szCs w:val="16"/>
              </w:rPr>
              <w:t>≥ 60% are satisfied</w:t>
            </w:r>
          </w:p>
        </w:tc>
        <w:tc>
          <w:tcPr>
            <w:tcW w:w="1167" w:type="pct"/>
            <w:shd w:val="clear" w:color="auto" w:fill="FFFFFF"/>
            <w:tcMar>
              <w:top w:w="110" w:type="dxa"/>
            </w:tcMar>
          </w:tcPr>
          <w:p w:rsidR="00FD7155" w:rsidRPr="00861678" w:rsidRDefault="00FD7155" w:rsidP="00FD7155">
            <w:pPr>
              <w:rPr>
                <w:rFonts w:cs="Arial"/>
                <w:sz w:val="8"/>
                <w:szCs w:val="8"/>
                <w:highlight w:val="yellow"/>
              </w:rPr>
            </w:pPr>
            <w:r w:rsidRPr="00A9202B">
              <w:rPr>
                <w:rFonts w:cs="Arial"/>
                <w:sz w:val="16"/>
                <w:szCs w:val="16"/>
              </w:rPr>
              <w:t>New web-based statistical tools and methodologies are being developed and tested.  Data to be available end 2015.</w:t>
            </w:r>
          </w:p>
        </w:tc>
        <w:tc>
          <w:tcPr>
            <w:tcW w:w="518" w:type="pct"/>
            <w:tcMar>
              <w:top w:w="110" w:type="dxa"/>
            </w:tcMar>
          </w:tcPr>
          <w:p w:rsidR="00FD7155" w:rsidRPr="00870E1C" w:rsidRDefault="00FD7155" w:rsidP="00FD7155">
            <w:pPr>
              <w:keepNext/>
              <w:keepLines/>
              <w:jc w:val="center"/>
              <w:rPr>
                <w:rFonts w:cs="Arial"/>
                <w:b/>
                <w:color w:val="808080"/>
                <w:sz w:val="16"/>
                <w:szCs w:val="16"/>
              </w:rPr>
            </w:pPr>
            <w:r w:rsidRPr="00365955">
              <w:rPr>
                <w:rFonts w:cs="Arial"/>
                <w:b/>
                <w:bCs/>
                <w:color w:val="0070C0"/>
                <w:sz w:val="16"/>
                <w:szCs w:val="16"/>
              </w:rPr>
              <w:t>N/A 2014</w:t>
            </w:r>
          </w:p>
        </w:tc>
      </w:tr>
      <w:tr w:rsidR="00FD7155" w:rsidTr="00C52366">
        <w:tc>
          <w:tcPr>
            <w:tcW w:w="1086" w:type="pct"/>
            <w:tcBorders>
              <w:bottom w:val="single" w:sz="4" w:space="0" w:color="auto"/>
            </w:tcBorders>
          </w:tcPr>
          <w:p w:rsidR="00FD7155" w:rsidRPr="004354B8" w:rsidRDefault="00FD7155" w:rsidP="00FD7155">
            <w:pPr>
              <w:rPr>
                <w:rFonts w:cs="Arial"/>
                <w:sz w:val="16"/>
                <w:szCs w:val="16"/>
              </w:rPr>
            </w:pPr>
            <w:r w:rsidRPr="00870E1C">
              <w:rPr>
                <w:rFonts w:cs="Arial"/>
                <w:sz w:val="16"/>
                <w:szCs w:val="16"/>
              </w:rPr>
              <w:t>Increased WIPO influence and engagement on social media</w:t>
            </w:r>
          </w:p>
        </w:tc>
        <w:tc>
          <w:tcPr>
            <w:tcW w:w="1415" w:type="pct"/>
            <w:tcBorders>
              <w:bottom w:val="single" w:sz="4" w:space="0" w:color="auto"/>
            </w:tcBorders>
            <w:shd w:val="clear" w:color="auto" w:fill="auto"/>
          </w:tcPr>
          <w:p w:rsidR="00FD7155" w:rsidRDefault="00FD7155" w:rsidP="00FD7155">
            <w:pPr>
              <w:rPr>
                <w:rFonts w:cs="Arial"/>
                <w:i/>
                <w:color w:val="002060"/>
                <w:sz w:val="16"/>
                <w:szCs w:val="16"/>
              </w:rPr>
            </w:pPr>
            <w:r w:rsidRPr="007F330D">
              <w:rPr>
                <w:rFonts w:cs="Arial"/>
                <w:i/>
                <w:color w:val="002060"/>
                <w:sz w:val="16"/>
                <w:szCs w:val="16"/>
              </w:rPr>
              <w:t>Updated Baseline end 201</w:t>
            </w:r>
            <w:r>
              <w:rPr>
                <w:rFonts w:cs="Arial"/>
                <w:i/>
                <w:color w:val="002060"/>
                <w:sz w:val="16"/>
                <w:szCs w:val="16"/>
              </w:rPr>
              <w:t>3</w:t>
            </w:r>
            <w:r w:rsidRPr="007F330D">
              <w:rPr>
                <w:rFonts w:cs="Arial"/>
                <w:i/>
                <w:color w:val="002060"/>
                <w:sz w:val="16"/>
                <w:szCs w:val="16"/>
              </w:rPr>
              <w:t xml:space="preserve">:  </w:t>
            </w:r>
          </w:p>
          <w:p w:rsidR="00FD7155" w:rsidRPr="003D1593" w:rsidRDefault="00FD7155" w:rsidP="00FD7155">
            <w:pPr>
              <w:rPr>
                <w:rFonts w:cs="Arial"/>
                <w:color w:val="002060"/>
                <w:sz w:val="16"/>
                <w:szCs w:val="16"/>
              </w:rPr>
            </w:pPr>
            <w:r w:rsidRPr="003D1593">
              <w:rPr>
                <w:rFonts w:cs="Arial"/>
                <w:color w:val="002060"/>
                <w:sz w:val="16"/>
                <w:szCs w:val="16"/>
              </w:rPr>
              <w:t>(</w:t>
            </w:r>
            <w:proofErr w:type="spellStart"/>
            <w:r w:rsidRPr="003D1593">
              <w:rPr>
                <w:rFonts w:cs="Arial"/>
                <w:color w:val="002060"/>
                <w:sz w:val="16"/>
                <w:szCs w:val="16"/>
              </w:rPr>
              <w:t>i</w:t>
            </w:r>
            <w:proofErr w:type="spellEnd"/>
            <w:r w:rsidRPr="003D1593">
              <w:rPr>
                <w:rFonts w:cs="Arial"/>
                <w:color w:val="002060"/>
                <w:sz w:val="16"/>
                <w:szCs w:val="16"/>
              </w:rPr>
              <w:t>) “</w:t>
            </w:r>
            <w:proofErr w:type="spellStart"/>
            <w:r w:rsidRPr="003D1593">
              <w:rPr>
                <w:rFonts w:cs="Arial"/>
                <w:color w:val="002060"/>
                <w:sz w:val="16"/>
                <w:szCs w:val="16"/>
              </w:rPr>
              <w:t>Klout</w:t>
            </w:r>
            <w:proofErr w:type="spellEnd"/>
            <w:r w:rsidRPr="003D1593">
              <w:rPr>
                <w:rFonts w:cs="Arial"/>
                <w:color w:val="002060"/>
                <w:sz w:val="16"/>
                <w:szCs w:val="16"/>
              </w:rPr>
              <w:t>”  influence score was 64 (out of 100) at the end of</w:t>
            </w:r>
            <w:r>
              <w:rPr>
                <w:rFonts w:cs="Arial"/>
                <w:color w:val="002060"/>
                <w:sz w:val="16"/>
                <w:szCs w:val="16"/>
              </w:rPr>
              <w:t> </w:t>
            </w:r>
            <w:r w:rsidRPr="003D1593">
              <w:rPr>
                <w:rFonts w:cs="Arial"/>
                <w:color w:val="002060"/>
                <w:sz w:val="16"/>
                <w:szCs w:val="16"/>
              </w:rPr>
              <w:t>2013</w:t>
            </w:r>
          </w:p>
          <w:p w:rsidR="00FD7155" w:rsidRPr="003254DE" w:rsidRDefault="00FD7155" w:rsidP="00FD7155">
            <w:pPr>
              <w:rPr>
                <w:rFonts w:cs="Arial"/>
                <w:color w:val="002060"/>
                <w:sz w:val="16"/>
                <w:szCs w:val="16"/>
              </w:rPr>
            </w:pPr>
            <w:r w:rsidRPr="002961DB">
              <w:rPr>
                <w:rFonts w:cs="Arial"/>
                <w:color w:val="002060"/>
                <w:sz w:val="16"/>
                <w:szCs w:val="16"/>
              </w:rPr>
              <w:t xml:space="preserve"> (ii) 6</w:t>
            </w:r>
            <w:r w:rsidRPr="003254DE">
              <w:rPr>
                <w:rFonts w:cs="Arial"/>
                <w:color w:val="002060"/>
                <w:sz w:val="16"/>
                <w:szCs w:val="16"/>
              </w:rPr>
              <w:t>,744 total retweets in 2013</w:t>
            </w:r>
          </w:p>
          <w:p w:rsidR="00FD7155" w:rsidRPr="005149FB" w:rsidRDefault="00FD7155" w:rsidP="00FD7155">
            <w:pPr>
              <w:rPr>
                <w:rFonts w:cs="Arial"/>
                <w:color w:val="002060"/>
                <w:sz w:val="8"/>
                <w:szCs w:val="8"/>
              </w:rPr>
            </w:pPr>
          </w:p>
          <w:p w:rsidR="00FD7155" w:rsidRDefault="00FD7155" w:rsidP="00FD7155">
            <w:pPr>
              <w:rPr>
                <w:rFonts w:cs="Arial"/>
                <w:iCs/>
                <w:sz w:val="16"/>
                <w:szCs w:val="16"/>
              </w:rPr>
            </w:pPr>
            <w:r w:rsidRPr="007F330D">
              <w:rPr>
                <w:rFonts w:cs="Arial"/>
                <w:i/>
                <w:sz w:val="16"/>
                <w:szCs w:val="16"/>
              </w:rPr>
              <w:t>Original Baseline P&amp;B 201</w:t>
            </w:r>
            <w:r>
              <w:rPr>
                <w:rFonts w:cs="Arial"/>
                <w:i/>
                <w:sz w:val="16"/>
                <w:szCs w:val="16"/>
              </w:rPr>
              <w:t>4</w:t>
            </w:r>
            <w:r w:rsidRPr="007F330D">
              <w:rPr>
                <w:rFonts w:cs="Arial"/>
                <w:i/>
                <w:sz w:val="16"/>
                <w:szCs w:val="16"/>
              </w:rPr>
              <w:t>/1</w:t>
            </w:r>
            <w:r>
              <w:rPr>
                <w:rFonts w:cs="Arial"/>
                <w:i/>
                <w:sz w:val="16"/>
                <w:szCs w:val="16"/>
              </w:rPr>
              <w:t>5</w:t>
            </w:r>
            <w:r w:rsidRPr="007F330D">
              <w:rPr>
                <w:rFonts w:cs="Arial"/>
                <w:i/>
                <w:sz w:val="16"/>
                <w:szCs w:val="16"/>
              </w:rPr>
              <w:t>:</w:t>
            </w:r>
            <w:r>
              <w:rPr>
                <w:rFonts w:cs="Arial"/>
                <w:i/>
                <w:iCs/>
                <w:sz w:val="16"/>
                <w:szCs w:val="16"/>
              </w:rPr>
              <w:t xml:space="preserve">  </w:t>
            </w:r>
          </w:p>
          <w:p w:rsidR="00FD7155" w:rsidRPr="00870E1C" w:rsidRDefault="00FD7155" w:rsidP="00FD7155">
            <w:pPr>
              <w:rPr>
                <w:rFonts w:cs="Arial"/>
                <w:sz w:val="16"/>
                <w:szCs w:val="16"/>
              </w:rPr>
            </w:pPr>
            <w:r w:rsidRPr="00870E1C">
              <w:rPr>
                <w:rFonts w:cs="Arial"/>
                <w:sz w:val="16"/>
                <w:szCs w:val="16"/>
              </w:rPr>
              <w:t>(</w:t>
            </w:r>
            <w:proofErr w:type="spellStart"/>
            <w:r w:rsidRPr="00870E1C">
              <w:rPr>
                <w:rFonts w:cs="Arial"/>
                <w:sz w:val="16"/>
                <w:szCs w:val="16"/>
              </w:rPr>
              <w:t>i</w:t>
            </w:r>
            <w:proofErr w:type="spellEnd"/>
            <w:r w:rsidRPr="00870E1C">
              <w:rPr>
                <w:rFonts w:cs="Arial"/>
                <w:sz w:val="16"/>
                <w:szCs w:val="16"/>
              </w:rPr>
              <w:t>) “</w:t>
            </w:r>
            <w:proofErr w:type="spellStart"/>
            <w:r w:rsidRPr="00870E1C">
              <w:rPr>
                <w:rFonts w:cs="Arial"/>
                <w:sz w:val="16"/>
                <w:szCs w:val="16"/>
              </w:rPr>
              <w:t>Klout</w:t>
            </w:r>
            <w:proofErr w:type="spellEnd"/>
            <w:r w:rsidRPr="00870E1C">
              <w:rPr>
                <w:rFonts w:cs="Arial"/>
                <w:sz w:val="16"/>
                <w:szCs w:val="16"/>
              </w:rPr>
              <w:t>”  influence score was 62 on Jan 1, 2013</w:t>
            </w:r>
          </w:p>
          <w:p w:rsidR="00FD7155" w:rsidRPr="004D1BF4" w:rsidRDefault="00FD7155" w:rsidP="00FD7155">
            <w:pPr>
              <w:rPr>
                <w:rFonts w:cs="Arial"/>
                <w:sz w:val="16"/>
                <w:szCs w:val="16"/>
              </w:rPr>
            </w:pPr>
            <w:r w:rsidRPr="00870E1C">
              <w:rPr>
                <w:rFonts w:cs="Arial"/>
                <w:sz w:val="16"/>
                <w:szCs w:val="16"/>
              </w:rPr>
              <w:t>(ii) 3,112 total retweets in 2012</w:t>
            </w:r>
          </w:p>
          <w:p w:rsidR="00FD7155" w:rsidRPr="004D1BF4" w:rsidRDefault="00FD7155" w:rsidP="00FD7155">
            <w:pPr>
              <w:rPr>
                <w:rFonts w:cs="Arial"/>
                <w:sz w:val="16"/>
                <w:szCs w:val="16"/>
              </w:rPr>
            </w:pPr>
          </w:p>
        </w:tc>
        <w:tc>
          <w:tcPr>
            <w:tcW w:w="814" w:type="pct"/>
            <w:tcBorders>
              <w:bottom w:val="single" w:sz="4" w:space="0" w:color="auto"/>
            </w:tcBorders>
            <w:tcMar>
              <w:top w:w="110" w:type="dxa"/>
            </w:tcMar>
          </w:tcPr>
          <w:p w:rsidR="00FD7155" w:rsidRPr="00870E1C" w:rsidRDefault="00FD7155" w:rsidP="00FD7155">
            <w:pPr>
              <w:ind w:firstLineChars="21" w:firstLine="34"/>
              <w:rPr>
                <w:rFonts w:cs="Arial"/>
                <w:sz w:val="16"/>
                <w:szCs w:val="16"/>
              </w:rPr>
            </w:pPr>
            <w:r w:rsidRPr="00870E1C">
              <w:rPr>
                <w:rFonts w:cs="Arial"/>
                <w:sz w:val="16"/>
                <w:szCs w:val="16"/>
              </w:rPr>
              <w:t>(</w:t>
            </w:r>
            <w:proofErr w:type="spellStart"/>
            <w:r w:rsidRPr="00870E1C">
              <w:rPr>
                <w:rFonts w:cs="Arial"/>
                <w:sz w:val="16"/>
                <w:szCs w:val="16"/>
              </w:rPr>
              <w:t>i</w:t>
            </w:r>
            <w:proofErr w:type="spellEnd"/>
            <w:r w:rsidRPr="00870E1C">
              <w:rPr>
                <w:rFonts w:cs="Arial"/>
                <w:sz w:val="16"/>
                <w:szCs w:val="16"/>
              </w:rPr>
              <w:t>) “</w:t>
            </w:r>
            <w:proofErr w:type="spellStart"/>
            <w:r w:rsidRPr="00870E1C">
              <w:rPr>
                <w:rFonts w:cs="Arial"/>
                <w:sz w:val="16"/>
                <w:szCs w:val="16"/>
              </w:rPr>
              <w:t>Klout</w:t>
            </w:r>
            <w:proofErr w:type="spellEnd"/>
            <w:r w:rsidRPr="00870E1C">
              <w:rPr>
                <w:rFonts w:cs="Arial"/>
                <w:sz w:val="16"/>
                <w:szCs w:val="16"/>
              </w:rPr>
              <w:t>” influence score of 73</w:t>
            </w:r>
            <w:r>
              <w:rPr>
                <w:rFonts w:cs="Arial"/>
                <w:sz w:val="16"/>
                <w:szCs w:val="16"/>
              </w:rPr>
              <w:t xml:space="preserve"> </w:t>
            </w:r>
          </w:p>
          <w:p w:rsidR="00FD7155" w:rsidRPr="00870E1C" w:rsidRDefault="00FD7155" w:rsidP="00FD7155">
            <w:pPr>
              <w:ind w:firstLineChars="21" w:firstLine="34"/>
              <w:rPr>
                <w:rFonts w:cs="Arial"/>
                <w:sz w:val="16"/>
                <w:szCs w:val="16"/>
              </w:rPr>
            </w:pPr>
            <w:r w:rsidRPr="00870E1C">
              <w:rPr>
                <w:rFonts w:cs="Arial"/>
                <w:sz w:val="16"/>
                <w:szCs w:val="16"/>
              </w:rPr>
              <w:t xml:space="preserve"> </w:t>
            </w:r>
          </w:p>
          <w:p w:rsidR="00FD7155" w:rsidRPr="0027745B" w:rsidRDefault="00FD7155" w:rsidP="00FD7155">
            <w:pPr>
              <w:ind w:firstLineChars="21" w:firstLine="34"/>
              <w:rPr>
                <w:rFonts w:cs="Arial"/>
                <w:sz w:val="16"/>
                <w:szCs w:val="16"/>
              </w:rPr>
            </w:pPr>
            <w:r w:rsidRPr="00870E1C">
              <w:rPr>
                <w:rFonts w:cs="Arial"/>
                <w:sz w:val="16"/>
                <w:szCs w:val="16"/>
              </w:rPr>
              <w:t>(ii) 30% increase in total yearly number of retweets</w:t>
            </w:r>
          </w:p>
        </w:tc>
        <w:tc>
          <w:tcPr>
            <w:tcW w:w="1167" w:type="pct"/>
            <w:tcBorders>
              <w:bottom w:val="single" w:sz="4" w:space="0" w:color="auto"/>
            </w:tcBorders>
            <w:shd w:val="clear" w:color="auto" w:fill="FFFFFF"/>
            <w:tcMar>
              <w:top w:w="110" w:type="dxa"/>
            </w:tcMar>
          </w:tcPr>
          <w:p w:rsidR="00FD7155" w:rsidRDefault="00FD7155" w:rsidP="00FD7155">
            <w:pPr>
              <w:rPr>
                <w:rFonts w:cs="Arial"/>
                <w:sz w:val="16"/>
                <w:szCs w:val="16"/>
              </w:rPr>
            </w:pPr>
            <w:r w:rsidRPr="00870E1C">
              <w:rPr>
                <w:rFonts w:cs="Arial"/>
                <w:sz w:val="16"/>
                <w:szCs w:val="16"/>
              </w:rPr>
              <w:t>(</w:t>
            </w:r>
            <w:proofErr w:type="spellStart"/>
            <w:r w:rsidRPr="00870E1C">
              <w:rPr>
                <w:rFonts w:cs="Arial"/>
                <w:sz w:val="16"/>
                <w:szCs w:val="16"/>
              </w:rPr>
              <w:t>i</w:t>
            </w:r>
            <w:proofErr w:type="spellEnd"/>
            <w:r w:rsidRPr="00870E1C">
              <w:rPr>
                <w:rFonts w:cs="Arial"/>
                <w:sz w:val="16"/>
                <w:szCs w:val="16"/>
              </w:rPr>
              <w:t>) “</w:t>
            </w:r>
            <w:proofErr w:type="spellStart"/>
            <w:r w:rsidRPr="00870E1C">
              <w:rPr>
                <w:rFonts w:cs="Arial"/>
                <w:sz w:val="16"/>
                <w:szCs w:val="16"/>
              </w:rPr>
              <w:t>Klout</w:t>
            </w:r>
            <w:proofErr w:type="spellEnd"/>
            <w:r w:rsidRPr="00870E1C">
              <w:rPr>
                <w:rFonts w:cs="Arial"/>
                <w:sz w:val="16"/>
                <w:szCs w:val="16"/>
              </w:rPr>
              <w:t xml:space="preserve">” influence score </w:t>
            </w:r>
            <w:r>
              <w:rPr>
                <w:rFonts w:cs="Arial"/>
                <w:sz w:val="16"/>
                <w:szCs w:val="16"/>
              </w:rPr>
              <w:t xml:space="preserve">of </w:t>
            </w:r>
            <w:r w:rsidRPr="00870E1C">
              <w:rPr>
                <w:rFonts w:cs="Arial"/>
                <w:sz w:val="16"/>
                <w:szCs w:val="16"/>
              </w:rPr>
              <w:t>63.65</w:t>
            </w:r>
            <w:r>
              <w:rPr>
                <w:rFonts w:cs="Arial"/>
                <w:sz w:val="16"/>
                <w:szCs w:val="16"/>
              </w:rPr>
              <w:t xml:space="preserve"> (out of 100)</w:t>
            </w:r>
            <w:r w:rsidRPr="00870E1C">
              <w:rPr>
                <w:rFonts w:cs="Arial"/>
                <w:sz w:val="16"/>
                <w:szCs w:val="16"/>
              </w:rPr>
              <w:t xml:space="preserve"> on December</w:t>
            </w:r>
            <w:r>
              <w:rPr>
                <w:rFonts w:cs="Arial"/>
                <w:sz w:val="16"/>
                <w:szCs w:val="16"/>
              </w:rPr>
              <w:t> </w:t>
            </w:r>
            <w:r w:rsidRPr="00870E1C">
              <w:rPr>
                <w:rFonts w:cs="Arial"/>
                <w:sz w:val="16"/>
                <w:szCs w:val="16"/>
              </w:rPr>
              <w:t>31, 2014</w:t>
            </w:r>
          </w:p>
          <w:p w:rsidR="00FD7155" w:rsidRPr="00870E1C" w:rsidRDefault="00FD7155" w:rsidP="00FD7155">
            <w:pPr>
              <w:rPr>
                <w:rFonts w:cs="Arial"/>
                <w:sz w:val="16"/>
                <w:szCs w:val="16"/>
              </w:rPr>
            </w:pPr>
          </w:p>
          <w:p w:rsidR="00FD7155" w:rsidRPr="008A2422" w:rsidRDefault="00FD7155" w:rsidP="00FD7155">
            <w:pPr>
              <w:rPr>
                <w:rFonts w:cs="Arial"/>
                <w:sz w:val="16"/>
                <w:szCs w:val="16"/>
                <w:highlight w:val="yellow"/>
              </w:rPr>
            </w:pPr>
            <w:r w:rsidRPr="00870E1C">
              <w:rPr>
                <w:rFonts w:cs="Arial"/>
                <w:sz w:val="16"/>
                <w:szCs w:val="16"/>
              </w:rPr>
              <w:t xml:space="preserve">(ii) 11,922 retweets in 2014 </w:t>
            </w:r>
            <w:r>
              <w:rPr>
                <w:rFonts w:cs="Arial"/>
                <w:sz w:val="16"/>
                <w:szCs w:val="16"/>
              </w:rPr>
              <w:t>(</w:t>
            </w:r>
            <w:r w:rsidRPr="00870E1C">
              <w:rPr>
                <w:rFonts w:cs="Arial"/>
                <w:sz w:val="16"/>
                <w:szCs w:val="16"/>
              </w:rPr>
              <w:t>76.8% increase</w:t>
            </w:r>
            <w:r>
              <w:rPr>
                <w:rFonts w:cs="Arial"/>
                <w:sz w:val="16"/>
                <w:szCs w:val="16"/>
              </w:rPr>
              <w:t xml:space="preserve"> in total yearly number of retweets)</w:t>
            </w:r>
            <w:r w:rsidRPr="00870E1C">
              <w:rPr>
                <w:rFonts w:cs="Arial"/>
                <w:sz w:val="16"/>
                <w:szCs w:val="16"/>
                <w:highlight w:val="yellow"/>
              </w:rPr>
              <w:t xml:space="preserve"> </w:t>
            </w:r>
          </w:p>
        </w:tc>
        <w:tc>
          <w:tcPr>
            <w:tcW w:w="518" w:type="pct"/>
            <w:tcBorders>
              <w:bottom w:val="single" w:sz="4" w:space="0" w:color="auto"/>
            </w:tcBorders>
            <w:tcMar>
              <w:top w:w="110" w:type="dxa"/>
            </w:tcMar>
          </w:tcPr>
          <w:p w:rsidR="00FD7155" w:rsidRDefault="00FD7155" w:rsidP="00FD7155">
            <w:pPr>
              <w:keepNext/>
              <w:keepLines/>
              <w:jc w:val="center"/>
              <w:rPr>
                <w:rFonts w:cs="Arial"/>
                <w:b/>
                <w:bCs/>
                <w:color w:val="00B050"/>
                <w:sz w:val="16"/>
                <w:szCs w:val="16"/>
              </w:rPr>
            </w:pPr>
            <w:r w:rsidRPr="00595532">
              <w:rPr>
                <w:rFonts w:cs="Arial"/>
                <w:b/>
                <w:bCs/>
                <w:color w:val="FF0000"/>
                <w:sz w:val="16"/>
                <w:szCs w:val="16"/>
              </w:rPr>
              <w:t xml:space="preserve">Not </w:t>
            </w:r>
            <w:r>
              <w:rPr>
                <w:rFonts w:cs="Arial"/>
                <w:b/>
                <w:bCs/>
                <w:color w:val="FF0000"/>
                <w:sz w:val="16"/>
                <w:szCs w:val="16"/>
              </w:rPr>
              <w:br/>
            </w:r>
            <w:r w:rsidRPr="00595532">
              <w:rPr>
                <w:rFonts w:cs="Arial"/>
                <w:b/>
                <w:bCs/>
                <w:color w:val="FF0000"/>
                <w:sz w:val="16"/>
                <w:szCs w:val="16"/>
              </w:rPr>
              <w:t>on track</w:t>
            </w:r>
            <w:r>
              <w:rPr>
                <w:rFonts w:cs="Arial"/>
                <w:b/>
                <w:bCs/>
                <w:color w:val="00B050"/>
                <w:sz w:val="16"/>
                <w:szCs w:val="16"/>
              </w:rPr>
              <w:t xml:space="preserve"> </w:t>
            </w:r>
          </w:p>
          <w:p w:rsidR="00FD7155" w:rsidRDefault="00FD7155" w:rsidP="00FD7155">
            <w:pPr>
              <w:keepNext/>
              <w:keepLines/>
              <w:jc w:val="center"/>
              <w:rPr>
                <w:rFonts w:cs="Arial"/>
                <w:b/>
                <w:bCs/>
                <w:color w:val="00B050"/>
                <w:sz w:val="16"/>
                <w:szCs w:val="16"/>
              </w:rPr>
            </w:pPr>
          </w:p>
          <w:p w:rsidR="00FD7155" w:rsidRDefault="00FD7155" w:rsidP="00FD7155">
            <w:pPr>
              <w:keepNext/>
              <w:keepLines/>
              <w:jc w:val="center"/>
              <w:rPr>
                <w:rFonts w:cs="Arial"/>
                <w:b/>
                <w:bCs/>
                <w:color w:val="00B050"/>
                <w:sz w:val="16"/>
                <w:szCs w:val="16"/>
              </w:rPr>
            </w:pPr>
          </w:p>
          <w:p w:rsidR="00FD7155" w:rsidRDefault="00FD7155" w:rsidP="00FD7155">
            <w:pPr>
              <w:keepNext/>
              <w:keepLines/>
              <w:jc w:val="center"/>
              <w:rPr>
                <w:rFonts w:cs="Arial"/>
                <w:b/>
                <w:bCs/>
                <w:color w:val="00B050"/>
                <w:sz w:val="16"/>
                <w:szCs w:val="16"/>
              </w:rPr>
            </w:pPr>
          </w:p>
          <w:p w:rsidR="00FD7155" w:rsidRPr="005E6AFC" w:rsidRDefault="00FD7155" w:rsidP="00FD7155">
            <w:pPr>
              <w:keepNext/>
              <w:keepLines/>
              <w:jc w:val="center"/>
              <w:rPr>
                <w:rFonts w:cs="Arial"/>
                <w:color w:val="808080"/>
                <w:sz w:val="16"/>
                <w:szCs w:val="16"/>
              </w:rPr>
            </w:pPr>
            <w:r>
              <w:rPr>
                <w:rFonts w:cs="Arial"/>
                <w:b/>
                <w:bCs/>
                <w:color w:val="00B050"/>
                <w:sz w:val="16"/>
                <w:szCs w:val="16"/>
              </w:rPr>
              <w:t>On track</w:t>
            </w:r>
          </w:p>
        </w:tc>
      </w:tr>
      <w:tr w:rsidR="00FD7155" w:rsidTr="00FD7155">
        <w:tc>
          <w:tcPr>
            <w:tcW w:w="5000" w:type="pct"/>
            <w:gridSpan w:val="5"/>
            <w:tcBorders>
              <w:top w:val="single" w:sz="4" w:space="0" w:color="auto"/>
              <w:bottom w:val="single" w:sz="4" w:space="0" w:color="auto"/>
            </w:tcBorders>
            <w:shd w:val="clear" w:color="auto" w:fill="CCFFFF"/>
            <w:vAlign w:val="center"/>
          </w:tcPr>
          <w:p w:rsidR="00FD7155" w:rsidRDefault="00FD7155" w:rsidP="00FD7155">
            <w:pPr>
              <w:keepNext/>
              <w:keepLines/>
              <w:tabs>
                <w:tab w:val="left" w:pos="1452"/>
              </w:tabs>
              <w:spacing w:before="120" w:after="120"/>
              <w:ind w:left="1452" w:hanging="1452"/>
              <w:rPr>
                <w:rFonts w:cs="Arial"/>
                <w:b/>
                <w:bCs/>
                <w:sz w:val="16"/>
                <w:szCs w:val="16"/>
              </w:rPr>
            </w:pPr>
            <w:r w:rsidRPr="00234BEF">
              <w:rPr>
                <w:rFonts w:cs="Arial"/>
                <w:b/>
                <w:bCs/>
                <w:sz w:val="16"/>
                <w:szCs w:val="16"/>
              </w:rPr>
              <w:t>Expected Result</w:t>
            </w:r>
            <w:r>
              <w:rPr>
                <w:rFonts w:cs="Arial"/>
                <w:b/>
                <w:bCs/>
                <w:sz w:val="16"/>
                <w:szCs w:val="16"/>
              </w:rPr>
              <w:t>:</w:t>
            </w:r>
            <w:r>
              <w:rPr>
                <w:rFonts w:cs="Arial"/>
                <w:b/>
                <w:bCs/>
                <w:sz w:val="16"/>
                <w:szCs w:val="16"/>
              </w:rPr>
              <w:tab/>
            </w:r>
            <w:r w:rsidRPr="00870E1C">
              <w:rPr>
                <w:rFonts w:cs="Arial"/>
                <w:bCs/>
                <w:sz w:val="16"/>
                <w:szCs w:val="16"/>
              </w:rPr>
              <w:t>VIII.2</w:t>
            </w:r>
            <w:r>
              <w:rPr>
                <w:rFonts w:cs="Arial"/>
                <w:b/>
                <w:bCs/>
                <w:sz w:val="16"/>
                <w:szCs w:val="16"/>
              </w:rPr>
              <w:t xml:space="preserve"> </w:t>
            </w:r>
            <w:r w:rsidRPr="004354B8">
              <w:rPr>
                <w:rFonts w:cs="Arial"/>
                <w:sz w:val="16"/>
                <w:szCs w:val="16"/>
              </w:rPr>
              <w:t>Improved service orientation and responsiveness to inquiries</w:t>
            </w:r>
          </w:p>
        </w:tc>
      </w:tr>
      <w:tr w:rsidR="00FD7155" w:rsidRPr="006475C7" w:rsidTr="00C52366">
        <w:tc>
          <w:tcPr>
            <w:tcW w:w="1086" w:type="pct"/>
            <w:tcBorders>
              <w:top w:val="single" w:sz="4" w:space="0" w:color="auto"/>
            </w:tcBorders>
            <w:vAlign w:val="center"/>
          </w:tcPr>
          <w:p w:rsidR="00FD7155" w:rsidRPr="006475C7" w:rsidRDefault="00FD7155" w:rsidP="00FD7155">
            <w:pPr>
              <w:rPr>
                <w:rFonts w:cs="Arial"/>
                <w:sz w:val="16"/>
                <w:szCs w:val="16"/>
              </w:rPr>
            </w:pPr>
            <w:r w:rsidRPr="006475C7">
              <w:rPr>
                <w:rFonts w:cs="Arial"/>
                <w:b/>
                <w:bCs/>
                <w:sz w:val="16"/>
                <w:szCs w:val="16"/>
              </w:rPr>
              <w:t>Performance Indicators</w:t>
            </w:r>
          </w:p>
        </w:tc>
        <w:tc>
          <w:tcPr>
            <w:tcW w:w="1415" w:type="pct"/>
            <w:tcBorders>
              <w:top w:val="single" w:sz="4" w:space="0" w:color="auto"/>
            </w:tcBorders>
            <w:shd w:val="clear" w:color="auto" w:fill="auto"/>
            <w:vAlign w:val="center"/>
          </w:tcPr>
          <w:p w:rsidR="00FD7155" w:rsidRPr="006475C7" w:rsidRDefault="00FD7155" w:rsidP="00FD7155">
            <w:pPr>
              <w:rPr>
                <w:rFonts w:cs="Arial"/>
                <w:b/>
                <w:bCs/>
                <w:sz w:val="16"/>
                <w:szCs w:val="16"/>
              </w:rPr>
            </w:pPr>
            <w:r w:rsidRPr="006475C7">
              <w:rPr>
                <w:rFonts w:cs="Arial"/>
                <w:b/>
                <w:bCs/>
                <w:sz w:val="16"/>
                <w:szCs w:val="16"/>
              </w:rPr>
              <w:t>Baselines</w:t>
            </w:r>
          </w:p>
        </w:tc>
        <w:tc>
          <w:tcPr>
            <w:tcW w:w="814" w:type="pct"/>
            <w:tcBorders>
              <w:top w:val="single" w:sz="4" w:space="0" w:color="auto"/>
            </w:tcBorders>
            <w:tcMar>
              <w:top w:w="110" w:type="dxa"/>
            </w:tcMar>
            <w:vAlign w:val="center"/>
          </w:tcPr>
          <w:p w:rsidR="00FD7155" w:rsidRPr="0027745B" w:rsidRDefault="00FD7155" w:rsidP="00FD7155">
            <w:pPr>
              <w:rPr>
                <w:rFonts w:cs="Arial"/>
                <w:b/>
                <w:bCs/>
                <w:sz w:val="16"/>
                <w:szCs w:val="16"/>
              </w:rPr>
            </w:pPr>
            <w:r w:rsidRPr="006475C7">
              <w:rPr>
                <w:rFonts w:cs="Arial"/>
                <w:b/>
                <w:sz w:val="16"/>
                <w:szCs w:val="16"/>
              </w:rPr>
              <w:t>Targets</w:t>
            </w:r>
          </w:p>
        </w:tc>
        <w:tc>
          <w:tcPr>
            <w:tcW w:w="1167" w:type="pct"/>
            <w:tcBorders>
              <w:top w:val="single" w:sz="4" w:space="0" w:color="auto"/>
            </w:tcBorders>
            <w:shd w:val="clear" w:color="auto" w:fill="FFFFFF"/>
            <w:tcMar>
              <w:top w:w="110" w:type="dxa"/>
            </w:tcMar>
            <w:vAlign w:val="center"/>
          </w:tcPr>
          <w:p w:rsidR="00FD7155" w:rsidRPr="006475C7" w:rsidRDefault="00FD7155" w:rsidP="00FD7155">
            <w:pPr>
              <w:rPr>
                <w:rFonts w:cs="Arial"/>
                <w:sz w:val="16"/>
                <w:szCs w:val="16"/>
              </w:rPr>
            </w:pPr>
            <w:r w:rsidRPr="006475C7">
              <w:rPr>
                <w:rFonts w:cs="Arial"/>
                <w:b/>
                <w:bCs/>
                <w:sz w:val="16"/>
                <w:szCs w:val="16"/>
              </w:rPr>
              <w:t>Performance Data</w:t>
            </w:r>
          </w:p>
        </w:tc>
        <w:tc>
          <w:tcPr>
            <w:tcW w:w="518" w:type="pct"/>
            <w:tcBorders>
              <w:top w:val="single" w:sz="4" w:space="0" w:color="auto"/>
            </w:tcBorders>
            <w:tcMar>
              <w:top w:w="110" w:type="dxa"/>
            </w:tcMar>
            <w:vAlign w:val="center"/>
          </w:tcPr>
          <w:p w:rsidR="00FD7155" w:rsidRPr="0027745B" w:rsidRDefault="00FD7155" w:rsidP="00FD7155">
            <w:pPr>
              <w:keepNext/>
              <w:keepLines/>
              <w:rPr>
                <w:rFonts w:cs="Arial"/>
                <w:b/>
                <w:bCs/>
                <w:sz w:val="16"/>
                <w:szCs w:val="16"/>
              </w:rPr>
            </w:pPr>
            <w:r w:rsidRPr="006475C7">
              <w:rPr>
                <w:rFonts w:cs="Arial"/>
                <w:b/>
                <w:bCs/>
                <w:sz w:val="16"/>
                <w:szCs w:val="16"/>
              </w:rPr>
              <w:t>TLS</w:t>
            </w:r>
          </w:p>
        </w:tc>
      </w:tr>
      <w:tr w:rsidR="00FD7155" w:rsidTr="00C52366">
        <w:tc>
          <w:tcPr>
            <w:tcW w:w="1086" w:type="pct"/>
          </w:tcPr>
          <w:p w:rsidR="00FD7155" w:rsidRPr="004354B8" w:rsidRDefault="00FD7155" w:rsidP="00FD7155">
            <w:pPr>
              <w:rPr>
                <w:rFonts w:cs="Arial"/>
                <w:sz w:val="16"/>
                <w:szCs w:val="16"/>
              </w:rPr>
            </w:pPr>
            <w:r w:rsidRPr="00870E1C">
              <w:rPr>
                <w:rFonts w:cs="Arial"/>
                <w:sz w:val="16"/>
                <w:szCs w:val="16"/>
              </w:rPr>
              <w:t xml:space="preserve">% of users satisfied with Library services </w:t>
            </w:r>
          </w:p>
        </w:tc>
        <w:tc>
          <w:tcPr>
            <w:tcW w:w="1415" w:type="pct"/>
            <w:shd w:val="clear" w:color="auto" w:fill="auto"/>
          </w:tcPr>
          <w:p w:rsidR="00FD7155" w:rsidRPr="00870E1C" w:rsidRDefault="00FD7155" w:rsidP="00FD7155">
            <w:pPr>
              <w:rPr>
                <w:rFonts w:cs="Arial"/>
                <w:color w:val="002060"/>
                <w:sz w:val="16"/>
                <w:szCs w:val="16"/>
              </w:rPr>
            </w:pPr>
            <w:r>
              <w:rPr>
                <w:rFonts w:cs="Arial"/>
                <w:i/>
                <w:color w:val="002060"/>
                <w:sz w:val="16"/>
                <w:szCs w:val="16"/>
              </w:rPr>
              <w:t xml:space="preserve">Updated Baseline end 2013: </w:t>
            </w:r>
            <w:r>
              <w:rPr>
                <w:rFonts w:cs="Arial"/>
                <w:i/>
                <w:color w:val="002060"/>
                <w:sz w:val="16"/>
                <w:szCs w:val="16"/>
              </w:rPr>
              <w:br/>
            </w:r>
            <w:r w:rsidRPr="00870E1C">
              <w:rPr>
                <w:rFonts w:cs="Arial"/>
                <w:color w:val="002060"/>
                <w:sz w:val="16"/>
                <w:szCs w:val="16"/>
              </w:rPr>
              <w:t>94% of respondents to a feedback questionnaire sent to the registered external visitors</w:t>
            </w:r>
            <w:r>
              <w:rPr>
                <w:rFonts w:cs="Arial"/>
                <w:color w:val="002060"/>
                <w:sz w:val="16"/>
                <w:szCs w:val="16"/>
              </w:rPr>
              <w:t xml:space="preserve"> (Library users)</w:t>
            </w:r>
            <w:r w:rsidRPr="00870E1C">
              <w:rPr>
                <w:rFonts w:cs="Arial"/>
                <w:color w:val="002060"/>
                <w:sz w:val="16"/>
                <w:szCs w:val="16"/>
              </w:rPr>
              <w:t xml:space="preserve"> who had used the Library in 2013 were satisfied or highly satisfied</w:t>
            </w:r>
          </w:p>
          <w:p w:rsidR="00FD7155" w:rsidRDefault="00FD7155" w:rsidP="00FD7155">
            <w:pPr>
              <w:rPr>
                <w:rFonts w:cs="Arial"/>
                <w:color w:val="002060"/>
                <w:sz w:val="16"/>
                <w:szCs w:val="16"/>
              </w:rPr>
            </w:pPr>
          </w:p>
          <w:p w:rsidR="00FD7155" w:rsidRPr="004D1BF4" w:rsidRDefault="00FD7155" w:rsidP="00FD7155">
            <w:pPr>
              <w:rPr>
                <w:rFonts w:cs="Arial"/>
                <w:sz w:val="16"/>
                <w:szCs w:val="16"/>
              </w:rPr>
            </w:pPr>
            <w:r>
              <w:rPr>
                <w:rFonts w:cs="Arial"/>
                <w:i/>
                <w:sz w:val="16"/>
                <w:szCs w:val="16"/>
              </w:rPr>
              <w:t>Original Baseline P&amp;B 2014/15</w:t>
            </w:r>
            <w:r w:rsidRPr="007F330D">
              <w:rPr>
                <w:rFonts w:cs="Arial"/>
                <w:i/>
                <w:sz w:val="16"/>
                <w:szCs w:val="16"/>
              </w:rPr>
              <w:t>:</w:t>
            </w:r>
            <w:r>
              <w:t xml:space="preserve"> </w:t>
            </w:r>
            <w:proofErr w:type="spellStart"/>
            <w:r>
              <w:rPr>
                <w:rFonts w:cs="Arial"/>
                <w:sz w:val="16"/>
                <w:szCs w:val="16"/>
              </w:rPr>
              <w:t>tbd</w:t>
            </w:r>
            <w:proofErr w:type="spellEnd"/>
          </w:p>
          <w:p w:rsidR="00FD7155" w:rsidRPr="004D1BF4" w:rsidRDefault="00FD7155" w:rsidP="00FD7155">
            <w:pPr>
              <w:rPr>
                <w:rFonts w:cs="Arial"/>
                <w:sz w:val="16"/>
                <w:szCs w:val="16"/>
              </w:rPr>
            </w:pPr>
          </w:p>
        </w:tc>
        <w:tc>
          <w:tcPr>
            <w:tcW w:w="814" w:type="pct"/>
            <w:tcMar>
              <w:top w:w="110" w:type="dxa"/>
            </w:tcMar>
          </w:tcPr>
          <w:p w:rsidR="00FD7155" w:rsidRPr="0027745B" w:rsidRDefault="00FD7155" w:rsidP="00FD7155">
            <w:pPr>
              <w:autoSpaceDE w:val="0"/>
              <w:autoSpaceDN w:val="0"/>
              <w:adjustRightInd w:val="0"/>
              <w:rPr>
                <w:rFonts w:cs="Arial"/>
                <w:sz w:val="16"/>
                <w:szCs w:val="16"/>
              </w:rPr>
            </w:pPr>
            <w:r w:rsidRPr="00E2100A">
              <w:rPr>
                <w:rFonts w:cs="Arial"/>
                <w:sz w:val="16"/>
                <w:szCs w:val="16"/>
              </w:rPr>
              <w:t>≥ 70 % satisfied visitors and online customers</w:t>
            </w:r>
          </w:p>
        </w:tc>
        <w:tc>
          <w:tcPr>
            <w:tcW w:w="1167" w:type="pct"/>
            <w:shd w:val="clear" w:color="auto" w:fill="FFFFFF"/>
            <w:tcMar>
              <w:top w:w="110" w:type="dxa"/>
            </w:tcMar>
          </w:tcPr>
          <w:p w:rsidR="00FD7155" w:rsidRPr="008A2422" w:rsidRDefault="00FD7155" w:rsidP="00FD7155">
            <w:pPr>
              <w:rPr>
                <w:rFonts w:cs="Arial"/>
                <w:sz w:val="16"/>
                <w:szCs w:val="16"/>
              </w:rPr>
            </w:pPr>
            <w:r>
              <w:rPr>
                <w:rFonts w:cs="Arial"/>
                <w:sz w:val="16"/>
                <w:szCs w:val="16"/>
              </w:rPr>
              <w:t xml:space="preserve">100% of respondents to a feedback questionnaire of Library users were satisfied with the services, of which </w:t>
            </w:r>
            <w:r w:rsidRPr="00E2100A">
              <w:rPr>
                <w:rFonts w:cs="Arial"/>
                <w:sz w:val="16"/>
                <w:szCs w:val="16"/>
              </w:rPr>
              <w:t>72% were highly satisfied</w:t>
            </w:r>
            <w:r w:rsidRPr="008A2422">
              <w:rPr>
                <w:rFonts w:cs="Arial"/>
                <w:sz w:val="16"/>
                <w:szCs w:val="16"/>
              </w:rPr>
              <w:t>.</w:t>
            </w:r>
          </w:p>
          <w:p w:rsidR="00FD7155" w:rsidRPr="008A2422" w:rsidRDefault="00FD7155" w:rsidP="00FD7155">
            <w:pPr>
              <w:rPr>
                <w:rFonts w:ascii="Calibri" w:hAnsi="Calibri" w:cs="Calibri"/>
                <w:sz w:val="16"/>
                <w:szCs w:val="16"/>
              </w:rPr>
            </w:pPr>
          </w:p>
        </w:tc>
        <w:tc>
          <w:tcPr>
            <w:tcW w:w="518" w:type="pct"/>
            <w:tcMar>
              <w:top w:w="110" w:type="dxa"/>
            </w:tcMar>
          </w:tcPr>
          <w:p w:rsidR="00FD7155" w:rsidRPr="005E6AFC" w:rsidRDefault="00FD7155" w:rsidP="00FD7155">
            <w:pPr>
              <w:keepNext/>
              <w:keepLines/>
              <w:jc w:val="center"/>
              <w:rPr>
                <w:rFonts w:cs="Arial"/>
                <w:color w:val="808080"/>
                <w:sz w:val="16"/>
                <w:szCs w:val="16"/>
              </w:rPr>
            </w:pPr>
            <w:r>
              <w:rPr>
                <w:rFonts w:cs="Arial"/>
                <w:b/>
                <w:bCs/>
                <w:color w:val="00B050"/>
                <w:sz w:val="16"/>
                <w:szCs w:val="16"/>
              </w:rPr>
              <w:t>On track</w:t>
            </w:r>
          </w:p>
        </w:tc>
      </w:tr>
      <w:tr w:rsidR="00FD7155" w:rsidTr="00C52366">
        <w:tc>
          <w:tcPr>
            <w:tcW w:w="1086" w:type="pct"/>
          </w:tcPr>
          <w:p w:rsidR="00FD7155" w:rsidRPr="004354B8" w:rsidRDefault="00FD7155" w:rsidP="00FD7155">
            <w:pPr>
              <w:rPr>
                <w:rFonts w:cs="Arial"/>
                <w:sz w:val="16"/>
                <w:szCs w:val="16"/>
              </w:rPr>
            </w:pPr>
            <w:r w:rsidRPr="004354B8">
              <w:rPr>
                <w:rFonts w:cs="Arial"/>
                <w:sz w:val="16"/>
                <w:szCs w:val="16"/>
              </w:rPr>
              <w:t>Customer/</w:t>
            </w:r>
            <w:r>
              <w:rPr>
                <w:rFonts w:cs="Arial"/>
                <w:sz w:val="16"/>
                <w:szCs w:val="16"/>
              </w:rPr>
              <w:t xml:space="preserve"> </w:t>
            </w:r>
            <w:r w:rsidRPr="004354B8">
              <w:rPr>
                <w:rFonts w:cs="Arial"/>
                <w:sz w:val="16"/>
                <w:szCs w:val="16"/>
              </w:rPr>
              <w:t>stakeholder satisfaction rate</w:t>
            </w:r>
          </w:p>
        </w:tc>
        <w:tc>
          <w:tcPr>
            <w:tcW w:w="1415" w:type="pct"/>
            <w:shd w:val="clear" w:color="auto" w:fill="auto"/>
          </w:tcPr>
          <w:p w:rsidR="00FD7155" w:rsidRDefault="00FD7155" w:rsidP="00FD7155">
            <w:pPr>
              <w:rPr>
                <w:rFonts w:cs="Arial"/>
                <w:i/>
                <w:color w:val="002060"/>
                <w:sz w:val="16"/>
                <w:szCs w:val="16"/>
              </w:rPr>
            </w:pPr>
            <w:r>
              <w:rPr>
                <w:rFonts w:cs="Arial"/>
                <w:i/>
                <w:color w:val="002060"/>
                <w:sz w:val="16"/>
                <w:szCs w:val="16"/>
              </w:rPr>
              <w:t>Updated Baseline end 2013</w:t>
            </w:r>
            <w:r w:rsidRPr="007F330D">
              <w:rPr>
                <w:rFonts w:cs="Arial"/>
                <w:i/>
                <w:color w:val="002060"/>
                <w:sz w:val="16"/>
                <w:szCs w:val="16"/>
              </w:rPr>
              <w:t xml:space="preserve">:  </w:t>
            </w:r>
          </w:p>
          <w:p w:rsidR="00FD7155" w:rsidRDefault="00FD7155" w:rsidP="00FD7155">
            <w:pPr>
              <w:rPr>
                <w:rFonts w:cs="Arial"/>
                <w:color w:val="002060"/>
                <w:sz w:val="16"/>
                <w:szCs w:val="16"/>
              </w:rPr>
            </w:pPr>
            <w:r w:rsidRPr="00870E1C">
              <w:rPr>
                <w:rFonts w:cs="Arial"/>
                <w:color w:val="002060"/>
                <w:sz w:val="16"/>
                <w:szCs w:val="16"/>
              </w:rPr>
              <w:t>84% of Madrid and Hague customers satisfied or highly satisfied</w:t>
            </w:r>
            <w:r>
              <w:rPr>
                <w:rFonts w:cs="Arial"/>
                <w:color w:val="002060"/>
                <w:sz w:val="16"/>
                <w:szCs w:val="16"/>
              </w:rPr>
              <w:t>:</w:t>
            </w:r>
          </w:p>
          <w:p w:rsidR="00FD7155" w:rsidRDefault="00FD7155" w:rsidP="00FD7155">
            <w:pPr>
              <w:rPr>
                <w:rFonts w:cs="Arial"/>
                <w:color w:val="002060"/>
                <w:sz w:val="16"/>
                <w:szCs w:val="16"/>
              </w:rPr>
            </w:pPr>
            <w:r>
              <w:rPr>
                <w:rFonts w:cs="Arial"/>
                <w:color w:val="002060"/>
                <w:sz w:val="16"/>
                <w:szCs w:val="16"/>
              </w:rPr>
              <w:t>Madrid= 80%</w:t>
            </w:r>
          </w:p>
          <w:p w:rsidR="00FD7155" w:rsidRDefault="00FD7155" w:rsidP="00FD7155">
            <w:pPr>
              <w:rPr>
                <w:rFonts w:cs="Arial"/>
                <w:color w:val="002060"/>
                <w:sz w:val="16"/>
                <w:szCs w:val="16"/>
              </w:rPr>
            </w:pPr>
            <w:r>
              <w:rPr>
                <w:rFonts w:cs="Arial"/>
                <w:color w:val="002060"/>
                <w:sz w:val="16"/>
                <w:szCs w:val="16"/>
              </w:rPr>
              <w:t>Hague= 88%</w:t>
            </w:r>
          </w:p>
          <w:p w:rsidR="00FD7155" w:rsidRPr="00861678" w:rsidRDefault="00FD7155" w:rsidP="00FD7155">
            <w:pPr>
              <w:rPr>
                <w:rFonts w:cs="Arial"/>
                <w:i/>
                <w:sz w:val="8"/>
                <w:szCs w:val="8"/>
              </w:rPr>
            </w:pPr>
          </w:p>
          <w:p w:rsidR="00FD7155" w:rsidRPr="004D1BF4" w:rsidRDefault="00FD7155" w:rsidP="00FD7155">
            <w:pPr>
              <w:rPr>
                <w:rFonts w:cs="Arial"/>
                <w:sz w:val="16"/>
                <w:szCs w:val="16"/>
              </w:rPr>
            </w:pPr>
            <w:r>
              <w:rPr>
                <w:rFonts w:cs="Arial"/>
                <w:i/>
                <w:sz w:val="16"/>
                <w:szCs w:val="16"/>
              </w:rPr>
              <w:t>Original Baseline P&amp;B 2014/15</w:t>
            </w:r>
            <w:r w:rsidRPr="007F330D">
              <w:rPr>
                <w:rFonts w:cs="Arial"/>
                <w:i/>
                <w:sz w:val="16"/>
                <w:szCs w:val="16"/>
              </w:rPr>
              <w:t>:</w:t>
            </w:r>
            <w:r>
              <w:t xml:space="preserve"> </w:t>
            </w:r>
            <w:r w:rsidRPr="00870E1C">
              <w:rPr>
                <w:rFonts w:cs="Arial"/>
                <w:sz w:val="16"/>
                <w:szCs w:val="16"/>
              </w:rPr>
              <w:t>2012 survey results: 86% of Madrid and Hague customers satisfied or highly satisfied</w:t>
            </w:r>
          </w:p>
          <w:p w:rsidR="00FD7155" w:rsidRPr="004D1BF4" w:rsidRDefault="00FD7155" w:rsidP="00FD7155">
            <w:pPr>
              <w:autoSpaceDE w:val="0"/>
              <w:autoSpaceDN w:val="0"/>
              <w:adjustRightInd w:val="0"/>
              <w:rPr>
                <w:rFonts w:cs="Arial"/>
                <w:sz w:val="16"/>
                <w:szCs w:val="16"/>
              </w:rPr>
            </w:pPr>
          </w:p>
        </w:tc>
        <w:tc>
          <w:tcPr>
            <w:tcW w:w="814" w:type="pct"/>
            <w:tcMar>
              <w:top w:w="110" w:type="dxa"/>
            </w:tcMar>
          </w:tcPr>
          <w:p w:rsidR="00FD7155" w:rsidRPr="0027745B" w:rsidRDefault="00FD7155" w:rsidP="00FD7155">
            <w:pPr>
              <w:ind w:firstLineChars="21" w:firstLine="34"/>
              <w:rPr>
                <w:rFonts w:cs="Arial"/>
                <w:sz w:val="16"/>
                <w:szCs w:val="16"/>
              </w:rPr>
            </w:pPr>
            <w:r w:rsidRPr="00870E1C">
              <w:rPr>
                <w:rFonts w:cs="Arial"/>
                <w:sz w:val="16"/>
                <w:szCs w:val="16"/>
              </w:rPr>
              <w:t>≥ 86% satisfied or highly satisfied</w:t>
            </w:r>
          </w:p>
        </w:tc>
        <w:tc>
          <w:tcPr>
            <w:tcW w:w="1167" w:type="pct"/>
            <w:shd w:val="clear" w:color="auto" w:fill="FFFFFF"/>
            <w:tcMar>
              <w:top w:w="110" w:type="dxa"/>
            </w:tcMar>
          </w:tcPr>
          <w:p w:rsidR="00FD7155" w:rsidRDefault="00FD7155" w:rsidP="00FD7155">
            <w:pPr>
              <w:ind w:left="32"/>
              <w:rPr>
                <w:rFonts w:cs="Arial"/>
                <w:sz w:val="16"/>
                <w:szCs w:val="16"/>
              </w:rPr>
            </w:pPr>
            <w:r>
              <w:rPr>
                <w:rFonts w:cs="Arial"/>
                <w:sz w:val="16"/>
                <w:szCs w:val="16"/>
              </w:rPr>
              <w:t xml:space="preserve">81% of Madrid customers were  </w:t>
            </w:r>
            <w:r w:rsidRPr="00870E1C">
              <w:rPr>
                <w:rFonts w:cs="Arial"/>
                <w:sz w:val="16"/>
                <w:szCs w:val="16"/>
              </w:rPr>
              <w:t>satisfied or highly satisfied</w:t>
            </w:r>
          </w:p>
          <w:p w:rsidR="00FD7155" w:rsidRDefault="00FD7155" w:rsidP="00FD7155">
            <w:pPr>
              <w:ind w:left="32"/>
              <w:rPr>
                <w:rFonts w:cs="Arial"/>
                <w:sz w:val="16"/>
                <w:szCs w:val="16"/>
              </w:rPr>
            </w:pPr>
          </w:p>
          <w:p w:rsidR="00FD7155" w:rsidRDefault="00FD7155" w:rsidP="00FD7155">
            <w:pPr>
              <w:ind w:left="32"/>
              <w:rPr>
                <w:rFonts w:cs="Arial"/>
                <w:sz w:val="16"/>
                <w:szCs w:val="16"/>
              </w:rPr>
            </w:pPr>
            <w:r>
              <w:rPr>
                <w:rFonts w:cs="Arial"/>
                <w:sz w:val="16"/>
                <w:szCs w:val="16"/>
              </w:rPr>
              <w:t>In 2014, the customer satisfaction survey for the Hague System was postponed.</w:t>
            </w:r>
          </w:p>
          <w:p w:rsidR="00FD7155" w:rsidRDefault="00FD7155" w:rsidP="00FD7155">
            <w:pPr>
              <w:ind w:left="32"/>
              <w:rPr>
                <w:rFonts w:cs="Arial"/>
                <w:sz w:val="16"/>
                <w:szCs w:val="16"/>
              </w:rPr>
            </w:pPr>
          </w:p>
          <w:p w:rsidR="00FD7155" w:rsidRPr="00FC4D79" w:rsidRDefault="00FD7155" w:rsidP="00FD7155">
            <w:pPr>
              <w:ind w:left="32"/>
              <w:rPr>
                <w:rFonts w:cs="Arial"/>
                <w:sz w:val="16"/>
                <w:szCs w:val="16"/>
                <w:highlight w:val="yellow"/>
              </w:rPr>
            </w:pPr>
          </w:p>
        </w:tc>
        <w:tc>
          <w:tcPr>
            <w:tcW w:w="518" w:type="pct"/>
            <w:tcMar>
              <w:top w:w="110" w:type="dxa"/>
            </w:tcMar>
          </w:tcPr>
          <w:p w:rsidR="00FD7155" w:rsidRDefault="00FD7155" w:rsidP="00FD7155">
            <w:pPr>
              <w:keepNext/>
              <w:keepLines/>
              <w:jc w:val="center"/>
              <w:rPr>
                <w:rFonts w:cs="Arial"/>
                <w:b/>
                <w:bCs/>
                <w:color w:val="00B050"/>
                <w:sz w:val="16"/>
                <w:szCs w:val="16"/>
              </w:rPr>
            </w:pPr>
            <w:r>
              <w:rPr>
                <w:rFonts w:cs="Arial"/>
                <w:b/>
                <w:bCs/>
                <w:color w:val="00B050"/>
                <w:sz w:val="16"/>
                <w:szCs w:val="16"/>
              </w:rPr>
              <w:t>On track</w:t>
            </w:r>
          </w:p>
          <w:p w:rsidR="00FD7155" w:rsidRDefault="00FD7155" w:rsidP="00FD7155">
            <w:pPr>
              <w:keepNext/>
              <w:keepLines/>
              <w:jc w:val="center"/>
              <w:rPr>
                <w:rFonts w:cs="Arial"/>
                <w:b/>
                <w:bCs/>
                <w:color w:val="00B050"/>
                <w:sz w:val="16"/>
                <w:szCs w:val="16"/>
              </w:rPr>
            </w:pPr>
          </w:p>
          <w:p w:rsidR="00FD7155" w:rsidRDefault="00FD7155" w:rsidP="00FD7155">
            <w:pPr>
              <w:keepNext/>
              <w:keepLines/>
              <w:rPr>
                <w:rFonts w:cs="Arial"/>
                <w:b/>
                <w:bCs/>
                <w:color w:val="0070C0"/>
                <w:sz w:val="16"/>
                <w:szCs w:val="16"/>
              </w:rPr>
            </w:pPr>
          </w:p>
          <w:p w:rsidR="00C52366" w:rsidRDefault="00C52366" w:rsidP="00FD7155">
            <w:pPr>
              <w:keepNext/>
              <w:keepLines/>
              <w:rPr>
                <w:rFonts w:cs="Arial"/>
                <w:b/>
                <w:bCs/>
                <w:color w:val="0070C0"/>
                <w:sz w:val="16"/>
                <w:szCs w:val="16"/>
              </w:rPr>
            </w:pPr>
          </w:p>
          <w:p w:rsidR="00FD7155" w:rsidRPr="00A9202B" w:rsidRDefault="00FD7155" w:rsidP="00FD7155">
            <w:pPr>
              <w:keepNext/>
              <w:keepLines/>
              <w:jc w:val="center"/>
              <w:rPr>
                <w:rFonts w:cs="Arial"/>
                <w:color w:val="0070C0"/>
                <w:sz w:val="16"/>
                <w:szCs w:val="16"/>
              </w:rPr>
            </w:pPr>
            <w:r w:rsidRPr="00845557">
              <w:rPr>
                <w:rFonts w:cs="Arial"/>
                <w:b/>
                <w:bCs/>
                <w:color w:val="0070C0"/>
                <w:sz w:val="16"/>
                <w:szCs w:val="16"/>
              </w:rPr>
              <w:t>N/A 2014</w:t>
            </w:r>
          </w:p>
        </w:tc>
      </w:tr>
      <w:tr w:rsidR="00FD7155" w:rsidTr="00C52366">
        <w:tc>
          <w:tcPr>
            <w:tcW w:w="1086" w:type="pct"/>
            <w:tcBorders>
              <w:bottom w:val="single" w:sz="4" w:space="0" w:color="auto"/>
            </w:tcBorders>
          </w:tcPr>
          <w:p w:rsidR="00FD7155" w:rsidRPr="00870E1C" w:rsidRDefault="00FD7155" w:rsidP="00FD7155">
            <w:pPr>
              <w:rPr>
                <w:rFonts w:cs="Arial"/>
                <w:sz w:val="16"/>
                <w:szCs w:val="16"/>
              </w:rPr>
            </w:pPr>
            <w:r w:rsidRPr="00E2100A">
              <w:rPr>
                <w:rFonts w:cs="Arial"/>
                <w:sz w:val="16"/>
                <w:szCs w:val="16"/>
              </w:rPr>
              <w:t>Service Standards targets as defined on WIPO website</w:t>
            </w:r>
          </w:p>
        </w:tc>
        <w:tc>
          <w:tcPr>
            <w:tcW w:w="1415" w:type="pct"/>
            <w:tcBorders>
              <w:bottom w:val="single" w:sz="4" w:space="0" w:color="auto"/>
            </w:tcBorders>
            <w:shd w:val="clear" w:color="auto" w:fill="auto"/>
          </w:tcPr>
          <w:p w:rsidR="00FD7155" w:rsidRDefault="00FD7155" w:rsidP="00FD7155">
            <w:pPr>
              <w:rPr>
                <w:rFonts w:cs="Arial"/>
                <w:i/>
                <w:color w:val="002060"/>
                <w:sz w:val="16"/>
                <w:szCs w:val="16"/>
              </w:rPr>
            </w:pPr>
            <w:r>
              <w:rPr>
                <w:rFonts w:cs="Arial"/>
                <w:i/>
                <w:color w:val="002060"/>
                <w:sz w:val="16"/>
                <w:szCs w:val="16"/>
              </w:rPr>
              <w:t xml:space="preserve">Updated Baseline end 2013: </w:t>
            </w:r>
          </w:p>
          <w:p w:rsidR="00FD7155" w:rsidRPr="00E2100A" w:rsidRDefault="00FD7155" w:rsidP="00FD7155">
            <w:pPr>
              <w:rPr>
                <w:rFonts w:cs="Arial"/>
                <w:color w:val="002060"/>
                <w:sz w:val="16"/>
                <w:szCs w:val="16"/>
              </w:rPr>
            </w:pPr>
            <w:r>
              <w:rPr>
                <w:rFonts w:cs="Arial"/>
                <w:color w:val="002060"/>
                <w:sz w:val="16"/>
                <w:szCs w:val="16"/>
              </w:rPr>
              <w:t>Not baselined</w:t>
            </w:r>
          </w:p>
          <w:p w:rsidR="00FD7155" w:rsidRDefault="00FD7155" w:rsidP="00FD7155">
            <w:pPr>
              <w:rPr>
                <w:rFonts w:cs="Arial"/>
                <w:color w:val="002060"/>
                <w:sz w:val="16"/>
                <w:szCs w:val="16"/>
              </w:rPr>
            </w:pPr>
          </w:p>
          <w:p w:rsidR="00FD7155" w:rsidRPr="004D1BF4" w:rsidRDefault="00FD7155" w:rsidP="00FD7155">
            <w:pPr>
              <w:rPr>
                <w:rFonts w:cs="Arial"/>
                <w:sz w:val="16"/>
                <w:szCs w:val="16"/>
              </w:rPr>
            </w:pPr>
            <w:r>
              <w:rPr>
                <w:rFonts w:cs="Arial"/>
                <w:i/>
                <w:sz w:val="16"/>
                <w:szCs w:val="16"/>
              </w:rPr>
              <w:t>Original Baseline P&amp;B 2014/15</w:t>
            </w:r>
            <w:r w:rsidRPr="007F330D">
              <w:rPr>
                <w:rFonts w:cs="Arial"/>
                <w:i/>
                <w:sz w:val="16"/>
                <w:szCs w:val="16"/>
              </w:rPr>
              <w:t>:</w:t>
            </w:r>
            <w:r>
              <w:t xml:space="preserve"> </w:t>
            </w:r>
            <w:r w:rsidRPr="00E2100A">
              <w:rPr>
                <w:rFonts w:cs="Arial"/>
                <w:sz w:val="16"/>
                <w:szCs w:val="16"/>
              </w:rPr>
              <w:t>to be defined for specific areas</w:t>
            </w:r>
          </w:p>
          <w:p w:rsidR="00FD7155" w:rsidRDefault="00FD7155" w:rsidP="00FD7155">
            <w:pPr>
              <w:rPr>
                <w:rFonts w:cs="Arial"/>
                <w:i/>
                <w:color w:val="002060"/>
                <w:sz w:val="16"/>
                <w:szCs w:val="16"/>
              </w:rPr>
            </w:pPr>
          </w:p>
        </w:tc>
        <w:tc>
          <w:tcPr>
            <w:tcW w:w="814" w:type="pct"/>
            <w:tcBorders>
              <w:bottom w:val="single" w:sz="4" w:space="0" w:color="auto"/>
            </w:tcBorders>
            <w:tcMar>
              <w:top w:w="110" w:type="dxa"/>
            </w:tcMar>
          </w:tcPr>
          <w:p w:rsidR="00FD7155" w:rsidRPr="001E6C53" w:rsidRDefault="00FD7155" w:rsidP="00FD7155">
            <w:pPr>
              <w:autoSpaceDE w:val="0"/>
              <w:autoSpaceDN w:val="0"/>
              <w:adjustRightInd w:val="0"/>
              <w:rPr>
                <w:rFonts w:cs="Arial"/>
                <w:sz w:val="16"/>
                <w:szCs w:val="16"/>
              </w:rPr>
            </w:pPr>
            <w:r w:rsidRPr="001E6C53">
              <w:rPr>
                <w:rFonts w:cs="Arial"/>
                <w:i/>
                <w:sz w:val="16"/>
                <w:szCs w:val="16"/>
              </w:rPr>
              <w:t>Defined Target:</w:t>
            </w:r>
            <w:r w:rsidRPr="001E6C53">
              <w:rPr>
                <w:rFonts w:cs="Arial"/>
                <w:sz w:val="16"/>
                <w:szCs w:val="16"/>
              </w:rPr>
              <w:t xml:space="preserve"> Customer Service Center standards: </w:t>
            </w:r>
          </w:p>
          <w:p w:rsidR="00FD7155" w:rsidRPr="001E6C53" w:rsidRDefault="00FD7155" w:rsidP="00FD7155">
            <w:pPr>
              <w:autoSpaceDE w:val="0"/>
              <w:autoSpaceDN w:val="0"/>
              <w:adjustRightInd w:val="0"/>
              <w:rPr>
                <w:rFonts w:cs="Arial"/>
                <w:sz w:val="16"/>
                <w:szCs w:val="16"/>
              </w:rPr>
            </w:pPr>
            <w:r w:rsidRPr="001E6C53">
              <w:rPr>
                <w:rFonts w:cs="Arial"/>
                <w:sz w:val="16"/>
                <w:szCs w:val="16"/>
              </w:rPr>
              <w:t>(</w:t>
            </w:r>
            <w:proofErr w:type="spellStart"/>
            <w:r w:rsidRPr="001E6C53">
              <w:rPr>
                <w:rFonts w:cs="Arial"/>
                <w:sz w:val="16"/>
                <w:szCs w:val="16"/>
              </w:rPr>
              <w:t>i</w:t>
            </w:r>
            <w:proofErr w:type="spellEnd"/>
            <w:r w:rsidRPr="001E6C53">
              <w:rPr>
                <w:rFonts w:cs="Arial"/>
                <w:sz w:val="16"/>
                <w:szCs w:val="16"/>
              </w:rPr>
              <w:t>) 90% of tickets processed within 1 day</w:t>
            </w:r>
          </w:p>
          <w:p w:rsidR="00FD7155" w:rsidRPr="001E6C53" w:rsidRDefault="00FD7155" w:rsidP="00FD7155">
            <w:pPr>
              <w:autoSpaceDE w:val="0"/>
              <w:autoSpaceDN w:val="0"/>
              <w:adjustRightInd w:val="0"/>
              <w:rPr>
                <w:rFonts w:cs="Arial"/>
                <w:sz w:val="16"/>
                <w:szCs w:val="16"/>
              </w:rPr>
            </w:pPr>
          </w:p>
          <w:p w:rsidR="00FD7155" w:rsidRPr="001E6C53" w:rsidRDefault="00FD7155" w:rsidP="00FD7155">
            <w:pPr>
              <w:autoSpaceDE w:val="0"/>
              <w:autoSpaceDN w:val="0"/>
              <w:adjustRightInd w:val="0"/>
              <w:rPr>
                <w:rFonts w:cs="Arial"/>
                <w:sz w:val="16"/>
                <w:szCs w:val="16"/>
              </w:rPr>
            </w:pPr>
            <w:r w:rsidRPr="001E6C53">
              <w:rPr>
                <w:rFonts w:cs="Arial"/>
                <w:sz w:val="16"/>
                <w:szCs w:val="16"/>
              </w:rPr>
              <w:t>(ii) 90% of complaints processed within 8 working hours</w:t>
            </w:r>
          </w:p>
          <w:p w:rsidR="00FD7155" w:rsidRPr="001E6C53" w:rsidRDefault="00FD7155" w:rsidP="00FD7155">
            <w:pPr>
              <w:autoSpaceDE w:val="0"/>
              <w:autoSpaceDN w:val="0"/>
              <w:adjustRightInd w:val="0"/>
              <w:rPr>
                <w:rFonts w:cs="Arial"/>
                <w:sz w:val="16"/>
                <w:szCs w:val="16"/>
              </w:rPr>
            </w:pPr>
          </w:p>
          <w:p w:rsidR="00FD7155" w:rsidRPr="001E6C53" w:rsidRDefault="00FD7155" w:rsidP="00FD7155">
            <w:pPr>
              <w:autoSpaceDE w:val="0"/>
              <w:autoSpaceDN w:val="0"/>
              <w:adjustRightInd w:val="0"/>
              <w:rPr>
                <w:rFonts w:cs="Arial"/>
                <w:sz w:val="16"/>
                <w:szCs w:val="16"/>
              </w:rPr>
            </w:pPr>
            <w:r w:rsidRPr="001E6C53">
              <w:rPr>
                <w:rFonts w:cs="Arial"/>
                <w:i/>
                <w:sz w:val="16"/>
                <w:szCs w:val="16"/>
              </w:rPr>
              <w:t>Original Target P&amp;B 2014/15</w:t>
            </w:r>
            <w:r w:rsidRPr="001E6C53">
              <w:rPr>
                <w:rFonts w:cs="Arial"/>
                <w:sz w:val="16"/>
                <w:szCs w:val="16"/>
              </w:rPr>
              <w:t>: to be defined for specific areas</w:t>
            </w:r>
          </w:p>
          <w:p w:rsidR="00FD7155" w:rsidRPr="00E2100A" w:rsidRDefault="00FD7155" w:rsidP="00FD7155">
            <w:pPr>
              <w:autoSpaceDE w:val="0"/>
              <w:autoSpaceDN w:val="0"/>
              <w:adjustRightInd w:val="0"/>
              <w:rPr>
                <w:rFonts w:cs="Arial"/>
                <w:sz w:val="16"/>
                <w:szCs w:val="16"/>
              </w:rPr>
            </w:pPr>
          </w:p>
        </w:tc>
        <w:tc>
          <w:tcPr>
            <w:tcW w:w="1167" w:type="pct"/>
            <w:tcBorders>
              <w:bottom w:val="single" w:sz="4" w:space="0" w:color="auto"/>
            </w:tcBorders>
            <w:shd w:val="clear" w:color="auto" w:fill="FFFFFF"/>
            <w:tcMar>
              <w:top w:w="110" w:type="dxa"/>
            </w:tcMar>
          </w:tcPr>
          <w:p w:rsidR="00FD7155" w:rsidRDefault="00FD7155" w:rsidP="00FD7155">
            <w:pPr>
              <w:rPr>
                <w:rFonts w:cs="Arial"/>
                <w:sz w:val="16"/>
                <w:szCs w:val="16"/>
              </w:rPr>
            </w:pPr>
            <w:r>
              <w:rPr>
                <w:rFonts w:cs="Arial"/>
                <w:sz w:val="16"/>
                <w:szCs w:val="16"/>
              </w:rPr>
              <w:t>(</w:t>
            </w:r>
            <w:proofErr w:type="spellStart"/>
            <w:r>
              <w:rPr>
                <w:rFonts w:cs="Arial"/>
                <w:sz w:val="16"/>
                <w:szCs w:val="16"/>
              </w:rPr>
              <w:t>i</w:t>
            </w:r>
            <w:proofErr w:type="spellEnd"/>
            <w:r>
              <w:rPr>
                <w:rFonts w:cs="Arial"/>
                <w:sz w:val="16"/>
                <w:szCs w:val="16"/>
              </w:rPr>
              <w:t xml:space="preserve">) </w:t>
            </w:r>
            <w:r w:rsidRPr="00E2100A">
              <w:rPr>
                <w:rFonts w:cs="Arial"/>
                <w:sz w:val="16"/>
                <w:szCs w:val="16"/>
              </w:rPr>
              <w:t>92%</w:t>
            </w:r>
            <w:r>
              <w:rPr>
                <w:rFonts w:cs="Arial"/>
                <w:sz w:val="16"/>
                <w:szCs w:val="16"/>
              </w:rPr>
              <w:t xml:space="preserve"> of </w:t>
            </w:r>
            <w:r w:rsidRPr="00E2100A">
              <w:rPr>
                <w:rFonts w:cs="Arial"/>
                <w:sz w:val="16"/>
                <w:szCs w:val="16"/>
              </w:rPr>
              <w:t xml:space="preserve">tickets </w:t>
            </w:r>
            <w:r>
              <w:rPr>
                <w:rFonts w:cs="Arial"/>
                <w:sz w:val="16"/>
                <w:szCs w:val="16"/>
              </w:rPr>
              <w:t xml:space="preserve">were </w:t>
            </w:r>
            <w:r w:rsidRPr="00E2100A">
              <w:rPr>
                <w:rFonts w:cs="Arial"/>
                <w:sz w:val="16"/>
                <w:szCs w:val="16"/>
              </w:rPr>
              <w:t>processed within 1 day</w:t>
            </w:r>
            <w:r>
              <w:rPr>
                <w:rFonts w:cs="Arial"/>
                <w:sz w:val="16"/>
                <w:szCs w:val="16"/>
              </w:rPr>
              <w:t>.</w:t>
            </w:r>
          </w:p>
          <w:p w:rsidR="00FD7155" w:rsidRDefault="00FD7155" w:rsidP="00FD7155">
            <w:pPr>
              <w:rPr>
                <w:rFonts w:cs="Arial"/>
                <w:sz w:val="16"/>
                <w:szCs w:val="16"/>
              </w:rPr>
            </w:pPr>
          </w:p>
          <w:p w:rsidR="00FD7155" w:rsidRPr="00E2100A" w:rsidRDefault="00FD7155" w:rsidP="00FD7155">
            <w:pPr>
              <w:rPr>
                <w:rFonts w:cs="Arial"/>
                <w:sz w:val="16"/>
                <w:szCs w:val="16"/>
              </w:rPr>
            </w:pPr>
            <w:r>
              <w:rPr>
                <w:rFonts w:cs="Arial"/>
                <w:sz w:val="16"/>
                <w:szCs w:val="16"/>
              </w:rPr>
              <w:t xml:space="preserve">(ii) </w:t>
            </w:r>
            <w:r w:rsidRPr="00E2100A">
              <w:rPr>
                <w:rFonts w:cs="Arial"/>
                <w:sz w:val="16"/>
                <w:szCs w:val="16"/>
              </w:rPr>
              <w:t xml:space="preserve">100% </w:t>
            </w:r>
            <w:r>
              <w:rPr>
                <w:rFonts w:cs="Arial"/>
                <w:sz w:val="16"/>
                <w:szCs w:val="16"/>
              </w:rPr>
              <w:t xml:space="preserve">of </w:t>
            </w:r>
            <w:r w:rsidRPr="00E2100A">
              <w:rPr>
                <w:rFonts w:cs="Arial"/>
                <w:sz w:val="16"/>
                <w:szCs w:val="16"/>
              </w:rPr>
              <w:t xml:space="preserve">complaints </w:t>
            </w:r>
            <w:r>
              <w:rPr>
                <w:rFonts w:cs="Arial"/>
                <w:sz w:val="16"/>
                <w:szCs w:val="16"/>
              </w:rPr>
              <w:t>were processed in less than</w:t>
            </w:r>
            <w:r w:rsidRPr="00E2100A">
              <w:rPr>
                <w:rFonts w:cs="Arial"/>
                <w:sz w:val="16"/>
                <w:szCs w:val="16"/>
              </w:rPr>
              <w:t xml:space="preserve"> 8 working hours</w:t>
            </w:r>
            <w:r>
              <w:rPr>
                <w:rFonts w:cs="Arial"/>
                <w:sz w:val="16"/>
                <w:szCs w:val="16"/>
              </w:rPr>
              <w:t>.</w:t>
            </w:r>
          </w:p>
        </w:tc>
        <w:tc>
          <w:tcPr>
            <w:tcW w:w="518" w:type="pct"/>
            <w:tcBorders>
              <w:bottom w:val="single" w:sz="4" w:space="0" w:color="auto"/>
            </w:tcBorders>
            <w:tcMar>
              <w:top w:w="110" w:type="dxa"/>
            </w:tcMar>
          </w:tcPr>
          <w:p w:rsidR="00FD7155" w:rsidRDefault="00FD7155" w:rsidP="00FD7155">
            <w:pPr>
              <w:keepNext/>
              <w:keepLines/>
              <w:jc w:val="center"/>
              <w:rPr>
                <w:rFonts w:cs="Arial"/>
                <w:b/>
                <w:bCs/>
                <w:color w:val="00B050"/>
                <w:sz w:val="16"/>
                <w:szCs w:val="16"/>
              </w:rPr>
            </w:pPr>
            <w:r>
              <w:rPr>
                <w:rFonts w:cs="Arial"/>
                <w:b/>
                <w:bCs/>
                <w:color w:val="00B050"/>
                <w:sz w:val="16"/>
                <w:szCs w:val="16"/>
              </w:rPr>
              <w:t>On track</w:t>
            </w:r>
          </w:p>
          <w:p w:rsidR="00FD7155" w:rsidRDefault="00FD7155" w:rsidP="00FD7155">
            <w:pPr>
              <w:keepNext/>
              <w:keepLines/>
              <w:jc w:val="center"/>
              <w:rPr>
                <w:rFonts w:cs="Arial"/>
                <w:b/>
                <w:bCs/>
                <w:color w:val="00B050"/>
                <w:sz w:val="16"/>
                <w:szCs w:val="16"/>
              </w:rPr>
            </w:pPr>
          </w:p>
          <w:p w:rsidR="00FD7155" w:rsidRDefault="00FD7155" w:rsidP="00FD7155">
            <w:pPr>
              <w:keepNext/>
              <w:keepLines/>
              <w:jc w:val="center"/>
              <w:rPr>
                <w:rFonts w:cs="Arial"/>
                <w:b/>
                <w:bCs/>
                <w:color w:val="00B050"/>
                <w:sz w:val="16"/>
                <w:szCs w:val="16"/>
              </w:rPr>
            </w:pPr>
          </w:p>
          <w:p w:rsidR="00FD7155" w:rsidRDefault="00FD7155" w:rsidP="00FD7155">
            <w:pPr>
              <w:keepNext/>
              <w:keepLines/>
              <w:jc w:val="center"/>
              <w:rPr>
                <w:rFonts w:cs="Arial"/>
                <w:b/>
                <w:bCs/>
                <w:color w:val="00B050"/>
                <w:sz w:val="16"/>
                <w:szCs w:val="16"/>
              </w:rPr>
            </w:pPr>
            <w:r>
              <w:rPr>
                <w:rFonts w:cs="Arial"/>
                <w:b/>
                <w:bCs/>
                <w:color w:val="00B050"/>
                <w:sz w:val="16"/>
                <w:szCs w:val="16"/>
              </w:rPr>
              <w:t>On track</w:t>
            </w:r>
          </w:p>
        </w:tc>
      </w:tr>
    </w:tbl>
    <w:p w:rsidR="00FD7155" w:rsidRDefault="00FD7155" w:rsidP="00FD7155">
      <w:pPr>
        <w:jc w:val="both"/>
        <w:rPr>
          <w:rFonts w:cs="Arial"/>
          <w:color w:val="000000"/>
          <w:sz w:val="22"/>
          <w:szCs w:val="22"/>
        </w:rPr>
      </w:pPr>
    </w:p>
    <w:p w:rsidR="00FD7155" w:rsidRDefault="00FD7155" w:rsidP="00FD7155">
      <w:pPr>
        <w:jc w:val="both"/>
        <w:rPr>
          <w:rFonts w:cs="Arial"/>
          <w:color w:val="000000"/>
          <w:sz w:val="22"/>
          <w:szCs w:val="22"/>
        </w:rPr>
      </w:pPr>
    </w:p>
    <w:p w:rsidR="00FD7155" w:rsidRDefault="00FD7155">
      <w:pPr>
        <w:rPr>
          <w:rFonts w:cs="Arial"/>
          <w:color w:val="000000"/>
          <w:sz w:val="22"/>
          <w:szCs w:val="22"/>
        </w:rPr>
      </w:pPr>
      <w:r>
        <w:rPr>
          <w:rFonts w:cs="Arial"/>
          <w:color w:val="000000"/>
          <w:sz w:val="22"/>
          <w:szCs w:val="22"/>
        </w:rPr>
        <w:br w:type="page"/>
      </w:r>
    </w:p>
    <w:p w:rsidR="00FD7155" w:rsidRDefault="00FD7155" w:rsidP="00FD7155">
      <w:pPr>
        <w:jc w:val="both"/>
        <w:rPr>
          <w:b/>
          <w:sz w:val="18"/>
          <w:szCs w:val="18"/>
        </w:rPr>
      </w:pPr>
      <w:r>
        <w:rPr>
          <w:rFonts w:cs="Arial"/>
          <w:color w:val="000000"/>
          <w:sz w:val="22"/>
          <w:szCs w:val="22"/>
        </w:rPr>
        <w:lastRenderedPageBreak/>
        <w:t>RESOURCE UTILIZATION</w:t>
      </w:r>
      <w:r>
        <w:rPr>
          <w:rFonts w:cs="Arial"/>
          <w:color w:val="000000"/>
          <w:sz w:val="22"/>
          <w:szCs w:val="22"/>
        </w:rPr>
        <w:tab/>
      </w:r>
    </w:p>
    <w:p w:rsidR="00FD7155" w:rsidRPr="008F4A6D" w:rsidRDefault="00FD7155" w:rsidP="00FD7155">
      <w:pPr>
        <w:jc w:val="both"/>
        <w:rPr>
          <w:szCs w:val="20"/>
        </w:rPr>
      </w:pPr>
    </w:p>
    <w:p w:rsidR="00FD7155" w:rsidRPr="00383D2D" w:rsidRDefault="00FD7155" w:rsidP="00FD7155">
      <w:pPr>
        <w:pStyle w:val="NormalWeb"/>
        <w:spacing w:before="0" w:beforeAutospacing="0" w:after="0" w:afterAutospacing="0"/>
        <w:jc w:val="center"/>
        <w:rPr>
          <w:sz w:val="20"/>
          <w:szCs w:val="20"/>
        </w:rPr>
      </w:pPr>
      <w:r w:rsidRPr="00383D2D">
        <w:rPr>
          <w:color w:val="000000"/>
          <w:sz w:val="20"/>
          <w:szCs w:val="20"/>
        </w:rPr>
        <w:t>Budget and Actual Expenditure (by result)</w:t>
      </w:r>
    </w:p>
    <w:p w:rsidR="00FD7155" w:rsidRDefault="00FD7155" w:rsidP="00FD7155">
      <w:pPr>
        <w:pStyle w:val="NormalWeb"/>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FD7155" w:rsidRDefault="00FD7155" w:rsidP="00FD7155">
      <w:pPr>
        <w:pStyle w:val="NormalWeb"/>
        <w:spacing w:before="0" w:beforeAutospacing="0" w:after="0" w:afterAutospacing="0"/>
        <w:jc w:val="center"/>
        <w:rPr>
          <w:i/>
          <w:iCs/>
          <w:color w:val="000000"/>
          <w:sz w:val="20"/>
          <w:szCs w:val="20"/>
        </w:rPr>
      </w:pPr>
    </w:p>
    <w:p w:rsidR="00FD7155" w:rsidRPr="00383D2D" w:rsidRDefault="00FD7155" w:rsidP="00FD7155">
      <w:pPr>
        <w:pStyle w:val="NormalWeb"/>
        <w:spacing w:before="0" w:beforeAutospacing="0" w:after="0" w:afterAutospacing="0"/>
        <w:jc w:val="center"/>
        <w:rPr>
          <w:sz w:val="20"/>
          <w:szCs w:val="20"/>
        </w:rPr>
      </w:pPr>
      <w:r w:rsidRPr="00A3368D">
        <w:rPr>
          <w:noProof/>
        </w:rPr>
        <w:drawing>
          <wp:inline distT="0" distB="0" distL="0" distR="0" wp14:anchorId="1C15F948" wp14:editId="1209042B">
            <wp:extent cx="5486400" cy="1412861"/>
            <wp:effectExtent l="0" t="0" r="0" b="0"/>
            <wp:docPr id="854" name="Pictur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487328" cy="1413100"/>
                    </a:xfrm>
                    <a:prstGeom prst="rect">
                      <a:avLst/>
                    </a:prstGeom>
                    <a:noFill/>
                    <a:ln>
                      <a:noFill/>
                    </a:ln>
                  </pic:spPr>
                </pic:pic>
              </a:graphicData>
            </a:graphic>
          </wp:inline>
        </w:drawing>
      </w:r>
    </w:p>
    <w:p w:rsidR="00FD7155" w:rsidRDefault="00FD7155" w:rsidP="00FD7155">
      <w:pPr>
        <w:jc w:val="both"/>
      </w:pPr>
    </w:p>
    <w:p w:rsidR="00FD7155" w:rsidRDefault="00FD7155" w:rsidP="00FD7155">
      <w:pPr>
        <w:jc w:val="both"/>
      </w:pPr>
    </w:p>
    <w:p w:rsidR="00FD7155" w:rsidRPr="00383D2D" w:rsidRDefault="00FD7155" w:rsidP="00FD7155">
      <w:pPr>
        <w:pStyle w:val="NormalWeb"/>
        <w:keepNext/>
        <w:keepLines/>
        <w:spacing w:before="0" w:beforeAutospacing="0" w:after="0" w:afterAutospacing="0"/>
        <w:jc w:val="center"/>
        <w:rPr>
          <w:sz w:val="20"/>
          <w:szCs w:val="20"/>
        </w:rPr>
      </w:pPr>
      <w:r w:rsidRPr="00383D2D">
        <w:rPr>
          <w:color w:val="000000"/>
          <w:sz w:val="20"/>
          <w:szCs w:val="20"/>
        </w:rPr>
        <w:t>Budget and Actual Expenditure (personnel and non-personnel)</w:t>
      </w:r>
    </w:p>
    <w:p w:rsidR="00FD7155" w:rsidRPr="00383D2D" w:rsidRDefault="00FD7155">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FD7155" w:rsidRDefault="00FD7155" w:rsidP="00FD7155">
      <w:pPr>
        <w:pStyle w:val="NormalWeb"/>
        <w:keepNext/>
        <w:keepLines/>
        <w:spacing w:before="0" w:beforeAutospacing="0" w:after="0" w:afterAutospacing="0"/>
        <w:jc w:val="both"/>
      </w:pPr>
    </w:p>
    <w:p w:rsidR="00FD7155" w:rsidRPr="00383D2D" w:rsidRDefault="00FD7155" w:rsidP="00FD7155">
      <w:pPr>
        <w:jc w:val="center"/>
        <w:rPr>
          <w:szCs w:val="20"/>
        </w:rPr>
      </w:pPr>
      <w:r w:rsidRPr="00A3368D">
        <w:rPr>
          <w:noProof/>
        </w:rPr>
        <w:drawing>
          <wp:inline distT="0" distB="0" distL="0" distR="0" wp14:anchorId="7EF1A442" wp14:editId="1737727D">
            <wp:extent cx="5460521" cy="1192697"/>
            <wp:effectExtent l="0" t="0" r="6985" b="7620"/>
            <wp:docPr id="855"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481546" cy="1197289"/>
                    </a:xfrm>
                    <a:prstGeom prst="rect">
                      <a:avLst/>
                    </a:prstGeom>
                    <a:noFill/>
                    <a:ln>
                      <a:noFill/>
                    </a:ln>
                  </pic:spPr>
                </pic:pic>
              </a:graphicData>
            </a:graphic>
          </wp:inline>
        </w:drawing>
      </w:r>
    </w:p>
    <w:p w:rsidR="00FD7155" w:rsidRPr="009C736D" w:rsidRDefault="00FD7155" w:rsidP="00FD7155">
      <w:pPr>
        <w:keepNext/>
        <w:autoSpaceDE w:val="0"/>
        <w:autoSpaceDN w:val="0"/>
        <w:rPr>
          <w:i/>
          <w:sz w:val="16"/>
          <w:szCs w:val="16"/>
        </w:rPr>
      </w:pPr>
      <w:r w:rsidRPr="009C736D">
        <w:rPr>
          <w:i/>
          <w:sz w:val="16"/>
          <w:szCs w:val="16"/>
        </w:rPr>
        <w:t>NOTE: The 2014/15 Budget after Transfers reflects transfers as of March 31, 2015 to address needs during the 2014/15 biennium in line with Financial Regulation 5.5.</w:t>
      </w:r>
    </w:p>
    <w:p w:rsidR="00FD7155" w:rsidRPr="00FD7155" w:rsidRDefault="00FD7155" w:rsidP="00FD7155">
      <w:pPr>
        <w:autoSpaceDE w:val="0"/>
        <w:autoSpaceDN w:val="0"/>
        <w:jc w:val="both"/>
        <w:rPr>
          <w:szCs w:val="16"/>
        </w:rPr>
      </w:pPr>
    </w:p>
    <w:p w:rsidR="00FD7155" w:rsidRPr="00FD7155" w:rsidRDefault="00FD7155" w:rsidP="00FD7155">
      <w:pPr>
        <w:autoSpaceDE w:val="0"/>
        <w:autoSpaceDN w:val="0"/>
        <w:jc w:val="both"/>
        <w:rPr>
          <w:szCs w:val="16"/>
        </w:rPr>
      </w:pPr>
    </w:p>
    <w:p w:rsidR="00FD7155" w:rsidRDefault="00FD7155" w:rsidP="00FD7155">
      <w:pPr>
        <w:rPr>
          <w:rFonts w:cs="Arial"/>
          <w:u w:val="single"/>
        </w:rPr>
      </w:pPr>
      <w:r w:rsidRPr="00420F90">
        <w:rPr>
          <w:rFonts w:cs="Arial"/>
          <w:szCs w:val="20"/>
        </w:rPr>
        <w:t>A.</w:t>
      </w:r>
      <w:r w:rsidRPr="00420F90">
        <w:rPr>
          <w:rFonts w:cs="Arial"/>
        </w:rPr>
        <w:tab/>
      </w:r>
      <w:r w:rsidRPr="00420F90">
        <w:rPr>
          <w:rFonts w:cs="Arial"/>
          <w:u w:val="single"/>
        </w:rPr>
        <w:t>Budget after Transfers 201</w:t>
      </w:r>
      <w:r>
        <w:rPr>
          <w:rFonts w:cs="Arial"/>
          <w:u w:val="single"/>
        </w:rPr>
        <w:t>4/15</w:t>
      </w:r>
    </w:p>
    <w:p w:rsidR="00FD7155" w:rsidRDefault="00FD7155" w:rsidP="00FD7155">
      <w:pPr>
        <w:autoSpaceDE w:val="0"/>
        <w:autoSpaceDN w:val="0"/>
        <w:jc w:val="both"/>
        <w:rPr>
          <w:rFonts w:cs="Arial"/>
          <w:szCs w:val="20"/>
          <w:lang w:eastAsia="ko-KR"/>
        </w:rPr>
      </w:pPr>
    </w:p>
    <w:p w:rsidR="00FD7155" w:rsidRDefault="00FD7155" w:rsidP="00FD7155">
      <w:pPr>
        <w:pStyle w:val="ListParagraph"/>
        <w:numPr>
          <w:ilvl w:val="0"/>
          <w:numId w:val="80"/>
        </w:numPr>
        <w:tabs>
          <w:tab w:val="left" w:pos="709"/>
        </w:tabs>
        <w:ind w:left="0" w:firstLine="0"/>
        <w:jc w:val="both"/>
        <w:rPr>
          <w:rFonts w:cs="Arial"/>
          <w:lang w:eastAsia="ko-KR"/>
        </w:rPr>
      </w:pPr>
      <w:r w:rsidRPr="00782825">
        <w:rPr>
          <w:rFonts w:eastAsia="SimSun" w:cs="Arial"/>
          <w:lang w:eastAsia="zh-CN"/>
        </w:rPr>
        <w:t>The</w:t>
      </w:r>
      <w:r>
        <w:rPr>
          <w:rFonts w:cs="Arial"/>
          <w:lang w:eastAsia="ko-KR"/>
        </w:rPr>
        <w:t xml:space="preserve"> overall net decrease in the 2014/15 Budget after Transfers is primarily due to: (</w:t>
      </w:r>
      <w:proofErr w:type="spellStart"/>
      <w:r>
        <w:rPr>
          <w:rFonts w:cs="Arial"/>
          <w:lang w:eastAsia="ko-KR"/>
        </w:rPr>
        <w:t>i</w:t>
      </w:r>
      <w:proofErr w:type="spellEnd"/>
      <w:r>
        <w:rPr>
          <w:rFonts w:cs="Arial"/>
          <w:lang w:eastAsia="ko-KR"/>
        </w:rPr>
        <w:t xml:space="preserve">) </w:t>
      </w:r>
      <w:r w:rsidRPr="009C019B">
        <w:rPr>
          <w:rFonts w:cs="Arial"/>
          <w:lang w:eastAsia="ko-KR"/>
        </w:rPr>
        <w:t>the transfer of the WIPO Information Center to Program 2</w:t>
      </w:r>
      <w:r>
        <w:rPr>
          <w:rFonts w:cs="Arial"/>
          <w:lang w:eastAsia="ko-KR"/>
        </w:rPr>
        <w:t>1</w:t>
      </w:r>
      <w:r w:rsidRPr="009C019B">
        <w:rPr>
          <w:rFonts w:cs="Arial"/>
          <w:lang w:eastAsia="ko-KR"/>
        </w:rPr>
        <w:t>; and</w:t>
      </w:r>
      <w:r>
        <w:rPr>
          <w:rFonts w:cs="Arial"/>
          <w:lang w:eastAsia="ko-KR"/>
        </w:rPr>
        <w:t xml:space="preserve"> (ii) </w:t>
      </w:r>
      <w:r w:rsidRPr="00CC6E90">
        <w:rPr>
          <w:rFonts w:cs="Arial"/>
          <w:lang w:eastAsia="ko-KR"/>
        </w:rPr>
        <w:t>the transfer of non-personnel resource</w:t>
      </w:r>
      <w:r>
        <w:rPr>
          <w:rFonts w:cs="Arial"/>
          <w:lang w:eastAsia="ko-KR"/>
        </w:rPr>
        <w:t>s for an intern (</w:t>
      </w:r>
      <w:r w:rsidRPr="00CC6E90">
        <w:rPr>
          <w:rFonts w:cs="Arial"/>
          <w:lang w:eastAsia="ko-KR"/>
        </w:rPr>
        <w:t>to Program 23</w:t>
      </w:r>
      <w:r>
        <w:rPr>
          <w:rFonts w:cs="Arial"/>
          <w:lang w:eastAsia="ko-KR"/>
        </w:rPr>
        <w:t xml:space="preserve"> which centrally manages interns) to support the work of the WIPO Magazine and to assist in the preparations for the World IP Day 2015. </w:t>
      </w:r>
    </w:p>
    <w:p w:rsidR="00FD7155" w:rsidRDefault="00FD7155" w:rsidP="00FD7155">
      <w:pPr>
        <w:autoSpaceDE w:val="0"/>
        <w:autoSpaceDN w:val="0"/>
        <w:jc w:val="both"/>
        <w:rPr>
          <w:rFonts w:cs="Arial"/>
          <w:szCs w:val="20"/>
          <w:lang w:eastAsia="ko-KR"/>
        </w:rPr>
      </w:pPr>
    </w:p>
    <w:p w:rsidR="00FD7155" w:rsidRDefault="00FD7155" w:rsidP="00FD7155">
      <w:pPr>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Budget utilization 2014</w:t>
      </w:r>
    </w:p>
    <w:p w:rsidR="00FD7155" w:rsidRDefault="00FD7155" w:rsidP="00FD7155">
      <w:pPr>
        <w:tabs>
          <w:tab w:val="left" w:pos="709"/>
        </w:tabs>
        <w:jc w:val="both"/>
        <w:rPr>
          <w:rFonts w:cs="Arial"/>
          <w:szCs w:val="20"/>
          <w:u w:val="single"/>
          <w:lang w:eastAsia="ko-KR"/>
        </w:rPr>
      </w:pPr>
    </w:p>
    <w:p w:rsidR="00FD7155" w:rsidRDefault="00FD7155" w:rsidP="00FD7155">
      <w:pPr>
        <w:pStyle w:val="ListParagraph"/>
        <w:numPr>
          <w:ilvl w:val="0"/>
          <w:numId w:val="80"/>
        </w:numPr>
        <w:tabs>
          <w:tab w:val="left" w:pos="709"/>
        </w:tabs>
        <w:ind w:left="0" w:firstLine="0"/>
        <w:jc w:val="both"/>
      </w:pPr>
      <w:r w:rsidRPr="00782825">
        <w:rPr>
          <w:rFonts w:eastAsia="SimSun" w:cs="Arial"/>
          <w:lang w:eastAsia="zh-CN"/>
        </w:rPr>
        <w:t>Budget</w:t>
      </w:r>
      <w:r>
        <w:rPr>
          <w:rFonts w:cs="Arial"/>
          <w:lang w:eastAsia="ko-KR"/>
        </w:rPr>
        <w:t xml:space="preserve"> utilization is within the expected range of 40-60 per cent for the first year of the biennium and is on track. </w:t>
      </w:r>
    </w:p>
    <w:p w:rsidR="005C6F8E" w:rsidRDefault="005C6F8E"/>
    <w:p w:rsidR="00D97F1C" w:rsidRDefault="00D97F1C">
      <w:r>
        <w:br w:type="page"/>
      </w:r>
    </w:p>
    <w:p w:rsidR="00D97F1C" w:rsidRPr="008B4DFF" w:rsidRDefault="00D97F1C" w:rsidP="008B4DFF">
      <w:pPr>
        <w:pStyle w:val="Heading2"/>
        <w:tabs>
          <w:tab w:val="clear" w:pos="567"/>
          <w:tab w:val="left" w:pos="1985"/>
        </w:tabs>
        <w:ind w:left="1985" w:hanging="1985"/>
        <w:jc w:val="both"/>
      </w:pPr>
      <w:bookmarkStart w:id="88" w:name="_Toc422210508"/>
      <w:r w:rsidRPr="00106EBF">
        <w:lastRenderedPageBreak/>
        <w:t>PROGRAM 20</w:t>
      </w:r>
      <w:r w:rsidRPr="00106EBF">
        <w:tab/>
        <w:t>EXTERNAL RELATIONS, PARTNERSHIPS AND EXTERNAL OFFICES</w:t>
      </w:r>
      <w:bookmarkEnd w:id="88"/>
    </w:p>
    <w:p w:rsidR="00D97F1C" w:rsidRPr="00106EBF" w:rsidRDefault="00D97F1C" w:rsidP="00D97F1C">
      <w:pPr>
        <w:ind w:left="1985" w:hanging="1985"/>
        <w:rPr>
          <w:szCs w:val="20"/>
        </w:rPr>
      </w:pPr>
    </w:p>
    <w:p w:rsidR="00D97F1C" w:rsidRPr="005B48CA" w:rsidRDefault="00D97F1C" w:rsidP="00D97F1C">
      <w:pPr>
        <w:ind w:left="1985" w:hanging="1985"/>
        <w:rPr>
          <w:b/>
        </w:rPr>
      </w:pPr>
      <w:r w:rsidRPr="005B48CA">
        <w:rPr>
          <w:b/>
        </w:rPr>
        <w:t>Program Manager</w:t>
      </w:r>
      <w:r w:rsidRPr="005B48CA">
        <w:rPr>
          <w:b/>
        </w:rPr>
        <w:tab/>
        <w:t>Mr. M.</w:t>
      </w:r>
      <w:r>
        <w:rPr>
          <w:b/>
        </w:rPr>
        <w:t xml:space="preserve"> </w:t>
      </w:r>
      <w:r w:rsidRPr="005B48CA">
        <w:rPr>
          <w:b/>
        </w:rPr>
        <w:t>A. Getahun</w:t>
      </w:r>
    </w:p>
    <w:p w:rsidR="00D97F1C" w:rsidRDefault="00D97F1C"/>
    <w:p w:rsidR="00D97F1C" w:rsidRDefault="00D97F1C"/>
    <w:p w:rsidR="00BD0327" w:rsidRDefault="00BD0327" w:rsidP="00BD0327">
      <w:pPr>
        <w:jc w:val="both"/>
        <w:rPr>
          <w:bCs/>
        </w:rPr>
      </w:pPr>
      <w:r w:rsidRPr="00106EBF">
        <w:rPr>
          <w:bCs/>
        </w:rPr>
        <w:t>OVERVIEW OF PROGRESS IN 2014</w:t>
      </w:r>
    </w:p>
    <w:p w:rsidR="00BD0327" w:rsidRDefault="00BD0327" w:rsidP="00BD0327">
      <w:pPr>
        <w:jc w:val="both"/>
        <w:rPr>
          <w:bCs/>
        </w:rPr>
      </w:pPr>
    </w:p>
    <w:p w:rsidR="00BD0327" w:rsidRPr="005B48CA" w:rsidRDefault="00BD0327" w:rsidP="00BD0327">
      <w:pPr>
        <w:jc w:val="both"/>
        <w:rPr>
          <w:bCs/>
        </w:rPr>
      </w:pPr>
      <w:r w:rsidRPr="005B48CA">
        <w:rPr>
          <w:bCs/>
        </w:rPr>
        <w:t>EXTERNAL RELATIONS AND PARTNERSHIPS</w:t>
      </w:r>
    </w:p>
    <w:p w:rsidR="00BD0327" w:rsidRPr="00106EBF" w:rsidRDefault="00BD0327" w:rsidP="00BD0327">
      <w:pPr>
        <w:jc w:val="both"/>
        <w:rPr>
          <w:szCs w:val="20"/>
        </w:rPr>
      </w:pPr>
    </w:p>
    <w:p w:rsidR="00BD0327" w:rsidRPr="005B48CA" w:rsidRDefault="00BD0327" w:rsidP="00BD0327">
      <w:pPr>
        <w:pStyle w:val="ListParagraph"/>
        <w:numPr>
          <w:ilvl w:val="0"/>
          <w:numId w:val="92"/>
        </w:numPr>
        <w:tabs>
          <w:tab w:val="left" w:pos="709"/>
        </w:tabs>
        <w:ind w:left="0" w:firstLine="0"/>
        <w:contextualSpacing/>
        <w:jc w:val="both"/>
      </w:pPr>
      <w:r w:rsidRPr="005B48CA">
        <w:t>The United Nations (UN) and its Member States, in close cooperation with a wide range of stakeholders, are at a critical stage in establishing a universal framework to address the three key pillars of sustainable development.  By the end of the 2014/15 biennium, agreements are expected on the main elements of the Post-2015 Development Agenda and on climate change.  As a specialized agency of the UN, and in line with its mandate and with WIPO DA Recommendations 30 and 40, WIPO continued to play its role in supporting these processes through its strategic engagement and contribution.  In 2014, Program</w:t>
      </w:r>
      <w:r>
        <w:t xml:space="preserve"> </w:t>
      </w:r>
      <w:r w:rsidRPr="005B48CA">
        <w:t xml:space="preserve">20, including through the WIPO New York Office, engaged, </w:t>
      </w:r>
      <w:r w:rsidRPr="005B48CA">
        <w:rPr>
          <w:i/>
        </w:rPr>
        <w:t>inter alia</w:t>
      </w:r>
      <w:r w:rsidRPr="005B48CA">
        <w:t>, in the following processes:</w:t>
      </w:r>
    </w:p>
    <w:p w:rsidR="00BD0327" w:rsidRPr="00106EBF" w:rsidRDefault="00BD0327" w:rsidP="00BD0327">
      <w:pPr>
        <w:jc w:val="both"/>
        <w:rPr>
          <w:szCs w:val="20"/>
        </w:rPr>
      </w:pPr>
    </w:p>
    <w:p w:rsidR="00BD0327" w:rsidRDefault="00BD0327" w:rsidP="00BD0327">
      <w:pPr>
        <w:pStyle w:val="ListParagraph"/>
        <w:numPr>
          <w:ilvl w:val="0"/>
          <w:numId w:val="89"/>
        </w:numPr>
        <w:contextualSpacing/>
        <w:jc w:val="both"/>
      </w:pPr>
      <w:r>
        <w:t>T</w:t>
      </w:r>
      <w:r w:rsidRPr="00B03ABB">
        <w:t xml:space="preserve">he work of the inter-agency UN Task Team (UNTT) on the </w:t>
      </w:r>
      <w:r>
        <w:t>Post-</w:t>
      </w:r>
      <w:r w:rsidRPr="00B03ABB">
        <w:t>2015 Development Agenda, the UN Technical Support Team (TST) to the Open Working Group on Sustainable Development Goals (OWG), and the President of the UN General Assembly’s Structured Dialogues on possible arrangements for a facilitation mechanism to promote the development, transfer and dissemination of clean and environmentally sound technologies.</w:t>
      </w:r>
    </w:p>
    <w:p w:rsidR="00BD0327" w:rsidRDefault="00BD0327" w:rsidP="00BD0327">
      <w:pPr>
        <w:jc w:val="both"/>
        <w:rPr>
          <w:szCs w:val="20"/>
        </w:rPr>
      </w:pPr>
    </w:p>
    <w:p w:rsidR="00BD0327" w:rsidRDefault="00BD0327" w:rsidP="00BD0327">
      <w:pPr>
        <w:pStyle w:val="ListParagraph"/>
        <w:numPr>
          <w:ilvl w:val="0"/>
          <w:numId w:val="89"/>
        </w:numPr>
        <w:contextualSpacing/>
        <w:jc w:val="both"/>
      </w:pPr>
      <w:r>
        <w:t>W</w:t>
      </w:r>
      <w:r w:rsidRPr="00B03ABB">
        <w:t>ork on technology in the UN Framework Convention on Climate Change (UNFCCC), in particular the UNFCCC Technology Mechanism</w:t>
      </w:r>
      <w:r>
        <w:t xml:space="preserve">, </w:t>
      </w:r>
      <w:r w:rsidRPr="00B03ABB">
        <w:t>the Technology Executive Committee (TEC) and the Climate Technology Center and Network (CTCN)</w:t>
      </w:r>
      <w:r>
        <w:t xml:space="preserve">.  In this context, the Program supported a TEC Workshop on National Systems of Innovation presenting the Global Innovation Index at the UNFCCC June 2014 Sessions and co-organized a side event with the International Renewable Energy Agency (IRENA). </w:t>
      </w:r>
      <w:r w:rsidRPr="00B03ABB">
        <w:t xml:space="preserve"> </w:t>
      </w:r>
    </w:p>
    <w:p w:rsidR="00BD0327" w:rsidRDefault="00BD0327" w:rsidP="00BD0327">
      <w:pPr>
        <w:pStyle w:val="ListParagraph"/>
        <w:ind w:left="780"/>
        <w:jc w:val="both"/>
      </w:pPr>
    </w:p>
    <w:p w:rsidR="00BD0327" w:rsidRPr="00B03ABB" w:rsidRDefault="00BD0327" w:rsidP="00BD0327">
      <w:pPr>
        <w:pStyle w:val="ListParagraph"/>
        <w:numPr>
          <w:ilvl w:val="0"/>
          <w:numId w:val="81"/>
        </w:numPr>
        <w:contextualSpacing/>
        <w:jc w:val="both"/>
      </w:pPr>
      <w:r w:rsidRPr="00B03ABB">
        <w:t>The Third International Conference on SIDS held in</w:t>
      </w:r>
      <w:r>
        <w:t xml:space="preserve"> Apia, Samoa in September 2014.  </w:t>
      </w:r>
      <w:r w:rsidRPr="00B03ABB">
        <w:t>WIPO conducted a side event on traditional knowledge and IP, and contributed nine partnerships to the SIDS Action Platform, and also participated in the Interagency Consultative Group working on implementation of the SAMOA Pathway outcome document.</w:t>
      </w:r>
    </w:p>
    <w:p w:rsidR="00BD0327" w:rsidRPr="00B03ABB" w:rsidRDefault="00BD0327" w:rsidP="00BD0327">
      <w:pPr>
        <w:pStyle w:val="ListParagraph"/>
        <w:ind w:left="780"/>
        <w:jc w:val="both"/>
      </w:pPr>
    </w:p>
    <w:p w:rsidR="00BD0327" w:rsidRPr="00A958D0" w:rsidRDefault="00BD0327" w:rsidP="00BD0327">
      <w:pPr>
        <w:pStyle w:val="ListParagraph"/>
        <w:numPr>
          <w:ilvl w:val="0"/>
          <w:numId w:val="89"/>
        </w:numPr>
        <w:contextualSpacing/>
        <w:jc w:val="both"/>
      </w:pPr>
      <w:r>
        <w:t>C</w:t>
      </w:r>
      <w:r w:rsidRPr="00A958D0">
        <w:t>ontribution to the MDG Gap Task Force Report 2014</w:t>
      </w:r>
      <w:r>
        <w:t>.</w:t>
      </w:r>
      <w:r w:rsidRPr="00A958D0">
        <w:t xml:space="preserve"> </w:t>
      </w:r>
      <w:r>
        <w:t>I</w:t>
      </w:r>
      <w:r w:rsidRPr="00A958D0">
        <w:t>n line with DA Recommendation 22</w:t>
      </w:r>
      <w:r>
        <w:t xml:space="preserve">, </w:t>
      </w:r>
      <w:r w:rsidRPr="00A958D0">
        <w:t xml:space="preserve">WIPO worked with WTO and WHO on the section of the Report related to access to essential and affordable medicines.  </w:t>
      </w:r>
    </w:p>
    <w:p w:rsidR="00BD0327" w:rsidRPr="00106EBF" w:rsidRDefault="00BD0327" w:rsidP="00BD0327">
      <w:pPr>
        <w:jc w:val="both"/>
        <w:rPr>
          <w:szCs w:val="20"/>
        </w:rPr>
      </w:pPr>
    </w:p>
    <w:p w:rsidR="00BD0327" w:rsidRPr="0095551B" w:rsidRDefault="00BD0327" w:rsidP="00BD0327">
      <w:pPr>
        <w:pStyle w:val="ListParagraph"/>
        <w:numPr>
          <w:ilvl w:val="0"/>
          <w:numId w:val="89"/>
        </w:numPr>
        <w:contextualSpacing/>
        <w:jc w:val="both"/>
      </w:pPr>
      <w:r>
        <w:t>C</w:t>
      </w:r>
      <w:r w:rsidRPr="00B03ABB">
        <w:t xml:space="preserve">ontributions to the implementation of the outcomes of the World Summit on the Information Society (WSIS) </w:t>
      </w:r>
      <w:r>
        <w:t>and</w:t>
      </w:r>
      <w:r w:rsidRPr="00B03ABB">
        <w:t xml:space="preserve"> the 10-year review of the implementation of the outcomes of WSIS in response to the Economic and Social Council (ECOSOC) resolution 2013/9.  In </w:t>
      </w:r>
      <w:r>
        <w:t>support of</w:t>
      </w:r>
      <w:r w:rsidRPr="00B03ABB">
        <w:t xml:space="preserve"> DA Recommendation 24,</w:t>
      </w:r>
      <w:r>
        <w:t xml:space="preserve"> </w:t>
      </w:r>
      <w:r w:rsidRPr="00B03ABB">
        <w:t xml:space="preserve">WIPO was actively engaged in the WSIS+10 High Level Event that took place in </w:t>
      </w:r>
      <w:r w:rsidRPr="00AA0C99">
        <w:t xml:space="preserve">Geneva from June 10 to 13, 2014, at </w:t>
      </w:r>
      <w:r w:rsidRPr="0012661F">
        <w:t>which t</w:t>
      </w:r>
      <w:r w:rsidRPr="00891471">
        <w:t xml:space="preserve">he Director General addressed </w:t>
      </w:r>
      <w:r w:rsidRPr="00152A1E">
        <w:t xml:space="preserve">the Opening Session.  In coordination with Program 3, a workshop on </w:t>
      </w:r>
      <w:r w:rsidRPr="00152A1E">
        <w:rPr>
          <w:i/>
        </w:rPr>
        <w:t>“Media and the Internet”</w:t>
      </w:r>
      <w:r w:rsidRPr="00152A1E">
        <w:t xml:space="preserve"> was organized for the WSIS Forum Track.  WIPO also engaged actively in the Internet Governance Forum (IGF) in 2014. </w:t>
      </w:r>
      <w:r w:rsidRPr="0095551B">
        <w:t>WIPO also co-organized two workshops at the IGF: on</w:t>
      </w:r>
      <w:r w:rsidRPr="0095551B">
        <w:rPr>
          <w:i/>
        </w:rPr>
        <w:t xml:space="preserve"> “The Business of Creativity”</w:t>
      </w:r>
      <w:r w:rsidRPr="0095551B">
        <w:t xml:space="preserve"> and on </w:t>
      </w:r>
      <w:r w:rsidRPr="0095551B">
        <w:rPr>
          <w:i/>
        </w:rPr>
        <w:t>“Creating, Protecting, and Providing Access to Digital Culture”</w:t>
      </w:r>
      <w:r w:rsidRPr="0095551B">
        <w:t xml:space="preserve">.  </w:t>
      </w:r>
    </w:p>
    <w:p w:rsidR="00BD0327" w:rsidRPr="00106EBF" w:rsidRDefault="00BD0327" w:rsidP="00BD0327">
      <w:pPr>
        <w:jc w:val="both"/>
        <w:rPr>
          <w:szCs w:val="20"/>
        </w:rPr>
      </w:pPr>
    </w:p>
    <w:p w:rsidR="00BD0327" w:rsidRDefault="00BD0327" w:rsidP="00BD0327">
      <w:pPr>
        <w:pStyle w:val="ListParagraph"/>
        <w:numPr>
          <w:ilvl w:val="0"/>
          <w:numId w:val="92"/>
        </w:numPr>
        <w:tabs>
          <w:tab w:val="left" w:pos="709"/>
        </w:tabs>
        <w:ind w:left="0" w:firstLine="0"/>
        <w:contextualSpacing/>
        <w:jc w:val="both"/>
      </w:pPr>
      <w:r w:rsidRPr="00106EBF">
        <w:t xml:space="preserve">Throughout 2014, </w:t>
      </w:r>
      <w:r>
        <w:t>WIPO</w:t>
      </w:r>
      <w:r w:rsidRPr="00106EBF">
        <w:t xml:space="preserve"> continued to promote strengthened partnerships with </w:t>
      </w:r>
      <w:r>
        <w:t xml:space="preserve">the following </w:t>
      </w:r>
      <w:r w:rsidRPr="00106EBF">
        <w:t>key institutional partner IGOs</w:t>
      </w:r>
      <w:r>
        <w:t>:</w:t>
      </w:r>
      <w:r w:rsidRPr="00106EBF">
        <w:t xml:space="preserve">  </w:t>
      </w:r>
    </w:p>
    <w:p w:rsidR="00BD0327" w:rsidRDefault="00BD0327" w:rsidP="00BD0327">
      <w:pPr>
        <w:jc w:val="both"/>
        <w:rPr>
          <w:szCs w:val="20"/>
        </w:rPr>
      </w:pPr>
    </w:p>
    <w:p w:rsidR="00BD0327" w:rsidRDefault="00BD0327" w:rsidP="00BD0327">
      <w:pPr>
        <w:pStyle w:val="ListParagraph"/>
        <w:numPr>
          <w:ilvl w:val="0"/>
          <w:numId w:val="90"/>
        </w:numPr>
        <w:contextualSpacing/>
        <w:jc w:val="both"/>
      </w:pPr>
      <w:r w:rsidRPr="00106EBF">
        <w:t>Working with Programs 1, 2, 3, 4, 9, 17 and 18</w:t>
      </w:r>
      <w:r>
        <w:t>, Program 20</w:t>
      </w:r>
      <w:r w:rsidRPr="00106EBF">
        <w:t xml:space="preserve"> ensured WIPO’s effective engagement in the WTO TRIPS Council and coordinated WIPO’s participation in WTO national, regional and international workshops on various topics, and in the WTO Symposium “</w:t>
      </w:r>
      <w:r w:rsidRPr="00106EBF">
        <w:rPr>
          <w:i/>
        </w:rPr>
        <w:t>Realizing Development Objectives of the IP System:</w:t>
      </w:r>
      <w:r>
        <w:rPr>
          <w:i/>
        </w:rPr>
        <w:t xml:space="preserve"> </w:t>
      </w:r>
      <w:r w:rsidRPr="00106EBF">
        <w:rPr>
          <w:i/>
        </w:rPr>
        <w:t>LDC Priority Needs for Technical and Financial Cooperation</w:t>
      </w:r>
      <w:r>
        <w:t xml:space="preserve">” in Geneva, June 11 and 12. </w:t>
      </w:r>
    </w:p>
    <w:p w:rsidR="00BD0327" w:rsidRDefault="00BD0327" w:rsidP="00BD0327">
      <w:pPr>
        <w:pStyle w:val="ListParagraph"/>
        <w:jc w:val="both"/>
      </w:pPr>
    </w:p>
    <w:p w:rsidR="00BD0327" w:rsidRDefault="00BD0327" w:rsidP="00BD0327">
      <w:pPr>
        <w:pStyle w:val="ListParagraph"/>
        <w:numPr>
          <w:ilvl w:val="0"/>
          <w:numId w:val="90"/>
        </w:numPr>
        <w:contextualSpacing/>
        <w:jc w:val="both"/>
      </w:pPr>
      <w:r w:rsidRPr="00CD3BE0">
        <w:t>Cooperation with the WHO remain</w:t>
      </w:r>
      <w:r>
        <w:t>ed</w:t>
      </w:r>
      <w:r w:rsidRPr="00CD3BE0">
        <w:t xml:space="preserve"> a high priority</w:t>
      </w:r>
      <w:r>
        <w:t xml:space="preserve"> in 2014. I</w:t>
      </w:r>
      <w:r w:rsidRPr="00CD3BE0">
        <w:t xml:space="preserve">n addition to the work undertaken in cooperation with Programs 1, 14 and 18 in the context of the WIPO-WHO-WTO trilateral, </w:t>
      </w:r>
      <w:r>
        <w:t>WIPO</w:t>
      </w:r>
      <w:r w:rsidRPr="00CD3BE0">
        <w:t xml:space="preserve"> effective</w:t>
      </w:r>
      <w:r>
        <w:t>ly</w:t>
      </w:r>
      <w:r w:rsidRPr="00CD3BE0">
        <w:t xml:space="preserve"> engage</w:t>
      </w:r>
      <w:r>
        <w:t>d</w:t>
      </w:r>
      <w:r w:rsidRPr="00CD3BE0">
        <w:t xml:space="preserve"> at </w:t>
      </w:r>
      <w:r>
        <w:t xml:space="preserve">other </w:t>
      </w:r>
      <w:r w:rsidRPr="00CD3BE0">
        <w:t xml:space="preserve">relevant WHO </w:t>
      </w:r>
      <w:r>
        <w:t>m</w:t>
      </w:r>
      <w:r w:rsidRPr="00CD3BE0">
        <w:t>eetings and processes</w:t>
      </w:r>
      <w:r>
        <w:t xml:space="preserve">, as well as </w:t>
      </w:r>
      <w:r w:rsidRPr="00CD3BE0">
        <w:t xml:space="preserve">at a series of </w:t>
      </w:r>
      <w:r w:rsidRPr="00CD3BE0">
        <w:lastRenderedPageBreak/>
        <w:t xml:space="preserve">meetings in the framework of the UN process on Non-communicable Diseases (NCDs). </w:t>
      </w:r>
      <w:r>
        <w:t xml:space="preserve"> </w:t>
      </w:r>
      <w:r w:rsidRPr="00605F5B">
        <w:rPr>
          <w:rFonts w:eastAsia="SimSun" w:cs="Arial"/>
          <w:iCs/>
          <w:lang w:eastAsia="zh-CN"/>
        </w:rPr>
        <w:t>With respect to Recommendation 14 on providing advice to developing countries and LDCs on the implementation and operation of the rights and obligations, and the understanding and use of flexibilities contained in the TRIPS Agreement, Program 20, in cooperation with the substantive WIPO sectors, ensured that activities undertaken with the WTO and WHO reflected this Recommendation.</w:t>
      </w:r>
    </w:p>
    <w:p w:rsidR="00BD0327" w:rsidRPr="00D22CDA" w:rsidRDefault="00BD0327" w:rsidP="00BD0327">
      <w:pPr>
        <w:jc w:val="both"/>
        <w:rPr>
          <w:szCs w:val="20"/>
        </w:rPr>
      </w:pPr>
    </w:p>
    <w:p w:rsidR="00BD0327" w:rsidRPr="00404149" w:rsidRDefault="00BD0327" w:rsidP="00BD0327">
      <w:pPr>
        <w:pStyle w:val="ListParagraph"/>
        <w:numPr>
          <w:ilvl w:val="0"/>
          <w:numId w:val="90"/>
        </w:numPr>
        <w:contextualSpacing/>
        <w:jc w:val="both"/>
      </w:pPr>
      <w:r w:rsidRPr="00404149">
        <w:t>Program 20 coordinated WIPO’s participation in the 21</w:t>
      </w:r>
      <w:r w:rsidRPr="00404149">
        <w:rPr>
          <w:vertAlign w:val="superscript"/>
        </w:rPr>
        <w:t>st</w:t>
      </w:r>
      <w:r w:rsidRPr="00404149">
        <w:t xml:space="preserve"> session of the Intergovernmental Council of the International Hydrological </w:t>
      </w:r>
      <w:proofErr w:type="spellStart"/>
      <w:r w:rsidRPr="00404149">
        <w:t>Programme</w:t>
      </w:r>
      <w:proofErr w:type="spellEnd"/>
      <w:r w:rsidRPr="00404149">
        <w:t xml:space="preserve"> (IHP), UNESCO, Paris, June 18 to 20</w:t>
      </w:r>
      <w:proofErr w:type="gramStart"/>
      <w:r w:rsidRPr="00404149">
        <w:t>;  at</w:t>
      </w:r>
      <w:proofErr w:type="gramEnd"/>
      <w:r w:rsidRPr="00404149">
        <w:t xml:space="preserve"> the</w:t>
      </w:r>
      <w:r>
        <w:t xml:space="preserve"> </w:t>
      </w:r>
      <w:r w:rsidRPr="00152A1E">
        <w:t>3</w:t>
      </w:r>
      <w:r w:rsidRPr="00152A1E">
        <w:rPr>
          <w:vertAlign w:val="superscript"/>
        </w:rPr>
        <w:t>rd</w:t>
      </w:r>
      <w:r>
        <w:rPr>
          <w:vertAlign w:val="superscript"/>
        </w:rPr>
        <w:t> </w:t>
      </w:r>
      <w:r w:rsidRPr="00152A1E">
        <w:t>Internationa</w:t>
      </w:r>
      <w:r w:rsidRPr="00404149">
        <w:t>l Conference on “</w:t>
      </w:r>
      <w:r w:rsidRPr="00404149">
        <w:rPr>
          <w:i/>
        </w:rPr>
        <w:t>Water Resources and Environmental Management”.</w:t>
      </w:r>
      <w:r>
        <w:t xml:space="preserve"> (ICWRE</w:t>
      </w:r>
      <w:r>
        <w:noBreakHyphen/>
      </w:r>
      <w:r w:rsidRPr="00404149">
        <w:t xml:space="preserve">2014), Antalya, May 13 to 15;  and in the organization of a side event with IHP UNESCO at the World Water Week, Stockholm, August 31 to September 6. </w:t>
      </w:r>
    </w:p>
    <w:p w:rsidR="00BD0327" w:rsidRDefault="00BD0327" w:rsidP="00BD0327">
      <w:pPr>
        <w:jc w:val="both"/>
        <w:rPr>
          <w:szCs w:val="20"/>
        </w:rPr>
      </w:pPr>
    </w:p>
    <w:p w:rsidR="00BD0327" w:rsidRPr="00B03ABB" w:rsidRDefault="00BD0327" w:rsidP="00BD0327">
      <w:pPr>
        <w:pStyle w:val="ListParagraph"/>
        <w:numPr>
          <w:ilvl w:val="0"/>
          <w:numId w:val="90"/>
        </w:numPr>
        <w:contextualSpacing/>
        <w:jc w:val="both"/>
      </w:pPr>
      <w:r w:rsidRPr="00B03ABB">
        <w:t xml:space="preserve">Working in cooperation with UNCTAD, the United Nations Office in Geneva (UNOG), the International Trade Center (ITC), the </w:t>
      </w:r>
      <w:proofErr w:type="spellStart"/>
      <w:r w:rsidRPr="00B03ABB">
        <w:rPr>
          <w:i/>
        </w:rPr>
        <w:t>Département</w:t>
      </w:r>
      <w:proofErr w:type="spellEnd"/>
      <w:r w:rsidRPr="00B03ABB">
        <w:rPr>
          <w:i/>
        </w:rPr>
        <w:t xml:space="preserve"> du </w:t>
      </w:r>
      <w:proofErr w:type="spellStart"/>
      <w:r w:rsidRPr="00B03ABB">
        <w:rPr>
          <w:i/>
        </w:rPr>
        <w:t>Développement</w:t>
      </w:r>
      <w:proofErr w:type="spellEnd"/>
      <w:r w:rsidRPr="00B03ABB">
        <w:rPr>
          <w:i/>
        </w:rPr>
        <w:t xml:space="preserve"> </w:t>
      </w:r>
      <w:proofErr w:type="spellStart"/>
      <w:r>
        <w:rPr>
          <w:i/>
        </w:rPr>
        <w:t>É</w:t>
      </w:r>
      <w:r w:rsidRPr="00B03ABB">
        <w:rPr>
          <w:i/>
        </w:rPr>
        <w:t>conomique</w:t>
      </w:r>
      <w:proofErr w:type="spellEnd"/>
      <w:r w:rsidRPr="00B03ABB">
        <w:rPr>
          <w:i/>
        </w:rPr>
        <w:t xml:space="preserve"> du Canton de Genève</w:t>
      </w:r>
      <w:r w:rsidRPr="00B03ABB">
        <w:t xml:space="preserve">, </w:t>
      </w:r>
      <w:proofErr w:type="spellStart"/>
      <w:r w:rsidRPr="00B03ABB">
        <w:rPr>
          <w:i/>
        </w:rPr>
        <w:t>Université</w:t>
      </w:r>
      <w:proofErr w:type="spellEnd"/>
      <w:r w:rsidRPr="00B03ABB">
        <w:rPr>
          <w:i/>
        </w:rPr>
        <w:t xml:space="preserve"> de Genève</w:t>
      </w:r>
      <w:r w:rsidRPr="00B03ABB">
        <w:t xml:space="preserve"> (UNIGE) and the </w:t>
      </w:r>
      <w:proofErr w:type="spellStart"/>
      <w:r w:rsidRPr="00B03ABB">
        <w:rPr>
          <w:i/>
        </w:rPr>
        <w:t>Fédération</w:t>
      </w:r>
      <w:proofErr w:type="spellEnd"/>
      <w:r w:rsidRPr="00B03ABB">
        <w:rPr>
          <w:i/>
        </w:rPr>
        <w:t xml:space="preserve"> des </w:t>
      </w:r>
      <w:proofErr w:type="spellStart"/>
      <w:r w:rsidRPr="00B03ABB">
        <w:rPr>
          <w:i/>
        </w:rPr>
        <w:t>Entreprises</w:t>
      </w:r>
      <w:proofErr w:type="spellEnd"/>
      <w:r w:rsidRPr="00B03ABB">
        <w:rPr>
          <w:i/>
        </w:rPr>
        <w:t xml:space="preserve"> </w:t>
      </w:r>
      <w:proofErr w:type="spellStart"/>
      <w:r w:rsidRPr="00B03ABB">
        <w:rPr>
          <w:i/>
        </w:rPr>
        <w:t>Romandes</w:t>
      </w:r>
      <w:proofErr w:type="spellEnd"/>
      <w:r w:rsidRPr="00B03ABB">
        <w:t xml:space="preserve"> (FER), WIPO </w:t>
      </w:r>
      <w:r>
        <w:t xml:space="preserve">was an active partner in the Geneva based Global Entrepreneurship Week (GEW) and </w:t>
      </w:r>
      <w:r w:rsidRPr="00B03ABB">
        <w:t>co-organized a week o</w:t>
      </w:r>
      <w:r>
        <w:t>f events</w:t>
      </w:r>
      <w:r w:rsidRPr="00B03ABB">
        <w:t xml:space="preserve"> and training sessions for the GEW 2014.  WIPO’s focus was primarily on innovation promotion, youth entrepreneurship and the organization of capacity building sessions on patent information, SMEs and IP. </w:t>
      </w:r>
      <w:r>
        <w:t xml:space="preserve">(Supporting implementation of </w:t>
      </w:r>
      <w:r w:rsidRPr="00B03ABB">
        <w:t>DA Recommendations 4, 11 and 40</w:t>
      </w:r>
      <w:r>
        <w:t xml:space="preserve">, as well as </w:t>
      </w:r>
      <w:r w:rsidRPr="00B03ABB">
        <w:t>the work of Programs 11, 14 and 30</w:t>
      </w:r>
      <w:r>
        <w:t xml:space="preserve">). </w:t>
      </w:r>
    </w:p>
    <w:p w:rsidR="00BD0327" w:rsidRDefault="00BD0327" w:rsidP="00BD0327">
      <w:pPr>
        <w:jc w:val="both"/>
        <w:rPr>
          <w:szCs w:val="20"/>
        </w:rPr>
      </w:pPr>
    </w:p>
    <w:p w:rsidR="00BD0327" w:rsidRPr="00B03ABB" w:rsidRDefault="00BD0327" w:rsidP="00BD0327">
      <w:pPr>
        <w:pStyle w:val="ListParagraph"/>
        <w:numPr>
          <w:ilvl w:val="0"/>
          <w:numId w:val="91"/>
        </w:numPr>
        <w:contextualSpacing/>
        <w:jc w:val="both"/>
      </w:pPr>
      <w:r w:rsidRPr="00B03ABB">
        <w:t xml:space="preserve">Cooperation with other UN agencies, in particular the ITU, UNESCO, UNIDO and UNCTAD continued to provide mutual support to achieve WIPO’s expected results and the implementation of the WIPO Development Agenda. </w:t>
      </w:r>
    </w:p>
    <w:p w:rsidR="00BD0327" w:rsidRPr="00106EBF" w:rsidRDefault="00BD0327" w:rsidP="00BD0327">
      <w:pPr>
        <w:jc w:val="both"/>
        <w:rPr>
          <w:szCs w:val="20"/>
        </w:rPr>
      </w:pPr>
    </w:p>
    <w:p w:rsidR="00BD0327" w:rsidRPr="007F69C5" w:rsidRDefault="00BD0327" w:rsidP="00BD0327">
      <w:pPr>
        <w:pStyle w:val="ListParagraph"/>
        <w:numPr>
          <w:ilvl w:val="0"/>
          <w:numId w:val="92"/>
        </w:numPr>
        <w:tabs>
          <w:tab w:val="left" w:pos="709"/>
        </w:tabs>
        <w:ind w:left="0" w:firstLine="0"/>
        <w:contextualSpacing/>
        <w:jc w:val="both"/>
      </w:pPr>
      <w:r w:rsidRPr="007F69C5">
        <w:t xml:space="preserve">WIPO’s work to mobilize partnerships and voluntary financial contributions for IP projects continued throughout 2014 and reflected the continuing and successful mainstreaming of DA Recommendation 2 in the Program’s activities.  A significant part of that work was to provide advice and guidance to WIPO projects such as WIPO GREEN, WIPO </w:t>
      </w:r>
      <w:proofErr w:type="spellStart"/>
      <w:r w:rsidRPr="007F69C5">
        <w:t>Re</w:t>
      </w:r>
      <w:proofErr w:type="gramStart"/>
      <w:r w:rsidRPr="007F69C5">
        <w:t>:Search</w:t>
      </w:r>
      <w:proofErr w:type="spellEnd"/>
      <w:proofErr w:type="gramEnd"/>
      <w:r w:rsidRPr="007F69C5">
        <w:t xml:space="preserve"> and the ABC Consortium in identifying potential donors and developing strategies to establish partnerships and attract financial support.  In addition, in</w:t>
      </w:r>
      <w:r>
        <w:t xml:space="preserve"> </w:t>
      </w:r>
      <w:r w:rsidRPr="007F69C5">
        <w:t>June 2014, the Program working with the UN Global Compact and in close cooperation with the Ethiopian Intellectual Property Office (EIPO), organized a field trip to a coffee processing facility of the Oromia Coffee Farmers’ Cooperative Union (OCFCU) as part of the UN Global Compact’s Annual UN Private Sector Focal Point Meeting in Addis Ababa.  The event showcased ways in which IP and partnership can support development.</w:t>
      </w:r>
    </w:p>
    <w:p w:rsidR="00BD0327" w:rsidRDefault="00BD0327" w:rsidP="00BD0327">
      <w:pPr>
        <w:jc w:val="both"/>
        <w:rPr>
          <w:szCs w:val="20"/>
        </w:rPr>
      </w:pPr>
    </w:p>
    <w:p w:rsidR="00BD0327" w:rsidRDefault="00BD0327" w:rsidP="00BD0327">
      <w:pPr>
        <w:pStyle w:val="ListParagraph"/>
        <w:tabs>
          <w:tab w:val="left" w:pos="709"/>
        </w:tabs>
        <w:ind w:left="0"/>
        <w:jc w:val="both"/>
        <w:rPr>
          <w:rFonts w:eastAsia="SimSun" w:cs="Arial"/>
          <w:iCs/>
          <w:lang w:eastAsia="zh-CN"/>
        </w:rPr>
      </w:pPr>
      <w:r w:rsidRPr="007F69C5">
        <w:rPr>
          <w:rFonts w:eastAsia="SimSun" w:cs="Arial"/>
          <w:iCs/>
          <w:lang w:eastAsia="zh-CN"/>
        </w:rPr>
        <w:t xml:space="preserve">NGO AND INDUSTRY RELATIONS:  </w:t>
      </w:r>
    </w:p>
    <w:p w:rsidR="00BD0327" w:rsidRDefault="00BD0327" w:rsidP="00BD0327">
      <w:pPr>
        <w:pStyle w:val="ListParagraph"/>
        <w:tabs>
          <w:tab w:val="left" w:pos="709"/>
        </w:tabs>
        <w:ind w:left="0"/>
        <w:jc w:val="both"/>
        <w:rPr>
          <w:rFonts w:eastAsia="SimSun" w:cs="Arial"/>
          <w:iCs/>
          <w:lang w:eastAsia="zh-CN"/>
        </w:rPr>
      </w:pPr>
    </w:p>
    <w:p w:rsidR="00BD0327" w:rsidRPr="00206943" w:rsidRDefault="00BD0327" w:rsidP="00F60CAF">
      <w:pPr>
        <w:pStyle w:val="ListParagraph"/>
        <w:numPr>
          <w:ilvl w:val="0"/>
          <w:numId w:val="92"/>
        </w:numPr>
        <w:tabs>
          <w:tab w:val="left" w:pos="709"/>
        </w:tabs>
        <w:ind w:left="0" w:firstLine="0"/>
        <w:contextualSpacing/>
        <w:jc w:val="both"/>
      </w:pPr>
      <w:r w:rsidRPr="00206943">
        <w:t xml:space="preserve">Throughout 2014, work also continued to ensure the active engagement of non-governmental stakeholders in WIPO’s </w:t>
      </w:r>
      <w:r>
        <w:t>P</w:t>
      </w:r>
      <w:r w:rsidRPr="00206943">
        <w:t>rograms.  WIPO pursued sustained outreach efforts and organized activities to facilitate more effective discussions with civil society representatives, including, in particular, those relating to the WIPO DA</w:t>
      </w:r>
      <w:r>
        <w:t>, consistent with DA Recommendation 42</w:t>
      </w:r>
      <w:r w:rsidRPr="00206943">
        <w:t xml:space="preserve">.  In 2014, WIPO hosted the third annual meeting with the Director General exclusively for </w:t>
      </w:r>
      <w:r>
        <w:t>a</w:t>
      </w:r>
      <w:r w:rsidRPr="00206943">
        <w:t xml:space="preserve">ccredited NGOs, continuing a valuable tradition of open, transparent and responsive interaction with them on WIPO’s work and achievements.  WIPO also facilitated a number of different fora through which it sought the participation of and cooperation with non-governmental stakeholders, including workshops and seminars, consultations on specific projects, and side-events.   </w:t>
      </w:r>
    </w:p>
    <w:p w:rsidR="00BD0327" w:rsidRPr="00206943" w:rsidRDefault="00BD0327" w:rsidP="00F60CAF">
      <w:pPr>
        <w:jc w:val="both"/>
        <w:rPr>
          <w:szCs w:val="20"/>
        </w:rPr>
      </w:pPr>
    </w:p>
    <w:p w:rsidR="00BD0327" w:rsidRPr="00504E61" w:rsidRDefault="00BD0327" w:rsidP="00F60CAF">
      <w:pPr>
        <w:pStyle w:val="ListParagraph"/>
        <w:numPr>
          <w:ilvl w:val="0"/>
          <w:numId w:val="92"/>
        </w:numPr>
        <w:tabs>
          <w:tab w:val="left" w:pos="709"/>
        </w:tabs>
        <w:ind w:left="0" w:firstLine="0"/>
        <w:contextualSpacing/>
        <w:jc w:val="both"/>
        <w:rPr>
          <w:rFonts w:eastAsia="SimSun" w:cs="Arial"/>
          <w:iCs/>
          <w:lang w:eastAsia="zh-CN"/>
        </w:rPr>
      </w:pPr>
      <w:r w:rsidRPr="00206943">
        <w:t>Notably, following the successful adoption of the Marrakesh</w:t>
      </w:r>
      <w:r>
        <w:t xml:space="preserve"> VIP</w:t>
      </w:r>
      <w:r w:rsidRPr="00206943">
        <w:t xml:space="preserve"> Treaty in 2013</w:t>
      </w:r>
      <w:proofErr w:type="gramStart"/>
      <w:r w:rsidRPr="00206943">
        <w:t>,  WIPO</w:t>
      </w:r>
      <w:proofErr w:type="gramEnd"/>
      <w:r w:rsidRPr="00206943">
        <w:t xml:space="preserve"> launched a seminar series entitled “From Policy to Practice: Implementing the Marrakesh Treaty and Making Accessible Books Available” to provide guidance to and help raise awareness among all stakeholders of the treaty provisions and practical multi-stakeholder initiatives aimed at increasing the availability of books in accessible formats, such as the Accessible Books Consortium.  Through these and other events, WIPO maintained its commitment to identifying and promoting opportunities and to enhancing measures that ensure the wide participation of civil society at large in WIPO activities.</w:t>
      </w:r>
    </w:p>
    <w:p w:rsidR="00BD0327" w:rsidRDefault="00BD0327" w:rsidP="00F60CAF">
      <w:pPr>
        <w:jc w:val="both"/>
        <w:rPr>
          <w:szCs w:val="20"/>
        </w:rPr>
      </w:pPr>
    </w:p>
    <w:p w:rsidR="00BD0327" w:rsidRDefault="00BD0327" w:rsidP="00F60CAF">
      <w:pPr>
        <w:keepNext/>
        <w:keepLines/>
        <w:jc w:val="both"/>
        <w:rPr>
          <w:szCs w:val="20"/>
        </w:rPr>
      </w:pPr>
      <w:r>
        <w:rPr>
          <w:szCs w:val="20"/>
        </w:rPr>
        <w:lastRenderedPageBreak/>
        <w:t>EXTERNAL OFFICES</w:t>
      </w:r>
    </w:p>
    <w:p w:rsidR="00BD0327" w:rsidRDefault="00BD0327" w:rsidP="00F60CAF">
      <w:pPr>
        <w:keepNext/>
        <w:keepLines/>
        <w:jc w:val="both"/>
        <w:rPr>
          <w:szCs w:val="20"/>
        </w:rPr>
      </w:pPr>
    </w:p>
    <w:p w:rsidR="00BD0327" w:rsidRDefault="00BD0327" w:rsidP="00F60CAF">
      <w:pPr>
        <w:pStyle w:val="ListParagraph"/>
        <w:keepNext/>
        <w:keepLines/>
        <w:numPr>
          <w:ilvl w:val="0"/>
          <w:numId w:val="92"/>
        </w:numPr>
        <w:tabs>
          <w:tab w:val="left" w:pos="709"/>
        </w:tabs>
        <w:ind w:left="0" w:firstLine="0"/>
        <w:contextualSpacing/>
        <w:jc w:val="both"/>
      </w:pPr>
      <w:r w:rsidRPr="007E1B83">
        <w:t>WIPO’s n</w:t>
      </w:r>
      <w:r>
        <w:t>etwork of External Offices continued to form</w:t>
      </w:r>
      <w:r w:rsidRPr="007E1B83">
        <w:t xml:space="preserve"> an integral part of the Organization designed to bring </w:t>
      </w:r>
      <w:r>
        <w:t xml:space="preserve">WIPO’s </w:t>
      </w:r>
      <w:r w:rsidRPr="007E1B83">
        <w:t>services and cooperation closer to Member States, stakeholders and partners</w:t>
      </w:r>
      <w:r>
        <w:t xml:space="preserve"> with a view to enhancing </w:t>
      </w:r>
      <w:r w:rsidRPr="007E1B83">
        <w:t xml:space="preserve">efficiency and effectiveness </w:t>
      </w:r>
      <w:r>
        <w:t>of</w:t>
      </w:r>
      <w:r w:rsidRPr="007E1B83">
        <w:t xml:space="preserve"> program delivery</w:t>
      </w:r>
      <w:r>
        <w:t xml:space="preserve">, as well as responding </w:t>
      </w:r>
      <w:r w:rsidRPr="007E1B83">
        <w:t>to the specific needs and priorities of the countries and</w:t>
      </w:r>
      <w:r>
        <w:t>/or</w:t>
      </w:r>
      <w:r w:rsidRPr="007E1B83">
        <w:t xml:space="preserve"> regions they serve.</w:t>
      </w:r>
      <w:r>
        <w:t xml:space="preserve">  In 2014, the network of Offices grew to five, with the opening of the </w:t>
      </w:r>
      <w:r w:rsidRPr="007E1B83">
        <w:t>WIPO Office</w:t>
      </w:r>
      <w:r>
        <w:t>s in China (WCO) and</w:t>
      </w:r>
      <w:r w:rsidRPr="007E1B83">
        <w:t xml:space="preserve"> in the Russian Federation</w:t>
      </w:r>
      <w:r>
        <w:t xml:space="preserve"> (WRO).</w:t>
      </w:r>
    </w:p>
    <w:p w:rsidR="00BD0327" w:rsidRDefault="00BD0327" w:rsidP="00F60CAF">
      <w:pPr>
        <w:jc w:val="both"/>
        <w:rPr>
          <w:szCs w:val="20"/>
        </w:rPr>
      </w:pPr>
    </w:p>
    <w:p w:rsidR="00BD0327" w:rsidRPr="00FB7274" w:rsidRDefault="00BD0327" w:rsidP="00F60CAF">
      <w:pPr>
        <w:jc w:val="both"/>
        <w:rPr>
          <w:szCs w:val="20"/>
          <w:u w:val="single"/>
        </w:rPr>
      </w:pPr>
      <w:r w:rsidRPr="00FB7274">
        <w:rPr>
          <w:szCs w:val="20"/>
          <w:u w:val="single"/>
        </w:rPr>
        <w:t>WIPO Brazil Office (WBO)</w:t>
      </w:r>
    </w:p>
    <w:p w:rsidR="00BD0327" w:rsidRDefault="00BD0327" w:rsidP="00F60CAF">
      <w:pPr>
        <w:jc w:val="both"/>
        <w:rPr>
          <w:szCs w:val="20"/>
        </w:rPr>
      </w:pPr>
    </w:p>
    <w:p w:rsidR="00310A0E" w:rsidRDefault="00310A0E" w:rsidP="00F60CAF">
      <w:pPr>
        <w:pStyle w:val="ListParagraph"/>
        <w:numPr>
          <w:ilvl w:val="0"/>
          <w:numId w:val="92"/>
        </w:numPr>
        <w:tabs>
          <w:tab w:val="left" w:pos="709"/>
        </w:tabs>
        <w:ind w:left="0" w:firstLine="0"/>
        <w:jc w:val="both"/>
      </w:pPr>
      <w:r>
        <w:t>During the year, the WBO devoted considerable attention to strengthening national capacity in Brazil and promoting the use of WIPO services.  In support of the National Institute of Industrial Property (INPI), which has prioritized improving its productivity and efficiency, the WBO assisted in the organization of activities designed to build capacity in the area of patent examination.  An example was the collaboration with the National Confederation of Industries on a series of workshops</w:t>
      </w:r>
      <w:r w:rsidR="00EE61F4">
        <w:t>,</w:t>
      </w:r>
      <w:r>
        <w:t xml:space="preserve"> which were held to inform about existing international initiatives concerning collaborative schemes for patent examination.</w:t>
      </w:r>
    </w:p>
    <w:p w:rsidR="00310A0E" w:rsidRDefault="00310A0E" w:rsidP="00F60CAF">
      <w:pPr>
        <w:pStyle w:val="ListParagraph"/>
        <w:ind w:left="360"/>
        <w:jc w:val="both"/>
      </w:pPr>
    </w:p>
    <w:p w:rsidR="00310A0E" w:rsidRDefault="00310A0E" w:rsidP="00F60CAF">
      <w:pPr>
        <w:pStyle w:val="ListParagraph"/>
        <w:numPr>
          <w:ilvl w:val="0"/>
          <w:numId w:val="92"/>
        </w:numPr>
        <w:tabs>
          <w:tab w:val="left" w:pos="709"/>
        </w:tabs>
        <w:ind w:left="0" w:firstLine="0"/>
        <w:jc w:val="both"/>
      </w:pPr>
      <w:r>
        <w:t>The Office devoted considerable energy to engaging with stakeholders in Brazil to increase awareness of the benefits of IP protection and the importance of commercialization of IP assets.  In this regard, the WBO engaged closely with the National Association of Research and Development of Innovative Enterprises (ANPEI) and was invited to participate in two committees established by it, namely, a committee concerned with fostering innovation and a committee focused on IP.  This provided a valuable platform to highlight the importance of the PCT and to explain its procedures.</w:t>
      </w:r>
    </w:p>
    <w:p w:rsidR="00310A0E" w:rsidRDefault="00310A0E" w:rsidP="00F60CAF">
      <w:pPr>
        <w:pStyle w:val="ListParagraph"/>
        <w:tabs>
          <w:tab w:val="left" w:pos="709"/>
        </w:tabs>
        <w:ind w:left="0"/>
        <w:jc w:val="both"/>
      </w:pPr>
    </w:p>
    <w:p w:rsidR="00310A0E" w:rsidRDefault="00310A0E" w:rsidP="00F60CAF">
      <w:pPr>
        <w:pStyle w:val="ListParagraph"/>
        <w:numPr>
          <w:ilvl w:val="0"/>
          <w:numId w:val="92"/>
        </w:numPr>
        <w:tabs>
          <w:tab w:val="left" w:pos="709"/>
        </w:tabs>
        <w:ind w:left="0" w:firstLine="0"/>
        <w:jc w:val="both"/>
      </w:pPr>
      <w:r>
        <w:t>The Brazil Funds-in-Trust (FIT) for the support of South-South Cooperation, established in 2012 and managed by the WBO, continued to provide the Office with valuable opportunities to advance initiatives, particularly in the area of technology transfer and IP commercialization.  The Regional Workshop on IP and Technology Transfer held in Uruguay in December brought together several countries (Argentina, Brazil, Chile, Paraguay and Uruguay) and provided an opportunity to share information and expertise in the areas of the structuring of national and institutional IP strategies and strategic models for fostering innovation.  The FIT also permitted the holding of training programs in several regions of Brazil</w:t>
      </w:r>
      <w:r w:rsidR="00EE61F4">
        <w:t>,</w:t>
      </w:r>
      <w:r>
        <w:t xml:space="preserve"> which built local capacity in the areas of technology licensing and patent drafting.     </w:t>
      </w:r>
    </w:p>
    <w:p w:rsidR="00310A0E" w:rsidRDefault="00310A0E" w:rsidP="00F60CAF">
      <w:pPr>
        <w:pStyle w:val="ListParagraph"/>
        <w:tabs>
          <w:tab w:val="left" w:pos="709"/>
        </w:tabs>
        <w:ind w:left="0"/>
        <w:jc w:val="both"/>
      </w:pPr>
    </w:p>
    <w:p w:rsidR="00310A0E" w:rsidRDefault="00310A0E" w:rsidP="00F60CAF">
      <w:pPr>
        <w:pStyle w:val="ListParagraph"/>
        <w:numPr>
          <w:ilvl w:val="0"/>
          <w:numId w:val="92"/>
        </w:numPr>
        <w:tabs>
          <w:tab w:val="left" w:pos="709"/>
        </w:tabs>
        <w:ind w:left="0" w:firstLine="0"/>
        <w:jc w:val="both"/>
      </w:pPr>
      <w:r>
        <w:t>The WBO reached out to local and UN partners in Brazil on issues of mutual interest as a way of leveraging and maximizing resources to advance the mandate.  Working with UNDP and the Brazilian Innovation Agency, a project was initiated to train negotiators on issues related to technology and development.</w:t>
      </w:r>
      <w:r w:rsidRPr="00E0100B">
        <w:t xml:space="preserve">  </w:t>
      </w:r>
      <w:r>
        <w:t>With respect to the promotion of WIPO’s platforms, the Office collaborated with the Brazilian National Association of Innovation and Technology Transfer Managers (FORTEC) on WIPO GREEN</w:t>
      </w:r>
      <w:r w:rsidR="00EE61F4">
        <w:t>,</w:t>
      </w:r>
      <w:r>
        <w:t xml:space="preserve"> and this is expected to result in the first uploads of technologies into the database in 2015.</w:t>
      </w:r>
    </w:p>
    <w:p w:rsidR="00310A0E" w:rsidRDefault="00310A0E" w:rsidP="00F60CAF">
      <w:pPr>
        <w:pStyle w:val="ListParagraph"/>
        <w:tabs>
          <w:tab w:val="left" w:pos="709"/>
        </w:tabs>
        <w:ind w:left="0"/>
        <w:jc w:val="both"/>
      </w:pPr>
    </w:p>
    <w:p w:rsidR="00310A0E" w:rsidRDefault="00310A0E" w:rsidP="00F60CAF">
      <w:pPr>
        <w:pStyle w:val="ListParagraph"/>
        <w:numPr>
          <w:ilvl w:val="0"/>
          <w:numId w:val="92"/>
        </w:numPr>
        <w:tabs>
          <w:tab w:val="left" w:pos="709"/>
        </w:tabs>
        <w:ind w:left="0" w:firstLine="0"/>
        <w:jc w:val="both"/>
      </w:pPr>
      <w:r>
        <w:t>The Office also focused attention in 2014 on the economic advantages conferred by geographical indications and the benefits of design protection.  In October, the WBO helped organize an International Seminar</w:t>
      </w:r>
      <w:r w:rsidR="00917313">
        <w:t>,</w:t>
      </w:r>
      <w:r>
        <w:t xml:space="preserve"> which provided a forum for the discussion of the economic and social gains that geographical indications and collective trademarks could bring to national development, particularly in the agribusiness sector.  Later in the year, the Office facilitated another International Seminar</w:t>
      </w:r>
      <w:r w:rsidR="00917313">
        <w:t>,</w:t>
      </w:r>
      <w:r>
        <w:t xml:space="preserve"> this time promoting the use of industrial design protection as a tool for businesses to improve competitiveness.</w:t>
      </w:r>
    </w:p>
    <w:p w:rsidR="00BD0327" w:rsidRDefault="00BD0327" w:rsidP="00F60CAF">
      <w:pPr>
        <w:jc w:val="both"/>
        <w:rPr>
          <w:szCs w:val="20"/>
        </w:rPr>
      </w:pPr>
    </w:p>
    <w:p w:rsidR="00BD0327" w:rsidRPr="00FB7274" w:rsidRDefault="00BD0327" w:rsidP="00F60CAF">
      <w:pPr>
        <w:jc w:val="both"/>
        <w:rPr>
          <w:szCs w:val="20"/>
          <w:u w:val="single"/>
        </w:rPr>
      </w:pPr>
      <w:r w:rsidRPr="00152A1E">
        <w:rPr>
          <w:szCs w:val="20"/>
          <w:u w:val="single"/>
        </w:rPr>
        <w:t>WIPO China Office (WCO)</w:t>
      </w:r>
    </w:p>
    <w:p w:rsidR="00BD0327" w:rsidRDefault="00BD0327" w:rsidP="00F60CAF">
      <w:pPr>
        <w:jc w:val="both"/>
        <w:rPr>
          <w:szCs w:val="20"/>
        </w:rPr>
      </w:pPr>
    </w:p>
    <w:p w:rsidR="00310A0E" w:rsidRDefault="00310A0E" w:rsidP="00F60CAF">
      <w:pPr>
        <w:pStyle w:val="ListParagraph"/>
        <w:numPr>
          <w:ilvl w:val="0"/>
          <w:numId w:val="92"/>
        </w:numPr>
        <w:tabs>
          <w:tab w:val="left" w:pos="709"/>
        </w:tabs>
        <w:ind w:left="0" w:firstLine="0"/>
        <w:jc w:val="both"/>
        <w:rPr>
          <w:lang w:eastAsia="zh-CN"/>
        </w:rPr>
      </w:pPr>
      <w:r>
        <w:t xml:space="preserve">The </w:t>
      </w:r>
      <w:r w:rsidR="00917313">
        <w:t>WCO</w:t>
      </w:r>
      <w:r>
        <w:t xml:space="preserve"> was established in July and was engaged throughout the latter half of the year in establishing itself and consolidating its administrative set-up.  In this regard, close cooperation was established with the host country, particularly the </w:t>
      </w:r>
      <w:r>
        <w:rPr>
          <w:lang w:eastAsia="zh-CN"/>
        </w:rPr>
        <w:t xml:space="preserve">Ministry of Foreign Affairs, the </w:t>
      </w:r>
      <w:r>
        <w:t>State Intellectual Property Office (SIPO), the State Administration for Industry and Commerce (SAIC)</w:t>
      </w:r>
      <w:r>
        <w:rPr>
          <w:lang w:eastAsia="zh-CN"/>
        </w:rPr>
        <w:t xml:space="preserve">, </w:t>
      </w:r>
      <w:r>
        <w:t>the National Copyright Administration of China (NCAC)</w:t>
      </w:r>
      <w:r>
        <w:rPr>
          <w:lang w:eastAsia="zh-CN"/>
        </w:rPr>
        <w:t xml:space="preserve"> and the Beijing Municipal Government </w:t>
      </w:r>
      <w:r>
        <w:t xml:space="preserve">which greatly facilitated the Office’s ability to quickly become operational.  </w:t>
      </w:r>
      <w:r>
        <w:rPr>
          <w:lang w:eastAsia="zh-CN"/>
        </w:rPr>
        <w:t> </w:t>
      </w:r>
    </w:p>
    <w:p w:rsidR="00310A0E" w:rsidRDefault="00310A0E" w:rsidP="00F60CAF">
      <w:pPr>
        <w:pStyle w:val="ListParagraph"/>
        <w:tabs>
          <w:tab w:val="left" w:pos="709"/>
        </w:tabs>
        <w:ind w:left="0"/>
        <w:jc w:val="both"/>
      </w:pPr>
    </w:p>
    <w:p w:rsidR="00310A0E" w:rsidRDefault="00310A0E" w:rsidP="00F60CAF">
      <w:pPr>
        <w:pStyle w:val="ListParagraph"/>
        <w:numPr>
          <w:ilvl w:val="0"/>
          <w:numId w:val="92"/>
        </w:numPr>
        <w:tabs>
          <w:tab w:val="left" w:pos="709"/>
        </w:tabs>
        <w:ind w:left="0" w:firstLine="0"/>
        <w:jc w:val="both"/>
      </w:pPr>
      <w:r>
        <w:t xml:space="preserve">In 2014, China was the third and seventh largest user of the PCT and Madrid systems respectively and so the promotion of WIPO’s services to the market in China was a priority for the Office from the outset.  Events were organized in and around Beijing and further afield aimed at the users of WIPO’s services.  An additional key benefit of this was the establishment of linkages with industry and </w:t>
      </w:r>
      <w:r>
        <w:lastRenderedPageBreak/>
        <w:t xml:space="preserve">other stakeholders that will be important as the Office broadens its outreach to users elsewhere in China in 2015.   </w:t>
      </w:r>
    </w:p>
    <w:p w:rsidR="00310A0E" w:rsidRDefault="00310A0E" w:rsidP="00F60CAF">
      <w:pPr>
        <w:pStyle w:val="ListParagraph"/>
        <w:tabs>
          <w:tab w:val="left" w:pos="709"/>
        </w:tabs>
        <w:ind w:left="0"/>
        <w:jc w:val="both"/>
      </w:pPr>
    </w:p>
    <w:p w:rsidR="00310A0E" w:rsidRDefault="00EE61F4" w:rsidP="00F60CAF">
      <w:pPr>
        <w:pStyle w:val="ListParagraph"/>
        <w:numPr>
          <w:ilvl w:val="0"/>
          <w:numId w:val="92"/>
        </w:numPr>
        <w:tabs>
          <w:tab w:val="left" w:pos="709"/>
        </w:tabs>
        <w:ind w:left="0" w:firstLine="0"/>
        <w:jc w:val="both"/>
      </w:pPr>
      <w:r>
        <w:t xml:space="preserve">The year </w:t>
      </w:r>
      <w:r w:rsidR="00310A0E">
        <w:t xml:space="preserve">2014 witnessed China’s ratification of the Beijing Treaty on Audiovisual Performances.  Consequently, in the area of culture and creative industries, the Office focused efforts on the promotion of the Marrakesh Treaty.  A Roundtable Workshop was organized by the Office in cooperation with NCAC in December, attracting officials from universities and government, at which the possibility of accession and necessary preparatory steps were discussed.  </w:t>
      </w:r>
    </w:p>
    <w:p w:rsidR="00310A0E" w:rsidRDefault="00310A0E" w:rsidP="00F60CAF">
      <w:pPr>
        <w:pStyle w:val="ListParagraph"/>
        <w:tabs>
          <w:tab w:val="left" w:pos="709"/>
        </w:tabs>
        <w:ind w:left="0"/>
        <w:jc w:val="both"/>
      </w:pPr>
    </w:p>
    <w:p w:rsidR="00310A0E" w:rsidRDefault="00310A0E" w:rsidP="00F60CAF">
      <w:pPr>
        <w:pStyle w:val="ListParagraph"/>
        <w:numPr>
          <w:ilvl w:val="0"/>
          <w:numId w:val="92"/>
        </w:numPr>
        <w:tabs>
          <w:tab w:val="left" w:pos="709"/>
        </w:tabs>
        <w:ind w:left="0" w:firstLine="0"/>
        <w:jc w:val="both"/>
      </w:pPr>
      <w:r>
        <w:t xml:space="preserve">In the area of industrial designs, the Office quickly became operational in supporting China’s intention to accede to The Hague System.  Engagement with senior legislative officials was initiated and the Office participated in an International Symposium and a seminar on industrial designs, using these as opportunities to highlight the advantages and nature of the system.  </w:t>
      </w:r>
    </w:p>
    <w:p w:rsidR="00310A0E" w:rsidRDefault="00310A0E" w:rsidP="00F60CAF">
      <w:pPr>
        <w:pStyle w:val="ListParagraph"/>
        <w:tabs>
          <w:tab w:val="left" w:pos="709"/>
        </w:tabs>
        <w:ind w:left="0"/>
        <w:jc w:val="both"/>
      </w:pPr>
    </w:p>
    <w:p w:rsidR="00BD0327" w:rsidRPr="00FB7274" w:rsidRDefault="00310A0E" w:rsidP="00F60CAF">
      <w:pPr>
        <w:pStyle w:val="ListParagraph"/>
        <w:numPr>
          <w:ilvl w:val="0"/>
          <w:numId w:val="92"/>
        </w:numPr>
        <w:tabs>
          <w:tab w:val="left" w:pos="709"/>
        </w:tabs>
        <w:ind w:left="0" w:firstLine="0"/>
        <w:jc w:val="both"/>
      </w:pPr>
      <w:r>
        <w:t>The Office was also active during the year on a variety of additional initiatives.  Discussions with SAIC were advanced with respect to cooperation with China on data exchange concerning the WIPO Global Brand Database.  The Office continued to promote WIPO’s platforms</w:t>
      </w:r>
      <w:r w:rsidR="00EE61F4">
        <w:t>,</w:t>
      </w:r>
      <w:r>
        <w:t xml:space="preserve"> and it was noteworthy that the Haier Group (one of the world’s largest electronic appliance manufacturers) joined WIPO GREEN following the establishment of the Office.  Meanwhile, the Office initiated activities to promote awareness of its presence and the importance of IP and innovation to China’s development.  Prominent examples of this were the 16</w:t>
      </w:r>
      <w:r w:rsidRPr="00310A0E">
        <w:rPr>
          <w:vertAlign w:val="superscript"/>
        </w:rPr>
        <w:t>th</w:t>
      </w:r>
      <w:r>
        <w:t xml:space="preserve"> Ceremony for the WIPO-SIPO Award for the Chinese Outstanding Patented Invention and Industrial Design and the 8</w:t>
      </w:r>
      <w:r w:rsidRPr="00310A0E">
        <w:rPr>
          <w:vertAlign w:val="superscript"/>
        </w:rPr>
        <w:t>th</w:t>
      </w:r>
      <w:r>
        <w:t xml:space="preserve"> International Exhibition of Inventions hosted by the China Invention Association at which the Office also presented WIPO awards.</w:t>
      </w:r>
    </w:p>
    <w:p w:rsidR="00BD0327" w:rsidRDefault="00BD0327" w:rsidP="00BD0327">
      <w:pPr>
        <w:jc w:val="both"/>
        <w:rPr>
          <w:szCs w:val="20"/>
        </w:rPr>
      </w:pPr>
    </w:p>
    <w:p w:rsidR="00BD0327" w:rsidRDefault="00BD0327" w:rsidP="00BD0327">
      <w:pPr>
        <w:keepNext/>
        <w:keepLines/>
        <w:jc w:val="both"/>
        <w:rPr>
          <w:szCs w:val="20"/>
          <w:u w:val="single"/>
        </w:rPr>
      </w:pPr>
      <w:r w:rsidRPr="00FB7274">
        <w:rPr>
          <w:szCs w:val="20"/>
          <w:u w:val="single"/>
        </w:rPr>
        <w:t>WIPO Japan Office (WJO)</w:t>
      </w:r>
    </w:p>
    <w:p w:rsidR="00BD0327" w:rsidRDefault="00BD0327" w:rsidP="00F60CAF">
      <w:pPr>
        <w:keepNext/>
        <w:keepLines/>
        <w:tabs>
          <w:tab w:val="left" w:pos="709"/>
        </w:tabs>
        <w:jc w:val="both"/>
        <w:rPr>
          <w:szCs w:val="20"/>
          <w:u w:val="single"/>
        </w:rPr>
      </w:pPr>
    </w:p>
    <w:p w:rsidR="00310A0E" w:rsidRPr="00310A0E" w:rsidRDefault="00310A0E" w:rsidP="00F60CAF">
      <w:pPr>
        <w:pStyle w:val="ListParagraph"/>
        <w:numPr>
          <w:ilvl w:val="0"/>
          <w:numId w:val="92"/>
        </w:numPr>
        <w:tabs>
          <w:tab w:val="left" w:pos="709"/>
        </w:tabs>
        <w:ind w:left="0" w:firstLine="0"/>
        <w:jc w:val="both"/>
        <w:rPr>
          <w:szCs w:val="22"/>
        </w:rPr>
      </w:pPr>
      <w:r w:rsidRPr="00310A0E">
        <w:rPr>
          <w:szCs w:val="22"/>
        </w:rPr>
        <w:t xml:space="preserve">During the year, the WJO continued to focus its attention on WIPO’s IP systems in the Japanese market.  This included the provision of timely and efficient services to the users of these systems.  At one level, this involved the provision of advice and information to the almost 700 inquiries received by the Office throughout the year from Japanese users and other stakeholders.  At another level, it involved reaching out to users of WIPO services and other stakeholders, closely collaborating with and supported by host government institutions, Japanese industry and Japanese universities.  In this regard, promotional activities included 27 presentations targeting key Japanese stakeholders and attracting approximately 4,200 participants.  </w:t>
      </w:r>
    </w:p>
    <w:p w:rsidR="00310A0E" w:rsidRPr="00310A0E" w:rsidRDefault="00310A0E" w:rsidP="00F60CAF">
      <w:pPr>
        <w:pStyle w:val="ListParagraph"/>
        <w:tabs>
          <w:tab w:val="left" w:pos="709"/>
        </w:tabs>
        <w:ind w:left="0"/>
        <w:jc w:val="both"/>
        <w:rPr>
          <w:szCs w:val="22"/>
        </w:rPr>
      </w:pPr>
    </w:p>
    <w:p w:rsidR="00310A0E" w:rsidRPr="00310A0E" w:rsidRDefault="00310A0E" w:rsidP="00F60CAF">
      <w:pPr>
        <w:pStyle w:val="ListParagraph"/>
        <w:numPr>
          <w:ilvl w:val="0"/>
          <w:numId w:val="92"/>
        </w:numPr>
        <w:tabs>
          <w:tab w:val="left" w:pos="709"/>
        </w:tabs>
        <w:ind w:left="0" w:firstLine="0"/>
        <w:jc w:val="both"/>
        <w:rPr>
          <w:szCs w:val="22"/>
        </w:rPr>
      </w:pPr>
      <w:r w:rsidRPr="00310A0E">
        <w:rPr>
          <w:szCs w:val="22"/>
        </w:rPr>
        <w:t>The Office was also focused throughout the year on raising awareness of WIPO and its activities more broadly.  This was achieved through holding numerous meetings and events with Japanese stakeholders and</w:t>
      </w:r>
      <w:proofErr w:type="gramStart"/>
      <w:r w:rsidRPr="00310A0E">
        <w:rPr>
          <w:szCs w:val="22"/>
        </w:rPr>
        <w:t>,,</w:t>
      </w:r>
      <w:proofErr w:type="gramEnd"/>
      <w:r w:rsidRPr="00310A0E">
        <w:rPr>
          <w:szCs w:val="22"/>
        </w:rPr>
        <w:t xml:space="preserve"> ensuring the provision of translations into Japanese of key and important WIPO information on the WJO website.  The Office continued to play an important role </w:t>
      </w:r>
      <w:r w:rsidR="00EE61F4">
        <w:rPr>
          <w:szCs w:val="22"/>
        </w:rPr>
        <w:t>i</w:t>
      </w:r>
      <w:r w:rsidRPr="00310A0E">
        <w:rPr>
          <w:szCs w:val="22"/>
        </w:rPr>
        <w:t>n ensuring the WIPO round-the-clock customer service.</w:t>
      </w:r>
    </w:p>
    <w:p w:rsidR="00310A0E" w:rsidRPr="00310A0E" w:rsidRDefault="00310A0E" w:rsidP="00F60CAF">
      <w:pPr>
        <w:pStyle w:val="ListParagraph"/>
        <w:tabs>
          <w:tab w:val="left" w:pos="709"/>
        </w:tabs>
        <w:ind w:left="0"/>
        <w:jc w:val="both"/>
        <w:rPr>
          <w:szCs w:val="22"/>
        </w:rPr>
      </w:pPr>
    </w:p>
    <w:p w:rsidR="00310A0E" w:rsidRPr="00310A0E" w:rsidRDefault="00310A0E" w:rsidP="00F60CAF">
      <w:pPr>
        <w:pStyle w:val="ListParagraph"/>
        <w:numPr>
          <w:ilvl w:val="0"/>
          <w:numId w:val="92"/>
        </w:numPr>
        <w:tabs>
          <w:tab w:val="left" w:pos="709"/>
        </w:tabs>
        <w:ind w:left="0" w:firstLine="0"/>
        <w:jc w:val="both"/>
        <w:rPr>
          <w:szCs w:val="22"/>
          <w:lang w:eastAsia="ja-JP"/>
        </w:rPr>
      </w:pPr>
      <w:r w:rsidRPr="00310A0E">
        <w:rPr>
          <w:szCs w:val="22"/>
        </w:rPr>
        <w:t xml:space="preserve">The WJO was active in promoting WIPO’s platforms.  The result of these efforts was reflected in the addition of another Japanese institute as a partner of WIPO GREEN.  </w:t>
      </w:r>
      <w:r w:rsidRPr="00310A0E">
        <w:rPr>
          <w:rFonts w:hint="eastAsia"/>
          <w:szCs w:val="22"/>
          <w:lang w:eastAsia="ja-JP"/>
        </w:rPr>
        <w:t xml:space="preserve">The WJO </w:t>
      </w:r>
      <w:r w:rsidRPr="00310A0E">
        <w:rPr>
          <w:szCs w:val="22"/>
          <w:lang w:eastAsia="ja-JP"/>
        </w:rPr>
        <w:t xml:space="preserve">also </w:t>
      </w:r>
      <w:r w:rsidRPr="00310A0E">
        <w:rPr>
          <w:rFonts w:hint="eastAsia"/>
          <w:szCs w:val="22"/>
          <w:lang w:eastAsia="ja-JP"/>
        </w:rPr>
        <w:t xml:space="preserve">promoted </w:t>
      </w:r>
      <w:r w:rsidRPr="00310A0E">
        <w:rPr>
          <w:szCs w:val="22"/>
        </w:rPr>
        <w:t>WIPO GREEN</w:t>
      </w:r>
      <w:r w:rsidRPr="00310A0E">
        <w:rPr>
          <w:rFonts w:hint="eastAsia"/>
          <w:szCs w:val="22"/>
          <w:lang w:eastAsia="ja-JP"/>
        </w:rPr>
        <w:t xml:space="preserve"> and</w:t>
      </w:r>
      <w:r w:rsidRPr="00310A0E">
        <w:rPr>
          <w:szCs w:val="22"/>
        </w:rPr>
        <w:t xml:space="preserve"> WIPO </w:t>
      </w:r>
      <w:proofErr w:type="spellStart"/>
      <w:r w:rsidRPr="00310A0E">
        <w:rPr>
          <w:szCs w:val="22"/>
        </w:rPr>
        <w:t>Re</w:t>
      </w:r>
      <w:proofErr w:type="gramStart"/>
      <w:r w:rsidRPr="00310A0E">
        <w:rPr>
          <w:szCs w:val="22"/>
        </w:rPr>
        <w:t>:Search</w:t>
      </w:r>
      <w:proofErr w:type="spellEnd"/>
      <w:proofErr w:type="gramEnd"/>
      <w:r w:rsidRPr="00310A0E">
        <w:rPr>
          <w:rFonts w:hint="eastAsia"/>
          <w:szCs w:val="22"/>
          <w:lang w:eastAsia="ja-JP"/>
        </w:rPr>
        <w:t xml:space="preserve"> to stakeholders in Japan</w:t>
      </w:r>
      <w:r w:rsidR="00EE61F4">
        <w:rPr>
          <w:szCs w:val="22"/>
          <w:lang w:eastAsia="ja-JP"/>
        </w:rPr>
        <w:t>,</w:t>
      </w:r>
      <w:r w:rsidRPr="00310A0E">
        <w:rPr>
          <w:szCs w:val="22"/>
          <w:lang w:eastAsia="ja-JP"/>
        </w:rPr>
        <w:t xml:space="preserve"> and these </w:t>
      </w:r>
      <w:r w:rsidRPr="00310A0E">
        <w:rPr>
          <w:rFonts w:hint="eastAsia"/>
          <w:szCs w:val="22"/>
          <w:lang w:eastAsia="ja-JP"/>
        </w:rPr>
        <w:t>efforts contributed to the increase of WIPO GREEN registrations.</w:t>
      </w:r>
    </w:p>
    <w:p w:rsidR="00310A0E" w:rsidRPr="00310A0E" w:rsidRDefault="00310A0E" w:rsidP="00F60CAF">
      <w:pPr>
        <w:pStyle w:val="ListParagraph"/>
        <w:tabs>
          <w:tab w:val="left" w:pos="709"/>
        </w:tabs>
        <w:ind w:left="0"/>
        <w:jc w:val="both"/>
        <w:rPr>
          <w:szCs w:val="22"/>
        </w:rPr>
      </w:pPr>
    </w:p>
    <w:p w:rsidR="00BD0327" w:rsidRDefault="00310A0E" w:rsidP="00F60CAF">
      <w:pPr>
        <w:pStyle w:val="ListParagraph"/>
        <w:numPr>
          <w:ilvl w:val="0"/>
          <w:numId w:val="92"/>
        </w:numPr>
        <w:tabs>
          <w:tab w:val="left" w:pos="709"/>
        </w:tabs>
        <w:ind w:left="0" w:firstLine="0"/>
        <w:jc w:val="both"/>
      </w:pPr>
      <w:r w:rsidRPr="00310A0E">
        <w:rPr>
          <w:szCs w:val="22"/>
        </w:rPr>
        <w:t xml:space="preserve">The Japan Funds-in-Trust (FIT) continued to provide the WJO with valuable opportunities to implement activities in Asia </w:t>
      </w:r>
      <w:r w:rsidR="00EE61F4">
        <w:rPr>
          <w:szCs w:val="22"/>
        </w:rPr>
        <w:t xml:space="preserve">and the </w:t>
      </w:r>
      <w:r w:rsidRPr="00310A0E">
        <w:rPr>
          <w:szCs w:val="22"/>
        </w:rPr>
        <w:t>Pacific</w:t>
      </w:r>
      <w:r w:rsidR="00EE61F4">
        <w:rPr>
          <w:szCs w:val="22"/>
        </w:rPr>
        <w:t xml:space="preserve"> </w:t>
      </w:r>
      <w:r w:rsidRPr="00310A0E">
        <w:rPr>
          <w:szCs w:val="22"/>
        </w:rPr>
        <w:t xml:space="preserve">aimed at building IP capacity in the region.  The Office conducted four presentations on the IP Advantage database of examples of </w:t>
      </w:r>
      <w:r>
        <w:t xml:space="preserve">how IP works for development in the real </w:t>
      </w:r>
      <w:proofErr w:type="spellStart"/>
      <w:r>
        <w:t>world</w:t>
      </w:r>
      <w:proofErr w:type="gramStart"/>
      <w:r w:rsidR="00EE61F4">
        <w:t>,</w:t>
      </w:r>
      <w:r>
        <w:t>and</w:t>
      </w:r>
      <w:proofErr w:type="spellEnd"/>
      <w:proofErr w:type="gramEnd"/>
      <w:r>
        <w:t xml:space="preserve"> the Office held </w:t>
      </w:r>
      <w:r w:rsidRPr="00310A0E">
        <w:rPr>
          <w:szCs w:val="22"/>
        </w:rPr>
        <w:t>three workshops to share experiences on successful IP utilization cases in developing countries.  These benefitted around 70 participants from developing counties.</w:t>
      </w:r>
    </w:p>
    <w:p w:rsidR="00BD0327" w:rsidRDefault="00BD0327" w:rsidP="00F60CAF">
      <w:pPr>
        <w:tabs>
          <w:tab w:val="left" w:pos="709"/>
        </w:tabs>
        <w:jc w:val="both"/>
        <w:rPr>
          <w:szCs w:val="20"/>
        </w:rPr>
      </w:pPr>
    </w:p>
    <w:p w:rsidR="00BD0327" w:rsidRPr="00FB7274" w:rsidRDefault="00BD0327" w:rsidP="00F60CAF">
      <w:pPr>
        <w:tabs>
          <w:tab w:val="left" w:pos="709"/>
        </w:tabs>
        <w:jc w:val="both"/>
        <w:rPr>
          <w:szCs w:val="20"/>
          <w:u w:val="single"/>
        </w:rPr>
      </w:pPr>
      <w:r w:rsidRPr="00FB7274">
        <w:rPr>
          <w:szCs w:val="20"/>
          <w:u w:val="single"/>
        </w:rPr>
        <w:t>WIPO Office in the Russian Federation (WRO)</w:t>
      </w:r>
    </w:p>
    <w:p w:rsidR="00BD0327" w:rsidRDefault="00BD0327" w:rsidP="00F60CAF">
      <w:pPr>
        <w:tabs>
          <w:tab w:val="left" w:pos="709"/>
        </w:tabs>
        <w:jc w:val="both"/>
        <w:rPr>
          <w:szCs w:val="20"/>
        </w:rPr>
      </w:pPr>
    </w:p>
    <w:p w:rsidR="00310A0E" w:rsidRDefault="00310A0E" w:rsidP="00F60CAF">
      <w:pPr>
        <w:pStyle w:val="ListParagraph"/>
        <w:numPr>
          <w:ilvl w:val="0"/>
          <w:numId w:val="92"/>
        </w:numPr>
        <w:tabs>
          <w:tab w:val="left" w:pos="709"/>
        </w:tabs>
        <w:ind w:left="0" w:firstLine="0"/>
        <w:jc w:val="both"/>
        <w:rPr>
          <w:szCs w:val="22"/>
        </w:rPr>
      </w:pPr>
      <w:r w:rsidRPr="00A065F7">
        <w:rPr>
          <w:szCs w:val="22"/>
        </w:rPr>
        <w:t xml:space="preserve">The WRO was established in July and as with the WIPO China Office, was engaged throughout the latter half of the year in establishing itself and consolidating its administrative set-up.  In this regard, close cooperation was established with the host country, particularly the Federal Service for Intellectual Property (ROSPATENT), </w:t>
      </w:r>
      <w:r>
        <w:rPr>
          <w:szCs w:val="22"/>
        </w:rPr>
        <w:t xml:space="preserve">and </w:t>
      </w:r>
      <w:r w:rsidRPr="00A065F7">
        <w:rPr>
          <w:szCs w:val="22"/>
        </w:rPr>
        <w:t xml:space="preserve">the Council of the Federation of the Federal Assembly of the Russian Federation, the Court for Intellectual Property Rights, </w:t>
      </w:r>
      <w:r>
        <w:rPr>
          <w:szCs w:val="22"/>
        </w:rPr>
        <w:t xml:space="preserve">and the </w:t>
      </w:r>
      <w:r w:rsidRPr="00A065F7">
        <w:rPr>
          <w:szCs w:val="22"/>
        </w:rPr>
        <w:t>Russian State Academy of Intellectual Property (RGAIS).</w:t>
      </w:r>
      <w:r>
        <w:rPr>
          <w:szCs w:val="22"/>
        </w:rPr>
        <w:t xml:space="preserve">  This cooperation greatly facilitated the Office’s ability to quickly become operational.</w:t>
      </w:r>
    </w:p>
    <w:p w:rsidR="001F6AD6" w:rsidRDefault="001F6AD6" w:rsidP="00F60CAF">
      <w:pPr>
        <w:tabs>
          <w:tab w:val="left" w:pos="709"/>
        </w:tabs>
        <w:jc w:val="both"/>
        <w:rPr>
          <w:szCs w:val="22"/>
        </w:rPr>
      </w:pPr>
    </w:p>
    <w:p w:rsidR="001F6AD6" w:rsidRDefault="00310A0E" w:rsidP="00F60CAF">
      <w:pPr>
        <w:tabs>
          <w:tab w:val="left" w:pos="709"/>
        </w:tabs>
        <w:jc w:val="both"/>
        <w:rPr>
          <w:szCs w:val="22"/>
        </w:rPr>
      </w:pPr>
      <w:r w:rsidRPr="006666A6">
        <w:rPr>
          <w:szCs w:val="22"/>
        </w:rPr>
        <w:t xml:space="preserve">The early focus of the WRO’s activities was on the promotion of WIPO’s services to </w:t>
      </w:r>
      <w:r>
        <w:rPr>
          <w:szCs w:val="22"/>
        </w:rPr>
        <w:t xml:space="preserve">the </w:t>
      </w:r>
      <w:r w:rsidRPr="006666A6">
        <w:rPr>
          <w:szCs w:val="22"/>
        </w:rPr>
        <w:t xml:space="preserve">Russian market.  In this regard, the Office participated in several national events organized by ROSPATENT and WIPO as well as capacity building events in Moscow and other cities which were focused on the promotion of </w:t>
      </w:r>
      <w:r>
        <w:rPr>
          <w:szCs w:val="22"/>
        </w:rPr>
        <w:t xml:space="preserve">the </w:t>
      </w:r>
      <w:r w:rsidRPr="006666A6">
        <w:rPr>
          <w:szCs w:val="22"/>
        </w:rPr>
        <w:t>PCT</w:t>
      </w:r>
      <w:r>
        <w:rPr>
          <w:szCs w:val="22"/>
        </w:rPr>
        <w:t>,</w:t>
      </w:r>
      <w:r w:rsidRPr="006666A6">
        <w:rPr>
          <w:szCs w:val="22"/>
        </w:rPr>
        <w:t xml:space="preserve"> Madrid and Hague systems.  In addition, these meetings provided an opportunity to assist the Russian Federation with the development of its TISC network, enhance the capacity of local universities and research institutions with respect to the development of IP policy and to increase awareness of the international IP system.  These forums also connected the recently established WRO with national stakeholders, such as the Chamber of Commerce and Industry</w:t>
      </w:r>
      <w:r>
        <w:rPr>
          <w:szCs w:val="22"/>
        </w:rPr>
        <w:t xml:space="preserve">, which the Office expects to work closely with in the future as it faces the challenge of working across Russia’s many and distant regions and areas. </w:t>
      </w:r>
    </w:p>
    <w:p w:rsidR="00BD0327" w:rsidRDefault="00BD0327" w:rsidP="00F60CAF">
      <w:pPr>
        <w:tabs>
          <w:tab w:val="left" w:pos="709"/>
        </w:tabs>
        <w:jc w:val="both"/>
        <w:rPr>
          <w:szCs w:val="20"/>
        </w:rPr>
      </w:pPr>
    </w:p>
    <w:p w:rsidR="00BD0327" w:rsidRPr="00B35AFA" w:rsidRDefault="00BD0327" w:rsidP="00F60CAF">
      <w:pPr>
        <w:keepNext/>
        <w:keepLines/>
        <w:tabs>
          <w:tab w:val="left" w:pos="709"/>
        </w:tabs>
        <w:jc w:val="both"/>
        <w:rPr>
          <w:szCs w:val="20"/>
          <w:u w:val="single"/>
        </w:rPr>
      </w:pPr>
      <w:r w:rsidRPr="00B35AFA">
        <w:rPr>
          <w:szCs w:val="20"/>
          <w:u w:val="single"/>
        </w:rPr>
        <w:t>WIPO Singapore Office (WSO)</w:t>
      </w:r>
    </w:p>
    <w:p w:rsidR="00BD0327" w:rsidRPr="00B35AFA" w:rsidRDefault="00BD0327" w:rsidP="00F60CAF">
      <w:pPr>
        <w:keepNext/>
        <w:keepLines/>
        <w:tabs>
          <w:tab w:val="left" w:pos="709"/>
        </w:tabs>
        <w:jc w:val="both"/>
        <w:rPr>
          <w:szCs w:val="20"/>
        </w:rPr>
      </w:pPr>
    </w:p>
    <w:p w:rsidR="00310A0E" w:rsidRPr="00310A0E" w:rsidRDefault="00310A0E" w:rsidP="00F60CAF">
      <w:pPr>
        <w:pStyle w:val="ListParagraph"/>
        <w:numPr>
          <w:ilvl w:val="0"/>
          <w:numId w:val="92"/>
        </w:numPr>
        <w:tabs>
          <w:tab w:val="left" w:pos="709"/>
        </w:tabs>
        <w:ind w:left="0" w:firstLine="0"/>
        <w:jc w:val="both"/>
        <w:rPr>
          <w:szCs w:val="22"/>
        </w:rPr>
      </w:pPr>
      <w:r w:rsidRPr="00310A0E">
        <w:rPr>
          <w:szCs w:val="22"/>
        </w:rPr>
        <w:t xml:space="preserve">The WSO continued to reinforce its presence as WIPO’s service center and IP forum for Member States, international organizations, NGOs and businesses in the region.  The Office was active in promoting WIPO Global services and it was encouraging that across ASEAN, there was an eight per cent PCT application increase and an increase of 4 per cent for Madrid applications from 2013 to 2014. </w:t>
      </w:r>
    </w:p>
    <w:p w:rsidR="00310A0E" w:rsidRPr="00310A0E" w:rsidRDefault="00310A0E" w:rsidP="00F60CAF">
      <w:pPr>
        <w:pStyle w:val="ListParagraph"/>
        <w:tabs>
          <w:tab w:val="left" w:pos="709"/>
        </w:tabs>
        <w:ind w:left="0"/>
        <w:jc w:val="both"/>
        <w:rPr>
          <w:szCs w:val="22"/>
        </w:rPr>
      </w:pPr>
    </w:p>
    <w:p w:rsidR="00310A0E" w:rsidRPr="00310A0E" w:rsidRDefault="00310A0E" w:rsidP="00F60CAF">
      <w:pPr>
        <w:pStyle w:val="ListParagraph"/>
        <w:numPr>
          <w:ilvl w:val="0"/>
          <w:numId w:val="92"/>
        </w:numPr>
        <w:tabs>
          <w:tab w:val="left" w:pos="709"/>
        </w:tabs>
        <w:ind w:left="0" w:firstLine="0"/>
        <w:jc w:val="both"/>
        <w:rPr>
          <w:szCs w:val="22"/>
        </w:rPr>
      </w:pPr>
      <w:r w:rsidRPr="00310A0E">
        <w:rPr>
          <w:szCs w:val="22"/>
        </w:rPr>
        <w:t xml:space="preserve">Through its organization of and participation in events with numerous partners such as the Asian Legal Business (ALB) forum, relevant chambers of commerce and business associations, the Licensing Executive Society (LES), and the National University of Singapore (NUS), the WSO was able to reach out to a large number of stakeholders and users in promoting WIPO’s global IP services, WIPO GREEN, WIPO Re-Search, WIPO’s global databases, the TISC program, and WIPO CASE.  </w:t>
      </w:r>
    </w:p>
    <w:p w:rsidR="00310A0E" w:rsidRPr="00310A0E" w:rsidRDefault="00310A0E" w:rsidP="00F60CAF">
      <w:pPr>
        <w:pStyle w:val="ListParagraph"/>
        <w:tabs>
          <w:tab w:val="left" w:pos="709"/>
        </w:tabs>
        <w:ind w:left="0"/>
        <w:jc w:val="both"/>
        <w:rPr>
          <w:szCs w:val="22"/>
        </w:rPr>
      </w:pPr>
    </w:p>
    <w:p w:rsidR="00310A0E" w:rsidRPr="00310A0E" w:rsidRDefault="00310A0E" w:rsidP="00F60CAF">
      <w:pPr>
        <w:pStyle w:val="ListParagraph"/>
        <w:numPr>
          <w:ilvl w:val="0"/>
          <w:numId w:val="92"/>
        </w:numPr>
        <w:tabs>
          <w:tab w:val="left" w:pos="709"/>
        </w:tabs>
        <w:ind w:left="0" w:firstLine="0"/>
        <w:jc w:val="both"/>
        <w:rPr>
          <w:szCs w:val="22"/>
        </w:rPr>
      </w:pPr>
      <w:r w:rsidRPr="00310A0E">
        <w:rPr>
          <w:szCs w:val="22"/>
        </w:rPr>
        <w:t xml:space="preserve">Engagement with ASEAN continued to be enhanced in 2014, and the WSO played an increasingly central role in coordinating activities requested by the Working Group on Intellectual Property Cooperation (AWGIPC) in the implementation of the ASEAN IPR Action Plan 2011-2015 in the context of the establishment of the ASEAN Economic Community (AEC) by the end of 2015.  In addition, workshops were organized in every ASEAN Member State to progress efforts to accede to the Madrid and </w:t>
      </w:r>
      <w:proofErr w:type="gramStart"/>
      <w:r w:rsidRPr="00310A0E">
        <w:rPr>
          <w:szCs w:val="22"/>
        </w:rPr>
        <w:t>the</w:t>
      </w:r>
      <w:proofErr w:type="gramEnd"/>
      <w:r w:rsidRPr="00310A0E">
        <w:rPr>
          <w:szCs w:val="22"/>
        </w:rPr>
        <w:t xml:space="preserve"> Hague systems.  Partnerships with stakeholders and partners rendered possible key events in the WSO such as the Sub-Regional Workshop for ASEAN Countries on The Hague System with the Office for Harmonization in the Internal Market/ EU-ASEAN Project on the Protection of Intellectual Property Rights (OHIM/ECAP III) and the WIPO - ASEAN Australia New Zealand Free Trade Area (AANZFTA) Sub Regional Workshop for ASEAN Trademark Examiners on the Madrid System. </w:t>
      </w:r>
    </w:p>
    <w:p w:rsidR="00310A0E" w:rsidRPr="00310A0E" w:rsidRDefault="00310A0E" w:rsidP="00F60CAF">
      <w:pPr>
        <w:pStyle w:val="ListParagraph"/>
        <w:tabs>
          <w:tab w:val="left" w:pos="709"/>
        </w:tabs>
        <w:ind w:left="0"/>
        <w:jc w:val="both"/>
        <w:rPr>
          <w:szCs w:val="22"/>
        </w:rPr>
      </w:pPr>
    </w:p>
    <w:p w:rsidR="00310A0E" w:rsidRPr="00310A0E" w:rsidRDefault="00310A0E" w:rsidP="00F60CAF">
      <w:pPr>
        <w:pStyle w:val="ListParagraph"/>
        <w:numPr>
          <w:ilvl w:val="0"/>
          <w:numId w:val="92"/>
        </w:numPr>
        <w:tabs>
          <w:tab w:val="left" w:pos="709"/>
        </w:tabs>
        <w:ind w:left="0" w:firstLine="0"/>
        <w:jc w:val="both"/>
        <w:rPr>
          <w:szCs w:val="22"/>
        </w:rPr>
      </w:pPr>
      <w:r w:rsidRPr="00310A0E">
        <w:rPr>
          <w:szCs w:val="22"/>
        </w:rPr>
        <w:t xml:space="preserve">In 2014, the WSO continued to manage and implement the </w:t>
      </w:r>
      <w:proofErr w:type="spellStart"/>
      <w:r w:rsidRPr="00310A0E">
        <w:rPr>
          <w:szCs w:val="22"/>
        </w:rPr>
        <w:t>MoU</w:t>
      </w:r>
      <w:proofErr w:type="spellEnd"/>
      <w:r w:rsidRPr="00310A0E">
        <w:rPr>
          <w:szCs w:val="22"/>
        </w:rPr>
        <w:t xml:space="preserve"> between WIPO and the Government of Singapore, which focuses on enhancing skills and knowledge of IP officials and stakeholders from Asia and the Pacific.  In addition, 20 technical assistance activities were delivered to 12 Member States to help implement effective IP administration systems, as well as assistance relating to the Madrid and Hague systems, copyright and related rights, Collective Management Organizations (CMOs), education, awareness and capacity building.  The WSO also organized 11 study visits, as compared to six in 2013, for IP professionals from across the region as well as from key institutions in Singapore.  The WSO partnered with the Intellectual Property Office of Singapore (IPOS) to organize key events and workshops, and facilitated speakers for the third annual regional IP </w:t>
      </w:r>
      <w:proofErr w:type="spellStart"/>
      <w:r w:rsidRPr="00310A0E">
        <w:rPr>
          <w:szCs w:val="22"/>
        </w:rPr>
        <w:t>Week@SG</w:t>
      </w:r>
      <w:proofErr w:type="spellEnd"/>
      <w:r w:rsidRPr="00310A0E">
        <w:rPr>
          <w:szCs w:val="22"/>
        </w:rPr>
        <w:t xml:space="preserve"> 2014 initiative for businesses, innovators and creators. </w:t>
      </w:r>
    </w:p>
    <w:p w:rsidR="00310A0E" w:rsidRPr="00310A0E" w:rsidRDefault="00310A0E" w:rsidP="00F60CAF">
      <w:pPr>
        <w:pStyle w:val="ListParagraph"/>
        <w:tabs>
          <w:tab w:val="left" w:pos="709"/>
        </w:tabs>
        <w:ind w:left="0"/>
        <w:jc w:val="both"/>
        <w:rPr>
          <w:szCs w:val="22"/>
        </w:rPr>
      </w:pPr>
    </w:p>
    <w:p w:rsidR="00310A0E" w:rsidRPr="00310A0E" w:rsidRDefault="00310A0E" w:rsidP="00F60CAF">
      <w:pPr>
        <w:pStyle w:val="ListParagraph"/>
        <w:numPr>
          <w:ilvl w:val="0"/>
          <w:numId w:val="92"/>
        </w:numPr>
        <w:tabs>
          <w:tab w:val="left" w:pos="709"/>
        </w:tabs>
        <w:ind w:left="0" w:firstLine="0"/>
        <w:jc w:val="both"/>
        <w:rPr>
          <w:szCs w:val="22"/>
        </w:rPr>
      </w:pPr>
      <w:r w:rsidRPr="00310A0E">
        <w:rPr>
          <w:szCs w:val="22"/>
        </w:rPr>
        <w:t>Outreach was also strengthened in 2014 through WSO’s speaking engagements at key events and conferences of intergovernmental organizations, NGOs, national institutions in the region or based in Singapore, such as the ASEAN IP Association (AIPA), Asia-Pacific Economic Cooperation (APEC), the Asia-Europe Foundation (ASEF), the Malaysian IP Association (MIPA), the Economic Institute for ASEAN and East Asia (ERIA), the Confederation of International Societies of Authors and Composers (CISAC), and the Central IP and International Trade Court of Thailand.</w:t>
      </w:r>
    </w:p>
    <w:p w:rsidR="00310A0E" w:rsidRPr="00310A0E" w:rsidRDefault="00310A0E" w:rsidP="00F60CAF">
      <w:pPr>
        <w:pStyle w:val="ListParagraph"/>
        <w:tabs>
          <w:tab w:val="left" w:pos="709"/>
        </w:tabs>
        <w:ind w:left="0"/>
        <w:jc w:val="both"/>
        <w:rPr>
          <w:szCs w:val="22"/>
        </w:rPr>
      </w:pPr>
    </w:p>
    <w:p w:rsidR="00310A0E" w:rsidRDefault="00310A0E" w:rsidP="00F60CAF">
      <w:pPr>
        <w:pStyle w:val="ListParagraph"/>
        <w:numPr>
          <w:ilvl w:val="0"/>
          <w:numId w:val="92"/>
        </w:numPr>
        <w:tabs>
          <w:tab w:val="left" w:pos="709"/>
        </w:tabs>
        <w:ind w:left="0" w:firstLine="0"/>
        <w:jc w:val="both"/>
      </w:pPr>
      <w:r w:rsidRPr="00310A0E">
        <w:rPr>
          <w:szCs w:val="22"/>
        </w:rPr>
        <w:t>In order to achieve cost savings on travel and more effective use of WIPO staff time, the WSO represented the Organization on several occasions, for example at the WIPO Academy’s program of Summer Schools in Asia and the WIPO-Queensland University of Technology Master of Laws in IP.  The Office continued to play an important role in ensuring the WIPO round-the-clock customer service.</w:t>
      </w:r>
    </w:p>
    <w:p w:rsidR="00BD0327" w:rsidRDefault="00BD0327" w:rsidP="00BD0327">
      <w:pPr>
        <w:jc w:val="both"/>
        <w:rPr>
          <w:szCs w:val="20"/>
        </w:rPr>
      </w:pPr>
    </w:p>
    <w:p w:rsidR="00BD0327" w:rsidRPr="00BD0327" w:rsidRDefault="00BD0327" w:rsidP="00F60CAF">
      <w:pPr>
        <w:keepNext/>
        <w:keepLines/>
        <w:rPr>
          <w:rFonts w:cs="Arial"/>
          <w:color w:val="000000"/>
          <w:sz w:val="22"/>
          <w:szCs w:val="20"/>
        </w:rPr>
      </w:pPr>
      <w:r w:rsidRPr="00BD0327">
        <w:rPr>
          <w:rFonts w:cs="Arial"/>
          <w:color w:val="000000"/>
          <w:sz w:val="22"/>
          <w:szCs w:val="20"/>
        </w:rPr>
        <w:lastRenderedPageBreak/>
        <w:t>PERFORMANCE DATA</w:t>
      </w:r>
    </w:p>
    <w:p w:rsidR="00BD0327" w:rsidRDefault="00BD0327" w:rsidP="00F60CAF">
      <w:pPr>
        <w:keepNext/>
        <w:keepLines/>
        <w:rPr>
          <w:rFonts w:cs="Arial"/>
          <w:color w:val="000000"/>
          <w:szCs w:val="20"/>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8"/>
        <w:gridCol w:w="1654"/>
        <w:gridCol w:w="1757"/>
        <w:gridCol w:w="3202"/>
        <w:gridCol w:w="890"/>
      </w:tblGrid>
      <w:tr w:rsidR="00BD0327" w:rsidRPr="00B35AFA" w:rsidTr="00BD0327">
        <w:tc>
          <w:tcPr>
            <w:tcW w:w="5000" w:type="pct"/>
            <w:gridSpan w:val="5"/>
            <w:tcBorders>
              <w:bottom w:val="single" w:sz="4" w:space="0" w:color="auto"/>
            </w:tcBorders>
            <w:shd w:val="clear" w:color="auto" w:fill="CCFFFF"/>
          </w:tcPr>
          <w:p w:rsidR="00BD0327" w:rsidRPr="00B35AFA" w:rsidRDefault="00BD0327" w:rsidP="00F60CAF">
            <w:pPr>
              <w:keepNext/>
              <w:keepLines/>
              <w:tabs>
                <w:tab w:val="left" w:pos="1452"/>
              </w:tabs>
              <w:spacing w:before="120" w:after="120"/>
              <w:ind w:left="1452" w:hanging="1452"/>
              <w:rPr>
                <w:rFonts w:eastAsia="SimSun" w:cs="Arial"/>
                <w:b/>
                <w:bCs/>
                <w:sz w:val="16"/>
                <w:szCs w:val="16"/>
                <w:lang w:eastAsia="zh-CN"/>
              </w:rPr>
            </w:pPr>
            <w:r w:rsidRPr="00B35AFA">
              <w:rPr>
                <w:rFonts w:eastAsia="SimSun" w:cs="Arial"/>
                <w:b/>
                <w:bCs/>
                <w:sz w:val="16"/>
                <w:szCs w:val="16"/>
                <w:lang w:eastAsia="zh-CN"/>
              </w:rPr>
              <w:t>Expected Result:</w:t>
            </w:r>
            <w:r w:rsidRPr="00B35AFA">
              <w:rPr>
                <w:rFonts w:eastAsia="SimSun" w:cs="Arial"/>
                <w:b/>
                <w:bCs/>
                <w:sz w:val="16"/>
                <w:szCs w:val="16"/>
                <w:lang w:eastAsia="zh-CN"/>
              </w:rPr>
              <w:tab/>
            </w:r>
            <w:r w:rsidRPr="002E2035">
              <w:rPr>
                <w:rFonts w:eastAsia="SimSun" w:cs="Arial"/>
                <w:color w:val="000000"/>
                <w:sz w:val="16"/>
                <w:szCs w:val="16"/>
                <w:lang w:eastAsia="zh-CN"/>
              </w:rPr>
              <w:t>II.1 Increased use of the PCT route for filing international patent applications</w:t>
            </w:r>
          </w:p>
        </w:tc>
      </w:tr>
      <w:tr w:rsidR="00BD0327" w:rsidRPr="00B35AFA" w:rsidTr="00BD0327">
        <w:tc>
          <w:tcPr>
            <w:tcW w:w="1080" w:type="pct"/>
            <w:tcBorders>
              <w:top w:val="single" w:sz="4" w:space="0" w:color="auto"/>
              <w:left w:val="single" w:sz="4" w:space="0" w:color="auto"/>
              <w:bottom w:val="nil"/>
              <w:right w:val="nil"/>
            </w:tcBorders>
            <w:shd w:val="clear" w:color="auto" w:fill="auto"/>
          </w:tcPr>
          <w:p w:rsidR="00BD0327" w:rsidRPr="00B35AFA" w:rsidRDefault="00BD0327" w:rsidP="00BD0327">
            <w:pPr>
              <w:rPr>
                <w:rFonts w:eastAsia="SimSun" w:cs="Arial"/>
                <w:sz w:val="16"/>
                <w:szCs w:val="16"/>
                <w:lang w:eastAsia="zh-CN"/>
              </w:rPr>
            </w:pPr>
            <w:r w:rsidRPr="00B35AFA">
              <w:rPr>
                <w:rFonts w:eastAsia="SimSun" w:cs="Arial"/>
                <w:b/>
                <w:bCs/>
                <w:sz w:val="16"/>
                <w:szCs w:val="16"/>
                <w:lang w:eastAsia="zh-CN"/>
              </w:rPr>
              <w:t>Performance Indicators</w:t>
            </w:r>
          </w:p>
        </w:tc>
        <w:tc>
          <w:tcPr>
            <w:tcW w:w="864" w:type="pct"/>
            <w:tcBorders>
              <w:top w:val="single" w:sz="4" w:space="0" w:color="auto"/>
              <w:left w:val="nil"/>
              <w:bottom w:val="nil"/>
              <w:right w:val="nil"/>
            </w:tcBorders>
            <w:shd w:val="clear" w:color="auto" w:fill="auto"/>
          </w:tcPr>
          <w:p w:rsidR="00BD0327" w:rsidRPr="00B35AFA" w:rsidRDefault="00BD0327" w:rsidP="00BD0327">
            <w:pPr>
              <w:rPr>
                <w:rFonts w:eastAsia="SimSun" w:cs="Arial"/>
                <w:b/>
                <w:bCs/>
                <w:sz w:val="16"/>
                <w:szCs w:val="16"/>
                <w:lang w:eastAsia="zh-CN"/>
              </w:rPr>
            </w:pPr>
            <w:r w:rsidRPr="00B35AFA">
              <w:rPr>
                <w:rFonts w:cs="Arial"/>
                <w:b/>
                <w:bCs/>
                <w:sz w:val="16"/>
                <w:szCs w:val="16"/>
              </w:rPr>
              <w:t>Baselines</w:t>
            </w:r>
          </w:p>
        </w:tc>
        <w:tc>
          <w:tcPr>
            <w:tcW w:w="918" w:type="pct"/>
            <w:tcBorders>
              <w:top w:val="single" w:sz="4" w:space="0" w:color="auto"/>
              <w:left w:val="nil"/>
              <w:bottom w:val="nil"/>
              <w:right w:val="nil"/>
            </w:tcBorders>
            <w:shd w:val="clear" w:color="auto" w:fill="auto"/>
            <w:tcMar>
              <w:top w:w="110" w:type="dxa"/>
            </w:tcMar>
          </w:tcPr>
          <w:p w:rsidR="00BD0327" w:rsidRPr="00B35AFA" w:rsidRDefault="00BD0327" w:rsidP="00BD0327">
            <w:pPr>
              <w:rPr>
                <w:rFonts w:eastAsia="SimSun" w:cs="Arial"/>
                <w:b/>
                <w:sz w:val="16"/>
                <w:szCs w:val="16"/>
                <w:lang w:eastAsia="zh-CN"/>
              </w:rPr>
            </w:pPr>
            <w:r w:rsidRPr="00B35AFA">
              <w:rPr>
                <w:rFonts w:cs="Arial"/>
                <w:b/>
                <w:sz w:val="16"/>
                <w:szCs w:val="16"/>
              </w:rPr>
              <w:t>Targets</w:t>
            </w:r>
          </w:p>
        </w:tc>
        <w:tc>
          <w:tcPr>
            <w:tcW w:w="1673" w:type="pct"/>
            <w:tcBorders>
              <w:top w:val="single" w:sz="4" w:space="0" w:color="auto"/>
              <w:left w:val="nil"/>
              <w:bottom w:val="nil"/>
              <w:right w:val="nil"/>
            </w:tcBorders>
            <w:shd w:val="clear" w:color="auto" w:fill="FFFFFF"/>
            <w:tcMar>
              <w:top w:w="110" w:type="dxa"/>
            </w:tcMar>
          </w:tcPr>
          <w:p w:rsidR="00BD0327" w:rsidRPr="00B35AFA" w:rsidRDefault="00BD0327" w:rsidP="00BD0327">
            <w:pPr>
              <w:rPr>
                <w:rFonts w:eastAsia="SimSun" w:cs="Arial"/>
                <w:sz w:val="16"/>
                <w:szCs w:val="16"/>
                <w:lang w:eastAsia="zh-CN"/>
              </w:rPr>
            </w:pPr>
            <w:r w:rsidRPr="00B35AFA">
              <w:rPr>
                <w:rFonts w:eastAsia="SimSun" w:cs="Arial"/>
                <w:b/>
                <w:bCs/>
                <w:sz w:val="16"/>
                <w:szCs w:val="16"/>
                <w:lang w:eastAsia="zh-CN"/>
              </w:rPr>
              <w:t>Performance Data</w:t>
            </w:r>
          </w:p>
        </w:tc>
        <w:tc>
          <w:tcPr>
            <w:tcW w:w="465" w:type="pct"/>
            <w:tcBorders>
              <w:top w:val="single" w:sz="4" w:space="0" w:color="auto"/>
              <w:left w:val="nil"/>
              <w:bottom w:val="nil"/>
              <w:right w:val="single" w:sz="4" w:space="0" w:color="auto"/>
            </w:tcBorders>
            <w:shd w:val="clear" w:color="auto" w:fill="auto"/>
            <w:tcMar>
              <w:top w:w="110" w:type="dxa"/>
            </w:tcMar>
          </w:tcPr>
          <w:p w:rsidR="00BD0327" w:rsidRPr="00B35AFA" w:rsidRDefault="00BD0327" w:rsidP="00BD0327">
            <w:pPr>
              <w:keepNext/>
              <w:keepLines/>
              <w:jc w:val="center"/>
              <w:rPr>
                <w:rFonts w:eastAsia="SimSun" w:cs="Arial"/>
                <w:b/>
                <w:bCs/>
                <w:sz w:val="16"/>
                <w:szCs w:val="16"/>
                <w:lang w:eastAsia="zh-CN"/>
              </w:rPr>
            </w:pPr>
            <w:r w:rsidRPr="00B35AFA">
              <w:rPr>
                <w:rFonts w:eastAsia="SimSun" w:cs="Arial"/>
                <w:b/>
                <w:bCs/>
                <w:sz w:val="16"/>
                <w:szCs w:val="16"/>
                <w:lang w:eastAsia="zh-CN"/>
              </w:rPr>
              <w:t>TLS</w:t>
            </w:r>
          </w:p>
        </w:tc>
      </w:tr>
      <w:tr w:rsidR="00BD0327" w:rsidRPr="00B35AFA" w:rsidTr="00BD0327">
        <w:tc>
          <w:tcPr>
            <w:tcW w:w="1080" w:type="pct"/>
            <w:tcBorders>
              <w:top w:val="nil"/>
              <w:left w:val="single" w:sz="4" w:space="0" w:color="auto"/>
              <w:bottom w:val="nil"/>
              <w:right w:val="nil"/>
            </w:tcBorders>
            <w:shd w:val="clear" w:color="auto" w:fill="auto"/>
          </w:tcPr>
          <w:p w:rsidR="00BD0327" w:rsidRPr="00B35AFA" w:rsidRDefault="00BD0327" w:rsidP="00BD0327">
            <w:pPr>
              <w:rPr>
                <w:rFonts w:eastAsia="SimSun" w:cs="Arial"/>
                <w:color w:val="000000"/>
                <w:sz w:val="16"/>
                <w:szCs w:val="16"/>
                <w:lang w:eastAsia="zh-CN"/>
              </w:rPr>
            </w:pPr>
            <w:r w:rsidRPr="002E2035">
              <w:rPr>
                <w:rFonts w:eastAsia="SimSun" w:cs="Arial"/>
                <w:color w:val="000000"/>
                <w:sz w:val="16"/>
                <w:szCs w:val="16"/>
                <w:lang w:eastAsia="zh-CN"/>
              </w:rPr>
              <w:t>% of PCT filings</w:t>
            </w:r>
          </w:p>
        </w:tc>
        <w:tc>
          <w:tcPr>
            <w:tcW w:w="864" w:type="pct"/>
            <w:tcBorders>
              <w:top w:val="nil"/>
              <w:left w:val="nil"/>
              <w:bottom w:val="nil"/>
              <w:right w:val="nil"/>
            </w:tcBorders>
            <w:shd w:val="clear" w:color="auto" w:fill="auto"/>
          </w:tcPr>
          <w:p w:rsidR="00BD0327" w:rsidRDefault="00BD0327" w:rsidP="00BD0327">
            <w:pPr>
              <w:spacing w:after="120"/>
              <w:rPr>
                <w:rFonts w:cs="Arial"/>
                <w:i/>
                <w:color w:val="002060"/>
                <w:sz w:val="16"/>
                <w:szCs w:val="16"/>
              </w:rPr>
            </w:pPr>
            <w:r>
              <w:rPr>
                <w:rFonts w:cs="Arial"/>
                <w:i/>
                <w:color w:val="002060"/>
                <w:sz w:val="16"/>
                <w:szCs w:val="16"/>
              </w:rPr>
              <w:t>Updated Baseline end 2013</w:t>
            </w:r>
            <w:r w:rsidRPr="00B35AFA">
              <w:rPr>
                <w:rFonts w:cs="Arial"/>
                <w:i/>
                <w:color w:val="002060"/>
                <w:sz w:val="16"/>
                <w:szCs w:val="16"/>
              </w:rPr>
              <w:t>:</w:t>
            </w:r>
          </w:p>
          <w:p w:rsidR="00BD0327" w:rsidRPr="00F45096" w:rsidRDefault="00BD0327" w:rsidP="00BD0327">
            <w:pPr>
              <w:rPr>
                <w:rFonts w:cs="Arial"/>
                <w:i/>
                <w:color w:val="002060"/>
                <w:sz w:val="16"/>
                <w:szCs w:val="16"/>
              </w:rPr>
            </w:pPr>
            <w:r>
              <w:rPr>
                <w:rFonts w:cs="Arial"/>
                <w:color w:val="002060"/>
                <w:sz w:val="16"/>
                <w:szCs w:val="16"/>
              </w:rPr>
              <w:t>2012: 588;          2013: 657 (WBO)</w:t>
            </w:r>
          </w:p>
          <w:p w:rsidR="00BD0327" w:rsidRPr="00F45096" w:rsidRDefault="00BD0327" w:rsidP="00BD0327">
            <w:pPr>
              <w:rPr>
                <w:rFonts w:cs="Arial"/>
                <w:i/>
                <w:color w:val="002060"/>
                <w:sz w:val="16"/>
                <w:szCs w:val="16"/>
              </w:rPr>
            </w:pPr>
            <w:r>
              <w:rPr>
                <w:rFonts w:cs="Arial"/>
                <w:i/>
                <w:color w:val="002060"/>
                <w:sz w:val="16"/>
                <w:szCs w:val="16"/>
              </w:rPr>
              <w:t xml:space="preserve">2012: </w:t>
            </w:r>
            <w:r w:rsidRPr="00FC0F58">
              <w:rPr>
                <w:rFonts w:cs="Arial"/>
                <w:color w:val="002060"/>
                <w:sz w:val="16"/>
                <w:szCs w:val="16"/>
              </w:rPr>
              <w:t>43</w:t>
            </w:r>
            <w:r>
              <w:rPr>
                <w:rFonts w:cs="Arial"/>
                <w:color w:val="002060"/>
                <w:sz w:val="16"/>
                <w:szCs w:val="16"/>
              </w:rPr>
              <w:t>,</w:t>
            </w:r>
            <w:r w:rsidRPr="00FC0F58">
              <w:rPr>
                <w:rFonts w:cs="Arial"/>
                <w:color w:val="002060"/>
                <w:sz w:val="16"/>
                <w:szCs w:val="16"/>
              </w:rPr>
              <w:t>523;</w:t>
            </w:r>
            <w:r>
              <w:rPr>
                <w:rFonts w:cs="Arial"/>
                <w:i/>
                <w:color w:val="002060"/>
                <w:sz w:val="16"/>
                <w:szCs w:val="16"/>
              </w:rPr>
              <w:t xml:space="preserve">      2013: </w:t>
            </w:r>
            <w:r w:rsidRPr="00FC0F58">
              <w:rPr>
                <w:rFonts w:cs="Arial"/>
                <w:color w:val="002060"/>
                <w:sz w:val="16"/>
                <w:szCs w:val="16"/>
              </w:rPr>
              <w:t>43</w:t>
            </w:r>
            <w:r>
              <w:rPr>
                <w:rFonts w:cs="Arial"/>
                <w:color w:val="002060"/>
                <w:sz w:val="16"/>
                <w:szCs w:val="16"/>
              </w:rPr>
              <w:t>,</w:t>
            </w:r>
            <w:r w:rsidRPr="00FC0F58">
              <w:rPr>
                <w:rFonts w:cs="Arial"/>
                <w:color w:val="002060"/>
                <w:sz w:val="16"/>
                <w:szCs w:val="16"/>
              </w:rPr>
              <w:t>771 (WJO)</w:t>
            </w:r>
            <w:r w:rsidRPr="00B35AFA">
              <w:rPr>
                <w:rFonts w:cs="Arial"/>
                <w:i/>
                <w:color w:val="002060"/>
                <w:sz w:val="16"/>
                <w:szCs w:val="16"/>
              </w:rPr>
              <w:t xml:space="preserve">  </w:t>
            </w:r>
          </w:p>
          <w:p w:rsidR="00BD0327" w:rsidRDefault="00BD0327" w:rsidP="00BD0327">
            <w:pPr>
              <w:rPr>
                <w:rFonts w:cs="Arial"/>
                <w:color w:val="002060"/>
                <w:sz w:val="16"/>
                <w:szCs w:val="16"/>
              </w:rPr>
            </w:pPr>
            <w:r>
              <w:rPr>
                <w:rFonts w:cs="Arial"/>
                <w:color w:val="002060"/>
                <w:sz w:val="16"/>
                <w:szCs w:val="16"/>
              </w:rPr>
              <w:t>2012 : 1,124</w:t>
            </w:r>
          </w:p>
          <w:p w:rsidR="00BD0327" w:rsidRDefault="00BD0327" w:rsidP="00BD0327">
            <w:pPr>
              <w:rPr>
                <w:rFonts w:cs="Arial"/>
                <w:color w:val="002060"/>
                <w:sz w:val="16"/>
                <w:szCs w:val="16"/>
              </w:rPr>
            </w:pPr>
            <w:r w:rsidRPr="00730AE5">
              <w:rPr>
                <w:rFonts w:cs="Arial"/>
                <w:color w:val="002060"/>
                <w:sz w:val="16"/>
                <w:szCs w:val="16"/>
              </w:rPr>
              <w:t xml:space="preserve">2013: </w:t>
            </w:r>
            <w:r>
              <w:rPr>
                <w:rFonts w:cs="Arial"/>
                <w:color w:val="002060"/>
                <w:sz w:val="16"/>
                <w:szCs w:val="16"/>
              </w:rPr>
              <w:t>1,282 (WSO)</w:t>
            </w:r>
          </w:p>
          <w:p w:rsidR="00BD0327" w:rsidRDefault="00BD0327" w:rsidP="00BD0327">
            <w:pPr>
              <w:spacing w:after="120"/>
              <w:rPr>
                <w:rFonts w:cs="Arial"/>
                <w:sz w:val="16"/>
                <w:szCs w:val="16"/>
              </w:rPr>
            </w:pPr>
            <w:r>
              <w:rPr>
                <w:rFonts w:cs="Arial"/>
                <w:i/>
                <w:sz w:val="16"/>
                <w:szCs w:val="16"/>
              </w:rPr>
              <w:t>Original Baseline P&amp;B 2014/15</w:t>
            </w:r>
            <w:r w:rsidRPr="00B35AFA">
              <w:rPr>
                <w:rFonts w:cs="Arial"/>
                <w:i/>
                <w:sz w:val="16"/>
                <w:szCs w:val="16"/>
              </w:rPr>
              <w:t>:</w:t>
            </w:r>
            <w:r w:rsidRPr="00B35AFA">
              <w:rPr>
                <w:rFonts w:cs="Arial"/>
                <w:sz w:val="16"/>
                <w:szCs w:val="16"/>
              </w:rPr>
              <w:t xml:space="preserve">  </w:t>
            </w:r>
          </w:p>
          <w:p w:rsidR="00BD0327" w:rsidRDefault="00BD0327" w:rsidP="00BD0327">
            <w:pPr>
              <w:rPr>
                <w:rFonts w:cs="Arial"/>
                <w:sz w:val="16"/>
                <w:szCs w:val="16"/>
              </w:rPr>
            </w:pPr>
            <w:r w:rsidRPr="002E2035">
              <w:rPr>
                <w:rFonts w:cs="Arial"/>
                <w:sz w:val="16"/>
                <w:szCs w:val="16"/>
              </w:rPr>
              <w:t>519 in 2011 (WBO)</w:t>
            </w:r>
          </w:p>
          <w:p w:rsidR="00BD0327" w:rsidRDefault="00BD0327" w:rsidP="00BD0327">
            <w:pPr>
              <w:rPr>
                <w:rFonts w:cs="Arial"/>
                <w:sz w:val="16"/>
                <w:szCs w:val="16"/>
              </w:rPr>
            </w:pPr>
            <w:proofErr w:type="spellStart"/>
            <w:r w:rsidRPr="002E2035">
              <w:rPr>
                <w:rFonts w:cs="Arial"/>
                <w:sz w:val="16"/>
                <w:szCs w:val="16"/>
              </w:rPr>
              <w:t>tbd</w:t>
            </w:r>
            <w:proofErr w:type="spellEnd"/>
            <w:r w:rsidRPr="002E2035">
              <w:rPr>
                <w:rFonts w:cs="Arial"/>
                <w:sz w:val="16"/>
                <w:szCs w:val="16"/>
              </w:rPr>
              <w:t xml:space="preserve"> (WJO)</w:t>
            </w:r>
          </w:p>
          <w:p w:rsidR="00BD0327" w:rsidRPr="00B35AFA" w:rsidRDefault="00BD0327" w:rsidP="00BD0327">
            <w:pPr>
              <w:rPr>
                <w:rFonts w:eastAsia="SimSun" w:cs="Arial"/>
                <w:color w:val="000000"/>
                <w:sz w:val="16"/>
                <w:szCs w:val="16"/>
                <w:lang w:eastAsia="zh-CN"/>
              </w:rPr>
            </w:pPr>
            <w:proofErr w:type="spellStart"/>
            <w:r w:rsidRPr="002E2035">
              <w:rPr>
                <w:rFonts w:cs="Arial"/>
                <w:sz w:val="16"/>
                <w:szCs w:val="16"/>
              </w:rPr>
              <w:t>tbd</w:t>
            </w:r>
            <w:proofErr w:type="spellEnd"/>
            <w:r w:rsidRPr="002E2035">
              <w:rPr>
                <w:rFonts w:cs="Arial"/>
                <w:sz w:val="16"/>
                <w:szCs w:val="16"/>
              </w:rPr>
              <w:t xml:space="preserve"> (WSO)</w:t>
            </w:r>
            <w:r>
              <w:rPr>
                <w:rFonts w:cs="Arial"/>
                <w:sz w:val="16"/>
                <w:szCs w:val="16"/>
              </w:rPr>
              <w:t xml:space="preserve"> </w:t>
            </w:r>
          </w:p>
        </w:tc>
        <w:tc>
          <w:tcPr>
            <w:tcW w:w="918" w:type="pct"/>
            <w:tcBorders>
              <w:top w:val="nil"/>
              <w:left w:val="nil"/>
              <w:bottom w:val="nil"/>
              <w:right w:val="nil"/>
            </w:tcBorders>
            <w:shd w:val="clear" w:color="auto" w:fill="auto"/>
            <w:tcMar>
              <w:top w:w="110" w:type="dxa"/>
            </w:tcMar>
          </w:tcPr>
          <w:p w:rsidR="00BD0327" w:rsidRDefault="00BD0327" w:rsidP="00BD0327">
            <w:pPr>
              <w:rPr>
                <w:rFonts w:eastAsia="SimSun" w:cs="Arial"/>
                <w:sz w:val="16"/>
                <w:szCs w:val="16"/>
                <w:lang w:eastAsia="zh-CN" w:bidi="th-TH"/>
              </w:rPr>
            </w:pPr>
          </w:p>
          <w:p w:rsidR="00BD0327" w:rsidRDefault="00BD0327" w:rsidP="00BD0327">
            <w:pPr>
              <w:spacing w:after="120"/>
              <w:rPr>
                <w:rFonts w:eastAsia="SimSun" w:cs="Arial"/>
                <w:sz w:val="16"/>
                <w:szCs w:val="16"/>
                <w:lang w:eastAsia="zh-CN" w:bidi="th-TH"/>
              </w:rPr>
            </w:pPr>
            <w:r w:rsidRPr="002E2035">
              <w:rPr>
                <w:rFonts w:eastAsia="SimSun" w:cs="Arial"/>
                <w:sz w:val="16"/>
                <w:szCs w:val="16"/>
                <w:lang w:eastAsia="zh-CN" w:bidi="th-TH"/>
              </w:rPr>
              <w:t>15% increase (WBO)</w:t>
            </w:r>
          </w:p>
          <w:p w:rsidR="00BD0327" w:rsidRDefault="00BD0327" w:rsidP="00BD0327">
            <w:pPr>
              <w:rPr>
                <w:rFonts w:eastAsia="SimSun" w:cs="Arial"/>
                <w:sz w:val="16"/>
                <w:szCs w:val="16"/>
                <w:lang w:eastAsia="zh-CN" w:bidi="th-TH"/>
              </w:rPr>
            </w:pPr>
          </w:p>
          <w:p w:rsidR="00BD0327" w:rsidRDefault="00BD0327" w:rsidP="00BD0327">
            <w:pPr>
              <w:spacing w:after="120"/>
              <w:rPr>
                <w:rFonts w:eastAsia="SimSun" w:cs="Arial"/>
                <w:sz w:val="16"/>
                <w:szCs w:val="16"/>
                <w:lang w:eastAsia="zh-CN" w:bidi="th-TH"/>
              </w:rPr>
            </w:pPr>
            <w:r w:rsidRPr="002E2035">
              <w:rPr>
                <w:rFonts w:eastAsia="SimSun" w:cs="Arial"/>
                <w:sz w:val="16"/>
                <w:szCs w:val="16"/>
                <w:lang w:eastAsia="zh-CN" w:bidi="th-TH"/>
              </w:rPr>
              <w:t>1% increase (WJO)</w:t>
            </w:r>
          </w:p>
          <w:p w:rsidR="00BD0327" w:rsidRDefault="00BD0327" w:rsidP="00BD0327">
            <w:pPr>
              <w:rPr>
                <w:rFonts w:eastAsia="SimSun" w:cs="Arial"/>
                <w:sz w:val="16"/>
                <w:szCs w:val="16"/>
                <w:lang w:eastAsia="zh-CN" w:bidi="th-TH"/>
              </w:rPr>
            </w:pPr>
          </w:p>
          <w:p w:rsidR="00BD0327" w:rsidRPr="00B35AFA" w:rsidRDefault="00BD0327" w:rsidP="00BD0327">
            <w:pPr>
              <w:spacing w:after="120"/>
              <w:rPr>
                <w:rFonts w:eastAsia="SimSun" w:cs="Arial"/>
                <w:sz w:val="16"/>
                <w:szCs w:val="16"/>
                <w:lang w:eastAsia="zh-CN" w:bidi="th-TH"/>
              </w:rPr>
            </w:pPr>
            <w:r w:rsidRPr="002E2035">
              <w:rPr>
                <w:rFonts w:eastAsia="SimSun" w:cs="Arial"/>
                <w:sz w:val="16"/>
                <w:szCs w:val="16"/>
                <w:lang w:eastAsia="zh-CN" w:bidi="th-TH"/>
              </w:rPr>
              <w:t>5% increase (WSO)</w:t>
            </w:r>
          </w:p>
        </w:tc>
        <w:tc>
          <w:tcPr>
            <w:tcW w:w="1673" w:type="pct"/>
            <w:tcBorders>
              <w:top w:val="nil"/>
              <w:left w:val="nil"/>
              <w:bottom w:val="nil"/>
              <w:right w:val="nil"/>
            </w:tcBorders>
            <w:shd w:val="clear" w:color="auto" w:fill="FFFFFF"/>
            <w:tcMar>
              <w:top w:w="110" w:type="dxa"/>
            </w:tcMar>
          </w:tcPr>
          <w:p w:rsidR="00BD0327" w:rsidRDefault="00BD0327" w:rsidP="00BD0327">
            <w:pPr>
              <w:rPr>
                <w:rFonts w:eastAsia="SimSun" w:cs="Arial"/>
                <w:sz w:val="16"/>
                <w:szCs w:val="16"/>
                <w:lang w:eastAsia="zh-CN"/>
              </w:rPr>
            </w:pPr>
          </w:p>
          <w:p w:rsidR="00BD0327" w:rsidRDefault="00BD0327" w:rsidP="00BD0327">
            <w:pPr>
              <w:spacing w:after="120"/>
              <w:rPr>
                <w:rFonts w:eastAsia="SimSun" w:cs="Arial"/>
                <w:sz w:val="16"/>
                <w:szCs w:val="16"/>
                <w:lang w:eastAsia="zh-CN"/>
              </w:rPr>
            </w:pPr>
            <w:r w:rsidRPr="00980EC4">
              <w:rPr>
                <w:rFonts w:eastAsia="SimSun" w:cs="Arial"/>
                <w:sz w:val="16"/>
                <w:szCs w:val="16"/>
                <w:lang w:eastAsia="zh-CN"/>
              </w:rPr>
              <w:t>2014</w:t>
            </w:r>
            <w:r>
              <w:rPr>
                <w:rFonts w:eastAsia="SimSun" w:cs="Arial"/>
                <w:sz w:val="16"/>
                <w:szCs w:val="16"/>
                <w:lang w:eastAsia="zh-CN"/>
              </w:rPr>
              <w:t xml:space="preserve">: </w:t>
            </w:r>
            <w:r w:rsidRPr="00980EC4">
              <w:rPr>
                <w:rFonts w:eastAsia="SimSun" w:cs="Arial"/>
                <w:sz w:val="16"/>
                <w:szCs w:val="16"/>
                <w:lang w:eastAsia="zh-CN"/>
              </w:rPr>
              <w:t xml:space="preserve"> 581 </w:t>
            </w:r>
            <w:r>
              <w:rPr>
                <w:rFonts w:eastAsia="SimSun" w:cs="Arial"/>
                <w:sz w:val="16"/>
                <w:szCs w:val="16"/>
                <w:lang w:eastAsia="zh-CN"/>
              </w:rPr>
              <w:t>(12% decrease from 2013) (WBO)</w:t>
            </w:r>
          </w:p>
          <w:p w:rsidR="00BD0327" w:rsidRDefault="00BD0327" w:rsidP="00BD0327">
            <w:pPr>
              <w:spacing w:after="120"/>
              <w:rPr>
                <w:rFonts w:eastAsia="SimSun" w:cs="Arial"/>
                <w:sz w:val="16"/>
                <w:szCs w:val="16"/>
                <w:lang w:eastAsia="zh-CN"/>
              </w:rPr>
            </w:pPr>
            <w:r>
              <w:rPr>
                <w:rFonts w:eastAsia="SimSun" w:cs="Arial"/>
                <w:sz w:val="16"/>
                <w:szCs w:val="16"/>
                <w:lang w:eastAsia="zh-CN"/>
              </w:rPr>
              <w:t xml:space="preserve">2014: </w:t>
            </w:r>
            <w:r w:rsidRPr="00AF73E1">
              <w:rPr>
                <w:rFonts w:eastAsia="SimSun" w:cs="Arial"/>
                <w:sz w:val="16"/>
                <w:szCs w:val="16"/>
                <w:lang w:eastAsia="zh-CN"/>
              </w:rPr>
              <w:t>42</w:t>
            </w:r>
            <w:r>
              <w:rPr>
                <w:rFonts w:eastAsia="SimSun" w:cs="Arial"/>
                <w:sz w:val="16"/>
                <w:szCs w:val="16"/>
                <w:lang w:eastAsia="zh-CN"/>
              </w:rPr>
              <w:t>,</w:t>
            </w:r>
            <w:r w:rsidRPr="00AF73E1">
              <w:rPr>
                <w:rFonts w:eastAsia="SimSun" w:cs="Arial"/>
                <w:sz w:val="16"/>
                <w:szCs w:val="16"/>
                <w:lang w:eastAsia="zh-CN"/>
              </w:rPr>
              <w:t>459</w:t>
            </w:r>
            <w:r>
              <w:rPr>
                <w:rFonts w:eastAsia="SimSun" w:cs="Arial"/>
                <w:sz w:val="16"/>
                <w:szCs w:val="16"/>
                <w:lang w:eastAsia="zh-CN"/>
              </w:rPr>
              <w:t xml:space="preserve"> ( 3% decrease from 2013)  (WJO)</w:t>
            </w:r>
          </w:p>
          <w:p w:rsidR="00BD0327" w:rsidRDefault="00BD0327" w:rsidP="00BD0327">
            <w:pPr>
              <w:spacing w:after="120"/>
              <w:rPr>
                <w:rFonts w:eastAsia="SimSun" w:cs="Arial"/>
                <w:sz w:val="16"/>
                <w:szCs w:val="16"/>
                <w:lang w:eastAsia="zh-CN"/>
              </w:rPr>
            </w:pPr>
            <w:r>
              <w:rPr>
                <w:rFonts w:eastAsia="SimSun" w:cs="Arial"/>
                <w:sz w:val="16"/>
                <w:szCs w:val="16"/>
                <w:lang w:eastAsia="zh-CN"/>
              </w:rPr>
              <w:t>2014: 1,387 (8% increase from 2013) (WSO)</w:t>
            </w:r>
          </w:p>
          <w:p w:rsidR="00BD0327" w:rsidRPr="00B35AFA" w:rsidRDefault="00BD0327" w:rsidP="00BD0327">
            <w:pPr>
              <w:rPr>
                <w:rFonts w:eastAsia="SimSun" w:cs="Arial"/>
                <w:sz w:val="16"/>
                <w:szCs w:val="16"/>
                <w:lang w:eastAsia="zh-CN"/>
              </w:rPr>
            </w:pPr>
          </w:p>
        </w:tc>
        <w:tc>
          <w:tcPr>
            <w:tcW w:w="465" w:type="pct"/>
            <w:tcBorders>
              <w:top w:val="nil"/>
              <w:left w:val="nil"/>
              <w:bottom w:val="nil"/>
              <w:right w:val="single" w:sz="4" w:space="0" w:color="auto"/>
            </w:tcBorders>
            <w:shd w:val="clear" w:color="auto" w:fill="auto"/>
            <w:tcMar>
              <w:top w:w="110" w:type="dxa"/>
            </w:tcMar>
          </w:tcPr>
          <w:p w:rsidR="00BD0327" w:rsidRDefault="00BD0327" w:rsidP="00BD0327">
            <w:pPr>
              <w:keepNext/>
              <w:keepLines/>
              <w:rPr>
                <w:rFonts w:eastAsia="SimSun" w:cs="Arial"/>
                <w:b/>
                <w:bCs/>
                <w:color w:val="FF0000"/>
                <w:sz w:val="16"/>
                <w:szCs w:val="16"/>
                <w:lang w:eastAsia="zh-CN"/>
              </w:rPr>
            </w:pPr>
          </w:p>
          <w:p w:rsidR="00BD0327" w:rsidRPr="00566ADA" w:rsidRDefault="00BD0327" w:rsidP="00BD0327">
            <w:pPr>
              <w:keepNext/>
              <w:keepLines/>
              <w:jc w:val="center"/>
              <w:rPr>
                <w:rFonts w:eastAsia="SimSun" w:cs="Arial"/>
                <w:b/>
                <w:bCs/>
                <w:color w:val="FF0000"/>
                <w:sz w:val="16"/>
                <w:szCs w:val="16"/>
                <w:lang w:eastAsia="zh-CN"/>
              </w:rPr>
            </w:pPr>
            <w:r w:rsidRPr="00566ADA">
              <w:rPr>
                <w:rFonts w:eastAsia="SimSun" w:cs="Arial"/>
                <w:b/>
                <w:bCs/>
                <w:color w:val="FF0000"/>
                <w:sz w:val="16"/>
                <w:szCs w:val="16"/>
                <w:lang w:eastAsia="zh-CN"/>
              </w:rPr>
              <w:t xml:space="preserve">Not </w:t>
            </w:r>
            <w:r w:rsidRPr="00566ADA">
              <w:rPr>
                <w:rFonts w:eastAsia="SimSun" w:cs="Arial"/>
                <w:b/>
                <w:bCs/>
                <w:color w:val="FF0000"/>
                <w:sz w:val="16"/>
                <w:szCs w:val="16"/>
                <w:lang w:eastAsia="zh-CN"/>
              </w:rPr>
              <w:br/>
              <w:t>on track</w:t>
            </w:r>
          </w:p>
          <w:p w:rsidR="009F0F43" w:rsidRDefault="009F0F43" w:rsidP="00BD0327">
            <w:pPr>
              <w:keepNext/>
              <w:keepLines/>
              <w:jc w:val="center"/>
              <w:rPr>
                <w:rFonts w:eastAsia="SimSun" w:cs="Arial"/>
                <w:b/>
                <w:bCs/>
                <w:color w:val="FF0000"/>
                <w:sz w:val="16"/>
                <w:szCs w:val="16"/>
                <w:lang w:eastAsia="zh-CN"/>
              </w:rPr>
            </w:pPr>
          </w:p>
          <w:p w:rsidR="00BD0327" w:rsidRPr="00566ADA" w:rsidRDefault="00BD0327" w:rsidP="00BD0327">
            <w:pPr>
              <w:keepNext/>
              <w:keepLines/>
              <w:jc w:val="center"/>
              <w:rPr>
                <w:rFonts w:eastAsia="SimSun" w:cs="Arial"/>
                <w:b/>
                <w:bCs/>
                <w:color w:val="FF0000"/>
                <w:sz w:val="16"/>
                <w:szCs w:val="16"/>
                <w:lang w:eastAsia="zh-CN"/>
              </w:rPr>
            </w:pPr>
            <w:r w:rsidRPr="00566ADA">
              <w:rPr>
                <w:rFonts w:eastAsia="SimSun" w:cs="Arial"/>
                <w:b/>
                <w:bCs/>
                <w:color w:val="FF0000"/>
                <w:sz w:val="16"/>
                <w:szCs w:val="16"/>
                <w:lang w:eastAsia="zh-CN"/>
              </w:rPr>
              <w:t xml:space="preserve">Not </w:t>
            </w:r>
            <w:r w:rsidRPr="00566ADA">
              <w:rPr>
                <w:rFonts w:eastAsia="SimSun" w:cs="Arial"/>
                <w:b/>
                <w:bCs/>
                <w:color w:val="FF0000"/>
                <w:sz w:val="16"/>
                <w:szCs w:val="16"/>
                <w:lang w:eastAsia="zh-CN"/>
              </w:rPr>
              <w:br/>
              <w:t>on track</w:t>
            </w:r>
          </w:p>
          <w:p w:rsidR="009F0F43" w:rsidRPr="009F0F43" w:rsidRDefault="009F0F43" w:rsidP="00BD0327">
            <w:pPr>
              <w:keepNext/>
              <w:keepLines/>
              <w:jc w:val="center"/>
              <w:rPr>
                <w:rFonts w:eastAsia="SimSun" w:cs="Arial"/>
                <w:b/>
                <w:bCs/>
                <w:color w:val="00B050"/>
                <w:sz w:val="12"/>
                <w:szCs w:val="16"/>
                <w:lang w:eastAsia="zh-CN"/>
              </w:rPr>
            </w:pPr>
          </w:p>
          <w:p w:rsidR="00BD0327" w:rsidRPr="007F69C5" w:rsidRDefault="00BD0327" w:rsidP="00BD0327">
            <w:pPr>
              <w:keepNext/>
              <w:keepLines/>
              <w:jc w:val="center"/>
              <w:rPr>
                <w:rFonts w:eastAsia="SimSun" w:cs="Arial"/>
                <w:b/>
                <w:color w:val="808080"/>
                <w:sz w:val="16"/>
                <w:szCs w:val="16"/>
                <w:lang w:eastAsia="zh-CN"/>
              </w:rPr>
            </w:pPr>
            <w:r w:rsidRPr="007F69C5">
              <w:rPr>
                <w:rFonts w:eastAsia="SimSun" w:cs="Arial"/>
                <w:b/>
                <w:bCs/>
                <w:color w:val="00B050"/>
                <w:sz w:val="16"/>
                <w:szCs w:val="16"/>
                <w:lang w:eastAsia="zh-CN"/>
              </w:rPr>
              <w:t>On track</w:t>
            </w:r>
          </w:p>
          <w:p w:rsidR="00BD0327" w:rsidRPr="00980EC4" w:rsidRDefault="00BD0327" w:rsidP="00BD0327">
            <w:pPr>
              <w:keepNext/>
              <w:keepLines/>
              <w:rPr>
                <w:rFonts w:eastAsia="SimSun" w:cs="Arial"/>
                <w:b/>
                <w:bCs/>
                <w:color w:val="00B050"/>
                <w:sz w:val="16"/>
                <w:szCs w:val="16"/>
                <w:lang w:eastAsia="zh-CN"/>
              </w:rPr>
            </w:pPr>
          </w:p>
        </w:tc>
      </w:tr>
      <w:tr w:rsidR="00BD0327" w:rsidRPr="00B35AFA" w:rsidTr="00BD0327">
        <w:tc>
          <w:tcPr>
            <w:tcW w:w="1080" w:type="pct"/>
            <w:tcBorders>
              <w:top w:val="nil"/>
              <w:left w:val="single" w:sz="4" w:space="0" w:color="auto"/>
              <w:bottom w:val="single" w:sz="4" w:space="0" w:color="auto"/>
              <w:right w:val="nil"/>
            </w:tcBorders>
            <w:shd w:val="clear" w:color="auto" w:fill="auto"/>
          </w:tcPr>
          <w:p w:rsidR="00BD0327" w:rsidRPr="00B35AFA" w:rsidRDefault="00BD0327" w:rsidP="00BD0327">
            <w:pPr>
              <w:rPr>
                <w:rFonts w:eastAsia="SimSun" w:cs="Arial"/>
                <w:color w:val="000000"/>
                <w:sz w:val="16"/>
                <w:szCs w:val="16"/>
                <w:lang w:eastAsia="zh-CN"/>
              </w:rPr>
            </w:pPr>
            <w:r w:rsidRPr="002E2035">
              <w:rPr>
                <w:rFonts w:eastAsia="SimSun" w:cs="Arial"/>
                <w:color w:val="000000"/>
                <w:sz w:val="16"/>
                <w:szCs w:val="16"/>
                <w:lang w:eastAsia="zh-CN"/>
              </w:rPr>
              <w:t>% of policy makers, government officials, and IP Practitioners and participants in targeted workshops with enhanced understanding of the PCT and related topics</w:t>
            </w:r>
          </w:p>
        </w:tc>
        <w:tc>
          <w:tcPr>
            <w:tcW w:w="864" w:type="pct"/>
            <w:tcBorders>
              <w:top w:val="nil"/>
              <w:left w:val="nil"/>
              <w:bottom w:val="single" w:sz="4" w:space="0" w:color="auto"/>
              <w:right w:val="nil"/>
            </w:tcBorders>
            <w:shd w:val="clear" w:color="auto" w:fill="auto"/>
          </w:tcPr>
          <w:p w:rsidR="00BD0327" w:rsidRPr="00F60CAF" w:rsidRDefault="00BD0327" w:rsidP="00BD0327">
            <w:pPr>
              <w:rPr>
                <w:rFonts w:cs="Arial"/>
                <w:sz w:val="16"/>
                <w:szCs w:val="16"/>
                <w:lang w:val="pt-BR"/>
              </w:rPr>
            </w:pPr>
            <w:r w:rsidRPr="00F60CAF">
              <w:rPr>
                <w:rFonts w:cs="Arial"/>
                <w:sz w:val="16"/>
                <w:szCs w:val="16"/>
                <w:lang w:val="pt-BR"/>
              </w:rPr>
              <w:t>n/a (W</w:t>
            </w:r>
            <w:r w:rsidR="00842879">
              <w:rPr>
                <w:rFonts w:cs="Arial"/>
                <w:sz w:val="16"/>
                <w:szCs w:val="16"/>
                <w:lang w:val="pt-BR"/>
              </w:rPr>
              <w:t>B</w:t>
            </w:r>
            <w:r w:rsidRPr="00F60CAF">
              <w:rPr>
                <w:rFonts w:cs="Arial"/>
                <w:sz w:val="16"/>
                <w:szCs w:val="16"/>
                <w:lang w:val="pt-BR"/>
              </w:rPr>
              <w:t>O)</w:t>
            </w:r>
          </w:p>
          <w:p w:rsidR="00BD0327" w:rsidRPr="00F60CAF" w:rsidRDefault="00BD0327" w:rsidP="00BD0327">
            <w:pPr>
              <w:rPr>
                <w:rFonts w:cs="Arial"/>
                <w:sz w:val="16"/>
                <w:szCs w:val="16"/>
                <w:lang w:val="pt-BR"/>
              </w:rPr>
            </w:pPr>
            <w:r w:rsidRPr="00F60CAF">
              <w:rPr>
                <w:rFonts w:cs="Arial"/>
                <w:sz w:val="16"/>
                <w:szCs w:val="16"/>
                <w:lang w:val="pt-BR"/>
              </w:rPr>
              <w:t>n/a (WJO)</w:t>
            </w:r>
          </w:p>
          <w:p w:rsidR="00BD0327" w:rsidRPr="00B35AFA" w:rsidRDefault="00BD0327" w:rsidP="00BD0327">
            <w:pPr>
              <w:rPr>
                <w:rFonts w:eastAsia="SimSun" w:cs="Arial"/>
                <w:color w:val="000000"/>
                <w:sz w:val="16"/>
                <w:szCs w:val="16"/>
                <w:lang w:eastAsia="zh-CN"/>
              </w:rPr>
            </w:pPr>
            <w:r w:rsidRPr="00607AAB">
              <w:rPr>
                <w:rFonts w:cs="Arial"/>
                <w:sz w:val="16"/>
                <w:szCs w:val="16"/>
              </w:rPr>
              <w:t>n/a (W</w:t>
            </w:r>
            <w:r w:rsidR="00842879">
              <w:rPr>
                <w:rFonts w:cs="Arial"/>
                <w:sz w:val="16"/>
                <w:szCs w:val="16"/>
              </w:rPr>
              <w:t>S</w:t>
            </w:r>
            <w:r w:rsidRPr="00607AAB">
              <w:rPr>
                <w:rFonts w:cs="Arial"/>
                <w:sz w:val="16"/>
                <w:szCs w:val="16"/>
              </w:rPr>
              <w:t>O)</w:t>
            </w:r>
          </w:p>
        </w:tc>
        <w:tc>
          <w:tcPr>
            <w:tcW w:w="918" w:type="pct"/>
            <w:tcBorders>
              <w:top w:val="nil"/>
              <w:left w:val="nil"/>
              <w:bottom w:val="single" w:sz="4" w:space="0" w:color="auto"/>
              <w:right w:val="nil"/>
            </w:tcBorders>
            <w:shd w:val="clear" w:color="auto" w:fill="auto"/>
            <w:tcMar>
              <w:top w:w="110" w:type="dxa"/>
            </w:tcMar>
          </w:tcPr>
          <w:p w:rsidR="00BD0327" w:rsidRDefault="00BD0327" w:rsidP="00BD0327">
            <w:pPr>
              <w:rPr>
                <w:rFonts w:eastAsia="SimSun" w:cs="Arial"/>
                <w:sz w:val="16"/>
                <w:szCs w:val="16"/>
                <w:lang w:eastAsia="zh-CN"/>
              </w:rPr>
            </w:pPr>
            <w:r w:rsidRPr="00607AAB">
              <w:rPr>
                <w:rFonts w:eastAsia="SimSun" w:cs="Arial"/>
                <w:sz w:val="16"/>
                <w:szCs w:val="16"/>
                <w:lang w:eastAsia="zh-CN"/>
              </w:rPr>
              <w:t>75% (W</w:t>
            </w:r>
            <w:r w:rsidR="00842879">
              <w:rPr>
                <w:rFonts w:eastAsia="SimSun" w:cs="Arial"/>
                <w:sz w:val="16"/>
                <w:szCs w:val="16"/>
                <w:lang w:eastAsia="zh-CN"/>
              </w:rPr>
              <w:t>B</w:t>
            </w:r>
            <w:r w:rsidRPr="00607AAB">
              <w:rPr>
                <w:rFonts w:eastAsia="SimSun" w:cs="Arial"/>
                <w:sz w:val="16"/>
                <w:szCs w:val="16"/>
                <w:lang w:eastAsia="zh-CN"/>
              </w:rPr>
              <w:t>O)</w:t>
            </w:r>
          </w:p>
          <w:p w:rsidR="00BD0327" w:rsidRDefault="00BD0327" w:rsidP="00BD0327">
            <w:pPr>
              <w:rPr>
                <w:rFonts w:eastAsia="SimSun" w:cs="Arial"/>
                <w:sz w:val="16"/>
                <w:szCs w:val="16"/>
                <w:lang w:eastAsia="zh-CN"/>
              </w:rPr>
            </w:pPr>
            <w:r w:rsidRPr="00607AAB">
              <w:rPr>
                <w:rFonts w:eastAsia="SimSun" w:cs="Arial"/>
                <w:sz w:val="16"/>
                <w:szCs w:val="16"/>
                <w:lang w:eastAsia="zh-CN"/>
              </w:rPr>
              <w:t>75% (WJO)</w:t>
            </w:r>
          </w:p>
          <w:p w:rsidR="00BD0327" w:rsidRPr="00B35AFA" w:rsidRDefault="00BD0327" w:rsidP="00BD0327">
            <w:pPr>
              <w:rPr>
                <w:rFonts w:eastAsia="SimSun" w:cs="Arial"/>
                <w:sz w:val="16"/>
                <w:szCs w:val="16"/>
                <w:lang w:eastAsia="zh-CN"/>
              </w:rPr>
            </w:pPr>
            <w:r w:rsidRPr="00607AAB">
              <w:rPr>
                <w:rFonts w:eastAsia="SimSun" w:cs="Arial"/>
                <w:sz w:val="16"/>
                <w:szCs w:val="16"/>
                <w:lang w:eastAsia="zh-CN"/>
              </w:rPr>
              <w:t>75% (W</w:t>
            </w:r>
            <w:r w:rsidR="00842879">
              <w:rPr>
                <w:rFonts w:eastAsia="SimSun" w:cs="Arial"/>
                <w:sz w:val="16"/>
                <w:szCs w:val="16"/>
                <w:lang w:eastAsia="zh-CN"/>
              </w:rPr>
              <w:t>S</w:t>
            </w:r>
            <w:r w:rsidRPr="00607AAB">
              <w:rPr>
                <w:rFonts w:eastAsia="SimSun" w:cs="Arial"/>
                <w:sz w:val="16"/>
                <w:szCs w:val="16"/>
                <w:lang w:eastAsia="zh-CN"/>
              </w:rPr>
              <w:t>O)</w:t>
            </w:r>
          </w:p>
        </w:tc>
        <w:tc>
          <w:tcPr>
            <w:tcW w:w="1673" w:type="pct"/>
            <w:tcBorders>
              <w:top w:val="nil"/>
              <w:left w:val="nil"/>
              <w:bottom w:val="single" w:sz="4" w:space="0" w:color="auto"/>
              <w:right w:val="nil"/>
            </w:tcBorders>
            <w:shd w:val="clear" w:color="auto" w:fill="FFFFFF"/>
            <w:tcMar>
              <w:top w:w="110" w:type="dxa"/>
            </w:tcMar>
          </w:tcPr>
          <w:p w:rsidR="00BD0327" w:rsidRDefault="00BD0327" w:rsidP="00BD0327">
            <w:pPr>
              <w:rPr>
                <w:rFonts w:eastAsia="SimSun" w:cs="Arial"/>
                <w:sz w:val="16"/>
                <w:szCs w:val="16"/>
                <w:lang w:eastAsia="zh-CN"/>
              </w:rPr>
            </w:pPr>
            <w:r>
              <w:rPr>
                <w:rFonts w:eastAsia="SimSun" w:cs="Arial"/>
                <w:sz w:val="16"/>
                <w:szCs w:val="16"/>
                <w:lang w:eastAsia="zh-CN"/>
              </w:rPr>
              <w:t>80</w:t>
            </w:r>
            <w:r w:rsidRPr="00980EC4">
              <w:rPr>
                <w:rFonts w:eastAsia="SimSun" w:cs="Arial"/>
                <w:sz w:val="16"/>
                <w:szCs w:val="16"/>
                <w:lang w:eastAsia="zh-CN"/>
              </w:rPr>
              <w:t xml:space="preserve">% </w:t>
            </w:r>
            <w:r>
              <w:rPr>
                <w:rFonts w:eastAsia="SimSun" w:cs="Arial"/>
                <w:sz w:val="16"/>
                <w:szCs w:val="16"/>
                <w:lang w:eastAsia="zh-CN"/>
              </w:rPr>
              <w:t>(WBO)</w:t>
            </w:r>
          </w:p>
          <w:p w:rsidR="00BD0327" w:rsidRDefault="00BD0327" w:rsidP="00BD0327">
            <w:pPr>
              <w:rPr>
                <w:rFonts w:eastAsia="SimSun" w:cs="Arial"/>
                <w:sz w:val="16"/>
                <w:szCs w:val="16"/>
                <w:lang w:eastAsia="zh-CN"/>
              </w:rPr>
            </w:pPr>
            <w:r>
              <w:rPr>
                <w:rFonts w:eastAsia="SimSun" w:cs="Arial"/>
                <w:sz w:val="16"/>
                <w:szCs w:val="16"/>
                <w:lang w:eastAsia="zh-CN"/>
              </w:rPr>
              <w:t>94% (WJO)</w:t>
            </w:r>
          </w:p>
          <w:p w:rsidR="00BD0327" w:rsidRDefault="00BD0327" w:rsidP="00BD0327">
            <w:pPr>
              <w:rPr>
                <w:rFonts w:eastAsia="SimSun" w:cs="Arial"/>
                <w:sz w:val="16"/>
                <w:szCs w:val="16"/>
                <w:lang w:eastAsia="zh-CN"/>
              </w:rPr>
            </w:pPr>
            <w:r>
              <w:rPr>
                <w:rFonts w:eastAsia="SimSun" w:cs="Arial"/>
                <w:sz w:val="16"/>
                <w:szCs w:val="16"/>
                <w:lang w:eastAsia="zh-CN"/>
              </w:rPr>
              <w:t>93% (WSO)</w:t>
            </w:r>
          </w:p>
          <w:p w:rsidR="00BD0327" w:rsidRDefault="00BD0327" w:rsidP="00BD0327">
            <w:pPr>
              <w:rPr>
                <w:rFonts w:eastAsia="SimSun" w:cs="Arial"/>
                <w:sz w:val="16"/>
                <w:szCs w:val="16"/>
                <w:lang w:eastAsia="zh-CN"/>
              </w:rPr>
            </w:pPr>
          </w:p>
          <w:p w:rsidR="00BD0327" w:rsidRPr="00B35AFA" w:rsidRDefault="00BD0327" w:rsidP="00BD0327">
            <w:pPr>
              <w:rPr>
                <w:rFonts w:eastAsia="SimSun" w:cs="Arial"/>
                <w:sz w:val="16"/>
                <w:szCs w:val="16"/>
                <w:lang w:eastAsia="zh-CN"/>
              </w:rPr>
            </w:pPr>
          </w:p>
        </w:tc>
        <w:tc>
          <w:tcPr>
            <w:tcW w:w="465" w:type="pct"/>
            <w:tcBorders>
              <w:top w:val="nil"/>
              <w:left w:val="nil"/>
              <w:bottom w:val="single" w:sz="4" w:space="0" w:color="auto"/>
              <w:right w:val="single" w:sz="4" w:space="0" w:color="auto"/>
            </w:tcBorders>
            <w:shd w:val="clear" w:color="auto" w:fill="auto"/>
            <w:tcMar>
              <w:top w:w="110" w:type="dxa"/>
            </w:tcMar>
          </w:tcPr>
          <w:p w:rsidR="00BD0327" w:rsidRDefault="00BD0327" w:rsidP="00BD0327">
            <w:pPr>
              <w:keepNext/>
              <w:keepLines/>
              <w:jc w:val="center"/>
              <w:rPr>
                <w:rFonts w:eastAsia="SimSun" w:cs="Arial"/>
                <w:color w:val="808080"/>
                <w:sz w:val="16"/>
                <w:szCs w:val="16"/>
                <w:lang w:eastAsia="zh-CN"/>
              </w:rPr>
            </w:pPr>
            <w:r w:rsidRPr="00980EC4">
              <w:rPr>
                <w:rFonts w:eastAsia="SimSun" w:cs="Arial"/>
                <w:b/>
                <w:bCs/>
                <w:color w:val="00B050"/>
                <w:sz w:val="16"/>
                <w:szCs w:val="16"/>
                <w:lang w:eastAsia="zh-CN"/>
              </w:rPr>
              <w:t>On track</w:t>
            </w:r>
          </w:p>
          <w:p w:rsidR="00BD0327" w:rsidRDefault="00BD0327" w:rsidP="00BD0327">
            <w:pPr>
              <w:keepNext/>
              <w:keepLines/>
              <w:jc w:val="center"/>
              <w:rPr>
                <w:rFonts w:eastAsia="SimSun" w:cs="Arial"/>
                <w:color w:val="808080"/>
                <w:sz w:val="16"/>
                <w:szCs w:val="16"/>
                <w:lang w:eastAsia="zh-CN"/>
              </w:rPr>
            </w:pPr>
            <w:r w:rsidRPr="00980EC4">
              <w:rPr>
                <w:rFonts w:eastAsia="SimSun" w:cs="Arial"/>
                <w:b/>
                <w:bCs/>
                <w:color w:val="00B050"/>
                <w:sz w:val="16"/>
                <w:szCs w:val="16"/>
                <w:lang w:eastAsia="zh-CN"/>
              </w:rPr>
              <w:t>On track</w:t>
            </w:r>
          </w:p>
          <w:p w:rsidR="00BD0327" w:rsidRPr="00B35AFA" w:rsidRDefault="00BD0327" w:rsidP="00BD0327">
            <w:pPr>
              <w:keepNext/>
              <w:keepLines/>
              <w:jc w:val="center"/>
              <w:rPr>
                <w:rFonts w:eastAsia="SimSun" w:cs="Arial"/>
                <w:color w:val="808080"/>
                <w:sz w:val="16"/>
                <w:szCs w:val="16"/>
                <w:lang w:eastAsia="zh-CN"/>
              </w:rPr>
            </w:pPr>
            <w:r w:rsidRPr="00980EC4">
              <w:rPr>
                <w:rFonts w:eastAsia="SimSun" w:cs="Arial"/>
                <w:b/>
                <w:bCs/>
                <w:color w:val="00B050"/>
                <w:sz w:val="16"/>
                <w:szCs w:val="16"/>
                <w:lang w:eastAsia="zh-CN"/>
              </w:rPr>
              <w:t>On track</w:t>
            </w:r>
          </w:p>
        </w:tc>
      </w:tr>
      <w:tr w:rsidR="00BD0327" w:rsidRPr="00B35AFA" w:rsidTr="00BD0327">
        <w:tc>
          <w:tcPr>
            <w:tcW w:w="5000" w:type="pct"/>
            <w:gridSpan w:val="5"/>
            <w:tcBorders>
              <w:top w:val="single" w:sz="4" w:space="0" w:color="auto"/>
              <w:bottom w:val="single" w:sz="4" w:space="0" w:color="auto"/>
            </w:tcBorders>
            <w:shd w:val="clear" w:color="auto" w:fill="CCFFFF"/>
          </w:tcPr>
          <w:p w:rsidR="00BD0327" w:rsidRPr="00B35AFA" w:rsidRDefault="00BD0327" w:rsidP="00BD0327">
            <w:pPr>
              <w:keepNext/>
              <w:keepLines/>
              <w:tabs>
                <w:tab w:val="left" w:pos="1452"/>
              </w:tabs>
              <w:spacing w:before="120"/>
              <w:ind w:left="1452" w:hanging="1452"/>
              <w:rPr>
                <w:rFonts w:eastAsia="SimSun" w:cs="Arial"/>
                <w:b/>
                <w:bCs/>
                <w:sz w:val="16"/>
                <w:szCs w:val="16"/>
                <w:lang w:eastAsia="zh-CN"/>
              </w:rPr>
            </w:pPr>
            <w:r w:rsidRPr="00B35AFA">
              <w:rPr>
                <w:rFonts w:eastAsia="SimSun" w:cs="Arial"/>
                <w:b/>
                <w:bCs/>
                <w:sz w:val="16"/>
                <w:szCs w:val="16"/>
                <w:lang w:eastAsia="zh-CN"/>
              </w:rPr>
              <w:t>Expected Result:</w:t>
            </w:r>
            <w:r w:rsidRPr="00B35AFA">
              <w:rPr>
                <w:rFonts w:eastAsia="SimSun" w:cs="Arial"/>
                <w:b/>
                <w:bCs/>
                <w:sz w:val="16"/>
                <w:szCs w:val="16"/>
                <w:lang w:eastAsia="zh-CN"/>
              </w:rPr>
              <w:tab/>
            </w:r>
            <w:r w:rsidRPr="00607AAB">
              <w:rPr>
                <w:rFonts w:eastAsia="SimSun" w:cs="Arial"/>
                <w:sz w:val="16"/>
                <w:szCs w:val="16"/>
                <w:lang w:eastAsia="zh-CN"/>
              </w:rPr>
              <w:t>II.4 Wider and better use of the Hague system, including by developing countries and LDCs</w:t>
            </w:r>
          </w:p>
        </w:tc>
      </w:tr>
      <w:tr w:rsidR="00BD0327" w:rsidRPr="00B35AFA" w:rsidTr="00BD0327">
        <w:tc>
          <w:tcPr>
            <w:tcW w:w="1080" w:type="pct"/>
            <w:tcBorders>
              <w:top w:val="single" w:sz="4" w:space="0" w:color="auto"/>
              <w:left w:val="single" w:sz="4" w:space="0" w:color="auto"/>
              <w:bottom w:val="nil"/>
              <w:right w:val="nil"/>
            </w:tcBorders>
            <w:shd w:val="clear" w:color="auto" w:fill="auto"/>
          </w:tcPr>
          <w:p w:rsidR="00BD0327" w:rsidRPr="00B35AFA" w:rsidRDefault="00BD0327" w:rsidP="00BD0327">
            <w:pPr>
              <w:keepNext/>
              <w:keepLines/>
              <w:rPr>
                <w:rFonts w:eastAsia="SimSun" w:cs="Arial"/>
                <w:sz w:val="16"/>
                <w:szCs w:val="16"/>
                <w:lang w:eastAsia="zh-CN"/>
              </w:rPr>
            </w:pPr>
            <w:r w:rsidRPr="00B35AFA">
              <w:rPr>
                <w:rFonts w:eastAsia="SimSun" w:cs="Arial"/>
                <w:b/>
                <w:bCs/>
                <w:sz w:val="16"/>
                <w:szCs w:val="16"/>
                <w:lang w:eastAsia="zh-CN"/>
              </w:rPr>
              <w:t>Performance Indicators</w:t>
            </w:r>
          </w:p>
        </w:tc>
        <w:tc>
          <w:tcPr>
            <w:tcW w:w="864" w:type="pct"/>
            <w:tcBorders>
              <w:top w:val="single" w:sz="4" w:space="0" w:color="auto"/>
              <w:left w:val="nil"/>
              <w:bottom w:val="nil"/>
              <w:right w:val="nil"/>
            </w:tcBorders>
            <w:shd w:val="clear" w:color="auto" w:fill="auto"/>
          </w:tcPr>
          <w:p w:rsidR="00BD0327" w:rsidRPr="00B35AFA" w:rsidRDefault="00BD0327" w:rsidP="00BD0327">
            <w:pPr>
              <w:keepNext/>
              <w:keepLines/>
              <w:rPr>
                <w:rFonts w:eastAsia="SimSun" w:cs="Arial"/>
                <w:b/>
                <w:bCs/>
                <w:sz w:val="16"/>
                <w:szCs w:val="16"/>
                <w:lang w:eastAsia="zh-CN"/>
              </w:rPr>
            </w:pPr>
            <w:r w:rsidRPr="00B35AFA">
              <w:rPr>
                <w:rFonts w:cs="Arial"/>
                <w:b/>
                <w:bCs/>
                <w:sz w:val="16"/>
                <w:szCs w:val="16"/>
              </w:rPr>
              <w:t>Baselines</w:t>
            </w:r>
          </w:p>
        </w:tc>
        <w:tc>
          <w:tcPr>
            <w:tcW w:w="918" w:type="pct"/>
            <w:tcBorders>
              <w:top w:val="single" w:sz="4" w:space="0" w:color="auto"/>
              <w:left w:val="nil"/>
              <w:bottom w:val="nil"/>
              <w:right w:val="nil"/>
            </w:tcBorders>
            <w:shd w:val="clear" w:color="auto" w:fill="auto"/>
            <w:tcMar>
              <w:top w:w="110" w:type="dxa"/>
            </w:tcMar>
          </w:tcPr>
          <w:p w:rsidR="00BD0327" w:rsidRPr="00B35AFA" w:rsidRDefault="00BD0327" w:rsidP="00BD0327">
            <w:pPr>
              <w:keepNext/>
              <w:keepLines/>
              <w:rPr>
                <w:rFonts w:eastAsia="SimSun" w:cs="Arial"/>
                <w:b/>
                <w:sz w:val="16"/>
                <w:szCs w:val="16"/>
                <w:lang w:eastAsia="zh-CN"/>
              </w:rPr>
            </w:pPr>
            <w:r w:rsidRPr="00B35AFA">
              <w:rPr>
                <w:rFonts w:cs="Arial"/>
                <w:b/>
                <w:sz w:val="16"/>
                <w:szCs w:val="16"/>
              </w:rPr>
              <w:t>Targets</w:t>
            </w:r>
          </w:p>
        </w:tc>
        <w:tc>
          <w:tcPr>
            <w:tcW w:w="1673" w:type="pct"/>
            <w:tcBorders>
              <w:top w:val="single" w:sz="4" w:space="0" w:color="auto"/>
              <w:left w:val="nil"/>
              <w:bottom w:val="nil"/>
              <w:right w:val="nil"/>
            </w:tcBorders>
            <w:shd w:val="clear" w:color="auto" w:fill="FFFFFF"/>
            <w:tcMar>
              <w:top w:w="110" w:type="dxa"/>
            </w:tcMar>
          </w:tcPr>
          <w:p w:rsidR="00BD0327" w:rsidRPr="00B35AFA" w:rsidRDefault="00BD0327" w:rsidP="00BD0327">
            <w:pPr>
              <w:rPr>
                <w:rFonts w:eastAsia="SimSun" w:cs="Arial"/>
                <w:sz w:val="16"/>
                <w:szCs w:val="16"/>
                <w:lang w:eastAsia="zh-CN"/>
              </w:rPr>
            </w:pPr>
            <w:r w:rsidRPr="00B35AFA">
              <w:rPr>
                <w:rFonts w:eastAsia="SimSun" w:cs="Arial"/>
                <w:b/>
                <w:bCs/>
                <w:sz w:val="16"/>
                <w:szCs w:val="16"/>
                <w:lang w:eastAsia="zh-CN"/>
              </w:rPr>
              <w:t>Performance Data</w:t>
            </w:r>
          </w:p>
        </w:tc>
        <w:tc>
          <w:tcPr>
            <w:tcW w:w="465" w:type="pct"/>
            <w:tcBorders>
              <w:top w:val="single" w:sz="4" w:space="0" w:color="auto"/>
              <w:left w:val="nil"/>
              <w:bottom w:val="nil"/>
              <w:right w:val="single" w:sz="4" w:space="0" w:color="auto"/>
            </w:tcBorders>
            <w:shd w:val="clear" w:color="auto" w:fill="auto"/>
            <w:tcMar>
              <w:top w:w="110" w:type="dxa"/>
            </w:tcMar>
          </w:tcPr>
          <w:p w:rsidR="00BD0327" w:rsidRPr="00B35AFA" w:rsidRDefault="00BD0327" w:rsidP="00BD0327">
            <w:pPr>
              <w:keepNext/>
              <w:keepLines/>
              <w:jc w:val="center"/>
              <w:rPr>
                <w:rFonts w:eastAsia="SimSun" w:cs="Arial"/>
                <w:b/>
                <w:bCs/>
                <w:sz w:val="16"/>
                <w:szCs w:val="16"/>
                <w:lang w:eastAsia="zh-CN"/>
              </w:rPr>
            </w:pPr>
            <w:r w:rsidRPr="00B35AFA">
              <w:rPr>
                <w:rFonts w:eastAsia="SimSun" w:cs="Arial"/>
                <w:b/>
                <w:bCs/>
                <w:sz w:val="16"/>
                <w:szCs w:val="16"/>
                <w:lang w:eastAsia="zh-CN"/>
              </w:rPr>
              <w:t>TLS</w:t>
            </w:r>
          </w:p>
        </w:tc>
      </w:tr>
      <w:tr w:rsidR="00BD0327" w:rsidRPr="00B35AFA" w:rsidTr="00BD0327">
        <w:trPr>
          <w:trHeight w:val="1222"/>
        </w:trPr>
        <w:tc>
          <w:tcPr>
            <w:tcW w:w="1080" w:type="pct"/>
            <w:tcBorders>
              <w:top w:val="nil"/>
              <w:left w:val="single" w:sz="4" w:space="0" w:color="auto"/>
              <w:bottom w:val="nil"/>
              <w:right w:val="nil"/>
            </w:tcBorders>
            <w:shd w:val="clear" w:color="auto" w:fill="auto"/>
          </w:tcPr>
          <w:p w:rsidR="00BD0327" w:rsidRPr="00B35AFA" w:rsidRDefault="00BD0327" w:rsidP="00BD0327">
            <w:pPr>
              <w:keepNext/>
              <w:keepLines/>
              <w:rPr>
                <w:rFonts w:eastAsia="SimSun" w:cs="Arial"/>
                <w:sz w:val="16"/>
                <w:szCs w:val="16"/>
                <w:lang w:eastAsia="zh-CN"/>
              </w:rPr>
            </w:pPr>
            <w:r>
              <w:rPr>
                <w:rFonts w:eastAsia="SimSun" w:cs="Arial"/>
                <w:sz w:val="16"/>
                <w:szCs w:val="16"/>
                <w:lang w:eastAsia="zh-CN"/>
              </w:rPr>
              <w:t>No.</w:t>
            </w:r>
            <w:r w:rsidRPr="00607AAB">
              <w:rPr>
                <w:rFonts w:eastAsia="SimSun" w:cs="Arial"/>
                <w:sz w:val="16"/>
                <w:szCs w:val="16"/>
                <w:lang w:eastAsia="zh-CN"/>
              </w:rPr>
              <w:t xml:space="preserve"> of countries that have formulated and/or are engaged in policies outlining their accession to the Hague Agreement</w:t>
            </w:r>
          </w:p>
        </w:tc>
        <w:tc>
          <w:tcPr>
            <w:tcW w:w="864" w:type="pct"/>
            <w:tcBorders>
              <w:top w:val="nil"/>
              <w:left w:val="nil"/>
              <w:bottom w:val="nil"/>
              <w:right w:val="nil"/>
            </w:tcBorders>
            <w:shd w:val="clear" w:color="auto" w:fill="auto"/>
          </w:tcPr>
          <w:p w:rsidR="00BD0327" w:rsidRDefault="00BD0327" w:rsidP="00BD0327">
            <w:pPr>
              <w:rPr>
                <w:rFonts w:cs="Arial"/>
                <w:sz w:val="16"/>
                <w:szCs w:val="16"/>
              </w:rPr>
            </w:pPr>
            <w:r w:rsidRPr="00607AAB">
              <w:rPr>
                <w:rFonts w:cs="Arial"/>
                <w:sz w:val="16"/>
                <w:szCs w:val="16"/>
              </w:rPr>
              <w:t>n/a (WSO)</w:t>
            </w:r>
          </w:p>
          <w:p w:rsidR="00BD0327" w:rsidRPr="00B35AFA" w:rsidRDefault="00BD0327" w:rsidP="00BD0327">
            <w:pPr>
              <w:keepNext/>
              <w:keepLines/>
              <w:rPr>
                <w:rFonts w:eastAsia="SimSun" w:cs="Arial"/>
                <w:color w:val="000000"/>
                <w:sz w:val="16"/>
                <w:szCs w:val="16"/>
                <w:lang w:eastAsia="zh-CN"/>
              </w:rPr>
            </w:pPr>
          </w:p>
        </w:tc>
        <w:tc>
          <w:tcPr>
            <w:tcW w:w="918" w:type="pct"/>
            <w:tcBorders>
              <w:top w:val="nil"/>
              <w:left w:val="nil"/>
              <w:bottom w:val="nil"/>
              <w:right w:val="nil"/>
            </w:tcBorders>
            <w:shd w:val="clear" w:color="auto" w:fill="auto"/>
            <w:tcMar>
              <w:top w:w="110" w:type="dxa"/>
            </w:tcMar>
          </w:tcPr>
          <w:p w:rsidR="00BD0327" w:rsidRPr="00B35AFA" w:rsidRDefault="00BD0327" w:rsidP="00BD0327">
            <w:pPr>
              <w:keepNext/>
              <w:keepLines/>
              <w:rPr>
                <w:rFonts w:eastAsia="SimSun" w:cs="Arial"/>
                <w:color w:val="000000"/>
                <w:sz w:val="16"/>
                <w:szCs w:val="16"/>
                <w:lang w:eastAsia="zh-CN"/>
              </w:rPr>
            </w:pPr>
            <w:r w:rsidRPr="00607AAB">
              <w:rPr>
                <w:rFonts w:eastAsia="SimSun" w:cs="Arial"/>
                <w:color w:val="000000"/>
                <w:sz w:val="16"/>
                <w:szCs w:val="16"/>
                <w:lang w:eastAsia="zh-CN"/>
              </w:rPr>
              <w:t>7 ASEAN Member States (WSO)</w:t>
            </w:r>
          </w:p>
        </w:tc>
        <w:tc>
          <w:tcPr>
            <w:tcW w:w="1673" w:type="pct"/>
            <w:tcBorders>
              <w:top w:val="nil"/>
              <w:left w:val="nil"/>
              <w:bottom w:val="nil"/>
              <w:right w:val="nil"/>
            </w:tcBorders>
            <w:shd w:val="clear" w:color="auto" w:fill="FFFFFF"/>
            <w:tcMar>
              <w:top w:w="110" w:type="dxa"/>
            </w:tcMar>
          </w:tcPr>
          <w:p w:rsidR="00BD0327" w:rsidRPr="00B35AFA" w:rsidRDefault="00BD0327" w:rsidP="00BD0327">
            <w:pPr>
              <w:rPr>
                <w:rFonts w:eastAsia="SimSun" w:cs="Arial"/>
                <w:sz w:val="16"/>
                <w:szCs w:val="16"/>
                <w:lang w:eastAsia="zh-CN"/>
              </w:rPr>
            </w:pPr>
            <w:r w:rsidRPr="00730AE5">
              <w:rPr>
                <w:rFonts w:eastAsia="SimSun" w:cs="Arial"/>
                <w:sz w:val="16"/>
                <w:szCs w:val="16"/>
                <w:lang w:eastAsia="zh-CN"/>
              </w:rPr>
              <w:t>7 ASEAN Member States</w:t>
            </w:r>
            <w:r>
              <w:rPr>
                <w:rFonts w:eastAsia="SimSun" w:cs="Arial"/>
                <w:sz w:val="16"/>
                <w:szCs w:val="16"/>
                <w:lang w:eastAsia="zh-CN"/>
              </w:rPr>
              <w:t xml:space="preserve"> (Cambodia, Indonesia, Lao People’s Democratic Republic, Malaysia, Philippines, Thailand, Viet Nam)</w:t>
            </w:r>
          </w:p>
        </w:tc>
        <w:tc>
          <w:tcPr>
            <w:tcW w:w="465" w:type="pct"/>
            <w:tcBorders>
              <w:top w:val="nil"/>
              <w:left w:val="nil"/>
              <w:bottom w:val="nil"/>
              <w:right w:val="single" w:sz="4" w:space="0" w:color="auto"/>
            </w:tcBorders>
            <w:shd w:val="clear" w:color="auto" w:fill="auto"/>
            <w:tcMar>
              <w:top w:w="110" w:type="dxa"/>
            </w:tcMar>
          </w:tcPr>
          <w:p w:rsidR="00BD0327" w:rsidRPr="004D5610" w:rsidRDefault="00BD0327" w:rsidP="00BD0327">
            <w:pPr>
              <w:keepNext/>
              <w:keepLines/>
              <w:jc w:val="center"/>
              <w:rPr>
                <w:rFonts w:eastAsia="SimSun" w:cs="Arial"/>
                <w:b/>
                <w:bCs/>
                <w:color w:val="808080"/>
                <w:sz w:val="16"/>
                <w:szCs w:val="16"/>
                <w:lang w:eastAsia="zh-CN"/>
              </w:rPr>
            </w:pPr>
            <w:r w:rsidRPr="004D5610">
              <w:rPr>
                <w:rFonts w:eastAsia="SimSun" w:cs="Arial"/>
                <w:b/>
                <w:bCs/>
                <w:color w:val="00B050"/>
                <w:sz w:val="16"/>
                <w:szCs w:val="16"/>
                <w:lang w:eastAsia="zh-CN"/>
              </w:rPr>
              <w:t>On track</w:t>
            </w:r>
          </w:p>
        </w:tc>
      </w:tr>
      <w:tr w:rsidR="00BD0327" w:rsidRPr="00B35AFA" w:rsidTr="00BD0327">
        <w:tc>
          <w:tcPr>
            <w:tcW w:w="1080" w:type="pct"/>
            <w:tcBorders>
              <w:top w:val="nil"/>
              <w:left w:val="single" w:sz="4" w:space="0" w:color="auto"/>
              <w:bottom w:val="nil"/>
              <w:right w:val="nil"/>
            </w:tcBorders>
            <w:shd w:val="clear" w:color="auto" w:fill="auto"/>
          </w:tcPr>
          <w:p w:rsidR="00BD0327" w:rsidRPr="005D70E0" w:rsidRDefault="00BD0327" w:rsidP="00BD0327">
            <w:pPr>
              <w:rPr>
                <w:rFonts w:eastAsia="SimSun" w:cs="Arial"/>
                <w:color w:val="000000"/>
                <w:sz w:val="16"/>
                <w:szCs w:val="16"/>
                <w:lang w:eastAsia="zh-CN"/>
              </w:rPr>
            </w:pPr>
            <w:r w:rsidRPr="005D70E0">
              <w:rPr>
                <w:rFonts w:eastAsia="SimSun" w:cs="Arial"/>
                <w:color w:val="000000"/>
                <w:sz w:val="16"/>
                <w:szCs w:val="16"/>
                <w:lang w:eastAsia="zh-CN"/>
              </w:rPr>
              <w:t>% of policy makers, government officials, and IP Practitioners and participants in targeted workshops with enhanced understanding of the Hague System</w:t>
            </w:r>
          </w:p>
        </w:tc>
        <w:tc>
          <w:tcPr>
            <w:tcW w:w="864" w:type="pct"/>
            <w:tcBorders>
              <w:top w:val="nil"/>
              <w:left w:val="nil"/>
              <w:bottom w:val="nil"/>
              <w:right w:val="nil"/>
            </w:tcBorders>
            <w:shd w:val="clear" w:color="auto" w:fill="auto"/>
          </w:tcPr>
          <w:p w:rsidR="00BD0327" w:rsidRPr="00F60CAF" w:rsidRDefault="00BD0327" w:rsidP="00BD0327">
            <w:pPr>
              <w:rPr>
                <w:rFonts w:cs="Arial"/>
                <w:sz w:val="16"/>
                <w:szCs w:val="16"/>
                <w:lang w:val="pt-BR"/>
              </w:rPr>
            </w:pPr>
            <w:r w:rsidRPr="00F60CAF">
              <w:rPr>
                <w:rFonts w:cs="Arial"/>
                <w:sz w:val="16"/>
                <w:szCs w:val="16"/>
                <w:lang w:val="pt-BR"/>
              </w:rPr>
              <w:t>n/a (WBO)</w:t>
            </w:r>
          </w:p>
          <w:p w:rsidR="00BD0327" w:rsidRPr="00F60CAF" w:rsidRDefault="00BD0327" w:rsidP="00BD0327">
            <w:pPr>
              <w:rPr>
                <w:rFonts w:cs="Arial"/>
                <w:sz w:val="16"/>
                <w:szCs w:val="16"/>
                <w:lang w:val="pt-BR"/>
              </w:rPr>
            </w:pPr>
            <w:r w:rsidRPr="00F60CAF">
              <w:rPr>
                <w:rFonts w:cs="Arial"/>
                <w:sz w:val="16"/>
                <w:szCs w:val="16"/>
                <w:lang w:val="pt-BR"/>
              </w:rPr>
              <w:t>n/a (WJO)</w:t>
            </w:r>
          </w:p>
          <w:p w:rsidR="00BD0327" w:rsidDel="00436D89" w:rsidRDefault="00BD0327" w:rsidP="00BD0327">
            <w:pPr>
              <w:rPr>
                <w:rFonts w:cs="Arial"/>
                <w:i/>
                <w:color w:val="002060"/>
                <w:sz w:val="16"/>
                <w:szCs w:val="16"/>
              </w:rPr>
            </w:pPr>
            <w:r w:rsidRPr="005D70E0">
              <w:rPr>
                <w:rFonts w:cs="Arial"/>
                <w:sz w:val="16"/>
                <w:szCs w:val="16"/>
              </w:rPr>
              <w:t>n/a (WSO)</w:t>
            </w:r>
          </w:p>
        </w:tc>
        <w:tc>
          <w:tcPr>
            <w:tcW w:w="918" w:type="pct"/>
            <w:tcBorders>
              <w:top w:val="nil"/>
              <w:left w:val="nil"/>
              <w:bottom w:val="nil"/>
              <w:right w:val="nil"/>
            </w:tcBorders>
            <w:shd w:val="clear" w:color="auto" w:fill="auto"/>
            <w:tcMar>
              <w:top w:w="110" w:type="dxa"/>
            </w:tcMar>
          </w:tcPr>
          <w:p w:rsidR="00BD0327" w:rsidRDefault="00BD0327" w:rsidP="00BD0327">
            <w:pPr>
              <w:rPr>
                <w:rFonts w:eastAsia="SimSun" w:cs="Arial"/>
                <w:color w:val="000000"/>
                <w:sz w:val="16"/>
                <w:szCs w:val="16"/>
                <w:lang w:eastAsia="zh-CN"/>
              </w:rPr>
            </w:pPr>
            <w:r w:rsidRPr="005D70E0">
              <w:rPr>
                <w:rFonts w:eastAsia="SimSun" w:cs="Arial"/>
                <w:color w:val="000000"/>
                <w:sz w:val="16"/>
                <w:szCs w:val="16"/>
                <w:lang w:eastAsia="zh-CN"/>
              </w:rPr>
              <w:t>75% (WBO)</w:t>
            </w:r>
          </w:p>
          <w:p w:rsidR="00BD0327" w:rsidRDefault="00BD0327" w:rsidP="00BD0327">
            <w:pPr>
              <w:rPr>
                <w:rFonts w:eastAsia="SimSun" w:cs="Arial"/>
                <w:color w:val="000000"/>
                <w:sz w:val="16"/>
                <w:szCs w:val="16"/>
                <w:lang w:eastAsia="zh-CN"/>
              </w:rPr>
            </w:pPr>
            <w:r w:rsidRPr="005D70E0">
              <w:rPr>
                <w:rFonts w:eastAsia="SimSun" w:cs="Arial"/>
                <w:color w:val="000000"/>
                <w:sz w:val="16"/>
                <w:szCs w:val="16"/>
                <w:lang w:eastAsia="zh-CN"/>
              </w:rPr>
              <w:t>75% (WJO)</w:t>
            </w:r>
          </w:p>
          <w:p w:rsidR="00BD0327" w:rsidRDefault="00BD0327" w:rsidP="00BD0327">
            <w:pPr>
              <w:rPr>
                <w:rFonts w:eastAsia="SimSun" w:cs="Arial"/>
                <w:color w:val="000000"/>
                <w:sz w:val="16"/>
                <w:szCs w:val="16"/>
                <w:lang w:eastAsia="zh-CN"/>
              </w:rPr>
            </w:pPr>
            <w:r w:rsidRPr="005D70E0">
              <w:rPr>
                <w:rFonts w:eastAsia="SimSun" w:cs="Arial"/>
                <w:color w:val="000000"/>
                <w:sz w:val="16"/>
                <w:szCs w:val="16"/>
                <w:lang w:eastAsia="zh-CN"/>
              </w:rPr>
              <w:t>75% (WSO)</w:t>
            </w:r>
          </w:p>
          <w:p w:rsidR="00BD0327" w:rsidRDefault="00BD0327" w:rsidP="00BD0327">
            <w:pPr>
              <w:rPr>
                <w:rFonts w:eastAsia="SimSun" w:cs="Arial"/>
                <w:color w:val="000000"/>
                <w:sz w:val="16"/>
                <w:szCs w:val="16"/>
                <w:lang w:eastAsia="zh-CN"/>
              </w:rPr>
            </w:pPr>
          </w:p>
          <w:p w:rsidR="00BD0327" w:rsidRPr="005D70E0" w:rsidRDefault="00BD0327" w:rsidP="00BD0327">
            <w:pPr>
              <w:rPr>
                <w:rFonts w:eastAsia="SimSun" w:cs="Arial"/>
                <w:color w:val="000000"/>
                <w:sz w:val="16"/>
                <w:szCs w:val="16"/>
                <w:lang w:eastAsia="zh-CN"/>
              </w:rPr>
            </w:pPr>
          </w:p>
        </w:tc>
        <w:tc>
          <w:tcPr>
            <w:tcW w:w="1673" w:type="pct"/>
            <w:tcBorders>
              <w:top w:val="nil"/>
              <w:left w:val="nil"/>
              <w:bottom w:val="nil"/>
              <w:right w:val="nil"/>
            </w:tcBorders>
            <w:shd w:val="clear" w:color="auto" w:fill="FFFFFF"/>
            <w:tcMar>
              <w:top w:w="110" w:type="dxa"/>
            </w:tcMar>
          </w:tcPr>
          <w:p w:rsidR="00BD0327" w:rsidRDefault="00BD0327" w:rsidP="00BD0327">
            <w:pPr>
              <w:rPr>
                <w:rFonts w:eastAsia="SimSun" w:cs="Arial"/>
                <w:sz w:val="16"/>
                <w:szCs w:val="16"/>
                <w:lang w:eastAsia="zh-CN"/>
              </w:rPr>
            </w:pPr>
            <w:r w:rsidRPr="00980EC4">
              <w:rPr>
                <w:rFonts w:eastAsia="SimSun" w:cs="Arial"/>
                <w:sz w:val="16"/>
                <w:szCs w:val="16"/>
                <w:lang w:eastAsia="zh-CN"/>
              </w:rPr>
              <w:t xml:space="preserve">75% </w:t>
            </w:r>
            <w:r>
              <w:rPr>
                <w:rFonts w:eastAsia="SimSun" w:cs="Arial"/>
                <w:sz w:val="16"/>
                <w:szCs w:val="16"/>
                <w:lang w:eastAsia="zh-CN"/>
              </w:rPr>
              <w:t>(WBO)</w:t>
            </w:r>
          </w:p>
          <w:p w:rsidR="00BD0327" w:rsidRDefault="00BD0327" w:rsidP="00BD0327">
            <w:pPr>
              <w:rPr>
                <w:rFonts w:eastAsia="SimSun" w:cs="Arial"/>
                <w:sz w:val="16"/>
                <w:szCs w:val="16"/>
                <w:lang w:eastAsia="zh-CN"/>
              </w:rPr>
            </w:pPr>
            <w:r>
              <w:rPr>
                <w:rFonts w:eastAsia="SimSun" w:cs="Arial"/>
                <w:sz w:val="16"/>
                <w:szCs w:val="16"/>
                <w:lang w:eastAsia="zh-CN"/>
              </w:rPr>
              <w:t>94% (WJO)</w:t>
            </w:r>
          </w:p>
          <w:p w:rsidR="00BD0327" w:rsidRPr="00980EC4" w:rsidDel="00436D89" w:rsidRDefault="00BD0327" w:rsidP="00BD0327">
            <w:pPr>
              <w:rPr>
                <w:rFonts w:eastAsia="SimSun" w:cs="Arial"/>
                <w:sz w:val="16"/>
                <w:szCs w:val="16"/>
                <w:lang w:eastAsia="zh-CN"/>
              </w:rPr>
            </w:pPr>
            <w:r w:rsidRPr="00730AE5">
              <w:rPr>
                <w:rFonts w:eastAsia="SimSun" w:cs="Arial"/>
                <w:sz w:val="16"/>
                <w:szCs w:val="16"/>
                <w:lang w:eastAsia="zh-CN"/>
              </w:rPr>
              <w:t xml:space="preserve">85% </w:t>
            </w:r>
            <w:r>
              <w:rPr>
                <w:rFonts w:eastAsia="SimSun" w:cs="Arial"/>
                <w:sz w:val="16"/>
                <w:szCs w:val="16"/>
                <w:lang w:eastAsia="zh-CN"/>
              </w:rPr>
              <w:t>(WSO)</w:t>
            </w:r>
          </w:p>
        </w:tc>
        <w:tc>
          <w:tcPr>
            <w:tcW w:w="465" w:type="pct"/>
            <w:tcBorders>
              <w:top w:val="nil"/>
              <w:left w:val="nil"/>
              <w:bottom w:val="nil"/>
              <w:right w:val="single" w:sz="4" w:space="0" w:color="auto"/>
            </w:tcBorders>
            <w:shd w:val="clear" w:color="auto" w:fill="auto"/>
            <w:tcMar>
              <w:top w:w="110" w:type="dxa"/>
            </w:tcMar>
          </w:tcPr>
          <w:p w:rsidR="00BD0327" w:rsidRPr="004D5610" w:rsidRDefault="00BD0327" w:rsidP="00BD0327">
            <w:pPr>
              <w:keepNext/>
              <w:keepLines/>
              <w:jc w:val="center"/>
              <w:rPr>
                <w:rFonts w:eastAsia="SimSun" w:cs="Arial"/>
                <w:b/>
                <w:bCs/>
                <w:color w:val="00B050"/>
                <w:sz w:val="16"/>
                <w:szCs w:val="16"/>
                <w:lang w:eastAsia="zh-CN"/>
              </w:rPr>
            </w:pPr>
            <w:r w:rsidRPr="004D5610">
              <w:rPr>
                <w:rFonts w:eastAsia="SimSun" w:cs="Arial"/>
                <w:b/>
                <w:bCs/>
                <w:color w:val="00B050"/>
                <w:sz w:val="16"/>
                <w:szCs w:val="16"/>
                <w:lang w:eastAsia="zh-CN"/>
              </w:rPr>
              <w:t>On track</w:t>
            </w:r>
          </w:p>
          <w:p w:rsidR="00BD0327" w:rsidRPr="004D5610" w:rsidRDefault="00BD0327" w:rsidP="00BD0327">
            <w:pPr>
              <w:keepNext/>
              <w:keepLines/>
              <w:jc w:val="center"/>
              <w:rPr>
                <w:rFonts w:eastAsia="SimSun" w:cs="Arial"/>
                <w:b/>
                <w:bCs/>
                <w:color w:val="00B050"/>
                <w:sz w:val="16"/>
                <w:szCs w:val="16"/>
                <w:lang w:eastAsia="zh-CN"/>
              </w:rPr>
            </w:pPr>
            <w:r w:rsidRPr="004D5610">
              <w:rPr>
                <w:rFonts w:eastAsia="SimSun" w:cs="Arial"/>
                <w:b/>
                <w:bCs/>
                <w:color w:val="00B050"/>
                <w:sz w:val="16"/>
                <w:szCs w:val="16"/>
                <w:lang w:eastAsia="zh-CN"/>
              </w:rPr>
              <w:t>On track</w:t>
            </w:r>
          </w:p>
          <w:p w:rsidR="00BD0327" w:rsidRPr="004D5610" w:rsidRDefault="00BD0327" w:rsidP="00BD0327">
            <w:pPr>
              <w:keepNext/>
              <w:keepLines/>
              <w:jc w:val="center"/>
              <w:rPr>
                <w:rFonts w:eastAsia="SimSun" w:cs="Arial"/>
                <w:b/>
                <w:bCs/>
                <w:color w:val="00B050"/>
                <w:sz w:val="16"/>
                <w:szCs w:val="16"/>
                <w:lang w:eastAsia="zh-CN"/>
              </w:rPr>
            </w:pPr>
            <w:r w:rsidRPr="004D5610">
              <w:rPr>
                <w:rFonts w:eastAsia="SimSun" w:cs="Arial"/>
                <w:b/>
                <w:bCs/>
                <w:color w:val="00B050"/>
                <w:sz w:val="16"/>
                <w:szCs w:val="16"/>
                <w:lang w:eastAsia="zh-CN"/>
              </w:rPr>
              <w:t>On track</w:t>
            </w:r>
          </w:p>
        </w:tc>
      </w:tr>
      <w:tr w:rsidR="00BD0327" w:rsidRPr="00B35AFA" w:rsidTr="00BD0327">
        <w:tc>
          <w:tcPr>
            <w:tcW w:w="1080" w:type="pct"/>
            <w:tcBorders>
              <w:top w:val="nil"/>
              <w:left w:val="single" w:sz="4" w:space="0" w:color="auto"/>
              <w:bottom w:val="single" w:sz="4" w:space="0" w:color="auto"/>
              <w:right w:val="nil"/>
            </w:tcBorders>
            <w:shd w:val="clear" w:color="auto" w:fill="auto"/>
          </w:tcPr>
          <w:p w:rsidR="00BD0327" w:rsidRPr="00607AAB" w:rsidRDefault="00BD0327" w:rsidP="00BD0327">
            <w:pPr>
              <w:rPr>
                <w:rFonts w:eastAsia="SimSun" w:cs="Arial"/>
                <w:color w:val="000000"/>
                <w:sz w:val="16"/>
                <w:szCs w:val="16"/>
                <w:lang w:eastAsia="zh-CN"/>
              </w:rPr>
            </w:pPr>
            <w:r>
              <w:rPr>
                <w:rFonts w:eastAsia="SimSun" w:cs="Arial"/>
                <w:color w:val="000000"/>
                <w:sz w:val="16"/>
                <w:szCs w:val="16"/>
                <w:lang w:eastAsia="zh-CN"/>
              </w:rPr>
              <w:t>No</w:t>
            </w:r>
            <w:r w:rsidRPr="00607AAB">
              <w:rPr>
                <w:rFonts w:eastAsia="SimSun" w:cs="Arial"/>
                <w:color w:val="000000"/>
                <w:sz w:val="16"/>
                <w:szCs w:val="16"/>
                <w:lang w:eastAsia="zh-CN"/>
              </w:rPr>
              <w:t xml:space="preserve"> of contracting parties to the Hague</w:t>
            </w:r>
            <w:r>
              <w:rPr>
                <w:rFonts w:eastAsia="SimSun" w:cs="Arial"/>
                <w:color w:val="000000"/>
                <w:sz w:val="16"/>
                <w:szCs w:val="16"/>
                <w:lang w:eastAsia="zh-CN"/>
              </w:rPr>
              <w:t xml:space="preserve"> System</w:t>
            </w:r>
            <w:r w:rsidRPr="00607AAB">
              <w:rPr>
                <w:rFonts w:eastAsia="SimSun" w:cs="Arial"/>
                <w:color w:val="000000"/>
                <w:sz w:val="16"/>
                <w:szCs w:val="16"/>
                <w:lang w:eastAsia="zh-CN"/>
              </w:rPr>
              <w:t xml:space="preserve"> in the Asia </w:t>
            </w:r>
            <w:r>
              <w:rPr>
                <w:rFonts w:eastAsia="SimSun" w:cs="Arial"/>
                <w:color w:val="000000"/>
                <w:sz w:val="16"/>
                <w:szCs w:val="16"/>
                <w:lang w:eastAsia="zh-CN"/>
              </w:rPr>
              <w:t xml:space="preserve">and the </w:t>
            </w:r>
            <w:r w:rsidRPr="00607AAB">
              <w:rPr>
                <w:rFonts w:eastAsia="SimSun" w:cs="Arial"/>
                <w:color w:val="000000"/>
                <w:sz w:val="16"/>
                <w:szCs w:val="16"/>
                <w:lang w:eastAsia="zh-CN"/>
              </w:rPr>
              <w:t>Pacific Region</w:t>
            </w:r>
          </w:p>
        </w:tc>
        <w:tc>
          <w:tcPr>
            <w:tcW w:w="864" w:type="pct"/>
            <w:tcBorders>
              <w:top w:val="nil"/>
              <w:left w:val="nil"/>
              <w:bottom w:val="single" w:sz="4" w:space="0" w:color="auto"/>
              <w:right w:val="nil"/>
            </w:tcBorders>
            <w:shd w:val="clear" w:color="auto" w:fill="auto"/>
          </w:tcPr>
          <w:p w:rsidR="00BD0327" w:rsidRDefault="00BD0327" w:rsidP="00BD0327">
            <w:pPr>
              <w:rPr>
                <w:rFonts w:cs="Arial"/>
                <w:i/>
                <w:color w:val="002060"/>
                <w:sz w:val="16"/>
                <w:szCs w:val="16"/>
              </w:rPr>
            </w:pPr>
            <w:r>
              <w:rPr>
                <w:rFonts w:cs="Arial"/>
                <w:i/>
                <w:color w:val="002060"/>
                <w:sz w:val="16"/>
                <w:szCs w:val="16"/>
              </w:rPr>
              <w:t>Updated Baseline end 2013</w:t>
            </w:r>
            <w:r w:rsidRPr="00B35AFA">
              <w:rPr>
                <w:rFonts w:cs="Arial"/>
                <w:i/>
                <w:color w:val="002060"/>
                <w:sz w:val="16"/>
                <w:szCs w:val="16"/>
              </w:rPr>
              <w:t xml:space="preserve">:  </w:t>
            </w:r>
          </w:p>
          <w:p w:rsidR="00BD0327" w:rsidRPr="007816F7" w:rsidRDefault="00BD0327" w:rsidP="00BD0327">
            <w:pPr>
              <w:rPr>
                <w:rFonts w:cs="Arial"/>
                <w:color w:val="002060"/>
                <w:sz w:val="16"/>
                <w:szCs w:val="16"/>
              </w:rPr>
            </w:pPr>
            <w:r w:rsidRPr="007816F7">
              <w:rPr>
                <w:rFonts w:cs="Arial"/>
                <w:color w:val="002060"/>
                <w:sz w:val="16"/>
                <w:szCs w:val="16"/>
              </w:rPr>
              <w:t>Japan not party (WJO)</w:t>
            </w:r>
          </w:p>
          <w:p w:rsidR="00BD0327" w:rsidRPr="007816F7" w:rsidRDefault="00BD0327" w:rsidP="00BD0327">
            <w:pPr>
              <w:rPr>
                <w:rFonts w:cs="Arial"/>
                <w:color w:val="002060"/>
                <w:sz w:val="16"/>
                <w:szCs w:val="16"/>
              </w:rPr>
            </w:pPr>
            <w:r>
              <w:rPr>
                <w:rFonts w:cs="Arial"/>
                <w:color w:val="002060"/>
                <w:sz w:val="16"/>
                <w:szCs w:val="16"/>
              </w:rPr>
              <w:t>2</w:t>
            </w:r>
            <w:r w:rsidRPr="007816F7">
              <w:rPr>
                <w:rFonts w:cs="Arial"/>
                <w:color w:val="002060"/>
                <w:sz w:val="16"/>
                <w:szCs w:val="16"/>
              </w:rPr>
              <w:t xml:space="preserve"> in the ASEAN region </w:t>
            </w:r>
            <w:r>
              <w:rPr>
                <w:rFonts w:cs="Arial"/>
                <w:color w:val="002060"/>
                <w:sz w:val="16"/>
                <w:szCs w:val="16"/>
              </w:rPr>
              <w:t xml:space="preserve"> (Brunei Darussalam and Singapore) </w:t>
            </w:r>
            <w:r w:rsidRPr="007816F7">
              <w:rPr>
                <w:rFonts w:cs="Arial"/>
                <w:color w:val="002060"/>
                <w:sz w:val="16"/>
                <w:szCs w:val="16"/>
              </w:rPr>
              <w:t>(WSO)</w:t>
            </w:r>
          </w:p>
          <w:p w:rsidR="00842879" w:rsidRDefault="00BD0327" w:rsidP="00BD0327">
            <w:pPr>
              <w:rPr>
                <w:rFonts w:cs="Arial"/>
                <w:sz w:val="16"/>
                <w:szCs w:val="16"/>
              </w:rPr>
            </w:pPr>
            <w:r>
              <w:rPr>
                <w:rFonts w:cs="Arial"/>
                <w:i/>
                <w:sz w:val="16"/>
                <w:szCs w:val="16"/>
              </w:rPr>
              <w:t>Original Baseline P&amp;B 2014/15</w:t>
            </w:r>
            <w:r w:rsidRPr="00B35AFA">
              <w:rPr>
                <w:rFonts w:cs="Arial"/>
                <w:i/>
                <w:sz w:val="16"/>
                <w:szCs w:val="16"/>
              </w:rPr>
              <w:t>:</w:t>
            </w:r>
            <w:r w:rsidRPr="00B35AFA">
              <w:rPr>
                <w:rFonts w:cs="Arial"/>
                <w:sz w:val="16"/>
                <w:szCs w:val="16"/>
              </w:rPr>
              <w:t xml:space="preserve"> </w:t>
            </w:r>
          </w:p>
          <w:p w:rsidR="00BD0327" w:rsidRDefault="00842879" w:rsidP="00BD0327">
            <w:pPr>
              <w:rPr>
                <w:rFonts w:cs="Arial"/>
                <w:sz w:val="16"/>
                <w:szCs w:val="16"/>
              </w:rPr>
            </w:pPr>
            <w:r w:rsidRPr="005D70E0">
              <w:rPr>
                <w:rFonts w:cs="Arial"/>
                <w:sz w:val="16"/>
                <w:szCs w:val="16"/>
              </w:rPr>
              <w:t>1 in the ASEAN region (WSO)</w:t>
            </w:r>
            <w:r w:rsidR="00BD0327" w:rsidRPr="00B35AFA">
              <w:rPr>
                <w:rFonts w:cs="Arial"/>
                <w:sz w:val="16"/>
                <w:szCs w:val="16"/>
              </w:rPr>
              <w:t xml:space="preserve"> </w:t>
            </w:r>
          </w:p>
          <w:p w:rsidR="00BD0327" w:rsidRDefault="00BD0327" w:rsidP="00BD0327">
            <w:pPr>
              <w:rPr>
                <w:rFonts w:cs="Arial"/>
                <w:sz w:val="16"/>
                <w:szCs w:val="16"/>
              </w:rPr>
            </w:pPr>
            <w:r w:rsidRPr="00607AAB">
              <w:rPr>
                <w:rFonts w:cs="Arial"/>
                <w:sz w:val="16"/>
                <w:szCs w:val="16"/>
              </w:rPr>
              <w:t>Japan not party (WJO)</w:t>
            </w:r>
          </w:p>
          <w:p w:rsidR="00BD0327" w:rsidRPr="00436D89" w:rsidRDefault="00BD0327" w:rsidP="00BD0327">
            <w:pPr>
              <w:rPr>
                <w:rFonts w:cs="Arial"/>
                <w:sz w:val="16"/>
                <w:szCs w:val="16"/>
              </w:rPr>
            </w:pPr>
          </w:p>
        </w:tc>
        <w:tc>
          <w:tcPr>
            <w:tcW w:w="918" w:type="pct"/>
            <w:tcBorders>
              <w:top w:val="nil"/>
              <w:left w:val="nil"/>
              <w:bottom w:val="single" w:sz="4" w:space="0" w:color="auto"/>
              <w:right w:val="nil"/>
            </w:tcBorders>
            <w:shd w:val="clear" w:color="auto" w:fill="auto"/>
            <w:tcMar>
              <w:top w:w="110" w:type="dxa"/>
            </w:tcMar>
          </w:tcPr>
          <w:p w:rsidR="00842879" w:rsidRDefault="00842879" w:rsidP="00BD0327">
            <w:pPr>
              <w:rPr>
                <w:rFonts w:eastAsia="SimSun" w:cs="Arial"/>
                <w:color w:val="000000"/>
                <w:sz w:val="16"/>
                <w:szCs w:val="16"/>
                <w:lang w:eastAsia="zh-CN"/>
              </w:rPr>
            </w:pPr>
            <w:r w:rsidRPr="00432581">
              <w:rPr>
                <w:rFonts w:eastAsia="SimSun" w:cs="Arial"/>
                <w:color w:val="000000"/>
                <w:sz w:val="16"/>
                <w:szCs w:val="16"/>
                <w:lang w:eastAsia="zh-CN"/>
              </w:rPr>
              <w:t>7 in the ASEAN region (WSO)</w:t>
            </w:r>
          </w:p>
          <w:p w:rsidR="006E41B7" w:rsidRDefault="006E41B7" w:rsidP="00BD0327">
            <w:pPr>
              <w:rPr>
                <w:rFonts w:eastAsia="SimSun" w:cs="Arial"/>
                <w:color w:val="000000"/>
                <w:sz w:val="16"/>
                <w:szCs w:val="16"/>
                <w:lang w:eastAsia="zh-CN"/>
              </w:rPr>
            </w:pPr>
          </w:p>
          <w:p w:rsidR="00BD0327" w:rsidRDefault="00BD0327" w:rsidP="00BD0327">
            <w:pPr>
              <w:rPr>
                <w:rFonts w:eastAsia="SimSun" w:cs="Arial"/>
                <w:color w:val="000000"/>
                <w:sz w:val="16"/>
                <w:szCs w:val="16"/>
                <w:lang w:eastAsia="zh-CN"/>
              </w:rPr>
            </w:pPr>
            <w:r w:rsidRPr="00046A4F">
              <w:rPr>
                <w:rFonts w:eastAsia="SimSun" w:cs="Arial"/>
                <w:color w:val="000000"/>
                <w:sz w:val="16"/>
                <w:szCs w:val="16"/>
                <w:lang w:eastAsia="zh-CN"/>
              </w:rPr>
              <w:t>Accession by Japan (WJO)</w:t>
            </w:r>
          </w:p>
          <w:p w:rsidR="00BD0327" w:rsidRPr="00607AAB" w:rsidRDefault="00BD0327" w:rsidP="00BD0327">
            <w:pPr>
              <w:rPr>
                <w:rFonts w:eastAsia="SimSun" w:cs="Arial"/>
                <w:color w:val="000000"/>
                <w:sz w:val="16"/>
                <w:szCs w:val="16"/>
                <w:lang w:eastAsia="zh-CN"/>
              </w:rPr>
            </w:pPr>
          </w:p>
        </w:tc>
        <w:tc>
          <w:tcPr>
            <w:tcW w:w="1673" w:type="pct"/>
            <w:tcBorders>
              <w:top w:val="nil"/>
              <w:left w:val="nil"/>
              <w:bottom w:val="single" w:sz="4" w:space="0" w:color="auto"/>
              <w:right w:val="nil"/>
            </w:tcBorders>
            <w:shd w:val="clear" w:color="auto" w:fill="FFFFFF"/>
            <w:tcMar>
              <w:top w:w="110" w:type="dxa"/>
            </w:tcMar>
          </w:tcPr>
          <w:p w:rsidR="00842879" w:rsidRDefault="00842879" w:rsidP="00BD0327">
            <w:pPr>
              <w:rPr>
                <w:rFonts w:eastAsia="SimSun" w:cs="Arial"/>
                <w:sz w:val="16"/>
                <w:szCs w:val="16"/>
                <w:lang w:eastAsia="zh-CN"/>
              </w:rPr>
            </w:pPr>
            <w:r>
              <w:rPr>
                <w:rFonts w:eastAsia="SimSun" w:cs="Arial"/>
                <w:sz w:val="16"/>
                <w:szCs w:val="16"/>
                <w:lang w:eastAsia="zh-CN"/>
              </w:rPr>
              <w:t>No additional contracting parties to the Hague System in the ASEAN Region in 2014</w:t>
            </w:r>
            <w:r w:rsidRPr="00730AE5">
              <w:rPr>
                <w:rFonts w:eastAsia="SimSun" w:cs="Arial"/>
                <w:sz w:val="16"/>
                <w:szCs w:val="16"/>
                <w:lang w:eastAsia="zh-CN"/>
              </w:rPr>
              <w:t xml:space="preserve"> </w:t>
            </w:r>
            <w:r>
              <w:rPr>
                <w:rFonts w:eastAsia="SimSun" w:cs="Arial"/>
                <w:sz w:val="16"/>
                <w:szCs w:val="16"/>
                <w:lang w:eastAsia="zh-CN"/>
              </w:rPr>
              <w:t>(WSO)</w:t>
            </w:r>
          </w:p>
          <w:p w:rsidR="00BD0327" w:rsidRDefault="00BD0327" w:rsidP="00BD0327">
            <w:pPr>
              <w:rPr>
                <w:rFonts w:eastAsia="SimSun" w:cs="Arial"/>
                <w:sz w:val="16"/>
                <w:szCs w:val="16"/>
                <w:lang w:eastAsia="zh-CN"/>
              </w:rPr>
            </w:pPr>
            <w:r>
              <w:rPr>
                <w:rFonts w:eastAsia="SimSun" w:cs="Arial"/>
                <w:sz w:val="16"/>
                <w:szCs w:val="16"/>
                <w:lang w:eastAsia="zh-CN"/>
              </w:rPr>
              <w:t>No accession in 2014 (Accession by Japan to be completed in February 2015)</w:t>
            </w:r>
          </w:p>
          <w:p w:rsidR="00BD0327" w:rsidRPr="00B35AFA" w:rsidRDefault="00BD0327" w:rsidP="00BD0327">
            <w:pPr>
              <w:rPr>
                <w:rFonts w:eastAsia="SimSun" w:cs="Arial"/>
                <w:sz w:val="16"/>
                <w:szCs w:val="16"/>
                <w:lang w:eastAsia="zh-CN"/>
              </w:rPr>
            </w:pPr>
          </w:p>
        </w:tc>
        <w:tc>
          <w:tcPr>
            <w:tcW w:w="465" w:type="pct"/>
            <w:tcBorders>
              <w:top w:val="nil"/>
              <w:left w:val="nil"/>
              <w:bottom w:val="single" w:sz="4" w:space="0" w:color="auto"/>
              <w:right w:val="single" w:sz="4" w:space="0" w:color="auto"/>
            </w:tcBorders>
            <w:shd w:val="clear" w:color="auto" w:fill="auto"/>
            <w:tcMar>
              <w:top w:w="110" w:type="dxa"/>
            </w:tcMar>
          </w:tcPr>
          <w:p w:rsidR="00842879" w:rsidRPr="004C0C4E" w:rsidRDefault="00842879" w:rsidP="00842879">
            <w:pPr>
              <w:keepNext/>
              <w:keepLines/>
              <w:jc w:val="center"/>
              <w:rPr>
                <w:rFonts w:eastAsia="SimSun" w:cs="Arial"/>
                <w:b/>
                <w:color w:val="808080"/>
                <w:sz w:val="16"/>
                <w:szCs w:val="16"/>
                <w:lang w:eastAsia="zh-CN"/>
              </w:rPr>
            </w:pPr>
            <w:r w:rsidRPr="004C0C4E">
              <w:rPr>
                <w:rFonts w:eastAsia="SimSun" w:cs="Arial"/>
                <w:b/>
                <w:color w:val="FF0000"/>
                <w:sz w:val="16"/>
                <w:szCs w:val="16"/>
                <w:lang w:eastAsia="zh-CN"/>
              </w:rPr>
              <w:t xml:space="preserve">Not </w:t>
            </w:r>
            <w:r w:rsidRPr="004C0C4E">
              <w:rPr>
                <w:rFonts w:eastAsia="SimSun" w:cs="Arial"/>
                <w:b/>
                <w:color w:val="FF0000"/>
                <w:sz w:val="16"/>
                <w:szCs w:val="16"/>
                <w:lang w:eastAsia="zh-CN"/>
              </w:rPr>
              <w:br/>
              <w:t>on track</w:t>
            </w:r>
          </w:p>
          <w:p w:rsidR="00842879" w:rsidRDefault="00842879" w:rsidP="00BD0327">
            <w:pPr>
              <w:keepNext/>
              <w:keepLines/>
              <w:jc w:val="center"/>
              <w:rPr>
                <w:rFonts w:eastAsia="SimSun" w:cs="Arial"/>
                <w:b/>
                <w:bCs/>
                <w:color w:val="00B050"/>
                <w:sz w:val="16"/>
                <w:szCs w:val="16"/>
                <w:lang w:eastAsia="zh-CN"/>
              </w:rPr>
            </w:pPr>
          </w:p>
          <w:p w:rsidR="00BD0327" w:rsidRPr="004D5610" w:rsidRDefault="00BD0327" w:rsidP="00F60CAF">
            <w:pPr>
              <w:keepNext/>
              <w:keepLines/>
              <w:rPr>
                <w:rFonts w:eastAsia="SimSun" w:cs="Arial"/>
                <w:b/>
                <w:color w:val="FF0000"/>
                <w:sz w:val="16"/>
                <w:szCs w:val="16"/>
                <w:lang w:eastAsia="zh-CN"/>
              </w:rPr>
            </w:pPr>
            <w:r w:rsidRPr="004D5610">
              <w:rPr>
                <w:rFonts w:eastAsia="SimSun" w:cs="Arial"/>
                <w:b/>
                <w:bCs/>
                <w:color w:val="00B050"/>
                <w:sz w:val="16"/>
                <w:szCs w:val="16"/>
                <w:lang w:eastAsia="zh-CN"/>
              </w:rPr>
              <w:t>On track</w:t>
            </w:r>
          </w:p>
          <w:p w:rsidR="00BD0327" w:rsidRDefault="00BD0327" w:rsidP="00BD0327">
            <w:pPr>
              <w:keepNext/>
              <w:keepLines/>
              <w:jc w:val="center"/>
              <w:rPr>
                <w:rFonts w:eastAsia="SimSun" w:cs="Arial"/>
                <w:color w:val="FF0000"/>
                <w:sz w:val="16"/>
                <w:szCs w:val="16"/>
                <w:lang w:eastAsia="zh-CN"/>
              </w:rPr>
            </w:pPr>
          </w:p>
          <w:p w:rsidR="00BD0327" w:rsidRPr="00B97F30" w:rsidRDefault="00BD0327" w:rsidP="00291097">
            <w:pPr>
              <w:keepNext/>
              <w:keepLines/>
              <w:jc w:val="center"/>
              <w:rPr>
                <w:rFonts w:eastAsia="SimSun" w:cs="Arial"/>
                <w:color w:val="808080"/>
                <w:sz w:val="16"/>
                <w:szCs w:val="16"/>
                <w:lang w:eastAsia="zh-CN"/>
              </w:rPr>
            </w:pPr>
          </w:p>
        </w:tc>
      </w:tr>
      <w:tr w:rsidR="00BD0327" w:rsidRPr="00B35AFA" w:rsidTr="00BD0327">
        <w:tc>
          <w:tcPr>
            <w:tcW w:w="5000" w:type="pct"/>
            <w:gridSpan w:val="5"/>
            <w:tcBorders>
              <w:top w:val="single" w:sz="4" w:space="0" w:color="auto"/>
              <w:bottom w:val="single" w:sz="4" w:space="0" w:color="auto"/>
            </w:tcBorders>
            <w:shd w:val="clear" w:color="auto" w:fill="CCFFFF"/>
          </w:tcPr>
          <w:p w:rsidR="00BD0327" w:rsidRPr="00B35AFA" w:rsidRDefault="00BD0327" w:rsidP="00BD0327">
            <w:pPr>
              <w:keepNext/>
              <w:keepLines/>
              <w:tabs>
                <w:tab w:val="left" w:pos="1452"/>
              </w:tabs>
              <w:spacing w:before="120" w:after="120"/>
              <w:ind w:left="1452" w:hanging="1452"/>
              <w:rPr>
                <w:rFonts w:eastAsia="SimSun" w:cs="Arial"/>
                <w:b/>
                <w:bCs/>
                <w:sz w:val="16"/>
                <w:szCs w:val="16"/>
                <w:lang w:eastAsia="zh-CN"/>
              </w:rPr>
            </w:pPr>
            <w:r w:rsidRPr="00B35AFA">
              <w:rPr>
                <w:rFonts w:eastAsia="SimSun" w:cs="Arial"/>
                <w:b/>
                <w:bCs/>
                <w:sz w:val="16"/>
                <w:szCs w:val="16"/>
                <w:lang w:eastAsia="zh-CN"/>
              </w:rPr>
              <w:t>Expected Result:</w:t>
            </w:r>
            <w:r w:rsidRPr="00B35AFA">
              <w:rPr>
                <w:rFonts w:eastAsia="SimSun" w:cs="Arial"/>
                <w:b/>
                <w:bCs/>
                <w:sz w:val="16"/>
                <w:szCs w:val="16"/>
                <w:lang w:eastAsia="zh-CN"/>
              </w:rPr>
              <w:tab/>
            </w:r>
            <w:r w:rsidRPr="005D70E0">
              <w:rPr>
                <w:rFonts w:eastAsia="SimSun" w:cs="Arial"/>
                <w:color w:val="000000"/>
                <w:sz w:val="16"/>
                <w:szCs w:val="16"/>
                <w:lang w:eastAsia="zh-CN"/>
              </w:rPr>
              <w:t>II.6 Wider and better use of the Madrid &amp; Lisbon systems, including by developing countries and LDCs</w:t>
            </w:r>
          </w:p>
        </w:tc>
      </w:tr>
      <w:tr w:rsidR="00BD0327" w:rsidRPr="00B35AFA" w:rsidTr="00BD0327">
        <w:tc>
          <w:tcPr>
            <w:tcW w:w="1080" w:type="pct"/>
            <w:tcBorders>
              <w:top w:val="single" w:sz="4" w:space="0" w:color="auto"/>
              <w:left w:val="single" w:sz="4" w:space="0" w:color="auto"/>
              <w:bottom w:val="nil"/>
              <w:right w:val="nil"/>
            </w:tcBorders>
            <w:shd w:val="clear" w:color="auto" w:fill="auto"/>
          </w:tcPr>
          <w:p w:rsidR="00BD0327" w:rsidRPr="00B35AFA" w:rsidRDefault="00BD0327" w:rsidP="00BD0327">
            <w:pPr>
              <w:rPr>
                <w:rFonts w:eastAsia="SimSun" w:cs="Arial"/>
                <w:sz w:val="16"/>
                <w:szCs w:val="16"/>
                <w:lang w:eastAsia="zh-CN"/>
              </w:rPr>
            </w:pPr>
            <w:r w:rsidRPr="00B35AFA">
              <w:rPr>
                <w:rFonts w:eastAsia="SimSun" w:cs="Arial"/>
                <w:b/>
                <w:bCs/>
                <w:sz w:val="16"/>
                <w:szCs w:val="16"/>
                <w:lang w:eastAsia="zh-CN"/>
              </w:rPr>
              <w:t>Performance Indicators</w:t>
            </w:r>
          </w:p>
        </w:tc>
        <w:tc>
          <w:tcPr>
            <w:tcW w:w="864" w:type="pct"/>
            <w:tcBorders>
              <w:top w:val="single" w:sz="4" w:space="0" w:color="auto"/>
              <w:left w:val="nil"/>
              <w:bottom w:val="nil"/>
              <w:right w:val="nil"/>
            </w:tcBorders>
            <w:shd w:val="clear" w:color="auto" w:fill="auto"/>
          </w:tcPr>
          <w:p w:rsidR="00BD0327" w:rsidRPr="00B35AFA" w:rsidRDefault="00BD0327" w:rsidP="00BD0327">
            <w:pPr>
              <w:keepNext/>
              <w:keepLines/>
              <w:rPr>
                <w:rFonts w:eastAsia="SimSun" w:cs="Arial"/>
                <w:b/>
                <w:bCs/>
                <w:sz w:val="16"/>
                <w:szCs w:val="16"/>
                <w:lang w:eastAsia="zh-CN"/>
              </w:rPr>
            </w:pPr>
            <w:r w:rsidRPr="00B35AFA">
              <w:rPr>
                <w:rFonts w:cs="Arial"/>
                <w:b/>
                <w:bCs/>
                <w:sz w:val="16"/>
                <w:szCs w:val="16"/>
              </w:rPr>
              <w:t>Baselines</w:t>
            </w:r>
          </w:p>
        </w:tc>
        <w:tc>
          <w:tcPr>
            <w:tcW w:w="918" w:type="pct"/>
            <w:tcBorders>
              <w:top w:val="single" w:sz="4" w:space="0" w:color="auto"/>
              <w:left w:val="nil"/>
              <w:bottom w:val="nil"/>
              <w:right w:val="nil"/>
            </w:tcBorders>
            <w:shd w:val="clear" w:color="auto" w:fill="auto"/>
            <w:tcMar>
              <w:top w:w="110" w:type="dxa"/>
            </w:tcMar>
          </w:tcPr>
          <w:p w:rsidR="00BD0327" w:rsidRPr="00B35AFA" w:rsidRDefault="00BD0327" w:rsidP="00BD0327">
            <w:pPr>
              <w:keepNext/>
              <w:keepLines/>
              <w:rPr>
                <w:rFonts w:eastAsia="SimSun" w:cs="Arial"/>
                <w:b/>
                <w:sz w:val="16"/>
                <w:szCs w:val="16"/>
                <w:lang w:eastAsia="zh-CN"/>
              </w:rPr>
            </w:pPr>
            <w:r w:rsidRPr="00B35AFA">
              <w:rPr>
                <w:rFonts w:cs="Arial"/>
                <w:b/>
                <w:sz w:val="16"/>
                <w:szCs w:val="16"/>
              </w:rPr>
              <w:t>Targets</w:t>
            </w:r>
          </w:p>
        </w:tc>
        <w:tc>
          <w:tcPr>
            <w:tcW w:w="1673" w:type="pct"/>
            <w:tcBorders>
              <w:top w:val="single" w:sz="4" w:space="0" w:color="auto"/>
              <w:left w:val="nil"/>
              <w:bottom w:val="nil"/>
              <w:right w:val="nil"/>
            </w:tcBorders>
            <w:shd w:val="clear" w:color="auto" w:fill="FFFFFF"/>
            <w:tcMar>
              <w:top w:w="110" w:type="dxa"/>
            </w:tcMar>
          </w:tcPr>
          <w:p w:rsidR="00BD0327" w:rsidRPr="00B35AFA" w:rsidRDefault="00BD0327" w:rsidP="00BD0327">
            <w:pPr>
              <w:keepNext/>
              <w:keepLines/>
              <w:rPr>
                <w:rFonts w:eastAsia="SimSun" w:cs="Arial"/>
                <w:sz w:val="16"/>
                <w:szCs w:val="16"/>
                <w:lang w:eastAsia="zh-CN"/>
              </w:rPr>
            </w:pPr>
            <w:r w:rsidRPr="00B35AFA">
              <w:rPr>
                <w:rFonts w:eastAsia="SimSun" w:cs="Arial"/>
                <w:b/>
                <w:bCs/>
                <w:sz w:val="16"/>
                <w:szCs w:val="16"/>
                <w:lang w:eastAsia="zh-CN"/>
              </w:rPr>
              <w:t>Performance Data</w:t>
            </w:r>
          </w:p>
        </w:tc>
        <w:tc>
          <w:tcPr>
            <w:tcW w:w="465" w:type="pct"/>
            <w:tcBorders>
              <w:top w:val="single" w:sz="4" w:space="0" w:color="auto"/>
              <w:left w:val="nil"/>
              <w:bottom w:val="nil"/>
              <w:right w:val="single" w:sz="4" w:space="0" w:color="auto"/>
            </w:tcBorders>
            <w:shd w:val="clear" w:color="auto" w:fill="auto"/>
            <w:tcMar>
              <w:top w:w="110" w:type="dxa"/>
            </w:tcMar>
          </w:tcPr>
          <w:p w:rsidR="00BD0327" w:rsidRPr="00B35AFA" w:rsidRDefault="00BD0327" w:rsidP="00BD0327">
            <w:pPr>
              <w:keepNext/>
              <w:keepLines/>
              <w:rPr>
                <w:rFonts w:eastAsia="SimSun" w:cs="Arial"/>
                <w:b/>
                <w:bCs/>
                <w:color w:val="008000"/>
                <w:sz w:val="16"/>
                <w:szCs w:val="16"/>
                <w:lang w:eastAsia="zh-CN"/>
              </w:rPr>
            </w:pPr>
            <w:r w:rsidRPr="00B35AFA">
              <w:rPr>
                <w:rFonts w:eastAsia="SimSun" w:cs="Arial"/>
                <w:b/>
                <w:bCs/>
                <w:sz w:val="16"/>
                <w:szCs w:val="16"/>
                <w:lang w:eastAsia="zh-CN"/>
              </w:rPr>
              <w:t>TLS</w:t>
            </w:r>
          </w:p>
        </w:tc>
      </w:tr>
      <w:tr w:rsidR="00BD0327" w:rsidRPr="00B35AFA" w:rsidTr="00BD0327">
        <w:tc>
          <w:tcPr>
            <w:tcW w:w="1080" w:type="pct"/>
            <w:tcBorders>
              <w:top w:val="nil"/>
              <w:left w:val="single" w:sz="4" w:space="0" w:color="auto"/>
              <w:bottom w:val="single" w:sz="4" w:space="0" w:color="auto"/>
              <w:right w:val="nil"/>
            </w:tcBorders>
            <w:shd w:val="clear" w:color="auto" w:fill="auto"/>
          </w:tcPr>
          <w:p w:rsidR="00BD0327" w:rsidRPr="00B35AFA" w:rsidRDefault="00BD0327" w:rsidP="00BD0327">
            <w:pPr>
              <w:rPr>
                <w:rFonts w:eastAsia="SimSun" w:cs="Arial"/>
                <w:color w:val="000000"/>
                <w:sz w:val="16"/>
                <w:szCs w:val="16"/>
                <w:lang w:eastAsia="zh-CN"/>
              </w:rPr>
            </w:pPr>
            <w:r w:rsidRPr="005D70E0">
              <w:rPr>
                <w:rFonts w:eastAsia="SimSun" w:cs="Arial"/>
                <w:color w:val="000000"/>
                <w:sz w:val="16"/>
                <w:szCs w:val="16"/>
                <w:lang w:eastAsia="zh-CN"/>
              </w:rPr>
              <w:t>No. of countries that have formulated and/or are engaged in policies outlining their accession to the Madrid Protocol</w:t>
            </w:r>
          </w:p>
        </w:tc>
        <w:tc>
          <w:tcPr>
            <w:tcW w:w="864" w:type="pct"/>
            <w:tcBorders>
              <w:top w:val="nil"/>
              <w:left w:val="nil"/>
              <w:bottom w:val="single" w:sz="4" w:space="0" w:color="auto"/>
              <w:right w:val="nil"/>
            </w:tcBorders>
            <w:shd w:val="clear" w:color="auto" w:fill="auto"/>
          </w:tcPr>
          <w:p w:rsidR="00BD0327" w:rsidRPr="00B35AFA" w:rsidRDefault="00BD0327" w:rsidP="00BD0327">
            <w:pPr>
              <w:keepNext/>
              <w:keepLines/>
              <w:rPr>
                <w:rFonts w:eastAsia="SimSun" w:cs="Arial"/>
                <w:color w:val="000000"/>
                <w:sz w:val="16"/>
                <w:szCs w:val="16"/>
                <w:lang w:eastAsia="zh-CN"/>
              </w:rPr>
            </w:pPr>
            <w:r w:rsidRPr="005D70E0">
              <w:rPr>
                <w:rFonts w:cs="Arial"/>
                <w:sz w:val="16"/>
                <w:szCs w:val="16"/>
              </w:rPr>
              <w:t>n/a (WSO)</w:t>
            </w:r>
          </w:p>
        </w:tc>
        <w:tc>
          <w:tcPr>
            <w:tcW w:w="918" w:type="pct"/>
            <w:tcBorders>
              <w:top w:val="nil"/>
              <w:left w:val="nil"/>
              <w:bottom w:val="single" w:sz="4" w:space="0" w:color="auto"/>
              <w:right w:val="nil"/>
            </w:tcBorders>
            <w:shd w:val="clear" w:color="auto" w:fill="auto"/>
            <w:tcMar>
              <w:top w:w="110" w:type="dxa"/>
            </w:tcMar>
          </w:tcPr>
          <w:p w:rsidR="00BD0327" w:rsidRPr="00B35AFA" w:rsidRDefault="00BD0327" w:rsidP="00BD0327">
            <w:pPr>
              <w:keepNext/>
              <w:keepLines/>
              <w:rPr>
                <w:rFonts w:eastAsia="SimSun" w:cs="Arial"/>
                <w:sz w:val="16"/>
                <w:szCs w:val="16"/>
                <w:lang w:eastAsia="zh-CN"/>
              </w:rPr>
            </w:pPr>
            <w:r w:rsidRPr="005D70E0">
              <w:rPr>
                <w:rFonts w:eastAsia="SimSun" w:cs="Arial"/>
                <w:sz w:val="16"/>
                <w:szCs w:val="16"/>
                <w:lang w:eastAsia="zh-CN"/>
              </w:rPr>
              <w:t>6 ASEAN Member States (WSO)</w:t>
            </w:r>
          </w:p>
        </w:tc>
        <w:tc>
          <w:tcPr>
            <w:tcW w:w="1673" w:type="pct"/>
            <w:tcBorders>
              <w:top w:val="nil"/>
              <w:left w:val="nil"/>
              <w:bottom w:val="single" w:sz="4" w:space="0" w:color="auto"/>
              <w:right w:val="nil"/>
            </w:tcBorders>
            <w:shd w:val="clear" w:color="auto" w:fill="FFFFFF"/>
            <w:tcMar>
              <w:top w:w="110" w:type="dxa"/>
            </w:tcMar>
          </w:tcPr>
          <w:p w:rsidR="00BD0327" w:rsidRPr="00B35AFA" w:rsidRDefault="00F810A9" w:rsidP="00BD0327">
            <w:pPr>
              <w:keepNext/>
              <w:keepLines/>
              <w:rPr>
                <w:rFonts w:eastAsia="SimSun" w:cs="Arial"/>
                <w:sz w:val="16"/>
                <w:szCs w:val="16"/>
                <w:lang w:eastAsia="zh-CN"/>
              </w:rPr>
            </w:pPr>
            <w:r>
              <w:rPr>
                <w:rFonts w:eastAsia="SimSun" w:cs="Arial"/>
                <w:sz w:val="16"/>
                <w:szCs w:val="16"/>
                <w:lang w:eastAsia="zh-CN"/>
              </w:rPr>
              <w:t>6</w:t>
            </w:r>
            <w:r w:rsidRPr="00730AE5">
              <w:rPr>
                <w:rFonts w:eastAsia="SimSun" w:cs="Arial"/>
                <w:sz w:val="16"/>
                <w:szCs w:val="16"/>
                <w:lang w:eastAsia="zh-CN"/>
              </w:rPr>
              <w:t xml:space="preserve"> </w:t>
            </w:r>
            <w:r w:rsidR="00BD0327" w:rsidRPr="00730AE5">
              <w:rPr>
                <w:rFonts w:eastAsia="SimSun" w:cs="Arial"/>
                <w:sz w:val="16"/>
                <w:szCs w:val="16"/>
                <w:lang w:eastAsia="zh-CN"/>
              </w:rPr>
              <w:t>ASEAN  Member States</w:t>
            </w:r>
            <w:r w:rsidR="00BD0327">
              <w:rPr>
                <w:rFonts w:eastAsia="SimSun" w:cs="Arial"/>
                <w:sz w:val="16"/>
                <w:szCs w:val="16"/>
                <w:lang w:eastAsia="zh-CN"/>
              </w:rPr>
              <w:t xml:space="preserve"> (</w:t>
            </w:r>
            <w:r w:rsidR="00BD0327" w:rsidRPr="008E272B">
              <w:rPr>
                <w:rFonts w:eastAsia="SimSun" w:cs="Arial"/>
                <w:sz w:val="16"/>
                <w:szCs w:val="16"/>
                <w:lang w:eastAsia="zh-CN"/>
              </w:rPr>
              <w:t xml:space="preserve">Brunei Darussalam, </w:t>
            </w:r>
            <w:r>
              <w:rPr>
                <w:rFonts w:eastAsia="SimSun" w:cs="Arial"/>
                <w:sz w:val="16"/>
                <w:szCs w:val="16"/>
                <w:lang w:eastAsia="zh-CN"/>
              </w:rPr>
              <w:t xml:space="preserve">Cambodia, </w:t>
            </w:r>
            <w:r w:rsidR="00BD0327" w:rsidRPr="008E272B">
              <w:rPr>
                <w:rFonts w:eastAsia="SimSun" w:cs="Arial"/>
                <w:sz w:val="16"/>
                <w:szCs w:val="16"/>
                <w:lang w:eastAsia="zh-CN"/>
              </w:rPr>
              <w:t>Indonesia, Lao P</w:t>
            </w:r>
            <w:r w:rsidR="00BD0327">
              <w:rPr>
                <w:rFonts w:eastAsia="SimSun" w:cs="Arial"/>
                <w:sz w:val="16"/>
                <w:szCs w:val="16"/>
                <w:lang w:eastAsia="zh-CN"/>
              </w:rPr>
              <w:t>eople’s Democratic Republic)</w:t>
            </w:r>
            <w:r w:rsidR="00BD0327" w:rsidRPr="008E272B">
              <w:rPr>
                <w:rFonts w:eastAsia="SimSun" w:cs="Arial"/>
                <w:sz w:val="16"/>
                <w:szCs w:val="16"/>
                <w:lang w:eastAsia="zh-CN"/>
              </w:rPr>
              <w:t>, Malaysia, Thailand</w:t>
            </w:r>
            <w:r w:rsidR="00BD0327">
              <w:rPr>
                <w:rFonts w:eastAsia="SimSun" w:cs="Arial"/>
                <w:sz w:val="16"/>
                <w:szCs w:val="16"/>
                <w:lang w:eastAsia="zh-CN"/>
              </w:rPr>
              <w:t>) (WSO)</w:t>
            </w:r>
          </w:p>
        </w:tc>
        <w:tc>
          <w:tcPr>
            <w:tcW w:w="465" w:type="pct"/>
            <w:tcBorders>
              <w:top w:val="nil"/>
              <w:left w:val="nil"/>
              <w:bottom w:val="single" w:sz="4" w:space="0" w:color="auto"/>
              <w:right w:val="single" w:sz="4" w:space="0" w:color="auto"/>
            </w:tcBorders>
            <w:shd w:val="clear" w:color="auto" w:fill="auto"/>
            <w:tcMar>
              <w:top w:w="110" w:type="dxa"/>
            </w:tcMar>
          </w:tcPr>
          <w:p w:rsidR="00BD0327" w:rsidRPr="004D5610" w:rsidRDefault="00BD0327" w:rsidP="00BD0327">
            <w:pPr>
              <w:keepNext/>
              <w:keepLines/>
              <w:jc w:val="center"/>
              <w:rPr>
                <w:rFonts w:eastAsia="SimSun" w:cs="Arial"/>
                <w:b/>
                <w:bCs/>
                <w:color w:val="808080"/>
                <w:sz w:val="16"/>
                <w:szCs w:val="16"/>
                <w:lang w:eastAsia="zh-CN"/>
              </w:rPr>
            </w:pPr>
            <w:r w:rsidRPr="004D5610">
              <w:rPr>
                <w:rFonts w:eastAsia="SimSun" w:cs="Arial"/>
                <w:b/>
                <w:bCs/>
                <w:color w:val="00B050"/>
                <w:sz w:val="16"/>
                <w:szCs w:val="16"/>
                <w:lang w:eastAsia="zh-CN"/>
              </w:rPr>
              <w:t>On track</w:t>
            </w:r>
          </w:p>
        </w:tc>
      </w:tr>
    </w:tbl>
    <w:p w:rsidR="00BD0327" w:rsidRDefault="00BD0327">
      <w:r>
        <w:br w:type="page"/>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8"/>
        <w:gridCol w:w="1562"/>
        <w:gridCol w:w="92"/>
        <w:gridCol w:w="1757"/>
        <w:gridCol w:w="3202"/>
        <w:gridCol w:w="890"/>
      </w:tblGrid>
      <w:tr w:rsidR="00BD0327" w:rsidRPr="00B35AFA" w:rsidTr="00BD0327">
        <w:tc>
          <w:tcPr>
            <w:tcW w:w="1080" w:type="pct"/>
            <w:tcBorders>
              <w:top w:val="single" w:sz="4" w:space="0" w:color="auto"/>
              <w:left w:val="single" w:sz="4" w:space="0" w:color="auto"/>
              <w:bottom w:val="nil"/>
              <w:right w:val="nil"/>
            </w:tcBorders>
            <w:shd w:val="clear" w:color="auto" w:fill="auto"/>
          </w:tcPr>
          <w:p w:rsidR="00BD0327" w:rsidRPr="00B35AFA" w:rsidRDefault="00BD0327" w:rsidP="00BD0327">
            <w:pPr>
              <w:rPr>
                <w:rFonts w:eastAsia="SimSun" w:cs="Arial"/>
                <w:sz w:val="16"/>
                <w:szCs w:val="16"/>
                <w:lang w:eastAsia="zh-CN"/>
              </w:rPr>
            </w:pPr>
            <w:r w:rsidRPr="00B35AFA">
              <w:rPr>
                <w:rFonts w:eastAsia="SimSun" w:cs="Arial"/>
                <w:b/>
                <w:bCs/>
                <w:sz w:val="16"/>
                <w:szCs w:val="16"/>
                <w:lang w:eastAsia="zh-CN"/>
              </w:rPr>
              <w:lastRenderedPageBreak/>
              <w:t>Performance Indicators</w:t>
            </w:r>
          </w:p>
        </w:tc>
        <w:tc>
          <w:tcPr>
            <w:tcW w:w="864" w:type="pct"/>
            <w:gridSpan w:val="2"/>
            <w:tcBorders>
              <w:top w:val="single" w:sz="4" w:space="0" w:color="auto"/>
              <w:left w:val="nil"/>
              <w:bottom w:val="nil"/>
              <w:right w:val="nil"/>
            </w:tcBorders>
            <w:shd w:val="clear" w:color="auto" w:fill="auto"/>
          </w:tcPr>
          <w:p w:rsidR="00BD0327" w:rsidRPr="00B35AFA" w:rsidRDefault="00BD0327" w:rsidP="00BD0327">
            <w:pPr>
              <w:keepNext/>
              <w:keepLines/>
              <w:rPr>
                <w:rFonts w:eastAsia="SimSun" w:cs="Arial"/>
                <w:b/>
                <w:bCs/>
                <w:sz w:val="16"/>
                <w:szCs w:val="16"/>
                <w:lang w:eastAsia="zh-CN"/>
              </w:rPr>
            </w:pPr>
            <w:r w:rsidRPr="00B35AFA">
              <w:rPr>
                <w:rFonts w:cs="Arial"/>
                <w:b/>
                <w:bCs/>
                <w:sz w:val="16"/>
                <w:szCs w:val="16"/>
              </w:rPr>
              <w:t>Baselines</w:t>
            </w:r>
          </w:p>
        </w:tc>
        <w:tc>
          <w:tcPr>
            <w:tcW w:w="918" w:type="pct"/>
            <w:tcBorders>
              <w:top w:val="single" w:sz="4" w:space="0" w:color="auto"/>
              <w:left w:val="nil"/>
              <w:bottom w:val="nil"/>
              <w:right w:val="nil"/>
            </w:tcBorders>
            <w:shd w:val="clear" w:color="auto" w:fill="auto"/>
            <w:tcMar>
              <w:top w:w="110" w:type="dxa"/>
            </w:tcMar>
          </w:tcPr>
          <w:p w:rsidR="00BD0327" w:rsidRPr="00B35AFA" w:rsidRDefault="00BD0327" w:rsidP="00BD0327">
            <w:pPr>
              <w:keepNext/>
              <w:keepLines/>
              <w:rPr>
                <w:rFonts w:eastAsia="SimSun" w:cs="Arial"/>
                <w:b/>
                <w:sz w:val="16"/>
                <w:szCs w:val="16"/>
                <w:lang w:eastAsia="zh-CN"/>
              </w:rPr>
            </w:pPr>
            <w:r w:rsidRPr="00B35AFA">
              <w:rPr>
                <w:rFonts w:cs="Arial"/>
                <w:b/>
                <w:sz w:val="16"/>
                <w:szCs w:val="16"/>
              </w:rPr>
              <w:t>Targets</w:t>
            </w:r>
          </w:p>
        </w:tc>
        <w:tc>
          <w:tcPr>
            <w:tcW w:w="1673" w:type="pct"/>
            <w:tcBorders>
              <w:top w:val="single" w:sz="4" w:space="0" w:color="auto"/>
              <w:left w:val="nil"/>
              <w:bottom w:val="nil"/>
              <w:right w:val="nil"/>
            </w:tcBorders>
            <w:shd w:val="clear" w:color="auto" w:fill="FFFFFF"/>
            <w:tcMar>
              <w:top w:w="110" w:type="dxa"/>
            </w:tcMar>
          </w:tcPr>
          <w:p w:rsidR="00BD0327" w:rsidRPr="00B35AFA" w:rsidRDefault="00BD0327" w:rsidP="00BD0327">
            <w:pPr>
              <w:keepNext/>
              <w:keepLines/>
              <w:rPr>
                <w:rFonts w:eastAsia="SimSun" w:cs="Arial"/>
                <w:sz w:val="16"/>
                <w:szCs w:val="16"/>
                <w:lang w:eastAsia="zh-CN"/>
              </w:rPr>
            </w:pPr>
            <w:r w:rsidRPr="00B35AFA">
              <w:rPr>
                <w:rFonts w:eastAsia="SimSun" w:cs="Arial"/>
                <w:b/>
                <w:bCs/>
                <w:sz w:val="16"/>
                <w:szCs w:val="16"/>
                <w:lang w:eastAsia="zh-CN"/>
              </w:rPr>
              <w:t>Performance Data</w:t>
            </w:r>
          </w:p>
        </w:tc>
        <w:tc>
          <w:tcPr>
            <w:tcW w:w="465" w:type="pct"/>
            <w:tcBorders>
              <w:top w:val="single" w:sz="4" w:space="0" w:color="auto"/>
              <w:left w:val="nil"/>
              <w:bottom w:val="nil"/>
              <w:right w:val="single" w:sz="4" w:space="0" w:color="auto"/>
            </w:tcBorders>
            <w:shd w:val="clear" w:color="auto" w:fill="auto"/>
            <w:tcMar>
              <w:top w:w="110" w:type="dxa"/>
            </w:tcMar>
          </w:tcPr>
          <w:p w:rsidR="00BD0327" w:rsidRPr="00B35AFA" w:rsidRDefault="00BD0327" w:rsidP="00BD0327">
            <w:pPr>
              <w:keepNext/>
              <w:keepLines/>
              <w:rPr>
                <w:rFonts w:eastAsia="SimSun" w:cs="Arial"/>
                <w:b/>
                <w:bCs/>
                <w:color w:val="008000"/>
                <w:sz w:val="16"/>
                <w:szCs w:val="16"/>
                <w:lang w:eastAsia="zh-CN"/>
              </w:rPr>
            </w:pPr>
            <w:r w:rsidRPr="00B35AFA">
              <w:rPr>
                <w:rFonts w:eastAsia="SimSun" w:cs="Arial"/>
                <w:b/>
                <w:bCs/>
                <w:sz w:val="16"/>
                <w:szCs w:val="16"/>
                <w:lang w:eastAsia="zh-CN"/>
              </w:rPr>
              <w:t>TLS</w:t>
            </w:r>
          </w:p>
        </w:tc>
      </w:tr>
      <w:tr w:rsidR="00BD0327" w:rsidRPr="00B35AFA" w:rsidTr="00BD0327">
        <w:tc>
          <w:tcPr>
            <w:tcW w:w="1080" w:type="pct"/>
            <w:tcBorders>
              <w:top w:val="nil"/>
              <w:left w:val="single" w:sz="4" w:space="0" w:color="auto"/>
              <w:bottom w:val="nil"/>
              <w:right w:val="nil"/>
            </w:tcBorders>
            <w:shd w:val="clear" w:color="auto" w:fill="auto"/>
          </w:tcPr>
          <w:p w:rsidR="00BD0327" w:rsidRDefault="00BD0327" w:rsidP="00BD0327">
            <w:pPr>
              <w:keepNext/>
              <w:keepLines/>
              <w:rPr>
                <w:rFonts w:eastAsia="SimSun" w:cs="Arial"/>
                <w:color w:val="000000"/>
                <w:sz w:val="16"/>
                <w:szCs w:val="16"/>
                <w:lang w:eastAsia="zh-CN"/>
              </w:rPr>
            </w:pPr>
            <w:r w:rsidRPr="005D70E0">
              <w:rPr>
                <w:rFonts w:eastAsia="SimSun" w:cs="Arial"/>
                <w:color w:val="000000"/>
                <w:sz w:val="16"/>
                <w:szCs w:val="16"/>
                <w:lang w:eastAsia="zh-CN"/>
              </w:rPr>
              <w:t>% of satisfied participants in targeted workshops/seminars held on Madrid related topics</w:t>
            </w:r>
          </w:p>
        </w:tc>
        <w:tc>
          <w:tcPr>
            <w:tcW w:w="864" w:type="pct"/>
            <w:gridSpan w:val="2"/>
            <w:tcBorders>
              <w:top w:val="nil"/>
              <w:left w:val="nil"/>
              <w:bottom w:val="nil"/>
              <w:right w:val="nil"/>
            </w:tcBorders>
            <w:shd w:val="clear" w:color="auto" w:fill="auto"/>
          </w:tcPr>
          <w:p w:rsidR="00BD0327" w:rsidRPr="00B35AFA" w:rsidRDefault="00BD0327" w:rsidP="00BD0327">
            <w:pPr>
              <w:keepNext/>
              <w:keepLines/>
              <w:rPr>
                <w:rFonts w:cs="Arial"/>
                <w:i/>
                <w:color w:val="002060"/>
                <w:sz w:val="16"/>
                <w:szCs w:val="16"/>
              </w:rPr>
            </w:pPr>
            <w:r>
              <w:rPr>
                <w:rFonts w:cs="Arial"/>
                <w:i/>
                <w:color w:val="002060"/>
                <w:sz w:val="16"/>
                <w:szCs w:val="16"/>
              </w:rPr>
              <w:t>Updated Baseline end 2013</w:t>
            </w:r>
            <w:r w:rsidRPr="00B35AFA">
              <w:rPr>
                <w:rFonts w:cs="Arial"/>
                <w:i/>
                <w:color w:val="002060"/>
                <w:sz w:val="16"/>
                <w:szCs w:val="16"/>
              </w:rPr>
              <w:t xml:space="preserve">:  </w:t>
            </w:r>
          </w:p>
          <w:p w:rsidR="00BD0327" w:rsidRDefault="00BD0327" w:rsidP="00BD0327">
            <w:pPr>
              <w:keepNext/>
              <w:keepLines/>
              <w:rPr>
                <w:rFonts w:cs="Arial"/>
                <w:sz w:val="16"/>
                <w:szCs w:val="16"/>
              </w:rPr>
            </w:pPr>
            <w:r>
              <w:rPr>
                <w:rFonts w:cs="Arial"/>
                <w:i/>
                <w:sz w:val="16"/>
                <w:szCs w:val="16"/>
              </w:rPr>
              <w:t>Original Baseline P&amp;B 2014/15</w:t>
            </w:r>
            <w:r w:rsidRPr="00B35AFA">
              <w:rPr>
                <w:rFonts w:cs="Arial"/>
                <w:i/>
                <w:sz w:val="16"/>
                <w:szCs w:val="16"/>
              </w:rPr>
              <w:t>:</w:t>
            </w:r>
            <w:r w:rsidRPr="00B35AFA">
              <w:rPr>
                <w:rFonts w:cs="Arial"/>
                <w:sz w:val="16"/>
                <w:szCs w:val="16"/>
              </w:rPr>
              <w:t xml:space="preserve">  </w:t>
            </w:r>
          </w:p>
          <w:p w:rsidR="00BD0327" w:rsidRDefault="00BD0327" w:rsidP="00BD0327">
            <w:pPr>
              <w:keepNext/>
              <w:keepLines/>
              <w:rPr>
                <w:rFonts w:eastAsia="SimSun" w:cs="Arial"/>
                <w:color w:val="000000"/>
                <w:sz w:val="16"/>
                <w:szCs w:val="16"/>
                <w:lang w:eastAsia="zh-CN"/>
              </w:rPr>
            </w:pPr>
            <w:r w:rsidRPr="005D70E0">
              <w:rPr>
                <w:rFonts w:eastAsia="SimSun" w:cs="Arial"/>
                <w:color w:val="000000"/>
                <w:sz w:val="16"/>
                <w:szCs w:val="16"/>
                <w:lang w:eastAsia="zh-CN"/>
              </w:rPr>
              <w:t>65% (WBO)</w:t>
            </w:r>
          </w:p>
          <w:p w:rsidR="00BD0327" w:rsidRDefault="00BD0327" w:rsidP="00BD0327">
            <w:pPr>
              <w:keepNext/>
              <w:keepLines/>
              <w:rPr>
                <w:rFonts w:cs="Arial"/>
                <w:i/>
                <w:color w:val="002060"/>
                <w:sz w:val="16"/>
                <w:szCs w:val="16"/>
              </w:rPr>
            </w:pPr>
            <w:r w:rsidRPr="005D70E0">
              <w:rPr>
                <w:rFonts w:eastAsia="SimSun" w:cs="Arial"/>
                <w:color w:val="000000"/>
                <w:sz w:val="16"/>
                <w:szCs w:val="16"/>
                <w:lang w:eastAsia="zh-CN"/>
              </w:rPr>
              <w:t>65% (WSO)</w:t>
            </w:r>
          </w:p>
        </w:tc>
        <w:tc>
          <w:tcPr>
            <w:tcW w:w="918" w:type="pct"/>
            <w:tcBorders>
              <w:top w:val="nil"/>
              <w:left w:val="nil"/>
              <w:bottom w:val="nil"/>
              <w:right w:val="nil"/>
            </w:tcBorders>
            <w:shd w:val="clear" w:color="auto" w:fill="auto"/>
            <w:tcMar>
              <w:top w:w="110" w:type="dxa"/>
            </w:tcMar>
          </w:tcPr>
          <w:p w:rsidR="00BD0327" w:rsidRDefault="00BD0327" w:rsidP="00BD0327">
            <w:pPr>
              <w:keepNext/>
              <w:keepLines/>
              <w:rPr>
                <w:rFonts w:eastAsia="SimSun" w:cs="Arial"/>
                <w:sz w:val="16"/>
                <w:szCs w:val="16"/>
                <w:lang w:eastAsia="zh-CN"/>
              </w:rPr>
            </w:pPr>
            <w:r w:rsidRPr="005D70E0">
              <w:rPr>
                <w:rFonts w:eastAsia="SimSun" w:cs="Arial"/>
                <w:sz w:val="16"/>
                <w:szCs w:val="16"/>
                <w:lang w:eastAsia="zh-CN"/>
              </w:rPr>
              <w:t>&gt; 75% (WBO)</w:t>
            </w:r>
          </w:p>
          <w:p w:rsidR="00BD0327" w:rsidRPr="005D70E0" w:rsidRDefault="00BD0327" w:rsidP="00BD0327">
            <w:pPr>
              <w:keepNext/>
              <w:keepLines/>
              <w:rPr>
                <w:rFonts w:eastAsia="SimSun" w:cs="Arial"/>
                <w:sz w:val="16"/>
                <w:szCs w:val="16"/>
                <w:lang w:eastAsia="zh-CN"/>
              </w:rPr>
            </w:pPr>
            <w:r w:rsidRPr="005D70E0">
              <w:rPr>
                <w:rFonts w:eastAsia="SimSun" w:cs="Arial"/>
                <w:sz w:val="16"/>
                <w:szCs w:val="16"/>
                <w:lang w:eastAsia="zh-CN"/>
              </w:rPr>
              <w:t>&gt; 75% (WSO)</w:t>
            </w:r>
          </w:p>
        </w:tc>
        <w:tc>
          <w:tcPr>
            <w:tcW w:w="1673" w:type="pct"/>
            <w:tcBorders>
              <w:top w:val="nil"/>
              <w:left w:val="nil"/>
              <w:bottom w:val="nil"/>
              <w:right w:val="nil"/>
            </w:tcBorders>
            <w:shd w:val="clear" w:color="auto" w:fill="FFFFFF"/>
            <w:tcMar>
              <w:top w:w="110" w:type="dxa"/>
            </w:tcMar>
          </w:tcPr>
          <w:p w:rsidR="00BD0327" w:rsidRDefault="00BD0327" w:rsidP="00BD0327">
            <w:pPr>
              <w:keepNext/>
              <w:keepLines/>
              <w:rPr>
                <w:rFonts w:eastAsia="SimSun" w:cs="Arial"/>
                <w:sz w:val="16"/>
                <w:szCs w:val="16"/>
                <w:lang w:eastAsia="zh-CN"/>
              </w:rPr>
            </w:pPr>
            <w:r>
              <w:rPr>
                <w:rFonts w:eastAsia="SimSun" w:cs="Arial"/>
                <w:sz w:val="16"/>
                <w:szCs w:val="16"/>
                <w:lang w:eastAsia="zh-CN"/>
              </w:rPr>
              <w:t>No Madrid-related workshops were held in Brazil in 2014.</w:t>
            </w:r>
          </w:p>
          <w:p w:rsidR="00BD0327" w:rsidRDefault="00BD0327" w:rsidP="00BD0327">
            <w:pPr>
              <w:keepNext/>
              <w:keepLines/>
              <w:rPr>
                <w:rFonts w:eastAsia="SimSun" w:cs="Arial"/>
                <w:sz w:val="16"/>
                <w:szCs w:val="16"/>
                <w:lang w:eastAsia="zh-CN"/>
              </w:rPr>
            </w:pPr>
            <w:r>
              <w:rPr>
                <w:rFonts w:eastAsia="SimSun" w:cs="Arial"/>
                <w:sz w:val="16"/>
                <w:szCs w:val="16"/>
                <w:lang w:eastAsia="zh-CN"/>
              </w:rPr>
              <w:t>89% based on feedback from participants (WSO)</w:t>
            </w:r>
          </w:p>
        </w:tc>
        <w:tc>
          <w:tcPr>
            <w:tcW w:w="465" w:type="pct"/>
            <w:tcBorders>
              <w:top w:val="nil"/>
              <w:left w:val="nil"/>
              <w:bottom w:val="nil"/>
              <w:right w:val="single" w:sz="4" w:space="0" w:color="auto"/>
            </w:tcBorders>
            <w:shd w:val="clear" w:color="auto" w:fill="auto"/>
            <w:tcMar>
              <w:top w:w="110" w:type="dxa"/>
            </w:tcMar>
          </w:tcPr>
          <w:p w:rsidR="00BD0327" w:rsidRPr="004D5610" w:rsidRDefault="00BD0327" w:rsidP="00BD0327">
            <w:pPr>
              <w:keepNext/>
              <w:keepLines/>
              <w:jc w:val="center"/>
              <w:rPr>
                <w:rFonts w:eastAsia="SimSun" w:cs="Arial"/>
                <w:b/>
                <w:bCs/>
                <w:color w:val="0070C0"/>
                <w:sz w:val="16"/>
                <w:szCs w:val="16"/>
                <w:lang w:eastAsia="zh-CN"/>
              </w:rPr>
            </w:pPr>
            <w:r w:rsidRPr="004D5610">
              <w:rPr>
                <w:rFonts w:eastAsia="SimSun" w:cs="Arial"/>
                <w:b/>
                <w:bCs/>
                <w:color w:val="0070C0"/>
                <w:sz w:val="16"/>
                <w:szCs w:val="16"/>
                <w:lang w:eastAsia="zh-CN"/>
              </w:rPr>
              <w:t>N/A 2014</w:t>
            </w:r>
          </w:p>
          <w:p w:rsidR="00BD0327" w:rsidRPr="004D5610" w:rsidRDefault="00BD0327" w:rsidP="00BD0327">
            <w:pPr>
              <w:keepNext/>
              <w:keepLines/>
              <w:jc w:val="center"/>
              <w:rPr>
                <w:rFonts w:eastAsia="SimSun" w:cs="Arial"/>
                <w:b/>
                <w:bCs/>
                <w:color w:val="00B050"/>
                <w:sz w:val="16"/>
                <w:szCs w:val="16"/>
                <w:lang w:eastAsia="zh-CN"/>
              </w:rPr>
            </w:pPr>
          </w:p>
          <w:p w:rsidR="00BD0327" w:rsidRPr="004D5610" w:rsidRDefault="00BD0327" w:rsidP="00BD0327">
            <w:pPr>
              <w:keepNext/>
              <w:keepLines/>
              <w:jc w:val="center"/>
              <w:rPr>
                <w:rFonts w:eastAsia="SimSun" w:cs="Arial"/>
                <w:b/>
                <w:bCs/>
                <w:color w:val="00B050"/>
                <w:sz w:val="16"/>
                <w:szCs w:val="16"/>
                <w:lang w:eastAsia="zh-CN"/>
              </w:rPr>
            </w:pPr>
            <w:r w:rsidRPr="004D5610">
              <w:rPr>
                <w:rFonts w:eastAsia="SimSun" w:cs="Arial"/>
                <w:b/>
                <w:bCs/>
                <w:color w:val="00B050"/>
                <w:sz w:val="16"/>
                <w:szCs w:val="16"/>
                <w:lang w:eastAsia="zh-CN"/>
              </w:rPr>
              <w:t>On track</w:t>
            </w:r>
          </w:p>
        </w:tc>
      </w:tr>
      <w:tr w:rsidR="00BD0327" w:rsidRPr="00B35AFA" w:rsidTr="00BD0327">
        <w:tc>
          <w:tcPr>
            <w:tcW w:w="1080" w:type="pct"/>
            <w:tcBorders>
              <w:top w:val="nil"/>
              <w:left w:val="single" w:sz="4" w:space="0" w:color="auto"/>
              <w:bottom w:val="nil"/>
              <w:right w:val="nil"/>
            </w:tcBorders>
            <w:shd w:val="clear" w:color="auto" w:fill="auto"/>
          </w:tcPr>
          <w:p w:rsidR="00BD0327" w:rsidRDefault="00BD0327" w:rsidP="00BD0327">
            <w:pPr>
              <w:rPr>
                <w:rFonts w:eastAsia="SimSun" w:cs="Arial"/>
                <w:color w:val="000000"/>
                <w:sz w:val="16"/>
                <w:szCs w:val="16"/>
                <w:lang w:eastAsia="zh-CN"/>
              </w:rPr>
            </w:pPr>
            <w:r w:rsidRPr="005D70E0">
              <w:rPr>
                <w:rFonts w:eastAsia="SimSun" w:cs="Arial"/>
                <w:color w:val="000000"/>
                <w:sz w:val="16"/>
                <w:szCs w:val="16"/>
                <w:lang w:eastAsia="zh-CN"/>
              </w:rPr>
              <w:t>No. of Contracting Parties to the Madrid Protocol</w:t>
            </w:r>
          </w:p>
        </w:tc>
        <w:tc>
          <w:tcPr>
            <w:tcW w:w="864" w:type="pct"/>
            <w:gridSpan w:val="2"/>
            <w:tcBorders>
              <w:top w:val="nil"/>
              <w:left w:val="nil"/>
              <w:bottom w:val="nil"/>
              <w:right w:val="nil"/>
            </w:tcBorders>
            <w:shd w:val="clear" w:color="auto" w:fill="auto"/>
          </w:tcPr>
          <w:p w:rsidR="00BD0327" w:rsidRPr="00B35AFA" w:rsidRDefault="00BD0327" w:rsidP="00BD0327">
            <w:pPr>
              <w:rPr>
                <w:rFonts w:cs="Arial"/>
                <w:i/>
                <w:color w:val="002060"/>
                <w:sz w:val="16"/>
                <w:szCs w:val="16"/>
              </w:rPr>
            </w:pPr>
            <w:r>
              <w:rPr>
                <w:rFonts w:cs="Arial"/>
                <w:i/>
                <w:color w:val="002060"/>
                <w:sz w:val="16"/>
                <w:szCs w:val="16"/>
              </w:rPr>
              <w:t>Updated Baseline end 2013</w:t>
            </w:r>
            <w:r w:rsidRPr="00B35AFA">
              <w:rPr>
                <w:rFonts w:cs="Arial"/>
                <w:i/>
                <w:color w:val="002060"/>
                <w:sz w:val="16"/>
                <w:szCs w:val="16"/>
              </w:rPr>
              <w:t xml:space="preserve">:  </w:t>
            </w:r>
            <w:r w:rsidRPr="00B557D2">
              <w:rPr>
                <w:rFonts w:cs="Arial"/>
                <w:color w:val="002060"/>
                <w:sz w:val="16"/>
                <w:szCs w:val="16"/>
              </w:rPr>
              <w:t xml:space="preserve">3 </w:t>
            </w:r>
            <w:r>
              <w:rPr>
                <w:rFonts w:cs="Arial"/>
                <w:color w:val="002060"/>
                <w:sz w:val="16"/>
                <w:szCs w:val="16"/>
              </w:rPr>
              <w:t xml:space="preserve">(Philippines, Singapore, Viet Nam) </w:t>
            </w:r>
            <w:r w:rsidRPr="00B557D2">
              <w:rPr>
                <w:rFonts w:cs="Arial"/>
                <w:color w:val="002060"/>
                <w:sz w:val="16"/>
                <w:szCs w:val="16"/>
              </w:rPr>
              <w:t>(WSO)</w:t>
            </w:r>
          </w:p>
          <w:p w:rsidR="00BD0327" w:rsidRDefault="00BD0327" w:rsidP="00BD0327">
            <w:pPr>
              <w:rPr>
                <w:rFonts w:cs="Arial"/>
                <w:sz w:val="16"/>
                <w:szCs w:val="16"/>
              </w:rPr>
            </w:pPr>
            <w:r>
              <w:rPr>
                <w:rFonts w:cs="Arial"/>
                <w:i/>
                <w:sz w:val="16"/>
                <w:szCs w:val="16"/>
              </w:rPr>
              <w:t>Original Baseline P&amp;B 2014/15</w:t>
            </w:r>
            <w:r w:rsidRPr="00B35AFA">
              <w:rPr>
                <w:rFonts w:cs="Arial"/>
                <w:i/>
                <w:sz w:val="16"/>
                <w:szCs w:val="16"/>
              </w:rPr>
              <w:t>:</w:t>
            </w:r>
            <w:r w:rsidRPr="00B35AFA">
              <w:rPr>
                <w:rFonts w:cs="Arial"/>
                <w:sz w:val="16"/>
                <w:szCs w:val="16"/>
              </w:rPr>
              <w:t xml:space="preserve">  </w:t>
            </w:r>
          </w:p>
          <w:p w:rsidR="00BD0327" w:rsidRDefault="00BD0327" w:rsidP="00BD0327">
            <w:pPr>
              <w:rPr>
                <w:rFonts w:cs="Arial"/>
                <w:i/>
                <w:color w:val="002060"/>
                <w:sz w:val="16"/>
                <w:szCs w:val="16"/>
              </w:rPr>
            </w:pPr>
            <w:r w:rsidRPr="005D70E0">
              <w:rPr>
                <w:rFonts w:cs="Arial"/>
                <w:sz w:val="16"/>
                <w:szCs w:val="16"/>
              </w:rPr>
              <w:t>3 (WSO)</w:t>
            </w:r>
          </w:p>
        </w:tc>
        <w:tc>
          <w:tcPr>
            <w:tcW w:w="918" w:type="pct"/>
            <w:tcBorders>
              <w:top w:val="nil"/>
              <w:left w:val="nil"/>
              <w:bottom w:val="nil"/>
              <w:right w:val="nil"/>
            </w:tcBorders>
            <w:shd w:val="clear" w:color="auto" w:fill="auto"/>
            <w:tcMar>
              <w:top w:w="110" w:type="dxa"/>
            </w:tcMar>
          </w:tcPr>
          <w:p w:rsidR="00BD0327" w:rsidRPr="005D70E0" w:rsidRDefault="00BD0327" w:rsidP="00BD0327">
            <w:pPr>
              <w:rPr>
                <w:rFonts w:eastAsia="SimSun" w:cs="Arial"/>
                <w:sz w:val="16"/>
                <w:szCs w:val="16"/>
                <w:lang w:eastAsia="zh-CN"/>
              </w:rPr>
            </w:pPr>
            <w:r w:rsidRPr="005D70E0">
              <w:rPr>
                <w:rFonts w:eastAsia="SimSun" w:cs="Arial"/>
                <w:sz w:val="16"/>
                <w:szCs w:val="16"/>
                <w:lang w:eastAsia="zh-CN"/>
              </w:rPr>
              <w:t>10 (WSO)</w:t>
            </w:r>
          </w:p>
        </w:tc>
        <w:tc>
          <w:tcPr>
            <w:tcW w:w="1673" w:type="pct"/>
            <w:tcBorders>
              <w:top w:val="nil"/>
              <w:left w:val="nil"/>
              <w:bottom w:val="nil"/>
              <w:right w:val="nil"/>
            </w:tcBorders>
            <w:shd w:val="clear" w:color="auto" w:fill="FFFFFF"/>
            <w:tcMar>
              <w:top w:w="110" w:type="dxa"/>
            </w:tcMar>
          </w:tcPr>
          <w:p w:rsidR="00BD0327" w:rsidRDefault="00BD0327" w:rsidP="00BD0327">
            <w:pPr>
              <w:rPr>
                <w:rFonts w:eastAsia="SimSun" w:cs="Arial"/>
                <w:sz w:val="16"/>
                <w:szCs w:val="16"/>
                <w:lang w:eastAsia="zh-CN"/>
              </w:rPr>
            </w:pPr>
            <w:r>
              <w:rPr>
                <w:rFonts w:eastAsia="SimSun" w:cs="Arial"/>
                <w:sz w:val="16"/>
                <w:szCs w:val="16"/>
                <w:lang w:eastAsia="zh-CN"/>
              </w:rPr>
              <w:t>No new Contracting Parties in the ASEAN region in 2014. (WSO)</w:t>
            </w:r>
          </w:p>
        </w:tc>
        <w:tc>
          <w:tcPr>
            <w:tcW w:w="465" w:type="pct"/>
            <w:tcBorders>
              <w:top w:val="nil"/>
              <w:left w:val="nil"/>
              <w:bottom w:val="nil"/>
              <w:right w:val="single" w:sz="4" w:space="0" w:color="auto"/>
            </w:tcBorders>
            <w:shd w:val="clear" w:color="auto" w:fill="auto"/>
            <w:tcMar>
              <w:top w:w="110" w:type="dxa"/>
            </w:tcMar>
          </w:tcPr>
          <w:p w:rsidR="00BD0327" w:rsidRPr="004D5610" w:rsidRDefault="00BD0327" w:rsidP="00BD0327">
            <w:pPr>
              <w:keepNext/>
              <w:keepLines/>
              <w:jc w:val="center"/>
              <w:rPr>
                <w:rFonts w:eastAsia="SimSun" w:cs="Arial"/>
                <w:b/>
                <w:bCs/>
                <w:color w:val="00B050"/>
                <w:sz w:val="16"/>
                <w:szCs w:val="16"/>
                <w:lang w:eastAsia="zh-CN"/>
              </w:rPr>
            </w:pPr>
            <w:r w:rsidRPr="004D5610">
              <w:rPr>
                <w:rFonts w:eastAsia="SimSun" w:cs="Arial"/>
                <w:b/>
                <w:bCs/>
                <w:color w:val="FF0000"/>
                <w:sz w:val="16"/>
                <w:szCs w:val="16"/>
                <w:lang w:eastAsia="zh-CN"/>
              </w:rPr>
              <w:t xml:space="preserve">Not </w:t>
            </w:r>
            <w:r>
              <w:rPr>
                <w:rFonts w:eastAsia="SimSun" w:cs="Arial"/>
                <w:b/>
                <w:bCs/>
                <w:color w:val="FF0000"/>
                <w:sz w:val="16"/>
                <w:szCs w:val="16"/>
                <w:lang w:eastAsia="zh-CN"/>
              </w:rPr>
              <w:br/>
            </w:r>
            <w:r w:rsidRPr="004D5610">
              <w:rPr>
                <w:rFonts w:eastAsia="SimSun" w:cs="Arial"/>
                <w:b/>
                <w:bCs/>
                <w:color w:val="FF0000"/>
                <w:sz w:val="16"/>
                <w:szCs w:val="16"/>
                <w:lang w:eastAsia="zh-CN"/>
              </w:rPr>
              <w:t>on track</w:t>
            </w:r>
          </w:p>
        </w:tc>
      </w:tr>
      <w:tr w:rsidR="00BD0327" w:rsidRPr="00B35AFA" w:rsidTr="00BD0327">
        <w:tc>
          <w:tcPr>
            <w:tcW w:w="1080" w:type="pct"/>
            <w:tcBorders>
              <w:top w:val="nil"/>
              <w:left w:val="single" w:sz="4" w:space="0" w:color="auto"/>
              <w:bottom w:val="nil"/>
              <w:right w:val="nil"/>
            </w:tcBorders>
            <w:shd w:val="clear" w:color="auto" w:fill="auto"/>
          </w:tcPr>
          <w:p w:rsidR="00BD0327" w:rsidRPr="00B35AFA" w:rsidRDefault="00BD0327" w:rsidP="00BD0327">
            <w:pPr>
              <w:rPr>
                <w:rFonts w:eastAsia="SimSun" w:cs="Arial"/>
                <w:color w:val="000000"/>
                <w:sz w:val="16"/>
                <w:szCs w:val="16"/>
                <w:lang w:eastAsia="zh-CN"/>
              </w:rPr>
            </w:pPr>
            <w:r>
              <w:rPr>
                <w:rFonts w:eastAsia="SimSun" w:cs="Arial"/>
                <w:color w:val="000000"/>
                <w:sz w:val="16"/>
                <w:szCs w:val="16"/>
                <w:lang w:eastAsia="zh-CN"/>
              </w:rPr>
              <w:t>No</w:t>
            </w:r>
            <w:r w:rsidRPr="005D70E0">
              <w:rPr>
                <w:rFonts w:eastAsia="SimSun" w:cs="Arial"/>
                <w:color w:val="000000"/>
                <w:sz w:val="16"/>
                <w:szCs w:val="16"/>
                <w:lang w:eastAsia="zh-CN"/>
              </w:rPr>
              <w:t xml:space="preserve"> of new registrations (Madrid System)</w:t>
            </w:r>
          </w:p>
        </w:tc>
        <w:tc>
          <w:tcPr>
            <w:tcW w:w="864" w:type="pct"/>
            <w:gridSpan w:val="2"/>
            <w:tcBorders>
              <w:top w:val="nil"/>
              <w:left w:val="nil"/>
              <w:bottom w:val="nil"/>
              <w:right w:val="nil"/>
            </w:tcBorders>
            <w:shd w:val="clear" w:color="auto" w:fill="auto"/>
          </w:tcPr>
          <w:p w:rsidR="00BD0327" w:rsidRDefault="00BD0327" w:rsidP="00BD0327">
            <w:pPr>
              <w:spacing w:after="120"/>
              <w:rPr>
                <w:rFonts w:cs="Arial"/>
                <w:i/>
                <w:color w:val="002060"/>
                <w:sz w:val="16"/>
                <w:szCs w:val="16"/>
              </w:rPr>
            </w:pPr>
            <w:r>
              <w:rPr>
                <w:rFonts w:cs="Arial"/>
                <w:i/>
                <w:color w:val="002060"/>
                <w:sz w:val="16"/>
                <w:szCs w:val="16"/>
              </w:rPr>
              <w:t>Updated Baseline end 2013</w:t>
            </w:r>
            <w:r w:rsidRPr="00B35AFA">
              <w:rPr>
                <w:rFonts w:cs="Arial"/>
                <w:i/>
                <w:color w:val="002060"/>
                <w:sz w:val="16"/>
                <w:szCs w:val="16"/>
              </w:rPr>
              <w:t xml:space="preserve">:  </w:t>
            </w:r>
          </w:p>
          <w:p w:rsidR="00BD0327" w:rsidRPr="007B61AB" w:rsidRDefault="00BD0327" w:rsidP="00BD0327">
            <w:pPr>
              <w:rPr>
                <w:rFonts w:cs="Arial"/>
                <w:i/>
                <w:color w:val="002060"/>
                <w:sz w:val="16"/>
                <w:szCs w:val="16"/>
              </w:rPr>
            </w:pPr>
            <w:r w:rsidRPr="00E06ADF">
              <w:rPr>
                <w:rFonts w:cs="Arial"/>
                <w:i/>
                <w:color w:val="002060"/>
                <w:sz w:val="16"/>
                <w:szCs w:val="16"/>
              </w:rPr>
              <w:t xml:space="preserve">2012: </w:t>
            </w:r>
            <w:r w:rsidRPr="004D1065">
              <w:rPr>
                <w:rFonts w:cs="Arial"/>
                <w:color w:val="002060"/>
                <w:sz w:val="16"/>
                <w:szCs w:val="16"/>
              </w:rPr>
              <w:t>2,054</w:t>
            </w:r>
            <w:r w:rsidRPr="004D1065">
              <w:rPr>
                <w:rFonts w:cs="Arial"/>
                <w:i/>
                <w:color w:val="002060"/>
                <w:sz w:val="16"/>
                <w:szCs w:val="16"/>
              </w:rPr>
              <w:t xml:space="preserve">                 2013: </w:t>
            </w:r>
            <w:r w:rsidRPr="007B61AB">
              <w:rPr>
                <w:rFonts w:cs="Arial"/>
                <w:color w:val="002060"/>
                <w:sz w:val="16"/>
                <w:szCs w:val="16"/>
              </w:rPr>
              <w:t>1,845 (WJO)</w:t>
            </w:r>
          </w:p>
          <w:p w:rsidR="00BD0327" w:rsidRDefault="00BD0327" w:rsidP="00BD0327">
            <w:pPr>
              <w:rPr>
                <w:rFonts w:cs="Arial"/>
                <w:color w:val="002060"/>
                <w:sz w:val="16"/>
                <w:szCs w:val="16"/>
              </w:rPr>
            </w:pPr>
            <w:r w:rsidRPr="00F86FD0">
              <w:rPr>
                <w:rFonts w:cs="Arial"/>
                <w:color w:val="002060"/>
                <w:sz w:val="16"/>
                <w:szCs w:val="16"/>
              </w:rPr>
              <w:t xml:space="preserve">2012 = </w:t>
            </w:r>
            <w:r>
              <w:rPr>
                <w:rFonts w:cs="Arial"/>
                <w:color w:val="002060"/>
                <w:sz w:val="16"/>
                <w:szCs w:val="16"/>
              </w:rPr>
              <w:t>327</w:t>
            </w:r>
          </w:p>
          <w:p w:rsidR="00BD0327" w:rsidRDefault="00BD0327" w:rsidP="00BD0327">
            <w:pPr>
              <w:spacing w:after="120"/>
              <w:rPr>
                <w:rFonts w:cs="Arial"/>
                <w:sz w:val="16"/>
                <w:szCs w:val="16"/>
              </w:rPr>
            </w:pPr>
            <w:r w:rsidRPr="007816F7">
              <w:rPr>
                <w:rFonts w:cs="Arial"/>
                <w:color w:val="002060"/>
                <w:sz w:val="16"/>
                <w:szCs w:val="16"/>
              </w:rPr>
              <w:t xml:space="preserve">2013 = </w:t>
            </w:r>
            <w:r>
              <w:rPr>
                <w:rFonts w:cs="Arial"/>
                <w:color w:val="002060"/>
                <w:sz w:val="16"/>
                <w:szCs w:val="16"/>
              </w:rPr>
              <w:t xml:space="preserve">337 </w:t>
            </w:r>
            <w:r>
              <w:rPr>
                <w:rFonts w:cs="Arial"/>
                <w:i/>
                <w:sz w:val="16"/>
                <w:szCs w:val="16"/>
              </w:rPr>
              <w:t>14/15</w:t>
            </w:r>
            <w:r w:rsidRPr="00B35AFA">
              <w:rPr>
                <w:rFonts w:cs="Arial"/>
                <w:i/>
                <w:sz w:val="16"/>
                <w:szCs w:val="16"/>
              </w:rPr>
              <w:t>:</w:t>
            </w:r>
            <w:r w:rsidRPr="00B35AFA">
              <w:rPr>
                <w:rFonts w:cs="Arial"/>
                <w:sz w:val="16"/>
                <w:szCs w:val="16"/>
              </w:rPr>
              <w:t xml:space="preserve">  </w:t>
            </w:r>
          </w:p>
          <w:p w:rsidR="00BD0327" w:rsidRPr="004D1065" w:rsidRDefault="00BD0327" w:rsidP="00BD0327">
            <w:pPr>
              <w:spacing w:after="120"/>
              <w:rPr>
                <w:rFonts w:cs="Arial"/>
                <w:color w:val="002060"/>
                <w:sz w:val="16"/>
                <w:szCs w:val="16"/>
              </w:rPr>
            </w:pPr>
            <w:r w:rsidRPr="005D70E0">
              <w:rPr>
                <w:rFonts w:cs="Arial"/>
                <w:sz w:val="16"/>
                <w:szCs w:val="16"/>
              </w:rPr>
              <w:t xml:space="preserve">Madrid statistics for ASEAN, Japan </w:t>
            </w:r>
            <w:r w:rsidRPr="004D1065">
              <w:rPr>
                <w:rFonts w:cs="Arial"/>
                <w:color w:val="002060"/>
                <w:sz w:val="16"/>
                <w:szCs w:val="16"/>
              </w:rPr>
              <w:t>(WSO)</w:t>
            </w:r>
          </w:p>
          <w:p w:rsidR="00842879" w:rsidRDefault="00BD0327" w:rsidP="00BD0327">
            <w:pPr>
              <w:spacing w:after="120"/>
              <w:rPr>
                <w:rFonts w:cs="Arial"/>
                <w:sz w:val="16"/>
                <w:szCs w:val="16"/>
              </w:rPr>
            </w:pPr>
            <w:r>
              <w:rPr>
                <w:rFonts w:cs="Arial"/>
                <w:i/>
                <w:sz w:val="16"/>
                <w:szCs w:val="16"/>
              </w:rPr>
              <w:t>Original Baseline P&amp;B 20</w:t>
            </w:r>
            <w:r w:rsidR="008218F3">
              <w:rPr>
                <w:rFonts w:cs="Arial"/>
                <w:i/>
                <w:sz w:val="16"/>
                <w:szCs w:val="16"/>
              </w:rPr>
              <w:t>14/15:</w:t>
            </w:r>
            <w:r w:rsidRPr="005D70E0">
              <w:rPr>
                <w:rFonts w:cs="Arial"/>
                <w:sz w:val="16"/>
                <w:szCs w:val="16"/>
              </w:rPr>
              <w:t xml:space="preserve"> </w:t>
            </w:r>
          </w:p>
          <w:p w:rsidR="00842879" w:rsidRDefault="00842879" w:rsidP="00BD0327">
            <w:pPr>
              <w:spacing w:after="120"/>
              <w:rPr>
                <w:rFonts w:cs="Arial"/>
                <w:sz w:val="16"/>
                <w:szCs w:val="16"/>
              </w:rPr>
            </w:pPr>
            <w:r>
              <w:rPr>
                <w:rFonts w:cs="Arial"/>
                <w:sz w:val="16"/>
                <w:szCs w:val="16"/>
              </w:rPr>
              <w:t>Madrid statistics for ASEAN (WSO) 2012/13</w:t>
            </w:r>
          </w:p>
          <w:p w:rsidR="00BD0327" w:rsidRDefault="008218F3" w:rsidP="00BD0327">
            <w:pPr>
              <w:spacing w:after="120"/>
              <w:rPr>
                <w:rFonts w:cs="Arial"/>
                <w:sz w:val="16"/>
                <w:szCs w:val="16"/>
              </w:rPr>
            </w:pPr>
            <w:r>
              <w:rPr>
                <w:rFonts w:cs="Arial"/>
                <w:sz w:val="16"/>
                <w:szCs w:val="16"/>
              </w:rPr>
              <w:t xml:space="preserve">Madrid Statistics for ASEAN, Japan </w:t>
            </w:r>
            <w:r w:rsidR="00BD0327" w:rsidRPr="005D70E0">
              <w:rPr>
                <w:rFonts w:cs="Arial"/>
                <w:sz w:val="16"/>
                <w:szCs w:val="16"/>
              </w:rPr>
              <w:t>(WJO) 2012/13</w:t>
            </w:r>
          </w:p>
          <w:p w:rsidR="00BD0327" w:rsidRPr="00B35AFA" w:rsidRDefault="00BD0327" w:rsidP="00BD0327">
            <w:pPr>
              <w:spacing w:after="120"/>
              <w:rPr>
                <w:rFonts w:eastAsia="SimSun" w:cs="Arial"/>
                <w:color w:val="000000"/>
                <w:sz w:val="16"/>
                <w:szCs w:val="16"/>
                <w:lang w:eastAsia="zh-CN"/>
              </w:rPr>
            </w:pPr>
          </w:p>
        </w:tc>
        <w:tc>
          <w:tcPr>
            <w:tcW w:w="918" w:type="pct"/>
            <w:tcBorders>
              <w:top w:val="nil"/>
              <w:left w:val="nil"/>
              <w:bottom w:val="nil"/>
              <w:right w:val="nil"/>
            </w:tcBorders>
            <w:shd w:val="clear" w:color="auto" w:fill="auto"/>
            <w:tcMar>
              <w:top w:w="110" w:type="dxa"/>
            </w:tcMar>
          </w:tcPr>
          <w:p w:rsidR="00842879" w:rsidRDefault="00842879" w:rsidP="00BD0327">
            <w:pPr>
              <w:spacing w:after="120"/>
              <w:rPr>
                <w:rFonts w:eastAsia="SimSun" w:cs="Arial"/>
                <w:sz w:val="16"/>
                <w:szCs w:val="16"/>
                <w:lang w:eastAsia="zh-CN"/>
              </w:rPr>
            </w:pPr>
            <w:r>
              <w:rPr>
                <w:rFonts w:eastAsia="SimSun" w:cs="Arial"/>
                <w:sz w:val="16"/>
                <w:szCs w:val="16"/>
                <w:lang w:eastAsia="zh-CN"/>
              </w:rPr>
              <w:t>Increased filings by 5% (WSO)</w:t>
            </w:r>
          </w:p>
          <w:p w:rsidR="00BD0327" w:rsidRDefault="00BD0327" w:rsidP="00BD0327">
            <w:pPr>
              <w:spacing w:after="120"/>
              <w:rPr>
                <w:rFonts w:eastAsia="SimSun" w:cs="Arial"/>
                <w:sz w:val="16"/>
                <w:szCs w:val="16"/>
                <w:lang w:eastAsia="zh-CN"/>
              </w:rPr>
            </w:pPr>
            <w:r w:rsidRPr="005D70E0">
              <w:rPr>
                <w:rFonts w:eastAsia="SimSun" w:cs="Arial"/>
                <w:sz w:val="16"/>
                <w:szCs w:val="16"/>
                <w:lang w:eastAsia="zh-CN"/>
              </w:rPr>
              <w:t>Increased fillings (WJO)</w:t>
            </w:r>
          </w:p>
          <w:p w:rsidR="00BD0327" w:rsidRPr="00B35AFA" w:rsidRDefault="00BD0327" w:rsidP="00BD0327">
            <w:pPr>
              <w:rPr>
                <w:rFonts w:eastAsia="SimSun" w:cs="Arial"/>
                <w:sz w:val="16"/>
                <w:szCs w:val="16"/>
                <w:lang w:eastAsia="zh-CN"/>
              </w:rPr>
            </w:pPr>
          </w:p>
        </w:tc>
        <w:tc>
          <w:tcPr>
            <w:tcW w:w="1673" w:type="pct"/>
            <w:tcBorders>
              <w:top w:val="nil"/>
              <w:left w:val="nil"/>
              <w:bottom w:val="nil"/>
              <w:right w:val="nil"/>
            </w:tcBorders>
            <w:shd w:val="clear" w:color="auto" w:fill="FFFFFF"/>
            <w:tcMar>
              <w:top w:w="110" w:type="dxa"/>
            </w:tcMar>
          </w:tcPr>
          <w:p w:rsidR="00842879" w:rsidRDefault="00842879" w:rsidP="00842879">
            <w:pPr>
              <w:spacing w:after="120"/>
              <w:rPr>
                <w:rFonts w:eastAsia="SimSun" w:cs="Arial"/>
                <w:sz w:val="16"/>
                <w:szCs w:val="16"/>
                <w:lang w:eastAsia="zh-CN"/>
              </w:rPr>
            </w:pPr>
            <w:r>
              <w:rPr>
                <w:rFonts w:eastAsia="SimSun" w:cs="Arial"/>
                <w:sz w:val="16"/>
                <w:szCs w:val="16"/>
                <w:lang w:eastAsia="zh-CN"/>
              </w:rPr>
              <w:t>2014: 351 (4% increase from 2013)  (WSO)</w:t>
            </w:r>
          </w:p>
          <w:p w:rsidR="00BD0327" w:rsidRDefault="00BD0327" w:rsidP="00BD0327">
            <w:pPr>
              <w:spacing w:after="120"/>
              <w:rPr>
                <w:rFonts w:eastAsia="SimSun" w:cs="Arial"/>
                <w:sz w:val="16"/>
                <w:szCs w:val="16"/>
                <w:lang w:eastAsia="zh-CN"/>
              </w:rPr>
            </w:pPr>
            <w:r>
              <w:rPr>
                <w:rFonts w:eastAsia="SimSun" w:cs="Arial"/>
                <w:sz w:val="16"/>
                <w:szCs w:val="16"/>
                <w:lang w:eastAsia="zh-CN"/>
              </w:rPr>
              <w:t>2014: 2,033 (10% increase from 2013) (WJO)</w:t>
            </w:r>
          </w:p>
          <w:p w:rsidR="00BD0327" w:rsidRDefault="00BD0327" w:rsidP="00BD0327">
            <w:pPr>
              <w:rPr>
                <w:rFonts w:eastAsia="SimSun" w:cs="Arial"/>
                <w:sz w:val="16"/>
                <w:szCs w:val="16"/>
                <w:lang w:eastAsia="zh-CN"/>
              </w:rPr>
            </w:pPr>
          </w:p>
          <w:p w:rsidR="00BD0327" w:rsidRPr="00B35AFA" w:rsidRDefault="00BD0327" w:rsidP="00BD0327">
            <w:pPr>
              <w:rPr>
                <w:rFonts w:eastAsia="SimSun" w:cs="Arial"/>
                <w:sz w:val="16"/>
                <w:szCs w:val="16"/>
                <w:lang w:eastAsia="zh-CN"/>
              </w:rPr>
            </w:pPr>
          </w:p>
        </w:tc>
        <w:tc>
          <w:tcPr>
            <w:tcW w:w="465" w:type="pct"/>
            <w:tcBorders>
              <w:top w:val="nil"/>
              <w:left w:val="nil"/>
              <w:bottom w:val="nil"/>
              <w:right w:val="single" w:sz="4" w:space="0" w:color="auto"/>
            </w:tcBorders>
            <w:shd w:val="clear" w:color="auto" w:fill="auto"/>
            <w:tcMar>
              <w:top w:w="110" w:type="dxa"/>
            </w:tcMar>
          </w:tcPr>
          <w:p w:rsidR="00BD0327" w:rsidRPr="004D5610" w:rsidRDefault="00BD0327" w:rsidP="00BD0327">
            <w:pPr>
              <w:keepNext/>
              <w:keepLines/>
              <w:jc w:val="center"/>
              <w:rPr>
                <w:rFonts w:eastAsia="SimSun" w:cs="Arial"/>
                <w:b/>
                <w:bCs/>
                <w:color w:val="00B050"/>
                <w:sz w:val="16"/>
                <w:szCs w:val="16"/>
                <w:lang w:eastAsia="zh-CN"/>
              </w:rPr>
            </w:pPr>
            <w:r w:rsidRPr="004D5610">
              <w:rPr>
                <w:rFonts w:eastAsia="SimSun" w:cs="Arial"/>
                <w:b/>
                <w:bCs/>
                <w:color w:val="00B050"/>
                <w:sz w:val="16"/>
                <w:szCs w:val="16"/>
                <w:lang w:eastAsia="zh-CN"/>
              </w:rPr>
              <w:t>On track</w:t>
            </w:r>
          </w:p>
          <w:p w:rsidR="00BD0327" w:rsidRPr="004D5610" w:rsidRDefault="00BD0327" w:rsidP="00BD0327">
            <w:pPr>
              <w:keepNext/>
              <w:keepLines/>
              <w:jc w:val="center"/>
              <w:rPr>
                <w:rFonts w:eastAsia="SimSun" w:cs="Arial"/>
                <w:b/>
                <w:bCs/>
                <w:color w:val="00B050"/>
                <w:sz w:val="16"/>
                <w:szCs w:val="16"/>
                <w:lang w:eastAsia="zh-CN"/>
              </w:rPr>
            </w:pPr>
          </w:p>
          <w:p w:rsidR="00BD0327" w:rsidRPr="004D5610" w:rsidRDefault="00BD0327" w:rsidP="00BD0327">
            <w:pPr>
              <w:keepNext/>
              <w:keepLines/>
              <w:jc w:val="center"/>
              <w:rPr>
                <w:rFonts w:eastAsia="SimSun" w:cs="Arial"/>
                <w:b/>
                <w:bCs/>
                <w:color w:val="FF0000"/>
                <w:sz w:val="16"/>
                <w:szCs w:val="16"/>
                <w:lang w:eastAsia="zh-CN"/>
              </w:rPr>
            </w:pPr>
          </w:p>
          <w:p w:rsidR="00BD0327" w:rsidRPr="004D5610" w:rsidRDefault="00BD0327" w:rsidP="00BD0327">
            <w:pPr>
              <w:keepNext/>
              <w:keepLines/>
              <w:jc w:val="center"/>
              <w:rPr>
                <w:rFonts w:eastAsia="SimSun" w:cs="Arial"/>
                <w:b/>
                <w:bCs/>
                <w:color w:val="00B050"/>
                <w:sz w:val="16"/>
                <w:szCs w:val="16"/>
                <w:lang w:eastAsia="zh-CN"/>
              </w:rPr>
            </w:pPr>
            <w:r w:rsidRPr="004D5610">
              <w:rPr>
                <w:rFonts w:eastAsia="SimSun" w:cs="Arial"/>
                <w:b/>
                <w:bCs/>
                <w:color w:val="00B050"/>
                <w:sz w:val="16"/>
                <w:szCs w:val="16"/>
                <w:lang w:eastAsia="zh-CN"/>
              </w:rPr>
              <w:t>On track</w:t>
            </w:r>
          </w:p>
          <w:p w:rsidR="00BD0327" w:rsidRPr="004D5610" w:rsidRDefault="00BD0327" w:rsidP="00BD0327">
            <w:pPr>
              <w:keepNext/>
              <w:keepLines/>
              <w:jc w:val="center"/>
              <w:rPr>
                <w:rFonts w:eastAsia="SimSun" w:cs="Arial"/>
                <w:b/>
                <w:color w:val="808080"/>
                <w:sz w:val="16"/>
                <w:szCs w:val="16"/>
                <w:lang w:eastAsia="zh-CN"/>
              </w:rPr>
            </w:pPr>
          </w:p>
        </w:tc>
      </w:tr>
      <w:tr w:rsidR="00BD0327" w:rsidRPr="00B35AFA" w:rsidTr="00BD0327">
        <w:tc>
          <w:tcPr>
            <w:tcW w:w="1080" w:type="pct"/>
            <w:tcBorders>
              <w:top w:val="nil"/>
              <w:left w:val="single" w:sz="4" w:space="0" w:color="auto"/>
              <w:bottom w:val="single" w:sz="4" w:space="0" w:color="auto"/>
              <w:right w:val="nil"/>
            </w:tcBorders>
            <w:shd w:val="clear" w:color="auto" w:fill="auto"/>
          </w:tcPr>
          <w:p w:rsidR="00BD0327" w:rsidRPr="005D70E0" w:rsidRDefault="00BD0327" w:rsidP="00BD0327">
            <w:pPr>
              <w:rPr>
                <w:rFonts w:eastAsia="SimSun" w:cs="Arial"/>
                <w:color w:val="000000"/>
                <w:sz w:val="16"/>
                <w:szCs w:val="16"/>
                <w:lang w:eastAsia="zh-CN"/>
              </w:rPr>
            </w:pPr>
            <w:r w:rsidRPr="00005B71">
              <w:rPr>
                <w:rFonts w:eastAsia="SimSun" w:cs="Arial"/>
                <w:color w:val="000000"/>
                <w:sz w:val="16"/>
                <w:szCs w:val="16"/>
                <w:lang w:eastAsia="zh-CN"/>
              </w:rPr>
              <w:t>No. of renewals (Madrid System)</w:t>
            </w:r>
          </w:p>
        </w:tc>
        <w:tc>
          <w:tcPr>
            <w:tcW w:w="864" w:type="pct"/>
            <w:gridSpan w:val="2"/>
            <w:tcBorders>
              <w:top w:val="nil"/>
              <w:left w:val="nil"/>
              <w:bottom w:val="single" w:sz="4" w:space="0" w:color="auto"/>
              <w:right w:val="nil"/>
            </w:tcBorders>
            <w:shd w:val="clear" w:color="auto" w:fill="auto"/>
          </w:tcPr>
          <w:p w:rsidR="00BD0327" w:rsidRDefault="00BD0327" w:rsidP="00BD0327">
            <w:pPr>
              <w:rPr>
                <w:rFonts w:eastAsiaTheme="majorEastAsia" w:cs="Arial"/>
                <w:i/>
                <w:color w:val="002060"/>
                <w:sz w:val="16"/>
                <w:szCs w:val="16"/>
              </w:rPr>
            </w:pPr>
            <w:r>
              <w:rPr>
                <w:rFonts w:cs="Arial"/>
                <w:i/>
                <w:color w:val="002060"/>
                <w:sz w:val="16"/>
                <w:szCs w:val="16"/>
              </w:rPr>
              <w:t>Updated Baseline end 2013</w:t>
            </w:r>
            <w:r w:rsidRPr="00B35AFA">
              <w:rPr>
                <w:rFonts w:cs="Arial"/>
                <w:i/>
                <w:color w:val="002060"/>
                <w:sz w:val="16"/>
                <w:szCs w:val="16"/>
              </w:rPr>
              <w:t xml:space="preserve">:  </w:t>
            </w:r>
          </w:p>
          <w:p w:rsidR="00BD0327" w:rsidRDefault="00BD0327" w:rsidP="00BD0327">
            <w:pPr>
              <w:rPr>
                <w:rFonts w:cs="Arial"/>
                <w:color w:val="002060"/>
                <w:sz w:val="16"/>
                <w:szCs w:val="16"/>
              </w:rPr>
            </w:pPr>
            <w:r>
              <w:rPr>
                <w:rFonts w:cs="Arial"/>
                <w:color w:val="002060"/>
                <w:sz w:val="16"/>
                <w:szCs w:val="16"/>
              </w:rPr>
              <w:t>2012: 187</w:t>
            </w:r>
          </w:p>
          <w:p w:rsidR="00BD0327" w:rsidRPr="00D812F3" w:rsidRDefault="00BD0327" w:rsidP="00BD0327">
            <w:pPr>
              <w:rPr>
                <w:rFonts w:cs="Arial"/>
                <w:color w:val="002060"/>
                <w:sz w:val="16"/>
                <w:szCs w:val="16"/>
              </w:rPr>
            </w:pPr>
            <w:r>
              <w:rPr>
                <w:rFonts w:cs="Arial"/>
                <w:color w:val="002060"/>
                <w:sz w:val="16"/>
                <w:szCs w:val="16"/>
              </w:rPr>
              <w:t>2013: 311</w:t>
            </w:r>
            <w:r w:rsidRPr="00D812F3">
              <w:rPr>
                <w:rFonts w:cs="Arial"/>
                <w:color w:val="002060"/>
                <w:sz w:val="16"/>
                <w:szCs w:val="16"/>
              </w:rPr>
              <w:t xml:space="preserve"> (WJO)</w:t>
            </w:r>
          </w:p>
          <w:p w:rsidR="00BD0327" w:rsidRDefault="00BD0327" w:rsidP="00BD0327">
            <w:pPr>
              <w:rPr>
                <w:rFonts w:cs="Arial"/>
                <w:color w:val="002060"/>
                <w:sz w:val="16"/>
                <w:szCs w:val="16"/>
              </w:rPr>
            </w:pPr>
            <w:r>
              <w:rPr>
                <w:rFonts w:cs="Arial"/>
                <w:color w:val="002060"/>
                <w:sz w:val="16"/>
                <w:szCs w:val="16"/>
              </w:rPr>
              <w:t>2012: 51</w:t>
            </w:r>
          </w:p>
          <w:p w:rsidR="00BD0327" w:rsidRPr="004D1065" w:rsidRDefault="00BD0327" w:rsidP="00BD0327">
            <w:pPr>
              <w:rPr>
                <w:rFonts w:cs="Arial"/>
                <w:color w:val="002060"/>
                <w:sz w:val="16"/>
                <w:szCs w:val="16"/>
              </w:rPr>
            </w:pPr>
            <w:r>
              <w:rPr>
                <w:rFonts w:cs="Arial"/>
                <w:color w:val="002060"/>
                <w:sz w:val="16"/>
                <w:szCs w:val="16"/>
              </w:rPr>
              <w:t xml:space="preserve">2013: 62 </w:t>
            </w:r>
            <w:r w:rsidRPr="004D1065">
              <w:rPr>
                <w:rFonts w:cs="Arial"/>
                <w:color w:val="002060"/>
                <w:sz w:val="16"/>
                <w:szCs w:val="16"/>
              </w:rPr>
              <w:t>(WSO)</w:t>
            </w:r>
          </w:p>
          <w:p w:rsidR="00BD0327" w:rsidRDefault="00BD0327" w:rsidP="00BD0327">
            <w:pPr>
              <w:rPr>
                <w:rFonts w:eastAsiaTheme="majorEastAsia" w:cs="Arial"/>
                <w:i/>
                <w:color w:val="404040" w:themeColor="text1" w:themeTint="BF"/>
                <w:sz w:val="16"/>
                <w:szCs w:val="16"/>
              </w:rPr>
            </w:pPr>
            <w:r>
              <w:rPr>
                <w:rFonts w:cs="Arial"/>
                <w:i/>
                <w:sz w:val="16"/>
                <w:szCs w:val="16"/>
              </w:rPr>
              <w:t xml:space="preserve">Original Baseline P&amp;B 2014/15: </w:t>
            </w:r>
          </w:p>
          <w:p w:rsidR="00BD0327" w:rsidRDefault="00BD0327" w:rsidP="00BD0327">
            <w:pPr>
              <w:rPr>
                <w:rFonts w:cs="Arial"/>
                <w:sz w:val="16"/>
                <w:szCs w:val="16"/>
              </w:rPr>
            </w:pPr>
            <w:r w:rsidRPr="00005B71">
              <w:rPr>
                <w:rFonts w:cs="Arial"/>
                <w:sz w:val="16"/>
                <w:szCs w:val="16"/>
              </w:rPr>
              <w:t>Madrid statistics for ASEAN (WSO)</w:t>
            </w:r>
          </w:p>
          <w:p w:rsidR="00BD0327" w:rsidRPr="00005B71" w:rsidRDefault="00BD0327" w:rsidP="00BD0327">
            <w:pPr>
              <w:rPr>
                <w:rFonts w:cs="Arial"/>
                <w:color w:val="002060"/>
                <w:sz w:val="16"/>
                <w:szCs w:val="16"/>
              </w:rPr>
            </w:pPr>
            <w:r w:rsidRPr="005D70E0">
              <w:rPr>
                <w:rFonts w:eastAsia="SimSun" w:cs="Arial"/>
                <w:color w:val="000000"/>
                <w:sz w:val="16"/>
                <w:szCs w:val="16"/>
                <w:lang w:eastAsia="zh-CN"/>
              </w:rPr>
              <w:t>Madrid statistics for ASEAN, Japan (WJO)</w:t>
            </w:r>
          </w:p>
        </w:tc>
        <w:tc>
          <w:tcPr>
            <w:tcW w:w="918" w:type="pct"/>
            <w:tcBorders>
              <w:top w:val="nil"/>
              <w:left w:val="nil"/>
              <w:bottom w:val="single" w:sz="4" w:space="0" w:color="auto"/>
              <w:right w:val="nil"/>
            </w:tcBorders>
            <w:shd w:val="clear" w:color="auto" w:fill="auto"/>
            <w:tcMar>
              <w:top w:w="110" w:type="dxa"/>
            </w:tcMar>
          </w:tcPr>
          <w:p w:rsidR="00BD0327" w:rsidRDefault="00BD0327" w:rsidP="00BD0327">
            <w:pPr>
              <w:rPr>
                <w:rFonts w:eastAsia="SimSun" w:cs="Arial"/>
                <w:sz w:val="16"/>
                <w:szCs w:val="16"/>
                <w:lang w:eastAsia="zh-CN"/>
              </w:rPr>
            </w:pPr>
            <w:proofErr w:type="spellStart"/>
            <w:r w:rsidRPr="005D70E0">
              <w:rPr>
                <w:rFonts w:eastAsia="SimSun" w:cs="Arial"/>
                <w:sz w:val="16"/>
                <w:szCs w:val="16"/>
                <w:lang w:eastAsia="zh-CN"/>
              </w:rPr>
              <w:t>tbd</w:t>
            </w:r>
            <w:proofErr w:type="spellEnd"/>
            <w:r w:rsidRPr="005D70E0">
              <w:rPr>
                <w:rFonts w:eastAsia="SimSun" w:cs="Arial"/>
                <w:sz w:val="16"/>
                <w:szCs w:val="16"/>
                <w:lang w:eastAsia="zh-CN"/>
              </w:rPr>
              <w:t xml:space="preserve"> (WJO)</w:t>
            </w:r>
          </w:p>
          <w:p w:rsidR="00BD0327" w:rsidRDefault="00BD0327" w:rsidP="00BD0327">
            <w:pPr>
              <w:rPr>
                <w:rFonts w:eastAsia="SimSun" w:cs="Arial"/>
                <w:sz w:val="16"/>
                <w:szCs w:val="16"/>
                <w:lang w:eastAsia="zh-CN"/>
              </w:rPr>
            </w:pPr>
            <w:proofErr w:type="spellStart"/>
            <w:r w:rsidRPr="00005B71">
              <w:rPr>
                <w:rFonts w:eastAsia="SimSun" w:cs="Arial"/>
                <w:sz w:val="16"/>
                <w:szCs w:val="16"/>
                <w:lang w:eastAsia="zh-CN"/>
              </w:rPr>
              <w:t>tbd</w:t>
            </w:r>
            <w:proofErr w:type="spellEnd"/>
            <w:r w:rsidRPr="00005B71">
              <w:rPr>
                <w:rFonts w:eastAsia="SimSun" w:cs="Arial"/>
                <w:sz w:val="16"/>
                <w:szCs w:val="16"/>
                <w:lang w:eastAsia="zh-CN"/>
              </w:rPr>
              <w:t xml:space="preserve"> (WSO)</w:t>
            </w:r>
          </w:p>
          <w:p w:rsidR="00BD0327" w:rsidRPr="005D70E0" w:rsidRDefault="00BD0327" w:rsidP="00BD0327">
            <w:pPr>
              <w:rPr>
                <w:rFonts w:eastAsia="SimSun" w:cs="Arial"/>
                <w:sz w:val="16"/>
                <w:szCs w:val="16"/>
                <w:lang w:eastAsia="zh-CN"/>
              </w:rPr>
            </w:pPr>
          </w:p>
        </w:tc>
        <w:tc>
          <w:tcPr>
            <w:tcW w:w="1673" w:type="pct"/>
            <w:tcBorders>
              <w:top w:val="nil"/>
              <w:left w:val="nil"/>
              <w:bottom w:val="single" w:sz="4" w:space="0" w:color="auto"/>
              <w:right w:val="nil"/>
            </w:tcBorders>
            <w:shd w:val="clear" w:color="auto" w:fill="FFFFFF"/>
            <w:tcMar>
              <w:top w:w="110" w:type="dxa"/>
            </w:tcMar>
          </w:tcPr>
          <w:p w:rsidR="00BD0327" w:rsidRDefault="00BD0327" w:rsidP="00BD0327">
            <w:pPr>
              <w:rPr>
                <w:rFonts w:eastAsia="SimSun" w:cs="Arial"/>
                <w:sz w:val="16"/>
                <w:szCs w:val="16"/>
                <w:lang w:eastAsia="zh-CN"/>
              </w:rPr>
            </w:pPr>
            <w:r>
              <w:rPr>
                <w:rFonts w:eastAsia="SimSun" w:cs="Arial"/>
                <w:sz w:val="16"/>
                <w:szCs w:val="16"/>
                <w:lang w:eastAsia="zh-CN"/>
              </w:rPr>
              <w:t>Renewals in 2014:</w:t>
            </w:r>
          </w:p>
          <w:p w:rsidR="00BD0327" w:rsidRDefault="00BD0327" w:rsidP="00BD0327">
            <w:pPr>
              <w:pStyle w:val="ListParagraph"/>
              <w:numPr>
                <w:ilvl w:val="0"/>
                <w:numId w:val="88"/>
              </w:numPr>
              <w:contextualSpacing/>
              <w:rPr>
                <w:rFonts w:eastAsia="SimSun" w:cs="Arial"/>
                <w:sz w:val="16"/>
                <w:szCs w:val="16"/>
                <w:lang w:eastAsia="zh-CN"/>
              </w:rPr>
            </w:pPr>
            <w:r w:rsidRPr="00B97F30">
              <w:rPr>
                <w:rFonts w:eastAsia="SimSun" w:cs="Arial"/>
                <w:sz w:val="16"/>
                <w:szCs w:val="16"/>
                <w:lang w:eastAsia="zh-CN"/>
              </w:rPr>
              <w:t>462 (48.6% increase from 2013) (WJO)</w:t>
            </w:r>
          </w:p>
          <w:p w:rsidR="00BD0327" w:rsidRPr="00504E61" w:rsidRDefault="00BD0327" w:rsidP="00BD0327">
            <w:pPr>
              <w:pStyle w:val="ListParagraph"/>
              <w:numPr>
                <w:ilvl w:val="0"/>
                <w:numId w:val="88"/>
              </w:numPr>
              <w:contextualSpacing/>
              <w:rPr>
                <w:rFonts w:eastAsia="SimSun" w:cs="Arial"/>
                <w:sz w:val="16"/>
                <w:szCs w:val="16"/>
                <w:lang w:eastAsia="zh-CN"/>
              </w:rPr>
            </w:pPr>
            <w:r w:rsidRPr="00B97F30">
              <w:rPr>
                <w:rFonts w:eastAsia="SimSun" w:cs="Arial"/>
                <w:sz w:val="16"/>
                <w:szCs w:val="16"/>
                <w:lang w:eastAsia="zh-CN"/>
              </w:rPr>
              <w:t>56 (9.7% decrease from 2013) (WSO)</w:t>
            </w:r>
          </w:p>
          <w:p w:rsidR="00BD0327" w:rsidRPr="00B35AFA" w:rsidRDefault="00BD0327" w:rsidP="00BD0327">
            <w:pPr>
              <w:rPr>
                <w:rFonts w:eastAsia="SimSun" w:cs="Arial"/>
                <w:sz w:val="16"/>
                <w:szCs w:val="16"/>
                <w:lang w:eastAsia="zh-CN"/>
              </w:rPr>
            </w:pPr>
          </w:p>
        </w:tc>
        <w:tc>
          <w:tcPr>
            <w:tcW w:w="465" w:type="pct"/>
            <w:tcBorders>
              <w:top w:val="nil"/>
              <w:left w:val="nil"/>
              <w:bottom w:val="single" w:sz="4" w:space="0" w:color="auto"/>
              <w:right w:val="single" w:sz="4" w:space="0" w:color="auto"/>
            </w:tcBorders>
            <w:shd w:val="clear" w:color="auto" w:fill="auto"/>
            <w:tcMar>
              <w:top w:w="110" w:type="dxa"/>
            </w:tcMar>
          </w:tcPr>
          <w:p w:rsidR="00BD0327" w:rsidRPr="004D5610" w:rsidRDefault="00BD0327" w:rsidP="00BD0327">
            <w:pPr>
              <w:keepNext/>
              <w:keepLines/>
              <w:jc w:val="center"/>
              <w:rPr>
                <w:rFonts w:eastAsia="SimSun" w:cs="Arial"/>
                <w:b/>
                <w:bCs/>
                <w:color w:val="808080" w:themeColor="background1" w:themeShade="80"/>
                <w:sz w:val="12"/>
                <w:szCs w:val="16"/>
                <w:lang w:eastAsia="zh-CN"/>
              </w:rPr>
            </w:pPr>
            <w:r w:rsidRPr="004D5610">
              <w:rPr>
                <w:rFonts w:eastAsia="SimSun" w:cs="Arial"/>
                <w:b/>
                <w:bCs/>
                <w:color w:val="808080" w:themeColor="background1" w:themeShade="80"/>
                <w:sz w:val="12"/>
                <w:szCs w:val="16"/>
                <w:lang w:eastAsia="zh-CN"/>
              </w:rPr>
              <w:t>Not Assessable</w:t>
            </w:r>
          </w:p>
          <w:p w:rsidR="00BD0327" w:rsidRPr="004D5610" w:rsidRDefault="00BD0327" w:rsidP="00BD0327">
            <w:pPr>
              <w:keepNext/>
              <w:keepLines/>
              <w:jc w:val="center"/>
              <w:rPr>
                <w:rFonts w:eastAsia="SimSun" w:cs="Arial"/>
                <w:b/>
                <w:bCs/>
                <w:color w:val="808080" w:themeColor="background1" w:themeShade="80"/>
                <w:sz w:val="16"/>
                <w:szCs w:val="16"/>
                <w:lang w:eastAsia="zh-CN"/>
              </w:rPr>
            </w:pPr>
          </w:p>
          <w:p w:rsidR="00BD0327" w:rsidRPr="004D5610" w:rsidRDefault="00BD0327" w:rsidP="00BD0327">
            <w:pPr>
              <w:keepNext/>
              <w:keepLines/>
              <w:jc w:val="center"/>
              <w:rPr>
                <w:rFonts w:eastAsia="SimSun" w:cs="Arial"/>
                <w:b/>
                <w:bCs/>
                <w:color w:val="808080"/>
                <w:sz w:val="16"/>
                <w:szCs w:val="16"/>
                <w:lang w:eastAsia="zh-CN"/>
              </w:rPr>
            </w:pPr>
            <w:r w:rsidRPr="004D5610">
              <w:rPr>
                <w:rFonts w:eastAsia="SimSun" w:cs="Arial"/>
                <w:b/>
                <w:bCs/>
                <w:color w:val="808080" w:themeColor="background1" w:themeShade="80"/>
                <w:sz w:val="12"/>
                <w:szCs w:val="16"/>
                <w:lang w:eastAsia="zh-CN"/>
              </w:rPr>
              <w:t>Not Assessable</w:t>
            </w:r>
          </w:p>
        </w:tc>
      </w:tr>
      <w:tr w:rsidR="00BD0327" w:rsidRPr="00B35AFA" w:rsidTr="00BD0327">
        <w:tc>
          <w:tcPr>
            <w:tcW w:w="5000" w:type="pct"/>
            <w:gridSpan w:val="6"/>
            <w:tcBorders>
              <w:top w:val="single" w:sz="4" w:space="0" w:color="auto"/>
              <w:bottom w:val="single" w:sz="4" w:space="0" w:color="auto"/>
            </w:tcBorders>
            <w:shd w:val="clear" w:color="auto" w:fill="CCFFFF"/>
          </w:tcPr>
          <w:p w:rsidR="00BD0327" w:rsidRPr="004D5610" w:rsidRDefault="00BD0327" w:rsidP="00BD0327">
            <w:pPr>
              <w:keepNext/>
              <w:keepLines/>
              <w:tabs>
                <w:tab w:val="left" w:pos="1452"/>
              </w:tabs>
              <w:spacing w:before="120" w:after="120"/>
              <w:ind w:left="1452" w:hanging="1452"/>
              <w:rPr>
                <w:rFonts w:eastAsia="SimSun" w:cs="Arial"/>
                <w:b/>
                <w:bCs/>
                <w:color w:val="808080"/>
                <w:sz w:val="16"/>
                <w:szCs w:val="16"/>
                <w:lang w:eastAsia="zh-CN"/>
              </w:rPr>
            </w:pPr>
            <w:r w:rsidRPr="004D5610">
              <w:rPr>
                <w:rFonts w:eastAsia="SimSun" w:cs="Arial"/>
                <w:b/>
                <w:bCs/>
                <w:sz w:val="16"/>
                <w:szCs w:val="16"/>
                <w:lang w:eastAsia="zh-CN"/>
              </w:rPr>
              <w:t>Expected Result:</w:t>
            </w:r>
            <w:r w:rsidRPr="004D5610">
              <w:rPr>
                <w:rFonts w:eastAsia="SimSun" w:cs="Arial"/>
                <w:b/>
                <w:bCs/>
                <w:sz w:val="16"/>
                <w:szCs w:val="16"/>
                <w:lang w:eastAsia="zh-CN"/>
              </w:rPr>
              <w:tab/>
              <w:t>II.8 International and domestic intellectual property disputes are increasingly prevented or resolved through WIPO mediation, arbitration and other alternative dispute resolution methods</w:t>
            </w:r>
          </w:p>
        </w:tc>
      </w:tr>
      <w:tr w:rsidR="00BD0327" w:rsidRPr="00B35AFA" w:rsidTr="00BD0327">
        <w:tc>
          <w:tcPr>
            <w:tcW w:w="1080" w:type="pct"/>
            <w:tcBorders>
              <w:top w:val="single" w:sz="4" w:space="0" w:color="auto"/>
              <w:left w:val="single" w:sz="4" w:space="0" w:color="auto"/>
              <w:bottom w:val="nil"/>
              <w:right w:val="nil"/>
            </w:tcBorders>
            <w:shd w:val="clear" w:color="auto" w:fill="auto"/>
          </w:tcPr>
          <w:p w:rsidR="00BD0327" w:rsidRPr="00005B71" w:rsidRDefault="00BD0327" w:rsidP="00BD0327">
            <w:pPr>
              <w:rPr>
                <w:rFonts w:eastAsia="SimSun" w:cs="Arial"/>
                <w:color w:val="000000"/>
                <w:sz w:val="16"/>
                <w:szCs w:val="16"/>
                <w:lang w:eastAsia="zh-CN"/>
              </w:rPr>
            </w:pPr>
            <w:r w:rsidRPr="00B35AFA">
              <w:rPr>
                <w:rFonts w:eastAsia="SimSun" w:cs="Arial"/>
                <w:b/>
                <w:bCs/>
                <w:sz w:val="16"/>
                <w:szCs w:val="16"/>
                <w:lang w:eastAsia="zh-CN"/>
              </w:rPr>
              <w:t>Performance Indicators</w:t>
            </w:r>
          </w:p>
        </w:tc>
        <w:tc>
          <w:tcPr>
            <w:tcW w:w="816" w:type="pct"/>
            <w:tcBorders>
              <w:top w:val="single" w:sz="4" w:space="0" w:color="auto"/>
              <w:left w:val="nil"/>
              <w:bottom w:val="nil"/>
              <w:right w:val="nil"/>
            </w:tcBorders>
            <w:shd w:val="clear" w:color="auto" w:fill="auto"/>
          </w:tcPr>
          <w:p w:rsidR="00BD0327" w:rsidRPr="00005B71" w:rsidRDefault="00BD0327" w:rsidP="00BD0327">
            <w:pPr>
              <w:rPr>
                <w:rFonts w:cs="Arial"/>
                <w:color w:val="002060"/>
                <w:sz w:val="16"/>
                <w:szCs w:val="16"/>
              </w:rPr>
            </w:pPr>
            <w:r w:rsidRPr="00B35AFA">
              <w:rPr>
                <w:rFonts w:cs="Arial"/>
                <w:b/>
                <w:bCs/>
                <w:sz w:val="16"/>
                <w:szCs w:val="16"/>
              </w:rPr>
              <w:t>Baselines</w:t>
            </w:r>
          </w:p>
        </w:tc>
        <w:tc>
          <w:tcPr>
            <w:tcW w:w="966" w:type="pct"/>
            <w:gridSpan w:val="2"/>
            <w:tcBorders>
              <w:top w:val="single" w:sz="4" w:space="0" w:color="auto"/>
              <w:left w:val="nil"/>
              <w:bottom w:val="nil"/>
              <w:right w:val="nil"/>
            </w:tcBorders>
            <w:shd w:val="clear" w:color="auto" w:fill="auto"/>
            <w:tcMar>
              <w:top w:w="110" w:type="dxa"/>
            </w:tcMar>
          </w:tcPr>
          <w:p w:rsidR="00BD0327" w:rsidRPr="00005B71" w:rsidRDefault="00BD0327" w:rsidP="00BD0327">
            <w:pPr>
              <w:rPr>
                <w:rFonts w:eastAsia="SimSun" w:cs="Arial"/>
                <w:sz w:val="16"/>
                <w:szCs w:val="16"/>
                <w:lang w:eastAsia="zh-CN"/>
              </w:rPr>
            </w:pPr>
            <w:r w:rsidRPr="00B35AFA">
              <w:rPr>
                <w:rFonts w:cs="Arial"/>
                <w:b/>
                <w:sz w:val="16"/>
                <w:szCs w:val="16"/>
              </w:rPr>
              <w:t>Targets</w:t>
            </w:r>
          </w:p>
        </w:tc>
        <w:tc>
          <w:tcPr>
            <w:tcW w:w="1673" w:type="pct"/>
            <w:tcBorders>
              <w:top w:val="single" w:sz="4" w:space="0" w:color="auto"/>
              <w:left w:val="nil"/>
              <w:bottom w:val="nil"/>
              <w:right w:val="nil"/>
            </w:tcBorders>
            <w:shd w:val="clear" w:color="auto" w:fill="FFFFFF"/>
            <w:tcMar>
              <w:top w:w="110" w:type="dxa"/>
            </w:tcMar>
          </w:tcPr>
          <w:p w:rsidR="00BD0327" w:rsidRPr="00B35AFA" w:rsidRDefault="00BD0327" w:rsidP="00BD0327">
            <w:pPr>
              <w:rPr>
                <w:rFonts w:eastAsia="SimSun" w:cs="Arial"/>
                <w:sz w:val="16"/>
                <w:szCs w:val="16"/>
                <w:lang w:eastAsia="zh-CN"/>
              </w:rPr>
            </w:pPr>
            <w:r w:rsidRPr="00B35AFA">
              <w:rPr>
                <w:rFonts w:eastAsia="SimSun" w:cs="Arial"/>
                <w:b/>
                <w:bCs/>
                <w:sz w:val="16"/>
                <w:szCs w:val="16"/>
                <w:lang w:eastAsia="zh-CN"/>
              </w:rPr>
              <w:t>Performance Data</w:t>
            </w:r>
          </w:p>
        </w:tc>
        <w:tc>
          <w:tcPr>
            <w:tcW w:w="465" w:type="pct"/>
            <w:tcBorders>
              <w:top w:val="single" w:sz="4" w:space="0" w:color="auto"/>
              <w:left w:val="nil"/>
              <w:bottom w:val="nil"/>
              <w:right w:val="single" w:sz="4" w:space="0" w:color="auto"/>
            </w:tcBorders>
            <w:shd w:val="clear" w:color="auto" w:fill="auto"/>
            <w:tcMar>
              <w:top w:w="110" w:type="dxa"/>
            </w:tcMar>
          </w:tcPr>
          <w:p w:rsidR="00BD0327" w:rsidRPr="004D5610" w:rsidRDefault="00BD0327" w:rsidP="00BD0327">
            <w:pPr>
              <w:keepNext/>
              <w:keepLines/>
              <w:jc w:val="center"/>
              <w:rPr>
                <w:rFonts w:eastAsia="SimSun" w:cs="Arial"/>
                <w:b/>
                <w:bCs/>
                <w:color w:val="808080"/>
                <w:sz w:val="16"/>
                <w:szCs w:val="16"/>
                <w:lang w:eastAsia="zh-CN"/>
              </w:rPr>
            </w:pPr>
            <w:r w:rsidRPr="004D5610">
              <w:rPr>
                <w:rFonts w:eastAsia="SimSun" w:cs="Arial"/>
                <w:b/>
                <w:bCs/>
                <w:sz w:val="16"/>
                <w:szCs w:val="16"/>
                <w:lang w:eastAsia="zh-CN"/>
              </w:rPr>
              <w:t>TLS</w:t>
            </w:r>
          </w:p>
        </w:tc>
      </w:tr>
      <w:tr w:rsidR="00BD0327" w:rsidRPr="00B35AFA" w:rsidTr="00330226">
        <w:tc>
          <w:tcPr>
            <w:tcW w:w="1080" w:type="pct"/>
            <w:tcBorders>
              <w:top w:val="nil"/>
              <w:left w:val="single" w:sz="4" w:space="0" w:color="auto"/>
              <w:bottom w:val="single" w:sz="4" w:space="0" w:color="auto"/>
              <w:right w:val="nil"/>
            </w:tcBorders>
            <w:shd w:val="clear" w:color="auto" w:fill="auto"/>
          </w:tcPr>
          <w:p w:rsidR="00BD0327" w:rsidRPr="00005B71" w:rsidRDefault="00BD0327" w:rsidP="00BD0327">
            <w:pPr>
              <w:rPr>
                <w:rFonts w:eastAsia="SimSun" w:cs="Arial"/>
                <w:color w:val="000000"/>
                <w:sz w:val="16"/>
                <w:szCs w:val="16"/>
                <w:lang w:eastAsia="zh-CN"/>
              </w:rPr>
            </w:pPr>
            <w:r w:rsidRPr="00005B71">
              <w:rPr>
                <w:rFonts w:eastAsia="SimSun" w:cs="Arial"/>
                <w:color w:val="000000"/>
                <w:sz w:val="16"/>
                <w:szCs w:val="16"/>
                <w:lang w:eastAsia="zh-CN"/>
              </w:rPr>
              <w:t>Increased consideration of the use of alternative dispute resolution services in intellectual property transactions, including through the use of WIPO procedures</w:t>
            </w:r>
          </w:p>
        </w:tc>
        <w:tc>
          <w:tcPr>
            <w:tcW w:w="816" w:type="pct"/>
            <w:tcBorders>
              <w:top w:val="nil"/>
              <w:left w:val="nil"/>
              <w:bottom w:val="single" w:sz="4" w:space="0" w:color="auto"/>
              <w:right w:val="nil"/>
            </w:tcBorders>
            <w:shd w:val="clear" w:color="auto" w:fill="auto"/>
          </w:tcPr>
          <w:p w:rsidR="00BD0327" w:rsidDel="00862781" w:rsidRDefault="00BD0327" w:rsidP="00BD0327">
            <w:pPr>
              <w:rPr>
                <w:rFonts w:cs="Arial"/>
                <w:i/>
                <w:color w:val="002060"/>
                <w:sz w:val="16"/>
                <w:szCs w:val="16"/>
              </w:rPr>
            </w:pPr>
            <w:r w:rsidRPr="00005B71">
              <w:rPr>
                <w:rFonts w:cs="Arial"/>
                <w:sz w:val="16"/>
                <w:szCs w:val="16"/>
              </w:rPr>
              <w:t>n/a (WBO)</w:t>
            </w:r>
          </w:p>
        </w:tc>
        <w:tc>
          <w:tcPr>
            <w:tcW w:w="966" w:type="pct"/>
            <w:gridSpan w:val="2"/>
            <w:tcBorders>
              <w:top w:val="nil"/>
              <w:left w:val="nil"/>
              <w:bottom w:val="single" w:sz="4" w:space="0" w:color="auto"/>
              <w:right w:val="nil"/>
            </w:tcBorders>
            <w:shd w:val="clear" w:color="auto" w:fill="auto"/>
            <w:tcMar>
              <w:top w:w="110" w:type="dxa"/>
            </w:tcMar>
          </w:tcPr>
          <w:p w:rsidR="00BD0327" w:rsidRPr="00005B71" w:rsidRDefault="00BD0327" w:rsidP="00BD0327">
            <w:pPr>
              <w:rPr>
                <w:rFonts w:eastAsia="SimSun" w:cs="Arial"/>
                <w:sz w:val="16"/>
                <w:szCs w:val="16"/>
                <w:lang w:eastAsia="zh-CN"/>
              </w:rPr>
            </w:pPr>
            <w:r w:rsidRPr="00005B71">
              <w:rPr>
                <w:rFonts w:eastAsia="SimSun" w:cs="Arial"/>
                <w:sz w:val="16"/>
                <w:szCs w:val="16"/>
                <w:lang w:eastAsia="zh-CN"/>
              </w:rPr>
              <w:t>30 disputes presented by Brazilian users at INPI and 4 disputes non-residents</w:t>
            </w:r>
            <w:r>
              <w:rPr>
                <w:rFonts w:eastAsia="SimSun" w:cs="Arial"/>
                <w:sz w:val="16"/>
                <w:szCs w:val="16"/>
                <w:lang w:eastAsia="zh-CN"/>
              </w:rPr>
              <w:t xml:space="preserve"> </w:t>
            </w:r>
            <w:r w:rsidRPr="00005B71">
              <w:rPr>
                <w:rFonts w:eastAsia="SimSun" w:cs="Arial"/>
                <w:sz w:val="16"/>
                <w:szCs w:val="16"/>
                <w:lang w:eastAsia="zh-CN"/>
              </w:rPr>
              <w:t>presented at WBO to be processed by WIPO MAC (WBO)</w:t>
            </w:r>
          </w:p>
        </w:tc>
        <w:tc>
          <w:tcPr>
            <w:tcW w:w="1673" w:type="pct"/>
            <w:tcBorders>
              <w:top w:val="nil"/>
              <w:left w:val="nil"/>
              <w:bottom w:val="single" w:sz="4" w:space="0" w:color="auto"/>
              <w:right w:val="nil"/>
            </w:tcBorders>
            <w:shd w:val="clear" w:color="auto" w:fill="FFFFFF"/>
            <w:tcMar>
              <w:top w:w="110" w:type="dxa"/>
            </w:tcMar>
          </w:tcPr>
          <w:p w:rsidR="00BD0327" w:rsidDel="00844714" w:rsidRDefault="00BD0327" w:rsidP="00BD0327">
            <w:pPr>
              <w:rPr>
                <w:rFonts w:eastAsia="SimSun" w:cs="Arial"/>
                <w:sz w:val="16"/>
                <w:szCs w:val="16"/>
                <w:lang w:eastAsia="zh-CN"/>
              </w:rPr>
            </w:pPr>
            <w:r>
              <w:rPr>
                <w:rFonts w:eastAsia="SimSun" w:cs="Arial"/>
                <w:sz w:val="16"/>
                <w:szCs w:val="16"/>
                <w:lang w:eastAsia="zh-CN"/>
              </w:rPr>
              <w:t xml:space="preserve">Due to changes in INPI in 2014, the project on the </w:t>
            </w:r>
            <w:r w:rsidRPr="00005B71">
              <w:rPr>
                <w:rFonts w:eastAsia="SimSun" w:cs="Arial"/>
                <w:color w:val="000000"/>
                <w:sz w:val="16"/>
                <w:szCs w:val="16"/>
                <w:lang w:eastAsia="zh-CN"/>
              </w:rPr>
              <w:t>use of alternative dispute resolution services in intellectual property transactions</w:t>
            </w:r>
            <w:r>
              <w:rPr>
                <w:rFonts w:eastAsia="SimSun" w:cs="Arial"/>
                <w:sz w:val="16"/>
                <w:szCs w:val="16"/>
                <w:lang w:eastAsia="zh-CN"/>
              </w:rPr>
              <w:t xml:space="preserve"> was put on hold.  (WBO)</w:t>
            </w:r>
          </w:p>
        </w:tc>
        <w:tc>
          <w:tcPr>
            <w:tcW w:w="465" w:type="pct"/>
            <w:tcBorders>
              <w:top w:val="nil"/>
              <w:left w:val="nil"/>
              <w:bottom w:val="single" w:sz="4" w:space="0" w:color="auto"/>
              <w:right w:val="single" w:sz="4" w:space="0" w:color="auto"/>
            </w:tcBorders>
            <w:shd w:val="clear" w:color="auto" w:fill="auto"/>
            <w:tcMar>
              <w:top w:w="110" w:type="dxa"/>
            </w:tcMar>
          </w:tcPr>
          <w:p w:rsidR="00BD0327" w:rsidRPr="004D5610" w:rsidRDefault="00BD0327" w:rsidP="00BD0327">
            <w:pPr>
              <w:keepNext/>
              <w:keepLines/>
              <w:jc w:val="center"/>
              <w:rPr>
                <w:rFonts w:eastAsia="SimSun" w:cs="Arial"/>
                <w:b/>
                <w:bCs/>
                <w:color w:val="FF0000"/>
                <w:sz w:val="16"/>
                <w:szCs w:val="16"/>
                <w:lang w:eastAsia="zh-CN"/>
              </w:rPr>
            </w:pPr>
            <w:r w:rsidRPr="004D5610">
              <w:rPr>
                <w:rFonts w:eastAsia="SimSun" w:cs="Arial"/>
                <w:b/>
                <w:bCs/>
                <w:color w:val="FF0000"/>
                <w:sz w:val="16"/>
                <w:szCs w:val="16"/>
                <w:lang w:eastAsia="zh-CN"/>
              </w:rPr>
              <w:t xml:space="preserve">Not </w:t>
            </w:r>
            <w:r>
              <w:rPr>
                <w:rFonts w:eastAsia="SimSun" w:cs="Arial"/>
                <w:b/>
                <w:bCs/>
                <w:color w:val="FF0000"/>
                <w:sz w:val="16"/>
                <w:szCs w:val="16"/>
                <w:lang w:eastAsia="zh-CN"/>
              </w:rPr>
              <w:br/>
            </w:r>
            <w:r w:rsidRPr="004D5610">
              <w:rPr>
                <w:rFonts w:eastAsia="SimSun" w:cs="Arial"/>
                <w:b/>
                <w:bCs/>
                <w:color w:val="FF0000"/>
                <w:sz w:val="16"/>
                <w:szCs w:val="16"/>
                <w:lang w:eastAsia="zh-CN"/>
              </w:rPr>
              <w:t>on track</w:t>
            </w:r>
          </w:p>
        </w:tc>
      </w:tr>
      <w:tr w:rsidR="00BD0327" w:rsidRPr="00B35AFA" w:rsidTr="00330226">
        <w:tc>
          <w:tcPr>
            <w:tcW w:w="5000" w:type="pct"/>
            <w:gridSpan w:val="6"/>
            <w:tcBorders>
              <w:top w:val="single" w:sz="4" w:space="0" w:color="auto"/>
              <w:bottom w:val="single" w:sz="2" w:space="0" w:color="auto"/>
            </w:tcBorders>
            <w:shd w:val="clear" w:color="auto" w:fill="CCFFFF"/>
          </w:tcPr>
          <w:p w:rsidR="00BD0327" w:rsidRPr="004D5610" w:rsidRDefault="00BD0327" w:rsidP="00BD0327">
            <w:pPr>
              <w:keepNext/>
              <w:keepLines/>
              <w:tabs>
                <w:tab w:val="left" w:pos="1452"/>
              </w:tabs>
              <w:spacing w:before="120" w:after="120"/>
              <w:ind w:left="1452" w:hanging="1452"/>
              <w:rPr>
                <w:rFonts w:eastAsia="SimSun" w:cs="Arial"/>
                <w:b/>
                <w:bCs/>
                <w:sz w:val="16"/>
                <w:szCs w:val="16"/>
                <w:lang w:eastAsia="zh-CN"/>
              </w:rPr>
            </w:pPr>
            <w:r w:rsidRPr="004D5610">
              <w:rPr>
                <w:rFonts w:eastAsia="SimSun" w:cs="Arial"/>
                <w:b/>
                <w:bCs/>
                <w:sz w:val="16"/>
                <w:szCs w:val="16"/>
                <w:lang w:eastAsia="zh-CN"/>
              </w:rPr>
              <w:t>Expected Result:</w:t>
            </w:r>
            <w:r w:rsidRPr="004D5610">
              <w:rPr>
                <w:rFonts w:eastAsia="SimSun" w:cs="Arial"/>
                <w:b/>
                <w:bCs/>
                <w:sz w:val="16"/>
                <w:szCs w:val="16"/>
                <w:lang w:eastAsia="zh-CN"/>
              </w:rPr>
              <w:tab/>
              <w:t>III.2 Enhanced human resource capacities able to deal with the broad range of requirements for the effective use of IP for development in developing countries, LDCs and countries with economies in transition</w:t>
            </w:r>
          </w:p>
        </w:tc>
      </w:tr>
      <w:tr w:rsidR="00BD0327" w:rsidRPr="00B35AFA" w:rsidTr="00330226">
        <w:tc>
          <w:tcPr>
            <w:tcW w:w="1080" w:type="pct"/>
            <w:tcBorders>
              <w:top w:val="single" w:sz="2" w:space="0" w:color="auto"/>
              <w:left w:val="single" w:sz="2" w:space="0" w:color="auto"/>
              <w:bottom w:val="nil"/>
              <w:right w:val="nil"/>
            </w:tcBorders>
            <w:shd w:val="clear" w:color="auto" w:fill="auto"/>
          </w:tcPr>
          <w:p w:rsidR="00BD0327" w:rsidRPr="00005B71" w:rsidRDefault="00BD0327" w:rsidP="00BD0327">
            <w:pPr>
              <w:rPr>
                <w:rFonts w:eastAsia="SimSun" w:cs="Arial"/>
                <w:color w:val="000000"/>
                <w:sz w:val="16"/>
                <w:szCs w:val="16"/>
                <w:lang w:eastAsia="zh-CN"/>
              </w:rPr>
            </w:pPr>
            <w:r w:rsidRPr="00B35AFA">
              <w:rPr>
                <w:rFonts w:eastAsia="SimSun" w:cs="Arial"/>
                <w:b/>
                <w:bCs/>
                <w:sz w:val="16"/>
                <w:szCs w:val="16"/>
                <w:lang w:eastAsia="zh-CN"/>
              </w:rPr>
              <w:t>Performance Indicators</w:t>
            </w:r>
          </w:p>
        </w:tc>
        <w:tc>
          <w:tcPr>
            <w:tcW w:w="816" w:type="pct"/>
            <w:tcBorders>
              <w:top w:val="single" w:sz="2" w:space="0" w:color="auto"/>
              <w:left w:val="nil"/>
              <w:bottom w:val="nil"/>
              <w:right w:val="nil"/>
            </w:tcBorders>
            <w:shd w:val="clear" w:color="auto" w:fill="auto"/>
          </w:tcPr>
          <w:p w:rsidR="00BD0327" w:rsidRDefault="00BD0327" w:rsidP="00BD0327">
            <w:pPr>
              <w:rPr>
                <w:rFonts w:cs="Arial"/>
                <w:i/>
                <w:color w:val="002060"/>
                <w:sz w:val="16"/>
                <w:szCs w:val="16"/>
              </w:rPr>
            </w:pPr>
            <w:r w:rsidRPr="00B35AFA">
              <w:rPr>
                <w:rFonts w:cs="Arial"/>
                <w:b/>
                <w:bCs/>
                <w:sz w:val="16"/>
                <w:szCs w:val="16"/>
              </w:rPr>
              <w:t>Baselines</w:t>
            </w:r>
          </w:p>
        </w:tc>
        <w:tc>
          <w:tcPr>
            <w:tcW w:w="966" w:type="pct"/>
            <w:gridSpan w:val="2"/>
            <w:tcBorders>
              <w:top w:val="single" w:sz="2" w:space="0" w:color="auto"/>
              <w:left w:val="nil"/>
              <w:bottom w:val="nil"/>
              <w:right w:val="nil"/>
            </w:tcBorders>
            <w:shd w:val="clear" w:color="auto" w:fill="auto"/>
            <w:tcMar>
              <w:top w:w="110" w:type="dxa"/>
            </w:tcMar>
          </w:tcPr>
          <w:p w:rsidR="00BD0327" w:rsidRPr="00005B71" w:rsidRDefault="00BD0327" w:rsidP="00BD0327">
            <w:pPr>
              <w:rPr>
                <w:rFonts w:eastAsia="SimSun" w:cs="Arial"/>
                <w:sz w:val="16"/>
                <w:szCs w:val="16"/>
                <w:lang w:eastAsia="zh-CN"/>
              </w:rPr>
            </w:pPr>
            <w:r w:rsidRPr="00B35AFA">
              <w:rPr>
                <w:rFonts w:cs="Arial"/>
                <w:b/>
                <w:sz w:val="16"/>
                <w:szCs w:val="16"/>
              </w:rPr>
              <w:t>Targets</w:t>
            </w:r>
          </w:p>
        </w:tc>
        <w:tc>
          <w:tcPr>
            <w:tcW w:w="1673" w:type="pct"/>
            <w:tcBorders>
              <w:top w:val="single" w:sz="2" w:space="0" w:color="auto"/>
              <w:left w:val="nil"/>
              <w:bottom w:val="nil"/>
              <w:right w:val="nil"/>
            </w:tcBorders>
            <w:shd w:val="clear" w:color="auto" w:fill="FFFFFF"/>
            <w:tcMar>
              <w:top w:w="110" w:type="dxa"/>
            </w:tcMar>
          </w:tcPr>
          <w:p w:rsidR="00BD0327" w:rsidRPr="00B35AFA" w:rsidRDefault="00BD0327" w:rsidP="00BD0327">
            <w:pPr>
              <w:rPr>
                <w:rFonts w:eastAsia="SimSun" w:cs="Arial"/>
                <w:sz w:val="16"/>
                <w:szCs w:val="16"/>
                <w:lang w:eastAsia="zh-CN"/>
              </w:rPr>
            </w:pPr>
            <w:r w:rsidRPr="00B35AFA">
              <w:rPr>
                <w:rFonts w:eastAsia="SimSun" w:cs="Arial"/>
                <w:b/>
                <w:bCs/>
                <w:sz w:val="16"/>
                <w:szCs w:val="16"/>
                <w:lang w:eastAsia="zh-CN"/>
              </w:rPr>
              <w:t>Performance Data</w:t>
            </w:r>
          </w:p>
        </w:tc>
        <w:tc>
          <w:tcPr>
            <w:tcW w:w="465" w:type="pct"/>
            <w:tcBorders>
              <w:top w:val="single" w:sz="2" w:space="0" w:color="auto"/>
              <w:left w:val="nil"/>
              <w:bottom w:val="nil"/>
              <w:right w:val="single" w:sz="2" w:space="0" w:color="auto"/>
            </w:tcBorders>
            <w:shd w:val="clear" w:color="auto" w:fill="auto"/>
            <w:tcMar>
              <w:top w:w="110" w:type="dxa"/>
            </w:tcMar>
          </w:tcPr>
          <w:p w:rsidR="00BD0327" w:rsidRPr="004D5610" w:rsidRDefault="00BD0327" w:rsidP="00BD0327">
            <w:pPr>
              <w:keepNext/>
              <w:keepLines/>
              <w:jc w:val="center"/>
              <w:rPr>
                <w:rFonts w:eastAsia="SimSun" w:cs="Arial"/>
                <w:b/>
                <w:bCs/>
                <w:color w:val="808080"/>
                <w:sz w:val="16"/>
                <w:szCs w:val="16"/>
                <w:lang w:eastAsia="zh-CN"/>
              </w:rPr>
            </w:pPr>
            <w:r w:rsidRPr="004D5610">
              <w:rPr>
                <w:rFonts w:eastAsia="SimSun" w:cs="Arial"/>
                <w:b/>
                <w:bCs/>
                <w:sz w:val="16"/>
                <w:szCs w:val="16"/>
                <w:lang w:eastAsia="zh-CN"/>
              </w:rPr>
              <w:t>TLS</w:t>
            </w:r>
          </w:p>
        </w:tc>
      </w:tr>
      <w:tr w:rsidR="00BD0327" w:rsidRPr="00B35AFA" w:rsidTr="00330226">
        <w:tc>
          <w:tcPr>
            <w:tcW w:w="1080" w:type="pct"/>
            <w:tcBorders>
              <w:top w:val="nil"/>
              <w:left w:val="single" w:sz="2" w:space="0" w:color="auto"/>
              <w:bottom w:val="single" w:sz="2" w:space="0" w:color="auto"/>
              <w:right w:val="nil"/>
            </w:tcBorders>
            <w:shd w:val="clear" w:color="auto" w:fill="auto"/>
          </w:tcPr>
          <w:p w:rsidR="00BD0327" w:rsidRPr="00005B71" w:rsidRDefault="00BD0327" w:rsidP="00BD0327">
            <w:pPr>
              <w:rPr>
                <w:rFonts w:eastAsia="SimSun" w:cs="Arial"/>
                <w:color w:val="000000"/>
                <w:sz w:val="16"/>
                <w:szCs w:val="16"/>
                <w:lang w:eastAsia="zh-CN"/>
              </w:rPr>
            </w:pPr>
            <w:r w:rsidRPr="00005B71">
              <w:rPr>
                <w:rFonts w:eastAsia="SimSun" w:cs="Arial"/>
                <w:color w:val="000000"/>
                <w:sz w:val="16"/>
                <w:szCs w:val="16"/>
                <w:lang w:eastAsia="zh-CN"/>
              </w:rPr>
              <w:t xml:space="preserve">% of policy makers, government officials, IP practitioners and participants in targeted </w:t>
            </w:r>
            <w:r w:rsidRPr="00005B71">
              <w:rPr>
                <w:rFonts w:eastAsia="SimSun" w:cs="Arial"/>
                <w:color w:val="000000"/>
                <w:sz w:val="16"/>
                <w:szCs w:val="16"/>
                <w:lang w:eastAsia="zh-CN"/>
              </w:rPr>
              <w:lastRenderedPageBreak/>
              <w:t>workshops with enhanced understanding of CMOs and how to effectively use IP for development</w:t>
            </w:r>
          </w:p>
        </w:tc>
        <w:tc>
          <w:tcPr>
            <w:tcW w:w="816" w:type="pct"/>
            <w:tcBorders>
              <w:top w:val="nil"/>
              <w:left w:val="nil"/>
              <w:bottom w:val="single" w:sz="2" w:space="0" w:color="auto"/>
              <w:right w:val="nil"/>
            </w:tcBorders>
            <w:shd w:val="clear" w:color="auto" w:fill="auto"/>
          </w:tcPr>
          <w:p w:rsidR="00BD0327" w:rsidRPr="00F60CAF" w:rsidRDefault="00BD0327" w:rsidP="00BD0327">
            <w:pPr>
              <w:rPr>
                <w:rFonts w:cs="Arial"/>
                <w:sz w:val="16"/>
                <w:szCs w:val="16"/>
                <w:lang w:val="pt-BR"/>
              </w:rPr>
            </w:pPr>
            <w:r w:rsidRPr="00F60CAF">
              <w:rPr>
                <w:rFonts w:cs="Arial"/>
                <w:sz w:val="16"/>
                <w:szCs w:val="16"/>
                <w:lang w:val="pt-BR"/>
              </w:rPr>
              <w:lastRenderedPageBreak/>
              <w:t>n/a (WBO)</w:t>
            </w:r>
          </w:p>
          <w:p w:rsidR="00BD0327" w:rsidRPr="00F60CAF" w:rsidRDefault="00BD0327" w:rsidP="00BD0327">
            <w:pPr>
              <w:rPr>
                <w:rFonts w:cs="Arial"/>
                <w:sz w:val="16"/>
                <w:szCs w:val="16"/>
                <w:lang w:val="pt-BR"/>
              </w:rPr>
            </w:pPr>
            <w:r w:rsidRPr="00F60CAF">
              <w:rPr>
                <w:rFonts w:cs="Arial"/>
                <w:sz w:val="16"/>
                <w:szCs w:val="16"/>
                <w:lang w:val="pt-BR"/>
              </w:rPr>
              <w:t>n/a (WJO)</w:t>
            </w:r>
          </w:p>
          <w:p w:rsidR="00BD0327" w:rsidRPr="00005B71" w:rsidRDefault="00BD0327" w:rsidP="00BD0327">
            <w:pPr>
              <w:rPr>
                <w:rFonts w:cs="Arial"/>
                <w:sz w:val="16"/>
                <w:szCs w:val="16"/>
              </w:rPr>
            </w:pPr>
            <w:r w:rsidRPr="00005B71">
              <w:rPr>
                <w:rFonts w:cs="Arial"/>
                <w:sz w:val="16"/>
                <w:szCs w:val="16"/>
              </w:rPr>
              <w:t>60% (WSO)</w:t>
            </w:r>
          </w:p>
          <w:p w:rsidR="00BD0327" w:rsidRDefault="00BD0327" w:rsidP="00BD0327">
            <w:pPr>
              <w:rPr>
                <w:rFonts w:cs="Arial"/>
                <w:i/>
                <w:color w:val="002060"/>
                <w:sz w:val="16"/>
                <w:szCs w:val="16"/>
              </w:rPr>
            </w:pPr>
          </w:p>
        </w:tc>
        <w:tc>
          <w:tcPr>
            <w:tcW w:w="966" w:type="pct"/>
            <w:gridSpan w:val="2"/>
            <w:tcBorders>
              <w:top w:val="nil"/>
              <w:left w:val="nil"/>
              <w:bottom w:val="single" w:sz="2" w:space="0" w:color="auto"/>
              <w:right w:val="nil"/>
            </w:tcBorders>
            <w:shd w:val="clear" w:color="auto" w:fill="auto"/>
            <w:tcMar>
              <w:top w:w="110" w:type="dxa"/>
            </w:tcMar>
          </w:tcPr>
          <w:p w:rsidR="00BD0327" w:rsidRDefault="00BD0327" w:rsidP="00BD0327">
            <w:pPr>
              <w:rPr>
                <w:rFonts w:eastAsia="SimSun" w:cs="Arial"/>
                <w:sz w:val="16"/>
                <w:szCs w:val="16"/>
                <w:lang w:eastAsia="zh-CN"/>
              </w:rPr>
            </w:pPr>
            <w:r w:rsidRPr="00005B71">
              <w:rPr>
                <w:rFonts w:eastAsia="SimSun" w:cs="Arial"/>
                <w:sz w:val="16"/>
                <w:szCs w:val="16"/>
                <w:lang w:eastAsia="zh-CN"/>
              </w:rPr>
              <w:t>75% (WBO)</w:t>
            </w:r>
          </w:p>
          <w:p w:rsidR="00BD0327" w:rsidRDefault="00BD0327" w:rsidP="00BD0327">
            <w:pPr>
              <w:rPr>
                <w:rFonts w:eastAsia="SimSun" w:cs="Arial"/>
                <w:sz w:val="16"/>
                <w:szCs w:val="16"/>
                <w:lang w:eastAsia="zh-CN"/>
              </w:rPr>
            </w:pPr>
            <w:r w:rsidRPr="00005B71">
              <w:rPr>
                <w:rFonts w:eastAsia="SimSun" w:cs="Arial"/>
                <w:sz w:val="16"/>
                <w:szCs w:val="16"/>
                <w:lang w:eastAsia="zh-CN"/>
              </w:rPr>
              <w:t>75% (WJO)</w:t>
            </w:r>
          </w:p>
          <w:p w:rsidR="00BD0327" w:rsidRDefault="00BD0327" w:rsidP="00BD0327">
            <w:pPr>
              <w:rPr>
                <w:rFonts w:eastAsia="SimSun" w:cs="Arial"/>
                <w:sz w:val="16"/>
                <w:szCs w:val="16"/>
                <w:lang w:eastAsia="zh-CN"/>
              </w:rPr>
            </w:pPr>
            <w:r w:rsidRPr="00005B71">
              <w:rPr>
                <w:rFonts w:eastAsia="SimSun" w:cs="Arial"/>
                <w:sz w:val="16"/>
                <w:szCs w:val="16"/>
                <w:lang w:eastAsia="zh-CN"/>
              </w:rPr>
              <w:t>&gt; 70% (WSO)</w:t>
            </w:r>
          </w:p>
          <w:p w:rsidR="00BD0327" w:rsidRPr="00005B71" w:rsidRDefault="00BD0327" w:rsidP="00BD0327">
            <w:pPr>
              <w:rPr>
                <w:rFonts w:eastAsia="SimSun" w:cs="Arial"/>
                <w:sz w:val="16"/>
                <w:szCs w:val="16"/>
                <w:lang w:eastAsia="zh-CN"/>
              </w:rPr>
            </w:pPr>
          </w:p>
        </w:tc>
        <w:tc>
          <w:tcPr>
            <w:tcW w:w="1673" w:type="pct"/>
            <w:tcBorders>
              <w:top w:val="nil"/>
              <w:left w:val="nil"/>
              <w:bottom w:val="single" w:sz="2" w:space="0" w:color="auto"/>
              <w:right w:val="nil"/>
            </w:tcBorders>
            <w:shd w:val="clear" w:color="auto" w:fill="FFFFFF"/>
            <w:tcMar>
              <w:top w:w="110" w:type="dxa"/>
            </w:tcMar>
          </w:tcPr>
          <w:p w:rsidR="00BD0327" w:rsidRDefault="00BD0327" w:rsidP="00BD0327">
            <w:pPr>
              <w:rPr>
                <w:rFonts w:eastAsia="SimSun" w:cs="Arial"/>
                <w:sz w:val="16"/>
                <w:szCs w:val="16"/>
                <w:lang w:eastAsia="zh-CN"/>
              </w:rPr>
            </w:pPr>
            <w:r w:rsidRPr="00980EC4">
              <w:rPr>
                <w:rFonts w:eastAsia="SimSun" w:cs="Arial"/>
                <w:sz w:val="16"/>
                <w:szCs w:val="16"/>
                <w:lang w:eastAsia="zh-CN"/>
              </w:rPr>
              <w:t xml:space="preserve">75% </w:t>
            </w:r>
            <w:r>
              <w:rPr>
                <w:rFonts w:eastAsia="SimSun" w:cs="Arial"/>
                <w:sz w:val="16"/>
                <w:szCs w:val="16"/>
                <w:lang w:eastAsia="zh-CN"/>
              </w:rPr>
              <w:t>(WBO)</w:t>
            </w:r>
          </w:p>
          <w:p w:rsidR="00BD0327" w:rsidRDefault="00BD0327" w:rsidP="00BD0327">
            <w:pPr>
              <w:rPr>
                <w:rFonts w:eastAsia="SimSun" w:cs="Arial"/>
                <w:sz w:val="16"/>
                <w:szCs w:val="16"/>
                <w:lang w:eastAsia="zh-CN"/>
              </w:rPr>
            </w:pPr>
            <w:r>
              <w:rPr>
                <w:rFonts w:eastAsia="SimSun" w:cs="Arial"/>
                <w:sz w:val="16"/>
                <w:szCs w:val="16"/>
                <w:lang w:eastAsia="zh-CN"/>
              </w:rPr>
              <w:t>No CMO-related workshops were held in Japan in 2014.</w:t>
            </w:r>
            <w:r w:rsidRPr="006E1B16" w:rsidDel="00F02618">
              <w:rPr>
                <w:rFonts w:eastAsia="SimSun" w:cs="Arial"/>
                <w:sz w:val="16"/>
                <w:szCs w:val="16"/>
                <w:lang w:eastAsia="zh-CN"/>
              </w:rPr>
              <w:t xml:space="preserve"> </w:t>
            </w:r>
            <w:r>
              <w:rPr>
                <w:rFonts w:eastAsia="SimSun" w:cs="Arial"/>
                <w:sz w:val="16"/>
                <w:szCs w:val="16"/>
                <w:lang w:eastAsia="zh-CN"/>
              </w:rPr>
              <w:t>(WJO)</w:t>
            </w:r>
          </w:p>
          <w:p w:rsidR="0026223C" w:rsidRDefault="0026223C" w:rsidP="00BD0327">
            <w:pPr>
              <w:rPr>
                <w:rFonts w:eastAsia="SimSun" w:cs="Arial"/>
                <w:sz w:val="16"/>
                <w:szCs w:val="16"/>
                <w:lang w:eastAsia="zh-CN"/>
              </w:rPr>
            </w:pPr>
          </w:p>
          <w:p w:rsidR="0026223C" w:rsidRDefault="0026223C" w:rsidP="00BD0327">
            <w:pPr>
              <w:rPr>
                <w:rFonts w:eastAsia="SimSun" w:cs="Arial"/>
                <w:sz w:val="16"/>
                <w:szCs w:val="16"/>
                <w:lang w:eastAsia="zh-CN"/>
              </w:rPr>
            </w:pPr>
          </w:p>
          <w:p w:rsidR="00BD0327" w:rsidRPr="00980EC4" w:rsidDel="00EA6FE2" w:rsidRDefault="00BD0327" w:rsidP="00BD0327">
            <w:pPr>
              <w:rPr>
                <w:rFonts w:eastAsia="SimSun" w:cs="Arial"/>
                <w:sz w:val="16"/>
                <w:szCs w:val="16"/>
                <w:lang w:eastAsia="zh-CN"/>
              </w:rPr>
            </w:pPr>
            <w:r>
              <w:rPr>
                <w:rFonts w:eastAsia="SimSun" w:cs="Arial"/>
                <w:sz w:val="16"/>
                <w:szCs w:val="16"/>
                <w:lang w:eastAsia="zh-CN"/>
              </w:rPr>
              <w:t>100% of participants agreed that the skills and knowledge gained from the seminar added value to their organization (WSO)</w:t>
            </w:r>
          </w:p>
        </w:tc>
        <w:tc>
          <w:tcPr>
            <w:tcW w:w="465" w:type="pct"/>
            <w:tcBorders>
              <w:top w:val="nil"/>
              <w:left w:val="nil"/>
              <w:bottom w:val="single" w:sz="2" w:space="0" w:color="auto"/>
              <w:right w:val="single" w:sz="2" w:space="0" w:color="auto"/>
            </w:tcBorders>
            <w:shd w:val="clear" w:color="auto" w:fill="auto"/>
            <w:tcMar>
              <w:top w:w="110" w:type="dxa"/>
            </w:tcMar>
          </w:tcPr>
          <w:p w:rsidR="00BD0327" w:rsidRPr="004D5610" w:rsidRDefault="00BD0327" w:rsidP="00BD0327">
            <w:pPr>
              <w:keepNext/>
              <w:keepLines/>
              <w:jc w:val="center"/>
              <w:rPr>
                <w:rFonts w:eastAsia="SimSun" w:cs="Arial"/>
                <w:b/>
                <w:bCs/>
                <w:color w:val="808080"/>
                <w:sz w:val="16"/>
                <w:szCs w:val="16"/>
                <w:lang w:eastAsia="zh-CN"/>
              </w:rPr>
            </w:pPr>
            <w:r w:rsidRPr="004D5610">
              <w:rPr>
                <w:rFonts w:eastAsia="SimSun" w:cs="Arial"/>
                <w:b/>
                <w:bCs/>
                <w:color w:val="00B050"/>
                <w:sz w:val="16"/>
                <w:szCs w:val="16"/>
                <w:lang w:eastAsia="zh-CN"/>
              </w:rPr>
              <w:lastRenderedPageBreak/>
              <w:t>On track</w:t>
            </w:r>
          </w:p>
          <w:p w:rsidR="00BD0327" w:rsidRPr="004D5610" w:rsidRDefault="00BD0327" w:rsidP="00BD0327">
            <w:pPr>
              <w:keepNext/>
              <w:keepLines/>
              <w:jc w:val="center"/>
              <w:rPr>
                <w:rFonts w:eastAsia="SimSun" w:cs="Arial"/>
                <w:b/>
                <w:bCs/>
                <w:color w:val="0070C0"/>
                <w:sz w:val="16"/>
                <w:szCs w:val="16"/>
                <w:lang w:eastAsia="zh-CN"/>
              </w:rPr>
            </w:pPr>
          </w:p>
          <w:p w:rsidR="00BD0327" w:rsidRPr="004D5610" w:rsidRDefault="00BD0327" w:rsidP="00BD0327">
            <w:pPr>
              <w:keepNext/>
              <w:keepLines/>
              <w:jc w:val="center"/>
              <w:rPr>
                <w:rFonts w:eastAsia="SimSun" w:cs="Arial"/>
                <w:b/>
                <w:bCs/>
                <w:color w:val="0070C0"/>
                <w:sz w:val="16"/>
                <w:szCs w:val="16"/>
                <w:lang w:eastAsia="zh-CN"/>
              </w:rPr>
            </w:pPr>
            <w:r w:rsidRPr="004D5610">
              <w:rPr>
                <w:rFonts w:eastAsia="SimSun" w:cs="Arial"/>
                <w:b/>
                <w:bCs/>
                <w:color w:val="0070C0"/>
                <w:sz w:val="16"/>
                <w:szCs w:val="16"/>
                <w:lang w:eastAsia="zh-CN"/>
              </w:rPr>
              <w:t>N/A 2014</w:t>
            </w:r>
          </w:p>
          <w:p w:rsidR="00BD0327" w:rsidRPr="004D5610" w:rsidRDefault="00BD0327" w:rsidP="00BD0327">
            <w:pPr>
              <w:keepNext/>
              <w:keepLines/>
              <w:jc w:val="center"/>
              <w:rPr>
                <w:rFonts w:eastAsia="SimSun" w:cs="Arial"/>
                <w:b/>
                <w:bCs/>
                <w:color w:val="00B050"/>
                <w:sz w:val="16"/>
                <w:szCs w:val="16"/>
                <w:lang w:eastAsia="zh-CN"/>
              </w:rPr>
            </w:pPr>
          </w:p>
          <w:p w:rsidR="00BD0327" w:rsidRPr="004D5610" w:rsidRDefault="00BD0327" w:rsidP="00F60CAF">
            <w:pPr>
              <w:keepNext/>
              <w:keepLines/>
              <w:rPr>
                <w:rFonts w:eastAsia="SimSun" w:cs="Arial"/>
                <w:b/>
                <w:bCs/>
                <w:color w:val="808080"/>
                <w:sz w:val="16"/>
                <w:szCs w:val="16"/>
                <w:lang w:eastAsia="zh-CN"/>
              </w:rPr>
            </w:pPr>
            <w:r w:rsidRPr="004D5610">
              <w:rPr>
                <w:rFonts w:eastAsia="SimSun" w:cs="Arial"/>
                <w:b/>
                <w:bCs/>
                <w:color w:val="00B050"/>
                <w:sz w:val="16"/>
                <w:szCs w:val="16"/>
                <w:lang w:eastAsia="zh-CN"/>
              </w:rPr>
              <w:t>On track</w:t>
            </w:r>
          </w:p>
        </w:tc>
      </w:tr>
      <w:tr w:rsidR="00BD0327" w:rsidRPr="00B35AFA" w:rsidTr="00330226">
        <w:tc>
          <w:tcPr>
            <w:tcW w:w="5000" w:type="pct"/>
            <w:gridSpan w:val="6"/>
            <w:tcBorders>
              <w:top w:val="single" w:sz="2" w:space="0" w:color="auto"/>
              <w:bottom w:val="single" w:sz="4" w:space="0" w:color="auto"/>
            </w:tcBorders>
            <w:shd w:val="clear" w:color="auto" w:fill="CCFFFF"/>
          </w:tcPr>
          <w:p w:rsidR="00BD0327" w:rsidRPr="004D5610" w:rsidRDefault="00BD0327" w:rsidP="00BD0327">
            <w:pPr>
              <w:keepNext/>
              <w:keepLines/>
              <w:tabs>
                <w:tab w:val="left" w:pos="1452"/>
              </w:tabs>
              <w:spacing w:before="120" w:after="120"/>
              <w:ind w:left="1452" w:hanging="1452"/>
              <w:rPr>
                <w:rFonts w:eastAsia="SimSun" w:cs="Arial"/>
                <w:b/>
                <w:bCs/>
                <w:color w:val="808080"/>
                <w:sz w:val="16"/>
                <w:szCs w:val="16"/>
                <w:lang w:eastAsia="zh-CN"/>
              </w:rPr>
            </w:pPr>
            <w:r w:rsidRPr="004D5610">
              <w:rPr>
                <w:rFonts w:eastAsia="SimSun" w:cs="Arial"/>
                <w:b/>
                <w:bCs/>
                <w:sz w:val="16"/>
                <w:szCs w:val="16"/>
                <w:lang w:eastAsia="zh-CN"/>
              </w:rPr>
              <w:lastRenderedPageBreak/>
              <w:t>Expected Result:</w:t>
            </w:r>
            <w:r w:rsidRPr="004D5610">
              <w:rPr>
                <w:rFonts w:eastAsia="SimSun" w:cs="Arial"/>
                <w:b/>
                <w:bCs/>
                <w:sz w:val="16"/>
                <w:szCs w:val="16"/>
                <w:lang w:eastAsia="zh-CN"/>
              </w:rPr>
              <w:tab/>
              <w:t>IV.2 Enhanced access to, and use of, IP information by IP institutions and the public to promote innovation and creativity</w:t>
            </w:r>
          </w:p>
        </w:tc>
      </w:tr>
      <w:tr w:rsidR="00BD0327" w:rsidRPr="00B35AFA" w:rsidTr="00BD0327">
        <w:tc>
          <w:tcPr>
            <w:tcW w:w="1080" w:type="pct"/>
            <w:tcBorders>
              <w:top w:val="single" w:sz="4" w:space="0" w:color="auto"/>
              <w:left w:val="single" w:sz="4" w:space="0" w:color="auto"/>
              <w:bottom w:val="nil"/>
              <w:right w:val="nil"/>
            </w:tcBorders>
            <w:shd w:val="clear" w:color="auto" w:fill="auto"/>
          </w:tcPr>
          <w:p w:rsidR="00BD0327" w:rsidRPr="00005B71" w:rsidRDefault="00BD0327" w:rsidP="00BD0327">
            <w:pPr>
              <w:rPr>
                <w:rFonts w:eastAsia="SimSun" w:cs="Arial"/>
                <w:color w:val="000000"/>
                <w:sz w:val="16"/>
                <w:szCs w:val="16"/>
                <w:lang w:eastAsia="zh-CN"/>
              </w:rPr>
            </w:pPr>
            <w:r w:rsidRPr="00B35AFA">
              <w:rPr>
                <w:rFonts w:eastAsia="SimSun" w:cs="Arial"/>
                <w:b/>
                <w:bCs/>
                <w:sz w:val="16"/>
                <w:szCs w:val="16"/>
                <w:lang w:eastAsia="zh-CN"/>
              </w:rPr>
              <w:t>Performance Indicators</w:t>
            </w:r>
          </w:p>
        </w:tc>
        <w:tc>
          <w:tcPr>
            <w:tcW w:w="816" w:type="pct"/>
            <w:tcBorders>
              <w:top w:val="single" w:sz="4" w:space="0" w:color="auto"/>
              <w:left w:val="nil"/>
              <w:bottom w:val="nil"/>
              <w:right w:val="nil"/>
            </w:tcBorders>
            <w:shd w:val="clear" w:color="auto" w:fill="auto"/>
          </w:tcPr>
          <w:p w:rsidR="00BD0327" w:rsidRDefault="00BD0327" w:rsidP="00BD0327">
            <w:pPr>
              <w:rPr>
                <w:rFonts w:cs="Arial"/>
                <w:i/>
                <w:color w:val="002060"/>
                <w:sz w:val="16"/>
                <w:szCs w:val="16"/>
              </w:rPr>
            </w:pPr>
            <w:r w:rsidRPr="00B35AFA">
              <w:rPr>
                <w:rFonts w:cs="Arial"/>
                <w:b/>
                <w:bCs/>
                <w:sz w:val="16"/>
                <w:szCs w:val="16"/>
              </w:rPr>
              <w:t>Baselines</w:t>
            </w:r>
          </w:p>
        </w:tc>
        <w:tc>
          <w:tcPr>
            <w:tcW w:w="966" w:type="pct"/>
            <w:gridSpan w:val="2"/>
            <w:tcBorders>
              <w:top w:val="single" w:sz="4" w:space="0" w:color="auto"/>
              <w:left w:val="nil"/>
              <w:bottom w:val="nil"/>
              <w:right w:val="nil"/>
            </w:tcBorders>
            <w:shd w:val="clear" w:color="auto" w:fill="auto"/>
            <w:tcMar>
              <w:top w:w="110" w:type="dxa"/>
            </w:tcMar>
          </w:tcPr>
          <w:p w:rsidR="00BD0327" w:rsidRPr="00005B71" w:rsidRDefault="00BD0327" w:rsidP="00BD0327">
            <w:pPr>
              <w:rPr>
                <w:rFonts w:eastAsia="SimSun" w:cs="Arial"/>
                <w:sz w:val="16"/>
                <w:szCs w:val="16"/>
                <w:lang w:eastAsia="zh-CN"/>
              </w:rPr>
            </w:pPr>
            <w:r w:rsidRPr="00B35AFA">
              <w:rPr>
                <w:rFonts w:cs="Arial"/>
                <w:b/>
                <w:sz w:val="16"/>
                <w:szCs w:val="16"/>
              </w:rPr>
              <w:t>Targets</w:t>
            </w:r>
          </w:p>
        </w:tc>
        <w:tc>
          <w:tcPr>
            <w:tcW w:w="1673" w:type="pct"/>
            <w:tcBorders>
              <w:top w:val="single" w:sz="4" w:space="0" w:color="auto"/>
              <w:left w:val="nil"/>
              <w:bottom w:val="nil"/>
              <w:right w:val="nil"/>
            </w:tcBorders>
            <w:shd w:val="clear" w:color="auto" w:fill="FFFFFF"/>
            <w:tcMar>
              <w:top w:w="110" w:type="dxa"/>
            </w:tcMar>
          </w:tcPr>
          <w:p w:rsidR="00BD0327" w:rsidRPr="00B35AFA" w:rsidRDefault="00BD0327" w:rsidP="00BD0327">
            <w:pPr>
              <w:rPr>
                <w:rFonts w:eastAsia="SimSun" w:cs="Arial"/>
                <w:sz w:val="16"/>
                <w:szCs w:val="16"/>
                <w:lang w:eastAsia="zh-CN"/>
              </w:rPr>
            </w:pPr>
            <w:r w:rsidRPr="00B35AFA">
              <w:rPr>
                <w:rFonts w:eastAsia="SimSun" w:cs="Arial"/>
                <w:b/>
                <w:bCs/>
                <w:sz w:val="16"/>
                <w:szCs w:val="16"/>
                <w:lang w:eastAsia="zh-CN"/>
              </w:rPr>
              <w:t>Performance Data</w:t>
            </w:r>
          </w:p>
        </w:tc>
        <w:tc>
          <w:tcPr>
            <w:tcW w:w="465" w:type="pct"/>
            <w:tcBorders>
              <w:top w:val="single" w:sz="4" w:space="0" w:color="auto"/>
              <w:left w:val="nil"/>
              <w:bottom w:val="nil"/>
              <w:right w:val="single" w:sz="4" w:space="0" w:color="auto"/>
            </w:tcBorders>
            <w:shd w:val="clear" w:color="auto" w:fill="auto"/>
            <w:tcMar>
              <w:top w:w="110" w:type="dxa"/>
            </w:tcMar>
          </w:tcPr>
          <w:p w:rsidR="00BD0327" w:rsidRPr="004D5610" w:rsidRDefault="00BD0327" w:rsidP="00BD0327">
            <w:pPr>
              <w:keepNext/>
              <w:keepLines/>
              <w:rPr>
                <w:rFonts w:eastAsia="SimSun" w:cs="Arial"/>
                <w:b/>
                <w:bCs/>
                <w:color w:val="808080"/>
                <w:sz w:val="16"/>
                <w:szCs w:val="16"/>
                <w:lang w:eastAsia="zh-CN"/>
              </w:rPr>
            </w:pPr>
            <w:r w:rsidRPr="004D5610">
              <w:rPr>
                <w:rFonts w:eastAsia="SimSun" w:cs="Arial"/>
                <w:b/>
                <w:bCs/>
                <w:sz w:val="16"/>
                <w:szCs w:val="16"/>
                <w:lang w:eastAsia="zh-CN"/>
              </w:rPr>
              <w:t>TLS</w:t>
            </w:r>
          </w:p>
        </w:tc>
      </w:tr>
      <w:tr w:rsidR="00BD0327" w:rsidRPr="00B35AFA" w:rsidTr="00BD0327">
        <w:tc>
          <w:tcPr>
            <w:tcW w:w="1080" w:type="pct"/>
            <w:tcBorders>
              <w:top w:val="nil"/>
              <w:left w:val="single" w:sz="4" w:space="0" w:color="auto"/>
              <w:bottom w:val="single" w:sz="4" w:space="0" w:color="auto"/>
              <w:right w:val="nil"/>
            </w:tcBorders>
            <w:shd w:val="clear" w:color="auto" w:fill="auto"/>
          </w:tcPr>
          <w:p w:rsidR="00BD0327" w:rsidRPr="00005B71" w:rsidRDefault="00BD0327" w:rsidP="00BD0327">
            <w:pPr>
              <w:rPr>
                <w:rFonts w:eastAsia="SimSun" w:cs="Arial"/>
                <w:color w:val="000000"/>
                <w:sz w:val="16"/>
                <w:szCs w:val="16"/>
                <w:lang w:eastAsia="zh-CN"/>
              </w:rPr>
            </w:pPr>
            <w:r w:rsidRPr="00005B71">
              <w:rPr>
                <w:rFonts w:eastAsia="SimSun" w:cs="Arial"/>
                <w:color w:val="000000"/>
                <w:sz w:val="16"/>
                <w:szCs w:val="16"/>
                <w:lang w:eastAsia="zh-CN"/>
              </w:rPr>
              <w:t>No</w:t>
            </w:r>
            <w:r w:rsidR="008218F3">
              <w:rPr>
                <w:rFonts w:eastAsia="SimSun" w:cs="Arial"/>
                <w:color w:val="000000"/>
                <w:sz w:val="16"/>
                <w:szCs w:val="16"/>
                <w:lang w:eastAsia="zh-CN"/>
              </w:rPr>
              <w:t>.</w:t>
            </w:r>
            <w:r w:rsidRPr="00005B71">
              <w:rPr>
                <w:rFonts w:eastAsia="SimSun" w:cs="Arial"/>
                <w:color w:val="000000"/>
                <w:sz w:val="16"/>
                <w:szCs w:val="16"/>
                <w:lang w:eastAsia="zh-CN"/>
              </w:rPr>
              <w:t xml:space="preserve"> of users of WIPO's Global Databases: PATENTSCOPE and Global Brand Database</w:t>
            </w:r>
          </w:p>
        </w:tc>
        <w:tc>
          <w:tcPr>
            <w:tcW w:w="816" w:type="pct"/>
            <w:tcBorders>
              <w:top w:val="nil"/>
              <w:left w:val="nil"/>
              <w:bottom w:val="single" w:sz="4" w:space="0" w:color="auto"/>
              <w:right w:val="nil"/>
            </w:tcBorders>
            <w:shd w:val="clear" w:color="auto" w:fill="auto"/>
          </w:tcPr>
          <w:p w:rsidR="00BD0327" w:rsidRDefault="00BD0327" w:rsidP="00BD0327">
            <w:pPr>
              <w:rPr>
                <w:rFonts w:cs="Arial"/>
                <w:i/>
                <w:color w:val="002060"/>
                <w:sz w:val="16"/>
                <w:szCs w:val="16"/>
              </w:rPr>
            </w:pPr>
            <w:r>
              <w:rPr>
                <w:rFonts w:cs="Arial"/>
                <w:i/>
                <w:color w:val="002060"/>
                <w:sz w:val="16"/>
                <w:szCs w:val="16"/>
              </w:rPr>
              <w:t>Updated Baseline end 2013</w:t>
            </w:r>
            <w:r w:rsidRPr="00B35AFA">
              <w:rPr>
                <w:rFonts w:cs="Arial"/>
                <w:i/>
                <w:color w:val="002060"/>
                <w:sz w:val="16"/>
                <w:szCs w:val="16"/>
              </w:rPr>
              <w:t xml:space="preserve">:  </w:t>
            </w:r>
          </w:p>
          <w:p w:rsidR="00BD0327" w:rsidRDefault="00BD0327" w:rsidP="00BD0327">
            <w:pPr>
              <w:rPr>
                <w:rFonts w:eastAsia="SimSun" w:cs="Arial"/>
                <w:sz w:val="16"/>
                <w:szCs w:val="16"/>
                <w:lang w:eastAsia="zh-CN"/>
              </w:rPr>
            </w:pPr>
            <w:r w:rsidRPr="009B1A53">
              <w:rPr>
                <w:rFonts w:eastAsia="SimSun" w:cs="Arial"/>
                <w:sz w:val="16"/>
                <w:szCs w:val="16"/>
                <w:lang w:eastAsia="zh-CN"/>
              </w:rPr>
              <w:t>PATENTSCOPE (Q</w:t>
            </w:r>
            <w:r>
              <w:rPr>
                <w:rFonts w:eastAsia="SimSun" w:cs="Arial"/>
                <w:sz w:val="16"/>
                <w:szCs w:val="16"/>
                <w:lang w:eastAsia="zh-CN"/>
              </w:rPr>
              <w:t>3</w:t>
            </w:r>
            <w:r w:rsidRPr="009B1A53">
              <w:rPr>
                <w:rFonts w:eastAsia="SimSun" w:cs="Arial"/>
                <w:sz w:val="16"/>
                <w:szCs w:val="16"/>
                <w:lang w:eastAsia="zh-CN"/>
              </w:rPr>
              <w:t xml:space="preserve"> 201</w:t>
            </w:r>
            <w:r>
              <w:rPr>
                <w:rFonts w:eastAsia="SimSun" w:cs="Arial"/>
                <w:sz w:val="16"/>
                <w:szCs w:val="16"/>
                <w:lang w:eastAsia="zh-CN"/>
              </w:rPr>
              <w:t>3</w:t>
            </w:r>
            <w:r w:rsidRPr="009B1A53">
              <w:rPr>
                <w:rFonts w:eastAsia="SimSun" w:cs="Arial"/>
                <w:sz w:val="16"/>
                <w:szCs w:val="16"/>
                <w:lang w:eastAsia="zh-CN"/>
              </w:rPr>
              <w:t>)</w:t>
            </w:r>
            <w:r>
              <w:rPr>
                <w:rFonts w:eastAsia="SimSun" w:cs="Arial"/>
                <w:sz w:val="16"/>
                <w:szCs w:val="16"/>
                <w:lang w:eastAsia="zh-CN"/>
              </w:rPr>
              <w:t>:</w:t>
            </w:r>
            <w:r w:rsidRPr="009B1A53">
              <w:rPr>
                <w:rFonts w:eastAsia="SimSun" w:cs="Arial"/>
                <w:sz w:val="16"/>
                <w:szCs w:val="16"/>
                <w:lang w:eastAsia="zh-CN"/>
              </w:rPr>
              <w:t xml:space="preserve"> </w:t>
            </w:r>
          </w:p>
          <w:p w:rsidR="00BD0327" w:rsidRPr="009B1A53" w:rsidRDefault="00BD0327" w:rsidP="00BD0327">
            <w:pPr>
              <w:pStyle w:val="ListParagraph"/>
              <w:numPr>
                <w:ilvl w:val="0"/>
                <w:numId w:val="85"/>
              </w:numPr>
              <w:contextualSpacing/>
              <w:rPr>
                <w:rFonts w:eastAsia="SimSun" w:cs="Arial"/>
                <w:sz w:val="16"/>
                <w:szCs w:val="16"/>
                <w:lang w:eastAsia="zh-CN"/>
              </w:rPr>
            </w:pPr>
            <w:r>
              <w:rPr>
                <w:rFonts w:eastAsia="SimSun" w:cs="Arial"/>
                <w:sz w:val="16"/>
                <w:szCs w:val="16"/>
                <w:lang w:eastAsia="zh-CN"/>
              </w:rPr>
              <w:t>3,839</w:t>
            </w:r>
            <w:r w:rsidRPr="009B1A53">
              <w:rPr>
                <w:rFonts w:eastAsia="SimSun" w:cs="Arial"/>
                <w:sz w:val="16"/>
                <w:szCs w:val="16"/>
                <w:lang w:eastAsia="zh-CN"/>
              </w:rPr>
              <w:t xml:space="preserve"> (WBO)</w:t>
            </w:r>
          </w:p>
          <w:p w:rsidR="00BD0327" w:rsidRPr="009B1A53" w:rsidRDefault="00BD0327" w:rsidP="00BD0327">
            <w:pPr>
              <w:pStyle w:val="ListParagraph"/>
              <w:numPr>
                <w:ilvl w:val="0"/>
                <w:numId w:val="85"/>
              </w:numPr>
              <w:contextualSpacing/>
              <w:rPr>
                <w:rFonts w:eastAsia="SimSun" w:cs="Arial"/>
                <w:sz w:val="16"/>
                <w:szCs w:val="16"/>
                <w:lang w:eastAsia="zh-CN"/>
              </w:rPr>
            </w:pPr>
            <w:r>
              <w:rPr>
                <w:rFonts w:eastAsia="SimSun" w:cs="Arial"/>
                <w:sz w:val="16"/>
                <w:szCs w:val="16"/>
                <w:lang w:eastAsia="zh-CN"/>
              </w:rPr>
              <w:t>14,906</w:t>
            </w:r>
            <w:r w:rsidRPr="009B1A53">
              <w:rPr>
                <w:rFonts w:eastAsia="SimSun" w:cs="Arial"/>
                <w:sz w:val="16"/>
                <w:szCs w:val="16"/>
                <w:lang w:eastAsia="zh-CN"/>
              </w:rPr>
              <w:t xml:space="preserve"> (WJO)</w:t>
            </w:r>
          </w:p>
          <w:p w:rsidR="00BD0327" w:rsidRPr="00B97F30" w:rsidRDefault="00BD0327" w:rsidP="00BD0327">
            <w:pPr>
              <w:pStyle w:val="ListParagraph"/>
              <w:numPr>
                <w:ilvl w:val="0"/>
                <w:numId w:val="85"/>
              </w:numPr>
              <w:spacing w:after="200"/>
              <w:contextualSpacing/>
              <w:rPr>
                <w:rFonts w:eastAsia="SimSun" w:cs="Arial"/>
                <w:sz w:val="16"/>
                <w:szCs w:val="16"/>
                <w:lang w:eastAsia="zh-CN"/>
              </w:rPr>
            </w:pPr>
            <w:r>
              <w:rPr>
                <w:rFonts w:eastAsia="SimSun" w:cs="Arial"/>
                <w:sz w:val="16"/>
                <w:szCs w:val="16"/>
                <w:lang w:eastAsia="zh-CN"/>
              </w:rPr>
              <w:t>6,772</w:t>
            </w:r>
            <w:r w:rsidRPr="009B1A53">
              <w:rPr>
                <w:rFonts w:eastAsia="SimSun" w:cs="Arial"/>
                <w:sz w:val="16"/>
                <w:szCs w:val="16"/>
                <w:lang w:eastAsia="zh-CN"/>
              </w:rPr>
              <w:t xml:space="preserve"> (WSO)</w:t>
            </w:r>
          </w:p>
          <w:p w:rsidR="00BD0327" w:rsidRDefault="00BD0327" w:rsidP="00BD0327">
            <w:pPr>
              <w:rPr>
                <w:rFonts w:eastAsia="SimSun" w:cs="Arial"/>
                <w:sz w:val="16"/>
                <w:szCs w:val="16"/>
                <w:lang w:eastAsia="zh-CN"/>
              </w:rPr>
            </w:pPr>
            <w:r>
              <w:rPr>
                <w:rFonts w:eastAsia="SimSun" w:cs="Arial"/>
                <w:sz w:val="16"/>
                <w:szCs w:val="16"/>
                <w:lang w:eastAsia="zh-CN"/>
              </w:rPr>
              <w:t>Global Brands Database (2013):</w:t>
            </w:r>
          </w:p>
          <w:p w:rsidR="00BD0327" w:rsidRPr="00152A1E" w:rsidRDefault="00BD0327" w:rsidP="00BD0327">
            <w:pPr>
              <w:pStyle w:val="ListParagraph"/>
              <w:numPr>
                <w:ilvl w:val="0"/>
                <w:numId w:val="86"/>
              </w:numPr>
              <w:contextualSpacing/>
              <w:rPr>
                <w:rFonts w:eastAsia="SimSun" w:cs="Arial"/>
                <w:sz w:val="16"/>
                <w:szCs w:val="16"/>
                <w:lang w:eastAsia="zh-CN"/>
              </w:rPr>
            </w:pPr>
            <w:r w:rsidRPr="00152A1E">
              <w:rPr>
                <w:rFonts w:eastAsia="SimSun" w:cs="Arial"/>
                <w:sz w:val="16"/>
                <w:szCs w:val="16"/>
                <w:lang w:eastAsia="zh-CN"/>
              </w:rPr>
              <w:t>186 (WBO)</w:t>
            </w:r>
          </w:p>
          <w:p w:rsidR="00BD0327" w:rsidRPr="00152A1E" w:rsidRDefault="00BD0327" w:rsidP="00BD0327">
            <w:pPr>
              <w:pStyle w:val="ListParagraph"/>
              <w:numPr>
                <w:ilvl w:val="0"/>
                <w:numId w:val="86"/>
              </w:numPr>
              <w:contextualSpacing/>
              <w:rPr>
                <w:rFonts w:eastAsia="SimSun" w:cs="Arial"/>
                <w:sz w:val="16"/>
                <w:szCs w:val="16"/>
                <w:lang w:eastAsia="zh-CN"/>
              </w:rPr>
            </w:pPr>
            <w:r w:rsidRPr="00152A1E">
              <w:rPr>
                <w:rFonts w:eastAsia="SimSun" w:cs="Arial"/>
                <w:sz w:val="16"/>
                <w:szCs w:val="16"/>
                <w:lang w:eastAsia="zh-CN"/>
              </w:rPr>
              <w:t>543 (WJO)</w:t>
            </w:r>
          </w:p>
          <w:p w:rsidR="00BD0327" w:rsidRPr="00152A1E" w:rsidRDefault="00BD0327" w:rsidP="00BD0327">
            <w:pPr>
              <w:pStyle w:val="ListParagraph"/>
              <w:numPr>
                <w:ilvl w:val="0"/>
                <w:numId w:val="86"/>
              </w:numPr>
              <w:contextualSpacing/>
              <w:rPr>
                <w:rFonts w:eastAsia="SimSun" w:cs="Arial"/>
                <w:sz w:val="16"/>
                <w:szCs w:val="16"/>
                <w:lang w:eastAsia="zh-CN"/>
              </w:rPr>
            </w:pPr>
            <w:r w:rsidRPr="00152A1E">
              <w:rPr>
                <w:rFonts w:eastAsia="SimSun" w:cs="Arial"/>
                <w:sz w:val="16"/>
                <w:szCs w:val="16"/>
                <w:lang w:eastAsia="zh-CN"/>
              </w:rPr>
              <w:t xml:space="preserve"> 1,711 (WSO)</w:t>
            </w:r>
          </w:p>
          <w:p w:rsidR="00BD0327" w:rsidRPr="00836555" w:rsidRDefault="00BD0327" w:rsidP="00BD0327">
            <w:pPr>
              <w:pStyle w:val="ListParagraph"/>
              <w:ind w:left="360"/>
              <w:rPr>
                <w:rFonts w:eastAsia="SimSun" w:cs="Arial"/>
                <w:sz w:val="16"/>
                <w:szCs w:val="16"/>
                <w:highlight w:val="yellow"/>
                <w:lang w:eastAsia="zh-CN"/>
              </w:rPr>
            </w:pPr>
          </w:p>
          <w:p w:rsidR="00BD0327" w:rsidRDefault="00BD0327" w:rsidP="00BD0327">
            <w:pPr>
              <w:rPr>
                <w:rFonts w:cs="Arial"/>
                <w:i/>
                <w:sz w:val="16"/>
                <w:szCs w:val="16"/>
              </w:rPr>
            </w:pPr>
            <w:r>
              <w:rPr>
                <w:rFonts w:cs="Arial"/>
                <w:i/>
                <w:sz w:val="16"/>
                <w:szCs w:val="16"/>
              </w:rPr>
              <w:t>Original Baseline P&amp;B 2014/15:</w:t>
            </w:r>
          </w:p>
          <w:p w:rsidR="00BD0327" w:rsidRDefault="00BD0327" w:rsidP="00BD0327">
            <w:pPr>
              <w:rPr>
                <w:rFonts w:cs="Arial"/>
                <w:i/>
                <w:sz w:val="16"/>
                <w:szCs w:val="16"/>
              </w:rPr>
            </w:pPr>
            <w:r w:rsidRPr="00005B71">
              <w:rPr>
                <w:rFonts w:cs="Arial"/>
                <w:sz w:val="16"/>
                <w:szCs w:val="16"/>
              </w:rPr>
              <w:t>Statistics end 2013 (WBO)</w:t>
            </w:r>
            <w:r>
              <w:rPr>
                <w:rFonts w:cs="Arial"/>
                <w:i/>
                <w:sz w:val="16"/>
                <w:szCs w:val="16"/>
              </w:rPr>
              <w:t xml:space="preserve"> </w:t>
            </w:r>
          </w:p>
          <w:p w:rsidR="00BD0327" w:rsidRPr="00913773" w:rsidRDefault="00BD0327" w:rsidP="00BD0327">
            <w:pPr>
              <w:rPr>
                <w:rFonts w:cs="Arial"/>
                <w:sz w:val="16"/>
                <w:szCs w:val="16"/>
              </w:rPr>
            </w:pPr>
            <w:r w:rsidRPr="00005B71">
              <w:rPr>
                <w:rFonts w:cs="Arial"/>
                <w:sz w:val="16"/>
                <w:szCs w:val="16"/>
              </w:rPr>
              <w:t>Statistics end 2013 (WJO)</w:t>
            </w:r>
          </w:p>
          <w:p w:rsidR="00BD0327" w:rsidRDefault="00BD0327" w:rsidP="00BD0327">
            <w:pPr>
              <w:rPr>
                <w:rFonts w:cs="Arial"/>
                <w:i/>
                <w:color w:val="002060"/>
                <w:sz w:val="16"/>
                <w:szCs w:val="16"/>
              </w:rPr>
            </w:pPr>
            <w:proofErr w:type="spellStart"/>
            <w:r w:rsidRPr="00005B71">
              <w:rPr>
                <w:rFonts w:cs="Arial"/>
                <w:sz w:val="16"/>
                <w:szCs w:val="16"/>
              </w:rPr>
              <w:t>tbd</w:t>
            </w:r>
            <w:proofErr w:type="spellEnd"/>
            <w:r w:rsidRPr="00005B71">
              <w:rPr>
                <w:rFonts w:cs="Arial"/>
                <w:sz w:val="16"/>
                <w:szCs w:val="16"/>
              </w:rPr>
              <w:t xml:space="preserve"> (WSO)</w:t>
            </w:r>
          </w:p>
        </w:tc>
        <w:tc>
          <w:tcPr>
            <w:tcW w:w="966" w:type="pct"/>
            <w:gridSpan w:val="2"/>
            <w:tcBorders>
              <w:top w:val="nil"/>
              <w:left w:val="nil"/>
              <w:bottom w:val="single" w:sz="4" w:space="0" w:color="auto"/>
              <w:right w:val="nil"/>
            </w:tcBorders>
            <w:shd w:val="clear" w:color="auto" w:fill="auto"/>
            <w:tcMar>
              <w:top w:w="110" w:type="dxa"/>
            </w:tcMar>
          </w:tcPr>
          <w:p w:rsidR="00BD0327" w:rsidRDefault="00BD0327" w:rsidP="00BD0327">
            <w:pPr>
              <w:rPr>
                <w:rFonts w:eastAsia="SimSun" w:cs="Arial"/>
                <w:sz w:val="16"/>
                <w:szCs w:val="16"/>
                <w:lang w:eastAsia="zh-CN"/>
              </w:rPr>
            </w:pPr>
            <w:r w:rsidRPr="00005B71">
              <w:rPr>
                <w:rFonts w:eastAsia="SimSun" w:cs="Arial"/>
                <w:sz w:val="16"/>
                <w:szCs w:val="16"/>
                <w:lang w:eastAsia="zh-CN"/>
              </w:rPr>
              <w:t>5% (WBO)</w:t>
            </w:r>
          </w:p>
          <w:p w:rsidR="00BD0327" w:rsidRDefault="00BD0327" w:rsidP="00BD0327">
            <w:pPr>
              <w:rPr>
                <w:rFonts w:eastAsia="SimSun" w:cs="Arial"/>
                <w:sz w:val="16"/>
                <w:szCs w:val="16"/>
                <w:lang w:eastAsia="zh-CN"/>
              </w:rPr>
            </w:pPr>
            <w:r w:rsidRPr="00005B71">
              <w:rPr>
                <w:rFonts w:eastAsia="SimSun" w:cs="Arial"/>
                <w:sz w:val="16"/>
                <w:szCs w:val="16"/>
                <w:lang w:eastAsia="zh-CN"/>
              </w:rPr>
              <w:t>5% Increase (WJO)</w:t>
            </w:r>
          </w:p>
          <w:p w:rsidR="00BD0327" w:rsidRDefault="00BD0327" w:rsidP="00BD0327">
            <w:pPr>
              <w:rPr>
                <w:rFonts w:eastAsia="SimSun" w:cs="Arial"/>
                <w:sz w:val="16"/>
                <w:szCs w:val="16"/>
                <w:lang w:eastAsia="zh-CN"/>
              </w:rPr>
            </w:pPr>
            <w:r w:rsidRPr="00005B71">
              <w:rPr>
                <w:rFonts w:eastAsia="SimSun" w:cs="Arial"/>
                <w:sz w:val="16"/>
                <w:szCs w:val="16"/>
                <w:lang w:eastAsia="zh-CN"/>
              </w:rPr>
              <w:t>5% increase in ASEAN users (WSO)</w:t>
            </w:r>
          </w:p>
          <w:p w:rsidR="00BD0327" w:rsidRDefault="00BD0327" w:rsidP="00BD0327">
            <w:pPr>
              <w:rPr>
                <w:rFonts w:eastAsia="SimSun" w:cs="Arial"/>
                <w:sz w:val="16"/>
                <w:szCs w:val="16"/>
                <w:lang w:eastAsia="zh-CN"/>
              </w:rPr>
            </w:pPr>
          </w:p>
          <w:p w:rsidR="00BD0327" w:rsidRPr="00005B71" w:rsidRDefault="00BD0327" w:rsidP="00BD0327">
            <w:pPr>
              <w:rPr>
                <w:rFonts w:eastAsia="SimSun" w:cs="Arial"/>
                <w:sz w:val="16"/>
                <w:szCs w:val="16"/>
                <w:lang w:eastAsia="zh-CN"/>
              </w:rPr>
            </w:pPr>
          </w:p>
        </w:tc>
        <w:tc>
          <w:tcPr>
            <w:tcW w:w="1673" w:type="pct"/>
            <w:tcBorders>
              <w:top w:val="nil"/>
              <w:left w:val="nil"/>
              <w:bottom w:val="single" w:sz="4" w:space="0" w:color="auto"/>
              <w:right w:val="nil"/>
            </w:tcBorders>
            <w:shd w:val="clear" w:color="auto" w:fill="FFFFFF"/>
            <w:tcMar>
              <w:top w:w="110" w:type="dxa"/>
            </w:tcMar>
          </w:tcPr>
          <w:p w:rsidR="00BD0327" w:rsidRDefault="00BD0327" w:rsidP="00BD0327">
            <w:pPr>
              <w:rPr>
                <w:rFonts w:eastAsia="SimSun" w:cs="Arial"/>
                <w:sz w:val="16"/>
                <w:szCs w:val="16"/>
                <w:lang w:eastAsia="zh-CN"/>
              </w:rPr>
            </w:pPr>
            <w:r w:rsidRPr="009B1A53">
              <w:rPr>
                <w:rFonts w:eastAsia="SimSun" w:cs="Arial"/>
                <w:sz w:val="16"/>
                <w:szCs w:val="16"/>
                <w:lang w:eastAsia="zh-CN"/>
              </w:rPr>
              <w:t>PATENTSCOPE (Q4 2014)</w:t>
            </w:r>
            <w:r>
              <w:rPr>
                <w:rFonts w:eastAsia="SimSun" w:cs="Arial"/>
                <w:sz w:val="16"/>
                <w:szCs w:val="16"/>
                <w:lang w:eastAsia="zh-CN"/>
              </w:rPr>
              <w:t>:</w:t>
            </w:r>
            <w:r w:rsidRPr="009B1A53">
              <w:rPr>
                <w:rFonts w:eastAsia="SimSun" w:cs="Arial"/>
                <w:sz w:val="16"/>
                <w:szCs w:val="16"/>
                <w:lang w:eastAsia="zh-CN"/>
              </w:rPr>
              <w:t xml:space="preserve"> </w:t>
            </w:r>
          </w:p>
          <w:p w:rsidR="00BD0327" w:rsidRPr="009B1A53" w:rsidRDefault="00BD0327" w:rsidP="00BD0327">
            <w:pPr>
              <w:pStyle w:val="ListParagraph"/>
              <w:numPr>
                <w:ilvl w:val="0"/>
                <w:numId w:val="85"/>
              </w:numPr>
              <w:contextualSpacing/>
              <w:rPr>
                <w:rFonts w:eastAsia="SimSun" w:cs="Arial"/>
                <w:sz w:val="16"/>
                <w:szCs w:val="16"/>
                <w:lang w:eastAsia="zh-CN"/>
              </w:rPr>
            </w:pPr>
            <w:r w:rsidRPr="009B1A53">
              <w:rPr>
                <w:rFonts w:eastAsia="SimSun" w:cs="Arial"/>
                <w:sz w:val="16"/>
                <w:szCs w:val="16"/>
                <w:lang w:eastAsia="zh-CN"/>
              </w:rPr>
              <w:t xml:space="preserve">4,688 </w:t>
            </w:r>
            <w:r>
              <w:rPr>
                <w:rFonts w:eastAsia="SimSun" w:cs="Arial"/>
                <w:sz w:val="16"/>
                <w:szCs w:val="16"/>
                <w:lang w:eastAsia="zh-CN"/>
              </w:rPr>
              <w:t xml:space="preserve">(+22%) </w:t>
            </w:r>
            <w:r w:rsidRPr="009B1A53">
              <w:rPr>
                <w:rFonts w:eastAsia="SimSun" w:cs="Arial"/>
                <w:sz w:val="16"/>
                <w:szCs w:val="16"/>
                <w:lang w:eastAsia="zh-CN"/>
              </w:rPr>
              <w:t>(WBO)</w:t>
            </w:r>
          </w:p>
          <w:p w:rsidR="00BD0327" w:rsidRPr="009B1A53" w:rsidRDefault="00BD0327" w:rsidP="00BD0327">
            <w:pPr>
              <w:pStyle w:val="ListParagraph"/>
              <w:numPr>
                <w:ilvl w:val="0"/>
                <w:numId w:val="85"/>
              </w:numPr>
              <w:contextualSpacing/>
              <w:rPr>
                <w:rFonts w:eastAsia="SimSun" w:cs="Arial"/>
                <w:sz w:val="16"/>
                <w:szCs w:val="16"/>
                <w:lang w:eastAsia="zh-CN"/>
              </w:rPr>
            </w:pPr>
            <w:r w:rsidRPr="009B1A53">
              <w:rPr>
                <w:rFonts w:eastAsia="SimSun" w:cs="Arial"/>
                <w:sz w:val="16"/>
                <w:szCs w:val="16"/>
                <w:lang w:eastAsia="zh-CN"/>
              </w:rPr>
              <w:t xml:space="preserve">14,711 </w:t>
            </w:r>
            <w:r>
              <w:rPr>
                <w:rFonts w:eastAsia="SimSun" w:cs="Arial"/>
                <w:sz w:val="16"/>
                <w:szCs w:val="16"/>
                <w:lang w:eastAsia="zh-CN"/>
              </w:rPr>
              <w:t xml:space="preserve">(-1.3%) </w:t>
            </w:r>
            <w:r w:rsidRPr="009B1A53">
              <w:rPr>
                <w:rFonts w:eastAsia="SimSun" w:cs="Arial"/>
                <w:sz w:val="16"/>
                <w:szCs w:val="16"/>
                <w:lang w:eastAsia="zh-CN"/>
              </w:rPr>
              <w:t>(WJO)</w:t>
            </w:r>
          </w:p>
          <w:p w:rsidR="00BD0327" w:rsidRPr="009B1A53" w:rsidRDefault="00BD0327" w:rsidP="00BD0327">
            <w:pPr>
              <w:pStyle w:val="ListParagraph"/>
              <w:numPr>
                <w:ilvl w:val="0"/>
                <w:numId w:val="85"/>
              </w:numPr>
              <w:contextualSpacing/>
              <w:rPr>
                <w:rFonts w:eastAsia="SimSun" w:cs="Arial"/>
                <w:sz w:val="16"/>
                <w:szCs w:val="16"/>
                <w:lang w:eastAsia="zh-CN"/>
              </w:rPr>
            </w:pPr>
            <w:r w:rsidRPr="009B1A53">
              <w:rPr>
                <w:rFonts w:eastAsia="SimSun" w:cs="Arial"/>
                <w:sz w:val="16"/>
                <w:szCs w:val="16"/>
                <w:lang w:eastAsia="zh-CN"/>
              </w:rPr>
              <w:t xml:space="preserve">8,054 </w:t>
            </w:r>
            <w:r>
              <w:rPr>
                <w:rFonts w:eastAsia="SimSun" w:cs="Arial"/>
                <w:sz w:val="16"/>
                <w:szCs w:val="16"/>
                <w:lang w:eastAsia="zh-CN"/>
              </w:rPr>
              <w:t xml:space="preserve">(+19%) </w:t>
            </w:r>
            <w:r w:rsidRPr="009B1A53">
              <w:rPr>
                <w:rFonts w:eastAsia="SimSun" w:cs="Arial"/>
                <w:sz w:val="16"/>
                <w:szCs w:val="16"/>
                <w:lang w:eastAsia="zh-CN"/>
              </w:rPr>
              <w:t>(WSO)</w:t>
            </w:r>
          </w:p>
          <w:p w:rsidR="00BD0327" w:rsidRDefault="00BD0327" w:rsidP="00BD0327">
            <w:pPr>
              <w:rPr>
                <w:rFonts w:eastAsia="SimSun" w:cs="Arial"/>
                <w:sz w:val="16"/>
                <w:szCs w:val="16"/>
                <w:lang w:eastAsia="zh-CN"/>
              </w:rPr>
            </w:pPr>
          </w:p>
          <w:p w:rsidR="00BD0327" w:rsidRDefault="00BD0327" w:rsidP="00BD0327">
            <w:pPr>
              <w:rPr>
                <w:rFonts w:eastAsia="SimSun" w:cs="Arial"/>
                <w:sz w:val="16"/>
                <w:szCs w:val="16"/>
                <w:lang w:eastAsia="zh-CN"/>
              </w:rPr>
            </w:pPr>
            <w:r>
              <w:rPr>
                <w:rFonts w:eastAsia="SimSun" w:cs="Arial"/>
                <w:sz w:val="16"/>
                <w:szCs w:val="16"/>
                <w:lang w:eastAsia="zh-CN"/>
              </w:rPr>
              <w:t xml:space="preserve"> </w:t>
            </w:r>
          </w:p>
          <w:p w:rsidR="00BD0327" w:rsidRDefault="00BD0327" w:rsidP="00BD0327">
            <w:pPr>
              <w:rPr>
                <w:rFonts w:eastAsia="SimSun" w:cs="Arial"/>
                <w:sz w:val="16"/>
                <w:szCs w:val="16"/>
                <w:lang w:eastAsia="zh-CN"/>
              </w:rPr>
            </w:pPr>
            <w:r>
              <w:rPr>
                <w:rFonts w:eastAsia="SimSun" w:cs="Arial"/>
                <w:sz w:val="16"/>
                <w:szCs w:val="16"/>
                <w:lang w:eastAsia="zh-CN"/>
              </w:rPr>
              <w:t>Global Brands Database (2014):</w:t>
            </w:r>
          </w:p>
          <w:p w:rsidR="00BD0327" w:rsidRPr="009B1A53" w:rsidRDefault="00BD0327" w:rsidP="00BD0327">
            <w:pPr>
              <w:pStyle w:val="ListParagraph"/>
              <w:numPr>
                <w:ilvl w:val="0"/>
                <w:numId w:val="86"/>
              </w:numPr>
              <w:contextualSpacing/>
              <w:rPr>
                <w:rFonts w:eastAsia="SimSun" w:cs="Arial"/>
                <w:sz w:val="16"/>
                <w:szCs w:val="16"/>
                <w:lang w:eastAsia="zh-CN"/>
              </w:rPr>
            </w:pPr>
            <w:r w:rsidRPr="009B1A53">
              <w:rPr>
                <w:rFonts w:eastAsia="SimSun" w:cs="Arial"/>
                <w:sz w:val="16"/>
                <w:szCs w:val="16"/>
                <w:lang w:eastAsia="zh-CN"/>
              </w:rPr>
              <w:t>5</w:t>
            </w:r>
            <w:r>
              <w:rPr>
                <w:rFonts w:eastAsia="SimSun" w:cs="Arial"/>
                <w:sz w:val="16"/>
                <w:szCs w:val="16"/>
                <w:lang w:eastAsia="zh-CN"/>
              </w:rPr>
              <w:t>32 (+186%)</w:t>
            </w:r>
            <w:r w:rsidRPr="009B1A53">
              <w:rPr>
                <w:rFonts w:eastAsia="SimSun" w:cs="Arial"/>
                <w:sz w:val="16"/>
                <w:szCs w:val="16"/>
                <w:lang w:eastAsia="zh-CN"/>
              </w:rPr>
              <w:t xml:space="preserve"> (WBO)</w:t>
            </w:r>
          </w:p>
          <w:p w:rsidR="00BD0327" w:rsidRPr="00891471" w:rsidRDefault="00BD0327" w:rsidP="00BD0327">
            <w:pPr>
              <w:pStyle w:val="ListParagraph"/>
              <w:numPr>
                <w:ilvl w:val="0"/>
                <w:numId w:val="86"/>
              </w:numPr>
              <w:contextualSpacing/>
              <w:rPr>
                <w:rFonts w:eastAsia="SimSun" w:cs="Arial"/>
                <w:sz w:val="16"/>
                <w:szCs w:val="16"/>
                <w:lang w:eastAsia="zh-CN"/>
              </w:rPr>
            </w:pPr>
            <w:r w:rsidRPr="00152A1E">
              <w:rPr>
                <w:rFonts w:eastAsia="SimSun" w:cs="Arial"/>
                <w:sz w:val="16"/>
                <w:szCs w:val="16"/>
                <w:lang w:eastAsia="zh-CN"/>
              </w:rPr>
              <w:t>3,096 (+470%)</w:t>
            </w:r>
            <w:r w:rsidRPr="0012661F">
              <w:rPr>
                <w:rFonts w:eastAsia="SimSun" w:cs="Arial"/>
                <w:sz w:val="16"/>
                <w:szCs w:val="16"/>
                <w:lang w:eastAsia="zh-CN"/>
              </w:rPr>
              <w:t xml:space="preserve"> (WJO)</w:t>
            </w:r>
          </w:p>
          <w:p w:rsidR="00BD0327" w:rsidRPr="00B97F30" w:rsidRDefault="00BD0327" w:rsidP="00BD0327">
            <w:pPr>
              <w:pStyle w:val="ListParagraph"/>
              <w:numPr>
                <w:ilvl w:val="0"/>
                <w:numId w:val="86"/>
              </w:numPr>
              <w:contextualSpacing/>
              <w:rPr>
                <w:rFonts w:eastAsia="SimSun" w:cs="Arial"/>
                <w:sz w:val="16"/>
                <w:szCs w:val="16"/>
                <w:lang w:eastAsia="zh-CN"/>
              </w:rPr>
            </w:pPr>
            <w:r>
              <w:rPr>
                <w:rFonts w:eastAsia="SimSun" w:cs="Arial"/>
                <w:sz w:val="16"/>
                <w:szCs w:val="16"/>
                <w:lang w:eastAsia="zh-CN"/>
              </w:rPr>
              <w:t>8,941</w:t>
            </w:r>
            <w:r w:rsidRPr="009B1A53">
              <w:rPr>
                <w:rFonts w:eastAsia="SimSun" w:cs="Arial"/>
                <w:sz w:val="16"/>
                <w:szCs w:val="16"/>
                <w:lang w:eastAsia="zh-CN"/>
              </w:rPr>
              <w:t xml:space="preserve"> </w:t>
            </w:r>
            <w:r>
              <w:rPr>
                <w:rFonts w:eastAsia="SimSun" w:cs="Arial"/>
                <w:sz w:val="16"/>
                <w:szCs w:val="16"/>
                <w:lang w:eastAsia="zh-CN"/>
              </w:rPr>
              <w:t xml:space="preserve">(+423%) </w:t>
            </w:r>
            <w:r w:rsidRPr="009B1A53">
              <w:rPr>
                <w:rFonts w:eastAsia="SimSun" w:cs="Arial"/>
                <w:sz w:val="16"/>
                <w:szCs w:val="16"/>
                <w:lang w:eastAsia="zh-CN"/>
              </w:rPr>
              <w:t>(WSO)</w:t>
            </w:r>
          </w:p>
          <w:p w:rsidR="00BD0327" w:rsidRDefault="00BD0327" w:rsidP="00BD0327">
            <w:pPr>
              <w:rPr>
                <w:rFonts w:eastAsia="SimSun" w:cs="Arial"/>
                <w:sz w:val="16"/>
                <w:szCs w:val="16"/>
                <w:lang w:eastAsia="zh-CN"/>
              </w:rPr>
            </w:pPr>
          </w:p>
        </w:tc>
        <w:tc>
          <w:tcPr>
            <w:tcW w:w="465" w:type="pct"/>
            <w:tcBorders>
              <w:top w:val="nil"/>
              <w:left w:val="nil"/>
              <w:bottom w:val="single" w:sz="4" w:space="0" w:color="auto"/>
              <w:right w:val="single" w:sz="4" w:space="0" w:color="auto"/>
            </w:tcBorders>
            <w:shd w:val="clear" w:color="auto" w:fill="auto"/>
            <w:tcMar>
              <w:top w:w="110" w:type="dxa"/>
            </w:tcMar>
          </w:tcPr>
          <w:p w:rsidR="00BD0327" w:rsidRPr="004D5610" w:rsidRDefault="00BD0327" w:rsidP="00BD0327">
            <w:pPr>
              <w:keepNext/>
              <w:keepLines/>
              <w:jc w:val="center"/>
              <w:rPr>
                <w:rFonts w:eastAsia="SimSun" w:cs="Arial"/>
                <w:b/>
                <w:bCs/>
                <w:color w:val="00B050"/>
                <w:sz w:val="16"/>
                <w:szCs w:val="16"/>
                <w:lang w:eastAsia="zh-CN"/>
              </w:rPr>
            </w:pPr>
            <w:r w:rsidRPr="004D5610">
              <w:rPr>
                <w:rFonts w:eastAsia="SimSun" w:cs="Arial"/>
                <w:b/>
                <w:bCs/>
                <w:color w:val="00B050"/>
                <w:sz w:val="16"/>
                <w:szCs w:val="16"/>
                <w:lang w:eastAsia="zh-CN"/>
              </w:rPr>
              <w:t>On track</w:t>
            </w:r>
          </w:p>
          <w:p w:rsidR="00BD0327" w:rsidRPr="004D5610" w:rsidRDefault="00BD0327" w:rsidP="00BD0327">
            <w:pPr>
              <w:keepNext/>
              <w:keepLines/>
              <w:jc w:val="center"/>
              <w:rPr>
                <w:rFonts w:eastAsia="SimSun" w:cs="Arial"/>
                <w:b/>
                <w:bCs/>
                <w:color w:val="FF0000"/>
                <w:sz w:val="16"/>
                <w:szCs w:val="16"/>
                <w:lang w:eastAsia="zh-CN"/>
              </w:rPr>
            </w:pPr>
            <w:r w:rsidRPr="004D5610">
              <w:rPr>
                <w:rFonts w:eastAsia="SimSun" w:cs="Arial"/>
                <w:b/>
                <w:bCs/>
                <w:color w:val="FF0000"/>
                <w:sz w:val="16"/>
                <w:szCs w:val="16"/>
                <w:lang w:eastAsia="zh-CN"/>
              </w:rPr>
              <w:t xml:space="preserve">Not </w:t>
            </w:r>
            <w:r>
              <w:rPr>
                <w:rFonts w:eastAsia="SimSun" w:cs="Arial"/>
                <w:b/>
                <w:bCs/>
                <w:color w:val="FF0000"/>
                <w:sz w:val="16"/>
                <w:szCs w:val="16"/>
                <w:lang w:eastAsia="zh-CN"/>
              </w:rPr>
              <w:br/>
            </w:r>
            <w:r w:rsidRPr="004D5610">
              <w:rPr>
                <w:rFonts w:eastAsia="SimSun" w:cs="Arial"/>
                <w:b/>
                <w:bCs/>
                <w:color w:val="FF0000"/>
                <w:sz w:val="16"/>
                <w:szCs w:val="16"/>
                <w:lang w:eastAsia="zh-CN"/>
              </w:rPr>
              <w:t>On track</w:t>
            </w:r>
          </w:p>
          <w:p w:rsidR="00BD0327" w:rsidRPr="004D5610" w:rsidRDefault="00BD0327" w:rsidP="00BD0327">
            <w:pPr>
              <w:keepNext/>
              <w:keepLines/>
              <w:jc w:val="center"/>
              <w:rPr>
                <w:rFonts w:eastAsia="SimSun" w:cs="Arial"/>
                <w:b/>
                <w:bCs/>
                <w:color w:val="808080"/>
                <w:sz w:val="16"/>
                <w:szCs w:val="16"/>
                <w:lang w:eastAsia="zh-CN"/>
              </w:rPr>
            </w:pPr>
            <w:r w:rsidRPr="004D5610">
              <w:rPr>
                <w:rFonts w:eastAsia="SimSun" w:cs="Arial"/>
                <w:b/>
                <w:bCs/>
                <w:color w:val="00B050"/>
                <w:sz w:val="16"/>
                <w:szCs w:val="16"/>
                <w:lang w:eastAsia="zh-CN"/>
              </w:rPr>
              <w:t>On track</w:t>
            </w:r>
          </w:p>
          <w:p w:rsidR="00BD0327" w:rsidRPr="004D5610" w:rsidRDefault="00BD0327" w:rsidP="00BD0327">
            <w:pPr>
              <w:keepNext/>
              <w:keepLines/>
              <w:jc w:val="center"/>
              <w:rPr>
                <w:rFonts w:eastAsia="SimSun" w:cs="Arial"/>
                <w:b/>
                <w:bCs/>
                <w:color w:val="808080"/>
                <w:sz w:val="16"/>
                <w:szCs w:val="16"/>
                <w:highlight w:val="yellow"/>
                <w:lang w:eastAsia="zh-CN"/>
              </w:rPr>
            </w:pPr>
          </w:p>
          <w:p w:rsidR="00BD0327" w:rsidRPr="004D5610" w:rsidRDefault="00BD0327" w:rsidP="00BD0327">
            <w:pPr>
              <w:keepNext/>
              <w:keepLines/>
              <w:jc w:val="center"/>
              <w:rPr>
                <w:rFonts w:eastAsia="SimSun" w:cs="Arial"/>
                <w:b/>
                <w:bCs/>
                <w:color w:val="00B050"/>
                <w:sz w:val="16"/>
                <w:szCs w:val="16"/>
                <w:highlight w:val="yellow"/>
                <w:lang w:eastAsia="zh-CN"/>
              </w:rPr>
            </w:pPr>
          </w:p>
          <w:p w:rsidR="00BD0327" w:rsidRDefault="00BD0327" w:rsidP="00BD0327">
            <w:pPr>
              <w:keepNext/>
              <w:keepLines/>
              <w:jc w:val="center"/>
              <w:rPr>
                <w:rFonts w:eastAsia="SimSun" w:cs="Arial"/>
                <w:b/>
                <w:bCs/>
                <w:color w:val="00B050"/>
                <w:sz w:val="16"/>
                <w:szCs w:val="16"/>
                <w:lang w:eastAsia="zh-CN"/>
              </w:rPr>
            </w:pPr>
          </w:p>
          <w:p w:rsidR="00BD0327" w:rsidRPr="004D5610" w:rsidRDefault="00BD0327" w:rsidP="00BD0327">
            <w:pPr>
              <w:keepNext/>
              <w:keepLines/>
              <w:jc w:val="center"/>
              <w:rPr>
                <w:rFonts w:eastAsia="SimSun" w:cs="Arial"/>
                <w:b/>
                <w:bCs/>
                <w:color w:val="00B050"/>
                <w:sz w:val="16"/>
                <w:szCs w:val="16"/>
                <w:lang w:eastAsia="zh-CN"/>
              </w:rPr>
            </w:pPr>
            <w:r w:rsidRPr="004D5610">
              <w:rPr>
                <w:rFonts w:eastAsia="SimSun" w:cs="Arial"/>
                <w:b/>
                <w:bCs/>
                <w:color w:val="00B050"/>
                <w:sz w:val="16"/>
                <w:szCs w:val="16"/>
                <w:lang w:eastAsia="zh-CN"/>
              </w:rPr>
              <w:t>On track</w:t>
            </w:r>
          </w:p>
          <w:p w:rsidR="00BD0327" w:rsidRPr="004D5610" w:rsidRDefault="00BD0327" w:rsidP="00BD0327">
            <w:pPr>
              <w:keepNext/>
              <w:keepLines/>
              <w:jc w:val="center"/>
              <w:rPr>
                <w:rFonts w:eastAsia="SimSun" w:cs="Arial"/>
                <w:b/>
                <w:bCs/>
                <w:color w:val="808080"/>
                <w:sz w:val="16"/>
                <w:szCs w:val="16"/>
                <w:lang w:eastAsia="zh-CN"/>
              </w:rPr>
            </w:pPr>
            <w:r w:rsidRPr="004D5610">
              <w:rPr>
                <w:rFonts w:eastAsia="SimSun" w:cs="Arial"/>
                <w:b/>
                <w:bCs/>
                <w:color w:val="00B050"/>
                <w:sz w:val="16"/>
                <w:szCs w:val="16"/>
                <w:lang w:eastAsia="zh-CN"/>
              </w:rPr>
              <w:t>On track</w:t>
            </w:r>
          </w:p>
          <w:p w:rsidR="00BD0327" w:rsidRPr="004D5610" w:rsidRDefault="00BD0327" w:rsidP="00BD0327">
            <w:pPr>
              <w:keepNext/>
              <w:keepLines/>
              <w:jc w:val="center"/>
              <w:rPr>
                <w:rFonts w:eastAsia="SimSun" w:cs="Arial"/>
                <w:b/>
                <w:bCs/>
                <w:color w:val="808080"/>
                <w:sz w:val="16"/>
                <w:szCs w:val="16"/>
                <w:lang w:eastAsia="zh-CN"/>
              </w:rPr>
            </w:pPr>
            <w:r w:rsidRPr="004D5610">
              <w:rPr>
                <w:rFonts w:eastAsia="SimSun" w:cs="Arial"/>
                <w:b/>
                <w:bCs/>
                <w:color w:val="00B050"/>
                <w:sz w:val="16"/>
                <w:szCs w:val="16"/>
                <w:lang w:eastAsia="zh-CN"/>
              </w:rPr>
              <w:t>On track</w:t>
            </w:r>
          </w:p>
          <w:p w:rsidR="00BD0327" w:rsidRPr="004D5610" w:rsidRDefault="00BD0327" w:rsidP="00BD0327">
            <w:pPr>
              <w:keepNext/>
              <w:keepLines/>
              <w:rPr>
                <w:rFonts w:eastAsia="SimSun" w:cs="Arial"/>
                <w:b/>
                <w:bCs/>
                <w:color w:val="00B050"/>
                <w:sz w:val="16"/>
                <w:szCs w:val="16"/>
                <w:lang w:eastAsia="zh-CN"/>
              </w:rPr>
            </w:pPr>
          </w:p>
        </w:tc>
      </w:tr>
      <w:tr w:rsidR="00BD0327" w:rsidRPr="00B35AFA" w:rsidTr="00BD0327">
        <w:tc>
          <w:tcPr>
            <w:tcW w:w="5000" w:type="pct"/>
            <w:gridSpan w:val="6"/>
            <w:tcBorders>
              <w:top w:val="single" w:sz="4" w:space="0" w:color="auto"/>
              <w:bottom w:val="single" w:sz="4" w:space="0" w:color="auto"/>
            </w:tcBorders>
            <w:shd w:val="clear" w:color="auto" w:fill="CCFFFF"/>
          </w:tcPr>
          <w:p w:rsidR="00BD0327" w:rsidRDefault="00BD0327" w:rsidP="00BD0327">
            <w:pPr>
              <w:keepNext/>
              <w:keepLines/>
              <w:tabs>
                <w:tab w:val="left" w:pos="1452"/>
              </w:tabs>
              <w:ind w:left="1452" w:hanging="1452"/>
              <w:rPr>
                <w:rFonts w:eastAsia="SimSun" w:cs="Arial"/>
                <w:bCs/>
                <w:sz w:val="16"/>
                <w:szCs w:val="16"/>
                <w:lang w:eastAsia="zh-CN"/>
              </w:rPr>
            </w:pPr>
            <w:r w:rsidRPr="00B35AFA">
              <w:rPr>
                <w:rFonts w:eastAsia="SimSun" w:cs="Arial"/>
                <w:b/>
                <w:bCs/>
                <w:sz w:val="16"/>
                <w:szCs w:val="16"/>
                <w:lang w:eastAsia="zh-CN"/>
              </w:rPr>
              <w:t>Expected Result:</w:t>
            </w:r>
            <w:r w:rsidRPr="00B35AFA">
              <w:rPr>
                <w:rFonts w:eastAsia="SimSun" w:cs="Arial"/>
                <w:b/>
                <w:bCs/>
                <w:sz w:val="16"/>
                <w:szCs w:val="16"/>
                <w:lang w:eastAsia="zh-CN"/>
              </w:rPr>
              <w:tab/>
            </w:r>
            <w:r w:rsidRPr="00005B71">
              <w:rPr>
                <w:rFonts w:eastAsia="SimSun" w:cs="Arial"/>
                <w:bCs/>
                <w:sz w:val="16"/>
                <w:szCs w:val="16"/>
                <w:lang w:eastAsia="zh-CN"/>
              </w:rPr>
              <w:t>VII.2 IP-based platforms and tools are used for knowledge transfer, technology adaptation and diffusion from developed to developing countries, particularly least developed countries, to address global challenges</w:t>
            </w:r>
          </w:p>
          <w:p w:rsidR="00BD0327" w:rsidRPr="00B35AFA" w:rsidRDefault="00BD0327" w:rsidP="00BD0327">
            <w:pPr>
              <w:keepNext/>
              <w:keepLines/>
              <w:tabs>
                <w:tab w:val="left" w:pos="1452"/>
              </w:tabs>
              <w:ind w:left="1452" w:hanging="1452"/>
              <w:rPr>
                <w:rFonts w:eastAsia="SimSun" w:cs="Arial"/>
                <w:bCs/>
                <w:color w:val="808080"/>
                <w:sz w:val="16"/>
                <w:szCs w:val="16"/>
                <w:lang w:eastAsia="zh-CN"/>
              </w:rPr>
            </w:pPr>
          </w:p>
        </w:tc>
      </w:tr>
      <w:tr w:rsidR="00BD0327" w:rsidRPr="00B35AFA" w:rsidTr="00BD0327">
        <w:tc>
          <w:tcPr>
            <w:tcW w:w="1080" w:type="pct"/>
            <w:tcBorders>
              <w:top w:val="single" w:sz="4" w:space="0" w:color="auto"/>
              <w:left w:val="single" w:sz="4" w:space="0" w:color="auto"/>
              <w:bottom w:val="nil"/>
              <w:right w:val="nil"/>
            </w:tcBorders>
            <w:shd w:val="clear" w:color="auto" w:fill="auto"/>
          </w:tcPr>
          <w:p w:rsidR="00BD0327" w:rsidRPr="00005B71" w:rsidRDefault="00BD0327" w:rsidP="00BD0327">
            <w:pPr>
              <w:rPr>
                <w:rFonts w:eastAsia="SimSun" w:cs="Arial"/>
                <w:color w:val="000000"/>
                <w:sz w:val="16"/>
                <w:szCs w:val="16"/>
                <w:lang w:eastAsia="zh-CN"/>
              </w:rPr>
            </w:pPr>
            <w:r w:rsidRPr="00B35AFA">
              <w:rPr>
                <w:rFonts w:eastAsia="SimSun" w:cs="Arial"/>
                <w:b/>
                <w:bCs/>
                <w:sz w:val="16"/>
                <w:szCs w:val="16"/>
                <w:lang w:eastAsia="zh-CN"/>
              </w:rPr>
              <w:t>Performance Indicators</w:t>
            </w:r>
          </w:p>
        </w:tc>
        <w:tc>
          <w:tcPr>
            <w:tcW w:w="816" w:type="pct"/>
            <w:tcBorders>
              <w:top w:val="single" w:sz="4" w:space="0" w:color="auto"/>
              <w:left w:val="nil"/>
              <w:bottom w:val="nil"/>
              <w:right w:val="nil"/>
            </w:tcBorders>
            <w:shd w:val="clear" w:color="auto" w:fill="auto"/>
          </w:tcPr>
          <w:p w:rsidR="00BD0327" w:rsidRDefault="00BD0327" w:rsidP="00BD0327">
            <w:pPr>
              <w:rPr>
                <w:rFonts w:cs="Arial"/>
                <w:i/>
                <w:color w:val="002060"/>
                <w:sz w:val="16"/>
                <w:szCs w:val="16"/>
              </w:rPr>
            </w:pPr>
            <w:r w:rsidRPr="00B35AFA">
              <w:rPr>
                <w:rFonts w:cs="Arial"/>
                <w:b/>
                <w:bCs/>
                <w:sz w:val="16"/>
                <w:szCs w:val="16"/>
              </w:rPr>
              <w:t>Baselines</w:t>
            </w:r>
          </w:p>
        </w:tc>
        <w:tc>
          <w:tcPr>
            <w:tcW w:w="966" w:type="pct"/>
            <w:gridSpan w:val="2"/>
            <w:tcBorders>
              <w:top w:val="single" w:sz="4" w:space="0" w:color="auto"/>
              <w:left w:val="nil"/>
              <w:bottom w:val="nil"/>
              <w:right w:val="nil"/>
            </w:tcBorders>
            <w:shd w:val="clear" w:color="auto" w:fill="auto"/>
            <w:tcMar>
              <w:top w:w="110" w:type="dxa"/>
            </w:tcMar>
          </w:tcPr>
          <w:p w:rsidR="00BD0327" w:rsidRPr="00005B71" w:rsidRDefault="00BD0327" w:rsidP="00BD0327">
            <w:pPr>
              <w:rPr>
                <w:rFonts w:eastAsia="SimSun" w:cs="Arial"/>
                <w:sz w:val="16"/>
                <w:szCs w:val="16"/>
                <w:lang w:eastAsia="zh-CN"/>
              </w:rPr>
            </w:pPr>
            <w:r w:rsidRPr="00B35AFA">
              <w:rPr>
                <w:rFonts w:cs="Arial"/>
                <w:b/>
                <w:sz w:val="16"/>
                <w:szCs w:val="16"/>
              </w:rPr>
              <w:t>Targets</w:t>
            </w:r>
          </w:p>
        </w:tc>
        <w:tc>
          <w:tcPr>
            <w:tcW w:w="1673" w:type="pct"/>
            <w:tcBorders>
              <w:top w:val="single" w:sz="4" w:space="0" w:color="auto"/>
              <w:left w:val="nil"/>
              <w:bottom w:val="nil"/>
              <w:right w:val="nil"/>
            </w:tcBorders>
            <w:shd w:val="clear" w:color="auto" w:fill="FFFFFF"/>
            <w:tcMar>
              <w:top w:w="110" w:type="dxa"/>
            </w:tcMar>
          </w:tcPr>
          <w:p w:rsidR="00BD0327" w:rsidRPr="00B35AFA" w:rsidRDefault="00BD0327" w:rsidP="00BD0327">
            <w:pPr>
              <w:rPr>
                <w:rFonts w:eastAsia="SimSun" w:cs="Arial"/>
                <w:sz w:val="16"/>
                <w:szCs w:val="16"/>
                <w:lang w:eastAsia="zh-CN"/>
              </w:rPr>
            </w:pPr>
            <w:r w:rsidRPr="00B35AFA">
              <w:rPr>
                <w:rFonts w:eastAsia="SimSun" w:cs="Arial"/>
                <w:b/>
                <w:bCs/>
                <w:sz w:val="16"/>
                <w:szCs w:val="16"/>
                <w:lang w:eastAsia="zh-CN"/>
              </w:rPr>
              <w:t>Performance Data</w:t>
            </w:r>
          </w:p>
        </w:tc>
        <w:tc>
          <w:tcPr>
            <w:tcW w:w="465" w:type="pct"/>
            <w:tcBorders>
              <w:top w:val="single" w:sz="4" w:space="0" w:color="auto"/>
              <w:left w:val="nil"/>
              <w:bottom w:val="nil"/>
              <w:right w:val="single" w:sz="4" w:space="0" w:color="auto"/>
            </w:tcBorders>
            <w:shd w:val="clear" w:color="auto" w:fill="auto"/>
            <w:tcMar>
              <w:top w:w="110" w:type="dxa"/>
            </w:tcMar>
          </w:tcPr>
          <w:p w:rsidR="00BD0327" w:rsidRPr="00B35AFA" w:rsidRDefault="00BD0327" w:rsidP="00BD0327">
            <w:pPr>
              <w:keepNext/>
              <w:keepLines/>
              <w:jc w:val="center"/>
              <w:rPr>
                <w:rFonts w:eastAsia="SimSun" w:cs="Arial"/>
                <w:bCs/>
                <w:color w:val="808080"/>
                <w:sz w:val="16"/>
                <w:szCs w:val="16"/>
                <w:lang w:eastAsia="zh-CN"/>
              </w:rPr>
            </w:pPr>
            <w:r w:rsidRPr="00B35AFA">
              <w:rPr>
                <w:rFonts w:eastAsia="SimSun" w:cs="Arial"/>
                <w:b/>
                <w:bCs/>
                <w:sz w:val="16"/>
                <w:szCs w:val="16"/>
                <w:lang w:eastAsia="zh-CN"/>
              </w:rPr>
              <w:t>TLS</w:t>
            </w:r>
          </w:p>
        </w:tc>
      </w:tr>
      <w:tr w:rsidR="00BD0327" w:rsidRPr="00B35AFA" w:rsidTr="00BD0327">
        <w:tc>
          <w:tcPr>
            <w:tcW w:w="1080" w:type="pct"/>
            <w:tcBorders>
              <w:top w:val="nil"/>
              <w:left w:val="single" w:sz="4" w:space="0" w:color="auto"/>
              <w:bottom w:val="single" w:sz="4" w:space="0" w:color="auto"/>
              <w:right w:val="nil"/>
            </w:tcBorders>
            <w:shd w:val="clear" w:color="auto" w:fill="auto"/>
          </w:tcPr>
          <w:p w:rsidR="00BD0327" w:rsidRPr="00005B71" w:rsidRDefault="00BD0327" w:rsidP="00BD0327">
            <w:pPr>
              <w:rPr>
                <w:rFonts w:eastAsia="SimSun" w:cs="Arial"/>
                <w:color w:val="000000"/>
                <w:sz w:val="16"/>
                <w:szCs w:val="16"/>
                <w:lang w:eastAsia="zh-CN"/>
              </w:rPr>
            </w:pPr>
            <w:r w:rsidRPr="00005B71">
              <w:rPr>
                <w:rFonts w:eastAsia="SimSun" w:cs="Arial"/>
                <w:color w:val="000000"/>
                <w:sz w:val="16"/>
                <w:szCs w:val="16"/>
                <w:lang w:eastAsia="zh-CN"/>
              </w:rPr>
              <w:t xml:space="preserve">Participation of stakeholders in WIPO's platform such as WIPO GREEN and WIPO </w:t>
            </w:r>
            <w:proofErr w:type="spellStart"/>
            <w:r w:rsidRPr="00005B71">
              <w:rPr>
                <w:rFonts w:eastAsia="SimSun" w:cs="Arial"/>
                <w:color w:val="000000"/>
                <w:sz w:val="16"/>
                <w:szCs w:val="16"/>
                <w:lang w:eastAsia="zh-CN"/>
              </w:rPr>
              <w:t>Re:Search</w:t>
            </w:r>
            <w:proofErr w:type="spellEnd"/>
          </w:p>
        </w:tc>
        <w:tc>
          <w:tcPr>
            <w:tcW w:w="816" w:type="pct"/>
            <w:tcBorders>
              <w:top w:val="nil"/>
              <w:left w:val="nil"/>
              <w:bottom w:val="single" w:sz="4" w:space="0" w:color="auto"/>
              <w:right w:val="nil"/>
            </w:tcBorders>
            <w:shd w:val="clear" w:color="auto" w:fill="auto"/>
          </w:tcPr>
          <w:p w:rsidR="00BD0327" w:rsidRDefault="00BD0327" w:rsidP="00BD0327">
            <w:pPr>
              <w:rPr>
                <w:rFonts w:cs="Arial"/>
                <w:i/>
                <w:color w:val="002060"/>
                <w:sz w:val="16"/>
                <w:szCs w:val="16"/>
              </w:rPr>
            </w:pPr>
            <w:r>
              <w:rPr>
                <w:rFonts w:cs="Arial"/>
                <w:i/>
                <w:color w:val="002060"/>
                <w:sz w:val="16"/>
                <w:szCs w:val="16"/>
              </w:rPr>
              <w:t>Updated Baseline end 2013</w:t>
            </w:r>
            <w:r w:rsidRPr="00B35AFA">
              <w:rPr>
                <w:rFonts w:cs="Arial"/>
                <w:i/>
                <w:color w:val="002060"/>
                <w:sz w:val="16"/>
                <w:szCs w:val="16"/>
              </w:rPr>
              <w:t xml:space="preserve">:  </w:t>
            </w:r>
          </w:p>
          <w:p w:rsidR="00BD0327" w:rsidRDefault="00BD0327" w:rsidP="00BD0327">
            <w:pPr>
              <w:rPr>
                <w:rFonts w:cs="Arial"/>
                <w:color w:val="002060"/>
                <w:sz w:val="16"/>
                <w:szCs w:val="16"/>
              </w:rPr>
            </w:pPr>
            <w:r w:rsidRPr="009B1A53">
              <w:rPr>
                <w:rFonts w:cs="Arial"/>
                <w:color w:val="002060"/>
                <w:sz w:val="16"/>
                <w:szCs w:val="16"/>
              </w:rPr>
              <w:t>n/a (WBO)</w:t>
            </w:r>
          </w:p>
          <w:p w:rsidR="00BD0327" w:rsidRDefault="00BD0327" w:rsidP="00BD0327">
            <w:pPr>
              <w:rPr>
                <w:rFonts w:cs="Arial"/>
                <w:sz w:val="16"/>
                <w:szCs w:val="16"/>
              </w:rPr>
            </w:pPr>
          </w:p>
          <w:p w:rsidR="00BD0327" w:rsidRPr="00913773" w:rsidRDefault="00BD0327" w:rsidP="00BD0327">
            <w:pPr>
              <w:rPr>
                <w:rFonts w:cs="Arial"/>
                <w:sz w:val="16"/>
                <w:szCs w:val="16"/>
              </w:rPr>
            </w:pPr>
            <w:r>
              <w:rPr>
                <w:rFonts w:cs="Arial"/>
                <w:sz w:val="16"/>
                <w:szCs w:val="16"/>
              </w:rPr>
              <w:t>1 (JIPA)</w:t>
            </w:r>
            <w:r w:rsidRPr="00005B71">
              <w:rPr>
                <w:rFonts w:cs="Arial"/>
                <w:sz w:val="16"/>
                <w:szCs w:val="16"/>
              </w:rPr>
              <w:t xml:space="preserve"> (WJO)</w:t>
            </w:r>
          </w:p>
          <w:p w:rsidR="00BD0327" w:rsidRPr="009B1A53" w:rsidRDefault="00BD0327" w:rsidP="00BD0327">
            <w:pPr>
              <w:rPr>
                <w:rFonts w:cs="Arial"/>
                <w:color w:val="002060"/>
                <w:sz w:val="16"/>
                <w:szCs w:val="16"/>
              </w:rPr>
            </w:pPr>
          </w:p>
          <w:p w:rsidR="00BD0327" w:rsidRDefault="00BD0327" w:rsidP="00BD0327">
            <w:pPr>
              <w:rPr>
                <w:rFonts w:cs="Arial"/>
                <w:color w:val="002060"/>
                <w:sz w:val="16"/>
                <w:szCs w:val="16"/>
              </w:rPr>
            </w:pPr>
            <w:r w:rsidRPr="007E49B9">
              <w:rPr>
                <w:rFonts w:cs="Arial"/>
                <w:color w:val="002060"/>
                <w:sz w:val="16"/>
                <w:szCs w:val="16"/>
              </w:rPr>
              <w:t>No baseline available for WIPO GREEN due to launch of platform in November 2013</w:t>
            </w:r>
            <w:r>
              <w:rPr>
                <w:rFonts w:cs="Arial"/>
                <w:color w:val="002060"/>
                <w:sz w:val="16"/>
                <w:szCs w:val="16"/>
              </w:rPr>
              <w:t xml:space="preserve">; 848 visitors to WIPO </w:t>
            </w:r>
            <w:proofErr w:type="spellStart"/>
            <w:r>
              <w:rPr>
                <w:rFonts w:cs="Arial"/>
                <w:color w:val="002060"/>
                <w:sz w:val="16"/>
                <w:szCs w:val="16"/>
              </w:rPr>
              <w:t>Re:Search</w:t>
            </w:r>
            <w:proofErr w:type="spellEnd"/>
            <w:r>
              <w:rPr>
                <w:rFonts w:cs="Arial"/>
                <w:color w:val="002060"/>
                <w:sz w:val="16"/>
                <w:szCs w:val="16"/>
              </w:rPr>
              <w:t xml:space="preserve"> (WSO)                       </w:t>
            </w:r>
          </w:p>
          <w:p w:rsidR="00BD0327" w:rsidRDefault="00BD0327" w:rsidP="00BD0327">
            <w:pPr>
              <w:rPr>
                <w:rFonts w:cs="Arial"/>
                <w:i/>
                <w:sz w:val="16"/>
                <w:szCs w:val="16"/>
              </w:rPr>
            </w:pPr>
          </w:p>
          <w:p w:rsidR="00BD0327" w:rsidRPr="00F60CAF" w:rsidRDefault="00BD0327" w:rsidP="00BD0327">
            <w:pPr>
              <w:rPr>
                <w:rFonts w:cs="Arial"/>
                <w:i/>
                <w:sz w:val="16"/>
                <w:szCs w:val="16"/>
                <w:lang w:val="pt-BR"/>
              </w:rPr>
            </w:pPr>
            <w:r w:rsidRPr="00F60CAF">
              <w:rPr>
                <w:rFonts w:cs="Arial"/>
                <w:i/>
                <w:sz w:val="16"/>
                <w:szCs w:val="16"/>
                <w:lang w:val="pt-BR"/>
              </w:rPr>
              <w:t xml:space="preserve">Original Baseline P&amp;B 2014/15: </w:t>
            </w:r>
          </w:p>
          <w:p w:rsidR="00BD0327" w:rsidRPr="00F60CAF" w:rsidRDefault="00BD0327" w:rsidP="00BD0327">
            <w:pPr>
              <w:rPr>
                <w:rFonts w:cs="Arial"/>
                <w:sz w:val="16"/>
                <w:szCs w:val="16"/>
                <w:lang w:val="pt-BR"/>
              </w:rPr>
            </w:pPr>
            <w:r w:rsidRPr="00F60CAF">
              <w:rPr>
                <w:rFonts w:cs="Arial"/>
                <w:sz w:val="16"/>
                <w:szCs w:val="16"/>
                <w:lang w:val="pt-BR"/>
              </w:rPr>
              <w:t>n/a (WBO)</w:t>
            </w:r>
          </w:p>
          <w:p w:rsidR="00BD0327" w:rsidRPr="00F60CAF" w:rsidRDefault="00BD0327" w:rsidP="00BD0327">
            <w:pPr>
              <w:rPr>
                <w:rFonts w:cs="Arial"/>
                <w:sz w:val="16"/>
                <w:szCs w:val="16"/>
                <w:lang w:val="pt-BR"/>
              </w:rPr>
            </w:pPr>
            <w:r w:rsidRPr="00F60CAF">
              <w:rPr>
                <w:rFonts w:cs="Arial"/>
                <w:sz w:val="16"/>
                <w:szCs w:val="16"/>
                <w:lang w:val="pt-BR"/>
              </w:rPr>
              <w:t>n/a (WJO)</w:t>
            </w:r>
          </w:p>
          <w:p w:rsidR="00BD0327" w:rsidRPr="00F60CAF" w:rsidRDefault="00BD0327" w:rsidP="00BD0327">
            <w:pPr>
              <w:rPr>
                <w:rFonts w:cs="Arial"/>
                <w:sz w:val="16"/>
                <w:szCs w:val="16"/>
                <w:lang w:val="pt-BR"/>
              </w:rPr>
            </w:pPr>
            <w:r w:rsidRPr="00F60CAF">
              <w:rPr>
                <w:rFonts w:cs="Arial"/>
                <w:sz w:val="16"/>
                <w:szCs w:val="16"/>
                <w:lang w:val="pt-BR"/>
              </w:rPr>
              <w:t>tbd (WSO)</w:t>
            </w:r>
          </w:p>
          <w:p w:rsidR="00BD0327" w:rsidRPr="00F60CAF" w:rsidRDefault="00BD0327" w:rsidP="00BD0327">
            <w:pPr>
              <w:rPr>
                <w:rFonts w:cs="Arial"/>
                <w:sz w:val="16"/>
                <w:szCs w:val="16"/>
                <w:lang w:val="pt-BR"/>
              </w:rPr>
            </w:pPr>
          </w:p>
        </w:tc>
        <w:tc>
          <w:tcPr>
            <w:tcW w:w="966" w:type="pct"/>
            <w:gridSpan w:val="2"/>
            <w:tcBorders>
              <w:top w:val="nil"/>
              <w:left w:val="nil"/>
              <w:bottom w:val="single" w:sz="4" w:space="0" w:color="auto"/>
              <w:right w:val="nil"/>
            </w:tcBorders>
            <w:shd w:val="clear" w:color="auto" w:fill="auto"/>
            <w:tcMar>
              <w:top w:w="110" w:type="dxa"/>
            </w:tcMar>
          </w:tcPr>
          <w:p w:rsidR="00BD0327" w:rsidRDefault="00BD0327" w:rsidP="00BD0327">
            <w:pPr>
              <w:rPr>
                <w:rFonts w:eastAsia="SimSun" w:cs="Arial"/>
                <w:sz w:val="16"/>
                <w:szCs w:val="16"/>
                <w:lang w:eastAsia="zh-CN"/>
              </w:rPr>
            </w:pPr>
            <w:r w:rsidRPr="00005B71">
              <w:rPr>
                <w:rFonts w:eastAsia="SimSun" w:cs="Arial"/>
                <w:sz w:val="16"/>
                <w:szCs w:val="16"/>
                <w:lang w:eastAsia="zh-CN"/>
              </w:rPr>
              <w:t>30 technologies developed by Brazilian institutions and firms in WIPO GREEN (WBO)</w:t>
            </w:r>
          </w:p>
          <w:p w:rsidR="00BD0327" w:rsidRDefault="00BD0327" w:rsidP="00BD0327">
            <w:pPr>
              <w:rPr>
                <w:rFonts w:eastAsia="SimSun" w:cs="Arial"/>
                <w:sz w:val="16"/>
                <w:szCs w:val="16"/>
                <w:lang w:eastAsia="zh-CN"/>
              </w:rPr>
            </w:pPr>
          </w:p>
          <w:p w:rsidR="00BD0327" w:rsidRDefault="008218F3" w:rsidP="00BD0327">
            <w:pPr>
              <w:rPr>
                <w:rFonts w:eastAsia="SimSun" w:cs="Arial"/>
                <w:sz w:val="16"/>
                <w:szCs w:val="16"/>
                <w:lang w:eastAsia="zh-CN"/>
              </w:rPr>
            </w:pPr>
            <w:r>
              <w:rPr>
                <w:rFonts w:eastAsia="SimSun" w:cs="Arial"/>
                <w:sz w:val="16"/>
                <w:szCs w:val="16"/>
                <w:lang w:eastAsia="zh-CN"/>
              </w:rPr>
              <w:t>a</w:t>
            </w:r>
            <w:r w:rsidR="00BD0327" w:rsidRPr="00005B71">
              <w:rPr>
                <w:rFonts w:eastAsia="SimSun" w:cs="Arial"/>
                <w:sz w:val="16"/>
                <w:szCs w:val="16"/>
                <w:lang w:eastAsia="zh-CN"/>
              </w:rPr>
              <w:t xml:space="preserve">dditional cases to WIPO GREEN or new participation to WIPO </w:t>
            </w:r>
            <w:proofErr w:type="spellStart"/>
            <w:r w:rsidR="00BD0327" w:rsidRPr="00005B71">
              <w:rPr>
                <w:rFonts w:eastAsia="SimSun" w:cs="Arial"/>
                <w:sz w:val="16"/>
                <w:szCs w:val="16"/>
                <w:lang w:eastAsia="zh-CN"/>
              </w:rPr>
              <w:t>Re:Search</w:t>
            </w:r>
            <w:proofErr w:type="spellEnd"/>
            <w:r w:rsidR="00BD0327" w:rsidRPr="00005B71">
              <w:rPr>
                <w:rFonts w:eastAsia="SimSun" w:cs="Arial"/>
                <w:sz w:val="16"/>
                <w:szCs w:val="16"/>
                <w:lang w:eastAsia="zh-CN"/>
              </w:rPr>
              <w:t xml:space="preserve"> (WJO)</w:t>
            </w:r>
          </w:p>
          <w:p w:rsidR="00BD0327" w:rsidRDefault="00BD0327" w:rsidP="00BD0327">
            <w:pPr>
              <w:rPr>
                <w:rFonts w:eastAsia="SimSun" w:cs="Arial"/>
                <w:sz w:val="16"/>
                <w:szCs w:val="16"/>
                <w:lang w:eastAsia="zh-CN"/>
              </w:rPr>
            </w:pPr>
          </w:p>
          <w:p w:rsidR="00BD0327" w:rsidRDefault="00BD0327" w:rsidP="00BD0327">
            <w:pPr>
              <w:rPr>
                <w:rFonts w:eastAsia="SimSun" w:cs="Arial"/>
                <w:sz w:val="16"/>
                <w:szCs w:val="16"/>
                <w:lang w:eastAsia="zh-CN"/>
              </w:rPr>
            </w:pPr>
            <w:r w:rsidRPr="00005B71">
              <w:rPr>
                <w:rFonts w:eastAsia="SimSun" w:cs="Arial"/>
                <w:sz w:val="16"/>
                <w:szCs w:val="16"/>
                <w:lang w:eastAsia="zh-CN"/>
              </w:rPr>
              <w:t>5% increase in ASEAN users (WSO)</w:t>
            </w:r>
          </w:p>
          <w:p w:rsidR="00BD0327" w:rsidRPr="00005B71" w:rsidRDefault="00BD0327" w:rsidP="00BD0327">
            <w:pPr>
              <w:rPr>
                <w:rFonts w:eastAsia="SimSun" w:cs="Arial"/>
                <w:sz w:val="16"/>
                <w:szCs w:val="16"/>
                <w:lang w:eastAsia="zh-CN"/>
              </w:rPr>
            </w:pPr>
          </w:p>
        </w:tc>
        <w:tc>
          <w:tcPr>
            <w:tcW w:w="1673" w:type="pct"/>
            <w:tcBorders>
              <w:top w:val="nil"/>
              <w:left w:val="nil"/>
              <w:bottom w:val="single" w:sz="4" w:space="0" w:color="auto"/>
              <w:right w:val="nil"/>
            </w:tcBorders>
            <w:shd w:val="clear" w:color="auto" w:fill="FFFFFF"/>
            <w:tcMar>
              <w:top w:w="110" w:type="dxa"/>
            </w:tcMar>
          </w:tcPr>
          <w:p w:rsidR="00BD0327" w:rsidRDefault="00BD0327" w:rsidP="00BD0327">
            <w:pPr>
              <w:rPr>
                <w:rFonts w:eastAsia="SimSun" w:cs="Arial"/>
                <w:sz w:val="16"/>
                <w:szCs w:val="16"/>
                <w:lang w:eastAsia="zh-CN"/>
              </w:rPr>
            </w:pPr>
            <w:r>
              <w:rPr>
                <w:rFonts w:eastAsia="SimSun" w:cs="Arial"/>
                <w:sz w:val="16"/>
                <w:szCs w:val="16"/>
                <w:lang w:eastAsia="zh-CN"/>
              </w:rPr>
              <w:t xml:space="preserve">No technologies developed by Brazilian institutions were uploaded in WIPO GREEN in 2014.  </w:t>
            </w:r>
            <w:r w:rsidRPr="00C37FA9">
              <w:rPr>
                <w:rFonts w:eastAsia="SimSun" w:cs="Arial"/>
                <w:sz w:val="16"/>
                <w:szCs w:val="16"/>
                <w:lang w:eastAsia="zh-CN"/>
              </w:rPr>
              <w:t>The collaboration with FORTEC on the collection of technologies for upload into the database made good progress in 2014, with the first uploads expected in 2015.</w:t>
            </w:r>
            <w:r>
              <w:rPr>
                <w:rFonts w:eastAsia="SimSun" w:cs="Arial"/>
                <w:sz w:val="16"/>
                <w:szCs w:val="16"/>
                <w:lang w:eastAsia="zh-CN"/>
              </w:rPr>
              <w:t xml:space="preserve"> (WBO)</w:t>
            </w:r>
          </w:p>
          <w:p w:rsidR="00BD0327" w:rsidRDefault="00BD0327" w:rsidP="00BD0327">
            <w:pPr>
              <w:rPr>
                <w:rFonts w:eastAsia="SimSun" w:cs="Arial"/>
                <w:sz w:val="16"/>
                <w:szCs w:val="16"/>
                <w:lang w:eastAsia="zh-CN"/>
              </w:rPr>
            </w:pPr>
          </w:p>
          <w:p w:rsidR="00BD0327" w:rsidRDefault="00BD0327" w:rsidP="00BD0327">
            <w:pPr>
              <w:rPr>
                <w:rFonts w:eastAsia="SimSun" w:cs="Arial"/>
                <w:sz w:val="16"/>
                <w:szCs w:val="16"/>
                <w:lang w:eastAsia="zh-CN"/>
              </w:rPr>
            </w:pPr>
            <w:r>
              <w:rPr>
                <w:rFonts w:eastAsia="SimSun" w:cs="Arial"/>
                <w:sz w:val="16"/>
                <w:szCs w:val="16"/>
                <w:lang w:eastAsia="zh-CN"/>
              </w:rPr>
              <w:t>WIPO GREEN: 15 additional users in 2014 (43 cumulative)</w:t>
            </w:r>
            <w:proofErr w:type="gramStart"/>
            <w:r>
              <w:rPr>
                <w:rFonts w:eastAsia="SimSun" w:cs="Arial"/>
                <w:sz w:val="16"/>
                <w:szCs w:val="16"/>
                <w:lang w:eastAsia="zh-CN"/>
              </w:rPr>
              <w:t>;  2</w:t>
            </w:r>
            <w:proofErr w:type="gramEnd"/>
            <w:r>
              <w:rPr>
                <w:rFonts w:eastAsia="SimSun" w:cs="Arial"/>
                <w:sz w:val="16"/>
                <w:szCs w:val="16"/>
                <w:lang w:eastAsia="zh-CN"/>
              </w:rPr>
              <w:t xml:space="preserve"> additional partners (</w:t>
            </w:r>
            <w:proofErr w:type="spellStart"/>
            <w:r w:rsidRPr="00891471">
              <w:rPr>
                <w:rFonts w:eastAsia="SimSun" w:cs="Arial"/>
                <w:sz w:val="16"/>
                <w:szCs w:val="16"/>
                <w:lang w:eastAsia="zh-CN"/>
              </w:rPr>
              <w:t>Waseda</w:t>
            </w:r>
            <w:proofErr w:type="spellEnd"/>
            <w:r w:rsidRPr="00891471">
              <w:rPr>
                <w:rFonts w:eastAsia="SimSun" w:cs="Arial"/>
                <w:sz w:val="16"/>
                <w:szCs w:val="16"/>
                <w:lang w:eastAsia="zh-CN"/>
              </w:rPr>
              <w:t xml:space="preserve">  Institute, Team E-Kansai</w:t>
            </w:r>
            <w:r>
              <w:rPr>
                <w:rFonts w:eastAsia="SimSun" w:cs="Arial"/>
                <w:sz w:val="16"/>
                <w:szCs w:val="16"/>
                <w:lang w:eastAsia="zh-CN"/>
              </w:rPr>
              <w:t>) in 2014. (WJO)</w:t>
            </w:r>
          </w:p>
          <w:p w:rsidR="00BD0327" w:rsidRDefault="00BD0327" w:rsidP="00BD0327">
            <w:pPr>
              <w:rPr>
                <w:rFonts w:eastAsia="SimSun" w:cs="Arial"/>
                <w:sz w:val="16"/>
                <w:szCs w:val="16"/>
                <w:lang w:eastAsia="zh-CN"/>
              </w:rPr>
            </w:pPr>
          </w:p>
          <w:p w:rsidR="00BD0327" w:rsidRDefault="00BD0327" w:rsidP="00BD0327">
            <w:pPr>
              <w:rPr>
                <w:rFonts w:eastAsia="SimSun" w:cs="Arial"/>
                <w:sz w:val="16"/>
                <w:szCs w:val="16"/>
                <w:lang w:eastAsia="zh-CN"/>
              </w:rPr>
            </w:pPr>
            <w:r>
              <w:rPr>
                <w:rFonts w:eastAsia="SimSun" w:cs="Arial"/>
                <w:sz w:val="16"/>
                <w:szCs w:val="16"/>
                <w:lang w:eastAsia="zh-CN"/>
              </w:rPr>
              <w:t>F</w:t>
            </w:r>
            <w:r w:rsidRPr="006E1B16">
              <w:rPr>
                <w:rFonts w:eastAsia="SimSun" w:cs="Arial"/>
                <w:sz w:val="16"/>
                <w:szCs w:val="16"/>
                <w:lang w:eastAsia="zh-CN"/>
              </w:rPr>
              <w:t xml:space="preserve">our companies </w:t>
            </w:r>
            <w:r>
              <w:rPr>
                <w:rFonts w:eastAsia="SimSun" w:cs="Arial"/>
                <w:sz w:val="16"/>
                <w:szCs w:val="16"/>
                <w:lang w:eastAsia="zh-CN"/>
              </w:rPr>
              <w:t>uploaded</w:t>
            </w:r>
            <w:r w:rsidRPr="006E1B16">
              <w:rPr>
                <w:rFonts w:eastAsia="SimSun" w:cs="Arial"/>
                <w:sz w:val="16"/>
                <w:szCs w:val="16"/>
                <w:lang w:eastAsia="zh-CN"/>
              </w:rPr>
              <w:t xml:space="preserve"> tec</w:t>
            </w:r>
            <w:r>
              <w:rPr>
                <w:rFonts w:eastAsia="SimSun" w:cs="Arial"/>
                <w:sz w:val="16"/>
                <w:szCs w:val="16"/>
                <w:lang w:eastAsia="zh-CN"/>
              </w:rPr>
              <w:t>h</w:t>
            </w:r>
            <w:r w:rsidRPr="006E1B16">
              <w:rPr>
                <w:rFonts w:eastAsia="SimSun" w:cs="Arial"/>
                <w:sz w:val="16"/>
                <w:szCs w:val="16"/>
                <w:lang w:eastAsia="zh-CN"/>
              </w:rPr>
              <w:t xml:space="preserve">nologies into </w:t>
            </w:r>
            <w:r>
              <w:rPr>
                <w:rFonts w:eastAsia="SimSun" w:cs="Arial"/>
                <w:sz w:val="16"/>
                <w:szCs w:val="16"/>
                <w:lang w:eastAsia="zh-CN"/>
              </w:rPr>
              <w:t xml:space="preserve">WIPO </w:t>
            </w:r>
            <w:proofErr w:type="spellStart"/>
            <w:r w:rsidRPr="006E1B16">
              <w:rPr>
                <w:rFonts w:eastAsia="SimSun" w:cs="Arial"/>
                <w:sz w:val="16"/>
                <w:szCs w:val="16"/>
                <w:lang w:eastAsia="zh-CN"/>
              </w:rPr>
              <w:t>Re</w:t>
            </w:r>
            <w:proofErr w:type="gramStart"/>
            <w:r w:rsidRPr="006E1B16">
              <w:rPr>
                <w:rFonts w:eastAsia="SimSun" w:cs="Arial"/>
                <w:sz w:val="16"/>
                <w:szCs w:val="16"/>
                <w:lang w:eastAsia="zh-CN"/>
              </w:rPr>
              <w:t>:Search</w:t>
            </w:r>
            <w:proofErr w:type="spellEnd"/>
            <w:proofErr w:type="gramEnd"/>
            <w:r>
              <w:rPr>
                <w:rFonts w:eastAsia="SimSun" w:cs="Arial"/>
                <w:sz w:val="16"/>
                <w:szCs w:val="16"/>
                <w:lang w:eastAsia="zh-CN"/>
              </w:rPr>
              <w:t xml:space="preserve"> with the assistance of WJO in 2014</w:t>
            </w:r>
            <w:r w:rsidRPr="006E1B16">
              <w:rPr>
                <w:rFonts w:eastAsia="SimSun" w:cs="Arial"/>
                <w:sz w:val="16"/>
                <w:szCs w:val="16"/>
                <w:lang w:eastAsia="zh-CN"/>
              </w:rPr>
              <w:t>.</w:t>
            </w:r>
            <w:r>
              <w:rPr>
                <w:rFonts w:eastAsia="SimSun" w:cs="Arial"/>
                <w:sz w:val="16"/>
                <w:szCs w:val="16"/>
                <w:lang w:eastAsia="zh-CN"/>
              </w:rPr>
              <w:t xml:space="preserve"> (WJO)</w:t>
            </w:r>
          </w:p>
          <w:p w:rsidR="00BD0327" w:rsidRDefault="00BD0327" w:rsidP="00BD0327">
            <w:pPr>
              <w:rPr>
                <w:rFonts w:eastAsia="SimSun" w:cs="Arial"/>
                <w:sz w:val="16"/>
                <w:szCs w:val="16"/>
                <w:lang w:eastAsia="zh-CN"/>
              </w:rPr>
            </w:pPr>
          </w:p>
          <w:p w:rsidR="00BD0327" w:rsidRDefault="00BD0327" w:rsidP="00BD0327">
            <w:pPr>
              <w:rPr>
                <w:rFonts w:eastAsia="SimSun" w:cs="Arial"/>
                <w:sz w:val="16"/>
                <w:szCs w:val="16"/>
                <w:lang w:eastAsia="zh-CN"/>
              </w:rPr>
            </w:pPr>
            <w:r>
              <w:rPr>
                <w:rFonts w:eastAsia="SimSun" w:cs="Arial"/>
                <w:sz w:val="16"/>
                <w:szCs w:val="16"/>
                <w:lang w:eastAsia="zh-CN"/>
              </w:rPr>
              <w:t>21 WIPO GREEN Users (WSO)</w:t>
            </w:r>
          </w:p>
          <w:p w:rsidR="00BD0327" w:rsidRDefault="00BD0327" w:rsidP="00BD0327">
            <w:pPr>
              <w:rPr>
                <w:rFonts w:eastAsia="SimSun" w:cs="Arial"/>
                <w:sz w:val="16"/>
                <w:szCs w:val="16"/>
                <w:lang w:eastAsia="zh-CN"/>
              </w:rPr>
            </w:pPr>
          </w:p>
          <w:p w:rsidR="00BD0327" w:rsidRDefault="00BD0327" w:rsidP="00BD0327">
            <w:pPr>
              <w:rPr>
                <w:rFonts w:eastAsia="SimSun" w:cs="Arial"/>
                <w:sz w:val="16"/>
                <w:szCs w:val="16"/>
                <w:lang w:eastAsia="zh-CN"/>
              </w:rPr>
            </w:pPr>
            <w:r>
              <w:rPr>
                <w:rFonts w:eastAsia="SimSun" w:cs="Arial"/>
                <w:sz w:val="16"/>
                <w:szCs w:val="16"/>
                <w:lang w:eastAsia="zh-CN"/>
              </w:rPr>
              <w:t xml:space="preserve">959 ASEAN Visitors to WIPO </w:t>
            </w:r>
            <w:proofErr w:type="spellStart"/>
            <w:r>
              <w:rPr>
                <w:rFonts w:eastAsia="SimSun" w:cs="Arial"/>
                <w:sz w:val="16"/>
                <w:szCs w:val="16"/>
                <w:lang w:eastAsia="zh-CN"/>
              </w:rPr>
              <w:t>Re:Search</w:t>
            </w:r>
            <w:proofErr w:type="spellEnd"/>
            <w:r>
              <w:rPr>
                <w:rFonts w:eastAsia="SimSun" w:cs="Arial"/>
                <w:sz w:val="16"/>
                <w:szCs w:val="16"/>
                <w:lang w:eastAsia="zh-CN"/>
              </w:rPr>
              <w:t xml:space="preserve"> (13% increase) ; (WSO)</w:t>
            </w:r>
          </w:p>
          <w:p w:rsidR="00BD0327" w:rsidRDefault="00BD0327" w:rsidP="00BD0327">
            <w:pPr>
              <w:rPr>
                <w:rFonts w:eastAsia="SimSun" w:cs="Arial"/>
                <w:sz w:val="16"/>
                <w:szCs w:val="16"/>
                <w:lang w:eastAsia="zh-CN"/>
              </w:rPr>
            </w:pPr>
          </w:p>
        </w:tc>
        <w:tc>
          <w:tcPr>
            <w:tcW w:w="465" w:type="pct"/>
            <w:tcBorders>
              <w:top w:val="nil"/>
              <w:left w:val="nil"/>
              <w:bottom w:val="single" w:sz="4" w:space="0" w:color="auto"/>
              <w:right w:val="single" w:sz="4" w:space="0" w:color="auto"/>
            </w:tcBorders>
            <w:shd w:val="clear" w:color="auto" w:fill="auto"/>
            <w:tcMar>
              <w:top w:w="110" w:type="dxa"/>
            </w:tcMar>
          </w:tcPr>
          <w:p w:rsidR="00BD0327" w:rsidRPr="004D5610" w:rsidRDefault="00BD0327" w:rsidP="00BD0327">
            <w:pPr>
              <w:keepNext/>
              <w:keepLines/>
              <w:jc w:val="center"/>
              <w:rPr>
                <w:rFonts w:eastAsia="SimSun" w:cs="Arial"/>
                <w:b/>
                <w:bCs/>
                <w:color w:val="808080"/>
                <w:sz w:val="16"/>
                <w:szCs w:val="16"/>
                <w:lang w:eastAsia="zh-CN"/>
              </w:rPr>
            </w:pPr>
            <w:r w:rsidRPr="004D5610">
              <w:rPr>
                <w:rFonts w:eastAsia="SimSun" w:cs="Arial"/>
                <w:b/>
                <w:bCs/>
                <w:color w:val="FF0000"/>
                <w:sz w:val="16"/>
                <w:szCs w:val="16"/>
                <w:lang w:eastAsia="zh-CN"/>
              </w:rPr>
              <w:t xml:space="preserve">Not </w:t>
            </w:r>
            <w:r>
              <w:rPr>
                <w:rFonts w:eastAsia="SimSun" w:cs="Arial"/>
                <w:b/>
                <w:bCs/>
                <w:color w:val="FF0000"/>
                <w:sz w:val="16"/>
                <w:szCs w:val="16"/>
                <w:lang w:eastAsia="zh-CN"/>
              </w:rPr>
              <w:br/>
            </w:r>
            <w:r w:rsidRPr="004D5610">
              <w:rPr>
                <w:rFonts w:eastAsia="SimSun" w:cs="Arial"/>
                <w:b/>
                <w:bCs/>
                <w:color w:val="FF0000"/>
                <w:sz w:val="16"/>
                <w:szCs w:val="16"/>
                <w:lang w:eastAsia="zh-CN"/>
              </w:rPr>
              <w:t>on track</w:t>
            </w:r>
          </w:p>
          <w:p w:rsidR="00BD0327" w:rsidRDefault="00BD0327" w:rsidP="00BD0327">
            <w:pPr>
              <w:keepNext/>
              <w:keepLines/>
              <w:jc w:val="center"/>
              <w:rPr>
                <w:rFonts w:eastAsia="SimSun" w:cs="Arial"/>
                <w:bCs/>
                <w:color w:val="808080"/>
                <w:sz w:val="16"/>
                <w:szCs w:val="16"/>
                <w:lang w:eastAsia="zh-CN"/>
              </w:rPr>
            </w:pPr>
          </w:p>
          <w:p w:rsidR="00BD0327" w:rsidRDefault="00BD0327" w:rsidP="00BD0327">
            <w:pPr>
              <w:keepNext/>
              <w:keepLines/>
              <w:jc w:val="center"/>
              <w:rPr>
                <w:rFonts w:eastAsia="SimSun" w:cs="Arial"/>
                <w:bCs/>
                <w:color w:val="808080"/>
                <w:sz w:val="16"/>
                <w:szCs w:val="16"/>
                <w:lang w:eastAsia="zh-CN"/>
              </w:rPr>
            </w:pPr>
          </w:p>
          <w:p w:rsidR="00BD0327" w:rsidRDefault="00BD0327" w:rsidP="00BD0327">
            <w:pPr>
              <w:keepNext/>
              <w:keepLines/>
              <w:jc w:val="center"/>
              <w:rPr>
                <w:rFonts w:eastAsia="SimSun" w:cs="Arial"/>
                <w:bCs/>
                <w:color w:val="00B050"/>
                <w:sz w:val="16"/>
                <w:szCs w:val="16"/>
                <w:lang w:eastAsia="zh-CN"/>
              </w:rPr>
            </w:pPr>
          </w:p>
          <w:p w:rsidR="00BD0327" w:rsidRDefault="00BD0327" w:rsidP="00BD0327">
            <w:pPr>
              <w:keepNext/>
              <w:keepLines/>
              <w:jc w:val="center"/>
              <w:rPr>
                <w:rFonts w:eastAsia="SimSun" w:cs="Arial"/>
                <w:bCs/>
                <w:color w:val="00B050"/>
                <w:sz w:val="16"/>
                <w:szCs w:val="16"/>
                <w:lang w:eastAsia="zh-CN"/>
              </w:rPr>
            </w:pPr>
          </w:p>
          <w:p w:rsidR="00BD0327" w:rsidRDefault="00BD0327" w:rsidP="00BD0327">
            <w:pPr>
              <w:keepNext/>
              <w:keepLines/>
              <w:jc w:val="center"/>
              <w:rPr>
                <w:rFonts w:eastAsia="SimSun" w:cs="Arial"/>
                <w:bCs/>
                <w:color w:val="00B050"/>
                <w:sz w:val="16"/>
                <w:szCs w:val="16"/>
                <w:lang w:eastAsia="zh-CN"/>
              </w:rPr>
            </w:pPr>
          </w:p>
          <w:p w:rsidR="00BD0327" w:rsidRDefault="00BD0327" w:rsidP="00BD0327">
            <w:pPr>
              <w:keepNext/>
              <w:keepLines/>
              <w:jc w:val="center"/>
              <w:rPr>
                <w:rFonts w:eastAsia="SimSun" w:cs="Arial"/>
                <w:bCs/>
                <w:color w:val="00B050"/>
                <w:sz w:val="16"/>
                <w:szCs w:val="16"/>
                <w:lang w:eastAsia="zh-CN"/>
              </w:rPr>
            </w:pPr>
          </w:p>
          <w:p w:rsidR="00BD0327" w:rsidRPr="004D5610" w:rsidRDefault="00BD0327" w:rsidP="00BD0327">
            <w:pPr>
              <w:keepNext/>
              <w:keepLines/>
              <w:jc w:val="center"/>
              <w:rPr>
                <w:rFonts w:eastAsia="SimSun" w:cs="Arial"/>
                <w:b/>
                <w:bCs/>
                <w:color w:val="00B050"/>
                <w:sz w:val="16"/>
                <w:szCs w:val="16"/>
                <w:lang w:eastAsia="zh-CN"/>
              </w:rPr>
            </w:pPr>
            <w:r w:rsidRPr="004D5610">
              <w:rPr>
                <w:rFonts w:eastAsia="SimSun" w:cs="Arial"/>
                <w:b/>
                <w:bCs/>
                <w:color w:val="00B050"/>
                <w:sz w:val="16"/>
                <w:szCs w:val="16"/>
                <w:lang w:eastAsia="zh-CN"/>
              </w:rPr>
              <w:t>On track</w:t>
            </w:r>
          </w:p>
          <w:p w:rsidR="00BD0327" w:rsidRPr="001B2EEA" w:rsidRDefault="00BD0327" w:rsidP="00BD0327">
            <w:pPr>
              <w:keepNext/>
              <w:keepLines/>
              <w:rPr>
                <w:rFonts w:eastAsia="SimSun" w:cs="Arial"/>
                <w:bCs/>
                <w:color w:val="808080"/>
                <w:sz w:val="16"/>
                <w:szCs w:val="16"/>
                <w:lang w:eastAsia="zh-CN"/>
              </w:rPr>
            </w:pPr>
          </w:p>
          <w:p w:rsidR="00BD0327" w:rsidRDefault="00BD0327" w:rsidP="00BD0327">
            <w:pPr>
              <w:keepNext/>
              <w:keepLines/>
              <w:jc w:val="center"/>
              <w:rPr>
                <w:rFonts w:eastAsia="SimSun" w:cs="Arial"/>
                <w:bCs/>
                <w:color w:val="00B050"/>
                <w:sz w:val="16"/>
                <w:szCs w:val="16"/>
                <w:lang w:eastAsia="zh-CN"/>
              </w:rPr>
            </w:pPr>
          </w:p>
          <w:p w:rsidR="00BD0327" w:rsidRDefault="00BD0327" w:rsidP="00BD0327">
            <w:pPr>
              <w:keepNext/>
              <w:keepLines/>
              <w:jc w:val="center"/>
              <w:rPr>
                <w:rFonts w:eastAsia="SimSun" w:cs="Arial"/>
                <w:bCs/>
                <w:color w:val="00B050"/>
                <w:sz w:val="16"/>
                <w:szCs w:val="16"/>
                <w:lang w:eastAsia="zh-CN"/>
              </w:rPr>
            </w:pPr>
          </w:p>
          <w:p w:rsidR="00BD0327" w:rsidRDefault="00BD0327" w:rsidP="00BD0327">
            <w:pPr>
              <w:keepNext/>
              <w:keepLines/>
              <w:jc w:val="center"/>
              <w:rPr>
                <w:rFonts w:eastAsia="SimSun" w:cs="Arial"/>
                <w:bCs/>
                <w:color w:val="00B050"/>
                <w:sz w:val="16"/>
                <w:szCs w:val="16"/>
                <w:lang w:eastAsia="zh-CN"/>
              </w:rPr>
            </w:pPr>
          </w:p>
          <w:p w:rsidR="00BD0327" w:rsidRDefault="00BD0327" w:rsidP="00BD0327">
            <w:pPr>
              <w:keepNext/>
              <w:keepLines/>
              <w:jc w:val="center"/>
              <w:rPr>
                <w:rFonts w:eastAsia="SimSun" w:cs="Arial"/>
                <w:bCs/>
                <w:color w:val="00B050"/>
                <w:sz w:val="16"/>
                <w:szCs w:val="16"/>
                <w:lang w:eastAsia="zh-CN"/>
              </w:rPr>
            </w:pPr>
          </w:p>
          <w:p w:rsidR="00BD0327" w:rsidRPr="004D5610" w:rsidRDefault="00BD0327" w:rsidP="00BD0327">
            <w:pPr>
              <w:keepNext/>
              <w:keepLines/>
              <w:jc w:val="center"/>
              <w:rPr>
                <w:rFonts w:eastAsia="SimSun" w:cs="Arial"/>
                <w:b/>
                <w:bCs/>
                <w:color w:val="00B050"/>
                <w:sz w:val="16"/>
                <w:szCs w:val="16"/>
                <w:lang w:eastAsia="zh-CN"/>
              </w:rPr>
            </w:pPr>
            <w:r w:rsidRPr="004D5610">
              <w:rPr>
                <w:rFonts w:eastAsia="SimSun" w:cs="Arial"/>
                <w:b/>
                <w:bCs/>
                <w:color w:val="00B050"/>
                <w:sz w:val="16"/>
                <w:szCs w:val="16"/>
                <w:lang w:eastAsia="zh-CN"/>
              </w:rPr>
              <w:t>On track</w:t>
            </w:r>
          </w:p>
          <w:p w:rsidR="00BD0327" w:rsidRDefault="00BD0327" w:rsidP="00BD0327">
            <w:pPr>
              <w:keepNext/>
              <w:keepLines/>
              <w:jc w:val="center"/>
              <w:rPr>
                <w:rFonts w:eastAsia="SimSun" w:cs="Arial"/>
                <w:bCs/>
                <w:color w:val="00B050"/>
                <w:sz w:val="16"/>
                <w:szCs w:val="16"/>
                <w:lang w:eastAsia="zh-CN"/>
              </w:rPr>
            </w:pPr>
          </w:p>
          <w:p w:rsidR="00BD0327" w:rsidRPr="004D5610" w:rsidRDefault="00BD0327" w:rsidP="00BD0327">
            <w:pPr>
              <w:keepNext/>
              <w:keepLines/>
              <w:jc w:val="center"/>
              <w:rPr>
                <w:rFonts w:eastAsia="SimSun" w:cs="Arial"/>
                <w:b/>
                <w:bCs/>
                <w:color w:val="808080" w:themeColor="background1" w:themeShade="80"/>
                <w:sz w:val="12"/>
                <w:szCs w:val="16"/>
                <w:lang w:eastAsia="zh-CN"/>
              </w:rPr>
            </w:pPr>
            <w:r w:rsidRPr="004D5610">
              <w:rPr>
                <w:rFonts w:eastAsia="SimSun" w:cs="Arial"/>
                <w:b/>
                <w:bCs/>
                <w:color w:val="808080" w:themeColor="background1" w:themeShade="80"/>
                <w:sz w:val="12"/>
                <w:szCs w:val="16"/>
                <w:lang w:eastAsia="zh-CN"/>
              </w:rPr>
              <w:t>Not assessable</w:t>
            </w:r>
          </w:p>
          <w:p w:rsidR="00BD0327" w:rsidRPr="004D5610" w:rsidRDefault="00BD0327" w:rsidP="00BD0327">
            <w:pPr>
              <w:keepNext/>
              <w:keepLines/>
              <w:jc w:val="center"/>
              <w:rPr>
                <w:rFonts w:eastAsia="SimSun" w:cs="Arial"/>
                <w:b/>
                <w:bCs/>
                <w:color w:val="00B050"/>
                <w:sz w:val="16"/>
                <w:szCs w:val="16"/>
                <w:lang w:eastAsia="zh-CN"/>
              </w:rPr>
            </w:pPr>
          </w:p>
          <w:p w:rsidR="00BD0327" w:rsidRDefault="00BD0327" w:rsidP="00BD0327">
            <w:pPr>
              <w:keepNext/>
              <w:keepLines/>
              <w:jc w:val="center"/>
              <w:rPr>
                <w:rFonts w:eastAsia="SimSun" w:cs="Arial"/>
                <w:bCs/>
                <w:color w:val="00B050"/>
                <w:sz w:val="16"/>
                <w:szCs w:val="16"/>
                <w:lang w:eastAsia="zh-CN"/>
              </w:rPr>
            </w:pPr>
          </w:p>
          <w:p w:rsidR="00BD0327" w:rsidRPr="004D5610" w:rsidRDefault="00BD0327" w:rsidP="00BD0327">
            <w:pPr>
              <w:keepNext/>
              <w:keepLines/>
              <w:jc w:val="center"/>
              <w:rPr>
                <w:rFonts w:eastAsia="SimSun" w:cs="Arial"/>
                <w:b/>
                <w:bCs/>
                <w:color w:val="808080"/>
                <w:sz w:val="16"/>
                <w:szCs w:val="16"/>
                <w:lang w:eastAsia="zh-CN"/>
              </w:rPr>
            </w:pPr>
            <w:r w:rsidRPr="004D5610">
              <w:rPr>
                <w:rFonts w:eastAsia="SimSun" w:cs="Arial"/>
                <w:b/>
                <w:bCs/>
                <w:color w:val="00B050"/>
                <w:sz w:val="16"/>
                <w:szCs w:val="16"/>
                <w:lang w:eastAsia="zh-CN"/>
              </w:rPr>
              <w:t>On track</w:t>
            </w:r>
          </w:p>
          <w:p w:rsidR="00BD0327" w:rsidRPr="00980EC4" w:rsidRDefault="00BD0327" w:rsidP="00BD0327">
            <w:pPr>
              <w:keepNext/>
              <w:keepLines/>
              <w:rPr>
                <w:rFonts w:eastAsia="SimSun" w:cs="Arial"/>
                <w:b/>
                <w:bCs/>
                <w:color w:val="00B050"/>
                <w:sz w:val="16"/>
                <w:szCs w:val="16"/>
                <w:lang w:eastAsia="zh-CN"/>
              </w:rPr>
            </w:pPr>
          </w:p>
        </w:tc>
      </w:tr>
      <w:tr w:rsidR="00BD0327" w:rsidRPr="00B35AFA" w:rsidTr="00BD0327">
        <w:tc>
          <w:tcPr>
            <w:tcW w:w="5000" w:type="pct"/>
            <w:gridSpan w:val="6"/>
            <w:tcBorders>
              <w:top w:val="single" w:sz="4" w:space="0" w:color="auto"/>
              <w:bottom w:val="single" w:sz="4" w:space="0" w:color="auto"/>
            </w:tcBorders>
            <w:shd w:val="clear" w:color="auto" w:fill="CCFFFF"/>
          </w:tcPr>
          <w:p w:rsidR="00BD0327" w:rsidRPr="00B35AFA" w:rsidRDefault="00BD0327" w:rsidP="00BD0327">
            <w:pPr>
              <w:keepNext/>
              <w:keepLines/>
              <w:tabs>
                <w:tab w:val="left" w:pos="1452"/>
              </w:tabs>
              <w:spacing w:before="120" w:after="120"/>
              <w:ind w:left="1452" w:hanging="1452"/>
              <w:rPr>
                <w:rFonts w:eastAsia="SimSun" w:cs="Arial"/>
                <w:bCs/>
                <w:color w:val="808080"/>
                <w:sz w:val="16"/>
                <w:szCs w:val="16"/>
                <w:lang w:eastAsia="zh-CN"/>
              </w:rPr>
            </w:pPr>
            <w:r w:rsidRPr="00B35AFA">
              <w:rPr>
                <w:rFonts w:eastAsia="SimSun" w:cs="Arial"/>
                <w:b/>
                <w:bCs/>
                <w:sz w:val="16"/>
                <w:szCs w:val="16"/>
                <w:lang w:eastAsia="zh-CN"/>
              </w:rPr>
              <w:t>Expected Result:</w:t>
            </w:r>
            <w:r w:rsidRPr="00B35AFA">
              <w:rPr>
                <w:rFonts w:eastAsia="SimSun" w:cs="Arial"/>
                <w:b/>
                <w:bCs/>
                <w:sz w:val="16"/>
                <w:szCs w:val="16"/>
                <w:lang w:eastAsia="zh-CN"/>
              </w:rPr>
              <w:tab/>
            </w:r>
            <w:r w:rsidRPr="0097448D">
              <w:rPr>
                <w:rFonts w:eastAsia="SimSun" w:cs="Arial"/>
                <w:bCs/>
                <w:sz w:val="16"/>
                <w:szCs w:val="16"/>
                <w:lang w:eastAsia="zh-CN"/>
              </w:rPr>
              <w:t>VIII.1 More effective communication to a broad public about intellectual property and WIPO’s role</w:t>
            </w:r>
          </w:p>
        </w:tc>
      </w:tr>
      <w:tr w:rsidR="00BD0327" w:rsidRPr="00B35AFA" w:rsidTr="00BD0327">
        <w:tc>
          <w:tcPr>
            <w:tcW w:w="1080" w:type="pct"/>
            <w:tcBorders>
              <w:top w:val="single" w:sz="4" w:space="0" w:color="auto"/>
              <w:left w:val="single" w:sz="4" w:space="0" w:color="auto"/>
              <w:bottom w:val="nil"/>
              <w:right w:val="nil"/>
            </w:tcBorders>
            <w:shd w:val="clear" w:color="auto" w:fill="auto"/>
          </w:tcPr>
          <w:p w:rsidR="00BD0327" w:rsidRPr="00005B71" w:rsidRDefault="00BD0327" w:rsidP="00BD0327">
            <w:pPr>
              <w:rPr>
                <w:rFonts w:eastAsia="SimSun" w:cs="Arial"/>
                <w:color w:val="000000"/>
                <w:sz w:val="16"/>
                <w:szCs w:val="16"/>
                <w:lang w:eastAsia="zh-CN"/>
              </w:rPr>
            </w:pPr>
            <w:r w:rsidRPr="00B35AFA">
              <w:rPr>
                <w:rFonts w:eastAsia="SimSun" w:cs="Arial"/>
                <w:b/>
                <w:bCs/>
                <w:sz w:val="16"/>
                <w:szCs w:val="16"/>
                <w:lang w:eastAsia="zh-CN"/>
              </w:rPr>
              <w:t>Performance Indicators</w:t>
            </w:r>
          </w:p>
        </w:tc>
        <w:tc>
          <w:tcPr>
            <w:tcW w:w="816" w:type="pct"/>
            <w:tcBorders>
              <w:top w:val="single" w:sz="4" w:space="0" w:color="auto"/>
              <w:left w:val="nil"/>
              <w:bottom w:val="nil"/>
              <w:right w:val="nil"/>
            </w:tcBorders>
            <w:shd w:val="clear" w:color="auto" w:fill="auto"/>
          </w:tcPr>
          <w:p w:rsidR="00BD0327" w:rsidRDefault="00BD0327" w:rsidP="00BD0327">
            <w:pPr>
              <w:rPr>
                <w:rFonts w:cs="Arial"/>
                <w:i/>
                <w:color w:val="002060"/>
                <w:sz w:val="16"/>
                <w:szCs w:val="16"/>
              </w:rPr>
            </w:pPr>
            <w:r w:rsidRPr="00B35AFA">
              <w:rPr>
                <w:rFonts w:cs="Arial"/>
                <w:b/>
                <w:bCs/>
                <w:sz w:val="16"/>
                <w:szCs w:val="16"/>
              </w:rPr>
              <w:t>Baselines</w:t>
            </w:r>
          </w:p>
        </w:tc>
        <w:tc>
          <w:tcPr>
            <w:tcW w:w="966" w:type="pct"/>
            <w:gridSpan w:val="2"/>
            <w:tcBorders>
              <w:top w:val="single" w:sz="4" w:space="0" w:color="auto"/>
              <w:left w:val="nil"/>
              <w:bottom w:val="nil"/>
              <w:right w:val="nil"/>
            </w:tcBorders>
            <w:shd w:val="clear" w:color="auto" w:fill="auto"/>
            <w:tcMar>
              <w:top w:w="110" w:type="dxa"/>
            </w:tcMar>
          </w:tcPr>
          <w:p w:rsidR="00BD0327" w:rsidRPr="00005B71" w:rsidRDefault="00BD0327" w:rsidP="00BD0327">
            <w:pPr>
              <w:rPr>
                <w:rFonts w:eastAsia="SimSun" w:cs="Arial"/>
                <w:sz w:val="16"/>
                <w:szCs w:val="16"/>
                <w:lang w:eastAsia="zh-CN"/>
              </w:rPr>
            </w:pPr>
            <w:r w:rsidRPr="00B35AFA">
              <w:rPr>
                <w:rFonts w:cs="Arial"/>
                <w:b/>
                <w:sz w:val="16"/>
                <w:szCs w:val="16"/>
              </w:rPr>
              <w:t>Targets</w:t>
            </w:r>
          </w:p>
        </w:tc>
        <w:tc>
          <w:tcPr>
            <w:tcW w:w="1673" w:type="pct"/>
            <w:tcBorders>
              <w:top w:val="single" w:sz="4" w:space="0" w:color="auto"/>
              <w:left w:val="nil"/>
              <w:bottom w:val="nil"/>
              <w:right w:val="nil"/>
            </w:tcBorders>
            <w:shd w:val="clear" w:color="auto" w:fill="FFFFFF"/>
            <w:tcMar>
              <w:top w:w="110" w:type="dxa"/>
            </w:tcMar>
          </w:tcPr>
          <w:p w:rsidR="00BD0327" w:rsidRPr="00B35AFA" w:rsidRDefault="00BD0327" w:rsidP="00BD0327">
            <w:pPr>
              <w:rPr>
                <w:rFonts w:eastAsia="SimSun" w:cs="Arial"/>
                <w:sz w:val="16"/>
                <w:szCs w:val="16"/>
                <w:lang w:eastAsia="zh-CN"/>
              </w:rPr>
            </w:pPr>
            <w:r w:rsidRPr="00B35AFA">
              <w:rPr>
                <w:rFonts w:eastAsia="SimSun" w:cs="Arial"/>
                <w:b/>
                <w:bCs/>
                <w:sz w:val="16"/>
                <w:szCs w:val="16"/>
                <w:lang w:eastAsia="zh-CN"/>
              </w:rPr>
              <w:t>Performance Data</w:t>
            </w:r>
          </w:p>
        </w:tc>
        <w:tc>
          <w:tcPr>
            <w:tcW w:w="465" w:type="pct"/>
            <w:tcBorders>
              <w:top w:val="single" w:sz="4" w:space="0" w:color="auto"/>
              <w:left w:val="nil"/>
              <w:bottom w:val="nil"/>
              <w:right w:val="single" w:sz="4" w:space="0" w:color="auto"/>
            </w:tcBorders>
            <w:shd w:val="clear" w:color="auto" w:fill="auto"/>
            <w:tcMar>
              <w:top w:w="110" w:type="dxa"/>
            </w:tcMar>
          </w:tcPr>
          <w:p w:rsidR="00BD0327" w:rsidRPr="00B35AFA" w:rsidRDefault="00BD0327" w:rsidP="00BD0327">
            <w:pPr>
              <w:keepNext/>
              <w:keepLines/>
              <w:jc w:val="center"/>
              <w:rPr>
                <w:rFonts w:eastAsia="SimSun" w:cs="Arial"/>
                <w:bCs/>
                <w:color w:val="808080"/>
                <w:sz w:val="16"/>
                <w:szCs w:val="16"/>
                <w:lang w:eastAsia="zh-CN"/>
              </w:rPr>
            </w:pPr>
            <w:r w:rsidRPr="00B35AFA">
              <w:rPr>
                <w:rFonts w:eastAsia="SimSun" w:cs="Arial"/>
                <w:b/>
                <w:bCs/>
                <w:sz w:val="16"/>
                <w:szCs w:val="16"/>
                <w:lang w:eastAsia="zh-CN"/>
              </w:rPr>
              <w:t>TLS</w:t>
            </w:r>
          </w:p>
        </w:tc>
      </w:tr>
      <w:tr w:rsidR="00BD0327" w:rsidRPr="00B35AFA" w:rsidTr="00BD0327">
        <w:tc>
          <w:tcPr>
            <w:tcW w:w="1080" w:type="pct"/>
            <w:tcBorders>
              <w:top w:val="nil"/>
              <w:left w:val="single" w:sz="4" w:space="0" w:color="auto"/>
              <w:bottom w:val="single" w:sz="4" w:space="0" w:color="auto"/>
              <w:right w:val="nil"/>
            </w:tcBorders>
            <w:shd w:val="clear" w:color="auto" w:fill="auto"/>
          </w:tcPr>
          <w:p w:rsidR="00BD0327" w:rsidRPr="0097448D" w:rsidRDefault="00BD0327" w:rsidP="00BD0327">
            <w:pPr>
              <w:rPr>
                <w:rFonts w:eastAsia="SimSun" w:cs="Arial"/>
                <w:color w:val="000000"/>
                <w:sz w:val="16"/>
                <w:szCs w:val="16"/>
                <w:lang w:eastAsia="zh-CN"/>
              </w:rPr>
            </w:pPr>
            <w:r w:rsidRPr="0097448D">
              <w:rPr>
                <w:rFonts w:eastAsia="SimSun" w:cs="Arial"/>
                <w:color w:val="000000"/>
                <w:sz w:val="16"/>
                <w:szCs w:val="16"/>
                <w:lang w:eastAsia="zh-CN"/>
              </w:rPr>
              <w:t>Increased traffic to the website of WIPO External Offices</w:t>
            </w:r>
          </w:p>
        </w:tc>
        <w:tc>
          <w:tcPr>
            <w:tcW w:w="816" w:type="pct"/>
            <w:tcBorders>
              <w:top w:val="nil"/>
              <w:left w:val="nil"/>
              <w:bottom w:val="single" w:sz="4" w:space="0" w:color="auto"/>
              <w:right w:val="nil"/>
            </w:tcBorders>
            <w:shd w:val="clear" w:color="auto" w:fill="auto"/>
          </w:tcPr>
          <w:p w:rsidR="00BD0327" w:rsidRDefault="00BD0327" w:rsidP="00BD0327">
            <w:pPr>
              <w:rPr>
                <w:rFonts w:cs="Arial"/>
                <w:i/>
                <w:color w:val="002060"/>
                <w:sz w:val="16"/>
                <w:szCs w:val="16"/>
              </w:rPr>
            </w:pPr>
            <w:r>
              <w:rPr>
                <w:rFonts w:cs="Arial"/>
                <w:i/>
                <w:color w:val="002060"/>
                <w:sz w:val="16"/>
                <w:szCs w:val="16"/>
              </w:rPr>
              <w:t>Updated Baseline end 2013</w:t>
            </w:r>
            <w:r w:rsidRPr="00B35AFA">
              <w:rPr>
                <w:rFonts w:cs="Arial"/>
                <w:i/>
                <w:color w:val="002060"/>
                <w:sz w:val="16"/>
                <w:szCs w:val="16"/>
              </w:rPr>
              <w:t xml:space="preserve">:  </w:t>
            </w:r>
          </w:p>
          <w:p w:rsidR="00BD0327" w:rsidRPr="00360EE7" w:rsidRDefault="00BD0327" w:rsidP="00BD0327">
            <w:pPr>
              <w:rPr>
                <w:rFonts w:cs="Arial"/>
                <w:color w:val="002060"/>
                <w:sz w:val="16"/>
                <w:szCs w:val="16"/>
              </w:rPr>
            </w:pPr>
            <w:r>
              <w:rPr>
                <w:rFonts w:cs="Arial"/>
                <w:color w:val="002060"/>
                <w:sz w:val="16"/>
                <w:szCs w:val="16"/>
              </w:rPr>
              <w:t>n/a</w:t>
            </w:r>
            <w:r w:rsidRPr="00360EE7">
              <w:rPr>
                <w:rFonts w:cs="Arial"/>
                <w:color w:val="002060"/>
                <w:sz w:val="16"/>
                <w:szCs w:val="16"/>
              </w:rPr>
              <w:t xml:space="preserve"> (WBO)</w:t>
            </w:r>
          </w:p>
          <w:p w:rsidR="00BD0327" w:rsidRPr="00360EE7" w:rsidRDefault="00BD0327" w:rsidP="00BD0327">
            <w:pPr>
              <w:rPr>
                <w:rFonts w:cs="Arial"/>
                <w:color w:val="002060"/>
                <w:sz w:val="16"/>
                <w:szCs w:val="16"/>
              </w:rPr>
            </w:pPr>
            <w:r w:rsidRPr="00360EE7">
              <w:rPr>
                <w:rFonts w:cs="Arial"/>
                <w:color w:val="002060"/>
                <w:sz w:val="16"/>
                <w:szCs w:val="16"/>
              </w:rPr>
              <w:t>5,900 (WJO)</w:t>
            </w:r>
          </w:p>
          <w:p w:rsidR="00BD0327" w:rsidRPr="00360EE7" w:rsidRDefault="00BD0327" w:rsidP="00BD0327">
            <w:pPr>
              <w:rPr>
                <w:rFonts w:cs="Arial"/>
                <w:color w:val="002060"/>
                <w:sz w:val="16"/>
                <w:szCs w:val="16"/>
              </w:rPr>
            </w:pPr>
            <w:r w:rsidRPr="00360EE7">
              <w:rPr>
                <w:rFonts w:cs="Arial"/>
                <w:color w:val="002060"/>
                <w:sz w:val="16"/>
                <w:szCs w:val="16"/>
              </w:rPr>
              <w:t>9,717 page views (WSO)</w:t>
            </w:r>
          </w:p>
          <w:p w:rsidR="00BD0327" w:rsidRDefault="00BD0327" w:rsidP="00BD0327">
            <w:pPr>
              <w:rPr>
                <w:rFonts w:cs="Arial"/>
                <w:i/>
                <w:sz w:val="16"/>
                <w:szCs w:val="16"/>
              </w:rPr>
            </w:pPr>
            <w:r>
              <w:rPr>
                <w:rFonts w:cs="Arial"/>
                <w:i/>
                <w:sz w:val="16"/>
                <w:szCs w:val="16"/>
              </w:rPr>
              <w:t>Original Baseline P&amp;B 2014/15:</w:t>
            </w:r>
          </w:p>
          <w:p w:rsidR="00BD0327" w:rsidRDefault="00BD0327" w:rsidP="00BD0327">
            <w:pPr>
              <w:rPr>
                <w:rFonts w:cs="Arial"/>
                <w:i/>
                <w:sz w:val="16"/>
                <w:szCs w:val="16"/>
              </w:rPr>
            </w:pPr>
            <w:proofErr w:type="spellStart"/>
            <w:r w:rsidRPr="0097448D">
              <w:rPr>
                <w:rFonts w:cs="Arial"/>
                <w:sz w:val="16"/>
                <w:szCs w:val="16"/>
              </w:rPr>
              <w:t>tbd</w:t>
            </w:r>
            <w:proofErr w:type="spellEnd"/>
            <w:r w:rsidRPr="0097448D">
              <w:rPr>
                <w:rFonts w:cs="Arial"/>
                <w:sz w:val="16"/>
                <w:szCs w:val="16"/>
              </w:rPr>
              <w:t xml:space="preserve"> (WBO)</w:t>
            </w:r>
            <w:r>
              <w:rPr>
                <w:rFonts w:cs="Arial"/>
                <w:i/>
                <w:sz w:val="16"/>
                <w:szCs w:val="16"/>
              </w:rPr>
              <w:t xml:space="preserve"> </w:t>
            </w:r>
          </w:p>
          <w:p w:rsidR="00BD0327" w:rsidRPr="00360EE7" w:rsidRDefault="00BD0327" w:rsidP="00BD0327">
            <w:pPr>
              <w:rPr>
                <w:rFonts w:cs="Arial"/>
                <w:sz w:val="16"/>
                <w:szCs w:val="16"/>
              </w:rPr>
            </w:pPr>
            <w:proofErr w:type="spellStart"/>
            <w:r w:rsidRPr="0097448D">
              <w:rPr>
                <w:rFonts w:cs="Arial"/>
                <w:sz w:val="16"/>
                <w:szCs w:val="16"/>
              </w:rPr>
              <w:t>tbd</w:t>
            </w:r>
            <w:proofErr w:type="spellEnd"/>
            <w:r w:rsidRPr="0097448D">
              <w:rPr>
                <w:rFonts w:cs="Arial"/>
                <w:sz w:val="16"/>
                <w:szCs w:val="16"/>
              </w:rPr>
              <w:t xml:space="preserve"> (WJO)</w:t>
            </w:r>
          </w:p>
          <w:p w:rsidR="00BD0327" w:rsidRPr="00360EE7" w:rsidRDefault="00BD0327" w:rsidP="00BD0327">
            <w:pPr>
              <w:rPr>
                <w:rFonts w:cs="Arial"/>
                <w:sz w:val="16"/>
                <w:szCs w:val="16"/>
              </w:rPr>
            </w:pPr>
            <w:proofErr w:type="spellStart"/>
            <w:r>
              <w:rPr>
                <w:rFonts w:cs="Arial"/>
                <w:sz w:val="16"/>
                <w:szCs w:val="16"/>
              </w:rPr>
              <w:t>tbd</w:t>
            </w:r>
            <w:proofErr w:type="spellEnd"/>
            <w:r>
              <w:rPr>
                <w:rFonts w:cs="Arial"/>
                <w:sz w:val="16"/>
                <w:szCs w:val="16"/>
              </w:rPr>
              <w:t xml:space="preserve"> (WSO)</w:t>
            </w:r>
          </w:p>
        </w:tc>
        <w:tc>
          <w:tcPr>
            <w:tcW w:w="966" w:type="pct"/>
            <w:gridSpan w:val="2"/>
            <w:tcBorders>
              <w:top w:val="nil"/>
              <w:left w:val="nil"/>
              <w:bottom w:val="single" w:sz="4" w:space="0" w:color="auto"/>
              <w:right w:val="nil"/>
            </w:tcBorders>
            <w:shd w:val="clear" w:color="auto" w:fill="auto"/>
            <w:tcMar>
              <w:top w:w="110" w:type="dxa"/>
            </w:tcMar>
          </w:tcPr>
          <w:p w:rsidR="00BD0327" w:rsidRDefault="00BD0327" w:rsidP="00BD0327">
            <w:pPr>
              <w:rPr>
                <w:rFonts w:eastAsia="SimSun" w:cs="Arial"/>
                <w:sz w:val="16"/>
                <w:szCs w:val="16"/>
                <w:lang w:eastAsia="zh-CN"/>
              </w:rPr>
            </w:pPr>
            <w:r w:rsidRPr="0097448D">
              <w:rPr>
                <w:rFonts w:eastAsia="SimSun" w:cs="Arial"/>
                <w:sz w:val="16"/>
                <w:szCs w:val="16"/>
                <w:lang w:eastAsia="zh-CN"/>
              </w:rPr>
              <w:t>Increase traffic by 5% from Brazil (WBO)</w:t>
            </w:r>
          </w:p>
          <w:p w:rsidR="00BD0327" w:rsidRDefault="00BD0327" w:rsidP="00BD0327">
            <w:pPr>
              <w:rPr>
                <w:rFonts w:eastAsia="SimSun" w:cs="Arial"/>
                <w:sz w:val="16"/>
                <w:szCs w:val="16"/>
                <w:lang w:eastAsia="zh-CN"/>
              </w:rPr>
            </w:pPr>
            <w:r w:rsidRPr="0097448D">
              <w:rPr>
                <w:rFonts w:eastAsia="SimSun" w:cs="Arial"/>
                <w:sz w:val="16"/>
                <w:szCs w:val="16"/>
                <w:lang w:eastAsia="zh-CN"/>
              </w:rPr>
              <w:t>5% (WJO)</w:t>
            </w:r>
          </w:p>
          <w:p w:rsidR="00BD0327" w:rsidRDefault="00BD0327" w:rsidP="00BD0327">
            <w:pPr>
              <w:rPr>
                <w:rFonts w:eastAsia="SimSun" w:cs="Arial"/>
                <w:sz w:val="16"/>
                <w:szCs w:val="16"/>
                <w:lang w:eastAsia="zh-CN"/>
              </w:rPr>
            </w:pPr>
            <w:r w:rsidRPr="0097448D">
              <w:rPr>
                <w:rFonts w:eastAsia="SimSun" w:cs="Arial"/>
                <w:sz w:val="16"/>
                <w:szCs w:val="16"/>
                <w:lang w:eastAsia="zh-CN"/>
              </w:rPr>
              <w:t>Increase traffic of 5% from ASEAN region (WSO)</w:t>
            </w:r>
          </w:p>
          <w:p w:rsidR="00BD0327" w:rsidRPr="0097448D" w:rsidRDefault="00BD0327" w:rsidP="00BD0327">
            <w:pPr>
              <w:rPr>
                <w:rFonts w:eastAsia="SimSun" w:cs="Arial"/>
                <w:sz w:val="16"/>
                <w:szCs w:val="16"/>
                <w:lang w:eastAsia="zh-CN"/>
              </w:rPr>
            </w:pPr>
          </w:p>
        </w:tc>
        <w:tc>
          <w:tcPr>
            <w:tcW w:w="1673" w:type="pct"/>
            <w:tcBorders>
              <w:top w:val="nil"/>
              <w:left w:val="nil"/>
              <w:bottom w:val="single" w:sz="4" w:space="0" w:color="auto"/>
              <w:right w:val="nil"/>
            </w:tcBorders>
            <w:shd w:val="clear" w:color="auto" w:fill="FFFFFF"/>
            <w:tcMar>
              <w:top w:w="110" w:type="dxa"/>
            </w:tcMar>
          </w:tcPr>
          <w:p w:rsidR="00BD0327" w:rsidRDefault="00BD0327" w:rsidP="00BD0327">
            <w:pPr>
              <w:rPr>
                <w:rFonts w:eastAsia="SimSun" w:cs="Arial"/>
                <w:sz w:val="16"/>
                <w:szCs w:val="16"/>
                <w:lang w:eastAsia="zh-CN"/>
              </w:rPr>
            </w:pPr>
            <w:r>
              <w:rPr>
                <w:rFonts w:eastAsia="SimSun" w:cs="Arial"/>
                <w:sz w:val="16"/>
                <w:szCs w:val="16"/>
                <w:lang w:eastAsia="zh-CN"/>
              </w:rPr>
              <w:t>No page created until February 2015 (WBO)</w:t>
            </w:r>
          </w:p>
          <w:p w:rsidR="00BD0327" w:rsidRDefault="00BD0327" w:rsidP="00BD0327">
            <w:pPr>
              <w:rPr>
                <w:rFonts w:eastAsia="SimSun" w:cs="Arial"/>
                <w:sz w:val="16"/>
                <w:szCs w:val="16"/>
                <w:lang w:eastAsia="zh-CN"/>
              </w:rPr>
            </w:pPr>
            <w:r>
              <w:rPr>
                <w:rFonts w:eastAsia="SimSun" w:cs="Arial"/>
                <w:sz w:val="16"/>
                <w:szCs w:val="16"/>
                <w:lang w:eastAsia="zh-CN"/>
              </w:rPr>
              <w:t>2014: 7,650 (2</w:t>
            </w:r>
            <w:r w:rsidR="00F810A9">
              <w:rPr>
                <w:rFonts w:eastAsia="SimSun" w:cs="Arial"/>
                <w:sz w:val="16"/>
                <w:szCs w:val="16"/>
                <w:lang w:eastAsia="zh-CN"/>
              </w:rPr>
              <w:t>9</w:t>
            </w:r>
            <w:r>
              <w:rPr>
                <w:rFonts w:eastAsia="SimSun" w:cs="Arial"/>
                <w:sz w:val="16"/>
                <w:szCs w:val="16"/>
                <w:lang w:eastAsia="zh-CN"/>
              </w:rPr>
              <w:t>% increase) (WJO)</w:t>
            </w:r>
          </w:p>
          <w:p w:rsidR="00BD0327" w:rsidRDefault="00BD0327" w:rsidP="00BD0327">
            <w:pPr>
              <w:rPr>
                <w:rFonts w:eastAsia="SimSun" w:cs="Arial"/>
                <w:sz w:val="16"/>
                <w:szCs w:val="16"/>
                <w:lang w:eastAsia="zh-CN"/>
              </w:rPr>
            </w:pPr>
            <w:r>
              <w:rPr>
                <w:rFonts w:eastAsia="SimSun" w:cs="Arial"/>
                <w:sz w:val="16"/>
                <w:szCs w:val="16"/>
                <w:lang w:eastAsia="zh-CN"/>
              </w:rPr>
              <w:t>2014: 9,882 (2% increase) (WSO)</w:t>
            </w:r>
          </w:p>
          <w:p w:rsidR="00BD0327" w:rsidRDefault="00BD0327" w:rsidP="00BD0327">
            <w:pPr>
              <w:rPr>
                <w:rFonts w:eastAsia="SimSun" w:cs="Arial"/>
                <w:sz w:val="16"/>
                <w:szCs w:val="16"/>
                <w:lang w:eastAsia="zh-CN"/>
              </w:rPr>
            </w:pPr>
          </w:p>
        </w:tc>
        <w:tc>
          <w:tcPr>
            <w:tcW w:w="465" w:type="pct"/>
            <w:tcBorders>
              <w:top w:val="nil"/>
              <w:left w:val="nil"/>
              <w:bottom w:val="single" w:sz="4" w:space="0" w:color="auto"/>
              <w:right w:val="single" w:sz="4" w:space="0" w:color="auto"/>
            </w:tcBorders>
            <w:shd w:val="clear" w:color="auto" w:fill="auto"/>
            <w:tcMar>
              <w:top w:w="110" w:type="dxa"/>
            </w:tcMar>
          </w:tcPr>
          <w:p w:rsidR="00BD0327" w:rsidRPr="004D5610" w:rsidRDefault="00BD0327" w:rsidP="00BD0327">
            <w:pPr>
              <w:keepNext/>
              <w:keepLines/>
              <w:jc w:val="center"/>
              <w:rPr>
                <w:rFonts w:eastAsia="SimSun" w:cs="Arial"/>
                <w:b/>
                <w:bCs/>
                <w:color w:val="0070C0"/>
                <w:sz w:val="16"/>
                <w:szCs w:val="16"/>
                <w:lang w:eastAsia="zh-CN"/>
              </w:rPr>
            </w:pPr>
            <w:r w:rsidRPr="004D5610">
              <w:rPr>
                <w:rFonts w:eastAsia="SimSun" w:cs="Arial"/>
                <w:b/>
                <w:bCs/>
                <w:color w:val="0070C0"/>
                <w:sz w:val="16"/>
                <w:szCs w:val="16"/>
                <w:lang w:eastAsia="zh-CN"/>
              </w:rPr>
              <w:t>N/A 2014</w:t>
            </w:r>
          </w:p>
          <w:p w:rsidR="00BD0327" w:rsidRDefault="00BD0327" w:rsidP="00BD0327">
            <w:pPr>
              <w:keepNext/>
              <w:keepLines/>
              <w:jc w:val="center"/>
              <w:rPr>
                <w:rFonts w:eastAsia="SimSun" w:cs="Arial"/>
                <w:bCs/>
                <w:color w:val="00B050"/>
                <w:sz w:val="16"/>
                <w:szCs w:val="16"/>
                <w:lang w:eastAsia="zh-CN"/>
              </w:rPr>
            </w:pPr>
          </w:p>
          <w:p w:rsidR="00BD0327" w:rsidRDefault="00BD0327" w:rsidP="00BD0327">
            <w:pPr>
              <w:keepNext/>
              <w:keepLines/>
              <w:jc w:val="center"/>
              <w:rPr>
                <w:rFonts w:eastAsia="SimSun" w:cs="Arial"/>
                <w:bCs/>
                <w:color w:val="00B050"/>
                <w:sz w:val="16"/>
                <w:szCs w:val="16"/>
                <w:lang w:eastAsia="zh-CN"/>
              </w:rPr>
            </w:pPr>
          </w:p>
          <w:p w:rsidR="00BD0327" w:rsidRPr="004D5610" w:rsidRDefault="00BD0327" w:rsidP="00BD0327">
            <w:pPr>
              <w:keepNext/>
              <w:keepLines/>
              <w:jc w:val="center"/>
              <w:rPr>
                <w:rFonts w:eastAsia="SimSun" w:cs="Arial"/>
                <w:b/>
                <w:bCs/>
                <w:color w:val="00B050"/>
                <w:sz w:val="16"/>
                <w:szCs w:val="16"/>
                <w:lang w:eastAsia="zh-CN"/>
              </w:rPr>
            </w:pPr>
            <w:r w:rsidRPr="004D5610">
              <w:rPr>
                <w:rFonts w:eastAsia="SimSun" w:cs="Arial"/>
                <w:b/>
                <w:bCs/>
                <w:color w:val="00B050"/>
                <w:sz w:val="16"/>
                <w:szCs w:val="16"/>
                <w:lang w:eastAsia="zh-CN"/>
              </w:rPr>
              <w:t>On track</w:t>
            </w:r>
          </w:p>
          <w:p w:rsidR="00BD0327" w:rsidRPr="004D5610" w:rsidRDefault="00BD0327" w:rsidP="00BD0327">
            <w:pPr>
              <w:keepNext/>
              <w:keepLines/>
              <w:jc w:val="center"/>
              <w:rPr>
                <w:rFonts w:eastAsia="SimSun" w:cs="Arial"/>
                <w:b/>
                <w:bCs/>
                <w:color w:val="FF0000"/>
                <w:sz w:val="16"/>
                <w:szCs w:val="16"/>
                <w:lang w:eastAsia="zh-CN"/>
              </w:rPr>
            </w:pPr>
          </w:p>
          <w:p w:rsidR="00BD0327" w:rsidRPr="004D5610" w:rsidRDefault="00BD0327" w:rsidP="00BD0327">
            <w:pPr>
              <w:keepNext/>
              <w:keepLines/>
              <w:jc w:val="center"/>
              <w:rPr>
                <w:rFonts w:eastAsia="SimSun" w:cs="Arial"/>
                <w:b/>
                <w:bCs/>
                <w:color w:val="FF0000"/>
                <w:sz w:val="16"/>
                <w:szCs w:val="16"/>
                <w:lang w:eastAsia="zh-CN"/>
              </w:rPr>
            </w:pPr>
          </w:p>
          <w:p w:rsidR="00BD0327" w:rsidRPr="00980EC4" w:rsidRDefault="00BD0327" w:rsidP="00BD0327">
            <w:pPr>
              <w:keepNext/>
              <w:keepLines/>
              <w:jc w:val="center"/>
              <w:rPr>
                <w:rFonts w:eastAsia="SimSun" w:cs="Arial"/>
                <w:b/>
                <w:bCs/>
                <w:color w:val="FF0000"/>
                <w:sz w:val="16"/>
                <w:szCs w:val="16"/>
                <w:lang w:eastAsia="zh-CN"/>
              </w:rPr>
            </w:pPr>
            <w:r w:rsidRPr="004D5610">
              <w:rPr>
                <w:rFonts w:eastAsia="SimSun" w:cs="Arial"/>
                <w:b/>
                <w:bCs/>
                <w:color w:val="FF0000"/>
                <w:sz w:val="16"/>
                <w:szCs w:val="16"/>
                <w:lang w:eastAsia="zh-CN"/>
              </w:rPr>
              <w:t xml:space="preserve">Not </w:t>
            </w:r>
            <w:r>
              <w:rPr>
                <w:rFonts w:eastAsia="SimSun" w:cs="Arial"/>
                <w:b/>
                <w:bCs/>
                <w:color w:val="FF0000"/>
                <w:sz w:val="16"/>
                <w:szCs w:val="16"/>
                <w:lang w:eastAsia="zh-CN"/>
              </w:rPr>
              <w:br/>
            </w:r>
            <w:r w:rsidRPr="004D5610">
              <w:rPr>
                <w:rFonts w:eastAsia="SimSun" w:cs="Arial"/>
                <w:b/>
                <w:bCs/>
                <w:color w:val="FF0000"/>
                <w:sz w:val="16"/>
                <w:szCs w:val="16"/>
                <w:lang w:eastAsia="zh-CN"/>
              </w:rPr>
              <w:t>on track</w:t>
            </w:r>
          </w:p>
        </w:tc>
      </w:tr>
      <w:tr w:rsidR="00BD0327" w:rsidRPr="00B35AFA" w:rsidTr="00BD0327">
        <w:tc>
          <w:tcPr>
            <w:tcW w:w="1080" w:type="pct"/>
            <w:tcBorders>
              <w:top w:val="single" w:sz="4" w:space="0" w:color="auto"/>
              <w:left w:val="single" w:sz="4" w:space="0" w:color="auto"/>
              <w:bottom w:val="nil"/>
              <w:right w:val="nil"/>
            </w:tcBorders>
            <w:shd w:val="clear" w:color="auto" w:fill="auto"/>
          </w:tcPr>
          <w:p w:rsidR="00BD0327" w:rsidRPr="00005B71" w:rsidRDefault="00BD0327" w:rsidP="00BD0327">
            <w:pPr>
              <w:keepNext/>
              <w:keepLines/>
              <w:rPr>
                <w:rFonts w:eastAsia="SimSun" w:cs="Arial"/>
                <w:color w:val="000000"/>
                <w:sz w:val="16"/>
                <w:szCs w:val="16"/>
                <w:lang w:eastAsia="zh-CN"/>
              </w:rPr>
            </w:pPr>
            <w:r w:rsidRPr="00B35AFA">
              <w:rPr>
                <w:rFonts w:eastAsia="SimSun" w:cs="Arial"/>
                <w:b/>
                <w:bCs/>
                <w:sz w:val="16"/>
                <w:szCs w:val="16"/>
                <w:lang w:eastAsia="zh-CN"/>
              </w:rPr>
              <w:lastRenderedPageBreak/>
              <w:t>Performance Indicators</w:t>
            </w:r>
          </w:p>
        </w:tc>
        <w:tc>
          <w:tcPr>
            <w:tcW w:w="816" w:type="pct"/>
            <w:tcBorders>
              <w:top w:val="single" w:sz="4" w:space="0" w:color="auto"/>
              <w:left w:val="nil"/>
              <w:bottom w:val="nil"/>
              <w:right w:val="nil"/>
            </w:tcBorders>
            <w:shd w:val="clear" w:color="auto" w:fill="auto"/>
          </w:tcPr>
          <w:p w:rsidR="00BD0327" w:rsidRDefault="00BD0327" w:rsidP="00BD0327">
            <w:pPr>
              <w:keepNext/>
              <w:keepLines/>
              <w:rPr>
                <w:rFonts w:cs="Arial"/>
                <w:i/>
                <w:color w:val="002060"/>
                <w:sz w:val="16"/>
                <w:szCs w:val="16"/>
              </w:rPr>
            </w:pPr>
            <w:r w:rsidRPr="00B35AFA">
              <w:rPr>
                <w:rFonts w:cs="Arial"/>
                <w:b/>
                <w:bCs/>
                <w:sz w:val="16"/>
                <w:szCs w:val="16"/>
              </w:rPr>
              <w:t>Baselines</w:t>
            </w:r>
          </w:p>
        </w:tc>
        <w:tc>
          <w:tcPr>
            <w:tcW w:w="966" w:type="pct"/>
            <w:gridSpan w:val="2"/>
            <w:tcBorders>
              <w:top w:val="single" w:sz="4" w:space="0" w:color="auto"/>
              <w:left w:val="nil"/>
              <w:bottom w:val="nil"/>
              <w:right w:val="nil"/>
            </w:tcBorders>
            <w:shd w:val="clear" w:color="auto" w:fill="auto"/>
            <w:tcMar>
              <w:top w:w="110" w:type="dxa"/>
            </w:tcMar>
          </w:tcPr>
          <w:p w:rsidR="00BD0327" w:rsidRPr="00005B71" w:rsidRDefault="00BD0327" w:rsidP="00BD0327">
            <w:pPr>
              <w:keepNext/>
              <w:keepLines/>
              <w:rPr>
                <w:rFonts w:eastAsia="SimSun" w:cs="Arial"/>
                <w:sz w:val="16"/>
                <w:szCs w:val="16"/>
                <w:lang w:eastAsia="zh-CN"/>
              </w:rPr>
            </w:pPr>
            <w:r w:rsidRPr="00B35AFA">
              <w:rPr>
                <w:rFonts w:cs="Arial"/>
                <w:b/>
                <w:sz w:val="16"/>
                <w:szCs w:val="16"/>
              </w:rPr>
              <w:t>Targets</w:t>
            </w:r>
          </w:p>
        </w:tc>
        <w:tc>
          <w:tcPr>
            <w:tcW w:w="1673" w:type="pct"/>
            <w:tcBorders>
              <w:top w:val="single" w:sz="4" w:space="0" w:color="auto"/>
              <w:left w:val="nil"/>
              <w:bottom w:val="nil"/>
              <w:right w:val="nil"/>
            </w:tcBorders>
            <w:shd w:val="clear" w:color="auto" w:fill="FFFFFF"/>
            <w:tcMar>
              <w:top w:w="110" w:type="dxa"/>
            </w:tcMar>
          </w:tcPr>
          <w:p w:rsidR="00BD0327" w:rsidRPr="00B35AFA" w:rsidRDefault="00BD0327" w:rsidP="00BD0327">
            <w:pPr>
              <w:keepNext/>
              <w:keepLines/>
              <w:rPr>
                <w:rFonts w:eastAsia="SimSun" w:cs="Arial"/>
                <w:sz w:val="16"/>
                <w:szCs w:val="16"/>
                <w:lang w:eastAsia="zh-CN"/>
              </w:rPr>
            </w:pPr>
            <w:r w:rsidRPr="00B35AFA">
              <w:rPr>
                <w:rFonts w:eastAsia="SimSun" w:cs="Arial"/>
                <w:b/>
                <w:bCs/>
                <w:sz w:val="16"/>
                <w:szCs w:val="16"/>
                <w:lang w:eastAsia="zh-CN"/>
              </w:rPr>
              <w:t>Performance Data</w:t>
            </w:r>
          </w:p>
        </w:tc>
        <w:tc>
          <w:tcPr>
            <w:tcW w:w="465" w:type="pct"/>
            <w:tcBorders>
              <w:top w:val="single" w:sz="4" w:space="0" w:color="auto"/>
              <w:left w:val="nil"/>
              <w:bottom w:val="nil"/>
              <w:right w:val="single" w:sz="4" w:space="0" w:color="auto"/>
            </w:tcBorders>
            <w:shd w:val="clear" w:color="auto" w:fill="auto"/>
            <w:tcMar>
              <w:top w:w="110" w:type="dxa"/>
            </w:tcMar>
          </w:tcPr>
          <w:p w:rsidR="00BD0327" w:rsidRPr="00B35AFA" w:rsidRDefault="00BD0327" w:rsidP="00BD0327">
            <w:pPr>
              <w:keepNext/>
              <w:keepLines/>
              <w:jc w:val="center"/>
              <w:rPr>
                <w:rFonts w:eastAsia="SimSun" w:cs="Arial"/>
                <w:bCs/>
                <w:color w:val="808080"/>
                <w:sz w:val="16"/>
                <w:szCs w:val="16"/>
                <w:lang w:eastAsia="zh-CN"/>
              </w:rPr>
            </w:pPr>
            <w:r w:rsidRPr="00B35AFA">
              <w:rPr>
                <w:rFonts w:eastAsia="SimSun" w:cs="Arial"/>
                <w:b/>
                <w:bCs/>
                <w:sz w:val="16"/>
                <w:szCs w:val="16"/>
                <w:lang w:eastAsia="zh-CN"/>
              </w:rPr>
              <w:t>TLS</w:t>
            </w:r>
          </w:p>
        </w:tc>
      </w:tr>
      <w:tr w:rsidR="00BD0327" w:rsidRPr="00B35AFA" w:rsidTr="00BD0327">
        <w:tc>
          <w:tcPr>
            <w:tcW w:w="1080" w:type="pct"/>
            <w:tcBorders>
              <w:top w:val="nil"/>
              <w:left w:val="single" w:sz="4" w:space="0" w:color="auto"/>
              <w:bottom w:val="single" w:sz="4" w:space="0" w:color="auto"/>
              <w:right w:val="nil"/>
            </w:tcBorders>
            <w:shd w:val="clear" w:color="auto" w:fill="auto"/>
          </w:tcPr>
          <w:p w:rsidR="00BD0327" w:rsidRPr="0097448D" w:rsidRDefault="00BD0327" w:rsidP="00BD0327">
            <w:pPr>
              <w:keepNext/>
              <w:keepLines/>
              <w:rPr>
                <w:rFonts w:eastAsia="SimSun" w:cs="Arial"/>
                <w:color w:val="000000"/>
                <w:sz w:val="16"/>
                <w:szCs w:val="16"/>
                <w:lang w:eastAsia="zh-CN"/>
              </w:rPr>
            </w:pPr>
            <w:r w:rsidRPr="0097448D">
              <w:rPr>
                <w:rFonts w:eastAsia="SimSun" w:cs="Arial"/>
                <w:color w:val="000000"/>
                <w:sz w:val="16"/>
                <w:szCs w:val="16"/>
                <w:lang w:eastAsia="zh-CN"/>
              </w:rPr>
              <w:t>% of stakeholders with a positive recognition of WIPO's mission, activities and organizational image</w:t>
            </w:r>
          </w:p>
        </w:tc>
        <w:tc>
          <w:tcPr>
            <w:tcW w:w="816" w:type="pct"/>
            <w:tcBorders>
              <w:top w:val="nil"/>
              <w:left w:val="nil"/>
              <w:bottom w:val="single" w:sz="4" w:space="0" w:color="auto"/>
              <w:right w:val="nil"/>
            </w:tcBorders>
            <w:shd w:val="clear" w:color="auto" w:fill="auto"/>
          </w:tcPr>
          <w:p w:rsidR="00BD0327" w:rsidRPr="00F60CAF" w:rsidRDefault="00BD0327" w:rsidP="00BD0327">
            <w:pPr>
              <w:keepNext/>
              <w:keepLines/>
              <w:rPr>
                <w:rFonts w:cs="Arial"/>
                <w:sz w:val="16"/>
                <w:szCs w:val="16"/>
                <w:lang w:val="pt-BR"/>
              </w:rPr>
            </w:pPr>
            <w:r w:rsidRPr="00F60CAF">
              <w:rPr>
                <w:rFonts w:cs="Arial"/>
                <w:sz w:val="16"/>
                <w:szCs w:val="16"/>
                <w:lang w:val="pt-BR"/>
              </w:rPr>
              <w:t>n/a (</w:t>
            </w:r>
            <w:r w:rsidR="0026223C" w:rsidRPr="00F60CAF">
              <w:rPr>
                <w:rFonts w:cs="Arial"/>
                <w:sz w:val="16"/>
                <w:szCs w:val="16"/>
                <w:lang w:val="pt-BR"/>
              </w:rPr>
              <w:t>W</w:t>
            </w:r>
            <w:r w:rsidR="0026223C">
              <w:rPr>
                <w:rFonts w:cs="Arial"/>
                <w:sz w:val="16"/>
                <w:szCs w:val="16"/>
                <w:lang w:val="pt-BR"/>
              </w:rPr>
              <w:t>B</w:t>
            </w:r>
            <w:r w:rsidR="0026223C" w:rsidRPr="00F60CAF">
              <w:rPr>
                <w:rFonts w:cs="Arial"/>
                <w:sz w:val="16"/>
                <w:szCs w:val="16"/>
                <w:lang w:val="pt-BR"/>
              </w:rPr>
              <w:t>O</w:t>
            </w:r>
            <w:r w:rsidRPr="00F60CAF">
              <w:rPr>
                <w:rFonts w:cs="Arial"/>
                <w:sz w:val="16"/>
                <w:szCs w:val="16"/>
                <w:lang w:val="pt-BR"/>
              </w:rPr>
              <w:t>)</w:t>
            </w:r>
          </w:p>
          <w:p w:rsidR="00BD0327" w:rsidRPr="00F60CAF" w:rsidRDefault="00BD0327" w:rsidP="00BD0327">
            <w:pPr>
              <w:keepNext/>
              <w:keepLines/>
              <w:rPr>
                <w:rFonts w:cs="Arial"/>
                <w:sz w:val="16"/>
                <w:szCs w:val="16"/>
                <w:lang w:val="pt-BR"/>
              </w:rPr>
            </w:pPr>
            <w:r w:rsidRPr="00F60CAF">
              <w:rPr>
                <w:rFonts w:cs="Arial"/>
                <w:sz w:val="16"/>
                <w:szCs w:val="16"/>
                <w:lang w:val="pt-BR"/>
              </w:rPr>
              <w:t>n/a (WJO)</w:t>
            </w:r>
          </w:p>
          <w:p w:rsidR="00BD0327" w:rsidRDefault="00BD0327" w:rsidP="00BD0327">
            <w:pPr>
              <w:keepNext/>
              <w:keepLines/>
              <w:rPr>
                <w:rFonts w:cs="Arial"/>
                <w:i/>
                <w:color w:val="002060"/>
                <w:sz w:val="16"/>
                <w:szCs w:val="16"/>
              </w:rPr>
            </w:pPr>
            <w:r w:rsidRPr="0097448D">
              <w:rPr>
                <w:rFonts w:cs="Arial"/>
                <w:sz w:val="16"/>
                <w:szCs w:val="16"/>
              </w:rPr>
              <w:t>n/a (W</w:t>
            </w:r>
            <w:r w:rsidR="0026223C">
              <w:rPr>
                <w:rFonts w:cs="Arial"/>
                <w:sz w:val="16"/>
                <w:szCs w:val="16"/>
              </w:rPr>
              <w:t>S</w:t>
            </w:r>
            <w:r w:rsidRPr="0097448D">
              <w:rPr>
                <w:rFonts w:cs="Arial"/>
                <w:sz w:val="16"/>
                <w:szCs w:val="16"/>
              </w:rPr>
              <w:t>O)</w:t>
            </w:r>
          </w:p>
        </w:tc>
        <w:tc>
          <w:tcPr>
            <w:tcW w:w="966" w:type="pct"/>
            <w:gridSpan w:val="2"/>
            <w:tcBorders>
              <w:top w:val="nil"/>
              <w:left w:val="nil"/>
              <w:bottom w:val="single" w:sz="4" w:space="0" w:color="auto"/>
              <w:right w:val="nil"/>
            </w:tcBorders>
            <w:shd w:val="clear" w:color="auto" w:fill="auto"/>
            <w:tcMar>
              <w:top w:w="110" w:type="dxa"/>
            </w:tcMar>
          </w:tcPr>
          <w:p w:rsidR="00BD0327" w:rsidRDefault="00BD0327" w:rsidP="00BD0327">
            <w:pPr>
              <w:keepNext/>
              <w:keepLines/>
              <w:rPr>
                <w:rFonts w:eastAsia="SimSun" w:cs="Arial"/>
                <w:sz w:val="16"/>
                <w:szCs w:val="16"/>
                <w:lang w:eastAsia="zh-CN"/>
              </w:rPr>
            </w:pPr>
            <w:r w:rsidRPr="0097448D">
              <w:rPr>
                <w:rFonts w:eastAsia="SimSun" w:cs="Arial"/>
                <w:sz w:val="16"/>
                <w:szCs w:val="16"/>
                <w:lang w:eastAsia="zh-CN"/>
              </w:rPr>
              <w:t>75% WBO</w:t>
            </w:r>
          </w:p>
          <w:p w:rsidR="00BD0327" w:rsidRDefault="00BD0327" w:rsidP="00BD0327">
            <w:pPr>
              <w:keepNext/>
              <w:keepLines/>
              <w:rPr>
                <w:rFonts w:eastAsia="SimSun" w:cs="Arial"/>
                <w:sz w:val="16"/>
                <w:szCs w:val="16"/>
                <w:lang w:eastAsia="zh-CN"/>
              </w:rPr>
            </w:pPr>
          </w:p>
          <w:p w:rsidR="00BD0327" w:rsidRDefault="00BD0327" w:rsidP="00BD0327">
            <w:pPr>
              <w:keepNext/>
              <w:keepLines/>
              <w:rPr>
                <w:rFonts w:eastAsia="SimSun" w:cs="Arial"/>
                <w:sz w:val="16"/>
                <w:szCs w:val="16"/>
                <w:lang w:eastAsia="zh-CN"/>
              </w:rPr>
            </w:pPr>
            <w:r w:rsidRPr="0097448D">
              <w:rPr>
                <w:rFonts w:eastAsia="SimSun" w:cs="Arial"/>
                <w:sz w:val="16"/>
                <w:szCs w:val="16"/>
                <w:lang w:eastAsia="zh-CN"/>
              </w:rPr>
              <w:t>75% (WJO)</w:t>
            </w:r>
          </w:p>
          <w:p w:rsidR="00BD0327" w:rsidRDefault="00BD0327" w:rsidP="00BD0327">
            <w:pPr>
              <w:keepNext/>
              <w:keepLines/>
              <w:rPr>
                <w:rFonts w:eastAsia="SimSun" w:cs="Arial"/>
                <w:sz w:val="16"/>
                <w:szCs w:val="16"/>
                <w:lang w:eastAsia="zh-CN"/>
              </w:rPr>
            </w:pPr>
          </w:p>
          <w:p w:rsidR="00BD0327" w:rsidRDefault="00BD0327" w:rsidP="00BD0327">
            <w:pPr>
              <w:keepNext/>
              <w:keepLines/>
              <w:rPr>
                <w:rFonts w:eastAsia="SimSun" w:cs="Arial"/>
                <w:sz w:val="16"/>
                <w:szCs w:val="16"/>
                <w:lang w:eastAsia="zh-CN"/>
              </w:rPr>
            </w:pPr>
            <w:r w:rsidRPr="0097448D">
              <w:rPr>
                <w:rFonts w:eastAsia="SimSun" w:cs="Arial"/>
                <w:sz w:val="16"/>
                <w:szCs w:val="16"/>
                <w:lang w:eastAsia="zh-CN"/>
              </w:rPr>
              <w:t>&gt; 70% of participants in major WIPO events (WSO</w:t>
            </w:r>
            <w:r>
              <w:rPr>
                <w:rFonts w:eastAsia="SimSun" w:cs="Arial"/>
                <w:sz w:val="16"/>
                <w:szCs w:val="16"/>
                <w:lang w:eastAsia="zh-CN"/>
              </w:rPr>
              <w:t>)</w:t>
            </w:r>
          </w:p>
          <w:p w:rsidR="00BD0327" w:rsidRPr="0097448D" w:rsidRDefault="00BD0327" w:rsidP="00BD0327">
            <w:pPr>
              <w:keepNext/>
              <w:keepLines/>
              <w:rPr>
                <w:rFonts w:eastAsia="SimSun" w:cs="Arial"/>
                <w:sz w:val="16"/>
                <w:szCs w:val="16"/>
                <w:lang w:eastAsia="zh-CN"/>
              </w:rPr>
            </w:pPr>
          </w:p>
        </w:tc>
        <w:tc>
          <w:tcPr>
            <w:tcW w:w="1673" w:type="pct"/>
            <w:tcBorders>
              <w:top w:val="nil"/>
              <w:left w:val="nil"/>
              <w:bottom w:val="single" w:sz="4" w:space="0" w:color="auto"/>
              <w:right w:val="nil"/>
            </w:tcBorders>
            <w:shd w:val="clear" w:color="auto" w:fill="FFFFFF"/>
            <w:tcMar>
              <w:top w:w="110" w:type="dxa"/>
            </w:tcMar>
          </w:tcPr>
          <w:p w:rsidR="00BD0327" w:rsidRDefault="00BD0327" w:rsidP="00BD0327">
            <w:pPr>
              <w:keepNext/>
              <w:keepLines/>
              <w:rPr>
                <w:rFonts w:eastAsia="SimSun" w:cs="Arial"/>
                <w:sz w:val="16"/>
                <w:szCs w:val="16"/>
                <w:lang w:eastAsia="zh-CN"/>
              </w:rPr>
            </w:pPr>
            <w:r>
              <w:rPr>
                <w:rFonts w:eastAsia="SimSun" w:cs="Arial"/>
                <w:sz w:val="16"/>
                <w:szCs w:val="16"/>
                <w:lang w:eastAsia="zh-CN"/>
              </w:rPr>
              <w:t>Data not available for 2014; a tracking system will be implemented for 2015 (WBO)</w:t>
            </w:r>
          </w:p>
          <w:p w:rsidR="00BD0327" w:rsidRDefault="00BD0327" w:rsidP="00BD0327">
            <w:pPr>
              <w:keepNext/>
              <w:keepLines/>
              <w:rPr>
                <w:rFonts w:eastAsia="SimSun" w:cs="Arial"/>
                <w:sz w:val="16"/>
                <w:szCs w:val="16"/>
                <w:lang w:eastAsia="zh-CN"/>
              </w:rPr>
            </w:pPr>
          </w:p>
          <w:p w:rsidR="00BD0327" w:rsidRDefault="00BD0327" w:rsidP="00BD0327">
            <w:pPr>
              <w:keepNext/>
              <w:keepLines/>
              <w:rPr>
                <w:rFonts w:eastAsia="SimSun" w:cs="Arial"/>
                <w:sz w:val="16"/>
                <w:szCs w:val="16"/>
                <w:lang w:eastAsia="zh-CN"/>
              </w:rPr>
            </w:pPr>
            <w:r>
              <w:rPr>
                <w:rFonts w:eastAsia="SimSun" w:cs="Arial"/>
                <w:sz w:val="16"/>
                <w:szCs w:val="16"/>
                <w:lang w:eastAsia="zh-CN"/>
              </w:rPr>
              <w:t>94% (WJO)</w:t>
            </w:r>
          </w:p>
          <w:p w:rsidR="00BD0327" w:rsidRDefault="00BD0327" w:rsidP="00BD0327">
            <w:pPr>
              <w:keepNext/>
              <w:keepLines/>
              <w:rPr>
                <w:rFonts w:eastAsia="SimSun" w:cs="Arial"/>
                <w:sz w:val="16"/>
                <w:szCs w:val="16"/>
                <w:lang w:eastAsia="zh-CN"/>
              </w:rPr>
            </w:pPr>
          </w:p>
          <w:p w:rsidR="00BD0327" w:rsidRPr="00B35AFA" w:rsidRDefault="00BD0327" w:rsidP="00BD0327">
            <w:pPr>
              <w:keepNext/>
              <w:keepLines/>
              <w:rPr>
                <w:rFonts w:eastAsia="SimSun" w:cs="Arial"/>
                <w:sz w:val="16"/>
                <w:szCs w:val="16"/>
                <w:lang w:eastAsia="zh-CN"/>
              </w:rPr>
            </w:pPr>
            <w:r>
              <w:rPr>
                <w:rFonts w:eastAsia="SimSun" w:cs="Arial"/>
                <w:sz w:val="16"/>
                <w:szCs w:val="16"/>
                <w:lang w:eastAsia="zh-CN"/>
              </w:rPr>
              <w:t xml:space="preserve">97% of participants in seminars delivered in 2014 under the WIPO-Singapore </w:t>
            </w:r>
            <w:proofErr w:type="spellStart"/>
            <w:r>
              <w:rPr>
                <w:rFonts w:eastAsia="SimSun" w:cs="Arial"/>
                <w:sz w:val="16"/>
                <w:szCs w:val="16"/>
                <w:lang w:eastAsia="zh-CN"/>
              </w:rPr>
              <w:t>MoU</w:t>
            </w:r>
            <w:proofErr w:type="spellEnd"/>
            <w:r>
              <w:rPr>
                <w:rFonts w:eastAsia="SimSun" w:cs="Arial"/>
                <w:sz w:val="16"/>
                <w:szCs w:val="16"/>
                <w:lang w:eastAsia="zh-CN"/>
              </w:rPr>
              <w:t xml:space="preserve"> as adding value. (WSO)</w:t>
            </w:r>
          </w:p>
        </w:tc>
        <w:tc>
          <w:tcPr>
            <w:tcW w:w="465" w:type="pct"/>
            <w:tcBorders>
              <w:top w:val="nil"/>
              <w:left w:val="nil"/>
              <w:bottom w:val="single" w:sz="4" w:space="0" w:color="auto"/>
              <w:right w:val="single" w:sz="4" w:space="0" w:color="auto"/>
            </w:tcBorders>
            <w:shd w:val="clear" w:color="auto" w:fill="auto"/>
            <w:tcMar>
              <w:top w:w="110" w:type="dxa"/>
            </w:tcMar>
          </w:tcPr>
          <w:p w:rsidR="00BD0327" w:rsidRPr="004D5610" w:rsidRDefault="00BD0327" w:rsidP="00BD0327">
            <w:pPr>
              <w:keepNext/>
              <w:keepLines/>
              <w:jc w:val="center"/>
              <w:rPr>
                <w:rFonts w:eastAsia="SimSun" w:cs="Arial"/>
                <w:b/>
                <w:bCs/>
                <w:color w:val="0070C0"/>
                <w:sz w:val="16"/>
                <w:szCs w:val="16"/>
                <w:lang w:eastAsia="zh-CN"/>
              </w:rPr>
            </w:pPr>
            <w:r w:rsidRPr="004D5610">
              <w:rPr>
                <w:rFonts w:eastAsia="SimSun" w:cs="Arial"/>
                <w:b/>
                <w:bCs/>
                <w:color w:val="0070C0"/>
                <w:sz w:val="16"/>
                <w:szCs w:val="16"/>
                <w:lang w:eastAsia="zh-CN"/>
              </w:rPr>
              <w:t>N/A 2014</w:t>
            </w:r>
          </w:p>
          <w:p w:rsidR="00BD0327" w:rsidRPr="004D5610" w:rsidRDefault="00BD0327" w:rsidP="00BD0327">
            <w:pPr>
              <w:keepNext/>
              <w:keepLines/>
              <w:jc w:val="center"/>
              <w:rPr>
                <w:rFonts w:eastAsia="SimSun" w:cs="Arial"/>
                <w:b/>
                <w:bCs/>
                <w:color w:val="00B050"/>
                <w:sz w:val="16"/>
                <w:szCs w:val="16"/>
                <w:lang w:eastAsia="zh-CN"/>
              </w:rPr>
            </w:pPr>
          </w:p>
          <w:p w:rsidR="00BD0327" w:rsidRPr="004D5610" w:rsidRDefault="00BD0327" w:rsidP="00BD0327">
            <w:pPr>
              <w:keepNext/>
              <w:keepLines/>
              <w:jc w:val="center"/>
              <w:rPr>
                <w:rFonts w:eastAsia="SimSun" w:cs="Arial"/>
                <w:b/>
                <w:bCs/>
                <w:color w:val="00B050"/>
                <w:sz w:val="16"/>
                <w:szCs w:val="16"/>
                <w:lang w:eastAsia="zh-CN"/>
              </w:rPr>
            </w:pPr>
          </w:p>
          <w:p w:rsidR="00BD0327" w:rsidRPr="004D5610" w:rsidRDefault="00BD0327" w:rsidP="00F60CAF">
            <w:pPr>
              <w:keepNext/>
              <w:keepLines/>
              <w:rPr>
                <w:rFonts w:eastAsia="SimSun" w:cs="Arial"/>
                <w:b/>
                <w:bCs/>
                <w:color w:val="00B050"/>
                <w:sz w:val="16"/>
                <w:szCs w:val="16"/>
                <w:lang w:eastAsia="zh-CN"/>
              </w:rPr>
            </w:pPr>
            <w:r w:rsidRPr="004D5610">
              <w:rPr>
                <w:rFonts w:eastAsia="SimSun" w:cs="Arial"/>
                <w:b/>
                <w:bCs/>
                <w:color w:val="00B050"/>
                <w:sz w:val="16"/>
                <w:szCs w:val="16"/>
                <w:lang w:eastAsia="zh-CN"/>
              </w:rPr>
              <w:t>On track</w:t>
            </w:r>
          </w:p>
          <w:p w:rsidR="00BD0327" w:rsidRPr="004D5610" w:rsidRDefault="00BD0327" w:rsidP="00BD0327">
            <w:pPr>
              <w:keepNext/>
              <w:keepLines/>
              <w:jc w:val="center"/>
              <w:rPr>
                <w:rFonts w:eastAsia="SimSun" w:cs="Arial"/>
                <w:b/>
                <w:bCs/>
                <w:color w:val="00B050"/>
                <w:sz w:val="16"/>
                <w:szCs w:val="16"/>
                <w:lang w:eastAsia="zh-CN"/>
              </w:rPr>
            </w:pPr>
          </w:p>
          <w:p w:rsidR="00BD0327" w:rsidRPr="004D5610" w:rsidRDefault="00BD0327" w:rsidP="00BD0327">
            <w:pPr>
              <w:keepNext/>
              <w:keepLines/>
              <w:jc w:val="center"/>
              <w:rPr>
                <w:rFonts w:eastAsia="SimSun" w:cs="Arial"/>
                <w:b/>
                <w:bCs/>
                <w:color w:val="00B050"/>
                <w:sz w:val="16"/>
                <w:szCs w:val="16"/>
                <w:lang w:eastAsia="zh-CN"/>
              </w:rPr>
            </w:pPr>
            <w:r w:rsidRPr="004D5610">
              <w:rPr>
                <w:rFonts w:eastAsia="SimSun" w:cs="Arial"/>
                <w:b/>
                <w:bCs/>
                <w:color w:val="00B050"/>
                <w:sz w:val="16"/>
                <w:szCs w:val="16"/>
                <w:lang w:eastAsia="zh-CN"/>
              </w:rPr>
              <w:t>On track</w:t>
            </w:r>
          </w:p>
          <w:p w:rsidR="00BD0327" w:rsidRPr="00B35AFA" w:rsidRDefault="00BD0327" w:rsidP="00BD0327">
            <w:pPr>
              <w:keepNext/>
              <w:keepLines/>
              <w:rPr>
                <w:rFonts w:eastAsia="SimSun" w:cs="Arial"/>
                <w:bCs/>
                <w:color w:val="808080"/>
                <w:sz w:val="16"/>
                <w:szCs w:val="16"/>
                <w:lang w:eastAsia="zh-CN"/>
              </w:rPr>
            </w:pPr>
          </w:p>
        </w:tc>
      </w:tr>
      <w:tr w:rsidR="00BD0327" w:rsidRPr="00B35AFA" w:rsidTr="00BD0327">
        <w:tc>
          <w:tcPr>
            <w:tcW w:w="5000" w:type="pct"/>
            <w:gridSpan w:val="6"/>
            <w:tcBorders>
              <w:top w:val="single" w:sz="4" w:space="0" w:color="auto"/>
              <w:bottom w:val="single" w:sz="4" w:space="0" w:color="auto"/>
            </w:tcBorders>
            <w:shd w:val="clear" w:color="auto" w:fill="CCFFFF"/>
          </w:tcPr>
          <w:p w:rsidR="00BD0327" w:rsidRPr="00B35AFA" w:rsidRDefault="00BD0327" w:rsidP="00BD0327">
            <w:pPr>
              <w:keepNext/>
              <w:keepLines/>
              <w:tabs>
                <w:tab w:val="left" w:pos="1452"/>
              </w:tabs>
              <w:spacing w:before="120" w:after="120"/>
              <w:ind w:left="1452" w:hanging="1452"/>
              <w:rPr>
                <w:rFonts w:eastAsia="SimSun" w:cs="Arial"/>
                <w:bCs/>
                <w:color w:val="808080"/>
                <w:sz w:val="16"/>
                <w:szCs w:val="16"/>
                <w:lang w:eastAsia="zh-CN"/>
              </w:rPr>
            </w:pPr>
            <w:r w:rsidRPr="00B35AFA">
              <w:rPr>
                <w:rFonts w:eastAsia="SimSun" w:cs="Arial"/>
                <w:b/>
                <w:bCs/>
                <w:sz w:val="16"/>
                <w:szCs w:val="16"/>
                <w:lang w:eastAsia="zh-CN"/>
              </w:rPr>
              <w:t>Expected Result:</w:t>
            </w:r>
            <w:r w:rsidRPr="00B35AFA">
              <w:rPr>
                <w:rFonts w:eastAsia="SimSun" w:cs="Arial"/>
                <w:b/>
                <w:bCs/>
                <w:sz w:val="16"/>
                <w:szCs w:val="16"/>
                <w:lang w:eastAsia="zh-CN"/>
              </w:rPr>
              <w:tab/>
            </w:r>
            <w:r w:rsidRPr="0097448D">
              <w:rPr>
                <w:rFonts w:eastAsia="SimSun" w:cs="Arial"/>
                <w:bCs/>
                <w:sz w:val="16"/>
                <w:szCs w:val="16"/>
                <w:lang w:eastAsia="zh-CN"/>
              </w:rPr>
              <w:t>VIII.2 Improved service orientation and responsiveness to inquiries</w:t>
            </w:r>
          </w:p>
        </w:tc>
      </w:tr>
      <w:tr w:rsidR="00BD0327" w:rsidRPr="00B35AFA" w:rsidTr="00BD0327">
        <w:tc>
          <w:tcPr>
            <w:tcW w:w="1080" w:type="pct"/>
            <w:tcBorders>
              <w:top w:val="single" w:sz="4" w:space="0" w:color="auto"/>
              <w:left w:val="single" w:sz="4" w:space="0" w:color="auto"/>
              <w:bottom w:val="nil"/>
              <w:right w:val="nil"/>
            </w:tcBorders>
            <w:shd w:val="clear" w:color="auto" w:fill="auto"/>
          </w:tcPr>
          <w:p w:rsidR="00BD0327" w:rsidRPr="0097448D" w:rsidRDefault="00BD0327" w:rsidP="00BD0327">
            <w:pPr>
              <w:rPr>
                <w:rFonts w:eastAsia="SimSun" w:cs="Arial"/>
                <w:color w:val="000000"/>
                <w:sz w:val="16"/>
                <w:szCs w:val="16"/>
                <w:lang w:eastAsia="zh-CN"/>
              </w:rPr>
            </w:pPr>
            <w:r w:rsidRPr="00B35AFA">
              <w:rPr>
                <w:rFonts w:eastAsia="SimSun" w:cs="Arial"/>
                <w:b/>
                <w:bCs/>
                <w:sz w:val="16"/>
                <w:szCs w:val="16"/>
                <w:lang w:eastAsia="zh-CN"/>
              </w:rPr>
              <w:t>Performance Indicators</w:t>
            </w:r>
          </w:p>
        </w:tc>
        <w:tc>
          <w:tcPr>
            <w:tcW w:w="816" w:type="pct"/>
            <w:tcBorders>
              <w:top w:val="single" w:sz="4" w:space="0" w:color="auto"/>
              <w:left w:val="nil"/>
              <w:bottom w:val="nil"/>
              <w:right w:val="nil"/>
            </w:tcBorders>
            <w:shd w:val="clear" w:color="auto" w:fill="auto"/>
          </w:tcPr>
          <w:p w:rsidR="00BD0327" w:rsidRDefault="00BD0327" w:rsidP="00BD0327">
            <w:pPr>
              <w:rPr>
                <w:rFonts w:cs="Arial"/>
                <w:i/>
                <w:color w:val="002060"/>
                <w:sz w:val="16"/>
                <w:szCs w:val="16"/>
              </w:rPr>
            </w:pPr>
            <w:r w:rsidRPr="00B35AFA">
              <w:rPr>
                <w:rFonts w:cs="Arial"/>
                <w:b/>
                <w:bCs/>
                <w:sz w:val="16"/>
                <w:szCs w:val="16"/>
              </w:rPr>
              <w:t>Baselines</w:t>
            </w:r>
          </w:p>
        </w:tc>
        <w:tc>
          <w:tcPr>
            <w:tcW w:w="966" w:type="pct"/>
            <w:gridSpan w:val="2"/>
            <w:tcBorders>
              <w:top w:val="single" w:sz="4" w:space="0" w:color="auto"/>
              <w:left w:val="nil"/>
              <w:bottom w:val="nil"/>
              <w:right w:val="nil"/>
            </w:tcBorders>
            <w:shd w:val="clear" w:color="auto" w:fill="auto"/>
            <w:tcMar>
              <w:top w:w="110" w:type="dxa"/>
            </w:tcMar>
          </w:tcPr>
          <w:p w:rsidR="00BD0327" w:rsidRPr="0097448D" w:rsidRDefault="00BD0327" w:rsidP="00BD0327">
            <w:pPr>
              <w:rPr>
                <w:rFonts w:eastAsia="SimSun" w:cs="Arial"/>
                <w:sz w:val="16"/>
                <w:szCs w:val="16"/>
                <w:lang w:eastAsia="zh-CN"/>
              </w:rPr>
            </w:pPr>
            <w:r w:rsidRPr="00B35AFA">
              <w:rPr>
                <w:rFonts w:cs="Arial"/>
                <w:b/>
                <w:sz w:val="16"/>
                <w:szCs w:val="16"/>
              </w:rPr>
              <w:t>Targets</w:t>
            </w:r>
          </w:p>
        </w:tc>
        <w:tc>
          <w:tcPr>
            <w:tcW w:w="1673" w:type="pct"/>
            <w:tcBorders>
              <w:top w:val="single" w:sz="4" w:space="0" w:color="auto"/>
              <w:left w:val="nil"/>
              <w:bottom w:val="nil"/>
              <w:right w:val="nil"/>
            </w:tcBorders>
            <w:shd w:val="clear" w:color="auto" w:fill="FFFFFF"/>
            <w:tcMar>
              <w:top w:w="110" w:type="dxa"/>
            </w:tcMar>
          </w:tcPr>
          <w:p w:rsidR="00BD0327" w:rsidRPr="00B35AFA" w:rsidRDefault="00BD0327" w:rsidP="00BD0327">
            <w:pPr>
              <w:rPr>
                <w:rFonts w:eastAsia="SimSun" w:cs="Arial"/>
                <w:sz w:val="16"/>
                <w:szCs w:val="16"/>
                <w:lang w:eastAsia="zh-CN"/>
              </w:rPr>
            </w:pPr>
            <w:r w:rsidRPr="00B35AFA">
              <w:rPr>
                <w:rFonts w:eastAsia="SimSun" w:cs="Arial"/>
                <w:b/>
                <w:bCs/>
                <w:sz w:val="16"/>
                <w:szCs w:val="16"/>
                <w:lang w:eastAsia="zh-CN"/>
              </w:rPr>
              <w:t>Performance Data</w:t>
            </w:r>
          </w:p>
        </w:tc>
        <w:tc>
          <w:tcPr>
            <w:tcW w:w="465" w:type="pct"/>
            <w:tcBorders>
              <w:top w:val="single" w:sz="4" w:space="0" w:color="auto"/>
              <w:left w:val="nil"/>
              <w:bottom w:val="nil"/>
              <w:right w:val="single" w:sz="4" w:space="0" w:color="auto"/>
            </w:tcBorders>
            <w:shd w:val="clear" w:color="auto" w:fill="auto"/>
            <w:tcMar>
              <w:top w:w="110" w:type="dxa"/>
            </w:tcMar>
          </w:tcPr>
          <w:p w:rsidR="00BD0327" w:rsidRPr="00D30E63" w:rsidRDefault="00BD0327" w:rsidP="00BD0327">
            <w:pPr>
              <w:keepNext/>
              <w:keepLines/>
              <w:jc w:val="center"/>
              <w:rPr>
                <w:rFonts w:eastAsia="SimSun" w:cs="Arial"/>
                <w:b/>
                <w:bCs/>
                <w:color w:val="808080"/>
                <w:sz w:val="16"/>
                <w:szCs w:val="16"/>
                <w:lang w:eastAsia="zh-CN"/>
              </w:rPr>
            </w:pPr>
            <w:r w:rsidRPr="00B35AFA">
              <w:rPr>
                <w:rFonts w:eastAsia="SimSun" w:cs="Arial"/>
                <w:b/>
                <w:bCs/>
                <w:sz w:val="16"/>
                <w:szCs w:val="16"/>
                <w:lang w:eastAsia="zh-CN"/>
              </w:rPr>
              <w:t>TLS</w:t>
            </w:r>
          </w:p>
        </w:tc>
      </w:tr>
      <w:tr w:rsidR="00BD0327" w:rsidRPr="004C0C4E" w:rsidTr="00BD0327">
        <w:trPr>
          <w:trHeight w:val="1510"/>
        </w:trPr>
        <w:tc>
          <w:tcPr>
            <w:tcW w:w="1080" w:type="pct"/>
            <w:tcBorders>
              <w:top w:val="nil"/>
              <w:left w:val="single" w:sz="4" w:space="0" w:color="auto"/>
              <w:bottom w:val="nil"/>
              <w:right w:val="nil"/>
            </w:tcBorders>
            <w:shd w:val="clear" w:color="auto" w:fill="auto"/>
          </w:tcPr>
          <w:p w:rsidR="00BD0327" w:rsidRPr="0097448D" w:rsidRDefault="00BD0327" w:rsidP="00BD0327">
            <w:pPr>
              <w:rPr>
                <w:rFonts w:eastAsia="SimSun" w:cs="Arial"/>
                <w:color w:val="000000"/>
                <w:sz w:val="16"/>
                <w:szCs w:val="16"/>
                <w:lang w:eastAsia="zh-CN"/>
              </w:rPr>
            </w:pPr>
            <w:r w:rsidRPr="0097448D">
              <w:rPr>
                <w:rFonts w:eastAsia="SimSun" w:cs="Arial"/>
                <w:color w:val="000000"/>
                <w:sz w:val="16"/>
                <w:szCs w:val="16"/>
                <w:lang w:eastAsia="zh-CN"/>
              </w:rPr>
              <w:t>Customer/stakeholder satisfaction rate</w:t>
            </w:r>
          </w:p>
        </w:tc>
        <w:tc>
          <w:tcPr>
            <w:tcW w:w="816" w:type="pct"/>
            <w:tcBorders>
              <w:top w:val="nil"/>
              <w:left w:val="nil"/>
              <w:bottom w:val="nil"/>
              <w:right w:val="nil"/>
            </w:tcBorders>
            <w:shd w:val="clear" w:color="auto" w:fill="auto"/>
          </w:tcPr>
          <w:p w:rsidR="00BD0327" w:rsidRPr="00F60CAF" w:rsidRDefault="00BD0327" w:rsidP="00BD0327">
            <w:pPr>
              <w:rPr>
                <w:rFonts w:cs="Arial"/>
                <w:sz w:val="16"/>
                <w:szCs w:val="16"/>
                <w:lang w:val="pt-BR"/>
              </w:rPr>
            </w:pPr>
            <w:r w:rsidRPr="00F60CAF">
              <w:rPr>
                <w:rFonts w:cs="Arial"/>
                <w:sz w:val="16"/>
                <w:szCs w:val="16"/>
                <w:lang w:val="pt-BR"/>
              </w:rPr>
              <w:t>n/a (WBO)</w:t>
            </w:r>
          </w:p>
          <w:p w:rsidR="00BD0327" w:rsidRPr="00F60CAF" w:rsidRDefault="00BD0327" w:rsidP="00BD0327">
            <w:pPr>
              <w:rPr>
                <w:rFonts w:cs="Arial"/>
                <w:sz w:val="16"/>
                <w:szCs w:val="16"/>
                <w:lang w:val="pt-BR"/>
              </w:rPr>
            </w:pPr>
            <w:r w:rsidRPr="00F60CAF">
              <w:rPr>
                <w:rFonts w:cs="Arial"/>
                <w:sz w:val="16"/>
                <w:szCs w:val="16"/>
                <w:lang w:val="pt-BR"/>
              </w:rPr>
              <w:t>n/a (WJO)</w:t>
            </w:r>
          </w:p>
          <w:p w:rsidR="00BD0327" w:rsidRDefault="00BD0327" w:rsidP="00BD0327">
            <w:pPr>
              <w:rPr>
                <w:rFonts w:cs="Arial"/>
                <w:i/>
                <w:color w:val="002060"/>
                <w:sz w:val="16"/>
                <w:szCs w:val="16"/>
              </w:rPr>
            </w:pPr>
            <w:r w:rsidRPr="0097448D">
              <w:rPr>
                <w:rFonts w:cs="Arial"/>
                <w:sz w:val="16"/>
                <w:szCs w:val="16"/>
              </w:rPr>
              <w:t>n/a (WSO)</w:t>
            </w:r>
          </w:p>
        </w:tc>
        <w:tc>
          <w:tcPr>
            <w:tcW w:w="966" w:type="pct"/>
            <w:gridSpan w:val="2"/>
            <w:tcBorders>
              <w:top w:val="nil"/>
              <w:left w:val="nil"/>
              <w:bottom w:val="nil"/>
              <w:right w:val="nil"/>
            </w:tcBorders>
            <w:shd w:val="clear" w:color="auto" w:fill="auto"/>
            <w:tcMar>
              <w:top w:w="110" w:type="dxa"/>
            </w:tcMar>
          </w:tcPr>
          <w:p w:rsidR="00BD0327" w:rsidRDefault="00BD0327" w:rsidP="00BD0327">
            <w:pPr>
              <w:rPr>
                <w:rFonts w:eastAsia="SimSun" w:cs="Arial"/>
                <w:sz w:val="16"/>
                <w:szCs w:val="16"/>
                <w:lang w:eastAsia="zh-CN"/>
              </w:rPr>
            </w:pPr>
            <w:proofErr w:type="spellStart"/>
            <w:r w:rsidRPr="0097448D">
              <w:rPr>
                <w:rFonts w:eastAsia="SimSun" w:cs="Arial"/>
                <w:sz w:val="16"/>
                <w:szCs w:val="16"/>
                <w:lang w:eastAsia="zh-CN"/>
              </w:rPr>
              <w:t>tbd</w:t>
            </w:r>
            <w:proofErr w:type="spellEnd"/>
            <w:r w:rsidRPr="0097448D">
              <w:rPr>
                <w:rFonts w:eastAsia="SimSun" w:cs="Arial"/>
                <w:sz w:val="16"/>
                <w:szCs w:val="16"/>
                <w:lang w:eastAsia="zh-CN"/>
              </w:rPr>
              <w:t xml:space="preserve"> (WBO)</w:t>
            </w:r>
          </w:p>
          <w:p w:rsidR="00BD0327" w:rsidRDefault="00BD0327" w:rsidP="00BD0327">
            <w:pPr>
              <w:rPr>
                <w:rFonts w:eastAsia="SimSun" w:cs="Arial"/>
                <w:sz w:val="16"/>
                <w:szCs w:val="16"/>
                <w:lang w:eastAsia="zh-CN"/>
              </w:rPr>
            </w:pPr>
            <w:proofErr w:type="spellStart"/>
            <w:r w:rsidRPr="0097448D">
              <w:rPr>
                <w:rFonts w:eastAsia="SimSun" w:cs="Arial"/>
                <w:sz w:val="16"/>
                <w:szCs w:val="16"/>
                <w:lang w:eastAsia="zh-CN"/>
              </w:rPr>
              <w:t>tbd</w:t>
            </w:r>
            <w:proofErr w:type="spellEnd"/>
            <w:r w:rsidRPr="0097448D">
              <w:rPr>
                <w:rFonts w:eastAsia="SimSun" w:cs="Arial"/>
                <w:sz w:val="16"/>
                <w:szCs w:val="16"/>
                <w:lang w:eastAsia="zh-CN"/>
              </w:rPr>
              <w:t xml:space="preserve"> (WJO)</w:t>
            </w:r>
          </w:p>
          <w:p w:rsidR="00BD0327" w:rsidRPr="0097448D" w:rsidRDefault="00BD0327" w:rsidP="00BD0327">
            <w:pPr>
              <w:rPr>
                <w:rFonts w:eastAsia="SimSun" w:cs="Arial"/>
                <w:sz w:val="16"/>
                <w:szCs w:val="16"/>
                <w:lang w:eastAsia="zh-CN"/>
              </w:rPr>
            </w:pPr>
            <w:r w:rsidRPr="0097448D">
              <w:rPr>
                <w:rFonts w:eastAsia="SimSun" w:cs="Arial"/>
                <w:sz w:val="16"/>
                <w:szCs w:val="16"/>
                <w:lang w:eastAsia="zh-CN"/>
              </w:rPr>
              <w:t>&gt; 90% of callers are satisfied with the service WSO provides (WSO)</w:t>
            </w:r>
          </w:p>
        </w:tc>
        <w:tc>
          <w:tcPr>
            <w:tcW w:w="1673" w:type="pct"/>
            <w:tcBorders>
              <w:top w:val="nil"/>
              <w:left w:val="nil"/>
              <w:bottom w:val="nil"/>
              <w:right w:val="nil"/>
            </w:tcBorders>
            <w:shd w:val="clear" w:color="auto" w:fill="FFFFFF"/>
            <w:tcMar>
              <w:top w:w="110" w:type="dxa"/>
            </w:tcMar>
          </w:tcPr>
          <w:p w:rsidR="00BD0327" w:rsidRPr="001234DE" w:rsidRDefault="00BD0327" w:rsidP="00BD0327">
            <w:pPr>
              <w:rPr>
                <w:rFonts w:eastAsia="SimSun" w:cs="Arial"/>
                <w:sz w:val="16"/>
                <w:szCs w:val="16"/>
                <w:lang w:eastAsia="zh-CN"/>
              </w:rPr>
            </w:pPr>
            <w:r>
              <w:rPr>
                <w:rFonts w:eastAsia="SimSun" w:cs="Arial"/>
                <w:sz w:val="16"/>
                <w:szCs w:val="16"/>
                <w:lang w:eastAsia="zh-CN"/>
              </w:rPr>
              <w:t>A uniform c</w:t>
            </w:r>
            <w:r w:rsidRPr="009B1A53">
              <w:rPr>
                <w:rFonts w:eastAsia="SimSun" w:cs="Arial"/>
                <w:sz w:val="16"/>
                <w:szCs w:val="16"/>
                <w:lang w:eastAsia="zh-CN"/>
              </w:rPr>
              <w:t xml:space="preserve">ustomer satisfaction monitoring mechanism </w:t>
            </w:r>
            <w:r>
              <w:rPr>
                <w:rFonts w:eastAsia="SimSun" w:cs="Arial"/>
                <w:sz w:val="16"/>
                <w:szCs w:val="16"/>
                <w:lang w:eastAsia="zh-CN"/>
              </w:rPr>
              <w:t>to be developed in 2015</w:t>
            </w:r>
            <w:r w:rsidRPr="009B1A53" w:rsidDel="001234DE">
              <w:rPr>
                <w:rFonts w:eastAsia="SimSun" w:cs="Arial"/>
                <w:sz w:val="16"/>
                <w:szCs w:val="16"/>
                <w:lang w:eastAsia="zh-CN"/>
              </w:rPr>
              <w:t xml:space="preserve"> </w:t>
            </w:r>
            <w:r>
              <w:rPr>
                <w:rFonts w:eastAsia="SimSun" w:cs="Arial"/>
                <w:sz w:val="16"/>
                <w:szCs w:val="16"/>
                <w:lang w:eastAsia="zh-CN"/>
              </w:rPr>
              <w:t>(WBO, WJO, WSO)</w:t>
            </w:r>
          </w:p>
        </w:tc>
        <w:tc>
          <w:tcPr>
            <w:tcW w:w="465" w:type="pct"/>
            <w:tcBorders>
              <w:top w:val="nil"/>
              <w:left w:val="nil"/>
              <w:bottom w:val="nil"/>
              <w:right w:val="single" w:sz="4" w:space="0" w:color="auto"/>
            </w:tcBorders>
            <w:shd w:val="clear" w:color="auto" w:fill="auto"/>
            <w:tcMar>
              <w:top w:w="110" w:type="dxa"/>
            </w:tcMar>
          </w:tcPr>
          <w:p w:rsidR="00BD0327" w:rsidRPr="004C0C4E" w:rsidRDefault="00BD0327" w:rsidP="00BD0327">
            <w:pPr>
              <w:keepNext/>
              <w:keepLines/>
              <w:jc w:val="center"/>
              <w:rPr>
                <w:rFonts w:eastAsia="SimSun" w:cs="Arial"/>
                <w:b/>
                <w:bCs/>
                <w:sz w:val="16"/>
                <w:szCs w:val="16"/>
                <w:lang w:eastAsia="zh-CN"/>
              </w:rPr>
            </w:pPr>
            <w:r w:rsidRPr="004C0C4E">
              <w:rPr>
                <w:rFonts w:eastAsia="SimSun" w:cs="Arial"/>
                <w:b/>
                <w:bCs/>
                <w:color w:val="0070C0"/>
                <w:sz w:val="16"/>
                <w:szCs w:val="16"/>
                <w:lang w:eastAsia="zh-CN"/>
              </w:rPr>
              <w:t>N/A 2014</w:t>
            </w:r>
          </w:p>
        </w:tc>
      </w:tr>
      <w:tr w:rsidR="00BD0327" w:rsidRPr="00B35AFA" w:rsidTr="00BD0327">
        <w:trPr>
          <w:trHeight w:val="1678"/>
        </w:trPr>
        <w:tc>
          <w:tcPr>
            <w:tcW w:w="1080" w:type="pct"/>
            <w:tcBorders>
              <w:top w:val="nil"/>
              <w:left w:val="single" w:sz="4" w:space="0" w:color="auto"/>
              <w:bottom w:val="single" w:sz="4" w:space="0" w:color="auto"/>
              <w:right w:val="nil"/>
            </w:tcBorders>
            <w:shd w:val="clear" w:color="auto" w:fill="auto"/>
          </w:tcPr>
          <w:p w:rsidR="00BD0327" w:rsidRPr="0097448D" w:rsidRDefault="00BD0327" w:rsidP="00BD0327">
            <w:pPr>
              <w:rPr>
                <w:rFonts w:eastAsia="SimSun" w:cs="Arial"/>
                <w:color w:val="000000"/>
                <w:sz w:val="16"/>
                <w:szCs w:val="16"/>
                <w:lang w:eastAsia="zh-CN"/>
              </w:rPr>
            </w:pPr>
            <w:r w:rsidRPr="0097448D">
              <w:rPr>
                <w:rFonts w:eastAsia="SimSun" w:cs="Arial"/>
                <w:color w:val="000000"/>
                <w:sz w:val="16"/>
                <w:szCs w:val="16"/>
                <w:lang w:eastAsia="zh-CN"/>
              </w:rPr>
              <w:t>Processing time of information inquiries</w:t>
            </w:r>
          </w:p>
        </w:tc>
        <w:tc>
          <w:tcPr>
            <w:tcW w:w="816" w:type="pct"/>
            <w:tcBorders>
              <w:top w:val="nil"/>
              <w:left w:val="nil"/>
              <w:bottom w:val="single" w:sz="4" w:space="0" w:color="auto"/>
              <w:right w:val="nil"/>
            </w:tcBorders>
            <w:shd w:val="clear" w:color="auto" w:fill="auto"/>
          </w:tcPr>
          <w:p w:rsidR="00BD0327" w:rsidRPr="00F60CAF" w:rsidRDefault="00BD0327" w:rsidP="00BD0327">
            <w:pPr>
              <w:spacing w:after="120"/>
              <w:rPr>
                <w:rFonts w:cs="Arial"/>
                <w:sz w:val="16"/>
                <w:szCs w:val="16"/>
                <w:lang w:val="pt-BR"/>
              </w:rPr>
            </w:pPr>
            <w:r w:rsidRPr="00F60CAF">
              <w:rPr>
                <w:rFonts w:cs="Arial"/>
                <w:sz w:val="16"/>
                <w:szCs w:val="16"/>
                <w:lang w:val="pt-BR"/>
              </w:rPr>
              <w:t>n/a (WBO)</w:t>
            </w:r>
          </w:p>
          <w:p w:rsidR="00BD0327" w:rsidRPr="00F60CAF" w:rsidRDefault="00BD0327" w:rsidP="00BD0327">
            <w:pPr>
              <w:spacing w:after="120"/>
              <w:rPr>
                <w:rFonts w:cs="Arial"/>
                <w:sz w:val="16"/>
                <w:szCs w:val="16"/>
                <w:lang w:val="pt-BR"/>
              </w:rPr>
            </w:pPr>
            <w:r w:rsidRPr="00F60CAF">
              <w:rPr>
                <w:rFonts w:cs="Arial"/>
                <w:sz w:val="16"/>
                <w:szCs w:val="16"/>
                <w:lang w:val="pt-BR"/>
              </w:rPr>
              <w:t>n/a (WJO)</w:t>
            </w:r>
          </w:p>
          <w:p w:rsidR="00BD0327" w:rsidRPr="00254AD1" w:rsidRDefault="00BD0327" w:rsidP="00BD0327">
            <w:pPr>
              <w:spacing w:after="120"/>
              <w:rPr>
                <w:rFonts w:cs="Arial"/>
                <w:sz w:val="16"/>
                <w:szCs w:val="16"/>
              </w:rPr>
            </w:pPr>
            <w:r>
              <w:rPr>
                <w:rFonts w:cs="Arial"/>
                <w:sz w:val="16"/>
                <w:szCs w:val="16"/>
              </w:rPr>
              <w:t>n/a (WSO)</w:t>
            </w:r>
          </w:p>
        </w:tc>
        <w:tc>
          <w:tcPr>
            <w:tcW w:w="966" w:type="pct"/>
            <w:gridSpan w:val="2"/>
            <w:tcBorders>
              <w:top w:val="nil"/>
              <w:left w:val="nil"/>
              <w:bottom w:val="single" w:sz="4" w:space="0" w:color="auto"/>
              <w:right w:val="nil"/>
            </w:tcBorders>
            <w:shd w:val="clear" w:color="auto" w:fill="auto"/>
            <w:tcMar>
              <w:top w:w="110" w:type="dxa"/>
            </w:tcMar>
          </w:tcPr>
          <w:p w:rsidR="00BD0327" w:rsidRDefault="00BD0327" w:rsidP="00BD0327">
            <w:pPr>
              <w:spacing w:after="120"/>
              <w:rPr>
                <w:rFonts w:eastAsia="SimSun" w:cs="Arial"/>
                <w:sz w:val="16"/>
                <w:szCs w:val="16"/>
                <w:lang w:eastAsia="zh-CN"/>
              </w:rPr>
            </w:pPr>
            <w:proofErr w:type="spellStart"/>
            <w:r w:rsidRPr="0097448D">
              <w:rPr>
                <w:rFonts w:eastAsia="SimSun" w:cs="Arial"/>
                <w:sz w:val="16"/>
                <w:szCs w:val="16"/>
                <w:lang w:eastAsia="zh-CN"/>
              </w:rPr>
              <w:t>Tbd</w:t>
            </w:r>
            <w:proofErr w:type="spellEnd"/>
            <w:r w:rsidRPr="0097448D">
              <w:rPr>
                <w:rFonts w:eastAsia="SimSun" w:cs="Arial"/>
                <w:sz w:val="16"/>
                <w:szCs w:val="16"/>
                <w:lang w:eastAsia="zh-CN"/>
              </w:rPr>
              <w:t xml:space="preserve"> (WBO)</w:t>
            </w:r>
          </w:p>
          <w:p w:rsidR="00BD0327" w:rsidRDefault="00BD0327" w:rsidP="00BD0327">
            <w:pPr>
              <w:spacing w:after="120"/>
              <w:rPr>
                <w:rFonts w:eastAsia="SimSun" w:cs="Arial"/>
                <w:sz w:val="16"/>
                <w:szCs w:val="16"/>
                <w:lang w:eastAsia="zh-CN"/>
              </w:rPr>
            </w:pPr>
            <w:proofErr w:type="spellStart"/>
            <w:r w:rsidRPr="0097448D">
              <w:rPr>
                <w:rFonts w:eastAsia="SimSun" w:cs="Arial"/>
                <w:sz w:val="16"/>
                <w:szCs w:val="16"/>
                <w:lang w:eastAsia="zh-CN"/>
              </w:rPr>
              <w:t>Tbd</w:t>
            </w:r>
            <w:proofErr w:type="spellEnd"/>
            <w:r w:rsidRPr="0097448D">
              <w:rPr>
                <w:rFonts w:eastAsia="SimSun" w:cs="Arial"/>
                <w:sz w:val="16"/>
                <w:szCs w:val="16"/>
                <w:lang w:eastAsia="zh-CN"/>
              </w:rPr>
              <w:t xml:space="preserve"> (WJO)</w:t>
            </w:r>
          </w:p>
          <w:p w:rsidR="00BD0327" w:rsidRPr="0097448D" w:rsidRDefault="00BD0327" w:rsidP="00BD0327">
            <w:pPr>
              <w:spacing w:after="120"/>
              <w:rPr>
                <w:rFonts w:eastAsia="SimSun" w:cs="Arial"/>
                <w:sz w:val="16"/>
                <w:szCs w:val="16"/>
                <w:lang w:eastAsia="zh-CN"/>
              </w:rPr>
            </w:pPr>
            <w:r w:rsidRPr="0097448D">
              <w:rPr>
                <w:rFonts w:eastAsia="SimSun" w:cs="Arial"/>
                <w:sz w:val="16"/>
                <w:szCs w:val="16"/>
                <w:lang w:eastAsia="zh-CN"/>
              </w:rPr>
              <w:t>Response prepared within 3 working days in 95% of cases (WSO)</w:t>
            </w:r>
          </w:p>
        </w:tc>
        <w:tc>
          <w:tcPr>
            <w:tcW w:w="1673" w:type="pct"/>
            <w:tcBorders>
              <w:top w:val="nil"/>
              <w:left w:val="nil"/>
              <w:bottom w:val="single" w:sz="4" w:space="0" w:color="auto"/>
              <w:right w:val="nil"/>
            </w:tcBorders>
            <w:shd w:val="clear" w:color="auto" w:fill="FFFFFF"/>
            <w:tcMar>
              <w:top w:w="110" w:type="dxa"/>
            </w:tcMar>
          </w:tcPr>
          <w:p w:rsidR="00BD0327" w:rsidRDefault="00BD0327" w:rsidP="00BD0327">
            <w:pPr>
              <w:spacing w:after="120"/>
              <w:rPr>
                <w:rFonts w:eastAsia="SimSun" w:cs="Arial"/>
                <w:sz w:val="16"/>
                <w:szCs w:val="16"/>
                <w:lang w:eastAsia="zh-CN"/>
              </w:rPr>
            </w:pPr>
            <w:r>
              <w:rPr>
                <w:rFonts w:eastAsia="SimSun" w:cs="Arial"/>
                <w:sz w:val="16"/>
                <w:szCs w:val="16"/>
                <w:lang w:eastAsia="zh-CN"/>
              </w:rPr>
              <w:t>Data not available for 2014; a tracking system will be implemented for 2015  (WBO)</w:t>
            </w:r>
          </w:p>
          <w:p w:rsidR="00BD0327" w:rsidRDefault="00BD0327" w:rsidP="00BD0327">
            <w:pPr>
              <w:spacing w:after="120"/>
              <w:rPr>
                <w:rFonts w:eastAsia="SimSun" w:cs="Arial"/>
                <w:sz w:val="16"/>
                <w:szCs w:val="16"/>
                <w:lang w:eastAsia="zh-CN"/>
              </w:rPr>
            </w:pPr>
            <w:r>
              <w:rPr>
                <w:rFonts w:eastAsia="SimSun" w:cs="Arial"/>
                <w:sz w:val="16"/>
                <w:szCs w:val="16"/>
                <w:lang w:eastAsia="zh-CN"/>
              </w:rPr>
              <w:t>94% of enquiries are processed within 3 working days (WJO)</w:t>
            </w:r>
          </w:p>
          <w:p w:rsidR="00BD0327" w:rsidRPr="00B35AFA" w:rsidRDefault="00BD0327" w:rsidP="00BD0327">
            <w:pPr>
              <w:spacing w:after="120"/>
              <w:rPr>
                <w:rFonts w:eastAsia="SimSun" w:cs="Arial"/>
                <w:sz w:val="16"/>
                <w:szCs w:val="16"/>
                <w:lang w:eastAsia="zh-CN"/>
              </w:rPr>
            </w:pPr>
            <w:r>
              <w:rPr>
                <w:rFonts w:eastAsia="SimSun" w:cs="Arial"/>
                <w:sz w:val="16"/>
                <w:szCs w:val="16"/>
                <w:lang w:eastAsia="zh-CN"/>
              </w:rPr>
              <w:t>94% of enquiries were processed within 3 working days (WSO)</w:t>
            </w:r>
          </w:p>
        </w:tc>
        <w:tc>
          <w:tcPr>
            <w:tcW w:w="465" w:type="pct"/>
            <w:tcBorders>
              <w:top w:val="nil"/>
              <w:left w:val="nil"/>
              <w:bottom w:val="single" w:sz="4" w:space="0" w:color="auto"/>
              <w:right w:val="single" w:sz="4" w:space="0" w:color="auto"/>
            </w:tcBorders>
            <w:shd w:val="clear" w:color="auto" w:fill="auto"/>
            <w:tcMar>
              <w:top w:w="110" w:type="dxa"/>
            </w:tcMar>
          </w:tcPr>
          <w:p w:rsidR="00BD0327" w:rsidRDefault="00BD0327" w:rsidP="00BD0327">
            <w:pPr>
              <w:keepNext/>
              <w:keepLines/>
              <w:jc w:val="center"/>
              <w:rPr>
                <w:rFonts w:eastAsia="SimSun" w:cs="Arial"/>
                <w:b/>
                <w:bCs/>
                <w:color w:val="808080" w:themeColor="background1" w:themeShade="80"/>
                <w:sz w:val="12"/>
                <w:szCs w:val="16"/>
                <w:lang w:eastAsia="zh-CN"/>
              </w:rPr>
            </w:pPr>
            <w:r w:rsidRPr="004C0C4E">
              <w:rPr>
                <w:rFonts w:eastAsia="SimSun" w:cs="Arial"/>
                <w:b/>
                <w:bCs/>
                <w:color w:val="808080" w:themeColor="background1" w:themeShade="80"/>
                <w:sz w:val="12"/>
                <w:szCs w:val="16"/>
                <w:lang w:eastAsia="zh-CN"/>
              </w:rPr>
              <w:t>Not assessable</w:t>
            </w:r>
          </w:p>
          <w:p w:rsidR="00BD0327" w:rsidRDefault="00BD0327" w:rsidP="00BD0327">
            <w:pPr>
              <w:keepNext/>
              <w:keepLines/>
              <w:jc w:val="center"/>
              <w:rPr>
                <w:rFonts w:eastAsia="SimSun" w:cs="Arial"/>
                <w:b/>
                <w:bCs/>
                <w:color w:val="808080" w:themeColor="background1" w:themeShade="80"/>
                <w:sz w:val="12"/>
                <w:szCs w:val="16"/>
                <w:lang w:eastAsia="zh-CN"/>
              </w:rPr>
            </w:pPr>
          </w:p>
          <w:p w:rsidR="00BD0327" w:rsidRDefault="00BD0327" w:rsidP="00BD0327">
            <w:pPr>
              <w:keepNext/>
              <w:keepLines/>
              <w:jc w:val="center"/>
              <w:rPr>
                <w:rFonts w:eastAsia="SimSun" w:cs="Arial"/>
                <w:b/>
                <w:bCs/>
                <w:color w:val="808080" w:themeColor="background1" w:themeShade="80"/>
                <w:sz w:val="12"/>
                <w:szCs w:val="16"/>
                <w:lang w:eastAsia="zh-CN"/>
              </w:rPr>
            </w:pPr>
          </w:p>
          <w:p w:rsidR="00BD0327" w:rsidRPr="004C0C4E" w:rsidRDefault="00BD0327" w:rsidP="00BD0327">
            <w:pPr>
              <w:keepNext/>
              <w:keepLines/>
              <w:jc w:val="center"/>
              <w:rPr>
                <w:rFonts w:eastAsia="SimSun" w:cs="Arial"/>
                <w:b/>
                <w:bCs/>
                <w:color w:val="808080" w:themeColor="background1" w:themeShade="80"/>
                <w:sz w:val="12"/>
                <w:szCs w:val="16"/>
                <w:lang w:eastAsia="zh-CN"/>
              </w:rPr>
            </w:pPr>
          </w:p>
          <w:p w:rsidR="00BD0327" w:rsidRPr="004C0C4E" w:rsidRDefault="00BD0327" w:rsidP="00BD0327">
            <w:pPr>
              <w:keepNext/>
              <w:keepLines/>
              <w:jc w:val="center"/>
              <w:rPr>
                <w:rFonts w:eastAsia="SimSun" w:cs="Arial"/>
                <w:b/>
                <w:bCs/>
                <w:color w:val="808080" w:themeColor="background1" w:themeShade="80"/>
                <w:sz w:val="12"/>
                <w:szCs w:val="16"/>
                <w:lang w:eastAsia="zh-CN"/>
              </w:rPr>
            </w:pPr>
            <w:r w:rsidRPr="004C0C4E">
              <w:rPr>
                <w:rFonts w:eastAsia="SimSun" w:cs="Arial"/>
                <w:b/>
                <w:bCs/>
                <w:color w:val="808080" w:themeColor="background1" w:themeShade="80"/>
                <w:sz w:val="12"/>
                <w:szCs w:val="16"/>
                <w:lang w:eastAsia="zh-CN"/>
              </w:rPr>
              <w:t>Not assessable</w:t>
            </w:r>
          </w:p>
          <w:p w:rsidR="00BD0327" w:rsidRDefault="00BD0327" w:rsidP="00BD0327">
            <w:pPr>
              <w:keepNext/>
              <w:keepLines/>
              <w:jc w:val="center"/>
              <w:rPr>
                <w:rFonts w:eastAsia="SimSun" w:cs="Arial"/>
                <w:b/>
                <w:bCs/>
                <w:color w:val="00B050"/>
                <w:sz w:val="16"/>
                <w:szCs w:val="16"/>
                <w:lang w:eastAsia="zh-CN"/>
              </w:rPr>
            </w:pPr>
          </w:p>
          <w:p w:rsidR="00BD0327" w:rsidRDefault="00BD0327" w:rsidP="00BD0327">
            <w:pPr>
              <w:keepNext/>
              <w:keepLines/>
              <w:jc w:val="center"/>
              <w:rPr>
                <w:rFonts w:eastAsia="SimSun" w:cs="Arial"/>
                <w:b/>
                <w:bCs/>
                <w:color w:val="00B050"/>
                <w:sz w:val="16"/>
                <w:szCs w:val="16"/>
                <w:lang w:eastAsia="zh-CN"/>
              </w:rPr>
            </w:pPr>
          </w:p>
          <w:p w:rsidR="00BD0327" w:rsidRPr="004C0C4E" w:rsidRDefault="00BD0327" w:rsidP="00BD0327">
            <w:pPr>
              <w:keepNext/>
              <w:keepLines/>
              <w:jc w:val="center"/>
              <w:rPr>
                <w:rFonts w:eastAsia="SimSun" w:cs="Arial"/>
                <w:b/>
                <w:bCs/>
                <w:color w:val="808080"/>
                <w:sz w:val="16"/>
                <w:szCs w:val="16"/>
                <w:lang w:eastAsia="zh-CN"/>
              </w:rPr>
            </w:pPr>
            <w:r w:rsidRPr="004C0C4E">
              <w:rPr>
                <w:rFonts w:eastAsia="SimSun" w:cs="Arial"/>
                <w:b/>
                <w:bCs/>
                <w:color w:val="00B050"/>
                <w:sz w:val="16"/>
                <w:szCs w:val="16"/>
                <w:lang w:eastAsia="zh-CN"/>
              </w:rPr>
              <w:t>On track</w:t>
            </w:r>
          </w:p>
          <w:p w:rsidR="00BD0327" w:rsidRPr="00B35AFA" w:rsidRDefault="00BD0327" w:rsidP="00BD0327">
            <w:pPr>
              <w:keepNext/>
              <w:keepLines/>
              <w:rPr>
                <w:rFonts w:eastAsia="SimSun" w:cs="Arial"/>
                <w:bCs/>
                <w:color w:val="808080"/>
                <w:sz w:val="16"/>
                <w:szCs w:val="16"/>
                <w:lang w:eastAsia="zh-CN"/>
              </w:rPr>
            </w:pPr>
          </w:p>
        </w:tc>
      </w:tr>
      <w:tr w:rsidR="00BD0327" w:rsidRPr="00B35AFA" w:rsidTr="00BD0327">
        <w:tc>
          <w:tcPr>
            <w:tcW w:w="5000" w:type="pct"/>
            <w:gridSpan w:val="6"/>
            <w:tcBorders>
              <w:top w:val="single" w:sz="4" w:space="0" w:color="auto"/>
              <w:bottom w:val="single" w:sz="4" w:space="0" w:color="auto"/>
            </w:tcBorders>
            <w:shd w:val="clear" w:color="auto" w:fill="CCFFFF"/>
          </w:tcPr>
          <w:p w:rsidR="00BD0327" w:rsidRPr="00B35AFA" w:rsidRDefault="00BD0327" w:rsidP="00BD0327">
            <w:pPr>
              <w:keepNext/>
              <w:keepLines/>
              <w:tabs>
                <w:tab w:val="left" w:pos="1452"/>
              </w:tabs>
              <w:spacing w:before="120" w:after="120"/>
              <w:ind w:left="1452" w:hanging="1452"/>
              <w:rPr>
                <w:rFonts w:eastAsia="SimSun" w:cs="Arial"/>
                <w:bCs/>
                <w:color w:val="808080"/>
                <w:sz w:val="16"/>
                <w:szCs w:val="16"/>
                <w:lang w:eastAsia="zh-CN"/>
              </w:rPr>
            </w:pPr>
            <w:r w:rsidRPr="00B35AFA">
              <w:rPr>
                <w:rFonts w:eastAsia="SimSun" w:cs="Arial"/>
                <w:b/>
                <w:bCs/>
                <w:sz w:val="16"/>
                <w:szCs w:val="16"/>
                <w:lang w:eastAsia="zh-CN"/>
              </w:rPr>
              <w:t>Expected Result:</w:t>
            </w:r>
            <w:r w:rsidRPr="00B35AFA">
              <w:rPr>
                <w:rFonts w:eastAsia="SimSun" w:cs="Arial"/>
                <w:b/>
                <w:bCs/>
                <w:sz w:val="16"/>
                <w:szCs w:val="16"/>
                <w:lang w:eastAsia="zh-CN"/>
              </w:rPr>
              <w:tab/>
            </w:r>
            <w:r w:rsidRPr="0097448D">
              <w:rPr>
                <w:rFonts w:eastAsia="SimSun" w:cs="Arial"/>
                <w:bCs/>
                <w:sz w:val="16"/>
                <w:szCs w:val="16"/>
                <w:lang w:eastAsia="zh-CN"/>
              </w:rPr>
              <w:t>VIII.4 Open, transparent and responsive interaction with non-governmental stakeholders</w:t>
            </w:r>
          </w:p>
        </w:tc>
      </w:tr>
      <w:tr w:rsidR="00BD0327" w:rsidRPr="00B35AFA" w:rsidTr="00BD0327">
        <w:tc>
          <w:tcPr>
            <w:tcW w:w="1080" w:type="pct"/>
            <w:tcBorders>
              <w:top w:val="single" w:sz="4" w:space="0" w:color="auto"/>
              <w:left w:val="single" w:sz="4" w:space="0" w:color="auto"/>
              <w:bottom w:val="nil"/>
              <w:right w:val="nil"/>
            </w:tcBorders>
            <w:shd w:val="clear" w:color="auto" w:fill="auto"/>
          </w:tcPr>
          <w:p w:rsidR="00BD0327" w:rsidRPr="0097448D" w:rsidRDefault="00BD0327" w:rsidP="00BD0327">
            <w:pPr>
              <w:rPr>
                <w:rFonts w:eastAsia="SimSun" w:cs="Arial"/>
                <w:color w:val="000000"/>
                <w:sz w:val="16"/>
                <w:szCs w:val="16"/>
                <w:lang w:eastAsia="zh-CN"/>
              </w:rPr>
            </w:pPr>
            <w:r w:rsidRPr="00B35AFA">
              <w:rPr>
                <w:rFonts w:eastAsia="SimSun" w:cs="Arial"/>
                <w:b/>
                <w:bCs/>
                <w:sz w:val="16"/>
                <w:szCs w:val="16"/>
                <w:lang w:eastAsia="zh-CN"/>
              </w:rPr>
              <w:t>Performance Indicators</w:t>
            </w:r>
          </w:p>
        </w:tc>
        <w:tc>
          <w:tcPr>
            <w:tcW w:w="816" w:type="pct"/>
            <w:tcBorders>
              <w:top w:val="single" w:sz="4" w:space="0" w:color="auto"/>
              <w:left w:val="nil"/>
              <w:bottom w:val="nil"/>
              <w:right w:val="nil"/>
            </w:tcBorders>
            <w:shd w:val="clear" w:color="auto" w:fill="auto"/>
          </w:tcPr>
          <w:p w:rsidR="00BD0327" w:rsidRDefault="00BD0327" w:rsidP="00BD0327">
            <w:pPr>
              <w:rPr>
                <w:rFonts w:cs="Arial"/>
                <w:i/>
                <w:color w:val="002060"/>
                <w:sz w:val="16"/>
                <w:szCs w:val="16"/>
              </w:rPr>
            </w:pPr>
            <w:r w:rsidRPr="00B35AFA">
              <w:rPr>
                <w:rFonts w:cs="Arial"/>
                <w:b/>
                <w:bCs/>
                <w:sz w:val="16"/>
                <w:szCs w:val="16"/>
              </w:rPr>
              <w:t>Baselines</w:t>
            </w:r>
          </w:p>
        </w:tc>
        <w:tc>
          <w:tcPr>
            <w:tcW w:w="966" w:type="pct"/>
            <w:gridSpan w:val="2"/>
            <w:tcBorders>
              <w:top w:val="single" w:sz="4" w:space="0" w:color="auto"/>
              <w:left w:val="nil"/>
              <w:bottom w:val="nil"/>
              <w:right w:val="nil"/>
            </w:tcBorders>
            <w:shd w:val="clear" w:color="auto" w:fill="auto"/>
            <w:tcMar>
              <w:top w:w="110" w:type="dxa"/>
            </w:tcMar>
          </w:tcPr>
          <w:p w:rsidR="00BD0327" w:rsidRPr="0097448D" w:rsidRDefault="00BD0327" w:rsidP="00BD0327">
            <w:pPr>
              <w:rPr>
                <w:rFonts w:eastAsia="SimSun" w:cs="Arial"/>
                <w:sz w:val="16"/>
                <w:szCs w:val="16"/>
                <w:lang w:eastAsia="zh-CN"/>
              </w:rPr>
            </w:pPr>
            <w:r w:rsidRPr="00B35AFA">
              <w:rPr>
                <w:rFonts w:cs="Arial"/>
                <w:b/>
                <w:sz w:val="16"/>
                <w:szCs w:val="16"/>
              </w:rPr>
              <w:t>Targets</w:t>
            </w:r>
          </w:p>
        </w:tc>
        <w:tc>
          <w:tcPr>
            <w:tcW w:w="1673" w:type="pct"/>
            <w:tcBorders>
              <w:top w:val="single" w:sz="4" w:space="0" w:color="auto"/>
              <w:left w:val="nil"/>
              <w:bottom w:val="nil"/>
              <w:right w:val="nil"/>
            </w:tcBorders>
            <w:shd w:val="clear" w:color="auto" w:fill="FFFFFF"/>
            <w:tcMar>
              <w:top w:w="110" w:type="dxa"/>
            </w:tcMar>
          </w:tcPr>
          <w:p w:rsidR="00BD0327" w:rsidRPr="00B35AFA" w:rsidRDefault="00BD0327" w:rsidP="00BD0327">
            <w:pPr>
              <w:rPr>
                <w:rFonts w:eastAsia="SimSun" w:cs="Arial"/>
                <w:sz w:val="16"/>
                <w:szCs w:val="16"/>
                <w:lang w:eastAsia="zh-CN"/>
              </w:rPr>
            </w:pPr>
            <w:r w:rsidRPr="00B35AFA">
              <w:rPr>
                <w:rFonts w:eastAsia="SimSun" w:cs="Arial"/>
                <w:b/>
                <w:bCs/>
                <w:sz w:val="16"/>
                <w:szCs w:val="16"/>
                <w:lang w:eastAsia="zh-CN"/>
              </w:rPr>
              <w:t>Performance Data</w:t>
            </w:r>
          </w:p>
        </w:tc>
        <w:tc>
          <w:tcPr>
            <w:tcW w:w="465" w:type="pct"/>
            <w:tcBorders>
              <w:top w:val="single" w:sz="4" w:space="0" w:color="auto"/>
              <w:left w:val="nil"/>
              <w:bottom w:val="nil"/>
              <w:right w:val="single" w:sz="4" w:space="0" w:color="auto"/>
            </w:tcBorders>
            <w:shd w:val="clear" w:color="auto" w:fill="auto"/>
            <w:tcMar>
              <w:top w:w="110" w:type="dxa"/>
            </w:tcMar>
          </w:tcPr>
          <w:p w:rsidR="00BD0327" w:rsidRPr="00B35AFA" w:rsidRDefault="00BD0327" w:rsidP="00BD0327">
            <w:pPr>
              <w:keepNext/>
              <w:keepLines/>
              <w:jc w:val="center"/>
              <w:rPr>
                <w:rFonts w:eastAsia="SimSun" w:cs="Arial"/>
                <w:bCs/>
                <w:color w:val="808080"/>
                <w:sz w:val="16"/>
                <w:szCs w:val="16"/>
                <w:lang w:eastAsia="zh-CN"/>
              </w:rPr>
            </w:pPr>
            <w:r w:rsidRPr="00B35AFA">
              <w:rPr>
                <w:rFonts w:eastAsia="SimSun" w:cs="Arial"/>
                <w:b/>
                <w:bCs/>
                <w:sz w:val="16"/>
                <w:szCs w:val="16"/>
                <w:lang w:eastAsia="zh-CN"/>
              </w:rPr>
              <w:t>TLS</w:t>
            </w:r>
          </w:p>
        </w:tc>
      </w:tr>
      <w:tr w:rsidR="00BD0327" w:rsidRPr="00B35AFA" w:rsidTr="00BD0327">
        <w:tc>
          <w:tcPr>
            <w:tcW w:w="1080" w:type="pct"/>
            <w:tcBorders>
              <w:top w:val="nil"/>
              <w:left w:val="single" w:sz="4" w:space="0" w:color="auto"/>
              <w:bottom w:val="single" w:sz="4" w:space="0" w:color="auto"/>
              <w:right w:val="nil"/>
            </w:tcBorders>
            <w:shd w:val="clear" w:color="auto" w:fill="auto"/>
          </w:tcPr>
          <w:p w:rsidR="00BD0327" w:rsidRPr="0097448D" w:rsidRDefault="00BD0327" w:rsidP="00BD0327">
            <w:pPr>
              <w:rPr>
                <w:rFonts w:eastAsia="SimSun" w:cs="Arial"/>
                <w:color w:val="000000"/>
                <w:sz w:val="16"/>
                <w:szCs w:val="16"/>
                <w:lang w:eastAsia="zh-CN"/>
              </w:rPr>
            </w:pPr>
            <w:r w:rsidRPr="0097448D">
              <w:rPr>
                <w:rFonts w:eastAsia="SimSun" w:cs="Arial"/>
                <w:color w:val="000000"/>
                <w:sz w:val="16"/>
                <w:szCs w:val="16"/>
                <w:lang w:eastAsia="zh-CN"/>
              </w:rPr>
              <w:t>Increased, effective engagement of non-governmental stakeholders at WIPO events and vice-versa</w:t>
            </w:r>
          </w:p>
        </w:tc>
        <w:tc>
          <w:tcPr>
            <w:tcW w:w="816" w:type="pct"/>
            <w:tcBorders>
              <w:top w:val="nil"/>
              <w:left w:val="nil"/>
              <w:bottom w:val="single" w:sz="4" w:space="0" w:color="auto"/>
              <w:right w:val="nil"/>
            </w:tcBorders>
            <w:shd w:val="clear" w:color="auto" w:fill="auto"/>
          </w:tcPr>
          <w:p w:rsidR="00BD0327" w:rsidRDefault="00BD0327" w:rsidP="00BD0327">
            <w:pPr>
              <w:spacing w:after="160"/>
              <w:rPr>
                <w:rFonts w:cs="Arial"/>
                <w:i/>
                <w:color w:val="002060"/>
                <w:sz w:val="16"/>
                <w:szCs w:val="16"/>
              </w:rPr>
            </w:pPr>
            <w:r>
              <w:rPr>
                <w:rFonts w:cs="Arial"/>
                <w:i/>
                <w:color w:val="002060"/>
                <w:sz w:val="16"/>
                <w:szCs w:val="16"/>
              </w:rPr>
              <w:t>Updated Baseline end 2013</w:t>
            </w:r>
            <w:r w:rsidRPr="00B35AFA">
              <w:rPr>
                <w:rFonts w:cs="Arial"/>
                <w:i/>
                <w:color w:val="002060"/>
                <w:sz w:val="16"/>
                <w:szCs w:val="16"/>
              </w:rPr>
              <w:t xml:space="preserve">:  </w:t>
            </w:r>
          </w:p>
          <w:p w:rsidR="00BD0327" w:rsidRPr="0097448D" w:rsidRDefault="00BD0327" w:rsidP="00BD0327">
            <w:pPr>
              <w:spacing w:after="160"/>
              <w:rPr>
                <w:rFonts w:cs="Arial"/>
                <w:color w:val="002060"/>
                <w:sz w:val="16"/>
                <w:szCs w:val="16"/>
              </w:rPr>
            </w:pPr>
            <w:r w:rsidRPr="0097448D">
              <w:rPr>
                <w:rFonts w:cs="Arial"/>
                <w:color w:val="002060"/>
                <w:sz w:val="16"/>
                <w:szCs w:val="16"/>
              </w:rPr>
              <w:t>As at December 31, 2013, 227 representatives of permanently accredited non-governmental organizations observers attended WIPO committee meetings</w:t>
            </w:r>
          </w:p>
          <w:p w:rsidR="00BD0327" w:rsidRDefault="00BD0327" w:rsidP="00BD0327">
            <w:pPr>
              <w:rPr>
                <w:rFonts w:cs="Arial"/>
                <w:i/>
                <w:color w:val="002060"/>
                <w:sz w:val="16"/>
                <w:szCs w:val="16"/>
              </w:rPr>
            </w:pPr>
            <w:r>
              <w:rPr>
                <w:rFonts w:cs="Arial"/>
                <w:i/>
                <w:sz w:val="16"/>
                <w:szCs w:val="16"/>
              </w:rPr>
              <w:t xml:space="preserve">Original Baseline P&amp;B 2014/15: </w:t>
            </w:r>
            <w:proofErr w:type="spellStart"/>
            <w:r w:rsidRPr="0097448D">
              <w:rPr>
                <w:rFonts w:cs="Arial"/>
                <w:sz w:val="16"/>
                <w:szCs w:val="16"/>
              </w:rPr>
              <w:t>tbd</w:t>
            </w:r>
            <w:proofErr w:type="spellEnd"/>
          </w:p>
        </w:tc>
        <w:tc>
          <w:tcPr>
            <w:tcW w:w="966" w:type="pct"/>
            <w:gridSpan w:val="2"/>
            <w:tcBorders>
              <w:top w:val="nil"/>
              <w:left w:val="nil"/>
              <w:bottom w:val="single" w:sz="4" w:space="0" w:color="auto"/>
              <w:right w:val="nil"/>
            </w:tcBorders>
            <w:shd w:val="clear" w:color="auto" w:fill="auto"/>
            <w:tcMar>
              <w:top w:w="110" w:type="dxa"/>
            </w:tcMar>
          </w:tcPr>
          <w:p w:rsidR="00BD0327" w:rsidRDefault="00BD0327" w:rsidP="00BD0327">
            <w:pPr>
              <w:rPr>
                <w:rFonts w:eastAsia="SimSun" w:cs="Arial"/>
                <w:sz w:val="16"/>
                <w:szCs w:val="16"/>
                <w:lang w:eastAsia="zh-CN"/>
              </w:rPr>
            </w:pPr>
            <w:r w:rsidRPr="0097448D">
              <w:rPr>
                <w:rFonts w:eastAsia="SimSun" w:cs="Arial"/>
                <w:sz w:val="16"/>
                <w:szCs w:val="16"/>
                <w:lang w:eastAsia="zh-CN"/>
              </w:rPr>
              <w:t>10% increase in engagement of diverse stakeholders</w:t>
            </w:r>
          </w:p>
          <w:p w:rsidR="00BD0327" w:rsidRPr="0097448D" w:rsidRDefault="00BD0327" w:rsidP="00BD0327">
            <w:pPr>
              <w:rPr>
                <w:rFonts w:eastAsia="SimSun" w:cs="Arial"/>
                <w:sz w:val="16"/>
                <w:szCs w:val="16"/>
                <w:lang w:eastAsia="zh-CN"/>
              </w:rPr>
            </w:pPr>
          </w:p>
        </w:tc>
        <w:tc>
          <w:tcPr>
            <w:tcW w:w="1673" w:type="pct"/>
            <w:tcBorders>
              <w:top w:val="nil"/>
              <w:left w:val="nil"/>
              <w:bottom w:val="single" w:sz="4" w:space="0" w:color="auto"/>
              <w:right w:val="nil"/>
            </w:tcBorders>
            <w:shd w:val="clear" w:color="auto" w:fill="FFFFFF"/>
            <w:tcMar>
              <w:top w:w="110" w:type="dxa"/>
            </w:tcMar>
          </w:tcPr>
          <w:p w:rsidR="00BD0327" w:rsidRPr="0097448D" w:rsidRDefault="00BD0327" w:rsidP="00BD0327">
            <w:pPr>
              <w:rPr>
                <w:rFonts w:eastAsia="SimSun" w:cs="Arial"/>
                <w:sz w:val="16"/>
                <w:szCs w:val="16"/>
                <w:lang w:eastAsia="zh-CN"/>
              </w:rPr>
            </w:pPr>
            <w:r w:rsidRPr="0097448D">
              <w:rPr>
                <w:rFonts w:eastAsia="SimSun" w:cs="Arial"/>
                <w:sz w:val="16"/>
                <w:szCs w:val="16"/>
                <w:lang w:eastAsia="zh-CN"/>
              </w:rPr>
              <w:t>As at December 31, 2014, 292</w:t>
            </w:r>
            <w:r>
              <w:rPr>
                <w:rFonts w:eastAsia="SimSun" w:cs="Arial"/>
                <w:sz w:val="16"/>
                <w:szCs w:val="16"/>
                <w:lang w:eastAsia="zh-CN"/>
              </w:rPr>
              <w:t xml:space="preserve"> </w:t>
            </w:r>
            <w:r w:rsidRPr="0097448D">
              <w:rPr>
                <w:rFonts w:eastAsia="SimSun" w:cs="Arial"/>
                <w:sz w:val="16"/>
                <w:szCs w:val="16"/>
                <w:lang w:eastAsia="zh-CN"/>
              </w:rPr>
              <w:t xml:space="preserve">representatives of permanently accredited </w:t>
            </w:r>
            <w:r>
              <w:rPr>
                <w:rFonts w:eastAsia="SimSun" w:cs="Arial"/>
                <w:sz w:val="16"/>
                <w:szCs w:val="16"/>
                <w:lang w:eastAsia="zh-CN"/>
              </w:rPr>
              <w:t>NGO</w:t>
            </w:r>
            <w:r w:rsidRPr="0097448D">
              <w:rPr>
                <w:rFonts w:eastAsia="SimSun" w:cs="Arial"/>
                <w:sz w:val="16"/>
                <w:szCs w:val="16"/>
                <w:lang w:eastAsia="zh-CN"/>
              </w:rPr>
              <w:t xml:space="preserve"> observers attended WIPO committee meetings</w:t>
            </w:r>
            <w:r>
              <w:rPr>
                <w:rFonts w:eastAsia="SimSun" w:cs="Arial"/>
                <w:sz w:val="16"/>
                <w:szCs w:val="16"/>
                <w:lang w:eastAsia="zh-CN"/>
              </w:rPr>
              <w:t xml:space="preserve"> (29% increase)</w:t>
            </w:r>
          </w:p>
        </w:tc>
        <w:tc>
          <w:tcPr>
            <w:tcW w:w="465" w:type="pct"/>
            <w:tcBorders>
              <w:top w:val="nil"/>
              <w:left w:val="nil"/>
              <w:bottom w:val="single" w:sz="4" w:space="0" w:color="auto"/>
              <w:right w:val="single" w:sz="4" w:space="0" w:color="auto"/>
            </w:tcBorders>
            <w:shd w:val="clear" w:color="auto" w:fill="auto"/>
            <w:tcMar>
              <w:top w:w="110" w:type="dxa"/>
            </w:tcMar>
          </w:tcPr>
          <w:p w:rsidR="00BD0327" w:rsidRPr="0097448D" w:rsidRDefault="00BD0327" w:rsidP="00BD0327">
            <w:pPr>
              <w:keepNext/>
              <w:keepLines/>
              <w:jc w:val="center"/>
              <w:rPr>
                <w:rFonts w:eastAsia="SimSun" w:cs="Arial"/>
                <w:b/>
                <w:bCs/>
                <w:color w:val="00B050"/>
                <w:sz w:val="16"/>
                <w:szCs w:val="16"/>
                <w:lang w:eastAsia="zh-CN"/>
              </w:rPr>
            </w:pPr>
            <w:r w:rsidRPr="0097448D">
              <w:rPr>
                <w:rFonts w:eastAsia="SimSun" w:cs="Arial"/>
                <w:b/>
                <w:bCs/>
                <w:color w:val="00B050"/>
                <w:sz w:val="16"/>
                <w:szCs w:val="16"/>
                <w:lang w:eastAsia="zh-CN"/>
              </w:rPr>
              <w:t>On track</w:t>
            </w:r>
          </w:p>
        </w:tc>
      </w:tr>
      <w:tr w:rsidR="00BD0327" w:rsidRPr="00B35AFA" w:rsidTr="00BD0327">
        <w:tc>
          <w:tcPr>
            <w:tcW w:w="5000" w:type="pct"/>
            <w:gridSpan w:val="6"/>
            <w:tcBorders>
              <w:top w:val="single" w:sz="4" w:space="0" w:color="auto"/>
              <w:bottom w:val="single" w:sz="4" w:space="0" w:color="auto"/>
            </w:tcBorders>
            <w:shd w:val="clear" w:color="auto" w:fill="CCFFFF"/>
          </w:tcPr>
          <w:p w:rsidR="00BD0327" w:rsidRDefault="00BD0327" w:rsidP="00BD0327">
            <w:pPr>
              <w:keepNext/>
              <w:keepLines/>
              <w:tabs>
                <w:tab w:val="left" w:pos="1452"/>
              </w:tabs>
              <w:spacing w:before="120" w:after="120"/>
              <w:ind w:left="1452" w:hanging="1452"/>
              <w:rPr>
                <w:rFonts w:eastAsia="SimSun" w:cs="Arial"/>
                <w:bCs/>
                <w:color w:val="808080"/>
                <w:sz w:val="16"/>
                <w:szCs w:val="16"/>
                <w:lang w:eastAsia="zh-CN"/>
              </w:rPr>
            </w:pPr>
            <w:r w:rsidRPr="00B35AFA">
              <w:rPr>
                <w:rFonts w:eastAsia="SimSun" w:cs="Arial"/>
                <w:b/>
                <w:bCs/>
                <w:sz w:val="16"/>
                <w:szCs w:val="16"/>
                <w:lang w:eastAsia="zh-CN"/>
              </w:rPr>
              <w:t>Expected Result:</w:t>
            </w:r>
            <w:r w:rsidRPr="00B35AFA">
              <w:rPr>
                <w:rFonts w:eastAsia="SimSun" w:cs="Arial"/>
                <w:b/>
                <w:bCs/>
                <w:sz w:val="16"/>
                <w:szCs w:val="16"/>
                <w:lang w:eastAsia="zh-CN"/>
              </w:rPr>
              <w:tab/>
            </w:r>
            <w:r w:rsidRPr="0097448D">
              <w:rPr>
                <w:rFonts w:eastAsia="SimSun" w:cs="Arial"/>
                <w:bCs/>
                <w:sz w:val="16"/>
                <w:szCs w:val="16"/>
                <w:lang w:eastAsia="zh-CN"/>
              </w:rPr>
              <w:t>VIII.5 WIPO effectively interacts and partners with UN and other IGO processes and negotiations</w:t>
            </w:r>
          </w:p>
        </w:tc>
      </w:tr>
      <w:tr w:rsidR="00BD0327" w:rsidRPr="00B35AFA" w:rsidTr="000E1A74">
        <w:tc>
          <w:tcPr>
            <w:tcW w:w="1080" w:type="pct"/>
            <w:tcBorders>
              <w:top w:val="single" w:sz="4" w:space="0" w:color="auto"/>
              <w:left w:val="single" w:sz="4" w:space="0" w:color="auto"/>
              <w:bottom w:val="nil"/>
              <w:right w:val="nil"/>
            </w:tcBorders>
            <w:shd w:val="clear" w:color="auto" w:fill="auto"/>
          </w:tcPr>
          <w:p w:rsidR="00BD0327" w:rsidRPr="0097448D" w:rsidRDefault="00BD0327" w:rsidP="00BD0327">
            <w:pPr>
              <w:rPr>
                <w:rFonts w:eastAsia="SimSun" w:cs="Arial"/>
                <w:color w:val="000000"/>
                <w:sz w:val="16"/>
                <w:szCs w:val="16"/>
                <w:lang w:eastAsia="zh-CN"/>
              </w:rPr>
            </w:pPr>
            <w:r w:rsidRPr="00B35AFA">
              <w:rPr>
                <w:rFonts w:eastAsia="SimSun" w:cs="Arial"/>
                <w:b/>
                <w:bCs/>
                <w:sz w:val="16"/>
                <w:szCs w:val="16"/>
                <w:lang w:eastAsia="zh-CN"/>
              </w:rPr>
              <w:t>Performance Indicators</w:t>
            </w:r>
          </w:p>
        </w:tc>
        <w:tc>
          <w:tcPr>
            <w:tcW w:w="816" w:type="pct"/>
            <w:tcBorders>
              <w:top w:val="single" w:sz="4" w:space="0" w:color="auto"/>
              <w:left w:val="nil"/>
              <w:bottom w:val="nil"/>
              <w:right w:val="nil"/>
            </w:tcBorders>
            <w:shd w:val="clear" w:color="auto" w:fill="auto"/>
          </w:tcPr>
          <w:p w:rsidR="00BD0327" w:rsidRDefault="00BD0327" w:rsidP="00BD0327">
            <w:pPr>
              <w:rPr>
                <w:rFonts w:cs="Arial"/>
                <w:i/>
                <w:color w:val="002060"/>
                <w:sz w:val="16"/>
                <w:szCs w:val="16"/>
              </w:rPr>
            </w:pPr>
            <w:r w:rsidRPr="00B35AFA">
              <w:rPr>
                <w:rFonts w:cs="Arial"/>
                <w:b/>
                <w:bCs/>
                <w:sz w:val="16"/>
                <w:szCs w:val="16"/>
              </w:rPr>
              <w:t>Baselines</w:t>
            </w:r>
          </w:p>
        </w:tc>
        <w:tc>
          <w:tcPr>
            <w:tcW w:w="966" w:type="pct"/>
            <w:gridSpan w:val="2"/>
            <w:tcBorders>
              <w:top w:val="single" w:sz="4" w:space="0" w:color="auto"/>
              <w:left w:val="nil"/>
              <w:bottom w:val="nil"/>
              <w:right w:val="nil"/>
            </w:tcBorders>
            <w:shd w:val="clear" w:color="auto" w:fill="auto"/>
            <w:tcMar>
              <w:top w:w="110" w:type="dxa"/>
            </w:tcMar>
          </w:tcPr>
          <w:p w:rsidR="00BD0327" w:rsidRPr="0097448D" w:rsidRDefault="00BD0327" w:rsidP="00BD0327">
            <w:pPr>
              <w:rPr>
                <w:rFonts w:eastAsia="SimSun" w:cs="Arial"/>
                <w:sz w:val="16"/>
                <w:szCs w:val="16"/>
                <w:lang w:eastAsia="zh-CN"/>
              </w:rPr>
            </w:pPr>
            <w:r w:rsidRPr="00B35AFA">
              <w:rPr>
                <w:rFonts w:cs="Arial"/>
                <w:b/>
                <w:sz w:val="16"/>
                <w:szCs w:val="16"/>
              </w:rPr>
              <w:t>Targets</w:t>
            </w:r>
          </w:p>
        </w:tc>
        <w:tc>
          <w:tcPr>
            <w:tcW w:w="1673" w:type="pct"/>
            <w:tcBorders>
              <w:top w:val="single" w:sz="4" w:space="0" w:color="auto"/>
              <w:left w:val="nil"/>
              <w:bottom w:val="nil"/>
              <w:right w:val="nil"/>
            </w:tcBorders>
            <w:shd w:val="clear" w:color="auto" w:fill="FFFFFF"/>
            <w:tcMar>
              <w:top w:w="110" w:type="dxa"/>
            </w:tcMar>
          </w:tcPr>
          <w:p w:rsidR="00BD0327" w:rsidRDefault="00BD0327" w:rsidP="00BD0327">
            <w:pPr>
              <w:rPr>
                <w:rFonts w:eastAsia="SimSun" w:cs="Arial"/>
                <w:sz w:val="16"/>
                <w:szCs w:val="16"/>
                <w:lang w:eastAsia="zh-CN"/>
              </w:rPr>
            </w:pPr>
            <w:r w:rsidRPr="00B35AFA">
              <w:rPr>
                <w:rFonts w:eastAsia="SimSun" w:cs="Arial"/>
                <w:b/>
                <w:bCs/>
                <w:sz w:val="16"/>
                <w:szCs w:val="16"/>
                <w:lang w:eastAsia="zh-CN"/>
              </w:rPr>
              <w:t>Performance Data</w:t>
            </w:r>
          </w:p>
        </w:tc>
        <w:tc>
          <w:tcPr>
            <w:tcW w:w="465" w:type="pct"/>
            <w:tcBorders>
              <w:top w:val="single" w:sz="4" w:space="0" w:color="auto"/>
              <w:left w:val="nil"/>
              <w:bottom w:val="nil"/>
              <w:right w:val="single" w:sz="4" w:space="0" w:color="auto"/>
            </w:tcBorders>
            <w:shd w:val="clear" w:color="auto" w:fill="auto"/>
            <w:tcMar>
              <w:top w:w="110" w:type="dxa"/>
            </w:tcMar>
          </w:tcPr>
          <w:p w:rsidR="00BD0327" w:rsidRDefault="00BD0327" w:rsidP="00BD0327">
            <w:pPr>
              <w:keepNext/>
              <w:keepLines/>
              <w:jc w:val="center"/>
              <w:rPr>
                <w:rFonts w:eastAsia="SimSun" w:cs="Arial"/>
                <w:bCs/>
                <w:color w:val="808080"/>
                <w:sz w:val="16"/>
                <w:szCs w:val="16"/>
                <w:lang w:eastAsia="zh-CN"/>
              </w:rPr>
            </w:pPr>
            <w:r w:rsidRPr="00B35AFA">
              <w:rPr>
                <w:rFonts w:eastAsia="SimSun" w:cs="Arial"/>
                <w:b/>
                <w:bCs/>
                <w:sz w:val="16"/>
                <w:szCs w:val="16"/>
                <w:lang w:eastAsia="zh-CN"/>
              </w:rPr>
              <w:t>TLS</w:t>
            </w:r>
          </w:p>
        </w:tc>
      </w:tr>
      <w:tr w:rsidR="00BD0327" w:rsidRPr="00B35AFA" w:rsidTr="000E1A74">
        <w:trPr>
          <w:trHeight w:val="2374"/>
        </w:trPr>
        <w:tc>
          <w:tcPr>
            <w:tcW w:w="1080" w:type="pct"/>
            <w:tcBorders>
              <w:top w:val="nil"/>
              <w:left w:val="single" w:sz="4" w:space="0" w:color="auto"/>
              <w:bottom w:val="single" w:sz="4" w:space="0" w:color="auto"/>
              <w:right w:val="nil"/>
            </w:tcBorders>
            <w:shd w:val="clear" w:color="auto" w:fill="auto"/>
          </w:tcPr>
          <w:p w:rsidR="00BD0327" w:rsidRPr="0097448D" w:rsidRDefault="00BD0327" w:rsidP="00BD0327">
            <w:pPr>
              <w:rPr>
                <w:rFonts w:eastAsia="SimSun" w:cs="Arial"/>
                <w:color w:val="000000"/>
                <w:sz w:val="16"/>
                <w:szCs w:val="16"/>
                <w:lang w:eastAsia="zh-CN"/>
              </w:rPr>
            </w:pPr>
            <w:r w:rsidRPr="0097448D">
              <w:rPr>
                <w:rFonts w:eastAsia="SimSun" w:cs="Arial"/>
                <w:color w:val="000000"/>
                <w:sz w:val="16"/>
                <w:szCs w:val="16"/>
                <w:lang w:eastAsia="zh-CN"/>
              </w:rPr>
              <w:t>Use of WIPO's contribution in reports, resolutions and documents from targeted processes</w:t>
            </w:r>
          </w:p>
        </w:tc>
        <w:tc>
          <w:tcPr>
            <w:tcW w:w="816" w:type="pct"/>
            <w:tcBorders>
              <w:top w:val="nil"/>
              <w:left w:val="nil"/>
              <w:bottom w:val="single" w:sz="4" w:space="0" w:color="auto"/>
              <w:right w:val="nil"/>
            </w:tcBorders>
            <w:shd w:val="clear" w:color="auto" w:fill="auto"/>
          </w:tcPr>
          <w:p w:rsidR="00BD0327" w:rsidRDefault="00BD0327" w:rsidP="00BD0327">
            <w:pPr>
              <w:spacing w:after="120"/>
              <w:rPr>
                <w:rFonts w:cs="Arial"/>
                <w:i/>
                <w:color w:val="002060"/>
                <w:sz w:val="16"/>
                <w:szCs w:val="16"/>
              </w:rPr>
            </w:pPr>
            <w:r>
              <w:rPr>
                <w:rFonts w:cs="Arial"/>
                <w:i/>
                <w:color w:val="002060"/>
                <w:sz w:val="16"/>
                <w:szCs w:val="16"/>
              </w:rPr>
              <w:t>Updated Baseline end 2013</w:t>
            </w:r>
            <w:r w:rsidRPr="00B35AFA">
              <w:rPr>
                <w:rFonts w:cs="Arial"/>
                <w:i/>
                <w:color w:val="002060"/>
                <w:sz w:val="16"/>
                <w:szCs w:val="16"/>
              </w:rPr>
              <w:t xml:space="preserve">:  </w:t>
            </w:r>
          </w:p>
          <w:p w:rsidR="00BD0327" w:rsidRPr="0097448D" w:rsidRDefault="00BD0327" w:rsidP="00BD0327">
            <w:pPr>
              <w:spacing w:after="120"/>
              <w:rPr>
                <w:rFonts w:cs="Arial"/>
                <w:color w:val="002060"/>
                <w:sz w:val="16"/>
                <w:szCs w:val="16"/>
              </w:rPr>
            </w:pPr>
            <w:r w:rsidRPr="0097448D">
              <w:rPr>
                <w:rFonts w:cs="Arial"/>
                <w:color w:val="002060"/>
                <w:sz w:val="16"/>
                <w:szCs w:val="16"/>
              </w:rPr>
              <w:t>38 submissions in 2012/13, all of which were satisfactorily reflected.</w:t>
            </w:r>
          </w:p>
          <w:p w:rsidR="00BD0327" w:rsidRDefault="00BD0327" w:rsidP="00BD0327">
            <w:pPr>
              <w:spacing w:after="120"/>
              <w:rPr>
                <w:rFonts w:cs="Arial"/>
                <w:i/>
                <w:sz w:val="16"/>
                <w:szCs w:val="16"/>
              </w:rPr>
            </w:pPr>
            <w:r>
              <w:rPr>
                <w:rFonts w:cs="Arial"/>
                <w:i/>
                <w:sz w:val="16"/>
                <w:szCs w:val="16"/>
              </w:rPr>
              <w:t xml:space="preserve">Original Baseline P&amp;B 2014/15: </w:t>
            </w:r>
          </w:p>
          <w:p w:rsidR="00BD0327" w:rsidRDefault="00BD0327" w:rsidP="00BD0327">
            <w:pPr>
              <w:rPr>
                <w:rFonts w:cs="Arial"/>
                <w:i/>
                <w:color w:val="002060"/>
                <w:sz w:val="16"/>
                <w:szCs w:val="16"/>
              </w:rPr>
            </w:pPr>
            <w:r w:rsidRPr="0097448D">
              <w:rPr>
                <w:rFonts w:cs="Arial"/>
                <w:sz w:val="16"/>
                <w:szCs w:val="16"/>
              </w:rPr>
              <w:t>20 out of 24 (end of</w:t>
            </w:r>
            <w:r>
              <w:rPr>
                <w:rFonts w:cs="Arial"/>
                <w:sz w:val="16"/>
                <w:szCs w:val="16"/>
              </w:rPr>
              <w:t xml:space="preserve"> </w:t>
            </w:r>
            <w:r w:rsidRPr="0097448D">
              <w:rPr>
                <w:rFonts w:cs="Arial"/>
                <w:sz w:val="16"/>
                <w:szCs w:val="16"/>
              </w:rPr>
              <w:t>2011)</w:t>
            </w:r>
          </w:p>
        </w:tc>
        <w:tc>
          <w:tcPr>
            <w:tcW w:w="966" w:type="pct"/>
            <w:gridSpan w:val="2"/>
            <w:tcBorders>
              <w:top w:val="nil"/>
              <w:left w:val="nil"/>
              <w:bottom w:val="single" w:sz="4" w:space="0" w:color="auto"/>
              <w:right w:val="nil"/>
            </w:tcBorders>
            <w:shd w:val="clear" w:color="auto" w:fill="auto"/>
            <w:tcMar>
              <w:top w:w="110" w:type="dxa"/>
            </w:tcMar>
          </w:tcPr>
          <w:p w:rsidR="00BD0327" w:rsidRPr="00825E63" w:rsidRDefault="00BD0327" w:rsidP="00BD0327">
            <w:pPr>
              <w:rPr>
                <w:rFonts w:eastAsia="SimSun" w:cs="Arial"/>
                <w:sz w:val="16"/>
                <w:szCs w:val="16"/>
                <w:lang w:eastAsia="zh-CN"/>
              </w:rPr>
            </w:pPr>
            <w:r w:rsidRPr="00825E63">
              <w:rPr>
                <w:rFonts w:eastAsia="SimSun" w:cs="Arial"/>
                <w:sz w:val="16"/>
                <w:szCs w:val="16"/>
                <w:lang w:eastAsia="zh-CN"/>
              </w:rPr>
              <w:t>100% use</w:t>
            </w:r>
          </w:p>
        </w:tc>
        <w:tc>
          <w:tcPr>
            <w:tcW w:w="1673" w:type="pct"/>
            <w:tcBorders>
              <w:top w:val="nil"/>
              <w:left w:val="nil"/>
              <w:bottom w:val="single" w:sz="4" w:space="0" w:color="auto"/>
              <w:right w:val="nil"/>
            </w:tcBorders>
            <w:shd w:val="clear" w:color="auto" w:fill="FFFFFF"/>
            <w:tcMar>
              <w:top w:w="110" w:type="dxa"/>
            </w:tcMar>
          </w:tcPr>
          <w:p w:rsidR="00BD0327" w:rsidRDefault="00BD0327" w:rsidP="00BD0327">
            <w:pPr>
              <w:rPr>
                <w:rFonts w:eastAsia="SimSun" w:cs="Arial"/>
                <w:sz w:val="16"/>
                <w:szCs w:val="16"/>
                <w:lang w:eastAsia="zh-CN"/>
              </w:rPr>
            </w:pPr>
            <w:r>
              <w:rPr>
                <w:rFonts w:eastAsia="SimSun" w:cs="Arial"/>
                <w:sz w:val="16"/>
                <w:szCs w:val="16"/>
                <w:lang w:eastAsia="zh-CN"/>
              </w:rPr>
              <w:t xml:space="preserve">12 out of 15 submissions  used (80%), </w:t>
            </w:r>
            <w:r w:rsidRPr="00825E63">
              <w:rPr>
                <w:rFonts w:eastAsia="SimSun" w:cs="Arial"/>
                <w:sz w:val="16"/>
                <w:szCs w:val="16"/>
                <w:lang w:eastAsia="zh-CN"/>
              </w:rPr>
              <w:t>3 on-going</w:t>
            </w:r>
          </w:p>
        </w:tc>
        <w:tc>
          <w:tcPr>
            <w:tcW w:w="465" w:type="pct"/>
            <w:tcBorders>
              <w:top w:val="nil"/>
              <w:left w:val="nil"/>
              <w:bottom w:val="single" w:sz="4" w:space="0" w:color="auto"/>
              <w:right w:val="single" w:sz="4" w:space="0" w:color="auto"/>
            </w:tcBorders>
            <w:shd w:val="clear" w:color="auto" w:fill="auto"/>
            <w:tcMar>
              <w:top w:w="110" w:type="dxa"/>
            </w:tcMar>
          </w:tcPr>
          <w:p w:rsidR="00BD0327" w:rsidRDefault="00BD0327" w:rsidP="00BD0327">
            <w:pPr>
              <w:keepNext/>
              <w:keepLines/>
              <w:jc w:val="center"/>
              <w:rPr>
                <w:rFonts w:eastAsia="SimSun" w:cs="Arial"/>
                <w:b/>
                <w:bCs/>
                <w:color w:val="00B050"/>
                <w:sz w:val="16"/>
                <w:szCs w:val="16"/>
                <w:lang w:eastAsia="zh-CN"/>
              </w:rPr>
            </w:pPr>
            <w:r w:rsidRPr="0097448D">
              <w:rPr>
                <w:rFonts w:eastAsia="SimSun" w:cs="Arial"/>
                <w:b/>
                <w:bCs/>
                <w:color w:val="00B050"/>
                <w:sz w:val="16"/>
                <w:szCs w:val="16"/>
                <w:lang w:eastAsia="zh-CN"/>
              </w:rPr>
              <w:t>On track</w:t>
            </w:r>
          </w:p>
          <w:p w:rsidR="00BD0327" w:rsidRPr="0097448D" w:rsidRDefault="00BD0327" w:rsidP="00BD0327">
            <w:pPr>
              <w:keepNext/>
              <w:keepLines/>
              <w:rPr>
                <w:rFonts w:eastAsia="SimSun" w:cs="Arial"/>
                <w:b/>
                <w:bCs/>
                <w:color w:val="00B050"/>
                <w:sz w:val="16"/>
                <w:szCs w:val="16"/>
                <w:lang w:eastAsia="zh-CN"/>
              </w:rPr>
            </w:pPr>
          </w:p>
        </w:tc>
      </w:tr>
      <w:tr w:rsidR="000E1A74" w:rsidRPr="00B35AFA" w:rsidTr="000E1A74">
        <w:trPr>
          <w:trHeight w:val="146"/>
        </w:trPr>
        <w:tc>
          <w:tcPr>
            <w:tcW w:w="1080" w:type="pct"/>
            <w:tcBorders>
              <w:top w:val="single" w:sz="4" w:space="0" w:color="auto"/>
              <w:left w:val="single" w:sz="4" w:space="0" w:color="auto"/>
              <w:bottom w:val="nil"/>
              <w:right w:val="nil"/>
            </w:tcBorders>
            <w:shd w:val="clear" w:color="auto" w:fill="auto"/>
          </w:tcPr>
          <w:p w:rsidR="000E1A74" w:rsidRPr="0097448D" w:rsidRDefault="000E1A74" w:rsidP="000E1A74">
            <w:pPr>
              <w:keepNext/>
              <w:keepLines/>
              <w:rPr>
                <w:rFonts w:eastAsia="SimSun" w:cs="Arial"/>
                <w:color w:val="000000"/>
                <w:sz w:val="16"/>
                <w:szCs w:val="16"/>
                <w:lang w:eastAsia="zh-CN"/>
              </w:rPr>
            </w:pPr>
            <w:r w:rsidRPr="00B35AFA">
              <w:rPr>
                <w:rFonts w:eastAsia="SimSun" w:cs="Arial"/>
                <w:b/>
                <w:bCs/>
                <w:sz w:val="16"/>
                <w:szCs w:val="16"/>
                <w:lang w:eastAsia="zh-CN"/>
              </w:rPr>
              <w:lastRenderedPageBreak/>
              <w:t>Performance Indicators</w:t>
            </w:r>
          </w:p>
        </w:tc>
        <w:tc>
          <w:tcPr>
            <w:tcW w:w="816" w:type="pct"/>
            <w:tcBorders>
              <w:top w:val="single" w:sz="4" w:space="0" w:color="auto"/>
              <w:left w:val="nil"/>
              <w:bottom w:val="nil"/>
              <w:right w:val="nil"/>
            </w:tcBorders>
            <w:shd w:val="clear" w:color="auto" w:fill="auto"/>
          </w:tcPr>
          <w:p w:rsidR="000E1A74" w:rsidRDefault="000E1A74" w:rsidP="000E1A74">
            <w:pPr>
              <w:keepNext/>
              <w:keepLines/>
              <w:rPr>
                <w:rFonts w:cs="Arial"/>
                <w:i/>
                <w:color w:val="002060"/>
                <w:sz w:val="16"/>
                <w:szCs w:val="16"/>
              </w:rPr>
            </w:pPr>
            <w:r w:rsidRPr="00B35AFA">
              <w:rPr>
                <w:rFonts w:cs="Arial"/>
                <w:b/>
                <w:bCs/>
                <w:sz w:val="16"/>
                <w:szCs w:val="16"/>
              </w:rPr>
              <w:t>Baselines</w:t>
            </w:r>
          </w:p>
        </w:tc>
        <w:tc>
          <w:tcPr>
            <w:tcW w:w="966" w:type="pct"/>
            <w:gridSpan w:val="2"/>
            <w:tcBorders>
              <w:top w:val="single" w:sz="4" w:space="0" w:color="auto"/>
              <w:left w:val="nil"/>
              <w:bottom w:val="nil"/>
              <w:right w:val="nil"/>
            </w:tcBorders>
            <w:shd w:val="clear" w:color="auto" w:fill="auto"/>
            <w:tcMar>
              <w:top w:w="110" w:type="dxa"/>
            </w:tcMar>
          </w:tcPr>
          <w:p w:rsidR="000E1A74" w:rsidRPr="0097448D" w:rsidRDefault="000E1A74" w:rsidP="000E1A74">
            <w:pPr>
              <w:keepNext/>
              <w:keepLines/>
              <w:rPr>
                <w:rFonts w:eastAsia="SimSun" w:cs="Arial"/>
                <w:sz w:val="16"/>
                <w:szCs w:val="16"/>
                <w:lang w:eastAsia="zh-CN"/>
              </w:rPr>
            </w:pPr>
            <w:r w:rsidRPr="00B35AFA">
              <w:rPr>
                <w:rFonts w:cs="Arial"/>
                <w:b/>
                <w:sz w:val="16"/>
                <w:szCs w:val="16"/>
              </w:rPr>
              <w:t>Targets</w:t>
            </w:r>
          </w:p>
        </w:tc>
        <w:tc>
          <w:tcPr>
            <w:tcW w:w="1673" w:type="pct"/>
            <w:tcBorders>
              <w:top w:val="single" w:sz="4" w:space="0" w:color="auto"/>
              <w:left w:val="nil"/>
              <w:bottom w:val="nil"/>
              <w:right w:val="nil"/>
            </w:tcBorders>
            <w:shd w:val="clear" w:color="auto" w:fill="FFFFFF"/>
            <w:tcMar>
              <w:top w:w="110" w:type="dxa"/>
            </w:tcMar>
          </w:tcPr>
          <w:p w:rsidR="000E1A74" w:rsidRDefault="000E1A74" w:rsidP="000E1A74">
            <w:pPr>
              <w:keepNext/>
              <w:keepLines/>
              <w:rPr>
                <w:rFonts w:eastAsia="SimSun" w:cs="Arial"/>
                <w:sz w:val="16"/>
                <w:szCs w:val="16"/>
                <w:lang w:eastAsia="zh-CN"/>
              </w:rPr>
            </w:pPr>
            <w:r w:rsidRPr="00B35AFA">
              <w:rPr>
                <w:rFonts w:eastAsia="SimSun" w:cs="Arial"/>
                <w:b/>
                <w:bCs/>
                <w:sz w:val="16"/>
                <w:szCs w:val="16"/>
                <w:lang w:eastAsia="zh-CN"/>
              </w:rPr>
              <w:t>Performance Data</w:t>
            </w:r>
          </w:p>
        </w:tc>
        <w:tc>
          <w:tcPr>
            <w:tcW w:w="465" w:type="pct"/>
            <w:tcBorders>
              <w:top w:val="single" w:sz="4" w:space="0" w:color="auto"/>
              <w:left w:val="nil"/>
              <w:bottom w:val="nil"/>
              <w:right w:val="single" w:sz="4" w:space="0" w:color="auto"/>
            </w:tcBorders>
            <w:shd w:val="clear" w:color="auto" w:fill="auto"/>
            <w:tcMar>
              <w:top w:w="110" w:type="dxa"/>
            </w:tcMar>
          </w:tcPr>
          <w:p w:rsidR="000E1A74" w:rsidRDefault="000E1A74" w:rsidP="000E1A74">
            <w:pPr>
              <w:keepNext/>
              <w:keepLines/>
              <w:jc w:val="center"/>
              <w:rPr>
                <w:rFonts w:eastAsia="SimSun" w:cs="Arial"/>
                <w:bCs/>
                <w:color w:val="808080"/>
                <w:sz w:val="16"/>
                <w:szCs w:val="16"/>
                <w:lang w:eastAsia="zh-CN"/>
              </w:rPr>
            </w:pPr>
            <w:r w:rsidRPr="00B35AFA">
              <w:rPr>
                <w:rFonts w:eastAsia="SimSun" w:cs="Arial"/>
                <w:b/>
                <w:bCs/>
                <w:sz w:val="16"/>
                <w:szCs w:val="16"/>
                <w:lang w:eastAsia="zh-CN"/>
              </w:rPr>
              <w:t>TLS</w:t>
            </w:r>
          </w:p>
        </w:tc>
      </w:tr>
      <w:tr w:rsidR="000E1A74" w:rsidRPr="00B35AFA" w:rsidTr="000E1A74">
        <w:tc>
          <w:tcPr>
            <w:tcW w:w="1080" w:type="pct"/>
            <w:tcBorders>
              <w:top w:val="nil"/>
              <w:left w:val="single" w:sz="4" w:space="0" w:color="auto"/>
              <w:bottom w:val="nil"/>
              <w:right w:val="nil"/>
            </w:tcBorders>
            <w:shd w:val="clear" w:color="auto" w:fill="auto"/>
          </w:tcPr>
          <w:p w:rsidR="000E1A74" w:rsidRDefault="000E1A74" w:rsidP="000E1A74">
            <w:pPr>
              <w:keepNext/>
              <w:keepLines/>
              <w:rPr>
                <w:rFonts w:eastAsia="SimSun" w:cs="Arial"/>
                <w:color w:val="000000"/>
                <w:sz w:val="16"/>
                <w:szCs w:val="16"/>
                <w:lang w:eastAsia="zh-CN"/>
              </w:rPr>
            </w:pPr>
            <w:r w:rsidRPr="00825E63">
              <w:rPr>
                <w:rFonts w:eastAsia="SimSun" w:cs="Arial"/>
                <w:color w:val="000000"/>
                <w:sz w:val="16"/>
                <w:szCs w:val="16"/>
                <w:lang w:eastAsia="zh-CN"/>
              </w:rPr>
              <w:t>% of responses to external requests for contributions from the UN, IGOs etc. submitted on time</w:t>
            </w:r>
          </w:p>
        </w:tc>
        <w:tc>
          <w:tcPr>
            <w:tcW w:w="816" w:type="pct"/>
            <w:tcBorders>
              <w:top w:val="nil"/>
              <w:left w:val="nil"/>
              <w:bottom w:val="nil"/>
              <w:right w:val="nil"/>
            </w:tcBorders>
            <w:shd w:val="clear" w:color="auto" w:fill="auto"/>
          </w:tcPr>
          <w:p w:rsidR="000E1A74" w:rsidRDefault="000E1A74" w:rsidP="000E1A74">
            <w:pPr>
              <w:keepNext/>
              <w:keepLines/>
              <w:spacing w:after="120"/>
              <w:rPr>
                <w:rFonts w:cs="Arial"/>
                <w:i/>
                <w:color w:val="002060"/>
                <w:sz w:val="16"/>
                <w:szCs w:val="16"/>
              </w:rPr>
            </w:pPr>
            <w:r>
              <w:rPr>
                <w:rFonts w:cs="Arial"/>
                <w:i/>
                <w:color w:val="002060"/>
                <w:sz w:val="16"/>
                <w:szCs w:val="16"/>
              </w:rPr>
              <w:t>Updated Baseline end 2013</w:t>
            </w:r>
            <w:r w:rsidRPr="00B35AFA">
              <w:rPr>
                <w:rFonts w:cs="Arial"/>
                <w:i/>
                <w:color w:val="002060"/>
                <w:sz w:val="16"/>
                <w:szCs w:val="16"/>
              </w:rPr>
              <w:t xml:space="preserve">:  </w:t>
            </w:r>
          </w:p>
          <w:p w:rsidR="000E1A74" w:rsidRDefault="000E1A74" w:rsidP="000E1A74">
            <w:pPr>
              <w:keepNext/>
              <w:keepLines/>
              <w:spacing w:after="120"/>
              <w:rPr>
                <w:rFonts w:cs="Arial"/>
                <w:color w:val="002060"/>
                <w:sz w:val="16"/>
                <w:szCs w:val="16"/>
              </w:rPr>
            </w:pPr>
            <w:r w:rsidRPr="00825E63">
              <w:rPr>
                <w:rFonts w:cs="Arial"/>
                <w:color w:val="002060"/>
                <w:sz w:val="16"/>
                <w:szCs w:val="16"/>
              </w:rPr>
              <w:t>90.5% processed within 5 working days.</w:t>
            </w:r>
          </w:p>
          <w:p w:rsidR="000E1A74" w:rsidRDefault="000E1A74" w:rsidP="000E1A74">
            <w:pPr>
              <w:keepNext/>
              <w:keepLines/>
              <w:spacing w:after="120"/>
              <w:rPr>
                <w:rFonts w:cs="Arial"/>
                <w:i/>
                <w:sz w:val="16"/>
                <w:szCs w:val="16"/>
              </w:rPr>
            </w:pPr>
            <w:r>
              <w:rPr>
                <w:rFonts w:cs="Arial"/>
                <w:i/>
                <w:sz w:val="16"/>
                <w:szCs w:val="16"/>
              </w:rPr>
              <w:t xml:space="preserve">Original Baseline P&amp;B 2014/15: </w:t>
            </w:r>
          </w:p>
          <w:p w:rsidR="000E1A74" w:rsidDel="001B4F90" w:rsidRDefault="000E1A74" w:rsidP="000E1A74">
            <w:pPr>
              <w:keepNext/>
              <w:keepLines/>
              <w:spacing w:after="120"/>
              <w:rPr>
                <w:rFonts w:cs="Arial"/>
                <w:i/>
                <w:color w:val="002060"/>
                <w:sz w:val="16"/>
                <w:szCs w:val="16"/>
              </w:rPr>
            </w:pPr>
            <w:proofErr w:type="spellStart"/>
            <w:r w:rsidRPr="00825E63">
              <w:rPr>
                <w:rFonts w:eastAsia="SimSun" w:cs="Arial"/>
                <w:color w:val="000000"/>
                <w:sz w:val="16"/>
                <w:szCs w:val="16"/>
                <w:lang w:eastAsia="zh-CN"/>
              </w:rPr>
              <w:t>tbd</w:t>
            </w:r>
            <w:proofErr w:type="spellEnd"/>
            <w:r w:rsidRPr="00825E63">
              <w:rPr>
                <w:rFonts w:eastAsia="SimSun" w:cs="Arial"/>
                <w:color w:val="000000"/>
                <w:sz w:val="16"/>
                <w:szCs w:val="16"/>
                <w:lang w:eastAsia="zh-CN"/>
              </w:rPr>
              <w:t xml:space="preserve"> (data 2012)</w:t>
            </w:r>
          </w:p>
        </w:tc>
        <w:tc>
          <w:tcPr>
            <w:tcW w:w="966" w:type="pct"/>
            <w:gridSpan w:val="2"/>
            <w:tcBorders>
              <w:top w:val="nil"/>
              <w:left w:val="nil"/>
              <w:bottom w:val="nil"/>
              <w:right w:val="nil"/>
            </w:tcBorders>
            <w:shd w:val="clear" w:color="auto" w:fill="auto"/>
            <w:tcMar>
              <w:top w:w="110" w:type="dxa"/>
            </w:tcMar>
          </w:tcPr>
          <w:p w:rsidR="000E1A74" w:rsidRPr="00825E63" w:rsidRDefault="000E1A74" w:rsidP="000E1A74">
            <w:pPr>
              <w:keepNext/>
              <w:keepLines/>
              <w:rPr>
                <w:rFonts w:eastAsia="SimSun" w:cs="Arial"/>
                <w:sz w:val="16"/>
                <w:szCs w:val="16"/>
                <w:lang w:eastAsia="zh-CN"/>
              </w:rPr>
            </w:pPr>
            <w:r w:rsidRPr="00825E63">
              <w:rPr>
                <w:rFonts w:eastAsia="SimSun" w:cs="Arial"/>
                <w:sz w:val="16"/>
                <w:szCs w:val="16"/>
                <w:lang w:eastAsia="zh-CN"/>
              </w:rPr>
              <w:t>100%</w:t>
            </w:r>
          </w:p>
        </w:tc>
        <w:tc>
          <w:tcPr>
            <w:tcW w:w="1673" w:type="pct"/>
            <w:tcBorders>
              <w:top w:val="nil"/>
              <w:left w:val="nil"/>
              <w:bottom w:val="nil"/>
              <w:right w:val="nil"/>
            </w:tcBorders>
            <w:shd w:val="clear" w:color="auto" w:fill="FFFFFF"/>
            <w:tcMar>
              <w:top w:w="110" w:type="dxa"/>
            </w:tcMar>
          </w:tcPr>
          <w:p w:rsidR="000E1A74" w:rsidRPr="00504E61" w:rsidRDefault="000E1A74" w:rsidP="000E1A74">
            <w:pPr>
              <w:keepNext/>
              <w:keepLines/>
              <w:rPr>
                <w:rFonts w:eastAsia="SimSun" w:cs="Arial"/>
                <w:sz w:val="16"/>
                <w:szCs w:val="16"/>
                <w:lang w:eastAsia="zh-CN"/>
              </w:rPr>
            </w:pPr>
            <w:r w:rsidRPr="00825E63">
              <w:rPr>
                <w:rFonts w:eastAsia="SimSun" w:cs="Arial"/>
                <w:sz w:val="16"/>
                <w:szCs w:val="16"/>
                <w:lang w:eastAsia="zh-CN"/>
              </w:rPr>
              <w:t>174 of 185 (9</w:t>
            </w:r>
            <w:r>
              <w:rPr>
                <w:rFonts w:eastAsia="SimSun" w:cs="Arial"/>
                <w:sz w:val="16"/>
                <w:szCs w:val="16"/>
                <w:lang w:eastAsia="zh-CN"/>
              </w:rPr>
              <w:t>4</w:t>
            </w:r>
            <w:r w:rsidRPr="00825E63">
              <w:rPr>
                <w:rFonts w:eastAsia="SimSun" w:cs="Arial"/>
                <w:sz w:val="16"/>
                <w:szCs w:val="16"/>
                <w:lang w:eastAsia="zh-CN"/>
              </w:rPr>
              <w:t>%)</w:t>
            </w:r>
            <w:r>
              <w:rPr>
                <w:rFonts w:eastAsia="SimSun" w:cs="Arial"/>
                <w:sz w:val="16"/>
                <w:szCs w:val="16"/>
                <w:lang w:eastAsia="zh-CN"/>
              </w:rPr>
              <w:t xml:space="preserve"> responses submitted on time (within 5 working days)</w:t>
            </w:r>
          </w:p>
        </w:tc>
        <w:tc>
          <w:tcPr>
            <w:tcW w:w="465" w:type="pct"/>
            <w:tcBorders>
              <w:top w:val="nil"/>
              <w:left w:val="nil"/>
              <w:bottom w:val="nil"/>
              <w:right w:val="single" w:sz="4" w:space="0" w:color="auto"/>
            </w:tcBorders>
            <w:shd w:val="clear" w:color="auto" w:fill="auto"/>
            <w:tcMar>
              <w:top w:w="110" w:type="dxa"/>
            </w:tcMar>
          </w:tcPr>
          <w:p w:rsidR="000E1A74" w:rsidRPr="004C0C4E" w:rsidRDefault="000E1A74" w:rsidP="000E1A74">
            <w:pPr>
              <w:keepNext/>
              <w:keepLines/>
              <w:jc w:val="center"/>
              <w:rPr>
                <w:rFonts w:eastAsia="SimSun" w:cs="Arial"/>
                <w:b/>
                <w:bCs/>
                <w:color w:val="00B050"/>
                <w:sz w:val="16"/>
                <w:szCs w:val="16"/>
                <w:lang w:eastAsia="zh-CN"/>
              </w:rPr>
            </w:pPr>
            <w:r w:rsidRPr="004C0C4E">
              <w:rPr>
                <w:rFonts w:eastAsia="SimSun" w:cs="Arial"/>
                <w:b/>
                <w:bCs/>
                <w:color w:val="00B050"/>
                <w:sz w:val="16"/>
                <w:szCs w:val="16"/>
                <w:lang w:eastAsia="zh-CN"/>
              </w:rPr>
              <w:t>On track</w:t>
            </w:r>
          </w:p>
        </w:tc>
      </w:tr>
      <w:tr w:rsidR="000E1A74" w:rsidRPr="00B35AFA" w:rsidTr="000E1A74">
        <w:tc>
          <w:tcPr>
            <w:tcW w:w="1080" w:type="pct"/>
            <w:tcBorders>
              <w:top w:val="nil"/>
              <w:left w:val="single" w:sz="4" w:space="0" w:color="auto"/>
              <w:bottom w:val="single" w:sz="4" w:space="0" w:color="auto"/>
              <w:right w:val="nil"/>
            </w:tcBorders>
            <w:shd w:val="clear" w:color="auto" w:fill="auto"/>
          </w:tcPr>
          <w:p w:rsidR="000E1A74" w:rsidRPr="0097448D" w:rsidRDefault="000E1A74" w:rsidP="00BD0327">
            <w:pPr>
              <w:rPr>
                <w:rFonts w:eastAsia="SimSun" w:cs="Arial"/>
                <w:color w:val="000000"/>
                <w:sz w:val="16"/>
                <w:szCs w:val="16"/>
                <w:lang w:eastAsia="zh-CN"/>
              </w:rPr>
            </w:pPr>
            <w:r>
              <w:rPr>
                <w:rFonts w:eastAsia="SimSun" w:cs="Arial"/>
                <w:color w:val="000000"/>
                <w:sz w:val="16"/>
                <w:szCs w:val="16"/>
                <w:lang w:eastAsia="zh-CN"/>
              </w:rPr>
              <w:t>No.</w:t>
            </w:r>
            <w:r w:rsidRPr="00825E63">
              <w:rPr>
                <w:rFonts w:eastAsia="SimSun" w:cs="Arial"/>
                <w:color w:val="000000"/>
                <w:sz w:val="16"/>
                <w:szCs w:val="16"/>
                <w:lang w:eastAsia="zh-CN"/>
              </w:rPr>
              <w:t xml:space="preserve"> of IP Programs implemented jointly with other UN bodies and other IGOs</w:t>
            </w:r>
          </w:p>
        </w:tc>
        <w:tc>
          <w:tcPr>
            <w:tcW w:w="816" w:type="pct"/>
            <w:tcBorders>
              <w:top w:val="nil"/>
              <w:left w:val="nil"/>
              <w:bottom w:val="single" w:sz="4" w:space="0" w:color="auto"/>
              <w:right w:val="nil"/>
            </w:tcBorders>
            <w:shd w:val="clear" w:color="auto" w:fill="auto"/>
          </w:tcPr>
          <w:p w:rsidR="000E1A74" w:rsidRDefault="000E1A74" w:rsidP="00BD0327">
            <w:pPr>
              <w:rPr>
                <w:rFonts w:cs="Arial"/>
                <w:i/>
                <w:color w:val="002060"/>
                <w:sz w:val="16"/>
                <w:szCs w:val="16"/>
              </w:rPr>
            </w:pPr>
            <w:r w:rsidRPr="00825E63">
              <w:rPr>
                <w:rFonts w:cs="Arial"/>
                <w:sz w:val="16"/>
                <w:szCs w:val="16"/>
              </w:rPr>
              <w:t>0 (zero) (WSO)</w:t>
            </w:r>
          </w:p>
        </w:tc>
        <w:tc>
          <w:tcPr>
            <w:tcW w:w="966" w:type="pct"/>
            <w:gridSpan w:val="2"/>
            <w:tcBorders>
              <w:top w:val="nil"/>
              <w:left w:val="nil"/>
              <w:bottom w:val="single" w:sz="4" w:space="0" w:color="auto"/>
              <w:right w:val="nil"/>
            </w:tcBorders>
            <w:shd w:val="clear" w:color="auto" w:fill="auto"/>
            <w:tcMar>
              <w:top w:w="110" w:type="dxa"/>
            </w:tcMar>
          </w:tcPr>
          <w:p w:rsidR="000E1A74" w:rsidRPr="00825E63" w:rsidRDefault="000E1A74" w:rsidP="00BD0327">
            <w:pPr>
              <w:rPr>
                <w:rFonts w:eastAsia="SimSun" w:cs="Arial"/>
                <w:sz w:val="16"/>
                <w:szCs w:val="16"/>
                <w:lang w:eastAsia="zh-CN"/>
              </w:rPr>
            </w:pPr>
            <w:r w:rsidRPr="00825E63">
              <w:rPr>
                <w:rFonts w:eastAsia="SimSun" w:cs="Arial"/>
                <w:sz w:val="16"/>
                <w:szCs w:val="16"/>
                <w:lang w:eastAsia="zh-CN"/>
              </w:rPr>
              <w:t>2 (WSO)</w:t>
            </w:r>
          </w:p>
        </w:tc>
        <w:tc>
          <w:tcPr>
            <w:tcW w:w="1673" w:type="pct"/>
            <w:tcBorders>
              <w:top w:val="nil"/>
              <w:left w:val="nil"/>
              <w:bottom w:val="single" w:sz="4" w:space="0" w:color="auto"/>
              <w:right w:val="nil"/>
            </w:tcBorders>
            <w:shd w:val="clear" w:color="auto" w:fill="FFFFFF"/>
            <w:tcMar>
              <w:top w:w="110" w:type="dxa"/>
            </w:tcMar>
          </w:tcPr>
          <w:p w:rsidR="000E1A74" w:rsidRDefault="000E1A74" w:rsidP="00BD0327">
            <w:pPr>
              <w:pStyle w:val="ListParagraph"/>
              <w:numPr>
                <w:ilvl w:val="0"/>
                <w:numId w:val="87"/>
              </w:numPr>
              <w:spacing w:after="200"/>
              <w:contextualSpacing/>
              <w:rPr>
                <w:rFonts w:eastAsia="SimSun" w:cs="Arial"/>
                <w:sz w:val="16"/>
                <w:szCs w:val="16"/>
                <w:lang w:eastAsia="zh-CN"/>
              </w:rPr>
            </w:pPr>
            <w:r w:rsidRPr="00B97F30">
              <w:rPr>
                <w:rFonts w:eastAsia="SimSun" w:cs="Arial"/>
                <w:sz w:val="16"/>
                <w:szCs w:val="16"/>
                <w:lang w:eastAsia="zh-CN"/>
              </w:rPr>
              <w:t>2 events with UN agencies (UNEP and UNIDO) in 2014</w:t>
            </w:r>
          </w:p>
          <w:p w:rsidR="000E1A74" w:rsidRDefault="000E1A74" w:rsidP="00BD0327">
            <w:pPr>
              <w:pStyle w:val="ListParagraph"/>
              <w:numPr>
                <w:ilvl w:val="0"/>
                <w:numId w:val="87"/>
              </w:numPr>
              <w:spacing w:after="200"/>
              <w:contextualSpacing/>
              <w:rPr>
                <w:rFonts w:eastAsia="SimSun" w:cs="Arial"/>
                <w:sz w:val="16"/>
                <w:szCs w:val="16"/>
                <w:lang w:eastAsia="zh-CN"/>
              </w:rPr>
            </w:pPr>
            <w:r>
              <w:rPr>
                <w:rFonts w:eastAsia="SimSun" w:cs="Arial"/>
                <w:sz w:val="16"/>
                <w:szCs w:val="16"/>
                <w:lang w:eastAsia="zh-CN"/>
              </w:rPr>
              <w:t>M</w:t>
            </w:r>
            <w:r w:rsidRPr="00B97F30">
              <w:rPr>
                <w:rFonts w:eastAsia="SimSun" w:cs="Arial"/>
                <w:sz w:val="16"/>
                <w:szCs w:val="16"/>
                <w:lang w:eastAsia="zh-CN"/>
              </w:rPr>
              <w:t xml:space="preserve">ultiple events with ASEAN-Australia-New Zealand Free Trade Agreement (AANZFTA), the ASEAN Secretariat, Asia-Pacific Economic Cooperation (APEC) and </w:t>
            </w:r>
            <w:r w:rsidRPr="00167BCF">
              <w:rPr>
                <w:rFonts w:eastAsia="SimSun" w:cs="Arial"/>
                <w:sz w:val="16"/>
                <w:szCs w:val="16"/>
                <w:lang w:eastAsia="zh-CN"/>
              </w:rPr>
              <w:t>Office for Harmonization in the Internal Market</w:t>
            </w:r>
            <w:r>
              <w:rPr>
                <w:rFonts w:eastAsia="SimSun" w:cs="Arial"/>
                <w:sz w:val="16"/>
                <w:szCs w:val="16"/>
                <w:lang w:eastAsia="zh-CN"/>
              </w:rPr>
              <w:t xml:space="preserve">/ </w:t>
            </w:r>
            <w:r w:rsidRPr="009A12E0">
              <w:rPr>
                <w:rFonts w:eastAsia="SimSun" w:cs="Arial"/>
                <w:sz w:val="16"/>
                <w:szCs w:val="16"/>
                <w:lang w:eastAsia="zh-CN"/>
              </w:rPr>
              <w:t>EU-ASEAN Project on the Protection of Intellectual Property Rights</w:t>
            </w:r>
            <w:r w:rsidRPr="00167BCF">
              <w:rPr>
                <w:rFonts w:eastAsia="SimSun" w:cs="Arial"/>
                <w:sz w:val="16"/>
                <w:szCs w:val="16"/>
                <w:lang w:eastAsia="zh-CN"/>
              </w:rPr>
              <w:t xml:space="preserve"> </w:t>
            </w:r>
            <w:r>
              <w:rPr>
                <w:rFonts w:eastAsia="SimSun" w:cs="Arial"/>
                <w:sz w:val="16"/>
                <w:szCs w:val="16"/>
                <w:lang w:eastAsia="zh-CN"/>
              </w:rPr>
              <w:t>(</w:t>
            </w:r>
            <w:r w:rsidRPr="00B97F30">
              <w:rPr>
                <w:rFonts w:eastAsia="SimSun" w:cs="Arial"/>
                <w:sz w:val="16"/>
                <w:szCs w:val="16"/>
                <w:lang w:eastAsia="zh-CN"/>
              </w:rPr>
              <w:t>OHIM/ECAP</w:t>
            </w:r>
            <w:r>
              <w:rPr>
                <w:rFonts w:eastAsia="SimSun" w:cs="Arial"/>
                <w:sz w:val="16"/>
                <w:szCs w:val="16"/>
                <w:lang w:eastAsia="zh-CN"/>
              </w:rPr>
              <w:t>)</w:t>
            </w:r>
            <w:r w:rsidRPr="00B97F30">
              <w:rPr>
                <w:rFonts w:eastAsia="SimSun" w:cs="Arial"/>
                <w:sz w:val="16"/>
                <w:szCs w:val="16"/>
                <w:lang w:eastAsia="zh-CN"/>
              </w:rPr>
              <w:t xml:space="preserve"> III</w:t>
            </w:r>
          </w:p>
          <w:p w:rsidR="000E1A74" w:rsidRPr="00B97F30" w:rsidRDefault="000E1A74" w:rsidP="00BD0327">
            <w:pPr>
              <w:pStyle w:val="ListParagraph"/>
              <w:numPr>
                <w:ilvl w:val="0"/>
                <w:numId w:val="87"/>
              </w:numPr>
              <w:spacing w:after="200"/>
              <w:contextualSpacing/>
              <w:rPr>
                <w:rFonts w:eastAsia="SimSun" w:cs="Arial"/>
                <w:sz w:val="16"/>
                <w:szCs w:val="16"/>
                <w:lang w:eastAsia="zh-CN"/>
              </w:rPr>
            </w:pPr>
            <w:r>
              <w:rPr>
                <w:rFonts w:eastAsia="SimSun" w:cs="Arial"/>
                <w:sz w:val="16"/>
                <w:szCs w:val="16"/>
                <w:lang w:eastAsia="zh-CN"/>
              </w:rPr>
              <w:t>1</w:t>
            </w:r>
            <w:r w:rsidRPr="00B97F30">
              <w:rPr>
                <w:rFonts w:eastAsia="SimSun" w:cs="Arial"/>
                <w:sz w:val="16"/>
                <w:szCs w:val="16"/>
                <w:lang w:eastAsia="zh-CN"/>
              </w:rPr>
              <w:t xml:space="preserve"> meeting of the IP Technical Assistance Providers (WSO)</w:t>
            </w:r>
          </w:p>
        </w:tc>
        <w:tc>
          <w:tcPr>
            <w:tcW w:w="465" w:type="pct"/>
            <w:tcBorders>
              <w:top w:val="nil"/>
              <w:left w:val="nil"/>
              <w:bottom w:val="single" w:sz="4" w:space="0" w:color="auto"/>
              <w:right w:val="single" w:sz="4" w:space="0" w:color="auto"/>
            </w:tcBorders>
            <w:shd w:val="clear" w:color="auto" w:fill="auto"/>
            <w:tcMar>
              <w:top w:w="110" w:type="dxa"/>
            </w:tcMar>
          </w:tcPr>
          <w:p w:rsidR="000E1A74" w:rsidRPr="004C0C4E" w:rsidRDefault="000E1A74" w:rsidP="00BD0327">
            <w:pPr>
              <w:keepNext/>
              <w:keepLines/>
              <w:jc w:val="center"/>
              <w:rPr>
                <w:rFonts w:eastAsia="SimSun" w:cs="Arial"/>
                <w:b/>
                <w:bCs/>
                <w:color w:val="00B050"/>
                <w:sz w:val="16"/>
                <w:szCs w:val="16"/>
                <w:lang w:eastAsia="zh-CN"/>
              </w:rPr>
            </w:pPr>
            <w:r w:rsidRPr="004C0C4E">
              <w:rPr>
                <w:rFonts w:eastAsia="SimSun" w:cs="Arial"/>
                <w:b/>
                <w:bCs/>
                <w:color w:val="00B050"/>
                <w:sz w:val="16"/>
                <w:szCs w:val="16"/>
                <w:lang w:eastAsia="zh-CN"/>
              </w:rPr>
              <w:t>On track</w:t>
            </w:r>
          </w:p>
        </w:tc>
      </w:tr>
    </w:tbl>
    <w:p w:rsidR="00BD0327" w:rsidRDefault="00BD0327" w:rsidP="00BD0327">
      <w:pPr>
        <w:rPr>
          <w:rFonts w:cs="Arial"/>
          <w:color w:val="000000"/>
          <w:szCs w:val="20"/>
        </w:rPr>
      </w:pPr>
    </w:p>
    <w:p w:rsidR="000E1A74" w:rsidRDefault="000E1A74" w:rsidP="00BD0327">
      <w:pPr>
        <w:rPr>
          <w:rFonts w:cs="Arial"/>
          <w:color w:val="000000"/>
          <w:szCs w:val="20"/>
        </w:rPr>
      </w:pPr>
    </w:p>
    <w:p w:rsidR="00BD0327" w:rsidRPr="000E1A74" w:rsidRDefault="00BD0327" w:rsidP="000E1A74">
      <w:pPr>
        <w:rPr>
          <w:rFonts w:cs="Arial"/>
          <w:color w:val="000000"/>
          <w:sz w:val="22"/>
          <w:szCs w:val="20"/>
        </w:rPr>
      </w:pPr>
      <w:r w:rsidRPr="000E1A74">
        <w:rPr>
          <w:rFonts w:cs="Arial"/>
          <w:color w:val="000000"/>
          <w:sz w:val="22"/>
          <w:szCs w:val="20"/>
        </w:rPr>
        <w:t>RESOURCE UTILIZATION</w:t>
      </w:r>
      <w:r w:rsidRPr="000E1A74">
        <w:rPr>
          <w:rFonts w:cs="Arial"/>
          <w:color w:val="000000"/>
          <w:sz w:val="22"/>
          <w:szCs w:val="20"/>
        </w:rPr>
        <w:tab/>
      </w:r>
    </w:p>
    <w:p w:rsidR="000E1A74" w:rsidRPr="00FB7274" w:rsidRDefault="000E1A74" w:rsidP="000E1A74">
      <w:pPr>
        <w:rPr>
          <w:rFonts w:cs="Arial"/>
          <w:b/>
          <w:szCs w:val="20"/>
        </w:rPr>
      </w:pPr>
    </w:p>
    <w:p w:rsidR="00BD0327" w:rsidRPr="00FB7274" w:rsidRDefault="00BD0327" w:rsidP="000E1A74">
      <w:pPr>
        <w:pStyle w:val="NormalWeb"/>
        <w:spacing w:before="0" w:beforeAutospacing="0" w:after="0" w:afterAutospacing="0"/>
        <w:jc w:val="center"/>
        <w:rPr>
          <w:sz w:val="20"/>
          <w:szCs w:val="20"/>
        </w:rPr>
      </w:pPr>
      <w:r w:rsidRPr="00FB7274">
        <w:rPr>
          <w:color w:val="000000"/>
          <w:sz w:val="20"/>
          <w:szCs w:val="20"/>
        </w:rPr>
        <w:t xml:space="preserve">Budget and Actual Expenditure (by result) </w:t>
      </w:r>
    </w:p>
    <w:p w:rsidR="00BD0327" w:rsidRPr="00FB7274" w:rsidRDefault="00BD0327" w:rsidP="000E1A74">
      <w:pPr>
        <w:pStyle w:val="NormalWeb"/>
        <w:spacing w:before="0" w:beforeAutospacing="0" w:after="0" w:afterAutospacing="0"/>
        <w:jc w:val="center"/>
        <w:rPr>
          <w:i/>
          <w:iCs/>
          <w:color w:val="000000"/>
          <w:sz w:val="20"/>
          <w:szCs w:val="20"/>
        </w:rPr>
      </w:pPr>
      <w:r w:rsidRPr="00FB7274">
        <w:rPr>
          <w:i/>
          <w:iCs/>
          <w:color w:val="000000"/>
          <w:sz w:val="20"/>
          <w:szCs w:val="20"/>
        </w:rPr>
        <w:t>(</w:t>
      </w:r>
      <w:proofErr w:type="gramStart"/>
      <w:r w:rsidRPr="00FB7274">
        <w:rPr>
          <w:i/>
          <w:iCs/>
          <w:color w:val="000000"/>
          <w:sz w:val="20"/>
          <w:szCs w:val="20"/>
        </w:rPr>
        <w:t>in</w:t>
      </w:r>
      <w:proofErr w:type="gramEnd"/>
      <w:r w:rsidRPr="00FB7274">
        <w:rPr>
          <w:i/>
          <w:iCs/>
          <w:color w:val="000000"/>
          <w:sz w:val="20"/>
          <w:szCs w:val="20"/>
        </w:rPr>
        <w:t xml:space="preserve"> thousands of Swiss francs)</w:t>
      </w:r>
    </w:p>
    <w:p w:rsidR="00BD0327" w:rsidRPr="000E1A74" w:rsidRDefault="00BD0327" w:rsidP="000E1A74">
      <w:pPr>
        <w:pStyle w:val="NormalWeb"/>
        <w:spacing w:before="0" w:beforeAutospacing="0" w:after="0" w:afterAutospacing="0"/>
        <w:jc w:val="center"/>
        <w:rPr>
          <w:szCs w:val="20"/>
        </w:rPr>
      </w:pPr>
    </w:p>
    <w:p w:rsidR="00BD0327" w:rsidRDefault="00BD0327" w:rsidP="000E1A74">
      <w:pPr>
        <w:jc w:val="center"/>
      </w:pPr>
      <w:r w:rsidRPr="00C81252">
        <w:rPr>
          <w:noProof/>
        </w:rPr>
        <w:drawing>
          <wp:inline distT="0" distB="0" distL="0" distR="0" wp14:anchorId="65F07802" wp14:editId="5538C635">
            <wp:extent cx="4221128" cy="4667416"/>
            <wp:effectExtent l="0" t="0" r="8255" b="0"/>
            <wp:docPr id="85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223574" cy="4670120"/>
                    </a:xfrm>
                    <a:prstGeom prst="rect">
                      <a:avLst/>
                    </a:prstGeom>
                    <a:noFill/>
                    <a:ln>
                      <a:noFill/>
                    </a:ln>
                  </pic:spPr>
                </pic:pic>
              </a:graphicData>
            </a:graphic>
          </wp:inline>
        </w:drawing>
      </w:r>
    </w:p>
    <w:p w:rsidR="00BD0327" w:rsidRDefault="00BD0327" w:rsidP="000E1A74">
      <w:pPr>
        <w:jc w:val="center"/>
      </w:pPr>
    </w:p>
    <w:p w:rsidR="00BD0327" w:rsidRDefault="00BD0327" w:rsidP="000E1A74">
      <w:pPr>
        <w:pStyle w:val="NormalWeb"/>
        <w:keepNext/>
        <w:keepLines/>
        <w:spacing w:before="0" w:beforeAutospacing="0" w:after="0" w:afterAutospacing="0"/>
        <w:jc w:val="center"/>
        <w:rPr>
          <w:sz w:val="20"/>
          <w:szCs w:val="20"/>
        </w:rPr>
      </w:pPr>
      <w:r>
        <w:rPr>
          <w:color w:val="000000"/>
          <w:sz w:val="20"/>
          <w:szCs w:val="20"/>
        </w:rPr>
        <w:t xml:space="preserve">Budget and Actual Expenditure (personnel and non-personnel) </w:t>
      </w:r>
    </w:p>
    <w:p w:rsidR="00BD0327" w:rsidRDefault="00BD0327" w:rsidP="000E1A74">
      <w:pPr>
        <w:pStyle w:val="NormalWeb"/>
        <w:keepNext/>
        <w:keepLines/>
        <w:spacing w:before="0" w:beforeAutospacing="0" w:after="0" w:afterAutospacing="0"/>
        <w:jc w:val="center"/>
        <w:rPr>
          <w:i/>
          <w:iCs/>
          <w:color w:val="000000"/>
          <w:sz w:val="20"/>
          <w:szCs w:val="20"/>
        </w:rPr>
      </w:pPr>
      <w:r>
        <w:rPr>
          <w:i/>
          <w:iCs/>
          <w:color w:val="000000"/>
          <w:sz w:val="20"/>
          <w:szCs w:val="20"/>
        </w:rPr>
        <w:t>(</w:t>
      </w:r>
      <w:proofErr w:type="gramStart"/>
      <w:r>
        <w:rPr>
          <w:i/>
          <w:iCs/>
          <w:color w:val="000000"/>
          <w:sz w:val="20"/>
          <w:szCs w:val="20"/>
        </w:rPr>
        <w:t>in</w:t>
      </w:r>
      <w:proofErr w:type="gramEnd"/>
      <w:r>
        <w:rPr>
          <w:i/>
          <w:iCs/>
          <w:color w:val="000000"/>
          <w:sz w:val="20"/>
          <w:szCs w:val="20"/>
        </w:rPr>
        <w:t xml:space="preserve"> thousands of Swiss francs)</w:t>
      </w:r>
    </w:p>
    <w:p w:rsidR="00BD0327" w:rsidRDefault="00BD0327" w:rsidP="000E1A74">
      <w:pPr>
        <w:pStyle w:val="NormalWeb"/>
        <w:keepNext/>
        <w:keepLines/>
        <w:spacing w:before="0" w:beforeAutospacing="0" w:after="0" w:afterAutospacing="0"/>
        <w:jc w:val="center"/>
      </w:pPr>
    </w:p>
    <w:p w:rsidR="00BD0327" w:rsidRDefault="00BD0327" w:rsidP="000E1A74">
      <w:pPr>
        <w:keepNext/>
        <w:keepLines/>
        <w:jc w:val="center"/>
        <w:rPr>
          <w:i/>
          <w:sz w:val="16"/>
          <w:szCs w:val="16"/>
        </w:rPr>
      </w:pPr>
      <w:r w:rsidRPr="00C81252">
        <w:rPr>
          <w:noProof/>
        </w:rPr>
        <w:drawing>
          <wp:inline distT="0" distB="0" distL="0" distR="0" wp14:anchorId="7E18C527" wp14:editId="17506A92">
            <wp:extent cx="5343099" cy="1171906"/>
            <wp:effectExtent l="0" t="0" r="0" b="9525"/>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344140" cy="1172134"/>
                    </a:xfrm>
                    <a:prstGeom prst="rect">
                      <a:avLst/>
                    </a:prstGeom>
                    <a:noFill/>
                    <a:ln>
                      <a:noFill/>
                    </a:ln>
                  </pic:spPr>
                </pic:pic>
              </a:graphicData>
            </a:graphic>
          </wp:inline>
        </w:drawing>
      </w:r>
    </w:p>
    <w:p w:rsidR="00BD0327" w:rsidRDefault="00BD0327" w:rsidP="000E1A74">
      <w:pPr>
        <w:keepNext/>
        <w:keepLines/>
        <w:rPr>
          <w:rFonts w:cs="Arial"/>
          <w:i/>
          <w:sz w:val="16"/>
          <w:szCs w:val="16"/>
        </w:rPr>
      </w:pPr>
      <w:r w:rsidRPr="004C0C4E">
        <w:rPr>
          <w:rFonts w:cs="Arial"/>
          <w:i/>
          <w:sz w:val="16"/>
          <w:szCs w:val="16"/>
        </w:rPr>
        <w:t>NOTE: The 2014/15 Budget after Transfers reflects transfers as of March 31, 2015 to address needs during the 2014/15 biennium in line</w:t>
      </w:r>
      <w:r>
        <w:rPr>
          <w:rFonts w:cs="Arial"/>
          <w:i/>
          <w:sz w:val="16"/>
          <w:szCs w:val="16"/>
        </w:rPr>
        <w:t xml:space="preserve"> with Financial Regulation 5.5.</w:t>
      </w:r>
    </w:p>
    <w:p w:rsidR="00BD0327" w:rsidRPr="004C0C4E" w:rsidRDefault="00BD0327" w:rsidP="00BD0327">
      <w:pPr>
        <w:rPr>
          <w:rFonts w:cs="Arial"/>
          <w:i/>
          <w:szCs w:val="16"/>
        </w:rPr>
      </w:pPr>
    </w:p>
    <w:p w:rsidR="00BD0327" w:rsidRDefault="00BD0327" w:rsidP="00BD0327">
      <w:pPr>
        <w:rPr>
          <w:rFonts w:cs="Arial"/>
          <w:i/>
          <w:szCs w:val="16"/>
        </w:rPr>
      </w:pPr>
    </w:p>
    <w:p w:rsidR="00BD0327" w:rsidRDefault="00BD0327" w:rsidP="00BD0327">
      <w:pPr>
        <w:rPr>
          <w:rFonts w:cs="Arial"/>
          <w:szCs w:val="20"/>
          <w:u w:val="single"/>
        </w:rPr>
      </w:pPr>
      <w:r w:rsidRPr="00FB7274">
        <w:rPr>
          <w:rFonts w:cs="Arial"/>
          <w:szCs w:val="20"/>
        </w:rPr>
        <w:t>A.</w:t>
      </w:r>
      <w:r w:rsidRPr="00FB7274">
        <w:rPr>
          <w:rFonts w:cs="Arial"/>
          <w:szCs w:val="20"/>
        </w:rPr>
        <w:tab/>
      </w:r>
      <w:r w:rsidRPr="00FB7274">
        <w:rPr>
          <w:rFonts w:cs="Arial"/>
          <w:szCs w:val="20"/>
          <w:u w:val="single"/>
        </w:rPr>
        <w:t>Budget after Transfers 2014/15</w:t>
      </w:r>
    </w:p>
    <w:p w:rsidR="000E1A74" w:rsidRPr="00FB7274" w:rsidRDefault="000E1A74" w:rsidP="00BD0327">
      <w:pPr>
        <w:rPr>
          <w:rFonts w:cs="Arial"/>
          <w:szCs w:val="20"/>
          <w:u w:val="single"/>
        </w:rPr>
      </w:pPr>
    </w:p>
    <w:p w:rsidR="00BD0327" w:rsidRPr="005B48CA" w:rsidRDefault="00BD0327" w:rsidP="00BD0327">
      <w:pPr>
        <w:pStyle w:val="ListParagraph"/>
        <w:numPr>
          <w:ilvl w:val="0"/>
          <w:numId w:val="92"/>
        </w:numPr>
        <w:tabs>
          <w:tab w:val="left" w:pos="709"/>
        </w:tabs>
        <w:ind w:left="0" w:firstLine="0"/>
        <w:contextualSpacing/>
        <w:jc w:val="both"/>
        <w:rPr>
          <w:rFonts w:cs="Arial"/>
          <w:u w:val="single"/>
        </w:rPr>
      </w:pPr>
      <w:r w:rsidRPr="0042136A">
        <w:rPr>
          <w:rFonts w:cs="Arial"/>
        </w:rPr>
        <w:t xml:space="preserve">The net increase in the 2014/15 Budget after Transfers reflects, on the one hand, the transfer of personnel resources to the WCO and WRO, including the temporary transfer of a staff member from Program 10 to assist with the initial establishment of the Office and, on the other hand, </w:t>
      </w:r>
      <w:r w:rsidRPr="0042136A">
        <w:rPr>
          <w:rFonts w:cs="Arial"/>
          <w:lang w:eastAsia="ko-KR"/>
        </w:rPr>
        <w:t>the transfer of</w:t>
      </w:r>
      <w:r w:rsidRPr="00152A1E">
        <w:rPr>
          <w:rFonts w:cs="Arial"/>
          <w:lang w:eastAsia="ko-KR"/>
        </w:rPr>
        <w:t xml:space="preserve"> personnel resources to Program 9 to </w:t>
      </w:r>
      <w:r>
        <w:rPr>
          <w:rFonts w:cs="Arial"/>
          <w:lang w:eastAsia="ko-KR"/>
        </w:rPr>
        <w:t xml:space="preserve">reinforce the activities of the </w:t>
      </w:r>
      <w:r w:rsidRPr="00152A1E">
        <w:rPr>
          <w:rFonts w:cs="Arial"/>
          <w:lang w:eastAsia="ko-KR"/>
        </w:rPr>
        <w:t xml:space="preserve">Africa Bureau </w:t>
      </w:r>
      <w:r>
        <w:rPr>
          <w:rFonts w:cs="Arial"/>
          <w:lang w:eastAsia="ko-KR"/>
        </w:rPr>
        <w:t>(</w:t>
      </w:r>
      <w:r w:rsidRPr="00152A1E">
        <w:rPr>
          <w:rFonts w:cs="Arial"/>
          <w:lang w:eastAsia="ko-KR"/>
        </w:rPr>
        <w:t xml:space="preserve">reflected </w:t>
      </w:r>
      <w:r>
        <w:rPr>
          <w:rFonts w:cs="Arial"/>
          <w:lang w:eastAsia="ko-KR"/>
        </w:rPr>
        <w:t xml:space="preserve">as a decrease </w:t>
      </w:r>
      <w:r w:rsidRPr="00152A1E">
        <w:rPr>
          <w:rFonts w:cs="Arial"/>
          <w:lang w:eastAsia="ko-KR"/>
        </w:rPr>
        <w:t>under Result VIII.4 (Open, transparent and responsive interactions with NGOs).</w:t>
      </w:r>
    </w:p>
    <w:p w:rsidR="00BD0327" w:rsidRPr="007C6C81" w:rsidRDefault="00BD0327" w:rsidP="00BD0327">
      <w:pPr>
        <w:pStyle w:val="ListParagraph"/>
        <w:tabs>
          <w:tab w:val="left" w:pos="709"/>
        </w:tabs>
        <w:ind w:left="0"/>
        <w:jc w:val="both"/>
        <w:rPr>
          <w:rFonts w:cs="Arial"/>
          <w:u w:val="single"/>
        </w:rPr>
      </w:pPr>
    </w:p>
    <w:p w:rsidR="00BD0327" w:rsidRPr="007C6C81" w:rsidRDefault="00BD0327" w:rsidP="00BD0327">
      <w:pPr>
        <w:pStyle w:val="ListParagraph"/>
        <w:numPr>
          <w:ilvl w:val="0"/>
          <w:numId w:val="92"/>
        </w:numPr>
        <w:tabs>
          <w:tab w:val="left" w:pos="709"/>
        </w:tabs>
        <w:ind w:left="0" w:firstLine="0"/>
        <w:contextualSpacing/>
        <w:jc w:val="both"/>
        <w:rPr>
          <w:rFonts w:cs="Arial"/>
          <w:u w:val="single"/>
        </w:rPr>
      </w:pPr>
      <w:r w:rsidRPr="005B48CA">
        <w:t>The</w:t>
      </w:r>
      <w:r w:rsidRPr="00152A1E">
        <w:rPr>
          <w:rFonts w:cs="Arial"/>
          <w:lang w:eastAsia="ko-KR"/>
        </w:rPr>
        <w:t xml:space="preserve"> adjustments across </w:t>
      </w:r>
      <w:r>
        <w:rPr>
          <w:rFonts w:cs="Arial"/>
          <w:lang w:eastAsia="ko-KR"/>
        </w:rPr>
        <w:t xml:space="preserve">Expected </w:t>
      </w:r>
      <w:r w:rsidRPr="00152A1E">
        <w:rPr>
          <w:rFonts w:cs="Arial"/>
          <w:lang w:eastAsia="ko-KR"/>
        </w:rPr>
        <w:t>Results are primarily due to: (</w:t>
      </w:r>
      <w:proofErr w:type="spellStart"/>
      <w:r w:rsidRPr="00152A1E">
        <w:rPr>
          <w:rFonts w:cs="Arial"/>
          <w:lang w:eastAsia="ko-KR"/>
        </w:rPr>
        <w:t>i</w:t>
      </w:r>
      <w:proofErr w:type="spellEnd"/>
      <w:r w:rsidRPr="00152A1E">
        <w:rPr>
          <w:rFonts w:cs="Arial"/>
          <w:lang w:eastAsia="ko-KR"/>
        </w:rPr>
        <w:t xml:space="preserve">) the initial allocation of resources </w:t>
      </w:r>
      <w:r>
        <w:rPr>
          <w:rFonts w:cs="Arial"/>
          <w:lang w:eastAsia="ko-KR"/>
        </w:rPr>
        <w:t>for</w:t>
      </w:r>
      <w:r w:rsidRPr="00152A1E">
        <w:rPr>
          <w:rFonts w:cs="Arial"/>
          <w:lang w:eastAsia="ko-KR"/>
        </w:rPr>
        <w:t xml:space="preserve"> the WCO and WRO, </w:t>
      </w:r>
      <w:r>
        <w:rPr>
          <w:rFonts w:cs="Arial"/>
          <w:lang w:eastAsia="ko-KR"/>
        </w:rPr>
        <w:t xml:space="preserve">which are reflected, </w:t>
      </w:r>
      <w:r w:rsidRPr="00152A1E">
        <w:rPr>
          <w:rFonts w:cs="Arial"/>
          <w:lang w:eastAsia="ko-KR"/>
        </w:rPr>
        <w:t>in particular</w:t>
      </w:r>
      <w:r>
        <w:rPr>
          <w:rFonts w:cs="Arial"/>
          <w:lang w:eastAsia="ko-KR"/>
        </w:rPr>
        <w:t>,</w:t>
      </w:r>
      <w:r w:rsidRPr="00152A1E">
        <w:rPr>
          <w:rFonts w:cs="Arial"/>
          <w:lang w:eastAsia="ko-KR"/>
        </w:rPr>
        <w:t xml:space="preserve"> under Results II.1 (Increased use of the PCT) and II.6 (Wider and better use of the Madrid and Lisbon Systems); (ii) the increased focus of the External Offices on more effective communication about WIPO’s Global IP Services reflected under Result VIII.1 (More effective communication to a broad public) and improved customer service reflected under VIII.2 (Improved service orientation and responsiveness to inquiries);</w:t>
      </w:r>
      <w:r>
        <w:rPr>
          <w:rFonts w:cs="Arial"/>
          <w:lang w:eastAsia="ko-KR"/>
        </w:rPr>
        <w:t xml:space="preserve"> and, </w:t>
      </w:r>
      <w:r w:rsidRPr="00152A1E">
        <w:rPr>
          <w:rFonts w:cs="Arial"/>
          <w:lang w:eastAsia="ko-KR"/>
        </w:rPr>
        <w:t>(iii) the redistribution of resources from VIII.4 (Open, transparent and responsive interactions with NGOs) to VIII.5 (WIPO effectively interacts and partners with UN and other IGO processes) following the internal reorganization of the Program</w:t>
      </w:r>
      <w:r>
        <w:rPr>
          <w:rFonts w:cs="Arial"/>
          <w:lang w:eastAsia="ko-KR"/>
        </w:rPr>
        <w:t>.</w:t>
      </w:r>
      <w:r w:rsidRPr="00152A1E">
        <w:rPr>
          <w:rFonts w:cs="Arial"/>
          <w:lang w:eastAsia="ko-KR"/>
        </w:rPr>
        <w:t xml:space="preserve">  </w:t>
      </w:r>
    </w:p>
    <w:p w:rsidR="00BD0327" w:rsidRPr="00FB7274" w:rsidRDefault="00BD0327" w:rsidP="00BD0327">
      <w:pPr>
        <w:rPr>
          <w:rFonts w:cs="Arial"/>
          <w:szCs w:val="20"/>
          <w:lang w:eastAsia="ko-KR"/>
        </w:rPr>
      </w:pPr>
    </w:p>
    <w:p w:rsidR="00BD0327" w:rsidRDefault="00BD0327" w:rsidP="00BD0327">
      <w:pPr>
        <w:jc w:val="both"/>
        <w:rPr>
          <w:rFonts w:cs="Arial"/>
          <w:szCs w:val="20"/>
          <w:u w:val="single"/>
          <w:lang w:eastAsia="ko-KR"/>
        </w:rPr>
      </w:pPr>
      <w:r w:rsidRPr="00FB7274">
        <w:rPr>
          <w:rFonts w:cs="Arial"/>
          <w:szCs w:val="20"/>
          <w:lang w:eastAsia="ko-KR"/>
        </w:rPr>
        <w:t>B.</w:t>
      </w:r>
      <w:r w:rsidRPr="00FB7274">
        <w:rPr>
          <w:rFonts w:cs="Arial"/>
          <w:szCs w:val="20"/>
          <w:lang w:eastAsia="ko-KR"/>
        </w:rPr>
        <w:tab/>
      </w:r>
      <w:r w:rsidRPr="00FB7274">
        <w:rPr>
          <w:rFonts w:cs="Arial"/>
          <w:szCs w:val="20"/>
          <w:u w:val="single"/>
          <w:lang w:eastAsia="ko-KR"/>
        </w:rPr>
        <w:t>Budget utilization 2014</w:t>
      </w:r>
    </w:p>
    <w:p w:rsidR="008D43FD" w:rsidRDefault="008D43FD" w:rsidP="00BD0327">
      <w:pPr>
        <w:jc w:val="both"/>
        <w:rPr>
          <w:rFonts w:cs="Arial"/>
          <w:szCs w:val="20"/>
          <w:u w:val="single"/>
          <w:lang w:eastAsia="ko-KR"/>
        </w:rPr>
      </w:pPr>
    </w:p>
    <w:p w:rsidR="00BD0327" w:rsidRPr="00D634E4" w:rsidRDefault="00BD0327" w:rsidP="00BD0327">
      <w:pPr>
        <w:pStyle w:val="ListParagraph"/>
        <w:numPr>
          <w:ilvl w:val="0"/>
          <w:numId w:val="92"/>
        </w:numPr>
        <w:tabs>
          <w:tab w:val="left" w:pos="709"/>
        </w:tabs>
        <w:ind w:left="0" w:firstLine="0"/>
        <w:contextualSpacing/>
        <w:jc w:val="both"/>
        <w:rPr>
          <w:rFonts w:cs="Arial"/>
          <w:lang w:eastAsia="ko-KR"/>
        </w:rPr>
      </w:pPr>
      <w:r>
        <w:rPr>
          <w:rFonts w:cs="Arial"/>
          <w:lang w:eastAsia="ko-KR"/>
        </w:rPr>
        <w:t>The low budget utilization is primarily due to: (</w:t>
      </w:r>
      <w:proofErr w:type="spellStart"/>
      <w:r>
        <w:rPr>
          <w:rFonts w:cs="Arial"/>
          <w:lang w:eastAsia="ko-KR"/>
        </w:rPr>
        <w:t>i</w:t>
      </w:r>
      <w:proofErr w:type="spellEnd"/>
      <w:r>
        <w:rPr>
          <w:rFonts w:cs="Arial"/>
          <w:lang w:eastAsia="ko-KR"/>
        </w:rPr>
        <w:t xml:space="preserve">) the openings of the WCO and WRO in July 2014, i.e. mid-year, reflected in particular </w:t>
      </w:r>
      <w:r w:rsidRPr="004A083D">
        <w:rPr>
          <w:rFonts w:cs="Arial"/>
          <w:lang w:eastAsia="ko-KR"/>
        </w:rPr>
        <w:t>under Results II.1 (Increased use of the PCT), II.6 (Wider and better use of the Madrid and Lisbon Systems) and III.2 (Enhanced human resources capacities)</w:t>
      </w:r>
      <w:r>
        <w:rPr>
          <w:rFonts w:cs="Arial"/>
          <w:lang w:eastAsia="ko-KR"/>
        </w:rPr>
        <w:t xml:space="preserve">; (ii) the postponement of the activities related to </w:t>
      </w:r>
      <w:r w:rsidRPr="008A1F82">
        <w:rPr>
          <w:rFonts w:cs="Arial"/>
          <w:lang w:eastAsia="ko-KR"/>
        </w:rPr>
        <w:t>the project on the use of alternative dispute resolution services in intellectual property transactions</w:t>
      </w:r>
      <w:r>
        <w:rPr>
          <w:rFonts w:cs="Arial"/>
          <w:lang w:eastAsia="ko-KR"/>
        </w:rPr>
        <w:t xml:space="preserve"> in the WBO as reflected in Result II.8 (International and domestic IP disputes); (iii) the implementation of certain capacity building activities  reflected under </w:t>
      </w:r>
      <w:r w:rsidRPr="004A083D">
        <w:rPr>
          <w:rFonts w:cs="Arial"/>
          <w:lang w:eastAsia="ko-KR"/>
        </w:rPr>
        <w:t>III.2 (Enhanced human resources capacities) being undertaken by other Program</w:t>
      </w:r>
      <w:r>
        <w:rPr>
          <w:rFonts w:cs="Arial"/>
          <w:lang w:eastAsia="ko-KR"/>
        </w:rPr>
        <w:t>s</w:t>
      </w:r>
      <w:r w:rsidRPr="004A083D">
        <w:rPr>
          <w:rFonts w:cs="Arial"/>
          <w:lang w:eastAsia="ko-KR"/>
        </w:rPr>
        <w:t xml:space="preserve"> </w:t>
      </w:r>
      <w:r>
        <w:rPr>
          <w:rFonts w:cs="Arial"/>
          <w:lang w:eastAsia="ko-KR"/>
        </w:rPr>
        <w:t>directly in the countries/regions</w:t>
      </w:r>
      <w:r w:rsidRPr="004A083D">
        <w:rPr>
          <w:rFonts w:cs="Arial"/>
          <w:lang w:eastAsia="ko-KR"/>
        </w:rPr>
        <w:t>;</w:t>
      </w:r>
      <w:r>
        <w:rPr>
          <w:rFonts w:cs="Arial"/>
          <w:lang w:eastAsia="ko-KR"/>
        </w:rPr>
        <w:t xml:space="preserve"> and (iv) </w:t>
      </w:r>
      <w:r w:rsidRPr="004A083D">
        <w:rPr>
          <w:rFonts w:cs="Arial"/>
          <w:lang w:eastAsia="ko-KR"/>
        </w:rPr>
        <w:t>the implementation of cost efficiency measures as regards staff missions, in particular under</w:t>
      </w:r>
      <w:r w:rsidR="008D43FD">
        <w:rPr>
          <w:rFonts w:cs="Arial"/>
          <w:lang w:eastAsia="ko-KR"/>
        </w:rPr>
        <w:t> </w:t>
      </w:r>
      <w:r w:rsidRPr="004A083D">
        <w:rPr>
          <w:rFonts w:cs="Arial"/>
          <w:lang w:eastAsia="ko-KR"/>
        </w:rPr>
        <w:t>VIII.5</w:t>
      </w:r>
      <w:r w:rsidR="000E1A74">
        <w:rPr>
          <w:rFonts w:cs="Arial"/>
          <w:lang w:eastAsia="ko-KR"/>
        </w:rPr>
        <w:t> </w:t>
      </w:r>
      <w:r w:rsidRPr="004A083D">
        <w:rPr>
          <w:rFonts w:cs="Arial"/>
          <w:lang w:eastAsia="ko-KR"/>
        </w:rPr>
        <w:t>(WIPO effectively interacts and partners with UN and other IGO processes).</w:t>
      </w:r>
    </w:p>
    <w:p w:rsidR="00D97F1C" w:rsidRDefault="00D97F1C"/>
    <w:p w:rsidR="008D43FD" w:rsidRDefault="008D43FD"/>
    <w:p w:rsidR="008D43FD" w:rsidRDefault="008D43FD">
      <w:r>
        <w:br w:type="page"/>
      </w:r>
    </w:p>
    <w:p w:rsidR="008D43FD" w:rsidRDefault="008D43FD" w:rsidP="005A7878">
      <w:pPr>
        <w:pStyle w:val="StyleHeading214ptAuto"/>
        <w:rPr>
          <w:rFonts w:ascii="Arial" w:hAnsi="Arial" w:cs="Arial"/>
          <w:sz w:val="20"/>
          <w:szCs w:val="20"/>
        </w:rPr>
      </w:pPr>
      <w:bookmarkStart w:id="89" w:name="_Toc422210509"/>
      <w:bookmarkStart w:id="90" w:name="_Toc367350601"/>
      <w:r w:rsidRPr="00E07FBB">
        <w:rPr>
          <w:rFonts w:ascii="Arial" w:hAnsi="Arial" w:cs="Arial"/>
          <w:sz w:val="20"/>
          <w:szCs w:val="20"/>
        </w:rPr>
        <w:lastRenderedPageBreak/>
        <w:t>STRATEGIC GOAL IX</w:t>
      </w:r>
      <w:bookmarkEnd w:id="89"/>
    </w:p>
    <w:p w:rsidR="008D43FD" w:rsidRPr="003E2D93" w:rsidRDefault="008D43FD" w:rsidP="003E2D93">
      <w:pPr>
        <w:jc w:val="center"/>
      </w:pPr>
    </w:p>
    <w:p w:rsidR="008D43FD" w:rsidRPr="003E2D93" w:rsidRDefault="008D43FD" w:rsidP="003E2D93">
      <w:pPr>
        <w:jc w:val="center"/>
      </w:pPr>
      <w:r w:rsidRPr="003E2D93">
        <w:rPr>
          <w:b/>
        </w:rPr>
        <w:t>EFFICIENT ADMINISTRATIVE AND FINANCIAL SUPPORT</w:t>
      </w:r>
      <w:bookmarkEnd w:id="90"/>
    </w:p>
    <w:p w:rsidR="008D43FD" w:rsidRPr="003E2D93" w:rsidRDefault="008D43FD" w:rsidP="003E2D93">
      <w:pPr>
        <w:jc w:val="center"/>
      </w:pPr>
    </w:p>
    <w:p w:rsidR="008D43FD" w:rsidRPr="008D43FD" w:rsidRDefault="008D43FD">
      <w:pPr>
        <w:jc w:val="center"/>
        <w:rPr>
          <w:b/>
        </w:rPr>
      </w:pPr>
      <w:r w:rsidRPr="008D43FD">
        <w:rPr>
          <w:b/>
        </w:rPr>
        <w:t>Mid-term Performance Dashboard (2014)</w:t>
      </w:r>
    </w:p>
    <w:p w:rsidR="008D43FD" w:rsidRPr="003E2D93" w:rsidRDefault="008D43FD" w:rsidP="003E2D93">
      <w:pPr>
        <w:jc w:val="center"/>
        <w:rPr>
          <w:b/>
        </w:rPr>
      </w:pPr>
    </w:p>
    <w:p w:rsidR="008D43FD" w:rsidRDefault="008D43FD" w:rsidP="005A7878">
      <w:pPr>
        <w:jc w:val="both"/>
        <w:rPr>
          <w:rFonts w:cs="Arial"/>
        </w:rPr>
      </w:pPr>
      <w:r>
        <w:t>The dashboard below provides a summary of the progress towards the achievement of the Results in 2014 as measured by the indicators under the Programs contributing to this Strategic Goal.</w:t>
      </w:r>
    </w:p>
    <w:p w:rsidR="008D43FD" w:rsidRDefault="008D43FD" w:rsidP="003E2D93">
      <w:pPr>
        <w:jc w:val="center"/>
      </w:pPr>
    </w:p>
    <w:p w:rsidR="008D43FD" w:rsidRDefault="008D43FD">
      <w:pPr>
        <w:jc w:val="center"/>
      </w:pPr>
      <w:r>
        <w:rPr>
          <w:noProof/>
        </w:rPr>
        <w:drawing>
          <wp:inline distT="0" distB="0" distL="0" distR="0" wp14:anchorId="03153131" wp14:editId="5F0CE995">
            <wp:extent cx="4572635" cy="2743200"/>
            <wp:effectExtent l="0" t="0" r="0" b="0"/>
            <wp:docPr id="876"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8D43FD" w:rsidRPr="00CB5A85" w:rsidRDefault="008D43FD" w:rsidP="003E2D93">
      <w:pPr>
        <w:jc w:val="center"/>
        <w:rPr>
          <w:szCs w:val="20"/>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62"/>
        <w:gridCol w:w="4032"/>
        <w:gridCol w:w="1693"/>
        <w:gridCol w:w="873"/>
      </w:tblGrid>
      <w:tr w:rsidR="008D43FD" w:rsidRPr="00AF5E7C" w:rsidTr="005A7878">
        <w:trPr>
          <w:cantSplit/>
          <w:trHeight w:val="317"/>
          <w:tblHeader/>
        </w:trPr>
        <w:tc>
          <w:tcPr>
            <w:tcW w:w="1544" w:type="pct"/>
            <w:tcBorders>
              <w:top w:val="single" w:sz="4" w:space="0" w:color="auto"/>
              <w:bottom w:val="single" w:sz="4" w:space="0" w:color="auto"/>
            </w:tcBorders>
            <w:shd w:val="clear" w:color="auto" w:fill="CCFFFF"/>
            <w:tcMar>
              <w:top w:w="113" w:type="dxa"/>
              <w:bottom w:w="85" w:type="dxa"/>
            </w:tcMar>
            <w:vAlign w:val="center"/>
          </w:tcPr>
          <w:p w:rsidR="008D43FD" w:rsidRPr="005967EA" w:rsidRDefault="008D43FD" w:rsidP="005A7878">
            <w:pPr>
              <w:spacing w:after="120"/>
              <w:jc w:val="center"/>
              <w:rPr>
                <w:rFonts w:cs="Arial"/>
                <w:b/>
                <w:bCs/>
                <w:sz w:val="18"/>
                <w:szCs w:val="18"/>
              </w:rPr>
            </w:pPr>
            <w:r w:rsidRPr="005967EA">
              <w:rPr>
                <w:rFonts w:cs="Arial"/>
                <w:b/>
                <w:bCs/>
                <w:sz w:val="18"/>
                <w:szCs w:val="18"/>
              </w:rPr>
              <w:t>Expected Results</w:t>
            </w:r>
          </w:p>
        </w:tc>
        <w:tc>
          <w:tcPr>
            <w:tcW w:w="2162" w:type="pct"/>
            <w:tcBorders>
              <w:top w:val="single" w:sz="4" w:space="0" w:color="auto"/>
              <w:bottom w:val="single" w:sz="4" w:space="0" w:color="auto"/>
            </w:tcBorders>
            <w:shd w:val="clear" w:color="auto" w:fill="CCFFFF"/>
            <w:tcMar>
              <w:top w:w="113" w:type="dxa"/>
              <w:bottom w:w="85" w:type="dxa"/>
            </w:tcMar>
            <w:vAlign w:val="center"/>
          </w:tcPr>
          <w:p w:rsidR="008D43FD" w:rsidRPr="005967EA" w:rsidRDefault="008D43FD" w:rsidP="005A7878">
            <w:pPr>
              <w:spacing w:after="120"/>
              <w:jc w:val="center"/>
              <w:rPr>
                <w:rFonts w:cs="Arial"/>
                <w:b/>
                <w:sz w:val="18"/>
                <w:szCs w:val="18"/>
              </w:rPr>
            </w:pPr>
            <w:r w:rsidRPr="005967EA">
              <w:rPr>
                <w:rFonts w:cs="Arial"/>
                <w:b/>
                <w:sz w:val="18"/>
                <w:szCs w:val="18"/>
              </w:rPr>
              <w:t>Performance Indicators</w:t>
            </w:r>
          </w:p>
        </w:tc>
        <w:tc>
          <w:tcPr>
            <w:tcW w:w="926" w:type="pct"/>
            <w:tcBorders>
              <w:top w:val="single" w:sz="4" w:space="0" w:color="auto"/>
              <w:bottom w:val="single" w:sz="4" w:space="0" w:color="auto"/>
            </w:tcBorders>
            <w:shd w:val="clear" w:color="auto" w:fill="CCFFFF"/>
            <w:tcMar>
              <w:top w:w="113" w:type="dxa"/>
              <w:bottom w:w="85" w:type="dxa"/>
            </w:tcMar>
            <w:vAlign w:val="center"/>
          </w:tcPr>
          <w:p w:rsidR="008D43FD" w:rsidRPr="005967EA" w:rsidRDefault="008D43FD" w:rsidP="005A7878">
            <w:pPr>
              <w:spacing w:after="120"/>
              <w:ind w:left="85"/>
              <w:rPr>
                <w:rFonts w:cs="Arial"/>
                <w:sz w:val="18"/>
                <w:szCs w:val="18"/>
              </w:rPr>
            </w:pPr>
            <w:r w:rsidRPr="005967EA">
              <w:rPr>
                <w:rFonts w:cs="Arial"/>
                <w:b/>
                <w:bCs/>
                <w:sz w:val="18"/>
                <w:szCs w:val="18"/>
              </w:rPr>
              <w:t>Responsible Program(s)</w:t>
            </w:r>
          </w:p>
        </w:tc>
        <w:tc>
          <w:tcPr>
            <w:tcW w:w="368" w:type="pct"/>
            <w:tcBorders>
              <w:top w:val="single" w:sz="4" w:space="0" w:color="auto"/>
              <w:bottom w:val="single" w:sz="4" w:space="0" w:color="auto"/>
            </w:tcBorders>
            <w:shd w:val="clear" w:color="auto" w:fill="CCFFFF"/>
            <w:vAlign w:val="center"/>
          </w:tcPr>
          <w:p w:rsidR="008D43FD" w:rsidRPr="005967EA" w:rsidRDefault="008D43FD" w:rsidP="005A7878">
            <w:pPr>
              <w:spacing w:after="120"/>
              <w:ind w:left="85"/>
              <w:jc w:val="center"/>
              <w:rPr>
                <w:rFonts w:cs="Arial"/>
                <w:b/>
                <w:bCs/>
                <w:sz w:val="18"/>
                <w:szCs w:val="18"/>
              </w:rPr>
            </w:pPr>
            <w:r>
              <w:rPr>
                <w:rFonts w:cs="Arial"/>
                <w:b/>
                <w:bCs/>
                <w:sz w:val="18"/>
                <w:szCs w:val="18"/>
              </w:rPr>
              <w:t>TLS</w:t>
            </w:r>
          </w:p>
        </w:tc>
      </w:tr>
      <w:tr w:rsidR="008D43FD" w:rsidRPr="00AF5E7C" w:rsidTr="005A7878">
        <w:trPr>
          <w:cantSplit/>
          <w:trHeight w:val="704"/>
        </w:trPr>
        <w:tc>
          <w:tcPr>
            <w:tcW w:w="1544" w:type="pct"/>
            <w:tcBorders>
              <w:top w:val="single" w:sz="4" w:space="0" w:color="auto"/>
            </w:tcBorders>
            <w:shd w:val="clear" w:color="auto" w:fill="auto"/>
            <w:tcMar>
              <w:top w:w="113" w:type="dxa"/>
              <w:bottom w:w="85" w:type="dxa"/>
            </w:tcMar>
          </w:tcPr>
          <w:p w:rsidR="008D43FD" w:rsidRPr="00815648" w:rsidRDefault="008D43FD" w:rsidP="005A7878">
            <w:pPr>
              <w:rPr>
                <w:rFonts w:cs="Arial"/>
                <w:sz w:val="16"/>
                <w:szCs w:val="16"/>
              </w:rPr>
            </w:pPr>
            <w:r w:rsidRPr="00815648">
              <w:rPr>
                <w:rFonts w:cs="Arial"/>
                <w:sz w:val="16"/>
                <w:szCs w:val="16"/>
              </w:rPr>
              <w:t>IX.1</w:t>
            </w:r>
            <w:r>
              <w:rPr>
                <w:rFonts w:cs="Arial"/>
                <w:sz w:val="16"/>
                <w:szCs w:val="16"/>
              </w:rPr>
              <w:t xml:space="preserve"> </w:t>
            </w:r>
            <w:r w:rsidRPr="00815648">
              <w:rPr>
                <w:rFonts w:cs="Arial"/>
                <w:sz w:val="16"/>
                <w:szCs w:val="16"/>
              </w:rPr>
              <w:t xml:space="preserve"> Effective, efficient, quality and customer-oriented support services both to internal clients and to external stakeholders</w:t>
            </w:r>
          </w:p>
        </w:tc>
        <w:tc>
          <w:tcPr>
            <w:tcW w:w="2162" w:type="pct"/>
            <w:tcBorders>
              <w:top w:val="single" w:sz="4" w:space="0" w:color="auto"/>
            </w:tcBorders>
            <w:shd w:val="clear" w:color="auto" w:fill="auto"/>
            <w:tcMar>
              <w:top w:w="113" w:type="dxa"/>
              <w:bottom w:w="85" w:type="dxa"/>
            </w:tcMar>
          </w:tcPr>
          <w:p w:rsidR="008D43FD" w:rsidRPr="00815648" w:rsidRDefault="008D43FD" w:rsidP="005A7878">
            <w:pPr>
              <w:rPr>
                <w:rFonts w:cs="Arial"/>
                <w:sz w:val="16"/>
                <w:szCs w:val="16"/>
              </w:rPr>
            </w:pPr>
            <w:r w:rsidRPr="00815648">
              <w:rPr>
                <w:rFonts w:cs="Arial"/>
                <w:sz w:val="16"/>
                <w:szCs w:val="16"/>
              </w:rPr>
              <w:t>Provision of financial and management reports and analysis required by senior management, Program Managers and Member States in accordance with agreed deadlines</w:t>
            </w:r>
          </w:p>
        </w:tc>
        <w:tc>
          <w:tcPr>
            <w:tcW w:w="926" w:type="pct"/>
            <w:tcBorders>
              <w:top w:val="single" w:sz="4" w:space="0" w:color="auto"/>
            </w:tcBorders>
            <w:shd w:val="clear" w:color="auto" w:fill="FFFFFF"/>
            <w:tcMar>
              <w:top w:w="113" w:type="dxa"/>
              <w:bottom w:w="85" w:type="dxa"/>
            </w:tcMar>
          </w:tcPr>
          <w:p w:rsidR="008D43FD" w:rsidRPr="00AF5E7C" w:rsidRDefault="008D43FD" w:rsidP="005A7878">
            <w:pPr>
              <w:jc w:val="center"/>
              <w:rPr>
                <w:rFonts w:cs="Arial"/>
                <w:sz w:val="16"/>
                <w:szCs w:val="16"/>
              </w:rPr>
            </w:pPr>
            <w:r>
              <w:rPr>
                <w:rFonts w:cs="Arial"/>
                <w:sz w:val="16"/>
                <w:szCs w:val="16"/>
              </w:rPr>
              <w:t>Program 22</w:t>
            </w:r>
          </w:p>
        </w:tc>
        <w:tc>
          <w:tcPr>
            <w:tcW w:w="368" w:type="pct"/>
            <w:tcBorders>
              <w:top w:val="single" w:sz="4" w:space="0" w:color="auto"/>
            </w:tcBorders>
            <w:shd w:val="clear" w:color="auto" w:fill="FFFFFF"/>
          </w:tcPr>
          <w:p w:rsidR="008D43FD" w:rsidRDefault="008D43FD" w:rsidP="005A7878">
            <w:pPr>
              <w:jc w:val="center"/>
            </w:pP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r w:rsidRPr="002150E8">
              <w:rPr>
                <w:rFonts w:cs="Arial"/>
                <w:color w:val="FF0000"/>
                <w:sz w:val="22"/>
                <w:szCs w:val="22"/>
              </w:rPr>
              <w:sym w:font="Wingdings" w:char="F06C"/>
            </w:r>
          </w:p>
        </w:tc>
      </w:tr>
      <w:tr w:rsidR="008D43FD" w:rsidRPr="00AF5E7C" w:rsidTr="005A7878">
        <w:trPr>
          <w:cantSplit/>
        </w:trPr>
        <w:tc>
          <w:tcPr>
            <w:tcW w:w="1544" w:type="pct"/>
            <w:shd w:val="clear" w:color="auto" w:fill="auto"/>
            <w:tcMar>
              <w:top w:w="113" w:type="dxa"/>
              <w:bottom w:w="85" w:type="dxa"/>
            </w:tcMar>
          </w:tcPr>
          <w:p w:rsidR="008D43FD" w:rsidRPr="00AF5E7C" w:rsidRDefault="008D43FD" w:rsidP="005A7878">
            <w:pPr>
              <w:rPr>
                <w:rFonts w:cs="Arial"/>
                <w:sz w:val="16"/>
                <w:szCs w:val="16"/>
              </w:rPr>
            </w:pPr>
          </w:p>
        </w:tc>
        <w:tc>
          <w:tcPr>
            <w:tcW w:w="2162" w:type="pct"/>
            <w:shd w:val="clear" w:color="auto" w:fill="auto"/>
            <w:tcMar>
              <w:top w:w="113" w:type="dxa"/>
              <w:bottom w:w="85" w:type="dxa"/>
            </w:tcMar>
          </w:tcPr>
          <w:p w:rsidR="008D43FD" w:rsidRPr="00815648" w:rsidRDefault="008D43FD" w:rsidP="005A7878">
            <w:pPr>
              <w:rPr>
                <w:rFonts w:cs="Arial"/>
                <w:sz w:val="16"/>
                <w:szCs w:val="16"/>
              </w:rPr>
            </w:pPr>
            <w:r w:rsidRPr="00815648">
              <w:rPr>
                <w:rFonts w:cs="Arial"/>
                <w:sz w:val="16"/>
                <w:szCs w:val="16"/>
              </w:rPr>
              <w:t>Resolution of internal/external queries received in accordance with established timeframes</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rPr>
              <w:t>Program 22</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p>
        </w:tc>
      </w:tr>
      <w:tr w:rsidR="008D43FD" w:rsidRPr="00AF5E7C" w:rsidTr="005A7878">
        <w:trPr>
          <w:cantSplit/>
          <w:trHeight w:val="472"/>
        </w:trPr>
        <w:tc>
          <w:tcPr>
            <w:tcW w:w="1544" w:type="pct"/>
            <w:shd w:val="clear" w:color="auto" w:fill="auto"/>
            <w:tcMar>
              <w:top w:w="113" w:type="dxa"/>
              <w:bottom w:w="85" w:type="dxa"/>
            </w:tcMar>
          </w:tcPr>
          <w:p w:rsidR="008D43FD" w:rsidRPr="00AF5E7C" w:rsidRDefault="008D43FD" w:rsidP="005A7878">
            <w:pPr>
              <w:rPr>
                <w:rFonts w:cs="Arial"/>
                <w:sz w:val="16"/>
                <w:szCs w:val="16"/>
              </w:rPr>
            </w:pPr>
          </w:p>
        </w:tc>
        <w:tc>
          <w:tcPr>
            <w:tcW w:w="2162" w:type="pct"/>
            <w:shd w:val="clear" w:color="auto" w:fill="auto"/>
            <w:tcMar>
              <w:top w:w="113" w:type="dxa"/>
              <w:bottom w:w="85" w:type="dxa"/>
            </w:tcMar>
          </w:tcPr>
          <w:p w:rsidR="008D43FD" w:rsidRPr="000963F7" w:rsidRDefault="008D43FD" w:rsidP="005A7878">
            <w:pPr>
              <w:rPr>
                <w:rFonts w:cs="Arial"/>
                <w:bCs/>
                <w:sz w:val="16"/>
                <w:szCs w:val="16"/>
              </w:rPr>
            </w:pPr>
            <w:r w:rsidRPr="000963F7">
              <w:rPr>
                <w:rFonts w:cs="Arial"/>
                <w:bCs/>
                <w:sz w:val="16"/>
                <w:szCs w:val="16"/>
              </w:rPr>
              <w:t>% of staff satisfied with human resource services</w:t>
            </w:r>
          </w:p>
        </w:tc>
        <w:tc>
          <w:tcPr>
            <w:tcW w:w="926" w:type="pct"/>
            <w:shd w:val="clear" w:color="auto" w:fill="FFFFFF"/>
            <w:tcMar>
              <w:top w:w="113" w:type="dxa"/>
              <w:bottom w:w="85" w:type="dxa"/>
            </w:tcMar>
          </w:tcPr>
          <w:p w:rsidR="008D43FD" w:rsidRDefault="008D43FD" w:rsidP="005A7878">
            <w:pPr>
              <w:jc w:val="center"/>
              <w:rPr>
                <w:rFonts w:cs="Arial"/>
                <w:sz w:val="16"/>
                <w:szCs w:val="16"/>
              </w:rPr>
            </w:pPr>
            <w:r>
              <w:rPr>
                <w:rFonts w:cs="Arial"/>
                <w:sz w:val="16"/>
                <w:szCs w:val="16"/>
              </w:rPr>
              <w:t>Program 23</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p>
        </w:tc>
      </w:tr>
      <w:tr w:rsidR="008D43FD" w:rsidRPr="00AF5E7C" w:rsidTr="005A7878">
        <w:trPr>
          <w:cantSplit/>
          <w:trHeight w:val="472"/>
        </w:trPr>
        <w:tc>
          <w:tcPr>
            <w:tcW w:w="1544" w:type="pct"/>
            <w:shd w:val="clear" w:color="auto" w:fill="auto"/>
            <w:tcMar>
              <w:top w:w="113" w:type="dxa"/>
              <w:bottom w:w="85" w:type="dxa"/>
            </w:tcMar>
          </w:tcPr>
          <w:p w:rsidR="008D43FD" w:rsidRPr="00AF5E7C" w:rsidRDefault="008D43FD" w:rsidP="005A7878">
            <w:pPr>
              <w:rPr>
                <w:rFonts w:cs="Arial"/>
                <w:sz w:val="16"/>
                <w:szCs w:val="16"/>
              </w:rPr>
            </w:pPr>
          </w:p>
        </w:tc>
        <w:tc>
          <w:tcPr>
            <w:tcW w:w="2162" w:type="pct"/>
            <w:shd w:val="clear" w:color="auto" w:fill="auto"/>
            <w:tcMar>
              <w:top w:w="113" w:type="dxa"/>
              <w:bottom w:w="85" w:type="dxa"/>
            </w:tcMar>
          </w:tcPr>
          <w:p w:rsidR="008D43FD" w:rsidRPr="00336796" w:rsidRDefault="008D43FD" w:rsidP="005A7878">
            <w:pPr>
              <w:rPr>
                <w:rFonts w:cs="Arial"/>
                <w:sz w:val="16"/>
                <w:szCs w:val="16"/>
              </w:rPr>
            </w:pPr>
            <w:r w:rsidRPr="00336796">
              <w:rPr>
                <w:rFonts w:cs="Arial"/>
                <w:sz w:val="16"/>
                <w:szCs w:val="16"/>
              </w:rPr>
              <w:t>Timely, accurate, and efficient human resources operations services</w:t>
            </w:r>
          </w:p>
        </w:tc>
        <w:tc>
          <w:tcPr>
            <w:tcW w:w="926" w:type="pct"/>
            <w:shd w:val="clear" w:color="auto" w:fill="FFFFFF"/>
            <w:tcMar>
              <w:top w:w="113" w:type="dxa"/>
              <w:bottom w:w="85" w:type="dxa"/>
            </w:tcMar>
          </w:tcPr>
          <w:p w:rsidR="008D43FD" w:rsidRDefault="008D43FD" w:rsidP="005A7878">
            <w:pPr>
              <w:jc w:val="center"/>
              <w:rPr>
                <w:rFonts w:cs="Arial"/>
                <w:sz w:val="16"/>
                <w:szCs w:val="16"/>
              </w:rPr>
            </w:pPr>
            <w:r>
              <w:rPr>
                <w:rFonts w:cs="Arial"/>
                <w:sz w:val="16"/>
                <w:szCs w:val="16"/>
              </w:rPr>
              <w:t>Program 23</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p>
        </w:tc>
      </w:tr>
      <w:tr w:rsidR="008D43FD" w:rsidRPr="00AF5E7C" w:rsidTr="005A7878">
        <w:trPr>
          <w:cantSplit/>
          <w:trHeight w:val="472"/>
        </w:trPr>
        <w:tc>
          <w:tcPr>
            <w:tcW w:w="1544" w:type="pct"/>
            <w:shd w:val="clear" w:color="auto" w:fill="auto"/>
            <w:tcMar>
              <w:top w:w="113" w:type="dxa"/>
              <w:bottom w:w="85" w:type="dxa"/>
            </w:tcMar>
          </w:tcPr>
          <w:p w:rsidR="008D43FD" w:rsidRPr="00AF5E7C" w:rsidRDefault="008D43FD" w:rsidP="005A7878">
            <w:pPr>
              <w:rPr>
                <w:rFonts w:cs="Arial"/>
                <w:sz w:val="16"/>
                <w:szCs w:val="16"/>
              </w:rPr>
            </w:pPr>
          </w:p>
        </w:tc>
        <w:tc>
          <w:tcPr>
            <w:tcW w:w="2162" w:type="pct"/>
            <w:shd w:val="clear" w:color="auto" w:fill="auto"/>
            <w:tcMar>
              <w:top w:w="113" w:type="dxa"/>
              <w:bottom w:w="85" w:type="dxa"/>
            </w:tcMar>
          </w:tcPr>
          <w:p w:rsidR="008D43FD" w:rsidRPr="00A4590B" w:rsidRDefault="008D43FD" w:rsidP="005A7878">
            <w:pPr>
              <w:rPr>
                <w:rFonts w:cs="Arial"/>
                <w:sz w:val="16"/>
                <w:szCs w:val="16"/>
              </w:rPr>
            </w:pPr>
            <w:r w:rsidRPr="00A4590B">
              <w:rPr>
                <w:rFonts w:cs="Arial"/>
                <w:sz w:val="16"/>
                <w:szCs w:val="16"/>
              </w:rPr>
              <w:t>Completion of New Conference Hall Project in accordance with quality requirements, on time and within budgetary limits</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rPr>
              <w:t>Program 29</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p>
        </w:tc>
      </w:tr>
      <w:tr w:rsidR="008D43FD" w:rsidRPr="00AF5E7C" w:rsidTr="005A7878">
        <w:trPr>
          <w:cantSplit/>
          <w:trHeight w:val="617"/>
        </w:trPr>
        <w:tc>
          <w:tcPr>
            <w:tcW w:w="1544" w:type="pct"/>
            <w:shd w:val="clear" w:color="auto" w:fill="auto"/>
            <w:tcMar>
              <w:top w:w="113" w:type="dxa"/>
              <w:bottom w:w="85" w:type="dxa"/>
            </w:tcMar>
          </w:tcPr>
          <w:p w:rsidR="008D43FD" w:rsidRPr="00815648" w:rsidRDefault="008D43FD" w:rsidP="005A7878">
            <w:pPr>
              <w:rPr>
                <w:rFonts w:cs="Arial"/>
                <w:sz w:val="16"/>
                <w:szCs w:val="16"/>
              </w:rPr>
            </w:pPr>
          </w:p>
        </w:tc>
        <w:tc>
          <w:tcPr>
            <w:tcW w:w="2162" w:type="pct"/>
            <w:shd w:val="clear" w:color="auto" w:fill="auto"/>
            <w:tcMar>
              <w:top w:w="113" w:type="dxa"/>
              <w:bottom w:w="85" w:type="dxa"/>
            </w:tcMar>
          </w:tcPr>
          <w:p w:rsidR="008D43FD" w:rsidRPr="00A4590B" w:rsidRDefault="008D43FD" w:rsidP="005A7878">
            <w:pPr>
              <w:rPr>
                <w:rFonts w:cs="Arial"/>
                <w:sz w:val="16"/>
                <w:szCs w:val="16"/>
              </w:rPr>
            </w:pPr>
            <w:r w:rsidRPr="00A4590B">
              <w:rPr>
                <w:rFonts w:cs="Arial"/>
                <w:sz w:val="16"/>
                <w:szCs w:val="16"/>
              </w:rPr>
              <w:t>Use of conference hall as preferred location for meetings and events by Member States</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rPr>
              <w:t>Program 29</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CE09B5">
              <w:rPr>
                <w:rFonts w:cs="Arial"/>
                <w:color w:val="0070C0"/>
                <w:sz w:val="22"/>
                <w:szCs w:val="22"/>
              </w:rPr>
              <w:sym w:font="Wingdings" w:char="F06C"/>
            </w:r>
          </w:p>
        </w:tc>
      </w:tr>
      <w:tr w:rsidR="008D43FD" w:rsidRPr="00AF5E7C" w:rsidTr="005A7878">
        <w:trPr>
          <w:cantSplit/>
          <w:trHeight w:val="516"/>
        </w:trPr>
        <w:tc>
          <w:tcPr>
            <w:tcW w:w="1544" w:type="pct"/>
            <w:shd w:val="clear" w:color="auto" w:fill="auto"/>
            <w:tcMar>
              <w:top w:w="113" w:type="dxa"/>
              <w:bottom w:w="85" w:type="dxa"/>
            </w:tcMar>
          </w:tcPr>
          <w:p w:rsidR="008D43FD" w:rsidRPr="00D81234" w:rsidRDefault="008D43FD" w:rsidP="005A7878">
            <w:pPr>
              <w:rPr>
                <w:rFonts w:cs="Arial"/>
                <w:sz w:val="16"/>
                <w:szCs w:val="16"/>
              </w:rPr>
            </w:pPr>
          </w:p>
        </w:tc>
        <w:tc>
          <w:tcPr>
            <w:tcW w:w="2162" w:type="pct"/>
            <w:shd w:val="clear" w:color="auto" w:fill="auto"/>
            <w:tcMar>
              <w:top w:w="113" w:type="dxa"/>
              <w:bottom w:w="85" w:type="dxa"/>
            </w:tcMar>
          </w:tcPr>
          <w:p w:rsidR="008D43FD" w:rsidRPr="00F7400E" w:rsidRDefault="008D43FD" w:rsidP="005A7878">
            <w:pPr>
              <w:rPr>
                <w:rFonts w:cs="Arial"/>
                <w:bCs/>
                <w:sz w:val="16"/>
                <w:szCs w:val="16"/>
              </w:rPr>
            </w:pPr>
            <w:r w:rsidRPr="00F7400E">
              <w:rPr>
                <w:rFonts w:cs="Arial"/>
                <w:bCs/>
                <w:sz w:val="16"/>
                <w:szCs w:val="16"/>
              </w:rPr>
              <w:t>Cost savings for goods and services procured by WIPO (derived from RFPs or direct negotiations)</w:t>
            </w:r>
          </w:p>
        </w:tc>
        <w:tc>
          <w:tcPr>
            <w:tcW w:w="926" w:type="pct"/>
            <w:shd w:val="clear" w:color="auto" w:fill="FFFFFF"/>
            <w:tcMar>
              <w:top w:w="113" w:type="dxa"/>
              <w:bottom w:w="85" w:type="dxa"/>
            </w:tcMar>
          </w:tcPr>
          <w:p w:rsidR="008D43FD" w:rsidRDefault="008D43FD" w:rsidP="005A7878">
            <w:pPr>
              <w:jc w:val="center"/>
              <w:rPr>
                <w:rFonts w:cs="Arial"/>
                <w:sz w:val="16"/>
                <w:szCs w:val="16"/>
                <w:lang w:bidi="th-TH"/>
              </w:rPr>
            </w:pPr>
            <w:r>
              <w:rPr>
                <w:rFonts w:cs="Arial"/>
                <w:sz w:val="16"/>
                <w:szCs w:val="16"/>
                <w:lang w:bidi="th-TH"/>
              </w:rPr>
              <w:t>Program 24</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p>
        </w:tc>
      </w:tr>
      <w:tr w:rsidR="008D43FD" w:rsidRPr="00AF5E7C" w:rsidTr="005A7878">
        <w:trPr>
          <w:cantSplit/>
          <w:trHeight w:val="516"/>
        </w:trPr>
        <w:tc>
          <w:tcPr>
            <w:tcW w:w="1544" w:type="pct"/>
            <w:shd w:val="clear" w:color="auto" w:fill="auto"/>
            <w:tcMar>
              <w:top w:w="113" w:type="dxa"/>
              <w:bottom w:w="85" w:type="dxa"/>
            </w:tcMar>
          </w:tcPr>
          <w:p w:rsidR="008D43FD" w:rsidRPr="00D81234" w:rsidRDefault="008D43FD" w:rsidP="005A7878">
            <w:pPr>
              <w:rPr>
                <w:rFonts w:cs="Arial"/>
                <w:sz w:val="16"/>
                <w:szCs w:val="16"/>
              </w:rPr>
            </w:pPr>
          </w:p>
        </w:tc>
        <w:tc>
          <w:tcPr>
            <w:tcW w:w="2162" w:type="pct"/>
            <w:shd w:val="clear" w:color="auto" w:fill="auto"/>
            <w:tcMar>
              <w:top w:w="113" w:type="dxa"/>
              <w:bottom w:w="85" w:type="dxa"/>
            </w:tcMar>
          </w:tcPr>
          <w:p w:rsidR="008D43FD" w:rsidRPr="00F7400E" w:rsidRDefault="008D43FD" w:rsidP="005A7878">
            <w:pPr>
              <w:rPr>
                <w:rFonts w:cs="Arial"/>
                <w:sz w:val="16"/>
                <w:szCs w:val="16"/>
              </w:rPr>
            </w:pPr>
            <w:r>
              <w:rPr>
                <w:rFonts w:cs="Arial"/>
                <w:sz w:val="16"/>
                <w:szCs w:val="16"/>
              </w:rPr>
              <w:t>%</w:t>
            </w:r>
            <w:r w:rsidRPr="00F7400E">
              <w:rPr>
                <w:rFonts w:cs="Arial"/>
                <w:sz w:val="16"/>
                <w:szCs w:val="16"/>
              </w:rPr>
              <w:t xml:space="preserve"> of internal clients satisfied with procurement services</w:t>
            </w:r>
          </w:p>
        </w:tc>
        <w:tc>
          <w:tcPr>
            <w:tcW w:w="926" w:type="pct"/>
            <w:shd w:val="clear" w:color="auto" w:fill="FFFFFF"/>
            <w:tcMar>
              <w:top w:w="113" w:type="dxa"/>
              <w:bottom w:w="85" w:type="dxa"/>
            </w:tcMar>
          </w:tcPr>
          <w:p w:rsidR="008D43FD" w:rsidRDefault="008D43FD" w:rsidP="005A7878">
            <w:pPr>
              <w:jc w:val="center"/>
            </w:pPr>
            <w:r w:rsidRPr="003253B4">
              <w:rPr>
                <w:rFonts w:cs="Arial"/>
                <w:sz w:val="16"/>
                <w:szCs w:val="16"/>
                <w:lang w:bidi="th-TH"/>
              </w:rPr>
              <w:t>Program 24</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p>
        </w:tc>
      </w:tr>
      <w:tr w:rsidR="008D43FD" w:rsidRPr="00AF5E7C" w:rsidTr="005A7878">
        <w:trPr>
          <w:cantSplit/>
          <w:trHeight w:val="516"/>
        </w:trPr>
        <w:tc>
          <w:tcPr>
            <w:tcW w:w="1544" w:type="pct"/>
            <w:shd w:val="clear" w:color="auto" w:fill="auto"/>
            <w:tcMar>
              <w:top w:w="113" w:type="dxa"/>
              <w:bottom w:w="85" w:type="dxa"/>
            </w:tcMar>
          </w:tcPr>
          <w:p w:rsidR="008D43FD" w:rsidRPr="00D81234" w:rsidRDefault="008D43FD" w:rsidP="005A7878">
            <w:pPr>
              <w:rPr>
                <w:rFonts w:cs="Arial"/>
                <w:sz w:val="16"/>
                <w:szCs w:val="16"/>
              </w:rPr>
            </w:pPr>
          </w:p>
        </w:tc>
        <w:tc>
          <w:tcPr>
            <w:tcW w:w="2162" w:type="pct"/>
            <w:shd w:val="clear" w:color="auto" w:fill="auto"/>
            <w:tcMar>
              <w:top w:w="113" w:type="dxa"/>
              <w:bottom w:w="85" w:type="dxa"/>
            </w:tcMar>
          </w:tcPr>
          <w:p w:rsidR="008D43FD" w:rsidRPr="00F7400E" w:rsidRDefault="008D43FD" w:rsidP="005A7878">
            <w:pPr>
              <w:rPr>
                <w:rFonts w:cs="Arial"/>
                <w:sz w:val="16"/>
                <w:szCs w:val="16"/>
              </w:rPr>
            </w:pPr>
            <w:r w:rsidRPr="00F7400E">
              <w:rPr>
                <w:rFonts w:cs="Arial"/>
                <w:sz w:val="16"/>
                <w:szCs w:val="16"/>
              </w:rPr>
              <w:t>Processing time of travel related requests (</w:t>
            </w:r>
            <w:proofErr w:type="spellStart"/>
            <w:r w:rsidRPr="00F7400E">
              <w:rPr>
                <w:rFonts w:cs="Arial"/>
                <w:sz w:val="16"/>
                <w:szCs w:val="16"/>
              </w:rPr>
              <w:t>eTA</w:t>
            </w:r>
            <w:proofErr w:type="spellEnd"/>
            <w:r w:rsidRPr="00F7400E">
              <w:rPr>
                <w:rFonts w:cs="Arial"/>
                <w:sz w:val="16"/>
                <w:szCs w:val="16"/>
              </w:rPr>
              <w:t>, ER, Visas)</w:t>
            </w:r>
          </w:p>
        </w:tc>
        <w:tc>
          <w:tcPr>
            <w:tcW w:w="926" w:type="pct"/>
            <w:shd w:val="clear" w:color="auto" w:fill="FFFFFF"/>
            <w:tcMar>
              <w:top w:w="113" w:type="dxa"/>
              <w:bottom w:w="85" w:type="dxa"/>
            </w:tcMar>
          </w:tcPr>
          <w:p w:rsidR="008D43FD" w:rsidRDefault="008D43FD" w:rsidP="005A7878">
            <w:pPr>
              <w:jc w:val="center"/>
            </w:pPr>
            <w:r w:rsidRPr="003253B4">
              <w:rPr>
                <w:rFonts w:cs="Arial"/>
                <w:sz w:val="16"/>
                <w:szCs w:val="16"/>
                <w:lang w:bidi="th-TH"/>
              </w:rPr>
              <w:t>Program 24</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p>
        </w:tc>
      </w:tr>
      <w:tr w:rsidR="008D43FD" w:rsidRPr="00AF5E7C" w:rsidTr="005A7878">
        <w:trPr>
          <w:cantSplit/>
          <w:trHeight w:val="516"/>
        </w:trPr>
        <w:tc>
          <w:tcPr>
            <w:tcW w:w="1544" w:type="pct"/>
            <w:shd w:val="clear" w:color="auto" w:fill="auto"/>
            <w:tcMar>
              <w:top w:w="113" w:type="dxa"/>
              <w:bottom w:w="85" w:type="dxa"/>
            </w:tcMar>
          </w:tcPr>
          <w:p w:rsidR="008D43FD" w:rsidRPr="00D81234" w:rsidRDefault="008D43FD" w:rsidP="005A7878">
            <w:pPr>
              <w:rPr>
                <w:rFonts w:cs="Arial"/>
                <w:sz w:val="16"/>
                <w:szCs w:val="16"/>
              </w:rPr>
            </w:pPr>
          </w:p>
        </w:tc>
        <w:tc>
          <w:tcPr>
            <w:tcW w:w="2162" w:type="pct"/>
            <w:shd w:val="clear" w:color="auto" w:fill="auto"/>
            <w:tcMar>
              <w:top w:w="113" w:type="dxa"/>
              <w:bottom w:w="85" w:type="dxa"/>
            </w:tcMar>
          </w:tcPr>
          <w:p w:rsidR="008D43FD" w:rsidRPr="00F7400E" w:rsidRDefault="008D43FD" w:rsidP="005A7878">
            <w:pPr>
              <w:rPr>
                <w:color w:val="000000"/>
                <w:sz w:val="16"/>
                <w:szCs w:val="16"/>
              </w:rPr>
            </w:pPr>
            <w:r w:rsidRPr="00F7400E">
              <w:rPr>
                <w:color w:val="000000"/>
                <w:sz w:val="16"/>
                <w:szCs w:val="16"/>
              </w:rPr>
              <w:t>Average ticket cost (TMC and UNDP tickets)</w:t>
            </w:r>
          </w:p>
        </w:tc>
        <w:tc>
          <w:tcPr>
            <w:tcW w:w="926" w:type="pct"/>
            <w:shd w:val="clear" w:color="auto" w:fill="FFFFFF"/>
            <w:tcMar>
              <w:top w:w="113" w:type="dxa"/>
              <w:bottom w:w="85" w:type="dxa"/>
            </w:tcMar>
          </w:tcPr>
          <w:p w:rsidR="008D43FD" w:rsidRDefault="008D43FD" w:rsidP="005A7878">
            <w:pPr>
              <w:jc w:val="center"/>
            </w:pPr>
            <w:r w:rsidRPr="003253B4">
              <w:rPr>
                <w:rFonts w:cs="Arial"/>
                <w:sz w:val="16"/>
                <w:szCs w:val="16"/>
                <w:lang w:bidi="th-TH"/>
              </w:rPr>
              <w:t>Program 24</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p>
        </w:tc>
      </w:tr>
      <w:tr w:rsidR="008D43FD" w:rsidRPr="00AF5E7C" w:rsidTr="005A7878">
        <w:trPr>
          <w:cantSplit/>
          <w:trHeight w:val="516"/>
        </w:trPr>
        <w:tc>
          <w:tcPr>
            <w:tcW w:w="1544" w:type="pct"/>
            <w:shd w:val="clear" w:color="auto" w:fill="auto"/>
            <w:tcMar>
              <w:top w:w="113" w:type="dxa"/>
              <w:bottom w:w="85" w:type="dxa"/>
            </w:tcMar>
          </w:tcPr>
          <w:p w:rsidR="008D43FD" w:rsidRPr="00D81234" w:rsidRDefault="008D43FD" w:rsidP="005A7878">
            <w:pPr>
              <w:rPr>
                <w:rFonts w:cs="Arial"/>
                <w:sz w:val="16"/>
                <w:szCs w:val="16"/>
              </w:rPr>
            </w:pPr>
          </w:p>
        </w:tc>
        <w:tc>
          <w:tcPr>
            <w:tcW w:w="2162" w:type="pct"/>
            <w:shd w:val="clear" w:color="auto" w:fill="auto"/>
            <w:tcMar>
              <w:top w:w="113" w:type="dxa"/>
              <w:bottom w:w="85" w:type="dxa"/>
            </w:tcMar>
          </w:tcPr>
          <w:p w:rsidR="008D43FD" w:rsidRPr="00366144" w:rsidRDefault="008D43FD" w:rsidP="005A7878">
            <w:pPr>
              <w:rPr>
                <w:color w:val="000000"/>
                <w:sz w:val="16"/>
                <w:szCs w:val="16"/>
              </w:rPr>
            </w:pPr>
            <w:r>
              <w:rPr>
                <w:color w:val="000000"/>
                <w:sz w:val="16"/>
                <w:szCs w:val="16"/>
              </w:rPr>
              <w:t>A</w:t>
            </w:r>
            <w:r w:rsidRPr="00366144">
              <w:rPr>
                <w:color w:val="000000"/>
                <w:sz w:val="16"/>
                <w:szCs w:val="16"/>
              </w:rPr>
              <w:t>ll types of space on the WIPO campus</w:t>
            </w:r>
            <w:r>
              <w:rPr>
                <w:color w:val="000000"/>
                <w:sz w:val="16"/>
                <w:szCs w:val="16"/>
              </w:rPr>
              <w:t xml:space="preserve"> (workplaces, storage and archiving) are effectively managed</w:t>
            </w:r>
          </w:p>
        </w:tc>
        <w:tc>
          <w:tcPr>
            <w:tcW w:w="926" w:type="pct"/>
            <w:shd w:val="clear" w:color="auto" w:fill="FFFFFF"/>
            <w:tcMar>
              <w:top w:w="113" w:type="dxa"/>
              <w:bottom w:w="85" w:type="dxa"/>
            </w:tcMar>
          </w:tcPr>
          <w:p w:rsidR="008D43FD" w:rsidRDefault="008D43FD" w:rsidP="005A7878">
            <w:pPr>
              <w:jc w:val="center"/>
            </w:pPr>
            <w:r w:rsidRPr="003253B4">
              <w:rPr>
                <w:rFonts w:cs="Arial"/>
                <w:sz w:val="16"/>
                <w:szCs w:val="16"/>
                <w:lang w:bidi="th-TH"/>
              </w:rPr>
              <w:t>Program 24</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p>
        </w:tc>
      </w:tr>
      <w:tr w:rsidR="008D43FD" w:rsidRPr="00AF5E7C" w:rsidTr="005A7878">
        <w:trPr>
          <w:cantSplit/>
          <w:trHeight w:val="516"/>
        </w:trPr>
        <w:tc>
          <w:tcPr>
            <w:tcW w:w="1544" w:type="pct"/>
            <w:shd w:val="clear" w:color="auto" w:fill="auto"/>
            <w:tcMar>
              <w:top w:w="113" w:type="dxa"/>
              <w:bottom w:w="85" w:type="dxa"/>
            </w:tcMar>
          </w:tcPr>
          <w:p w:rsidR="008D43FD" w:rsidRPr="00D81234" w:rsidRDefault="008D43FD" w:rsidP="005A7878">
            <w:pPr>
              <w:rPr>
                <w:rFonts w:cs="Arial"/>
                <w:sz w:val="16"/>
                <w:szCs w:val="16"/>
              </w:rPr>
            </w:pPr>
          </w:p>
        </w:tc>
        <w:tc>
          <w:tcPr>
            <w:tcW w:w="2162" w:type="pct"/>
            <w:shd w:val="clear" w:color="auto" w:fill="auto"/>
            <w:tcMar>
              <w:top w:w="113" w:type="dxa"/>
              <w:bottom w:w="85" w:type="dxa"/>
            </w:tcMar>
          </w:tcPr>
          <w:p w:rsidR="008D43FD" w:rsidRDefault="008D43FD" w:rsidP="005A7878">
            <w:pPr>
              <w:rPr>
                <w:color w:val="000000"/>
                <w:sz w:val="16"/>
                <w:szCs w:val="16"/>
              </w:rPr>
            </w:pPr>
            <w:r>
              <w:rPr>
                <w:color w:val="000000"/>
                <w:sz w:val="16"/>
                <w:szCs w:val="16"/>
              </w:rPr>
              <w:t>Buildings i</w:t>
            </w:r>
            <w:r w:rsidRPr="00366144">
              <w:rPr>
                <w:color w:val="000000"/>
                <w:sz w:val="16"/>
                <w:szCs w:val="16"/>
              </w:rPr>
              <w:t>n the WIPO campus</w:t>
            </w:r>
            <w:r>
              <w:rPr>
                <w:color w:val="000000"/>
                <w:sz w:val="16"/>
                <w:szCs w:val="16"/>
              </w:rPr>
              <w:t xml:space="preserve"> are renovated/modernized/</w:t>
            </w:r>
          </w:p>
          <w:p w:rsidR="008D43FD" w:rsidRPr="00366144" w:rsidRDefault="008D43FD" w:rsidP="005A7878">
            <w:pPr>
              <w:rPr>
                <w:color w:val="000000"/>
                <w:sz w:val="16"/>
                <w:szCs w:val="16"/>
              </w:rPr>
            </w:pPr>
            <w:r>
              <w:rPr>
                <w:color w:val="000000"/>
                <w:sz w:val="16"/>
                <w:szCs w:val="16"/>
              </w:rPr>
              <w:t>transformed to remain fit for purpose</w:t>
            </w:r>
          </w:p>
        </w:tc>
        <w:tc>
          <w:tcPr>
            <w:tcW w:w="926" w:type="pct"/>
            <w:shd w:val="clear" w:color="auto" w:fill="FFFFFF"/>
            <w:tcMar>
              <w:top w:w="113" w:type="dxa"/>
              <w:bottom w:w="85" w:type="dxa"/>
            </w:tcMar>
          </w:tcPr>
          <w:p w:rsidR="008D43FD" w:rsidRDefault="008D43FD" w:rsidP="005A7878">
            <w:pPr>
              <w:jc w:val="center"/>
            </w:pPr>
            <w:r w:rsidRPr="003253B4">
              <w:rPr>
                <w:rFonts w:cs="Arial"/>
                <w:sz w:val="16"/>
                <w:szCs w:val="16"/>
                <w:lang w:bidi="th-TH"/>
              </w:rPr>
              <w:t>Program 24</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p>
        </w:tc>
      </w:tr>
      <w:tr w:rsidR="008D43FD" w:rsidRPr="00AF5E7C" w:rsidTr="005A7878">
        <w:trPr>
          <w:cantSplit/>
          <w:trHeight w:val="516"/>
        </w:trPr>
        <w:tc>
          <w:tcPr>
            <w:tcW w:w="1544" w:type="pct"/>
            <w:shd w:val="clear" w:color="auto" w:fill="auto"/>
            <w:tcMar>
              <w:top w:w="113" w:type="dxa"/>
              <w:bottom w:w="85" w:type="dxa"/>
            </w:tcMar>
          </w:tcPr>
          <w:p w:rsidR="008D43FD" w:rsidRPr="00D81234" w:rsidRDefault="008D43FD" w:rsidP="005A7878">
            <w:pPr>
              <w:rPr>
                <w:rFonts w:cs="Arial"/>
                <w:sz w:val="16"/>
                <w:szCs w:val="16"/>
              </w:rPr>
            </w:pPr>
          </w:p>
        </w:tc>
        <w:tc>
          <w:tcPr>
            <w:tcW w:w="2162" w:type="pct"/>
            <w:shd w:val="clear" w:color="auto" w:fill="auto"/>
            <w:tcMar>
              <w:top w:w="113" w:type="dxa"/>
              <w:bottom w:w="85" w:type="dxa"/>
            </w:tcMar>
          </w:tcPr>
          <w:p w:rsidR="008D43FD" w:rsidRPr="00366144" w:rsidRDefault="008D43FD" w:rsidP="005A7878">
            <w:pPr>
              <w:rPr>
                <w:color w:val="000000"/>
                <w:sz w:val="16"/>
                <w:szCs w:val="16"/>
              </w:rPr>
            </w:pPr>
            <w:r>
              <w:rPr>
                <w:color w:val="000000"/>
                <w:sz w:val="16"/>
                <w:szCs w:val="16"/>
              </w:rPr>
              <w:t>A</w:t>
            </w:r>
            <w:r w:rsidRPr="00366144">
              <w:rPr>
                <w:color w:val="000000"/>
                <w:sz w:val="16"/>
                <w:szCs w:val="16"/>
              </w:rPr>
              <w:t xml:space="preserve">ll types of </w:t>
            </w:r>
            <w:r>
              <w:rPr>
                <w:color w:val="000000"/>
                <w:sz w:val="16"/>
                <w:szCs w:val="16"/>
              </w:rPr>
              <w:t xml:space="preserve">critical </w:t>
            </w:r>
            <w:r w:rsidRPr="00366144">
              <w:rPr>
                <w:color w:val="000000"/>
                <w:sz w:val="16"/>
                <w:szCs w:val="16"/>
              </w:rPr>
              <w:t xml:space="preserve">technical installations </w:t>
            </w:r>
            <w:r>
              <w:rPr>
                <w:color w:val="000000"/>
                <w:sz w:val="16"/>
                <w:szCs w:val="16"/>
              </w:rPr>
              <w:t xml:space="preserve">comply with applicable </w:t>
            </w:r>
            <w:r w:rsidRPr="00366144">
              <w:rPr>
                <w:color w:val="000000"/>
                <w:sz w:val="16"/>
                <w:szCs w:val="16"/>
              </w:rPr>
              <w:t xml:space="preserve">technical standards </w:t>
            </w:r>
          </w:p>
        </w:tc>
        <w:tc>
          <w:tcPr>
            <w:tcW w:w="926" w:type="pct"/>
            <w:shd w:val="clear" w:color="auto" w:fill="FFFFFF"/>
            <w:tcMar>
              <w:top w:w="113" w:type="dxa"/>
              <w:bottom w:w="85" w:type="dxa"/>
            </w:tcMar>
          </w:tcPr>
          <w:p w:rsidR="008D43FD" w:rsidRDefault="008D43FD" w:rsidP="005A7878">
            <w:pPr>
              <w:jc w:val="center"/>
              <w:rPr>
                <w:rFonts w:cs="Arial"/>
                <w:sz w:val="16"/>
                <w:szCs w:val="16"/>
                <w:lang w:bidi="th-TH"/>
              </w:rPr>
            </w:pPr>
            <w:r w:rsidRPr="003253B4">
              <w:rPr>
                <w:rFonts w:cs="Arial"/>
                <w:sz w:val="16"/>
                <w:szCs w:val="16"/>
                <w:lang w:bidi="th-TH"/>
              </w:rPr>
              <w:t>Program 24</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p>
        </w:tc>
      </w:tr>
      <w:tr w:rsidR="008D43FD" w:rsidRPr="00AF5E7C" w:rsidTr="005A7878">
        <w:trPr>
          <w:cantSplit/>
          <w:trHeight w:val="516"/>
        </w:trPr>
        <w:tc>
          <w:tcPr>
            <w:tcW w:w="1544" w:type="pct"/>
            <w:shd w:val="clear" w:color="auto" w:fill="auto"/>
            <w:tcMar>
              <w:top w:w="113" w:type="dxa"/>
              <w:bottom w:w="85" w:type="dxa"/>
            </w:tcMar>
          </w:tcPr>
          <w:p w:rsidR="008D43FD" w:rsidRPr="00D81234" w:rsidRDefault="008D43FD" w:rsidP="005A7878">
            <w:pPr>
              <w:rPr>
                <w:rFonts w:cs="Arial"/>
                <w:sz w:val="16"/>
                <w:szCs w:val="16"/>
              </w:rPr>
            </w:pPr>
          </w:p>
        </w:tc>
        <w:tc>
          <w:tcPr>
            <w:tcW w:w="2162" w:type="pct"/>
            <w:shd w:val="clear" w:color="auto" w:fill="auto"/>
            <w:tcMar>
              <w:top w:w="113" w:type="dxa"/>
              <w:bottom w:w="85" w:type="dxa"/>
            </w:tcMar>
          </w:tcPr>
          <w:p w:rsidR="008D43FD" w:rsidRPr="0070048B" w:rsidRDefault="008D43FD" w:rsidP="005A7878">
            <w:pPr>
              <w:rPr>
                <w:color w:val="000000"/>
                <w:sz w:val="16"/>
                <w:szCs w:val="16"/>
              </w:rPr>
            </w:pPr>
            <w:r w:rsidRPr="0070048B">
              <w:rPr>
                <w:color w:val="000000"/>
                <w:sz w:val="16"/>
                <w:szCs w:val="16"/>
              </w:rPr>
              <w:t>ICT Systems are cost-effectively hosted and managed in line with business demands</w:t>
            </w:r>
          </w:p>
          <w:p w:rsidR="008D43FD" w:rsidRPr="0070048B" w:rsidRDefault="008D43FD" w:rsidP="005A7878">
            <w:pPr>
              <w:rPr>
                <w:rFonts w:cs="Arial"/>
                <w:bCs/>
                <w:sz w:val="16"/>
                <w:szCs w:val="16"/>
              </w:rPr>
            </w:pPr>
          </w:p>
        </w:tc>
        <w:tc>
          <w:tcPr>
            <w:tcW w:w="926" w:type="pct"/>
            <w:shd w:val="clear" w:color="auto" w:fill="FFFFFF"/>
            <w:tcMar>
              <w:top w:w="113" w:type="dxa"/>
              <w:bottom w:w="85" w:type="dxa"/>
            </w:tcMar>
          </w:tcPr>
          <w:p w:rsidR="008D43FD" w:rsidRDefault="008D43FD" w:rsidP="005A7878">
            <w:pPr>
              <w:jc w:val="center"/>
              <w:rPr>
                <w:rFonts w:cs="Arial"/>
                <w:sz w:val="16"/>
                <w:szCs w:val="16"/>
                <w:lang w:bidi="th-TH"/>
              </w:rPr>
            </w:pPr>
            <w:r>
              <w:rPr>
                <w:rFonts w:cs="Arial"/>
                <w:sz w:val="16"/>
                <w:szCs w:val="16"/>
                <w:lang w:bidi="th-TH"/>
              </w:rPr>
              <w:t>Program 25</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p>
        </w:tc>
      </w:tr>
      <w:tr w:rsidR="008D43FD" w:rsidRPr="00AF5E7C" w:rsidTr="005A7878">
        <w:trPr>
          <w:cantSplit/>
          <w:trHeight w:val="516"/>
        </w:trPr>
        <w:tc>
          <w:tcPr>
            <w:tcW w:w="1544" w:type="pct"/>
            <w:shd w:val="clear" w:color="auto" w:fill="auto"/>
            <w:tcMar>
              <w:top w:w="113" w:type="dxa"/>
              <w:bottom w:w="85" w:type="dxa"/>
            </w:tcMar>
          </w:tcPr>
          <w:p w:rsidR="008D43FD" w:rsidRPr="00D81234" w:rsidRDefault="008D43FD" w:rsidP="005A7878">
            <w:pPr>
              <w:rPr>
                <w:rFonts w:cs="Arial"/>
                <w:sz w:val="16"/>
                <w:szCs w:val="16"/>
              </w:rPr>
            </w:pPr>
          </w:p>
        </w:tc>
        <w:tc>
          <w:tcPr>
            <w:tcW w:w="2162" w:type="pct"/>
            <w:shd w:val="clear" w:color="auto" w:fill="auto"/>
            <w:tcMar>
              <w:top w:w="113" w:type="dxa"/>
              <w:bottom w:w="85" w:type="dxa"/>
            </w:tcMar>
          </w:tcPr>
          <w:p w:rsidR="008D43FD" w:rsidRPr="0070048B" w:rsidRDefault="008D43FD" w:rsidP="005A7878">
            <w:pPr>
              <w:rPr>
                <w:rFonts w:cs="Arial"/>
                <w:sz w:val="16"/>
                <w:szCs w:val="16"/>
              </w:rPr>
            </w:pPr>
            <w:r w:rsidRPr="0070048B">
              <w:rPr>
                <w:rFonts w:cs="Arial"/>
                <w:sz w:val="16"/>
                <w:szCs w:val="16"/>
              </w:rPr>
              <w:t>No. of SLAs for hosted systems and services that are compliant with ICT SLA framework</w:t>
            </w:r>
          </w:p>
        </w:tc>
        <w:tc>
          <w:tcPr>
            <w:tcW w:w="926" w:type="pct"/>
            <w:shd w:val="clear" w:color="auto" w:fill="FFFFFF"/>
            <w:tcMar>
              <w:top w:w="113" w:type="dxa"/>
              <w:bottom w:w="85" w:type="dxa"/>
            </w:tcMar>
          </w:tcPr>
          <w:p w:rsidR="008D43FD" w:rsidRPr="00E536B5" w:rsidRDefault="008D43FD" w:rsidP="005A7878">
            <w:pPr>
              <w:jc w:val="center"/>
              <w:rPr>
                <w:rFonts w:cs="Arial"/>
                <w:sz w:val="16"/>
                <w:szCs w:val="16"/>
                <w:lang w:bidi="th-TH"/>
              </w:rPr>
            </w:pPr>
            <w:r w:rsidRPr="00294C60">
              <w:rPr>
                <w:rFonts w:cs="Arial"/>
                <w:sz w:val="16"/>
                <w:szCs w:val="16"/>
                <w:lang w:bidi="th-TH"/>
              </w:rPr>
              <w:t>Program 25</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p>
        </w:tc>
      </w:tr>
      <w:tr w:rsidR="008D43FD" w:rsidRPr="00AF5E7C" w:rsidTr="005A7878">
        <w:trPr>
          <w:cantSplit/>
          <w:trHeight w:val="516"/>
        </w:trPr>
        <w:tc>
          <w:tcPr>
            <w:tcW w:w="1544" w:type="pct"/>
            <w:shd w:val="clear" w:color="auto" w:fill="auto"/>
            <w:tcMar>
              <w:top w:w="113" w:type="dxa"/>
              <w:bottom w:w="85" w:type="dxa"/>
            </w:tcMar>
          </w:tcPr>
          <w:p w:rsidR="008D43FD" w:rsidRPr="00D81234" w:rsidRDefault="008D43FD" w:rsidP="005A7878">
            <w:pPr>
              <w:rPr>
                <w:rFonts w:cs="Arial"/>
                <w:sz w:val="16"/>
                <w:szCs w:val="16"/>
              </w:rPr>
            </w:pPr>
          </w:p>
        </w:tc>
        <w:tc>
          <w:tcPr>
            <w:tcW w:w="2162" w:type="pct"/>
            <w:shd w:val="clear" w:color="auto" w:fill="auto"/>
            <w:tcMar>
              <w:top w:w="113" w:type="dxa"/>
              <w:bottom w:w="85" w:type="dxa"/>
            </w:tcMar>
          </w:tcPr>
          <w:p w:rsidR="008D43FD" w:rsidRPr="0070048B" w:rsidRDefault="008D43FD" w:rsidP="005A7878">
            <w:pPr>
              <w:rPr>
                <w:rFonts w:cs="Arial"/>
                <w:sz w:val="16"/>
                <w:szCs w:val="16"/>
              </w:rPr>
            </w:pPr>
            <w:r w:rsidRPr="0070048B">
              <w:rPr>
                <w:rFonts w:cs="Arial"/>
                <w:sz w:val="16"/>
                <w:szCs w:val="16"/>
              </w:rPr>
              <w:t>ICT Service Continuity of critical systems</w:t>
            </w:r>
          </w:p>
        </w:tc>
        <w:tc>
          <w:tcPr>
            <w:tcW w:w="926" w:type="pct"/>
            <w:shd w:val="clear" w:color="auto" w:fill="FFFFFF"/>
            <w:tcMar>
              <w:top w:w="113" w:type="dxa"/>
              <w:bottom w:w="85" w:type="dxa"/>
            </w:tcMar>
          </w:tcPr>
          <w:p w:rsidR="008D43FD" w:rsidRPr="00E536B5" w:rsidRDefault="008D43FD" w:rsidP="005A7878">
            <w:pPr>
              <w:jc w:val="center"/>
              <w:rPr>
                <w:rFonts w:cs="Arial"/>
                <w:sz w:val="16"/>
                <w:szCs w:val="16"/>
                <w:lang w:bidi="th-TH"/>
              </w:rPr>
            </w:pPr>
            <w:r w:rsidRPr="00294C60">
              <w:rPr>
                <w:rFonts w:cs="Arial"/>
                <w:sz w:val="16"/>
                <w:szCs w:val="16"/>
                <w:lang w:bidi="th-TH"/>
              </w:rPr>
              <w:t>Program 25</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p>
        </w:tc>
      </w:tr>
      <w:tr w:rsidR="008D43FD" w:rsidRPr="00AF5E7C" w:rsidTr="005A7878">
        <w:trPr>
          <w:cantSplit/>
          <w:trHeight w:val="516"/>
        </w:trPr>
        <w:tc>
          <w:tcPr>
            <w:tcW w:w="1544" w:type="pct"/>
            <w:shd w:val="clear" w:color="auto" w:fill="auto"/>
            <w:tcMar>
              <w:top w:w="113" w:type="dxa"/>
              <w:bottom w:w="85" w:type="dxa"/>
            </w:tcMar>
          </w:tcPr>
          <w:p w:rsidR="008D43FD" w:rsidRPr="00D81234" w:rsidRDefault="008D43FD" w:rsidP="005A7878">
            <w:pPr>
              <w:rPr>
                <w:rFonts w:cs="Arial"/>
                <w:sz w:val="16"/>
                <w:szCs w:val="16"/>
              </w:rPr>
            </w:pPr>
          </w:p>
        </w:tc>
        <w:tc>
          <w:tcPr>
            <w:tcW w:w="2162" w:type="pct"/>
            <w:shd w:val="clear" w:color="auto" w:fill="auto"/>
            <w:tcMar>
              <w:top w:w="113" w:type="dxa"/>
              <w:bottom w:w="85" w:type="dxa"/>
            </w:tcMar>
          </w:tcPr>
          <w:p w:rsidR="008D43FD" w:rsidRPr="0070048B" w:rsidRDefault="008D43FD" w:rsidP="005A7878">
            <w:pPr>
              <w:rPr>
                <w:rFonts w:cs="Arial"/>
                <w:sz w:val="16"/>
                <w:szCs w:val="16"/>
              </w:rPr>
            </w:pPr>
            <w:r w:rsidRPr="0070048B">
              <w:rPr>
                <w:rFonts w:cs="Arial"/>
                <w:sz w:val="16"/>
                <w:szCs w:val="16"/>
              </w:rPr>
              <w:t>% end-users and business sectors who are satisfied with ICT services</w:t>
            </w:r>
          </w:p>
        </w:tc>
        <w:tc>
          <w:tcPr>
            <w:tcW w:w="926" w:type="pct"/>
            <w:shd w:val="clear" w:color="auto" w:fill="FFFFFF"/>
            <w:tcMar>
              <w:top w:w="113" w:type="dxa"/>
              <w:bottom w:w="85" w:type="dxa"/>
            </w:tcMar>
          </w:tcPr>
          <w:p w:rsidR="008D43FD" w:rsidRPr="00E536B5" w:rsidRDefault="008D43FD" w:rsidP="005A7878">
            <w:pPr>
              <w:jc w:val="center"/>
              <w:rPr>
                <w:rFonts w:cs="Arial"/>
                <w:sz w:val="16"/>
                <w:szCs w:val="16"/>
                <w:lang w:bidi="th-TH"/>
              </w:rPr>
            </w:pPr>
            <w:r w:rsidRPr="00294C60">
              <w:rPr>
                <w:rFonts w:cs="Arial"/>
                <w:sz w:val="16"/>
                <w:szCs w:val="16"/>
                <w:lang w:bidi="th-TH"/>
              </w:rPr>
              <w:t>Program 25</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p>
        </w:tc>
      </w:tr>
      <w:tr w:rsidR="008D43FD" w:rsidRPr="00AF5E7C" w:rsidTr="005A7878">
        <w:trPr>
          <w:cantSplit/>
          <w:trHeight w:val="516"/>
        </w:trPr>
        <w:tc>
          <w:tcPr>
            <w:tcW w:w="1544" w:type="pct"/>
            <w:shd w:val="clear" w:color="auto" w:fill="auto"/>
            <w:tcMar>
              <w:top w:w="113" w:type="dxa"/>
              <w:bottom w:w="85" w:type="dxa"/>
            </w:tcMar>
          </w:tcPr>
          <w:p w:rsidR="008D43FD" w:rsidRPr="00D81234" w:rsidRDefault="008D43FD" w:rsidP="005A7878">
            <w:pPr>
              <w:rPr>
                <w:rFonts w:cs="Arial"/>
                <w:sz w:val="16"/>
                <w:szCs w:val="16"/>
              </w:rPr>
            </w:pPr>
          </w:p>
        </w:tc>
        <w:tc>
          <w:tcPr>
            <w:tcW w:w="2162" w:type="pct"/>
            <w:shd w:val="clear" w:color="auto" w:fill="auto"/>
            <w:tcMar>
              <w:top w:w="113" w:type="dxa"/>
              <w:bottom w:w="85" w:type="dxa"/>
            </w:tcMar>
          </w:tcPr>
          <w:p w:rsidR="008D43FD" w:rsidRPr="0070048B" w:rsidRDefault="008D43FD" w:rsidP="005A7878">
            <w:pPr>
              <w:rPr>
                <w:color w:val="000000"/>
                <w:sz w:val="16"/>
                <w:szCs w:val="16"/>
              </w:rPr>
            </w:pPr>
            <w:r w:rsidRPr="0070048B">
              <w:rPr>
                <w:color w:val="000000"/>
                <w:sz w:val="16"/>
                <w:szCs w:val="16"/>
              </w:rPr>
              <w:t>Comprehensive and integrated communication technologies are easily accessible to staff</w:t>
            </w:r>
          </w:p>
        </w:tc>
        <w:tc>
          <w:tcPr>
            <w:tcW w:w="926" w:type="pct"/>
            <w:shd w:val="clear" w:color="auto" w:fill="FFFFFF"/>
            <w:tcMar>
              <w:top w:w="113" w:type="dxa"/>
              <w:bottom w:w="85" w:type="dxa"/>
            </w:tcMar>
          </w:tcPr>
          <w:p w:rsidR="008D43FD" w:rsidRPr="00E536B5" w:rsidRDefault="008D43FD" w:rsidP="005A7878">
            <w:pPr>
              <w:jc w:val="center"/>
              <w:rPr>
                <w:rFonts w:cs="Arial"/>
                <w:sz w:val="16"/>
                <w:szCs w:val="16"/>
                <w:lang w:bidi="th-TH"/>
              </w:rPr>
            </w:pPr>
            <w:r w:rsidRPr="00294C60">
              <w:rPr>
                <w:rFonts w:cs="Arial"/>
                <w:sz w:val="16"/>
                <w:szCs w:val="16"/>
                <w:lang w:bidi="th-TH"/>
              </w:rPr>
              <w:t>Program 25</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p>
        </w:tc>
      </w:tr>
      <w:tr w:rsidR="008D43FD" w:rsidRPr="00AF5E7C" w:rsidTr="005A7878">
        <w:trPr>
          <w:cantSplit/>
          <w:trHeight w:val="516"/>
        </w:trPr>
        <w:tc>
          <w:tcPr>
            <w:tcW w:w="1544" w:type="pct"/>
            <w:shd w:val="clear" w:color="auto" w:fill="auto"/>
            <w:tcMar>
              <w:top w:w="113" w:type="dxa"/>
              <w:bottom w:w="85" w:type="dxa"/>
            </w:tcMar>
          </w:tcPr>
          <w:p w:rsidR="008D43FD" w:rsidRPr="00D81234" w:rsidRDefault="008D43FD" w:rsidP="005A7878">
            <w:pPr>
              <w:rPr>
                <w:rFonts w:cs="Arial"/>
                <w:sz w:val="16"/>
                <w:szCs w:val="16"/>
              </w:rPr>
            </w:pPr>
          </w:p>
        </w:tc>
        <w:tc>
          <w:tcPr>
            <w:tcW w:w="2162" w:type="pct"/>
            <w:shd w:val="clear" w:color="auto" w:fill="auto"/>
            <w:tcMar>
              <w:top w:w="113" w:type="dxa"/>
              <w:bottom w:w="85" w:type="dxa"/>
            </w:tcMar>
          </w:tcPr>
          <w:p w:rsidR="008D43FD" w:rsidRPr="00DE7DBA" w:rsidRDefault="008D43FD" w:rsidP="005A7878">
            <w:pPr>
              <w:rPr>
                <w:rFonts w:cs="Arial"/>
                <w:bCs/>
                <w:sz w:val="16"/>
                <w:szCs w:val="16"/>
              </w:rPr>
            </w:pPr>
            <w:r w:rsidRPr="00DE7DBA">
              <w:rPr>
                <w:rFonts w:cs="Arial"/>
                <w:bCs/>
                <w:sz w:val="16"/>
                <w:szCs w:val="16"/>
              </w:rPr>
              <w:t>% of internal and external participants satisfied with WIPO Conference Services</w:t>
            </w:r>
          </w:p>
        </w:tc>
        <w:tc>
          <w:tcPr>
            <w:tcW w:w="926" w:type="pct"/>
            <w:shd w:val="clear" w:color="auto" w:fill="FFFFFF"/>
            <w:tcMar>
              <w:top w:w="113" w:type="dxa"/>
              <w:bottom w:w="85" w:type="dxa"/>
            </w:tcMar>
          </w:tcPr>
          <w:p w:rsidR="008D43FD" w:rsidRDefault="008D43FD" w:rsidP="005A7878">
            <w:pPr>
              <w:jc w:val="center"/>
              <w:rPr>
                <w:rFonts w:cs="Arial"/>
                <w:sz w:val="16"/>
                <w:szCs w:val="16"/>
                <w:lang w:bidi="th-TH"/>
              </w:rPr>
            </w:pPr>
            <w:r>
              <w:rPr>
                <w:rFonts w:cs="Arial"/>
                <w:sz w:val="16"/>
                <w:szCs w:val="16"/>
                <w:lang w:bidi="th-TH"/>
              </w:rPr>
              <w:t>Program 27</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p>
        </w:tc>
      </w:tr>
      <w:tr w:rsidR="008D43FD" w:rsidRPr="00AF5E7C" w:rsidTr="005A7878">
        <w:trPr>
          <w:cantSplit/>
          <w:trHeight w:val="516"/>
        </w:trPr>
        <w:tc>
          <w:tcPr>
            <w:tcW w:w="1544" w:type="pct"/>
            <w:shd w:val="clear" w:color="auto" w:fill="auto"/>
            <w:tcMar>
              <w:top w:w="113" w:type="dxa"/>
              <w:bottom w:w="85" w:type="dxa"/>
            </w:tcMar>
          </w:tcPr>
          <w:p w:rsidR="008D43FD" w:rsidRPr="00D81234" w:rsidRDefault="008D43FD" w:rsidP="005A7878">
            <w:pPr>
              <w:rPr>
                <w:rFonts w:cs="Arial"/>
                <w:sz w:val="16"/>
                <w:szCs w:val="16"/>
              </w:rPr>
            </w:pPr>
          </w:p>
        </w:tc>
        <w:tc>
          <w:tcPr>
            <w:tcW w:w="2162" w:type="pct"/>
            <w:shd w:val="clear" w:color="auto" w:fill="auto"/>
            <w:tcMar>
              <w:top w:w="113" w:type="dxa"/>
              <w:bottom w:w="85" w:type="dxa"/>
            </w:tcMar>
          </w:tcPr>
          <w:p w:rsidR="008D43FD" w:rsidRPr="00DE7DBA" w:rsidRDefault="008D43FD" w:rsidP="005A7878">
            <w:pPr>
              <w:rPr>
                <w:rFonts w:cs="Arial"/>
                <w:sz w:val="16"/>
                <w:szCs w:val="16"/>
              </w:rPr>
            </w:pPr>
            <w:r w:rsidRPr="00DE7DBA">
              <w:rPr>
                <w:rFonts w:cs="Arial"/>
                <w:sz w:val="16"/>
                <w:szCs w:val="16"/>
              </w:rPr>
              <w:t>Effective implementation of WIPO Language Policy</w:t>
            </w:r>
          </w:p>
        </w:tc>
        <w:tc>
          <w:tcPr>
            <w:tcW w:w="926" w:type="pct"/>
            <w:shd w:val="clear" w:color="auto" w:fill="FFFFFF"/>
            <w:tcMar>
              <w:top w:w="113" w:type="dxa"/>
              <w:bottom w:w="85" w:type="dxa"/>
            </w:tcMar>
          </w:tcPr>
          <w:p w:rsidR="008D43FD" w:rsidRPr="00E536B5" w:rsidRDefault="008D43FD" w:rsidP="005A7878">
            <w:pPr>
              <w:jc w:val="center"/>
              <w:rPr>
                <w:rFonts w:cs="Arial"/>
                <w:sz w:val="16"/>
                <w:szCs w:val="16"/>
                <w:lang w:bidi="th-TH"/>
              </w:rPr>
            </w:pPr>
            <w:r w:rsidRPr="00F90173">
              <w:rPr>
                <w:rFonts w:cs="Arial"/>
                <w:sz w:val="16"/>
                <w:szCs w:val="16"/>
                <w:lang w:bidi="th-TH"/>
              </w:rPr>
              <w:t>Program 27</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r w:rsidRPr="005B2FC7">
              <w:rPr>
                <w:rFonts w:cs="Arial"/>
                <w:color w:val="FF0000"/>
                <w:sz w:val="22"/>
                <w:szCs w:val="22"/>
              </w:rPr>
              <w:sym w:font="Wingdings" w:char="F06C"/>
            </w:r>
          </w:p>
        </w:tc>
      </w:tr>
      <w:tr w:rsidR="008D43FD" w:rsidRPr="00AF5E7C" w:rsidTr="005A7878">
        <w:trPr>
          <w:cantSplit/>
          <w:trHeight w:val="516"/>
        </w:trPr>
        <w:tc>
          <w:tcPr>
            <w:tcW w:w="1544" w:type="pct"/>
            <w:shd w:val="clear" w:color="auto" w:fill="auto"/>
            <w:tcMar>
              <w:top w:w="113" w:type="dxa"/>
              <w:bottom w:w="85" w:type="dxa"/>
            </w:tcMar>
          </w:tcPr>
          <w:p w:rsidR="008D43FD" w:rsidRPr="00D81234" w:rsidRDefault="008D43FD" w:rsidP="005A7878">
            <w:pPr>
              <w:rPr>
                <w:rFonts w:cs="Arial"/>
                <w:sz w:val="16"/>
                <w:szCs w:val="16"/>
              </w:rPr>
            </w:pPr>
          </w:p>
        </w:tc>
        <w:tc>
          <w:tcPr>
            <w:tcW w:w="2162" w:type="pct"/>
            <w:shd w:val="clear" w:color="auto" w:fill="auto"/>
            <w:tcMar>
              <w:top w:w="113" w:type="dxa"/>
              <w:bottom w:w="85" w:type="dxa"/>
            </w:tcMar>
          </w:tcPr>
          <w:p w:rsidR="008D43FD" w:rsidRPr="00DE7DBA" w:rsidRDefault="008D43FD" w:rsidP="005A7878">
            <w:pPr>
              <w:rPr>
                <w:rFonts w:cs="Arial"/>
                <w:sz w:val="16"/>
                <w:szCs w:val="16"/>
              </w:rPr>
            </w:pPr>
            <w:r w:rsidRPr="00DE7DBA">
              <w:rPr>
                <w:rFonts w:cs="Arial"/>
                <w:sz w:val="16"/>
                <w:szCs w:val="16"/>
              </w:rPr>
              <w:t>Cost per word of translation</w:t>
            </w:r>
          </w:p>
        </w:tc>
        <w:tc>
          <w:tcPr>
            <w:tcW w:w="926" w:type="pct"/>
            <w:shd w:val="clear" w:color="auto" w:fill="FFFFFF"/>
            <w:tcMar>
              <w:top w:w="113" w:type="dxa"/>
              <w:bottom w:w="85" w:type="dxa"/>
            </w:tcMar>
          </w:tcPr>
          <w:p w:rsidR="008D43FD" w:rsidRPr="00E536B5" w:rsidRDefault="008D43FD" w:rsidP="005A7878">
            <w:pPr>
              <w:jc w:val="center"/>
              <w:rPr>
                <w:rFonts w:cs="Arial"/>
                <w:sz w:val="16"/>
                <w:szCs w:val="16"/>
                <w:lang w:bidi="th-TH"/>
              </w:rPr>
            </w:pPr>
            <w:r w:rsidRPr="00F90173">
              <w:rPr>
                <w:rFonts w:cs="Arial"/>
                <w:sz w:val="16"/>
                <w:szCs w:val="16"/>
                <w:lang w:bidi="th-TH"/>
              </w:rPr>
              <w:t>Program 27</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p>
        </w:tc>
      </w:tr>
      <w:tr w:rsidR="008D43FD" w:rsidRPr="00AF5E7C" w:rsidTr="005A7878">
        <w:trPr>
          <w:cantSplit/>
          <w:trHeight w:val="516"/>
        </w:trPr>
        <w:tc>
          <w:tcPr>
            <w:tcW w:w="1544" w:type="pct"/>
            <w:shd w:val="clear" w:color="auto" w:fill="auto"/>
            <w:tcMar>
              <w:top w:w="113" w:type="dxa"/>
              <w:bottom w:w="85" w:type="dxa"/>
            </w:tcMar>
          </w:tcPr>
          <w:p w:rsidR="008D43FD" w:rsidRPr="00D81234" w:rsidRDefault="008D43FD" w:rsidP="005A7878">
            <w:pPr>
              <w:rPr>
                <w:rFonts w:cs="Arial"/>
                <w:sz w:val="16"/>
                <w:szCs w:val="16"/>
              </w:rPr>
            </w:pPr>
          </w:p>
        </w:tc>
        <w:tc>
          <w:tcPr>
            <w:tcW w:w="2162" w:type="pct"/>
            <w:shd w:val="clear" w:color="auto" w:fill="auto"/>
            <w:tcMar>
              <w:top w:w="113" w:type="dxa"/>
              <w:bottom w:w="85" w:type="dxa"/>
            </w:tcMar>
          </w:tcPr>
          <w:p w:rsidR="008D43FD" w:rsidRPr="00DE7DBA" w:rsidRDefault="008D43FD" w:rsidP="005A7878">
            <w:pPr>
              <w:rPr>
                <w:rFonts w:cs="Arial"/>
                <w:sz w:val="16"/>
                <w:szCs w:val="16"/>
              </w:rPr>
            </w:pPr>
            <w:r w:rsidRPr="00DE7DBA">
              <w:rPr>
                <w:rFonts w:cs="Arial"/>
                <w:sz w:val="16"/>
                <w:szCs w:val="16"/>
              </w:rPr>
              <w:t>Quality of translation</w:t>
            </w:r>
          </w:p>
        </w:tc>
        <w:tc>
          <w:tcPr>
            <w:tcW w:w="926" w:type="pct"/>
            <w:shd w:val="clear" w:color="auto" w:fill="FFFFFF"/>
            <w:tcMar>
              <w:top w:w="113" w:type="dxa"/>
              <w:bottom w:w="85" w:type="dxa"/>
            </w:tcMar>
          </w:tcPr>
          <w:p w:rsidR="008D43FD" w:rsidRPr="00E536B5" w:rsidRDefault="008D43FD" w:rsidP="005A7878">
            <w:pPr>
              <w:jc w:val="center"/>
              <w:rPr>
                <w:rFonts w:cs="Arial"/>
                <w:sz w:val="16"/>
                <w:szCs w:val="16"/>
                <w:lang w:bidi="th-TH"/>
              </w:rPr>
            </w:pPr>
            <w:r w:rsidRPr="00F90173">
              <w:rPr>
                <w:rFonts w:cs="Arial"/>
                <w:sz w:val="16"/>
                <w:szCs w:val="16"/>
                <w:lang w:bidi="th-TH"/>
              </w:rPr>
              <w:t>Program 27</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F718E6">
              <w:rPr>
                <w:rFonts w:cs="Arial"/>
                <w:color w:val="A6A6A6" w:themeColor="background1" w:themeShade="A6"/>
                <w:sz w:val="22"/>
                <w:szCs w:val="22"/>
              </w:rPr>
              <w:sym w:font="Wingdings" w:char="F06C"/>
            </w:r>
          </w:p>
        </w:tc>
      </w:tr>
      <w:tr w:rsidR="008D43FD" w:rsidRPr="00AF5E7C" w:rsidTr="005A7878">
        <w:trPr>
          <w:cantSplit/>
          <w:trHeight w:val="516"/>
        </w:trPr>
        <w:tc>
          <w:tcPr>
            <w:tcW w:w="1544" w:type="pct"/>
            <w:shd w:val="clear" w:color="auto" w:fill="auto"/>
            <w:tcMar>
              <w:top w:w="113" w:type="dxa"/>
              <w:bottom w:w="85" w:type="dxa"/>
            </w:tcMar>
          </w:tcPr>
          <w:p w:rsidR="008D43FD" w:rsidRPr="00D81234" w:rsidRDefault="008D43FD" w:rsidP="005A7878">
            <w:pPr>
              <w:rPr>
                <w:rFonts w:cs="Arial"/>
                <w:sz w:val="16"/>
                <w:szCs w:val="16"/>
              </w:rPr>
            </w:pPr>
          </w:p>
        </w:tc>
        <w:tc>
          <w:tcPr>
            <w:tcW w:w="2162" w:type="pct"/>
            <w:shd w:val="clear" w:color="auto" w:fill="auto"/>
            <w:tcMar>
              <w:top w:w="113" w:type="dxa"/>
              <w:bottom w:w="85" w:type="dxa"/>
            </w:tcMar>
          </w:tcPr>
          <w:p w:rsidR="008D43FD" w:rsidRPr="00DE7DBA" w:rsidRDefault="008D43FD" w:rsidP="005A7878">
            <w:pPr>
              <w:rPr>
                <w:color w:val="000000"/>
                <w:sz w:val="16"/>
                <w:szCs w:val="16"/>
              </w:rPr>
            </w:pPr>
            <w:r w:rsidRPr="00DE7DBA">
              <w:rPr>
                <w:color w:val="000000"/>
                <w:sz w:val="16"/>
                <w:szCs w:val="16"/>
              </w:rPr>
              <w:t>Reduction in printing costs (per page)</w:t>
            </w:r>
          </w:p>
        </w:tc>
        <w:tc>
          <w:tcPr>
            <w:tcW w:w="926" w:type="pct"/>
            <w:shd w:val="clear" w:color="auto" w:fill="FFFFFF"/>
            <w:tcMar>
              <w:top w:w="113" w:type="dxa"/>
              <w:bottom w:w="85" w:type="dxa"/>
            </w:tcMar>
          </w:tcPr>
          <w:p w:rsidR="008D43FD" w:rsidRPr="00E536B5" w:rsidRDefault="008D43FD" w:rsidP="005A7878">
            <w:pPr>
              <w:jc w:val="center"/>
              <w:rPr>
                <w:rFonts w:cs="Arial"/>
                <w:sz w:val="16"/>
                <w:szCs w:val="16"/>
                <w:lang w:bidi="th-TH"/>
              </w:rPr>
            </w:pPr>
            <w:r w:rsidRPr="00F90173">
              <w:rPr>
                <w:rFonts w:cs="Arial"/>
                <w:sz w:val="16"/>
                <w:szCs w:val="16"/>
                <w:lang w:bidi="th-TH"/>
              </w:rPr>
              <w:t>Program 27</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p>
        </w:tc>
      </w:tr>
      <w:tr w:rsidR="008D43FD" w:rsidRPr="00AF5E7C" w:rsidTr="005A7878">
        <w:trPr>
          <w:cantSplit/>
          <w:trHeight w:val="516"/>
        </w:trPr>
        <w:tc>
          <w:tcPr>
            <w:tcW w:w="1544" w:type="pct"/>
            <w:shd w:val="clear" w:color="auto" w:fill="auto"/>
            <w:tcMar>
              <w:top w:w="113" w:type="dxa"/>
              <w:bottom w:w="85" w:type="dxa"/>
            </w:tcMar>
          </w:tcPr>
          <w:p w:rsidR="008D43FD" w:rsidRPr="00D81234" w:rsidRDefault="008D43FD" w:rsidP="005A7878">
            <w:pPr>
              <w:rPr>
                <w:rFonts w:cs="Arial"/>
                <w:sz w:val="16"/>
                <w:szCs w:val="16"/>
              </w:rPr>
            </w:pPr>
          </w:p>
        </w:tc>
        <w:tc>
          <w:tcPr>
            <w:tcW w:w="2162" w:type="pct"/>
            <w:shd w:val="clear" w:color="auto" w:fill="auto"/>
            <w:tcMar>
              <w:top w:w="113" w:type="dxa"/>
              <w:bottom w:w="85" w:type="dxa"/>
            </w:tcMar>
          </w:tcPr>
          <w:p w:rsidR="008D43FD" w:rsidRPr="009F16FD" w:rsidRDefault="008D43FD" w:rsidP="005A7878">
            <w:pPr>
              <w:rPr>
                <w:color w:val="000000"/>
                <w:sz w:val="16"/>
                <w:szCs w:val="16"/>
              </w:rPr>
            </w:pPr>
            <w:r w:rsidRPr="005408E4">
              <w:rPr>
                <w:rFonts w:cs="Arial"/>
                <w:sz w:val="16"/>
                <w:szCs w:val="16"/>
              </w:rPr>
              <w:t>Timely publication of documents for committees and working groups</w:t>
            </w:r>
          </w:p>
        </w:tc>
        <w:tc>
          <w:tcPr>
            <w:tcW w:w="926" w:type="pct"/>
            <w:shd w:val="clear" w:color="auto" w:fill="FFFFFF"/>
            <w:tcMar>
              <w:top w:w="113" w:type="dxa"/>
              <w:bottom w:w="85" w:type="dxa"/>
            </w:tcMar>
          </w:tcPr>
          <w:p w:rsidR="008D43FD" w:rsidRPr="00F90173" w:rsidRDefault="008D43FD" w:rsidP="005A7878">
            <w:pPr>
              <w:jc w:val="center"/>
              <w:rPr>
                <w:rFonts w:cs="Arial"/>
                <w:sz w:val="16"/>
                <w:szCs w:val="16"/>
                <w:lang w:bidi="th-TH"/>
              </w:rPr>
            </w:pPr>
            <w:r w:rsidRPr="00F90173">
              <w:rPr>
                <w:rFonts w:cs="Arial"/>
                <w:sz w:val="16"/>
                <w:szCs w:val="16"/>
                <w:lang w:bidi="th-TH"/>
              </w:rPr>
              <w:t>Program 27</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B2FC7">
              <w:rPr>
                <w:rFonts w:cs="Arial"/>
                <w:color w:val="FF0000"/>
                <w:sz w:val="22"/>
                <w:szCs w:val="22"/>
              </w:rPr>
              <w:sym w:font="Wingdings" w:char="F06C"/>
            </w:r>
          </w:p>
        </w:tc>
      </w:tr>
      <w:tr w:rsidR="008D43FD" w:rsidRPr="00AF5E7C" w:rsidTr="005A7878">
        <w:trPr>
          <w:cantSplit/>
          <w:trHeight w:val="516"/>
        </w:trPr>
        <w:tc>
          <w:tcPr>
            <w:tcW w:w="1544" w:type="pct"/>
            <w:shd w:val="clear" w:color="auto" w:fill="auto"/>
            <w:tcMar>
              <w:top w:w="113" w:type="dxa"/>
              <w:bottom w:w="85" w:type="dxa"/>
            </w:tcMar>
          </w:tcPr>
          <w:p w:rsidR="008D43FD" w:rsidRPr="00D81234" w:rsidRDefault="008D43FD" w:rsidP="005A7878">
            <w:pPr>
              <w:rPr>
                <w:rFonts w:cs="Arial"/>
                <w:sz w:val="16"/>
                <w:szCs w:val="16"/>
              </w:rPr>
            </w:pPr>
            <w:r w:rsidRPr="00D81234">
              <w:rPr>
                <w:rFonts w:cs="Arial"/>
                <w:sz w:val="16"/>
                <w:szCs w:val="16"/>
              </w:rPr>
              <w:t xml:space="preserve">IX.2 </w:t>
            </w:r>
            <w:r>
              <w:rPr>
                <w:rFonts w:cs="Arial"/>
                <w:sz w:val="16"/>
                <w:szCs w:val="16"/>
              </w:rPr>
              <w:t xml:space="preserve"> </w:t>
            </w:r>
            <w:r w:rsidRPr="00D81234">
              <w:rPr>
                <w:rFonts w:cs="Arial"/>
                <w:sz w:val="16"/>
                <w:szCs w:val="16"/>
              </w:rPr>
              <w:t xml:space="preserve">A smooth functioning Secretariat with a </w:t>
            </w:r>
            <w:proofErr w:type="spellStart"/>
            <w:r w:rsidRPr="00D81234">
              <w:rPr>
                <w:rFonts w:cs="Arial"/>
                <w:sz w:val="16"/>
                <w:szCs w:val="16"/>
              </w:rPr>
              <w:t>well managed</w:t>
            </w:r>
            <w:proofErr w:type="spellEnd"/>
            <w:r w:rsidRPr="00D81234">
              <w:rPr>
                <w:rFonts w:cs="Arial"/>
                <w:sz w:val="16"/>
                <w:szCs w:val="16"/>
              </w:rPr>
              <w:t xml:space="preserve"> and appropriately skilled workforce which is effectively delivering results</w:t>
            </w:r>
          </w:p>
        </w:tc>
        <w:tc>
          <w:tcPr>
            <w:tcW w:w="2162" w:type="pct"/>
            <w:shd w:val="clear" w:color="auto" w:fill="auto"/>
            <w:tcMar>
              <w:top w:w="113" w:type="dxa"/>
              <w:bottom w:w="85" w:type="dxa"/>
            </w:tcMar>
          </w:tcPr>
          <w:p w:rsidR="008D43FD" w:rsidRPr="00D81234" w:rsidRDefault="008D43FD" w:rsidP="005A7878">
            <w:pPr>
              <w:rPr>
                <w:rFonts w:cs="Arial"/>
                <w:sz w:val="16"/>
                <w:szCs w:val="16"/>
              </w:rPr>
            </w:pPr>
            <w:r w:rsidRPr="00D81234">
              <w:rPr>
                <w:rFonts w:cs="Arial"/>
                <w:sz w:val="16"/>
                <w:szCs w:val="16"/>
              </w:rPr>
              <w:t>% of queries for legal advice and services which receive prompt, independent and reliable responses from the Office of the Legal Counsel</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lang w:bidi="th-TH"/>
              </w:rPr>
              <w:t>Program 21</w:t>
            </w:r>
          </w:p>
        </w:tc>
        <w:tc>
          <w:tcPr>
            <w:tcW w:w="368" w:type="pct"/>
            <w:shd w:val="clear" w:color="auto" w:fill="FFFFFF"/>
          </w:tcPr>
          <w:p w:rsidR="008D43FD" w:rsidRDefault="008D43FD" w:rsidP="005A7878">
            <w:pPr>
              <w:jc w:val="center"/>
            </w:pPr>
            <w:r w:rsidRPr="00365F93">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815648" w:rsidRDefault="008D43FD" w:rsidP="005A7878">
            <w:pPr>
              <w:rPr>
                <w:rFonts w:cs="Arial"/>
                <w:sz w:val="16"/>
                <w:szCs w:val="16"/>
              </w:rPr>
            </w:pPr>
          </w:p>
        </w:tc>
        <w:tc>
          <w:tcPr>
            <w:tcW w:w="2162" w:type="pct"/>
            <w:shd w:val="clear" w:color="auto" w:fill="auto"/>
            <w:tcMar>
              <w:top w:w="113" w:type="dxa"/>
              <w:bottom w:w="85" w:type="dxa"/>
            </w:tcMar>
          </w:tcPr>
          <w:p w:rsidR="008D43FD" w:rsidRPr="00815648" w:rsidRDefault="008D43FD" w:rsidP="005A7878">
            <w:pPr>
              <w:rPr>
                <w:rFonts w:cs="Arial"/>
                <w:sz w:val="16"/>
                <w:szCs w:val="16"/>
              </w:rPr>
            </w:pPr>
            <w:r w:rsidRPr="00815648">
              <w:rPr>
                <w:rFonts w:cs="Arial"/>
                <w:sz w:val="16"/>
                <w:szCs w:val="16"/>
              </w:rPr>
              <w:t>Satisfactory financial report from the External Auditors confirms the conformity of financial operations to the provisions of the applicable WIPO conventions and treaties, the WIPO Financial Regulations and Rules and IPSAS</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lang w:bidi="th-TH"/>
              </w:rPr>
              <w:t>Program 22</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815648" w:rsidRDefault="008D43FD" w:rsidP="005A7878">
            <w:pPr>
              <w:rPr>
                <w:rFonts w:cs="Arial"/>
                <w:sz w:val="16"/>
                <w:szCs w:val="16"/>
              </w:rPr>
            </w:pPr>
          </w:p>
        </w:tc>
        <w:tc>
          <w:tcPr>
            <w:tcW w:w="2162" w:type="pct"/>
            <w:shd w:val="clear" w:color="auto" w:fill="auto"/>
            <w:tcMar>
              <w:top w:w="113" w:type="dxa"/>
              <w:bottom w:w="85" w:type="dxa"/>
            </w:tcMar>
          </w:tcPr>
          <w:p w:rsidR="008D43FD" w:rsidRPr="00815648" w:rsidRDefault="008D43FD" w:rsidP="005A7878">
            <w:pPr>
              <w:rPr>
                <w:rFonts w:cs="Arial"/>
                <w:sz w:val="16"/>
                <w:szCs w:val="16"/>
              </w:rPr>
            </w:pPr>
            <w:r w:rsidRPr="00815648">
              <w:rPr>
                <w:rFonts w:cs="Arial"/>
                <w:sz w:val="16"/>
                <w:szCs w:val="16"/>
              </w:rPr>
              <w:t>Return on invested funds in line with benchmarks established by the Investment Advisory Committee</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lang w:bidi="th-TH"/>
              </w:rPr>
              <w:t>Program 22</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815648" w:rsidRDefault="008D43FD" w:rsidP="005A7878">
            <w:pPr>
              <w:rPr>
                <w:rFonts w:cs="Arial"/>
                <w:sz w:val="16"/>
                <w:szCs w:val="16"/>
              </w:rPr>
            </w:pPr>
          </w:p>
        </w:tc>
        <w:tc>
          <w:tcPr>
            <w:tcW w:w="2162" w:type="pct"/>
            <w:shd w:val="clear" w:color="auto" w:fill="auto"/>
            <w:tcMar>
              <w:top w:w="113" w:type="dxa"/>
              <w:bottom w:w="85" w:type="dxa"/>
            </w:tcMar>
          </w:tcPr>
          <w:p w:rsidR="008D43FD" w:rsidRPr="00815648" w:rsidRDefault="008D43FD" w:rsidP="005A7878">
            <w:pPr>
              <w:rPr>
                <w:rFonts w:cs="Arial"/>
                <w:sz w:val="16"/>
                <w:szCs w:val="16"/>
              </w:rPr>
            </w:pPr>
            <w:r w:rsidRPr="00815648">
              <w:rPr>
                <w:rFonts w:cs="Arial"/>
                <w:sz w:val="16"/>
                <w:szCs w:val="16"/>
              </w:rPr>
              <w:t>Payments (including Madrid and Hague fees) made on time</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lang w:bidi="th-TH"/>
              </w:rPr>
              <w:t>Program 22</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815648" w:rsidRDefault="008D43FD" w:rsidP="005A7878">
            <w:pPr>
              <w:rPr>
                <w:rFonts w:cs="Arial"/>
                <w:sz w:val="16"/>
                <w:szCs w:val="16"/>
              </w:rPr>
            </w:pPr>
          </w:p>
        </w:tc>
        <w:tc>
          <w:tcPr>
            <w:tcW w:w="2162" w:type="pct"/>
            <w:shd w:val="clear" w:color="auto" w:fill="auto"/>
            <w:tcMar>
              <w:top w:w="113" w:type="dxa"/>
              <w:bottom w:w="85" w:type="dxa"/>
            </w:tcMar>
          </w:tcPr>
          <w:p w:rsidR="008D43FD" w:rsidRPr="00603C51" w:rsidRDefault="008D43FD" w:rsidP="005A7878">
            <w:pPr>
              <w:rPr>
                <w:rFonts w:cs="Arial"/>
                <w:sz w:val="16"/>
                <w:szCs w:val="16"/>
              </w:rPr>
            </w:pPr>
            <w:r>
              <w:rPr>
                <w:rFonts w:cs="Arial"/>
                <w:sz w:val="16"/>
                <w:szCs w:val="16"/>
              </w:rPr>
              <w:t>%</w:t>
            </w:r>
            <w:r w:rsidRPr="00603C51">
              <w:rPr>
                <w:rFonts w:cs="Arial"/>
                <w:sz w:val="16"/>
                <w:szCs w:val="16"/>
              </w:rPr>
              <w:t xml:space="preserve"> of staff </w:t>
            </w:r>
            <w:r>
              <w:rPr>
                <w:rFonts w:cs="Arial"/>
                <w:sz w:val="16"/>
                <w:szCs w:val="16"/>
              </w:rPr>
              <w:t xml:space="preserve"> </w:t>
            </w:r>
            <w:r w:rsidRPr="00603C51">
              <w:rPr>
                <w:rFonts w:cs="Arial"/>
                <w:sz w:val="16"/>
                <w:szCs w:val="16"/>
              </w:rPr>
              <w:t>trained expressing satisfaction with training (induction courses, ERP related training, RBM related training)</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lang w:bidi="th-TH"/>
              </w:rPr>
              <w:t>Program 22</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815648" w:rsidRDefault="008D43FD" w:rsidP="005A7878">
            <w:pPr>
              <w:rPr>
                <w:rFonts w:cs="Arial"/>
                <w:sz w:val="16"/>
                <w:szCs w:val="16"/>
              </w:rPr>
            </w:pPr>
          </w:p>
        </w:tc>
        <w:tc>
          <w:tcPr>
            <w:tcW w:w="2162" w:type="pct"/>
            <w:shd w:val="clear" w:color="auto" w:fill="auto"/>
            <w:tcMar>
              <w:top w:w="113" w:type="dxa"/>
              <w:bottom w:w="85" w:type="dxa"/>
            </w:tcMar>
          </w:tcPr>
          <w:p w:rsidR="008D43FD" w:rsidRPr="00513D62" w:rsidRDefault="008D43FD" w:rsidP="005A7878">
            <w:pPr>
              <w:rPr>
                <w:rFonts w:cs="Arial"/>
                <w:sz w:val="16"/>
                <w:szCs w:val="16"/>
              </w:rPr>
            </w:pPr>
            <w:r w:rsidRPr="00513D62">
              <w:rPr>
                <w:rFonts w:cs="Arial"/>
                <w:sz w:val="16"/>
                <w:szCs w:val="16"/>
              </w:rPr>
              <w:t xml:space="preserve">% of </w:t>
            </w:r>
            <w:r>
              <w:rPr>
                <w:rFonts w:cs="Arial"/>
                <w:sz w:val="16"/>
                <w:szCs w:val="16"/>
              </w:rPr>
              <w:t>(</w:t>
            </w:r>
            <w:r w:rsidRPr="00513D62">
              <w:rPr>
                <w:rFonts w:cs="Arial"/>
                <w:sz w:val="16"/>
                <w:szCs w:val="16"/>
              </w:rPr>
              <w:t>WIPO</w:t>
            </w:r>
            <w:r>
              <w:rPr>
                <w:rFonts w:cs="Arial"/>
                <w:sz w:val="16"/>
                <w:szCs w:val="16"/>
              </w:rPr>
              <w:t>)</w:t>
            </w:r>
            <w:r w:rsidRPr="00513D62">
              <w:rPr>
                <w:rFonts w:cs="Arial"/>
                <w:sz w:val="16"/>
                <w:szCs w:val="16"/>
              </w:rPr>
              <w:t xml:space="preserve"> respondents who perceive that WIPO is accountable for its results</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lang w:bidi="th-TH"/>
              </w:rPr>
              <w:t>Program 22</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CE09B5">
              <w:rPr>
                <w:rFonts w:cs="Arial"/>
                <w:color w:val="0070C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815648" w:rsidRDefault="008D43FD" w:rsidP="005A7878">
            <w:pPr>
              <w:rPr>
                <w:rFonts w:cs="Arial"/>
                <w:sz w:val="16"/>
                <w:szCs w:val="16"/>
              </w:rPr>
            </w:pPr>
          </w:p>
        </w:tc>
        <w:tc>
          <w:tcPr>
            <w:tcW w:w="2162" w:type="pct"/>
            <w:shd w:val="clear" w:color="auto" w:fill="auto"/>
            <w:tcMar>
              <w:top w:w="113" w:type="dxa"/>
              <w:bottom w:w="85" w:type="dxa"/>
            </w:tcMar>
          </w:tcPr>
          <w:p w:rsidR="008D43FD" w:rsidRPr="00513D62" w:rsidRDefault="008D43FD" w:rsidP="005A7878">
            <w:pPr>
              <w:rPr>
                <w:rFonts w:cs="Arial"/>
                <w:sz w:val="16"/>
                <w:szCs w:val="16"/>
              </w:rPr>
            </w:pPr>
            <w:r w:rsidRPr="00513D62">
              <w:rPr>
                <w:rFonts w:cs="Arial"/>
                <w:sz w:val="16"/>
                <w:szCs w:val="16"/>
              </w:rPr>
              <w:t>% of WIPO Programs using performance data for managing Program performance</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lang w:bidi="th-TH"/>
              </w:rPr>
              <w:t>Program 22</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1316A4" w:rsidRDefault="008D43FD" w:rsidP="005A7878">
            <w:pPr>
              <w:rPr>
                <w:rFonts w:cs="Arial"/>
                <w:sz w:val="16"/>
                <w:szCs w:val="16"/>
              </w:rPr>
            </w:pPr>
          </w:p>
        </w:tc>
        <w:tc>
          <w:tcPr>
            <w:tcW w:w="2162" w:type="pct"/>
            <w:shd w:val="clear" w:color="auto" w:fill="auto"/>
            <w:tcMar>
              <w:top w:w="113" w:type="dxa"/>
              <w:bottom w:w="85" w:type="dxa"/>
            </w:tcMar>
          </w:tcPr>
          <w:p w:rsidR="008D43FD" w:rsidRPr="00336796" w:rsidRDefault="008D43FD" w:rsidP="005A7878">
            <w:pPr>
              <w:rPr>
                <w:rFonts w:cs="Arial"/>
                <w:sz w:val="16"/>
                <w:szCs w:val="16"/>
              </w:rPr>
            </w:pPr>
            <w:r w:rsidRPr="00336796">
              <w:rPr>
                <w:rFonts w:cs="Arial"/>
                <w:sz w:val="16"/>
                <w:szCs w:val="16"/>
              </w:rPr>
              <w:t>Recruitment lead time</w:t>
            </w:r>
          </w:p>
        </w:tc>
        <w:tc>
          <w:tcPr>
            <w:tcW w:w="926" w:type="pct"/>
            <w:shd w:val="clear" w:color="auto" w:fill="FFFFFF"/>
            <w:tcMar>
              <w:top w:w="113" w:type="dxa"/>
              <w:bottom w:w="85" w:type="dxa"/>
            </w:tcMar>
          </w:tcPr>
          <w:p w:rsidR="008D43FD" w:rsidRDefault="008D43FD" w:rsidP="005A7878">
            <w:pPr>
              <w:jc w:val="center"/>
              <w:rPr>
                <w:rFonts w:cs="Arial"/>
                <w:sz w:val="16"/>
                <w:szCs w:val="16"/>
                <w:lang w:bidi="th-TH"/>
              </w:rPr>
            </w:pPr>
            <w:r>
              <w:rPr>
                <w:rFonts w:cs="Arial"/>
                <w:sz w:val="16"/>
                <w:szCs w:val="16"/>
                <w:lang w:bidi="th-TH"/>
              </w:rPr>
              <w:t>Program 23</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1316A4" w:rsidRDefault="008D43FD" w:rsidP="005A7878">
            <w:pPr>
              <w:rPr>
                <w:rFonts w:cs="Arial"/>
                <w:sz w:val="16"/>
                <w:szCs w:val="16"/>
              </w:rPr>
            </w:pPr>
          </w:p>
        </w:tc>
        <w:tc>
          <w:tcPr>
            <w:tcW w:w="2162" w:type="pct"/>
            <w:shd w:val="clear" w:color="auto" w:fill="auto"/>
            <w:tcMar>
              <w:top w:w="113" w:type="dxa"/>
              <w:bottom w:w="85" w:type="dxa"/>
            </w:tcMar>
          </w:tcPr>
          <w:p w:rsidR="008D43FD" w:rsidRPr="00336796" w:rsidRDefault="008D43FD" w:rsidP="005A7878">
            <w:pPr>
              <w:rPr>
                <w:rFonts w:cs="Arial"/>
                <w:sz w:val="16"/>
                <w:szCs w:val="16"/>
              </w:rPr>
            </w:pPr>
            <w:r w:rsidRPr="00336796">
              <w:rPr>
                <w:rFonts w:cs="Arial"/>
                <w:sz w:val="16"/>
                <w:szCs w:val="16"/>
              </w:rPr>
              <w:t xml:space="preserve">% of organizational units with existing workforce plans linked to annual </w:t>
            </w:r>
            <w:proofErr w:type="spellStart"/>
            <w:r w:rsidRPr="00336796">
              <w:rPr>
                <w:rFonts w:cs="Arial"/>
                <w:sz w:val="16"/>
                <w:szCs w:val="16"/>
              </w:rPr>
              <w:t>workplans</w:t>
            </w:r>
            <w:proofErr w:type="spellEnd"/>
          </w:p>
        </w:tc>
        <w:tc>
          <w:tcPr>
            <w:tcW w:w="926" w:type="pct"/>
            <w:shd w:val="clear" w:color="auto" w:fill="FFFFFF"/>
            <w:tcMar>
              <w:top w:w="113" w:type="dxa"/>
              <w:bottom w:w="85" w:type="dxa"/>
            </w:tcMar>
          </w:tcPr>
          <w:p w:rsidR="008D43FD" w:rsidRPr="00E536B5" w:rsidRDefault="008D43FD" w:rsidP="005A7878">
            <w:pPr>
              <w:jc w:val="center"/>
              <w:rPr>
                <w:rFonts w:cs="Arial"/>
                <w:sz w:val="16"/>
                <w:szCs w:val="16"/>
                <w:lang w:bidi="th-TH"/>
              </w:rPr>
            </w:pPr>
            <w:r w:rsidRPr="00856E91">
              <w:rPr>
                <w:rFonts w:cs="Arial"/>
                <w:sz w:val="16"/>
                <w:szCs w:val="16"/>
                <w:lang w:bidi="th-TH"/>
              </w:rPr>
              <w:t>Program 23</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1316A4" w:rsidRDefault="008D43FD" w:rsidP="005A7878">
            <w:pPr>
              <w:rPr>
                <w:rFonts w:cs="Arial"/>
                <w:sz w:val="16"/>
                <w:szCs w:val="16"/>
              </w:rPr>
            </w:pPr>
          </w:p>
        </w:tc>
        <w:tc>
          <w:tcPr>
            <w:tcW w:w="2162" w:type="pct"/>
            <w:shd w:val="clear" w:color="auto" w:fill="auto"/>
            <w:tcMar>
              <w:top w:w="113" w:type="dxa"/>
              <w:bottom w:w="85" w:type="dxa"/>
            </w:tcMar>
          </w:tcPr>
          <w:p w:rsidR="008D43FD" w:rsidRPr="00336796" w:rsidRDefault="008D43FD" w:rsidP="005A7878">
            <w:pPr>
              <w:rPr>
                <w:rFonts w:cs="Arial"/>
                <w:sz w:val="16"/>
                <w:szCs w:val="16"/>
              </w:rPr>
            </w:pPr>
            <w:r w:rsidRPr="00336796">
              <w:rPr>
                <w:rFonts w:cs="Arial"/>
                <w:sz w:val="16"/>
                <w:szCs w:val="16"/>
              </w:rPr>
              <w:t>% of newly recruited staff that fits organizational needs</w:t>
            </w:r>
          </w:p>
        </w:tc>
        <w:tc>
          <w:tcPr>
            <w:tcW w:w="926" w:type="pct"/>
            <w:shd w:val="clear" w:color="auto" w:fill="FFFFFF"/>
            <w:tcMar>
              <w:top w:w="113" w:type="dxa"/>
              <w:bottom w:w="85" w:type="dxa"/>
            </w:tcMar>
          </w:tcPr>
          <w:p w:rsidR="008D43FD" w:rsidRPr="00E536B5" w:rsidRDefault="008D43FD" w:rsidP="005A7878">
            <w:pPr>
              <w:jc w:val="center"/>
              <w:rPr>
                <w:rFonts w:cs="Arial"/>
                <w:sz w:val="16"/>
                <w:szCs w:val="16"/>
                <w:lang w:bidi="th-TH"/>
              </w:rPr>
            </w:pPr>
            <w:r w:rsidRPr="00856E91">
              <w:rPr>
                <w:rFonts w:cs="Arial"/>
                <w:sz w:val="16"/>
                <w:szCs w:val="16"/>
                <w:lang w:bidi="th-TH"/>
              </w:rPr>
              <w:t>Program 23</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1316A4" w:rsidRDefault="008D43FD" w:rsidP="005A7878">
            <w:pPr>
              <w:rPr>
                <w:rFonts w:cs="Arial"/>
                <w:sz w:val="16"/>
                <w:szCs w:val="16"/>
              </w:rPr>
            </w:pPr>
          </w:p>
        </w:tc>
        <w:tc>
          <w:tcPr>
            <w:tcW w:w="2162" w:type="pct"/>
            <w:shd w:val="clear" w:color="auto" w:fill="auto"/>
            <w:tcMar>
              <w:top w:w="113" w:type="dxa"/>
              <w:bottom w:w="85" w:type="dxa"/>
            </w:tcMar>
          </w:tcPr>
          <w:p w:rsidR="008D43FD" w:rsidRPr="00336796" w:rsidRDefault="008D43FD" w:rsidP="005A7878">
            <w:pPr>
              <w:rPr>
                <w:rFonts w:cs="Arial"/>
                <w:sz w:val="16"/>
                <w:szCs w:val="16"/>
              </w:rPr>
            </w:pPr>
            <w:r w:rsidRPr="00336796">
              <w:rPr>
                <w:color w:val="000000"/>
                <w:sz w:val="16"/>
                <w:szCs w:val="16"/>
              </w:rPr>
              <w:t xml:space="preserve">% of staff </w:t>
            </w:r>
            <w:r>
              <w:rPr>
                <w:color w:val="000000"/>
                <w:sz w:val="16"/>
                <w:szCs w:val="16"/>
              </w:rPr>
              <w:t xml:space="preserve"> </w:t>
            </w:r>
            <w:r w:rsidRPr="00336796">
              <w:rPr>
                <w:color w:val="000000"/>
                <w:sz w:val="16"/>
                <w:szCs w:val="16"/>
              </w:rPr>
              <w:t>whose performance is evaluated against their individual objectives and competencies</w:t>
            </w:r>
          </w:p>
        </w:tc>
        <w:tc>
          <w:tcPr>
            <w:tcW w:w="926" w:type="pct"/>
            <w:shd w:val="clear" w:color="auto" w:fill="FFFFFF"/>
            <w:tcMar>
              <w:top w:w="113" w:type="dxa"/>
              <w:bottom w:w="85" w:type="dxa"/>
            </w:tcMar>
          </w:tcPr>
          <w:p w:rsidR="008D43FD" w:rsidRPr="00E536B5" w:rsidRDefault="008D43FD" w:rsidP="005A7878">
            <w:pPr>
              <w:jc w:val="center"/>
              <w:rPr>
                <w:rFonts w:cs="Arial"/>
                <w:sz w:val="16"/>
                <w:szCs w:val="16"/>
                <w:lang w:bidi="th-TH"/>
              </w:rPr>
            </w:pPr>
            <w:r w:rsidRPr="00856E91">
              <w:rPr>
                <w:rFonts w:cs="Arial"/>
                <w:sz w:val="16"/>
                <w:szCs w:val="16"/>
                <w:lang w:bidi="th-TH"/>
              </w:rPr>
              <w:t>Program 23</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1316A4" w:rsidRDefault="008D43FD" w:rsidP="005A7878">
            <w:pPr>
              <w:rPr>
                <w:rFonts w:cs="Arial"/>
                <w:sz w:val="16"/>
                <w:szCs w:val="16"/>
              </w:rPr>
            </w:pPr>
          </w:p>
        </w:tc>
        <w:tc>
          <w:tcPr>
            <w:tcW w:w="2162" w:type="pct"/>
            <w:shd w:val="clear" w:color="auto" w:fill="auto"/>
            <w:tcMar>
              <w:top w:w="113" w:type="dxa"/>
              <w:bottom w:w="85" w:type="dxa"/>
            </w:tcMar>
          </w:tcPr>
          <w:p w:rsidR="008D43FD" w:rsidRPr="00336796" w:rsidRDefault="008D43FD" w:rsidP="005A7878">
            <w:pPr>
              <w:rPr>
                <w:color w:val="000000"/>
                <w:sz w:val="16"/>
                <w:szCs w:val="16"/>
              </w:rPr>
            </w:pPr>
            <w:r w:rsidRPr="00336796">
              <w:rPr>
                <w:color w:val="000000"/>
                <w:sz w:val="16"/>
                <w:szCs w:val="16"/>
              </w:rPr>
              <w:t>% of critical individual and collective training needs that have been fulfilled</w:t>
            </w:r>
          </w:p>
        </w:tc>
        <w:tc>
          <w:tcPr>
            <w:tcW w:w="926" w:type="pct"/>
            <w:shd w:val="clear" w:color="auto" w:fill="FFFFFF"/>
            <w:tcMar>
              <w:top w:w="113" w:type="dxa"/>
              <w:bottom w:w="85" w:type="dxa"/>
            </w:tcMar>
          </w:tcPr>
          <w:p w:rsidR="008D43FD" w:rsidRDefault="008D43FD" w:rsidP="005A7878">
            <w:pPr>
              <w:jc w:val="center"/>
              <w:rPr>
                <w:rFonts w:cs="Arial"/>
                <w:sz w:val="16"/>
                <w:szCs w:val="16"/>
                <w:lang w:bidi="th-TH"/>
              </w:rPr>
            </w:pPr>
            <w:r>
              <w:rPr>
                <w:rFonts w:cs="Arial"/>
                <w:sz w:val="16"/>
                <w:szCs w:val="16"/>
                <w:lang w:bidi="th-TH"/>
              </w:rPr>
              <w:t>Program 23</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1316A4" w:rsidRDefault="008D43FD" w:rsidP="005A7878">
            <w:pPr>
              <w:rPr>
                <w:rFonts w:cs="Arial"/>
                <w:sz w:val="16"/>
                <w:szCs w:val="16"/>
              </w:rPr>
            </w:pPr>
          </w:p>
        </w:tc>
        <w:tc>
          <w:tcPr>
            <w:tcW w:w="2162" w:type="pct"/>
            <w:shd w:val="clear" w:color="auto" w:fill="auto"/>
            <w:tcMar>
              <w:top w:w="113" w:type="dxa"/>
              <w:bottom w:w="85" w:type="dxa"/>
            </w:tcMar>
          </w:tcPr>
          <w:p w:rsidR="008D43FD" w:rsidRPr="00336796" w:rsidRDefault="008D43FD" w:rsidP="005A7878">
            <w:pPr>
              <w:rPr>
                <w:color w:val="000000"/>
                <w:sz w:val="16"/>
                <w:szCs w:val="16"/>
              </w:rPr>
            </w:pPr>
            <w:r w:rsidRPr="00924D5B">
              <w:rPr>
                <w:color w:val="000000"/>
                <w:sz w:val="16"/>
                <w:szCs w:val="16"/>
              </w:rPr>
              <w:t>Average no. of sick leave days per employee (absenteeism)</w:t>
            </w:r>
          </w:p>
        </w:tc>
        <w:tc>
          <w:tcPr>
            <w:tcW w:w="926" w:type="pct"/>
            <w:shd w:val="clear" w:color="auto" w:fill="FFFFFF"/>
            <w:tcMar>
              <w:top w:w="113" w:type="dxa"/>
              <w:bottom w:w="85" w:type="dxa"/>
            </w:tcMar>
          </w:tcPr>
          <w:p w:rsidR="008D43FD" w:rsidRDefault="008D43FD" w:rsidP="005A7878">
            <w:pPr>
              <w:jc w:val="center"/>
              <w:rPr>
                <w:rFonts w:cs="Arial"/>
                <w:sz w:val="16"/>
                <w:szCs w:val="16"/>
                <w:lang w:bidi="th-TH"/>
              </w:rPr>
            </w:pPr>
            <w:r>
              <w:rPr>
                <w:rFonts w:cs="Arial"/>
                <w:sz w:val="16"/>
                <w:szCs w:val="16"/>
                <w:lang w:bidi="th-TH"/>
              </w:rPr>
              <w:t>Program 23</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1316A4" w:rsidRDefault="008D43FD" w:rsidP="005A7878">
            <w:pPr>
              <w:rPr>
                <w:rFonts w:cs="Arial"/>
                <w:sz w:val="16"/>
                <w:szCs w:val="16"/>
              </w:rPr>
            </w:pPr>
          </w:p>
        </w:tc>
        <w:tc>
          <w:tcPr>
            <w:tcW w:w="2162" w:type="pct"/>
            <w:shd w:val="clear" w:color="auto" w:fill="auto"/>
            <w:tcMar>
              <w:top w:w="113" w:type="dxa"/>
              <w:bottom w:w="85" w:type="dxa"/>
            </w:tcMar>
          </w:tcPr>
          <w:p w:rsidR="008D43FD" w:rsidRPr="00336796" w:rsidRDefault="008D43FD" w:rsidP="005A7878">
            <w:pPr>
              <w:rPr>
                <w:color w:val="000000"/>
                <w:sz w:val="16"/>
                <w:szCs w:val="16"/>
              </w:rPr>
            </w:pPr>
            <w:r w:rsidRPr="00924D5B">
              <w:rPr>
                <w:color w:val="000000"/>
                <w:sz w:val="16"/>
                <w:szCs w:val="16"/>
              </w:rPr>
              <w:t>% of women in professional and higher positions</w:t>
            </w:r>
          </w:p>
        </w:tc>
        <w:tc>
          <w:tcPr>
            <w:tcW w:w="926" w:type="pct"/>
            <w:shd w:val="clear" w:color="auto" w:fill="FFFFFF"/>
            <w:tcMar>
              <w:top w:w="113" w:type="dxa"/>
              <w:bottom w:w="85" w:type="dxa"/>
            </w:tcMar>
          </w:tcPr>
          <w:p w:rsidR="008D43FD" w:rsidRDefault="008D43FD" w:rsidP="005A7878">
            <w:pPr>
              <w:jc w:val="center"/>
              <w:rPr>
                <w:rFonts w:cs="Arial"/>
                <w:sz w:val="16"/>
                <w:szCs w:val="16"/>
                <w:lang w:bidi="th-TH"/>
              </w:rPr>
            </w:pPr>
            <w:r>
              <w:rPr>
                <w:rFonts w:cs="Arial"/>
                <w:sz w:val="16"/>
                <w:szCs w:val="16"/>
                <w:lang w:bidi="th-TH"/>
              </w:rPr>
              <w:t>Program 23</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C5A53">
              <w:rPr>
                <w:rFonts w:cs="Arial"/>
                <w:color w:val="FF0000"/>
                <w:sz w:val="22"/>
                <w:szCs w:val="22"/>
              </w:rPr>
              <w:sym w:font="Wingdings" w:char="F06C"/>
            </w:r>
            <w:r w:rsidRPr="005F33CE">
              <w:rPr>
                <w:rFonts w:cs="Arial"/>
                <w:color w:val="008000"/>
                <w:sz w:val="22"/>
                <w:szCs w:val="22"/>
              </w:rPr>
              <w:sym w:font="Wingdings" w:char="F06C"/>
            </w:r>
            <w:r w:rsidRPr="005C5A53">
              <w:rPr>
                <w:rFonts w:cs="Arial"/>
                <w:color w:val="FF0000"/>
                <w:sz w:val="22"/>
                <w:szCs w:val="22"/>
              </w:rPr>
              <w:sym w:font="Wingdings" w:char="F06C"/>
            </w:r>
            <w:r w:rsidRPr="005C5A53">
              <w:rPr>
                <w:rFonts w:cs="Arial"/>
                <w:color w:val="FF0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1316A4" w:rsidRDefault="008D43FD" w:rsidP="005A7878">
            <w:pPr>
              <w:rPr>
                <w:rFonts w:cs="Arial"/>
                <w:sz w:val="16"/>
                <w:szCs w:val="16"/>
              </w:rPr>
            </w:pPr>
          </w:p>
        </w:tc>
        <w:tc>
          <w:tcPr>
            <w:tcW w:w="2162" w:type="pct"/>
            <w:shd w:val="clear" w:color="auto" w:fill="auto"/>
            <w:tcMar>
              <w:top w:w="113" w:type="dxa"/>
              <w:bottom w:w="85" w:type="dxa"/>
            </w:tcMar>
          </w:tcPr>
          <w:p w:rsidR="008D43FD" w:rsidRDefault="008D43FD" w:rsidP="005A7878">
            <w:pPr>
              <w:rPr>
                <w:color w:val="000000"/>
                <w:sz w:val="16"/>
                <w:szCs w:val="16"/>
              </w:rPr>
            </w:pPr>
            <w:r>
              <w:rPr>
                <w:color w:val="000000"/>
                <w:sz w:val="16"/>
                <w:szCs w:val="16"/>
              </w:rPr>
              <w:t xml:space="preserve">Geographical diversity - </w:t>
            </w:r>
          </w:p>
          <w:p w:rsidR="008D43FD" w:rsidRDefault="008D43FD" w:rsidP="005A7878">
            <w:pPr>
              <w:rPr>
                <w:color w:val="000000"/>
                <w:sz w:val="16"/>
                <w:szCs w:val="16"/>
              </w:rPr>
            </w:pPr>
            <w:r>
              <w:rPr>
                <w:color w:val="000000"/>
                <w:sz w:val="16"/>
                <w:szCs w:val="16"/>
              </w:rPr>
              <w:t>% of Member States represented</w:t>
            </w:r>
          </w:p>
          <w:p w:rsidR="008D43FD" w:rsidRPr="00336796" w:rsidRDefault="008D43FD" w:rsidP="005A7878">
            <w:pPr>
              <w:rPr>
                <w:color w:val="000000"/>
                <w:sz w:val="16"/>
                <w:szCs w:val="16"/>
              </w:rPr>
            </w:pPr>
          </w:p>
        </w:tc>
        <w:tc>
          <w:tcPr>
            <w:tcW w:w="926" w:type="pct"/>
            <w:shd w:val="clear" w:color="auto" w:fill="FFFFFF"/>
            <w:tcMar>
              <w:top w:w="113" w:type="dxa"/>
              <w:bottom w:w="85" w:type="dxa"/>
            </w:tcMar>
          </w:tcPr>
          <w:p w:rsidR="008D43FD" w:rsidRDefault="008D43FD" w:rsidP="005A7878">
            <w:pPr>
              <w:jc w:val="center"/>
              <w:rPr>
                <w:rFonts w:cs="Arial"/>
                <w:sz w:val="16"/>
                <w:szCs w:val="16"/>
                <w:lang w:bidi="th-TH"/>
              </w:rPr>
            </w:pPr>
            <w:r>
              <w:rPr>
                <w:rFonts w:cs="Arial"/>
                <w:sz w:val="16"/>
                <w:szCs w:val="16"/>
                <w:lang w:bidi="th-TH"/>
              </w:rPr>
              <w:t>Program 23</w:t>
            </w:r>
          </w:p>
        </w:tc>
        <w:tc>
          <w:tcPr>
            <w:tcW w:w="368" w:type="pct"/>
            <w:shd w:val="clear" w:color="auto" w:fill="FFFFFF"/>
          </w:tcPr>
          <w:p w:rsidR="008D43FD" w:rsidRPr="008B7720" w:rsidRDefault="008D43FD" w:rsidP="005A7878">
            <w:pPr>
              <w:jc w:val="center"/>
              <w:rPr>
                <w:color w:val="A6A6A6"/>
              </w:rPr>
            </w:pPr>
            <w:r w:rsidRPr="008B7720">
              <w:rPr>
                <w:rFonts w:cs="Arial"/>
                <w:color w:val="A6A6A6" w:themeColor="background1" w:themeShade="A6"/>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1316A4" w:rsidRDefault="008D43FD" w:rsidP="005A7878">
            <w:pPr>
              <w:rPr>
                <w:rFonts w:cs="Arial"/>
                <w:sz w:val="16"/>
                <w:szCs w:val="16"/>
              </w:rPr>
            </w:pPr>
            <w:r w:rsidRPr="001316A4">
              <w:rPr>
                <w:rFonts w:cs="Arial"/>
                <w:sz w:val="16"/>
                <w:szCs w:val="16"/>
              </w:rPr>
              <w:t xml:space="preserve">IX.3 </w:t>
            </w:r>
            <w:r>
              <w:rPr>
                <w:rFonts w:cs="Arial"/>
                <w:sz w:val="16"/>
                <w:szCs w:val="16"/>
              </w:rPr>
              <w:t xml:space="preserve"> </w:t>
            </w:r>
            <w:r w:rsidRPr="001316A4">
              <w:rPr>
                <w:rFonts w:cs="Arial"/>
                <w:sz w:val="16"/>
                <w:szCs w:val="16"/>
              </w:rPr>
              <w:t>An enabling working environment supported by an effective regulatory framework and appropriate channels to address staff concerns</w:t>
            </w:r>
          </w:p>
        </w:tc>
        <w:tc>
          <w:tcPr>
            <w:tcW w:w="2162" w:type="pct"/>
            <w:shd w:val="clear" w:color="auto" w:fill="auto"/>
            <w:tcMar>
              <w:top w:w="113" w:type="dxa"/>
              <w:bottom w:w="85" w:type="dxa"/>
            </w:tcMar>
          </w:tcPr>
          <w:p w:rsidR="008D43FD" w:rsidRPr="001316A4" w:rsidRDefault="008D43FD" w:rsidP="005A7878">
            <w:pPr>
              <w:rPr>
                <w:rFonts w:cs="Arial"/>
                <w:sz w:val="16"/>
                <w:szCs w:val="16"/>
              </w:rPr>
            </w:pPr>
            <w:r w:rsidRPr="001316A4">
              <w:rPr>
                <w:rFonts w:cs="Arial"/>
                <w:sz w:val="16"/>
                <w:szCs w:val="16"/>
              </w:rPr>
              <w:t xml:space="preserve">% of WIPO staff aware of services available from </w:t>
            </w:r>
            <w:proofErr w:type="spellStart"/>
            <w:r w:rsidRPr="001316A4">
              <w:rPr>
                <w:rFonts w:cs="Arial"/>
                <w:sz w:val="16"/>
                <w:szCs w:val="16"/>
              </w:rPr>
              <w:t>Ombuds</w:t>
            </w:r>
            <w:proofErr w:type="spellEnd"/>
            <w:r w:rsidRPr="001316A4">
              <w:rPr>
                <w:rFonts w:cs="Arial"/>
                <w:sz w:val="16"/>
                <w:szCs w:val="16"/>
              </w:rPr>
              <w:t>-Office and informal conflict resolution mechanism</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lang w:bidi="th-TH"/>
              </w:rPr>
              <w:t>Program 21</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AD0F54">
              <w:rPr>
                <w:rFonts w:cs="Arial"/>
                <w:color w:val="0070C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AF5E7C" w:rsidRDefault="008D43FD" w:rsidP="005A7878">
            <w:pPr>
              <w:rPr>
                <w:rFonts w:cs="Arial"/>
                <w:sz w:val="16"/>
                <w:szCs w:val="16"/>
              </w:rPr>
            </w:pPr>
          </w:p>
        </w:tc>
        <w:tc>
          <w:tcPr>
            <w:tcW w:w="2162" w:type="pct"/>
            <w:shd w:val="clear" w:color="auto" w:fill="auto"/>
            <w:tcMar>
              <w:top w:w="113" w:type="dxa"/>
              <w:bottom w:w="85" w:type="dxa"/>
            </w:tcMar>
          </w:tcPr>
          <w:p w:rsidR="008D43FD" w:rsidRPr="00D738DB" w:rsidRDefault="008D43FD" w:rsidP="005A7878">
            <w:pPr>
              <w:rPr>
                <w:rFonts w:cs="Arial"/>
                <w:sz w:val="16"/>
                <w:szCs w:val="16"/>
              </w:rPr>
            </w:pPr>
            <w:r>
              <w:rPr>
                <w:rFonts w:cs="Arial"/>
                <w:sz w:val="16"/>
                <w:szCs w:val="16"/>
              </w:rPr>
              <w:t>%</w:t>
            </w:r>
            <w:r w:rsidRPr="00D738DB">
              <w:rPr>
                <w:rFonts w:cs="Arial"/>
                <w:sz w:val="16"/>
                <w:szCs w:val="16"/>
              </w:rPr>
              <w:t xml:space="preserve"> of </w:t>
            </w:r>
            <w:r>
              <w:rPr>
                <w:rFonts w:cs="Arial"/>
                <w:sz w:val="16"/>
                <w:szCs w:val="16"/>
              </w:rPr>
              <w:t xml:space="preserve">survey </w:t>
            </w:r>
            <w:r w:rsidRPr="00D738DB">
              <w:rPr>
                <w:rFonts w:cs="Arial"/>
                <w:sz w:val="16"/>
                <w:szCs w:val="16"/>
              </w:rPr>
              <w:t>respond</w:t>
            </w:r>
            <w:r>
              <w:rPr>
                <w:rFonts w:cs="Arial"/>
                <w:sz w:val="16"/>
                <w:szCs w:val="16"/>
              </w:rPr>
              <w:t>ents</w:t>
            </w:r>
            <w:r w:rsidRPr="00D738DB">
              <w:rPr>
                <w:rFonts w:cs="Arial"/>
                <w:sz w:val="16"/>
                <w:szCs w:val="16"/>
              </w:rPr>
              <w:t xml:space="preserve"> being aware of WIPO ethics principles and policies</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lang w:bidi="th-TH"/>
              </w:rPr>
              <w:t>Program 21</w:t>
            </w:r>
          </w:p>
        </w:tc>
        <w:tc>
          <w:tcPr>
            <w:tcW w:w="368" w:type="pct"/>
            <w:shd w:val="clear" w:color="auto" w:fill="FFFFFF"/>
          </w:tcPr>
          <w:p w:rsidR="008D43FD" w:rsidRDefault="008D43FD" w:rsidP="005A7878">
            <w:pPr>
              <w:jc w:val="center"/>
            </w:pPr>
            <w:r w:rsidRPr="00AD0F54">
              <w:rPr>
                <w:rFonts w:cs="Arial"/>
                <w:color w:val="0070C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603C51" w:rsidRDefault="008D43FD" w:rsidP="005A7878">
            <w:pPr>
              <w:rPr>
                <w:rFonts w:cs="Arial"/>
                <w:sz w:val="16"/>
                <w:szCs w:val="16"/>
              </w:rPr>
            </w:pPr>
          </w:p>
        </w:tc>
        <w:tc>
          <w:tcPr>
            <w:tcW w:w="2162" w:type="pct"/>
            <w:shd w:val="clear" w:color="auto" w:fill="auto"/>
            <w:tcMar>
              <w:top w:w="113" w:type="dxa"/>
              <w:bottom w:w="85" w:type="dxa"/>
            </w:tcMar>
          </w:tcPr>
          <w:p w:rsidR="008D43FD" w:rsidRPr="00603C51" w:rsidRDefault="008D43FD" w:rsidP="005A7878">
            <w:pPr>
              <w:rPr>
                <w:rFonts w:cs="Arial"/>
                <w:sz w:val="16"/>
                <w:szCs w:val="16"/>
              </w:rPr>
            </w:pPr>
            <w:r w:rsidRPr="00603C51">
              <w:rPr>
                <w:rFonts w:cs="Arial"/>
                <w:sz w:val="16"/>
                <w:szCs w:val="16"/>
              </w:rPr>
              <w:t>Financial Regulations and Rules and relevant Office Instructions up to date</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lang w:bidi="th-TH"/>
              </w:rPr>
              <w:t>Program 22</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p>
        </w:tc>
      </w:tr>
      <w:tr w:rsidR="008D43FD" w:rsidRPr="00AF5E7C" w:rsidTr="005A7878">
        <w:trPr>
          <w:cantSplit/>
          <w:trHeight w:val="692"/>
        </w:trPr>
        <w:tc>
          <w:tcPr>
            <w:tcW w:w="1544" w:type="pct"/>
            <w:shd w:val="clear" w:color="auto" w:fill="auto"/>
            <w:tcMar>
              <w:top w:w="113" w:type="dxa"/>
              <w:bottom w:w="85" w:type="dxa"/>
            </w:tcMar>
          </w:tcPr>
          <w:p w:rsidR="008D43FD" w:rsidRPr="00592A10" w:rsidRDefault="008D43FD" w:rsidP="005A7878">
            <w:pPr>
              <w:rPr>
                <w:rFonts w:cs="Arial"/>
                <w:sz w:val="16"/>
                <w:szCs w:val="16"/>
              </w:rPr>
            </w:pPr>
            <w:r w:rsidRPr="00592A10">
              <w:rPr>
                <w:rFonts w:cs="Arial"/>
                <w:sz w:val="16"/>
                <w:szCs w:val="16"/>
              </w:rPr>
              <w:t xml:space="preserve">IX.4 </w:t>
            </w:r>
            <w:r>
              <w:rPr>
                <w:rFonts w:cs="Arial"/>
                <w:sz w:val="16"/>
                <w:szCs w:val="16"/>
              </w:rPr>
              <w:t xml:space="preserve"> </w:t>
            </w:r>
            <w:r w:rsidRPr="00592A10">
              <w:rPr>
                <w:rFonts w:cs="Arial"/>
                <w:sz w:val="16"/>
                <w:szCs w:val="16"/>
              </w:rPr>
              <w:t>An environmentally and socially responsible Organization in which WIPO staff, delegates, visitors and information and physical assets are safe and secure</w:t>
            </w:r>
          </w:p>
        </w:tc>
        <w:tc>
          <w:tcPr>
            <w:tcW w:w="2162" w:type="pct"/>
            <w:shd w:val="clear" w:color="auto" w:fill="auto"/>
            <w:tcMar>
              <w:top w:w="113" w:type="dxa"/>
              <w:bottom w:w="85" w:type="dxa"/>
            </w:tcMar>
          </w:tcPr>
          <w:p w:rsidR="008D43FD" w:rsidRPr="006A3FC3" w:rsidRDefault="008D43FD" w:rsidP="005A7878">
            <w:pPr>
              <w:rPr>
                <w:color w:val="000000"/>
                <w:sz w:val="16"/>
                <w:szCs w:val="16"/>
              </w:rPr>
            </w:pPr>
            <w:r>
              <w:rPr>
                <w:color w:val="000000"/>
                <w:sz w:val="16"/>
                <w:szCs w:val="16"/>
              </w:rPr>
              <w:t>Improved p</w:t>
            </w:r>
            <w:r w:rsidRPr="006A3FC3">
              <w:rPr>
                <w:color w:val="000000"/>
                <w:sz w:val="16"/>
                <w:szCs w:val="16"/>
              </w:rPr>
              <w:t>hysical access</w:t>
            </w:r>
            <w:r>
              <w:rPr>
                <w:color w:val="000000"/>
                <w:sz w:val="16"/>
                <w:szCs w:val="16"/>
              </w:rPr>
              <w:t xml:space="preserve"> to</w:t>
            </w:r>
            <w:r w:rsidRPr="006A3FC3">
              <w:rPr>
                <w:color w:val="000000"/>
                <w:sz w:val="16"/>
                <w:szCs w:val="16"/>
              </w:rPr>
              <w:t xml:space="preserve"> the WIPO campus</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lang w:bidi="th-TH"/>
              </w:rPr>
              <w:t>Program 24</w:t>
            </w:r>
          </w:p>
        </w:tc>
        <w:tc>
          <w:tcPr>
            <w:tcW w:w="368" w:type="pct"/>
            <w:shd w:val="clear" w:color="auto" w:fill="FFFFFF"/>
          </w:tcPr>
          <w:p w:rsidR="008D43FD" w:rsidRDefault="008D43FD" w:rsidP="005A7878">
            <w:pPr>
              <w:jc w:val="center"/>
            </w:pPr>
            <w:r w:rsidRPr="00FF0088">
              <w:rPr>
                <w:rFonts w:cs="Arial"/>
                <w:color w:val="FF0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AF5E7C" w:rsidRDefault="008D43FD" w:rsidP="005A7878">
            <w:pPr>
              <w:rPr>
                <w:rFonts w:cs="Arial"/>
                <w:sz w:val="16"/>
                <w:szCs w:val="16"/>
              </w:rPr>
            </w:pPr>
          </w:p>
        </w:tc>
        <w:tc>
          <w:tcPr>
            <w:tcW w:w="2162" w:type="pct"/>
            <w:shd w:val="clear" w:color="auto" w:fill="auto"/>
            <w:tcMar>
              <w:top w:w="113" w:type="dxa"/>
              <w:bottom w:w="85" w:type="dxa"/>
            </w:tcMar>
          </w:tcPr>
          <w:p w:rsidR="008D43FD" w:rsidRPr="006A3FC3" w:rsidRDefault="008D43FD" w:rsidP="005A7878">
            <w:pPr>
              <w:rPr>
                <w:color w:val="000000"/>
                <w:sz w:val="16"/>
                <w:szCs w:val="16"/>
              </w:rPr>
            </w:pPr>
            <w:r>
              <w:rPr>
                <w:color w:val="000000"/>
                <w:sz w:val="16"/>
                <w:szCs w:val="16"/>
              </w:rPr>
              <w:t xml:space="preserve">Reduced impact of WIPO buildings on the environment </w:t>
            </w:r>
          </w:p>
        </w:tc>
        <w:tc>
          <w:tcPr>
            <w:tcW w:w="926" w:type="pct"/>
            <w:shd w:val="clear" w:color="auto" w:fill="FFFFFF"/>
            <w:tcMar>
              <w:top w:w="113" w:type="dxa"/>
              <w:bottom w:w="85" w:type="dxa"/>
            </w:tcMar>
          </w:tcPr>
          <w:p w:rsidR="008D43FD" w:rsidRDefault="008D43FD" w:rsidP="005A7878">
            <w:pPr>
              <w:jc w:val="center"/>
              <w:rPr>
                <w:rFonts w:cs="Arial"/>
                <w:sz w:val="16"/>
                <w:szCs w:val="16"/>
                <w:lang w:bidi="th-TH"/>
              </w:rPr>
            </w:pPr>
            <w:r>
              <w:rPr>
                <w:rFonts w:cs="Arial"/>
                <w:sz w:val="16"/>
                <w:szCs w:val="16"/>
                <w:lang w:bidi="th-TH"/>
              </w:rPr>
              <w:t>Program 24</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AF5E7C" w:rsidRDefault="008D43FD" w:rsidP="005A7878">
            <w:pPr>
              <w:rPr>
                <w:rFonts w:cs="Arial"/>
                <w:sz w:val="16"/>
                <w:szCs w:val="16"/>
              </w:rPr>
            </w:pPr>
          </w:p>
        </w:tc>
        <w:tc>
          <w:tcPr>
            <w:tcW w:w="2162" w:type="pct"/>
            <w:shd w:val="clear" w:color="auto" w:fill="auto"/>
            <w:tcMar>
              <w:top w:w="113" w:type="dxa"/>
              <w:bottom w:w="85" w:type="dxa"/>
            </w:tcMar>
          </w:tcPr>
          <w:p w:rsidR="008D43FD" w:rsidRPr="00366144" w:rsidRDefault="008D43FD" w:rsidP="005A7878">
            <w:pPr>
              <w:rPr>
                <w:color w:val="000000"/>
                <w:sz w:val="16"/>
                <w:szCs w:val="16"/>
              </w:rPr>
            </w:pPr>
            <w:r>
              <w:rPr>
                <w:color w:val="000000"/>
                <w:sz w:val="16"/>
                <w:szCs w:val="16"/>
              </w:rPr>
              <w:t xml:space="preserve">WIPO premises comply with </w:t>
            </w:r>
            <w:r w:rsidRPr="00366144">
              <w:rPr>
                <w:rFonts w:cs="Arial"/>
                <w:sz w:val="16"/>
                <w:szCs w:val="16"/>
                <w:lang w:bidi="th-TH"/>
              </w:rPr>
              <w:t>recommendations in 2009 audit by Institute of Safety and Security (Neuchatel)</w:t>
            </w:r>
            <w:r>
              <w:rPr>
                <w:rFonts w:cs="Arial"/>
                <w:sz w:val="16"/>
                <w:szCs w:val="16"/>
                <w:lang w:bidi="th-TH"/>
              </w:rPr>
              <w:t xml:space="preserve"> </w:t>
            </w:r>
            <w:r w:rsidRPr="00366144">
              <w:rPr>
                <w:color w:val="000000"/>
                <w:sz w:val="16"/>
                <w:szCs w:val="16"/>
              </w:rPr>
              <w:t>and UN H-MOSS peripheral security measures</w:t>
            </w:r>
          </w:p>
        </w:tc>
        <w:tc>
          <w:tcPr>
            <w:tcW w:w="926" w:type="pct"/>
            <w:shd w:val="clear" w:color="auto" w:fill="FFFFFF"/>
            <w:tcMar>
              <w:top w:w="113" w:type="dxa"/>
              <w:bottom w:w="85" w:type="dxa"/>
            </w:tcMar>
          </w:tcPr>
          <w:p w:rsidR="008D43FD" w:rsidRDefault="008D43FD" w:rsidP="005A7878">
            <w:pPr>
              <w:jc w:val="center"/>
              <w:rPr>
                <w:rFonts w:cs="Arial"/>
                <w:sz w:val="16"/>
                <w:szCs w:val="16"/>
                <w:lang w:bidi="th-TH"/>
              </w:rPr>
            </w:pPr>
            <w:r>
              <w:rPr>
                <w:rFonts w:cs="Arial"/>
                <w:sz w:val="16"/>
                <w:szCs w:val="16"/>
                <w:lang w:bidi="th-TH"/>
              </w:rPr>
              <w:t>Program 24</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AF5E7C" w:rsidRDefault="008D43FD" w:rsidP="005A7878">
            <w:pPr>
              <w:rPr>
                <w:rFonts w:cs="Arial"/>
                <w:sz w:val="16"/>
                <w:szCs w:val="16"/>
              </w:rPr>
            </w:pPr>
          </w:p>
        </w:tc>
        <w:tc>
          <w:tcPr>
            <w:tcW w:w="2162" w:type="pct"/>
            <w:shd w:val="clear" w:color="auto" w:fill="auto"/>
            <w:tcMar>
              <w:top w:w="113" w:type="dxa"/>
              <w:bottom w:w="85" w:type="dxa"/>
            </w:tcMar>
          </w:tcPr>
          <w:p w:rsidR="008D43FD" w:rsidRPr="00A12622" w:rsidRDefault="008D43FD" w:rsidP="005A7878">
            <w:pPr>
              <w:rPr>
                <w:color w:val="000000"/>
                <w:sz w:val="16"/>
                <w:szCs w:val="16"/>
              </w:rPr>
            </w:pPr>
            <w:r w:rsidRPr="00A12622">
              <w:rPr>
                <w:color w:val="000000"/>
                <w:sz w:val="16"/>
                <w:szCs w:val="16"/>
              </w:rPr>
              <w:t>Information security is reinforced to protect against increasing attacks on the Internet</w:t>
            </w:r>
          </w:p>
        </w:tc>
        <w:tc>
          <w:tcPr>
            <w:tcW w:w="926" w:type="pct"/>
            <w:shd w:val="clear" w:color="auto" w:fill="FFFFFF"/>
            <w:tcMar>
              <w:top w:w="113" w:type="dxa"/>
              <w:bottom w:w="85" w:type="dxa"/>
            </w:tcMar>
          </w:tcPr>
          <w:p w:rsidR="008D43FD" w:rsidRPr="003325B8" w:rsidRDefault="008D43FD" w:rsidP="005A7878">
            <w:pPr>
              <w:jc w:val="center"/>
              <w:rPr>
                <w:rFonts w:cs="Arial"/>
                <w:sz w:val="16"/>
                <w:szCs w:val="16"/>
                <w:lang w:bidi="th-TH"/>
              </w:rPr>
            </w:pPr>
            <w:r w:rsidRPr="00375290">
              <w:rPr>
                <w:rFonts w:cs="Arial"/>
                <w:sz w:val="16"/>
                <w:szCs w:val="16"/>
                <w:lang w:bidi="th-TH"/>
              </w:rPr>
              <w:t>Program 2</w:t>
            </w:r>
            <w:r>
              <w:rPr>
                <w:rFonts w:cs="Arial"/>
                <w:sz w:val="16"/>
                <w:szCs w:val="16"/>
                <w:lang w:bidi="th-TH"/>
              </w:rPr>
              <w:t>5</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AF5E7C" w:rsidRDefault="008D43FD" w:rsidP="005A7878">
            <w:pPr>
              <w:rPr>
                <w:rFonts w:cs="Arial"/>
                <w:sz w:val="16"/>
                <w:szCs w:val="16"/>
              </w:rPr>
            </w:pPr>
          </w:p>
        </w:tc>
        <w:tc>
          <w:tcPr>
            <w:tcW w:w="2162" w:type="pct"/>
            <w:shd w:val="clear" w:color="auto" w:fill="auto"/>
            <w:tcMar>
              <w:top w:w="113" w:type="dxa"/>
              <w:bottom w:w="85" w:type="dxa"/>
            </w:tcMar>
          </w:tcPr>
          <w:p w:rsidR="008D43FD" w:rsidRPr="00A12622" w:rsidRDefault="008D43FD" w:rsidP="005A7878">
            <w:pPr>
              <w:rPr>
                <w:color w:val="000000"/>
                <w:sz w:val="16"/>
                <w:szCs w:val="16"/>
              </w:rPr>
            </w:pPr>
            <w:r w:rsidRPr="00A12622">
              <w:rPr>
                <w:color w:val="000000"/>
                <w:sz w:val="16"/>
                <w:szCs w:val="16"/>
              </w:rPr>
              <w:t>Status of ISO 27001 Certification and Information Risk management processes</w:t>
            </w:r>
          </w:p>
        </w:tc>
        <w:tc>
          <w:tcPr>
            <w:tcW w:w="926" w:type="pct"/>
            <w:shd w:val="clear" w:color="auto" w:fill="FFFFFF"/>
            <w:tcMar>
              <w:top w:w="113" w:type="dxa"/>
              <w:bottom w:w="85" w:type="dxa"/>
            </w:tcMar>
          </w:tcPr>
          <w:p w:rsidR="008D43FD" w:rsidRPr="003325B8" w:rsidRDefault="008D43FD" w:rsidP="005A7878">
            <w:pPr>
              <w:jc w:val="center"/>
              <w:rPr>
                <w:rFonts w:cs="Arial"/>
                <w:sz w:val="16"/>
                <w:szCs w:val="16"/>
                <w:lang w:bidi="th-TH"/>
              </w:rPr>
            </w:pPr>
            <w:r w:rsidRPr="00375290">
              <w:rPr>
                <w:rFonts w:cs="Arial"/>
                <w:sz w:val="16"/>
                <w:szCs w:val="16"/>
                <w:lang w:bidi="th-TH"/>
              </w:rPr>
              <w:t>Program 2</w:t>
            </w:r>
            <w:r>
              <w:rPr>
                <w:rFonts w:cs="Arial"/>
                <w:sz w:val="16"/>
                <w:szCs w:val="16"/>
                <w:lang w:bidi="th-TH"/>
              </w:rPr>
              <w:t>5</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AF5E7C" w:rsidRDefault="008D43FD" w:rsidP="005A7878">
            <w:pPr>
              <w:rPr>
                <w:rFonts w:cs="Arial"/>
                <w:sz w:val="16"/>
                <w:szCs w:val="16"/>
              </w:rPr>
            </w:pPr>
          </w:p>
        </w:tc>
        <w:tc>
          <w:tcPr>
            <w:tcW w:w="2162" w:type="pct"/>
            <w:shd w:val="clear" w:color="auto" w:fill="auto"/>
            <w:tcMar>
              <w:top w:w="113" w:type="dxa"/>
              <w:bottom w:w="85" w:type="dxa"/>
            </w:tcMar>
          </w:tcPr>
          <w:p w:rsidR="008D43FD" w:rsidRPr="00A12622" w:rsidRDefault="008D43FD" w:rsidP="005A7878">
            <w:pPr>
              <w:rPr>
                <w:color w:val="000000"/>
                <w:sz w:val="16"/>
                <w:szCs w:val="16"/>
              </w:rPr>
            </w:pPr>
            <w:r w:rsidRPr="00A12622">
              <w:rPr>
                <w:color w:val="000000"/>
                <w:sz w:val="16"/>
                <w:szCs w:val="16"/>
              </w:rPr>
              <w:t>Effectiveness of Information Security controls (internal and external facing)</w:t>
            </w:r>
          </w:p>
        </w:tc>
        <w:tc>
          <w:tcPr>
            <w:tcW w:w="926" w:type="pct"/>
            <w:shd w:val="clear" w:color="auto" w:fill="FFFFFF"/>
            <w:tcMar>
              <w:top w:w="113" w:type="dxa"/>
              <w:bottom w:w="85" w:type="dxa"/>
            </w:tcMar>
          </w:tcPr>
          <w:p w:rsidR="008D43FD" w:rsidRPr="003325B8" w:rsidRDefault="008D43FD" w:rsidP="005A7878">
            <w:pPr>
              <w:jc w:val="center"/>
              <w:rPr>
                <w:rFonts w:cs="Arial"/>
                <w:sz w:val="16"/>
                <w:szCs w:val="16"/>
                <w:lang w:bidi="th-TH"/>
              </w:rPr>
            </w:pPr>
            <w:r w:rsidRPr="00375290">
              <w:rPr>
                <w:rFonts w:cs="Arial"/>
                <w:sz w:val="16"/>
                <w:szCs w:val="16"/>
                <w:lang w:bidi="th-TH"/>
              </w:rPr>
              <w:t>Program 2</w:t>
            </w:r>
            <w:r>
              <w:rPr>
                <w:rFonts w:cs="Arial"/>
                <w:sz w:val="16"/>
                <w:szCs w:val="16"/>
                <w:lang w:bidi="th-TH"/>
              </w:rPr>
              <w:t>5</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AF5E7C" w:rsidRDefault="008D43FD" w:rsidP="005A7878">
            <w:pPr>
              <w:rPr>
                <w:rFonts w:cs="Arial"/>
                <w:sz w:val="16"/>
                <w:szCs w:val="16"/>
              </w:rPr>
            </w:pPr>
          </w:p>
        </w:tc>
        <w:tc>
          <w:tcPr>
            <w:tcW w:w="2162" w:type="pct"/>
            <w:shd w:val="clear" w:color="auto" w:fill="auto"/>
            <w:tcMar>
              <w:top w:w="113" w:type="dxa"/>
              <w:bottom w:w="85" w:type="dxa"/>
            </w:tcMar>
          </w:tcPr>
          <w:p w:rsidR="008D43FD" w:rsidRPr="00592A10" w:rsidRDefault="008D43FD" w:rsidP="005A7878">
            <w:pPr>
              <w:rPr>
                <w:rFonts w:cs="Arial"/>
                <w:sz w:val="16"/>
                <w:szCs w:val="16"/>
              </w:rPr>
            </w:pPr>
            <w:r w:rsidRPr="00592A10">
              <w:rPr>
                <w:rFonts w:cs="Arial"/>
                <w:sz w:val="16"/>
                <w:szCs w:val="16"/>
              </w:rPr>
              <w:t>% of WIPO staff, delegates &amp; visitors reporting a work related injury or incident</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lang w:bidi="th-TH"/>
              </w:rPr>
              <w:t>Program 28</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AF5E7C" w:rsidRDefault="008D43FD" w:rsidP="005A7878">
            <w:pPr>
              <w:rPr>
                <w:rFonts w:cs="Arial"/>
                <w:sz w:val="16"/>
                <w:szCs w:val="16"/>
              </w:rPr>
            </w:pPr>
          </w:p>
        </w:tc>
        <w:tc>
          <w:tcPr>
            <w:tcW w:w="2162" w:type="pct"/>
            <w:shd w:val="clear" w:color="auto" w:fill="auto"/>
            <w:tcMar>
              <w:top w:w="113" w:type="dxa"/>
              <w:bottom w:w="85" w:type="dxa"/>
            </w:tcMar>
          </w:tcPr>
          <w:p w:rsidR="008D43FD" w:rsidRPr="00592A10" w:rsidRDefault="008D43FD" w:rsidP="005A7878">
            <w:pPr>
              <w:rPr>
                <w:rFonts w:cs="Arial"/>
                <w:sz w:val="16"/>
                <w:szCs w:val="16"/>
              </w:rPr>
            </w:pPr>
            <w:r w:rsidRPr="00592A10">
              <w:rPr>
                <w:rFonts w:cs="Arial"/>
                <w:sz w:val="16"/>
                <w:szCs w:val="16"/>
              </w:rPr>
              <w:t>% of timely requests for safety &amp; security assistance at conferences or events held in or outside of Geneva</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lang w:bidi="th-TH"/>
              </w:rPr>
              <w:t>Program 28</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AF5E7C" w:rsidRDefault="008D43FD" w:rsidP="005A7878">
            <w:pPr>
              <w:rPr>
                <w:rFonts w:cs="Arial"/>
                <w:sz w:val="16"/>
                <w:szCs w:val="16"/>
              </w:rPr>
            </w:pPr>
          </w:p>
        </w:tc>
        <w:tc>
          <w:tcPr>
            <w:tcW w:w="2162" w:type="pct"/>
            <w:shd w:val="clear" w:color="auto" w:fill="auto"/>
            <w:tcMar>
              <w:top w:w="113" w:type="dxa"/>
              <w:bottom w:w="85" w:type="dxa"/>
            </w:tcMar>
          </w:tcPr>
          <w:p w:rsidR="008D43FD" w:rsidRPr="00A4590B" w:rsidRDefault="008D43FD" w:rsidP="005A7878">
            <w:pPr>
              <w:rPr>
                <w:rFonts w:cs="Arial"/>
                <w:sz w:val="16"/>
                <w:szCs w:val="16"/>
              </w:rPr>
            </w:pPr>
            <w:r w:rsidRPr="00A4590B">
              <w:rPr>
                <w:rFonts w:cs="Arial"/>
                <w:sz w:val="16"/>
                <w:szCs w:val="16"/>
              </w:rPr>
              <w:t>Monitoring of physical accessibility measures ensuring that the new conference hall and related facilities are in full compliance with the applicable standards during construction</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lang w:bidi="th-TH"/>
              </w:rPr>
              <w:t>Program 29</w:t>
            </w:r>
          </w:p>
        </w:tc>
        <w:tc>
          <w:tcPr>
            <w:tcW w:w="368" w:type="pct"/>
            <w:shd w:val="clear" w:color="auto" w:fill="FFFFFF"/>
          </w:tcPr>
          <w:p w:rsidR="008D43FD" w:rsidRDefault="008D43FD" w:rsidP="005A7878">
            <w:pPr>
              <w:jc w:val="center"/>
            </w:pPr>
            <w:r w:rsidRPr="005C7170">
              <w:rPr>
                <w:rFonts w:cs="Arial"/>
                <w:color w:val="A6A6A6"/>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AF5E7C" w:rsidRDefault="008D43FD" w:rsidP="005A7878">
            <w:pPr>
              <w:rPr>
                <w:rFonts w:cs="Arial"/>
                <w:sz w:val="16"/>
                <w:szCs w:val="16"/>
              </w:rPr>
            </w:pPr>
          </w:p>
        </w:tc>
        <w:tc>
          <w:tcPr>
            <w:tcW w:w="2162" w:type="pct"/>
            <w:shd w:val="clear" w:color="auto" w:fill="auto"/>
            <w:tcMar>
              <w:top w:w="113" w:type="dxa"/>
              <w:bottom w:w="85" w:type="dxa"/>
            </w:tcMar>
          </w:tcPr>
          <w:p w:rsidR="008D43FD" w:rsidRPr="00A4590B" w:rsidRDefault="008D43FD" w:rsidP="005A7878">
            <w:pPr>
              <w:rPr>
                <w:rFonts w:cs="Arial"/>
                <w:sz w:val="16"/>
                <w:szCs w:val="16"/>
              </w:rPr>
            </w:pPr>
            <w:r w:rsidRPr="00A4590B">
              <w:rPr>
                <w:rFonts w:cs="Arial"/>
                <w:sz w:val="16"/>
                <w:szCs w:val="16"/>
              </w:rPr>
              <w:t>Monitoring of environmentally sound measures and energy consumption reduction measures implemented during construction</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lang w:bidi="th-TH"/>
              </w:rPr>
              <w:t>Program 29</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C7170">
              <w:rPr>
                <w:rFonts w:cs="Arial"/>
                <w:color w:val="A6A6A6"/>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AF5E7C" w:rsidRDefault="008D43FD" w:rsidP="005A7878">
            <w:pPr>
              <w:rPr>
                <w:rFonts w:cs="Arial"/>
                <w:sz w:val="16"/>
                <w:szCs w:val="16"/>
              </w:rPr>
            </w:pPr>
          </w:p>
        </w:tc>
        <w:tc>
          <w:tcPr>
            <w:tcW w:w="2162" w:type="pct"/>
            <w:shd w:val="clear" w:color="auto" w:fill="auto"/>
            <w:tcMar>
              <w:top w:w="113" w:type="dxa"/>
              <w:bottom w:w="85" w:type="dxa"/>
            </w:tcMar>
          </w:tcPr>
          <w:p w:rsidR="008D43FD" w:rsidRPr="00A4590B" w:rsidRDefault="008D43FD" w:rsidP="005A7878">
            <w:pPr>
              <w:rPr>
                <w:rFonts w:cs="Arial"/>
                <w:sz w:val="16"/>
                <w:szCs w:val="16"/>
              </w:rPr>
            </w:pPr>
            <w:r w:rsidRPr="00A4590B">
              <w:rPr>
                <w:rFonts w:cs="Arial"/>
                <w:sz w:val="16"/>
                <w:szCs w:val="16"/>
              </w:rPr>
              <w:t>Completion of UN H-MOSS peripheral security measures for the new conference hall</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lang w:bidi="th-TH"/>
              </w:rPr>
              <w:t>Program 29</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604261" w:rsidRDefault="008D43FD" w:rsidP="005A7878">
            <w:pPr>
              <w:rPr>
                <w:rFonts w:cs="Arial"/>
                <w:sz w:val="16"/>
                <w:szCs w:val="16"/>
              </w:rPr>
            </w:pPr>
            <w:r w:rsidRPr="00604261">
              <w:rPr>
                <w:rFonts w:cs="Arial"/>
                <w:sz w:val="16"/>
                <w:szCs w:val="16"/>
              </w:rPr>
              <w:t>IX.8</w:t>
            </w:r>
            <w:r>
              <w:rPr>
                <w:rFonts w:cs="Arial"/>
                <w:sz w:val="16"/>
                <w:szCs w:val="16"/>
              </w:rPr>
              <w:t xml:space="preserve">  </w:t>
            </w:r>
            <w:r w:rsidRPr="00604261">
              <w:rPr>
                <w:rFonts w:cs="Arial"/>
                <w:sz w:val="16"/>
                <w:szCs w:val="16"/>
              </w:rPr>
              <w:t>Improved accountability, organizational learning, value for money, stewardship, internal control and corporate governance through assistance from effective and independent oversight</w:t>
            </w:r>
          </w:p>
        </w:tc>
        <w:tc>
          <w:tcPr>
            <w:tcW w:w="2162" w:type="pct"/>
            <w:shd w:val="clear" w:color="auto" w:fill="auto"/>
            <w:tcMar>
              <w:top w:w="113" w:type="dxa"/>
              <w:bottom w:w="85" w:type="dxa"/>
            </w:tcMar>
          </w:tcPr>
          <w:p w:rsidR="008D43FD" w:rsidRPr="00604261" w:rsidRDefault="008D43FD" w:rsidP="005A7878">
            <w:pPr>
              <w:rPr>
                <w:rFonts w:cs="Arial"/>
                <w:b/>
                <w:sz w:val="16"/>
                <w:szCs w:val="16"/>
              </w:rPr>
            </w:pPr>
            <w:r w:rsidRPr="00604261">
              <w:rPr>
                <w:rFonts w:cs="Arial"/>
                <w:sz w:val="16"/>
                <w:szCs w:val="16"/>
              </w:rPr>
              <w:t>No</w:t>
            </w:r>
            <w:r>
              <w:rPr>
                <w:rFonts w:cs="Arial"/>
                <w:sz w:val="16"/>
                <w:szCs w:val="16"/>
              </w:rPr>
              <w:t>.</w:t>
            </w:r>
            <w:r w:rsidRPr="00604261">
              <w:rPr>
                <w:rFonts w:cs="Arial"/>
                <w:sz w:val="16"/>
                <w:szCs w:val="16"/>
              </w:rPr>
              <w:t xml:space="preserve"> interference and perceived independence by key stakeholders</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lang w:bidi="th-TH"/>
              </w:rPr>
              <w:t>Program 26</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AF5E7C" w:rsidRDefault="008D43FD" w:rsidP="005A7878">
            <w:pPr>
              <w:rPr>
                <w:rFonts w:cs="Arial"/>
                <w:sz w:val="16"/>
                <w:szCs w:val="16"/>
              </w:rPr>
            </w:pPr>
          </w:p>
        </w:tc>
        <w:tc>
          <w:tcPr>
            <w:tcW w:w="2162" w:type="pct"/>
            <w:shd w:val="clear" w:color="auto" w:fill="auto"/>
            <w:tcMar>
              <w:top w:w="113" w:type="dxa"/>
              <w:bottom w:w="85" w:type="dxa"/>
            </w:tcMar>
          </w:tcPr>
          <w:p w:rsidR="008D43FD" w:rsidRPr="00604261" w:rsidRDefault="008D43FD" w:rsidP="005A7878">
            <w:pPr>
              <w:rPr>
                <w:rFonts w:cs="Arial"/>
                <w:sz w:val="16"/>
                <w:szCs w:val="16"/>
              </w:rPr>
            </w:pPr>
            <w:r w:rsidRPr="00604261">
              <w:rPr>
                <w:rFonts w:cs="Arial"/>
                <w:sz w:val="16"/>
                <w:szCs w:val="16"/>
              </w:rPr>
              <w:t>EFFECTIVENESS % of work of IAOD which covers high risk/high relevance areas</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lang w:bidi="th-TH"/>
              </w:rPr>
              <w:t>Program 26</w:t>
            </w:r>
          </w:p>
        </w:tc>
        <w:tc>
          <w:tcPr>
            <w:tcW w:w="368" w:type="pct"/>
            <w:shd w:val="clear" w:color="auto" w:fill="FFFFFF"/>
          </w:tcPr>
          <w:p w:rsidR="008D43FD" w:rsidRDefault="008D43FD" w:rsidP="005A7878">
            <w:pPr>
              <w:jc w:val="center"/>
            </w:pP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AF5E7C" w:rsidRDefault="008D43FD" w:rsidP="005A7878">
            <w:pPr>
              <w:rPr>
                <w:rFonts w:cs="Arial"/>
                <w:sz w:val="16"/>
                <w:szCs w:val="16"/>
              </w:rPr>
            </w:pPr>
          </w:p>
        </w:tc>
        <w:tc>
          <w:tcPr>
            <w:tcW w:w="2162" w:type="pct"/>
            <w:shd w:val="clear" w:color="auto" w:fill="auto"/>
            <w:tcMar>
              <w:top w:w="113" w:type="dxa"/>
              <w:bottom w:w="85" w:type="dxa"/>
            </w:tcMar>
          </w:tcPr>
          <w:p w:rsidR="008D43FD" w:rsidRPr="00604261" w:rsidRDefault="008D43FD" w:rsidP="005A7878">
            <w:pPr>
              <w:rPr>
                <w:rFonts w:cs="Arial"/>
                <w:sz w:val="16"/>
                <w:szCs w:val="16"/>
              </w:rPr>
            </w:pPr>
            <w:r w:rsidRPr="00604261">
              <w:rPr>
                <w:rFonts w:cs="Arial"/>
                <w:sz w:val="16"/>
                <w:szCs w:val="16"/>
              </w:rPr>
              <w:t xml:space="preserve">EFFICIENCY: </w:t>
            </w:r>
            <w:r>
              <w:rPr>
                <w:rFonts w:cs="Arial"/>
                <w:sz w:val="16"/>
                <w:szCs w:val="16"/>
              </w:rPr>
              <w:t xml:space="preserve"> </w:t>
            </w:r>
            <w:r w:rsidRPr="00604261">
              <w:rPr>
                <w:rFonts w:cs="Arial"/>
                <w:sz w:val="16"/>
                <w:szCs w:val="16"/>
              </w:rPr>
              <w:t>(a) Timely and qualitative completion of oversight reports</w:t>
            </w:r>
            <w:r>
              <w:rPr>
                <w:rFonts w:cs="Arial"/>
                <w:sz w:val="16"/>
                <w:szCs w:val="16"/>
              </w:rPr>
              <w:t xml:space="preserve">; </w:t>
            </w:r>
            <w:r w:rsidRPr="00604261">
              <w:rPr>
                <w:rFonts w:cs="Arial"/>
                <w:sz w:val="16"/>
                <w:szCs w:val="16"/>
              </w:rPr>
              <w:t xml:space="preserve"> (b) Number of audits &amp; evaluations completed as per oversight </w:t>
            </w:r>
            <w:proofErr w:type="spellStart"/>
            <w:r w:rsidRPr="00604261">
              <w:rPr>
                <w:rFonts w:cs="Arial"/>
                <w:sz w:val="16"/>
                <w:szCs w:val="16"/>
              </w:rPr>
              <w:t>workplan</w:t>
            </w:r>
            <w:proofErr w:type="spellEnd"/>
            <w:r w:rsidRPr="00604261">
              <w:rPr>
                <w:rFonts w:cs="Arial"/>
                <w:sz w:val="16"/>
                <w:szCs w:val="16"/>
              </w:rPr>
              <w:t xml:space="preserve">; </w:t>
            </w:r>
            <w:r>
              <w:rPr>
                <w:rFonts w:cs="Arial"/>
                <w:sz w:val="16"/>
                <w:szCs w:val="16"/>
              </w:rPr>
              <w:t xml:space="preserve"> </w:t>
            </w:r>
            <w:r w:rsidRPr="00604261">
              <w:rPr>
                <w:rFonts w:cs="Arial"/>
                <w:sz w:val="16"/>
                <w:szCs w:val="16"/>
              </w:rPr>
              <w:t>(c) Number of complaints/reports of possible misconduct handled</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lang w:bidi="th-TH"/>
              </w:rPr>
              <w:t>Program 26</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AF5E7C" w:rsidRDefault="008D43FD" w:rsidP="005A7878">
            <w:pPr>
              <w:rPr>
                <w:rFonts w:cs="Arial"/>
                <w:sz w:val="16"/>
                <w:szCs w:val="16"/>
              </w:rPr>
            </w:pPr>
          </w:p>
        </w:tc>
        <w:tc>
          <w:tcPr>
            <w:tcW w:w="2162" w:type="pct"/>
            <w:shd w:val="clear" w:color="auto" w:fill="auto"/>
            <w:tcMar>
              <w:top w:w="113" w:type="dxa"/>
              <w:bottom w:w="85" w:type="dxa"/>
            </w:tcMar>
          </w:tcPr>
          <w:p w:rsidR="008D43FD" w:rsidRPr="00604261" w:rsidRDefault="008D43FD" w:rsidP="005A7878">
            <w:pPr>
              <w:rPr>
                <w:rFonts w:cs="Arial"/>
                <w:sz w:val="16"/>
                <w:szCs w:val="16"/>
              </w:rPr>
            </w:pPr>
            <w:r w:rsidRPr="00604261">
              <w:rPr>
                <w:rFonts w:cs="Arial"/>
                <w:sz w:val="16"/>
                <w:szCs w:val="16"/>
              </w:rPr>
              <w:t>RELEVANCE, ADDED VALUE &amp; STEWARDSHIP</w:t>
            </w:r>
            <w:r>
              <w:rPr>
                <w:rFonts w:cs="Arial"/>
                <w:sz w:val="16"/>
                <w:szCs w:val="16"/>
              </w:rPr>
              <w:t xml:space="preserve"> </w:t>
            </w:r>
            <w:r>
              <w:rPr>
                <w:rFonts w:cs="Arial"/>
                <w:sz w:val="16"/>
                <w:szCs w:val="16"/>
              </w:rPr>
              <w:noBreakHyphen/>
            </w:r>
            <w:r w:rsidRPr="00604261">
              <w:rPr>
                <w:rFonts w:cs="Arial"/>
                <w:sz w:val="16"/>
                <w:szCs w:val="16"/>
              </w:rPr>
              <w:t xml:space="preserve"> Tangible cost savings or improvements made in business processes and systems</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lang w:bidi="th-TH"/>
              </w:rPr>
              <w:t>Program 26</w:t>
            </w:r>
          </w:p>
        </w:tc>
        <w:tc>
          <w:tcPr>
            <w:tcW w:w="368" w:type="pct"/>
            <w:shd w:val="clear" w:color="auto" w:fill="FFFFFF"/>
          </w:tcPr>
          <w:p w:rsidR="008D43FD" w:rsidRPr="004B4CBD" w:rsidRDefault="008D43FD" w:rsidP="005A7878">
            <w:pPr>
              <w:jc w:val="center"/>
              <w:rPr>
                <w:color w:val="0070C0"/>
              </w:rPr>
            </w:pPr>
            <w:r w:rsidRPr="004B4CBD">
              <w:rPr>
                <w:rFonts w:cs="Arial"/>
                <w:color w:val="0070C0"/>
                <w:sz w:val="22"/>
                <w:szCs w:val="22"/>
              </w:rPr>
              <w:sym w:font="Wingdings" w:char="F06C"/>
            </w:r>
          </w:p>
        </w:tc>
      </w:tr>
      <w:tr w:rsidR="008D43FD" w:rsidRPr="00AF5E7C" w:rsidTr="005A7878">
        <w:trPr>
          <w:cantSplit/>
          <w:trHeight w:val="335"/>
        </w:trPr>
        <w:tc>
          <w:tcPr>
            <w:tcW w:w="1544" w:type="pct"/>
            <w:shd w:val="clear" w:color="auto" w:fill="auto"/>
            <w:tcMar>
              <w:top w:w="113" w:type="dxa"/>
              <w:bottom w:w="85" w:type="dxa"/>
            </w:tcMar>
          </w:tcPr>
          <w:p w:rsidR="008D43FD" w:rsidRPr="00AF5E7C" w:rsidRDefault="008D43FD" w:rsidP="005A7878">
            <w:pPr>
              <w:rPr>
                <w:rFonts w:cs="Arial"/>
                <w:sz w:val="16"/>
                <w:szCs w:val="16"/>
              </w:rPr>
            </w:pPr>
          </w:p>
        </w:tc>
        <w:tc>
          <w:tcPr>
            <w:tcW w:w="2162" w:type="pct"/>
            <w:shd w:val="clear" w:color="auto" w:fill="auto"/>
            <w:tcMar>
              <w:top w:w="113" w:type="dxa"/>
              <w:bottom w:w="85" w:type="dxa"/>
            </w:tcMar>
          </w:tcPr>
          <w:p w:rsidR="008D43FD" w:rsidRPr="00604261" w:rsidRDefault="008D43FD" w:rsidP="005A7878">
            <w:pPr>
              <w:rPr>
                <w:rFonts w:cs="Arial"/>
                <w:sz w:val="16"/>
                <w:szCs w:val="16"/>
              </w:rPr>
            </w:pPr>
            <w:r w:rsidRPr="00604261">
              <w:rPr>
                <w:rFonts w:cs="Arial"/>
                <w:sz w:val="16"/>
                <w:szCs w:val="16"/>
              </w:rPr>
              <w:t>ORGANIZATIONAL LEARNING</w:t>
            </w:r>
            <w:r>
              <w:rPr>
                <w:rFonts w:cs="Arial"/>
                <w:sz w:val="16"/>
                <w:szCs w:val="16"/>
              </w:rPr>
              <w:t xml:space="preserve"> </w:t>
            </w:r>
            <w:r>
              <w:rPr>
                <w:rFonts w:cs="Arial"/>
                <w:sz w:val="16"/>
                <w:szCs w:val="16"/>
              </w:rPr>
              <w:noBreakHyphen/>
              <w:t xml:space="preserve"> </w:t>
            </w:r>
            <w:r w:rsidRPr="00604261">
              <w:rPr>
                <w:rFonts w:cs="Arial"/>
                <w:sz w:val="16"/>
                <w:szCs w:val="16"/>
              </w:rPr>
              <w:t>Uptake of Lessons and Recommend</w:t>
            </w:r>
            <w:r>
              <w:rPr>
                <w:rFonts w:cs="Arial"/>
                <w:sz w:val="16"/>
                <w:szCs w:val="16"/>
              </w:rPr>
              <w:t>ations from Oversight Processes</w:t>
            </w:r>
          </w:p>
        </w:tc>
        <w:tc>
          <w:tcPr>
            <w:tcW w:w="926" w:type="pct"/>
            <w:shd w:val="clear" w:color="auto" w:fill="FFFFFF"/>
            <w:tcMar>
              <w:top w:w="113" w:type="dxa"/>
              <w:bottom w:w="85" w:type="dxa"/>
            </w:tcMar>
          </w:tcPr>
          <w:p w:rsidR="008D43FD" w:rsidRPr="00AF5E7C" w:rsidRDefault="008D43FD" w:rsidP="005A7878">
            <w:pPr>
              <w:jc w:val="center"/>
              <w:rPr>
                <w:rFonts w:cs="Arial"/>
                <w:sz w:val="16"/>
                <w:szCs w:val="16"/>
                <w:lang w:bidi="th-TH"/>
              </w:rPr>
            </w:pPr>
            <w:r>
              <w:rPr>
                <w:rFonts w:cs="Arial"/>
                <w:sz w:val="16"/>
                <w:szCs w:val="16"/>
                <w:lang w:bidi="th-TH"/>
              </w:rPr>
              <w:t>Program 26</w:t>
            </w:r>
          </w:p>
        </w:tc>
        <w:tc>
          <w:tcPr>
            <w:tcW w:w="368" w:type="pct"/>
            <w:shd w:val="clear" w:color="auto" w:fill="FFFFFF"/>
          </w:tcPr>
          <w:p w:rsidR="008D43FD" w:rsidRPr="00F718E6" w:rsidRDefault="008D43FD" w:rsidP="005A7878">
            <w:pPr>
              <w:jc w:val="center"/>
              <w:rPr>
                <w:rFonts w:cs="Arial"/>
                <w:color w:val="A6A6A6" w:themeColor="background1" w:themeShade="A6"/>
                <w:sz w:val="22"/>
                <w:szCs w:val="22"/>
              </w:rPr>
            </w:pPr>
            <w:r w:rsidRPr="005F33CE">
              <w:rPr>
                <w:rFonts w:cs="Arial"/>
                <w:color w:val="008000"/>
                <w:sz w:val="22"/>
                <w:szCs w:val="22"/>
              </w:rPr>
              <w:sym w:font="Wingdings" w:char="F06C"/>
            </w:r>
          </w:p>
        </w:tc>
      </w:tr>
    </w:tbl>
    <w:p w:rsidR="008D43FD" w:rsidRPr="00A22FCB" w:rsidRDefault="008D43FD" w:rsidP="005A7878"/>
    <w:p w:rsidR="008D43FD" w:rsidRDefault="008D43FD"/>
    <w:p w:rsidR="008D43FD" w:rsidRDefault="008D43FD"/>
    <w:p w:rsidR="00D97F1C" w:rsidRDefault="00D97F1C">
      <w:r>
        <w:br w:type="page"/>
      </w:r>
    </w:p>
    <w:p w:rsidR="00D97F1C" w:rsidRPr="001243AF" w:rsidRDefault="00D97F1C" w:rsidP="00D97F1C">
      <w:pPr>
        <w:pStyle w:val="Heading2"/>
        <w:tabs>
          <w:tab w:val="clear" w:pos="567"/>
          <w:tab w:val="left" w:pos="1985"/>
        </w:tabs>
      </w:pPr>
      <w:bookmarkStart w:id="91" w:name="_Toc422210510"/>
      <w:r w:rsidRPr="001243AF">
        <w:lastRenderedPageBreak/>
        <w:t xml:space="preserve">PROGRAM </w:t>
      </w:r>
      <w:r>
        <w:t>2</w:t>
      </w:r>
      <w:r w:rsidRPr="001243AF">
        <w:t>1</w:t>
      </w:r>
      <w:r>
        <w:tab/>
      </w:r>
      <w:r>
        <w:tab/>
        <w:t>EXECUTIVE MANAGEMENT</w:t>
      </w:r>
      <w:bookmarkEnd w:id="91"/>
    </w:p>
    <w:p w:rsidR="00D97F1C" w:rsidRPr="00383D2D" w:rsidRDefault="00D97F1C" w:rsidP="00D97F1C">
      <w:pPr>
        <w:rPr>
          <w:szCs w:val="20"/>
        </w:rPr>
      </w:pPr>
    </w:p>
    <w:p w:rsidR="00D97F1C" w:rsidRPr="00ED310D" w:rsidRDefault="00D97F1C" w:rsidP="00D97F1C">
      <w:pPr>
        <w:tabs>
          <w:tab w:val="left" w:pos="1985"/>
        </w:tabs>
        <w:rPr>
          <w:b/>
          <w:szCs w:val="22"/>
        </w:rPr>
      </w:pPr>
      <w:r w:rsidRPr="00ED310D">
        <w:rPr>
          <w:b/>
          <w:szCs w:val="22"/>
        </w:rPr>
        <w:t>Program Manager</w:t>
      </w:r>
      <w:r w:rsidRPr="00ED310D">
        <w:rPr>
          <w:b/>
          <w:szCs w:val="22"/>
        </w:rPr>
        <w:tab/>
        <w:t>Director General</w:t>
      </w:r>
    </w:p>
    <w:p w:rsidR="00D97F1C" w:rsidRPr="00BC2ECD" w:rsidRDefault="00D97F1C" w:rsidP="00D97F1C">
      <w:pPr>
        <w:rPr>
          <w:sz w:val="22"/>
          <w:szCs w:val="20"/>
        </w:rPr>
      </w:pPr>
    </w:p>
    <w:p w:rsidR="00D97F1C" w:rsidRPr="001C6F4D" w:rsidRDefault="00D97F1C" w:rsidP="00D97F1C">
      <w:pPr>
        <w:rPr>
          <w:szCs w:val="20"/>
        </w:rPr>
      </w:pPr>
    </w:p>
    <w:p w:rsidR="00BC2ECD" w:rsidRPr="005E6AFC" w:rsidRDefault="00BC2ECD" w:rsidP="000E148D">
      <w:pPr>
        <w:rPr>
          <w:bCs/>
          <w:sz w:val="22"/>
          <w:szCs w:val="22"/>
        </w:rPr>
      </w:pPr>
      <w:r>
        <w:rPr>
          <w:bCs/>
          <w:sz w:val="22"/>
          <w:szCs w:val="22"/>
        </w:rPr>
        <w:t>OVERVIEW OF PROGRESS IN 2014</w:t>
      </w:r>
    </w:p>
    <w:p w:rsidR="00BC2ECD" w:rsidRPr="00C03935" w:rsidRDefault="00BC2ECD" w:rsidP="000E148D">
      <w:pPr>
        <w:rPr>
          <w:szCs w:val="20"/>
        </w:rPr>
      </w:pPr>
    </w:p>
    <w:p w:rsidR="00BC2ECD" w:rsidRPr="00C03935" w:rsidRDefault="00BC2ECD" w:rsidP="00BC2ECD">
      <w:pPr>
        <w:numPr>
          <w:ilvl w:val="0"/>
          <w:numId w:val="77"/>
        </w:numPr>
        <w:autoSpaceDE w:val="0"/>
        <w:autoSpaceDN w:val="0"/>
        <w:adjustRightInd w:val="0"/>
        <w:jc w:val="both"/>
        <w:rPr>
          <w:rFonts w:eastAsia="SimSun" w:cs="Arial"/>
          <w:szCs w:val="20"/>
          <w:lang w:eastAsia="zh-CN"/>
        </w:rPr>
      </w:pPr>
      <w:r w:rsidRPr="00C03935">
        <w:rPr>
          <w:rFonts w:eastAsia="SimSun" w:cs="Arial"/>
          <w:szCs w:val="20"/>
          <w:lang w:eastAsia="zh-CN"/>
        </w:rPr>
        <w:t>Program 21 covers the Office of the Director General (ODG), the Office of the Legal Counsel (OLC), the Assemblies Affairs and Documentation Division (AADD), the Ethics Office</w:t>
      </w:r>
      <w:r>
        <w:rPr>
          <w:rFonts w:eastAsia="SimSun" w:cs="Arial"/>
          <w:szCs w:val="20"/>
          <w:lang w:eastAsia="zh-CN"/>
        </w:rPr>
        <w:t>,</w:t>
      </w:r>
      <w:r w:rsidRPr="00C03935">
        <w:rPr>
          <w:rFonts w:eastAsia="SimSun" w:cs="Arial"/>
          <w:szCs w:val="20"/>
          <w:lang w:eastAsia="zh-CN"/>
        </w:rPr>
        <w:t xml:space="preserve"> the Office of the Ombuds</w:t>
      </w:r>
      <w:r>
        <w:rPr>
          <w:rFonts w:eastAsia="SimSun" w:cs="Arial"/>
          <w:szCs w:val="20"/>
          <w:lang w:eastAsia="zh-CN"/>
        </w:rPr>
        <w:t>person</w:t>
      </w:r>
      <w:r w:rsidRPr="00C03935">
        <w:rPr>
          <w:rFonts w:eastAsia="SimSun" w:cs="Arial"/>
          <w:szCs w:val="20"/>
          <w:lang w:eastAsia="zh-CN"/>
        </w:rPr>
        <w:t xml:space="preserve">, </w:t>
      </w:r>
      <w:r>
        <w:rPr>
          <w:rFonts w:eastAsia="SimSun" w:cs="Arial"/>
          <w:szCs w:val="20"/>
          <w:lang w:eastAsia="zh-CN"/>
        </w:rPr>
        <w:t xml:space="preserve">and </w:t>
      </w:r>
      <w:r w:rsidRPr="00C03935">
        <w:rPr>
          <w:rFonts w:eastAsia="SimSun" w:cs="Arial"/>
          <w:szCs w:val="20"/>
          <w:lang w:eastAsia="zh-CN"/>
        </w:rPr>
        <w:t xml:space="preserve">the Protocol </w:t>
      </w:r>
      <w:r>
        <w:rPr>
          <w:rFonts w:eastAsia="SimSun" w:cs="Arial"/>
          <w:szCs w:val="20"/>
          <w:lang w:eastAsia="zh-CN"/>
        </w:rPr>
        <w:t>and Event Management Section</w:t>
      </w:r>
      <w:r w:rsidRPr="00C03935">
        <w:rPr>
          <w:rFonts w:eastAsia="SimSun" w:cs="Arial"/>
          <w:szCs w:val="20"/>
          <w:lang w:eastAsia="zh-CN"/>
        </w:rPr>
        <w:t>.</w:t>
      </w:r>
    </w:p>
    <w:p w:rsidR="00BC2ECD" w:rsidRPr="00C03935" w:rsidRDefault="00BC2ECD" w:rsidP="00FD7155">
      <w:pPr>
        <w:autoSpaceDE w:val="0"/>
        <w:autoSpaceDN w:val="0"/>
        <w:adjustRightInd w:val="0"/>
        <w:jc w:val="both"/>
        <w:rPr>
          <w:rFonts w:eastAsia="SimSun" w:cs="Arial"/>
          <w:bCs/>
          <w:color w:val="000000"/>
          <w:szCs w:val="20"/>
          <w:lang w:eastAsia="zh-CN"/>
        </w:rPr>
      </w:pPr>
    </w:p>
    <w:p w:rsidR="00BC2ECD" w:rsidRDefault="00BC2ECD" w:rsidP="00BC2ECD">
      <w:pPr>
        <w:numPr>
          <w:ilvl w:val="0"/>
          <w:numId w:val="77"/>
        </w:numPr>
        <w:autoSpaceDE w:val="0"/>
        <w:autoSpaceDN w:val="0"/>
        <w:adjustRightInd w:val="0"/>
        <w:jc w:val="both"/>
        <w:rPr>
          <w:rFonts w:eastAsia="SimSun" w:cs="Arial"/>
          <w:bCs/>
          <w:color w:val="000000"/>
          <w:szCs w:val="20"/>
          <w:lang w:eastAsia="zh-CN"/>
        </w:rPr>
      </w:pPr>
      <w:r>
        <w:rPr>
          <w:rFonts w:cs="Arial"/>
          <w:szCs w:val="20"/>
        </w:rPr>
        <w:t xml:space="preserve">Effective engagement with Member States remains a critical element in achieving progress towards the </w:t>
      </w:r>
      <w:r w:rsidRPr="00C03935">
        <w:rPr>
          <w:rFonts w:eastAsia="SimSun" w:cs="Arial"/>
          <w:bCs/>
          <w:color w:val="000000"/>
          <w:szCs w:val="20"/>
          <w:lang w:eastAsia="zh-CN"/>
        </w:rPr>
        <w:t>realization of the Organization’s nine Strategic Goals.</w:t>
      </w:r>
      <w:r>
        <w:rPr>
          <w:rFonts w:eastAsia="SimSun" w:cs="Arial"/>
          <w:bCs/>
          <w:color w:val="000000"/>
          <w:szCs w:val="20"/>
          <w:lang w:eastAsia="zh-CN"/>
        </w:rPr>
        <w:t xml:space="preserve">  The year 2014 highlighted challenges in many areas as Member States sought to achieve consensus around the Strategic Goals.  In this regard, the Director General led focused discussions with Member States in various fora to assist and provide the space in which consensus could be achieved.  It was clear by the end of the year that, while Member States had advanced their discussions, there was still a considerable distance to travel on many issues.  These efforts at facilitation and the provision of a trusted space for discussion will continue in earnest in the second year of the biennium.  Meanwhile, these same mechanisms of communication, such as </w:t>
      </w:r>
      <w:r w:rsidRPr="00C03935">
        <w:rPr>
          <w:rFonts w:eastAsia="SimSun" w:cs="Arial"/>
          <w:bCs/>
          <w:color w:val="000000"/>
          <w:szCs w:val="20"/>
          <w:lang w:eastAsia="zh-CN"/>
        </w:rPr>
        <w:t>briefings for Ambassadors</w:t>
      </w:r>
      <w:r>
        <w:rPr>
          <w:rFonts w:eastAsia="SimSun" w:cs="Arial"/>
          <w:bCs/>
          <w:color w:val="000000"/>
          <w:szCs w:val="20"/>
          <w:lang w:eastAsia="zh-CN"/>
        </w:rPr>
        <w:t xml:space="preserve">, continued to provide an invaluable means by which to receive </w:t>
      </w:r>
      <w:r w:rsidRPr="00C03935">
        <w:rPr>
          <w:rFonts w:eastAsia="SimSun" w:cs="Arial"/>
          <w:bCs/>
          <w:color w:val="000000"/>
          <w:szCs w:val="20"/>
          <w:lang w:eastAsia="zh-CN"/>
        </w:rPr>
        <w:t>feedback and advice</w:t>
      </w:r>
      <w:r>
        <w:rPr>
          <w:rFonts w:eastAsia="SimSun" w:cs="Arial"/>
          <w:bCs/>
          <w:color w:val="000000"/>
          <w:szCs w:val="20"/>
          <w:lang w:eastAsia="zh-CN"/>
        </w:rPr>
        <w:t xml:space="preserve"> for enhancing </w:t>
      </w:r>
      <w:r w:rsidRPr="00C03935">
        <w:rPr>
          <w:rFonts w:eastAsia="SimSun" w:cs="Arial"/>
          <w:bCs/>
          <w:color w:val="000000"/>
          <w:szCs w:val="20"/>
          <w:lang w:eastAsia="zh-CN"/>
        </w:rPr>
        <w:t>progress on many issues.</w:t>
      </w:r>
    </w:p>
    <w:p w:rsidR="00BC2ECD" w:rsidRDefault="00BC2ECD" w:rsidP="00A8525E">
      <w:pPr>
        <w:jc w:val="both"/>
        <w:rPr>
          <w:rFonts w:eastAsia="SimSun" w:cs="Arial"/>
          <w:bCs/>
          <w:color w:val="000000"/>
          <w:szCs w:val="20"/>
          <w:lang w:eastAsia="zh-CN"/>
        </w:rPr>
      </w:pPr>
    </w:p>
    <w:p w:rsidR="00BC2ECD" w:rsidRDefault="00BC2ECD" w:rsidP="00BC2ECD">
      <w:pPr>
        <w:numPr>
          <w:ilvl w:val="0"/>
          <w:numId w:val="77"/>
        </w:numPr>
        <w:autoSpaceDE w:val="0"/>
        <w:autoSpaceDN w:val="0"/>
        <w:adjustRightInd w:val="0"/>
        <w:jc w:val="both"/>
        <w:rPr>
          <w:rFonts w:eastAsia="SimSun" w:cs="Arial"/>
          <w:bCs/>
          <w:color w:val="000000"/>
          <w:szCs w:val="20"/>
          <w:lang w:eastAsia="zh-CN"/>
        </w:rPr>
      </w:pPr>
      <w:r>
        <w:rPr>
          <w:rFonts w:eastAsia="SimSun" w:cs="Arial"/>
          <w:bCs/>
          <w:color w:val="000000"/>
          <w:szCs w:val="20"/>
          <w:lang w:eastAsia="zh-CN"/>
        </w:rPr>
        <w:t xml:space="preserve">Internal engagement also formed an important part of program implementation and driving progress towards realizing the Strategic Goals.  Reaching out to staff, through regular briefings by the Director General and in other fora, remained a critical part of explaining and seeking buy-in to necessary change.  At the same time, the regular sessions of the Senior Management Team (SMT) provided direction to organizational units, operationalizing strategic decisions.  The commencement of the Director General’s second term provided an opportunity to inject new energy and ideas into the SMT with the introduction of four new members while retaining the experience of four members of the previous SMT.  The SMT was also expanded slightly bringing in managers responsible for human resources and legal affairs, important cross-cutting elements in strategic decision making in all areas.  Indeed, with the successful completion of the Strategic Realignment Program in 2013, the SMT played an important role throughout the year in ensuring that the gains from the SRP in terms of culture and values, efficiency in business processes and better alignment of programs, structure and resources to Strategic Goals were maintained. </w:t>
      </w:r>
    </w:p>
    <w:p w:rsidR="00BC2ECD" w:rsidRDefault="00BC2ECD" w:rsidP="00FD7155">
      <w:pPr>
        <w:jc w:val="both"/>
        <w:rPr>
          <w:rFonts w:eastAsia="SimSun" w:cs="Arial"/>
          <w:bCs/>
          <w:color w:val="000000"/>
          <w:szCs w:val="20"/>
          <w:lang w:eastAsia="zh-CN"/>
        </w:rPr>
      </w:pPr>
    </w:p>
    <w:p w:rsidR="00BC2ECD" w:rsidRPr="00C03935" w:rsidRDefault="00BC2ECD" w:rsidP="00BC2ECD">
      <w:pPr>
        <w:numPr>
          <w:ilvl w:val="0"/>
          <w:numId w:val="77"/>
        </w:numPr>
        <w:autoSpaceDE w:val="0"/>
        <w:autoSpaceDN w:val="0"/>
        <w:adjustRightInd w:val="0"/>
        <w:jc w:val="both"/>
        <w:rPr>
          <w:bCs/>
          <w:szCs w:val="20"/>
        </w:rPr>
      </w:pPr>
      <w:r>
        <w:rPr>
          <w:bCs/>
          <w:szCs w:val="20"/>
        </w:rPr>
        <w:t xml:space="preserve">The OLC continued to deliver </w:t>
      </w:r>
      <w:r w:rsidRPr="00C03935">
        <w:rPr>
          <w:rFonts w:cs="Arial"/>
          <w:szCs w:val="20"/>
        </w:rPr>
        <w:t>prompt and reliable legal advice and services consistent with statutory requirements and applicable law on constitutional, contracts, treaty law, administrative and human resource related matters, to the Director General, the</w:t>
      </w:r>
      <w:r>
        <w:rPr>
          <w:rFonts w:cs="Arial"/>
          <w:szCs w:val="20"/>
        </w:rPr>
        <w:t xml:space="preserve"> Secretariat and Member States </w:t>
      </w:r>
      <w:r>
        <w:rPr>
          <w:bCs/>
          <w:szCs w:val="20"/>
        </w:rPr>
        <w:t xml:space="preserve">in the context of strong and, in some areas, increasing demand.  A key challenge was </w:t>
      </w:r>
      <w:r w:rsidRPr="00C03935">
        <w:rPr>
          <w:rFonts w:cs="Arial"/>
          <w:szCs w:val="20"/>
        </w:rPr>
        <w:t xml:space="preserve">the </w:t>
      </w:r>
      <w:r>
        <w:rPr>
          <w:rFonts w:cs="Arial"/>
          <w:szCs w:val="20"/>
        </w:rPr>
        <w:t xml:space="preserve">commencement of the </w:t>
      </w:r>
      <w:r w:rsidRPr="00C03935">
        <w:rPr>
          <w:rFonts w:cs="Arial"/>
          <w:szCs w:val="20"/>
        </w:rPr>
        <w:t>new administration of justice system which came into force on January 1, 2014</w:t>
      </w:r>
      <w:r>
        <w:rPr>
          <w:rFonts w:cs="Arial"/>
          <w:szCs w:val="20"/>
        </w:rPr>
        <w:t xml:space="preserve">.  The OLC was able to seamlessly adapt to the new system in representing the Administration in </w:t>
      </w:r>
      <w:r w:rsidRPr="00C03935">
        <w:rPr>
          <w:rFonts w:cs="Arial"/>
          <w:szCs w:val="20"/>
        </w:rPr>
        <w:t>staff appeals and complaints</w:t>
      </w:r>
      <w:r>
        <w:rPr>
          <w:rFonts w:cs="Arial"/>
          <w:szCs w:val="20"/>
        </w:rPr>
        <w:t xml:space="preserve">.  The OLC ensured that </w:t>
      </w:r>
      <w:r w:rsidRPr="00C03935">
        <w:rPr>
          <w:rFonts w:cs="Arial"/>
          <w:szCs w:val="20"/>
        </w:rPr>
        <w:t>the depositary functions of WIPO-administered treaties were carried out efficiently</w:t>
      </w:r>
      <w:r>
        <w:rPr>
          <w:rFonts w:cs="Arial"/>
          <w:szCs w:val="20"/>
        </w:rPr>
        <w:t xml:space="preserve"> despite the </w:t>
      </w:r>
      <w:r w:rsidRPr="00C03935">
        <w:rPr>
          <w:rFonts w:cs="Arial"/>
          <w:szCs w:val="20"/>
        </w:rPr>
        <w:t>increased number of requests for advice</w:t>
      </w:r>
      <w:r>
        <w:rPr>
          <w:rFonts w:cs="Arial"/>
          <w:szCs w:val="20"/>
        </w:rPr>
        <w:t xml:space="preserve">.  It was encouraging that the </w:t>
      </w:r>
      <w:r w:rsidRPr="00C03935">
        <w:rPr>
          <w:rFonts w:cs="Arial"/>
          <w:szCs w:val="20"/>
        </w:rPr>
        <w:t>WIPO Lex database of intellectual property legal information remained the largest open resource on the Web acc</w:t>
      </w:r>
      <w:r>
        <w:rPr>
          <w:rFonts w:cs="Arial"/>
          <w:szCs w:val="20"/>
        </w:rPr>
        <w:t>essed</w:t>
      </w:r>
      <w:r w:rsidRPr="00C03935">
        <w:rPr>
          <w:rFonts w:cs="Arial"/>
          <w:szCs w:val="20"/>
        </w:rPr>
        <w:t xml:space="preserve"> by more than 1.5 million users worldwide annually.</w:t>
      </w:r>
      <w:r>
        <w:rPr>
          <w:rFonts w:cs="Arial"/>
          <w:szCs w:val="20"/>
        </w:rPr>
        <w:t xml:space="preserve">  At the same time, the OLC devoted considerable focus throughout the year to engaging with non-governmental stakeholders.  In particular, there were sustained outreach efforts </w:t>
      </w:r>
      <w:r w:rsidRPr="00C03935">
        <w:rPr>
          <w:rFonts w:cs="Arial"/>
          <w:szCs w:val="20"/>
          <w:lang w:eastAsia="zh-CN"/>
        </w:rPr>
        <w:t>and organized activities to facilitate more effective discussions with civil society representatives</w:t>
      </w:r>
      <w:r>
        <w:rPr>
          <w:rFonts w:cs="Arial"/>
          <w:szCs w:val="20"/>
          <w:lang w:eastAsia="zh-CN"/>
        </w:rPr>
        <w:t xml:space="preserve"> and ensure </w:t>
      </w:r>
      <w:r>
        <w:rPr>
          <w:rFonts w:cs="Arial"/>
          <w:szCs w:val="20"/>
        </w:rPr>
        <w:t xml:space="preserve">an open, transparent and responsive interaction with them on a range of issues including the WIPO Development Agenda.  The </w:t>
      </w:r>
      <w:r w:rsidRPr="00C03935">
        <w:rPr>
          <w:rFonts w:cs="Arial"/>
          <w:szCs w:val="20"/>
          <w:lang w:eastAsia="zh-CN"/>
        </w:rPr>
        <w:t xml:space="preserve">third annual meeting </w:t>
      </w:r>
      <w:r>
        <w:rPr>
          <w:rFonts w:cs="Arial"/>
          <w:szCs w:val="20"/>
          <w:lang w:eastAsia="zh-CN"/>
        </w:rPr>
        <w:t>of accredited non-governmental organizations with the Director General was a case in point.</w:t>
      </w:r>
    </w:p>
    <w:p w:rsidR="00BC2ECD" w:rsidRPr="00C03935" w:rsidRDefault="00BC2ECD" w:rsidP="00FD7155">
      <w:pPr>
        <w:jc w:val="both"/>
        <w:rPr>
          <w:bCs/>
          <w:szCs w:val="20"/>
        </w:rPr>
      </w:pPr>
    </w:p>
    <w:p w:rsidR="00BC2ECD" w:rsidRDefault="00BC2ECD" w:rsidP="00BC2ECD">
      <w:pPr>
        <w:numPr>
          <w:ilvl w:val="0"/>
          <w:numId w:val="77"/>
        </w:numPr>
        <w:autoSpaceDE w:val="0"/>
        <w:autoSpaceDN w:val="0"/>
        <w:adjustRightInd w:val="0"/>
        <w:jc w:val="both"/>
        <w:rPr>
          <w:rFonts w:cs="Arial"/>
          <w:szCs w:val="20"/>
        </w:rPr>
      </w:pPr>
      <w:r w:rsidRPr="00C03935">
        <w:rPr>
          <w:rFonts w:eastAsia="SimSun" w:cs="Arial"/>
          <w:szCs w:val="20"/>
          <w:lang w:eastAsia="zh-CN"/>
        </w:rPr>
        <w:t>The benefits of establishing a dedicated and centralized unit, AADD</w:t>
      </w:r>
      <w:r>
        <w:rPr>
          <w:rFonts w:eastAsia="SimSun" w:cs="Arial"/>
          <w:szCs w:val="20"/>
          <w:lang w:eastAsia="zh-CN"/>
        </w:rPr>
        <w:t>,</w:t>
      </w:r>
      <w:r w:rsidRPr="00C03935">
        <w:rPr>
          <w:rFonts w:eastAsia="SimSun" w:cs="Arial"/>
          <w:szCs w:val="20"/>
          <w:lang w:eastAsia="zh-CN"/>
        </w:rPr>
        <w:t xml:space="preserve"> to manage delivery of the Assemblies continued to be realized.  </w:t>
      </w:r>
      <w:r w:rsidRPr="00C03935">
        <w:rPr>
          <w:rFonts w:cs="Arial"/>
          <w:szCs w:val="20"/>
        </w:rPr>
        <w:t>Two extraordinary sessions were efficiently organized</w:t>
      </w:r>
      <w:r>
        <w:rPr>
          <w:rFonts w:cs="Arial"/>
          <w:szCs w:val="20"/>
        </w:rPr>
        <w:t>,</w:t>
      </w:r>
      <w:r w:rsidRPr="00C03935">
        <w:rPr>
          <w:rFonts w:cs="Arial"/>
          <w:szCs w:val="20"/>
        </w:rPr>
        <w:t xml:space="preserve"> in March (Coordination Committee) and May</w:t>
      </w:r>
      <w:r>
        <w:rPr>
          <w:rFonts w:cs="Arial"/>
          <w:szCs w:val="20"/>
        </w:rPr>
        <w:t xml:space="preserve"> (General Assembly)</w:t>
      </w:r>
      <w:r w:rsidRPr="00C03935">
        <w:rPr>
          <w:rFonts w:cs="Arial"/>
          <w:szCs w:val="20"/>
        </w:rPr>
        <w:t xml:space="preserve">, in addition to the usual autumn session of the Assemblies.  </w:t>
      </w:r>
      <w:r w:rsidRPr="00C03935">
        <w:rPr>
          <w:rFonts w:eastAsia="SimSun" w:cs="Arial"/>
          <w:szCs w:val="20"/>
          <w:lang w:eastAsia="zh-CN"/>
        </w:rPr>
        <w:t>Organizational innovations and rationalizations</w:t>
      </w:r>
      <w:r>
        <w:rPr>
          <w:rFonts w:eastAsia="SimSun" w:cs="Arial"/>
          <w:szCs w:val="20"/>
          <w:lang w:eastAsia="zh-CN"/>
        </w:rPr>
        <w:t>,</w:t>
      </w:r>
      <w:r w:rsidRPr="00C03935">
        <w:rPr>
          <w:rFonts w:eastAsia="SimSun" w:cs="Arial"/>
          <w:szCs w:val="20"/>
          <w:lang w:eastAsia="zh-CN"/>
        </w:rPr>
        <w:t xml:space="preserve"> such as webcasting of proceedings, electronic registration and new travel procedures</w:t>
      </w:r>
      <w:r>
        <w:rPr>
          <w:rFonts w:eastAsia="SimSun" w:cs="Arial"/>
          <w:szCs w:val="20"/>
          <w:lang w:eastAsia="zh-CN"/>
        </w:rPr>
        <w:t>,</w:t>
      </w:r>
      <w:r w:rsidRPr="00C03935">
        <w:rPr>
          <w:rFonts w:eastAsia="SimSun" w:cs="Arial"/>
          <w:szCs w:val="20"/>
          <w:lang w:eastAsia="zh-CN"/>
        </w:rPr>
        <w:t xml:space="preserve"> continued </w:t>
      </w:r>
      <w:r>
        <w:rPr>
          <w:rFonts w:eastAsia="SimSun" w:cs="Arial"/>
          <w:szCs w:val="20"/>
          <w:lang w:eastAsia="zh-CN"/>
        </w:rPr>
        <w:t xml:space="preserve">to be introduced and/or </w:t>
      </w:r>
      <w:r w:rsidRPr="00C03935">
        <w:rPr>
          <w:rFonts w:eastAsia="SimSun" w:cs="Arial"/>
          <w:szCs w:val="20"/>
          <w:lang w:eastAsia="zh-CN"/>
        </w:rPr>
        <w:t xml:space="preserve">refined.  Documentation was delivered well in advance.  </w:t>
      </w:r>
      <w:r>
        <w:rPr>
          <w:rFonts w:eastAsia="SimSun" w:cs="Arial"/>
          <w:szCs w:val="20"/>
          <w:lang w:eastAsia="zh-CN"/>
        </w:rPr>
        <w:t xml:space="preserve">The attention to improving </w:t>
      </w:r>
      <w:r w:rsidRPr="00C03935">
        <w:rPr>
          <w:rFonts w:eastAsia="SimSun" w:cs="Arial"/>
          <w:szCs w:val="20"/>
          <w:lang w:eastAsia="zh-CN"/>
        </w:rPr>
        <w:t xml:space="preserve">efficiency and </w:t>
      </w:r>
      <w:r>
        <w:rPr>
          <w:rFonts w:eastAsia="SimSun" w:cs="Arial"/>
          <w:szCs w:val="20"/>
          <w:lang w:eastAsia="zh-CN"/>
        </w:rPr>
        <w:t xml:space="preserve">the </w:t>
      </w:r>
      <w:r w:rsidRPr="00C03935">
        <w:rPr>
          <w:rFonts w:eastAsia="SimSun" w:cs="Arial"/>
          <w:szCs w:val="20"/>
          <w:lang w:eastAsia="zh-CN"/>
        </w:rPr>
        <w:t>Member State</w:t>
      </w:r>
      <w:r>
        <w:rPr>
          <w:rFonts w:eastAsia="SimSun" w:cs="Arial"/>
          <w:szCs w:val="20"/>
          <w:lang w:eastAsia="zh-CN"/>
        </w:rPr>
        <w:t>s’</w:t>
      </w:r>
      <w:r w:rsidRPr="00C03935">
        <w:rPr>
          <w:rFonts w:eastAsia="SimSun" w:cs="Arial"/>
          <w:szCs w:val="20"/>
          <w:lang w:eastAsia="zh-CN"/>
        </w:rPr>
        <w:t xml:space="preserve"> experience of the Assemblies was reflected in the very high satisfaction levels achieved in a survey of delegates.</w:t>
      </w:r>
    </w:p>
    <w:p w:rsidR="00BC2ECD" w:rsidRPr="00C03935" w:rsidRDefault="00BC2ECD" w:rsidP="00FD7155">
      <w:pPr>
        <w:jc w:val="both"/>
        <w:rPr>
          <w:bCs/>
          <w:szCs w:val="20"/>
        </w:rPr>
      </w:pPr>
    </w:p>
    <w:p w:rsidR="00BC2ECD" w:rsidRPr="00546748" w:rsidRDefault="00BC2ECD" w:rsidP="00BC2ECD">
      <w:pPr>
        <w:numPr>
          <w:ilvl w:val="0"/>
          <w:numId w:val="77"/>
        </w:numPr>
        <w:autoSpaceDE w:val="0"/>
        <w:autoSpaceDN w:val="0"/>
        <w:adjustRightInd w:val="0"/>
        <w:jc w:val="both"/>
        <w:rPr>
          <w:rFonts w:eastAsia="SimSun" w:cs="Arial"/>
          <w:szCs w:val="20"/>
          <w:lang w:eastAsia="zh-CN"/>
        </w:rPr>
      </w:pPr>
      <w:r w:rsidRPr="00546748">
        <w:rPr>
          <w:rFonts w:eastAsia="SimSun" w:cs="Arial"/>
          <w:szCs w:val="20"/>
          <w:lang w:eastAsia="zh-CN"/>
        </w:rPr>
        <w:lastRenderedPageBreak/>
        <w:t xml:space="preserve">WIPO continued to engage actively with the UN system, including in the </w:t>
      </w:r>
      <w:r>
        <w:rPr>
          <w:rFonts w:eastAsia="SimSun" w:cs="Arial"/>
          <w:szCs w:val="20"/>
          <w:lang w:eastAsia="zh-CN"/>
        </w:rPr>
        <w:t>Chief Executives Board for Coordination (</w:t>
      </w:r>
      <w:r w:rsidRPr="00546748">
        <w:rPr>
          <w:rFonts w:eastAsia="SimSun" w:cs="Arial"/>
          <w:szCs w:val="20"/>
          <w:lang w:eastAsia="zh-CN"/>
        </w:rPr>
        <w:t>CEB</w:t>
      </w:r>
      <w:r>
        <w:rPr>
          <w:rFonts w:eastAsia="SimSun" w:cs="Arial"/>
          <w:szCs w:val="20"/>
          <w:lang w:eastAsia="zh-CN"/>
        </w:rPr>
        <w:t>)</w:t>
      </w:r>
      <w:r w:rsidRPr="00546748">
        <w:rPr>
          <w:rFonts w:eastAsia="SimSun" w:cs="Arial"/>
          <w:szCs w:val="20"/>
          <w:lang w:eastAsia="zh-CN"/>
        </w:rPr>
        <w:t xml:space="preserve"> and in its two committees – the High Level Committee on Management (HLCM) and the High Level Committee on </w:t>
      </w:r>
      <w:proofErr w:type="spellStart"/>
      <w:r w:rsidRPr="00546748">
        <w:rPr>
          <w:rFonts w:eastAsia="SimSun" w:cs="Arial"/>
          <w:szCs w:val="20"/>
          <w:lang w:eastAsia="zh-CN"/>
        </w:rPr>
        <w:t>Programmes</w:t>
      </w:r>
      <w:proofErr w:type="spellEnd"/>
      <w:r w:rsidRPr="00546748">
        <w:rPr>
          <w:rFonts w:eastAsia="SimSun" w:cs="Arial"/>
          <w:szCs w:val="20"/>
          <w:lang w:eastAsia="zh-CN"/>
        </w:rPr>
        <w:t xml:space="preserve"> (HLCP).  Our collaboration with these mechanisms provided an important opportunity for WIPO to highlight its perspectives within UN System deliberations</w:t>
      </w:r>
      <w:r>
        <w:rPr>
          <w:rFonts w:eastAsia="SimSun" w:cs="Arial"/>
          <w:szCs w:val="20"/>
          <w:lang w:eastAsia="zh-CN"/>
        </w:rPr>
        <w:t>, to share good administrative and operational practices,</w:t>
      </w:r>
      <w:r w:rsidRPr="00546748">
        <w:rPr>
          <w:rFonts w:eastAsia="SimSun" w:cs="Arial"/>
          <w:szCs w:val="20"/>
          <w:lang w:eastAsia="zh-CN"/>
        </w:rPr>
        <w:t xml:space="preserve"> as well as the opportunity to involve the Organization in assisting to build coherence across the UN System.</w:t>
      </w:r>
    </w:p>
    <w:p w:rsidR="00BC2ECD" w:rsidRPr="002D59A4" w:rsidRDefault="00BC2ECD" w:rsidP="00FD7155">
      <w:pPr>
        <w:jc w:val="both"/>
        <w:rPr>
          <w:rFonts w:eastAsia="SimSun" w:cs="Arial"/>
          <w:szCs w:val="20"/>
          <w:lang w:eastAsia="zh-CN"/>
        </w:rPr>
      </w:pPr>
    </w:p>
    <w:p w:rsidR="00BC2ECD" w:rsidRDefault="00BC2ECD" w:rsidP="00BC2ECD">
      <w:pPr>
        <w:numPr>
          <w:ilvl w:val="0"/>
          <w:numId w:val="77"/>
        </w:numPr>
        <w:autoSpaceDE w:val="0"/>
        <w:autoSpaceDN w:val="0"/>
        <w:adjustRightInd w:val="0"/>
        <w:jc w:val="both"/>
        <w:rPr>
          <w:rFonts w:eastAsia="SimSun" w:cs="Arial"/>
          <w:szCs w:val="20"/>
          <w:lang w:eastAsia="zh-CN"/>
        </w:rPr>
      </w:pPr>
      <w:r w:rsidRPr="002D59A4">
        <w:rPr>
          <w:rFonts w:eastAsia="SimSun" w:cs="Arial"/>
          <w:szCs w:val="20"/>
          <w:lang w:eastAsia="zh-CN"/>
        </w:rPr>
        <w:t>The performance of the Ethics Office was imp</w:t>
      </w:r>
      <w:r>
        <w:rPr>
          <w:rFonts w:eastAsia="SimSun" w:cs="Arial"/>
          <w:szCs w:val="20"/>
          <w:lang w:eastAsia="zh-CN"/>
        </w:rPr>
        <w:t>acted in 2014 by the absence of a</w:t>
      </w:r>
      <w:r w:rsidRPr="002D59A4">
        <w:rPr>
          <w:rFonts w:eastAsia="SimSun" w:cs="Arial"/>
          <w:szCs w:val="20"/>
          <w:lang w:eastAsia="zh-CN"/>
        </w:rPr>
        <w:t xml:space="preserve"> Chief Ethics Officer</w:t>
      </w:r>
      <w:r>
        <w:rPr>
          <w:rFonts w:eastAsia="SimSun" w:cs="Arial"/>
          <w:szCs w:val="20"/>
          <w:lang w:eastAsia="zh-CN"/>
        </w:rPr>
        <w:t xml:space="preserve"> for the period from April to July.  </w:t>
      </w:r>
      <w:r w:rsidRPr="002D59A4">
        <w:rPr>
          <w:rFonts w:eastAsia="SimSun" w:cs="Arial"/>
          <w:szCs w:val="20"/>
          <w:lang w:eastAsia="zh-CN"/>
        </w:rPr>
        <w:t xml:space="preserve">A Chief Ethics Officer </w:t>
      </w:r>
      <w:r w:rsidRPr="002D59A4">
        <w:rPr>
          <w:rFonts w:eastAsia="SimSun" w:cs="Arial"/>
          <w:i/>
          <w:szCs w:val="20"/>
          <w:lang w:eastAsia="zh-CN"/>
        </w:rPr>
        <w:t>ad interim</w:t>
      </w:r>
      <w:r w:rsidRPr="002D59A4">
        <w:rPr>
          <w:rFonts w:eastAsia="SimSun" w:cs="Arial"/>
          <w:szCs w:val="20"/>
          <w:lang w:eastAsia="zh-CN"/>
        </w:rPr>
        <w:t xml:space="preserve"> was designated in early August; the procedure to fill this important position on a continuing basis was ongoing at the end of the reporting period.  Owing to these circumstances, establishment of the full financial disclosure program </w:t>
      </w:r>
      <w:r>
        <w:rPr>
          <w:rFonts w:eastAsia="SimSun" w:cs="Arial"/>
          <w:szCs w:val="20"/>
          <w:lang w:eastAsia="zh-CN"/>
        </w:rPr>
        <w:t>was</w:t>
      </w:r>
      <w:r w:rsidRPr="002D59A4">
        <w:rPr>
          <w:rFonts w:eastAsia="SimSun" w:cs="Arial"/>
          <w:szCs w:val="20"/>
          <w:lang w:eastAsia="zh-CN"/>
        </w:rPr>
        <w:t xml:space="preserve"> postponed to 2015</w:t>
      </w:r>
      <w:r>
        <w:rPr>
          <w:rFonts w:eastAsia="SimSun" w:cs="Arial"/>
          <w:szCs w:val="20"/>
          <w:lang w:eastAsia="zh-CN"/>
        </w:rPr>
        <w:t>-2016</w:t>
      </w:r>
      <w:r w:rsidRPr="002D59A4">
        <w:rPr>
          <w:rFonts w:eastAsia="SimSun" w:cs="Arial"/>
          <w:szCs w:val="20"/>
          <w:lang w:eastAsia="zh-CN"/>
        </w:rPr>
        <w:t>.  However, the Ethics Office continued to implement its Declaration of Interest policy, which notably includes the disclosure of financial interests in compliance with IPSAS.  Furthermore, existing policies continued to guide the Office’s efforts and underpin the Organization’s ethics and integrity system.  The Ethics Office oversaw the Whistleblower Protection Policy</w:t>
      </w:r>
      <w:r>
        <w:rPr>
          <w:rFonts w:eastAsia="SimSun" w:cs="Arial"/>
          <w:szCs w:val="20"/>
          <w:lang w:eastAsia="zh-CN"/>
        </w:rPr>
        <w:t>,</w:t>
      </w:r>
      <w:r w:rsidRPr="002D59A4">
        <w:rPr>
          <w:rFonts w:eastAsia="SimSun" w:cs="Arial"/>
          <w:szCs w:val="20"/>
          <w:lang w:eastAsia="zh-CN"/>
        </w:rPr>
        <w:t xml:space="preserve"> which articulates the value placed by </w:t>
      </w:r>
      <w:r>
        <w:rPr>
          <w:rFonts w:eastAsia="SimSun" w:cs="Arial"/>
          <w:szCs w:val="20"/>
          <w:lang w:eastAsia="zh-CN"/>
        </w:rPr>
        <w:t xml:space="preserve">WIPO </w:t>
      </w:r>
      <w:r w:rsidRPr="002D59A4">
        <w:rPr>
          <w:rFonts w:eastAsia="SimSun" w:cs="Arial"/>
          <w:szCs w:val="20"/>
          <w:lang w:eastAsia="zh-CN"/>
        </w:rPr>
        <w:t>on the participation of all staff members in the Organization’s oversight</w:t>
      </w:r>
      <w:r>
        <w:rPr>
          <w:rFonts w:eastAsia="SimSun" w:cs="Arial"/>
          <w:szCs w:val="20"/>
          <w:lang w:eastAsia="zh-CN"/>
        </w:rPr>
        <w:t xml:space="preserve"> by affording </w:t>
      </w:r>
      <w:r w:rsidRPr="002D59A4">
        <w:rPr>
          <w:rFonts w:eastAsia="SimSun" w:cs="Arial"/>
          <w:szCs w:val="20"/>
          <w:lang w:eastAsia="zh-CN"/>
        </w:rPr>
        <w:t xml:space="preserve">protection </w:t>
      </w:r>
      <w:r>
        <w:rPr>
          <w:rFonts w:eastAsia="SimSun" w:cs="Arial"/>
          <w:szCs w:val="20"/>
          <w:lang w:eastAsia="zh-CN"/>
        </w:rPr>
        <w:t xml:space="preserve">against </w:t>
      </w:r>
      <w:r w:rsidRPr="002D59A4">
        <w:rPr>
          <w:rFonts w:eastAsia="SimSun" w:cs="Arial"/>
          <w:szCs w:val="20"/>
          <w:lang w:eastAsia="zh-CN"/>
        </w:rPr>
        <w:t>retaliation</w:t>
      </w:r>
      <w:r>
        <w:rPr>
          <w:rFonts w:eastAsia="SimSun" w:cs="Arial"/>
          <w:szCs w:val="20"/>
          <w:lang w:eastAsia="zh-CN"/>
        </w:rPr>
        <w:t xml:space="preserve">.  </w:t>
      </w:r>
      <w:r w:rsidRPr="00546748">
        <w:rPr>
          <w:rFonts w:eastAsia="SimSun" w:cs="Arial"/>
          <w:szCs w:val="20"/>
          <w:lang w:eastAsia="zh-CN"/>
        </w:rPr>
        <w:t xml:space="preserve">The WIPO Code of Ethics continued to </w:t>
      </w:r>
      <w:r>
        <w:rPr>
          <w:rFonts w:eastAsia="SimSun" w:cs="Arial"/>
          <w:szCs w:val="20"/>
          <w:lang w:eastAsia="zh-CN"/>
        </w:rPr>
        <w:t xml:space="preserve">provide a </w:t>
      </w:r>
      <w:r w:rsidRPr="00546748">
        <w:rPr>
          <w:rFonts w:eastAsia="SimSun" w:cs="Arial"/>
          <w:szCs w:val="20"/>
          <w:lang w:eastAsia="zh-CN"/>
        </w:rPr>
        <w:t>common platform of guiding principles and values expected to be observed by WIPO staff in the conduct of their functions, and the Office provided advisory services to staff at all levels on its implementation.</w:t>
      </w:r>
      <w:r>
        <w:rPr>
          <w:rFonts w:eastAsia="SimSun" w:cs="Arial"/>
          <w:szCs w:val="20"/>
          <w:lang w:eastAsia="zh-CN"/>
        </w:rPr>
        <w:t xml:space="preserve">         </w:t>
      </w:r>
    </w:p>
    <w:p w:rsidR="00BC2ECD" w:rsidRDefault="00BC2ECD" w:rsidP="00FD7155">
      <w:pPr>
        <w:jc w:val="both"/>
        <w:rPr>
          <w:rFonts w:eastAsia="SimSun" w:cs="Arial"/>
          <w:szCs w:val="20"/>
          <w:lang w:eastAsia="zh-CN"/>
        </w:rPr>
      </w:pPr>
    </w:p>
    <w:p w:rsidR="00BC2ECD" w:rsidRPr="00546748" w:rsidRDefault="00BC2ECD" w:rsidP="00BC2ECD">
      <w:pPr>
        <w:numPr>
          <w:ilvl w:val="0"/>
          <w:numId w:val="77"/>
        </w:numPr>
        <w:autoSpaceDE w:val="0"/>
        <w:autoSpaceDN w:val="0"/>
        <w:adjustRightInd w:val="0"/>
        <w:jc w:val="both"/>
        <w:rPr>
          <w:rFonts w:eastAsia="SimSun" w:cs="Arial"/>
          <w:szCs w:val="20"/>
          <w:lang w:eastAsia="zh-CN"/>
        </w:rPr>
      </w:pPr>
      <w:r>
        <w:rPr>
          <w:rFonts w:eastAsia="SimSun" w:cs="Arial"/>
          <w:szCs w:val="20"/>
          <w:lang w:eastAsia="zh-CN"/>
        </w:rPr>
        <w:t xml:space="preserve">The position of the </w:t>
      </w:r>
      <w:r w:rsidRPr="00C03935">
        <w:rPr>
          <w:rFonts w:eastAsia="SimSun" w:cs="Arial"/>
          <w:szCs w:val="20"/>
          <w:lang w:eastAsia="zh-CN"/>
        </w:rPr>
        <w:t>Office of the Ombuds</w:t>
      </w:r>
      <w:r>
        <w:rPr>
          <w:rFonts w:eastAsia="SimSun" w:cs="Arial"/>
          <w:szCs w:val="20"/>
          <w:lang w:eastAsia="zh-CN"/>
        </w:rPr>
        <w:t xml:space="preserve">person as an integral part of the Organization’s accountability and integrity framework was further cemented with the </w:t>
      </w:r>
      <w:r>
        <w:rPr>
          <w:rFonts w:cs="Arial"/>
          <w:szCs w:val="20"/>
        </w:rPr>
        <w:t xml:space="preserve">commencement of the </w:t>
      </w:r>
      <w:r w:rsidRPr="00C03935">
        <w:rPr>
          <w:rFonts w:cs="Arial"/>
          <w:szCs w:val="20"/>
        </w:rPr>
        <w:t>new administration of justice system</w:t>
      </w:r>
      <w:r>
        <w:rPr>
          <w:rFonts w:cs="Arial"/>
          <w:szCs w:val="20"/>
        </w:rPr>
        <w:t>,</w:t>
      </w:r>
      <w:r w:rsidRPr="00C03935">
        <w:rPr>
          <w:rFonts w:cs="Arial"/>
          <w:szCs w:val="20"/>
        </w:rPr>
        <w:t xml:space="preserve"> which came into force on January 1, 2014</w:t>
      </w:r>
      <w:r>
        <w:rPr>
          <w:rFonts w:cs="Arial"/>
          <w:szCs w:val="20"/>
        </w:rPr>
        <w:t xml:space="preserve">.  A key aspect of this reform was </w:t>
      </w:r>
      <w:r w:rsidRPr="00C03935">
        <w:rPr>
          <w:szCs w:val="20"/>
        </w:rPr>
        <w:t xml:space="preserve">the recognition of </w:t>
      </w:r>
      <w:r w:rsidRPr="00335160">
        <w:rPr>
          <w:szCs w:val="20"/>
        </w:rPr>
        <w:t xml:space="preserve">the importance of conflict prevention by the inclusion of informal conflict resolution in the Staff Regulations and Rules.  Complementing this change, the </w:t>
      </w:r>
      <w:r w:rsidRPr="00335160">
        <w:rPr>
          <w:rFonts w:eastAsia="SimSun" w:cs="Arial"/>
          <w:szCs w:val="20"/>
          <w:lang w:eastAsia="zh-CN"/>
        </w:rPr>
        <w:t>Office of the Ombudsperson focused on building awareness and conflict competency among staff through pilot trainings, which are envisaged to rollout out on a wider basis in the future.  Meanwhile, the Office</w:t>
      </w:r>
      <w:r>
        <w:rPr>
          <w:rFonts w:eastAsia="SimSun" w:cs="Arial"/>
          <w:szCs w:val="20"/>
          <w:lang w:eastAsia="zh-CN"/>
        </w:rPr>
        <w:t xml:space="preserve"> continued to receive visitors and provide independent and confidential </w:t>
      </w:r>
      <w:r w:rsidRPr="00C03935">
        <w:rPr>
          <w:szCs w:val="20"/>
        </w:rPr>
        <w:t>conflict coaching and mediation services at levels similar to previous years, reflecting a positive response to informal conflict resolution services.</w:t>
      </w:r>
      <w:r>
        <w:rPr>
          <w:rFonts w:eastAsia="SimSun" w:cs="Arial"/>
          <w:szCs w:val="20"/>
          <w:lang w:eastAsia="zh-CN"/>
        </w:rPr>
        <w:t xml:space="preserve"> </w:t>
      </w:r>
      <w:r>
        <w:rPr>
          <w:szCs w:val="20"/>
        </w:rPr>
        <w:t xml:space="preserve"> </w:t>
      </w:r>
    </w:p>
    <w:p w:rsidR="00BC2ECD" w:rsidRPr="00546748" w:rsidRDefault="00BC2ECD" w:rsidP="00FD7155">
      <w:pPr>
        <w:jc w:val="both"/>
        <w:rPr>
          <w:bCs/>
          <w:szCs w:val="20"/>
        </w:rPr>
      </w:pPr>
    </w:p>
    <w:p w:rsidR="00BC2ECD" w:rsidRDefault="00BC2ECD" w:rsidP="00BC2ECD">
      <w:pPr>
        <w:numPr>
          <w:ilvl w:val="0"/>
          <w:numId w:val="77"/>
        </w:numPr>
        <w:autoSpaceDE w:val="0"/>
        <w:autoSpaceDN w:val="0"/>
        <w:adjustRightInd w:val="0"/>
        <w:jc w:val="both"/>
      </w:pPr>
      <w:r w:rsidRPr="00ED310D">
        <w:rPr>
          <w:rFonts w:eastAsia="SimSun" w:cs="Arial"/>
          <w:szCs w:val="20"/>
          <w:lang w:eastAsia="zh-CN"/>
        </w:rPr>
        <w:t>In</w:t>
      </w:r>
      <w:r>
        <w:rPr>
          <w:bCs/>
          <w:szCs w:val="20"/>
        </w:rPr>
        <w:t xml:space="preserve"> May, the role of B</w:t>
      </w:r>
      <w:r>
        <w:t xml:space="preserve">usiness Continuity Coordinator was established in the ODG.  Considerable progress was made during the ensuing months in putting in place required elements of a dedicated organizational resilience system, such as the publication of an </w:t>
      </w:r>
      <w:r w:rsidRPr="00A412BE">
        <w:t>Organizational Resilience Policy and Strategy</w:t>
      </w:r>
      <w:r w:rsidRPr="0023155F">
        <w:t xml:space="preserve"> a</w:t>
      </w:r>
      <w:r>
        <w:t xml:space="preserve">nd the implementation and launch of the organization's first Emergency Notifications System (EMS).  These will provide a good basis as elements of this system evolve in the coming months and years.  </w:t>
      </w:r>
    </w:p>
    <w:p w:rsidR="00BC2ECD" w:rsidRDefault="00BC2ECD" w:rsidP="00FD7155">
      <w:pPr>
        <w:jc w:val="both"/>
      </w:pPr>
    </w:p>
    <w:p w:rsidR="00BC2ECD" w:rsidRDefault="00BC2ECD" w:rsidP="00BC2ECD">
      <w:pPr>
        <w:numPr>
          <w:ilvl w:val="0"/>
          <w:numId w:val="77"/>
        </w:numPr>
        <w:autoSpaceDE w:val="0"/>
        <w:autoSpaceDN w:val="0"/>
        <w:adjustRightInd w:val="0"/>
        <w:jc w:val="both"/>
      </w:pPr>
      <w:r w:rsidRPr="00ED310D">
        <w:rPr>
          <w:rFonts w:eastAsia="SimSun" w:cs="Arial"/>
          <w:szCs w:val="20"/>
          <w:lang w:eastAsia="zh-CN"/>
        </w:rPr>
        <w:t>In</w:t>
      </w:r>
      <w:r>
        <w:t xml:space="preserve"> February 2014, with the appointment of the Chief of Protocol and Event Management, events activities were merged with protocol to enhance and optimize engagement with Member States and other stakeholders.  The Fifty-Fourth Series of Meetings of the Assemblies of the Member States of WIPO in September 2014 saw a significant increase in the number of events and side-events requested and organized, including the inauguration of the </w:t>
      </w:r>
      <w:r w:rsidR="00472AA6">
        <w:t>n</w:t>
      </w:r>
      <w:r>
        <w:t xml:space="preserve">ew </w:t>
      </w:r>
      <w:r w:rsidR="00472AA6">
        <w:t xml:space="preserve">WIPO </w:t>
      </w:r>
      <w:r>
        <w:t>Conference Hall. These events were positively received, as reflected in Delegates’ satisfaction levels: 91 per cent for the inauguration and 82 per cent for the side events.</w:t>
      </w:r>
    </w:p>
    <w:p w:rsidR="00BC2ECD" w:rsidRDefault="00BC2ECD" w:rsidP="00FD7155">
      <w:pPr>
        <w:jc w:val="both"/>
      </w:pPr>
    </w:p>
    <w:p w:rsidR="00BC2ECD" w:rsidRDefault="00BC2ECD" w:rsidP="00BC2ECD">
      <w:pPr>
        <w:numPr>
          <w:ilvl w:val="0"/>
          <w:numId w:val="77"/>
        </w:numPr>
        <w:autoSpaceDE w:val="0"/>
        <w:autoSpaceDN w:val="0"/>
        <w:adjustRightInd w:val="0"/>
        <w:jc w:val="both"/>
      </w:pPr>
      <w:r>
        <w:t>Program</w:t>
      </w:r>
      <w:r w:rsidRPr="00B31496">
        <w:rPr>
          <w:rFonts w:eastAsia="SimSun" w:cs="Arial"/>
          <w:szCs w:val="20"/>
          <w:lang w:eastAsia="zh-CN"/>
        </w:rPr>
        <w:t xml:space="preserve"> 21, </w:t>
      </w:r>
      <w:r>
        <w:rPr>
          <w:rFonts w:eastAsia="SimSun" w:cs="Arial"/>
          <w:szCs w:val="20"/>
          <w:lang w:eastAsia="zh-CN"/>
        </w:rPr>
        <w:t>including</w:t>
      </w:r>
      <w:r w:rsidRPr="00B31496">
        <w:rPr>
          <w:rFonts w:eastAsia="SimSun" w:cs="Arial"/>
          <w:szCs w:val="20"/>
          <w:lang w:eastAsia="zh-CN"/>
        </w:rPr>
        <w:t xml:space="preserve"> the work of the Office of the Director General, </w:t>
      </w:r>
      <w:r>
        <w:rPr>
          <w:rFonts w:eastAsia="SimSun" w:cs="Arial"/>
          <w:szCs w:val="20"/>
          <w:lang w:eastAsia="zh-CN"/>
        </w:rPr>
        <w:t xml:space="preserve">continued to </w:t>
      </w:r>
      <w:r w:rsidRPr="00B31496">
        <w:rPr>
          <w:rFonts w:eastAsia="SimSun" w:cs="Arial"/>
          <w:szCs w:val="20"/>
          <w:lang w:eastAsia="zh-CN"/>
        </w:rPr>
        <w:t xml:space="preserve">play a key role in providing the overall strategic guidance and oversight to facilitate the mainstreaming and implementation of the WIPO Development Agenda by all relevant Sectors within WIPO. </w:t>
      </w:r>
      <w:r>
        <w:rPr>
          <w:rFonts w:eastAsia="SimSun" w:cs="Arial"/>
          <w:szCs w:val="20"/>
          <w:lang w:eastAsia="zh-CN"/>
        </w:rPr>
        <w:t xml:space="preserve"> </w:t>
      </w:r>
    </w:p>
    <w:p w:rsidR="00BC2ECD" w:rsidRDefault="00BC2ECD" w:rsidP="00FD7155">
      <w:pPr>
        <w:jc w:val="both"/>
      </w:pPr>
    </w:p>
    <w:p w:rsidR="00BC2ECD" w:rsidRDefault="00BC2ECD" w:rsidP="00FD7155">
      <w:pPr>
        <w:jc w:val="both"/>
      </w:pPr>
    </w:p>
    <w:p w:rsidR="00BC2ECD" w:rsidRDefault="00BC2ECD">
      <w:pPr>
        <w:rPr>
          <w:rFonts w:eastAsia="SimSun" w:cs="Arial"/>
          <w:sz w:val="22"/>
          <w:lang w:eastAsia="zh-CN"/>
        </w:rPr>
      </w:pPr>
      <w:r>
        <w:rPr>
          <w:rFonts w:eastAsia="SimSun" w:cs="Arial"/>
          <w:sz w:val="22"/>
          <w:lang w:eastAsia="zh-CN"/>
        </w:rPr>
        <w:br w:type="page"/>
      </w:r>
    </w:p>
    <w:p w:rsidR="00BC2ECD" w:rsidRPr="00ED310D" w:rsidRDefault="00BC2ECD" w:rsidP="00FD7155">
      <w:pPr>
        <w:rPr>
          <w:rFonts w:eastAsia="SimSun" w:cs="Arial"/>
          <w:iCs/>
          <w:sz w:val="22"/>
          <w:szCs w:val="20"/>
          <w:lang w:eastAsia="zh-CN"/>
        </w:rPr>
      </w:pPr>
      <w:r w:rsidRPr="00ED310D">
        <w:rPr>
          <w:rFonts w:eastAsia="SimSun" w:cs="Arial"/>
          <w:sz w:val="22"/>
          <w:lang w:eastAsia="zh-CN"/>
        </w:rPr>
        <w:lastRenderedPageBreak/>
        <w:t>PERFORMANCE DATA</w:t>
      </w:r>
    </w:p>
    <w:p w:rsidR="00BC2ECD" w:rsidRDefault="00BC2ECD">
      <w:pPr>
        <w:rPr>
          <w:rFonts w:cs="Arial"/>
          <w:color w:val="000000"/>
          <w:sz w:val="22"/>
          <w:szCs w:val="22"/>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7"/>
        <w:gridCol w:w="2411"/>
        <w:gridCol w:w="1417"/>
        <w:gridCol w:w="2411"/>
        <w:gridCol w:w="992"/>
      </w:tblGrid>
      <w:tr w:rsidR="00BC2ECD" w:rsidRPr="00011B74" w:rsidTr="00BC2ECD">
        <w:trPr>
          <w:trHeight w:val="488"/>
        </w:trPr>
        <w:tc>
          <w:tcPr>
            <w:tcW w:w="5000" w:type="pct"/>
            <w:gridSpan w:val="5"/>
            <w:tcBorders>
              <w:top w:val="single" w:sz="4" w:space="0" w:color="auto"/>
              <w:bottom w:val="single" w:sz="4" w:space="0" w:color="auto"/>
            </w:tcBorders>
            <w:shd w:val="clear" w:color="auto" w:fill="CCFFFF"/>
            <w:vAlign w:val="center"/>
          </w:tcPr>
          <w:p w:rsidR="00BC2ECD" w:rsidRPr="00A67F47" w:rsidRDefault="00BC2ECD" w:rsidP="00FD7155">
            <w:pPr>
              <w:keepNext/>
              <w:keepLines/>
              <w:tabs>
                <w:tab w:val="left" w:pos="1452"/>
              </w:tabs>
              <w:ind w:left="1452" w:hanging="1452"/>
              <w:rPr>
                <w:rFonts w:eastAsia="SimSun" w:cs="Arial"/>
                <w:b/>
                <w:bCs/>
                <w:sz w:val="16"/>
                <w:szCs w:val="16"/>
                <w:lang w:eastAsia="zh-CN"/>
              </w:rPr>
            </w:pPr>
            <w:r w:rsidRPr="00A67F47">
              <w:rPr>
                <w:rFonts w:eastAsia="SimSun" w:cs="Arial"/>
                <w:b/>
                <w:bCs/>
                <w:sz w:val="16"/>
                <w:szCs w:val="16"/>
                <w:lang w:eastAsia="zh-CN"/>
              </w:rPr>
              <w:t>Expected Result:</w:t>
            </w:r>
            <w:r w:rsidRPr="00A67F47">
              <w:rPr>
                <w:rFonts w:eastAsia="SimSun" w:cs="Arial"/>
                <w:b/>
                <w:bCs/>
                <w:sz w:val="16"/>
                <w:szCs w:val="16"/>
                <w:lang w:eastAsia="zh-CN"/>
              </w:rPr>
              <w:tab/>
            </w:r>
            <w:r w:rsidRPr="004D109D">
              <w:rPr>
                <w:rFonts w:eastAsia="SimSun" w:cs="Arial"/>
                <w:color w:val="000000"/>
                <w:sz w:val="16"/>
                <w:szCs w:val="16"/>
                <w:lang w:eastAsia="zh-CN"/>
              </w:rPr>
              <w:t>IV.2 Enhanced access to, and use of, IP information by IP institutions and the public to promote innovation and creativity</w:t>
            </w:r>
          </w:p>
        </w:tc>
      </w:tr>
      <w:tr w:rsidR="00BC2ECD" w:rsidRPr="00717972" w:rsidTr="00BC2ECD">
        <w:tc>
          <w:tcPr>
            <w:tcW w:w="1194" w:type="pct"/>
            <w:tcBorders>
              <w:top w:val="single" w:sz="4" w:space="0" w:color="auto"/>
            </w:tcBorders>
            <w:shd w:val="clear" w:color="auto" w:fill="auto"/>
            <w:vAlign w:val="center"/>
          </w:tcPr>
          <w:p w:rsidR="00BC2ECD" w:rsidRPr="00A67F47" w:rsidRDefault="00BC2ECD">
            <w:pPr>
              <w:rPr>
                <w:rFonts w:eastAsia="SimSun" w:cs="Arial"/>
                <w:sz w:val="16"/>
                <w:szCs w:val="16"/>
                <w:lang w:eastAsia="zh-CN"/>
              </w:rPr>
            </w:pPr>
            <w:r w:rsidRPr="00A67F47">
              <w:rPr>
                <w:rFonts w:eastAsia="SimSun" w:cs="Arial"/>
                <w:b/>
                <w:bCs/>
                <w:sz w:val="16"/>
                <w:szCs w:val="16"/>
                <w:lang w:eastAsia="zh-CN"/>
              </w:rPr>
              <w:t>Performance Indicators</w:t>
            </w:r>
          </w:p>
        </w:tc>
        <w:tc>
          <w:tcPr>
            <w:tcW w:w="1269" w:type="pct"/>
            <w:tcBorders>
              <w:top w:val="single" w:sz="4" w:space="0" w:color="auto"/>
            </w:tcBorders>
            <w:shd w:val="clear" w:color="auto" w:fill="auto"/>
            <w:vAlign w:val="center"/>
          </w:tcPr>
          <w:p w:rsidR="00BC2ECD" w:rsidRPr="00A67F47" w:rsidRDefault="00BC2ECD">
            <w:pPr>
              <w:rPr>
                <w:rFonts w:eastAsia="SimSun" w:cs="Arial"/>
                <w:b/>
                <w:bCs/>
                <w:sz w:val="16"/>
                <w:szCs w:val="16"/>
                <w:lang w:eastAsia="zh-CN"/>
              </w:rPr>
            </w:pPr>
            <w:r w:rsidRPr="0027745B">
              <w:rPr>
                <w:rFonts w:cs="Arial"/>
                <w:b/>
                <w:bCs/>
                <w:sz w:val="16"/>
                <w:szCs w:val="16"/>
              </w:rPr>
              <w:t>Baselines</w:t>
            </w:r>
          </w:p>
        </w:tc>
        <w:tc>
          <w:tcPr>
            <w:tcW w:w="746" w:type="pct"/>
            <w:tcBorders>
              <w:top w:val="single" w:sz="4" w:space="0" w:color="auto"/>
            </w:tcBorders>
            <w:shd w:val="clear" w:color="auto" w:fill="auto"/>
            <w:tcMar>
              <w:top w:w="110" w:type="dxa"/>
            </w:tcMar>
            <w:vAlign w:val="center"/>
          </w:tcPr>
          <w:p w:rsidR="00BC2ECD" w:rsidRPr="0027745B" w:rsidRDefault="00BC2ECD">
            <w:pPr>
              <w:rPr>
                <w:rFonts w:eastAsia="SimSun" w:cs="Arial"/>
                <w:b/>
                <w:sz w:val="16"/>
                <w:szCs w:val="16"/>
                <w:lang w:eastAsia="zh-CN"/>
              </w:rPr>
            </w:pPr>
            <w:r w:rsidRPr="0027745B">
              <w:rPr>
                <w:rFonts w:cs="Arial"/>
                <w:b/>
                <w:sz w:val="16"/>
                <w:szCs w:val="16"/>
              </w:rPr>
              <w:t>Target</w:t>
            </w:r>
            <w:r>
              <w:rPr>
                <w:rFonts w:cs="Arial"/>
                <w:b/>
                <w:sz w:val="16"/>
                <w:szCs w:val="16"/>
              </w:rPr>
              <w:t>s</w:t>
            </w:r>
          </w:p>
        </w:tc>
        <w:tc>
          <w:tcPr>
            <w:tcW w:w="1269" w:type="pct"/>
            <w:tcBorders>
              <w:top w:val="single" w:sz="4" w:space="0" w:color="auto"/>
            </w:tcBorders>
            <w:shd w:val="clear" w:color="auto" w:fill="FFFFFF"/>
            <w:tcMar>
              <w:top w:w="110" w:type="dxa"/>
            </w:tcMar>
            <w:vAlign w:val="center"/>
          </w:tcPr>
          <w:p w:rsidR="00BC2ECD" w:rsidRPr="00A67F47" w:rsidRDefault="00BC2ECD">
            <w:pPr>
              <w:rPr>
                <w:rFonts w:eastAsia="SimSun" w:cs="Arial"/>
                <w:sz w:val="16"/>
                <w:szCs w:val="16"/>
                <w:lang w:eastAsia="zh-CN"/>
              </w:rPr>
            </w:pPr>
            <w:r w:rsidRPr="00A67F47">
              <w:rPr>
                <w:rFonts w:eastAsia="SimSun" w:cs="Arial"/>
                <w:b/>
                <w:bCs/>
                <w:sz w:val="16"/>
                <w:szCs w:val="16"/>
                <w:lang w:eastAsia="zh-CN"/>
              </w:rPr>
              <w:t>Performance Data</w:t>
            </w:r>
          </w:p>
        </w:tc>
        <w:tc>
          <w:tcPr>
            <w:tcW w:w="522" w:type="pct"/>
            <w:tcBorders>
              <w:top w:val="single" w:sz="4" w:space="0" w:color="auto"/>
            </w:tcBorders>
            <w:shd w:val="clear" w:color="auto" w:fill="auto"/>
            <w:tcMar>
              <w:top w:w="110" w:type="dxa"/>
            </w:tcMar>
            <w:vAlign w:val="center"/>
          </w:tcPr>
          <w:p w:rsidR="00BC2ECD" w:rsidRPr="0027745B" w:rsidRDefault="00BC2ECD">
            <w:pPr>
              <w:keepNext/>
              <w:keepLines/>
              <w:jc w:val="center"/>
              <w:rPr>
                <w:rFonts w:eastAsia="SimSun" w:cs="Arial"/>
                <w:b/>
                <w:bCs/>
                <w:sz w:val="16"/>
                <w:szCs w:val="16"/>
                <w:lang w:eastAsia="zh-CN"/>
              </w:rPr>
            </w:pPr>
            <w:r w:rsidRPr="00A67F47">
              <w:rPr>
                <w:rFonts w:eastAsia="SimSun" w:cs="Arial"/>
                <w:b/>
                <w:bCs/>
                <w:sz w:val="16"/>
                <w:szCs w:val="16"/>
                <w:lang w:eastAsia="zh-CN"/>
              </w:rPr>
              <w:t>TLS</w:t>
            </w:r>
          </w:p>
        </w:tc>
      </w:tr>
      <w:tr w:rsidR="00BC2ECD" w:rsidRPr="00011B74" w:rsidTr="00BC2ECD">
        <w:tc>
          <w:tcPr>
            <w:tcW w:w="1194" w:type="pct"/>
            <w:shd w:val="clear" w:color="auto" w:fill="auto"/>
          </w:tcPr>
          <w:p w:rsidR="00BC2ECD" w:rsidRPr="00A67F47" w:rsidRDefault="00BC2ECD">
            <w:pPr>
              <w:rPr>
                <w:rFonts w:eastAsia="SimSun" w:cs="Arial"/>
                <w:color w:val="000000"/>
                <w:sz w:val="16"/>
                <w:szCs w:val="16"/>
                <w:lang w:eastAsia="zh-CN"/>
              </w:rPr>
            </w:pPr>
            <w:r w:rsidRPr="004D109D">
              <w:rPr>
                <w:rFonts w:eastAsia="SimSun" w:cs="Arial"/>
                <w:color w:val="000000"/>
                <w:sz w:val="16"/>
                <w:szCs w:val="16"/>
                <w:lang w:eastAsia="zh-CN"/>
              </w:rPr>
              <w:t>Increase in the no. of WIPO Lex users</w:t>
            </w:r>
          </w:p>
        </w:tc>
        <w:tc>
          <w:tcPr>
            <w:tcW w:w="1269" w:type="pct"/>
            <w:shd w:val="clear" w:color="auto" w:fill="auto"/>
          </w:tcPr>
          <w:p w:rsidR="00BC2ECD" w:rsidRPr="0027745B" w:rsidRDefault="00BC2ECD">
            <w:pPr>
              <w:rPr>
                <w:rFonts w:eastAsiaTheme="minorHAnsi" w:cs="Arial"/>
                <w:i/>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Pr>
                <w:rFonts w:cs="Arial"/>
                <w:i/>
                <w:color w:val="002060"/>
                <w:sz w:val="16"/>
                <w:szCs w:val="16"/>
              </w:rPr>
              <w:t xml:space="preserve"> </w:t>
            </w:r>
            <w:r w:rsidRPr="00ED310D">
              <w:rPr>
                <w:rFonts w:cs="Arial"/>
                <w:color w:val="002060"/>
                <w:sz w:val="16"/>
                <w:szCs w:val="16"/>
              </w:rPr>
              <w:t>Total of 2,236,486 users in 2012/13 (</w:t>
            </w:r>
            <w:r w:rsidRPr="00841E1F">
              <w:rPr>
                <w:rFonts w:cs="Arial"/>
                <w:color w:val="002060"/>
                <w:sz w:val="16"/>
                <w:szCs w:val="16"/>
              </w:rPr>
              <w:t xml:space="preserve">1,461,841 </w:t>
            </w:r>
            <w:r w:rsidRPr="005D6392">
              <w:rPr>
                <w:rFonts w:cs="Arial"/>
                <w:color w:val="002060"/>
                <w:sz w:val="16"/>
                <w:szCs w:val="16"/>
              </w:rPr>
              <w:t xml:space="preserve">in </w:t>
            </w:r>
            <w:r w:rsidRPr="004A4D1A">
              <w:rPr>
                <w:rFonts w:cs="Arial"/>
                <w:color w:val="002060"/>
                <w:sz w:val="16"/>
                <w:szCs w:val="16"/>
              </w:rPr>
              <w:t>2013</w:t>
            </w:r>
            <w:r w:rsidRPr="005F4EC4">
              <w:rPr>
                <w:rFonts w:cs="Arial"/>
                <w:color w:val="002060"/>
                <w:sz w:val="16"/>
                <w:szCs w:val="16"/>
              </w:rPr>
              <w:t xml:space="preserve">; 774,645  in </w:t>
            </w:r>
            <w:r w:rsidRPr="007851D6">
              <w:rPr>
                <w:rFonts w:cs="Arial"/>
                <w:color w:val="002060"/>
                <w:sz w:val="16"/>
                <w:szCs w:val="16"/>
              </w:rPr>
              <w:t>2012</w:t>
            </w:r>
            <w:r w:rsidRPr="008D5A02">
              <w:rPr>
                <w:rFonts w:cs="Arial"/>
                <w:color w:val="002060"/>
                <w:sz w:val="16"/>
                <w:szCs w:val="16"/>
              </w:rPr>
              <w:t>)</w:t>
            </w:r>
          </w:p>
          <w:p w:rsidR="00BC2ECD" w:rsidRPr="00861678" w:rsidRDefault="00BC2ECD">
            <w:pPr>
              <w:rPr>
                <w:rFonts w:cs="Arial"/>
                <w:i/>
                <w:color w:val="002060"/>
                <w:sz w:val="8"/>
                <w:szCs w:val="8"/>
              </w:rPr>
            </w:pPr>
          </w:p>
          <w:p w:rsidR="00BC2ECD" w:rsidRPr="00A67F47" w:rsidRDefault="00BC2ECD">
            <w:pPr>
              <w:rPr>
                <w:rFonts w:eastAsia="SimSun" w:cs="Arial"/>
                <w:color w:val="000000"/>
                <w:sz w:val="16"/>
                <w:szCs w:val="16"/>
                <w:lang w:eastAsia="zh-CN"/>
              </w:rPr>
            </w:pPr>
            <w:r>
              <w:rPr>
                <w:rFonts w:cs="Arial"/>
                <w:i/>
                <w:sz w:val="16"/>
                <w:szCs w:val="16"/>
              </w:rPr>
              <w:t>Original Baseline P&amp;B 2014/15</w:t>
            </w:r>
            <w:r w:rsidRPr="0027745B">
              <w:rPr>
                <w:rFonts w:cs="Arial"/>
                <w:i/>
                <w:sz w:val="16"/>
                <w:szCs w:val="16"/>
              </w:rPr>
              <w:t>:</w:t>
            </w:r>
            <w:r>
              <w:rPr>
                <w:rFonts w:cs="Arial"/>
                <w:sz w:val="16"/>
                <w:szCs w:val="16"/>
              </w:rPr>
              <w:t xml:space="preserve">  </w:t>
            </w:r>
            <w:r w:rsidRPr="004D109D">
              <w:rPr>
                <w:rFonts w:cs="Arial"/>
                <w:sz w:val="16"/>
                <w:szCs w:val="16"/>
              </w:rPr>
              <w:t>1,123,930</w:t>
            </w:r>
            <w:r>
              <w:rPr>
                <w:rStyle w:val="FootnoteReference"/>
                <w:rFonts w:cs="Arial"/>
                <w:sz w:val="16"/>
                <w:szCs w:val="16"/>
              </w:rPr>
              <w:footnoteReference w:id="52"/>
            </w:r>
          </w:p>
        </w:tc>
        <w:tc>
          <w:tcPr>
            <w:tcW w:w="746" w:type="pct"/>
            <w:shd w:val="clear" w:color="auto" w:fill="auto"/>
            <w:tcMar>
              <w:top w:w="110" w:type="dxa"/>
            </w:tcMar>
          </w:tcPr>
          <w:p w:rsidR="00BC2ECD" w:rsidRPr="0027745B" w:rsidRDefault="00BC2ECD">
            <w:pPr>
              <w:rPr>
                <w:rFonts w:eastAsia="SimSun" w:cs="Arial"/>
                <w:sz w:val="16"/>
                <w:szCs w:val="16"/>
                <w:lang w:eastAsia="zh-CN"/>
              </w:rPr>
            </w:pPr>
            <w:r>
              <w:rPr>
                <w:rFonts w:eastAsia="SimSun" w:cs="Arial"/>
                <w:sz w:val="16"/>
                <w:szCs w:val="16"/>
                <w:lang w:eastAsia="zh-CN"/>
              </w:rPr>
              <w:t>20</w:t>
            </w:r>
            <w:r w:rsidRPr="0027745B">
              <w:rPr>
                <w:rFonts w:eastAsia="SimSun" w:cs="Arial"/>
                <w:sz w:val="16"/>
                <w:szCs w:val="16"/>
                <w:lang w:eastAsia="zh-CN"/>
              </w:rPr>
              <w:t>%</w:t>
            </w:r>
          </w:p>
          <w:p w:rsidR="00BC2ECD" w:rsidRPr="0027745B" w:rsidRDefault="00BC2ECD">
            <w:pPr>
              <w:rPr>
                <w:rFonts w:eastAsia="SimSun" w:cs="Arial"/>
                <w:sz w:val="16"/>
                <w:szCs w:val="16"/>
                <w:lang w:eastAsia="zh-CN" w:bidi="th-TH"/>
              </w:rPr>
            </w:pPr>
          </w:p>
        </w:tc>
        <w:tc>
          <w:tcPr>
            <w:tcW w:w="1269" w:type="pct"/>
            <w:shd w:val="clear" w:color="auto" w:fill="FFFFFF"/>
            <w:tcMar>
              <w:top w:w="110" w:type="dxa"/>
            </w:tcMar>
          </w:tcPr>
          <w:p w:rsidR="00BC2ECD" w:rsidRPr="00A67F47" w:rsidRDefault="00BC2ECD">
            <w:pPr>
              <w:rPr>
                <w:rFonts w:eastAsia="SimSun" w:cs="Arial"/>
                <w:sz w:val="16"/>
                <w:szCs w:val="16"/>
                <w:lang w:eastAsia="zh-CN"/>
              </w:rPr>
            </w:pPr>
            <w:r>
              <w:rPr>
                <w:rFonts w:eastAsia="SimSun" w:cs="Arial"/>
                <w:sz w:val="16"/>
                <w:szCs w:val="16"/>
                <w:lang w:eastAsia="zh-CN" w:bidi="th-TH"/>
              </w:rPr>
              <w:t>1,506,508 users in 2014</w:t>
            </w:r>
          </w:p>
        </w:tc>
        <w:tc>
          <w:tcPr>
            <w:tcW w:w="522" w:type="pct"/>
            <w:shd w:val="clear" w:color="auto" w:fill="auto"/>
            <w:tcMar>
              <w:top w:w="110" w:type="dxa"/>
            </w:tcMar>
          </w:tcPr>
          <w:p w:rsidR="00BC2ECD" w:rsidRPr="004D109D" w:rsidRDefault="00BC2ECD">
            <w:pPr>
              <w:keepNext/>
              <w:keepLines/>
              <w:jc w:val="center"/>
              <w:rPr>
                <w:rFonts w:eastAsia="SimSun" w:cs="Arial"/>
                <w:b/>
                <w:bCs/>
                <w:color w:val="808080"/>
                <w:sz w:val="16"/>
                <w:szCs w:val="16"/>
                <w:lang w:eastAsia="zh-CN"/>
              </w:rPr>
            </w:pPr>
            <w:r w:rsidRPr="00303667">
              <w:rPr>
                <w:rFonts w:eastAsia="SimSun" w:cs="Arial"/>
                <w:b/>
                <w:color w:val="00B050"/>
                <w:sz w:val="16"/>
                <w:szCs w:val="16"/>
                <w:lang w:eastAsia="zh-CN"/>
              </w:rPr>
              <w:t>On track</w:t>
            </w:r>
          </w:p>
        </w:tc>
      </w:tr>
      <w:tr w:rsidR="00BC2ECD" w:rsidRPr="00011B74" w:rsidTr="00BC2ECD">
        <w:trPr>
          <w:trHeight w:val="396"/>
        </w:trPr>
        <w:tc>
          <w:tcPr>
            <w:tcW w:w="5000" w:type="pct"/>
            <w:gridSpan w:val="5"/>
            <w:tcBorders>
              <w:top w:val="single" w:sz="4" w:space="0" w:color="auto"/>
              <w:bottom w:val="single" w:sz="4" w:space="0" w:color="auto"/>
            </w:tcBorders>
            <w:shd w:val="clear" w:color="auto" w:fill="CCFFFF"/>
            <w:vAlign w:val="center"/>
          </w:tcPr>
          <w:p w:rsidR="00BC2ECD" w:rsidRPr="00A67F47" w:rsidRDefault="00BC2ECD" w:rsidP="00FD7155">
            <w:pPr>
              <w:keepNext/>
              <w:keepLines/>
              <w:tabs>
                <w:tab w:val="left" w:pos="1452"/>
              </w:tabs>
              <w:ind w:left="1452" w:hanging="1452"/>
              <w:rPr>
                <w:rFonts w:eastAsia="SimSun" w:cs="Arial"/>
                <w:b/>
                <w:bCs/>
                <w:sz w:val="16"/>
                <w:szCs w:val="16"/>
                <w:lang w:eastAsia="zh-CN"/>
              </w:rPr>
            </w:pPr>
            <w:r w:rsidRPr="00A67F47">
              <w:rPr>
                <w:rFonts w:eastAsia="SimSun" w:cs="Arial"/>
                <w:b/>
                <w:bCs/>
                <w:sz w:val="16"/>
                <w:szCs w:val="16"/>
                <w:lang w:eastAsia="zh-CN"/>
              </w:rPr>
              <w:t>Expected Result:</w:t>
            </w:r>
            <w:r w:rsidRPr="00A67F47">
              <w:rPr>
                <w:rFonts w:eastAsia="SimSun" w:cs="Arial"/>
                <w:b/>
                <w:bCs/>
                <w:sz w:val="16"/>
                <w:szCs w:val="16"/>
                <w:lang w:eastAsia="zh-CN"/>
              </w:rPr>
              <w:tab/>
            </w:r>
            <w:r w:rsidRPr="004D109D">
              <w:rPr>
                <w:rFonts w:eastAsia="SimSun" w:cs="Arial"/>
                <w:sz w:val="16"/>
                <w:szCs w:val="16"/>
                <w:lang w:eastAsia="zh-CN"/>
              </w:rPr>
              <w:t>VIII.3 Effective engagement with Member States</w:t>
            </w:r>
          </w:p>
        </w:tc>
      </w:tr>
      <w:tr w:rsidR="00BC2ECD" w:rsidRPr="0068183D" w:rsidTr="00BC2ECD">
        <w:tc>
          <w:tcPr>
            <w:tcW w:w="1194" w:type="pct"/>
            <w:tcBorders>
              <w:top w:val="single" w:sz="4" w:space="0" w:color="auto"/>
              <w:left w:val="single" w:sz="4" w:space="0" w:color="auto"/>
              <w:bottom w:val="nil"/>
            </w:tcBorders>
            <w:shd w:val="clear" w:color="auto" w:fill="auto"/>
            <w:vAlign w:val="center"/>
          </w:tcPr>
          <w:p w:rsidR="00BC2ECD" w:rsidRPr="00A67F47" w:rsidRDefault="00BC2ECD">
            <w:pPr>
              <w:keepNext/>
              <w:keepLines/>
              <w:rPr>
                <w:rFonts w:eastAsia="SimSun" w:cs="Arial"/>
                <w:sz w:val="16"/>
                <w:szCs w:val="16"/>
                <w:lang w:eastAsia="zh-CN"/>
              </w:rPr>
            </w:pPr>
            <w:r w:rsidRPr="00A67F47">
              <w:rPr>
                <w:rFonts w:eastAsia="SimSun" w:cs="Arial"/>
                <w:b/>
                <w:bCs/>
                <w:sz w:val="16"/>
                <w:szCs w:val="16"/>
                <w:lang w:eastAsia="zh-CN"/>
              </w:rPr>
              <w:t>Performance Indicators</w:t>
            </w:r>
          </w:p>
        </w:tc>
        <w:tc>
          <w:tcPr>
            <w:tcW w:w="1269" w:type="pct"/>
            <w:tcBorders>
              <w:top w:val="single" w:sz="4" w:space="0" w:color="auto"/>
              <w:bottom w:val="nil"/>
            </w:tcBorders>
            <w:shd w:val="clear" w:color="auto" w:fill="auto"/>
            <w:vAlign w:val="center"/>
          </w:tcPr>
          <w:p w:rsidR="00BC2ECD" w:rsidRPr="00A67F47" w:rsidRDefault="00BC2ECD">
            <w:pPr>
              <w:keepNext/>
              <w:keepLines/>
              <w:rPr>
                <w:rFonts w:eastAsia="SimSun" w:cs="Arial"/>
                <w:b/>
                <w:bCs/>
                <w:sz w:val="16"/>
                <w:szCs w:val="16"/>
                <w:lang w:eastAsia="zh-CN"/>
              </w:rPr>
            </w:pPr>
            <w:r w:rsidRPr="00A67F47">
              <w:rPr>
                <w:rFonts w:cs="Arial"/>
                <w:b/>
                <w:bCs/>
                <w:sz w:val="16"/>
                <w:szCs w:val="16"/>
              </w:rPr>
              <w:t>Baselines</w:t>
            </w:r>
          </w:p>
        </w:tc>
        <w:tc>
          <w:tcPr>
            <w:tcW w:w="746" w:type="pct"/>
            <w:tcBorders>
              <w:top w:val="single" w:sz="4" w:space="0" w:color="auto"/>
              <w:bottom w:val="nil"/>
            </w:tcBorders>
            <w:shd w:val="clear" w:color="auto" w:fill="auto"/>
            <w:tcMar>
              <w:top w:w="110" w:type="dxa"/>
            </w:tcMar>
            <w:vAlign w:val="center"/>
          </w:tcPr>
          <w:p w:rsidR="00BC2ECD" w:rsidRPr="0027745B" w:rsidRDefault="00BC2ECD">
            <w:pPr>
              <w:keepNext/>
              <w:keepLines/>
              <w:rPr>
                <w:rFonts w:eastAsia="SimSun" w:cs="Arial"/>
                <w:b/>
                <w:sz w:val="16"/>
                <w:szCs w:val="16"/>
                <w:lang w:eastAsia="zh-CN"/>
              </w:rPr>
            </w:pPr>
            <w:r w:rsidRPr="00A67F47">
              <w:rPr>
                <w:rFonts w:cs="Arial"/>
                <w:b/>
                <w:sz w:val="16"/>
                <w:szCs w:val="16"/>
              </w:rPr>
              <w:t>Target</w:t>
            </w:r>
            <w:r>
              <w:rPr>
                <w:rFonts w:cs="Arial"/>
                <w:b/>
                <w:sz w:val="16"/>
                <w:szCs w:val="16"/>
              </w:rPr>
              <w:t>s</w:t>
            </w:r>
          </w:p>
        </w:tc>
        <w:tc>
          <w:tcPr>
            <w:tcW w:w="1269" w:type="pct"/>
            <w:tcBorders>
              <w:top w:val="single" w:sz="4" w:space="0" w:color="auto"/>
              <w:bottom w:val="nil"/>
            </w:tcBorders>
            <w:shd w:val="clear" w:color="auto" w:fill="FFFFFF"/>
            <w:tcMar>
              <w:top w:w="110" w:type="dxa"/>
            </w:tcMar>
            <w:vAlign w:val="center"/>
          </w:tcPr>
          <w:p w:rsidR="00BC2ECD" w:rsidRPr="00A67F47" w:rsidRDefault="00BC2ECD">
            <w:pPr>
              <w:rPr>
                <w:rFonts w:eastAsia="SimSun" w:cs="Arial"/>
                <w:sz w:val="16"/>
                <w:szCs w:val="16"/>
                <w:lang w:eastAsia="zh-CN"/>
              </w:rPr>
            </w:pPr>
            <w:r w:rsidRPr="00A67F47">
              <w:rPr>
                <w:rFonts w:eastAsia="SimSun" w:cs="Arial"/>
                <w:b/>
                <w:bCs/>
                <w:sz w:val="16"/>
                <w:szCs w:val="16"/>
                <w:lang w:eastAsia="zh-CN"/>
              </w:rPr>
              <w:t>Performance Data</w:t>
            </w:r>
          </w:p>
        </w:tc>
        <w:tc>
          <w:tcPr>
            <w:tcW w:w="522" w:type="pct"/>
            <w:tcBorders>
              <w:top w:val="single" w:sz="4" w:space="0" w:color="auto"/>
              <w:bottom w:val="nil"/>
              <w:right w:val="single" w:sz="4" w:space="0" w:color="auto"/>
            </w:tcBorders>
            <w:shd w:val="clear" w:color="auto" w:fill="auto"/>
            <w:tcMar>
              <w:top w:w="110" w:type="dxa"/>
            </w:tcMar>
            <w:vAlign w:val="center"/>
          </w:tcPr>
          <w:p w:rsidR="00BC2ECD" w:rsidRPr="0027745B" w:rsidRDefault="00BC2ECD">
            <w:pPr>
              <w:keepNext/>
              <w:keepLines/>
              <w:jc w:val="center"/>
              <w:rPr>
                <w:rFonts w:eastAsia="SimSun" w:cs="Arial"/>
                <w:b/>
                <w:bCs/>
                <w:sz w:val="16"/>
                <w:szCs w:val="16"/>
                <w:lang w:eastAsia="zh-CN"/>
              </w:rPr>
            </w:pPr>
            <w:r w:rsidRPr="00A67F47">
              <w:rPr>
                <w:rFonts w:eastAsia="SimSun" w:cs="Arial"/>
                <w:b/>
                <w:bCs/>
                <w:sz w:val="16"/>
                <w:szCs w:val="16"/>
                <w:lang w:eastAsia="zh-CN"/>
              </w:rPr>
              <w:t>TLS</w:t>
            </w:r>
          </w:p>
        </w:tc>
      </w:tr>
      <w:tr w:rsidR="00BC2ECD" w:rsidRPr="00011B74" w:rsidTr="00BC2ECD">
        <w:tc>
          <w:tcPr>
            <w:tcW w:w="1194" w:type="pct"/>
            <w:tcBorders>
              <w:top w:val="nil"/>
              <w:left w:val="single" w:sz="4" w:space="0" w:color="auto"/>
              <w:bottom w:val="nil"/>
            </w:tcBorders>
            <w:shd w:val="clear" w:color="auto" w:fill="auto"/>
          </w:tcPr>
          <w:p w:rsidR="00BC2ECD" w:rsidRPr="00A67F47" w:rsidRDefault="00BC2ECD">
            <w:pPr>
              <w:keepNext/>
              <w:keepLines/>
              <w:rPr>
                <w:rFonts w:eastAsia="SimSun" w:cs="Arial"/>
                <w:sz w:val="16"/>
                <w:szCs w:val="16"/>
                <w:lang w:eastAsia="zh-CN"/>
              </w:rPr>
            </w:pPr>
            <w:r w:rsidRPr="004D109D">
              <w:rPr>
                <w:rFonts w:eastAsia="SimSun" w:cs="Arial"/>
                <w:sz w:val="16"/>
                <w:szCs w:val="16"/>
                <w:lang w:eastAsia="zh-CN"/>
              </w:rPr>
              <w:t>% of Committee Meetings for which pre-Committee information meetings for Member States are held</w:t>
            </w:r>
          </w:p>
        </w:tc>
        <w:tc>
          <w:tcPr>
            <w:tcW w:w="1269" w:type="pct"/>
            <w:tcBorders>
              <w:top w:val="nil"/>
              <w:bottom w:val="nil"/>
            </w:tcBorders>
            <w:shd w:val="clear" w:color="auto" w:fill="auto"/>
          </w:tcPr>
          <w:p w:rsidR="00BC2ECD" w:rsidRPr="0027745B" w:rsidRDefault="00BC2ECD">
            <w:pPr>
              <w:rPr>
                <w:rFonts w:eastAsiaTheme="minorHAnsi" w:cs="Arial"/>
                <w:i/>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sidRPr="007851D6">
              <w:rPr>
                <w:rFonts w:cs="Arial"/>
                <w:color w:val="002060"/>
                <w:sz w:val="16"/>
                <w:szCs w:val="16"/>
              </w:rPr>
              <w:t>81% from a survey of secretaries of committees.</w:t>
            </w:r>
          </w:p>
          <w:p w:rsidR="00BC2ECD" w:rsidRPr="00861678" w:rsidRDefault="00BC2ECD">
            <w:pPr>
              <w:rPr>
                <w:rFonts w:cs="Arial"/>
                <w:i/>
                <w:color w:val="002060"/>
                <w:sz w:val="8"/>
                <w:szCs w:val="8"/>
              </w:rPr>
            </w:pPr>
          </w:p>
          <w:p w:rsidR="00BC2ECD" w:rsidRPr="00A67F47" w:rsidRDefault="00BC2ECD">
            <w:pPr>
              <w:keepNext/>
              <w:keepLines/>
              <w:rPr>
                <w:rFonts w:eastAsia="SimSun" w:cs="Arial"/>
                <w:color w:val="000000"/>
                <w:sz w:val="16"/>
                <w:szCs w:val="16"/>
                <w:lang w:eastAsia="zh-CN"/>
              </w:rPr>
            </w:pPr>
            <w:r>
              <w:rPr>
                <w:rFonts w:cs="Arial"/>
                <w:i/>
                <w:sz w:val="16"/>
                <w:szCs w:val="16"/>
              </w:rPr>
              <w:t>Original Baseline P&amp;B 2014/15</w:t>
            </w:r>
            <w:r w:rsidRPr="0027745B">
              <w:rPr>
                <w:rFonts w:cs="Arial"/>
                <w:i/>
                <w:sz w:val="16"/>
                <w:szCs w:val="16"/>
              </w:rPr>
              <w:t>:</w:t>
            </w:r>
            <w:r>
              <w:rPr>
                <w:rFonts w:cs="Arial"/>
                <w:sz w:val="16"/>
                <w:szCs w:val="16"/>
              </w:rPr>
              <w:t xml:space="preserve">  </w:t>
            </w:r>
            <w:r w:rsidRPr="004D109D">
              <w:rPr>
                <w:rFonts w:cs="Arial"/>
                <w:sz w:val="16"/>
                <w:szCs w:val="16"/>
              </w:rPr>
              <w:t>80%</w:t>
            </w:r>
          </w:p>
        </w:tc>
        <w:tc>
          <w:tcPr>
            <w:tcW w:w="746" w:type="pct"/>
            <w:tcBorders>
              <w:top w:val="nil"/>
              <w:bottom w:val="nil"/>
            </w:tcBorders>
            <w:shd w:val="clear" w:color="auto" w:fill="auto"/>
            <w:tcMar>
              <w:top w:w="110" w:type="dxa"/>
            </w:tcMar>
          </w:tcPr>
          <w:p w:rsidR="00BC2ECD" w:rsidRPr="0027745B" w:rsidRDefault="00BC2ECD">
            <w:pPr>
              <w:keepNext/>
              <w:keepLines/>
              <w:rPr>
                <w:rFonts w:eastAsia="SimSun" w:cs="Arial"/>
                <w:color w:val="000000"/>
                <w:sz w:val="16"/>
                <w:szCs w:val="16"/>
                <w:lang w:eastAsia="zh-CN"/>
              </w:rPr>
            </w:pPr>
            <w:r w:rsidRPr="004D109D">
              <w:rPr>
                <w:rFonts w:eastAsia="SimSun" w:cs="Arial"/>
                <w:color w:val="000000"/>
                <w:sz w:val="16"/>
                <w:szCs w:val="16"/>
                <w:lang w:eastAsia="zh-CN"/>
              </w:rPr>
              <w:t>90%</w:t>
            </w:r>
          </w:p>
        </w:tc>
        <w:tc>
          <w:tcPr>
            <w:tcW w:w="1269" w:type="pct"/>
            <w:tcBorders>
              <w:top w:val="nil"/>
              <w:bottom w:val="nil"/>
            </w:tcBorders>
            <w:shd w:val="clear" w:color="auto" w:fill="FFFFFF"/>
            <w:tcMar>
              <w:top w:w="110" w:type="dxa"/>
            </w:tcMar>
          </w:tcPr>
          <w:p w:rsidR="00BC2ECD" w:rsidRPr="00A67F47" w:rsidRDefault="00BC2ECD">
            <w:pPr>
              <w:rPr>
                <w:rFonts w:eastAsia="SimSun" w:cs="Arial"/>
                <w:sz w:val="16"/>
                <w:szCs w:val="16"/>
                <w:lang w:eastAsia="zh-CN"/>
              </w:rPr>
            </w:pPr>
            <w:r>
              <w:rPr>
                <w:rFonts w:eastAsia="SimSun" w:cs="Arial"/>
                <w:sz w:val="16"/>
                <w:szCs w:val="16"/>
                <w:lang w:eastAsia="zh-CN"/>
              </w:rPr>
              <w:t>93%</w:t>
            </w:r>
          </w:p>
        </w:tc>
        <w:tc>
          <w:tcPr>
            <w:tcW w:w="522" w:type="pct"/>
            <w:tcBorders>
              <w:top w:val="nil"/>
              <w:bottom w:val="nil"/>
              <w:right w:val="single" w:sz="4" w:space="0" w:color="auto"/>
            </w:tcBorders>
            <w:shd w:val="clear" w:color="auto" w:fill="auto"/>
            <w:tcMar>
              <w:top w:w="110" w:type="dxa"/>
            </w:tcMar>
          </w:tcPr>
          <w:p w:rsidR="00BC2ECD" w:rsidRPr="00303667" w:rsidRDefault="00BC2ECD">
            <w:pPr>
              <w:keepNext/>
              <w:keepLines/>
              <w:jc w:val="center"/>
              <w:rPr>
                <w:rFonts w:eastAsia="SimSun" w:cs="Arial"/>
                <w:b/>
                <w:color w:val="00B050"/>
                <w:sz w:val="16"/>
                <w:szCs w:val="16"/>
                <w:lang w:eastAsia="zh-CN"/>
              </w:rPr>
            </w:pPr>
            <w:r w:rsidRPr="00303667">
              <w:rPr>
                <w:rFonts w:eastAsia="SimSun" w:cs="Arial"/>
                <w:b/>
                <w:color w:val="00B050"/>
                <w:sz w:val="16"/>
                <w:szCs w:val="16"/>
                <w:lang w:eastAsia="zh-CN"/>
              </w:rPr>
              <w:t>On track</w:t>
            </w:r>
          </w:p>
        </w:tc>
      </w:tr>
      <w:tr w:rsidR="00BC2ECD" w:rsidRPr="00011B74" w:rsidTr="00BC2ECD">
        <w:tc>
          <w:tcPr>
            <w:tcW w:w="1194" w:type="pct"/>
            <w:tcBorders>
              <w:top w:val="nil"/>
              <w:left w:val="single" w:sz="4" w:space="0" w:color="auto"/>
              <w:bottom w:val="nil"/>
            </w:tcBorders>
            <w:shd w:val="clear" w:color="auto" w:fill="auto"/>
          </w:tcPr>
          <w:p w:rsidR="00BC2ECD" w:rsidRPr="00BC56C6" w:rsidRDefault="00BC2ECD">
            <w:pPr>
              <w:rPr>
                <w:rFonts w:eastAsia="SimSun" w:cs="Arial"/>
                <w:color w:val="000000"/>
                <w:sz w:val="16"/>
                <w:szCs w:val="16"/>
                <w:lang w:eastAsia="zh-CN"/>
              </w:rPr>
            </w:pPr>
            <w:r w:rsidRPr="002B0985">
              <w:rPr>
                <w:rFonts w:eastAsia="SimSun" w:cs="Arial"/>
                <w:color w:val="000000"/>
                <w:sz w:val="16"/>
                <w:szCs w:val="16"/>
                <w:lang w:eastAsia="zh-CN"/>
              </w:rPr>
              <w:t>% of letters to the DG from Member States are responded to within 2 weeks</w:t>
            </w:r>
          </w:p>
        </w:tc>
        <w:tc>
          <w:tcPr>
            <w:tcW w:w="1269" w:type="pct"/>
            <w:tcBorders>
              <w:top w:val="nil"/>
              <w:bottom w:val="nil"/>
            </w:tcBorders>
            <w:shd w:val="clear" w:color="auto" w:fill="auto"/>
          </w:tcPr>
          <w:p w:rsidR="00BC2ECD" w:rsidRPr="0027745B" w:rsidRDefault="00BC2ECD">
            <w:pPr>
              <w:rPr>
                <w:rFonts w:eastAsiaTheme="minorHAnsi" w:cs="Arial"/>
                <w:i/>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sidRPr="007851D6">
              <w:rPr>
                <w:rFonts w:cs="Arial"/>
                <w:color w:val="002060"/>
                <w:sz w:val="16"/>
                <w:szCs w:val="16"/>
              </w:rPr>
              <w:t>81% from an assessment of incoming and outgoing correspondence</w:t>
            </w:r>
          </w:p>
          <w:p w:rsidR="00BC2ECD" w:rsidRPr="00861678" w:rsidRDefault="00BC2ECD">
            <w:pPr>
              <w:rPr>
                <w:rFonts w:cs="Arial"/>
                <w:i/>
                <w:color w:val="002060"/>
                <w:sz w:val="8"/>
                <w:szCs w:val="8"/>
              </w:rPr>
            </w:pPr>
          </w:p>
          <w:p w:rsidR="00BC2ECD" w:rsidRDefault="00BC2ECD">
            <w:pPr>
              <w:rPr>
                <w:rFonts w:cs="Arial"/>
                <w:i/>
                <w:color w:val="002060"/>
                <w:sz w:val="16"/>
                <w:szCs w:val="16"/>
              </w:rPr>
            </w:pPr>
            <w:r>
              <w:rPr>
                <w:rFonts w:cs="Arial"/>
                <w:i/>
                <w:sz w:val="16"/>
                <w:szCs w:val="16"/>
              </w:rPr>
              <w:t>Original Baseline P&amp;B 2014/15</w:t>
            </w:r>
            <w:r w:rsidRPr="0027745B">
              <w:rPr>
                <w:rFonts w:cs="Arial"/>
                <w:i/>
                <w:sz w:val="16"/>
                <w:szCs w:val="16"/>
              </w:rPr>
              <w:t>:</w:t>
            </w:r>
            <w:r>
              <w:rPr>
                <w:rFonts w:cs="Arial"/>
                <w:sz w:val="16"/>
                <w:szCs w:val="16"/>
              </w:rPr>
              <w:t xml:space="preserve">  </w:t>
            </w:r>
            <w:r w:rsidRPr="002B0985">
              <w:rPr>
                <w:rFonts w:cs="Arial"/>
                <w:sz w:val="16"/>
                <w:szCs w:val="16"/>
              </w:rPr>
              <w:t>80%</w:t>
            </w:r>
          </w:p>
        </w:tc>
        <w:tc>
          <w:tcPr>
            <w:tcW w:w="746" w:type="pct"/>
            <w:tcBorders>
              <w:top w:val="nil"/>
              <w:bottom w:val="nil"/>
            </w:tcBorders>
            <w:shd w:val="clear" w:color="auto" w:fill="auto"/>
            <w:tcMar>
              <w:top w:w="110" w:type="dxa"/>
            </w:tcMar>
          </w:tcPr>
          <w:p w:rsidR="00BC2ECD" w:rsidRPr="00BC56C6" w:rsidRDefault="00BC2ECD">
            <w:pPr>
              <w:rPr>
                <w:rFonts w:eastAsia="SimSun" w:cs="Arial"/>
                <w:color w:val="000000"/>
                <w:sz w:val="16"/>
                <w:szCs w:val="16"/>
                <w:lang w:eastAsia="zh-CN"/>
              </w:rPr>
            </w:pPr>
            <w:r w:rsidRPr="002B0985">
              <w:rPr>
                <w:rFonts w:eastAsia="SimSun" w:cs="Arial"/>
                <w:color w:val="000000"/>
                <w:sz w:val="16"/>
                <w:szCs w:val="16"/>
                <w:lang w:eastAsia="zh-CN"/>
              </w:rPr>
              <w:t>80%</w:t>
            </w:r>
          </w:p>
        </w:tc>
        <w:tc>
          <w:tcPr>
            <w:tcW w:w="1269" w:type="pct"/>
            <w:tcBorders>
              <w:top w:val="nil"/>
              <w:bottom w:val="nil"/>
            </w:tcBorders>
            <w:shd w:val="clear" w:color="auto" w:fill="FFFFFF"/>
            <w:tcMar>
              <w:top w:w="110" w:type="dxa"/>
            </w:tcMar>
          </w:tcPr>
          <w:p w:rsidR="00BC2ECD" w:rsidRPr="00BC56C6" w:rsidRDefault="00BC2ECD">
            <w:pPr>
              <w:rPr>
                <w:rFonts w:eastAsia="SimSun" w:cs="Arial"/>
                <w:sz w:val="16"/>
                <w:szCs w:val="16"/>
                <w:lang w:eastAsia="zh-CN"/>
              </w:rPr>
            </w:pPr>
            <w:r>
              <w:rPr>
                <w:rFonts w:eastAsia="SimSun" w:cs="Arial"/>
                <w:sz w:val="16"/>
                <w:szCs w:val="16"/>
                <w:lang w:eastAsia="zh-CN"/>
              </w:rPr>
              <w:t>80%</w:t>
            </w:r>
          </w:p>
        </w:tc>
        <w:tc>
          <w:tcPr>
            <w:tcW w:w="522" w:type="pct"/>
            <w:tcBorders>
              <w:top w:val="nil"/>
              <w:bottom w:val="nil"/>
              <w:right w:val="single" w:sz="4" w:space="0" w:color="auto"/>
            </w:tcBorders>
            <w:shd w:val="clear" w:color="auto" w:fill="auto"/>
            <w:tcMar>
              <w:top w:w="110" w:type="dxa"/>
            </w:tcMar>
          </w:tcPr>
          <w:p w:rsidR="00BC2ECD" w:rsidRPr="002B0985" w:rsidRDefault="00BC2ECD">
            <w:pPr>
              <w:keepNext/>
              <w:keepLines/>
              <w:jc w:val="center"/>
              <w:rPr>
                <w:rFonts w:eastAsia="SimSun" w:cs="Arial"/>
                <w:b/>
                <w:color w:val="00B050"/>
                <w:sz w:val="16"/>
                <w:szCs w:val="16"/>
                <w:lang w:eastAsia="zh-CN"/>
              </w:rPr>
            </w:pPr>
            <w:r w:rsidRPr="002B0985">
              <w:rPr>
                <w:rFonts w:eastAsia="SimSun" w:cs="Arial"/>
                <w:b/>
                <w:color w:val="00B050"/>
                <w:sz w:val="16"/>
                <w:szCs w:val="16"/>
                <w:lang w:eastAsia="zh-CN"/>
              </w:rPr>
              <w:t>On track</w:t>
            </w:r>
          </w:p>
        </w:tc>
      </w:tr>
      <w:tr w:rsidR="00BC2ECD" w:rsidRPr="00011B74" w:rsidTr="00BC2ECD">
        <w:tc>
          <w:tcPr>
            <w:tcW w:w="1194" w:type="pct"/>
            <w:tcBorders>
              <w:top w:val="nil"/>
              <w:left w:val="single" w:sz="4" w:space="0" w:color="auto"/>
              <w:bottom w:val="nil"/>
            </w:tcBorders>
            <w:shd w:val="clear" w:color="auto" w:fill="auto"/>
          </w:tcPr>
          <w:p w:rsidR="00BC2ECD" w:rsidRPr="00A67F47" w:rsidRDefault="00BC2ECD">
            <w:pPr>
              <w:rPr>
                <w:rFonts w:eastAsia="SimSun" w:cs="Arial"/>
                <w:color w:val="000000"/>
                <w:sz w:val="16"/>
                <w:szCs w:val="16"/>
                <w:lang w:eastAsia="zh-CN"/>
              </w:rPr>
            </w:pPr>
            <w:r w:rsidRPr="00BC56C6">
              <w:rPr>
                <w:rFonts w:eastAsia="SimSun" w:cs="Arial"/>
                <w:color w:val="000000"/>
                <w:sz w:val="16"/>
                <w:szCs w:val="16"/>
                <w:lang w:eastAsia="zh-CN"/>
              </w:rPr>
              <w:t>% of adherence and other WIPO Treaty-related actions by Member States processed in a timely manner</w:t>
            </w:r>
          </w:p>
        </w:tc>
        <w:tc>
          <w:tcPr>
            <w:tcW w:w="1269" w:type="pct"/>
            <w:tcBorders>
              <w:top w:val="nil"/>
              <w:bottom w:val="nil"/>
            </w:tcBorders>
            <w:shd w:val="clear" w:color="auto" w:fill="auto"/>
          </w:tcPr>
          <w:p w:rsidR="00BC2ECD" w:rsidRPr="00BC56C6" w:rsidRDefault="00BC2ECD">
            <w:pPr>
              <w:rPr>
                <w:rFonts w:eastAsiaTheme="minorHAnsi" w:cs="Arial"/>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sidRPr="00BC56C6">
              <w:rPr>
                <w:rFonts w:cs="Arial"/>
                <w:color w:val="002060"/>
                <w:sz w:val="16"/>
                <w:szCs w:val="16"/>
              </w:rPr>
              <w:t>98%</w:t>
            </w:r>
            <w:r>
              <w:rPr>
                <w:rFonts w:cs="Arial"/>
                <w:color w:val="002060"/>
                <w:sz w:val="16"/>
                <w:szCs w:val="16"/>
              </w:rPr>
              <w:t xml:space="preserve"> </w:t>
            </w:r>
            <w:r w:rsidRPr="00567588">
              <w:rPr>
                <w:rFonts w:cs="Arial"/>
                <w:sz w:val="16"/>
                <w:szCs w:val="16"/>
                <w:lang w:bidi="th-TH"/>
              </w:rPr>
              <w:t>of notifications of adherence and other treaty related actions processed within three days.</w:t>
            </w:r>
          </w:p>
          <w:p w:rsidR="00BC2ECD" w:rsidRPr="00861678" w:rsidRDefault="00BC2ECD">
            <w:pPr>
              <w:rPr>
                <w:rFonts w:cs="Arial"/>
                <w:i/>
                <w:color w:val="002060"/>
                <w:sz w:val="8"/>
                <w:szCs w:val="8"/>
              </w:rPr>
            </w:pPr>
          </w:p>
          <w:p w:rsidR="00BC2ECD" w:rsidRPr="00A67F47" w:rsidRDefault="00BC2ECD">
            <w:pPr>
              <w:rPr>
                <w:rFonts w:eastAsia="SimSun" w:cs="Arial"/>
                <w:color w:val="000000"/>
                <w:sz w:val="16"/>
                <w:szCs w:val="16"/>
                <w:lang w:eastAsia="zh-CN"/>
              </w:rPr>
            </w:pPr>
            <w:r>
              <w:rPr>
                <w:rFonts w:cs="Arial"/>
                <w:i/>
                <w:sz w:val="16"/>
                <w:szCs w:val="16"/>
              </w:rPr>
              <w:t>Original Baseline P&amp;B 2014/15</w:t>
            </w:r>
            <w:r w:rsidRPr="0027745B">
              <w:rPr>
                <w:rFonts w:cs="Arial"/>
                <w:i/>
                <w:sz w:val="16"/>
                <w:szCs w:val="16"/>
              </w:rPr>
              <w:t>:</w:t>
            </w:r>
            <w:r>
              <w:rPr>
                <w:rFonts w:cs="Arial"/>
                <w:sz w:val="16"/>
                <w:szCs w:val="16"/>
              </w:rPr>
              <w:t xml:space="preserve">  </w:t>
            </w:r>
            <w:r w:rsidRPr="00BC56C6">
              <w:rPr>
                <w:rFonts w:cs="Arial"/>
                <w:sz w:val="16"/>
                <w:szCs w:val="16"/>
              </w:rPr>
              <w:t>95% processed within three days (end of 2012)</w:t>
            </w:r>
          </w:p>
        </w:tc>
        <w:tc>
          <w:tcPr>
            <w:tcW w:w="746" w:type="pct"/>
            <w:tcBorders>
              <w:top w:val="nil"/>
              <w:bottom w:val="nil"/>
            </w:tcBorders>
            <w:shd w:val="clear" w:color="auto" w:fill="auto"/>
            <w:tcMar>
              <w:top w:w="110" w:type="dxa"/>
            </w:tcMar>
          </w:tcPr>
          <w:p w:rsidR="00BC2ECD" w:rsidRPr="0027745B" w:rsidRDefault="00BC2ECD">
            <w:pPr>
              <w:rPr>
                <w:rFonts w:eastAsia="SimSun" w:cs="Arial"/>
                <w:color w:val="000000"/>
                <w:sz w:val="16"/>
                <w:szCs w:val="16"/>
                <w:lang w:eastAsia="zh-CN"/>
              </w:rPr>
            </w:pPr>
            <w:r w:rsidRPr="00BC56C6">
              <w:rPr>
                <w:rFonts w:eastAsia="SimSun" w:cs="Arial"/>
                <w:color w:val="000000"/>
                <w:sz w:val="16"/>
                <w:szCs w:val="16"/>
                <w:lang w:eastAsia="zh-CN"/>
              </w:rPr>
              <w:t>90 % processed within three days</w:t>
            </w:r>
          </w:p>
        </w:tc>
        <w:tc>
          <w:tcPr>
            <w:tcW w:w="1269" w:type="pct"/>
            <w:tcBorders>
              <w:top w:val="nil"/>
              <w:bottom w:val="nil"/>
            </w:tcBorders>
            <w:shd w:val="clear" w:color="auto" w:fill="FFFFFF"/>
            <w:tcMar>
              <w:top w:w="110" w:type="dxa"/>
            </w:tcMar>
          </w:tcPr>
          <w:p w:rsidR="00BC2ECD" w:rsidRPr="00BC56C6" w:rsidRDefault="00BC2ECD">
            <w:pPr>
              <w:rPr>
                <w:rFonts w:eastAsiaTheme="minorHAnsi" w:cs="Arial"/>
                <w:color w:val="002060"/>
                <w:sz w:val="16"/>
                <w:szCs w:val="16"/>
              </w:rPr>
            </w:pPr>
            <w:r w:rsidRPr="00BC56C6">
              <w:rPr>
                <w:rFonts w:eastAsia="SimSun" w:cs="Arial"/>
                <w:sz w:val="16"/>
                <w:szCs w:val="16"/>
                <w:lang w:eastAsia="zh-CN"/>
              </w:rPr>
              <w:t>95%</w:t>
            </w:r>
            <w:r>
              <w:rPr>
                <w:rFonts w:eastAsia="SimSun" w:cs="Arial"/>
                <w:sz w:val="16"/>
                <w:szCs w:val="16"/>
                <w:lang w:eastAsia="zh-CN"/>
              </w:rPr>
              <w:t xml:space="preserve"> </w:t>
            </w:r>
            <w:r w:rsidRPr="00567588">
              <w:rPr>
                <w:rFonts w:cs="Arial"/>
                <w:sz w:val="16"/>
                <w:szCs w:val="16"/>
                <w:lang w:bidi="th-TH"/>
              </w:rPr>
              <w:t>of notifications of adherence and other treaty related actions processed within three days.</w:t>
            </w:r>
          </w:p>
          <w:p w:rsidR="00BC2ECD" w:rsidRPr="00A67F47" w:rsidRDefault="00BC2ECD">
            <w:pPr>
              <w:rPr>
                <w:rFonts w:eastAsia="SimSun" w:cs="Arial"/>
                <w:sz w:val="16"/>
                <w:szCs w:val="16"/>
                <w:lang w:eastAsia="zh-CN"/>
              </w:rPr>
            </w:pPr>
          </w:p>
        </w:tc>
        <w:tc>
          <w:tcPr>
            <w:tcW w:w="522" w:type="pct"/>
            <w:tcBorders>
              <w:top w:val="nil"/>
              <w:bottom w:val="nil"/>
              <w:right w:val="single" w:sz="4" w:space="0" w:color="auto"/>
            </w:tcBorders>
            <w:shd w:val="clear" w:color="auto" w:fill="auto"/>
            <w:tcMar>
              <w:top w:w="110" w:type="dxa"/>
            </w:tcMar>
          </w:tcPr>
          <w:p w:rsidR="00BC2ECD" w:rsidRPr="002B0985" w:rsidRDefault="00BC2ECD">
            <w:pPr>
              <w:keepNext/>
              <w:keepLines/>
              <w:jc w:val="center"/>
              <w:rPr>
                <w:rFonts w:eastAsia="SimSun" w:cs="Arial"/>
                <w:b/>
                <w:color w:val="00B050"/>
                <w:sz w:val="16"/>
                <w:szCs w:val="16"/>
                <w:lang w:eastAsia="zh-CN"/>
              </w:rPr>
            </w:pPr>
            <w:r w:rsidRPr="002B0985">
              <w:rPr>
                <w:rFonts w:eastAsia="SimSun" w:cs="Arial"/>
                <w:b/>
                <w:color w:val="00B050"/>
                <w:sz w:val="16"/>
                <w:szCs w:val="16"/>
                <w:lang w:eastAsia="zh-CN"/>
              </w:rPr>
              <w:t>On track</w:t>
            </w:r>
          </w:p>
        </w:tc>
      </w:tr>
      <w:tr w:rsidR="00BC2ECD" w:rsidRPr="00011B74" w:rsidTr="00BC2ECD">
        <w:tc>
          <w:tcPr>
            <w:tcW w:w="1194" w:type="pct"/>
            <w:tcBorders>
              <w:top w:val="nil"/>
              <w:left w:val="single" w:sz="4" w:space="0" w:color="auto"/>
              <w:bottom w:val="nil"/>
            </w:tcBorders>
            <w:shd w:val="clear" w:color="auto" w:fill="auto"/>
          </w:tcPr>
          <w:p w:rsidR="00BC2ECD" w:rsidRPr="00BC56C6" w:rsidRDefault="00BC2ECD">
            <w:pPr>
              <w:rPr>
                <w:rFonts w:eastAsia="SimSun" w:cs="Arial"/>
                <w:color w:val="000000"/>
                <w:sz w:val="16"/>
                <w:szCs w:val="16"/>
                <w:lang w:eastAsia="zh-CN"/>
              </w:rPr>
            </w:pPr>
            <w:r w:rsidRPr="00BC56C6">
              <w:rPr>
                <w:rFonts w:eastAsia="SimSun" w:cs="Arial"/>
                <w:color w:val="000000"/>
                <w:sz w:val="16"/>
                <w:szCs w:val="16"/>
                <w:lang w:eastAsia="zh-CN"/>
              </w:rPr>
              <w:t>Member States satisfaction levels with the preparation and functioning of the Assemblies</w:t>
            </w:r>
          </w:p>
        </w:tc>
        <w:tc>
          <w:tcPr>
            <w:tcW w:w="1269" w:type="pct"/>
            <w:tcBorders>
              <w:top w:val="nil"/>
              <w:bottom w:val="nil"/>
            </w:tcBorders>
            <w:shd w:val="clear" w:color="auto" w:fill="auto"/>
          </w:tcPr>
          <w:p w:rsidR="00BC2ECD" w:rsidRDefault="00BC2ECD">
            <w:pPr>
              <w:rPr>
                <w:rFonts w:cs="Arial"/>
                <w:i/>
                <w:color w:val="002060"/>
                <w:sz w:val="8"/>
                <w:szCs w:val="8"/>
              </w:rPr>
            </w:pPr>
            <w:r>
              <w:rPr>
                <w:rFonts w:cs="Arial"/>
                <w:i/>
                <w:color w:val="002060"/>
                <w:sz w:val="16"/>
                <w:szCs w:val="16"/>
              </w:rPr>
              <w:t>Updated Baseline end 2013</w:t>
            </w:r>
            <w:r w:rsidRPr="0027745B">
              <w:rPr>
                <w:rFonts w:cs="Arial"/>
                <w:i/>
                <w:color w:val="002060"/>
                <w:sz w:val="16"/>
                <w:szCs w:val="16"/>
              </w:rPr>
              <w:t xml:space="preserve">:  </w:t>
            </w:r>
            <w:r w:rsidRPr="00CF33C3">
              <w:rPr>
                <w:rFonts w:eastAsia="SimSun" w:cs="Arial"/>
                <w:sz w:val="16"/>
                <w:szCs w:val="16"/>
                <w:lang w:eastAsia="zh-CN"/>
              </w:rPr>
              <w:t>88% from the 2012 WIPO Assemblies survey</w:t>
            </w:r>
            <w:r>
              <w:rPr>
                <w:rFonts w:eastAsia="SimSun" w:cs="Arial"/>
                <w:sz w:val="16"/>
                <w:szCs w:val="16"/>
                <w:lang w:eastAsia="zh-CN"/>
              </w:rPr>
              <w:t xml:space="preserve"> (a survey was not possible in 2013 due to exceptional circumstances; survey will be reintroduced in 2014).</w:t>
            </w:r>
          </w:p>
          <w:p w:rsidR="00BC2ECD" w:rsidRPr="00861678" w:rsidRDefault="00BC2ECD">
            <w:pPr>
              <w:rPr>
                <w:rFonts w:cs="Arial"/>
                <w:i/>
                <w:color w:val="002060"/>
                <w:sz w:val="8"/>
                <w:szCs w:val="8"/>
              </w:rPr>
            </w:pPr>
          </w:p>
          <w:p w:rsidR="00BC2ECD" w:rsidRDefault="00BC2ECD">
            <w:pPr>
              <w:rPr>
                <w:rFonts w:cs="Arial"/>
                <w:i/>
                <w:color w:val="002060"/>
                <w:sz w:val="16"/>
                <w:szCs w:val="16"/>
              </w:rPr>
            </w:pPr>
            <w:r>
              <w:rPr>
                <w:rFonts w:cs="Arial"/>
                <w:i/>
                <w:sz w:val="16"/>
                <w:szCs w:val="16"/>
              </w:rPr>
              <w:t>Original Baseline P&amp;B 2014/15</w:t>
            </w:r>
            <w:r w:rsidRPr="0027745B">
              <w:rPr>
                <w:rFonts w:cs="Arial"/>
                <w:i/>
                <w:sz w:val="16"/>
                <w:szCs w:val="16"/>
              </w:rPr>
              <w:t>:</w:t>
            </w:r>
            <w:r>
              <w:rPr>
                <w:rFonts w:cs="Arial"/>
                <w:sz w:val="16"/>
                <w:szCs w:val="16"/>
              </w:rPr>
              <w:t xml:space="preserve">  </w:t>
            </w:r>
            <w:r w:rsidRPr="002B0985">
              <w:rPr>
                <w:rFonts w:cs="Arial"/>
                <w:sz w:val="16"/>
                <w:szCs w:val="16"/>
              </w:rPr>
              <w:t>88% satisfied with arrangements</w:t>
            </w:r>
          </w:p>
        </w:tc>
        <w:tc>
          <w:tcPr>
            <w:tcW w:w="746" w:type="pct"/>
            <w:tcBorders>
              <w:top w:val="nil"/>
              <w:bottom w:val="nil"/>
            </w:tcBorders>
            <w:shd w:val="clear" w:color="auto" w:fill="auto"/>
            <w:tcMar>
              <w:top w:w="110" w:type="dxa"/>
            </w:tcMar>
          </w:tcPr>
          <w:p w:rsidR="00BC2ECD" w:rsidRPr="00BC56C6" w:rsidRDefault="00BC2ECD">
            <w:pPr>
              <w:rPr>
                <w:rFonts w:eastAsia="SimSun" w:cs="Arial"/>
                <w:color w:val="000000"/>
                <w:sz w:val="16"/>
                <w:szCs w:val="16"/>
                <w:lang w:eastAsia="zh-CN"/>
              </w:rPr>
            </w:pPr>
            <w:r w:rsidRPr="002B0985">
              <w:rPr>
                <w:rFonts w:eastAsia="SimSun" w:cs="Arial"/>
                <w:color w:val="000000"/>
                <w:sz w:val="16"/>
                <w:szCs w:val="16"/>
                <w:lang w:eastAsia="zh-CN"/>
              </w:rPr>
              <w:t>85% satisfied with arrangements</w:t>
            </w:r>
          </w:p>
        </w:tc>
        <w:tc>
          <w:tcPr>
            <w:tcW w:w="1269" w:type="pct"/>
            <w:tcBorders>
              <w:top w:val="nil"/>
              <w:bottom w:val="nil"/>
            </w:tcBorders>
            <w:shd w:val="clear" w:color="auto" w:fill="FFFFFF"/>
            <w:tcMar>
              <w:top w:w="110" w:type="dxa"/>
            </w:tcMar>
          </w:tcPr>
          <w:p w:rsidR="00BC2ECD" w:rsidRPr="00BC56C6" w:rsidRDefault="00BC2ECD">
            <w:pPr>
              <w:rPr>
                <w:rFonts w:eastAsia="SimSun" w:cs="Arial"/>
                <w:sz w:val="16"/>
                <w:szCs w:val="16"/>
                <w:lang w:eastAsia="zh-CN"/>
              </w:rPr>
            </w:pPr>
            <w:r>
              <w:rPr>
                <w:rFonts w:eastAsia="SimSun" w:cs="Arial"/>
                <w:sz w:val="16"/>
                <w:szCs w:val="16"/>
                <w:lang w:eastAsia="zh-CN"/>
              </w:rPr>
              <w:t>87% (2014 WIPO Assemblies Survey</w:t>
            </w:r>
            <w:r>
              <w:rPr>
                <w:rStyle w:val="FootnoteReference"/>
                <w:rFonts w:eastAsia="SimSun" w:cs="Arial"/>
                <w:sz w:val="16"/>
                <w:szCs w:val="16"/>
                <w:lang w:eastAsia="zh-CN"/>
              </w:rPr>
              <w:footnoteReference w:id="53"/>
            </w:r>
            <w:r>
              <w:rPr>
                <w:rFonts w:eastAsia="SimSun" w:cs="Arial"/>
                <w:sz w:val="16"/>
                <w:szCs w:val="16"/>
                <w:lang w:eastAsia="zh-CN"/>
              </w:rPr>
              <w:t>)</w:t>
            </w:r>
          </w:p>
        </w:tc>
        <w:tc>
          <w:tcPr>
            <w:tcW w:w="522" w:type="pct"/>
            <w:tcBorders>
              <w:top w:val="nil"/>
              <w:bottom w:val="nil"/>
              <w:right w:val="single" w:sz="4" w:space="0" w:color="auto"/>
            </w:tcBorders>
            <w:shd w:val="clear" w:color="auto" w:fill="auto"/>
            <w:tcMar>
              <w:top w:w="110" w:type="dxa"/>
            </w:tcMar>
          </w:tcPr>
          <w:p w:rsidR="00BC2ECD" w:rsidRPr="00BC56C6" w:rsidRDefault="00BC2ECD">
            <w:pPr>
              <w:keepNext/>
              <w:keepLines/>
              <w:jc w:val="center"/>
              <w:rPr>
                <w:rFonts w:eastAsia="SimSun" w:cs="Arial"/>
                <w:b/>
                <w:color w:val="FF0000"/>
                <w:sz w:val="16"/>
                <w:szCs w:val="16"/>
                <w:lang w:eastAsia="zh-CN"/>
              </w:rPr>
            </w:pPr>
            <w:r w:rsidRPr="002B0985">
              <w:rPr>
                <w:rFonts w:eastAsia="SimSun" w:cs="Arial"/>
                <w:b/>
                <w:color w:val="00B050"/>
                <w:sz w:val="16"/>
                <w:szCs w:val="16"/>
                <w:lang w:eastAsia="zh-CN"/>
              </w:rPr>
              <w:t>On track</w:t>
            </w:r>
          </w:p>
        </w:tc>
      </w:tr>
      <w:tr w:rsidR="00BC2ECD" w:rsidRPr="00011B74" w:rsidTr="00BC2ECD">
        <w:tc>
          <w:tcPr>
            <w:tcW w:w="1194" w:type="pct"/>
            <w:tcBorders>
              <w:top w:val="nil"/>
              <w:left w:val="single" w:sz="4" w:space="0" w:color="auto"/>
              <w:bottom w:val="single" w:sz="4" w:space="0" w:color="auto"/>
            </w:tcBorders>
            <w:shd w:val="clear" w:color="auto" w:fill="auto"/>
          </w:tcPr>
          <w:p w:rsidR="00BC2ECD" w:rsidRPr="002B0985" w:rsidRDefault="00BC2ECD">
            <w:pPr>
              <w:rPr>
                <w:rFonts w:eastAsia="SimSun" w:cs="Arial"/>
                <w:color w:val="000000"/>
                <w:sz w:val="16"/>
                <w:szCs w:val="16"/>
                <w:lang w:eastAsia="zh-CN"/>
              </w:rPr>
            </w:pPr>
            <w:r w:rsidRPr="002B0985">
              <w:rPr>
                <w:rFonts w:eastAsia="SimSun" w:cs="Arial"/>
                <w:color w:val="000000"/>
                <w:sz w:val="16"/>
                <w:szCs w:val="16"/>
                <w:lang w:eastAsia="zh-CN"/>
              </w:rPr>
              <w:t>Timeliness of publication of Assemblies documents</w:t>
            </w:r>
          </w:p>
        </w:tc>
        <w:tc>
          <w:tcPr>
            <w:tcW w:w="1269" w:type="pct"/>
            <w:tcBorders>
              <w:top w:val="nil"/>
              <w:bottom w:val="single" w:sz="4" w:space="0" w:color="auto"/>
            </w:tcBorders>
            <w:shd w:val="clear" w:color="auto" w:fill="auto"/>
          </w:tcPr>
          <w:p w:rsidR="00BC2ECD" w:rsidRDefault="00BC2ECD">
            <w:pPr>
              <w:rPr>
                <w:rFonts w:eastAsia="SimSun" w:cs="Arial"/>
                <w:sz w:val="16"/>
                <w:szCs w:val="16"/>
                <w:lang w:eastAsia="zh-CN"/>
              </w:rPr>
            </w:pPr>
            <w:r>
              <w:rPr>
                <w:rFonts w:cs="Arial"/>
                <w:i/>
                <w:color w:val="002060"/>
                <w:sz w:val="16"/>
                <w:szCs w:val="16"/>
              </w:rPr>
              <w:t>Updated Baseline end 2013</w:t>
            </w:r>
            <w:r w:rsidRPr="0027745B">
              <w:rPr>
                <w:rFonts w:cs="Arial"/>
                <w:i/>
                <w:color w:val="002060"/>
                <w:sz w:val="16"/>
                <w:szCs w:val="16"/>
              </w:rPr>
              <w:t xml:space="preserve">:  </w:t>
            </w:r>
            <w:r w:rsidRPr="00CF33C3">
              <w:rPr>
                <w:rFonts w:eastAsia="SimSun" w:cs="Arial"/>
                <w:sz w:val="16"/>
                <w:szCs w:val="16"/>
                <w:lang w:eastAsia="zh-CN"/>
              </w:rPr>
              <w:t xml:space="preserve">For the </w:t>
            </w:r>
            <w:r>
              <w:rPr>
                <w:rFonts w:eastAsia="SimSun" w:cs="Arial"/>
                <w:sz w:val="16"/>
                <w:szCs w:val="16"/>
                <w:lang w:eastAsia="zh-CN"/>
              </w:rPr>
              <w:t xml:space="preserve">regular </w:t>
            </w:r>
            <w:r w:rsidRPr="00CF33C3">
              <w:rPr>
                <w:rFonts w:eastAsia="SimSun" w:cs="Arial"/>
                <w:sz w:val="16"/>
                <w:szCs w:val="16"/>
                <w:lang w:eastAsia="zh-CN"/>
              </w:rPr>
              <w:t>Assemblies</w:t>
            </w:r>
            <w:r>
              <w:rPr>
                <w:rFonts w:eastAsia="SimSun" w:cs="Arial"/>
                <w:sz w:val="16"/>
                <w:szCs w:val="16"/>
                <w:lang w:eastAsia="zh-CN"/>
              </w:rPr>
              <w:t xml:space="preserve">, 95% of </w:t>
            </w:r>
            <w:r w:rsidRPr="00CF33C3">
              <w:rPr>
                <w:rFonts w:eastAsia="SimSun" w:cs="Arial"/>
                <w:sz w:val="16"/>
                <w:szCs w:val="16"/>
                <w:lang w:eastAsia="zh-CN"/>
              </w:rPr>
              <w:t xml:space="preserve">all documents were published at least two months in advance of the Assemblies.  </w:t>
            </w:r>
          </w:p>
          <w:p w:rsidR="00BC2ECD" w:rsidRPr="00861678" w:rsidRDefault="00BC2ECD">
            <w:pPr>
              <w:rPr>
                <w:rFonts w:cs="Arial"/>
                <w:i/>
                <w:color w:val="002060"/>
                <w:sz w:val="8"/>
                <w:szCs w:val="8"/>
              </w:rPr>
            </w:pPr>
          </w:p>
          <w:p w:rsidR="00BC2ECD" w:rsidRPr="00ED310D" w:rsidRDefault="00BC2ECD">
            <w:pPr>
              <w:rPr>
                <w:rFonts w:cs="Arial"/>
                <w:sz w:val="16"/>
                <w:szCs w:val="16"/>
              </w:rPr>
            </w:pPr>
            <w:r>
              <w:rPr>
                <w:rFonts w:cs="Arial"/>
                <w:i/>
                <w:sz w:val="16"/>
                <w:szCs w:val="16"/>
              </w:rPr>
              <w:t>Original Baseline P&amp;B 2014/15</w:t>
            </w:r>
            <w:r w:rsidRPr="0027745B">
              <w:rPr>
                <w:rFonts w:cs="Arial"/>
                <w:i/>
                <w:sz w:val="16"/>
                <w:szCs w:val="16"/>
              </w:rPr>
              <w:t>:</w:t>
            </w:r>
            <w:r>
              <w:rPr>
                <w:rFonts w:cs="Arial"/>
                <w:sz w:val="16"/>
                <w:szCs w:val="16"/>
              </w:rPr>
              <w:t xml:space="preserve">  </w:t>
            </w:r>
            <w:r w:rsidRPr="002B0985">
              <w:rPr>
                <w:rFonts w:cs="Arial"/>
                <w:sz w:val="16"/>
                <w:szCs w:val="16"/>
              </w:rPr>
              <w:t>100% relevant documents published two months before the Assemblies</w:t>
            </w:r>
          </w:p>
        </w:tc>
        <w:tc>
          <w:tcPr>
            <w:tcW w:w="746" w:type="pct"/>
            <w:tcBorders>
              <w:top w:val="nil"/>
              <w:bottom w:val="single" w:sz="4" w:space="0" w:color="auto"/>
            </w:tcBorders>
            <w:shd w:val="clear" w:color="auto" w:fill="auto"/>
            <w:tcMar>
              <w:top w:w="110" w:type="dxa"/>
            </w:tcMar>
          </w:tcPr>
          <w:p w:rsidR="00BC2ECD" w:rsidRPr="002B0985" w:rsidRDefault="00BC2ECD">
            <w:pPr>
              <w:rPr>
                <w:rFonts w:eastAsia="SimSun" w:cs="Arial"/>
                <w:color w:val="000000"/>
                <w:sz w:val="16"/>
                <w:szCs w:val="16"/>
                <w:lang w:eastAsia="zh-CN"/>
              </w:rPr>
            </w:pPr>
            <w:r w:rsidRPr="002B0985">
              <w:rPr>
                <w:rFonts w:eastAsia="SimSun" w:cs="Arial"/>
                <w:color w:val="000000"/>
                <w:sz w:val="16"/>
                <w:szCs w:val="16"/>
                <w:lang w:eastAsia="zh-CN"/>
              </w:rPr>
              <w:t>100% relevant documents published two months before the Assemblies</w:t>
            </w:r>
          </w:p>
        </w:tc>
        <w:tc>
          <w:tcPr>
            <w:tcW w:w="1269" w:type="pct"/>
            <w:tcBorders>
              <w:top w:val="nil"/>
              <w:bottom w:val="single" w:sz="4" w:space="0" w:color="auto"/>
            </w:tcBorders>
            <w:shd w:val="clear" w:color="auto" w:fill="FFFFFF"/>
            <w:tcMar>
              <w:top w:w="110" w:type="dxa"/>
            </w:tcMar>
          </w:tcPr>
          <w:p w:rsidR="00BC2ECD" w:rsidRPr="00BC56C6" w:rsidRDefault="00BC2ECD" w:rsidP="00FD7155">
            <w:pPr>
              <w:rPr>
                <w:rFonts w:eastAsia="SimSun" w:cs="Arial"/>
                <w:sz w:val="16"/>
                <w:szCs w:val="16"/>
                <w:lang w:eastAsia="zh-CN"/>
              </w:rPr>
            </w:pPr>
            <w:r w:rsidRPr="0032365E">
              <w:rPr>
                <w:rFonts w:eastAsia="SimSun" w:cs="Arial"/>
                <w:sz w:val="16"/>
                <w:szCs w:val="16"/>
                <w:lang w:eastAsia="zh-CN"/>
              </w:rPr>
              <w:t>9</w:t>
            </w:r>
            <w:r>
              <w:rPr>
                <w:rFonts w:eastAsia="SimSun" w:cs="Arial"/>
                <w:sz w:val="16"/>
                <w:szCs w:val="16"/>
                <w:lang w:eastAsia="zh-CN"/>
              </w:rPr>
              <w:t>5</w:t>
            </w:r>
            <w:r w:rsidRPr="0032365E">
              <w:rPr>
                <w:rFonts w:eastAsia="SimSun" w:cs="Arial"/>
                <w:sz w:val="16"/>
                <w:szCs w:val="16"/>
                <w:lang w:eastAsia="zh-CN"/>
              </w:rPr>
              <w:t xml:space="preserve">% </w:t>
            </w:r>
            <w:r>
              <w:rPr>
                <w:rFonts w:eastAsia="SimSun" w:cs="Arial"/>
                <w:sz w:val="16"/>
                <w:szCs w:val="16"/>
                <w:lang w:eastAsia="zh-CN"/>
              </w:rPr>
              <w:t xml:space="preserve">of </w:t>
            </w:r>
            <w:r w:rsidRPr="00CF33C3">
              <w:rPr>
                <w:rFonts w:eastAsia="SimSun" w:cs="Arial"/>
                <w:sz w:val="16"/>
                <w:szCs w:val="16"/>
                <w:lang w:eastAsia="zh-CN"/>
              </w:rPr>
              <w:t xml:space="preserve">all </w:t>
            </w:r>
            <w:r>
              <w:rPr>
                <w:rFonts w:eastAsia="SimSun" w:cs="Arial"/>
                <w:sz w:val="16"/>
                <w:szCs w:val="16"/>
                <w:lang w:eastAsia="zh-CN"/>
              </w:rPr>
              <w:t xml:space="preserve">relevant </w:t>
            </w:r>
            <w:r w:rsidRPr="00CF33C3">
              <w:rPr>
                <w:rFonts w:eastAsia="SimSun" w:cs="Arial"/>
                <w:sz w:val="16"/>
                <w:szCs w:val="16"/>
                <w:lang w:eastAsia="zh-CN"/>
              </w:rPr>
              <w:t xml:space="preserve">documents were published at least two months in advance of the </w:t>
            </w:r>
            <w:r>
              <w:rPr>
                <w:rFonts w:eastAsia="SimSun" w:cs="Arial"/>
                <w:sz w:val="16"/>
                <w:szCs w:val="16"/>
                <w:lang w:eastAsia="zh-CN"/>
              </w:rPr>
              <w:t xml:space="preserve">2014 </w:t>
            </w:r>
            <w:r w:rsidRPr="00CF33C3">
              <w:rPr>
                <w:rFonts w:eastAsia="SimSun" w:cs="Arial"/>
                <w:sz w:val="16"/>
                <w:szCs w:val="16"/>
                <w:lang w:eastAsia="zh-CN"/>
              </w:rPr>
              <w:t>Assemblies.</w:t>
            </w:r>
            <w:r w:rsidRPr="0032365E" w:rsidDel="00BB1305">
              <w:rPr>
                <w:rFonts w:eastAsia="SimSun" w:cs="Arial"/>
                <w:sz w:val="16"/>
                <w:szCs w:val="16"/>
                <w:lang w:eastAsia="zh-CN"/>
              </w:rPr>
              <w:t xml:space="preserve"> </w:t>
            </w:r>
          </w:p>
        </w:tc>
        <w:tc>
          <w:tcPr>
            <w:tcW w:w="522" w:type="pct"/>
            <w:tcBorders>
              <w:top w:val="nil"/>
              <w:bottom w:val="single" w:sz="4" w:space="0" w:color="auto"/>
              <w:right w:val="single" w:sz="4" w:space="0" w:color="auto"/>
            </w:tcBorders>
            <w:shd w:val="clear" w:color="auto" w:fill="auto"/>
            <w:tcMar>
              <w:top w:w="110" w:type="dxa"/>
            </w:tcMar>
          </w:tcPr>
          <w:p w:rsidR="00BC2ECD" w:rsidRPr="00BC56C6" w:rsidRDefault="00BC2ECD">
            <w:pPr>
              <w:keepNext/>
              <w:keepLines/>
              <w:jc w:val="center"/>
              <w:rPr>
                <w:rFonts w:eastAsia="SimSun" w:cs="Arial"/>
                <w:b/>
                <w:color w:val="FF0000"/>
                <w:sz w:val="16"/>
                <w:szCs w:val="16"/>
                <w:lang w:eastAsia="zh-CN"/>
              </w:rPr>
            </w:pPr>
            <w:r w:rsidRPr="002B0985">
              <w:rPr>
                <w:rFonts w:eastAsia="SimSun" w:cs="Arial"/>
                <w:b/>
                <w:color w:val="00B050"/>
                <w:sz w:val="16"/>
                <w:szCs w:val="16"/>
                <w:lang w:eastAsia="zh-CN"/>
              </w:rPr>
              <w:t>On track</w:t>
            </w:r>
          </w:p>
        </w:tc>
      </w:tr>
      <w:tr w:rsidR="00BC2ECD" w:rsidRPr="00011B74" w:rsidTr="00BC2ECD">
        <w:trPr>
          <w:trHeight w:val="430"/>
        </w:trPr>
        <w:tc>
          <w:tcPr>
            <w:tcW w:w="5000" w:type="pct"/>
            <w:gridSpan w:val="5"/>
            <w:tcBorders>
              <w:top w:val="single" w:sz="4" w:space="0" w:color="auto"/>
              <w:bottom w:val="single" w:sz="4" w:space="0" w:color="auto"/>
            </w:tcBorders>
            <w:shd w:val="clear" w:color="auto" w:fill="CCFFFF"/>
            <w:vAlign w:val="center"/>
          </w:tcPr>
          <w:p w:rsidR="00BC2ECD" w:rsidRPr="00A67F47" w:rsidRDefault="00BC2ECD" w:rsidP="00FD7155">
            <w:pPr>
              <w:keepNext/>
              <w:keepLines/>
              <w:tabs>
                <w:tab w:val="left" w:pos="1452"/>
              </w:tabs>
              <w:ind w:left="1452" w:hanging="1452"/>
              <w:rPr>
                <w:rFonts w:eastAsia="SimSun" w:cs="Arial"/>
                <w:b/>
                <w:bCs/>
                <w:sz w:val="16"/>
                <w:szCs w:val="16"/>
                <w:lang w:eastAsia="zh-CN"/>
              </w:rPr>
            </w:pPr>
            <w:r w:rsidRPr="00A67F47">
              <w:rPr>
                <w:rFonts w:eastAsia="SimSun" w:cs="Arial"/>
                <w:b/>
                <w:bCs/>
                <w:sz w:val="16"/>
                <w:szCs w:val="16"/>
                <w:lang w:eastAsia="zh-CN"/>
              </w:rPr>
              <w:lastRenderedPageBreak/>
              <w:t>Expected Result:</w:t>
            </w:r>
            <w:r w:rsidRPr="00A67F47">
              <w:rPr>
                <w:rFonts w:eastAsia="SimSun" w:cs="Arial"/>
                <w:b/>
                <w:bCs/>
                <w:sz w:val="16"/>
                <w:szCs w:val="16"/>
                <w:lang w:eastAsia="zh-CN"/>
              </w:rPr>
              <w:tab/>
            </w:r>
            <w:r w:rsidRPr="002B0985">
              <w:rPr>
                <w:rFonts w:eastAsia="SimSun" w:cs="Arial"/>
                <w:color w:val="000000"/>
                <w:sz w:val="16"/>
                <w:szCs w:val="16"/>
                <w:lang w:eastAsia="zh-CN"/>
              </w:rPr>
              <w:t>VIII.5 WIPO effectively interacts and partners with UN and other IGO processes and negotiations</w:t>
            </w:r>
          </w:p>
        </w:tc>
      </w:tr>
      <w:tr w:rsidR="00BC2ECD" w:rsidRPr="00011B74" w:rsidTr="00BC2ECD">
        <w:tc>
          <w:tcPr>
            <w:tcW w:w="1194" w:type="pct"/>
            <w:tcBorders>
              <w:top w:val="single" w:sz="4" w:space="0" w:color="auto"/>
            </w:tcBorders>
            <w:shd w:val="clear" w:color="auto" w:fill="auto"/>
            <w:vAlign w:val="center"/>
          </w:tcPr>
          <w:p w:rsidR="00BC2ECD" w:rsidRPr="00A67F47" w:rsidRDefault="00BC2ECD">
            <w:pPr>
              <w:keepNext/>
              <w:keepLines/>
              <w:rPr>
                <w:rFonts w:eastAsia="SimSun" w:cs="Arial"/>
                <w:sz w:val="16"/>
                <w:szCs w:val="16"/>
                <w:lang w:eastAsia="zh-CN"/>
              </w:rPr>
            </w:pPr>
            <w:r w:rsidRPr="00A67F47">
              <w:rPr>
                <w:rFonts w:eastAsia="SimSun" w:cs="Arial"/>
                <w:b/>
                <w:bCs/>
                <w:sz w:val="16"/>
                <w:szCs w:val="16"/>
                <w:lang w:eastAsia="zh-CN"/>
              </w:rPr>
              <w:t>Performance Indicators</w:t>
            </w:r>
          </w:p>
        </w:tc>
        <w:tc>
          <w:tcPr>
            <w:tcW w:w="1269" w:type="pct"/>
            <w:tcBorders>
              <w:top w:val="single" w:sz="4" w:space="0" w:color="auto"/>
            </w:tcBorders>
            <w:shd w:val="clear" w:color="auto" w:fill="auto"/>
            <w:vAlign w:val="center"/>
          </w:tcPr>
          <w:p w:rsidR="00BC2ECD" w:rsidRPr="00A67F47" w:rsidRDefault="00BC2ECD">
            <w:pPr>
              <w:keepNext/>
              <w:keepLines/>
              <w:rPr>
                <w:rFonts w:eastAsia="SimSun" w:cs="Arial"/>
                <w:b/>
                <w:bCs/>
                <w:sz w:val="16"/>
                <w:szCs w:val="16"/>
                <w:lang w:eastAsia="zh-CN"/>
              </w:rPr>
            </w:pPr>
            <w:r w:rsidRPr="00A67F47">
              <w:rPr>
                <w:rFonts w:cs="Arial"/>
                <w:b/>
                <w:bCs/>
                <w:sz w:val="16"/>
                <w:szCs w:val="16"/>
              </w:rPr>
              <w:t>Baselines</w:t>
            </w:r>
          </w:p>
        </w:tc>
        <w:tc>
          <w:tcPr>
            <w:tcW w:w="746" w:type="pct"/>
            <w:tcBorders>
              <w:top w:val="single" w:sz="4" w:space="0" w:color="auto"/>
            </w:tcBorders>
            <w:shd w:val="clear" w:color="auto" w:fill="auto"/>
            <w:tcMar>
              <w:top w:w="110" w:type="dxa"/>
            </w:tcMar>
            <w:vAlign w:val="center"/>
          </w:tcPr>
          <w:p w:rsidR="00BC2ECD" w:rsidRPr="0027745B" w:rsidRDefault="00BC2ECD">
            <w:pPr>
              <w:keepNext/>
              <w:keepLines/>
              <w:rPr>
                <w:rFonts w:eastAsia="SimSun" w:cs="Arial"/>
                <w:b/>
                <w:sz w:val="16"/>
                <w:szCs w:val="16"/>
                <w:lang w:eastAsia="zh-CN"/>
              </w:rPr>
            </w:pPr>
            <w:r w:rsidRPr="00A67F47">
              <w:rPr>
                <w:rFonts w:cs="Arial"/>
                <w:b/>
                <w:sz w:val="16"/>
                <w:szCs w:val="16"/>
              </w:rPr>
              <w:t>Target</w:t>
            </w:r>
            <w:r>
              <w:rPr>
                <w:rFonts w:cs="Arial"/>
                <w:b/>
                <w:sz w:val="16"/>
                <w:szCs w:val="16"/>
              </w:rPr>
              <w:t>s</w:t>
            </w:r>
          </w:p>
        </w:tc>
        <w:tc>
          <w:tcPr>
            <w:tcW w:w="1269" w:type="pct"/>
            <w:tcBorders>
              <w:top w:val="single" w:sz="4" w:space="0" w:color="auto"/>
            </w:tcBorders>
            <w:shd w:val="clear" w:color="auto" w:fill="FFFFFF"/>
            <w:tcMar>
              <w:top w:w="110" w:type="dxa"/>
            </w:tcMar>
            <w:vAlign w:val="center"/>
          </w:tcPr>
          <w:p w:rsidR="00BC2ECD" w:rsidRPr="00A67F47" w:rsidRDefault="00BC2ECD">
            <w:pPr>
              <w:keepNext/>
              <w:keepLines/>
              <w:rPr>
                <w:rFonts w:eastAsia="SimSun" w:cs="Arial"/>
                <w:sz w:val="16"/>
                <w:szCs w:val="16"/>
                <w:lang w:eastAsia="zh-CN"/>
              </w:rPr>
            </w:pPr>
            <w:r w:rsidRPr="00A67F47">
              <w:rPr>
                <w:rFonts w:eastAsia="SimSun" w:cs="Arial"/>
                <w:b/>
                <w:bCs/>
                <w:sz w:val="16"/>
                <w:szCs w:val="16"/>
                <w:lang w:eastAsia="zh-CN"/>
              </w:rPr>
              <w:t>Performance Data</w:t>
            </w:r>
          </w:p>
        </w:tc>
        <w:tc>
          <w:tcPr>
            <w:tcW w:w="522" w:type="pct"/>
            <w:tcBorders>
              <w:top w:val="single" w:sz="4" w:space="0" w:color="auto"/>
            </w:tcBorders>
            <w:shd w:val="clear" w:color="auto" w:fill="auto"/>
            <w:tcMar>
              <w:top w:w="110" w:type="dxa"/>
            </w:tcMar>
            <w:vAlign w:val="center"/>
          </w:tcPr>
          <w:p w:rsidR="00BC2ECD" w:rsidRPr="00A67F47" w:rsidRDefault="00BC2ECD">
            <w:pPr>
              <w:keepNext/>
              <w:keepLines/>
              <w:jc w:val="center"/>
              <w:rPr>
                <w:rFonts w:eastAsia="SimSun" w:cs="Arial"/>
                <w:b/>
                <w:bCs/>
                <w:color w:val="008000"/>
                <w:sz w:val="16"/>
                <w:szCs w:val="16"/>
                <w:lang w:eastAsia="zh-CN"/>
              </w:rPr>
            </w:pPr>
            <w:r w:rsidRPr="00A67F47">
              <w:rPr>
                <w:rFonts w:eastAsia="SimSun" w:cs="Arial"/>
                <w:b/>
                <w:bCs/>
                <w:sz w:val="16"/>
                <w:szCs w:val="16"/>
                <w:lang w:eastAsia="zh-CN"/>
              </w:rPr>
              <w:t>TLS</w:t>
            </w:r>
          </w:p>
        </w:tc>
      </w:tr>
      <w:tr w:rsidR="00BC2ECD" w:rsidRPr="00011B74" w:rsidTr="00BC2ECD">
        <w:tc>
          <w:tcPr>
            <w:tcW w:w="1194" w:type="pct"/>
            <w:shd w:val="clear" w:color="auto" w:fill="auto"/>
          </w:tcPr>
          <w:p w:rsidR="00BC2ECD" w:rsidRPr="00A67F47" w:rsidRDefault="00BC2ECD">
            <w:pPr>
              <w:keepNext/>
              <w:keepLines/>
              <w:rPr>
                <w:rFonts w:eastAsia="SimSun" w:cs="Arial"/>
                <w:color w:val="000000"/>
                <w:sz w:val="16"/>
                <w:szCs w:val="16"/>
                <w:lang w:eastAsia="zh-CN"/>
              </w:rPr>
            </w:pPr>
            <w:r w:rsidRPr="002B0985">
              <w:rPr>
                <w:rFonts w:eastAsia="SimSun" w:cs="Arial"/>
                <w:color w:val="000000"/>
                <w:sz w:val="16"/>
                <w:szCs w:val="16"/>
                <w:lang w:eastAsia="zh-CN"/>
              </w:rPr>
              <w:t>New joint initiatives with other UN agencies</w:t>
            </w:r>
          </w:p>
        </w:tc>
        <w:tc>
          <w:tcPr>
            <w:tcW w:w="1269" w:type="pct"/>
            <w:shd w:val="clear" w:color="auto" w:fill="auto"/>
          </w:tcPr>
          <w:p w:rsidR="00BC2ECD" w:rsidRPr="0027745B" w:rsidRDefault="00BC2ECD">
            <w:pPr>
              <w:rPr>
                <w:rFonts w:eastAsiaTheme="minorHAnsi" w:cs="Arial"/>
                <w:i/>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sidRPr="00567588">
              <w:rPr>
                <w:rFonts w:cs="Arial"/>
                <w:sz w:val="16"/>
                <w:szCs w:val="16"/>
                <w:lang w:bidi="th-TH"/>
              </w:rPr>
              <w:t>Two new initiatives undertaken by the Director General (Director General Chaired the HLCM in 2012; launch by the Director General of the Global Innovation Index at ECOSOC in Geneva in 2013)</w:t>
            </w:r>
            <w:r>
              <w:rPr>
                <w:rFonts w:cs="Arial"/>
                <w:sz w:val="16"/>
                <w:szCs w:val="16"/>
                <w:lang w:bidi="th-TH"/>
              </w:rPr>
              <w:t>.</w:t>
            </w:r>
          </w:p>
          <w:p w:rsidR="00BC2ECD" w:rsidRPr="00861678" w:rsidRDefault="00BC2ECD">
            <w:pPr>
              <w:rPr>
                <w:rFonts w:cs="Arial"/>
                <w:i/>
                <w:color w:val="002060"/>
                <w:sz w:val="8"/>
                <w:szCs w:val="8"/>
              </w:rPr>
            </w:pPr>
          </w:p>
          <w:p w:rsidR="00BC2ECD" w:rsidRDefault="00BC2ECD">
            <w:pPr>
              <w:keepNext/>
              <w:keepLines/>
              <w:rPr>
                <w:rFonts w:cs="Arial"/>
                <w:sz w:val="16"/>
                <w:szCs w:val="16"/>
              </w:rPr>
            </w:pPr>
            <w:r>
              <w:rPr>
                <w:rFonts w:cs="Arial"/>
                <w:i/>
                <w:sz w:val="16"/>
                <w:szCs w:val="16"/>
              </w:rPr>
              <w:t>Original Baseline P&amp;B 2014/15</w:t>
            </w:r>
            <w:r w:rsidRPr="0027745B">
              <w:rPr>
                <w:rFonts w:cs="Arial"/>
                <w:i/>
                <w:sz w:val="16"/>
                <w:szCs w:val="16"/>
              </w:rPr>
              <w:t>:</w:t>
            </w:r>
            <w:r>
              <w:rPr>
                <w:rFonts w:cs="Arial"/>
                <w:sz w:val="16"/>
                <w:szCs w:val="16"/>
              </w:rPr>
              <w:t xml:space="preserve">  </w:t>
            </w:r>
            <w:r w:rsidRPr="00703B66">
              <w:rPr>
                <w:rFonts w:cs="Arial"/>
                <w:sz w:val="16"/>
                <w:szCs w:val="16"/>
              </w:rPr>
              <w:t>Two</w:t>
            </w:r>
          </w:p>
          <w:p w:rsidR="00BC2ECD" w:rsidRPr="00A67F47" w:rsidRDefault="00BC2ECD">
            <w:pPr>
              <w:keepNext/>
              <w:keepLines/>
              <w:rPr>
                <w:rFonts w:eastAsia="SimSun" w:cs="Arial"/>
                <w:color w:val="000000"/>
                <w:sz w:val="16"/>
                <w:szCs w:val="16"/>
                <w:lang w:eastAsia="zh-CN"/>
              </w:rPr>
            </w:pPr>
          </w:p>
        </w:tc>
        <w:tc>
          <w:tcPr>
            <w:tcW w:w="746" w:type="pct"/>
            <w:shd w:val="clear" w:color="auto" w:fill="auto"/>
            <w:tcMar>
              <w:top w:w="110" w:type="dxa"/>
            </w:tcMar>
          </w:tcPr>
          <w:p w:rsidR="00BC2ECD" w:rsidRPr="0027745B" w:rsidRDefault="00BC2ECD">
            <w:pPr>
              <w:keepNext/>
              <w:keepLines/>
              <w:rPr>
                <w:rFonts w:eastAsia="SimSun" w:cs="Arial"/>
                <w:sz w:val="16"/>
                <w:szCs w:val="16"/>
                <w:lang w:eastAsia="zh-CN"/>
              </w:rPr>
            </w:pPr>
            <w:r w:rsidRPr="00703B66">
              <w:rPr>
                <w:rFonts w:eastAsia="SimSun" w:cs="Arial"/>
                <w:sz w:val="16"/>
                <w:szCs w:val="16"/>
                <w:lang w:eastAsia="zh-CN"/>
              </w:rPr>
              <w:t>Two</w:t>
            </w:r>
          </w:p>
        </w:tc>
        <w:tc>
          <w:tcPr>
            <w:tcW w:w="1269" w:type="pct"/>
            <w:shd w:val="clear" w:color="auto" w:fill="FFFFFF"/>
            <w:tcMar>
              <w:top w:w="110" w:type="dxa"/>
            </w:tcMar>
          </w:tcPr>
          <w:p w:rsidR="00BC2ECD" w:rsidRPr="00A67F47" w:rsidRDefault="00BC2ECD">
            <w:pPr>
              <w:keepNext/>
              <w:keepLines/>
              <w:rPr>
                <w:rFonts w:eastAsia="SimSun" w:cs="Arial"/>
                <w:sz w:val="16"/>
                <w:szCs w:val="16"/>
                <w:lang w:eastAsia="zh-CN"/>
              </w:rPr>
            </w:pPr>
            <w:r>
              <w:rPr>
                <w:rFonts w:eastAsia="SimSun" w:cs="Arial"/>
                <w:sz w:val="16"/>
                <w:szCs w:val="16"/>
                <w:lang w:eastAsia="zh-CN"/>
              </w:rPr>
              <w:t xml:space="preserve">One new initiative undertaken: </w:t>
            </w:r>
            <w:r w:rsidRPr="00A5421E">
              <w:rPr>
                <w:rFonts w:eastAsia="SimSun" w:cs="Arial"/>
                <w:sz w:val="16"/>
                <w:szCs w:val="16"/>
                <w:lang w:eastAsia="zh-CN"/>
              </w:rPr>
              <w:t>Application for Observer Status to the International Organization for Migration (IOM)</w:t>
            </w:r>
          </w:p>
        </w:tc>
        <w:tc>
          <w:tcPr>
            <w:tcW w:w="522" w:type="pct"/>
            <w:shd w:val="clear" w:color="auto" w:fill="auto"/>
            <w:tcMar>
              <w:top w:w="110" w:type="dxa"/>
            </w:tcMar>
          </w:tcPr>
          <w:p w:rsidR="00BC2ECD" w:rsidRPr="00A67F47" w:rsidRDefault="00BC2ECD">
            <w:pPr>
              <w:keepNext/>
              <w:keepLines/>
              <w:jc w:val="center"/>
              <w:rPr>
                <w:rFonts w:eastAsia="SimSun" w:cs="Arial"/>
                <w:bCs/>
                <w:color w:val="808080"/>
                <w:sz w:val="16"/>
                <w:szCs w:val="16"/>
                <w:lang w:eastAsia="zh-CN"/>
              </w:rPr>
            </w:pPr>
            <w:r w:rsidRPr="002B0985">
              <w:rPr>
                <w:rFonts w:eastAsia="SimSun" w:cs="Arial"/>
                <w:b/>
                <w:color w:val="00B050"/>
                <w:sz w:val="16"/>
                <w:szCs w:val="16"/>
                <w:lang w:eastAsia="zh-CN"/>
              </w:rPr>
              <w:t>On track</w:t>
            </w:r>
          </w:p>
        </w:tc>
      </w:tr>
      <w:tr w:rsidR="00BC2ECD" w:rsidRPr="00011B74" w:rsidTr="00BC2ECD">
        <w:trPr>
          <w:trHeight w:val="429"/>
        </w:trPr>
        <w:tc>
          <w:tcPr>
            <w:tcW w:w="5000" w:type="pct"/>
            <w:gridSpan w:val="5"/>
            <w:tcBorders>
              <w:top w:val="single" w:sz="4" w:space="0" w:color="auto"/>
              <w:bottom w:val="single" w:sz="4" w:space="0" w:color="auto"/>
            </w:tcBorders>
            <w:shd w:val="clear" w:color="auto" w:fill="CCFFFF"/>
            <w:vAlign w:val="center"/>
          </w:tcPr>
          <w:p w:rsidR="00BC2ECD" w:rsidRPr="00A67F47" w:rsidRDefault="00BC2ECD" w:rsidP="00FD7155">
            <w:pPr>
              <w:keepNext/>
              <w:keepLines/>
              <w:tabs>
                <w:tab w:val="left" w:pos="1452"/>
              </w:tabs>
              <w:ind w:left="1452" w:hanging="1452"/>
              <w:rPr>
                <w:rFonts w:eastAsia="SimSun" w:cs="Arial"/>
                <w:b/>
                <w:bCs/>
                <w:sz w:val="16"/>
                <w:szCs w:val="16"/>
                <w:lang w:eastAsia="zh-CN"/>
              </w:rPr>
            </w:pPr>
            <w:r w:rsidRPr="00A67F47">
              <w:rPr>
                <w:rFonts w:eastAsia="SimSun" w:cs="Arial"/>
                <w:b/>
                <w:bCs/>
                <w:sz w:val="16"/>
                <w:szCs w:val="16"/>
                <w:lang w:eastAsia="zh-CN"/>
              </w:rPr>
              <w:t>Expected Result:</w:t>
            </w:r>
            <w:r w:rsidRPr="00A67F47">
              <w:rPr>
                <w:rFonts w:eastAsia="SimSun" w:cs="Arial"/>
                <w:b/>
                <w:bCs/>
                <w:sz w:val="16"/>
                <w:szCs w:val="16"/>
                <w:lang w:eastAsia="zh-CN"/>
              </w:rPr>
              <w:tab/>
            </w:r>
            <w:r w:rsidRPr="002B0985">
              <w:rPr>
                <w:rFonts w:eastAsia="SimSun" w:cs="Arial"/>
                <w:color w:val="000000"/>
                <w:sz w:val="16"/>
                <w:szCs w:val="16"/>
                <w:lang w:eastAsia="zh-CN"/>
              </w:rPr>
              <w:t xml:space="preserve">IX.2 An agile and smooth functioning Secretariat with a </w:t>
            </w:r>
            <w:proofErr w:type="spellStart"/>
            <w:r w:rsidRPr="002B0985">
              <w:rPr>
                <w:rFonts w:eastAsia="SimSun" w:cs="Arial"/>
                <w:color w:val="000000"/>
                <w:sz w:val="16"/>
                <w:szCs w:val="16"/>
                <w:lang w:eastAsia="zh-CN"/>
              </w:rPr>
              <w:t>well managed</w:t>
            </w:r>
            <w:proofErr w:type="spellEnd"/>
            <w:r w:rsidRPr="002B0985">
              <w:rPr>
                <w:rFonts w:eastAsia="SimSun" w:cs="Arial"/>
                <w:color w:val="000000"/>
                <w:sz w:val="16"/>
                <w:szCs w:val="16"/>
                <w:lang w:eastAsia="zh-CN"/>
              </w:rPr>
              <w:t xml:space="preserve"> and appropriately skilled workforce which is effectively delivering results</w:t>
            </w:r>
          </w:p>
        </w:tc>
      </w:tr>
      <w:tr w:rsidR="00BC2ECD" w:rsidRPr="00011B74" w:rsidTr="00BC2ECD">
        <w:tc>
          <w:tcPr>
            <w:tcW w:w="1194" w:type="pct"/>
            <w:tcBorders>
              <w:top w:val="single" w:sz="4" w:space="0" w:color="auto"/>
              <w:bottom w:val="single" w:sz="4" w:space="0" w:color="auto"/>
            </w:tcBorders>
            <w:shd w:val="clear" w:color="auto" w:fill="auto"/>
          </w:tcPr>
          <w:p w:rsidR="00BC2ECD" w:rsidRPr="002B0985" w:rsidRDefault="00BC2ECD">
            <w:pPr>
              <w:rPr>
                <w:rFonts w:eastAsia="SimSun" w:cs="Arial"/>
                <w:color w:val="000000"/>
                <w:sz w:val="16"/>
                <w:szCs w:val="16"/>
                <w:lang w:eastAsia="zh-CN"/>
              </w:rPr>
            </w:pPr>
            <w:r w:rsidRPr="002B0985">
              <w:rPr>
                <w:rFonts w:eastAsia="SimSun" w:cs="Arial"/>
                <w:color w:val="000000"/>
                <w:sz w:val="16"/>
                <w:szCs w:val="16"/>
                <w:lang w:eastAsia="zh-CN"/>
              </w:rPr>
              <w:t>% of queries for legal advice and services which receive prompt, independent and reliable responses from the Office of the Legal Counsel</w:t>
            </w:r>
          </w:p>
        </w:tc>
        <w:tc>
          <w:tcPr>
            <w:tcW w:w="1269" w:type="pct"/>
            <w:tcBorders>
              <w:top w:val="single" w:sz="4" w:space="0" w:color="auto"/>
              <w:bottom w:val="single" w:sz="4" w:space="0" w:color="auto"/>
            </w:tcBorders>
            <w:shd w:val="clear" w:color="auto" w:fill="auto"/>
          </w:tcPr>
          <w:p w:rsidR="00BC2ECD" w:rsidRPr="0027745B" w:rsidRDefault="00BC2ECD">
            <w:pPr>
              <w:rPr>
                <w:rFonts w:eastAsiaTheme="minorHAnsi" w:cs="Arial"/>
                <w:i/>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sidRPr="005D6392">
              <w:rPr>
                <w:rFonts w:cs="Arial"/>
                <w:color w:val="002060"/>
                <w:sz w:val="16"/>
                <w:szCs w:val="16"/>
              </w:rPr>
              <w:t>Despite an increase in the number of requests for advice as well as the fields covered, 98% of the queries received prompt and reliable responses from the OLC.</w:t>
            </w:r>
          </w:p>
          <w:p w:rsidR="00BC2ECD" w:rsidRPr="00861678" w:rsidRDefault="00BC2ECD">
            <w:pPr>
              <w:rPr>
                <w:rFonts w:cs="Arial"/>
                <w:i/>
                <w:color w:val="002060"/>
                <w:sz w:val="8"/>
                <w:szCs w:val="8"/>
              </w:rPr>
            </w:pPr>
          </w:p>
          <w:p w:rsidR="00BC2ECD" w:rsidRPr="00ED310D" w:rsidRDefault="00BC2ECD">
            <w:pPr>
              <w:rPr>
                <w:rFonts w:cs="Arial"/>
                <w:sz w:val="16"/>
                <w:szCs w:val="16"/>
              </w:rPr>
            </w:pPr>
            <w:r>
              <w:rPr>
                <w:rFonts w:cs="Arial"/>
                <w:i/>
                <w:sz w:val="16"/>
                <w:szCs w:val="16"/>
              </w:rPr>
              <w:t>Original Baseline P&amp;B 2014/15</w:t>
            </w:r>
            <w:r w:rsidRPr="0027745B">
              <w:rPr>
                <w:rFonts w:cs="Arial"/>
                <w:i/>
                <w:sz w:val="16"/>
                <w:szCs w:val="16"/>
              </w:rPr>
              <w:t>:</w:t>
            </w:r>
            <w:r>
              <w:rPr>
                <w:rFonts w:cs="Arial"/>
                <w:sz w:val="16"/>
                <w:szCs w:val="16"/>
              </w:rPr>
              <w:t xml:space="preserve">  </w:t>
            </w:r>
            <w:r w:rsidRPr="002B0985">
              <w:rPr>
                <w:rFonts w:cs="Arial"/>
                <w:sz w:val="16"/>
                <w:szCs w:val="16"/>
              </w:rPr>
              <w:t>100%</w:t>
            </w:r>
            <w:r>
              <w:rPr>
                <w:rFonts w:cs="Arial"/>
                <w:sz w:val="16"/>
                <w:szCs w:val="16"/>
              </w:rPr>
              <w:br/>
            </w:r>
          </w:p>
        </w:tc>
        <w:tc>
          <w:tcPr>
            <w:tcW w:w="746" w:type="pct"/>
            <w:tcBorders>
              <w:top w:val="single" w:sz="4" w:space="0" w:color="auto"/>
              <w:bottom w:val="single" w:sz="4" w:space="0" w:color="auto"/>
            </w:tcBorders>
            <w:shd w:val="clear" w:color="auto" w:fill="auto"/>
            <w:tcMar>
              <w:top w:w="110" w:type="dxa"/>
            </w:tcMar>
          </w:tcPr>
          <w:p w:rsidR="00BC2ECD" w:rsidRPr="002B0985" w:rsidRDefault="00BC2ECD">
            <w:pPr>
              <w:rPr>
                <w:rFonts w:eastAsia="SimSun" w:cs="Arial"/>
                <w:sz w:val="16"/>
                <w:szCs w:val="16"/>
                <w:lang w:eastAsia="zh-CN"/>
              </w:rPr>
            </w:pPr>
            <w:r w:rsidRPr="002B0985">
              <w:rPr>
                <w:rFonts w:eastAsia="SimSun" w:cs="Arial"/>
                <w:sz w:val="16"/>
                <w:szCs w:val="16"/>
                <w:lang w:eastAsia="zh-CN"/>
              </w:rPr>
              <w:t>90%</w:t>
            </w:r>
          </w:p>
        </w:tc>
        <w:tc>
          <w:tcPr>
            <w:tcW w:w="1269" w:type="pct"/>
            <w:tcBorders>
              <w:top w:val="single" w:sz="4" w:space="0" w:color="auto"/>
              <w:bottom w:val="single" w:sz="4" w:space="0" w:color="auto"/>
            </w:tcBorders>
            <w:shd w:val="clear" w:color="auto" w:fill="FFFFFF"/>
            <w:tcMar>
              <w:top w:w="110" w:type="dxa"/>
            </w:tcMar>
          </w:tcPr>
          <w:p w:rsidR="00BC2ECD" w:rsidRPr="002B0985" w:rsidRDefault="00BC2ECD">
            <w:pPr>
              <w:rPr>
                <w:rFonts w:eastAsia="SimSun" w:cs="Arial"/>
                <w:sz w:val="16"/>
                <w:szCs w:val="16"/>
                <w:lang w:eastAsia="zh-CN"/>
              </w:rPr>
            </w:pPr>
            <w:r w:rsidRPr="002B0985">
              <w:rPr>
                <w:rFonts w:eastAsia="SimSun" w:cs="Arial"/>
                <w:sz w:val="16"/>
                <w:szCs w:val="16"/>
                <w:lang w:eastAsia="zh-CN"/>
              </w:rPr>
              <w:t>95%</w:t>
            </w:r>
          </w:p>
        </w:tc>
        <w:tc>
          <w:tcPr>
            <w:tcW w:w="522" w:type="pct"/>
            <w:tcBorders>
              <w:top w:val="single" w:sz="4" w:space="0" w:color="auto"/>
              <w:bottom w:val="single" w:sz="4" w:space="0" w:color="auto"/>
            </w:tcBorders>
            <w:shd w:val="clear" w:color="auto" w:fill="auto"/>
            <w:tcMar>
              <w:top w:w="110" w:type="dxa"/>
            </w:tcMar>
          </w:tcPr>
          <w:p w:rsidR="00BC2ECD" w:rsidRPr="002B0985" w:rsidRDefault="00BC2ECD">
            <w:pPr>
              <w:keepNext/>
              <w:keepLines/>
              <w:jc w:val="center"/>
              <w:rPr>
                <w:rFonts w:eastAsia="SimSun" w:cs="Arial"/>
                <w:b/>
                <w:color w:val="00B050"/>
                <w:sz w:val="16"/>
                <w:szCs w:val="16"/>
                <w:lang w:eastAsia="zh-CN"/>
              </w:rPr>
            </w:pPr>
            <w:r w:rsidRPr="002B0985">
              <w:rPr>
                <w:rFonts w:eastAsia="SimSun" w:cs="Arial"/>
                <w:b/>
                <w:color w:val="00B050"/>
                <w:sz w:val="16"/>
                <w:szCs w:val="16"/>
                <w:lang w:eastAsia="zh-CN"/>
              </w:rPr>
              <w:t>On track</w:t>
            </w:r>
          </w:p>
        </w:tc>
      </w:tr>
      <w:tr w:rsidR="00BC2ECD" w:rsidRPr="00011B74" w:rsidTr="00BC2ECD">
        <w:trPr>
          <w:trHeight w:val="493"/>
        </w:trPr>
        <w:tc>
          <w:tcPr>
            <w:tcW w:w="5000" w:type="pct"/>
            <w:gridSpan w:val="5"/>
            <w:tcBorders>
              <w:top w:val="single" w:sz="4" w:space="0" w:color="auto"/>
              <w:bottom w:val="single" w:sz="4" w:space="0" w:color="auto"/>
            </w:tcBorders>
            <w:shd w:val="clear" w:color="auto" w:fill="CCFFFF"/>
            <w:vAlign w:val="center"/>
          </w:tcPr>
          <w:p w:rsidR="00BC2ECD" w:rsidRPr="00A67F47" w:rsidRDefault="00BC2ECD" w:rsidP="00FD7155">
            <w:pPr>
              <w:keepNext/>
              <w:keepLines/>
              <w:tabs>
                <w:tab w:val="left" w:pos="1452"/>
              </w:tabs>
              <w:ind w:left="1452" w:hanging="1452"/>
              <w:rPr>
                <w:rFonts w:eastAsia="SimSun" w:cs="Arial"/>
                <w:b/>
                <w:bCs/>
                <w:sz w:val="16"/>
                <w:szCs w:val="16"/>
                <w:lang w:eastAsia="zh-CN"/>
              </w:rPr>
            </w:pPr>
            <w:r w:rsidRPr="00A67F47">
              <w:rPr>
                <w:rFonts w:eastAsia="SimSun" w:cs="Arial"/>
                <w:b/>
                <w:bCs/>
                <w:sz w:val="16"/>
                <w:szCs w:val="16"/>
                <w:lang w:eastAsia="zh-CN"/>
              </w:rPr>
              <w:t>Expected Result:</w:t>
            </w:r>
            <w:r w:rsidRPr="00A67F47">
              <w:rPr>
                <w:rFonts w:eastAsia="SimSun" w:cs="Arial"/>
                <w:b/>
                <w:bCs/>
                <w:sz w:val="16"/>
                <w:szCs w:val="16"/>
                <w:lang w:eastAsia="zh-CN"/>
              </w:rPr>
              <w:tab/>
            </w:r>
            <w:r w:rsidRPr="00742C72">
              <w:rPr>
                <w:rFonts w:eastAsia="SimSun" w:cs="Arial"/>
                <w:color w:val="000000"/>
                <w:sz w:val="16"/>
                <w:szCs w:val="16"/>
                <w:lang w:eastAsia="zh-CN"/>
              </w:rPr>
              <w:t>IX.3 An enabling working environment supported by an effective regulatory framework and appropriate channels to address staff concerns</w:t>
            </w:r>
          </w:p>
        </w:tc>
      </w:tr>
      <w:tr w:rsidR="00BC2ECD" w:rsidRPr="00011B74" w:rsidTr="00BC2ECD">
        <w:tc>
          <w:tcPr>
            <w:tcW w:w="1194" w:type="pct"/>
            <w:tcBorders>
              <w:top w:val="single" w:sz="4" w:space="0" w:color="auto"/>
              <w:bottom w:val="nil"/>
            </w:tcBorders>
            <w:shd w:val="clear" w:color="auto" w:fill="auto"/>
          </w:tcPr>
          <w:p w:rsidR="00BC2ECD" w:rsidRPr="002B0985" w:rsidRDefault="00BC2ECD">
            <w:pPr>
              <w:rPr>
                <w:rFonts w:eastAsia="SimSun" w:cs="Arial"/>
                <w:color w:val="000000"/>
                <w:sz w:val="16"/>
                <w:szCs w:val="16"/>
                <w:lang w:eastAsia="zh-CN"/>
              </w:rPr>
            </w:pPr>
            <w:r w:rsidRPr="00742C72">
              <w:rPr>
                <w:rFonts w:eastAsia="SimSun" w:cs="Arial"/>
                <w:color w:val="000000"/>
                <w:sz w:val="16"/>
                <w:szCs w:val="16"/>
                <w:lang w:eastAsia="zh-CN"/>
              </w:rPr>
              <w:t xml:space="preserve">% of WIPO staff aware of services available from </w:t>
            </w:r>
            <w:proofErr w:type="spellStart"/>
            <w:r w:rsidRPr="00742C72">
              <w:rPr>
                <w:rFonts w:eastAsia="SimSun" w:cs="Arial"/>
                <w:color w:val="000000"/>
                <w:sz w:val="16"/>
                <w:szCs w:val="16"/>
                <w:lang w:eastAsia="zh-CN"/>
              </w:rPr>
              <w:t>Ombuds</w:t>
            </w:r>
            <w:proofErr w:type="spellEnd"/>
            <w:r w:rsidRPr="00742C72">
              <w:rPr>
                <w:rFonts w:eastAsia="SimSun" w:cs="Arial"/>
                <w:color w:val="000000"/>
                <w:sz w:val="16"/>
                <w:szCs w:val="16"/>
                <w:lang w:eastAsia="zh-CN"/>
              </w:rPr>
              <w:t>-Office and informal conflict resolution mechanism</w:t>
            </w:r>
          </w:p>
        </w:tc>
        <w:tc>
          <w:tcPr>
            <w:tcW w:w="1269" w:type="pct"/>
            <w:tcBorders>
              <w:top w:val="single" w:sz="4" w:space="0" w:color="auto"/>
              <w:bottom w:val="nil"/>
            </w:tcBorders>
            <w:shd w:val="clear" w:color="auto" w:fill="auto"/>
          </w:tcPr>
          <w:p w:rsidR="00BC2ECD" w:rsidRPr="0032365E" w:rsidRDefault="00BC2ECD">
            <w:pPr>
              <w:rPr>
                <w:rFonts w:cs="Arial"/>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sidRPr="0032365E">
              <w:rPr>
                <w:rFonts w:cs="Arial"/>
                <w:color w:val="002060"/>
                <w:sz w:val="16"/>
                <w:szCs w:val="16"/>
              </w:rPr>
              <w:t xml:space="preserve">2013 </w:t>
            </w:r>
            <w:r>
              <w:rPr>
                <w:rFonts w:cs="Arial"/>
                <w:color w:val="002060"/>
                <w:sz w:val="16"/>
                <w:szCs w:val="16"/>
              </w:rPr>
              <w:t xml:space="preserve">Staff </w:t>
            </w:r>
            <w:r w:rsidRPr="0032365E">
              <w:rPr>
                <w:rFonts w:cs="Arial"/>
                <w:color w:val="002060"/>
                <w:sz w:val="16"/>
                <w:szCs w:val="16"/>
              </w:rPr>
              <w:t>Feedback Survey: 63%</w:t>
            </w:r>
          </w:p>
          <w:p w:rsidR="00BC2ECD" w:rsidRPr="0032365E" w:rsidRDefault="00BC2ECD">
            <w:pPr>
              <w:rPr>
                <w:rFonts w:cs="Arial"/>
                <w:color w:val="002060"/>
                <w:sz w:val="16"/>
                <w:szCs w:val="16"/>
              </w:rPr>
            </w:pPr>
            <w:r w:rsidRPr="0032365E">
              <w:rPr>
                <w:rFonts w:cs="Arial"/>
                <w:color w:val="002060"/>
                <w:sz w:val="16"/>
                <w:szCs w:val="16"/>
              </w:rPr>
              <w:t xml:space="preserve">familiar with </w:t>
            </w:r>
            <w:proofErr w:type="spellStart"/>
            <w:r w:rsidRPr="0032365E">
              <w:rPr>
                <w:rFonts w:cs="Arial"/>
                <w:color w:val="002060"/>
                <w:sz w:val="16"/>
                <w:szCs w:val="16"/>
              </w:rPr>
              <w:t>Ombuds</w:t>
            </w:r>
            <w:proofErr w:type="spellEnd"/>
            <w:r w:rsidRPr="0032365E">
              <w:rPr>
                <w:rFonts w:cs="Arial"/>
                <w:color w:val="002060"/>
                <w:sz w:val="16"/>
                <w:szCs w:val="16"/>
              </w:rPr>
              <w:t>-function,</w:t>
            </w:r>
          </w:p>
          <w:p w:rsidR="00BC2ECD" w:rsidRDefault="00BC2ECD">
            <w:pPr>
              <w:rPr>
                <w:rFonts w:cs="Arial"/>
                <w:color w:val="002060"/>
                <w:sz w:val="16"/>
                <w:szCs w:val="16"/>
              </w:rPr>
            </w:pPr>
            <w:r w:rsidRPr="0032365E">
              <w:rPr>
                <w:rFonts w:cs="Arial"/>
                <w:color w:val="002060"/>
                <w:sz w:val="16"/>
                <w:szCs w:val="16"/>
              </w:rPr>
              <w:t>32% somewhat familiar</w:t>
            </w:r>
          </w:p>
          <w:p w:rsidR="00BC2ECD" w:rsidRDefault="00BC2ECD">
            <w:pPr>
              <w:rPr>
                <w:rFonts w:cs="Arial"/>
                <w:color w:val="002060"/>
                <w:sz w:val="16"/>
                <w:szCs w:val="16"/>
              </w:rPr>
            </w:pPr>
          </w:p>
          <w:p w:rsidR="00BC2ECD" w:rsidRPr="0032365E" w:rsidRDefault="00BC2ECD">
            <w:pPr>
              <w:rPr>
                <w:rFonts w:eastAsiaTheme="minorHAnsi" w:cs="Arial"/>
                <w:color w:val="002060"/>
                <w:sz w:val="16"/>
                <w:szCs w:val="16"/>
              </w:rPr>
            </w:pPr>
            <w:r w:rsidRPr="00567588">
              <w:rPr>
                <w:rFonts w:cs="Arial"/>
                <w:sz w:val="16"/>
                <w:szCs w:val="16"/>
                <w:lang w:bidi="th-TH"/>
              </w:rPr>
              <w:t>77% as per the 2012 user feedback survey (conducted in March 2013)</w:t>
            </w:r>
            <w:r>
              <w:rPr>
                <w:rFonts w:cs="Arial"/>
                <w:sz w:val="16"/>
                <w:szCs w:val="16"/>
                <w:lang w:bidi="th-TH"/>
              </w:rPr>
              <w:t>.</w:t>
            </w:r>
          </w:p>
          <w:p w:rsidR="00BC2ECD" w:rsidRPr="00861678" w:rsidRDefault="00BC2ECD">
            <w:pPr>
              <w:rPr>
                <w:rFonts w:cs="Arial"/>
                <w:i/>
                <w:color w:val="002060"/>
                <w:sz w:val="8"/>
                <w:szCs w:val="8"/>
              </w:rPr>
            </w:pPr>
          </w:p>
          <w:p w:rsidR="00BC2ECD" w:rsidRDefault="00BC2ECD">
            <w:pPr>
              <w:rPr>
                <w:rFonts w:cs="Arial"/>
                <w:i/>
                <w:color w:val="002060"/>
                <w:sz w:val="16"/>
                <w:szCs w:val="16"/>
              </w:rPr>
            </w:pPr>
            <w:r>
              <w:rPr>
                <w:rFonts w:cs="Arial"/>
                <w:i/>
                <w:sz w:val="16"/>
                <w:szCs w:val="16"/>
              </w:rPr>
              <w:t>Original Baseline P&amp;B 2014/15</w:t>
            </w:r>
            <w:r w:rsidRPr="0027745B">
              <w:rPr>
                <w:rFonts w:cs="Arial"/>
                <w:i/>
                <w:sz w:val="16"/>
                <w:szCs w:val="16"/>
              </w:rPr>
              <w:t>:</w:t>
            </w:r>
            <w:r>
              <w:rPr>
                <w:rFonts w:cs="Arial"/>
                <w:sz w:val="16"/>
                <w:szCs w:val="16"/>
              </w:rPr>
              <w:t xml:space="preserve">  </w:t>
            </w:r>
            <w:r w:rsidRPr="00742C72">
              <w:rPr>
                <w:rFonts w:cs="Arial"/>
                <w:sz w:val="16"/>
                <w:szCs w:val="16"/>
              </w:rPr>
              <w:t xml:space="preserve">2011 Staff Feedback Survey:  44% of staff familiar with </w:t>
            </w:r>
            <w:proofErr w:type="spellStart"/>
            <w:r w:rsidRPr="00742C72">
              <w:rPr>
                <w:rFonts w:cs="Arial"/>
                <w:sz w:val="16"/>
                <w:szCs w:val="16"/>
              </w:rPr>
              <w:t>Ombuds</w:t>
            </w:r>
            <w:proofErr w:type="spellEnd"/>
            <w:r w:rsidRPr="00742C72">
              <w:rPr>
                <w:rFonts w:cs="Arial"/>
                <w:sz w:val="16"/>
                <w:szCs w:val="16"/>
              </w:rPr>
              <w:t xml:space="preserve"> function, 49% somewhat familiar</w:t>
            </w:r>
          </w:p>
        </w:tc>
        <w:tc>
          <w:tcPr>
            <w:tcW w:w="746" w:type="pct"/>
            <w:tcBorders>
              <w:top w:val="single" w:sz="4" w:space="0" w:color="auto"/>
              <w:bottom w:val="nil"/>
            </w:tcBorders>
            <w:shd w:val="clear" w:color="auto" w:fill="auto"/>
            <w:tcMar>
              <w:top w:w="110" w:type="dxa"/>
            </w:tcMar>
          </w:tcPr>
          <w:p w:rsidR="00BC2ECD" w:rsidRPr="002B0985" w:rsidRDefault="00BC2ECD">
            <w:pPr>
              <w:rPr>
                <w:rFonts w:eastAsia="SimSun" w:cs="Arial"/>
                <w:sz w:val="16"/>
                <w:szCs w:val="16"/>
                <w:lang w:eastAsia="zh-CN"/>
              </w:rPr>
            </w:pPr>
            <w:r w:rsidRPr="00742C72">
              <w:rPr>
                <w:rFonts w:eastAsia="SimSun" w:cs="Arial"/>
                <w:sz w:val="16"/>
                <w:szCs w:val="16"/>
                <w:lang w:eastAsia="zh-CN"/>
              </w:rPr>
              <w:t>Increase of staff awareness to 60%</w:t>
            </w:r>
          </w:p>
        </w:tc>
        <w:tc>
          <w:tcPr>
            <w:tcW w:w="1269" w:type="pct"/>
            <w:tcBorders>
              <w:top w:val="single" w:sz="4" w:space="0" w:color="auto"/>
              <w:bottom w:val="nil"/>
            </w:tcBorders>
            <w:shd w:val="clear" w:color="auto" w:fill="FFFFFF"/>
            <w:tcMar>
              <w:top w:w="110" w:type="dxa"/>
            </w:tcMar>
          </w:tcPr>
          <w:p w:rsidR="00BC2ECD" w:rsidRPr="002B0985" w:rsidRDefault="00BC2ECD">
            <w:pPr>
              <w:rPr>
                <w:rFonts w:eastAsia="SimSun" w:cs="Arial"/>
                <w:sz w:val="16"/>
                <w:szCs w:val="16"/>
                <w:lang w:eastAsia="zh-CN"/>
              </w:rPr>
            </w:pPr>
            <w:r>
              <w:rPr>
                <w:rFonts w:eastAsia="SimSun" w:cs="Arial"/>
                <w:sz w:val="16"/>
                <w:szCs w:val="16"/>
                <w:lang w:eastAsia="zh-CN"/>
              </w:rPr>
              <w:t>A s</w:t>
            </w:r>
            <w:r w:rsidRPr="00BB1305">
              <w:rPr>
                <w:rFonts w:eastAsia="SimSun" w:cs="Arial"/>
                <w:sz w:val="16"/>
                <w:szCs w:val="16"/>
                <w:lang w:eastAsia="zh-CN"/>
              </w:rPr>
              <w:t xml:space="preserve">urvey on </w:t>
            </w:r>
            <w:r>
              <w:rPr>
                <w:rFonts w:eastAsia="SimSun" w:cs="Arial"/>
                <w:sz w:val="16"/>
                <w:szCs w:val="16"/>
                <w:lang w:eastAsia="zh-CN"/>
              </w:rPr>
              <w:t xml:space="preserve">the </w:t>
            </w:r>
            <w:proofErr w:type="spellStart"/>
            <w:r w:rsidRPr="00BB1305">
              <w:rPr>
                <w:rFonts w:eastAsia="SimSun" w:cs="Arial"/>
                <w:sz w:val="16"/>
                <w:szCs w:val="16"/>
                <w:lang w:eastAsia="zh-CN"/>
              </w:rPr>
              <w:t>Ombuds</w:t>
            </w:r>
            <w:proofErr w:type="spellEnd"/>
            <w:r w:rsidRPr="00BB1305">
              <w:rPr>
                <w:rFonts w:eastAsia="SimSun" w:cs="Arial"/>
                <w:sz w:val="16"/>
                <w:szCs w:val="16"/>
                <w:lang w:eastAsia="zh-CN"/>
              </w:rPr>
              <w:t xml:space="preserve">-function </w:t>
            </w:r>
            <w:r>
              <w:rPr>
                <w:rFonts w:eastAsia="SimSun" w:cs="Arial"/>
                <w:sz w:val="16"/>
                <w:szCs w:val="16"/>
                <w:lang w:eastAsia="zh-CN"/>
              </w:rPr>
              <w:t xml:space="preserve">is </w:t>
            </w:r>
            <w:r w:rsidRPr="00BB1305">
              <w:rPr>
                <w:rFonts w:eastAsia="SimSun" w:cs="Arial"/>
                <w:sz w:val="16"/>
                <w:szCs w:val="16"/>
                <w:lang w:eastAsia="zh-CN"/>
              </w:rPr>
              <w:t xml:space="preserve">planned as part of </w:t>
            </w:r>
            <w:r>
              <w:rPr>
                <w:rFonts w:eastAsia="SimSun" w:cs="Arial"/>
                <w:sz w:val="16"/>
                <w:szCs w:val="16"/>
                <w:lang w:eastAsia="zh-CN"/>
              </w:rPr>
              <w:t xml:space="preserve">the </w:t>
            </w:r>
            <w:r w:rsidRPr="00BB1305">
              <w:rPr>
                <w:rFonts w:eastAsia="SimSun" w:cs="Arial"/>
                <w:sz w:val="16"/>
                <w:szCs w:val="16"/>
                <w:lang w:eastAsia="zh-CN"/>
              </w:rPr>
              <w:t xml:space="preserve">JIU review </w:t>
            </w:r>
            <w:r>
              <w:rPr>
                <w:rFonts w:eastAsia="SimSun" w:cs="Arial"/>
                <w:sz w:val="16"/>
                <w:szCs w:val="16"/>
                <w:lang w:eastAsia="zh-CN"/>
              </w:rPr>
              <w:t>during the second q</w:t>
            </w:r>
            <w:r w:rsidRPr="00BB1305">
              <w:rPr>
                <w:rFonts w:eastAsia="SimSun" w:cs="Arial"/>
                <w:sz w:val="16"/>
                <w:szCs w:val="16"/>
                <w:lang w:eastAsia="zh-CN"/>
              </w:rPr>
              <w:t xml:space="preserve">uarter </w:t>
            </w:r>
            <w:r>
              <w:rPr>
                <w:rFonts w:eastAsia="SimSun" w:cs="Arial"/>
                <w:sz w:val="16"/>
                <w:szCs w:val="16"/>
                <w:lang w:eastAsia="zh-CN"/>
              </w:rPr>
              <w:t>of 20</w:t>
            </w:r>
            <w:r w:rsidRPr="00BB1305">
              <w:rPr>
                <w:rFonts w:eastAsia="SimSun" w:cs="Arial"/>
                <w:sz w:val="16"/>
                <w:szCs w:val="16"/>
                <w:lang w:eastAsia="zh-CN"/>
              </w:rPr>
              <w:t>15</w:t>
            </w:r>
          </w:p>
        </w:tc>
        <w:tc>
          <w:tcPr>
            <w:tcW w:w="522" w:type="pct"/>
            <w:tcBorders>
              <w:top w:val="single" w:sz="4" w:space="0" w:color="auto"/>
              <w:bottom w:val="nil"/>
            </w:tcBorders>
            <w:shd w:val="clear" w:color="auto" w:fill="auto"/>
            <w:tcMar>
              <w:top w:w="110" w:type="dxa"/>
            </w:tcMar>
          </w:tcPr>
          <w:p w:rsidR="00BC2ECD" w:rsidRPr="002B0985" w:rsidRDefault="00BC2ECD">
            <w:pPr>
              <w:keepNext/>
              <w:keepLines/>
              <w:jc w:val="center"/>
              <w:rPr>
                <w:rFonts w:eastAsia="SimSun" w:cs="Arial"/>
                <w:b/>
                <w:color w:val="00B050"/>
                <w:sz w:val="16"/>
                <w:szCs w:val="16"/>
                <w:lang w:eastAsia="zh-CN"/>
              </w:rPr>
            </w:pPr>
            <w:r w:rsidRPr="00ED310D">
              <w:rPr>
                <w:rFonts w:eastAsia="SimSun" w:cs="Arial"/>
                <w:b/>
                <w:color w:val="0070C0"/>
                <w:sz w:val="16"/>
                <w:szCs w:val="16"/>
                <w:lang w:eastAsia="zh-CN"/>
              </w:rPr>
              <w:t>N/A 2014</w:t>
            </w:r>
          </w:p>
        </w:tc>
      </w:tr>
      <w:tr w:rsidR="00BC2ECD" w:rsidRPr="00011B74" w:rsidTr="00BC2ECD">
        <w:tc>
          <w:tcPr>
            <w:tcW w:w="1194" w:type="pct"/>
            <w:tcBorders>
              <w:top w:val="nil"/>
              <w:bottom w:val="single" w:sz="4" w:space="0" w:color="auto"/>
            </w:tcBorders>
            <w:shd w:val="clear" w:color="auto" w:fill="auto"/>
          </w:tcPr>
          <w:p w:rsidR="00BC2ECD" w:rsidRPr="00742C72" w:rsidRDefault="00BC2ECD">
            <w:pPr>
              <w:rPr>
                <w:rFonts w:eastAsia="SimSun" w:cs="Arial"/>
                <w:color w:val="000000"/>
                <w:sz w:val="16"/>
                <w:szCs w:val="16"/>
                <w:lang w:eastAsia="zh-CN"/>
              </w:rPr>
            </w:pPr>
            <w:r w:rsidRPr="00742C72">
              <w:rPr>
                <w:rFonts w:eastAsia="SimSun" w:cs="Arial"/>
                <w:color w:val="000000"/>
                <w:sz w:val="16"/>
                <w:szCs w:val="16"/>
                <w:lang w:eastAsia="zh-CN"/>
              </w:rPr>
              <w:t>% of survey respondents being aware of WIPO ethics principles and policies</w:t>
            </w:r>
          </w:p>
        </w:tc>
        <w:tc>
          <w:tcPr>
            <w:tcW w:w="1269" w:type="pct"/>
            <w:tcBorders>
              <w:top w:val="nil"/>
              <w:bottom w:val="single" w:sz="4" w:space="0" w:color="auto"/>
            </w:tcBorders>
            <w:shd w:val="clear" w:color="auto" w:fill="auto"/>
          </w:tcPr>
          <w:p w:rsidR="00BC2ECD" w:rsidRPr="005722DD" w:rsidRDefault="00BC2ECD">
            <w:pPr>
              <w:rPr>
                <w:rFonts w:eastAsiaTheme="minorHAnsi" w:cs="Arial"/>
                <w:color w:val="002060"/>
                <w:sz w:val="16"/>
                <w:szCs w:val="16"/>
              </w:rPr>
            </w:pPr>
            <w:r>
              <w:rPr>
                <w:rFonts w:cs="Arial"/>
                <w:i/>
                <w:color w:val="002060"/>
                <w:sz w:val="16"/>
                <w:szCs w:val="16"/>
              </w:rPr>
              <w:t>Updated Baseline end 2013</w:t>
            </w:r>
            <w:r w:rsidRPr="0027745B">
              <w:rPr>
                <w:rFonts w:cs="Arial"/>
                <w:i/>
                <w:color w:val="002060"/>
                <w:sz w:val="16"/>
                <w:szCs w:val="16"/>
              </w:rPr>
              <w:t xml:space="preserve">:  </w:t>
            </w:r>
            <w:r w:rsidRPr="00ED310D">
              <w:rPr>
                <w:rFonts w:cs="Arial"/>
                <w:color w:val="002060"/>
                <w:sz w:val="16"/>
                <w:szCs w:val="16"/>
              </w:rPr>
              <w:t>98% from the SRP Core Values Survey (conducted from January to February 2013).</w:t>
            </w:r>
          </w:p>
          <w:p w:rsidR="00BC2ECD" w:rsidRPr="00861678" w:rsidRDefault="00BC2ECD">
            <w:pPr>
              <w:rPr>
                <w:rFonts w:cs="Arial"/>
                <w:i/>
                <w:color w:val="002060"/>
                <w:sz w:val="8"/>
                <w:szCs w:val="8"/>
              </w:rPr>
            </w:pPr>
          </w:p>
          <w:p w:rsidR="00BC2ECD" w:rsidRDefault="00BC2ECD">
            <w:pPr>
              <w:rPr>
                <w:rFonts w:cs="Arial"/>
                <w:sz w:val="16"/>
                <w:szCs w:val="16"/>
              </w:rPr>
            </w:pPr>
            <w:r>
              <w:rPr>
                <w:rFonts w:cs="Arial"/>
                <w:i/>
                <w:sz w:val="16"/>
                <w:szCs w:val="16"/>
              </w:rPr>
              <w:t>Original Baseline P&amp;B 2014/15</w:t>
            </w:r>
            <w:r w:rsidRPr="0027745B">
              <w:rPr>
                <w:rFonts w:cs="Arial"/>
                <w:i/>
                <w:sz w:val="16"/>
                <w:szCs w:val="16"/>
              </w:rPr>
              <w:t>:</w:t>
            </w:r>
            <w:r>
              <w:rPr>
                <w:rFonts w:cs="Arial"/>
                <w:sz w:val="16"/>
                <w:szCs w:val="16"/>
              </w:rPr>
              <w:t xml:space="preserve">  </w:t>
            </w:r>
            <w:r w:rsidRPr="00742C72">
              <w:rPr>
                <w:rFonts w:cs="Arial"/>
                <w:sz w:val="16"/>
                <w:szCs w:val="16"/>
              </w:rPr>
              <w:t>70%</w:t>
            </w:r>
          </w:p>
          <w:p w:rsidR="00BC2ECD" w:rsidRDefault="00BC2ECD">
            <w:pPr>
              <w:rPr>
                <w:rFonts w:cs="Arial"/>
                <w:i/>
                <w:color w:val="002060"/>
                <w:sz w:val="16"/>
                <w:szCs w:val="16"/>
              </w:rPr>
            </w:pPr>
          </w:p>
        </w:tc>
        <w:tc>
          <w:tcPr>
            <w:tcW w:w="746" w:type="pct"/>
            <w:tcBorders>
              <w:top w:val="nil"/>
              <w:bottom w:val="single" w:sz="4" w:space="0" w:color="auto"/>
            </w:tcBorders>
            <w:shd w:val="clear" w:color="auto" w:fill="auto"/>
            <w:tcMar>
              <w:top w:w="110" w:type="dxa"/>
            </w:tcMar>
          </w:tcPr>
          <w:p w:rsidR="00BC2ECD" w:rsidRPr="00742C72" w:rsidRDefault="00BC2ECD">
            <w:pPr>
              <w:rPr>
                <w:rFonts w:eastAsia="SimSun" w:cs="Arial"/>
                <w:sz w:val="16"/>
                <w:szCs w:val="16"/>
                <w:lang w:eastAsia="zh-CN"/>
              </w:rPr>
            </w:pPr>
            <w:r w:rsidRPr="00742C72">
              <w:rPr>
                <w:rFonts w:eastAsia="SimSun" w:cs="Arial"/>
                <w:sz w:val="16"/>
                <w:szCs w:val="16"/>
                <w:lang w:eastAsia="zh-CN"/>
              </w:rPr>
              <w:t>75%</w:t>
            </w:r>
          </w:p>
        </w:tc>
        <w:tc>
          <w:tcPr>
            <w:tcW w:w="1269" w:type="pct"/>
            <w:tcBorders>
              <w:top w:val="nil"/>
              <w:bottom w:val="single" w:sz="4" w:space="0" w:color="auto"/>
            </w:tcBorders>
            <w:shd w:val="clear" w:color="auto" w:fill="FFFFFF"/>
            <w:tcMar>
              <w:top w:w="110" w:type="dxa"/>
            </w:tcMar>
          </w:tcPr>
          <w:p w:rsidR="00BC2ECD" w:rsidRPr="005722DD" w:rsidRDefault="00BC2ECD">
            <w:pPr>
              <w:autoSpaceDE w:val="0"/>
              <w:autoSpaceDN w:val="0"/>
              <w:adjustRightInd w:val="0"/>
              <w:rPr>
                <w:rFonts w:eastAsia="SimSun" w:cs="Arial"/>
                <w:color w:val="000000"/>
                <w:sz w:val="16"/>
                <w:szCs w:val="16"/>
                <w:lang w:eastAsia="zh-CN"/>
              </w:rPr>
            </w:pPr>
            <w:r>
              <w:rPr>
                <w:rFonts w:eastAsia="SimSun" w:cs="Arial"/>
                <w:color w:val="000000"/>
                <w:sz w:val="16"/>
                <w:szCs w:val="16"/>
                <w:lang w:eastAsia="zh-CN"/>
              </w:rPr>
              <w:t>Survey to be conducted in</w:t>
            </w:r>
          </w:p>
          <w:p w:rsidR="00BC2ECD" w:rsidRPr="002B0985" w:rsidRDefault="00BC2ECD">
            <w:pPr>
              <w:rPr>
                <w:rFonts w:eastAsia="SimSun" w:cs="Arial"/>
                <w:sz w:val="16"/>
                <w:szCs w:val="16"/>
                <w:lang w:eastAsia="zh-CN"/>
              </w:rPr>
            </w:pPr>
            <w:r w:rsidRPr="005722DD">
              <w:rPr>
                <w:rFonts w:eastAsia="SimSun" w:cs="Arial"/>
                <w:color w:val="000000"/>
                <w:sz w:val="16"/>
                <w:szCs w:val="16"/>
                <w:lang w:eastAsia="zh-CN"/>
              </w:rPr>
              <w:t>2015</w:t>
            </w:r>
            <w:r>
              <w:rPr>
                <w:rFonts w:eastAsia="SimSun" w:cs="Arial"/>
                <w:color w:val="000000"/>
                <w:sz w:val="16"/>
                <w:szCs w:val="16"/>
                <w:lang w:eastAsia="zh-CN"/>
              </w:rPr>
              <w:t xml:space="preserve"> only.</w:t>
            </w:r>
          </w:p>
        </w:tc>
        <w:tc>
          <w:tcPr>
            <w:tcW w:w="522" w:type="pct"/>
            <w:tcBorders>
              <w:top w:val="nil"/>
              <w:bottom w:val="single" w:sz="4" w:space="0" w:color="auto"/>
            </w:tcBorders>
            <w:shd w:val="clear" w:color="auto" w:fill="auto"/>
            <w:tcMar>
              <w:top w:w="110" w:type="dxa"/>
            </w:tcMar>
          </w:tcPr>
          <w:p w:rsidR="00BC2ECD" w:rsidRPr="002B0985" w:rsidRDefault="00BC2ECD">
            <w:pPr>
              <w:keepNext/>
              <w:keepLines/>
              <w:jc w:val="center"/>
              <w:rPr>
                <w:rFonts w:eastAsia="SimSun" w:cs="Arial"/>
                <w:b/>
                <w:color w:val="00B050"/>
                <w:sz w:val="16"/>
                <w:szCs w:val="16"/>
                <w:lang w:eastAsia="zh-CN"/>
              </w:rPr>
            </w:pPr>
            <w:r w:rsidRPr="00845557">
              <w:rPr>
                <w:rFonts w:eastAsia="SimSun" w:cs="Arial"/>
                <w:b/>
                <w:color w:val="0070C0"/>
                <w:sz w:val="16"/>
                <w:szCs w:val="16"/>
                <w:lang w:eastAsia="zh-CN"/>
              </w:rPr>
              <w:t>N/A 2014</w:t>
            </w:r>
          </w:p>
        </w:tc>
      </w:tr>
    </w:tbl>
    <w:p w:rsidR="00BC2ECD" w:rsidRDefault="00BC2ECD">
      <w:pPr>
        <w:rPr>
          <w:rFonts w:cs="Arial"/>
          <w:color w:val="000000"/>
          <w:sz w:val="22"/>
          <w:szCs w:val="22"/>
        </w:rPr>
      </w:pPr>
    </w:p>
    <w:p w:rsidR="00BC2ECD" w:rsidRDefault="00BC2ECD">
      <w:pPr>
        <w:rPr>
          <w:rFonts w:cs="Arial"/>
          <w:color w:val="000000"/>
          <w:sz w:val="22"/>
          <w:szCs w:val="22"/>
        </w:rPr>
      </w:pPr>
    </w:p>
    <w:p w:rsidR="00BC2ECD" w:rsidRDefault="00BC2ECD">
      <w:pPr>
        <w:rPr>
          <w:rFonts w:cs="Arial"/>
          <w:color w:val="000000"/>
          <w:sz w:val="22"/>
          <w:szCs w:val="22"/>
        </w:rPr>
      </w:pPr>
      <w:r>
        <w:rPr>
          <w:rFonts w:cs="Arial"/>
          <w:color w:val="000000"/>
          <w:sz w:val="22"/>
          <w:szCs w:val="22"/>
        </w:rPr>
        <w:br w:type="page"/>
      </w:r>
    </w:p>
    <w:p w:rsidR="00BC2ECD" w:rsidRDefault="00BC2ECD" w:rsidP="00A8525E">
      <w:pPr>
        <w:rPr>
          <w:b/>
          <w:sz w:val="18"/>
          <w:szCs w:val="18"/>
        </w:rPr>
      </w:pPr>
      <w:r>
        <w:rPr>
          <w:rFonts w:cs="Arial"/>
          <w:color w:val="000000"/>
          <w:sz w:val="22"/>
          <w:szCs w:val="22"/>
        </w:rPr>
        <w:lastRenderedPageBreak/>
        <w:t>RESOURCE UTILIZATION</w:t>
      </w:r>
      <w:r>
        <w:rPr>
          <w:rFonts w:cs="Arial"/>
          <w:color w:val="000000"/>
          <w:sz w:val="22"/>
          <w:szCs w:val="22"/>
        </w:rPr>
        <w:tab/>
      </w:r>
    </w:p>
    <w:p w:rsidR="00BC2ECD" w:rsidRPr="008F4A6D" w:rsidRDefault="00BC2ECD">
      <w:pPr>
        <w:rPr>
          <w:szCs w:val="20"/>
        </w:rPr>
      </w:pPr>
    </w:p>
    <w:p w:rsidR="00BC2ECD" w:rsidRPr="00383D2D" w:rsidRDefault="00BC2ECD" w:rsidP="004611B9">
      <w:pPr>
        <w:pStyle w:val="NormalWeb"/>
        <w:spacing w:before="0" w:beforeAutospacing="0" w:after="0" w:afterAutospacing="0"/>
        <w:jc w:val="center"/>
        <w:rPr>
          <w:sz w:val="20"/>
          <w:szCs w:val="20"/>
        </w:rPr>
      </w:pPr>
      <w:r w:rsidRPr="00383D2D">
        <w:rPr>
          <w:color w:val="000000"/>
          <w:sz w:val="20"/>
          <w:szCs w:val="20"/>
        </w:rPr>
        <w:t xml:space="preserve">Budget and Actual Expenditure (by result) </w:t>
      </w:r>
    </w:p>
    <w:p w:rsidR="00BC2ECD" w:rsidRDefault="00BC2ECD" w:rsidP="004611B9">
      <w:pPr>
        <w:pStyle w:val="NormalWeb"/>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BC2ECD" w:rsidRPr="00383D2D" w:rsidRDefault="00BC2ECD" w:rsidP="004611B9">
      <w:pPr>
        <w:pStyle w:val="NormalWeb"/>
        <w:spacing w:before="0" w:beforeAutospacing="0" w:after="0" w:afterAutospacing="0"/>
        <w:jc w:val="center"/>
        <w:rPr>
          <w:sz w:val="20"/>
          <w:szCs w:val="20"/>
        </w:rPr>
      </w:pPr>
    </w:p>
    <w:p w:rsidR="00BC2ECD" w:rsidRDefault="00BC2ECD" w:rsidP="00FD7155">
      <w:pPr>
        <w:jc w:val="center"/>
      </w:pPr>
      <w:r w:rsidRPr="00F203EB">
        <w:rPr>
          <w:noProof/>
        </w:rPr>
        <w:drawing>
          <wp:inline distT="0" distB="0" distL="0" distR="0" wp14:anchorId="28D23889" wp14:editId="23CFA24F">
            <wp:extent cx="5629523" cy="3000759"/>
            <wp:effectExtent l="0" t="0" r="0" b="9525"/>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630602" cy="3001334"/>
                    </a:xfrm>
                    <a:prstGeom prst="rect">
                      <a:avLst/>
                    </a:prstGeom>
                    <a:noFill/>
                    <a:ln>
                      <a:noFill/>
                    </a:ln>
                  </pic:spPr>
                </pic:pic>
              </a:graphicData>
            </a:graphic>
          </wp:inline>
        </w:drawing>
      </w:r>
    </w:p>
    <w:p w:rsidR="00BC2ECD" w:rsidRDefault="00BC2ECD"/>
    <w:p w:rsidR="00BC2ECD" w:rsidRDefault="00BC2ECD"/>
    <w:p w:rsidR="00BC2ECD" w:rsidRPr="00383D2D" w:rsidRDefault="00BC2ECD" w:rsidP="00383D2D">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BC2ECD" w:rsidRPr="00383D2D" w:rsidRDefault="00BC2ECD" w:rsidP="00383D2D">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BC2ECD" w:rsidRDefault="00BC2ECD" w:rsidP="00383D2D">
      <w:pPr>
        <w:pStyle w:val="NormalWeb"/>
        <w:keepNext/>
        <w:keepLines/>
        <w:spacing w:before="0" w:beforeAutospacing="0" w:after="0" w:afterAutospacing="0"/>
        <w:jc w:val="center"/>
      </w:pPr>
    </w:p>
    <w:p w:rsidR="00BC2ECD" w:rsidRPr="00383D2D" w:rsidRDefault="00BC2ECD" w:rsidP="00FD7155">
      <w:pPr>
        <w:jc w:val="center"/>
        <w:rPr>
          <w:szCs w:val="20"/>
        </w:rPr>
      </w:pPr>
      <w:r w:rsidRPr="00F203EB">
        <w:rPr>
          <w:noProof/>
        </w:rPr>
        <w:drawing>
          <wp:inline distT="0" distB="0" distL="0" distR="0" wp14:anchorId="6F926F90" wp14:editId="5FCED05C">
            <wp:extent cx="5637475" cy="1278386"/>
            <wp:effectExtent l="0" t="0" r="1905" b="0"/>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668649" cy="1285455"/>
                    </a:xfrm>
                    <a:prstGeom prst="rect">
                      <a:avLst/>
                    </a:prstGeom>
                    <a:noFill/>
                    <a:ln>
                      <a:noFill/>
                    </a:ln>
                  </pic:spPr>
                </pic:pic>
              </a:graphicData>
            </a:graphic>
          </wp:inline>
        </w:drawing>
      </w:r>
    </w:p>
    <w:p w:rsidR="00BC2ECD" w:rsidRPr="004312A2" w:rsidRDefault="00BC2ECD" w:rsidP="00DD012F">
      <w:pPr>
        <w:keepNext/>
        <w:autoSpaceDE w:val="0"/>
        <w:autoSpaceDN w:val="0"/>
        <w:rPr>
          <w:sz w:val="16"/>
          <w:szCs w:val="16"/>
        </w:rPr>
      </w:pPr>
      <w:r w:rsidRPr="00ED310D">
        <w:rPr>
          <w:i/>
          <w:sz w:val="16"/>
          <w:szCs w:val="16"/>
        </w:rPr>
        <w:t>NOTE: The 2014/15 Budget after Transfers reflects transfers as of March 31, 2015 to address needs during the 2014/15 biennium in line with Financial Regulation 5.5.</w:t>
      </w:r>
    </w:p>
    <w:p w:rsidR="00BC2ECD" w:rsidRPr="008F4A6D" w:rsidRDefault="00BC2ECD" w:rsidP="00420F90">
      <w:pPr>
        <w:widowControl w:val="0"/>
        <w:autoSpaceDE w:val="0"/>
        <w:autoSpaceDN w:val="0"/>
        <w:adjustRightInd w:val="0"/>
        <w:rPr>
          <w:rFonts w:cs="Arial"/>
          <w:szCs w:val="20"/>
        </w:rPr>
      </w:pPr>
    </w:p>
    <w:p w:rsidR="00BC2ECD" w:rsidRPr="001C6F4D" w:rsidRDefault="00BC2ECD" w:rsidP="00420F90">
      <w:pPr>
        <w:widowControl w:val="0"/>
        <w:autoSpaceDE w:val="0"/>
        <w:autoSpaceDN w:val="0"/>
        <w:adjustRightInd w:val="0"/>
        <w:rPr>
          <w:rFonts w:cs="Arial"/>
          <w:szCs w:val="20"/>
        </w:rPr>
      </w:pPr>
    </w:p>
    <w:p w:rsidR="00BC2ECD" w:rsidRDefault="00BC2ECD" w:rsidP="00A93FCA">
      <w:pPr>
        <w:rPr>
          <w:rFonts w:cs="Arial"/>
          <w:u w:val="single"/>
        </w:rPr>
      </w:pPr>
      <w:r w:rsidRPr="00420F90">
        <w:rPr>
          <w:rFonts w:cs="Arial"/>
          <w:szCs w:val="20"/>
        </w:rPr>
        <w:t>A.</w:t>
      </w:r>
      <w:r w:rsidRPr="00420F90">
        <w:rPr>
          <w:rFonts w:cs="Arial"/>
        </w:rPr>
        <w:tab/>
      </w:r>
      <w:r w:rsidRPr="00420F90">
        <w:rPr>
          <w:rFonts w:cs="Arial"/>
          <w:u w:val="single"/>
        </w:rPr>
        <w:t>Budget after Transfers 201</w:t>
      </w:r>
      <w:r>
        <w:rPr>
          <w:rFonts w:cs="Arial"/>
          <w:u w:val="single"/>
        </w:rPr>
        <w:t>4/15</w:t>
      </w:r>
    </w:p>
    <w:p w:rsidR="00BC2ECD" w:rsidRPr="00420F90" w:rsidRDefault="00BC2ECD" w:rsidP="00A93FCA">
      <w:pPr>
        <w:rPr>
          <w:rFonts w:cs="Arial"/>
          <w:u w:val="single"/>
        </w:rPr>
      </w:pPr>
    </w:p>
    <w:p w:rsidR="00BC2ECD" w:rsidRDefault="00BC2ECD" w:rsidP="00BC2ECD">
      <w:pPr>
        <w:numPr>
          <w:ilvl w:val="0"/>
          <w:numId w:val="77"/>
        </w:numPr>
        <w:autoSpaceDE w:val="0"/>
        <w:autoSpaceDN w:val="0"/>
        <w:adjustRightInd w:val="0"/>
        <w:jc w:val="both"/>
        <w:rPr>
          <w:rFonts w:cs="Arial"/>
          <w:szCs w:val="20"/>
          <w:lang w:eastAsia="ko-KR"/>
        </w:rPr>
      </w:pPr>
      <w:r w:rsidRPr="00DA3D87">
        <w:rPr>
          <w:rFonts w:eastAsia="SimSun" w:cs="Arial"/>
          <w:szCs w:val="20"/>
          <w:lang w:eastAsia="zh-CN"/>
        </w:rPr>
        <w:t>The</w:t>
      </w:r>
      <w:r>
        <w:rPr>
          <w:rFonts w:cs="Arial"/>
          <w:szCs w:val="20"/>
          <w:lang w:eastAsia="ko-KR"/>
        </w:rPr>
        <w:t xml:space="preserve"> increase in personnel resources was primarily due to (</w:t>
      </w:r>
      <w:proofErr w:type="spellStart"/>
      <w:r>
        <w:rPr>
          <w:rFonts w:cs="Arial"/>
          <w:szCs w:val="20"/>
          <w:lang w:eastAsia="ko-KR"/>
        </w:rPr>
        <w:t>i</w:t>
      </w:r>
      <w:proofErr w:type="spellEnd"/>
      <w:r>
        <w:rPr>
          <w:rFonts w:cs="Arial"/>
          <w:szCs w:val="20"/>
          <w:lang w:eastAsia="ko-KR"/>
        </w:rPr>
        <w:t xml:space="preserve">) the transfer of posts into the Program following the merger of </w:t>
      </w:r>
      <w:r>
        <w:t xml:space="preserve">events related activities with the protocol function, the establishment of </w:t>
      </w:r>
      <w:r>
        <w:rPr>
          <w:bCs/>
          <w:szCs w:val="20"/>
        </w:rPr>
        <w:t>a B</w:t>
      </w:r>
      <w:r>
        <w:t xml:space="preserve">usiness Continuity Coordinator role and (ii) the regularization of a continuing function in OLC to meet the increasing </w:t>
      </w:r>
      <w:r>
        <w:rPr>
          <w:rFonts w:cs="Arial"/>
          <w:szCs w:val="20"/>
          <w:lang w:eastAsia="ko-KR"/>
        </w:rPr>
        <w:t xml:space="preserve">demand for legal services.  </w:t>
      </w:r>
    </w:p>
    <w:p w:rsidR="00BC2ECD" w:rsidRDefault="00BC2ECD" w:rsidP="00FD7155">
      <w:pPr>
        <w:autoSpaceDE w:val="0"/>
        <w:autoSpaceDN w:val="0"/>
        <w:jc w:val="both"/>
        <w:rPr>
          <w:rFonts w:cs="Arial"/>
          <w:szCs w:val="20"/>
          <w:lang w:eastAsia="ko-KR"/>
        </w:rPr>
      </w:pPr>
    </w:p>
    <w:p w:rsidR="00BC2ECD" w:rsidRDefault="00BC2ECD" w:rsidP="00FD7155">
      <w:pPr>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Budget utilization 2014</w:t>
      </w:r>
    </w:p>
    <w:p w:rsidR="00BC2ECD" w:rsidRDefault="00BC2ECD" w:rsidP="00383D2D">
      <w:pPr>
        <w:tabs>
          <w:tab w:val="left" w:pos="709"/>
        </w:tabs>
        <w:jc w:val="both"/>
        <w:rPr>
          <w:rFonts w:cs="Arial"/>
          <w:szCs w:val="20"/>
          <w:u w:val="single"/>
          <w:lang w:eastAsia="ko-KR"/>
        </w:rPr>
      </w:pPr>
    </w:p>
    <w:p w:rsidR="00BC2ECD" w:rsidRDefault="00BC2ECD" w:rsidP="00BC2ECD">
      <w:pPr>
        <w:numPr>
          <w:ilvl w:val="0"/>
          <w:numId w:val="77"/>
        </w:numPr>
        <w:autoSpaceDE w:val="0"/>
        <w:autoSpaceDN w:val="0"/>
        <w:adjustRightInd w:val="0"/>
        <w:jc w:val="both"/>
        <w:rPr>
          <w:rFonts w:ascii="Calibri" w:hAnsi="Calibri"/>
          <w:sz w:val="22"/>
          <w:szCs w:val="22"/>
        </w:rPr>
      </w:pPr>
      <w:r>
        <w:rPr>
          <w:rFonts w:cs="Arial"/>
          <w:szCs w:val="20"/>
          <w:lang w:eastAsia="ko-KR"/>
        </w:rPr>
        <w:t xml:space="preserve">Budget utilization is within the expected range of 40-60 per cent for the first year of the biennium and is on track. </w:t>
      </w:r>
    </w:p>
    <w:p w:rsidR="00BC2ECD" w:rsidRDefault="00BC2ECD" w:rsidP="00FD7155">
      <w:pPr>
        <w:autoSpaceDE w:val="0"/>
        <w:autoSpaceDN w:val="0"/>
        <w:jc w:val="both"/>
      </w:pPr>
    </w:p>
    <w:p w:rsidR="00D97F1C" w:rsidRDefault="00D97F1C"/>
    <w:p w:rsidR="00D97F1C" w:rsidRDefault="00D97F1C"/>
    <w:p w:rsidR="005C6F8E" w:rsidRDefault="005C6F8E"/>
    <w:p w:rsidR="00361A1E" w:rsidRDefault="00361A1E">
      <w:r>
        <w:br w:type="page"/>
      </w:r>
    </w:p>
    <w:p w:rsidR="00361A1E" w:rsidRPr="001243AF" w:rsidRDefault="00361A1E" w:rsidP="00CD55B6">
      <w:pPr>
        <w:pStyle w:val="Heading2"/>
        <w:tabs>
          <w:tab w:val="clear" w:pos="567"/>
          <w:tab w:val="left" w:pos="1985"/>
        </w:tabs>
      </w:pPr>
      <w:bookmarkStart w:id="92" w:name="_Toc422210511"/>
      <w:r w:rsidRPr="001243AF">
        <w:lastRenderedPageBreak/>
        <w:t xml:space="preserve">PROGRAM </w:t>
      </w:r>
      <w:r>
        <w:t>22</w:t>
      </w:r>
      <w:r>
        <w:tab/>
      </w:r>
      <w:r>
        <w:tab/>
        <w:t>PROGRAM AND RESOURCE MANAGEMENT</w:t>
      </w:r>
      <w:bookmarkEnd w:id="92"/>
    </w:p>
    <w:p w:rsidR="00361A1E" w:rsidRPr="00383D2D" w:rsidRDefault="00361A1E" w:rsidP="000E148D">
      <w:pPr>
        <w:rPr>
          <w:szCs w:val="20"/>
        </w:rPr>
      </w:pPr>
    </w:p>
    <w:p w:rsidR="00361A1E" w:rsidRPr="00CD55B6" w:rsidRDefault="00361A1E" w:rsidP="00CD55B6">
      <w:pPr>
        <w:tabs>
          <w:tab w:val="left" w:pos="1985"/>
        </w:tabs>
        <w:rPr>
          <w:b/>
          <w:szCs w:val="22"/>
        </w:rPr>
      </w:pPr>
      <w:r w:rsidRPr="00CD55B6">
        <w:rPr>
          <w:b/>
          <w:szCs w:val="22"/>
        </w:rPr>
        <w:t>Program Manager</w:t>
      </w:r>
      <w:r w:rsidRPr="00CD55B6">
        <w:rPr>
          <w:b/>
          <w:szCs w:val="22"/>
        </w:rPr>
        <w:tab/>
        <w:t>Mr. A. Sundaram</w:t>
      </w:r>
    </w:p>
    <w:p w:rsidR="00361A1E" w:rsidRPr="008F4A6D" w:rsidRDefault="00361A1E" w:rsidP="000E148D">
      <w:pPr>
        <w:rPr>
          <w:szCs w:val="20"/>
        </w:rPr>
      </w:pPr>
    </w:p>
    <w:p w:rsidR="00361A1E" w:rsidRPr="001C6F4D" w:rsidRDefault="00361A1E" w:rsidP="000E148D">
      <w:pPr>
        <w:rPr>
          <w:szCs w:val="20"/>
        </w:rPr>
      </w:pPr>
    </w:p>
    <w:p w:rsidR="00361A1E" w:rsidRPr="005E6AFC" w:rsidRDefault="00361A1E" w:rsidP="000E148D">
      <w:pPr>
        <w:rPr>
          <w:bCs/>
          <w:sz w:val="22"/>
          <w:szCs w:val="22"/>
        </w:rPr>
      </w:pPr>
      <w:r>
        <w:rPr>
          <w:bCs/>
          <w:sz w:val="22"/>
          <w:szCs w:val="22"/>
        </w:rPr>
        <w:t>OVERVIEW OF PROGRESS IN 2014</w:t>
      </w:r>
    </w:p>
    <w:p w:rsidR="00361A1E" w:rsidRPr="00383D2D" w:rsidRDefault="00361A1E" w:rsidP="000E148D">
      <w:pPr>
        <w:rPr>
          <w:szCs w:val="20"/>
        </w:rPr>
      </w:pPr>
    </w:p>
    <w:p w:rsidR="00361A1E" w:rsidRPr="00CD55B6" w:rsidRDefault="00361A1E" w:rsidP="009F0F43">
      <w:pPr>
        <w:jc w:val="both"/>
        <w:rPr>
          <w:bCs/>
          <w:szCs w:val="22"/>
        </w:rPr>
      </w:pPr>
    </w:p>
    <w:p w:rsidR="00361A1E" w:rsidRPr="00CD55B6" w:rsidRDefault="00361A1E" w:rsidP="009F0F43">
      <w:pPr>
        <w:pStyle w:val="ListParagraph"/>
        <w:numPr>
          <w:ilvl w:val="0"/>
          <w:numId w:val="42"/>
        </w:numPr>
        <w:tabs>
          <w:tab w:val="left" w:pos="709"/>
        </w:tabs>
        <w:ind w:left="0" w:firstLine="0"/>
        <w:jc w:val="both"/>
        <w:rPr>
          <w:bCs/>
          <w:szCs w:val="22"/>
        </w:rPr>
      </w:pPr>
      <w:r w:rsidRPr="00CD55B6">
        <w:rPr>
          <w:bCs/>
          <w:szCs w:val="22"/>
        </w:rPr>
        <w:t>Building on the strides made in 2012/13, WIPO’s program and financial management continued to be strengthened in 2014.  In order to utilize resources more effectively, to establish best practice as regards planning, performance management, facilitation and support for operational activities across the Organization and to strengthen the “second line of defense</w:t>
      </w:r>
      <w:r w:rsidRPr="00CD55B6">
        <w:rPr>
          <w:rStyle w:val="FootnoteReference"/>
          <w:bCs/>
          <w:szCs w:val="22"/>
        </w:rPr>
        <w:footnoteReference w:id="54"/>
      </w:r>
      <w:r w:rsidRPr="00CD55B6">
        <w:rPr>
          <w:bCs/>
          <w:szCs w:val="22"/>
        </w:rPr>
        <w:t>”, a strategic restructuring within the Program which was undertaken in Nov</w:t>
      </w:r>
      <w:r w:rsidR="00CD55B6" w:rsidRPr="00CD55B6">
        <w:rPr>
          <w:bCs/>
          <w:szCs w:val="22"/>
        </w:rPr>
        <w:t xml:space="preserve">ember 2013, was fully embedded </w:t>
      </w:r>
      <w:r w:rsidRPr="00CD55B6">
        <w:rPr>
          <w:bCs/>
          <w:szCs w:val="22"/>
        </w:rPr>
        <w:t>in 2014.  This involved</w:t>
      </w:r>
      <w:r w:rsidR="00CD55B6" w:rsidRPr="00CD55B6">
        <w:rPr>
          <w:bCs/>
          <w:szCs w:val="22"/>
        </w:rPr>
        <w:t xml:space="preserve"> </w:t>
      </w:r>
      <w:r w:rsidRPr="00CD55B6">
        <w:rPr>
          <w:bCs/>
          <w:szCs w:val="22"/>
        </w:rPr>
        <w:t>(</w:t>
      </w:r>
      <w:proofErr w:type="spellStart"/>
      <w:r w:rsidRPr="00CD55B6">
        <w:rPr>
          <w:bCs/>
          <w:szCs w:val="22"/>
        </w:rPr>
        <w:t>i</w:t>
      </w:r>
      <w:proofErr w:type="spellEnd"/>
      <w:r w:rsidRPr="00CD55B6">
        <w:rPr>
          <w:bCs/>
          <w:szCs w:val="22"/>
        </w:rPr>
        <w:t>) the merger of the Program Management and Performance Section and the Budget Section, to create the Program Performance and Budget Division (PPBD), which allowed for a more holistic approach to program management;</w:t>
      </w:r>
      <w:r w:rsidR="00CD55B6" w:rsidRPr="00CD55B6">
        <w:rPr>
          <w:bCs/>
          <w:szCs w:val="22"/>
        </w:rPr>
        <w:t xml:space="preserve"> </w:t>
      </w:r>
      <w:r w:rsidRPr="00CD55B6">
        <w:rPr>
          <w:bCs/>
          <w:szCs w:val="22"/>
        </w:rPr>
        <w:t xml:space="preserve"> (ii) the refining of the role of the “Office of the Controller”, which enabled separation and assignment of clear responsibilities for risk management coordination, compliance and internal controls, the review and maintenance of the financial regulatory framework and follow-up on oversight recommendations; </w:t>
      </w:r>
      <w:r w:rsidR="00CD55B6" w:rsidRPr="00CD55B6">
        <w:rPr>
          <w:bCs/>
          <w:szCs w:val="22"/>
        </w:rPr>
        <w:t xml:space="preserve"> </w:t>
      </w:r>
      <w:r w:rsidRPr="00CD55B6">
        <w:rPr>
          <w:bCs/>
          <w:szCs w:val="22"/>
        </w:rPr>
        <w:t>and (iii) the incorporation of the management and support of the Organization’s administrative applications into Program 22, allowing for synergy and effective mainstreaming of the systems delivered by the ERP portfolio of projects.</w:t>
      </w:r>
    </w:p>
    <w:p w:rsidR="00361A1E" w:rsidRPr="00CD55B6" w:rsidRDefault="00361A1E" w:rsidP="009F0F43">
      <w:pPr>
        <w:tabs>
          <w:tab w:val="left" w:pos="709"/>
        </w:tabs>
        <w:jc w:val="both"/>
        <w:rPr>
          <w:bCs/>
          <w:szCs w:val="22"/>
        </w:rPr>
      </w:pPr>
    </w:p>
    <w:p w:rsidR="00361A1E" w:rsidRPr="00CD55B6" w:rsidRDefault="00361A1E" w:rsidP="009F0F43">
      <w:pPr>
        <w:pStyle w:val="ListParagraph"/>
        <w:numPr>
          <w:ilvl w:val="0"/>
          <w:numId w:val="42"/>
        </w:numPr>
        <w:tabs>
          <w:tab w:val="left" w:pos="709"/>
        </w:tabs>
        <w:ind w:left="0" w:firstLine="0"/>
        <w:jc w:val="both"/>
        <w:rPr>
          <w:bCs/>
          <w:szCs w:val="22"/>
        </w:rPr>
      </w:pPr>
      <w:r w:rsidRPr="00CD55B6">
        <w:rPr>
          <w:bCs/>
          <w:szCs w:val="22"/>
        </w:rPr>
        <w:t xml:space="preserve">Good progress was made in 2014 with respect to further embedding a results-based culture and strengthening WIPO’s performance management cycle.  The </w:t>
      </w:r>
      <w:proofErr w:type="spellStart"/>
      <w:r w:rsidRPr="00CD55B6">
        <w:rPr>
          <w:bCs/>
          <w:szCs w:val="22"/>
        </w:rPr>
        <w:t>workplanning</w:t>
      </w:r>
      <w:proofErr w:type="spellEnd"/>
      <w:r w:rsidRPr="00CD55B6">
        <w:rPr>
          <w:bCs/>
          <w:szCs w:val="22"/>
        </w:rPr>
        <w:t xml:space="preserve"> process continued to be enhanced in 2014, with the introduction of position level planning.  To support this enhancement, new functionality was developed in the Enterprise Resource Planning (ERP) Enterprise Performance Management (EPM) </w:t>
      </w:r>
      <w:proofErr w:type="spellStart"/>
      <w:r w:rsidRPr="00CD55B6">
        <w:rPr>
          <w:bCs/>
          <w:szCs w:val="22"/>
        </w:rPr>
        <w:t>workplanning</w:t>
      </w:r>
      <w:proofErr w:type="spellEnd"/>
      <w:r w:rsidRPr="00CD55B6">
        <w:rPr>
          <w:bCs/>
          <w:szCs w:val="22"/>
        </w:rPr>
        <w:t xml:space="preserve"> module to enable the allocation of individual staff members to specific program activities, driving linkages between the Programs’ expected results and individual staf</w:t>
      </w:r>
      <w:r w:rsidR="00CD55B6" w:rsidRPr="00CD55B6">
        <w:rPr>
          <w:bCs/>
          <w:szCs w:val="22"/>
        </w:rPr>
        <w:t xml:space="preserve">f objectives closer together.  </w:t>
      </w:r>
      <w:r w:rsidRPr="00CD55B6">
        <w:rPr>
          <w:bCs/>
          <w:szCs w:val="22"/>
        </w:rPr>
        <w:t>This enhancement also enabled more transparency and accuracy with regard to personnel resource allocation and utilization.</w:t>
      </w:r>
    </w:p>
    <w:p w:rsidR="00361A1E" w:rsidRPr="00CD55B6" w:rsidRDefault="00361A1E" w:rsidP="009F0F43">
      <w:pPr>
        <w:tabs>
          <w:tab w:val="left" w:pos="709"/>
        </w:tabs>
        <w:jc w:val="both"/>
        <w:rPr>
          <w:bCs/>
          <w:szCs w:val="22"/>
        </w:rPr>
      </w:pPr>
    </w:p>
    <w:p w:rsidR="00361A1E" w:rsidRPr="00CD55B6" w:rsidRDefault="00361A1E" w:rsidP="009F0F43">
      <w:pPr>
        <w:pStyle w:val="ListParagraph"/>
        <w:numPr>
          <w:ilvl w:val="0"/>
          <w:numId w:val="42"/>
        </w:numPr>
        <w:tabs>
          <w:tab w:val="left" w:pos="709"/>
        </w:tabs>
        <w:ind w:left="0" w:firstLine="0"/>
        <w:jc w:val="both"/>
        <w:rPr>
          <w:bCs/>
          <w:szCs w:val="22"/>
        </w:rPr>
      </w:pPr>
      <w:r w:rsidRPr="00CD55B6">
        <w:rPr>
          <w:bCs/>
          <w:szCs w:val="22"/>
        </w:rPr>
        <w:t>The evolution of the ERP EPM planning system was integral to the progress made in</w:t>
      </w:r>
      <w:r w:rsidR="00CD55B6" w:rsidRPr="00CD55B6">
        <w:rPr>
          <w:bCs/>
          <w:szCs w:val="22"/>
        </w:rPr>
        <w:t> </w:t>
      </w:r>
      <w:r w:rsidRPr="00CD55B6">
        <w:rPr>
          <w:bCs/>
          <w:szCs w:val="22"/>
        </w:rPr>
        <w:t xml:space="preserve">2014.  To this end, the year 2014 saw the launch of two new key modules to support WIPO’s performance cycle, namely the ‘Implementation and Monitoring’ and the ‘Performance Assessment’ modules.  The former provides Program Managers, for the first time, a tool to enable the regular updating of the approved </w:t>
      </w:r>
      <w:proofErr w:type="spellStart"/>
      <w:r w:rsidRPr="00CD55B6">
        <w:rPr>
          <w:bCs/>
          <w:szCs w:val="22"/>
        </w:rPr>
        <w:t>workplans</w:t>
      </w:r>
      <w:proofErr w:type="spellEnd"/>
      <w:r w:rsidRPr="00CD55B6">
        <w:rPr>
          <w:bCs/>
          <w:szCs w:val="22"/>
        </w:rPr>
        <w:t xml:space="preserve">, significantly improving the ability to monitor their implementation, both in terms of substance, as well as utilization of financial resources.  In addition, this tool also enabled the ability for improved comparative analysis between the approved </w:t>
      </w:r>
      <w:proofErr w:type="spellStart"/>
      <w:r w:rsidRPr="00CD55B6">
        <w:rPr>
          <w:bCs/>
          <w:szCs w:val="22"/>
        </w:rPr>
        <w:t>workplans</w:t>
      </w:r>
      <w:proofErr w:type="spellEnd"/>
      <w:r w:rsidRPr="00CD55B6">
        <w:rPr>
          <w:bCs/>
          <w:szCs w:val="22"/>
        </w:rPr>
        <w:t xml:space="preserve"> and the changes throughout the year, enhancing program management and informing future planning cycles.  The latter tool enables a more proactive and uniform approach to performance assessment, including more frequent interim performance reviews and tracking of progress towards the targets as set out in the Program and Budget 2014/15.</w:t>
      </w:r>
    </w:p>
    <w:p w:rsidR="00361A1E" w:rsidRPr="00CD55B6" w:rsidRDefault="00361A1E" w:rsidP="009F0F43">
      <w:pPr>
        <w:tabs>
          <w:tab w:val="left" w:pos="709"/>
        </w:tabs>
        <w:jc w:val="both"/>
        <w:rPr>
          <w:bCs/>
          <w:szCs w:val="22"/>
        </w:rPr>
      </w:pPr>
    </w:p>
    <w:p w:rsidR="00361A1E" w:rsidRPr="00CD55B6" w:rsidRDefault="00361A1E" w:rsidP="009F0F43">
      <w:pPr>
        <w:pStyle w:val="ListParagraph"/>
        <w:numPr>
          <w:ilvl w:val="0"/>
          <w:numId w:val="42"/>
        </w:numPr>
        <w:tabs>
          <w:tab w:val="left" w:pos="709"/>
        </w:tabs>
        <w:ind w:left="0" w:firstLine="0"/>
        <w:jc w:val="both"/>
        <w:rPr>
          <w:bCs/>
          <w:szCs w:val="22"/>
        </w:rPr>
      </w:pPr>
      <w:r w:rsidRPr="00CD55B6">
        <w:rPr>
          <w:bCs/>
          <w:szCs w:val="22"/>
        </w:rPr>
        <w:t xml:space="preserve">Further integration of the ERP components in 2014 also enabled improved reporting capabilities and analytical tools.  For the first time in 2014, the Administrative Integrated Management System (AIMS) financial and the EPM planning systems were integrated, allowing for improved reporting on budget versus actual expenditure from EPM.  In addition, the ERP Human Resources (HR)/Payroll system was brought into operation in January of 2014, and integration with the EPM planning system was completed in April, resulting in significantly enhanced position management capabilities.  Progress was made on the Business Intelligence module, with initial management dashboards having been developed and released to core administrative areas (HRMD, Procurement and Travel, and Program Planning and Finance).  An Organization-wide release is planned for the second half of 2015. </w:t>
      </w:r>
    </w:p>
    <w:p w:rsidR="00361A1E" w:rsidRPr="00CD55B6" w:rsidRDefault="00361A1E" w:rsidP="009F0F43">
      <w:pPr>
        <w:jc w:val="both"/>
        <w:rPr>
          <w:bCs/>
          <w:szCs w:val="22"/>
        </w:rPr>
      </w:pPr>
    </w:p>
    <w:p w:rsidR="00361A1E" w:rsidRPr="00CD55B6" w:rsidRDefault="00361A1E" w:rsidP="009F0F43">
      <w:pPr>
        <w:pStyle w:val="ListParagraph"/>
        <w:numPr>
          <w:ilvl w:val="0"/>
          <w:numId w:val="42"/>
        </w:numPr>
        <w:tabs>
          <w:tab w:val="left" w:pos="709"/>
        </w:tabs>
        <w:ind w:left="0" w:firstLine="0"/>
        <w:jc w:val="both"/>
        <w:rPr>
          <w:bCs/>
          <w:iCs/>
          <w:szCs w:val="22"/>
        </w:rPr>
      </w:pPr>
      <w:r w:rsidRPr="00CD55B6">
        <w:rPr>
          <w:bCs/>
          <w:iCs/>
          <w:szCs w:val="22"/>
        </w:rPr>
        <w:t>In accordance with the Risk Management Roadmap, a number of documents were developed that established a formalized and coherent risk management and internal controls framework for the Organization, including WIPO’s Accountability Framework, WIPO’s Risk Appetite Statement, establishment of the Risk Management Group (RMG), the Risk Management Policy, and the Risk Management and Internal Controls Manual.  WIPO’s Accountability Framework and WIPO’s Risk Appetite Statement were reviewed and endorsed by Member States at the end of 2014.</w:t>
      </w:r>
    </w:p>
    <w:p w:rsidR="00361A1E" w:rsidRPr="00CD55B6" w:rsidRDefault="00361A1E" w:rsidP="009F0F43">
      <w:pPr>
        <w:jc w:val="both"/>
        <w:rPr>
          <w:bCs/>
          <w:iCs/>
          <w:szCs w:val="22"/>
        </w:rPr>
      </w:pPr>
    </w:p>
    <w:p w:rsidR="00361A1E" w:rsidRPr="00CD55B6" w:rsidRDefault="00361A1E" w:rsidP="009F0F43">
      <w:pPr>
        <w:pStyle w:val="ListParagraph"/>
        <w:numPr>
          <w:ilvl w:val="0"/>
          <w:numId w:val="42"/>
        </w:numPr>
        <w:tabs>
          <w:tab w:val="left" w:pos="709"/>
        </w:tabs>
        <w:ind w:left="0" w:firstLine="0"/>
        <w:jc w:val="both"/>
        <w:rPr>
          <w:bCs/>
          <w:szCs w:val="22"/>
        </w:rPr>
      </w:pPr>
      <w:r w:rsidRPr="00CD55B6">
        <w:rPr>
          <w:bCs/>
          <w:iCs/>
          <w:szCs w:val="22"/>
        </w:rPr>
        <w:lastRenderedPageBreak/>
        <w:t xml:space="preserve">In order to facilitate real-time access to risk and control information, support proactive risk and control management, as well as to render efficient responses to audit bodies, an Enterprise Risk Management (ERM) tool was implemented in the second half of 2014 and used to support the 2015 </w:t>
      </w:r>
      <w:proofErr w:type="spellStart"/>
      <w:r w:rsidRPr="00CD55B6">
        <w:rPr>
          <w:bCs/>
          <w:iCs/>
          <w:szCs w:val="22"/>
        </w:rPr>
        <w:t>workplanning</w:t>
      </w:r>
      <w:proofErr w:type="spellEnd"/>
      <w:r w:rsidRPr="00CD55B6">
        <w:rPr>
          <w:bCs/>
          <w:iCs/>
          <w:szCs w:val="22"/>
        </w:rPr>
        <w:t xml:space="preserve"> process.  The processes of monitoring and reporting risks were also strengthened, with the (</w:t>
      </w:r>
      <w:proofErr w:type="spellStart"/>
      <w:r w:rsidRPr="00CD55B6">
        <w:rPr>
          <w:bCs/>
          <w:iCs/>
          <w:szCs w:val="22"/>
        </w:rPr>
        <w:t>i</w:t>
      </w:r>
      <w:proofErr w:type="spellEnd"/>
      <w:r w:rsidRPr="00CD55B6">
        <w:rPr>
          <w:bCs/>
          <w:iCs/>
          <w:szCs w:val="22"/>
        </w:rPr>
        <w:t>) introduction of semi-annual risk reviews, which also form the basis for (ii) the semi-annual risk management reports reviewed by the RMG, as well as (iii) the continued strengthening of the integration of risk management within the program performance management processes.</w:t>
      </w:r>
    </w:p>
    <w:p w:rsidR="00361A1E" w:rsidRPr="00CD55B6" w:rsidRDefault="00361A1E" w:rsidP="009F0F43">
      <w:pPr>
        <w:jc w:val="both"/>
        <w:rPr>
          <w:bCs/>
          <w:szCs w:val="22"/>
        </w:rPr>
      </w:pPr>
    </w:p>
    <w:p w:rsidR="00361A1E" w:rsidRPr="00CD55B6" w:rsidRDefault="00361A1E" w:rsidP="009F0F43">
      <w:pPr>
        <w:pStyle w:val="ListParagraph"/>
        <w:numPr>
          <w:ilvl w:val="0"/>
          <w:numId w:val="42"/>
        </w:numPr>
        <w:tabs>
          <w:tab w:val="left" w:pos="709"/>
        </w:tabs>
        <w:ind w:left="0" w:firstLine="0"/>
        <w:jc w:val="both"/>
        <w:rPr>
          <w:bCs/>
          <w:szCs w:val="22"/>
        </w:rPr>
      </w:pPr>
      <w:r w:rsidRPr="00CD55B6">
        <w:rPr>
          <w:bCs/>
          <w:szCs w:val="22"/>
        </w:rPr>
        <w:t xml:space="preserve">The regulatory framework continued to be updated, with a number of OIs reviewed and issued (procurement, official hospitality, travel, home leave, salary advances, cash guidelines for external offices, etc.), and/or still ongoing review (asset management, voluntary contributions and financial disclosure).  The Financial Regulations and Rules (FRR) were reviewed and revised, as agreed by Member States, and a new electronic tool was put in place to support the management of programmatic designations. </w:t>
      </w:r>
    </w:p>
    <w:p w:rsidR="00361A1E" w:rsidRPr="00CD55B6" w:rsidRDefault="00361A1E" w:rsidP="009F0F43">
      <w:pPr>
        <w:jc w:val="both"/>
        <w:rPr>
          <w:bCs/>
          <w:szCs w:val="22"/>
        </w:rPr>
      </w:pPr>
    </w:p>
    <w:p w:rsidR="00361A1E" w:rsidRPr="00CD55B6" w:rsidRDefault="00361A1E" w:rsidP="009F0F43">
      <w:pPr>
        <w:pStyle w:val="ListParagraph"/>
        <w:numPr>
          <w:ilvl w:val="0"/>
          <w:numId w:val="42"/>
        </w:numPr>
        <w:tabs>
          <w:tab w:val="left" w:pos="709"/>
        </w:tabs>
        <w:ind w:left="0" w:firstLine="0"/>
        <w:jc w:val="both"/>
        <w:rPr>
          <w:bCs/>
          <w:szCs w:val="22"/>
        </w:rPr>
      </w:pPr>
      <w:r w:rsidRPr="00CD55B6">
        <w:rPr>
          <w:bCs/>
          <w:szCs w:val="22"/>
        </w:rPr>
        <w:t>In addition, a number of internal controls were reviewed and strengthened over the course of 2014, supported by management initiatives as well as follow up and implementation of the recommendations of oversight bodies.  The process of following up on oversight recommendations, including those of the internal as well as the external auditors and the Joint Inspection Unit (JIU), was also reinforced.</w:t>
      </w:r>
    </w:p>
    <w:p w:rsidR="00361A1E" w:rsidRPr="00CD55B6" w:rsidRDefault="00361A1E" w:rsidP="009F0F43">
      <w:pPr>
        <w:tabs>
          <w:tab w:val="num" w:pos="540"/>
        </w:tabs>
        <w:jc w:val="both"/>
        <w:rPr>
          <w:bCs/>
          <w:szCs w:val="22"/>
        </w:rPr>
      </w:pPr>
    </w:p>
    <w:p w:rsidR="00361A1E" w:rsidRPr="00CD55B6" w:rsidRDefault="00361A1E" w:rsidP="009F0F43">
      <w:pPr>
        <w:pStyle w:val="ListParagraph"/>
        <w:numPr>
          <w:ilvl w:val="0"/>
          <w:numId w:val="42"/>
        </w:numPr>
        <w:tabs>
          <w:tab w:val="left" w:pos="709"/>
        </w:tabs>
        <w:ind w:left="0" w:firstLine="0"/>
        <w:jc w:val="both"/>
        <w:rPr>
          <w:bCs/>
          <w:szCs w:val="22"/>
        </w:rPr>
      </w:pPr>
      <w:r w:rsidRPr="00CD55B6">
        <w:rPr>
          <w:bCs/>
          <w:szCs w:val="22"/>
        </w:rPr>
        <w:t>The comprehensive study of WIPO’s treasury practices and risks, launched in 2013, was completed in spring 2014, resulting in a series of recommendations, including with regard to the practice of hedging as a means to reduce exposure to foreign currency fluctuations in the PCT.  The Secretariat is currently in the process of reviewing the full set of recommendations and defining an implementation strategy.   Additional initiatives implemented in the finance area included:</w:t>
      </w:r>
      <w:r w:rsidR="00CD55B6" w:rsidRPr="00CD55B6">
        <w:rPr>
          <w:bCs/>
          <w:szCs w:val="22"/>
        </w:rPr>
        <w:t xml:space="preserve"> </w:t>
      </w:r>
      <w:r w:rsidRPr="00CD55B6">
        <w:rPr>
          <w:bCs/>
          <w:szCs w:val="22"/>
        </w:rPr>
        <w:t xml:space="preserve"> (</w:t>
      </w:r>
      <w:proofErr w:type="spellStart"/>
      <w:r w:rsidRPr="00CD55B6">
        <w:rPr>
          <w:bCs/>
          <w:szCs w:val="22"/>
        </w:rPr>
        <w:t>i</w:t>
      </w:r>
      <w:proofErr w:type="spellEnd"/>
      <w:r w:rsidRPr="00CD55B6">
        <w:rPr>
          <w:bCs/>
          <w:szCs w:val="22"/>
        </w:rPr>
        <w:t>) further refinement of processes related to the management and forecasting of WIPO’s income for the preparation of the Program and Budget 2016/17;</w:t>
      </w:r>
      <w:r w:rsidR="00CD55B6" w:rsidRPr="00CD55B6">
        <w:rPr>
          <w:bCs/>
          <w:szCs w:val="22"/>
        </w:rPr>
        <w:t xml:space="preserve"> </w:t>
      </w:r>
      <w:r w:rsidRPr="00CD55B6">
        <w:rPr>
          <w:bCs/>
          <w:szCs w:val="22"/>
        </w:rPr>
        <w:t xml:space="preserve"> (ii) the establishment of cash management and financial guidelines for the prudent and effective management of financial resources in the External Offices; </w:t>
      </w:r>
      <w:r w:rsidR="00CD55B6" w:rsidRPr="00CD55B6">
        <w:rPr>
          <w:bCs/>
          <w:szCs w:val="22"/>
        </w:rPr>
        <w:t xml:space="preserve"> </w:t>
      </w:r>
      <w:r w:rsidRPr="00CD55B6">
        <w:rPr>
          <w:bCs/>
          <w:szCs w:val="22"/>
        </w:rPr>
        <w:t>(iii) the continued transformation of foreign currency Funds-in-Trust (FITs) into Swiss franc based accounts with a view to further reducing exposure to foreign currency fluctuations; and (iv) the adoption by certain Programs of the AIMS module for invoicing for subscriptions, extracts and other services provided by the IB for fee payment, resulting in more streamlined and efficient invoice management.</w:t>
      </w:r>
    </w:p>
    <w:p w:rsidR="00361A1E" w:rsidRPr="00CD55B6" w:rsidRDefault="00361A1E" w:rsidP="009F0F43">
      <w:pPr>
        <w:tabs>
          <w:tab w:val="num" w:pos="540"/>
        </w:tabs>
        <w:jc w:val="both"/>
        <w:rPr>
          <w:bCs/>
          <w:szCs w:val="22"/>
        </w:rPr>
      </w:pPr>
    </w:p>
    <w:p w:rsidR="00361A1E" w:rsidRPr="00CD55B6" w:rsidRDefault="00361A1E" w:rsidP="009F0F43">
      <w:pPr>
        <w:pStyle w:val="ListParagraph"/>
        <w:numPr>
          <w:ilvl w:val="0"/>
          <w:numId w:val="42"/>
        </w:numPr>
        <w:tabs>
          <w:tab w:val="left" w:pos="709"/>
        </w:tabs>
        <w:ind w:left="0" w:firstLine="0"/>
        <w:jc w:val="both"/>
        <w:rPr>
          <w:bCs/>
          <w:szCs w:val="22"/>
        </w:rPr>
      </w:pPr>
      <w:r w:rsidRPr="00CD55B6">
        <w:rPr>
          <w:bCs/>
          <w:szCs w:val="22"/>
        </w:rPr>
        <w:t xml:space="preserve">Furthermore, in order to address certain issues, which arise with WIPO’s main partner financial institutions regarding payments to/from sensitive countries, WIPO worked closely with the financial institutions towards an agreement to facilitate the processing of such payments while ensuring full regulatory compliance.   </w:t>
      </w:r>
    </w:p>
    <w:p w:rsidR="00361A1E" w:rsidRPr="00CD55B6" w:rsidRDefault="00361A1E" w:rsidP="009F0F43">
      <w:pPr>
        <w:tabs>
          <w:tab w:val="num" w:pos="540"/>
        </w:tabs>
        <w:jc w:val="both"/>
        <w:rPr>
          <w:bCs/>
          <w:szCs w:val="22"/>
        </w:rPr>
      </w:pPr>
    </w:p>
    <w:p w:rsidR="00361A1E" w:rsidRPr="00CD55B6" w:rsidRDefault="00361A1E" w:rsidP="009F0F43">
      <w:pPr>
        <w:pStyle w:val="ListParagraph"/>
        <w:numPr>
          <w:ilvl w:val="0"/>
          <w:numId w:val="42"/>
        </w:numPr>
        <w:tabs>
          <w:tab w:val="left" w:pos="709"/>
        </w:tabs>
        <w:ind w:left="0" w:firstLine="0"/>
        <w:jc w:val="both"/>
        <w:rPr>
          <w:bCs/>
          <w:szCs w:val="22"/>
        </w:rPr>
      </w:pPr>
      <w:r w:rsidRPr="00CD55B6">
        <w:rPr>
          <w:bCs/>
          <w:szCs w:val="22"/>
        </w:rPr>
        <w:t>With regard to the PCT, two new Internation</w:t>
      </w:r>
      <w:r w:rsidR="00CD55B6" w:rsidRPr="00CD55B6">
        <w:rPr>
          <w:bCs/>
          <w:szCs w:val="22"/>
        </w:rPr>
        <w:t>al Searching Authorities (ISAs)</w:t>
      </w:r>
      <w:r w:rsidRPr="00CD55B6">
        <w:rPr>
          <w:bCs/>
          <w:szCs w:val="22"/>
        </w:rPr>
        <w:t xml:space="preserve"> - the National Institute of Industrial Property of Chile and the Swedish Pa</w:t>
      </w:r>
      <w:r w:rsidR="00CD55B6" w:rsidRPr="00CD55B6">
        <w:rPr>
          <w:bCs/>
          <w:szCs w:val="22"/>
        </w:rPr>
        <w:t xml:space="preserve">tent and Registration Office - </w:t>
      </w:r>
      <w:r w:rsidRPr="00CD55B6">
        <w:rPr>
          <w:bCs/>
          <w:szCs w:val="22"/>
        </w:rPr>
        <w:t xml:space="preserve">were appointed in 2014, requiring new payments and system changes.  </w:t>
      </w:r>
    </w:p>
    <w:p w:rsidR="00361A1E" w:rsidRPr="00CD55B6" w:rsidRDefault="00361A1E" w:rsidP="009F0F43">
      <w:pPr>
        <w:tabs>
          <w:tab w:val="num" w:pos="540"/>
        </w:tabs>
        <w:jc w:val="both"/>
        <w:rPr>
          <w:bCs/>
          <w:szCs w:val="22"/>
        </w:rPr>
      </w:pPr>
    </w:p>
    <w:p w:rsidR="00361A1E" w:rsidRPr="00CD55B6" w:rsidRDefault="00361A1E" w:rsidP="009F0F43">
      <w:pPr>
        <w:pStyle w:val="ListParagraph"/>
        <w:numPr>
          <w:ilvl w:val="0"/>
          <w:numId w:val="42"/>
        </w:numPr>
        <w:tabs>
          <w:tab w:val="left" w:pos="709"/>
        </w:tabs>
        <w:ind w:left="0" w:firstLine="0"/>
        <w:jc w:val="both"/>
        <w:rPr>
          <w:bCs/>
          <w:szCs w:val="22"/>
        </w:rPr>
      </w:pPr>
      <w:r w:rsidRPr="00CD55B6">
        <w:rPr>
          <w:bCs/>
          <w:szCs w:val="22"/>
        </w:rPr>
        <w:t xml:space="preserve">Following the initial filings from Benelux trademark holders in October 2013 during a pilot phase, testing and modifications to the Madrid E-Filing service continued in 2014 in order to accommodate an anticipated growth in the user base.  In addition, for the first time in 2014, the IB began to manage the collection and distribution of handling fees, ensuring timely distribution, i.e. within the month following receipt of the fees, to the appropriate parties.     </w:t>
      </w:r>
    </w:p>
    <w:p w:rsidR="00361A1E" w:rsidRPr="00CD55B6" w:rsidRDefault="00361A1E" w:rsidP="009F0F43">
      <w:pPr>
        <w:tabs>
          <w:tab w:val="num" w:pos="540"/>
        </w:tabs>
        <w:jc w:val="both"/>
        <w:rPr>
          <w:bCs/>
          <w:szCs w:val="22"/>
        </w:rPr>
      </w:pPr>
    </w:p>
    <w:p w:rsidR="00361A1E" w:rsidRPr="00CD55B6" w:rsidRDefault="00361A1E" w:rsidP="009F0F43">
      <w:pPr>
        <w:pStyle w:val="ListParagraph"/>
        <w:numPr>
          <w:ilvl w:val="0"/>
          <w:numId w:val="42"/>
        </w:numPr>
        <w:tabs>
          <w:tab w:val="left" w:pos="709"/>
        </w:tabs>
        <w:ind w:left="0" w:firstLine="0"/>
        <w:jc w:val="both"/>
        <w:rPr>
          <w:bCs/>
          <w:szCs w:val="22"/>
        </w:rPr>
      </w:pPr>
      <w:r w:rsidRPr="00CD55B6">
        <w:rPr>
          <w:bCs/>
          <w:szCs w:val="22"/>
        </w:rPr>
        <w:t xml:space="preserve">Under the </w:t>
      </w:r>
      <w:proofErr w:type="spellStart"/>
      <w:r w:rsidRPr="00CD55B6">
        <w:rPr>
          <w:bCs/>
          <w:szCs w:val="22"/>
        </w:rPr>
        <w:t>MoU</w:t>
      </w:r>
      <w:proofErr w:type="spellEnd"/>
      <w:r w:rsidRPr="00CD55B6">
        <w:rPr>
          <w:bCs/>
          <w:szCs w:val="22"/>
        </w:rPr>
        <w:t xml:space="preserve"> with the USPTO, EPO and the IB, the pilot project to establish whether the management of foreign exchange risks associated with the payment of search fees can be improved was successfully launched and was, more recently, extended for another year.  An evaluation of the project is planned at the end of the biennium.</w:t>
      </w:r>
    </w:p>
    <w:p w:rsidR="00361A1E" w:rsidRDefault="00361A1E" w:rsidP="00271CFB">
      <w:pPr>
        <w:tabs>
          <w:tab w:val="num" w:pos="540"/>
        </w:tabs>
        <w:rPr>
          <w:bCs/>
          <w:sz w:val="22"/>
          <w:szCs w:val="22"/>
        </w:rPr>
      </w:pPr>
    </w:p>
    <w:p w:rsidR="00361A1E" w:rsidRPr="00C63F93" w:rsidRDefault="00361A1E" w:rsidP="00271CFB">
      <w:pPr>
        <w:tabs>
          <w:tab w:val="num" w:pos="540"/>
        </w:tabs>
        <w:rPr>
          <w:bCs/>
          <w:sz w:val="22"/>
          <w:szCs w:val="22"/>
        </w:rPr>
      </w:pPr>
    </w:p>
    <w:p w:rsidR="00CD55B6" w:rsidRDefault="00CD55B6">
      <w:pPr>
        <w:rPr>
          <w:rFonts w:cs="Arial"/>
          <w:sz w:val="22"/>
          <w:szCs w:val="22"/>
        </w:rPr>
      </w:pPr>
      <w:r>
        <w:rPr>
          <w:rFonts w:cs="Arial"/>
          <w:sz w:val="22"/>
          <w:szCs w:val="22"/>
        </w:rPr>
        <w:br w:type="page"/>
      </w:r>
    </w:p>
    <w:p w:rsidR="00361A1E" w:rsidRDefault="00361A1E" w:rsidP="00271CFB">
      <w:pPr>
        <w:rPr>
          <w:rFonts w:cs="Arial"/>
          <w:sz w:val="22"/>
          <w:szCs w:val="22"/>
        </w:rPr>
      </w:pPr>
      <w:r>
        <w:rPr>
          <w:rFonts w:cs="Arial"/>
          <w:sz w:val="22"/>
          <w:szCs w:val="22"/>
        </w:rPr>
        <w:lastRenderedPageBreak/>
        <w:t>PERFORMANCE DATA</w:t>
      </w:r>
    </w:p>
    <w:p w:rsidR="00361A1E" w:rsidRDefault="00361A1E" w:rsidP="00A8525E">
      <w:pPr>
        <w:rPr>
          <w:rFonts w:cs="Arial"/>
          <w:color w:val="000000"/>
          <w:sz w:val="22"/>
          <w:szCs w:val="22"/>
        </w:rPr>
      </w:pPr>
    </w:p>
    <w:tbl>
      <w:tblPr>
        <w:tblW w:w="4888"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18"/>
        <w:gridCol w:w="1858"/>
        <w:gridCol w:w="1550"/>
        <w:gridCol w:w="2839"/>
        <w:gridCol w:w="992"/>
      </w:tblGrid>
      <w:tr w:rsidR="00361A1E" w:rsidRPr="001C67B1" w:rsidTr="00271CFB">
        <w:trPr>
          <w:cantSplit/>
        </w:trPr>
        <w:tc>
          <w:tcPr>
            <w:tcW w:w="5000" w:type="pct"/>
            <w:gridSpan w:val="5"/>
            <w:tcBorders>
              <w:top w:val="single" w:sz="4" w:space="0" w:color="auto"/>
              <w:bottom w:val="single" w:sz="4" w:space="0" w:color="auto"/>
            </w:tcBorders>
            <w:shd w:val="clear" w:color="auto" w:fill="CCFFFF"/>
            <w:vAlign w:val="center"/>
            <w:hideMark/>
          </w:tcPr>
          <w:p w:rsidR="00361A1E" w:rsidRPr="001C67B1" w:rsidRDefault="00361A1E" w:rsidP="00271CFB">
            <w:pPr>
              <w:keepNext/>
              <w:keepLines/>
              <w:tabs>
                <w:tab w:val="left" w:pos="1452"/>
              </w:tabs>
              <w:spacing w:before="120" w:after="120"/>
              <w:ind w:left="1452" w:hanging="1452"/>
              <w:rPr>
                <w:rFonts w:cs="Arial"/>
                <w:b/>
                <w:bCs/>
                <w:sz w:val="16"/>
                <w:szCs w:val="16"/>
              </w:rPr>
            </w:pPr>
            <w:r w:rsidRPr="001C67B1">
              <w:rPr>
                <w:rFonts w:cs="Arial"/>
                <w:b/>
                <w:bCs/>
                <w:sz w:val="16"/>
                <w:szCs w:val="16"/>
              </w:rPr>
              <w:t>Expected Result:</w:t>
            </w:r>
            <w:r w:rsidRPr="001C67B1">
              <w:rPr>
                <w:rFonts w:cs="Arial"/>
                <w:b/>
                <w:bCs/>
                <w:sz w:val="16"/>
                <w:szCs w:val="16"/>
              </w:rPr>
              <w:tab/>
            </w:r>
            <w:r w:rsidRPr="003B27D5">
              <w:rPr>
                <w:rFonts w:cs="Arial"/>
                <w:sz w:val="16"/>
                <w:szCs w:val="16"/>
                <w:lang w:bidi="th-TH"/>
              </w:rPr>
              <w:t>IX.1 Effective, efficient, quality and customer-oriented support services both to internal clients and to external stakeholders</w:t>
            </w:r>
          </w:p>
        </w:tc>
      </w:tr>
      <w:tr w:rsidR="00361A1E" w:rsidRPr="001C67B1" w:rsidTr="00476B04">
        <w:trPr>
          <w:cantSplit/>
        </w:trPr>
        <w:tc>
          <w:tcPr>
            <w:tcW w:w="1132" w:type="pct"/>
            <w:tcBorders>
              <w:top w:val="single" w:sz="4" w:space="0" w:color="auto"/>
            </w:tcBorders>
            <w:vAlign w:val="center"/>
            <w:hideMark/>
          </w:tcPr>
          <w:p w:rsidR="00361A1E" w:rsidRPr="001C67B1" w:rsidRDefault="00361A1E" w:rsidP="00271CFB">
            <w:pPr>
              <w:rPr>
                <w:rFonts w:cs="Arial"/>
                <w:sz w:val="16"/>
                <w:szCs w:val="16"/>
              </w:rPr>
            </w:pPr>
            <w:r w:rsidRPr="001C67B1">
              <w:rPr>
                <w:rFonts w:cs="Arial"/>
                <w:b/>
                <w:bCs/>
                <w:sz w:val="16"/>
                <w:szCs w:val="16"/>
              </w:rPr>
              <w:t>Performance Indicators</w:t>
            </w:r>
          </w:p>
        </w:tc>
        <w:tc>
          <w:tcPr>
            <w:tcW w:w="993" w:type="pct"/>
            <w:tcBorders>
              <w:top w:val="single" w:sz="4" w:space="0" w:color="auto"/>
            </w:tcBorders>
            <w:vAlign w:val="center"/>
            <w:hideMark/>
          </w:tcPr>
          <w:p w:rsidR="00361A1E" w:rsidRPr="001C67B1" w:rsidRDefault="00361A1E" w:rsidP="00271CFB">
            <w:pPr>
              <w:rPr>
                <w:rFonts w:cs="Arial"/>
                <w:b/>
                <w:bCs/>
                <w:sz w:val="16"/>
                <w:szCs w:val="16"/>
              </w:rPr>
            </w:pPr>
            <w:r w:rsidRPr="001C67B1">
              <w:rPr>
                <w:rFonts w:cs="Arial"/>
                <w:b/>
                <w:bCs/>
                <w:sz w:val="16"/>
                <w:szCs w:val="16"/>
              </w:rPr>
              <w:t>Baselines</w:t>
            </w:r>
          </w:p>
        </w:tc>
        <w:tc>
          <w:tcPr>
            <w:tcW w:w="828" w:type="pct"/>
            <w:tcBorders>
              <w:top w:val="single" w:sz="4" w:space="0" w:color="auto"/>
            </w:tcBorders>
            <w:tcMar>
              <w:top w:w="110" w:type="dxa"/>
              <w:left w:w="108" w:type="dxa"/>
              <w:bottom w:w="0" w:type="dxa"/>
              <w:right w:w="108" w:type="dxa"/>
            </w:tcMar>
            <w:vAlign w:val="center"/>
            <w:hideMark/>
          </w:tcPr>
          <w:p w:rsidR="00361A1E" w:rsidRPr="001C67B1" w:rsidRDefault="00361A1E" w:rsidP="00271CFB">
            <w:pPr>
              <w:rPr>
                <w:rFonts w:cs="Arial"/>
                <w:b/>
                <w:sz w:val="16"/>
                <w:szCs w:val="16"/>
              </w:rPr>
            </w:pPr>
            <w:r w:rsidRPr="001C67B1">
              <w:rPr>
                <w:rFonts w:cs="Arial"/>
                <w:b/>
                <w:sz w:val="16"/>
                <w:szCs w:val="16"/>
              </w:rPr>
              <w:t>Target</w:t>
            </w:r>
            <w:r>
              <w:rPr>
                <w:rFonts w:cs="Arial"/>
                <w:b/>
                <w:sz w:val="16"/>
                <w:szCs w:val="16"/>
              </w:rPr>
              <w:t>s</w:t>
            </w:r>
          </w:p>
        </w:tc>
        <w:tc>
          <w:tcPr>
            <w:tcW w:w="1517" w:type="pct"/>
            <w:tcBorders>
              <w:top w:val="single" w:sz="4" w:space="0" w:color="auto"/>
            </w:tcBorders>
            <w:shd w:val="clear" w:color="auto" w:fill="FFFFFF"/>
            <w:tcMar>
              <w:top w:w="110" w:type="dxa"/>
              <w:left w:w="108" w:type="dxa"/>
              <w:bottom w:w="0" w:type="dxa"/>
              <w:right w:w="108" w:type="dxa"/>
            </w:tcMar>
            <w:vAlign w:val="center"/>
            <w:hideMark/>
          </w:tcPr>
          <w:p w:rsidR="00361A1E" w:rsidRPr="001C67B1" w:rsidRDefault="00361A1E" w:rsidP="00271CFB">
            <w:pPr>
              <w:rPr>
                <w:rFonts w:cs="Arial"/>
                <w:sz w:val="16"/>
                <w:szCs w:val="16"/>
              </w:rPr>
            </w:pPr>
            <w:r w:rsidRPr="001C67B1">
              <w:rPr>
                <w:rFonts w:cs="Arial"/>
                <w:b/>
                <w:bCs/>
                <w:sz w:val="16"/>
                <w:szCs w:val="16"/>
              </w:rPr>
              <w:t>Performance Data</w:t>
            </w:r>
          </w:p>
        </w:tc>
        <w:tc>
          <w:tcPr>
            <w:tcW w:w="530" w:type="pct"/>
            <w:tcBorders>
              <w:top w:val="single" w:sz="4" w:space="0" w:color="auto"/>
            </w:tcBorders>
            <w:tcMar>
              <w:top w:w="110" w:type="dxa"/>
              <w:left w:w="108" w:type="dxa"/>
              <w:bottom w:w="0" w:type="dxa"/>
              <w:right w:w="108" w:type="dxa"/>
            </w:tcMar>
            <w:vAlign w:val="center"/>
            <w:hideMark/>
          </w:tcPr>
          <w:p w:rsidR="00361A1E" w:rsidRPr="001C67B1" w:rsidRDefault="00361A1E" w:rsidP="00271CFB">
            <w:pPr>
              <w:keepNext/>
              <w:keepLines/>
              <w:jc w:val="center"/>
              <w:rPr>
                <w:rFonts w:cs="Arial"/>
                <w:b/>
                <w:bCs/>
                <w:sz w:val="16"/>
                <w:szCs w:val="16"/>
              </w:rPr>
            </w:pPr>
            <w:r w:rsidRPr="001C67B1">
              <w:rPr>
                <w:rFonts w:cs="Arial"/>
                <w:b/>
                <w:bCs/>
                <w:sz w:val="16"/>
                <w:szCs w:val="16"/>
              </w:rPr>
              <w:t>TLS</w:t>
            </w:r>
          </w:p>
        </w:tc>
      </w:tr>
      <w:tr w:rsidR="00361A1E" w:rsidRPr="001C67B1" w:rsidTr="00476B04">
        <w:trPr>
          <w:cantSplit/>
        </w:trPr>
        <w:tc>
          <w:tcPr>
            <w:tcW w:w="1132" w:type="pct"/>
            <w:hideMark/>
          </w:tcPr>
          <w:p w:rsidR="00361A1E" w:rsidRPr="001C67B1" w:rsidRDefault="00361A1E" w:rsidP="00271CFB">
            <w:pPr>
              <w:rPr>
                <w:rFonts w:cs="Arial"/>
                <w:sz w:val="16"/>
                <w:szCs w:val="16"/>
                <w:lang w:bidi="th-TH"/>
              </w:rPr>
            </w:pPr>
            <w:r w:rsidRPr="009B40F6">
              <w:rPr>
                <w:rFonts w:cs="Arial"/>
                <w:sz w:val="16"/>
                <w:szCs w:val="16"/>
                <w:lang w:bidi="th-TH"/>
              </w:rPr>
              <w:t>Provision of financial and management reports and analysis required by senior management, Program Managers and Member States in accordance with agreed deadlines</w:t>
            </w:r>
          </w:p>
        </w:tc>
        <w:tc>
          <w:tcPr>
            <w:tcW w:w="993" w:type="pct"/>
            <w:hideMark/>
          </w:tcPr>
          <w:p w:rsidR="00361A1E" w:rsidRPr="00845557" w:rsidRDefault="00361A1E" w:rsidP="00271CFB">
            <w:pPr>
              <w:rPr>
                <w:rFonts w:cs="Arial"/>
                <w:sz w:val="16"/>
                <w:szCs w:val="16"/>
              </w:rPr>
            </w:pPr>
            <w:r w:rsidRPr="00845557">
              <w:rPr>
                <w:rFonts w:cs="Arial"/>
                <w:sz w:val="16"/>
                <w:szCs w:val="16"/>
              </w:rPr>
              <w:t xml:space="preserve">Monthly closure to be completed 10 working days after month end (except January where monthly close is determined by progress of annual close)  </w:t>
            </w:r>
            <w:r w:rsidRPr="00472AA6">
              <w:t xml:space="preserve"> </w:t>
            </w:r>
          </w:p>
          <w:p w:rsidR="00361A1E" w:rsidRPr="001C67B1" w:rsidRDefault="00361A1E" w:rsidP="00271CFB">
            <w:pPr>
              <w:rPr>
                <w:rFonts w:cs="Arial"/>
                <w:i/>
                <w:sz w:val="8"/>
                <w:szCs w:val="8"/>
              </w:rPr>
            </w:pPr>
          </w:p>
          <w:p w:rsidR="00361A1E" w:rsidRPr="001C67B1" w:rsidRDefault="00361A1E" w:rsidP="00271CFB">
            <w:pPr>
              <w:rPr>
                <w:rFonts w:cs="Arial"/>
                <w:sz w:val="16"/>
                <w:szCs w:val="16"/>
                <w:lang w:bidi="th-TH"/>
              </w:rPr>
            </w:pPr>
            <w:r w:rsidRPr="00E6255D">
              <w:rPr>
                <w:rFonts w:cs="Arial"/>
                <w:sz w:val="16"/>
                <w:szCs w:val="16"/>
                <w:lang w:bidi="th-TH"/>
              </w:rPr>
              <w:t xml:space="preserve">Static online reports available overnight;  quarterly Observatory reports within </w:t>
            </w:r>
            <w:r w:rsidR="00033790">
              <w:rPr>
                <w:rFonts w:cs="Arial"/>
                <w:sz w:val="16"/>
                <w:szCs w:val="16"/>
                <w:lang w:bidi="th-TH"/>
              </w:rPr>
              <w:t>2</w:t>
            </w:r>
            <w:r>
              <w:rPr>
                <w:rFonts w:cs="Arial"/>
                <w:sz w:val="16"/>
                <w:szCs w:val="16"/>
                <w:lang w:bidi="th-TH"/>
              </w:rPr>
              <w:t xml:space="preserve"> week</w:t>
            </w:r>
            <w:r w:rsidR="00033790">
              <w:rPr>
                <w:rFonts w:cs="Arial"/>
                <w:sz w:val="16"/>
                <w:szCs w:val="16"/>
                <w:lang w:bidi="th-TH"/>
              </w:rPr>
              <w:t>s</w:t>
            </w:r>
            <w:r w:rsidRPr="00E6255D">
              <w:rPr>
                <w:rFonts w:cs="Arial"/>
                <w:sz w:val="16"/>
                <w:szCs w:val="16"/>
                <w:lang w:bidi="th-TH"/>
              </w:rPr>
              <w:t xml:space="preserve"> of closure;  monthly standard reports within </w:t>
            </w:r>
            <w:r>
              <w:rPr>
                <w:rFonts w:cs="Arial"/>
                <w:sz w:val="16"/>
                <w:szCs w:val="16"/>
                <w:lang w:bidi="th-TH"/>
              </w:rPr>
              <w:t>1 week</w:t>
            </w:r>
            <w:r w:rsidRPr="00E6255D">
              <w:rPr>
                <w:rFonts w:cs="Arial"/>
                <w:sz w:val="16"/>
                <w:szCs w:val="16"/>
                <w:lang w:bidi="th-TH"/>
              </w:rPr>
              <w:t xml:space="preserve"> of closure</w:t>
            </w:r>
          </w:p>
        </w:tc>
        <w:tc>
          <w:tcPr>
            <w:tcW w:w="828" w:type="pct"/>
            <w:tcMar>
              <w:top w:w="110" w:type="dxa"/>
              <w:left w:w="108" w:type="dxa"/>
              <w:bottom w:w="0" w:type="dxa"/>
              <w:right w:w="108" w:type="dxa"/>
            </w:tcMar>
            <w:hideMark/>
          </w:tcPr>
          <w:p w:rsidR="00033790" w:rsidRPr="00845557" w:rsidRDefault="00033790" w:rsidP="00271CFB">
            <w:pPr>
              <w:rPr>
                <w:rFonts w:cs="Arial"/>
                <w:sz w:val="16"/>
                <w:szCs w:val="16"/>
              </w:rPr>
            </w:pPr>
            <w:r w:rsidRPr="00845557">
              <w:rPr>
                <w:rFonts w:cs="Arial"/>
                <w:sz w:val="16"/>
                <w:szCs w:val="16"/>
              </w:rPr>
              <w:t>Same as baselines</w:t>
            </w:r>
          </w:p>
          <w:p w:rsidR="00033790" w:rsidRPr="00845557" w:rsidRDefault="00033790" w:rsidP="00271CFB">
            <w:pPr>
              <w:rPr>
                <w:rFonts w:cs="Arial"/>
                <w:sz w:val="16"/>
                <w:szCs w:val="16"/>
              </w:rPr>
            </w:pPr>
          </w:p>
          <w:p w:rsidR="00361A1E" w:rsidRPr="001C67B1" w:rsidRDefault="00361A1E" w:rsidP="00271CFB">
            <w:pPr>
              <w:rPr>
                <w:rFonts w:cs="Arial"/>
                <w:sz w:val="16"/>
                <w:szCs w:val="16"/>
                <w:lang w:bidi="th-TH"/>
              </w:rPr>
            </w:pPr>
            <w:r w:rsidRPr="00845557">
              <w:rPr>
                <w:rFonts w:cs="Arial"/>
                <w:sz w:val="16"/>
                <w:szCs w:val="16"/>
              </w:rPr>
              <w:t>Parameterized interactive online reports available as result of ERP/BI work in the course of 14/15; quarterly Observatory reports within 2 weeks of closure; monthly standard reports within 1 week of closure</w:t>
            </w:r>
            <w:r w:rsidRPr="00845557">
              <w:rPr>
                <w:rFonts w:cs="Arial"/>
                <w:i/>
                <w:sz w:val="16"/>
                <w:szCs w:val="16"/>
              </w:rPr>
              <w:t xml:space="preserve">  </w:t>
            </w:r>
          </w:p>
        </w:tc>
        <w:tc>
          <w:tcPr>
            <w:tcW w:w="1517" w:type="pct"/>
            <w:shd w:val="clear" w:color="auto" w:fill="FFFFFF"/>
            <w:tcMar>
              <w:top w:w="110" w:type="dxa"/>
              <w:left w:w="108" w:type="dxa"/>
              <w:bottom w:w="0" w:type="dxa"/>
              <w:right w:w="108" w:type="dxa"/>
            </w:tcMar>
            <w:hideMark/>
          </w:tcPr>
          <w:p w:rsidR="00361A1E" w:rsidRDefault="00361A1E" w:rsidP="00271CFB">
            <w:pPr>
              <w:rPr>
                <w:rFonts w:cs="Arial"/>
                <w:sz w:val="16"/>
                <w:szCs w:val="16"/>
                <w:lang w:bidi="th-TH"/>
              </w:rPr>
            </w:pPr>
            <w:r>
              <w:rPr>
                <w:rFonts w:cs="Arial"/>
                <w:sz w:val="16"/>
                <w:szCs w:val="16"/>
                <w:lang w:bidi="th-TH"/>
              </w:rPr>
              <w:t>Closure dates for both January and February were impacted by the annual closure.  One month closed on the 10</w:t>
            </w:r>
            <w:r w:rsidRPr="005D55FF">
              <w:rPr>
                <w:rFonts w:cs="Arial"/>
                <w:sz w:val="16"/>
                <w:szCs w:val="16"/>
                <w:vertAlign w:val="superscript"/>
                <w:lang w:bidi="th-TH"/>
              </w:rPr>
              <w:t xml:space="preserve">th </w:t>
            </w:r>
            <w:r>
              <w:rPr>
                <w:rFonts w:cs="Arial"/>
                <w:sz w:val="16"/>
                <w:szCs w:val="16"/>
                <w:lang w:bidi="th-TH"/>
              </w:rPr>
              <w:t>working day and all other months closed on either the 8</w:t>
            </w:r>
            <w:r w:rsidRPr="005D55FF">
              <w:rPr>
                <w:rFonts w:cs="Arial"/>
                <w:sz w:val="16"/>
                <w:szCs w:val="16"/>
                <w:vertAlign w:val="superscript"/>
                <w:lang w:bidi="th-TH"/>
              </w:rPr>
              <w:t xml:space="preserve">th </w:t>
            </w:r>
            <w:r>
              <w:rPr>
                <w:rFonts w:cs="Arial"/>
                <w:sz w:val="16"/>
                <w:szCs w:val="16"/>
                <w:lang w:bidi="th-TH"/>
              </w:rPr>
              <w:t>or 9</w:t>
            </w:r>
            <w:r w:rsidRPr="005D55FF">
              <w:rPr>
                <w:rFonts w:cs="Arial"/>
                <w:sz w:val="16"/>
                <w:szCs w:val="16"/>
                <w:vertAlign w:val="superscript"/>
                <w:lang w:bidi="th-TH"/>
              </w:rPr>
              <w:t xml:space="preserve">th </w:t>
            </w:r>
            <w:r>
              <w:rPr>
                <w:rFonts w:cs="Arial"/>
                <w:sz w:val="16"/>
                <w:szCs w:val="16"/>
                <w:lang w:bidi="th-TH"/>
              </w:rPr>
              <w:t>working day.</w:t>
            </w:r>
          </w:p>
          <w:p w:rsidR="00361A1E" w:rsidRDefault="00361A1E" w:rsidP="00271CFB">
            <w:pPr>
              <w:rPr>
                <w:rFonts w:cs="Arial"/>
                <w:sz w:val="16"/>
                <w:szCs w:val="16"/>
                <w:lang w:bidi="th-TH"/>
              </w:rPr>
            </w:pPr>
          </w:p>
          <w:p w:rsidR="00361A1E" w:rsidRDefault="00361A1E" w:rsidP="00271CFB">
            <w:pPr>
              <w:rPr>
                <w:bCs/>
                <w:sz w:val="16"/>
                <w:szCs w:val="16"/>
              </w:rPr>
            </w:pPr>
            <w:r>
              <w:rPr>
                <w:rFonts w:cs="Arial"/>
                <w:sz w:val="16"/>
                <w:szCs w:val="16"/>
                <w:lang w:bidi="th-TH"/>
              </w:rPr>
              <w:t>I</w:t>
            </w:r>
            <w:r w:rsidRPr="00432B1E">
              <w:rPr>
                <w:bCs/>
                <w:sz w:val="16"/>
                <w:szCs w:val="16"/>
              </w:rPr>
              <w:t xml:space="preserve">nitial management dashboards </w:t>
            </w:r>
            <w:r>
              <w:rPr>
                <w:bCs/>
                <w:sz w:val="16"/>
                <w:szCs w:val="16"/>
              </w:rPr>
              <w:t>were</w:t>
            </w:r>
            <w:r w:rsidRPr="00432B1E">
              <w:rPr>
                <w:bCs/>
                <w:sz w:val="16"/>
                <w:szCs w:val="16"/>
              </w:rPr>
              <w:t xml:space="preserve"> developed and released to core administrative areas (HRMD, Procurement and Travel, and Program Planning and Finance).  An Organization-wide release is planned for the second half of 2015.</w:t>
            </w:r>
          </w:p>
          <w:p w:rsidR="00361A1E" w:rsidRDefault="00361A1E" w:rsidP="00271CFB">
            <w:pPr>
              <w:rPr>
                <w:bCs/>
                <w:sz w:val="16"/>
                <w:szCs w:val="16"/>
              </w:rPr>
            </w:pPr>
          </w:p>
          <w:p w:rsidR="00361A1E" w:rsidRDefault="00361A1E" w:rsidP="00271CFB">
            <w:pPr>
              <w:rPr>
                <w:bCs/>
                <w:sz w:val="16"/>
                <w:szCs w:val="16"/>
              </w:rPr>
            </w:pPr>
            <w:r>
              <w:rPr>
                <w:bCs/>
                <w:sz w:val="16"/>
                <w:szCs w:val="16"/>
              </w:rPr>
              <w:t>Quarterly and monthly standard reports within 10 working days of closure</w:t>
            </w:r>
          </w:p>
          <w:p w:rsidR="00361A1E" w:rsidRDefault="00361A1E" w:rsidP="00271CFB">
            <w:pPr>
              <w:rPr>
                <w:bCs/>
                <w:sz w:val="16"/>
                <w:szCs w:val="16"/>
              </w:rPr>
            </w:pPr>
          </w:p>
          <w:p w:rsidR="00361A1E" w:rsidRPr="003B3A4B" w:rsidRDefault="00361A1E" w:rsidP="00271CFB">
            <w:pPr>
              <w:rPr>
                <w:rFonts w:cs="Arial"/>
                <w:sz w:val="16"/>
                <w:szCs w:val="16"/>
                <w:lang w:bidi="th-TH"/>
              </w:rPr>
            </w:pPr>
            <w:r>
              <w:rPr>
                <w:bCs/>
                <w:sz w:val="16"/>
                <w:szCs w:val="16"/>
              </w:rPr>
              <w:t xml:space="preserve">Observatory Reports within 1 month of closure </w:t>
            </w:r>
          </w:p>
        </w:tc>
        <w:tc>
          <w:tcPr>
            <w:tcW w:w="530" w:type="pct"/>
            <w:tcMar>
              <w:top w:w="110" w:type="dxa"/>
              <w:left w:w="108" w:type="dxa"/>
              <w:bottom w:w="0" w:type="dxa"/>
              <w:right w:w="108" w:type="dxa"/>
            </w:tcMar>
            <w:hideMark/>
          </w:tcPr>
          <w:p w:rsidR="00361A1E" w:rsidRPr="00A43A93" w:rsidRDefault="00361A1E" w:rsidP="00271CFB">
            <w:pPr>
              <w:keepNext/>
              <w:keepLines/>
              <w:jc w:val="center"/>
              <w:rPr>
                <w:rFonts w:cs="Arial"/>
                <w:b/>
                <w:bCs/>
                <w:color w:val="00B050"/>
                <w:sz w:val="16"/>
                <w:szCs w:val="16"/>
              </w:rPr>
            </w:pPr>
            <w:r w:rsidRPr="00A43A93">
              <w:rPr>
                <w:rFonts w:cs="Arial"/>
                <w:b/>
                <w:bCs/>
                <w:color w:val="00B050"/>
                <w:sz w:val="16"/>
                <w:szCs w:val="16"/>
              </w:rPr>
              <w:t>On track</w:t>
            </w:r>
          </w:p>
          <w:p w:rsidR="00361A1E" w:rsidRPr="00A43A93" w:rsidRDefault="00361A1E" w:rsidP="00271CFB">
            <w:pPr>
              <w:keepNext/>
              <w:keepLines/>
              <w:jc w:val="center"/>
              <w:rPr>
                <w:rFonts w:cs="Arial"/>
                <w:b/>
                <w:bCs/>
                <w:color w:val="808080"/>
                <w:sz w:val="16"/>
                <w:szCs w:val="16"/>
              </w:rPr>
            </w:pPr>
          </w:p>
          <w:p w:rsidR="00361A1E" w:rsidRPr="00A43A93" w:rsidRDefault="00361A1E" w:rsidP="00271CFB">
            <w:pPr>
              <w:keepNext/>
              <w:keepLines/>
              <w:jc w:val="center"/>
              <w:rPr>
                <w:rFonts w:cs="Arial"/>
                <w:b/>
                <w:bCs/>
                <w:color w:val="808080"/>
                <w:sz w:val="16"/>
                <w:szCs w:val="16"/>
              </w:rPr>
            </w:pPr>
          </w:p>
          <w:p w:rsidR="00361A1E" w:rsidRPr="00A43A93" w:rsidRDefault="00361A1E" w:rsidP="00271CFB">
            <w:pPr>
              <w:keepNext/>
              <w:keepLines/>
              <w:jc w:val="center"/>
              <w:rPr>
                <w:rFonts w:cs="Arial"/>
                <w:b/>
                <w:bCs/>
                <w:color w:val="808080"/>
                <w:sz w:val="16"/>
                <w:szCs w:val="16"/>
              </w:rPr>
            </w:pPr>
          </w:p>
          <w:p w:rsidR="00361A1E" w:rsidRPr="00A43A93" w:rsidRDefault="00361A1E" w:rsidP="00271CFB">
            <w:pPr>
              <w:keepNext/>
              <w:keepLines/>
              <w:jc w:val="center"/>
              <w:rPr>
                <w:rFonts w:cs="Arial"/>
                <w:b/>
                <w:bCs/>
                <w:color w:val="808080"/>
                <w:sz w:val="16"/>
                <w:szCs w:val="16"/>
              </w:rPr>
            </w:pPr>
          </w:p>
          <w:p w:rsidR="00361A1E" w:rsidRPr="00A43A93" w:rsidRDefault="00361A1E" w:rsidP="00271CFB">
            <w:pPr>
              <w:keepNext/>
              <w:keepLines/>
              <w:jc w:val="center"/>
              <w:rPr>
                <w:rFonts w:cs="Arial"/>
                <w:b/>
                <w:bCs/>
                <w:color w:val="808080"/>
                <w:sz w:val="16"/>
                <w:szCs w:val="16"/>
              </w:rPr>
            </w:pPr>
          </w:p>
          <w:p w:rsidR="00361A1E" w:rsidRPr="00A43A93" w:rsidRDefault="00361A1E" w:rsidP="00271CFB">
            <w:pPr>
              <w:keepNext/>
              <w:keepLines/>
              <w:jc w:val="center"/>
              <w:rPr>
                <w:rFonts w:cs="Arial"/>
                <w:b/>
                <w:bCs/>
                <w:color w:val="808080"/>
                <w:sz w:val="16"/>
                <w:szCs w:val="16"/>
              </w:rPr>
            </w:pPr>
          </w:p>
          <w:p w:rsidR="00361A1E" w:rsidRPr="00A43A93" w:rsidRDefault="00361A1E" w:rsidP="00271CFB">
            <w:pPr>
              <w:keepNext/>
              <w:keepLines/>
              <w:jc w:val="center"/>
              <w:rPr>
                <w:rFonts w:cs="Arial"/>
                <w:b/>
                <w:bCs/>
                <w:color w:val="00B050"/>
                <w:sz w:val="16"/>
                <w:szCs w:val="16"/>
              </w:rPr>
            </w:pPr>
            <w:r w:rsidRPr="00A43A93">
              <w:rPr>
                <w:rFonts w:cs="Arial"/>
                <w:b/>
                <w:bCs/>
                <w:color w:val="00B050"/>
                <w:sz w:val="16"/>
                <w:szCs w:val="16"/>
              </w:rPr>
              <w:t>On track</w:t>
            </w:r>
          </w:p>
          <w:p w:rsidR="00361A1E" w:rsidRPr="00A43A93" w:rsidRDefault="00361A1E" w:rsidP="00271CFB">
            <w:pPr>
              <w:keepNext/>
              <w:keepLines/>
              <w:jc w:val="center"/>
              <w:rPr>
                <w:rFonts w:cs="Arial"/>
                <w:b/>
                <w:bCs/>
                <w:color w:val="808080"/>
                <w:sz w:val="16"/>
                <w:szCs w:val="16"/>
              </w:rPr>
            </w:pPr>
          </w:p>
          <w:p w:rsidR="00361A1E" w:rsidRPr="00A43A93" w:rsidRDefault="00361A1E" w:rsidP="00271CFB">
            <w:pPr>
              <w:keepNext/>
              <w:keepLines/>
              <w:jc w:val="center"/>
              <w:rPr>
                <w:rFonts w:cs="Arial"/>
                <w:b/>
                <w:bCs/>
                <w:color w:val="808080"/>
                <w:sz w:val="16"/>
                <w:szCs w:val="16"/>
              </w:rPr>
            </w:pPr>
          </w:p>
          <w:p w:rsidR="00361A1E" w:rsidRPr="00A43A93" w:rsidRDefault="00361A1E" w:rsidP="00271CFB">
            <w:pPr>
              <w:keepNext/>
              <w:keepLines/>
              <w:jc w:val="center"/>
              <w:rPr>
                <w:rFonts w:cs="Arial"/>
                <w:b/>
                <w:bCs/>
                <w:color w:val="FF0000"/>
                <w:sz w:val="16"/>
                <w:szCs w:val="16"/>
              </w:rPr>
            </w:pPr>
          </w:p>
          <w:p w:rsidR="00361A1E" w:rsidRPr="00A43A93" w:rsidRDefault="00361A1E" w:rsidP="00271CFB">
            <w:pPr>
              <w:keepNext/>
              <w:keepLines/>
              <w:jc w:val="center"/>
              <w:rPr>
                <w:rFonts w:cs="Arial"/>
                <w:b/>
                <w:bCs/>
                <w:color w:val="FF0000"/>
                <w:sz w:val="16"/>
                <w:szCs w:val="16"/>
              </w:rPr>
            </w:pPr>
          </w:p>
          <w:p w:rsidR="00361A1E" w:rsidRPr="00A43A93" w:rsidRDefault="00361A1E" w:rsidP="00271CFB">
            <w:pPr>
              <w:keepNext/>
              <w:keepLines/>
              <w:jc w:val="center"/>
              <w:rPr>
                <w:rFonts w:cs="Arial"/>
                <w:b/>
                <w:bCs/>
                <w:color w:val="FF0000"/>
                <w:sz w:val="16"/>
                <w:szCs w:val="16"/>
              </w:rPr>
            </w:pPr>
          </w:p>
          <w:p w:rsidR="00361A1E" w:rsidRPr="00A43A93" w:rsidRDefault="00361A1E" w:rsidP="00271CFB">
            <w:pPr>
              <w:keepNext/>
              <w:keepLines/>
              <w:jc w:val="center"/>
              <w:rPr>
                <w:rFonts w:cs="Arial"/>
                <w:b/>
                <w:bCs/>
                <w:color w:val="FF0000"/>
                <w:sz w:val="16"/>
                <w:szCs w:val="16"/>
              </w:rPr>
            </w:pPr>
          </w:p>
          <w:p w:rsidR="00487690" w:rsidRDefault="00487690" w:rsidP="00271CFB">
            <w:pPr>
              <w:keepNext/>
              <w:keepLines/>
              <w:jc w:val="center"/>
              <w:rPr>
                <w:rFonts w:cs="Arial"/>
                <w:b/>
                <w:bCs/>
                <w:color w:val="00B050"/>
                <w:sz w:val="16"/>
                <w:szCs w:val="16"/>
              </w:rPr>
            </w:pPr>
          </w:p>
          <w:p w:rsidR="00361A1E" w:rsidRPr="00A43A93" w:rsidRDefault="00361A1E" w:rsidP="00271CFB">
            <w:pPr>
              <w:keepNext/>
              <w:keepLines/>
              <w:jc w:val="center"/>
              <w:rPr>
                <w:rFonts w:cs="Arial"/>
                <w:b/>
                <w:bCs/>
                <w:color w:val="00B050"/>
                <w:sz w:val="16"/>
                <w:szCs w:val="16"/>
              </w:rPr>
            </w:pPr>
            <w:r w:rsidRPr="00A43A93">
              <w:rPr>
                <w:rFonts w:cs="Arial"/>
                <w:b/>
                <w:bCs/>
                <w:color w:val="00B050"/>
                <w:sz w:val="16"/>
                <w:szCs w:val="16"/>
              </w:rPr>
              <w:t>On track</w:t>
            </w:r>
          </w:p>
          <w:p w:rsidR="00361A1E" w:rsidRPr="00A43A93" w:rsidRDefault="00361A1E" w:rsidP="00271CFB">
            <w:pPr>
              <w:keepNext/>
              <w:keepLines/>
              <w:jc w:val="center"/>
              <w:rPr>
                <w:rFonts w:cs="Arial"/>
                <w:b/>
                <w:bCs/>
                <w:color w:val="FF0000"/>
                <w:sz w:val="16"/>
                <w:szCs w:val="16"/>
              </w:rPr>
            </w:pPr>
          </w:p>
          <w:p w:rsidR="00361A1E" w:rsidRPr="00A43A93" w:rsidRDefault="00361A1E" w:rsidP="00271CFB">
            <w:pPr>
              <w:keepNext/>
              <w:keepLines/>
              <w:jc w:val="center"/>
              <w:rPr>
                <w:rFonts w:cs="Arial"/>
                <w:b/>
                <w:bCs/>
                <w:color w:val="FF0000"/>
                <w:sz w:val="16"/>
                <w:szCs w:val="16"/>
              </w:rPr>
            </w:pPr>
          </w:p>
          <w:p w:rsidR="00487690" w:rsidRDefault="00487690" w:rsidP="00271CFB">
            <w:pPr>
              <w:keepNext/>
              <w:keepLines/>
              <w:jc w:val="center"/>
              <w:rPr>
                <w:rFonts w:cs="Arial"/>
                <w:b/>
                <w:bCs/>
                <w:color w:val="FF0000"/>
                <w:sz w:val="16"/>
                <w:szCs w:val="16"/>
              </w:rPr>
            </w:pPr>
          </w:p>
          <w:p w:rsidR="00361A1E" w:rsidRPr="001C67B1" w:rsidRDefault="00361A1E" w:rsidP="00271CFB">
            <w:pPr>
              <w:keepNext/>
              <w:keepLines/>
              <w:jc w:val="center"/>
              <w:rPr>
                <w:rFonts w:cs="Arial"/>
                <w:bCs/>
                <w:color w:val="808080"/>
                <w:sz w:val="16"/>
                <w:szCs w:val="16"/>
              </w:rPr>
            </w:pPr>
            <w:r w:rsidRPr="00A43A93">
              <w:rPr>
                <w:rFonts w:cs="Arial"/>
                <w:b/>
                <w:bCs/>
                <w:color w:val="FF0000"/>
                <w:sz w:val="16"/>
                <w:szCs w:val="16"/>
              </w:rPr>
              <w:t xml:space="preserve">Not </w:t>
            </w:r>
            <w:r>
              <w:rPr>
                <w:rFonts w:cs="Arial"/>
                <w:b/>
                <w:bCs/>
                <w:color w:val="FF0000"/>
                <w:sz w:val="16"/>
                <w:szCs w:val="16"/>
              </w:rPr>
              <w:br/>
            </w:r>
            <w:r w:rsidRPr="00A43A93">
              <w:rPr>
                <w:rFonts w:cs="Arial"/>
                <w:b/>
                <w:bCs/>
                <w:color w:val="FF0000"/>
                <w:sz w:val="16"/>
                <w:szCs w:val="16"/>
              </w:rPr>
              <w:t>on track</w:t>
            </w:r>
          </w:p>
        </w:tc>
      </w:tr>
      <w:tr w:rsidR="00361A1E" w:rsidRPr="001C67B1" w:rsidTr="00476B04">
        <w:trPr>
          <w:cantSplit/>
          <w:trHeight w:val="2653"/>
        </w:trPr>
        <w:tc>
          <w:tcPr>
            <w:tcW w:w="1132" w:type="pct"/>
            <w:hideMark/>
          </w:tcPr>
          <w:p w:rsidR="00361A1E" w:rsidRDefault="00361A1E" w:rsidP="00271CFB">
            <w:pPr>
              <w:rPr>
                <w:rFonts w:cs="Arial"/>
                <w:sz w:val="16"/>
                <w:szCs w:val="16"/>
                <w:lang w:bidi="th-TH"/>
              </w:rPr>
            </w:pPr>
            <w:r w:rsidRPr="009B40F6">
              <w:rPr>
                <w:rFonts w:cs="Arial"/>
                <w:sz w:val="16"/>
                <w:szCs w:val="16"/>
                <w:lang w:bidi="th-TH"/>
              </w:rPr>
              <w:t>Resolution of internal/external queries received in accordance with established timeframes</w:t>
            </w:r>
          </w:p>
          <w:p w:rsidR="00361A1E" w:rsidRPr="001C67B1" w:rsidRDefault="00361A1E" w:rsidP="00271CFB">
            <w:pPr>
              <w:rPr>
                <w:rFonts w:cs="Arial"/>
                <w:sz w:val="16"/>
                <w:szCs w:val="16"/>
                <w:lang w:bidi="th-TH"/>
              </w:rPr>
            </w:pPr>
          </w:p>
        </w:tc>
        <w:tc>
          <w:tcPr>
            <w:tcW w:w="993" w:type="pct"/>
            <w:hideMark/>
          </w:tcPr>
          <w:p w:rsidR="00361A1E" w:rsidRDefault="00361A1E" w:rsidP="00271CFB">
            <w:pPr>
              <w:rPr>
                <w:rFonts w:cs="Arial"/>
                <w:sz w:val="16"/>
                <w:szCs w:val="16"/>
                <w:lang w:bidi="th-TH"/>
              </w:rPr>
            </w:pPr>
            <w:r w:rsidRPr="00E6255D">
              <w:rPr>
                <w:rFonts w:cs="Arial"/>
                <w:sz w:val="16"/>
                <w:szCs w:val="16"/>
                <w:lang w:bidi="th-TH"/>
              </w:rPr>
              <w:t xml:space="preserve">75% of tickets to be closed (resolved) within 3 days of receipt </w:t>
            </w:r>
          </w:p>
          <w:p w:rsidR="00361A1E" w:rsidRDefault="00361A1E" w:rsidP="00271CFB">
            <w:pPr>
              <w:rPr>
                <w:rFonts w:cs="Arial"/>
                <w:sz w:val="16"/>
                <w:szCs w:val="16"/>
                <w:lang w:bidi="th-TH"/>
              </w:rPr>
            </w:pPr>
          </w:p>
          <w:p w:rsidR="00361A1E" w:rsidRDefault="00361A1E" w:rsidP="00271CFB">
            <w:pPr>
              <w:rPr>
                <w:rFonts w:cs="Arial"/>
                <w:sz w:val="16"/>
                <w:szCs w:val="16"/>
                <w:lang w:bidi="th-TH"/>
              </w:rPr>
            </w:pPr>
            <w:r w:rsidRPr="00E6255D">
              <w:rPr>
                <w:rFonts w:cs="Arial"/>
                <w:sz w:val="16"/>
                <w:szCs w:val="16"/>
                <w:lang w:bidi="th-TH"/>
              </w:rPr>
              <w:t>Provide advice and/or respond to budgetary files and queries within 72 hours</w:t>
            </w:r>
          </w:p>
          <w:p w:rsidR="00361A1E" w:rsidRPr="001C67B1" w:rsidRDefault="00361A1E" w:rsidP="00271CFB">
            <w:pPr>
              <w:rPr>
                <w:rFonts w:cs="Arial"/>
                <w:sz w:val="16"/>
                <w:szCs w:val="16"/>
                <w:lang w:bidi="th-TH"/>
              </w:rPr>
            </w:pPr>
          </w:p>
        </w:tc>
        <w:tc>
          <w:tcPr>
            <w:tcW w:w="828" w:type="pct"/>
            <w:tcMar>
              <w:top w:w="110" w:type="dxa"/>
              <w:left w:w="108" w:type="dxa"/>
              <w:bottom w:w="0" w:type="dxa"/>
              <w:right w:w="108" w:type="dxa"/>
            </w:tcMar>
            <w:hideMark/>
          </w:tcPr>
          <w:p w:rsidR="00361A1E" w:rsidRDefault="00361A1E" w:rsidP="00271CFB">
            <w:pPr>
              <w:rPr>
                <w:rFonts w:cs="Arial"/>
                <w:sz w:val="16"/>
                <w:szCs w:val="16"/>
              </w:rPr>
            </w:pPr>
            <w:r w:rsidRPr="00E6255D">
              <w:rPr>
                <w:rFonts w:cs="Arial"/>
                <w:sz w:val="16"/>
                <w:szCs w:val="16"/>
              </w:rPr>
              <w:t>Same as baselines</w:t>
            </w:r>
          </w:p>
          <w:p w:rsidR="00361A1E" w:rsidRDefault="00361A1E" w:rsidP="00271CFB">
            <w:pPr>
              <w:rPr>
                <w:rFonts w:cs="Arial"/>
                <w:sz w:val="16"/>
                <w:szCs w:val="16"/>
              </w:rPr>
            </w:pPr>
          </w:p>
          <w:p w:rsidR="00361A1E" w:rsidRPr="001C67B1" w:rsidRDefault="00361A1E" w:rsidP="00271CFB">
            <w:pPr>
              <w:rPr>
                <w:rFonts w:cs="Arial"/>
                <w:sz w:val="16"/>
                <w:szCs w:val="16"/>
                <w:lang w:bidi="th-TH"/>
              </w:rPr>
            </w:pPr>
            <w:r w:rsidRPr="00E6255D">
              <w:rPr>
                <w:rFonts w:cs="Arial"/>
                <w:sz w:val="16"/>
                <w:szCs w:val="16"/>
              </w:rPr>
              <w:t>Provide advice and/or respond to budgetary files and queries within 48 hours</w:t>
            </w:r>
          </w:p>
        </w:tc>
        <w:tc>
          <w:tcPr>
            <w:tcW w:w="1517" w:type="pct"/>
            <w:shd w:val="clear" w:color="auto" w:fill="FFFFFF"/>
            <w:tcMar>
              <w:top w:w="110" w:type="dxa"/>
              <w:left w:w="108" w:type="dxa"/>
              <w:bottom w:w="0" w:type="dxa"/>
              <w:right w:w="108" w:type="dxa"/>
            </w:tcMar>
            <w:hideMark/>
          </w:tcPr>
          <w:p w:rsidR="00361A1E" w:rsidRDefault="00361A1E" w:rsidP="00271CFB">
            <w:pPr>
              <w:rPr>
                <w:rFonts w:cs="Arial"/>
                <w:sz w:val="16"/>
                <w:szCs w:val="16"/>
              </w:rPr>
            </w:pPr>
            <w:r>
              <w:rPr>
                <w:rFonts w:cs="Arial"/>
                <w:sz w:val="16"/>
                <w:szCs w:val="16"/>
              </w:rPr>
              <w:t xml:space="preserve">In 2014, </w:t>
            </w:r>
            <w:r w:rsidRPr="00E6255D">
              <w:rPr>
                <w:rFonts w:cs="Arial"/>
                <w:sz w:val="16"/>
                <w:szCs w:val="16"/>
              </w:rPr>
              <w:t xml:space="preserve">86% </w:t>
            </w:r>
            <w:r>
              <w:rPr>
                <w:rFonts w:cs="Arial"/>
                <w:sz w:val="16"/>
                <w:szCs w:val="16"/>
              </w:rPr>
              <w:t xml:space="preserve">of tickets registered in the </w:t>
            </w:r>
            <w:r w:rsidRPr="00E6255D">
              <w:rPr>
                <w:rFonts w:cs="Arial"/>
                <w:sz w:val="16"/>
                <w:szCs w:val="16"/>
              </w:rPr>
              <w:t>WIPO Inquiry Notification System</w:t>
            </w:r>
            <w:r w:rsidRPr="00E6255D" w:rsidDel="00773A03">
              <w:rPr>
                <w:rFonts w:cs="Arial"/>
                <w:sz w:val="16"/>
                <w:szCs w:val="16"/>
              </w:rPr>
              <w:t xml:space="preserve"> </w:t>
            </w:r>
            <w:r>
              <w:rPr>
                <w:rFonts w:cs="Arial"/>
                <w:sz w:val="16"/>
                <w:szCs w:val="16"/>
              </w:rPr>
              <w:t>(</w:t>
            </w:r>
            <w:r w:rsidRPr="00E6255D">
              <w:rPr>
                <w:rFonts w:cs="Arial"/>
                <w:sz w:val="16"/>
                <w:szCs w:val="16"/>
              </w:rPr>
              <w:t xml:space="preserve">WINS) </w:t>
            </w:r>
            <w:r>
              <w:rPr>
                <w:rFonts w:cs="Arial"/>
                <w:sz w:val="16"/>
                <w:szCs w:val="16"/>
              </w:rPr>
              <w:t>were</w:t>
            </w:r>
            <w:r w:rsidRPr="00E6255D">
              <w:rPr>
                <w:rFonts w:cs="Arial"/>
                <w:sz w:val="16"/>
                <w:szCs w:val="16"/>
              </w:rPr>
              <w:t xml:space="preserve"> closed</w:t>
            </w:r>
            <w:r>
              <w:rPr>
                <w:rFonts w:cs="Arial"/>
                <w:sz w:val="16"/>
                <w:szCs w:val="16"/>
              </w:rPr>
              <w:t xml:space="preserve"> (re</w:t>
            </w:r>
            <w:r w:rsidRPr="00E6255D">
              <w:rPr>
                <w:rFonts w:cs="Arial"/>
                <w:sz w:val="16"/>
                <w:szCs w:val="16"/>
              </w:rPr>
              <w:t>solved</w:t>
            </w:r>
            <w:r>
              <w:rPr>
                <w:rFonts w:cs="Arial"/>
                <w:sz w:val="16"/>
                <w:szCs w:val="16"/>
              </w:rPr>
              <w:t>)</w:t>
            </w:r>
            <w:r w:rsidRPr="00E6255D">
              <w:rPr>
                <w:rFonts w:cs="Arial"/>
                <w:sz w:val="16"/>
                <w:szCs w:val="16"/>
              </w:rPr>
              <w:t xml:space="preserve"> </w:t>
            </w:r>
            <w:r>
              <w:rPr>
                <w:rFonts w:cs="Arial"/>
                <w:sz w:val="16"/>
                <w:szCs w:val="16"/>
              </w:rPr>
              <w:t xml:space="preserve">on </w:t>
            </w:r>
            <w:r w:rsidRPr="00E6255D">
              <w:rPr>
                <w:rFonts w:cs="Arial"/>
                <w:sz w:val="16"/>
                <w:szCs w:val="16"/>
              </w:rPr>
              <w:t xml:space="preserve">the same day of </w:t>
            </w:r>
            <w:r>
              <w:rPr>
                <w:rFonts w:cs="Arial"/>
                <w:sz w:val="16"/>
                <w:szCs w:val="16"/>
              </w:rPr>
              <w:t>their</w:t>
            </w:r>
            <w:r w:rsidRPr="00E6255D">
              <w:rPr>
                <w:rFonts w:cs="Arial"/>
                <w:sz w:val="16"/>
                <w:szCs w:val="16"/>
              </w:rPr>
              <w:t xml:space="preserve"> opening, 6% within 2 days and 9% within 3 days</w:t>
            </w:r>
            <w:r>
              <w:rPr>
                <w:rFonts w:cs="Arial"/>
                <w:sz w:val="16"/>
                <w:szCs w:val="16"/>
              </w:rPr>
              <w:t>.</w:t>
            </w:r>
          </w:p>
          <w:p w:rsidR="00361A1E" w:rsidRDefault="00361A1E" w:rsidP="00271CFB">
            <w:pPr>
              <w:rPr>
                <w:rFonts w:cs="Arial"/>
                <w:sz w:val="16"/>
                <w:szCs w:val="16"/>
              </w:rPr>
            </w:pPr>
          </w:p>
          <w:p w:rsidR="00361A1E" w:rsidRDefault="00361A1E" w:rsidP="00271CFB">
            <w:pPr>
              <w:rPr>
                <w:rFonts w:cs="Arial"/>
                <w:sz w:val="16"/>
                <w:szCs w:val="16"/>
              </w:rPr>
            </w:pPr>
            <w:r>
              <w:rPr>
                <w:rFonts w:cs="Arial"/>
                <w:sz w:val="16"/>
                <w:szCs w:val="16"/>
              </w:rPr>
              <w:t xml:space="preserve">In 2014, the Program Performance and Budget Division (PPBD) received approximately 1,200 files requiring programmatic and/or budgetary validation,   The average response time was 2.3 days. </w:t>
            </w:r>
          </w:p>
          <w:p w:rsidR="00361A1E" w:rsidRPr="001C67B1" w:rsidRDefault="00361A1E" w:rsidP="00271CFB">
            <w:pPr>
              <w:rPr>
                <w:rFonts w:cs="Arial"/>
                <w:sz w:val="16"/>
                <w:szCs w:val="16"/>
              </w:rPr>
            </w:pPr>
          </w:p>
        </w:tc>
        <w:tc>
          <w:tcPr>
            <w:tcW w:w="530" w:type="pct"/>
            <w:tcMar>
              <w:top w:w="110" w:type="dxa"/>
              <w:left w:w="108" w:type="dxa"/>
              <w:bottom w:w="0" w:type="dxa"/>
              <w:right w:w="108" w:type="dxa"/>
            </w:tcMar>
            <w:hideMark/>
          </w:tcPr>
          <w:p w:rsidR="00361A1E" w:rsidRPr="00A43A93" w:rsidRDefault="00361A1E" w:rsidP="00271CFB">
            <w:pPr>
              <w:keepNext/>
              <w:keepLines/>
              <w:jc w:val="center"/>
              <w:rPr>
                <w:rFonts w:cs="Arial"/>
                <w:b/>
                <w:bCs/>
                <w:color w:val="00B050"/>
                <w:sz w:val="16"/>
                <w:szCs w:val="16"/>
              </w:rPr>
            </w:pPr>
            <w:r w:rsidRPr="00A43A93">
              <w:rPr>
                <w:rFonts w:cs="Arial"/>
                <w:b/>
                <w:bCs/>
                <w:color w:val="00B050"/>
                <w:sz w:val="16"/>
                <w:szCs w:val="16"/>
              </w:rPr>
              <w:t>On track</w:t>
            </w:r>
          </w:p>
          <w:p w:rsidR="00361A1E" w:rsidRPr="00A43A93" w:rsidRDefault="00361A1E" w:rsidP="00271CFB">
            <w:pPr>
              <w:keepNext/>
              <w:keepLines/>
              <w:jc w:val="center"/>
              <w:rPr>
                <w:rFonts w:cs="Arial"/>
                <w:b/>
                <w:bCs/>
                <w:color w:val="008000"/>
                <w:sz w:val="16"/>
                <w:szCs w:val="16"/>
              </w:rPr>
            </w:pPr>
          </w:p>
        </w:tc>
      </w:tr>
      <w:tr w:rsidR="00361A1E" w:rsidRPr="001C67B1" w:rsidTr="00271CFB">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tcPr>
          <w:p w:rsidR="00361A1E" w:rsidRPr="003B27D5" w:rsidRDefault="00361A1E" w:rsidP="00271CFB">
            <w:pPr>
              <w:keepNext/>
              <w:keepLines/>
              <w:tabs>
                <w:tab w:val="left" w:pos="1452"/>
              </w:tabs>
              <w:spacing w:before="120" w:after="120"/>
              <w:ind w:left="1452" w:hanging="1452"/>
              <w:rPr>
                <w:rFonts w:cs="Arial"/>
                <w:bCs/>
                <w:sz w:val="16"/>
                <w:szCs w:val="16"/>
              </w:rPr>
            </w:pPr>
            <w:r w:rsidRPr="001C67B1">
              <w:rPr>
                <w:rFonts w:cs="Arial"/>
                <w:b/>
                <w:bCs/>
                <w:sz w:val="16"/>
                <w:szCs w:val="16"/>
              </w:rPr>
              <w:t>Expected Result:</w:t>
            </w:r>
            <w:r w:rsidRPr="001C67B1">
              <w:rPr>
                <w:rFonts w:cs="Arial"/>
                <w:b/>
                <w:bCs/>
                <w:sz w:val="16"/>
                <w:szCs w:val="16"/>
              </w:rPr>
              <w:tab/>
            </w:r>
            <w:r w:rsidRPr="003B27D5">
              <w:rPr>
                <w:rFonts w:cs="Arial"/>
                <w:bCs/>
                <w:sz w:val="16"/>
                <w:szCs w:val="16"/>
              </w:rPr>
              <w:t>IX.2 An agile and smooth functioning Secretariat with a well</w:t>
            </w:r>
            <w:r>
              <w:rPr>
                <w:rFonts w:cs="Arial"/>
                <w:bCs/>
                <w:sz w:val="16"/>
                <w:szCs w:val="16"/>
              </w:rPr>
              <w:t>-</w:t>
            </w:r>
            <w:r w:rsidRPr="003B27D5">
              <w:rPr>
                <w:rFonts w:cs="Arial"/>
                <w:bCs/>
                <w:sz w:val="16"/>
                <w:szCs w:val="16"/>
              </w:rPr>
              <w:t>managed and appropriately skilled workforce which is effectively delivering results</w:t>
            </w:r>
          </w:p>
        </w:tc>
      </w:tr>
      <w:tr w:rsidR="00361A1E" w:rsidRPr="001C67B1" w:rsidTr="00476B04">
        <w:trPr>
          <w:cantSplit/>
        </w:trPr>
        <w:tc>
          <w:tcPr>
            <w:tcW w:w="1132" w:type="pct"/>
            <w:tcBorders>
              <w:top w:val="single" w:sz="4" w:space="0" w:color="auto"/>
              <w:left w:val="single" w:sz="4" w:space="0" w:color="auto"/>
            </w:tcBorders>
          </w:tcPr>
          <w:p w:rsidR="00361A1E" w:rsidRPr="003B27D5" w:rsidRDefault="00361A1E" w:rsidP="00271CFB">
            <w:pPr>
              <w:rPr>
                <w:rFonts w:cs="Arial"/>
                <w:b/>
                <w:bCs/>
                <w:sz w:val="16"/>
                <w:szCs w:val="16"/>
              </w:rPr>
            </w:pPr>
            <w:r w:rsidRPr="003B27D5">
              <w:rPr>
                <w:rFonts w:cs="Arial"/>
                <w:b/>
                <w:bCs/>
                <w:sz w:val="16"/>
                <w:szCs w:val="16"/>
              </w:rPr>
              <w:t>Performance Indicators</w:t>
            </w:r>
          </w:p>
        </w:tc>
        <w:tc>
          <w:tcPr>
            <w:tcW w:w="993" w:type="pct"/>
            <w:tcBorders>
              <w:top w:val="single" w:sz="4" w:space="0" w:color="auto"/>
            </w:tcBorders>
            <w:hideMark/>
          </w:tcPr>
          <w:p w:rsidR="00361A1E" w:rsidRPr="003B27D5" w:rsidRDefault="00361A1E" w:rsidP="00271CFB">
            <w:pPr>
              <w:rPr>
                <w:rFonts w:cs="Arial"/>
                <w:b/>
                <w:bCs/>
                <w:sz w:val="16"/>
                <w:szCs w:val="16"/>
              </w:rPr>
            </w:pPr>
            <w:r w:rsidRPr="003B27D5">
              <w:rPr>
                <w:rFonts w:cs="Arial"/>
                <w:b/>
                <w:bCs/>
                <w:sz w:val="16"/>
                <w:szCs w:val="16"/>
              </w:rPr>
              <w:t>Baselines</w:t>
            </w:r>
          </w:p>
        </w:tc>
        <w:tc>
          <w:tcPr>
            <w:tcW w:w="828" w:type="pct"/>
            <w:tcBorders>
              <w:top w:val="single" w:sz="4" w:space="0" w:color="auto"/>
            </w:tcBorders>
            <w:tcMar>
              <w:top w:w="110" w:type="dxa"/>
              <w:left w:w="108" w:type="dxa"/>
              <w:bottom w:w="0" w:type="dxa"/>
              <w:right w:w="108" w:type="dxa"/>
            </w:tcMar>
            <w:hideMark/>
          </w:tcPr>
          <w:p w:rsidR="00361A1E" w:rsidRPr="003B27D5" w:rsidRDefault="00361A1E" w:rsidP="00271CFB">
            <w:pPr>
              <w:autoSpaceDE w:val="0"/>
              <w:autoSpaceDN w:val="0"/>
              <w:adjustRightInd w:val="0"/>
              <w:rPr>
                <w:rFonts w:cs="Arial"/>
                <w:b/>
                <w:bCs/>
                <w:sz w:val="16"/>
                <w:szCs w:val="16"/>
              </w:rPr>
            </w:pPr>
            <w:r w:rsidRPr="003B27D5">
              <w:rPr>
                <w:rFonts w:cs="Arial"/>
                <w:b/>
                <w:bCs/>
                <w:sz w:val="16"/>
                <w:szCs w:val="16"/>
              </w:rPr>
              <w:t>Targets</w:t>
            </w:r>
          </w:p>
        </w:tc>
        <w:tc>
          <w:tcPr>
            <w:tcW w:w="1517" w:type="pct"/>
            <w:tcBorders>
              <w:top w:val="single" w:sz="4" w:space="0" w:color="auto"/>
            </w:tcBorders>
            <w:shd w:val="clear" w:color="auto" w:fill="FFFFFF"/>
            <w:tcMar>
              <w:top w:w="110" w:type="dxa"/>
              <w:left w:w="108" w:type="dxa"/>
              <w:bottom w:w="0" w:type="dxa"/>
              <w:right w:w="108" w:type="dxa"/>
            </w:tcMar>
            <w:hideMark/>
          </w:tcPr>
          <w:p w:rsidR="00361A1E" w:rsidRPr="003B27D5" w:rsidRDefault="00361A1E" w:rsidP="00271CFB">
            <w:pPr>
              <w:rPr>
                <w:rFonts w:cs="Arial"/>
                <w:b/>
                <w:bCs/>
                <w:sz w:val="16"/>
                <w:szCs w:val="16"/>
              </w:rPr>
            </w:pPr>
            <w:r w:rsidRPr="003B27D5">
              <w:rPr>
                <w:rFonts w:cs="Arial"/>
                <w:b/>
                <w:bCs/>
                <w:sz w:val="16"/>
                <w:szCs w:val="16"/>
              </w:rPr>
              <w:t>Performance Data</w:t>
            </w:r>
          </w:p>
        </w:tc>
        <w:tc>
          <w:tcPr>
            <w:tcW w:w="530" w:type="pct"/>
            <w:tcBorders>
              <w:top w:val="single" w:sz="4" w:space="0" w:color="auto"/>
              <w:right w:val="single" w:sz="4" w:space="0" w:color="auto"/>
            </w:tcBorders>
            <w:tcMar>
              <w:top w:w="110" w:type="dxa"/>
              <w:left w:w="108" w:type="dxa"/>
              <w:bottom w:w="0" w:type="dxa"/>
              <w:right w:w="108" w:type="dxa"/>
            </w:tcMar>
            <w:hideMark/>
          </w:tcPr>
          <w:p w:rsidR="00361A1E" w:rsidRPr="003B27D5" w:rsidRDefault="00361A1E" w:rsidP="00271CFB">
            <w:pPr>
              <w:keepNext/>
              <w:keepLines/>
              <w:jc w:val="center"/>
              <w:rPr>
                <w:rFonts w:cs="Arial"/>
                <w:b/>
                <w:bCs/>
                <w:sz w:val="16"/>
                <w:szCs w:val="16"/>
              </w:rPr>
            </w:pPr>
            <w:r w:rsidRPr="003B27D5">
              <w:rPr>
                <w:rFonts w:cs="Arial"/>
                <w:b/>
                <w:bCs/>
                <w:sz w:val="16"/>
                <w:szCs w:val="16"/>
              </w:rPr>
              <w:t>TLS</w:t>
            </w:r>
          </w:p>
        </w:tc>
      </w:tr>
      <w:tr w:rsidR="00361A1E" w:rsidRPr="001C67B1" w:rsidTr="00476B04">
        <w:trPr>
          <w:cantSplit/>
        </w:trPr>
        <w:tc>
          <w:tcPr>
            <w:tcW w:w="1132" w:type="pct"/>
            <w:tcBorders>
              <w:left w:val="single" w:sz="4" w:space="0" w:color="auto"/>
            </w:tcBorders>
          </w:tcPr>
          <w:p w:rsidR="00361A1E" w:rsidRPr="001C67B1" w:rsidRDefault="00361A1E" w:rsidP="00271CFB">
            <w:pPr>
              <w:rPr>
                <w:rFonts w:cs="Arial"/>
                <w:sz w:val="16"/>
                <w:szCs w:val="16"/>
                <w:lang w:bidi="th-TH"/>
              </w:rPr>
            </w:pPr>
            <w:r w:rsidRPr="009B40F6">
              <w:rPr>
                <w:rFonts w:cs="Arial"/>
                <w:sz w:val="16"/>
                <w:szCs w:val="16"/>
                <w:lang w:bidi="th-TH"/>
              </w:rPr>
              <w:t>Satisfactory financial report from the External Auditors confirms the conformity of financial operations to the provisions of the applicable WIPO conventions and treaties, the WIPO Financial Regulations and Rules and IPSAS</w:t>
            </w:r>
          </w:p>
        </w:tc>
        <w:tc>
          <w:tcPr>
            <w:tcW w:w="993" w:type="pct"/>
          </w:tcPr>
          <w:p w:rsidR="00361A1E" w:rsidRPr="001C67B1" w:rsidRDefault="00361A1E" w:rsidP="00271CFB">
            <w:pPr>
              <w:rPr>
                <w:rFonts w:cs="Arial"/>
                <w:i/>
                <w:color w:val="002060"/>
                <w:sz w:val="16"/>
                <w:szCs w:val="16"/>
              </w:rPr>
            </w:pPr>
            <w:r w:rsidRPr="00E6255D">
              <w:rPr>
                <w:rFonts w:cs="Arial"/>
                <w:sz w:val="16"/>
                <w:szCs w:val="16"/>
                <w:lang w:bidi="th-TH"/>
              </w:rPr>
              <w:t>Clean audit report received for 2012 and 2013 and answers provided to all audit recommendations</w:t>
            </w:r>
          </w:p>
        </w:tc>
        <w:tc>
          <w:tcPr>
            <w:tcW w:w="828" w:type="pct"/>
            <w:tcMar>
              <w:top w:w="110" w:type="dxa"/>
              <w:left w:w="108" w:type="dxa"/>
              <w:bottom w:w="0" w:type="dxa"/>
              <w:right w:w="108" w:type="dxa"/>
            </w:tcMar>
          </w:tcPr>
          <w:p w:rsidR="00361A1E" w:rsidRPr="001C67B1" w:rsidRDefault="00361A1E" w:rsidP="00271CFB">
            <w:pPr>
              <w:autoSpaceDE w:val="0"/>
              <w:autoSpaceDN w:val="0"/>
              <w:adjustRightInd w:val="0"/>
              <w:rPr>
                <w:rFonts w:cs="Arial"/>
                <w:sz w:val="16"/>
                <w:szCs w:val="16"/>
              </w:rPr>
            </w:pPr>
            <w:r w:rsidRPr="00E6255D">
              <w:rPr>
                <w:rFonts w:cs="Arial"/>
                <w:sz w:val="16"/>
                <w:szCs w:val="16"/>
              </w:rPr>
              <w:t>Clean audit report for both years of the biennium</w:t>
            </w:r>
          </w:p>
        </w:tc>
        <w:tc>
          <w:tcPr>
            <w:tcW w:w="1517" w:type="pct"/>
            <w:shd w:val="clear" w:color="auto" w:fill="FFFFFF"/>
            <w:tcMar>
              <w:top w:w="110" w:type="dxa"/>
              <w:left w:w="108" w:type="dxa"/>
              <w:bottom w:w="0" w:type="dxa"/>
              <w:right w:w="108" w:type="dxa"/>
            </w:tcMar>
          </w:tcPr>
          <w:p w:rsidR="00361A1E" w:rsidRPr="001C67B1" w:rsidRDefault="00361A1E" w:rsidP="00271CFB">
            <w:pPr>
              <w:rPr>
                <w:rFonts w:cs="Arial"/>
                <w:sz w:val="16"/>
                <w:szCs w:val="16"/>
              </w:rPr>
            </w:pPr>
            <w:r w:rsidRPr="00E6255D">
              <w:rPr>
                <w:rFonts w:cs="Arial"/>
                <w:sz w:val="16"/>
                <w:szCs w:val="16"/>
              </w:rPr>
              <w:t>Management letter on Interim Financial Audit (Nov 2014) received on Feb 19, 2015</w:t>
            </w:r>
            <w:r>
              <w:rPr>
                <w:rFonts w:cs="Arial"/>
                <w:sz w:val="16"/>
                <w:szCs w:val="16"/>
              </w:rPr>
              <w:t>,</w:t>
            </w:r>
            <w:r w:rsidRPr="00E6255D">
              <w:rPr>
                <w:rFonts w:cs="Arial"/>
                <w:sz w:val="16"/>
                <w:szCs w:val="16"/>
              </w:rPr>
              <w:t xml:space="preserve"> and action </w:t>
            </w:r>
            <w:r>
              <w:rPr>
                <w:rFonts w:cs="Arial"/>
                <w:sz w:val="16"/>
                <w:szCs w:val="16"/>
              </w:rPr>
              <w:t>was</w:t>
            </w:r>
            <w:r w:rsidRPr="00E6255D">
              <w:rPr>
                <w:rFonts w:cs="Arial"/>
                <w:sz w:val="16"/>
                <w:szCs w:val="16"/>
              </w:rPr>
              <w:t xml:space="preserve"> taken during the closure period to address recommendations which have an impact on the financial statements for 2014.</w:t>
            </w:r>
          </w:p>
        </w:tc>
        <w:tc>
          <w:tcPr>
            <w:tcW w:w="530" w:type="pct"/>
            <w:tcBorders>
              <w:right w:val="single" w:sz="4" w:space="0" w:color="auto"/>
            </w:tcBorders>
            <w:tcMar>
              <w:top w:w="110" w:type="dxa"/>
              <w:left w:w="108" w:type="dxa"/>
              <w:bottom w:w="0" w:type="dxa"/>
              <w:right w:w="108" w:type="dxa"/>
            </w:tcMar>
          </w:tcPr>
          <w:p w:rsidR="00361A1E" w:rsidRPr="00A43A93" w:rsidRDefault="00361A1E" w:rsidP="00271CFB">
            <w:pPr>
              <w:keepNext/>
              <w:keepLines/>
              <w:jc w:val="center"/>
              <w:rPr>
                <w:rFonts w:cs="Arial"/>
                <w:b/>
                <w:bCs/>
                <w:color w:val="00B050"/>
                <w:sz w:val="16"/>
                <w:szCs w:val="16"/>
              </w:rPr>
            </w:pPr>
            <w:r w:rsidRPr="00A43A93">
              <w:rPr>
                <w:rFonts w:cs="Arial"/>
                <w:b/>
                <w:bCs/>
                <w:color w:val="00B050"/>
                <w:sz w:val="16"/>
                <w:szCs w:val="16"/>
              </w:rPr>
              <w:t>On track</w:t>
            </w:r>
          </w:p>
          <w:p w:rsidR="00361A1E" w:rsidRPr="003B27D5" w:rsidRDefault="00361A1E" w:rsidP="00271CFB">
            <w:pPr>
              <w:keepNext/>
              <w:keepLines/>
              <w:jc w:val="center"/>
              <w:rPr>
                <w:rFonts w:cs="Arial"/>
                <w:bCs/>
                <w:color w:val="404040" w:themeColor="text1" w:themeTint="BF"/>
                <w:sz w:val="16"/>
                <w:szCs w:val="16"/>
              </w:rPr>
            </w:pPr>
          </w:p>
        </w:tc>
      </w:tr>
      <w:tr w:rsidR="00361A1E" w:rsidRPr="001C67B1" w:rsidTr="00476B04">
        <w:trPr>
          <w:cantSplit/>
        </w:trPr>
        <w:tc>
          <w:tcPr>
            <w:tcW w:w="1132" w:type="pct"/>
            <w:tcBorders>
              <w:left w:val="single" w:sz="4" w:space="0" w:color="auto"/>
            </w:tcBorders>
          </w:tcPr>
          <w:p w:rsidR="00361A1E" w:rsidRPr="001C67B1" w:rsidRDefault="00361A1E" w:rsidP="00271CFB">
            <w:pPr>
              <w:rPr>
                <w:rFonts w:cs="Arial"/>
                <w:sz w:val="16"/>
                <w:szCs w:val="16"/>
                <w:lang w:bidi="th-TH"/>
              </w:rPr>
            </w:pPr>
            <w:r w:rsidRPr="009B40F6">
              <w:rPr>
                <w:rFonts w:cs="Arial"/>
                <w:sz w:val="16"/>
                <w:szCs w:val="16"/>
                <w:lang w:bidi="th-TH"/>
              </w:rPr>
              <w:t>Return on invested funds in line with benchmarks established by the Investment Advisory Committee (IAC)</w:t>
            </w:r>
          </w:p>
        </w:tc>
        <w:tc>
          <w:tcPr>
            <w:tcW w:w="993" w:type="pct"/>
          </w:tcPr>
          <w:p w:rsidR="00361A1E" w:rsidRDefault="00361A1E" w:rsidP="00271CFB">
            <w:pPr>
              <w:rPr>
                <w:rFonts w:cs="Arial"/>
                <w:sz w:val="16"/>
                <w:szCs w:val="16"/>
                <w:lang w:bidi="th-TH"/>
              </w:rPr>
            </w:pPr>
            <w:r w:rsidRPr="00E6255D">
              <w:rPr>
                <w:rFonts w:cs="Arial"/>
                <w:sz w:val="16"/>
                <w:szCs w:val="16"/>
                <w:lang w:bidi="th-TH"/>
              </w:rPr>
              <w:t>Return on invested funds in line with the benchmark established by the IAC in 2012/13</w:t>
            </w:r>
          </w:p>
          <w:p w:rsidR="00361A1E" w:rsidRDefault="00361A1E" w:rsidP="00271CFB">
            <w:pPr>
              <w:rPr>
                <w:rFonts w:cs="Arial"/>
                <w:sz w:val="16"/>
                <w:szCs w:val="16"/>
                <w:lang w:bidi="th-TH"/>
              </w:rPr>
            </w:pPr>
          </w:p>
          <w:p w:rsidR="00361A1E" w:rsidRPr="001C67B1" w:rsidRDefault="00361A1E" w:rsidP="00271CFB">
            <w:pPr>
              <w:rPr>
                <w:rFonts w:cs="Arial"/>
                <w:i/>
                <w:color w:val="002060"/>
                <w:sz w:val="16"/>
                <w:szCs w:val="16"/>
              </w:rPr>
            </w:pPr>
          </w:p>
        </w:tc>
        <w:tc>
          <w:tcPr>
            <w:tcW w:w="828" w:type="pct"/>
            <w:tcMar>
              <w:top w:w="110" w:type="dxa"/>
              <w:left w:w="108" w:type="dxa"/>
              <w:bottom w:w="0" w:type="dxa"/>
              <w:right w:w="108" w:type="dxa"/>
            </w:tcMar>
          </w:tcPr>
          <w:p w:rsidR="00361A1E" w:rsidRDefault="00361A1E" w:rsidP="00271CFB">
            <w:pPr>
              <w:autoSpaceDE w:val="0"/>
              <w:autoSpaceDN w:val="0"/>
              <w:adjustRightInd w:val="0"/>
              <w:rPr>
                <w:rFonts w:cs="Arial"/>
                <w:sz w:val="16"/>
                <w:szCs w:val="16"/>
              </w:rPr>
            </w:pPr>
            <w:r w:rsidRPr="00E6255D">
              <w:rPr>
                <w:rFonts w:cs="Arial"/>
                <w:sz w:val="16"/>
                <w:szCs w:val="16"/>
              </w:rPr>
              <w:t>Return on invested funds in line with the benchmark established by IAC in 2014/15</w:t>
            </w:r>
          </w:p>
          <w:p w:rsidR="00361A1E" w:rsidRPr="001C67B1" w:rsidRDefault="00361A1E" w:rsidP="00271CFB">
            <w:pPr>
              <w:autoSpaceDE w:val="0"/>
              <w:autoSpaceDN w:val="0"/>
              <w:adjustRightInd w:val="0"/>
              <w:rPr>
                <w:rFonts w:cs="Arial"/>
                <w:sz w:val="16"/>
                <w:szCs w:val="16"/>
              </w:rPr>
            </w:pPr>
          </w:p>
        </w:tc>
        <w:tc>
          <w:tcPr>
            <w:tcW w:w="1517" w:type="pct"/>
            <w:shd w:val="clear" w:color="auto" w:fill="FFFFFF"/>
            <w:tcMar>
              <w:top w:w="110" w:type="dxa"/>
              <w:left w:w="108" w:type="dxa"/>
              <w:bottom w:w="0" w:type="dxa"/>
              <w:right w:w="108" w:type="dxa"/>
            </w:tcMar>
          </w:tcPr>
          <w:p w:rsidR="00361A1E" w:rsidRDefault="00361A1E" w:rsidP="00271CFB">
            <w:pPr>
              <w:autoSpaceDE w:val="0"/>
              <w:autoSpaceDN w:val="0"/>
              <w:adjustRightInd w:val="0"/>
              <w:rPr>
                <w:rFonts w:cs="Arial"/>
                <w:sz w:val="16"/>
                <w:szCs w:val="16"/>
              </w:rPr>
            </w:pPr>
            <w:r w:rsidRPr="00B02CA2">
              <w:rPr>
                <w:rFonts w:cs="Arial"/>
                <w:sz w:val="16"/>
                <w:szCs w:val="16"/>
              </w:rPr>
              <w:t>Investments continue to be with Swiss authorities</w:t>
            </w:r>
            <w:r>
              <w:rPr>
                <w:rFonts w:cs="Arial"/>
                <w:sz w:val="16"/>
                <w:szCs w:val="16"/>
              </w:rPr>
              <w:t xml:space="preserve">, in line with the  </w:t>
            </w:r>
            <w:r w:rsidRPr="00E6255D">
              <w:rPr>
                <w:rFonts w:cs="Arial"/>
                <w:sz w:val="16"/>
                <w:szCs w:val="16"/>
              </w:rPr>
              <w:t xml:space="preserve">benchmark established by IAC </w:t>
            </w:r>
            <w:r>
              <w:rPr>
                <w:rFonts w:cs="Arial"/>
                <w:sz w:val="16"/>
                <w:szCs w:val="16"/>
              </w:rPr>
              <w:t>in</w:t>
            </w:r>
            <w:r w:rsidRPr="00E6255D">
              <w:rPr>
                <w:rFonts w:cs="Arial"/>
                <w:sz w:val="16"/>
                <w:szCs w:val="16"/>
              </w:rPr>
              <w:t xml:space="preserve"> 2014/15</w:t>
            </w:r>
          </w:p>
          <w:p w:rsidR="00361A1E" w:rsidRPr="001C67B1" w:rsidRDefault="00361A1E" w:rsidP="00271CFB">
            <w:pPr>
              <w:rPr>
                <w:rFonts w:cs="Arial"/>
                <w:sz w:val="16"/>
                <w:szCs w:val="16"/>
              </w:rPr>
            </w:pPr>
          </w:p>
        </w:tc>
        <w:tc>
          <w:tcPr>
            <w:tcW w:w="530" w:type="pct"/>
            <w:tcBorders>
              <w:right w:val="single" w:sz="4" w:space="0" w:color="auto"/>
            </w:tcBorders>
            <w:tcMar>
              <w:top w:w="110" w:type="dxa"/>
              <w:left w:w="108" w:type="dxa"/>
              <w:bottom w:w="0" w:type="dxa"/>
              <w:right w:w="108" w:type="dxa"/>
            </w:tcMar>
          </w:tcPr>
          <w:p w:rsidR="00361A1E" w:rsidRPr="00A43A93" w:rsidRDefault="00361A1E" w:rsidP="00271CFB">
            <w:pPr>
              <w:keepNext/>
              <w:keepLines/>
              <w:jc w:val="center"/>
              <w:rPr>
                <w:rFonts w:cs="Arial"/>
                <w:b/>
                <w:bCs/>
                <w:color w:val="00B050"/>
                <w:sz w:val="16"/>
                <w:szCs w:val="16"/>
              </w:rPr>
            </w:pPr>
            <w:r w:rsidRPr="00A43A93">
              <w:rPr>
                <w:rFonts w:cs="Arial"/>
                <w:b/>
                <w:bCs/>
                <w:color w:val="00B050"/>
                <w:sz w:val="16"/>
                <w:szCs w:val="16"/>
              </w:rPr>
              <w:t>On track</w:t>
            </w:r>
          </w:p>
          <w:p w:rsidR="00361A1E" w:rsidRPr="003B27D5" w:rsidRDefault="00361A1E" w:rsidP="00271CFB">
            <w:pPr>
              <w:keepNext/>
              <w:keepLines/>
              <w:jc w:val="center"/>
              <w:rPr>
                <w:rFonts w:cs="Arial"/>
                <w:bCs/>
                <w:color w:val="404040" w:themeColor="text1" w:themeTint="BF"/>
                <w:sz w:val="16"/>
                <w:szCs w:val="16"/>
              </w:rPr>
            </w:pPr>
          </w:p>
        </w:tc>
      </w:tr>
    </w:tbl>
    <w:p w:rsidR="00476B04" w:rsidRDefault="00476B04">
      <w:r>
        <w:br w:type="page"/>
      </w:r>
    </w:p>
    <w:tbl>
      <w:tblPr>
        <w:tblW w:w="4888"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19"/>
        <w:gridCol w:w="1858"/>
        <w:gridCol w:w="1411"/>
        <w:gridCol w:w="138"/>
        <w:gridCol w:w="2839"/>
        <w:gridCol w:w="992"/>
      </w:tblGrid>
      <w:tr w:rsidR="00476B04" w:rsidRPr="001C67B1" w:rsidTr="00476B04">
        <w:trPr>
          <w:cantSplit/>
        </w:trPr>
        <w:tc>
          <w:tcPr>
            <w:tcW w:w="1132" w:type="pct"/>
            <w:tcBorders>
              <w:left w:val="single" w:sz="4" w:space="0" w:color="auto"/>
            </w:tcBorders>
          </w:tcPr>
          <w:p w:rsidR="00476B04" w:rsidRPr="003B27D5" w:rsidRDefault="00476B04" w:rsidP="00F25872">
            <w:pPr>
              <w:rPr>
                <w:rFonts w:cs="Arial"/>
                <w:b/>
                <w:bCs/>
                <w:sz w:val="16"/>
                <w:szCs w:val="16"/>
              </w:rPr>
            </w:pPr>
            <w:r w:rsidRPr="003B27D5">
              <w:rPr>
                <w:rFonts w:cs="Arial"/>
                <w:b/>
                <w:bCs/>
                <w:sz w:val="16"/>
                <w:szCs w:val="16"/>
              </w:rPr>
              <w:lastRenderedPageBreak/>
              <w:t>Performance Indicators</w:t>
            </w:r>
          </w:p>
        </w:tc>
        <w:tc>
          <w:tcPr>
            <w:tcW w:w="993" w:type="pct"/>
          </w:tcPr>
          <w:p w:rsidR="00476B04" w:rsidRPr="003B27D5" w:rsidRDefault="00476B04" w:rsidP="00F25872">
            <w:pPr>
              <w:rPr>
                <w:rFonts w:cs="Arial"/>
                <w:b/>
                <w:bCs/>
                <w:sz w:val="16"/>
                <w:szCs w:val="16"/>
              </w:rPr>
            </w:pPr>
            <w:r w:rsidRPr="003B27D5">
              <w:rPr>
                <w:rFonts w:cs="Arial"/>
                <w:b/>
                <w:bCs/>
                <w:sz w:val="16"/>
                <w:szCs w:val="16"/>
              </w:rPr>
              <w:t>Baselines</w:t>
            </w:r>
          </w:p>
        </w:tc>
        <w:tc>
          <w:tcPr>
            <w:tcW w:w="828" w:type="pct"/>
            <w:gridSpan w:val="2"/>
            <w:tcMar>
              <w:top w:w="110" w:type="dxa"/>
              <w:left w:w="108" w:type="dxa"/>
              <w:bottom w:w="0" w:type="dxa"/>
              <w:right w:w="108" w:type="dxa"/>
            </w:tcMar>
          </w:tcPr>
          <w:p w:rsidR="00476B04" w:rsidRPr="003B27D5" w:rsidRDefault="00476B04" w:rsidP="00F25872">
            <w:pPr>
              <w:autoSpaceDE w:val="0"/>
              <w:autoSpaceDN w:val="0"/>
              <w:adjustRightInd w:val="0"/>
              <w:rPr>
                <w:rFonts w:cs="Arial"/>
                <w:b/>
                <w:bCs/>
                <w:sz w:val="16"/>
                <w:szCs w:val="16"/>
              </w:rPr>
            </w:pPr>
            <w:r w:rsidRPr="003B27D5">
              <w:rPr>
                <w:rFonts w:cs="Arial"/>
                <w:b/>
                <w:bCs/>
                <w:sz w:val="16"/>
                <w:szCs w:val="16"/>
              </w:rPr>
              <w:t>Targets</w:t>
            </w:r>
          </w:p>
        </w:tc>
        <w:tc>
          <w:tcPr>
            <w:tcW w:w="1517" w:type="pct"/>
            <w:shd w:val="clear" w:color="auto" w:fill="FFFFFF"/>
            <w:tcMar>
              <w:top w:w="110" w:type="dxa"/>
              <w:left w:w="108" w:type="dxa"/>
              <w:bottom w:w="0" w:type="dxa"/>
              <w:right w:w="108" w:type="dxa"/>
            </w:tcMar>
          </w:tcPr>
          <w:p w:rsidR="00476B04" w:rsidRPr="003B27D5" w:rsidRDefault="00476B04" w:rsidP="00F25872">
            <w:pPr>
              <w:rPr>
                <w:rFonts w:cs="Arial"/>
                <w:b/>
                <w:bCs/>
                <w:sz w:val="16"/>
                <w:szCs w:val="16"/>
              </w:rPr>
            </w:pPr>
            <w:r w:rsidRPr="003B27D5">
              <w:rPr>
                <w:rFonts w:cs="Arial"/>
                <w:b/>
                <w:bCs/>
                <w:sz w:val="16"/>
                <w:szCs w:val="16"/>
              </w:rPr>
              <w:t>Performance Data</w:t>
            </w:r>
          </w:p>
        </w:tc>
        <w:tc>
          <w:tcPr>
            <w:tcW w:w="530" w:type="pct"/>
            <w:tcBorders>
              <w:right w:val="single" w:sz="4" w:space="0" w:color="auto"/>
            </w:tcBorders>
            <w:tcMar>
              <w:top w:w="110" w:type="dxa"/>
              <w:left w:w="108" w:type="dxa"/>
              <w:bottom w:w="0" w:type="dxa"/>
              <w:right w:w="108" w:type="dxa"/>
            </w:tcMar>
          </w:tcPr>
          <w:p w:rsidR="00476B04" w:rsidRPr="003B27D5" w:rsidRDefault="00476B04" w:rsidP="00F25872">
            <w:pPr>
              <w:keepNext/>
              <w:keepLines/>
              <w:jc w:val="center"/>
              <w:rPr>
                <w:rFonts w:cs="Arial"/>
                <w:b/>
                <w:bCs/>
                <w:sz w:val="16"/>
                <w:szCs w:val="16"/>
              </w:rPr>
            </w:pPr>
            <w:r w:rsidRPr="003B27D5">
              <w:rPr>
                <w:rFonts w:cs="Arial"/>
                <w:b/>
                <w:bCs/>
                <w:sz w:val="16"/>
                <w:szCs w:val="16"/>
              </w:rPr>
              <w:t>TLS</w:t>
            </w:r>
          </w:p>
        </w:tc>
      </w:tr>
      <w:tr w:rsidR="00476B04" w:rsidRPr="001C67B1" w:rsidTr="00476B04">
        <w:trPr>
          <w:cantSplit/>
        </w:trPr>
        <w:tc>
          <w:tcPr>
            <w:tcW w:w="1132" w:type="pct"/>
            <w:tcBorders>
              <w:left w:val="single" w:sz="4" w:space="0" w:color="auto"/>
            </w:tcBorders>
          </w:tcPr>
          <w:p w:rsidR="00476B04" w:rsidRPr="001C67B1" w:rsidRDefault="00476B04" w:rsidP="00271CFB">
            <w:pPr>
              <w:rPr>
                <w:rFonts w:cs="Arial"/>
                <w:sz w:val="16"/>
                <w:szCs w:val="16"/>
                <w:lang w:bidi="th-TH"/>
              </w:rPr>
            </w:pPr>
            <w:r w:rsidRPr="009B40F6">
              <w:rPr>
                <w:rFonts w:cs="Arial"/>
                <w:sz w:val="16"/>
                <w:szCs w:val="16"/>
                <w:lang w:bidi="th-TH"/>
              </w:rPr>
              <w:t>Payments (including Madrid and Hague fees) made on time</w:t>
            </w:r>
          </w:p>
        </w:tc>
        <w:tc>
          <w:tcPr>
            <w:tcW w:w="993" w:type="pct"/>
          </w:tcPr>
          <w:p w:rsidR="00476B04" w:rsidRDefault="00476B04" w:rsidP="00271CFB">
            <w:pPr>
              <w:rPr>
                <w:rFonts w:cs="Arial"/>
                <w:sz w:val="16"/>
                <w:szCs w:val="16"/>
                <w:lang w:bidi="th-TH"/>
              </w:rPr>
            </w:pPr>
            <w:r w:rsidRPr="00A7446B">
              <w:rPr>
                <w:rFonts w:cs="Arial"/>
                <w:sz w:val="16"/>
                <w:szCs w:val="16"/>
                <w:lang w:bidi="th-TH"/>
              </w:rPr>
              <w:t>90% of payments made within seven days of payment terms or receipt date (in case of late receipting) for those without other workflow issues (e.g. PO not dispatched, etc...)</w:t>
            </w:r>
          </w:p>
          <w:p w:rsidR="00476B04" w:rsidRPr="001C67B1" w:rsidRDefault="00476B04" w:rsidP="00271CFB">
            <w:pPr>
              <w:rPr>
                <w:rFonts w:cs="Arial"/>
                <w:i/>
                <w:color w:val="002060"/>
                <w:sz w:val="16"/>
                <w:szCs w:val="16"/>
              </w:rPr>
            </w:pPr>
          </w:p>
        </w:tc>
        <w:tc>
          <w:tcPr>
            <w:tcW w:w="828" w:type="pct"/>
            <w:gridSpan w:val="2"/>
            <w:tcMar>
              <w:top w:w="110" w:type="dxa"/>
              <w:left w:w="108" w:type="dxa"/>
              <w:bottom w:w="0" w:type="dxa"/>
              <w:right w:w="108" w:type="dxa"/>
            </w:tcMar>
          </w:tcPr>
          <w:p w:rsidR="00476B04" w:rsidRPr="001C67B1" w:rsidRDefault="00476B04" w:rsidP="00271CFB">
            <w:pPr>
              <w:autoSpaceDE w:val="0"/>
              <w:autoSpaceDN w:val="0"/>
              <w:adjustRightInd w:val="0"/>
              <w:rPr>
                <w:rFonts w:cs="Arial"/>
                <w:sz w:val="16"/>
                <w:szCs w:val="16"/>
              </w:rPr>
            </w:pPr>
            <w:r w:rsidRPr="00A7446B">
              <w:rPr>
                <w:rFonts w:cs="Arial"/>
                <w:sz w:val="16"/>
                <w:szCs w:val="16"/>
              </w:rPr>
              <w:t>90% of payments to be made within two three days of receipt of invoice</w:t>
            </w:r>
          </w:p>
        </w:tc>
        <w:tc>
          <w:tcPr>
            <w:tcW w:w="1517" w:type="pct"/>
            <w:shd w:val="clear" w:color="auto" w:fill="FFFFFF"/>
            <w:tcMar>
              <w:top w:w="110" w:type="dxa"/>
              <w:left w:w="108" w:type="dxa"/>
              <w:bottom w:w="0" w:type="dxa"/>
              <w:right w:w="108" w:type="dxa"/>
            </w:tcMar>
          </w:tcPr>
          <w:p w:rsidR="00476B04" w:rsidRDefault="00476B04" w:rsidP="00271CFB">
            <w:pPr>
              <w:rPr>
                <w:rFonts w:cs="Arial"/>
                <w:sz w:val="16"/>
                <w:szCs w:val="16"/>
              </w:rPr>
            </w:pPr>
            <w:r w:rsidRPr="00A7446B">
              <w:rPr>
                <w:rFonts w:cs="Arial"/>
                <w:sz w:val="16"/>
                <w:szCs w:val="16"/>
              </w:rPr>
              <w:t xml:space="preserve">1. All invoices paid </w:t>
            </w:r>
            <w:r>
              <w:rPr>
                <w:rFonts w:cs="Arial"/>
                <w:sz w:val="16"/>
                <w:szCs w:val="16"/>
              </w:rPr>
              <w:t>timely</w:t>
            </w:r>
            <w:r w:rsidRPr="00A7446B">
              <w:rPr>
                <w:rFonts w:cs="Arial"/>
                <w:sz w:val="16"/>
                <w:szCs w:val="16"/>
              </w:rPr>
              <w:t xml:space="preserve"> excep</w:t>
            </w:r>
            <w:r>
              <w:rPr>
                <w:rFonts w:cs="Arial"/>
                <w:sz w:val="16"/>
                <w:szCs w:val="16"/>
              </w:rPr>
              <w:t>t</w:t>
            </w:r>
            <w:r w:rsidRPr="00A7446B">
              <w:rPr>
                <w:rFonts w:cs="Arial"/>
                <w:sz w:val="16"/>
                <w:szCs w:val="16"/>
              </w:rPr>
              <w:t xml:space="preserve"> ex-post facto, or when there is no requisition in the system</w:t>
            </w:r>
          </w:p>
          <w:p w:rsidR="00476B04" w:rsidRPr="00A7446B" w:rsidRDefault="00476B04" w:rsidP="00271CFB">
            <w:pPr>
              <w:rPr>
                <w:rFonts w:cs="Arial"/>
                <w:sz w:val="16"/>
                <w:szCs w:val="16"/>
              </w:rPr>
            </w:pPr>
          </w:p>
          <w:p w:rsidR="00476B04" w:rsidRDefault="00476B04" w:rsidP="00271CFB">
            <w:pPr>
              <w:rPr>
                <w:rFonts w:cs="Arial"/>
                <w:sz w:val="16"/>
                <w:szCs w:val="16"/>
              </w:rPr>
            </w:pPr>
            <w:r w:rsidRPr="00A7446B">
              <w:rPr>
                <w:rFonts w:cs="Arial"/>
                <w:sz w:val="16"/>
                <w:szCs w:val="16"/>
              </w:rPr>
              <w:t>2. Monthly distribution paid/credited to a current account/applied against contributions in the following month as requ</w:t>
            </w:r>
            <w:r>
              <w:rPr>
                <w:rFonts w:cs="Arial"/>
                <w:sz w:val="16"/>
                <w:szCs w:val="16"/>
              </w:rPr>
              <w:t xml:space="preserve">ired </w:t>
            </w:r>
            <w:r w:rsidRPr="00A7446B">
              <w:rPr>
                <w:rFonts w:cs="Arial"/>
                <w:sz w:val="16"/>
                <w:szCs w:val="16"/>
              </w:rPr>
              <w:t>by Regulations</w:t>
            </w:r>
          </w:p>
          <w:p w:rsidR="00476B04" w:rsidRPr="001C67B1" w:rsidRDefault="00476B04" w:rsidP="00271CFB">
            <w:pPr>
              <w:rPr>
                <w:rFonts w:cs="Arial"/>
                <w:sz w:val="16"/>
                <w:szCs w:val="16"/>
              </w:rPr>
            </w:pPr>
          </w:p>
        </w:tc>
        <w:tc>
          <w:tcPr>
            <w:tcW w:w="530" w:type="pct"/>
            <w:tcBorders>
              <w:right w:val="single" w:sz="4" w:space="0" w:color="auto"/>
            </w:tcBorders>
            <w:tcMar>
              <w:top w:w="110" w:type="dxa"/>
              <w:left w:w="108" w:type="dxa"/>
              <w:bottom w:w="0" w:type="dxa"/>
              <w:right w:w="108" w:type="dxa"/>
            </w:tcMar>
          </w:tcPr>
          <w:p w:rsidR="00476B04" w:rsidRPr="00A43A93" w:rsidRDefault="00476B04" w:rsidP="00271CFB">
            <w:pPr>
              <w:keepNext/>
              <w:keepLines/>
              <w:jc w:val="center"/>
              <w:rPr>
                <w:rFonts w:cs="Arial"/>
                <w:b/>
                <w:bCs/>
                <w:color w:val="00B050"/>
                <w:sz w:val="16"/>
                <w:szCs w:val="16"/>
              </w:rPr>
            </w:pPr>
            <w:r w:rsidRPr="00A43A93">
              <w:rPr>
                <w:rFonts w:cs="Arial"/>
                <w:b/>
                <w:bCs/>
                <w:color w:val="00B050"/>
                <w:sz w:val="16"/>
                <w:szCs w:val="16"/>
              </w:rPr>
              <w:t>On track</w:t>
            </w:r>
          </w:p>
          <w:p w:rsidR="00476B04" w:rsidRPr="003B27D5" w:rsidRDefault="00476B04" w:rsidP="00271CFB">
            <w:pPr>
              <w:keepNext/>
              <w:keepLines/>
              <w:jc w:val="center"/>
              <w:rPr>
                <w:rFonts w:cs="Arial"/>
                <w:bCs/>
                <w:color w:val="404040" w:themeColor="text1" w:themeTint="BF"/>
                <w:sz w:val="16"/>
                <w:szCs w:val="16"/>
              </w:rPr>
            </w:pPr>
          </w:p>
        </w:tc>
      </w:tr>
      <w:tr w:rsidR="00476B04" w:rsidRPr="001C67B1" w:rsidTr="00476B04">
        <w:trPr>
          <w:cantSplit/>
        </w:trPr>
        <w:tc>
          <w:tcPr>
            <w:tcW w:w="1132" w:type="pct"/>
            <w:tcBorders>
              <w:left w:val="single" w:sz="4" w:space="0" w:color="auto"/>
            </w:tcBorders>
          </w:tcPr>
          <w:p w:rsidR="00476B04" w:rsidRPr="001C67B1" w:rsidRDefault="00476B04" w:rsidP="00271CFB">
            <w:pPr>
              <w:rPr>
                <w:rFonts w:cs="Arial"/>
                <w:sz w:val="16"/>
                <w:szCs w:val="16"/>
                <w:lang w:bidi="th-TH"/>
              </w:rPr>
            </w:pPr>
            <w:r w:rsidRPr="009B40F6">
              <w:rPr>
                <w:rFonts w:cs="Arial"/>
                <w:sz w:val="16"/>
                <w:szCs w:val="16"/>
                <w:lang w:bidi="th-TH"/>
              </w:rPr>
              <w:t xml:space="preserve">% of staff </w:t>
            </w:r>
            <w:r>
              <w:rPr>
                <w:rFonts w:cs="Arial"/>
                <w:sz w:val="16"/>
                <w:szCs w:val="16"/>
                <w:lang w:bidi="th-TH"/>
              </w:rPr>
              <w:t xml:space="preserve"> </w:t>
            </w:r>
            <w:r w:rsidRPr="009B40F6">
              <w:rPr>
                <w:rFonts w:cs="Arial"/>
                <w:sz w:val="16"/>
                <w:szCs w:val="16"/>
                <w:lang w:bidi="th-TH"/>
              </w:rPr>
              <w:t>trained expressing satisfaction with training (induction courses, ERP related training, RBM related training)</w:t>
            </w:r>
          </w:p>
        </w:tc>
        <w:tc>
          <w:tcPr>
            <w:tcW w:w="993" w:type="pct"/>
          </w:tcPr>
          <w:p w:rsidR="00476B04" w:rsidRDefault="00476B04" w:rsidP="00271CFB">
            <w:pPr>
              <w:rPr>
                <w:rFonts w:cs="Arial"/>
                <w:color w:val="002060"/>
                <w:sz w:val="16"/>
                <w:szCs w:val="16"/>
              </w:rPr>
            </w:pPr>
            <w:r w:rsidRPr="001C67B1">
              <w:rPr>
                <w:rFonts w:cs="Arial"/>
                <w:i/>
                <w:color w:val="002060"/>
                <w:sz w:val="16"/>
                <w:szCs w:val="16"/>
              </w:rPr>
              <w:t>Updated Baseline end 201</w:t>
            </w:r>
            <w:r>
              <w:rPr>
                <w:rFonts w:cs="Arial"/>
                <w:i/>
                <w:color w:val="002060"/>
                <w:sz w:val="16"/>
                <w:szCs w:val="16"/>
              </w:rPr>
              <w:t>3</w:t>
            </w:r>
            <w:r w:rsidRPr="001C67B1">
              <w:rPr>
                <w:rFonts w:cs="Arial"/>
                <w:i/>
                <w:color w:val="002060"/>
                <w:sz w:val="16"/>
                <w:szCs w:val="16"/>
              </w:rPr>
              <w:t xml:space="preserve">: </w:t>
            </w:r>
          </w:p>
          <w:p w:rsidR="00476B04" w:rsidRDefault="00476B04" w:rsidP="00271CFB">
            <w:pPr>
              <w:rPr>
                <w:rFonts w:cs="Arial"/>
                <w:color w:val="002060"/>
                <w:sz w:val="16"/>
                <w:szCs w:val="16"/>
              </w:rPr>
            </w:pPr>
            <w:r w:rsidRPr="00432B1E">
              <w:rPr>
                <w:rFonts w:cs="Arial"/>
                <w:color w:val="002060"/>
                <w:sz w:val="16"/>
                <w:szCs w:val="16"/>
              </w:rPr>
              <w:t>Induction courses:</w:t>
            </w:r>
            <w:r>
              <w:rPr>
                <w:rFonts w:cs="Arial"/>
                <w:color w:val="002060"/>
                <w:sz w:val="16"/>
                <w:szCs w:val="16"/>
              </w:rPr>
              <w:t xml:space="preserve"> 94%</w:t>
            </w:r>
          </w:p>
          <w:p w:rsidR="00476B04" w:rsidRDefault="00476B04" w:rsidP="00271CFB">
            <w:pPr>
              <w:rPr>
                <w:rFonts w:cs="Arial"/>
                <w:color w:val="002060"/>
                <w:sz w:val="16"/>
                <w:szCs w:val="16"/>
              </w:rPr>
            </w:pPr>
            <w:r>
              <w:rPr>
                <w:rFonts w:cs="Arial"/>
                <w:color w:val="002060"/>
                <w:sz w:val="16"/>
                <w:szCs w:val="16"/>
              </w:rPr>
              <w:t>RBM/ERP related training: 96%</w:t>
            </w:r>
          </w:p>
          <w:p w:rsidR="00476B04" w:rsidRPr="001C67B1" w:rsidRDefault="00476B04" w:rsidP="00271CFB">
            <w:pPr>
              <w:rPr>
                <w:rFonts w:cs="Arial"/>
                <w:i/>
                <w:color w:val="002060"/>
                <w:sz w:val="16"/>
                <w:szCs w:val="16"/>
              </w:rPr>
            </w:pPr>
            <w:r>
              <w:rPr>
                <w:rFonts w:cs="Arial"/>
                <w:color w:val="002060"/>
                <w:sz w:val="16"/>
                <w:szCs w:val="16"/>
              </w:rPr>
              <w:t xml:space="preserve"> </w:t>
            </w:r>
            <w:r w:rsidRPr="001C67B1">
              <w:rPr>
                <w:rFonts w:cs="Arial"/>
                <w:i/>
                <w:color w:val="002060"/>
                <w:sz w:val="16"/>
                <w:szCs w:val="16"/>
              </w:rPr>
              <w:t xml:space="preserve"> </w:t>
            </w:r>
          </w:p>
          <w:p w:rsidR="00476B04" w:rsidRPr="001C67B1" w:rsidRDefault="00476B04" w:rsidP="00271CFB">
            <w:pPr>
              <w:rPr>
                <w:rFonts w:cs="Arial"/>
                <w:i/>
                <w:sz w:val="8"/>
                <w:szCs w:val="8"/>
              </w:rPr>
            </w:pPr>
          </w:p>
          <w:p w:rsidR="00476B04" w:rsidRDefault="00476B04" w:rsidP="00271CFB">
            <w:pPr>
              <w:rPr>
                <w:rFonts w:cs="Arial"/>
                <w:sz w:val="16"/>
                <w:szCs w:val="16"/>
                <w:lang w:bidi="th-TH"/>
              </w:rPr>
            </w:pPr>
            <w:r>
              <w:rPr>
                <w:rFonts w:cs="Arial"/>
                <w:i/>
                <w:sz w:val="16"/>
                <w:szCs w:val="16"/>
              </w:rPr>
              <w:t>Original Baseline P&amp;B 2014</w:t>
            </w:r>
            <w:r w:rsidRPr="001C67B1">
              <w:rPr>
                <w:rFonts w:cs="Arial"/>
                <w:i/>
                <w:sz w:val="16"/>
                <w:szCs w:val="16"/>
              </w:rPr>
              <w:t>/1</w:t>
            </w:r>
            <w:r>
              <w:rPr>
                <w:rFonts w:cs="Arial"/>
                <w:i/>
                <w:sz w:val="16"/>
                <w:szCs w:val="16"/>
              </w:rPr>
              <w:t>5</w:t>
            </w:r>
            <w:r w:rsidRPr="001C67B1">
              <w:rPr>
                <w:rFonts w:cs="Arial"/>
                <w:i/>
                <w:sz w:val="16"/>
                <w:szCs w:val="16"/>
              </w:rPr>
              <w:t>:</w:t>
            </w:r>
            <w:r>
              <w:rPr>
                <w:rFonts w:cs="Arial"/>
                <w:sz w:val="16"/>
                <w:szCs w:val="16"/>
                <w:lang w:bidi="th-TH"/>
              </w:rPr>
              <w:t xml:space="preserve">  </w:t>
            </w:r>
            <w:proofErr w:type="spellStart"/>
            <w:r>
              <w:rPr>
                <w:rFonts w:cs="Arial"/>
                <w:sz w:val="16"/>
                <w:szCs w:val="16"/>
                <w:lang w:bidi="th-TH"/>
              </w:rPr>
              <w:t>tbd</w:t>
            </w:r>
            <w:proofErr w:type="spellEnd"/>
          </w:p>
          <w:p w:rsidR="00476B04" w:rsidRPr="001C67B1" w:rsidRDefault="00476B04" w:rsidP="00271CFB">
            <w:pPr>
              <w:rPr>
                <w:rFonts w:cs="Arial"/>
                <w:i/>
                <w:color w:val="002060"/>
                <w:sz w:val="16"/>
                <w:szCs w:val="16"/>
              </w:rPr>
            </w:pPr>
          </w:p>
        </w:tc>
        <w:tc>
          <w:tcPr>
            <w:tcW w:w="828" w:type="pct"/>
            <w:gridSpan w:val="2"/>
            <w:tcMar>
              <w:top w:w="110" w:type="dxa"/>
              <w:left w:w="108" w:type="dxa"/>
              <w:bottom w:w="0" w:type="dxa"/>
              <w:right w:w="108" w:type="dxa"/>
            </w:tcMar>
          </w:tcPr>
          <w:p w:rsidR="00476B04" w:rsidRPr="001C67B1" w:rsidRDefault="00476B04" w:rsidP="00271CFB">
            <w:pPr>
              <w:autoSpaceDE w:val="0"/>
              <w:autoSpaceDN w:val="0"/>
              <w:adjustRightInd w:val="0"/>
              <w:rPr>
                <w:rFonts w:cs="Arial"/>
                <w:sz w:val="16"/>
                <w:szCs w:val="16"/>
              </w:rPr>
            </w:pPr>
            <w:r>
              <w:rPr>
                <w:rFonts w:cs="Arial"/>
                <w:sz w:val="16"/>
                <w:szCs w:val="16"/>
              </w:rPr>
              <w:t>85%</w:t>
            </w:r>
          </w:p>
        </w:tc>
        <w:tc>
          <w:tcPr>
            <w:tcW w:w="1517" w:type="pct"/>
            <w:shd w:val="clear" w:color="auto" w:fill="FFFFFF"/>
            <w:tcMar>
              <w:top w:w="110" w:type="dxa"/>
              <w:left w:w="108" w:type="dxa"/>
              <w:bottom w:w="0" w:type="dxa"/>
              <w:right w:w="108" w:type="dxa"/>
            </w:tcMar>
          </w:tcPr>
          <w:p w:rsidR="00476B04" w:rsidRDefault="00476B04" w:rsidP="00361A1E">
            <w:pPr>
              <w:pStyle w:val="ListParagraph"/>
              <w:numPr>
                <w:ilvl w:val="0"/>
                <w:numId w:val="41"/>
              </w:numPr>
              <w:rPr>
                <w:rFonts w:cs="Arial"/>
                <w:sz w:val="16"/>
                <w:szCs w:val="16"/>
              </w:rPr>
            </w:pPr>
            <w:r w:rsidRPr="00D87DD8">
              <w:rPr>
                <w:rFonts w:cs="Arial"/>
                <w:sz w:val="16"/>
                <w:szCs w:val="16"/>
              </w:rPr>
              <w:t>Induction courses: 9</w:t>
            </w:r>
            <w:r>
              <w:rPr>
                <w:rFonts w:cs="Arial"/>
                <w:sz w:val="16"/>
                <w:szCs w:val="16"/>
              </w:rPr>
              <w:t>4</w:t>
            </w:r>
            <w:r w:rsidRPr="00D87DD8">
              <w:rPr>
                <w:rFonts w:cs="Arial"/>
                <w:sz w:val="16"/>
                <w:szCs w:val="16"/>
              </w:rPr>
              <w:t xml:space="preserve">% </w:t>
            </w:r>
          </w:p>
          <w:p w:rsidR="00476B04" w:rsidRPr="00D87DD8" w:rsidRDefault="00476B04" w:rsidP="00361A1E">
            <w:pPr>
              <w:pStyle w:val="ListParagraph"/>
              <w:numPr>
                <w:ilvl w:val="0"/>
                <w:numId w:val="41"/>
              </w:numPr>
              <w:rPr>
                <w:rFonts w:cs="Arial"/>
                <w:sz w:val="16"/>
                <w:szCs w:val="16"/>
              </w:rPr>
            </w:pPr>
            <w:r>
              <w:rPr>
                <w:rFonts w:cs="Arial"/>
                <w:sz w:val="16"/>
                <w:szCs w:val="16"/>
              </w:rPr>
              <w:t>RBM/ERP-related training: 95%</w:t>
            </w:r>
          </w:p>
          <w:p w:rsidR="00476B04" w:rsidRPr="00432B1E" w:rsidRDefault="00476B04" w:rsidP="00361A1E">
            <w:pPr>
              <w:pStyle w:val="ListParagraph"/>
              <w:numPr>
                <w:ilvl w:val="0"/>
                <w:numId w:val="41"/>
              </w:numPr>
              <w:rPr>
                <w:rFonts w:cs="Arial"/>
                <w:sz w:val="16"/>
                <w:szCs w:val="16"/>
              </w:rPr>
            </w:pPr>
            <w:r w:rsidRPr="00D87DD8">
              <w:rPr>
                <w:rFonts w:cs="Arial"/>
                <w:sz w:val="16"/>
                <w:szCs w:val="16"/>
              </w:rPr>
              <w:t>P</w:t>
            </w:r>
            <w:r w:rsidRPr="00666519">
              <w:rPr>
                <w:rFonts w:cs="Arial"/>
                <w:sz w:val="16"/>
                <w:szCs w:val="16"/>
              </w:rPr>
              <w:t xml:space="preserve">roject </w:t>
            </w:r>
            <w:r>
              <w:rPr>
                <w:rFonts w:cs="Arial"/>
                <w:sz w:val="16"/>
                <w:szCs w:val="16"/>
              </w:rPr>
              <w:t>M</w:t>
            </w:r>
            <w:r w:rsidRPr="00D87DD8">
              <w:rPr>
                <w:rFonts w:cs="Arial"/>
                <w:sz w:val="16"/>
                <w:szCs w:val="16"/>
              </w:rPr>
              <w:t xml:space="preserve">anagement in a Results-based Environment: </w:t>
            </w:r>
            <w:r>
              <w:rPr>
                <w:rFonts w:cs="Arial"/>
                <w:sz w:val="16"/>
                <w:szCs w:val="16"/>
              </w:rPr>
              <w:t>100% (76%-excellent; 24% -</w:t>
            </w:r>
            <w:r w:rsidRPr="00D87DD8">
              <w:rPr>
                <w:rFonts w:cs="Arial"/>
                <w:sz w:val="16"/>
                <w:szCs w:val="16"/>
              </w:rPr>
              <w:t>good)</w:t>
            </w:r>
          </w:p>
        </w:tc>
        <w:tc>
          <w:tcPr>
            <w:tcW w:w="530" w:type="pct"/>
            <w:tcBorders>
              <w:right w:val="single" w:sz="4" w:space="0" w:color="auto"/>
            </w:tcBorders>
            <w:tcMar>
              <w:top w:w="110" w:type="dxa"/>
              <w:left w:w="108" w:type="dxa"/>
              <w:bottom w:w="0" w:type="dxa"/>
              <w:right w:w="108" w:type="dxa"/>
            </w:tcMar>
          </w:tcPr>
          <w:p w:rsidR="00476B04" w:rsidRPr="00A43A93" w:rsidRDefault="00476B04" w:rsidP="00271CFB">
            <w:pPr>
              <w:keepNext/>
              <w:keepLines/>
              <w:jc w:val="center"/>
              <w:rPr>
                <w:rFonts w:cs="Arial"/>
                <w:b/>
                <w:bCs/>
                <w:color w:val="00B050"/>
                <w:sz w:val="16"/>
                <w:szCs w:val="16"/>
              </w:rPr>
            </w:pPr>
            <w:r w:rsidRPr="00A43A93">
              <w:rPr>
                <w:rFonts w:cs="Arial"/>
                <w:b/>
                <w:bCs/>
                <w:color w:val="00B050"/>
                <w:sz w:val="16"/>
                <w:szCs w:val="16"/>
              </w:rPr>
              <w:t>On track</w:t>
            </w:r>
          </w:p>
          <w:p w:rsidR="00476B04" w:rsidRPr="003B27D5" w:rsidRDefault="00476B04" w:rsidP="00271CFB">
            <w:pPr>
              <w:keepNext/>
              <w:keepLines/>
              <w:jc w:val="center"/>
              <w:rPr>
                <w:rFonts w:cs="Arial"/>
                <w:bCs/>
                <w:color w:val="404040" w:themeColor="text1" w:themeTint="BF"/>
                <w:sz w:val="16"/>
                <w:szCs w:val="16"/>
              </w:rPr>
            </w:pPr>
          </w:p>
        </w:tc>
      </w:tr>
      <w:tr w:rsidR="00476B04" w:rsidRPr="001C67B1" w:rsidTr="00476B04">
        <w:trPr>
          <w:cantSplit/>
        </w:trPr>
        <w:tc>
          <w:tcPr>
            <w:tcW w:w="1132" w:type="pct"/>
            <w:tcBorders>
              <w:left w:val="single" w:sz="4" w:space="0" w:color="auto"/>
            </w:tcBorders>
          </w:tcPr>
          <w:p w:rsidR="00476B04" w:rsidRPr="001C67B1" w:rsidRDefault="00476B04" w:rsidP="00271CFB">
            <w:pPr>
              <w:rPr>
                <w:rFonts w:cs="Arial"/>
                <w:sz w:val="16"/>
                <w:szCs w:val="16"/>
                <w:lang w:bidi="th-TH"/>
              </w:rPr>
            </w:pPr>
            <w:r w:rsidRPr="001C67B1">
              <w:rPr>
                <w:rFonts w:cs="Arial"/>
                <w:sz w:val="16"/>
                <w:szCs w:val="16"/>
                <w:lang w:bidi="th-TH"/>
              </w:rPr>
              <w:t>% of WIPO respondents who perceive that WIPO is accountable for its results</w:t>
            </w:r>
          </w:p>
        </w:tc>
        <w:tc>
          <w:tcPr>
            <w:tcW w:w="993" w:type="pct"/>
          </w:tcPr>
          <w:p w:rsidR="00476B04" w:rsidRPr="001C67B1" w:rsidRDefault="00476B04" w:rsidP="00271CFB">
            <w:pPr>
              <w:rPr>
                <w:rFonts w:cs="Arial"/>
                <w:i/>
                <w:color w:val="002060"/>
                <w:sz w:val="16"/>
                <w:szCs w:val="16"/>
              </w:rPr>
            </w:pPr>
            <w:r w:rsidRPr="001C67B1">
              <w:rPr>
                <w:rFonts w:cs="Arial"/>
                <w:i/>
                <w:color w:val="002060"/>
                <w:sz w:val="16"/>
                <w:szCs w:val="16"/>
              </w:rPr>
              <w:t>Updated Baseline end 201</w:t>
            </w:r>
            <w:r>
              <w:rPr>
                <w:rFonts w:cs="Arial"/>
                <w:i/>
                <w:color w:val="002060"/>
                <w:sz w:val="16"/>
                <w:szCs w:val="16"/>
              </w:rPr>
              <w:t xml:space="preserve">3: </w:t>
            </w:r>
            <w:r w:rsidRPr="003A16A3">
              <w:rPr>
                <w:rFonts w:cs="Arial"/>
                <w:color w:val="002060"/>
                <w:sz w:val="16"/>
                <w:szCs w:val="16"/>
              </w:rPr>
              <w:t>80.7%</w:t>
            </w:r>
            <w:r w:rsidRPr="001C67B1">
              <w:rPr>
                <w:rFonts w:cs="Arial"/>
                <w:i/>
                <w:color w:val="002060"/>
                <w:sz w:val="16"/>
                <w:szCs w:val="16"/>
              </w:rPr>
              <w:t xml:space="preserve">  </w:t>
            </w:r>
          </w:p>
          <w:p w:rsidR="00476B04" w:rsidRPr="001C67B1" w:rsidRDefault="00476B04" w:rsidP="00271CFB">
            <w:pPr>
              <w:rPr>
                <w:rFonts w:cs="Arial"/>
                <w:i/>
                <w:sz w:val="8"/>
                <w:szCs w:val="8"/>
              </w:rPr>
            </w:pPr>
          </w:p>
          <w:p w:rsidR="00476B04" w:rsidRPr="001C67B1" w:rsidRDefault="00476B04" w:rsidP="00271CFB">
            <w:pPr>
              <w:rPr>
                <w:rFonts w:cs="Arial"/>
                <w:sz w:val="16"/>
                <w:szCs w:val="16"/>
                <w:lang w:bidi="th-TH"/>
              </w:rPr>
            </w:pPr>
            <w:r>
              <w:rPr>
                <w:rFonts w:cs="Arial"/>
                <w:i/>
                <w:sz w:val="16"/>
                <w:szCs w:val="16"/>
              </w:rPr>
              <w:t>Original Baseline P&amp;B 2014</w:t>
            </w:r>
            <w:r w:rsidRPr="001C67B1">
              <w:rPr>
                <w:rFonts w:cs="Arial"/>
                <w:i/>
                <w:sz w:val="16"/>
                <w:szCs w:val="16"/>
              </w:rPr>
              <w:t>/1</w:t>
            </w:r>
            <w:r>
              <w:rPr>
                <w:rFonts w:cs="Arial"/>
                <w:i/>
                <w:sz w:val="16"/>
                <w:szCs w:val="16"/>
              </w:rPr>
              <w:t>5</w:t>
            </w:r>
            <w:r w:rsidRPr="001C67B1">
              <w:rPr>
                <w:rFonts w:cs="Arial"/>
                <w:i/>
                <w:sz w:val="16"/>
                <w:szCs w:val="16"/>
              </w:rPr>
              <w:t>:</w:t>
            </w:r>
            <w:r>
              <w:rPr>
                <w:rFonts w:cs="Arial"/>
                <w:sz w:val="16"/>
                <w:szCs w:val="16"/>
                <w:lang w:bidi="th-TH"/>
              </w:rPr>
              <w:t xml:space="preserve"> 75% </w:t>
            </w:r>
          </w:p>
        </w:tc>
        <w:tc>
          <w:tcPr>
            <w:tcW w:w="828" w:type="pct"/>
            <w:gridSpan w:val="2"/>
            <w:tcMar>
              <w:top w:w="110" w:type="dxa"/>
              <w:left w:w="108" w:type="dxa"/>
              <w:bottom w:w="0" w:type="dxa"/>
              <w:right w:w="108" w:type="dxa"/>
            </w:tcMar>
          </w:tcPr>
          <w:p w:rsidR="00476B04" w:rsidRPr="001C67B1" w:rsidRDefault="00476B04" w:rsidP="00271CFB">
            <w:pPr>
              <w:autoSpaceDE w:val="0"/>
              <w:autoSpaceDN w:val="0"/>
              <w:adjustRightInd w:val="0"/>
              <w:rPr>
                <w:rFonts w:cs="Arial"/>
                <w:sz w:val="16"/>
                <w:szCs w:val="16"/>
              </w:rPr>
            </w:pPr>
            <w:r>
              <w:rPr>
                <w:rFonts w:cs="Arial"/>
                <w:sz w:val="16"/>
                <w:szCs w:val="16"/>
              </w:rPr>
              <w:t>80%</w:t>
            </w:r>
          </w:p>
        </w:tc>
        <w:tc>
          <w:tcPr>
            <w:tcW w:w="1517" w:type="pct"/>
            <w:shd w:val="clear" w:color="auto" w:fill="FFFFFF"/>
            <w:tcMar>
              <w:top w:w="110" w:type="dxa"/>
              <w:left w:w="108" w:type="dxa"/>
              <w:bottom w:w="0" w:type="dxa"/>
              <w:right w:w="108" w:type="dxa"/>
            </w:tcMar>
          </w:tcPr>
          <w:p w:rsidR="00476B04" w:rsidRPr="001C67B1" w:rsidRDefault="00476B04" w:rsidP="00271CFB">
            <w:pPr>
              <w:rPr>
                <w:rFonts w:cs="Arial"/>
                <w:sz w:val="16"/>
                <w:szCs w:val="16"/>
              </w:rPr>
            </w:pPr>
            <w:r>
              <w:rPr>
                <w:rFonts w:cs="Arial"/>
                <w:sz w:val="16"/>
                <w:szCs w:val="16"/>
              </w:rPr>
              <w:t>Survey to be conducted at the end of 2015</w:t>
            </w:r>
          </w:p>
        </w:tc>
        <w:tc>
          <w:tcPr>
            <w:tcW w:w="530" w:type="pct"/>
            <w:tcBorders>
              <w:right w:val="single" w:sz="4" w:space="0" w:color="auto"/>
            </w:tcBorders>
            <w:tcMar>
              <w:top w:w="110" w:type="dxa"/>
              <w:left w:w="108" w:type="dxa"/>
              <w:bottom w:w="0" w:type="dxa"/>
              <w:right w:w="108" w:type="dxa"/>
            </w:tcMar>
          </w:tcPr>
          <w:p w:rsidR="00476B04" w:rsidRPr="00A43A93" w:rsidRDefault="00476B04" w:rsidP="00271CFB">
            <w:pPr>
              <w:keepNext/>
              <w:keepLines/>
              <w:jc w:val="center"/>
              <w:rPr>
                <w:rFonts w:cs="Arial"/>
                <w:b/>
                <w:bCs/>
                <w:color w:val="404040" w:themeColor="text1" w:themeTint="BF"/>
                <w:sz w:val="16"/>
                <w:szCs w:val="16"/>
              </w:rPr>
            </w:pPr>
            <w:r w:rsidRPr="00A43A93">
              <w:rPr>
                <w:rFonts w:cs="Arial"/>
                <w:b/>
                <w:bCs/>
                <w:color w:val="0070C0"/>
                <w:sz w:val="16"/>
                <w:szCs w:val="16"/>
              </w:rPr>
              <w:t>N/A 2014</w:t>
            </w:r>
          </w:p>
        </w:tc>
      </w:tr>
      <w:tr w:rsidR="00476B04" w:rsidRPr="001C67B1" w:rsidTr="00476B04">
        <w:trPr>
          <w:cantSplit/>
        </w:trPr>
        <w:tc>
          <w:tcPr>
            <w:tcW w:w="1132" w:type="pct"/>
            <w:tcBorders>
              <w:left w:val="single" w:sz="4" w:space="0" w:color="auto"/>
            </w:tcBorders>
          </w:tcPr>
          <w:p w:rsidR="00476B04" w:rsidRDefault="00476B04" w:rsidP="00271CFB">
            <w:pPr>
              <w:rPr>
                <w:rFonts w:cs="Arial"/>
                <w:sz w:val="16"/>
                <w:szCs w:val="16"/>
                <w:lang w:bidi="th-TH"/>
              </w:rPr>
            </w:pPr>
            <w:r w:rsidRPr="001C67B1">
              <w:rPr>
                <w:rFonts w:cs="Arial"/>
                <w:sz w:val="16"/>
                <w:szCs w:val="16"/>
                <w:lang w:bidi="th-TH"/>
              </w:rPr>
              <w:t>% of WIPO Programs using performance data for managing Program performance</w:t>
            </w:r>
          </w:p>
          <w:p w:rsidR="00476B04" w:rsidRPr="001C67B1" w:rsidRDefault="00476B04" w:rsidP="00271CFB">
            <w:pPr>
              <w:rPr>
                <w:rFonts w:cs="Arial"/>
                <w:sz w:val="16"/>
                <w:szCs w:val="16"/>
                <w:lang w:bidi="th-TH"/>
              </w:rPr>
            </w:pPr>
          </w:p>
        </w:tc>
        <w:tc>
          <w:tcPr>
            <w:tcW w:w="993" w:type="pct"/>
            <w:hideMark/>
          </w:tcPr>
          <w:p w:rsidR="00476B04" w:rsidRPr="001C67B1" w:rsidRDefault="00476B04" w:rsidP="00271CFB">
            <w:pPr>
              <w:rPr>
                <w:rFonts w:cs="Arial"/>
                <w:i/>
                <w:color w:val="002060"/>
                <w:sz w:val="16"/>
                <w:szCs w:val="16"/>
              </w:rPr>
            </w:pPr>
            <w:r w:rsidRPr="001C67B1">
              <w:rPr>
                <w:rFonts w:cs="Arial"/>
                <w:i/>
                <w:color w:val="002060"/>
                <w:sz w:val="16"/>
                <w:szCs w:val="16"/>
              </w:rPr>
              <w:t>Updated Baseline end 201</w:t>
            </w:r>
            <w:r>
              <w:rPr>
                <w:rFonts w:cs="Arial"/>
                <w:i/>
                <w:color w:val="002060"/>
                <w:sz w:val="16"/>
                <w:szCs w:val="16"/>
              </w:rPr>
              <w:t>3</w:t>
            </w:r>
            <w:r w:rsidRPr="001C67B1">
              <w:rPr>
                <w:rFonts w:cs="Arial"/>
                <w:i/>
                <w:color w:val="002060"/>
                <w:sz w:val="16"/>
                <w:szCs w:val="16"/>
              </w:rPr>
              <w:t xml:space="preserve">: </w:t>
            </w:r>
            <w:r w:rsidRPr="00432B1E">
              <w:rPr>
                <w:rFonts w:cs="Arial"/>
                <w:color w:val="002060"/>
                <w:sz w:val="16"/>
                <w:szCs w:val="16"/>
              </w:rPr>
              <w:t>55%</w:t>
            </w:r>
            <w:r w:rsidRPr="00432B1E">
              <w:rPr>
                <w:rStyle w:val="FootnoteReference"/>
                <w:rFonts w:cs="Arial"/>
                <w:color w:val="002060"/>
                <w:sz w:val="16"/>
                <w:szCs w:val="16"/>
              </w:rPr>
              <w:footnoteReference w:id="55"/>
            </w:r>
            <w:r w:rsidRPr="00432B1E">
              <w:rPr>
                <w:rFonts w:cs="Arial"/>
                <w:color w:val="002060"/>
                <w:sz w:val="16"/>
                <w:szCs w:val="16"/>
              </w:rPr>
              <w:t xml:space="preserve"> (as per 2010/11 PPR Validation Report)</w:t>
            </w:r>
          </w:p>
          <w:p w:rsidR="00476B04" w:rsidRPr="001C67B1" w:rsidRDefault="00476B04" w:rsidP="00271CFB">
            <w:pPr>
              <w:rPr>
                <w:rFonts w:cs="Arial"/>
                <w:i/>
                <w:sz w:val="8"/>
                <w:szCs w:val="8"/>
              </w:rPr>
            </w:pPr>
          </w:p>
          <w:p w:rsidR="00476B04" w:rsidRPr="001C67B1" w:rsidRDefault="00476B04" w:rsidP="00271CFB">
            <w:pPr>
              <w:rPr>
                <w:rFonts w:cs="Arial"/>
                <w:sz w:val="16"/>
                <w:szCs w:val="16"/>
                <w:lang w:bidi="th-TH"/>
              </w:rPr>
            </w:pPr>
            <w:r>
              <w:rPr>
                <w:rFonts w:cs="Arial"/>
                <w:i/>
                <w:sz w:val="16"/>
                <w:szCs w:val="16"/>
              </w:rPr>
              <w:t>Original Baseline P&amp;B 2014</w:t>
            </w:r>
            <w:r w:rsidRPr="001C67B1">
              <w:rPr>
                <w:rFonts w:cs="Arial"/>
                <w:i/>
                <w:sz w:val="16"/>
                <w:szCs w:val="16"/>
              </w:rPr>
              <w:t>/1</w:t>
            </w:r>
            <w:r>
              <w:rPr>
                <w:rFonts w:cs="Arial"/>
                <w:i/>
                <w:sz w:val="16"/>
                <w:szCs w:val="16"/>
              </w:rPr>
              <w:t>5</w:t>
            </w:r>
            <w:r w:rsidRPr="001C67B1">
              <w:rPr>
                <w:rFonts w:cs="Arial"/>
                <w:i/>
                <w:sz w:val="16"/>
                <w:szCs w:val="16"/>
              </w:rPr>
              <w:t>:</w:t>
            </w:r>
            <w:r>
              <w:rPr>
                <w:rFonts w:cs="Arial"/>
                <w:sz w:val="16"/>
                <w:szCs w:val="16"/>
                <w:lang w:bidi="th-TH"/>
              </w:rPr>
              <w:t xml:space="preserve">  50</w:t>
            </w:r>
          </w:p>
        </w:tc>
        <w:tc>
          <w:tcPr>
            <w:tcW w:w="828" w:type="pct"/>
            <w:gridSpan w:val="2"/>
            <w:tcMar>
              <w:top w:w="110" w:type="dxa"/>
              <w:left w:w="108" w:type="dxa"/>
              <w:bottom w:w="0" w:type="dxa"/>
              <w:right w:w="108" w:type="dxa"/>
            </w:tcMar>
            <w:hideMark/>
          </w:tcPr>
          <w:p w:rsidR="00476B04" w:rsidRPr="001C67B1" w:rsidRDefault="00476B04" w:rsidP="00271CFB">
            <w:pPr>
              <w:autoSpaceDE w:val="0"/>
              <w:autoSpaceDN w:val="0"/>
              <w:adjustRightInd w:val="0"/>
              <w:rPr>
                <w:rFonts w:cs="Arial"/>
                <w:sz w:val="16"/>
                <w:szCs w:val="16"/>
              </w:rPr>
            </w:pPr>
            <w:r>
              <w:rPr>
                <w:rFonts w:cs="Arial"/>
                <w:sz w:val="16"/>
                <w:szCs w:val="16"/>
              </w:rPr>
              <w:t>7</w:t>
            </w:r>
            <w:r w:rsidRPr="001C67B1">
              <w:rPr>
                <w:rFonts w:cs="Arial"/>
                <w:sz w:val="16"/>
                <w:szCs w:val="16"/>
              </w:rPr>
              <w:t>0</w:t>
            </w:r>
          </w:p>
        </w:tc>
        <w:tc>
          <w:tcPr>
            <w:tcW w:w="1517" w:type="pct"/>
            <w:shd w:val="clear" w:color="auto" w:fill="FFFFFF"/>
            <w:tcMar>
              <w:top w:w="110" w:type="dxa"/>
              <w:left w:w="108" w:type="dxa"/>
              <w:bottom w:w="0" w:type="dxa"/>
              <w:right w:w="108" w:type="dxa"/>
            </w:tcMar>
            <w:hideMark/>
          </w:tcPr>
          <w:p w:rsidR="00476B04" w:rsidRPr="001C67B1" w:rsidRDefault="00476B04" w:rsidP="00271CFB">
            <w:pPr>
              <w:rPr>
                <w:rFonts w:cs="Arial"/>
                <w:sz w:val="16"/>
                <w:szCs w:val="16"/>
              </w:rPr>
            </w:pPr>
            <w:r>
              <w:rPr>
                <w:rFonts w:cs="Arial"/>
                <w:sz w:val="16"/>
                <w:szCs w:val="16"/>
              </w:rPr>
              <w:t>79% (as per 2012/13 PPR Validation Report)</w:t>
            </w:r>
            <w:r>
              <w:rPr>
                <w:rStyle w:val="FootnoteReference"/>
                <w:rFonts w:cs="Arial"/>
                <w:sz w:val="16"/>
                <w:szCs w:val="16"/>
              </w:rPr>
              <w:footnoteReference w:id="56"/>
            </w:r>
          </w:p>
        </w:tc>
        <w:tc>
          <w:tcPr>
            <w:tcW w:w="530" w:type="pct"/>
            <w:tcBorders>
              <w:right w:val="single" w:sz="4" w:space="0" w:color="auto"/>
            </w:tcBorders>
            <w:tcMar>
              <w:top w:w="110" w:type="dxa"/>
              <w:left w:w="108" w:type="dxa"/>
              <w:bottom w:w="0" w:type="dxa"/>
              <w:right w:w="108" w:type="dxa"/>
            </w:tcMar>
            <w:hideMark/>
          </w:tcPr>
          <w:p w:rsidR="00476B04" w:rsidRPr="00A43A93" w:rsidRDefault="00476B04" w:rsidP="00271CFB">
            <w:pPr>
              <w:keepNext/>
              <w:keepLines/>
              <w:jc w:val="center"/>
              <w:rPr>
                <w:rFonts w:cs="Arial"/>
                <w:b/>
                <w:bCs/>
                <w:color w:val="00B050"/>
                <w:sz w:val="16"/>
                <w:szCs w:val="16"/>
              </w:rPr>
            </w:pPr>
            <w:r w:rsidRPr="00A43A93">
              <w:rPr>
                <w:rFonts w:cs="Arial"/>
                <w:b/>
                <w:bCs/>
                <w:color w:val="00B050"/>
                <w:sz w:val="16"/>
                <w:szCs w:val="16"/>
              </w:rPr>
              <w:t>On track</w:t>
            </w:r>
          </w:p>
          <w:p w:rsidR="00476B04" w:rsidRPr="003B27D5" w:rsidRDefault="00476B04" w:rsidP="00271CFB">
            <w:pPr>
              <w:keepNext/>
              <w:keepLines/>
              <w:jc w:val="center"/>
              <w:rPr>
                <w:rFonts w:cs="Arial"/>
                <w:bCs/>
                <w:color w:val="404040" w:themeColor="text1" w:themeTint="BF"/>
                <w:sz w:val="16"/>
                <w:szCs w:val="16"/>
              </w:rPr>
            </w:pPr>
          </w:p>
        </w:tc>
      </w:tr>
      <w:tr w:rsidR="00476B04" w:rsidRPr="003B27D5" w:rsidTr="00271CFB">
        <w:tc>
          <w:tcPr>
            <w:tcW w:w="5000" w:type="pct"/>
            <w:gridSpan w:val="6"/>
            <w:tcBorders>
              <w:top w:val="single" w:sz="4" w:space="0" w:color="auto"/>
              <w:left w:val="single" w:sz="4" w:space="0" w:color="auto"/>
              <w:bottom w:val="single" w:sz="4" w:space="0" w:color="auto"/>
              <w:right w:val="single" w:sz="4" w:space="0" w:color="auto"/>
            </w:tcBorders>
            <w:shd w:val="clear" w:color="auto" w:fill="CCFFFF"/>
          </w:tcPr>
          <w:p w:rsidR="00476B04" w:rsidRPr="003B27D5" w:rsidRDefault="00476B04" w:rsidP="00271CFB">
            <w:pPr>
              <w:tabs>
                <w:tab w:val="left" w:pos="1452"/>
              </w:tabs>
              <w:spacing w:before="120" w:after="120"/>
              <w:ind w:left="1452" w:hanging="1452"/>
              <w:rPr>
                <w:rFonts w:cs="Arial"/>
                <w:b/>
                <w:bCs/>
                <w:sz w:val="16"/>
                <w:szCs w:val="16"/>
              </w:rPr>
            </w:pPr>
            <w:r w:rsidRPr="001C67B1">
              <w:rPr>
                <w:rFonts w:cs="Arial"/>
                <w:b/>
                <w:bCs/>
                <w:sz w:val="16"/>
                <w:szCs w:val="16"/>
              </w:rPr>
              <w:t>Expected Result:</w:t>
            </w:r>
            <w:r w:rsidRPr="001C67B1">
              <w:rPr>
                <w:rFonts w:cs="Arial"/>
                <w:b/>
                <w:bCs/>
                <w:sz w:val="16"/>
                <w:szCs w:val="16"/>
              </w:rPr>
              <w:tab/>
            </w:r>
            <w:r w:rsidRPr="009B40F6">
              <w:rPr>
                <w:rFonts w:cs="Arial"/>
                <w:bCs/>
                <w:sz w:val="16"/>
                <w:szCs w:val="16"/>
              </w:rPr>
              <w:t>IX.3 An enabling working environment supported by an effective regulatory framework and appropriate channels to address staff concerns</w:t>
            </w:r>
          </w:p>
        </w:tc>
      </w:tr>
      <w:tr w:rsidR="00476B04" w:rsidRPr="003B27D5" w:rsidTr="00271CFB">
        <w:tc>
          <w:tcPr>
            <w:tcW w:w="1132" w:type="pct"/>
            <w:tcBorders>
              <w:top w:val="single" w:sz="4" w:space="0" w:color="auto"/>
              <w:left w:val="single" w:sz="4" w:space="0" w:color="auto"/>
            </w:tcBorders>
          </w:tcPr>
          <w:p w:rsidR="00476B04" w:rsidRPr="001C67B1" w:rsidRDefault="00476B04" w:rsidP="00271CFB">
            <w:pPr>
              <w:rPr>
                <w:rFonts w:cs="Arial"/>
                <w:sz w:val="16"/>
                <w:szCs w:val="16"/>
                <w:lang w:bidi="th-TH"/>
              </w:rPr>
            </w:pPr>
            <w:r w:rsidRPr="003B27D5">
              <w:rPr>
                <w:rFonts w:cs="Arial"/>
                <w:b/>
                <w:bCs/>
                <w:sz w:val="16"/>
                <w:szCs w:val="16"/>
              </w:rPr>
              <w:t>Performance Indicators</w:t>
            </w:r>
          </w:p>
        </w:tc>
        <w:tc>
          <w:tcPr>
            <w:tcW w:w="993" w:type="pct"/>
            <w:tcBorders>
              <w:top w:val="single" w:sz="4" w:space="0" w:color="auto"/>
            </w:tcBorders>
            <w:hideMark/>
          </w:tcPr>
          <w:p w:rsidR="00476B04" w:rsidRPr="001C67B1" w:rsidRDefault="00476B04" w:rsidP="00271CFB">
            <w:pPr>
              <w:rPr>
                <w:rFonts w:cs="Arial"/>
                <w:sz w:val="16"/>
                <w:szCs w:val="16"/>
                <w:lang w:bidi="th-TH"/>
              </w:rPr>
            </w:pPr>
            <w:r w:rsidRPr="003B27D5">
              <w:rPr>
                <w:rFonts w:cs="Arial"/>
                <w:b/>
                <w:bCs/>
                <w:sz w:val="16"/>
                <w:szCs w:val="16"/>
              </w:rPr>
              <w:t>Baselines</w:t>
            </w:r>
          </w:p>
        </w:tc>
        <w:tc>
          <w:tcPr>
            <w:tcW w:w="754" w:type="pct"/>
            <w:tcBorders>
              <w:top w:val="single" w:sz="4" w:space="0" w:color="auto"/>
            </w:tcBorders>
            <w:tcMar>
              <w:top w:w="110" w:type="dxa"/>
              <w:left w:w="108" w:type="dxa"/>
              <w:bottom w:w="0" w:type="dxa"/>
              <w:right w:w="108" w:type="dxa"/>
            </w:tcMar>
            <w:hideMark/>
          </w:tcPr>
          <w:p w:rsidR="00476B04" w:rsidRPr="001C67B1" w:rsidRDefault="00476B04" w:rsidP="00271CFB">
            <w:pPr>
              <w:autoSpaceDE w:val="0"/>
              <w:autoSpaceDN w:val="0"/>
              <w:adjustRightInd w:val="0"/>
              <w:rPr>
                <w:rFonts w:cs="Arial"/>
                <w:sz w:val="16"/>
                <w:szCs w:val="16"/>
              </w:rPr>
            </w:pPr>
            <w:r w:rsidRPr="003B27D5">
              <w:rPr>
                <w:rFonts w:cs="Arial"/>
                <w:b/>
                <w:bCs/>
                <w:sz w:val="16"/>
                <w:szCs w:val="16"/>
              </w:rPr>
              <w:t>Targets</w:t>
            </w:r>
          </w:p>
        </w:tc>
        <w:tc>
          <w:tcPr>
            <w:tcW w:w="1591" w:type="pct"/>
            <w:gridSpan w:val="2"/>
            <w:tcBorders>
              <w:top w:val="single" w:sz="4" w:space="0" w:color="auto"/>
            </w:tcBorders>
            <w:shd w:val="clear" w:color="auto" w:fill="FFFFFF"/>
            <w:tcMar>
              <w:top w:w="110" w:type="dxa"/>
              <w:left w:w="108" w:type="dxa"/>
              <w:bottom w:w="0" w:type="dxa"/>
              <w:right w:w="108" w:type="dxa"/>
            </w:tcMar>
            <w:hideMark/>
          </w:tcPr>
          <w:p w:rsidR="00476B04" w:rsidRPr="001C67B1" w:rsidRDefault="00476B04" w:rsidP="00271CFB">
            <w:pPr>
              <w:rPr>
                <w:rFonts w:cs="Arial"/>
                <w:sz w:val="16"/>
                <w:szCs w:val="16"/>
              </w:rPr>
            </w:pPr>
            <w:r w:rsidRPr="003B27D5">
              <w:rPr>
                <w:rFonts w:cs="Arial"/>
                <w:b/>
                <w:bCs/>
                <w:sz w:val="16"/>
                <w:szCs w:val="16"/>
              </w:rPr>
              <w:t>Performance Data</w:t>
            </w:r>
          </w:p>
        </w:tc>
        <w:tc>
          <w:tcPr>
            <w:tcW w:w="530" w:type="pct"/>
            <w:tcBorders>
              <w:top w:val="single" w:sz="4" w:space="0" w:color="auto"/>
              <w:right w:val="single" w:sz="4" w:space="0" w:color="auto"/>
            </w:tcBorders>
            <w:tcMar>
              <w:top w:w="110" w:type="dxa"/>
              <w:left w:w="108" w:type="dxa"/>
              <w:bottom w:w="0" w:type="dxa"/>
              <w:right w:w="108" w:type="dxa"/>
            </w:tcMar>
            <w:hideMark/>
          </w:tcPr>
          <w:p w:rsidR="00476B04" w:rsidRPr="003B27D5" w:rsidRDefault="00476B04" w:rsidP="00271CFB">
            <w:pPr>
              <w:jc w:val="center"/>
              <w:rPr>
                <w:rFonts w:cs="Arial"/>
                <w:bCs/>
                <w:color w:val="404040" w:themeColor="text1" w:themeTint="BF"/>
                <w:sz w:val="16"/>
                <w:szCs w:val="16"/>
              </w:rPr>
            </w:pPr>
            <w:r w:rsidRPr="003B27D5">
              <w:rPr>
                <w:rFonts w:cs="Arial"/>
                <w:b/>
                <w:bCs/>
                <w:sz w:val="16"/>
                <w:szCs w:val="16"/>
              </w:rPr>
              <w:t>TLS</w:t>
            </w:r>
          </w:p>
        </w:tc>
      </w:tr>
      <w:tr w:rsidR="00476B04" w:rsidRPr="003B27D5" w:rsidTr="00271CFB">
        <w:tc>
          <w:tcPr>
            <w:tcW w:w="1132" w:type="pct"/>
            <w:tcBorders>
              <w:left w:val="single" w:sz="4" w:space="0" w:color="auto"/>
            </w:tcBorders>
          </w:tcPr>
          <w:p w:rsidR="00476B04" w:rsidRDefault="00476B04" w:rsidP="00271CFB">
            <w:pPr>
              <w:rPr>
                <w:rFonts w:cs="Arial"/>
                <w:sz w:val="16"/>
                <w:szCs w:val="16"/>
                <w:lang w:bidi="th-TH"/>
              </w:rPr>
            </w:pPr>
            <w:r w:rsidRPr="003B27D5">
              <w:rPr>
                <w:rFonts w:cs="Arial"/>
                <w:sz w:val="16"/>
                <w:szCs w:val="16"/>
                <w:lang w:bidi="th-TH"/>
              </w:rPr>
              <w:t>Financial Regulations and Rules</w:t>
            </w:r>
            <w:r>
              <w:rPr>
                <w:rFonts w:cs="Arial"/>
                <w:sz w:val="16"/>
                <w:szCs w:val="16"/>
                <w:lang w:bidi="th-TH"/>
              </w:rPr>
              <w:t xml:space="preserve"> </w:t>
            </w:r>
            <w:r w:rsidRPr="003B27D5">
              <w:rPr>
                <w:rFonts w:cs="Arial"/>
                <w:sz w:val="16"/>
                <w:szCs w:val="16"/>
                <w:lang w:bidi="th-TH"/>
              </w:rPr>
              <w:t>and relevant Office Instructions (OIs) up to date</w:t>
            </w:r>
          </w:p>
          <w:p w:rsidR="00476B04" w:rsidRPr="003B27D5" w:rsidRDefault="00476B04" w:rsidP="00271CFB">
            <w:pPr>
              <w:rPr>
                <w:rFonts w:cs="Arial"/>
                <w:sz w:val="16"/>
                <w:szCs w:val="16"/>
                <w:lang w:bidi="th-TH"/>
              </w:rPr>
            </w:pPr>
          </w:p>
        </w:tc>
        <w:tc>
          <w:tcPr>
            <w:tcW w:w="993" w:type="pct"/>
          </w:tcPr>
          <w:p w:rsidR="00476B04" w:rsidRPr="001C67B1" w:rsidRDefault="00476B04" w:rsidP="00271CFB">
            <w:pPr>
              <w:rPr>
                <w:rFonts w:cs="Arial"/>
                <w:i/>
                <w:color w:val="002060"/>
                <w:sz w:val="16"/>
                <w:szCs w:val="16"/>
              </w:rPr>
            </w:pPr>
            <w:r w:rsidRPr="001C67B1">
              <w:rPr>
                <w:rFonts w:cs="Arial"/>
                <w:i/>
                <w:color w:val="002060"/>
                <w:sz w:val="16"/>
                <w:szCs w:val="16"/>
              </w:rPr>
              <w:t>Updated Baseline end 201</w:t>
            </w:r>
            <w:r>
              <w:rPr>
                <w:rFonts w:cs="Arial"/>
                <w:i/>
                <w:color w:val="002060"/>
                <w:sz w:val="16"/>
                <w:szCs w:val="16"/>
              </w:rPr>
              <w:t>3</w:t>
            </w:r>
            <w:r w:rsidRPr="001C67B1">
              <w:rPr>
                <w:rFonts w:cs="Arial"/>
                <w:i/>
                <w:color w:val="002060"/>
                <w:sz w:val="16"/>
                <w:szCs w:val="16"/>
              </w:rPr>
              <w:t xml:space="preserve">: </w:t>
            </w:r>
            <w:r w:rsidRPr="009B40F6">
              <w:rPr>
                <w:rFonts w:cs="Arial"/>
                <w:sz w:val="16"/>
                <w:szCs w:val="16"/>
                <w:lang w:bidi="th-TH"/>
              </w:rPr>
              <w:t>OIs issued in 2012 and 2013. FRR</w:t>
            </w:r>
            <w:r>
              <w:rPr>
                <w:rFonts w:cs="Arial"/>
                <w:sz w:val="16"/>
                <w:szCs w:val="16"/>
                <w:lang w:bidi="th-TH"/>
              </w:rPr>
              <w:t>s</w:t>
            </w:r>
            <w:r w:rsidRPr="009B40F6">
              <w:rPr>
                <w:rFonts w:cs="Arial"/>
                <w:sz w:val="16"/>
                <w:szCs w:val="16"/>
                <w:lang w:bidi="th-TH"/>
              </w:rPr>
              <w:t xml:space="preserve"> amended in 2012 </w:t>
            </w:r>
            <w:r>
              <w:rPr>
                <w:rFonts w:cs="Arial"/>
                <w:sz w:val="16"/>
                <w:szCs w:val="16"/>
                <w:lang w:bidi="th-TH"/>
              </w:rPr>
              <w:t xml:space="preserve">and 2013 </w:t>
            </w:r>
            <w:r w:rsidRPr="009B40F6">
              <w:rPr>
                <w:rFonts w:cs="Arial"/>
                <w:sz w:val="16"/>
                <w:szCs w:val="16"/>
                <w:lang w:bidi="th-TH"/>
              </w:rPr>
              <w:t>as deemed necessary</w:t>
            </w:r>
          </w:p>
          <w:p w:rsidR="00476B04" w:rsidRPr="001C67B1" w:rsidRDefault="00476B04" w:rsidP="00271CFB">
            <w:pPr>
              <w:rPr>
                <w:rFonts w:cs="Arial"/>
                <w:i/>
                <w:sz w:val="8"/>
                <w:szCs w:val="8"/>
              </w:rPr>
            </w:pPr>
          </w:p>
          <w:p w:rsidR="00476B04" w:rsidRDefault="00476B04" w:rsidP="00271CFB">
            <w:pPr>
              <w:rPr>
                <w:rFonts w:cs="Arial"/>
                <w:sz w:val="16"/>
                <w:szCs w:val="16"/>
                <w:lang w:bidi="th-TH"/>
              </w:rPr>
            </w:pPr>
            <w:r>
              <w:rPr>
                <w:rFonts w:cs="Arial"/>
                <w:i/>
                <w:sz w:val="16"/>
                <w:szCs w:val="16"/>
              </w:rPr>
              <w:t>Original Baseline P&amp;B 2014</w:t>
            </w:r>
            <w:r w:rsidRPr="001C67B1">
              <w:rPr>
                <w:rFonts w:cs="Arial"/>
                <w:i/>
                <w:sz w:val="16"/>
                <w:szCs w:val="16"/>
              </w:rPr>
              <w:t>/1</w:t>
            </w:r>
            <w:r>
              <w:rPr>
                <w:rFonts w:cs="Arial"/>
                <w:i/>
                <w:sz w:val="16"/>
                <w:szCs w:val="16"/>
              </w:rPr>
              <w:t>5</w:t>
            </w:r>
            <w:r w:rsidRPr="001C67B1">
              <w:rPr>
                <w:rFonts w:cs="Arial"/>
                <w:i/>
                <w:sz w:val="16"/>
                <w:szCs w:val="16"/>
              </w:rPr>
              <w:t>:</w:t>
            </w:r>
            <w:r>
              <w:rPr>
                <w:rFonts w:cs="Arial"/>
                <w:sz w:val="16"/>
                <w:szCs w:val="16"/>
                <w:lang w:bidi="th-TH"/>
              </w:rPr>
              <w:t xml:space="preserve">  </w:t>
            </w:r>
            <w:r w:rsidRPr="009B40F6">
              <w:rPr>
                <w:rFonts w:cs="Arial"/>
                <w:sz w:val="16"/>
                <w:szCs w:val="16"/>
                <w:lang w:bidi="th-TH"/>
              </w:rPr>
              <w:t>OIs issued in 2012 and 2013. FRR amended in 2012 as deemed necessary</w:t>
            </w:r>
          </w:p>
          <w:p w:rsidR="00476B04" w:rsidRPr="001C67B1" w:rsidRDefault="00476B04" w:rsidP="00271CFB">
            <w:pPr>
              <w:rPr>
                <w:rFonts w:cs="Arial"/>
                <w:i/>
                <w:color w:val="002060"/>
                <w:sz w:val="16"/>
                <w:szCs w:val="16"/>
              </w:rPr>
            </w:pPr>
          </w:p>
        </w:tc>
        <w:tc>
          <w:tcPr>
            <w:tcW w:w="754" w:type="pct"/>
            <w:tcMar>
              <w:top w:w="110" w:type="dxa"/>
              <w:left w:w="108" w:type="dxa"/>
              <w:bottom w:w="0" w:type="dxa"/>
              <w:right w:w="108" w:type="dxa"/>
            </w:tcMar>
          </w:tcPr>
          <w:p w:rsidR="00476B04" w:rsidRPr="001C67B1" w:rsidRDefault="00476B04" w:rsidP="00271CFB">
            <w:pPr>
              <w:autoSpaceDE w:val="0"/>
              <w:autoSpaceDN w:val="0"/>
              <w:adjustRightInd w:val="0"/>
              <w:rPr>
                <w:rFonts w:cs="Arial"/>
                <w:sz w:val="16"/>
                <w:szCs w:val="16"/>
              </w:rPr>
            </w:pPr>
            <w:r w:rsidRPr="009B40F6">
              <w:rPr>
                <w:rFonts w:cs="Arial"/>
                <w:sz w:val="16"/>
                <w:szCs w:val="16"/>
              </w:rPr>
              <w:t>Review and revision of regulatory framework if/as appropriate</w:t>
            </w:r>
          </w:p>
        </w:tc>
        <w:tc>
          <w:tcPr>
            <w:tcW w:w="1591" w:type="pct"/>
            <w:gridSpan w:val="2"/>
            <w:shd w:val="clear" w:color="auto" w:fill="FFFFFF"/>
            <w:tcMar>
              <w:top w:w="110" w:type="dxa"/>
              <w:left w:w="108" w:type="dxa"/>
              <w:bottom w:w="0" w:type="dxa"/>
              <w:right w:w="108" w:type="dxa"/>
            </w:tcMar>
          </w:tcPr>
          <w:p w:rsidR="00476B04" w:rsidRDefault="00476B04" w:rsidP="00361A1E">
            <w:pPr>
              <w:pStyle w:val="ListParagraph"/>
              <w:numPr>
                <w:ilvl w:val="0"/>
                <w:numId w:val="40"/>
              </w:numPr>
              <w:spacing w:after="200" w:line="276" w:lineRule="auto"/>
              <w:ind w:left="333" w:hanging="283"/>
              <w:contextualSpacing/>
              <w:rPr>
                <w:rFonts w:cs="Arial"/>
                <w:sz w:val="16"/>
                <w:szCs w:val="16"/>
              </w:rPr>
            </w:pPr>
            <w:r>
              <w:rPr>
                <w:rFonts w:cs="Arial"/>
                <w:sz w:val="16"/>
                <w:szCs w:val="16"/>
              </w:rPr>
              <w:t>Review and/or issuance of OIs, including those dealing with:</w:t>
            </w:r>
          </w:p>
          <w:p w:rsidR="00476B04" w:rsidRDefault="00476B04" w:rsidP="00361A1E">
            <w:pPr>
              <w:pStyle w:val="ListParagraph"/>
              <w:numPr>
                <w:ilvl w:val="1"/>
                <w:numId w:val="40"/>
              </w:numPr>
              <w:spacing w:after="200" w:line="276" w:lineRule="auto"/>
              <w:ind w:left="828" w:hanging="495"/>
              <w:contextualSpacing/>
              <w:rPr>
                <w:rFonts w:cs="Arial"/>
                <w:sz w:val="16"/>
                <w:szCs w:val="16"/>
              </w:rPr>
            </w:pPr>
            <w:r w:rsidRPr="002442E5">
              <w:rPr>
                <w:rFonts w:cs="Arial"/>
                <w:sz w:val="16"/>
                <w:szCs w:val="16"/>
              </w:rPr>
              <w:t>Procurement General Principles and Basic Rules</w:t>
            </w:r>
            <w:r>
              <w:rPr>
                <w:rFonts w:cs="Arial"/>
                <w:sz w:val="16"/>
                <w:szCs w:val="16"/>
              </w:rPr>
              <w:t xml:space="preserve"> (OI 1/2014)</w:t>
            </w:r>
          </w:p>
          <w:p w:rsidR="00476B04" w:rsidRDefault="00476B04" w:rsidP="00361A1E">
            <w:pPr>
              <w:pStyle w:val="ListParagraph"/>
              <w:numPr>
                <w:ilvl w:val="1"/>
                <w:numId w:val="40"/>
              </w:numPr>
              <w:spacing w:after="200" w:line="276" w:lineRule="auto"/>
              <w:ind w:left="828" w:hanging="495"/>
              <w:contextualSpacing/>
              <w:rPr>
                <w:rFonts w:cs="Arial"/>
                <w:sz w:val="16"/>
                <w:szCs w:val="16"/>
              </w:rPr>
            </w:pPr>
            <w:r>
              <w:rPr>
                <w:rFonts w:cs="Arial"/>
                <w:sz w:val="16"/>
                <w:szCs w:val="16"/>
              </w:rPr>
              <w:t>Salary Advances (10/2014)</w:t>
            </w:r>
          </w:p>
          <w:p w:rsidR="00476B04" w:rsidRPr="00C63F93" w:rsidRDefault="00476B04" w:rsidP="00361A1E">
            <w:pPr>
              <w:pStyle w:val="ListParagraph"/>
              <w:numPr>
                <w:ilvl w:val="1"/>
                <w:numId w:val="40"/>
              </w:numPr>
              <w:spacing w:after="200" w:line="276" w:lineRule="auto"/>
              <w:ind w:left="828" w:hanging="495"/>
              <w:contextualSpacing/>
              <w:rPr>
                <w:rFonts w:cs="Arial"/>
                <w:sz w:val="16"/>
                <w:szCs w:val="16"/>
              </w:rPr>
            </w:pPr>
            <w:r>
              <w:rPr>
                <w:rFonts w:cs="Arial"/>
                <w:sz w:val="16"/>
                <w:szCs w:val="16"/>
              </w:rPr>
              <w:t>Policy on Usage of Mobile Telecommunication Devices (17/2014)</w:t>
            </w:r>
          </w:p>
          <w:p w:rsidR="00476B04" w:rsidRDefault="00476B04" w:rsidP="00361A1E">
            <w:pPr>
              <w:pStyle w:val="ListParagraph"/>
              <w:numPr>
                <w:ilvl w:val="1"/>
                <w:numId w:val="40"/>
              </w:numPr>
              <w:spacing w:after="200" w:line="276" w:lineRule="auto"/>
              <w:ind w:left="828" w:hanging="495"/>
              <w:contextualSpacing/>
              <w:rPr>
                <w:rFonts w:cs="Arial"/>
                <w:sz w:val="16"/>
                <w:szCs w:val="16"/>
              </w:rPr>
            </w:pPr>
            <w:r w:rsidRPr="00790855">
              <w:rPr>
                <w:rFonts w:cs="Arial"/>
                <w:sz w:val="16"/>
                <w:szCs w:val="16"/>
              </w:rPr>
              <w:t xml:space="preserve">Establishment of </w:t>
            </w:r>
            <w:r>
              <w:rPr>
                <w:rFonts w:cs="Arial"/>
                <w:sz w:val="16"/>
                <w:szCs w:val="16"/>
              </w:rPr>
              <w:t xml:space="preserve">the </w:t>
            </w:r>
            <w:r w:rsidRPr="00790855">
              <w:rPr>
                <w:rFonts w:cs="Arial"/>
                <w:sz w:val="16"/>
                <w:szCs w:val="16"/>
              </w:rPr>
              <w:t>R</w:t>
            </w:r>
            <w:r>
              <w:rPr>
                <w:rFonts w:cs="Arial"/>
                <w:sz w:val="16"/>
                <w:szCs w:val="16"/>
              </w:rPr>
              <w:t xml:space="preserve">isk </w:t>
            </w:r>
            <w:r w:rsidRPr="00790855">
              <w:rPr>
                <w:rFonts w:cs="Arial"/>
                <w:sz w:val="16"/>
                <w:szCs w:val="16"/>
              </w:rPr>
              <w:t>M</w:t>
            </w:r>
            <w:r>
              <w:rPr>
                <w:rFonts w:cs="Arial"/>
                <w:sz w:val="16"/>
                <w:szCs w:val="16"/>
              </w:rPr>
              <w:t xml:space="preserve">anagement </w:t>
            </w:r>
            <w:r w:rsidRPr="00790855">
              <w:rPr>
                <w:rFonts w:cs="Arial"/>
                <w:sz w:val="16"/>
                <w:szCs w:val="16"/>
              </w:rPr>
              <w:t>G</w:t>
            </w:r>
            <w:r>
              <w:rPr>
                <w:rFonts w:cs="Arial"/>
                <w:sz w:val="16"/>
                <w:szCs w:val="16"/>
              </w:rPr>
              <w:t>roup (OI 18/2014)</w:t>
            </w:r>
          </w:p>
          <w:p w:rsidR="00476B04" w:rsidRDefault="00476B04" w:rsidP="00361A1E">
            <w:pPr>
              <w:pStyle w:val="ListParagraph"/>
              <w:numPr>
                <w:ilvl w:val="1"/>
                <w:numId w:val="40"/>
              </w:numPr>
              <w:spacing w:after="200" w:line="276" w:lineRule="auto"/>
              <w:ind w:left="828" w:hanging="495"/>
              <w:contextualSpacing/>
              <w:rPr>
                <w:rFonts w:cs="Arial"/>
                <w:sz w:val="16"/>
                <w:szCs w:val="16"/>
              </w:rPr>
            </w:pPr>
            <w:r>
              <w:rPr>
                <w:rFonts w:cs="Arial"/>
                <w:sz w:val="16"/>
                <w:szCs w:val="16"/>
              </w:rPr>
              <w:t>Home leave (22/2014)</w:t>
            </w:r>
          </w:p>
          <w:p w:rsidR="00476B04" w:rsidRDefault="00476B04" w:rsidP="00361A1E">
            <w:pPr>
              <w:pStyle w:val="ListParagraph"/>
              <w:numPr>
                <w:ilvl w:val="1"/>
                <w:numId w:val="40"/>
              </w:numPr>
              <w:spacing w:after="200" w:line="276" w:lineRule="auto"/>
              <w:ind w:left="828" w:hanging="495"/>
              <w:contextualSpacing/>
              <w:rPr>
                <w:rFonts w:cs="Arial"/>
                <w:sz w:val="16"/>
                <w:szCs w:val="16"/>
              </w:rPr>
            </w:pPr>
            <w:r>
              <w:rPr>
                <w:rFonts w:cs="Arial"/>
                <w:sz w:val="16"/>
                <w:szCs w:val="16"/>
              </w:rPr>
              <w:t xml:space="preserve">WIPO </w:t>
            </w:r>
            <w:r w:rsidRPr="00790855">
              <w:rPr>
                <w:rFonts w:cs="Arial"/>
                <w:sz w:val="16"/>
                <w:szCs w:val="16"/>
              </w:rPr>
              <w:t xml:space="preserve">Risk Management Policy </w:t>
            </w:r>
            <w:r>
              <w:rPr>
                <w:rFonts w:cs="Arial"/>
                <w:sz w:val="16"/>
                <w:szCs w:val="16"/>
              </w:rPr>
              <w:t>(34/2014)</w:t>
            </w:r>
          </w:p>
          <w:p w:rsidR="00476B04" w:rsidRDefault="00476B04" w:rsidP="00361A1E">
            <w:pPr>
              <w:pStyle w:val="ListParagraph"/>
              <w:numPr>
                <w:ilvl w:val="1"/>
                <w:numId w:val="40"/>
              </w:numPr>
              <w:spacing w:after="200" w:line="276" w:lineRule="auto"/>
              <w:ind w:left="828" w:hanging="495"/>
              <w:contextualSpacing/>
              <w:rPr>
                <w:rFonts w:cs="Arial"/>
                <w:sz w:val="16"/>
                <w:szCs w:val="16"/>
              </w:rPr>
            </w:pPr>
            <w:r w:rsidRPr="00790855">
              <w:rPr>
                <w:rFonts w:cs="Arial"/>
                <w:sz w:val="16"/>
                <w:szCs w:val="16"/>
              </w:rPr>
              <w:t xml:space="preserve">Cash Management and Financial </w:t>
            </w:r>
            <w:r>
              <w:rPr>
                <w:rFonts w:cs="Arial"/>
                <w:sz w:val="16"/>
                <w:szCs w:val="16"/>
              </w:rPr>
              <w:t>G</w:t>
            </w:r>
            <w:r w:rsidRPr="00790855">
              <w:rPr>
                <w:rFonts w:cs="Arial"/>
                <w:sz w:val="16"/>
                <w:szCs w:val="16"/>
              </w:rPr>
              <w:t xml:space="preserve">uidelines </w:t>
            </w:r>
            <w:r>
              <w:rPr>
                <w:rFonts w:cs="Arial"/>
                <w:sz w:val="16"/>
                <w:szCs w:val="16"/>
              </w:rPr>
              <w:t xml:space="preserve">for WIPO’s </w:t>
            </w:r>
            <w:r w:rsidRPr="00790855">
              <w:rPr>
                <w:rFonts w:cs="Arial"/>
                <w:sz w:val="16"/>
                <w:szCs w:val="16"/>
              </w:rPr>
              <w:t>Ext</w:t>
            </w:r>
            <w:r>
              <w:rPr>
                <w:rFonts w:cs="Arial"/>
                <w:sz w:val="16"/>
                <w:szCs w:val="16"/>
              </w:rPr>
              <w:t>ernal</w:t>
            </w:r>
            <w:r w:rsidRPr="00790855">
              <w:rPr>
                <w:rFonts w:cs="Arial"/>
                <w:sz w:val="16"/>
                <w:szCs w:val="16"/>
              </w:rPr>
              <w:t xml:space="preserve"> Offices </w:t>
            </w:r>
            <w:r>
              <w:rPr>
                <w:rFonts w:cs="Arial"/>
                <w:sz w:val="16"/>
                <w:szCs w:val="16"/>
              </w:rPr>
              <w:t>Scope and Purpose (45/2014)</w:t>
            </w:r>
          </w:p>
          <w:p w:rsidR="00476B04" w:rsidRDefault="00476B04" w:rsidP="00361A1E">
            <w:pPr>
              <w:pStyle w:val="ListParagraph"/>
              <w:numPr>
                <w:ilvl w:val="1"/>
                <w:numId w:val="40"/>
              </w:numPr>
              <w:spacing w:after="200" w:line="276" w:lineRule="auto"/>
              <w:ind w:left="828" w:hanging="495"/>
              <w:contextualSpacing/>
              <w:rPr>
                <w:rFonts w:cs="Arial"/>
                <w:sz w:val="16"/>
                <w:szCs w:val="16"/>
              </w:rPr>
            </w:pPr>
            <w:r>
              <w:rPr>
                <w:rFonts w:cs="Arial"/>
                <w:sz w:val="16"/>
                <w:szCs w:val="16"/>
              </w:rPr>
              <w:t xml:space="preserve">Official </w:t>
            </w:r>
            <w:r w:rsidRPr="00790855">
              <w:rPr>
                <w:rFonts w:cs="Arial"/>
                <w:sz w:val="16"/>
                <w:szCs w:val="16"/>
              </w:rPr>
              <w:t xml:space="preserve">Hospitality </w:t>
            </w:r>
            <w:r>
              <w:rPr>
                <w:rFonts w:cs="Arial"/>
                <w:sz w:val="16"/>
                <w:szCs w:val="16"/>
              </w:rPr>
              <w:t xml:space="preserve"> (3/2012 Rev.)</w:t>
            </w:r>
          </w:p>
          <w:p w:rsidR="00476B04" w:rsidRDefault="00476B04" w:rsidP="00361A1E">
            <w:pPr>
              <w:pStyle w:val="ListParagraph"/>
              <w:numPr>
                <w:ilvl w:val="1"/>
                <w:numId w:val="40"/>
              </w:numPr>
              <w:spacing w:after="200" w:line="276" w:lineRule="auto"/>
              <w:ind w:left="828" w:hanging="495"/>
              <w:contextualSpacing/>
              <w:rPr>
                <w:rFonts w:cs="Arial"/>
                <w:sz w:val="16"/>
                <w:szCs w:val="16"/>
              </w:rPr>
            </w:pPr>
            <w:r>
              <w:rPr>
                <w:rFonts w:cs="Arial"/>
                <w:sz w:val="16"/>
                <w:szCs w:val="16"/>
              </w:rPr>
              <w:t>Official Travel and Related Expenses (29/2013 Rev.)</w:t>
            </w:r>
          </w:p>
          <w:p w:rsidR="00476B04" w:rsidRPr="00476B04" w:rsidRDefault="00476B04" w:rsidP="00476B04">
            <w:pPr>
              <w:spacing w:after="200" w:line="276" w:lineRule="auto"/>
              <w:contextualSpacing/>
              <w:rPr>
                <w:rFonts w:cs="Arial"/>
                <w:sz w:val="16"/>
                <w:szCs w:val="16"/>
              </w:rPr>
            </w:pPr>
          </w:p>
          <w:p w:rsidR="00476B04" w:rsidRDefault="00476B04" w:rsidP="00476B04">
            <w:pPr>
              <w:pStyle w:val="ListParagraph"/>
              <w:keepNext/>
              <w:keepLines/>
              <w:numPr>
                <w:ilvl w:val="0"/>
                <w:numId w:val="40"/>
              </w:numPr>
              <w:spacing w:after="200" w:line="276" w:lineRule="auto"/>
              <w:ind w:left="335" w:hanging="284"/>
              <w:contextualSpacing/>
              <w:rPr>
                <w:rFonts w:cs="Arial"/>
                <w:sz w:val="16"/>
                <w:szCs w:val="16"/>
              </w:rPr>
            </w:pPr>
            <w:r>
              <w:rPr>
                <w:rFonts w:cs="Arial"/>
                <w:sz w:val="16"/>
                <w:szCs w:val="16"/>
              </w:rPr>
              <w:lastRenderedPageBreak/>
              <w:t>Review and a</w:t>
            </w:r>
            <w:r w:rsidRPr="00790855">
              <w:rPr>
                <w:rFonts w:cs="Arial"/>
                <w:sz w:val="16"/>
                <w:szCs w:val="16"/>
              </w:rPr>
              <w:t xml:space="preserve">mendments to the </w:t>
            </w:r>
            <w:r>
              <w:rPr>
                <w:rFonts w:cs="Arial"/>
                <w:sz w:val="16"/>
                <w:szCs w:val="16"/>
              </w:rPr>
              <w:t>FRRs (OI/60/2014) in October 2014</w:t>
            </w:r>
          </w:p>
          <w:p w:rsidR="00476B04" w:rsidRDefault="00476B04" w:rsidP="00476B04">
            <w:pPr>
              <w:pStyle w:val="ListParagraph"/>
              <w:keepNext/>
              <w:keepLines/>
              <w:numPr>
                <w:ilvl w:val="0"/>
                <w:numId w:val="40"/>
              </w:numPr>
              <w:spacing w:after="200" w:line="276" w:lineRule="auto"/>
              <w:ind w:left="335" w:hanging="284"/>
              <w:contextualSpacing/>
              <w:rPr>
                <w:rFonts w:cs="Arial"/>
                <w:sz w:val="16"/>
                <w:szCs w:val="16"/>
              </w:rPr>
            </w:pPr>
            <w:r w:rsidRPr="00790855">
              <w:rPr>
                <w:rFonts w:cs="Arial"/>
                <w:sz w:val="16"/>
                <w:szCs w:val="16"/>
              </w:rPr>
              <w:t>Review of Programmatic and Administrative Designations and UNDP signatories</w:t>
            </w:r>
            <w:r>
              <w:rPr>
                <w:rFonts w:cs="Arial"/>
                <w:sz w:val="16"/>
                <w:szCs w:val="16"/>
              </w:rPr>
              <w:t>, and introduction of an electronic application to manage programmatic designations</w:t>
            </w:r>
          </w:p>
          <w:p w:rsidR="00476B04" w:rsidRDefault="00476B04" w:rsidP="00361A1E">
            <w:pPr>
              <w:pStyle w:val="ListParagraph"/>
              <w:numPr>
                <w:ilvl w:val="0"/>
                <w:numId w:val="40"/>
              </w:numPr>
              <w:spacing w:after="200" w:line="276" w:lineRule="auto"/>
              <w:ind w:left="333" w:hanging="283"/>
              <w:contextualSpacing/>
              <w:rPr>
                <w:rFonts w:cs="Arial"/>
                <w:sz w:val="16"/>
                <w:szCs w:val="16"/>
              </w:rPr>
            </w:pPr>
            <w:r>
              <w:rPr>
                <w:rFonts w:cs="Arial"/>
                <w:sz w:val="16"/>
                <w:szCs w:val="16"/>
              </w:rPr>
              <w:t>Ongoing work on the review  and/or drafting of new OIs on:</w:t>
            </w:r>
          </w:p>
          <w:p w:rsidR="00476B04" w:rsidRDefault="00476B04" w:rsidP="00361A1E">
            <w:pPr>
              <w:pStyle w:val="ListParagraph"/>
              <w:numPr>
                <w:ilvl w:val="1"/>
                <w:numId w:val="40"/>
              </w:numPr>
              <w:spacing w:after="200" w:line="276" w:lineRule="auto"/>
              <w:ind w:left="828" w:hanging="495"/>
              <w:contextualSpacing/>
              <w:rPr>
                <w:rFonts w:cs="Arial"/>
                <w:sz w:val="16"/>
                <w:szCs w:val="16"/>
              </w:rPr>
            </w:pPr>
            <w:r>
              <w:rPr>
                <w:rFonts w:cs="Arial"/>
                <w:sz w:val="16"/>
                <w:szCs w:val="16"/>
              </w:rPr>
              <w:t>Property Management</w:t>
            </w:r>
          </w:p>
          <w:p w:rsidR="00476B04" w:rsidRDefault="00476B04" w:rsidP="00361A1E">
            <w:pPr>
              <w:pStyle w:val="ListParagraph"/>
              <w:numPr>
                <w:ilvl w:val="1"/>
                <w:numId w:val="40"/>
              </w:numPr>
              <w:spacing w:after="200" w:line="276" w:lineRule="auto"/>
              <w:ind w:left="828" w:hanging="495"/>
              <w:contextualSpacing/>
              <w:rPr>
                <w:rFonts w:cs="Arial"/>
                <w:sz w:val="16"/>
                <w:szCs w:val="16"/>
              </w:rPr>
            </w:pPr>
            <w:r>
              <w:rPr>
                <w:rFonts w:cs="Arial"/>
                <w:sz w:val="16"/>
                <w:szCs w:val="16"/>
              </w:rPr>
              <w:t>Management of Voluntary Contributions</w:t>
            </w:r>
          </w:p>
          <w:p w:rsidR="00476B04" w:rsidRPr="002B41FE" w:rsidRDefault="00476B04" w:rsidP="00361A1E">
            <w:pPr>
              <w:pStyle w:val="ListParagraph"/>
              <w:numPr>
                <w:ilvl w:val="1"/>
                <w:numId w:val="40"/>
              </w:numPr>
              <w:spacing w:after="200" w:line="276" w:lineRule="auto"/>
              <w:ind w:left="828" w:hanging="495"/>
              <w:contextualSpacing/>
              <w:rPr>
                <w:rFonts w:cs="Arial"/>
                <w:sz w:val="16"/>
                <w:szCs w:val="16"/>
              </w:rPr>
            </w:pPr>
            <w:r>
              <w:rPr>
                <w:rFonts w:cs="Arial"/>
                <w:sz w:val="16"/>
                <w:szCs w:val="16"/>
              </w:rPr>
              <w:t>Financial Disclosure and Declaration of Interest</w:t>
            </w:r>
          </w:p>
        </w:tc>
        <w:tc>
          <w:tcPr>
            <w:tcW w:w="530" w:type="pct"/>
            <w:tcBorders>
              <w:right w:val="single" w:sz="4" w:space="0" w:color="auto"/>
            </w:tcBorders>
            <w:tcMar>
              <w:top w:w="110" w:type="dxa"/>
              <w:left w:w="108" w:type="dxa"/>
              <w:bottom w:w="0" w:type="dxa"/>
              <w:right w:w="108" w:type="dxa"/>
            </w:tcMar>
          </w:tcPr>
          <w:p w:rsidR="00476B04" w:rsidRPr="00A43A93" w:rsidRDefault="00476B04" w:rsidP="00271CFB">
            <w:pPr>
              <w:keepNext/>
              <w:keepLines/>
              <w:jc w:val="center"/>
              <w:rPr>
                <w:rFonts w:cs="Arial"/>
                <w:b/>
                <w:bCs/>
                <w:color w:val="00B050"/>
                <w:sz w:val="16"/>
                <w:szCs w:val="16"/>
              </w:rPr>
            </w:pPr>
            <w:r w:rsidRPr="00A43A93">
              <w:rPr>
                <w:rFonts w:cs="Arial"/>
                <w:b/>
                <w:bCs/>
                <w:color w:val="00B050"/>
                <w:sz w:val="16"/>
                <w:szCs w:val="16"/>
              </w:rPr>
              <w:lastRenderedPageBreak/>
              <w:t>On track</w:t>
            </w:r>
          </w:p>
          <w:p w:rsidR="00476B04" w:rsidRPr="003B27D5" w:rsidRDefault="00476B04" w:rsidP="00271CFB">
            <w:pPr>
              <w:jc w:val="center"/>
              <w:rPr>
                <w:rFonts w:cs="Arial"/>
                <w:bCs/>
                <w:color w:val="404040" w:themeColor="text1" w:themeTint="BF"/>
                <w:sz w:val="16"/>
                <w:szCs w:val="16"/>
              </w:rPr>
            </w:pPr>
          </w:p>
        </w:tc>
      </w:tr>
    </w:tbl>
    <w:p w:rsidR="00361A1E" w:rsidRDefault="00361A1E" w:rsidP="00A8525E">
      <w:pPr>
        <w:rPr>
          <w:rFonts w:cs="Arial"/>
          <w:color w:val="000000"/>
          <w:sz w:val="22"/>
          <w:szCs w:val="22"/>
        </w:rPr>
      </w:pPr>
    </w:p>
    <w:p w:rsidR="00361A1E" w:rsidRDefault="00361A1E" w:rsidP="00A8525E">
      <w:pPr>
        <w:rPr>
          <w:rFonts w:cs="Arial"/>
          <w:color w:val="000000"/>
          <w:sz w:val="22"/>
          <w:szCs w:val="22"/>
        </w:rPr>
      </w:pPr>
    </w:p>
    <w:p w:rsidR="00361A1E" w:rsidRDefault="00361A1E" w:rsidP="00A8525E">
      <w:pPr>
        <w:rPr>
          <w:b/>
          <w:sz w:val="18"/>
          <w:szCs w:val="18"/>
        </w:rPr>
      </w:pPr>
      <w:r>
        <w:rPr>
          <w:rFonts w:cs="Arial"/>
          <w:color w:val="000000"/>
          <w:sz w:val="22"/>
          <w:szCs w:val="22"/>
        </w:rPr>
        <w:t>RESOURCE UTILIZATION</w:t>
      </w:r>
      <w:r>
        <w:rPr>
          <w:rFonts w:cs="Arial"/>
          <w:color w:val="000000"/>
          <w:sz w:val="22"/>
          <w:szCs w:val="22"/>
        </w:rPr>
        <w:tab/>
      </w:r>
    </w:p>
    <w:p w:rsidR="00361A1E" w:rsidRPr="008F4A6D" w:rsidRDefault="00361A1E">
      <w:pPr>
        <w:rPr>
          <w:szCs w:val="20"/>
        </w:rPr>
      </w:pPr>
    </w:p>
    <w:p w:rsidR="00361A1E" w:rsidRPr="00383D2D" w:rsidRDefault="00361A1E" w:rsidP="004611B9">
      <w:pPr>
        <w:pStyle w:val="NormalWeb"/>
        <w:spacing w:before="0" w:beforeAutospacing="0" w:after="0" w:afterAutospacing="0"/>
        <w:jc w:val="center"/>
        <w:rPr>
          <w:sz w:val="20"/>
          <w:szCs w:val="20"/>
        </w:rPr>
      </w:pPr>
      <w:r w:rsidRPr="00383D2D">
        <w:rPr>
          <w:color w:val="000000"/>
          <w:sz w:val="20"/>
          <w:szCs w:val="20"/>
        </w:rPr>
        <w:t xml:space="preserve">Budget and Actual Expenditure (by result) </w:t>
      </w:r>
    </w:p>
    <w:p w:rsidR="00361A1E" w:rsidRDefault="00361A1E" w:rsidP="004611B9">
      <w:pPr>
        <w:pStyle w:val="NormalWeb"/>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361A1E" w:rsidRPr="00D72E68" w:rsidRDefault="00361A1E" w:rsidP="004611B9">
      <w:pPr>
        <w:pStyle w:val="NormalWeb"/>
        <w:spacing w:before="0" w:beforeAutospacing="0" w:after="0" w:afterAutospacing="0"/>
        <w:jc w:val="center"/>
        <w:rPr>
          <w:sz w:val="16"/>
          <w:szCs w:val="20"/>
        </w:rPr>
      </w:pPr>
    </w:p>
    <w:p w:rsidR="00361A1E" w:rsidRDefault="00361A1E" w:rsidP="00271CFB">
      <w:pPr>
        <w:jc w:val="center"/>
      </w:pPr>
      <w:r w:rsidRPr="009129C8">
        <w:rPr>
          <w:noProof/>
        </w:rPr>
        <w:drawing>
          <wp:inline distT="0" distB="0" distL="0" distR="0" wp14:anchorId="23560678" wp14:editId="3642E889">
            <wp:extent cx="5220206" cy="276705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225256" cy="2769731"/>
                    </a:xfrm>
                    <a:prstGeom prst="rect">
                      <a:avLst/>
                    </a:prstGeom>
                    <a:noFill/>
                    <a:ln>
                      <a:noFill/>
                    </a:ln>
                  </pic:spPr>
                </pic:pic>
              </a:graphicData>
            </a:graphic>
          </wp:inline>
        </w:drawing>
      </w:r>
    </w:p>
    <w:p w:rsidR="00361A1E" w:rsidRDefault="00361A1E"/>
    <w:p w:rsidR="00361A1E" w:rsidRDefault="00361A1E"/>
    <w:p w:rsidR="00361A1E" w:rsidRPr="00383D2D" w:rsidRDefault="00361A1E" w:rsidP="00383D2D">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361A1E" w:rsidRPr="00383D2D" w:rsidRDefault="00361A1E" w:rsidP="00383D2D">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361A1E" w:rsidRDefault="00361A1E" w:rsidP="00383D2D">
      <w:pPr>
        <w:pStyle w:val="NormalWeb"/>
        <w:keepNext/>
        <w:keepLines/>
        <w:spacing w:before="0" w:beforeAutospacing="0" w:after="0" w:afterAutospacing="0"/>
        <w:jc w:val="center"/>
      </w:pPr>
    </w:p>
    <w:p w:rsidR="00361A1E" w:rsidRPr="00383D2D" w:rsidRDefault="00361A1E" w:rsidP="00361A1E">
      <w:pPr>
        <w:jc w:val="center"/>
        <w:rPr>
          <w:szCs w:val="20"/>
        </w:rPr>
      </w:pPr>
      <w:r w:rsidRPr="009129C8">
        <w:rPr>
          <w:noProof/>
        </w:rPr>
        <w:drawing>
          <wp:inline distT="0" distB="0" distL="0" distR="0" wp14:anchorId="3FDF996D" wp14:editId="000DB348">
            <wp:extent cx="5434950" cy="1192052"/>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455895" cy="1196646"/>
                    </a:xfrm>
                    <a:prstGeom prst="rect">
                      <a:avLst/>
                    </a:prstGeom>
                    <a:noFill/>
                    <a:ln>
                      <a:noFill/>
                    </a:ln>
                  </pic:spPr>
                </pic:pic>
              </a:graphicData>
            </a:graphic>
          </wp:inline>
        </w:drawing>
      </w:r>
    </w:p>
    <w:p w:rsidR="00361A1E" w:rsidRPr="004312A2" w:rsidRDefault="00361A1E" w:rsidP="00DD012F">
      <w:pPr>
        <w:keepNext/>
        <w:autoSpaceDE w:val="0"/>
        <w:autoSpaceDN w:val="0"/>
        <w:rPr>
          <w:sz w:val="16"/>
          <w:szCs w:val="16"/>
        </w:rPr>
      </w:pPr>
      <w:r w:rsidRPr="009C736D">
        <w:rPr>
          <w:i/>
          <w:sz w:val="16"/>
          <w:szCs w:val="16"/>
        </w:rPr>
        <w:t>NOTE: The 2014/15 Budget after Transfers reflects transfers as of March 31, 2015 to address needs during the 2014/15 biennium in line with Financial Regulation 5.5.</w:t>
      </w:r>
    </w:p>
    <w:p w:rsidR="00361A1E" w:rsidRPr="008F4A6D" w:rsidRDefault="00361A1E" w:rsidP="00420F90">
      <w:pPr>
        <w:widowControl w:val="0"/>
        <w:autoSpaceDE w:val="0"/>
        <w:autoSpaceDN w:val="0"/>
        <w:adjustRightInd w:val="0"/>
        <w:rPr>
          <w:rFonts w:cs="Arial"/>
          <w:szCs w:val="20"/>
        </w:rPr>
      </w:pPr>
    </w:p>
    <w:p w:rsidR="00361A1E" w:rsidRPr="001C6F4D" w:rsidRDefault="00361A1E" w:rsidP="00420F90">
      <w:pPr>
        <w:widowControl w:val="0"/>
        <w:autoSpaceDE w:val="0"/>
        <w:autoSpaceDN w:val="0"/>
        <w:adjustRightInd w:val="0"/>
        <w:rPr>
          <w:rFonts w:cs="Arial"/>
          <w:szCs w:val="20"/>
        </w:rPr>
      </w:pPr>
    </w:p>
    <w:p w:rsidR="00361A1E" w:rsidRDefault="00361A1E" w:rsidP="00D72E68">
      <w:pPr>
        <w:keepNext/>
        <w:keepLines/>
        <w:rPr>
          <w:rFonts w:cs="Arial"/>
          <w:u w:val="single"/>
        </w:rPr>
      </w:pPr>
      <w:r w:rsidRPr="00420F90">
        <w:rPr>
          <w:rFonts w:cs="Arial"/>
          <w:szCs w:val="20"/>
        </w:rPr>
        <w:lastRenderedPageBreak/>
        <w:t>A.</w:t>
      </w:r>
      <w:r w:rsidRPr="00420F90">
        <w:rPr>
          <w:rFonts w:cs="Arial"/>
        </w:rPr>
        <w:tab/>
      </w:r>
      <w:r w:rsidRPr="00420F90">
        <w:rPr>
          <w:rFonts w:cs="Arial"/>
          <w:u w:val="single"/>
        </w:rPr>
        <w:t>Budget after Transfers 201</w:t>
      </w:r>
      <w:r>
        <w:rPr>
          <w:rFonts w:cs="Arial"/>
          <w:u w:val="single"/>
        </w:rPr>
        <w:t>4/15</w:t>
      </w:r>
    </w:p>
    <w:p w:rsidR="00361A1E" w:rsidRPr="00420F90" w:rsidRDefault="00361A1E" w:rsidP="00D72E68">
      <w:pPr>
        <w:keepNext/>
        <w:keepLines/>
        <w:rPr>
          <w:rFonts w:cs="Arial"/>
          <w:u w:val="single"/>
        </w:rPr>
      </w:pPr>
    </w:p>
    <w:p w:rsidR="00361A1E" w:rsidRDefault="00361A1E" w:rsidP="00D72E68">
      <w:pPr>
        <w:pStyle w:val="ListParagraph"/>
        <w:keepNext/>
        <w:keepLines/>
        <w:numPr>
          <w:ilvl w:val="0"/>
          <w:numId w:val="42"/>
        </w:numPr>
        <w:tabs>
          <w:tab w:val="left" w:pos="709"/>
        </w:tabs>
        <w:ind w:left="0" w:firstLine="0"/>
        <w:rPr>
          <w:rFonts w:cs="Arial"/>
        </w:rPr>
      </w:pPr>
      <w:r>
        <w:rPr>
          <w:rFonts w:cs="Arial"/>
        </w:rPr>
        <w:t xml:space="preserve">The slight increase in the 2014/15 Budget after Transfers emanates primarily from an increase in personnel resources, due to the ongoing regularization of continuing functions within the Program. </w:t>
      </w:r>
    </w:p>
    <w:p w:rsidR="00361A1E" w:rsidRDefault="00361A1E" w:rsidP="00D72E68">
      <w:pPr>
        <w:keepNext/>
        <w:keepLines/>
        <w:jc w:val="both"/>
        <w:rPr>
          <w:rFonts w:cs="Arial"/>
          <w:szCs w:val="20"/>
        </w:rPr>
      </w:pPr>
    </w:p>
    <w:p w:rsidR="00361A1E" w:rsidRDefault="00361A1E" w:rsidP="00D72E68">
      <w:pPr>
        <w:pStyle w:val="ListParagraph"/>
        <w:keepNext/>
        <w:keepLines/>
        <w:numPr>
          <w:ilvl w:val="0"/>
          <w:numId w:val="42"/>
        </w:numPr>
        <w:tabs>
          <w:tab w:val="left" w:pos="709"/>
        </w:tabs>
        <w:ind w:left="0" w:firstLine="0"/>
        <w:rPr>
          <w:rFonts w:cs="Arial"/>
        </w:rPr>
      </w:pPr>
      <w:r>
        <w:rPr>
          <w:rFonts w:cs="Arial"/>
        </w:rPr>
        <w:t xml:space="preserve">The shift in resources between the Expected Results, is primarily due to the fact that resources dedicated to the mainstreaming of the new modules and capabilities of the ERP system were linked to ER IX.2 in the 2014/15 Approved Budget, however since these activities are primarily service related, there were more accurately reflected under ER IX.1 in the 2014/15 Budget after Transfers. The increase under ER IX.8 is primarily due to the increased support provided by the Program to the work of the External Auditors. </w:t>
      </w:r>
    </w:p>
    <w:p w:rsidR="00361A1E" w:rsidRDefault="00361A1E" w:rsidP="00271CFB">
      <w:pPr>
        <w:autoSpaceDE w:val="0"/>
        <w:autoSpaceDN w:val="0"/>
        <w:jc w:val="both"/>
        <w:rPr>
          <w:rFonts w:cs="Arial"/>
          <w:szCs w:val="20"/>
          <w:lang w:eastAsia="ko-KR"/>
        </w:rPr>
      </w:pPr>
    </w:p>
    <w:p w:rsidR="00361A1E" w:rsidRDefault="00361A1E" w:rsidP="00271CFB">
      <w:pPr>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Budget utilization 2014</w:t>
      </w:r>
    </w:p>
    <w:p w:rsidR="00361A1E" w:rsidRDefault="00361A1E" w:rsidP="00383D2D">
      <w:pPr>
        <w:tabs>
          <w:tab w:val="left" w:pos="709"/>
        </w:tabs>
        <w:jc w:val="both"/>
        <w:rPr>
          <w:rFonts w:cs="Arial"/>
          <w:szCs w:val="20"/>
          <w:u w:val="single"/>
          <w:lang w:eastAsia="ko-KR"/>
        </w:rPr>
      </w:pPr>
    </w:p>
    <w:p w:rsidR="00361A1E" w:rsidRPr="002651C8" w:rsidRDefault="00361A1E" w:rsidP="00361A1E">
      <w:pPr>
        <w:pStyle w:val="ListParagraph"/>
        <w:numPr>
          <w:ilvl w:val="0"/>
          <w:numId w:val="42"/>
        </w:numPr>
        <w:tabs>
          <w:tab w:val="left" w:pos="709"/>
        </w:tabs>
        <w:ind w:left="0" w:firstLine="0"/>
        <w:rPr>
          <w:rFonts w:ascii="Calibri" w:hAnsi="Calibri"/>
          <w:sz w:val="22"/>
          <w:szCs w:val="22"/>
        </w:rPr>
      </w:pPr>
      <w:r>
        <w:rPr>
          <w:rFonts w:cs="Arial"/>
          <w:lang w:eastAsia="ko-KR"/>
        </w:rPr>
        <w:t xml:space="preserve">Budget utilization is within the expected range of 40-60 per cent for the first year of the biennium and is on track. </w:t>
      </w:r>
    </w:p>
    <w:p w:rsidR="00D97F1C" w:rsidRDefault="00D97F1C">
      <w:r>
        <w:br w:type="page"/>
      </w:r>
    </w:p>
    <w:p w:rsidR="00D97F1C" w:rsidRPr="00C66D90" w:rsidRDefault="00D97F1C" w:rsidP="00D97F1C">
      <w:pPr>
        <w:pStyle w:val="Heading2"/>
        <w:tabs>
          <w:tab w:val="clear" w:pos="567"/>
          <w:tab w:val="left" w:pos="1985"/>
        </w:tabs>
        <w:jc w:val="both"/>
        <w:rPr>
          <w:szCs w:val="20"/>
        </w:rPr>
      </w:pPr>
      <w:bookmarkStart w:id="93" w:name="_Toc422210512"/>
      <w:r w:rsidRPr="00C66D90">
        <w:rPr>
          <w:szCs w:val="20"/>
        </w:rPr>
        <w:lastRenderedPageBreak/>
        <w:t>PROGRAM 23</w:t>
      </w:r>
      <w:r w:rsidRPr="00C66D90">
        <w:rPr>
          <w:szCs w:val="20"/>
        </w:rPr>
        <w:tab/>
      </w:r>
      <w:r w:rsidRPr="00C66D90">
        <w:rPr>
          <w:szCs w:val="20"/>
        </w:rPr>
        <w:tab/>
        <w:t>HUMAN RESOURCES MANAGEMENT AND DEVELOPMENT</w:t>
      </w:r>
      <w:bookmarkEnd w:id="93"/>
    </w:p>
    <w:p w:rsidR="00D97F1C" w:rsidRPr="00C66D90" w:rsidRDefault="00D97F1C" w:rsidP="00D97F1C">
      <w:pPr>
        <w:tabs>
          <w:tab w:val="left" w:pos="1985"/>
        </w:tabs>
        <w:jc w:val="both"/>
        <w:rPr>
          <w:rFonts w:cs="Arial"/>
          <w:sz w:val="22"/>
          <w:szCs w:val="20"/>
        </w:rPr>
      </w:pPr>
    </w:p>
    <w:p w:rsidR="00D97F1C" w:rsidRPr="00784FF4" w:rsidRDefault="00D97F1C" w:rsidP="00D97F1C">
      <w:pPr>
        <w:tabs>
          <w:tab w:val="left" w:pos="1985"/>
        </w:tabs>
        <w:jc w:val="both"/>
        <w:rPr>
          <w:rFonts w:cs="Arial"/>
          <w:b/>
          <w:szCs w:val="20"/>
        </w:rPr>
      </w:pPr>
      <w:r w:rsidRPr="00784FF4">
        <w:rPr>
          <w:rFonts w:cs="Arial"/>
          <w:b/>
          <w:szCs w:val="20"/>
        </w:rPr>
        <w:t>Program Manager</w:t>
      </w:r>
      <w:r w:rsidRPr="00784FF4">
        <w:rPr>
          <w:rFonts w:cs="Arial"/>
          <w:b/>
          <w:szCs w:val="20"/>
        </w:rPr>
        <w:tab/>
      </w:r>
      <w:r>
        <w:rPr>
          <w:rFonts w:cs="Arial"/>
          <w:b/>
          <w:szCs w:val="20"/>
        </w:rPr>
        <w:t>Director General</w:t>
      </w:r>
    </w:p>
    <w:p w:rsidR="00D97F1C" w:rsidRPr="00797FCA" w:rsidRDefault="00D97F1C" w:rsidP="00D97F1C">
      <w:pPr>
        <w:jc w:val="both"/>
        <w:rPr>
          <w:rFonts w:cs="Arial"/>
          <w:szCs w:val="20"/>
        </w:rPr>
      </w:pPr>
    </w:p>
    <w:p w:rsidR="00114690" w:rsidRPr="00797FCA" w:rsidRDefault="00114690" w:rsidP="00FD7155">
      <w:pPr>
        <w:jc w:val="both"/>
        <w:rPr>
          <w:rFonts w:cs="Arial"/>
          <w:szCs w:val="20"/>
        </w:rPr>
      </w:pPr>
    </w:p>
    <w:p w:rsidR="00114690" w:rsidRPr="00784FF4" w:rsidRDefault="00114690" w:rsidP="00FD7155">
      <w:pPr>
        <w:jc w:val="both"/>
        <w:rPr>
          <w:rFonts w:cs="Arial"/>
          <w:bCs/>
          <w:szCs w:val="20"/>
        </w:rPr>
      </w:pPr>
      <w:r w:rsidRPr="00784FF4">
        <w:rPr>
          <w:rFonts w:cs="Arial"/>
          <w:bCs/>
          <w:szCs w:val="20"/>
        </w:rPr>
        <w:t>OVERVIEW OF PROGRESS IN 2014</w:t>
      </w:r>
    </w:p>
    <w:p w:rsidR="00114690" w:rsidRPr="00797FCA" w:rsidRDefault="00114690" w:rsidP="00FD7155">
      <w:pPr>
        <w:jc w:val="both"/>
        <w:rPr>
          <w:rFonts w:cs="Arial"/>
          <w:szCs w:val="20"/>
        </w:rPr>
      </w:pPr>
    </w:p>
    <w:p w:rsidR="00114690" w:rsidRPr="00797FCA" w:rsidRDefault="00114690" w:rsidP="00FD7155">
      <w:pPr>
        <w:jc w:val="both"/>
        <w:rPr>
          <w:rFonts w:cs="Arial"/>
          <w:szCs w:val="20"/>
        </w:rPr>
      </w:pPr>
    </w:p>
    <w:p w:rsidR="00114690" w:rsidRPr="00C66D90" w:rsidRDefault="00114690" w:rsidP="00114690">
      <w:pPr>
        <w:pStyle w:val="ListParagraph"/>
        <w:numPr>
          <w:ilvl w:val="0"/>
          <w:numId w:val="79"/>
        </w:numPr>
        <w:tabs>
          <w:tab w:val="left" w:pos="709"/>
        </w:tabs>
        <w:ind w:left="0" w:firstLine="0"/>
        <w:jc w:val="both"/>
        <w:rPr>
          <w:rFonts w:cs="Arial"/>
        </w:rPr>
      </w:pPr>
      <w:r w:rsidRPr="00C66D90">
        <w:rPr>
          <w:rFonts w:cs="Arial"/>
        </w:rPr>
        <w:t xml:space="preserve">The year 2014 was the first year of implementation of the Human Resource (HR) Strategy that was approved by Member States in 2013, providing the basis for the short- and medium-term HR plan of action for the 2014/15 biennium.   </w:t>
      </w:r>
    </w:p>
    <w:p w:rsidR="00114690" w:rsidRPr="00784FF4" w:rsidRDefault="00114690" w:rsidP="00FD7155">
      <w:pPr>
        <w:pStyle w:val="Default"/>
        <w:tabs>
          <w:tab w:val="left" w:pos="709"/>
        </w:tabs>
        <w:jc w:val="both"/>
        <w:rPr>
          <w:sz w:val="20"/>
          <w:szCs w:val="20"/>
        </w:rPr>
      </w:pPr>
    </w:p>
    <w:p w:rsidR="00114690" w:rsidRDefault="00114690" w:rsidP="00114690">
      <w:pPr>
        <w:pStyle w:val="Default"/>
        <w:numPr>
          <w:ilvl w:val="0"/>
          <w:numId w:val="79"/>
        </w:numPr>
        <w:tabs>
          <w:tab w:val="left" w:pos="709"/>
        </w:tabs>
        <w:ind w:left="0" w:firstLine="0"/>
        <w:jc w:val="both"/>
        <w:rPr>
          <w:sz w:val="20"/>
          <w:szCs w:val="20"/>
        </w:rPr>
      </w:pPr>
      <w:r>
        <w:rPr>
          <w:sz w:val="20"/>
          <w:szCs w:val="20"/>
        </w:rPr>
        <w:t>In 2014, p</w:t>
      </w:r>
      <w:r w:rsidRPr="00797FCA">
        <w:rPr>
          <w:sz w:val="20"/>
          <w:szCs w:val="20"/>
        </w:rPr>
        <w:t>rogress continue</w:t>
      </w:r>
      <w:r>
        <w:rPr>
          <w:sz w:val="20"/>
          <w:szCs w:val="20"/>
        </w:rPr>
        <w:t>d</w:t>
      </w:r>
      <w:r w:rsidRPr="00797FCA">
        <w:rPr>
          <w:sz w:val="20"/>
          <w:szCs w:val="20"/>
        </w:rPr>
        <w:t xml:space="preserve"> to be made </w:t>
      </w:r>
      <w:r>
        <w:rPr>
          <w:sz w:val="20"/>
          <w:szCs w:val="20"/>
        </w:rPr>
        <w:t>on</w:t>
      </w:r>
      <w:r w:rsidRPr="00797FCA">
        <w:rPr>
          <w:sz w:val="20"/>
          <w:szCs w:val="20"/>
        </w:rPr>
        <w:t xml:space="preserve"> mainstreaming organizational design and workforce planning as fully integrated key business activities. </w:t>
      </w:r>
      <w:r>
        <w:rPr>
          <w:sz w:val="20"/>
          <w:szCs w:val="20"/>
        </w:rPr>
        <w:t xml:space="preserve"> </w:t>
      </w:r>
      <w:r w:rsidRPr="00797FCA">
        <w:rPr>
          <w:sz w:val="20"/>
          <w:szCs w:val="20"/>
        </w:rPr>
        <w:t>Achievements in 2014 included</w:t>
      </w:r>
      <w:r>
        <w:rPr>
          <w:sz w:val="20"/>
          <w:szCs w:val="20"/>
        </w:rPr>
        <w:t>:</w:t>
      </w:r>
      <w:r w:rsidRPr="00797FCA">
        <w:rPr>
          <w:sz w:val="20"/>
          <w:szCs w:val="20"/>
        </w:rPr>
        <w:t xml:space="preserve"> </w:t>
      </w:r>
      <w:r>
        <w:rPr>
          <w:sz w:val="20"/>
          <w:szCs w:val="20"/>
        </w:rPr>
        <w:t>(</w:t>
      </w:r>
      <w:proofErr w:type="spellStart"/>
      <w:r w:rsidRPr="00797FCA">
        <w:rPr>
          <w:sz w:val="20"/>
          <w:szCs w:val="20"/>
        </w:rPr>
        <w:t>i</w:t>
      </w:r>
      <w:proofErr w:type="spellEnd"/>
      <w:r w:rsidRPr="00797FCA">
        <w:rPr>
          <w:sz w:val="20"/>
          <w:szCs w:val="20"/>
        </w:rPr>
        <w:t>) increased manager engagement through delivery of introductory workshops on workforce planning</w:t>
      </w:r>
      <w:r>
        <w:rPr>
          <w:sz w:val="20"/>
          <w:szCs w:val="20"/>
        </w:rPr>
        <w:t xml:space="preserve"> and the development of related guidelines</w:t>
      </w:r>
      <w:r w:rsidRPr="00797FCA">
        <w:rPr>
          <w:sz w:val="20"/>
          <w:szCs w:val="20"/>
        </w:rPr>
        <w:t xml:space="preserve">; </w:t>
      </w:r>
      <w:r>
        <w:rPr>
          <w:sz w:val="20"/>
          <w:szCs w:val="20"/>
        </w:rPr>
        <w:t>(</w:t>
      </w:r>
      <w:r w:rsidRPr="00797FCA">
        <w:rPr>
          <w:sz w:val="20"/>
          <w:szCs w:val="20"/>
        </w:rPr>
        <w:t>ii)</w:t>
      </w:r>
      <w:r>
        <w:rPr>
          <w:sz w:val="20"/>
          <w:szCs w:val="20"/>
        </w:rPr>
        <w:t xml:space="preserve"> development of</w:t>
      </w:r>
      <w:r w:rsidRPr="00797FCA">
        <w:rPr>
          <w:sz w:val="20"/>
          <w:szCs w:val="20"/>
        </w:rPr>
        <w:t xml:space="preserve"> 2014</w:t>
      </w:r>
      <w:r>
        <w:rPr>
          <w:sz w:val="20"/>
          <w:szCs w:val="20"/>
        </w:rPr>
        <w:t>/</w:t>
      </w:r>
      <w:r w:rsidRPr="00797FCA">
        <w:rPr>
          <w:sz w:val="20"/>
          <w:szCs w:val="20"/>
        </w:rPr>
        <w:t>15 workforce action plans</w:t>
      </w:r>
      <w:r>
        <w:rPr>
          <w:sz w:val="20"/>
          <w:szCs w:val="20"/>
        </w:rPr>
        <w:t xml:space="preserve"> for each organizational unit to</w:t>
      </w:r>
      <w:r w:rsidRPr="00797FCA">
        <w:rPr>
          <w:sz w:val="20"/>
          <w:szCs w:val="20"/>
        </w:rPr>
        <w:t xml:space="preserve"> capture and record key HR-related </w:t>
      </w:r>
      <w:r>
        <w:rPr>
          <w:sz w:val="20"/>
          <w:szCs w:val="20"/>
        </w:rPr>
        <w:t>actions to meet business needs</w:t>
      </w:r>
      <w:r w:rsidRPr="00797FCA">
        <w:rPr>
          <w:sz w:val="20"/>
          <w:szCs w:val="20"/>
        </w:rPr>
        <w:t xml:space="preserve">; and </w:t>
      </w:r>
      <w:r>
        <w:rPr>
          <w:sz w:val="20"/>
          <w:szCs w:val="20"/>
        </w:rPr>
        <w:t>(iii</w:t>
      </w:r>
      <w:r w:rsidRPr="00797FCA">
        <w:rPr>
          <w:sz w:val="20"/>
          <w:szCs w:val="20"/>
        </w:rPr>
        <w:t xml:space="preserve">) </w:t>
      </w:r>
      <w:r>
        <w:rPr>
          <w:sz w:val="20"/>
          <w:szCs w:val="20"/>
        </w:rPr>
        <w:t xml:space="preserve">closer alignment of job descriptions and annual </w:t>
      </w:r>
      <w:proofErr w:type="spellStart"/>
      <w:r>
        <w:rPr>
          <w:sz w:val="20"/>
          <w:szCs w:val="20"/>
        </w:rPr>
        <w:t>workplans</w:t>
      </w:r>
      <w:proofErr w:type="spellEnd"/>
      <w:r>
        <w:rPr>
          <w:sz w:val="20"/>
          <w:szCs w:val="20"/>
        </w:rPr>
        <w:t xml:space="preserve">.  As part of the workforce planning exercise managers were encouraged to consider the optimal mix of resources to efficiently address their business needs. </w:t>
      </w:r>
    </w:p>
    <w:p w:rsidR="00114690" w:rsidRPr="00797FCA" w:rsidRDefault="00114690" w:rsidP="00FD7155">
      <w:pPr>
        <w:pStyle w:val="Default"/>
        <w:tabs>
          <w:tab w:val="left" w:pos="709"/>
        </w:tabs>
        <w:jc w:val="both"/>
        <w:rPr>
          <w:sz w:val="20"/>
          <w:szCs w:val="20"/>
        </w:rPr>
      </w:pPr>
    </w:p>
    <w:p w:rsidR="00114690" w:rsidRPr="00C66D90" w:rsidRDefault="00114690" w:rsidP="00114690">
      <w:pPr>
        <w:pStyle w:val="ListParagraph"/>
        <w:numPr>
          <w:ilvl w:val="0"/>
          <w:numId w:val="79"/>
        </w:numPr>
        <w:tabs>
          <w:tab w:val="left" w:pos="709"/>
        </w:tabs>
        <w:ind w:left="0" w:firstLine="0"/>
        <w:jc w:val="both"/>
        <w:rPr>
          <w:rFonts w:cs="Arial"/>
        </w:rPr>
      </w:pPr>
      <w:r w:rsidRPr="00C66D90">
        <w:rPr>
          <w:rFonts w:cs="Arial"/>
        </w:rPr>
        <w:t>In August 2014, WIPO issued its first Policy on Gender Equality, which included a time-specific goal to achieve gender balance in staffing.  While the percentages of women at P4 (44.4 per cent) and P5</w:t>
      </w:r>
      <w:r>
        <w:rPr>
          <w:rFonts w:cs="Arial"/>
        </w:rPr>
        <w:t> </w:t>
      </w:r>
      <w:r w:rsidRPr="00C66D90">
        <w:rPr>
          <w:rFonts w:cs="Arial"/>
        </w:rPr>
        <w:t>(34.4 per cent) levels as of December 2014 showed only a slight increase as compared to 2013 (43.4</w:t>
      </w:r>
      <w:r>
        <w:rPr>
          <w:rFonts w:cs="Arial"/>
        </w:rPr>
        <w:t> </w:t>
      </w:r>
      <w:r w:rsidRPr="00C66D90">
        <w:rPr>
          <w:rFonts w:cs="Arial"/>
        </w:rPr>
        <w:t xml:space="preserve">per cent and 34.3 per cent respectively), they nevertheless represented the highest ever in WIPO’s history.  To support the Policy objective related to the mainstreaming of gender perspectives in WIPO’s work Gender Focal Points were appointed in each Program. </w:t>
      </w:r>
    </w:p>
    <w:p w:rsidR="00114690" w:rsidRPr="00797FCA" w:rsidRDefault="00114690" w:rsidP="00FD7155">
      <w:pPr>
        <w:tabs>
          <w:tab w:val="left" w:pos="709"/>
        </w:tabs>
        <w:jc w:val="both"/>
        <w:rPr>
          <w:rFonts w:cs="Arial"/>
          <w:szCs w:val="20"/>
        </w:rPr>
      </w:pPr>
    </w:p>
    <w:p w:rsidR="00114690" w:rsidRPr="00797FCA" w:rsidRDefault="00114690" w:rsidP="00114690">
      <w:pPr>
        <w:pStyle w:val="Default"/>
        <w:numPr>
          <w:ilvl w:val="0"/>
          <w:numId w:val="79"/>
        </w:numPr>
        <w:tabs>
          <w:tab w:val="left" w:pos="709"/>
        </w:tabs>
        <w:ind w:left="0" w:firstLine="0"/>
        <w:jc w:val="both"/>
        <w:rPr>
          <w:sz w:val="20"/>
          <w:szCs w:val="20"/>
        </w:rPr>
      </w:pPr>
      <w:r w:rsidRPr="00797FCA">
        <w:rPr>
          <w:sz w:val="20"/>
          <w:szCs w:val="20"/>
        </w:rPr>
        <w:t xml:space="preserve">Efforts to improve geographical and gender diversity in staffing </w:t>
      </w:r>
      <w:r>
        <w:rPr>
          <w:sz w:val="20"/>
          <w:szCs w:val="20"/>
        </w:rPr>
        <w:t>were</w:t>
      </w:r>
      <w:r w:rsidRPr="00797FCA">
        <w:rPr>
          <w:sz w:val="20"/>
          <w:szCs w:val="20"/>
        </w:rPr>
        <w:t xml:space="preserve"> redoubled. </w:t>
      </w:r>
      <w:r>
        <w:rPr>
          <w:sz w:val="20"/>
          <w:szCs w:val="20"/>
        </w:rPr>
        <w:t>Changes to the Staff Regulations and Rules were introduced as of November 1</w:t>
      </w:r>
      <w:proofErr w:type="gramStart"/>
      <w:r>
        <w:rPr>
          <w:sz w:val="20"/>
          <w:szCs w:val="20"/>
        </w:rPr>
        <w:t>,2014</w:t>
      </w:r>
      <w:proofErr w:type="gramEnd"/>
      <w:r>
        <w:rPr>
          <w:sz w:val="20"/>
          <w:szCs w:val="20"/>
        </w:rPr>
        <w:t xml:space="preserve"> requiring Appointment Board</w:t>
      </w:r>
      <w:r w:rsidR="00C94B07">
        <w:rPr>
          <w:sz w:val="20"/>
          <w:szCs w:val="20"/>
        </w:rPr>
        <w:t>s</w:t>
      </w:r>
      <w:r>
        <w:rPr>
          <w:sz w:val="20"/>
          <w:szCs w:val="20"/>
        </w:rPr>
        <w:t xml:space="preserve"> to draw up a list of recommended candidates with the rationale for the recommendation rather than selected names in order of preference, thus </w:t>
      </w:r>
      <w:r w:rsidRPr="00797FCA">
        <w:rPr>
          <w:sz w:val="20"/>
          <w:szCs w:val="20"/>
        </w:rPr>
        <w:t>allowing the Director General to exercise his discretion in filling posts to address gender and diversity imbalances</w:t>
      </w:r>
      <w:r>
        <w:rPr>
          <w:sz w:val="20"/>
          <w:szCs w:val="20"/>
        </w:rPr>
        <w:t xml:space="preserve">.  </w:t>
      </w:r>
      <w:r w:rsidRPr="00797FCA">
        <w:rPr>
          <w:sz w:val="20"/>
          <w:szCs w:val="20"/>
        </w:rPr>
        <w:t xml:space="preserve">The engagement of Member States </w:t>
      </w:r>
      <w:r>
        <w:rPr>
          <w:sz w:val="20"/>
          <w:szCs w:val="20"/>
        </w:rPr>
        <w:t xml:space="preserve">was sought </w:t>
      </w:r>
      <w:r w:rsidRPr="00797FCA">
        <w:rPr>
          <w:sz w:val="20"/>
          <w:szCs w:val="20"/>
        </w:rPr>
        <w:t xml:space="preserve">and </w:t>
      </w:r>
      <w:r>
        <w:rPr>
          <w:sz w:val="20"/>
          <w:szCs w:val="20"/>
        </w:rPr>
        <w:t xml:space="preserve">WIPO External </w:t>
      </w:r>
      <w:r w:rsidRPr="00797FCA">
        <w:rPr>
          <w:sz w:val="20"/>
          <w:szCs w:val="20"/>
        </w:rPr>
        <w:t xml:space="preserve">Offices </w:t>
      </w:r>
      <w:r>
        <w:rPr>
          <w:sz w:val="20"/>
          <w:szCs w:val="20"/>
        </w:rPr>
        <w:t>were</w:t>
      </w:r>
      <w:r w:rsidRPr="00797FCA">
        <w:rPr>
          <w:sz w:val="20"/>
          <w:szCs w:val="20"/>
        </w:rPr>
        <w:t xml:space="preserve"> </w:t>
      </w:r>
      <w:r>
        <w:rPr>
          <w:sz w:val="20"/>
          <w:szCs w:val="20"/>
        </w:rPr>
        <w:t xml:space="preserve">also </w:t>
      </w:r>
      <w:r w:rsidRPr="00797FCA">
        <w:rPr>
          <w:sz w:val="20"/>
          <w:szCs w:val="20"/>
        </w:rPr>
        <w:t xml:space="preserve">proactively encouraged to raise awareness of WIPO as an ‘employer of choice’. </w:t>
      </w:r>
      <w:r>
        <w:rPr>
          <w:sz w:val="20"/>
          <w:szCs w:val="20"/>
        </w:rPr>
        <w:t xml:space="preserve"> </w:t>
      </w:r>
      <w:r w:rsidRPr="00797FCA">
        <w:rPr>
          <w:sz w:val="20"/>
          <w:szCs w:val="20"/>
        </w:rPr>
        <w:t>To this end</w:t>
      </w:r>
      <w:r>
        <w:rPr>
          <w:sz w:val="20"/>
          <w:szCs w:val="20"/>
        </w:rPr>
        <w:t>,</w:t>
      </w:r>
      <w:r w:rsidRPr="00797FCA">
        <w:rPr>
          <w:sz w:val="20"/>
          <w:szCs w:val="20"/>
        </w:rPr>
        <w:t xml:space="preserve"> an information stand and session were organized during the Assemblies. </w:t>
      </w:r>
      <w:r>
        <w:rPr>
          <w:sz w:val="20"/>
          <w:szCs w:val="20"/>
        </w:rPr>
        <w:t xml:space="preserve"> </w:t>
      </w:r>
      <w:r w:rsidRPr="00797FCA">
        <w:rPr>
          <w:sz w:val="20"/>
          <w:szCs w:val="20"/>
        </w:rPr>
        <w:t xml:space="preserve">A diversity candidate roster </w:t>
      </w:r>
      <w:r>
        <w:rPr>
          <w:sz w:val="20"/>
          <w:szCs w:val="20"/>
        </w:rPr>
        <w:t>was</w:t>
      </w:r>
      <w:r w:rsidRPr="00797FCA">
        <w:rPr>
          <w:sz w:val="20"/>
          <w:szCs w:val="20"/>
        </w:rPr>
        <w:t xml:space="preserve"> established</w:t>
      </w:r>
      <w:r>
        <w:rPr>
          <w:sz w:val="20"/>
          <w:szCs w:val="20"/>
        </w:rPr>
        <w:t>,</w:t>
      </w:r>
      <w:r w:rsidRPr="00797FCA">
        <w:rPr>
          <w:sz w:val="20"/>
          <w:szCs w:val="20"/>
        </w:rPr>
        <w:t xml:space="preserve"> providing pre-screened, qualified candidates from unrepresented Member States for temporary and fixed-term positions</w:t>
      </w:r>
      <w:r>
        <w:rPr>
          <w:sz w:val="20"/>
          <w:szCs w:val="20"/>
        </w:rPr>
        <w:t>.</w:t>
      </w:r>
      <w:r w:rsidRPr="00797FCA">
        <w:rPr>
          <w:sz w:val="20"/>
          <w:szCs w:val="20"/>
        </w:rPr>
        <w:t xml:space="preserve"> </w:t>
      </w:r>
      <w:r>
        <w:rPr>
          <w:sz w:val="20"/>
          <w:szCs w:val="20"/>
        </w:rPr>
        <w:t xml:space="preserve">In addition, </w:t>
      </w:r>
      <w:r w:rsidRPr="00797FCA">
        <w:rPr>
          <w:sz w:val="20"/>
          <w:szCs w:val="20"/>
        </w:rPr>
        <w:t>WIPO continue</w:t>
      </w:r>
      <w:r>
        <w:rPr>
          <w:sz w:val="20"/>
          <w:szCs w:val="20"/>
        </w:rPr>
        <w:t>d</w:t>
      </w:r>
      <w:r w:rsidRPr="00797FCA">
        <w:rPr>
          <w:sz w:val="20"/>
          <w:szCs w:val="20"/>
        </w:rPr>
        <w:t xml:space="preserve"> to strengthen its outreach through campaigns and social media (e.g. LinkedIn).  Other initiatives include</w:t>
      </w:r>
      <w:r>
        <w:rPr>
          <w:sz w:val="20"/>
          <w:szCs w:val="20"/>
        </w:rPr>
        <w:t>d</w:t>
      </w:r>
      <w:r w:rsidRPr="00797FCA">
        <w:rPr>
          <w:sz w:val="20"/>
          <w:szCs w:val="20"/>
        </w:rPr>
        <w:t xml:space="preserve"> a WIPO career website</w:t>
      </w:r>
      <w:r>
        <w:rPr>
          <w:sz w:val="20"/>
          <w:szCs w:val="20"/>
        </w:rPr>
        <w:t>,</w:t>
      </w:r>
      <w:r w:rsidRPr="00797FCA">
        <w:rPr>
          <w:sz w:val="20"/>
          <w:szCs w:val="20"/>
        </w:rPr>
        <w:t xml:space="preserve"> which is </w:t>
      </w:r>
      <w:r>
        <w:rPr>
          <w:sz w:val="20"/>
          <w:szCs w:val="20"/>
        </w:rPr>
        <w:t xml:space="preserve">still </w:t>
      </w:r>
      <w:r w:rsidRPr="00797FCA">
        <w:rPr>
          <w:sz w:val="20"/>
          <w:szCs w:val="20"/>
        </w:rPr>
        <w:t>under development</w:t>
      </w:r>
      <w:r>
        <w:rPr>
          <w:sz w:val="20"/>
          <w:szCs w:val="20"/>
        </w:rPr>
        <w:t>,</w:t>
      </w:r>
      <w:r w:rsidRPr="00797FCA">
        <w:rPr>
          <w:sz w:val="20"/>
          <w:szCs w:val="20"/>
        </w:rPr>
        <w:t xml:space="preserve"> and the introduction of a more user-friendly recruitment tool.</w:t>
      </w:r>
    </w:p>
    <w:p w:rsidR="00114690" w:rsidRPr="00797FCA" w:rsidRDefault="00114690" w:rsidP="00FD7155">
      <w:pPr>
        <w:pStyle w:val="Default"/>
        <w:tabs>
          <w:tab w:val="left" w:pos="709"/>
        </w:tabs>
        <w:jc w:val="both"/>
        <w:rPr>
          <w:sz w:val="20"/>
          <w:szCs w:val="20"/>
        </w:rPr>
      </w:pPr>
    </w:p>
    <w:p w:rsidR="00114690" w:rsidRPr="00207B0E" w:rsidRDefault="00114690" w:rsidP="00114690">
      <w:pPr>
        <w:pStyle w:val="Default"/>
        <w:numPr>
          <w:ilvl w:val="0"/>
          <w:numId w:val="79"/>
        </w:numPr>
        <w:tabs>
          <w:tab w:val="left" w:pos="709"/>
        </w:tabs>
        <w:ind w:left="0" w:firstLine="0"/>
        <w:jc w:val="both"/>
        <w:rPr>
          <w:sz w:val="20"/>
          <w:szCs w:val="20"/>
        </w:rPr>
      </w:pPr>
      <w:r w:rsidRPr="00207B0E">
        <w:rPr>
          <w:sz w:val="20"/>
          <w:szCs w:val="20"/>
        </w:rPr>
        <w:t>The regularization process for long-serving temporary employees (LSTEs) was completed in</w:t>
      </w:r>
      <w:r>
        <w:rPr>
          <w:sz w:val="20"/>
          <w:szCs w:val="20"/>
        </w:rPr>
        <w:t> </w:t>
      </w:r>
      <w:r w:rsidRPr="00207B0E">
        <w:rPr>
          <w:sz w:val="20"/>
          <w:szCs w:val="20"/>
        </w:rPr>
        <w:t xml:space="preserve">2014, with 31 LSTEs on continuing functions regularized following a competition.  The regularization of the remaining 66 temporary </w:t>
      </w:r>
      <w:r>
        <w:rPr>
          <w:sz w:val="20"/>
          <w:szCs w:val="20"/>
        </w:rPr>
        <w:t xml:space="preserve">positions with </w:t>
      </w:r>
      <w:r w:rsidRPr="00207B0E">
        <w:rPr>
          <w:sz w:val="20"/>
          <w:szCs w:val="20"/>
        </w:rPr>
        <w:t xml:space="preserve">functions of a continuing nature approved by the Member States will be completed in 2016.  </w:t>
      </w:r>
      <w:r w:rsidRPr="000E7A45">
        <w:rPr>
          <w:sz w:val="20"/>
          <w:szCs w:val="20"/>
        </w:rPr>
        <w:t>In 2014, some</w:t>
      </w:r>
      <w:r w:rsidRPr="00207B0E">
        <w:rPr>
          <w:sz w:val="20"/>
          <w:szCs w:val="20"/>
        </w:rPr>
        <w:t xml:space="preserve"> 23 posts were published</w:t>
      </w:r>
      <w:r w:rsidRPr="000E7A45">
        <w:rPr>
          <w:sz w:val="20"/>
          <w:szCs w:val="20"/>
        </w:rPr>
        <w:t xml:space="preserve"> for external competition</w:t>
      </w:r>
      <w:r w:rsidRPr="00207B0E">
        <w:rPr>
          <w:sz w:val="20"/>
          <w:szCs w:val="20"/>
        </w:rPr>
        <w:t xml:space="preserve">. </w:t>
      </w:r>
    </w:p>
    <w:p w:rsidR="00114690" w:rsidRPr="00797FCA" w:rsidRDefault="00114690" w:rsidP="00FD7155">
      <w:pPr>
        <w:pStyle w:val="Default"/>
        <w:tabs>
          <w:tab w:val="left" w:pos="709"/>
        </w:tabs>
        <w:jc w:val="both"/>
        <w:rPr>
          <w:sz w:val="20"/>
          <w:szCs w:val="20"/>
        </w:rPr>
      </w:pPr>
    </w:p>
    <w:p w:rsidR="00114690" w:rsidRPr="00784FF4" w:rsidRDefault="00114690" w:rsidP="00114690">
      <w:pPr>
        <w:pStyle w:val="Default"/>
        <w:numPr>
          <w:ilvl w:val="0"/>
          <w:numId w:val="79"/>
        </w:numPr>
        <w:tabs>
          <w:tab w:val="left" w:pos="709"/>
        </w:tabs>
        <w:ind w:left="0" w:firstLine="0"/>
        <w:jc w:val="both"/>
        <w:rPr>
          <w:color w:val="7030A0"/>
          <w:sz w:val="20"/>
          <w:szCs w:val="20"/>
        </w:rPr>
      </w:pPr>
      <w:r w:rsidRPr="00797FCA">
        <w:rPr>
          <w:sz w:val="20"/>
          <w:szCs w:val="20"/>
        </w:rPr>
        <w:t>The year 2014 also witnessed significant recruitment activity</w:t>
      </w:r>
      <w:r>
        <w:rPr>
          <w:sz w:val="20"/>
          <w:szCs w:val="20"/>
        </w:rPr>
        <w:t>,</w:t>
      </w:r>
      <w:r w:rsidRPr="00797FCA">
        <w:rPr>
          <w:sz w:val="20"/>
          <w:szCs w:val="20"/>
        </w:rPr>
        <w:t xml:space="preserve"> with 97</w:t>
      </w:r>
      <w:r w:rsidRPr="00797FCA">
        <w:rPr>
          <w:b/>
          <w:sz w:val="20"/>
          <w:szCs w:val="20"/>
        </w:rPr>
        <w:t xml:space="preserve"> </w:t>
      </w:r>
      <w:r w:rsidRPr="00797FCA">
        <w:rPr>
          <w:sz w:val="20"/>
          <w:szCs w:val="20"/>
        </w:rPr>
        <w:t>competitions for fixed-term posts and 37</w:t>
      </w:r>
      <w:r w:rsidRPr="00797FCA">
        <w:rPr>
          <w:b/>
          <w:sz w:val="20"/>
          <w:szCs w:val="20"/>
        </w:rPr>
        <w:t xml:space="preserve"> </w:t>
      </w:r>
      <w:r w:rsidRPr="00797FCA">
        <w:rPr>
          <w:sz w:val="20"/>
          <w:szCs w:val="20"/>
        </w:rPr>
        <w:t xml:space="preserve">for temporary positions, </w:t>
      </w:r>
      <w:r>
        <w:rPr>
          <w:sz w:val="20"/>
          <w:szCs w:val="20"/>
        </w:rPr>
        <w:t>representing</w:t>
      </w:r>
      <w:r w:rsidRPr="00797FCA">
        <w:rPr>
          <w:sz w:val="20"/>
          <w:szCs w:val="20"/>
        </w:rPr>
        <w:t xml:space="preserve"> an increase of </w:t>
      </w:r>
      <w:r>
        <w:rPr>
          <w:sz w:val="20"/>
          <w:szCs w:val="20"/>
        </w:rPr>
        <w:t>26</w:t>
      </w:r>
      <w:r w:rsidRPr="00797FCA">
        <w:rPr>
          <w:sz w:val="20"/>
          <w:szCs w:val="20"/>
        </w:rPr>
        <w:t xml:space="preserve"> per cent over 2013. </w:t>
      </w:r>
      <w:r>
        <w:rPr>
          <w:sz w:val="20"/>
          <w:szCs w:val="20"/>
        </w:rPr>
        <w:t xml:space="preserve"> </w:t>
      </w:r>
      <w:r w:rsidRPr="00797FCA">
        <w:rPr>
          <w:sz w:val="20"/>
          <w:szCs w:val="20"/>
        </w:rPr>
        <w:t xml:space="preserve">In 2014, the recruitment </w:t>
      </w:r>
      <w:r>
        <w:rPr>
          <w:sz w:val="20"/>
          <w:szCs w:val="20"/>
        </w:rPr>
        <w:t xml:space="preserve">lead time for fixed-term posts was on track to meet the target (19 weeks), at </w:t>
      </w:r>
      <w:r w:rsidRPr="00797FCA">
        <w:rPr>
          <w:sz w:val="20"/>
          <w:szCs w:val="20"/>
        </w:rPr>
        <w:t>14.7 weeks</w:t>
      </w:r>
      <w:r>
        <w:rPr>
          <w:sz w:val="20"/>
          <w:szCs w:val="20"/>
        </w:rPr>
        <w:t>.  It should be noted, however, that due to the unusually high number of posts advertised</w:t>
      </w:r>
      <w:proofErr w:type="gramStart"/>
      <w:r>
        <w:rPr>
          <w:sz w:val="20"/>
          <w:szCs w:val="20"/>
        </w:rPr>
        <w:t xml:space="preserve">, </w:t>
      </w:r>
      <w:r w:rsidRPr="00797FCA">
        <w:rPr>
          <w:sz w:val="20"/>
          <w:szCs w:val="20"/>
        </w:rPr>
        <w:t xml:space="preserve"> 20</w:t>
      </w:r>
      <w:proofErr w:type="gramEnd"/>
      <w:r w:rsidRPr="00797FCA">
        <w:rPr>
          <w:sz w:val="20"/>
          <w:szCs w:val="20"/>
        </w:rPr>
        <w:t xml:space="preserve"> of the selection processes</w:t>
      </w:r>
      <w:r>
        <w:rPr>
          <w:sz w:val="20"/>
          <w:szCs w:val="20"/>
        </w:rPr>
        <w:t xml:space="preserve"> for fixed-term posts</w:t>
      </w:r>
      <w:r w:rsidRPr="00797FCA">
        <w:rPr>
          <w:sz w:val="20"/>
          <w:szCs w:val="20"/>
        </w:rPr>
        <w:t xml:space="preserve"> </w:t>
      </w:r>
      <w:r>
        <w:rPr>
          <w:sz w:val="20"/>
          <w:szCs w:val="20"/>
        </w:rPr>
        <w:t>were still not completed at the end of 2014,</w:t>
      </w:r>
      <w:r w:rsidRPr="00797FCA">
        <w:rPr>
          <w:sz w:val="20"/>
          <w:szCs w:val="20"/>
        </w:rPr>
        <w:t xml:space="preserve"> and the </w:t>
      </w:r>
      <w:r>
        <w:rPr>
          <w:sz w:val="20"/>
          <w:szCs w:val="20"/>
        </w:rPr>
        <w:t>recruitment lead time for all competitions published in 2014</w:t>
      </w:r>
      <w:r w:rsidRPr="00797FCA">
        <w:rPr>
          <w:sz w:val="20"/>
          <w:szCs w:val="20"/>
        </w:rPr>
        <w:t xml:space="preserve"> is expected</w:t>
      </w:r>
      <w:r>
        <w:rPr>
          <w:sz w:val="20"/>
          <w:szCs w:val="20"/>
        </w:rPr>
        <w:t xml:space="preserve"> to increase significantly.</w:t>
      </w:r>
      <w:r w:rsidRPr="00797FCA">
        <w:rPr>
          <w:sz w:val="20"/>
          <w:szCs w:val="20"/>
        </w:rPr>
        <w:t xml:space="preserve">. </w:t>
      </w:r>
      <w:r>
        <w:rPr>
          <w:sz w:val="20"/>
          <w:szCs w:val="20"/>
        </w:rPr>
        <w:t xml:space="preserve"> </w:t>
      </w:r>
      <w:r w:rsidRPr="00797FCA">
        <w:rPr>
          <w:sz w:val="20"/>
          <w:szCs w:val="20"/>
        </w:rPr>
        <w:t>Of the 97</w:t>
      </w:r>
      <w:r w:rsidRPr="00797FCA">
        <w:rPr>
          <w:b/>
          <w:sz w:val="20"/>
          <w:szCs w:val="20"/>
        </w:rPr>
        <w:t xml:space="preserve"> </w:t>
      </w:r>
      <w:r w:rsidRPr="00797FCA">
        <w:rPr>
          <w:sz w:val="20"/>
          <w:szCs w:val="20"/>
        </w:rPr>
        <w:t>fixed-term posts</w:t>
      </w:r>
      <w:r>
        <w:rPr>
          <w:sz w:val="20"/>
          <w:szCs w:val="20"/>
        </w:rPr>
        <w:t>,</w:t>
      </w:r>
      <w:r w:rsidRPr="00797FCA">
        <w:rPr>
          <w:sz w:val="20"/>
          <w:szCs w:val="20"/>
        </w:rPr>
        <w:t xml:space="preserve"> 57</w:t>
      </w:r>
      <w:r>
        <w:rPr>
          <w:sz w:val="20"/>
          <w:szCs w:val="20"/>
        </w:rPr>
        <w:t> </w:t>
      </w:r>
      <w:r w:rsidRPr="00797FCA">
        <w:rPr>
          <w:sz w:val="20"/>
          <w:szCs w:val="20"/>
        </w:rPr>
        <w:t xml:space="preserve">were in the Professional and 40 in the General Service categories. </w:t>
      </w:r>
      <w:r>
        <w:rPr>
          <w:sz w:val="20"/>
          <w:szCs w:val="20"/>
        </w:rPr>
        <w:t xml:space="preserve"> </w:t>
      </w:r>
      <w:r w:rsidRPr="00797FCA">
        <w:rPr>
          <w:sz w:val="20"/>
          <w:szCs w:val="20"/>
        </w:rPr>
        <w:t xml:space="preserve">In </w:t>
      </w:r>
      <w:r>
        <w:rPr>
          <w:sz w:val="20"/>
          <w:szCs w:val="20"/>
        </w:rPr>
        <w:t>total</w:t>
      </w:r>
      <w:r w:rsidRPr="00797FCA">
        <w:rPr>
          <w:sz w:val="20"/>
          <w:szCs w:val="20"/>
        </w:rPr>
        <w:t>, some 12,587 applications were received</w:t>
      </w:r>
      <w:r w:rsidRPr="00797FCA">
        <w:rPr>
          <w:b/>
          <w:sz w:val="20"/>
          <w:szCs w:val="20"/>
        </w:rPr>
        <w:t xml:space="preserve">.  </w:t>
      </w:r>
    </w:p>
    <w:p w:rsidR="00114690" w:rsidRPr="00784FF4" w:rsidRDefault="00114690" w:rsidP="00FD7155">
      <w:pPr>
        <w:pStyle w:val="Default"/>
        <w:tabs>
          <w:tab w:val="left" w:pos="709"/>
        </w:tabs>
        <w:jc w:val="both"/>
        <w:rPr>
          <w:sz w:val="20"/>
          <w:szCs w:val="20"/>
        </w:rPr>
      </w:pPr>
    </w:p>
    <w:p w:rsidR="00114690" w:rsidRPr="00C66D90" w:rsidRDefault="00114690" w:rsidP="00114690">
      <w:pPr>
        <w:pStyle w:val="ListParagraph"/>
        <w:numPr>
          <w:ilvl w:val="0"/>
          <w:numId w:val="79"/>
        </w:numPr>
        <w:tabs>
          <w:tab w:val="left" w:pos="709"/>
        </w:tabs>
        <w:ind w:left="0" w:firstLine="0"/>
        <w:jc w:val="both"/>
        <w:rPr>
          <w:rFonts w:cs="Arial"/>
        </w:rPr>
      </w:pPr>
      <w:r w:rsidRPr="00C66D90">
        <w:rPr>
          <w:rFonts w:cs="Arial"/>
        </w:rPr>
        <w:t xml:space="preserve">The first phase of the ERP aimed at strengthening the integration of data and processes, both within HRMD and in relation to other WIPO administration and management functions.  Since mid-2014, after a period of stabilization, the development of the “Business Intelligence” HR management dashboard was initiated, and the staff self-service functions were activated.  </w:t>
      </w:r>
    </w:p>
    <w:p w:rsidR="00114690" w:rsidRPr="00E46637" w:rsidRDefault="00114690" w:rsidP="00FD7155">
      <w:pPr>
        <w:pStyle w:val="ListParagraph"/>
        <w:tabs>
          <w:tab w:val="left" w:pos="709"/>
        </w:tabs>
        <w:ind w:left="0"/>
        <w:jc w:val="both"/>
        <w:rPr>
          <w:rFonts w:cs="Arial"/>
        </w:rPr>
      </w:pPr>
    </w:p>
    <w:p w:rsidR="00114690" w:rsidRPr="00C66D90" w:rsidRDefault="00114690" w:rsidP="00114690">
      <w:pPr>
        <w:pStyle w:val="ListParagraph"/>
        <w:numPr>
          <w:ilvl w:val="0"/>
          <w:numId w:val="79"/>
        </w:numPr>
        <w:tabs>
          <w:tab w:val="left" w:pos="709"/>
        </w:tabs>
        <w:ind w:left="0" w:firstLine="0"/>
        <w:jc w:val="both"/>
        <w:rPr>
          <w:rFonts w:cs="Arial"/>
        </w:rPr>
      </w:pPr>
      <w:r w:rsidRPr="00C66D90">
        <w:rPr>
          <w:rFonts w:cs="Arial"/>
        </w:rPr>
        <w:lastRenderedPageBreak/>
        <w:t xml:space="preserve">A tender for employees’ insurance was also completed resulting in a new insurance contract with lower premiums for health, accident and loss of earnings insurances.  </w:t>
      </w:r>
    </w:p>
    <w:p w:rsidR="00114690" w:rsidRPr="00797FCA" w:rsidRDefault="00114690" w:rsidP="00FD7155">
      <w:pPr>
        <w:tabs>
          <w:tab w:val="left" w:pos="709"/>
        </w:tabs>
        <w:jc w:val="both"/>
        <w:rPr>
          <w:rFonts w:cs="Arial"/>
          <w:szCs w:val="20"/>
        </w:rPr>
      </w:pPr>
    </w:p>
    <w:p w:rsidR="00114690" w:rsidRPr="00C66D90" w:rsidRDefault="00114690" w:rsidP="00114690">
      <w:pPr>
        <w:pStyle w:val="ListParagraph"/>
        <w:numPr>
          <w:ilvl w:val="0"/>
          <w:numId w:val="79"/>
        </w:numPr>
        <w:tabs>
          <w:tab w:val="left" w:pos="709"/>
        </w:tabs>
        <w:ind w:left="0" w:firstLine="0"/>
        <w:jc w:val="both"/>
        <w:rPr>
          <w:rFonts w:cs="Arial"/>
        </w:rPr>
      </w:pPr>
      <w:r w:rsidRPr="00C66D90">
        <w:rPr>
          <w:rFonts w:cs="Arial"/>
        </w:rPr>
        <w:t xml:space="preserve">In 2014, WIPO continued to further develop its Performance Management and Staff Development System (PMSDS).  The existing PMSDS Guidelines were replaced by a new Office Instruction (OI) and related PMSDS Handbooks to separate regulatory provisions from guidance.  In addition, changes were introduced to align PMSDS with the Staff Regulations and Rules, and related OIs, and to provide additional clarification on PMSDS-related matters based on experience gained through the application of the system. Compliance with the system continued to be very high, with 93.1 per cent of staff covered </w:t>
      </w:r>
      <w:r>
        <w:rPr>
          <w:rFonts w:cs="Arial"/>
        </w:rPr>
        <w:t>by</w:t>
      </w:r>
      <w:r w:rsidRPr="00C66D90">
        <w:rPr>
          <w:rFonts w:cs="Arial"/>
        </w:rPr>
        <w:t xml:space="preserve"> PMSDS evaluated against individual objectives and competencies.  </w:t>
      </w:r>
    </w:p>
    <w:p w:rsidR="00114690" w:rsidRPr="00797FCA" w:rsidRDefault="00114690" w:rsidP="00FD7155">
      <w:pPr>
        <w:tabs>
          <w:tab w:val="left" w:pos="709"/>
        </w:tabs>
        <w:jc w:val="both"/>
        <w:rPr>
          <w:rFonts w:cs="Arial"/>
          <w:szCs w:val="20"/>
        </w:rPr>
      </w:pPr>
    </w:p>
    <w:p w:rsidR="00114690" w:rsidRPr="00C66D90" w:rsidRDefault="00114690" w:rsidP="00114690">
      <w:pPr>
        <w:pStyle w:val="ListParagraph"/>
        <w:numPr>
          <w:ilvl w:val="0"/>
          <w:numId w:val="79"/>
        </w:numPr>
        <w:tabs>
          <w:tab w:val="left" w:pos="709"/>
        </w:tabs>
        <w:ind w:left="0" w:firstLine="0"/>
        <w:jc w:val="both"/>
        <w:rPr>
          <w:rFonts w:cs="Arial"/>
        </w:rPr>
      </w:pPr>
      <w:r w:rsidRPr="00C66D90">
        <w:rPr>
          <w:rFonts w:cs="Arial"/>
        </w:rPr>
        <w:t>With respect to the WIPO Rewards and Recognition Program (RRP) – Pilot 2013, a</w:t>
      </w:r>
      <w:r w:rsidRPr="00C66D90">
        <w:rPr>
          <w:rFonts w:cs="Arial"/>
          <w:lang w:val="en"/>
        </w:rPr>
        <w:t xml:space="preserve">n all-staff ceremony was held to announce the award winners in March 2014.  </w:t>
      </w:r>
      <w:r w:rsidRPr="00C66D90">
        <w:rPr>
          <w:rFonts w:cs="Arial"/>
        </w:rPr>
        <w:t>After the RRP ceremony, a preliminary lessons-learned review was conducted with selected individual and team beneficiaries of the program.  Based on the positive and encouraging outcome of the first assessment, it was decided to extend the pilot program in 2014.  A more comprehensive evaluation was conducted towards the end of 2014, and a final Rewards and Recognition Policy is planned to be issued in 2015.</w:t>
      </w:r>
    </w:p>
    <w:p w:rsidR="00114690" w:rsidRPr="00797FCA" w:rsidRDefault="00114690" w:rsidP="00FD7155">
      <w:pPr>
        <w:tabs>
          <w:tab w:val="left" w:pos="709"/>
        </w:tabs>
        <w:jc w:val="both"/>
        <w:rPr>
          <w:rFonts w:cs="Arial"/>
          <w:szCs w:val="20"/>
        </w:rPr>
      </w:pPr>
    </w:p>
    <w:p w:rsidR="00114690" w:rsidRPr="00C66D90" w:rsidRDefault="00114690" w:rsidP="00114690">
      <w:pPr>
        <w:pStyle w:val="ListParagraph"/>
        <w:numPr>
          <w:ilvl w:val="0"/>
          <w:numId w:val="79"/>
        </w:numPr>
        <w:tabs>
          <w:tab w:val="left" w:pos="709"/>
        </w:tabs>
        <w:autoSpaceDE w:val="0"/>
        <w:autoSpaceDN w:val="0"/>
        <w:adjustRightInd w:val="0"/>
        <w:ind w:left="0" w:firstLine="0"/>
        <w:jc w:val="both"/>
        <w:rPr>
          <w:rFonts w:cs="Arial"/>
        </w:rPr>
      </w:pPr>
      <w:r w:rsidRPr="00C66D90">
        <w:rPr>
          <w:rFonts w:cs="Arial"/>
        </w:rPr>
        <w:t>In 2014, implementation of a new Learning and Development Policy started to facilitate staff development and reduction of skill</w:t>
      </w:r>
      <w:r>
        <w:rPr>
          <w:rFonts w:cs="Arial"/>
        </w:rPr>
        <w:t>s</w:t>
      </w:r>
      <w:r w:rsidRPr="00C66D90">
        <w:rPr>
          <w:rFonts w:cs="Arial"/>
        </w:rPr>
        <w:t xml:space="preserve"> gaps.  In addition to regular training activities, new initiatives on conflict resolution, stress management, quality management, accreditation of prior learning and project management were launched in order to increase the managerial capacity of the Organization. </w:t>
      </w:r>
      <w:r>
        <w:rPr>
          <w:rFonts w:cs="Arial"/>
        </w:rPr>
        <w:t xml:space="preserve"> </w:t>
      </w:r>
      <w:r w:rsidRPr="00C66D90">
        <w:rPr>
          <w:rFonts w:cs="Arial"/>
        </w:rPr>
        <w:t xml:space="preserve">Also, the WIPO training catalog was reworked, and new training evaluation tools were introduced. </w:t>
      </w:r>
    </w:p>
    <w:p w:rsidR="00114690" w:rsidRPr="00797FCA" w:rsidRDefault="00114690" w:rsidP="00FD7155">
      <w:pPr>
        <w:tabs>
          <w:tab w:val="left" w:pos="709"/>
        </w:tabs>
        <w:autoSpaceDE w:val="0"/>
        <w:autoSpaceDN w:val="0"/>
        <w:adjustRightInd w:val="0"/>
        <w:jc w:val="both"/>
        <w:rPr>
          <w:rFonts w:cs="Arial"/>
          <w:szCs w:val="20"/>
        </w:rPr>
      </w:pPr>
    </w:p>
    <w:p w:rsidR="00114690" w:rsidRPr="00C66D90" w:rsidRDefault="00114690" w:rsidP="00114690">
      <w:pPr>
        <w:pStyle w:val="ListParagraph"/>
        <w:numPr>
          <w:ilvl w:val="0"/>
          <w:numId w:val="79"/>
        </w:numPr>
        <w:tabs>
          <w:tab w:val="left" w:pos="709"/>
        </w:tabs>
        <w:spacing w:after="200"/>
        <w:ind w:left="0" w:firstLine="0"/>
        <w:jc w:val="both"/>
        <w:rPr>
          <w:rFonts w:cs="Arial"/>
        </w:rPr>
      </w:pPr>
      <w:r w:rsidRPr="00C66D90">
        <w:rPr>
          <w:rFonts w:cs="Arial"/>
        </w:rPr>
        <w:t>The Staff Regulations and Rules on the new internal justice system entered into force on January</w:t>
      </w:r>
      <w:r>
        <w:rPr>
          <w:rFonts w:cs="Arial"/>
        </w:rPr>
        <w:t> </w:t>
      </w:r>
      <w:r w:rsidRPr="00C66D90">
        <w:rPr>
          <w:rFonts w:cs="Arial"/>
        </w:rPr>
        <w:t>1, 2014, and six OIs were issued to provide the accompanying policy framework.  Staff briefings were held to facilitate staff understanding and acceptance of the new system.   In order to strengthen and streamline grievance and dispute resolution</w:t>
      </w:r>
      <w:r>
        <w:rPr>
          <w:rFonts w:cs="Arial"/>
        </w:rPr>
        <w:t xml:space="preserve"> mechanisms</w:t>
      </w:r>
      <w:r w:rsidRPr="00C66D90">
        <w:rPr>
          <w:rFonts w:cs="Arial"/>
        </w:rPr>
        <w:t xml:space="preserve">, two advisory bodies, the Joint Grievance Panel (workplace-related grievances) and the Joint Advisory Committee (disciplinary cases), were abolished, and a new WIPO Appeal Board was established with increased capacity.  While promoting informal conflict resolution mechanisms, HRMD has become responsible for the management of formal complaints of harassment and discrimination, as well as rebuttals of performance appraisals, and has also taken a more prominent role in requests for review of administrative decisions and disciplinary cases. </w:t>
      </w:r>
    </w:p>
    <w:p w:rsidR="00114690" w:rsidRPr="00C66D90" w:rsidRDefault="00114690" w:rsidP="00114690">
      <w:pPr>
        <w:pStyle w:val="ListParagraph"/>
        <w:numPr>
          <w:ilvl w:val="0"/>
          <w:numId w:val="79"/>
        </w:numPr>
        <w:tabs>
          <w:tab w:val="left" w:pos="709"/>
        </w:tabs>
        <w:spacing w:after="200"/>
        <w:ind w:left="0" w:firstLine="0"/>
        <w:jc w:val="both"/>
        <w:rPr>
          <w:rFonts w:cs="Arial"/>
        </w:rPr>
      </w:pPr>
      <w:r w:rsidRPr="00C66D90">
        <w:rPr>
          <w:rFonts w:cs="Arial"/>
        </w:rPr>
        <w:t xml:space="preserve">The new Joint Advisory Group (JAG), for which HRMD provides the secretariat, was established in June 2014 to advise the Director General on personnel or administrative matters.  Staff may directly petition the JAG, creating an additional channel of staff-management communication. </w:t>
      </w:r>
    </w:p>
    <w:p w:rsidR="00114690" w:rsidRPr="00C66D90" w:rsidRDefault="00114690" w:rsidP="00114690">
      <w:pPr>
        <w:pStyle w:val="ListParagraph"/>
        <w:numPr>
          <w:ilvl w:val="0"/>
          <w:numId w:val="79"/>
        </w:numPr>
        <w:tabs>
          <w:tab w:val="left" w:pos="709"/>
        </w:tabs>
        <w:spacing w:after="200"/>
        <w:ind w:left="0" w:firstLine="0"/>
        <w:jc w:val="both"/>
        <w:rPr>
          <w:rFonts w:cs="Arial"/>
        </w:rPr>
      </w:pPr>
      <w:r w:rsidRPr="00C66D90">
        <w:rPr>
          <w:rFonts w:cs="Arial"/>
        </w:rPr>
        <w:t xml:space="preserve">In terms of policy development, the National Professional Officer (NPO) category was incorporated into the Staff Regulations and Rules to meet the needs of the WIPO External Offices.   </w:t>
      </w:r>
    </w:p>
    <w:p w:rsidR="00114690" w:rsidRPr="00C66D90" w:rsidRDefault="00114690" w:rsidP="00114690">
      <w:pPr>
        <w:pStyle w:val="ListParagraph"/>
        <w:numPr>
          <w:ilvl w:val="0"/>
          <w:numId w:val="79"/>
        </w:numPr>
        <w:tabs>
          <w:tab w:val="left" w:pos="709"/>
        </w:tabs>
        <w:spacing w:after="200"/>
        <w:ind w:left="0" w:firstLine="0"/>
        <w:jc w:val="both"/>
        <w:rPr>
          <w:rFonts w:cs="Arial"/>
        </w:rPr>
      </w:pPr>
      <w:r w:rsidRPr="00C66D90">
        <w:rPr>
          <w:rFonts w:cs="Arial"/>
        </w:rPr>
        <w:t xml:space="preserve">Some 20 HR policy-related OIs were issued in 2014, including on outside activities, home leave, mobility and hardship, termination for reasons of health, employment of retirees, sick leave, delegation of authority and reserve lists, to ensure that WIPO has a modernized, cost-effective HR policy framework, meeting the standards of the International Civil Service Commission (ICSC) and best practices in the UN common system.  </w:t>
      </w:r>
      <w:r>
        <w:t>Furthermore, ICSC standards of conduct continued to be incorporated in all WIPO contracts, and the Roster of Consultants (ROC) presented at CDIP/3, which was integrated within the Intellectual Property Technical Assistance Database (IP</w:t>
      </w:r>
      <w:r w:rsidR="00086E9E">
        <w:t>-</w:t>
      </w:r>
      <w:r>
        <w:t>TAD) in the last biennium, continued to be regularly updated in 2014.</w:t>
      </w:r>
    </w:p>
    <w:p w:rsidR="00114690" w:rsidRPr="00797FCA" w:rsidRDefault="00114690" w:rsidP="00FD7155">
      <w:pPr>
        <w:jc w:val="both"/>
        <w:rPr>
          <w:rFonts w:cs="Arial"/>
          <w:szCs w:val="22"/>
        </w:rPr>
      </w:pPr>
    </w:p>
    <w:p w:rsidR="00114690" w:rsidRDefault="00114690">
      <w:pPr>
        <w:rPr>
          <w:rFonts w:cs="Arial"/>
          <w:sz w:val="22"/>
          <w:szCs w:val="22"/>
        </w:rPr>
      </w:pPr>
      <w:r>
        <w:rPr>
          <w:rFonts w:cs="Arial"/>
          <w:sz w:val="22"/>
          <w:szCs w:val="22"/>
        </w:rPr>
        <w:br w:type="page"/>
      </w:r>
    </w:p>
    <w:p w:rsidR="00114690" w:rsidRPr="00081536" w:rsidRDefault="00114690" w:rsidP="00FD7155">
      <w:pPr>
        <w:jc w:val="both"/>
        <w:rPr>
          <w:rFonts w:cs="Arial"/>
          <w:sz w:val="22"/>
          <w:szCs w:val="22"/>
        </w:rPr>
      </w:pPr>
      <w:r w:rsidRPr="00081536">
        <w:rPr>
          <w:rFonts w:cs="Arial"/>
          <w:sz w:val="22"/>
          <w:szCs w:val="22"/>
        </w:rPr>
        <w:lastRenderedPageBreak/>
        <w:t>PERFORMANCE DATA</w:t>
      </w:r>
    </w:p>
    <w:p w:rsidR="00114690" w:rsidRPr="00797FCA" w:rsidRDefault="00114690" w:rsidP="00FD7155">
      <w:pPr>
        <w:jc w:val="both"/>
        <w:rPr>
          <w:rFonts w:cs="Arial"/>
          <w:szCs w:val="22"/>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2409"/>
        <w:gridCol w:w="1706"/>
        <w:gridCol w:w="2264"/>
        <w:gridCol w:w="6"/>
        <w:gridCol w:w="986"/>
      </w:tblGrid>
      <w:tr w:rsidR="00114690" w:rsidRPr="00797FCA" w:rsidTr="00114690">
        <w:tc>
          <w:tcPr>
            <w:tcW w:w="5000" w:type="pct"/>
            <w:gridSpan w:val="6"/>
            <w:tcBorders>
              <w:top w:val="single" w:sz="4" w:space="0" w:color="auto"/>
              <w:bottom w:val="single" w:sz="4" w:space="0" w:color="auto"/>
            </w:tcBorders>
            <w:shd w:val="clear" w:color="auto" w:fill="CCFFFF"/>
            <w:vAlign w:val="center"/>
          </w:tcPr>
          <w:p w:rsidR="00114690" w:rsidRPr="00797FCA" w:rsidRDefault="00114690" w:rsidP="00FD7155">
            <w:pPr>
              <w:tabs>
                <w:tab w:val="left" w:pos="1452"/>
              </w:tabs>
              <w:spacing w:before="120" w:after="120"/>
              <w:ind w:left="1452" w:hanging="1452"/>
              <w:jc w:val="both"/>
              <w:rPr>
                <w:rFonts w:cs="Arial"/>
                <w:b/>
                <w:bCs/>
                <w:sz w:val="16"/>
                <w:szCs w:val="16"/>
              </w:rPr>
            </w:pPr>
            <w:r w:rsidRPr="00797FCA">
              <w:rPr>
                <w:rFonts w:cs="Arial"/>
                <w:b/>
                <w:bCs/>
                <w:sz w:val="16"/>
                <w:szCs w:val="16"/>
              </w:rPr>
              <w:t>Expected Result:</w:t>
            </w:r>
            <w:r w:rsidRPr="00797FCA">
              <w:rPr>
                <w:rFonts w:cs="Arial"/>
                <w:b/>
                <w:bCs/>
                <w:sz w:val="16"/>
                <w:szCs w:val="16"/>
              </w:rPr>
              <w:tab/>
            </w:r>
            <w:r w:rsidRPr="00797FCA">
              <w:rPr>
                <w:rFonts w:cs="Arial"/>
                <w:sz w:val="16"/>
                <w:szCs w:val="16"/>
              </w:rPr>
              <w:t>IX.1 Effective, efficient, quality and customer-oriented support services both to internal clients and to external stakeholders</w:t>
            </w:r>
          </w:p>
        </w:tc>
      </w:tr>
      <w:tr w:rsidR="00114690" w:rsidRPr="00797FCA" w:rsidTr="00114690">
        <w:tc>
          <w:tcPr>
            <w:tcW w:w="1120" w:type="pct"/>
            <w:tcBorders>
              <w:top w:val="single" w:sz="4" w:space="0" w:color="auto"/>
            </w:tcBorders>
            <w:shd w:val="clear" w:color="auto" w:fill="auto"/>
            <w:vAlign w:val="center"/>
          </w:tcPr>
          <w:p w:rsidR="00114690" w:rsidRPr="00797FCA" w:rsidRDefault="00114690" w:rsidP="00FD7155">
            <w:pPr>
              <w:spacing w:after="120"/>
              <w:rPr>
                <w:rFonts w:cs="Arial"/>
                <w:sz w:val="16"/>
                <w:szCs w:val="16"/>
              </w:rPr>
            </w:pPr>
            <w:r w:rsidRPr="00797FCA">
              <w:rPr>
                <w:rFonts w:cs="Arial"/>
                <w:b/>
                <w:bCs/>
                <w:sz w:val="16"/>
                <w:szCs w:val="16"/>
              </w:rPr>
              <w:t>Performance Indicators</w:t>
            </w:r>
          </w:p>
        </w:tc>
        <w:tc>
          <w:tcPr>
            <w:tcW w:w="1268" w:type="pct"/>
            <w:tcBorders>
              <w:top w:val="single" w:sz="4" w:space="0" w:color="auto"/>
            </w:tcBorders>
            <w:shd w:val="clear" w:color="auto" w:fill="auto"/>
            <w:vAlign w:val="center"/>
          </w:tcPr>
          <w:p w:rsidR="00114690" w:rsidRPr="00797FCA" w:rsidRDefault="00114690" w:rsidP="00FD7155">
            <w:pPr>
              <w:spacing w:after="120"/>
              <w:rPr>
                <w:rFonts w:cs="Arial"/>
                <w:b/>
                <w:bCs/>
                <w:sz w:val="16"/>
                <w:szCs w:val="16"/>
              </w:rPr>
            </w:pPr>
            <w:r w:rsidRPr="00797FCA">
              <w:rPr>
                <w:rFonts w:cs="Arial"/>
                <w:b/>
                <w:bCs/>
                <w:sz w:val="16"/>
                <w:szCs w:val="16"/>
              </w:rPr>
              <w:t>Baselines</w:t>
            </w:r>
          </w:p>
        </w:tc>
        <w:tc>
          <w:tcPr>
            <w:tcW w:w="898" w:type="pct"/>
            <w:tcBorders>
              <w:top w:val="single" w:sz="4" w:space="0" w:color="auto"/>
            </w:tcBorders>
            <w:shd w:val="clear" w:color="auto" w:fill="auto"/>
            <w:tcMar>
              <w:top w:w="110" w:type="dxa"/>
            </w:tcMar>
            <w:vAlign w:val="center"/>
          </w:tcPr>
          <w:p w:rsidR="00114690" w:rsidRPr="00797FCA" w:rsidRDefault="00114690" w:rsidP="00FD7155">
            <w:pPr>
              <w:spacing w:after="120"/>
              <w:rPr>
                <w:rFonts w:cs="Arial"/>
                <w:b/>
                <w:sz w:val="16"/>
                <w:szCs w:val="16"/>
              </w:rPr>
            </w:pPr>
            <w:r w:rsidRPr="00797FCA">
              <w:rPr>
                <w:rFonts w:cs="Arial"/>
                <w:b/>
                <w:sz w:val="16"/>
                <w:szCs w:val="16"/>
              </w:rPr>
              <w:t>Targets</w:t>
            </w:r>
          </w:p>
        </w:tc>
        <w:tc>
          <w:tcPr>
            <w:tcW w:w="1195" w:type="pct"/>
            <w:gridSpan w:val="2"/>
            <w:tcBorders>
              <w:top w:val="single" w:sz="4" w:space="0" w:color="auto"/>
            </w:tcBorders>
            <w:shd w:val="clear" w:color="auto" w:fill="FFFFFF"/>
            <w:tcMar>
              <w:top w:w="110" w:type="dxa"/>
            </w:tcMar>
            <w:vAlign w:val="center"/>
          </w:tcPr>
          <w:p w:rsidR="00114690" w:rsidRPr="00797FCA" w:rsidRDefault="00114690" w:rsidP="00FD7155">
            <w:pPr>
              <w:spacing w:after="120"/>
              <w:rPr>
                <w:rFonts w:cs="Arial"/>
                <w:sz w:val="16"/>
                <w:szCs w:val="16"/>
              </w:rPr>
            </w:pPr>
            <w:r w:rsidRPr="00797FCA">
              <w:rPr>
                <w:rFonts w:cs="Arial"/>
                <w:b/>
                <w:bCs/>
                <w:sz w:val="16"/>
                <w:szCs w:val="16"/>
              </w:rPr>
              <w:t>Performance Data</w:t>
            </w:r>
          </w:p>
        </w:tc>
        <w:tc>
          <w:tcPr>
            <w:tcW w:w="520" w:type="pct"/>
            <w:tcBorders>
              <w:top w:val="single" w:sz="4" w:space="0" w:color="auto"/>
            </w:tcBorders>
            <w:shd w:val="clear" w:color="auto" w:fill="auto"/>
            <w:tcMar>
              <w:top w:w="110" w:type="dxa"/>
            </w:tcMar>
            <w:vAlign w:val="center"/>
          </w:tcPr>
          <w:p w:rsidR="00114690" w:rsidRPr="00797FCA" w:rsidRDefault="00114690" w:rsidP="00FD7155">
            <w:pPr>
              <w:spacing w:after="120"/>
              <w:jc w:val="center"/>
              <w:rPr>
                <w:rFonts w:cs="Arial"/>
                <w:b/>
                <w:bCs/>
                <w:sz w:val="16"/>
                <w:szCs w:val="16"/>
              </w:rPr>
            </w:pPr>
            <w:r w:rsidRPr="00797FCA">
              <w:rPr>
                <w:rFonts w:cs="Arial"/>
                <w:b/>
                <w:bCs/>
                <w:sz w:val="16"/>
                <w:szCs w:val="16"/>
              </w:rPr>
              <w:t>TLS</w:t>
            </w:r>
          </w:p>
        </w:tc>
      </w:tr>
      <w:tr w:rsidR="00114690" w:rsidRPr="00797FCA" w:rsidTr="00114690">
        <w:tc>
          <w:tcPr>
            <w:tcW w:w="1120" w:type="pct"/>
            <w:shd w:val="clear" w:color="auto" w:fill="auto"/>
          </w:tcPr>
          <w:p w:rsidR="00114690" w:rsidRPr="00797FCA" w:rsidRDefault="00114690" w:rsidP="00FD7155">
            <w:pPr>
              <w:rPr>
                <w:rFonts w:cs="Arial"/>
                <w:sz w:val="16"/>
                <w:szCs w:val="16"/>
              </w:rPr>
            </w:pPr>
            <w:r w:rsidRPr="00797FCA">
              <w:rPr>
                <w:rFonts w:cs="Arial"/>
                <w:sz w:val="16"/>
                <w:szCs w:val="16"/>
              </w:rPr>
              <w:t>% of staff satisfied with human resource services</w:t>
            </w:r>
          </w:p>
        </w:tc>
        <w:tc>
          <w:tcPr>
            <w:tcW w:w="1268" w:type="pct"/>
            <w:shd w:val="clear" w:color="auto" w:fill="auto"/>
          </w:tcPr>
          <w:p w:rsidR="00114690" w:rsidRPr="00797FCA" w:rsidRDefault="00114690" w:rsidP="00FD7155">
            <w:pPr>
              <w:rPr>
                <w:rFonts w:cs="Arial"/>
                <w:color w:val="002060"/>
                <w:sz w:val="16"/>
                <w:szCs w:val="16"/>
                <w:lang w:bidi="th-TH"/>
              </w:rPr>
            </w:pPr>
            <w:r w:rsidRPr="00797FCA">
              <w:rPr>
                <w:rFonts w:cs="Arial"/>
                <w:i/>
                <w:color w:val="002060"/>
                <w:sz w:val="16"/>
                <w:szCs w:val="16"/>
              </w:rPr>
              <w:t xml:space="preserve">Updated Baseline end 2013:  </w:t>
            </w:r>
            <w:r w:rsidRPr="00797FCA">
              <w:rPr>
                <w:rFonts w:cs="Arial"/>
                <w:color w:val="002060"/>
                <w:sz w:val="16"/>
                <w:szCs w:val="16"/>
                <w:lang w:bidi="th-TH"/>
              </w:rPr>
              <w:t>Highly satisfied:  31.2%</w:t>
            </w:r>
          </w:p>
          <w:p w:rsidR="00114690" w:rsidRPr="00797FCA" w:rsidRDefault="00114690" w:rsidP="00FD7155">
            <w:pPr>
              <w:rPr>
                <w:rFonts w:cs="Arial"/>
                <w:color w:val="002060"/>
                <w:sz w:val="16"/>
                <w:szCs w:val="16"/>
                <w:lang w:bidi="th-TH"/>
              </w:rPr>
            </w:pPr>
            <w:r w:rsidRPr="00797FCA">
              <w:rPr>
                <w:rFonts w:cs="Arial"/>
                <w:color w:val="002060"/>
                <w:sz w:val="16"/>
                <w:szCs w:val="16"/>
                <w:lang w:bidi="th-TH"/>
              </w:rPr>
              <w:t xml:space="preserve">Satisfied: </w:t>
            </w:r>
            <w:r>
              <w:rPr>
                <w:rFonts w:cs="Arial"/>
                <w:color w:val="002060"/>
                <w:sz w:val="16"/>
                <w:szCs w:val="16"/>
                <w:lang w:bidi="th-TH"/>
              </w:rPr>
              <w:t xml:space="preserve">46.2 </w:t>
            </w:r>
            <w:r w:rsidRPr="00797FCA">
              <w:rPr>
                <w:rFonts w:cs="Arial"/>
                <w:color w:val="002060"/>
                <w:sz w:val="16"/>
                <w:szCs w:val="16"/>
                <w:lang w:bidi="th-TH"/>
              </w:rPr>
              <w:t>%</w:t>
            </w:r>
          </w:p>
          <w:p w:rsidR="00114690" w:rsidRPr="00797FCA" w:rsidRDefault="00114690" w:rsidP="00FD7155">
            <w:pPr>
              <w:rPr>
                <w:rFonts w:cs="Arial"/>
                <w:color w:val="002060"/>
                <w:sz w:val="16"/>
                <w:szCs w:val="16"/>
                <w:lang w:bidi="th-TH"/>
              </w:rPr>
            </w:pPr>
            <w:r w:rsidRPr="00797FCA">
              <w:rPr>
                <w:rFonts w:cs="Arial"/>
                <w:color w:val="002060"/>
                <w:sz w:val="16"/>
                <w:szCs w:val="16"/>
                <w:lang w:bidi="th-TH"/>
              </w:rPr>
              <w:t xml:space="preserve">Dissatisfied: </w:t>
            </w:r>
            <w:r>
              <w:rPr>
                <w:rFonts w:cs="Arial"/>
                <w:color w:val="002060"/>
                <w:sz w:val="16"/>
                <w:szCs w:val="16"/>
                <w:lang w:bidi="th-TH"/>
              </w:rPr>
              <w:t xml:space="preserve">18.9 </w:t>
            </w:r>
            <w:r w:rsidRPr="00797FCA">
              <w:rPr>
                <w:rFonts w:cs="Arial"/>
                <w:color w:val="002060"/>
                <w:sz w:val="16"/>
                <w:szCs w:val="16"/>
                <w:lang w:bidi="th-TH"/>
              </w:rPr>
              <w:t>%</w:t>
            </w:r>
          </w:p>
          <w:p w:rsidR="00114690" w:rsidRPr="00797FCA" w:rsidRDefault="00114690" w:rsidP="00FD7155">
            <w:pPr>
              <w:rPr>
                <w:rFonts w:cs="Arial"/>
                <w:i/>
                <w:color w:val="002060"/>
                <w:sz w:val="16"/>
                <w:szCs w:val="16"/>
              </w:rPr>
            </w:pPr>
            <w:r w:rsidRPr="00797FCA">
              <w:rPr>
                <w:rFonts w:cs="Arial"/>
                <w:color w:val="002060"/>
                <w:sz w:val="16"/>
                <w:szCs w:val="16"/>
                <w:lang w:bidi="th-TH"/>
              </w:rPr>
              <w:t xml:space="preserve">Highly dissatisfied:  </w:t>
            </w:r>
            <w:r>
              <w:rPr>
                <w:rFonts w:cs="Arial"/>
                <w:color w:val="002060"/>
                <w:sz w:val="16"/>
                <w:szCs w:val="16"/>
                <w:lang w:bidi="th-TH"/>
              </w:rPr>
              <w:t xml:space="preserve">3.7 </w:t>
            </w:r>
            <w:r w:rsidRPr="00797FCA">
              <w:rPr>
                <w:rFonts w:cs="Arial"/>
                <w:color w:val="002060"/>
                <w:sz w:val="16"/>
                <w:szCs w:val="16"/>
                <w:lang w:bidi="th-TH"/>
              </w:rPr>
              <w:t>%</w:t>
            </w:r>
          </w:p>
          <w:p w:rsidR="00114690" w:rsidRPr="00797FCA" w:rsidRDefault="00114690" w:rsidP="00FD7155">
            <w:pPr>
              <w:rPr>
                <w:rFonts w:cs="Arial"/>
                <w:i/>
                <w:color w:val="002060"/>
                <w:sz w:val="8"/>
                <w:szCs w:val="8"/>
              </w:rPr>
            </w:pPr>
          </w:p>
          <w:p w:rsidR="00114690" w:rsidRPr="00797FCA" w:rsidRDefault="00114690" w:rsidP="00FD7155">
            <w:pPr>
              <w:rPr>
                <w:rFonts w:cs="Arial"/>
                <w:sz w:val="16"/>
                <w:szCs w:val="16"/>
              </w:rPr>
            </w:pPr>
            <w:r w:rsidRPr="00797FCA">
              <w:rPr>
                <w:rFonts w:cs="Arial"/>
                <w:i/>
                <w:sz w:val="16"/>
                <w:szCs w:val="16"/>
              </w:rPr>
              <w:t>Original Baseline P&amp;B 2014/15:</w:t>
            </w:r>
            <w:r w:rsidRPr="00797FCA">
              <w:rPr>
                <w:rFonts w:cs="Arial"/>
                <w:sz w:val="16"/>
                <w:szCs w:val="16"/>
              </w:rPr>
              <w:t xml:space="preserve">  Highly satisfied:  31.2%</w:t>
            </w:r>
          </w:p>
          <w:p w:rsidR="00114690" w:rsidRPr="00797FCA" w:rsidRDefault="00114690" w:rsidP="00FD7155">
            <w:pPr>
              <w:rPr>
                <w:rFonts w:cs="Arial"/>
                <w:sz w:val="16"/>
                <w:szCs w:val="16"/>
              </w:rPr>
            </w:pPr>
            <w:r w:rsidRPr="00797FCA">
              <w:rPr>
                <w:rFonts w:cs="Arial"/>
                <w:sz w:val="16"/>
                <w:szCs w:val="16"/>
              </w:rPr>
              <w:t>Satisfied: 48.8%</w:t>
            </w:r>
          </w:p>
          <w:p w:rsidR="00114690" w:rsidRPr="00797FCA" w:rsidRDefault="00114690" w:rsidP="00FD7155">
            <w:pPr>
              <w:rPr>
                <w:rFonts w:cs="Arial"/>
                <w:sz w:val="16"/>
                <w:szCs w:val="16"/>
              </w:rPr>
            </w:pPr>
            <w:r w:rsidRPr="00797FCA">
              <w:rPr>
                <w:rFonts w:cs="Arial"/>
                <w:sz w:val="16"/>
                <w:szCs w:val="16"/>
              </w:rPr>
              <w:t>Dissatisfied: 17.1%</w:t>
            </w:r>
          </w:p>
          <w:p w:rsidR="00114690" w:rsidRDefault="00114690" w:rsidP="00FD7155">
            <w:pPr>
              <w:rPr>
                <w:rFonts w:cs="Arial"/>
                <w:sz w:val="16"/>
                <w:szCs w:val="16"/>
              </w:rPr>
            </w:pPr>
            <w:r w:rsidRPr="00797FCA">
              <w:rPr>
                <w:rFonts w:cs="Arial"/>
                <w:sz w:val="16"/>
                <w:szCs w:val="16"/>
              </w:rPr>
              <w:t>Highly dissatisfied:  2.9%</w:t>
            </w:r>
          </w:p>
          <w:p w:rsidR="00114690" w:rsidRPr="00797FCA" w:rsidRDefault="00114690" w:rsidP="00FD7155">
            <w:pPr>
              <w:rPr>
                <w:rFonts w:cs="Arial"/>
                <w:sz w:val="16"/>
                <w:szCs w:val="16"/>
              </w:rPr>
            </w:pPr>
          </w:p>
        </w:tc>
        <w:tc>
          <w:tcPr>
            <w:tcW w:w="898" w:type="pct"/>
            <w:shd w:val="clear" w:color="auto" w:fill="auto"/>
            <w:tcMar>
              <w:top w:w="110" w:type="dxa"/>
            </w:tcMar>
          </w:tcPr>
          <w:p w:rsidR="00114690" w:rsidRPr="00797FCA" w:rsidRDefault="00114690" w:rsidP="00FD7155">
            <w:pPr>
              <w:rPr>
                <w:rFonts w:cs="Arial"/>
                <w:sz w:val="16"/>
                <w:szCs w:val="16"/>
                <w:lang w:bidi="th-TH"/>
              </w:rPr>
            </w:pPr>
            <w:r w:rsidRPr="00E46637">
              <w:rPr>
                <w:rFonts w:cs="Arial"/>
                <w:sz w:val="16"/>
                <w:szCs w:val="16"/>
              </w:rPr>
              <w:t>85 % highly satisfied or satisfied</w:t>
            </w:r>
          </w:p>
        </w:tc>
        <w:tc>
          <w:tcPr>
            <w:tcW w:w="1195" w:type="pct"/>
            <w:gridSpan w:val="2"/>
            <w:shd w:val="clear" w:color="auto" w:fill="FFFFFF"/>
            <w:tcMar>
              <w:top w:w="110" w:type="dxa"/>
            </w:tcMar>
          </w:tcPr>
          <w:p w:rsidR="00114690" w:rsidRPr="00797FCA" w:rsidRDefault="00114690" w:rsidP="00FD7155">
            <w:pPr>
              <w:rPr>
                <w:rFonts w:cs="Arial"/>
                <w:sz w:val="16"/>
                <w:szCs w:val="16"/>
                <w:lang w:bidi="th-TH"/>
              </w:rPr>
            </w:pPr>
            <w:r w:rsidRPr="00797FCA">
              <w:rPr>
                <w:rFonts w:cs="Arial"/>
                <w:sz w:val="16"/>
                <w:szCs w:val="16"/>
                <w:lang w:bidi="th-TH"/>
              </w:rPr>
              <w:t>Highly satisfied:  30</w:t>
            </w:r>
            <w:r>
              <w:rPr>
                <w:rFonts w:cs="Arial"/>
                <w:sz w:val="16"/>
                <w:szCs w:val="16"/>
                <w:lang w:bidi="th-TH"/>
              </w:rPr>
              <w:t>.</w:t>
            </w:r>
            <w:r w:rsidRPr="00797FCA">
              <w:rPr>
                <w:rFonts w:cs="Arial"/>
                <w:sz w:val="16"/>
                <w:szCs w:val="16"/>
                <w:lang w:bidi="th-TH"/>
              </w:rPr>
              <w:t>8%</w:t>
            </w:r>
          </w:p>
          <w:p w:rsidR="00114690" w:rsidRPr="00797FCA" w:rsidRDefault="00114690" w:rsidP="00FD7155">
            <w:pPr>
              <w:rPr>
                <w:rFonts w:cs="Arial"/>
                <w:sz w:val="16"/>
                <w:szCs w:val="16"/>
                <w:lang w:bidi="th-TH"/>
              </w:rPr>
            </w:pPr>
            <w:r w:rsidRPr="00797FCA">
              <w:rPr>
                <w:rFonts w:cs="Arial"/>
                <w:sz w:val="16"/>
                <w:szCs w:val="16"/>
                <w:lang w:bidi="th-TH"/>
              </w:rPr>
              <w:t>Satisfied: 49</w:t>
            </w:r>
            <w:r>
              <w:rPr>
                <w:rFonts w:cs="Arial"/>
                <w:sz w:val="16"/>
                <w:szCs w:val="16"/>
                <w:lang w:bidi="th-TH"/>
              </w:rPr>
              <w:t>.</w:t>
            </w:r>
            <w:r w:rsidRPr="00797FCA">
              <w:rPr>
                <w:rFonts w:cs="Arial"/>
                <w:sz w:val="16"/>
                <w:szCs w:val="16"/>
                <w:lang w:bidi="th-TH"/>
              </w:rPr>
              <w:t>1%</w:t>
            </w:r>
          </w:p>
          <w:p w:rsidR="00114690" w:rsidRPr="00797FCA" w:rsidRDefault="00114690" w:rsidP="00FD7155">
            <w:pPr>
              <w:rPr>
                <w:rFonts w:cs="Arial"/>
                <w:sz w:val="16"/>
                <w:szCs w:val="16"/>
                <w:lang w:bidi="th-TH"/>
              </w:rPr>
            </w:pPr>
            <w:r w:rsidRPr="00797FCA">
              <w:rPr>
                <w:rFonts w:cs="Arial"/>
                <w:sz w:val="16"/>
                <w:szCs w:val="16"/>
                <w:lang w:bidi="th-TH"/>
              </w:rPr>
              <w:t>Dissatisfied: 17</w:t>
            </w:r>
            <w:r>
              <w:rPr>
                <w:rFonts w:cs="Arial"/>
                <w:sz w:val="16"/>
                <w:szCs w:val="16"/>
                <w:lang w:bidi="th-TH"/>
              </w:rPr>
              <w:t>.</w:t>
            </w:r>
            <w:r w:rsidRPr="00797FCA">
              <w:rPr>
                <w:rFonts w:cs="Arial"/>
                <w:sz w:val="16"/>
                <w:szCs w:val="16"/>
                <w:lang w:bidi="th-TH"/>
              </w:rPr>
              <w:t>6%</w:t>
            </w:r>
          </w:p>
          <w:p w:rsidR="00114690" w:rsidRPr="00797FCA" w:rsidRDefault="00114690" w:rsidP="00FD7155">
            <w:pPr>
              <w:rPr>
                <w:rFonts w:cs="Arial"/>
                <w:sz w:val="16"/>
                <w:szCs w:val="16"/>
              </w:rPr>
            </w:pPr>
            <w:r w:rsidRPr="00797FCA">
              <w:rPr>
                <w:rFonts w:cs="Arial"/>
                <w:sz w:val="16"/>
                <w:szCs w:val="16"/>
                <w:lang w:bidi="th-TH"/>
              </w:rPr>
              <w:t>Highly dissatisfied:  2</w:t>
            </w:r>
            <w:r>
              <w:rPr>
                <w:rFonts w:cs="Arial"/>
                <w:sz w:val="16"/>
                <w:szCs w:val="16"/>
                <w:lang w:bidi="th-TH"/>
              </w:rPr>
              <w:t>.</w:t>
            </w:r>
            <w:r w:rsidRPr="00797FCA">
              <w:rPr>
                <w:rFonts w:cs="Arial"/>
                <w:sz w:val="16"/>
                <w:szCs w:val="16"/>
                <w:lang w:bidi="th-TH"/>
              </w:rPr>
              <w:t>5%</w:t>
            </w:r>
          </w:p>
        </w:tc>
        <w:tc>
          <w:tcPr>
            <w:tcW w:w="520" w:type="pct"/>
            <w:shd w:val="clear" w:color="auto" w:fill="auto"/>
            <w:tcMar>
              <w:top w:w="110" w:type="dxa"/>
            </w:tcMar>
          </w:tcPr>
          <w:p w:rsidR="00114690" w:rsidRPr="00797FCA" w:rsidRDefault="00114690" w:rsidP="00FD7155">
            <w:pPr>
              <w:jc w:val="center"/>
              <w:rPr>
                <w:rFonts w:cs="Arial"/>
                <w:b/>
                <w:bCs/>
                <w:sz w:val="16"/>
                <w:szCs w:val="16"/>
              </w:rPr>
            </w:pPr>
            <w:r w:rsidRPr="00797FCA">
              <w:rPr>
                <w:rFonts w:cs="Arial"/>
                <w:b/>
                <w:bCs/>
                <w:color w:val="00B050"/>
                <w:sz w:val="16"/>
                <w:szCs w:val="16"/>
              </w:rPr>
              <w:t>On track</w:t>
            </w:r>
          </w:p>
        </w:tc>
      </w:tr>
      <w:tr w:rsidR="00114690" w:rsidRPr="00797FCA" w:rsidTr="00114690">
        <w:tc>
          <w:tcPr>
            <w:tcW w:w="1120" w:type="pct"/>
            <w:shd w:val="clear" w:color="auto" w:fill="auto"/>
          </w:tcPr>
          <w:p w:rsidR="00114690" w:rsidRDefault="00114690" w:rsidP="00FD7155">
            <w:pPr>
              <w:rPr>
                <w:rFonts w:cs="Arial"/>
                <w:sz w:val="16"/>
                <w:szCs w:val="16"/>
              </w:rPr>
            </w:pPr>
            <w:r w:rsidRPr="00797FCA">
              <w:rPr>
                <w:rFonts w:cs="Arial"/>
                <w:sz w:val="16"/>
                <w:szCs w:val="16"/>
              </w:rPr>
              <w:t>Timely, accurate, and efficient human resources operations services</w:t>
            </w:r>
          </w:p>
          <w:p w:rsidR="00114690" w:rsidRPr="00797FCA" w:rsidRDefault="00114690" w:rsidP="00FD7155">
            <w:pPr>
              <w:rPr>
                <w:rFonts w:cs="Arial"/>
                <w:sz w:val="16"/>
                <w:szCs w:val="16"/>
              </w:rPr>
            </w:pPr>
          </w:p>
        </w:tc>
        <w:tc>
          <w:tcPr>
            <w:tcW w:w="1268" w:type="pct"/>
            <w:shd w:val="clear" w:color="auto" w:fill="auto"/>
          </w:tcPr>
          <w:p w:rsidR="00114690" w:rsidRPr="00797FCA" w:rsidRDefault="00114690" w:rsidP="00FD7155">
            <w:pPr>
              <w:rPr>
                <w:rFonts w:cs="Arial"/>
                <w:sz w:val="16"/>
                <w:szCs w:val="16"/>
              </w:rPr>
            </w:pPr>
            <w:r w:rsidRPr="00797FCA">
              <w:rPr>
                <w:rFonts w:cs="Arial"/>
                <w:sz w:val="16"/>
                <w:szCs w:val="16"/>
              </w:rPr>
              <w:t>Seven working days</w:t>
            </w:r>
          </w:p>
          <w:p w:rsidR="00114690" w:rsidRPr="00797FCA" w:rsidRDefault="00114690" w:rsidP="00FD7155">
            <w:pPr>
              <w:rPr>
                <w:rFonts w:cs="Arial"/>
                <w:sz w:val="16"/>
                <w:szCs w:val="16"/>
              </w:rPr>
            </w:pPr>
          </w:p>
        </w:tc>
        <w:tc>
          <w:tcPr>
            <w:tcW w:w="898" w:type="pct"/>
            <w:shd w:val="clear" w:color="auto" w:fill="auto"/>
            <w:tcMar>
              <w:top w:w="110" w:type="dxa"/>
            </w:tcMar>
          </w:tcPr>
          <w:p w:rsidR="00114690" w:rsidRPr="00797FCA" w:rsidRDefault="00114690" w:rsidP="00FD7155">
            <w:pPr>
              <w:rPr>
                <w:rFonts w:cs="Arial"/>
                <w:sz w:val="16"/>
                <w:szCs w:val="16"/>
              </w:rPr>
            </w:pPr>
            <w:r w:rsidRPr="00E46637">
              <w:rPr>
                <w:rFonts w:cs="Arial"/>
                <w:sz w:val="16"/>
                <w:szCs w:val="16"/>
              </w:rPr>
              <w:t>Five working days</w:t>
            </w:r>
          </w:p>
        </w:tc>
        <w:tc>
          <w:tcPr>
            <w:tcW w:w="1195" w:type="pct"/>
            <w:gridSpan w:val="2"/>
            <w:shd w:val="clear" w:color="auto" w:fill="FFFFFF"/>
            <w:tcMar>
              <w:top w:w="110" w:type="dxa"/>
            </w:tcMar>
          </w:tcPr>
          <w:p w:rsidR="00114690" w:rsidRPr="00797FCA" w:rsidRDefault="00114690" w:rsidP="00FD7155">
            <w:pPr>
              <w:rPr>
                <w:rFonts w:cs="Arial"/>
                <w:sz w:val="16"/>
                <w:szCs w:val="16"/>
              </w:rPr>
            </w:pPr>
            <w:r w:rsidRPr="00797FCA">
              <w:rPr>
                <w:rFonts w:cs="Arial"/>
                <w:sz w:val="16"/>
                <w:szCs w:val="16"/>
              </w:rPr>
              <w:t>Between 6 and 6.5 days</w:t>
            </w:r>
          </w:p>
        </w:tc>
        <w:tc>
          <w:tcPr>
            <w:tcW w:w="520" w:type="pct"/>
            <w:shd w:val="clear" w:color="auto" w:fill="auto"/>
            <w:tcMar>
              <w:top w:w="110" w:type="dxa"/>
            </w:tcMar>
          </w:tcPr>
          <w:p w:rsidR="00114690" w:rsidRPr="00797FCA" w:rsidRDefault="00114690" w:rsidP="00FD7155">
            <w:pPr>
              <w:jc w:val="center"/>
              <w:rPr>
                <w:rFonts w:cs="Arial"/>
                <w:bCs/>
                <w:sz w:val="16"/>
                <w:szCs w:val="16"/>
              </w:rPr>
            </w:pPr>
            <w:r w:rsidRPr="00797FCA">
              <w:rPr>
                <w:rFonts w:cs="Arial"/>
                <w:b/>
                <w:bCs/>
                <w:color w:val="00B050"/>
                <w:sz w:val="16"/>
                <w:szCs w:val="16"/>
              </w:rPr>
              <w:t>On track</w:t>
            </w:r>
          </w:p>
        </w:tc>
      </w:tr>
      <w:tr w:rsidR="00114690" w:rsidRPr="00797FCA" w:rsidTr="00114690">
        <w:tc>
          <w:tcPr>
            <w:tcW w:w="5000" w:type="pct"/>
            <w:gridSpan w:val="6"/>
            <w:tcBorders>
              <w:top w:val="single" w:sz="4" w:space="0" w:color="auto"/>
              <w:bottom w:val="single" w:sz="4" w:space="0" w:color="auto"/>
            </w:tcBorders>
            <w:shd w:val="clear" w:color="auto" w:fill="CCFFFF"/>
            <w:vAlign w:val="center"/>
          </w:tcPr>
          <w:p w:rsidR="00114690" w:rsidRPr="00797FCA" w:rsidRDefault="00114690" w:rsidP="00FD7155">
            <w:pPr>
              <w:tabs>
                <w:tab w:val="left" w:pos="1452"/>
              </w:tabs>
              <w:spacing w:before="120" w:after="120"/>
              <w:ind w:left="1452" w:hanging="1452"/>
              <w:rPr>
                <w:rFonts w:cs="Arial"/>
                <w:b/>
                <w:bCs/>
                <w:sz w:val="16"/>
                <w:szCs w:val="16"/>
              </w:rPr>
            </w:pPr>
            <w:r w:rsidRPr="00797FCA">
              <w:rPr>
                <w:rFonts w:cs="Arial"/>
                <w:b/>
                <w:bCs/>
                <w:sz w:val="16"/>
                <w:szCs w:val="16"/>
              </w:rPr>
              <w:t>Expected Result:</w:t>
            </w:r>
            <w:r w:rsidRPr="00797FCA">
              <w:rPr>
                <w:rFonts w:cs="Arial"/>
                <w:b/>
                <w:bCs/>
                <w:sz w:val="16"/>
                <w:szCs w:val="16"/>
              </w:rPr>
              <w:tab/>
            </w:r>
            <w:r w:rsidRPr="00797FCA">
              <w:rPr>
                <w:rFonts w:cs="Arial"/>
                <w:sz w:val="16"/>
                <w:szCs w:val="16"/>
              </w:rPr>
              <w:t xml:space="preserve">IX.2 An agile and smooth functioning Secretariat with a </w:t>
            </w:r>
            <w:proofErr w:type="spellStart"/>
            <w:r w:rsidRPr="00797FCA">
              <w:rPr>
                <w:rFonts w:cs="Arial"/>
                <w:sz w:val="16"/>
                <w:szCs w:val="16"/>
              </w:rPr>
              <w:t>well managed</w:t>
            </w:r>
            <w:proofErr w:type="spellEnd"/>
            <w:r w:rsidRPr="00797FCA">
              <w:rPr>
                <w:rFonts w:cs="Arial"/>
                <w:sz w:val="16"/>
                <w:szCs w:val="16"/>
              </w:rPr>
              <w:t xml:space="preserve"> and appropriately skilled workforce which is effectively delivering results</w:t>
            </w:r>
          </w:p>
        </w:tc>
      </w:tr>
      <w:tr w:rsidR="00114690" w:rsidRPr="00797FCA" w:rsidTr="00114690">
        <w:tc>
          <w:tcPr>
            <w:tcW w:w="1120" w:type="pct"/>
            <w:tcBorders>
              <w:top w:val="single" w:sz="4" w:space="0" w:color="auto"/>
            </w:tcBorders>
            <w:shd w:val="clear" w:color="auto" w:fill="auto"/>
            <w:vAlign w:val="center"/>
          </w:tcPr>
          <w:p w:rsidR="00114690" w:rsidRPr="00797FCA" w:rsidRDefault="00114690" w:rsidP="00FD7155">
            <w:pPr>
              <w:rPr>
                <w:rFonts w:cs="Arial"/>
                <w:sz w:val="16"/>
                <w:szCs w:val="16"/>
              </w:rPr>
            </w:pPr>
            <w:r w:rsidRPr="00797FCA">
              <w:rPr>
                <w:rFonts w:cs="Arial"/>
                <w:b/>
                <w:bCs/>
                <w:sz w:val="16"/>
                <w:szCs w:val="16"/>
              </w:rPr>
              <w:t>Performance Indicators</w:t>
            </w:r>
          </w:p>
        </w:tc>
        <w:tc>
          <w:tcPr>
            <w:tcW w:w="1268" w:type="pct"/>
            <w:tcBorders>
              <w:top w:val="single" w:sz="4" w:space="0" w:color="auto"/>
            </w:tcBorders>
            <w:shd w:val="clear" w:color="auto" w:fill="auto"/>
            <w:vAlign w:val="center"/>
          </w:tcPr>
          <w:p w:rsidR="00114690" w:rsidRPr="00797FCA" w:rsidRDefault="00114690" w:rsidP="00FD7155">
            <w:pPr>
              <w:rPr>
                <w:rFonts w:cs="Arial"/>
                <w:b/>
                <w:bCs/>
                <w:sz w:val="16"/>
                <w:szCs w:val="16"/>
              </w:rPr>
            </w:pPr>
            <w:r w:rsidRPr="00797FCA">
              <w:rPr>
                <w:rFonts w:cs="Arial"/>
                <w:b/>
                <w:bCs/>
                <w:sz w:val="16"/>
                <w:szCs w:val="16"/>
              </w:rPr>
              <w:t>Baselines</w:t>
            </w:r>
          </w:p>
        </w:tc>
        <w:tc>
          <w:tcPr>
            <w:tcW w:w="898" w:type="pct"/>
            <w:tcBorders>
              <w:top w:val="single" w:sz="4" w:space="0" w:color="auto"/>
            </w:tcBorders>
            <w:shd w:val="clear" w:color="auto" w:fill="auto"/>
            <w:tcMar>
              <w:top w:w="110" w:type="dxa"/>
            </w:tcMar>
            <w:vAlign w:val="center"/>
          </w:tcPr>
          <w:p w:rsidR="00114690" w:rsidRPr="00797FCA" w:rsidRDefault="00114690" w:rsidP="00FD7155">
            <w:pPr>
              <w:rPr>
                <w:rFonts w:cs="Arial"/>
                <w:b/>
                <w:sz w:val="16"/>
                <w:szCs w:val="16"/>
              </w:rPr>
            </w:pPr>
            <w:r w:rsidRPr="00797FCA">
              <w:rPr>
                <w:rFonts w:cs="Arial"/>
                <w:b/>
                <w:sz w:val="16"/>
                <w:szCs w:val="16"/>
              </w:rPr>
              <w:t>Targets</w:t>
            </w:r>
          </w:p>
        </w:tc>
        <w:tc>
          <w:tcPr>
            <w:tcW w:w="1192" w:type="pct"/>
            <w:tcBorders>
              <w:top w:val="single" w:sz="4" w:space="0" w:color="auto"/>
            </w:tcBorders>
            <w:shd w:val="clear" w:color="auto" w:fill="FFFFFF"/>
            <w:tcMar>
              <w:top w:w="110" w:type="dxa"/>
            </w:tcMar>
            <w:vAlign w:val="center"/>
          </w:tcPr>
          <w:p w:rsidR="00114690" w:rsidRPr="00797FCA" w:rsidRDefault="00114690" w:rsidP="00FD7155">
            <w:pPr>
              <w:rPr>
                <w:rFonts w:cs="Arial"/>
                <w:sz w:val="16"/>
                <w:szCs w:val="16"/>
              </w:rPr>
            </w:pPr>
            <w:r w:rsidRPr="00797FCA">
              <w:rPr>
                <w:rFonts w:cs="Arial"/>
                <w:b/>
                <w:bCs/>
                <w:sz w:val="16"/>
                <w:szCs w:val="16"/>
              </w:rPr>
              <w:t>Performance Data</w:t>
            </w:r>
          </w:p>
        </w:tc>
        <w:tc>
          <w:tcPr>
            <w:tcW w:w="523" w:type="pct"/>
            <w:gridSpan w:val="2"/>
            <w:tcBorders>
              <w:top w:val="single" w:sz="4" w:space="0" w:color="auto"/>
            </w:tcBorders>
            <w:shd w:val="clear" w:color="auto" w:fill="auto"/>
            <w:tcMar>
              <w:top w:w="110" w:type="dxa"/>
            </w:tcMar>
            <w:vAlign w:val="center"/>
          </w:tcPr>
          <w:p w:rsidR="00114690" w:rsidRPr="00797FCA" w:rsidRDefault="00114690" w:rsidP="00FD7155">
            <w:pPr>
              <w:jc w:val="center"/>
              <w:rPr>
                <w:rFonts w:cs="Arial"/>
                <w:b/>
                <w:bCs/>
                <w:sz w:val="16"/>
                <w:szCs w:val="16"/>
              </w:rPr>
            </w:pPr>
            <w:r w:rsidRPr="00797FCA">
              <w:rPr>
                <w:rFonts w:cs="Arial"/>
                <w:b/>
                <w:bCs/>
                <w:sz w:val="16"/>
                <w:szCs w:val="16"/>
              </w:rPr>
              <w:t>TLS</w:t>
            </w:r>
          </w:p>
        </w:tc>
      </w:tr>
      <w:tr w:rsidR="00114690" w:rsidRPr="00797FCA" w:rsidTr="00114690">
        <w:tc>
          <w:tcPr>
            <w:tcW w:w="1120" w:type="pct"/>
            <w:shd w:val="clear" w:color="auto" w:fill="auto"/>
          </w:tcPr>
          <w:p w:rsidR="00114690" w:rsidRPr="00797FCA" w:rsidRDefault="00114690" w:rsidP="00FD7155">
            <w:pPr>
              <w:rPr>
                <w:rFonts w:cs="Arial"/>
                <w:sz w:val="16"/>
                <w:szCs w:val="16"/>
              </w:rPr>
            </w:pPr>
            <w:r w:rsidRPr="00797FCA">
              <w:rPr>
                <w:rFonts w:cs="Arial"/>
                <w:sz w:val="16"/>
                <w:szCs w:val="16"/>
              </w:rPr>
              <w:t>Recruitment lead time</w:t>
            </w:r>
          </w:p>
        </w:tc>
        <w:tc>
          <w:tcPr>
            <w:tcW w:w="1268" w:type="pct"/>
            <w:shd w:val="clear" w:color="auto" w:fill="auto"/>
          </w:tcPr>
          <w:p w:rsidR="00114690" w:rsidRPr="003322D2" w:rsidRDefault="00114690" w:rsidP="00FD7155">
            <w:pPr>
              <w:rPr>
                <w:rFonts w:cs="Arial"/>
                <w:color w:val="002060"/>
                <w:sz w:val="16"/>
                <w:szCs w:val="16"/>
              </w:rPr>
            </w:pPr>
            <w:r w:rsidRPr="00797FCA">
              <w:rPr>
                <w:rFonts w:cs="Arial"/>
                <w:i/>
                <w:color w:val="002060"/>
                <w:sz w:val="16"/>
                <w:szCs w:val="16"/>
              </w:rPr>
              <w:t xml:space="preserve">Updated Baseline end 2013:  </w:t>
            </w:r>
            <w:r w:rsidRPr="003322D2">
              <w:rPr>
                <w:rFonts w:cs="Arial"/>
                <w:color w:val="002060"/>
                <w:sz w:val="16"/>
                <w:szCs w:val="16"/>
              </w:rPr>
              <w:t>Biennium Average:  16.03 weeks (as of March 19, 2014)</w:t>
            </w:r>
          </w:p>
          <w:p w:rsidR="00114690" w:rsidRDefault="00114690" w:rsidP="00FD7155">
            <w:pPr>
              <w:pStyle w:val="ListParagraph"/>
              <w:ind w:left="0"/>
              <w:rPr>
                <w:rFonts w:cs="Arial"/>
                <w:color w:val="002060"/>
                <w:sz w:val="16"/>
                <w:szCs w:val="16"/>
              </w:rPr>
            </w:pPr>
            <w:r w:rsidRPr="003322D2">
              <w:rPr>
                <w:rFonts w:cs="Arial"/>
                <w:color w:val="002060"/>
                <w:sz w:val="16"/>
                <w:szCs w:val="16"/>
              </w:rPr>
              <w:t>2012: 16.5 weeks</w:t>
            </w:r>
          </w:p>
          <w:p w:rsidR="00114690" w:rsidRDefault="00114690" w:rsidP="00FD7155">
            <w:pPr>
              <w:pStyle w:val="ListParagraph"/>
              <w:ind w:left="0"/>
              <w:rPr>
                <w:i/>
                <w:sz w:val="8"/>
                <w:szCs w:val="8"/>
              </w:rPr>
            </w:pPr>
            <w:r w:rsidRPr="003322D2">
              <w:rPr>
                <w:rFonts w:cs="Arial"/>
                <w:color w:val="002060"/>
                <w:sz w:val="16"/>
                <w:szCs w:val="16"/>
              </w:rPr>
              <w:t>2013: 15.56 weeks</w:t>
            </w:r>
          </w:p>
          <w:p w:rsidR="00114690" w:rsidRPr="00797FCA" w:rsidRDefault="00114690" w:rsidP="00FD7155">
            <w:pPr>
              <w:rPr>
                <w:rFonts w:cs="Arial"/>
                <w:i/>
                <w:color w:val="002060"/>
                <w:sz w:val="8"/>
                <w:szCs w:val="8"/>
              </w:rPr>
            </w:pPr>
          </w:p>
          <w:p w:rsidR="00114690" w:rsidRDefault="00114690" w:rsidP="00FD7155">
            <w:pPr>
              <w:rPr>
                <w:rFonts w:cs="Arial"/>
                <w:sz w:val="16"/>
                <w:szCs w:val="16"/>
              </w:rPr>
            </w:pPr>
            <w:r w:rsidRPr="00797FCA">
              <w:rPr>
                <w:rFonts w:cs="Arial"/>
                <w:i/>
                <w:sz w:val="16"/>
                <w:szCs w:val="16"/>
              </w:rPr>
              <w:t>Original Baseline P&amp;B 2014/15:</w:t>
            </w:r>
            <w:r w:rsidRPr="00797FCA">
              <w:rPr>
                <w:rFonts w:cs="Arial"/>
                <w:sz w:val="16"/>
                <w:szCs w:val="16"/>
              </w:rPr>
              <w:t xml:space="preserve">  21 weeks</w:t>
            </w:r>
          </w:p>
          <w:p w:rsidR="00114690" w:rsidRPr="00797FCA" w:rsidRDefault="00114690" w:rsidP="00FD7155">
            <w:pPr>
              <w:rPr>
                <w:rFonts w:cs="Arial"/>
                <w:sz w:val="16"/>
                <w:szCs w:val="16"/>
              </w:rPr>
            </w:pPr>
          </w:p>
        </w:tc>
        <w:tc>
          <w:tcPr>
            <w:tcW w:w="898" w:type="pct"/>
            <w:shd w:val="clear" w:color="auto" w:fill="auto"/>
            <w:tcMar>
              <w:top w:w="110" w:type="dxa"/>
            </w:tcMar>
          </w:tcPr>
          <w:p w:rsidR="00114690" w:rsidRPr="00797FCA" w:rsidRDefault="00114690" w:rsidP="00FD7155">
            <w:pPr>
              <w:rPr>
                <w:rFonts w:cs="Arial"/>
                <w:sz w:val="16"/>
                <w:szCs w:val="16"/>
              </w:rPr>
            </w:pPr>
            <w:r w:rsidRPr="00784FF4">
              <w:rPr>
                <w:rFonts w:cs="Arial"/>
                <w:sz w:val="16"/>
                <w:szCs w:val="16"/>
              </w:rPr>
              <w:t>19 weeks</w:t>
            </w:r>
          </w:p>
        </w:tc>
        <w:tc>
          <w:tcPr>
            <w:tcW w:w="1192" w:type="pct"/>
            <w:shd w:val="clear" w:color="auto" w:fill="FFFFFF"/>
            <w:tcMar>
              <w:top w:w="110" w:type="dxa"/>
            </w:tcMar>
          </w:tcPr>
          <w:p w:rsidR="00114690" w:rsidRPr="00797FCA" w:rsidRDefault="00114690" w:rsidP="00FD7155">
            <w:pPr>
              <w:rPr>
                <w:rFonts w:cs="Arial"/>
                <w:sz w:val="16"/>
                <w:szCs w:val="16"/>
              </w:rPr>
            </w:pPr>
            <w:r w:rsidRPr="00797FCA">
              <w:rPr>
                <w:rFonts w:cs="Arial"/>
                <w:sz w:val="16"/>
                <w:szCs w:val="16"/>
              </w:rPr>
              <w:t>14.7 weeks (with LSTE)</w:t>
            </w:r>
          </w:p>
          <w:p w:rsidR="00114690" w:rsidRPr="00797FCA" w:rsidRDefault="00114690" w:rsidP="00FD7155">
            <w:pPr>
              <w:rPr>
                <w:rFonts w:cs="Arial"/>
                <w:sz w:val="16"/>
                <w:szCs w:val="16"/>
              </w:rPr>
            </w:pPr>
            <w:r w:rsidRPr="00797FCA">
              <w:rPr>
                <w:rFonts w:cs="Arial"/>
                <w:sz w:val="16"/>
                <w:szCs w:val="16"/>
              </w:rPr>
              <w:t>19.07 weeks (without LSTE)</w:t>
            </w:r>
          </w:p>
        </w:tc>
        <w:tc>
          <w:tcPr>
            <w:tcW w:w="523" w:type="pct"/>
            <w:gridSpan w:val="2"/>
            <w:shd w:val="clear" w:color="auto" w:fill="auto"/>
            <w:tcMar>
              <w:top w:w="110" w:type="dxa"/>
            </w:tcMar>
          </w:tcPr>
          <w:p w:rsidR="00114690" w:rsidRPr="00797FCA" w:rsidRDefault="00114690" w:rsidP="00FD7155">
            <w:pPr>
              <w:jc w:val="center"/>
              <w:rPr>
                <w:rFonts w:cs="Arial"/>
                <w:bCs/>
                <w:color w:val="808080"/>
                <w:sz w:val="16"/>
                <w:szCs w:val="16"/>
              </w:rPr>
            </w:pPr>
            <w:r w:rsidRPr="00797FCA">
              <w:rPr>
                <w:rFonts w:cs="Arial"/>
                <w:b/>
                <w:bCs/>
                <w:color w:val="00B050"/>
                <w:sz w:val="16"/>
                <w:szCs w:val="16"/>
              </w:rPr>
              <w:t>On track</w:t>
            </w:r>
          </w:p>
        </w:tc>
      </w:tr>
      <w:tr w:rsidR="00114690" w:rsidRPr="00797FCA" w:rsidTr="00114690">
        <w:trPr>
          <w:trHeight w:val="1078"/>
        </w:trPr>
        <w:tc>
          <w:tcPr>
            <w:tcW w:w="1120" w:type="pct"/>
            <w:shd w:val="clear" w:color="auto" w:fill="auto"/>
          </w:tcPr>
          <w:p w:rsidR="00114690" w:rsidRPr="00797FCA" w:rsidRDefault="00114690" w:rsidP="00FD7155">
            <w:pPr>
              <w:rPr>
                <w:rFonts w:cs="Arial"/>
                <w:sz w:val="16"/>
                <w:szCs w:val="16"/>
              </w:rPr>
            </w:pPr>
            <w:r w:rsidRPr="00797FCA">
              <w:rPr>
                <w:rFonts w:cs="Arial"/>
                <w:sz w:val="16"/>
                <w:szCs w:val="16"/>
              </w:rPr>
              <w:t xml:space="preserve">% of organizational units with existing workforce plans linked to annual </w:t>
            </w:r>
            <w:proofErr w:type="spellStart"/>
            <w:r w:rsidRPr="00797FCA">
              <w:rPr>
                <w:rFonts w:cs="Arial"/>
                <w:sz w:val="16"/>
                <w:szCs w:val="16"/>
              </w:rPr>
              <w:t>workplans</w:t>
            </w:r>
            <w:proofErr w:type="spellEnd"/>
          </w:p>
        </w:tc>
        <w:tc>
          <w:tcPr>
            <w:tcW w:w="1268" w:type="pct"/>
            <w:shd w:val="clear" w:color="auto" w:fill="auto"/>
          </w:tcPr>
          <w:p w:rsidR="00114690" w:rsidRPr="00797FCA" w:rsidRDefault="00114690" w:rsidP="00FD7155">
            <w:pPr>
              <w:rPr>
                <w:rFonts w:cs="Arial"/>
                <w:color w:val="002060"/>
                <w:sz w:val="16"/>
                <w:szCs w:val="16"/>
                <w:lang w:bidi="th-TH"/>
              </w:rPr>
            </w:pPr>
            <w:r w:rsidRPr="00797FCA">
              <w:rPr>
                <w:rFonts w:cs="Arial"/>
                <w:i/>
                <w:color w:val="002060"/>
                <w:sz w:val="16"/>
                <w:szCs w:val="16"/>
              </w:rPr>
              <w:t xml:space="preserve">Updated Baseline end 2013:  </w:t>
            </w:r>
            <w:r w:rsidRPr="00797FCA">
              <w:rPr>
                <w:rFonts w:cs="Arial"/>
                <w:color w:val="002060"/>
                <w:sz w:val="16"/>
                <w:szCs w:val="16"/>
              </w:rPr>
              <w:t>0 (zero)</w:t>
            </w:r>
          </w:p>
          <w:p w:rsidR="00114690" w:rsidRPr="00797FCA" w:rsidRDefault="00114690" w:rsidP="00FD7155">
            <w:pPr>
              <w:rPr>
                <w:rFonts w:cs="Arial"/>
                <w:i/>
                <w:color w:val="002060"/>
                <w:sz w:val="8"/>
                <w:szCs w:val="8"/>
              </w:rPr>
            </w:pPr>
          </w:p>
          <w:p w:rsidR="00114690" w:rsidRPr="00CB34C5" w:rsidRDefault="00114690" w:rsidP="00FD7155">
            <w:pPr>
              <w:rPr>
                <w:rFonts w:cs="Arial"/>
                <w:sz w:val="16"/>
                <w:szCs w:val="16"/>
              </w:rPr>
            </w:pPr>
            <w:r w:rsidRPr="00797FCA">
              <w:rPr>
                <w:rFonts w:cs="Arial"/>
                <w:i/>
                <w:sz w:val="16"/>
                <w:szCs w:val="16"/>
              </w:rPr>
              <w:t>Original Baseline P&amp;B 2014/15:</w:t>
            </w:r>
            <w:r w:rsidRPr="00797FCA">
              <w:rPr>
                <w:rFonts w:cs="Arial"/>
                <w:sz w:val="16"/>
                <w:szCs w:val="16"/>
              </w:rPr>
              <w:t xml:space="preserve">  </w:t>
            </w:r>
            <w:proofErr w:type="spellStart"/>
            <w:r w:rsidRPr="00797FCA">
              <w:rPr>
                <w:rFonts w:cs="Arial"/>
                <w:sz w:val="16"/>
                <w:szCs w:val="16"/>
              </w:rPr>
              <w:t>tbd</w:t>
            </w:r>
            <w:proofErr w:type="spellEnd"/>
          </w:p>
        </w:tc>
        <w:tc>
          <w:tcPr>
            <w:tcW w:w="898" w:type="pct"/>
            <w:shd w:val="clear" w:color="auto" w:fill="auto"/>
            <w:tcMar>
              <w:top w:w="110" w:type="dxa"/>
            </w:tcMar>
          </w:tcPr>
          <w:p w:rsidR="00114690" w:rsidRPr="00797FCA" w:rsidRDefault="00114690" w:rsidP="00FD7155">
            <w:pPr>
              <w:autoSpaceDE w:val="0"/>
              <w:autoSpaceDN w:val="0"/>
              <w:adjustRightInd w:val="0"/>
              <w:rPr>
                <w:rFonts w:cs="Arial"/>
                <w:sz w:val="16"/>
                <w:szCs w:val="16"/>
              </w:rPr>
            </w:pPr>
            <w:r w:rsidRPr="00784FF4">
              <w:rPr>
                <w:rFonts w:cs="Arial"/>
                <w:sz w:val="16"/>
                <w:szCs w:val="16"/>
              </w:rPr>
              <w:t xml:space="preserve">70% </w:t>
            </w:r>
          </w:p>
          <w:p w:rsidR="00114690" w:rsidRPr="00784FF4" w:rsidRDefault="00114690" w:rsidP="00FD7155">
            <w:pPr>
              <w:rPr>
                <w:rFonts w:cs="Arial"/>
                <w:sz w:val="16"/>
                <w:szCs w:val="16"/>
              </w:rPr>
            </w:pPr>
          </w:p>
        </w:tc>
        <w:tc>
          <w:tcPr>
            <w:tcW w:w="1192" w:type="pct"/>
            <w:shd w:val="clear" w:color="auto" w:fill="FFFFFF"/>
            <w:tcMar>
              <w:top w:w="110" w:type="dxa"/>
            </w:tcMar>
          </w:tcPr>
          <w:p w:rsidR="00114690" w:rsidRPr="00797FCA" w:rsidRDefault="00114690" w:rsidP="00FD7155">
            <w:pPr>
              <w:rPr>
                <w:rFonts w:cs="Arial"/>
                <w:sz w:val="16"/>
                <w:szCs w:val="16"/>
              </w:rPr>
            </w:pPr>
            <w:r>
              <w:rPr>
                <w:rFonts w:cs="Arial"/>
                <w:sz w:val="16"/>
                <w:szCs w:val="16"/>
              </w:rPr>
              <w:t>81.5%</w:t>
            </w:r>
          </w:p>
        </w:tc>
        <w:tc>
          <w:tcPr>
            <w:tcW w:w="523" w:type="pct"/>
            <w:gridSpan w:val="2"/>
            <w:shd w:val="clear" w:color="auto" w:fill="auto"/>
            <w:tcMar>
              <w:top w:w="110" w:type="dxa"/>
            </w:tcMar>
          </w:tcPr>
          <w:p w:rsidR="00114690" w:rsidRPr="00797FCA" w:rsidRDefault="00114690" w:rsidP="00FD7155">
            <w:pPr>
              <w:jc w:val="center"/>
              <w:rPr>
                <w:rFonts w:cs="Arial"/>
                <w:b/>
                <w:bCs/>
                <w:color w:val="00B050"/>
                <w:sz w:val="16"/>
                <w:szCs w:val="16"/>
              </w:rPr>
            </w:pPr>
            <w:r w:rsidRPr="00797FCA">
              <w:rPr>
                <w:rFonts w:cs="Arial"/>
                <w:b/>
                <w:bCs/>
                <w:color w:val="00B050"/>
                <w:sz w:val="16"/>
                <w:szCs w:val="16"/>
              </w:rPr>
              <w:t>On track</w:t>
            </w:r>
          </w:p>
        </w:tc>
      </w:tr>
      <w:tr w:rsidR="00114690" w:rsidRPr="00797FCA" w:rsidTr="00114690">
        <w:tc>
          <w:tcPr>
            <w:tcW w:w="1120" w:type="pct"/>
            <w:shd w:val="clear" w:color="auto" w:fill="auto"/>
          </w:tcPr>
          <w:p w:rsidR="00114690" w:rsidRPr="00797FCA" w:rsidRDefault="00114690" w:rsidP="00FD7155">
            <w:pPr>
              <w:rPr>
                <w:rFonts w:cs="Arial"/>
                <w:sz w:val="16"/>
                <w:szCs w:val="16"/>
              </w:rPr>
            </w:pPr>
            <w:r w:rsidRPr="00797FCA">
              <w:rPr>
                <w:rFonts w:cs="Arial"/>
                <w:sz w:val="16"/>
                <w:szCs w:val="16"/>
              </w:rPr>
              <w:t>% of newly recruited staff that fits organizational needs</w:t>
            </w:r>
          </w:p>
        </w:tc>
        <w:tc>
          <w:tcPr>
            <w:tcW w:w="1268" w:type="pct"/>
            <w:shd w:val="clear" w:color="auto" w:fill="auto"/>
          </w:tcPr>
          <w:p w:rsidR="00114690" w:rsidRPr="00797FCA" w:rsidRDefault="00114690" w:rsidP="00FD7155">
            <w:pPr>
              <w:rPr>
                <w:rFonts w:cs="Arial"/>
                <w:sz w:val="16"/>
                <w:szCs w:val="16"/>
              </w:rPr>
            </w:pPr>
            <w:proofErr w:type="spellStart"/>
            <w:r w:rsidRPr="00797FCA">
              <w:rPr>
                <w:rFonts w:cs="Arial"/>
                <w:sz w:val="16"/>
                <w:szCs w:val="16"/>
              </w:rPr>
              <w:t>tbd</w:t>
            </w:r>
            <w:proofErr w:type="spellEnd"/>
          </w:p>
          <w:p w:rsidR="00114690" w:rsidRPr="00797FCA" w:rsidRDefault="00114690" w:rsidP="00FD7155">
            <w:pPr>
              <w:rPr>
                <w:rFonts w:cs="Arial"/>
                <w:i/>
                <w:color w:val="002060"/>
                <w:sz w:val="16"/>
                <w:szCs w:val="16"/>
              </w:rPr>
            </w:pPr>
          </w:p>
        </w:tc>
        <w:tc>
          <w:tcPr>
            <w:tcW w:w="898" w:type="pct"/>
            <w:shd w:val="clear" w:color="auto" w:fill="auto"/>
            <w:tcMar>
              <w:top w:w="110" w:type="dxa"/>
            </w:tcMar>
          </w:tcPr>
          <w:p w:rsidR="00114690" w:rsidRPr="00784FF4" w:rsidRDefault="00114690" w:rsidP="00FD7155">
            <w:pPr>
              <w:rPr>
                <w:rFonts w:cs="Arial"/>
                <w:sz w:val="16"/>
                <w:szCs w:val="16"/>
              </w:rPr>
            </w:pPr>
            <w:r w:rsidRPr="00784FF4">
              <w:rPr>
                <w:rFonts w:cs="Arial"/>
                <w:sz w:val="16"/>
                <w:szCs w:val="16"/>
              </w:rPr>
              <w:t>80% satisfactory performance after probation</w:t>
            </w:r>
          </w:p>
        </w:tc>
        <w:tc>
          <w:tcPr>
            <w:tcW w:w="1192" w:type="pct"/>
            <w:shd w:val="clear" w:color="auto" w:fill="FFFFFF"/>
            <w:tcMar>
              <w:top w:w="110" w:type="dxa"/>
            </w:tcMar>
          </w:tcPr>
          <w:p w:rsidR="00114690" w:rsidRDefault="00114690" w:rsidP="00FD7155">
            <w:pPr>
              <w:rPr>
                <w:rFonts w:cs="Arial"/>
                <w:sz w:val="16"/>
                <w:szCs w:val="16"/>
              </w:rPr>
            </w:pPr>
            <w:r>
              <w:rPr>
                <w:rFonts w:cs="Arial"/>
                <w:sz w:val="16"/>
                <w:szCs w:val="16"/>
              </w:rPr>
              <w:t xml:space="preserve">81.25% of staff recruited in 2013 and having completed a PMSDS cycle performed satisfactorily or better. </w:t>
            </w:r>
          </w:p>
          <w:p w:rsidR="00114690" w:rsidRDefault="00114690" w:rsidP="00FD7155">
            <w:pPr>
              <w:rPr>
                <w:rFonts w:cs="Arial"/>
                <w:sz w:val="16"/>
                <w:szCs w:val="16"/>
              </w:rPr>
            </w:pPr>
          </w:p>
          <w:p w:rsidR="00114690" w:rsidRDefault="00114690" w:rsidP="00FD7155">
            <w:pPr>
              <w:rPr>
                <w:rFonts w:cs="Arial"/>
                <w:sz w:val="16"/>
                <w:szCs w:val="16"/>
              </w:rPr>
            </w:pPr>
            <w:r>
              <w:rPr>
                <w:rFonts w:cs="Arial"/>
                <w:sz w:val="16"/>
                <w:szCs w:val="16"/>
              </w:rPr>
              <w:t>Probation policy to be published in March 2015.</w:t>
            </w:r>
          </w:p>
          <w:p w:rsidR="00114690" w:rsidRPr="00797FCA" w:rsidRDefault="00114690" w:rsidP="00FD7155">
            <w:pPr>
              <w:rPr>
                <w:rFonts w:cs="Arial"/>
                <w:sz w:val="16"/>
                <w:szCs w:val="16"/>
              </w:rPr>
            </w:pPr>
          </w:p>
        </w:tc>
        <w:tc>
          <w:tcPr>
            <w:tcW w:w="523" w:type="pct"/>
            <w:gridSpan w:val="2"/>
            <w:shd w:val="clear" w:color="auto" w:fill="auto"/>
            <w:tcMar>
              <w:top w:w="110" w:type="dxa"/>
            </w:tcMar>
          </w:tcPr>
          <w:p w:rsidR="00114690" w:rsidRPr="00797FCA" w:rsidRDefault="00114690" w:rsidP="00FD7155">
            <w:pPr>
              <w:jc w:val="center"/>
              <w:rPr>
                <w:rFonts w:cs="Arial"/>
                <w:b/>
                <w:bCs/>
                <w:color w:val="00B050"/>
                <w:sz w:val="16"/>
                <w:szCs w:val="16"/>
              </w:rPr>
            </w:pPr>
            <w:r w:rsidRPr="00797FCA">
              <w:rPr>
                <w:rFonts w:cs="Arial"/>
                <w:b/>
                <w:bCs/>
                <w:color w:val="00B050"/>
                <w:sz w:val="16"/>
                <w:szCs w:val="16"/>
              </w:rPr>
              <w:t>On track</w:t>
            </w:r>
          </w:p>
        </w:tc>
      </w:tr>
      <w:tr w:rsidR="00114690" w:rsidRPr="00797FCA" w:rsidTr="00114690">
        <w:tc>
          <w:tcPr>
            <w:tcW w:w="1120" w:type="pct"/>
            <w:shd w:val="clear" w:color="auto" w:fill="auto"/>
          </w:tcPr>
          <w:p w:rsidR="00114690" w:rsidRPr="00797FCA" w:rsidRDefault="00114690" w:rsidP="00FD7155">
            <w:pPr>
              <w:rPr>
                <w:rFonts w:cs="Arial"/>
                <w:sz w:val="16"/>
                <w:szCs w:val="16"/>
              </w:rPr>
            </w:pPr>
            <w:r w:rsidRPr="00797FCA">
              <w:rPr>
                <w:rFonts w:cs="Arial"/>
                <w:sz w:val="16"/>
                <w:szCs w:val="16"/>
              </w:rPr>
              <w:t xml:space="preserve">% of staff </w:t>
            </w:r>
            <w:r w:rsidR="004E3A7F">
              <w:rPr>
                <w:rFonts w:cs="Arial"/>
                <w:sz w:val="16"/>
                <w:szCs w:val="16"/>
              </w:rPr>
              <w:t xml:space="preserve"> </w:t>
            </w:r>
            <w:r w:rsidRPr="00797FCA">
              <w:rPr>
                <w:rFonts w:cs="Arial"/>
                <w:sz w:val="16"/>
                <w:szCs w:val="16"/>
              </w:rPr>
              <w:t>whose performance is evaluated against their individual objectives and competencies</w:t>
            </w:r>
          </w:p>
        </w:tc>
        <w:tc>
          <w:tcPr>
            <w:tcW w:w="1268" w:type="pct"/>
            <w:shd w:val="clear" w:color="auto" w:fill="auto"/>
          </w:tcPr>
          <w:p w:rsidR="00114690" w:rsidRPr="003322D2" w:rsidRDefault="00114690" w:rsidP="00FD7155">
            <w:pPr>
              <w:rPr>
                <w:rFonts w:cs="Arial"/>
                <w:color w:val="002060"/>
                <w:sz w:val="16"/>
                <w:szCs w:val="16"/>
              </w:rPr>
            </w:pPr>
            <w:r w:rsidRPr="00797FCA">
              <w:rPr>
                <w:rFonts w:cs="Arial"/>
                <w:i/>
                <w:color w:val="002060"/>
                <w:sz w:val="16"/>
                <w:szCs w:val="16"/>
              </w:rPr>
              <w:t xml:space="preserve">Updated Baseline end 2013:  </w:t>
            </w:r>
            <w:r w:rsidRPr="003322D2">
              <w:rPr>
                <w:rFonts w:cs="Arial"/>
                <w:color w:val="002060"/>
                <w:sz w:val="16"/>
                <w:szCs w:val="16"/>
              </w:rPr>
              <w:t>Biennium:  90.75% of staff covered under PMSDS was evaluated against individual objectives and competencies</w:t>
            </w:r>
          </w:p>
          <w:p w:rsidR="00114690" w:rsidRPr="003322D2" w:rsidRDefault="00114690" w:rsidP="00FD7155">
            <w:pPr>
              <w:rPr>
                <w:rFonts w:cs="Arial"/>
                <w:color w:val="002060"/>
                <w:sz w:val="16"/>
                <w:szCs w:val="16"/>
              </w:rPr>
            </w:pPr>
          </w:p>
          <w:p w:rsidR="00114690" w:rsidRPr="003322D2" w:rsidRDefault="00114690" w:rsidP="00FD7155">
            <w:pPr>
              <w:rPr>
                <w:rFonts w:cs="Arial"/>
                <w:color w:val="002060"/>
                <w:sz w:val="16"/>
                <w:szCs w:val="16"/>
              </w:rPr>
            </w:pPr>
            <w:r w:rsidRPr="003322D2">
              <w:rPr>
                <w:rFonts w:cs="Arial"/>
                <w:color w:val="002060"/>
                <w:sz w:val="16"/>
                <w:szCs w:val="16"/>
              </w:rPr>
              <w:t>2012:  91% of staff covered under PMSDS were evaluated against individual objectives and competencies (as at end April 2012)</w:t>
            </w:r>
          </w:p>
          <w:p w:rsidR="00114690" w:rsidRDefault="00114690" w:rsidP="00FD7155">
            <w:pPr>
              <w:rPr>
                <w:rFonts w:cs="Arial"/>
                <w:color w:val="002060"/>
                <w:sz w:val="16"/>
                <w:szCs w:val="16"/>
              </w:rPr>
            </w:pPr>
          </w:p>
          <w:p w:rsidR="00114690" w:rsidRPr="003322D2" w:rsidRDefault="00114690" w:rsidP="00FD7155">
            <w:pPr>
              <w:rPr>
                <w:rFonts w:cs="Arial"/>
                <w:color w:val="002060"/>
                <w:sz w:val="16"/>
                <w:szCs w:val="16"/>
                <w:lang w:bidi="th-TH"/>
              </w:rPr>
            </w:pPr>
            <w:r w:rsidRPr="003322D2">
              <w:rPr>
                <w:rFonts w:cs="Arial"/>
                <w:color w:val="002060"/>
                <w:sz w:val="16"/>
                <w:szCs w:val="16"/>
              </w:rPr>
              <w:t>2013:  90.5% of staff covered under PMSDS were evaluated against individual objectives and competencies (as at end April 2013)</w:t>
            </w:r>
          </w:p>
          <w:p w:rsidR="00114690" w:rsidRPr="00797FCA" w:rsidRDefault="00114690" w:rsidP="00FD7155">
            <w:pPr>
              <w:rPr>
                <w:rFonts w:cs="Arial"/>
                <w:i/>
                <w:color w:val="002060"/>
                <w:sz w:val="8"/>
                <w:szCs w:val="8"/>
              </w:rPr>
            </w:pPr>
          </w:p>
          <w:p w:rsidR="00114690" w:rsidRPr="00797FCA" w:rsidRDefault="00114690" w:rsidP="00FD7155">
            <w:pPr>
              <w:rPr>
                <w:rFonts w:cs="Arial"/>
                <w:sz w:val="16"/>
                <w:szCs w:val="16"/>
              </w:rPr>
            </w:pPr>
            <w:r w:rsidRPr="00797FCA">
              <w:rPr>
                <w:rFonts w:cs="Arial"/>
                <w:i/>
                <w:sz w:val="16"/>
                <w:szCs w:val="16"/>
              </w:rPr>
              <w:t>Original Baseline P&amp;B 2014/15:</w:t>
            </w:r>
            <w:r w:rsidRPr="00797FCA">
              <w:rPr>
                <w:rFonts w:cs="Arial"/>
                <w:sz w:val="16"/>
                <w:szCs w:val="16"/>
              </w:rPr>
              <w:t xml:space="preserve">  81% (2012)</w:t>
            </w:r>
          </w:p>
          <w:p w:rsidR="00114690" w:rsidRPr="00797FCA" w:rsidRDefault="00114690" w:rsidP="00FD7155">
            <w:pPr>
              <w:rPr>
                <w:rFonts w:cs="Arial"/>
                <w:sz w:val="16"/>
                <w:szCs w:val="16"/>
              </w:rPr>
            </w:pPr>
          </w:p>
        </w:tc>
        <w:tc>
          <w:tcPr>
            <w:tcW w:w="898" w:type="pct"/>
            <w:shd w:val="clear" w:color="auto" w:fill="auto"/>
            <w:tcMar>
              <w:top w:w="110" w:type="dxa"/>
            </w:tcMar>
          </w:tcPr>
          <w:p w:rsidR="00114690" w:rsidRPr="00797FCA" w:rsidRDefault="00114690" w:rsidP="00FD7155">
            <w:pPr>
              <w:rPr>
                <w:rFonts w:cs="Arial"/>
                <w:sz w:val="16"/>
                <w:szCs w:val="16"/>
              </w:rPr>
            </w:pPr>
            <w:r w:rsidRPr="00784FF4">
              <w:rPr>
                <w:rFonts w:cs="Arial"/>
                <w:sz w:val="16"/>
                <w:szCs w:val="16"/>
              </w:rPr>
              <w:t>90%</w:t>
            </w:r>
          </w:p>
        </w:tc>
        <w:tc>
          <w:tcPr>
            <w:tcW w:w="1192" w:type="pct"/>
            <w:shd w:val="clear" w:color="auto" w:fill="FFFFFF"/>
            <w:tcMar>
              <w:top w:w="110" w:type="dxa"/>
            </w:tcMar>
          </w:tcPr>
          <w:p w:rsidR="00114690" w:rsidRPr="00797FCA" w:rsidRDefault="00114690" w:rsidP="00FD7155">
            <w:pPr>
              <w:rPr>
                <w:rFonts w:cs="Arial"/>
                <w:sz w:val="16"/>
                <w:szCs w:val="16"/>
              </w:rPr>
            </w:pPr>
            <w:r>
              <w:rPr>
                <w:rFonts w:cs="Arial"/>
                <w:sz w:val="16"/>
                <w:szCs w:val="16"/>
              </w:rPr>
              <w:t xml:space="preserve">93.1% </w:t>
            </w:r>
            <w:r w:rsidRPr="003322D2">
              <w:rPr>
                <w:rFonts w:cs="Arial"/>
                <w:sz w:val="16"/>
                <w:szCs w:val="16"/>
              </w:rPr>
              <w:t>of staff covered under PMSDS w</w:t>
            </w:r>
            <w:r>
              <w:rPr>
                <w:rFonts w:cs="Arial"/>
                <w:sz w:val="16"/>
                <w:szCs w:val="16"/>
              </w:rPr>
              <w:t>ere</w:t>
            </w:r>
            <w:r w:rsidRPr="003322D2">
              <w:rPr>
                <w:rFonts w:cs="Arial"/>
                <w:sz w:val="16"/>
                <w:szCs w:val="16"/>
              </w:rPr>
              <w:t xml:space="preserve"> evaluated against individual objectives and competencies</w:t>
            </w:r>
          </w:p>
        </w:tc>
        <w:tc>
          <w:tcPr>
            <w:tcW w:w="523" w:type="pct"/>
            <w:gridSpan w:val="2"/>
            <w:shd w:val="clear" w:color="auto" w:fill="auto"/>
            <w:tcMar>
              <w:top w:w="110" w:type="dxa"/>
            </w:tcMar>
          </w:tcPr>
          <w:p w:rsidR="00114690" w:rsidRPr="00797FCA" w:rsidRDefault="00114690" w:rsidP="00FD7155">
            <w:pPr>
              <w:jc w:val="center"/>
              <w:rPr>
                <w:rFonts w:cs="Arial"/>
                <w:bCs/>
                <w:color w:val="808080"/>
                <w:sz w:val="16"/>
                <w:szCs w:val="16"/>
              </w:rPr>
            </w:pPr>
            <w:r w:rsidRPr="00797FCA">
              <w:rPr>
                <w:rFonts w:cs="Arial"/>
                <w:b/>
                <w:bCs/>
                <w:color w:val="00B050"/>
                <w:sz w:val="16"/>
                <w:szCs w:val="16"/>
              </w:rPr>
              <w:t>On track</w:t>
            </w:r>
          </w:p>
        </w:tc>
      </w:tr>
      <w:tr w:rsidR="00114690" w:rsidRPr="00797FCA" w:rsidTr="00114690">
        <w:tc>
          <w:tcPr>
            <w:tcW w:w="1120" w:type="pct"/>
            <w:shd w:val="clear" w:color="auto" w:fill="auto"/>
            <w:vAlign w:val="center"/>
          </w:tcPr>
          <w:p w:rsidR="00114690" w:rsidRPr="00797FCA" w:rsidRDefault="00114690" w:rsidP="00FD7155">
            <w:pPr>
              <w:rPr>
                <w:rFonts w:cs="Arial"/>
                <w:sz w:val="16"/>
                <w:szCs w:val="16"/>
              </w:rPr>
            </w:pPr>
            <w:r w:rsidRPr="00797FCA">
              <w:rPr>
                <w:rFonts w:cs="Arial"/>
                <w:b/>
                <w:bCs/>
                <w:sz w:val="16"/>
                <w:szCs w:val="16"/>
              </w:rPr>
              <w:lastRenderedPageBreak/>
              <w:t>Performance Indicators</w:t>
            </w:r>
          </w:p>
        </w:tc>
        <w:tc>
          <w:tcPr>
            <w:tcW w:w="1268" w:type="pct"/>
            <w:shd w:val="clear" w:color="auto" w:fill="auto"/>
            <w:vAlign w:val="center"/>
          </w:tcPr>
          <w:p w:rsidR="00114690" w:rsidRPr="00797FCA" w:rsidRDefault="00114690" w:rsidP="00FD7155">
            <w:pPr>
              <w:rPr>
                <w:rFonts w:cs="Arial"/>
                <w:b/>
                <w:bCs/>
                <w:sz w:val="16"/>
                <w:szCs w:val="16"/>
              </w:rPr>
            </w:pPr>
            <w:r w:rsidRPr="00797FCA">
              <w:rPr>
                <w:rFonts w:cs="Arial"/>
                <w:b/>
                <w:bCs/>
                <w:sz w:val="16"/>
                <w:szCs w:val="16"/>
              </w:rPr>
              <w:t>Baselines</w:t>
            </w:r>
          </w:p>
        </w:tc>
        <w:tc>
          <w:tcPr>
            <w:tcW w:w="898" w:type="pct"/>
            <w:shd w:val="clear" w:color="auto" w:fill="auto"/>
            <w:tcMar>
              <w:top w:w="110" w:type="dxa"/>
            </w:tcMar>
            <w:vAlign w:val="center"/>
          </w:tcPr>
          <w:p w:rsidR="00114690" w:rsidRPr="00797FCA" w:rsidRDefault="00114690" w:rsidP="00FD7155">
            <w:pPr>
              <w:rPr>
                <w:rFonts w:cs="Arial"/>
                <w:b/>
                <w:sz w:val="16"/>
                <w:szCs w:val="16"/>
              </w:rPr>
            </w:pPr>
            <w:r w:rsidRPr="00797FCA">
              <w:rPr>
                <w:rFonts w:cs="Arial"/>
                <w:b/>
                <w:sz w:val="16"/>
                <w:szCs w:val="16"/>
              </w:rPr>
              <w:t>Targets</w:t>
            </w:r>
          </w:p>
        </w:tc>
        <w:tc>
          <w:tcPr>
            <w:tcW w:w="1192" w:type="pct"/>
            <w:shd w:val="clear" w:color="auto" w:fill="FFFFFF"/>
            <w:tcMar>
              <w:top w:w="110" w:type="dxa"/>
            </w:tcMar>
            <w:vAlign w:val="center"/>
          </w:tcPr>
          <w:p w:rsidR="00114690" w:rsidRPr="00797FCA" w:rsidRDefault="00114690" w:rsidP="00FD7155">
            <w:pPr>
              <w:rPr>
                <w:rFonts w:cs="Arial"/>
                <w:sz w:val="16"/>
                <w:szCs w:val="16"/>
              </w:rPr>
            </w:pPr>
            <w:r w:rsidRPr="00797FCA">
              <w:rPr>
                <w:rFonts w:cs="Arial"/>
                <w:b/>
                <w:bCs/>
                <w:sz w:val="16"/>
                <w:szCs w:val="16"/>
              </w:rPr>
              <w:t>Performance Data</w:t>
            </w:r>
          </w:p>
        </w:tc>
        <w:tc>
          <w:tcPr>
            <w:tcW w:w="523" w:type="pct"/>
            <w:gridSpan w:val="2"/>
            <w:shd w:val="clear" w:color="auto" w:fill="auto"/>
            <w:tcMar>
              <w:top w:w="110" w:type="dxa"/>
            </w:tcMar>
            <w:vAlign w:val="center"/>
          </w:tcPr>
          <w:p w:rsidR="00114690" w:rsidRPr="00797FCA" w:rsidRDefault="00114690" w:rsidP="00FD7155">
            <w:pPr>
              <w:jc w:val="center"/>
              <w:rPr>
                <w:rFonts w:cs="Arial"/>
                <w:b/>
                <w:bCs/>
                <w:sz w:val="16"/>
                <w:szCs w:val="16"/>
              </w:rPr>
            </w:pPr>
            <w:r w:rsidRPr="00797FCA">
              <w:rPr>
                <w:rFonts w:cs="Arial"/>
                <w:b/>
                <w:bCs/>
                <w:sz w:val="16"/>
                <w:szCs w:val="16"/>
              </w:rPr>
              <w:t>TLS</w:t>
            </w:r>
          </w:p>
        </w:tc>
      </w:tr>
      <w:tr w:rsidR="00114690" w:rsidRPr="00797FCA" w:rsidTr="00114690">
        <w:tc>
          <w:tcPr>
            <w:tcW w:w="1120" w:type="pct"/>
            <w:shd w:val="clear" w:color="auto" w:fill="auto"/>
          </w:tcPr>
          <w:p w:rsidR="00114690" w:rsidRPr="00797FCA" w:rsidRDefault="00114690" w:rsidP="00FD7155">
            <w:pPr>
              <w:rPr>
                <w:rFonts w:cs="Arial"/>
                <w:sz w:val="16"/>
                <w:szCs w:val="16"/>
              </w:rPr>
            </w:pPr>
            <w:r w:rsidRPr="00797FCA">
              <w:rPr>
                <w:rFonts w:cs="Arial"/>
                <w:sz w:val="16"/>
                <w:szCs w:val="16"/>
              </w:rPr>
              <w:t>% of critical individual and collective training needs that have been fulfilled</w:t>
            </w:r>
          </w:p>
        </w:tc>
        <w:tc>
          <w:tcPr>
            <w:tcW w:w="1268" w:type="pct"/>
            <w:shd w:val="clear" w:color="auto" w:fill="auto"/>
          </w:tcPr>
          <w:p w:rsidR="00114690" w:rsidRPr="00797FCA" w:rsidRDefault="00114690" w:rsidP="00FD7155">
            <w:pPr>
              <w:rPr>
                <w:rFonts w:cs="Arial"/>
                <w:color w:val="002060"/>
                <w:sz w:val="16"/>
                <w:szCs w:val="16"/>
                <w:lang w:bidi="th-TH"/>
              </w:rPr>
            </w:pPr>
            <w:r w:rsidRPr="00797FCA">
              <w:rPr>
                <w:rFonts w:cs="Arial"/>
                <w:i/>
                <w:color w:val="002060"/>
                <w:sz w:val="16"/>
                <w:szCs w:val="16"/>
              </w:rPr>
              <w:t xml:space="preserve">Updated Baseline end 2013:  </w:t>
            </w:r>
            <w:r w:rsidRPr="00797FCA">
              <w:rPr>
                <w:rFonts w:cs="Arial"/>
                <w:color w:val="002060"/>
                <w:sz w:val="16"/>
                <w:szCs w:val="16"/>
              </w:rPr>
              <w:t>no assessment available</w:t>
            </w:r>
          </w:p>
          <w:p w:rsidR="00114690" w:rsidRPr="00797FCA" w:rsidRDefault="00114690" w:rsidP="00FD7155">
            <w:pPr>
              <w:rPr>
                <w:rFonts w:cs="Arial"/>
                <w:i/>
                <w:color w:val="002060"/>
                <w:sz w:val="8"/>
                <w:szCs w:val="8"/>
              </w:rPr>
            </w:pPr>
          </w:p>
          <w:p w:rsidR="00114690" w:rsidRPr="00797FCA" w:rsidRDefault="00114690" w:rsidP="00FD7155">
            <w:pPr>
              <w:rPr>
                <w:rFonts w:cs="Arial"/>
                <w:sz w:val="16"/>
                <w:szCs w:val="16"/>
              </w:rPr>
            </w:pPr>
            <w:r w:rsidRPr="00797FCA">
              <w:rPr>
                <w:rFonts w:cs="Arial"/>
                <w:i/>
                <w:sz w:val="16"/>
                <w:szCs w:val="16"/>
              </w:rPr>
              <w:t>Original Baseline P&amp;B 2014/15:</w:t>
            </w:r>
            <w:r w:rsidRPr="00797FCA">
              <w:rPr>
                <w:rFonts w:cs="Arial"/>
                <w:sz w:val="16"/>
                <w:szCs w:val="16"/>
              </w:rPr>
              <w:t xml:space="preserve"> no assessment available (will be available end 2013)</w:t>
            </w:r>
          </w:p>
          <w:p w:rsidR="00114690" w:rsidRPr="00797FCA" w:rsidRDefault="00114690" w:rsidP="00FD7155">
            <w:pPr>
              <w:rPr>
                <w:rFonts w:cs="Arial"/>
                <w:i/>
                <w:color w:val="002060"/>
                <w:sz w:val="16"/>
                <w:szCs w:val="16"/>
              </w:rPr>
            </w:pPr>
          </w:p>
        </w:tc>
        <w:tc>
          <w:tcPr>
            <w:tcW w:w="898" w:type="pct"/>
            <w:shd w:val="clear" w:color="auto" w:fill="auto"/>
            <w:tcMar>
              <w:top w:w="110" w:type="dxa"/>
            </w:tcMar>
          </w:tcPr>
          <w:p w:rsidR="00114690" w:rsidRPr="00797FCA" w:rsidRDefault="00114690" w:rsidP="00FD7155">
            <w:pPr>
              <w:rPr>
                <w:rFonts w:cs="Arial"/>
                <w:sz w:val="16"/>
                <w:szCs w:val="16"/>
              </w:rPr>
            </w:pPr>
            <w:r w:rsidRPr="00797FCA">
              <w:rPr>
                <w:rFonts w:cs="Arial"/>
                <w:sz w:val="16"/>
                <w:szCs w:val="16"/>
              </w:rPr>
              <w:t>Critical individual training needs: 80 % fulfilled</w:t>
            </w:r>
          </w:p>
          <w:p w:rsidR="00114690" w:rsidRPr="00797FCA" w:rsidRDefault="00114690" w:rsidP="00FD7155">
            <w:pPr>
              <w:rPr>
                <w:rFonts w:cs="Arial"/>
                <w:sz w:val="16"/>
                <w:szCs w:val="16"/>
              </w:rPr>
            </w:pPr>
          </w:p>
          <w:p w:rsidR="00114690" w:rsidRDefault="00114690" w:rsidP="00FD7155">
            <w:pPr>
              <w:rPr>
                <w:rFonts w:cs="Arial"/>
                <w:sz w:val="16"/>
                <w:szCs w:val="16"/>
              </w:rPr>
            </w:pPr>
            <w:r w:rsidRPr="00797FCA">
              <w:rPr>
                <w:rFonts w:cs="Arial"/>
                <w:sz w:val="16"/>
                <w:szCs w:val="16"/>
              </w:rPr>
              <w:t>Critical collective training needs: 80 % of the needs are addressed through a training program</w:t>
            </w:r>
          </w:p>
          <w:p w:rsidR="00114690" w:rsidRPr="00784FF4" w:rsidRDefault="00114690" w:rsidP="00FD7155">
            <w:pPr>
              <w:rPr>
                <w:rFonts w:cs="Arial"/>
                <w:sz w:val="16"/>
                <w:szCs w:val="16"/>
              </w:rPr>
            </w:pPr>
          </w:p>
        </w:tc>
        <w:tc>
          <w:tcPr>
            <w:tcW w:w="1192" w:type="pct"/>
            <w:shd w:val="clear" w:color="auto" w:fill="FFFFFF"/>
            <w:tcMar>
              <w:top w:w="110" w:type="dxa"/>
            </w:tcMar>
          </w:tcPr>
          <w:p w:rsidR="00114690" w:rsidRDefault="00114690" w:rsidP="00FD7155">
            <w:pPr>
              <w:rPr>
                <w:rFonts w:cs="Arial"/>
                <w:sz w:val="16"/>
                <w:szCs w:val="16"/>
              </w:rPr>
            </w:pPr>
            <w:r w:rsidRPr="00797FCA">
              <w:rPr>
                <w:rFonts w:cs="Arial"/>
                <w:sz w:val="16"/>
                <w:szCs w:val="16"/>
              </w:rPr>
              <w:t>Critical individual</w:t>
            </w:r>
            <w:r>
              <w:rPr>
                <w:rFonts w:cs="Arial"/>
                <w:sz w:val="16"/>
                <w:szCs w:val="16"/>
              </w:rPr>
              <w:t>:</w:t>
            </w:r>
            <w:r w:rsidRPr="00797FCA">
              <w:rPr>
                <w:rFonts w:cs="Arial"/>
                <w:sz w:val="16"/>
                <w:szCs w:val="16"/>
              </w:rPr>
              <w:t xml:space="preserve"> 61 %</w:t>
            </w:r>
          </w:p>
          <w:p w:rsidR="00114690" w:rsidRPr="00797FCA" w:rsidRDefault="00114690" w:rsidP="00FD7155">
            <w:pPr>
              <w:rPr>
                <w:rFonts w:cs="Arial"/>
                <w:sz w:val="16"/>
                <w:szCs w:val="16"/>
              </w:rPr>
            </w:pPr>
          </w:p>
          <w:p w:rsidR="00114690" w:rsidRDefault="00114690" w:rsidP="00FD7155">
            <w:pPr>
              <w:rPr>
                <w:rFonts w:cs="Arial"/>
                <w:sz w:val="16"/>
                <w:szCs w:val="16"/>
              </w:rPr>
            </w:pPr>
          </w:p>
          <w:p w:rsidR="00114690" w:rsidRPr="00797FCA" w:rsidRDefault="00114690" w:rsidP="00FD7155">
            <w:pPr>
              <w:rPr>
                <w:rFonts w:cs="Arial"/>
                <w:sz w:val="16"/>
                <w:szCs w:val="16"/>
              </w:rPr>
            </w:pPr>
            <w:r w:rsidRPr="00797FCA">
              <w:rPr>
                <w:rFonts w:cs="Arial"/>
                <w:sz w:val="16"/>
                <w:szCs w:val="16"/>
              </w:rPr>
              <w:t>Critical collective</w:t>
            </w:r>
            <w:r>
              <w:rPr>
                <w:rFonts w:cs="Arial"/>
                <w:sz w:val="16"/>
                <w:szCs w:val="16"/>
              </w:rPr>
              <w:t>:</w:t>
            </w:r>
            <w:r w:rsidRPr="00797FCA">
              <w:rPr>
                <w:rFonts w:cs="Arial"/>
                <w:sz w:val="16"/>
                <w:szCs w:val="16"/>
              </w:rPr>
              <w:t xml:space="preserve"> 49</w:t>
            </w:r>
            <w:r>
              <w:rPr>
                <w:rFonts w:cs="Arial"/>
                <w:sz w:val="16"/>
                <w:szCs w:val="16"/>
              </w:rPr>
              <w:t>.</w:t>
            </w:r>
            <w:r w:rsidRPr="00797FCA">
              <w:rPr>
                <w:rFonts w:cs="Arial"/>
                <w:sz w:val="16"/>
                <w:szCs w:val="16"/>
              </w:rPr>
              <w:t>8%</w:t>
            </w:r>
          </w:p>
        </w:tc>
        <w:tc>
          <w:tcPr>
            <w:tcW w:w="523" w:type="pct"/>
            <w:gridSpan w:val="2"/>
            <w:shd w:val="clear" w:color="auto" w:fill="auto"/>
            <w:tcMar>
              <w:top w:w="110" w:type="dxa"/>
            </w:tcMar>
          </w:tcPr>
          <w:p w:rsidR="00114690" w:rsidRDefault="00114690" w:rsidP="00FD7155">
            <w:pPr>
              <w:jc w:val="center"/>
              <w:rPr>
                <w:rFonts w:cs="Arial"/>
                <w:b/>
                <w:bCs/>
                <w:color w:val="FF0000"/>
                <w:sz w:val="16"/>
                <w:szCs w:val="16"/>
              </w:rPr>
            </w:pPr>
            <w:r w:rsidRPr="00784FF4">
              <w:rPr>
                <w:rFonts w:cs="Arial"/>
                <w:b/>
                <w:bCs/>
                <w:color w:val="00B050"/>
                <w:sz w:val="16"/>
                <w:szCs w:val="16"/>
              </w:rPr>
              <w:t>On track</w:t>
            </w:r>
            <w:r w:rsidRPr="00797FCA">
              <w:rPr>
                <w:rFonts w:cs="Arial"/>
                <w:b/>
                <w:bCs/>
                <w:color w:val="FF0000"/>
                <w:sz w:val="16"/>
                <w:szCs w:val="16"/>
              </w:rPr>
              <w:t xml:space="preserve"> </w:t>
            </w:r>
          </w:p>
          <w:p w:rsidR="00114690" w:rsidRDefault="00114690" w:rsidP="00FD7155">
            <w:pPr>
              <w:jc w:val="center"/>
              <w:rPr>
                <w:rFonts w:cs="Arial"/>
                <w:b/>
                <w:bCs/>
                <w:color w:val="FF0000"/>
                <w:sz w:val="16"/>
                <w:szCs w:val="16"/>
              </w:rPr>
            </w:pPr>
          </w:p>
          <w:p w:rsidR="00114690" w:rsidRDefault="00114690" w:rsidP="00FD7155">
            <w:pPr>
              <w:jc w:val="center"/>
              <w:rPr>
                <w:rFonts w:cs="Arial"/>
                <w:b/>
                <w:bCs/>
                <w:color w:val="FF0000"/>
                <w:sz w:val="16"/>
                <w:szCs w:val="16"/>
              </w:rPr>
            </w:pPr>
            <w:r w:rsidRPr="00784FF4">
              <w:rPr>
                <w:rFonts w:cs="Arial"/>
                <w:b/>
                <w:bCs/>
                <w:color w:val="00B050"/>
                <w:sz w:val="16"/>
                <w:szCs w:val="16"/>
              </w:rPr>
              <w:t>On track</w:t>
            </w:r>
            <w:r w:rsidRPr="00797FCA">
              <w:rPr>
                <w:rFonts w:cs="Arial"/>
                <w:b/>
                <w:bCs/>
                <w:color w:val="FF0000"/>
                <w:sz w:val="16"/>
                <w:szCs w:val="16"/>
              </w:rPr>
              <w:t xml:space="preserve"> </w:t>
            </w:r>
          </w:p>
          <w:p w:rsidR="00114690" w:rsidRPr="00797FCA" w:rsidDel="00AF185F" w:rsidRDefault="00114690" w:rsidP="00FD7155">
            <w:pPr>
              <w:jc w:val="center"/>
              <w:rPr>
                <w:rFonts w:cs="Arial"/>
                <w:b/>
                <w:bCs/>
                <w:color w:val="FF0000"/>
                <w:sz w:val="16"/>
                <w:szCs w:val="16"/>
              </w:rPr>
            </w:pPr>
          </w:p>
        </w:tc>
      </w:tr>
      <w:tr w:rsidR="00114690" w:rsidRPr="00797FCA" w:rsidTr="00114690">
        <w:tc>
          <w:tcPr>
            <w:tcW w:w="1120" w:type="pct"/>
            <w:shd w:val="clear" w:color="auto" w:fill="auto"/>
          </w:tcPr>
          <w:p w:rsidR="00114690" w:rsidRPr="00797FCA" w:rsidRDefault="00114690" w:rsidP="00FD7155">
            <w:pPr>
              <w:keepNext/>
              <w:keepLines/>
              <w:rPr>
                <w:rFonts w:cs="Arial"/>
                <w:sz w:val="16"/>
                <w:szCs w:val="16"/>
              </w:rPr>
            </w:pPr>
            <w:r w:rsidRPr="00797FCA">
              <w:rPr>
                <w:rFonts w:cs="Arial"/>
                <w:sz w:val="16"/>
                <w:szCs w:val="16"/>
              </w:rPr>
              <w:t>Average no. of sick leave days per employee (absenteeism)</w:t>
            </w:r>
          </w:p>
        </w:tc>
        <w:tc>
          <w:tcPr>
            <w:tcW w:w="1268" w:type="pct"/>
            <w:shd w:val="clear" w:color="auto" w:fill="auto"/>
          </w:tcPr>
          <w:p w:rsidR="00114690" w:rsidRPr="002F18EA" w:rsidRDefault="00114690" w:rsidP="00FD7155">
            <w:pPr>
              <w:rPr>
                <w:rFonts w:cs="Arial"/>
                <w:color w:val="002060"/>
                <w:sz w:val="16"/>
                <w:szCs w:val="16"/>
                <w:lang w:bidi="th-TH"/>
              </w:rPr>
            </w:pPr>
            <w:r w:rsidRPr="00797FCA">
              <w:rPr>
                <w:rFonts w:cs="Arial"/>
                <w:i/>
                <w:color w:val="002060"/>
                <w:sz w:val="16"/>
                <w:szCs w:val="16"/>
              </w:rPr>
              <w:t xml:space="preserve">Updated Baseline end 2013:  </w:t>
            </w:r>
            <w:r w:rsidRPr="002F18EA">
              <w:rPr>
                <w:rFonts w:cs="Arial"/>
                <w:color w:val="002060"/>
                <w:sz w:val="16"/>
                <w:szCs w:val="16"/>
                <w:lang w:bidi="th-TH"/>
              </w:rPr>
              <w:t>For the biennium: 10.34</w:t>
            </w:r>
          </w:p>
          <w:p w:rsidR="00114690" w:rsidRPr="002F18EA" w:rsidRDefault="00114690" w:rsidP="00114690">
            <w:pPr>
              <w:pStyle w:val="ListParagraph"/>
              <w:numPr>
                <w:ilvl w:val="0"/>
                <w:numId w:val="78"/>
              </w:numPr>
              <w:rPr>
                <w:rFonts w:cs="Arial"/>
                <w:color w:val="002060"/>
                <w:sz w:val="16"/>
                <w:szCs w:val="16"/>
                <w:lang w:bidi="th-TH"/>
              </w:rPr>
            </w:pPr>
            <w:r w:rsidRPr="002F18EA">
              <w:rPr>
                <w:rFonts w:cs="Arial"/>
                <w:color w:val="002060"/>
                <w:sz w:val="16"/>
                <w:szCs w:val="16"/>
                <w:lang w:bidi="th-TH"/>
              </w:rPr>
              <w:t>2012:  9.07</w:t>
            </w:r>
          </w:p>
          <w:p w:rsidR="00114690" w:rsidRPr="002F18EA" w:rsidRDefault="00114690" w:rsidP="00114690">
            <w:pPr>
              <w:pStyle w:val="ListParagraph"/>
              <w:numPr>
                <w:ilvl w:val="0"/>
                <w:numId w:val="78"/>
              </w:numPr>
              <w:rPr>
                <w:rFonts w:cs="Arial"/>
                <w:color w:val="002060"/>
                <w:sz w:val="16"/>
                <w:szCs w:val="16"/>
                <w:lang w:bidi="th-TH"/>
              </w:rPr>
            </w:pPr>
            <w:r w:rsidRPr="002F18EA">
              <w:rPr>
                <w:rFonts w:cs="Arial"/>
                <w:color w:val="002060"/>
                <w:sz w:val="16"/>
                <w:szCs w:val="16"/>
                <w:lang w:bidi="th-TH"/>
              </w:rPr>
              <w:t>2013:  11.6</w:t>
            </w:r>
          </w:p>
          <w:p w:rsidR="00114690" w:rsidRPr="00797FCA" w:rsidRDefault="00114690" w:rsidP="00FD7155">
            <w:pPr>
              <w:rPr>
                <w:rFonts w:cs="Arial"/>
                <w:i/>
                <w:color w:val="002060"/>
                <w:sz w:val="8"/>
                <w:szCs w:val="8"/>
              </w:rPr>
            </w:pPr>
          </w:p>
          <w:p w:rsidR="00114690" w:rsidRPr="00797FCA" w:rsidRDefault="00114690" w:rsidP="00FD7155">
            <w:pPr>
              <w:rPr>
                <w:rFonts w:cs="Arial"/>
                <w:sz w:val="16"/>
                <w:szCs w:val="16"/>
              </w:rPr>
            </w:pPr>
            <w:r w:rsidRPr="00797FCA">
              <w:rPr>
                <w:rFonts w:cs="Arial"/>
                <w:i/>
                <w:sz w:val="16"/>
                <w:szCs w:val="16"/>
              </w:rPr>
              <w:t>Original Baseline P&amp;B 2014/15:</w:t>
            </w:r>
            <w:r w:rsidRPr="00797FCA">
              <w:rPr>
                <w:rFonts w:cs="Arial"/>
                <w:sz w:val="16"/>
                <w:szCs w:val="16"/>
              </w:rPr>
              <w:t xml:space="preserve">  9.07 (Dec 2012)</w:t>
            </w:r>
          </w:p>
          <w:p w:rsidR="00114690" w:rsidRPr="00797FCA" w:rsidRDefault="00114690" w:rsidP="00FD7155">
            <w:pPr>
              <w:rPr>
                <w:rFonts w:cs="Arial"/>
                <w:i/>
                <w:color w:val="002060"/>
                <w:sz w:val="16"/>
                <w:szCs w:val="16"/>
              </w:rPr>
            </w:pPr>
          </w:p>
        </w:tc>
        <w:tc>
          <w:tcPr>
            <w:tcW w:w="898" w:type="pct"/>
            <w:shd w:val="clear" w:color="auto" w:fill="auto"/>
            <w:tcMar>
              <w:top w:w="110" w:type="dxa"/>
            </w:tcMar>
          </w:tcPr>
          <w:p w:rsidR="00114690" w:rsidRPr="00784FF4" w:rsidRDefault="00114690" w:rsidP="00FD7155">
            <w:pPr>
              <w:keepNext/>
              <w:keepLines/>
              <w:rPr>
                <w:rFonts w:cs="Arial"/>
                <w:sz w:val="16"/>
                <w:szCs w:val="16"/>
              </w:rPr>
            </w:pPr>
            <w:r w:rsidRPr="009C736D">
              <w:rPr>
                <w:rFonts w:cs="Arial"/>
                <w:sz w:val="16"/>
                <w:szCs w:val="16"/>
              </w:rPr>
              <w:t>9</w:t>
            </w:r>
          </w:p>
        </w:tc>
        <w:tc>
          <w:tcPr>
            <w:tcW w:w="1192" w:type="pct"/>
            <w:shd w:val="clear" w:color="auto" w:fill="FFFFFF"/>
            <w:tcMar>
              <w:top w:w="110" w:type="dxa"/>
            </w:tcMar>
          </w:tcPr>
          <w:p w:rsidR="00114690" w:rsidRPr="00797FCA" w:rsidRDefault="00114690" w:rsidP="00FD7155">
            <w:pPr>
              <w:rPr>
                <w:rFonts w:cs="Arial"/>
                <w:sz w:val="16"/>
                <w:szCs w:val="16"/>
              </w:rPr>
            </w:pPr>
            <w:r w:rsidRPr="00797FCA">
              <w:rPr>
                <w:rFonts w:cs="Arial"/>
                <w:sz w:val="16"/>
                <w:szCs w:val="16"/>
              </w:rPr>
              <w:t>9</w:t>
            </w:r>
            <w:r w:rsidRPr="002F18EA">
              <w:rPr>
                <w:rFonts w:cs="Arial"/>
                <w:sz w:val="16"/>
                <w:szCs w:val="16"/>
              </w:rPr>
              <w:t>.9</w:t>
            </w:r>
          </w:p>
        </w:tc>
        <w:tc>
          <w:tcPr>
            <w:tcW w:w="523" w:type="pct"/>
            <w:gridSpan w:val="2"/>
            <w:shd w:val="clear" w:color="auto" w:fill="auto"/>
            <w:tcMar>
              <w:top w:w="110" w:type="dxa"/>
            </w:tcMar>
          </w:tcPr>
          <w:p w:rsidR="00114690" w:rsidRPr="00797FCA" w:rsidDel="00AF185F" w:rsidRDefault="00114690" w:rsidP="00FD7155">
            <w:pPr>
              <w:keepNext/>
              <w:keepLines/>
              <w:jc w:val="center"/>
              <w:rPr>
                <w:rFonts w:cs="Arial"/>
                <w:b/>
                <w:bCs/>
                <w:color w:val="FF0000"/>
                <w:sz w:val="16"/>
                <w:szCs w:val="16"/>
              </w:rPr>
            </w:pPr>
            <w:r w:rsidRPr="00797FCA">
              <w:rPr>
                <w:rFonts w:cs="Arial"/>
                <w:b/>
                <w:bCs/>
                <w:color w:val="00B050"/>
                <w:sz w:val="16"/>
                <w:szCs w:val="16"/>
              </w:rPr>
              <w:t>On track</w:t>
            </w:r>
          </w:p>
        </w:tc>
      </w:tr>
      <w:tr w:rsidR="00114690" w:rsidRPr="00797FCA" w:rsidTr="00114690">
        <w:tc>
          <w:tcPr>
            <w:tcW w:w="1120" w:type="pct"/>
            <w:shd w:val="clear" w:color="auto" w:fill="auto"/>
          </w:tcPr>
          <w:p w:rsidR="00114690" w:rsidRPr="00797FCA" w:rsidRDefault="00114690" w:rsidP="00FD7155">
            <w:pPr>
              <w:keepNext/>
              <w:keepLines/>
              <w:rPr>
                <w:rFonts w:cs="Arial"/>
                <w:sz w:val="16"/>
                <w:szCs w:val="16"/>
              </w:rPr>
            </w:pPr>
            <w:r w:rsidRPr="00797FCA">
              <w:rPr>
                <w:rFonts w:cs="Arial"/>
                <w:sz w:val="16"/>
                <w:szCs w:val="16"/>
              </w:rPr>
              <w:t>% of women in professional and higher positions</w:t>
            </w:r>
          </w:p>
        </w:tc>
        <w:tc>
          <w:tcPr>
            <w:tcW w:w="1268" w:type="pct"/>
            <w:shd w:val="clear" w:color="auto" w:fill="auto"/>
          </w:tcPr>
          <w:p w:rsidR="00114690" w:rsidRPr="00797FCA" w:rsidDel="00A15D98" w:rsidRDefault="00114690" w:rsidP="00FD7155">
            <w:pPr>
              <w:rPr>
                <w:rFonts w:cs="Arial"/>
                <w:color w:val="002060"/>
                <w:sz w:val="16"/>
                <w:szCs w:val="16"/>
              </w:rPr>
            </w:pPr>
            <w:r w:rsidRPr="00797FCA">
              <w:rPr>
                <w:rFonts w:cs="Arial"/>
                <w:i/>
                <w:color w:val="002060"/>
                <w:sz w:val="16"/>
                <w:szCs w:val="16"/>
              </w:rPr>
              <w:t xml:space="preserve">Updated Baseline end 2013:  </w:t>
            </w:r>
          </w:p>
          <w:tbl>
            <w:tblPr>
              <w:tblW w:w="2383" w:type="dxa"/>
              <w:tblLayout w:type="fixed"/>
              <w:tblLook w:val="04A0" w:firstRow="1" w:lastRow="0" w:firstColumn="1" w:lastColumn="0" w:noHBand="0" w:noVBand="1"/>
            </w:tblPr>
            <w:tblGrid>
              <w:gridCol w:w="580"/>
              <w:gridCol w:w="670"/>
              <w:gridCol w:w="1133"/>
            </w:tblGrid>
            <w:tr w:rsidR="00114690" w:rsidRPr="0020416E" w:rsidTr="00FD7155">
              <w:trPr>
                <w:trHeight w:val="255"/>
              </w:trPr>
              <w:tc>
                <w:tcPr>
                  <w:tcW w:w="580" w:type="dxa"/>
                  <w:tcBorders>
                    <w:top w:val="nil"/>
                    <w:left w:val="nil"/>
                    <w:bottom w:val="nil"/>
                    <w:right w:val="nil"/>
                  </w:tcBorders>
                  <w:shd w:val="clear" w:color="auto" w:fill="auto"/>
                  <w:noWrap/>
                  <w:vAlign w:val="bottom"/>
                  <w:hideMark/>
                </w:tcPr>
                <w:p w:rsidR="00114690" w:rsidRPr="00A15D98" w:rsidRDefault="00114690" w:rsidP="00FD7155">
                  <w:pPr>
                    <w:rPr>
                      <w:rFonts w:cs="Arial"/>
                      <w:color w:val="002060"/>
                      <w:sz w:val="16"/>
                      <w:szCs w:val="16"/>
                    </w:rPr>
                  </w:pPr>
                </w:p>
              </w:tc>
              <w:tc>
                <w:tcPr>
                  <w:tcW w:w="670" w:type="dxa"/>
                  <w:tcBorders>
                    <w:top w:val="nil"/>
                    <w:left w:val="nil"/>
                    <w:bottom w:val="nil"/>
                    <w:right w:val="nil"/>
                  </w:tcBorders>
                  <w:shd w:val="clear" w:color="auto" w:fill="auto"/>
                  <w:noWrap/>
                  <w:vAlign w:val="bottom"/>
                  <w:hideMark/>
                </w:tcPr>
                <w:p w:rsidR="00114690" w:rsidRPr="00A15D98" w:rsidRDefault="00114690" w:rsidP="00FD7155">
                  <w:pPr>
                    <w:rPr>
                      <w:rFonts w:cs="Arial"/>
                      <w:color w:val="002060"/>
                      <w:sz w:val="16"/>
                      <w:szCs w:val="16"/>
                    </w:rPr>
                  </w:pPr>
                  <w:r w:rsidRPr="00A15D98">
                    <w:rPr>
                      <w:rFonts w:cs="Arial"/>
                      <w:color w:val="002060"/>
                      <w:sz w:val="16"/>
                      <w:szCs w:val="16"/>
                    </w:rPr>
                    <w:t>2012:</w:t>
                  </w:r>
                </w:p>
              </w:tc>
              <w:tc>
                <w:tcPr>
                  <w:tcW w:w="1133" w:type="dxa"/>
                  <w:tcBorders>
                    <w:top w:val="nil"/>
                    <w:left w:val="nil"/>
                    <w:bottom w:val="nil"/>
                    <w:right w:val="nil"/>
                  </w:tcBorders>
                  <w:shd w:val="clear" w:color="auto" w:fill="auto"/>
                  <w:noWrap/>
                  <w:vAlign w:val="bottom"/>
                  <w:hideMark/>
                </w:tcPr>
                <w:p w:rsidR="00114690" w:rsidRPr="00A15D98" w:rsidRDefault="00114690" w:rsidP="00FD7155">
                  <w:pPr>
                    <w:rPr>
                      <w:rFonts w:cs="Arial"/>
                      <w:color w:val="002060"/>
                      <w:sz w:val="16"/>
                      <w:szCs w:val="16"/>
                    </w:rPr>
                  </w:pPr>
                  <w:r w:rsidRPr="00A15D98">
                    <w:rPr>
                      <w:rFonts w:cs="Arial"/>
                      <w:color w:val="002060"/>
                      <w:sz w:val="16"/>
                      <w:szCs w:val="16"/>
                    </w:rPr>
                    <w:t>2013:</w:t>
                  </w:r>
                </w:p>
              </w:tc>
            </w:tr>
            <w:tr w:rsidR="00114690" w:rsidRPr="0020416E" w:rsidTr="00FD7155">
              <w:trPr>
                <w:trHeight w:val="255"/>
              </w:trPr>
              <w:tc>
                <w:tcPr>
                  <w:tcW w:w="580" w:type="dxa"/>
                  <w:tcBorders>
                    <w:top w:val="nil"/>
                    <w:left w:val="nil"/>
                    <w:bottom w:val="nil"/>
                    <w:right w:val="nil"/>
                  </w:tcBorders>
                  <w:shd w:val="clear" w:color="auto" w:fill="auto"/>
                  <w:noWrap/>
                  <w:vAlign w:val="bottom"/>
                  <w:hideMark/>
                </w:tcPr>
                <w:p w:rsidR="00114690" w:rsidRPr="00A15D98" w:rsidRDefault="00114690" w:rsidP="00FD7155">
                  <w:pPr>
                    <w:rPr>
                      <w:rFonts w:cs="Arial"/>
                      <w:color w:val="002060"/>
                      <w:sz w:val="16"/>
                      <w:szCs w:val="16"/>
                    </w:rPr>
                  </w:pPr>
                  <w:r w:rsidRPr="00A15D98">
                    <w:rPr>
                      <w:rFonts w:cs="Arial"/>
                      <w:color w:val="002060"/>
                      <w:sz w:val="16"/>
                      <w:szCs w:val="16"/>
                    </w:rPr>
                    <w:t xml:space="preserve">P4 - </w:t>
                  </w:r>
                </w:p>
              </w:tc>
              <w:tc>
                <w:tcPr>
                  <w:tcW w:w="670" w:type="dxa"/>
                  <w:tcBorders>
                    <w:top w:val="nil"/>
                    <w:left w:val="nil"/>
                    <w:bottom w:val="nil"/>
                    <w:right w:val="nil"/>
                  </w:tcBorders>
                  <w:shd w:val="clear" w:color="auto" w:fill="auto"/>
                  <w:noWrap/>
                  <w:vAlign w:val="bottom"/>
                  <w:hideMark/>
                </w:tcPr>
                <w:p w:rsidR="00114690" w:rsidRPr="00A15D98" w:rsidRDefault="00114690" w:rsidP="00FD7155">
                  <w:pPr>
                    <w:rPr>
                      <w:rFonts w:cs="Arial"/>
                      <w:color w:val="002060"/>
                      <w:sz w:val="16"/>
                      <w:szCs w:val="16"/>
                    </w:rPr>
                  </w:pPr>
                  <w:r w:rsidRPr="00A15D98">
                    <w:rPr>
                      <w:rFonts w:cs="Arial"/>
                      <w:color w:val="002060"/>
                      <w:sz w:val="16"/>
                      <w:szCs w:val="16"/>
                    </w:rPr>
                    <w:t>44.4%</w:t>
                  </w:r>
                </w:p>
              </w:tc>
              <w:tc>
                <w:tcPr>
                  <w:tcW w:w="1133" w:type="dxa"/>
                  <w:tcBorders>
                    <w:top w:val="nil"/>
                    <w:left w:val="nil"/>
                    <w:bottom w:val="nil"/>
                    <w:right w:val="nil"/>
                  </w:tcBorders>
                  <w:shd w:val="clear" w:color="auto" w:fill="auto"/>
                  <w:noWrap/>
                  <w:vAlign w:val="bottom"/>
                  <w:hideMark/>
                </w:tcPr>
                <w:p w:rsidR="00114690" w:rsidRPr="00A15D98" w:rsidRDefault="00114690" w:rsidP="00FD7155">
                  <w:pPr>
                    <w:rPr>
                      <w:rFonts w:cs="Arial"/>
                      <w:color w:val="002060"/>
                      <w:sz w:val="16"/>
                      <w:szCs w:val="16"/>
                    </w:rPr>
                  </w:pPr>
                  <w:r w:rsidRPr="00A15D98">
                    <w:rPr>
                      <w:rFonts w:cs="Arial"/>
                      <w:color w:val="002060"/>
                      <w:sz w:val="16"/>
                      <w:szCs w:val="16"/>
                    </w:rPr>
                    <w:t>43.4%</w:t>
                  </w:r>
                </w:p>
              </w:tc>
            </w:tr>
            <w:tr w:rsidR="00114690" w:rsidRPr="0020416E" w:rsidTr="00FD7155">
              <w:trPr>
                <w:trHeight w:val="255"/>
              </w:trPr>
              <w:tc>
                <w:tcPr>
                  <w:tcW w:w="580" w:type="dxa"/>
                  <w:tcBorders>
                    <w:top w:val="nil"/>
                    <w:left w:val="nil"/>
                    <w:bottom w:val="nil"/>
                    <w:right w:val="nil"/>
                  </w:tcBorders>
                  <w:shd w:val="clear" w:color="auto" w:fill="auto"/>
                  <w:noWrap/>
                  <w:vAlign w:val="bottom"/>
                  <w:hideMark/>
                </w:tcPr>
                <w:p w:rsidR="00114690" w:rsidRPr="00A15D98" w:rsidRDefault="00114690" w:rsidP="00FD7155">
                  <w:pPr>
                    <w:rPr>
                      <w:rFonts w:cs="Arial"/>
                      <w:color w:val="002060"/>
                      <w:sz w:val="16"/>
                      <w:szCs w:val="16"/>
                    </w:rPr>
                  </w:pPr>
                  <w:r w:rsidRPr="00A15D98">
                    <w:rPr>
                      <w:rFonts w:cs="Arial"/>
                      <w:color w:val="002060"/>
                      <w:sz w:val="16"/>
                      <w:szCs w:val="16"/>
                    </w:rPr>
                    <w:t xml:space="preserve">P5 - </w:t>
                  </w:r>
                </w:p>
              </w:tc>
              <w:tc>
                <w:tcPr>
                  <w:tcW w:w="670" w:type="dxa"/>
                  <w:tcBorders>
                    <w:top w:val="nil"/>
                    <w:left w:val="nil"/>
                    <w:bottom w:val="nil"/>
                    <w:right w:val="nil"/>
                  </w:tcBorders>
                  <w:shd w:val="clear" w:color="auto" w:fill="auto"/>
                  <w:noWrap/>
                  <w:vAlign w:val="bottom"/>
                  <w:hideMark/>
                </w:tcPr>
                <w:p w:rsidR="00114690" w:rsidRPr="00A15D98" w:rsidRDefault="00114690" w:rsidP="00FD7155">
                  <w:pPr>
                    <w:rPr>
                      <w:rFonts w:cs="Arial"/>
                      <w:color w:val="002060"/>
                      <w:sz w:val="16"/>
                      <w:szCs w:val="16"/>
                    </w:rPr>
                  </w:pPr>
                  <w:r w:rsidRPr="00A15D98">
                    <w:rPr>
                      <w:rFonts w:cs="Arial"/>
                      <w:color w:val="002060"/>
                      <w:sz w:val="16"/>
                      <w:szCs w:val="16"/>
                    </w:rPr>
                    <w:t>30.3%</w:t>
                  </w:r>
                </w:p>
              </w:tc>
              <w:tc>
                <w:tcPr>
                  <w:tcW w:w="1133" w:type="dxa"/>
                  <w:tcBorders>
                    <w:top w:val="nil"/>
                    <w:left w:val="nil"/>
                    <w:bottom w:val="nil"/>
                    <w:right w:val="nil"/>
                  </w:tcBorders>
                  <w:shd w:val="clear" w:color="auto" w:fill="auto"/>
                  <w:noWrap/>
                  <w:vAlign w:val="bottom"/>
                  <w:hideMark/>
                </w:tcPr>
                <w:p w:rsidR="00114690" w:rsidRPr="00A15D98" w:rsidRDefault="00114690" w:rsidP="00FD7155">
                  <w:pPr>
                    <w:rPr>
                      <w:rFonts w:cs="Arial"/>
                      <w:color w:val="002060"/>
                      <w:sz w:val="16"/>
                      <w:szCs w:val="16"/>
                    </w:rPr>
                  </w:pPr>
                  <w:r w:rsidRPr="00A15D98">
                    <w:rPr>
                      <w:rFonts w:cs="Arial"/>
                      <w:color w:val="002060"/>
                      <w:sz w:val="16"/>
                      <w:szCs w:val="16"/>
                    </w:rPr>
                    <w:t>34.3%</w:t>
                  </w:r>
                </w:p>
              </w:tc>
            </w:tr>
            <w:tr w:rsidR="00114690" w:rsidRPr="0020416E" w:rsidTr="00FD7155">
              <w:trPr>
                <w:trHeight w:val="255"/>
              </w:trPr>
              <w:tc>
                <w:tcPr>
                  <w:tcW w:w="580" w:type="dxa"/>
                  <w:tcBorders>
                    <w:top w:val="nil"/>
                    <w:left w:val="nil"/>
                    <w:bottom w:val="nil"/>
                    <w:right w:val="nil"/>
                  </w:tcBorders>
                  <w:shd w:val="clear" w:color="auto" w:fill="auto"/>
                  <w:noWrap/>
                  <w:vAlign w:val="bottom"/>
                  <w:hideMark/>
                </w:tcPr>
                <w:p w:rsidR="00114690" w:rsidRPr="00A15D98" w:rsidRDefault="00114690" w:rsidP="00FD7155">
                  <w:pPr>
                    <w:rPr>
                      <w:rFonts w:cs="Arial"/>
                      <w:color w:val="002060"/>
                      <w:sz w:val="16"/>
                      <w:szCs w:val="16"/>
                    </w:rPr>
                  </w:pPr>
                  <w:r w:rsidRPr="00A15D98">
                    <w:rPr>
                      <w:rFonts w:cs="Arial"/>
                      <w:color w:val="002060"/>
                      <w:sz w:val="16"/>
                      <w:szCs w:val="16"/>
                    </w:rPr>
                    <w:t xml:space="preserve">D1 - </w:t>
                  </w:r>
                </w:p>
              </w:tc>
              <w:tc>
                <w:tcPr>
                  <w:tcW w:w="670" w:type="dxa"/>
                  <w:tcBorders>
                    <w:top w:val="nil"/>
                    <w:left w:val="nil"/>
                    <w:bottom w:val="nil"/>
                    <w:right w:val="nil"/>
                  </w:tcBorders>
                  <w:shd w:val="clear" w:color="auto" w:fill="auto"/>
                  <w:noWrap/>
                  <w:vAlign w:val="bottom"/>
                  <w:hideMark/>
                </w:tcPr>
                <w:p w:rsidR="00114690" w:rsidRPr="00A15D98" w:rsidRDefault="00114690" w:rsidP="00FD7155">
                  <w:pPr>
                    <w:rPr>
                      <w:rFonts w:cs="Arial"/>
                      <w:color w:val="002060"/>
                      <w:sz w:val="16"/>
                      <w:szCs w:val="16"/>
                    </w:rPr>
                  </w:pPr>
                  <w:r w:rsidRPr="00A15D98">
                    <w:rPr>
                      <w:rFonts w:cs="Arial"/>
                      <w:color w:val="002060"/>
                      <w:sz w:val="16"/>
                      <w:szCs w:val="16"/>
                    </w:rPr>
                    <w:t>24.4%</w:t>
                  </w:r>
                </w:p>
              </w:tc>
              <w:tc>
                <w:tcPr>
                  <w:tcW w:w="1133" w:type="dxa"/>
                  <w:tcBorders>
                    <w:top w:val="nil"/>
                    <w:left w:val="nil"/>
                    <w:bottom w:val="nil"/>
                    <w:right w:val="nil"/>
                  </w:tcBorders>
                  <w:shd w:val="clear" w:color="auto" w:fill="auto"/>
                  <w:noWrap/>
                  <w:vAlign w:val="bottom"/>
                  <w:hideMark/>
                </w:tcPr>
                <w:p w:rsidR="00114690" w:rsidRPr="00A15D98" w:rsidRDefault="00114690" w:rsidP="00FD7155">
                  <w:pPr>
                    <w:rPr>
                      <w:rFonts w:cs="Arial"/>
                      <w:color w:val="002060"/>
                      <w:sz w:val="16"/>
                      <w:szCs w:val="16"/>
                    </w:rPr>
                  </w:pPr>
                  <w:r w:rsidRPr="00A15D98">
                    <w:rPr>
                      <w:rFonts w:cs="Arial"/>
                      <w:color w:val="002060"/>
                      <w:sz w:val="16"/>
                      <w:szCs w:val="16"/>
                    </w:rPr>
                    <w:t>26.8%</w:t>
                  </w:r>
                </w:p>
              </w:tc>
            </w:tr>
            <w:tr w:rsidR="00114690" w:rsidRPr="0020416E" w:rsidTr="00FD7155">
              <w:trPr>
                <w:trHeight w:val="255"/>
              </w:trPr>
              <w:tc>
                <w:tcPr>
                  <w:tcW w:w="580" w:type="dxa"/>
                  <w:tcBorders>
                    <w:top w:val="nil"/>
                    <w:left w:val="nil"/>
                    <w:bottom w:val="nil"/>
                    <w:right w:val="nil"/>
                  </w:tcBorders>
                  <w:shd w:val="clear" w:color="auto" w:fill="auto"/>
                  <w:noWrap/>
                  <w:vAlign w:val="bottom"/>
                  <w:hideMark/>
                </w:tcPr>
                <w:p w:rsidR="00114690" w:rsidRPr="00A15D98" w:rsidRDefault="00114690" w:rsidP="00FD7155">
                  <w:pPr>
                    <w:rPr>
                      <w:rFonts w:cs="Arial"/>
                      <w:color w:val="002060"/>
                      <w:sz w:val="16"/>
                      <w:szCs w:val="16"/>
                    </w:rPr>
                  </w:pPr>
                  <w:r w:rsidRPr="00A15D98">
                    <w:rPr>
                      <w:rFonts w:cs="Arial"/>
                      <w:color w:val="002060"/>
                      <w:sz w:val="16"/>
                      <w:szCs w:val="16"/>
                    </w:rPr>
                    <w:t xml:space="preserve">D2 - </w:t>
                  </w:r>
                </w:p>
              </w:tc>
              <w:tc>
                <w:tcPr>
                  <w:tcW w:w="670" w:type="dxa"/>
                  <w:tcBorders>
                    <w:top w:val="nil"/>
                    <w:left w:val="nil"/>
                    <w:bottom w:val="nil"/>
                    <w:right w:val="nil"/>
                  </w:tcBorders>
                  <w:shd w:val="clear" w:color="auto" w:fill="auto"/>
                  <w:noWrap/>
                  <w:vAlign w:val="bottom"/>
                  <w:hideMark/>
                </w:tcPr>
                <w:p w:rsidR="00114690" w:rsidRPr="00A15D98" w:rsidRDefault="00114690" w:rsidP="00FD7155">
                  <w:pPr>
                    <w:rPr>
                      <w:rFonts w:cs="Arial"/>
                      <w:color w:val="002060"/>
                      <w:sz w:val="16"/>
                      <w:szCs w:val="16"/>
                    </w:rPr>
                  </w:pPr>
                  <w:r w:rsidRPr="00A15D98">
                    <w:rPr>
                      <w:rFonts w:cs="Arial"/>
                      <w:color w:val="002060"/>
                      <w:sz w:val="16"/>
                      <w:szCs w:val="16"/>
                    </w:rPr>
                    <w:t>23.1%</w:t>
                  </w:r>
                </w:p>
              </w:tc>
              <w:tc>
                <w:tcPr>
                  <w:tcW w:w="1133" w:type="dxa"/>
                  <w:tcBorders>
                    <w:top w:val="nil"/>
                    <w:left w:val="nil"/>
                    <w:bottom w:val="nil"/>
                    <w:right w:val="nil"/>
                  </w:tcBorders>
                  <w:shd w:val="clear" w:color="auto" w:fill="auto"/>
                  <w:noWrap/>
                  <w:vAlign w:val="bottom"/>
                  <w:hideMark/>
                </w:tcPr>
                <w:p w:rsidR="00114690" w:rsidRPr="00A15D98" w:rsidRDefault="00114690" w:rsidP="00FD7155">
                  <w:pPr>
                    <w:rPr>
                      <w:rFonts w:cs="Arial"/>
                      <w:color w:val="002060"/>
                      <w:sz w:val="16"/>
                      <w:szCs w:val="16"/>
                    </w:rPr>
                  </w:pPr>
                  <w:r w:rsidRPr="00A15D98">
                    <w:rPr>
                      <w:rFonts w:cs="Arial"/>
                      <w:color w:val="002060"/>
                      <w:sz w:val="16"/>
                      <w:szCs w:val="16"/>
                    </w:rPr>
                    <w:t>33.3%</w:t>
                  </w:r>
                </w:p>
              </w:tc>
            </w:tr>
          </w:tbl>
          <w:p w:rsidR="00114690" w:rsidRPr="00797FCA" w:rsidRDefault="00114690" w:rsidP="00FD7155">
            <w:pPr>
              <w:rPr>
                <w:rFonts w:cs="Arial"/>
                <w:color w:val="002060"/>
                <w:sz w:val="16"/>
                <w:szCs w:val="16"/>
                <w:lang w:bidi="th-TH"/>
              </w:rPr>
            </w:pPr>
          </w:p>
          <w:p w:rsidR="00114690" w:rsidRPr="00797FCA" w:rsidRDefault="00114690" w:rsidP="00FD7155">
            <w:pPr>
              <w:rPr>
                <w:rFonts w:cs="Arial"/>
                <w:i/>
                <w:color w:val="002060"/>
                <w:sz w:val="8"/>
                <w:szCs w:val="8"/>
              </w:rPr>
            </w:pPr>
          </w:p>
          <w:p w:rsidR="00114690" w:rsidRDefault="00114690" w:rsidP="00FD7155">
            <w:pPr>
              <w:rPr>
                <w:rFonts w:cs="Arial"/>
                <w:sz w:val="16"/>
                <w:szCs w:val="16"/>
              </w:rPr>
            </w:pPr>
            <w:r w:rsidRPr="00797FCA">
              <w:rPr>
                <w:rFonts w:cs="Arial"/>
                <w:i/>
                <w:sz w:val="16"/>
                <w:szCs w:val="16"/>
              </w:rPr>
              <w:t>Original Baseline P&amp;B 2014/15:</w:t>
            </w:r>
            <w:r w:rsidRPr="00797FCA">
              <w:rPr>
                <w:rFonts w:cs="Arial"/>
                <w:sz w:val="16"/>
                <w:szCs w:val="16"/>
              </w:rPr>
              <w:t xml:space="preserve">  </w:t>
            </w:r>
          </w:p>
          <w:p w:rsidR="00114690" w:rsidRPr="00797FCA" w:rsidRDefault="00114690" w:rsidP="00FD7155">
            <w:pPr>
              <w:rPr>
                <w:rFonts w:cs="Arial"/>
                <w:sz w:val="16"/>
                <w:szCs w:val="16"/>
              </w:rPr>
            </w:pPr>
            <w:r w:rsidRPr="00797FCA">
              <w:rPr>
                <w:rFonts w:cs="Arial"/>
                <w:sz w:val="16"/>
                <w:szCs w:val="16"/>
              </w:rPr>
              <w:t>P4 – 44.1%</w:t>
            </w:r>
          </w:p>
          <w:p w:rsidR="00114690" w:rsidRPr="00797FCA" w:rsidRDefault="00114690" w:rsidP="00FD7155">
            <w:pPr>
              <w:rPr>
                <w:rFonts w:cs="Arial"/>
                <w:sz w:val="16"/>
                <w:szCs w:val="16"/>
              </w:rPr>
            </w:pPr>
            <w:r w:rsidRPr="00797FCA">
              <w:rPr>
                <w:rFonts w:cs="Arial"/>
                <w:sz w:val="16"/>
                <w:szCs w:val="16"/>
              </w:rPr>
              <w:t>P5 – 31.8%</w:t>
            </w:r>
          </w:p>
          <w:p w:rsidR="00114690" w:rsidRPr="00797FCA" w:rsidRDefault="00114690" w:rsidP="00FD7155">
            <w:pPr>
              <w:rPr>
                <w:rFonts w:cs="Arial"/>
                <w:sz w:val="16"/>
                <w:szCs w:val="16"/>
              </w:rPr>
            </w:pPr>
            <w:r w:rsidRPr="00797FCA">
              <w:rPr>
                <w:rFonts w:cs="Arial"/>
                <w:sz w:val="16"/>
                <w:szCs w:val="16"/>
              </w:rPr>
              <w:t>D1 – 26.2%</w:t>
            </w:r>
          </w:p>
          <w:p w:rsidR="00114690" w:rsidRPr="00797FCA" w:rsidRDefault="00114690" w:rsidP="00FD7155">
            <w:pPr>
              <w:rPr>
                <w:rFonts w:cs="Arial"/>
                <w:sz w:val="16"/>
                <w:szCs w:val="16"/>
              </w:rPr>
            </w:pPr>
            <w:r w:rsidRPr="00797FCA">
              <w:rPr>
                <w:rFonts w:cs="Arial"/>
                <w:sz w:val="16"/>
                <w:szCs w:val="16"/>
              </w:rPr>
              <w:t>D2 – 23.1%</w:t>
            </w:r>
          </w:p>
          <w:p w:rsidR="00114690" w:rsidRPr="00797FCA" w:rsidRDefault="00114690" w:rsidP="00FD7155">
            <w:pPr>
              <w:rPr>
                <w:rFonts w:cs="Arial"/>
                <w:sz w:val="16"/>
                <w:szCs w:val="16"/>
              </w:rPr>
            </w:pPr>
            <w:r w:rsidRPr="00797FCA">
              <w:rPr>
                <w:rFonts w:cs="Arial"/>
                <w:sz w:val="16"/>
                <w:szCs w:val="16"/>
              </w:rPr>
              <w:t>(Dec 2012)</w:t>
            </w:r>
          </w:p>
          <w:p w:rsidR="00114690" w:rsidRPr="00797FCA" w:rsidRDefault="00114690" w:rsidP="00845557">
            <w:pPr>
              <w:rPr>
                <w:rFonts w:cs="Arial"/>
                <w:sz w:val="16"/>
                <w:szCs w:val="16"/>
              </w:rPr>
            </w:pPr>
          </w:p>
        </w:tc>
        <w:tc>
          <w:tcPr>
            <w:tcW w:w="898" w:type="pct"/>
            <w:shd w:val="clear" w:color="auto" w:fill="auto"/>
            <w:tcMar>
              <w:top w:w="110" w:type="dxa"/>
            </w:tcMar>
          </w:tcPr>
          <w:p w:rsidR="00114690" w:rsidRPr="00784FF4" w:rsidRDefault="00114690" w:rsidP="00FD7155">
            <w:pPr>
              <w:keepNext/>
              <w:keepLines/>
              <w:spacing w:after="160"/>
              <w:rPr>
                <w:rFonts w:cs="Arial"/>
                <w:sz w:val="16"/>
                <w:szCs w:val="16"/>
              </w:rPr>
            </w:pPr>
            <w:r w:rsidRPr="00784FF4">
              <w:rPr>
                <w:rFonts w:cs="Arial"/>
                <w:sz w:val="16"/>
                <w:szCs w:val="16"/>
              </w:rPr>
              <w:t>P4 – 46%</w:t>
            </w:r>
          </w:p>
          <w:p w:rsidR="00114690" w:rsidRPr="00784FF4" w:rsidRDefault="00114690" w:rsidP="00FD7155">
            <w:pPr>
              <w:keepNext/>
              <w:keepLines/>
              <w:spacing w:after="160"/>
              <w:rPr>
                <w:rFonts w:cs="Arial"/>
                <w:sz w:val="16"/>
                <w:szCs w:val="16"/>
              </w:rPr>
            </w:pPr>
            <w:r w:rsidRPr="00784FF4">
              <w:rPr>
                <w:rFonts w:cs="Arial"/>
                <w:sz w:val="16"/>
                <w:szCs w:val="16"/>
              </w:rPr>
              <w:t>P5 – 35%</w:t>
            </w:r>
          </w:p>
          <w:p w:rsidR="00114690" w:rsidRPr="00784FF4" w:rsidRDefault="00114690" w:rsidP="00FD7155">
            <w:pPr>
              <w:keepNext/>
              <w:keepLines/>
              <w:spacing w:after="160"/>
              <w:rPr>
                <w:rFonts w:cs="Arial"/>
                <w:sz w:val="16"/>
                <w:szCs w:val="16"/>
              </w:rPr>
            </w:pPr>
            <w:r w:rsidRPr="00784FF4">
              <w:rPr>
                <w:rFonts w:cs="Arial"/>
                <w:sz w:val="16"/>
                <w:szCs w:val="16"/>
              </w:rPr>
              <w:t>D1 – 30%</w:t>
            </w:r>
          </w:p>
          <w:p w:rsidR="00114690" w:rsidRPr="00784FF4" w:rsidRDefault="00114690" w:rsidP="00FD7155">
            <w:pPr>
              <w:keepNext/>
              <w:keepLines/>
              <w:spacing w:after="160"/>
              <w:rPr>
                <w:rFonts w:cs="Arial"/>
                <w:sz w:val="16"/>
                <w:szCs w:val="16"/>
              </w:rPr>
            </w:pPr>
            <w:r w:rsidRPr="00784FF4">
              <w:rPr>
                <w:rFonts w:cs="Arial"/>
                <w:sz w:val="16"/>
                <w:szCs w:val="16"/>
              </w:rPr>
              <w:t>D2 – 30%</w:t>
            </w:r>
          </w:p>
        </w:tc>
        <w:tc>
          <w:tcPr>
            <w:tcW w:w="1192" w:type="pct"/>
            <w:shd w:val="clear" w:color="auto" w:fill="FFFFFF"/>
            <w:tcMar>
              <w:top w:w="110" w:type="dxa"/>
            </w:tcMar>
          </w:tcPr>
          <w:p w:rsidR="00114690" w:rsidRPr="0042593C" w:rsidRDefault="00114690" w:rsidP="00FD7155">
            <w:pPr>
              <w:pStyle w:val="PlainText"/>
              <w:keepNext/>
              <w:keepLines/>
              <w:spacing w:after="160"/>
              <w:rPr>
                <w:rFonts w:ascii="Arial" w:hAnsi="Arial" w:cs="Arial"/>
                <w:color w:val="auto"/>
                <w:sz w:val="16"/>
                <w:szCs w:val="16"/>
              </w:rPr>
            </w:pPr>
            <w:r w:rsidRPr="0042593C">
              <w:rPr>
                <w:rFonts w:ascii="Arial" w:hAnsi="Arial" w:cs="Arial"/>
                <w:color w:val="auto"/>
                <w:sz w:val="16"/>
                <w:szCs w:val="16"/>
              </w:rPr>
              <w:t>P4 - 44.4%</w:t>
            </w:r>
          </w:p>
          <w:p w:rsidR="00114690" w:rsidRPr="0042593C" w:rsidRDefault="00114690" w:rsidP="00FD7155">
            <w:pPr>
              <w:pStyle w:val="PlainText"/>
              <w:keepNext/>
              <w:keepLines/>
              <w:spacing w:after="160"/>
              <w:rPr>
                <w:rFonts w:ascii="Arial" w:hAnsi="Arial" w:cs="Arial"/>
                <w:color w:val="auto"/>
                <w:sz w:val="16"/>
                <w:szCs w:val="16"/>
              </w:rPr>
            </w:pPr>
            <w:r w:rsidRPr="0042593C">
              <w:rPr>
                <w:rFonts w:ascii="Arial" w:hAnsi="Arial" w:cs="Arial"/>
                <w:color w:val="auto"/>
                <w:sz w:val="16"/>
                <w:szCs w:val="16"/>
              </w:rPr>
              <w:t>P5 - 34.4%</w:t>
            </w:r>
          </w:p>
          <w:p w:rsidR="00114690" w:rsidRPr="0042593C" w:rsidRDefault="00114690" w:rsidP="00FD7155">
            <w:pPr>
              <w:pStyle w:val="PlainText"/>
              <w:keepNext/>
              <w:keepLines/>
              <w:spacing w:after="160"/>
              <w:rPr>
                <w:rFonts w:ascii="Arial" w:hAnsi="Arial" w:cs="Arial"/>
                <w:color w:val="auto"/>
                <w:sz w:val="16"/>
                <w:szCs w:val="16"/>
              </w:rPr>
            </w:pPr>
            <w:r w:rsidRPr="0042593C">
              <w:rPr>
                <w:rFonts w:ascii="Arial" w:hAnsi="Arial" w:cs="Arial"/>
                <w:color w:val="auto"/>
                <w:sz w:val="16"/>
                <w:szCs w:val="16"/>
              </w:rPr>
              <w:t>D1 - 26.7%</w:t>
            </w:r>
          </w:p>
          <w:p w:rsidR="00114690" w:rsidRPr="00797FCA" w:rsidRDefault="00114690" w:rsidP="00FD7155">
            <w:pPr>
              <w:pStyle w:val="PlainText"/>
              <w:keepNext/>
              <w:keepLines/>
              <w:spacing w:after="160"/>
              <w:rPr>
                <w:rFonts w:ascii="Arial" w:hAnsi="Arial" w:cs="Arial"/>
                <w:sz w:val="16"/>
                <w:szCs w:val="16"/>
              </w:rPr>
            </w:pPr>
            <w:r w:rsidRPr="0042593C">
              <w:rPr>
                <w:rFonts w:ascii="Arial" w:hAnsi="Arial" w:cs="Arial"/>
                <w:color w:val="auto"/>
                <w:sz w:val="16"/>
                <w:szCs w:val="16"/>
              </w:rPr>
              <w:t>D2 - 22.2%</w:t>
            </w:r>
          </w:p>
        </w:tc>
        <w:tc>
          <w:tcPr>
            <w:tcW w:w="523" w:type="pct"/>
            <w:gridSpan w:val="2"/>
            <w:shd w:val="clear" w:color="auto" w:fill="auto"/>
            <w:tcMar>
              <w:top w:w="110" w:type="dxa"/>
            </w:tcMar>
          </w:tcPr>
          <w:p w:rsidR="00114690" w:rsidRPr="00797FCA" w:rsidRDefault="00114690" w:rsidP="00FD7155">
            <w:pPr>
              <w:keepNext/>
              <w:keepLines/>
              <w:jc w:val="center"/>
              <w:rPr>
                <w:rFonts w:cs="Arial"/>
                <w:b/>
                <w:bCs/>
                <w:color w:val="00B050"/>
                <w:sz w:val="16"/>
                <w:szCs w:val="16"/>
              </w:rPr>
            </w:pPr>
            <w:r w:rsidRPr="00784FF4">
              <w:rPr>
                <w:rFonts w:cs="Arial"/>
                <w:b/>
                <w:bCs/>
                <w:color w:val="FF0000"/>
                <w:sz w:val="16"/>
                <w:szCs w:val="16"/>
              </w:rPr>
              <w:t xml:space="preserve">Not </w:t>
            </w:r>
            <w:r>
              <w:rPr>
                <w:rFonts w:cs="Arial"/>
                <w:b/>
                <w:bCs/>
                <w:color w:val="FF0000"/>
                <w:sz w:val="16"/>
                <w:szCs w:val="16"/>
              </w:rPr>
              <w:br/>
            </w:r>
            <w:r w:rsidRPr="00784FF4">
              <w:rPr>
                <w:rFonts w:cs="Arial"/>
                <w:b/>
                <w:bCs/>
                <w:color w:val="FF0000"/>
                <w:sz w:val="16"/>
                <w:szCs w:val="16"/>
              </w:rPr>
              <w:t>on track</w:t>
            </w:r>
          </w:p>
          <w:p w:rsidR="00114690" w:rsidRPr="00797FCA" w:rsidRDefault="00114690" w:rsidP="00FD7155">
            <w:pPr>
              <w:keepNext/>
              <w:keepLines/>
              <w:jc w:val="center"/>
              <w:rPr>
                <w:rFonts w:cs="Arial"/>
                <w:b/>
                <w:bCs/>
                <w:color w:val="FF0000"/>
                <w:sz w:val="16"/>
                <w:szCs w:val="16"/>
              </w:rPr>
            </w:pPr>
            <w:r w:rsidRPr="00784FF4">
              <w:rPr>
                <w:rFonts w:cs="Arial"/>
                <w:b/>
                <w:bCs/>
                <w:color w:val="00B050"/>
                <w:sz w:val="16"/>
                <w:szCs w:val="16"/>
              </w:rPr>
              <w:t>On track</w:t>
            </w:r>
          </w:p>
          <w:p w:rsidR="00114690" w:rsidRPr="00797FCA" w:rsidRDefault="00114690" w:rsidP="00FD7155">
            <w:pPr>
              <w:keepNext/>
              <w:keepLines/>
              <w:jc w:val="center"/>
              <w:rPr>
                <w:rFonts w:cs="Arial"/>
                <w:b/>
                <w:bCs/>
                <w:color w:val="FF0000"/>
                <w:sz w:val="16"/>
                <w:szCs w:val="16"/>
              </w:rPr>
            </w:pPr>
            <w:r w:rsidRPr="00797FCA">
              <w:rPr>
                <w:rFonts w:cs="Arial"/>
                <w:b/>
                <w:bCs/>
                <w:color w:val="FF0000"/>
                <w:sz w:val="16"/>
                <w:szCs w:val="16"/>
              </w:rPr>
              <w:t xml:space="preserve">Not </w:t>
            </w:r>
            <w:r>
              <w:rPr>
                <w:rFonts w:cs="Arial"/>
                <w:b/>
                <w:bCs/>
                <w:color w:val="FF0000"/>
                <w:sz w:val="16"/>
                <w:szCs w:val="16"/>
              </w:rPr>
              <w:br/>
            </w:r>
            <w:r w:rsidRPr="00797FCA">
              <w:rPr>
                <w:rFonts w:cs="Arial"/>
                <w:b/>
                <w:bCs/>
                <w:color w:val="FF0000"/>
                <w:sz w:val="16"/>
                <w:szCs w:val="16"/>
              </w:rPr>
              <w:t>on track</w:t>
            </w:r>
          </w:p>
          <w:p w:rsidR="00114690" w:rsidRPr="00797FCA" w:rsidRDefault="00114690" w:rsidP="00FD7155">
            <w:pPr>
              <w:keepNext/>
              <w:keepLines/>
              <w:jc w:val="center"/>
              <w:rPr>
                <w:rFonts w:cs="Arial"/>
                <w:bCs/>
                <w:color w:val="808080"/>
                <w:sz w:val="16"/>
                <w:szCs w:val="16"/>
              </w:rPr>
            </w:pPr>
            <w:r w:rsidRPr="00797FCA">
              <w:rPr>
                <w:rFonts w:cs="Arial"/>
                <w:b/>
                <w:bCs/>
                <w:color w:val="FF0000"/>
                <w:sz w:val="16"/>
                <w:szCs w:val="16"/>
              </w:rPr>
              <w:t xml:space="preserve">Not </w:t>
            </w:r>
            <w:r>
              <w:rPr>
                <w:rFonts w:cs="Arial"/>
                <w:b/>
                <w:bCs/>
                <w:color w:val="FF0000"/>
                <w:sz w:val="16"/>
                <w:szCs w:val="16"/>
              </w:rPr>
              <w:br/>
            </w:r>
            <w:r w:rsidRPr="00797FCA">
              <w:rPr>
                <w:rFonts w:cs="Arial"/>
                <w:b/>
                <w:bCs/>
                <w:color w:val="FF0000"/>
                <w:sz w:val="16"/>
                <w:szCs w:val="16"/>
              </w:rPr>
              <w:t>on track</w:t>
            </w:r>
          </w:p>
        </w:tc>
      </w:tr>
      <w:tr w:rsidR="00114690" w:rsidRPr="0042593C" w:rsidTr="00114690">
        <w:tc>
          <w:tcPr>
            <w:tcW w:w="1120" w:type="pct"/>
            <w:shd w:val="clear" w:color="auto" w:fill="auto"/>
          </w:tcPr>
          <w:p w:rsidR="00114690" w:rsidRPr="00797FCA" w:rsidRDefault="00114690" w:rsidP="00FD7155">
            <w:pPr>
              <w:rPr>
                <w:rFonts w:cs="Arial"/>
                <w:sz w:val="16"/>
                <w:szCs w:val="16"/>
              </w:rPr>
            </w:pPr>
            <w:r w:rsidRPr="00797FCA">
              <w:rPr>
                <w:rFonts w:cs="Arial"/>
                <w:sz w:val="16"/>
                <w:szCs w:val="16"/>
              </w:rPr>
              <w:t xml:space="preserve">Geographical diversity -  </w:t>
            </w:r>
          </w:p>
          <w:p w:rsidR="00114690" w:rsidRPr="00797FCA" w:rsidRDefault="00114690" w:rsidP="00FD7155">
            <w:pPr>
              <w:rPr>
                <w:rFonts w:cs="Arial"/>
                <w:sz w:val="16"/>
                <w:szCs w:val="16"/>
              </w:rPr>
            </w:pPr>
            <w:r w:rsidRPr="00797FCA">
              <w:rPr>
                <w:rFonts w:cs="Arial"/>
                <w:sz w:val="16"/>
                <w:szCs w:val="16"/>
              </w:rPr>
              <w:t>% of staff</w:t>
            </w:r>
            <w:r>
              <w:rPr>
                <w:rStyle w:val="FootnoteReference"/>
                <w:rFonts w:cs="Arial"/>
                <w:sz w:val="16"/>
                <w:szCs w:val="16"/>
              </w:rPr>
              <w:footnoteReference w:id="57"/>
            </w:r>
            <w:r w:rsidRPr="00797FCA">
              <w:rPr>
                <w:rFonts w:cs="Arial"/>
                <w:sz w:val="16"/>
                <w:szCs w:val="16"/>
              </w:rPr>
              <w:t xml:space="preserve"> per region</w:t>
            </w:r>
          </w:p>
        </w:tc>
        <w:tc>
          <w:tcPr>
            <w:tcW w:w="1268" w:type="pct"/>
            <w:shd w:val="clear" w:color="auto" w:fill="auto"/>
          </w:tcPr>
          <w:p w:rsidR="00114690" w:rsidRPr="00797FCA" w:rsidRDefault="00114690" w:rsidP="00FD7155">
            <w:pPr>
              <w:rPr>
                <w:rFonts w:cs="Arial"/>
                <w:color w:val="002060"/>
                <w:sz w:val="16"/>
                <w:szCs w:val="16"/>
              </w:rPr>
            </w:pPr>
            <w:r w:rsidRPr="00797FCA">
              <w:rPr>
                <w:rFonts w:cs="Arial"/>
                <w:i/>
                <w:color w:val="002060"/>
                <w:sz w:val="16"/>
                <w:szCs w:val="16"/>
              </w:rPr>
              <w:t xml:space="preserve">Updated Baseline end 2013:  </w:t>
            </w:r>
            <w:r w:rsidRPr="00797FCA">
              <w:rPr>
                <w:rFonts w:cs="Arial"/>
                <w:color w:val="002060"/>
                <w:sz w:val="16"/>
                <w:szCs w:val="16"/>
              </w:rPr>
              <w:t>Africa 11.</w:t>
            </w:r>
            <w:r>
              <w:rPr>
                <w:rFonts w:cs="Arial"/>
                <w:color w:val="002060"/>
                <w:sz w:val="16"/>
                <w:szCs w:val="16"/>
              </w:rPr>
              <w:t>4</w:t>
            </w:r>
            <w:r w:rsidRPr="00797FCA">
              <w:rPr>
                <w:rFonts w:cs="Arial"/>
                <w:color w:val="002060"/>
                <w:sz w:val="16"/>
                <w:szCs w:val="16"/>
              </w:rPr>
              <w:t xml:space="preserve">% </w:t>
            </w:r>
          </w:p>
          <w:p w:rsidR="00114690" w:rsidRPr="00797FCA" w:rsidRDefault="00114690" w:rsidP="00FD7155">
            <w:pPr>
              <w:rPr>
                <w:rFonts w:cs="Arial"/>
                <w:color w:val="002060"/>
                <w:sz w:val="16"/>
                <w:szCs w:val="16"/>
              </w:rPr>
            </w:pPr>
            <w:r w:rsidRPr="00797FCA">
              <w:rPr>
                <w:rFonts w:cs="Arial"/>
                <w:color w:val="002060"/>
                <w:sz w:val="16"/>
                <w:szCs w:val="16"/>
              </w:rPr>
              <w:t xml:space="preserve">Asia &amp; </w:t>
            </w:r>
            <w:r w:rsidR="00135F6B">
              <w:rPr>
                <w:rFonts w:cs="Arial"/>
                <w:color w:val="002060"/>
                <w:sz w:val="16"/>
                <w:szCs w:val="16"/>
              </w:rPr>
              <w:t xml:space="preserve">the </w:t>
            </w:r>
            <w:r w:rsidRPr="00797FCA">
              <w:rPr>
                <w:rFonts w:cs="Arial"/>
                <w:color w:val="002060"/>
                <w:sz w:val="16"/>
                <w:szCs w:val="16"/>
              </w:rPr>
              <w:t xml:space="preserve">Pacific 13.7% </w:t>
            </w:r>
          </w:p>
          <w:p w:rsidR="00114690" w:rsidRPr="00797FCA" w:rsidRDefault="00114690" w:rsidP="00FD7155">
            <w:pPr>
              <w:rPr>
                <w:rFonts w:cs="Arial"/>
                <w:color w:val="002060"/>
                <w:sz w:val="16"/>
                <w:szCs w:val="16"/>
              </w:rPr>
            </w:pPr>
            <w:r w:rsidRPr="00797FCA">
              <w:rPr>
                <w:rFonts w:cs="Arial"/>
                <w:color w:val="002060"/>
                <w:sz w:val="16"/>
                <w:szCs w:val="16"/>
              </w:rPr>
              <w:t xml:space="preserve">Eastern &amp; Central Europe &amp; Central Asia </w:t>
            </w:r>
            <w:r>
              <w:rPr>
                <w:rFonts w:cs="Arial"/>
                <w:color w:val="002060"/>
                <w:sz w:val="16"/>
                <w:szCs w:val="16"/>
              </w:rPr>
              <w:t>5</w:t>
            </w:r>
            <w:r w:rsidRPr="00797FCA">
              <w:rPr>
                <w:rFonts w:cs="Arial"/>
                <w:color w:val="002060"/>
                <w:sz w:val="16"/>
                <w:szCs w:val="16"/>
              </w:rPr>
              <w:t>.</w:t>
            </w:r>
            <w:r>
              <w:rPr>
                <w:rFonts w:cs="Arial"/>
                <w:color w:val="002060"/>
                <w:sz w:val="16"/>
                <w:szCs w:val="16"/>
              </w:rPr>
              <w:t>9</w:t>
            </w:r>
            <w:r w:rsidRPr="00797FCA">
              <w:rPr>
                <w:rFonts w:cs="Arial"/>
                <w:color w:val="002060"/>
                <w:sz w:val="16"/>
                <w:szCs w:val="16"/>
              </w:rPr>
              <w:t xml:space="preserve">% </w:t>
            </w:r>
          </w:p>
          <w:p w:rsidR="00114690" w:rsidRPr="00797FCA" w:rsidRDefault="00114690" w:rsidP="00FD7155">
            <w:pPr>
              <w:rPr>
                <w:rFonts w:cs="Arial"/>
                <w:color w:val="002060"/>
                <w:sz w:val="16"/>
                <w:szCs w:val="16"/>
              </w:rPr>
            </w:pPr>
            <w:r w:rsidRPr="00797FCA">
              <w:rPr>
                <w:rFonts w:cs="Arial"/>
                <w:color w:val="002060"/>
                <w:sz w:val="16"/>
                <w:szCs w:val="16"/>
              </w:rPr>
              <w:t xml:space="preserve">Latin America &amp; the Caribbean 8.6% </w:t>
            </w:r>
          </w:p>
          <w:p w:rsidR="00114690" w:rsidRPr="00797FCA" w:rsidRDefault="00114690" w:rsidP="00FD7155">
            <w:pPr>
              <w:rPr>
                <w:rFonts w:cs="Arial"/>
                <w:color w:val="002060"/>
                <w:sz w:val="16"/>
                <w:szCs w:val="16"/>
              </w:rPr>
            </w:pPr>
            <w:r w:rsidRPr="00797FCA">
              <w:rPr>
                <w:rFonts w:cs="Arial"/>
                <w:color w:val="002060"/>
                <w:sz w:val="16"/>
                <w:szCs w:val="16"/>
              </w:rPr>
              <w:t xml:space="preserve">Middle East 1.2% </w:t>
            </w:r>
          </w:p>
          <w:p w:rsidR="00114690" w:rsidRPr="00797FCA" w:rsidRDefault="00114690" w:rsidP="00FD7155">
            <w:pPr>
              <w:rPr>
                <w:rFonts w:cs="Arial"/>
                <w:color w:val="002060"/>
                <w:sz w:val="16"/>
                <w:szCs w:val="16"/>
                <w:lang w:bidi="th-TH"/>
              </w:rPr>
            </w:pPr>
            <w:r w:rsidRPr="00797FCA">
              <w:rPr>
                <w:rFonts w:cs="Arial"/>
                <w:color w:val="002060"/>
                <w:sz w:val="16"/>
                <w:szCs w:val="16"/>
              </w:rPr>
              <w:t>North America 8.</w:t>
            </w:r>
            <w:r>
              <w:rPr>
                <w:rFonts w:cs="Arial"/>
                <w:color w:val="002060"/>
                <w:sz w:val="16"/>
                <w:szCs w:val="16"/>
              </w:rPr>
              <w:t>2</w:t>
            </w:r>
            <w:r w:rsidRPr="00797FCA">
              <w:rPr>
                <w:rFonts w:cs="Arial"/>
                <w:color w:val="002060"/>
                <w:sz w:val="16"/>
                <w:szCs w:val="16"/>
              </w:rPr>
              <w:t>% Western Europe 51.</w:t>
            </w:r>
            <w:r>
              <w:rPr>
                <w:rFonts w:cs="Arial"/>
                <w:color w:val="002060"/>
                <w:sz w:val="16"/>
                <w:szCs w:val="16"/>
              </w:rPr>
              <w:t>0</w:t>
            </w:r>
            <w:r w:rsidRPr="00797FCA">
              <w:rPr>
                <w:rFonts w:cs="Arial"/>
                <w:color w:val="002060"/>
                <w:sz w:val="16"/>
                <w:szCs w:val="16"/>
              </w:rPr>
              <w:t>%</w:t>
            </w:r>
          </w:p>
          <w:p w:rsidR="00114690" w:rsidRPr="00797FCA" w:rsidRDefault="00114690" w:rsidP="00FD7155">
            <w:pPr>
              <w:rPr>
                <w:rFonts w:cs="Arial"/>
                <w:i/>
                <w:color w:val="002060"/>
                <w:sz w:val="8"/>
                <w:szCs w:val="8"/>
              </w:rPr>
            </w:pPr>
          </w:p>
          <w:p w:rsidR="00114690" w:rsidRPr="00797FCA" w:rsidRDefault="00114690" w:rsidP="00FD7155">
            <w:pPr>
              <w:rPr>
                <w:rFonts w:cs="Arial"/>
                <w:sz w:val="16"/>
                <w:szCs w:val="16"/>
              </w:rPr>
            </w:pPr>
            <w:r w:rsidRPr="00797FCA">
              <w:rPr>
                <w:rFonts w:cs="Arial"/>
                <w:i/>
                <w:sz w:val="16"/>
                <w:szCs w:val="16"/>
              </w:rPr>
              <w:t>Original Baseline P&amp;B 2014/15:</w:t>
            </w:r>
            <w:r w:rsidRPr="00797FCA">
              <w:rPr>
                <w:rFonts w:cs="Arial"/>
                <w:sz w:val="16"/>
                <w:szCs w:val="16"/>
              </w:rPr>
              <w:t xml:space="preserve">  Africa 11.0% </w:t>
            </w:r>
          </w:p>
          <w:p w:rsidR="00114690" w:rsidRPr="00797FCA" w:rsidRDefault="00114690" w:rsidP="00FD7155">
            <w:pPr>
              <w:rPr>
                <w:rFonts w:cs="Arial"/>
                <w:sz w:val="16"/>
                <w:szCs w:val="16"/>
              </w:rPr>
            </w:pPr>
            <w:r w:rsidRPr="00797FCA">
              <w:rPr>
                <w:rFonts w:cs="Arial"/>
                <w:sz w:val="16"/>
                <w:szCs w:val="16"/>
              </w:rPr>
              <w:t>Asia &amp;</w:t>
            </w:r>
            <w:r w:rsidR="00135F6B">
              <w:rPr>
                <w:rFonts w:cs="Arial"/>
                <w:sz w:val="16"/>
                <w:szCs w:val="16"/>
              </w:rPr>
              <w:t xml:space="preserve"> the</w:t>
            </w:r>
            <w:r w:rsidRPr="00797FCA">
              <w:rPr>
                <w:rFonts w:cs="Arial"/>
                <w:sz w:val="16"/>
                <w:szCs w:val="16"/>
              </w:rPr>
              <w:t xml:space="preserve"> Pacific 13.7% </w:t>
            </w:r>
          </w:p>
          <w:p w:rsidR="00114690" w:rsidRPr="00797FCA" w:rsidRDefault="00114690" w:rsidP="00FD7155">
            <w:pPr>
              <w:rPr>
                <w:rFonts w:cs="Arial"/>
                <w:sz w:val="16"/>
                <w:szCs w:val="16"/>
              </w:rPr>
            </w:pPr>
            <w:r w:rsidRPr="00797FCA">
              <w:rPr>
                <w:rFonts w:cs="Arial"/>
                <w:sz w:val="16"/>
                <w:szCs w:val="16"/>
              </w:rPr>
              <w:t xml:space="preserve">Eastern &amp; Central Europe &amp; Central Asia 6.2% </w:t>
            </w:r>
          </w:p>
          <w:p w:rsidR="00114690" w:rsidRPr="00797FCA" w:rsidRDefault="00114690" w:rsidP="00FD7155">
            <w:pPr>
              <w:rPr>
                <w:rFonts w:cs="Arial"/>
                <w:sz w:val="16"/>
                <w:szCs w:val="16"/>
              </w:rPr>
            </w:pPr>
            <w:r w:rsidRPr="00797FCA">
              <w:rPr>
                <w:rFonts w:cs="Arial"/>
                <w:sz w:val="16"/>
                <w:szCs w:val="16"/>
              </w:rPr>
              <w:t xml:space="preserve">Latin America &amp; the Caribbean 8.6% </w:t>
            </w:r>
          </w:p>
          <w:p w:rsidR="00114690" w:rsidRPr="00797FCA" w:rsidRDefault="00114690" w:rsidP="00FD7155">
            <w:pPr>
              <w:rPr>
                <w:rFonts w:cs="Arial"/>
                <w:sz w:val="16"/>
                <w:szCs w:val="16"/>
              </w:rPr>
            </w:pPr>
            <w:r w:rsidRPr="00797FCA">
              <w:rPr>
                <w:rFonts w:cs="Arial"/>
                <w:sz w:val="16"/>
                <w:szCs w:val="16"/>
              </w:rPr>
              <w:t xml:space="preserve">Middle East 1.2% </w:t>
            </w:r>
          </w:p>
          <w:p w:rsidR="00114690" w:rsidRPr="00797FCA" w:rsidRDefault="00114690" w:rsidP="00FD7155">
            <w:pPr>
              <w:rPr>
                <w:rFonts w:cs="Arial"/>
                <w:sz w:val="16"/>
                <w:szCs w:val="16"/>
              </w:rPr>
            </w:pPr>
            <w:r w:rsidRPr="00797FCA">
              <w:rPr>
                <w:rFonts w:cs="Arial"/>
                <w:sz w:val="16"/>
                <w:szCs w:val="16"/>
              </w:rPr>
              <w:t>North America 8.0% Western Europe 51.2%</w:t>
            </w:r>
          </w:p>
          <w:p w:rsidR="00114690" w:rsidRPr="00797FCA" w:rsidRDefault="00114690" w:rsidP="00FD7155">
            <w:pPr>
              <w:rPr>
                <w:rFonts w:cs="Arial"/>
                <w:sz w:val="16"/>
                <w:szCs w:val="16"/>
              </w:rPr>
            </w:pPr>
          </w:p>
        </w:tc>
        <w:tc>
          <w:tcPr>
            <w:tcW w:w="898" w:type="pct"/>
            <w:shd w:val="clear" w:color="auto" w:fill="auto"/>
            <w:tcMar>
              <w:top w:w="110" w:type="dxa"/>
            </w:tcMar>
          </w:tcPr>
          <w:p w:rsidR="00114690" w:rsidRPr="00797FCA" w:rsidRDefault="00114690" w:rsidP="00FD7155">
            <w:pPr>
              <w:rPr>
                <w:rFonts w:cs="Arial"/>
                <w:sz w:val="16"/>
                <w:szCs w:val="16"/>
              </w:rPr>
            </w:pPr>
            <w:proofErr w:type="spellStart"/>
            <w:r w:rsidRPr="004F5DC4">
              <w:rPr>
                <w:rFonts w:cs="Arial"/>
                <w:sz w:val="16"/>
                <w:szCs w:val="16"/>
              </w:rPr>
              <w:t>Tbd</w:t>
            </w:r>
            <w:proofErr w:type="spellEnd"/>
            <w:r>
              <w:rPr>
                <w:rStyle w:val="FootnoteReference"/>
                <w:rFonts w:cs="Arial"/>
                <w:sz w:val="16"/>
                <w:szCs w:val="16"/>
              </w:rPr>
              <w:footnoteReference w:id="58"/>
            </w:r>
          </w:p>
        </w:tc>
        <w:tc>
          <w:tcPr>
            <w:tcW w:w="1192" w:type="pct"/>
            <w:shd w:val="clear" w:color="auto" w:fill="FFFFFF"/>
            <w:tcMar>
              <w:top w:w="110" w:type="dxa"/>
            </w:tcMar>
          </w:tcPr>
          <w:p w:rsidR="00114690" w:rsidRPr="00797FCA" w:rsidRDefault="00114690" w:rsidP="00FD7155">
            <w:pPr>
              <w:rPr>
                <w:rFonts w:cs="Arial"/>
                <w:sz w:val="16"/>
                <w:szCs w:val="16"/>
              </w:rPr>
            </w:pPr>
            <w:r w:rsidRPr="00797FCA">
              <w:rPr>
                <w:rFonts w:cs="Arial"/>
                <w:sz w:val="16"/>
                <w:szCs w:val="16"/>
              </w:rPr>
              <w:t>Africa</w:t>
            </w:r>
            <w:r>
              <w:rPr>
                <w:rFonts w:cs="Arial"/>
                <w:sz w:val="16"/>
                <w:szCs w:val="16"/>
              </w:rPr>
              <w:t xml:space="preserve">: </w:t>
            </w:r>
            <w:r w:rsidRPr="00797FCA">
              <w:rPr>
                <w:rFonts w:cs="Arial"/>
                <w:sz w:val="16"/>
                <w:szCs w:val="16"/>
              </w:rPr>
              <w:t>10</w:t>
            </w:r>
            <w:r>
              <w:rPr>
                <w:rFonts w:cs="Arial"/>
                <w:sz w:val="16"/>
                <w:szCs w:val="16"/>
              </w:rPr>
              <w:t>.</w:t>
            </w:r>
            <w:r w:rsidRPr="00797FCA">
              <w:rPr>
                <w:rFonts w:cs="Arial"/>
                <w:sz w:val="16"/>
                <w:szCs w:val="16"/>
              </w:rPr>
              <w:t>8%</w:t>
            </w:r>
          </w:p>
          <w:p w:rsidR="00114690" w:rsidRPr="00797FCA" w:rsidRDefault="00114690" w:rsidP="00FD7155">
            <w:pPr>
              <w:rPr>
                <w:rFonts w:cs="Arial"/>
                <w:sz w:val="16"/>
                <w:szCs w:val="16"/>
              </w:rPr>
            </w:pPr>
            <w:r w:rsidRPr="00797FCA">
              <w:rPr>
                <w:rFonts w:cs="Arial"/>
                <w:sz w:val="16"/>
                <w:szCs w:val="16"/>
              </w:rPr>
              <w:t xml:space="preserve">Asia &amp; </w:t>
            </w:r>
            <w:r w:rsidR="00135F6B">
              <w:rPr>
                <w:rFonts w:cs="Arial"/>
                <w:sz w:val="16"/>
                <w:szCs w:val="16"/>
              </w:rPr>
              <w:t xml:space="preserve">the </w:t>
            </w:r>
            <w:r w:rsidRPr="00797FCA">
              <w:rPr>
                <w:rFonts w:cs="Arial"/>
                <w:sz w:val="16"/>
                <w:szCs w:val="16"/>
              </w:rPr>
              <w:t>Pacific</w:t>
            </w:r>
            <w:r>
              <w:rPr>
                <w:rFonts w:cs="Arial"/>
                <w:sz w:val="16"/>
                <w:szCs w:val="16"/>
              </w:rPr>
              <w:t>: 13.</w:t>
            </w:r>
            <w:r w:rsidRPr="00797FCA">
              <w:rPr>
                <w:rFonts w:cs="Arial"/>
                <w:sz w:val="16"/>
                <w:szCs w:val="16"/>
              </w:rPr>
              <w:t>5%</w:t>
            </w:r>
          </w:p>
          <w:p w:rsidR="00114690" w:rsidRPr="00797FCA" w:rsidRDefault="00114690" w:rsidP="00FD7155">
            <w:pPr>
              <w:rPr>
                <w:rFonts w:cs="Arial"/>
                <w:sz w:val="16"/>
                <w:szCs w:val="16"/>
              </w:rPr>
            </w:pPr>
            <w:r w:rsidRPr="00797FCA">
              <w:rPr>
                <w:rFonts w:cs="Arial"/>
                <w:sz w:val="16"/>
                <w:szCs w:val="16"/>
              </w:rPr>
              <w:t>Eastern &amp; Central Europe &amp; central Asia</w:t>
            </w:r>
            <w:r>
              <w:rPr>
                <w:rFonts w:cs="Arial"/>
                <w:sz w:val="16"/>
                <w:szCs w:val="16"/>
              </w:rPr>
              <w:t xml:space="preserve">: </w:t>
            </w:r>
            <w:r w:rsidRPr="00797FCA">
              <w:rPr>
                <w:rFonts w:cs="Arial"/>
                <w:sz w:val="16"/>
                <w:szCs w:val="16"/>
              </w:rPr>
              <w:t>6</w:t>
            </w:r>
            <w:r>
              <w:rPr>
                <w:rFonts w:cs="Arial"/>
                <w:sz w:val="16"/>
                <w:szCs w:val="16"/>
              </w:rPr>
              <w:t>.</w:t>
            </w:r>
            <w:r w:rsidRPr="00797FCA">
              <w:rPr>
                <w:rFonts w:cs="Arial"/>
                <w:sz w:val="16"/>
                <w:szCs w:val="16"/>
              </w:rPr>
              <w:t>7%</w:t>
            </w:r>
          </w:p>
          <w:p w:rsidR="00114690" w:rsidRPr="00797FCA" w:rsidRDefault="00114690" w:rsidP="00FD7155">
            <w:pPr>
              <w:rPr>
                <w:rFonts w:cs="Arial"/>
                <w:sz w:val="16"/>
                <w:szCs w:val="16"/>
              </w:rPr>
            </w:pPr>
            <w:r w:rsidRPr="00797FCA">
              <w:rPr>
                <w:rFonts w:cs="Arial"/>
                <w:sz w:val="16"/>
                <w:szCs w:val="16"/>
              </w:rPr>
              <w:t>Latin America &amp; the Caribbean</w:t>
            </w:r>
            <w:r>
              <w:rPr>
                <w:rFonts w:cs="Arial"/>
                <w:sz w:val="16"/>
                <w:szCs w:val="16"/>
              </w:rPr>
              <w:t xml:space="preserve">: </w:t>
            </w:r>
            <w:r w:rsidRPr="00797FCA">
              <w:rPr>
                <w:rFonts w:cs="Arial"/>
                <w:sz w:val="16"/>
                <w:szCs w:val="16"/>
              </w:rPr>
              <w:t>8</w:t>
            </w:r>
            <w:r>
              <w:rPr>
                <w:rFonts w:cs="Arial"/>
                <w:sz w:val="16"/>
                <w:szCs w:val="16"/>
              </w:rPr>
              <w:t>.</w:t>
            </w:r>
            <w:r w:rsidRPr="00797FCA">
              <w:rPr>
                <w:rFonts w:cs="Arial"/>
                <w:sz w:val="16"/>
                <w:szCs w:val="16"/>
              </w:rPr>
              <w:t>2%</w:t>
            </w:r>
          </w:p>
          <w:p w:rsidR="00114690" w:rsidRPr="00797FCA" w:rsidRDefault="00114690" w:rsidP="00FD7155">
            <w:pPr>
              <w:rPr>
                <w:rFonts w:cs="Arial"/>
                <w:sz w:val="16"/>
                <w:szCs w:val="16"/>
              </w:rPr>
            </w:pPr>
            <w:r w:rsidRPr="00797FCA">
              <w:rPr>
                <w:rFonts w:cs="Arial"/>
                <w:sz w:val="16"/>
                <w:szCs w:val="16"/>
              </w:rPr>
              <w:t>Middle East</w:t>
            </w:r>
            <w:r>
              <w:rPr>
                <w:rFonts w:cs="Arial"/>
                <w:sz w:val="16"/>
                <w:szCs w:val="16"/>
              </w:rPr>
              <w:t xml:space="preserve">: </w:t>
            </w:r>
            <w:r w:rsidRPr="00797FCA">
              <w:rPr>
                <w:rFonts w:cs="Arial"/>
                <w:sz w:val="16"/>
                <w:szCs w:val="16"/>
              </w:rPr>
              <w:t>1</w:t>
            </w:r>
            <w:r>
              <w:rPr>
                <w:rFonts w:cs="Arial"/>
                <w:sz w:val="16"/>
                <w:szCs w:val="16"/>
              </w:rPr>
              <w:t>.</w:t>
            </w:r>
            <w:r w:rsidRPr="00797FCA">
              <w:rPr>
                <w:rFonts w:cs="Arial"/>
                <w:sz w:val="16"/>
                <w:szCs w:val="16"/>
              </w:rPr>
              <w:t>2%</w:t>
            </w:r>
          </w:p>
          <w:p w:rsidR="00114690" w:rsidRPr="00797FCA" w:rsidRDefault="00114690" w:rsidP="00FD7155">
            <w:pPr>
              <w:rPr>
                <w:rFonts w:cs="Arial"/>
                <w:sz w:val="16"/>
                <w:szCs w:val="16"/>
              </w:rPr>
            </w:pPr>
            <w:r w:rsidRPr="00797FCA">
              <w:rPr>
                <w:rFonts w:cs="Arial"/>
                <w:sz w:val="16"/>
                <w:szCs w:val="16"/>
              </w:rPr>
              <w:t>North America</w:t>
            </w:r>
            <w:r>
              <w:rPr>
                <w:rFonts w:cs="Arial"/>
                <w:sz w:val="16"/>
                <w:szCs w:val="16"/>
              </w:rPr>
              <w:t xml:space="preserve">: </w:t>
            </w:r>
            <w:r w:rsidRPr="00797FCA">
              <w:rPr>
                <w:rFonts w:cs="Arial"/>
                <w:sz w:val="16"/>
                <w:szCs w:val="16"/>
              </w:rPr>
              <w:t>8</w:t>
            </w:r>
            <w:r>
              <w:rPr>
                <w:rFonts w:cs="Arial"/>
                <w:sz w:val="16"/>
                <w:szCs w:val="16"/>
              </w:rPr>
              <w:t>.</w:t>
            </w:r>
            <w:r w:rsidRPr="00797FCA">
              <w:rPr>
                <w:rFonts w:cs="Arial"/>
                <w:sz w:val="16"/>
                <w:szCs w:val="16"/>
              </w:rPr>
              <w:t>4%</w:t>
            </w:r>
          </w:p>
          <w:p w:rsidR="00114690" w:rsidRDefault="00114690" w:rsidP="00FD7155">
            <w:pPr>
              <w:rPr>
                <w:rFonts w:cs="Arial"/>
                <w:sz w:val="16"/>
                <w:szCs w:val="16"/>
              </w:rPr>
            </w:pPr>
            <w:r w:rsidRPr="00797FCA">
              <w:rPr>
                <w:rFonts w:cs="Arial"/>
                <w:sz w:val="16"/>
                <w:szCs w:val="16"/>
              </w:rPr>
              <w:t>Western Europe</w:t>
            </w:r>
            <w:r>
              <w:rPr>
                <w:rFonts w:cs="Arial"/>
                <w:sz w:val="16"/>
                <w:szCs w:val="16"/>
              </w:rPr>
              <w:t xml:space="preserve">: </w:t>
            </w:r>
            <w:r w:rsidRPr="00797FCA">
              <w:rPr>
                <w:rFonts w:cs="Arial"/>
                <w:sz w:val="16"/>
                <w:szCs w:val="16"/>
              </w:rPr>
              <w:t>51</w:t>
            </w:r>
            <w:r>
              <w:rPr>
                <w:rFonts w:cs="Arial"/>
                <w:sz w:val="16"/>
                <w:szCs w:val="16"/>
              </w:rPr>
              <w:t>.</w:t>
            </w:r>
            <w:r w:rsidRPr="00797FCA">
              <w:rPr>
                <w:rFonts w:cs="Arial"/>
                <w:sz w:val="16"/>
                <w:szCs w:val="16"/>
              </w:rPr>
              <w:t>2%</w:t>
            </w:r>
          </w:p>
          <w:p w:rsidR="00114690" w:rsidRDefault="00114690" w:rsidP="00FD7155">
            <w:pPr>
              <w:rPr>
                <w:rFonts w:cs="Arial"/>
                <w:sz w:val="16"/>
                <w:szCs w:val="16"/>
              </w:rPr>
            </w:pPr>
          </w:p>
          <w:p w:rsidR="00114690" w:rsidRPr="004D0F4A" w:rsidRDefault="00114690" w:rsidP="00FD7155">
            <w:pPr>
              <w:rPr>
                <w:rFonts w:cs="Arial"/>
                <w:sz w:val="16"/>
                <w:szCs w:val="16"/>
              </w:rPr>
            </w:pPr>
          </w:p>
          <w:p w:rsidR="00114690" w:rsidRPr="00797FCA" w:rsidRDefault="00114690" w:rsidP="00FD7155">
            <w:pPr>
              <w:rPr>
                <w:rFonts w:cs="Arial"/>
                <w:sz w:val="16"/>
                <w:szCs w:val="16"/>
              </w:rPr>
            </w:pPr>
          </w:p>
        </w:tc>
        <w:tc>
          <w:tcPr>
            <w:tcW w:w="523" w:type="pct"/>
            <w:gridSpan w:val="2"/>
            <w:shd w:val="clear" w:color="auto" w:fill="auto"/>
            <w:tcMar>
              <w:top w:w="110" w:type="dxa"/>
            </w:tcMar>
          </w:tcPr>
          <w:p w:rsidR="00114690" w:rsidRPr="0042593C" w:rsidRDefault="00114690" w:rsidP="00FD7155">
            <w:pPr>
              <w:jc w:val="center"/>
              <w:rPr>
                <w:rFonts w:cs="Arial"/>
                <w:b/>
                <w:bCs/>
                <w:color w:val="BFBFBF" w:themeColor="background1" w:themeShade="BF"/>
                <w:sz w:val="12"/>
                <w:szCs w:val="12"/>
              </w:rPr>
            </w:pPr>
            <w:r w:rsidRPr="0042593C">
              <w:rPr>
                <w:rFonts w:cs="Arial"/>
                <w:b/>
                <w:bCs/>
                <w:color w:val="A6A6A6" w:themeColor="background1" w:themeShade="A6"/>
                <w:sz w:val="12"/>
                <w:szCs w:val="12"/>
              </w:rPr>
              <w:t>Not Assessable</w:t>
            </w:r>
          </w:p>
        </w:tc>
      </w:tr>
    </w:tbl>
    <w:p w:rsidR="00114690" w:rsidRDefault="00114690" w:rsidP="00A8525E">
      <w:pPr>
        <w:rPr>
          <w:rFonts w:cs="Arial"/>
          <w:color w:val="000000"/>
          <w:sz w:val="22"/>
          <w:szCs w:val="22"/>
        </w:rPr>
      </w:pPr>
    </w:p>
    <w:p w:rsidR="00114690" w:rsidRDefault="00114690" w:rsidP="00A8525E">
      <w:pPr>
        <w:rPr>
          <w:rFonts w:cs="Arial"/>
          <w:color w:val="000000"/>
          <w:sz w:val="22"/>
          <w:szCs w:val="22"/>
        </w:rPr>
      </w:pPr>
    </w:p>
    <w:p w:rsidR="00114690" w:rsidRPr="00F2559D" w:rsidRDefault="00114690" w:rsidP="00FD7155">
      <w:pPr>
        <w:keepNext/>
        <w:keepLines/>
        <w:rPr>
          <w:rFonts w:cs="Arial"/>
          <w:b/>
          <w:sz w:val="18"/>
          <w:szCs w:val="18"/>
        </w:rPr>
      </w:pPr>
      <w:r w:rsidRPr="00797FCA">
        <w:rPr>
          <w:rFonts w:cs="Arial"/>
          <w:color w:val="000000"/>
          <w:sz w:val="22"/>
          <w:szCs w:val="22"/>
        </w:rPr>
        <w:lastRenderedPageBreak/>
        <w:t>RESOURCE UTILIZATION</w:t>
      </w:r>
      <w:r w:rsidRPr="00797FCA">
        <w:rPr>
          <w:rFonts w:cs="Arial"/>
          <w:color w:val="000000"/>
          <w:sz w:val="22"/>
          <w:szCs w:val="22"/>
        </w:rPr>
        <w:tab/>
      </w:r>
    </w:p>
    <w:p w:rsidR="00114690" w:rsidRPr="001F670B" w:rsidRDefault="00114690" w:rsidP="00FD7155">
      <w:pPr>
        <w:keepNext/>
        <w:keepLines/>
        <w:rPr>
          <w:rFonts w:cs="Arial"/>
          <w:szCs w:val="20"/>
        </w:rPr>
      </w:pPr>
    </w:p>
    <w:p w:rsidR="00114690" w:rsidRPr="00797FCA" w:rsidRDefault="00114690" w:rsidP="00FD7155">
      <w:pPr>
        <w:pStyle w:val="NormalWeb"/>
        <w:keepNext/>
        <w:keepLines/>
        <w:spacing w:before="0" w:beforeAutospacing="0" w:after="0" w:afterAutospacing="0"/>
        <w:jc w:val="center"/>
        <w:rPr>
          <w:sz w:val="20"/>
          <w:szCs w:val="20"/>
        </w:rPr>
      </w:pPr>
      <w:r w:rsidRPr="00797FCA">
        <w:rPr>
          <w:color w:val="000000"/>
          <w:sz w:val="20"/>
          <w:szCs w:val="20"/>
        </w:rPr>
        <w:t xml:space="preserve">Budget and Actual Expenditure (by result) </w:t>
      </w:r>
    </w:p>
    <w:p w:rsidR="00114690" w:rsidRPr="00797FCA" w:rsidRDefault="00114690" w:rsidP="00FD7155">
      <w:pPr>
        <w:pStyle w:val="NormalWeb"/>
        <w:keepNext/>
        <w:keepLines/>
        <w:spacing w:before="0" w:beforeAutospacing="0" w:after="0" w:afterAutospacing="0"/>
        <w:jc w:val="center"/>
        <w:rPr>
          <w:i/>
          <w:iCs/>
          <w:color w:val="000000"/>
          <w:sz w:val="20"/>
          <w:szCs w:val="20"/>
        </w:rPr>
      </w:pPr>
      <w:r w:rsidRPr="00797FCA">
        <w:rPr>
          <w:i/>
          <w:iCs/>
          <w:color w:val="000000"/>
          <w:sz w:val="20"/>
          <w:szCs w:val="20"/>
        </w:rPr>
        <w:t>(</w:t>
      </w:r>
      <w:proofErr w:type="gramStart"/>
      <w:r w:rsidRPr="00797FCA">
        <w:rPr>
          <w:i/>
          <w:iCs/>
          <w:color w:val="000000"/>
          <w:sz w:val="20"/>
          <w:szCs w:val="20"/>
        </w:rPr>
        <w:t>in</w:t>
      </w:r>
      <w:proofErr w:type="gramEnd"/>
      <w:r w:rsidRPr="00797FCA">
        <w:rPr>
          <w:i/>
          <w:iCs/>
          <w:color w:val="000000"/>
          <w:sz w:val="20"/>
          <w:szCs w:val="20"/>
        </w:rPr>
        <w:t xml:space="preserve"> thousands of Swiss francs)</w:t>
      </w:r>
    </w:p>
    <w:p w:rsidR="00114690" w:rsidRPr="00797FCA" w:rsidRDefault="00114690" w:rsidP="00FD7155">
      <w:pPr>
        <w:pStyle w:val="NormalWeb"/>
        <w:keepNext/>
        <w:keepLines/>
        <w:spacing w:before="0" w:beforeAutospacing="0" w:after="0" w:afterAutospacing="0"/>
        <w:jc w:val="center"/>
        <w:rPr>
          <w:sz w:val="20"/>
          <w:szCs w:val="20"/>
        </w:rPr>
      </w:pPr>
    </w:p>
    <w:p w:rsidR="00114690" w:rsidRPr="00797FCA" w:rsidRDefault="00114690" w:rsidP="00FD7155">
      <w:pPr>
        <w:keepNext/>
        <w:keepLines/>
        <w:jc w:val="center"/>
        <w:rPr>
          <w:rFonts w:cs="Arial"/>
        </w:rPr>
      </w:pPr>
      <w:r w:rsidRPr="00797FCA">
        <w:rPr>
          <w:rFonts w:cs="Arial"/>
          <w:noProof/>
        </w:rPr>
        <w:drawing>
          <wp:inline distT="0" distB="0" distL="0" distR="0" wp14:anchorId="344ECDE8" wp14:editId="4E3DFAA6">
            <wp:extent cx="5765800" cy="1964055"/>
            <wp:effectExtent l="0" t="0" r="6350" b="0"/>
            <wp:docPr id="852" name="Pictur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765800" cy="1964055"/>
                    </a:xfrm>
                    <a:prstGeom prst="rect">
                      <a:avLst/>
                    </a:prstGeom>
                    <a:noFill/>
                    <a:ln>
                      <a:noFill/>
                    </a:ln>
                  </pic:spPr>
                </pic:pic>
              </a:graphicData>
            </a:graphic>
          </wp:inline>
        </w:drawing>
      </w:r>
    </w:p>
    <w:p w:rsidR="00114690" w:rsidRPr="00797FCA" w:rsidRDefault="00114690">
      <w:pPr>
        <w:rPr>
          <w:rFonts w:cs="Arial"/>
        </w:rPr>
      </w:pPr>
    </w:p>
    <w:p w:rsidR="00114690" w:rsidRPr="00797FCA" w:rsidRDefault="00114690">
      <w:pPr>
        <w:rPr>
          <w:rFonts w:cs="Arial"/>
        </w:rPr>
      </w:pPr>
    </w:p>
    <w:p w:rsidR="00114690" w:rsidRPr="00797FCA" w:rsidRDefault="00114690" w:rsidP="00383D2D">
      <w:pPr>
        <w:pStyle w:val="NormalWeb"/>
        <w:keepNext/>
        <w:keepLines/>
        <w:spacing w:before="0" w:beforeAutospacing="0" w:after="0" w:afterAutospacing="0"/>
        <w:jc w:val="center"/>
        <w:rPr>
          <w:sz w:val="20"/>
          <w:szCs w:val="20"/>
        </w:rPr>
      </w:pPr>
      <w:r w:rsidRPr="00797FCA">
        <w:rPr>
          <w:color w:val="000000"/>
          <w:sz w:val="20"/>
          <w:szCs w:val="20"/>
        </w:rPr>
        <w:t xml:space="preserve">Budget and Actual Expenditure (personnel and non-personnel) </w:t>
      </w:r>
    </w:p>
    <w:p w:rsidR="00114690" w:rsidRPr="00797FCA" w:rsidRDefault="00114690" w:rsidP="00383D2D">
      <w:pPr>
        <w:pStyle w:val="NormalWeb"/>
        <w:keepNext/>
        <w:keepLines/>
        <w:spacing w:before="0" w:beforeAutospacing="0" w:after="0" w:afterAutospacing="0"/>
        <w:jc w:val="center"/>
        <w:rPr>
          <w:i/>
          <w:iCs/>
          <w:color w:val="000000"/>
          <w:sz w:val="20"/>
          <w:szCs w:val="20"/>
        </w:rPr>
      </w:pPr>
      <w:r w:rsidRPr="00797FCA">
        <w:rPr>
          <w:i/>
          <w:iCs/>
          <w:color w:val="000000"/>
          <w:sz w:val="20"/>
          <w:szCs w:val="20"/>
        </w:rPr>
        <w:t>(</w:t>
      </w:r>
      <w:proofErr w:type="gramStart"/>
      <w:r w:rsidRPr="00797FCA">
        <w:rPr>
          <w:i/>
          <w:iCs/>
          <w:color w:val="000000"/>
          <w:sz w:val="20"/>
          <w:szCs w:val="20"/>
        </w:rPr>
        <w:t>in</w:t>
      </w:r>
      <w:proofErr w:type="gramEnd"/>
      <w:r w:rsidRPr="00797FCA">
        <w:rPr>
          <w:i/>
          <w:iCs/>
          <w:color w:val="000000"/>
          <w:sz w:val="20"/>
          <w:szCs w:val="20"/>
        </w:rPr>
        <w:t xml:space="preserve"> thousands of Swiss francs)</w:t>
      </w:r>
    </w:p>
    <w:p w:rsidR="00114690" w:rsidRPr="00797FCA" w:rsidRDefault="00114690" w:rsidP="00383D2D">
      <w:pPr>
        <w:pStyle w:val="NormalWeb"/>
        <w:keepNext/>
        <w:keepLines/>
        <w:spacing w:before="0" w:beforeAutospacing="0" w:after="0" w:afterAutospacing="0"/>
        <w:jc w:val="center"/>
      </w:pPr>
    </w:p>
    <w:p w:rsidR="00114690" w:rsidRPr="00797FCA" w:rsidRDefault="00114690" w:rsidP="00FD7155">
      <w:pPr>
        <w:jc w:val="center"/>
        <w:rPr>
          <w:rFonts w:cs="Arial"/>
          <w:szCs w:val="20"/>
        </w:rPr>
      </w:pPr>
      <w:r w:rsidRPr="00797FCA">
        <w:rPr>
          <w:rFonts w:cs="Arial"/>
          <w:noProof/>
        </w:rPr>
        <w:drawing>
          <wp:inline distT="0" distB="0" distL="0" distR="0" wp14:anchorId="3AC58314" wp14:editId="464268C3">
            <wp:extent cx="5764696" cy="1264375"/>
            <wp:effectExtent l="0" t="0" r="7620" b="0"/>
            <wp:docPr id="853"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59851" cy="1263312"/>
                    </a:xfrm>
                    <a:prstGeom prst="rect">
                      <a:avLst/>
                    </a:prstGeom>
                    <a:noFill/>
                    <a:ln>
                      <a:noFill/>
                    </a:ln>
                  </pic:spPr>
                </pic:pic>
              </a:graphicData>
            </a:graphic>
          </wp:inline>
        </w:drawing>
      </w:r>
    </w:p>
    <w:p w:rsidR="00114690" w:rsidRPr="00AF185F" w:rsidRDefault="00114690" w:rsidP="00DD012F">
      <w:pPr>
        <w:keepNext/>
        <w:autoSpaceDE w:val="0"/>
        <w:autoSpaceDN w:val="0"/>
        <w:rPr>
          <w:rFonts w:cs="Arial"/>
          <w:sz w:val="16"/>
          <w:szCs w:val="16"/>
        </w:rPr>
      </w:pPr>
      <w:r w:rsidRPr="000E7A45">
        <w:rPr>
          <w:rFonts w:cs="Arial"/>
          <w:i/>
          <w:sz w:val="16"/>
          <w:szCs w:val="16"/>
        </w:rPr>
        <w:t>NOTE: The 2014/15 Budget after Transfers reflects transfers as of March 31, 2015 to address needs during the 2014/15 biennium in line with Financial Regulation 5.5.</w:t>
      </w:r>
    </w:p>
    <w:p w:rsidR="00114690" w:rsidRPr="00AF185F" w:rsidRDefault="00114690" w:rsidP="00DD012F">
      <w:pPr>
        <w:keepNext/>
        <w:autoSpaceDE w:val="0"/>
        <w:autoSpaceDN w:val="0"/>
        <w:rPr>
          <w:rFonts w:cs="Arial"/>
          <w:sz w:val="16"/>
          <w:szCs w:val="16"/>
        </w:rPr>
      </w:pPr>
    </w:p>
    <w:p w:rsidR="00114690" w:rsidRPr="00797FCA" w:rsidRDefault="00114690" w:rsidP="00420F90">
      <w:pPr>
        <w:widowControl w:val="0"/>
        <w:autoSpaceDE w:val="0"/>
        <w:autoSpaceDN w:val="0"/>
        <w:adjustRightInd w:val="0"/>
        <w:rPr>
          <w:rFonts w:cs="Arial"/>
          <w:szCs w:val="20"/>
        </w:rPr>
      </w:pPr>
    </w:p>
    <w:p w:rsidR="00114690" w:rsidRDefault="00114690" w:rsidP="00A93FCA">
      <w:pPr>
        <w:rPr>
          <w:rFonts w:cs="Arial"/>
          <w:u w:val="single"/>
        </w:rPr>
      </w:pPr>
      <w:r w:rsidRPr="00797FCA">
        <w:rPr>
          <w:rFonts w:cs="Arial"/>
          <w:szCs w:val="20"/>
        </w:rPr>
        <w:t>A.</w:t>
      </w:r>
      <w:r w:rsidRPr="00797FCA">
        <w:rPr>
          <w:rFonts w:cs="Arial"/>
        </w:rPr>
        <w:tab/>
      </w:r>
      <w:r w:rsidRPr="00797FCA">
        <w:rPr>
          <w:rFonts w:cs="Arial"/>
          <w:u w:val="single"/>
        </w:rPr>
        <w:t>Budget after Transfers 2014/15</w:t>
      </w:r>
    </w:p>
    <w:p w:rsidR="00114690" w:rsidRPr="00797FCA" w:rsidRDefault="00114690" w:rsidP="00A93FCA">
      <w:pPr>
        <w:rPr>
          <w:rFonts w:cs="Arial"/>
          <w:u w:val="single"/>
        </w:rPr>
      </w:pPr>
    </w:p>
    <w:p w:rsidR="00114690" w:rsidRPr="00025F4E" w:rsidRDefault="00114690" w:rsidP="00114690">
      <w:pPr>
        <w:pStyle w:val="ListParagraph"/>
        <w:numPr>
          <w:ilvl w:val="0"/>
          <w:numId w:val="79"/>
        </w:numPr>
        <w:tabs>
          <w:tab w:val="left" w:pos="709"/>
        </w:tabs>
        <w:ind w:left="0" w:firstLine="0"/>
        <w:jc w:val="both"/>
        <w:rPr>
          <w:rFonts w:cs="Arial"/>
          <w:lang w:eastAsia="ko-KR"/>
        </w:rPr>
      </w:pPr>
      <w:r w:rsidRPr="00025F4E">
        <w:rPr>
          <w:rFonts w:cs="Arial"/>
        </w:rPr>
        <w:t>The overall increase in the Budget after Transfers 2014/15 is primarily due to (</w:t>
      </w:r>
      <w:proofErr w:type="spellStart"/>
      <w:r w:rsidRPr="00025F4E">
        <w:rPr>
          <w:rFonts w:cs="Arial"/>
        </w:rPr>
        <w:t>i</w:t>
      </w:r>
      <w:proofErr w:type="spellEnd"/>
      <w:r w:rsidRPr="00025F4E">
        <w:rPr>
          <w:rFonts w:cs="Arial"/>
        </w:rPr>
        <w:t xml:space="preserve">) the funding of temporary resourcing solutions to cover for long-term absences, (ii) increased costs of UN shared activities, (iii) strengthened capacity of the WIPO Appeal Board, (iv) the launch of new initiatives including the WIPO Rewards &amp; Recognition Program, and (v) increased insurance costs for </w:t>
      </w:r>
      <w:r w:rsidRPr="00025F4E">
        <w:rPr>
          <w:rFonts w:cs="Arial"/>
          <w:lang w:eastAsia="ko-KR"/>
        </w:rPr>
        <w:t>delegates and participants in WIPO meetings</w:t>
      </w:r>
    </w:p>
    <w:p w:rsidR="00114690" w:rsidRPr="000E7A45" w:rsidRDefault="00114690" w:rsidP="00FD7155">
      <w:pPr>
        <w:rPr>
          <w:rFonts w:cs="Arial"/>
          <w:u w:val="single"/>
        </w:rPr>
      </w:pPr>
    </w:p>
    <w:p w:rsidR="00114690" w:rsidRPr="00797FCA" w:rsidRDefault="00114690" w:rsidP="00FD7155">
      <w:pPr>
        <w:jc w:val="both"/>
        <w:rPr>
          <w:rFonts w:cs="Arial"/>
          <w:szCs w:val="20"/>
          <w:u w:val="single"/>
          <w:lang w:eastAsia="ko-KR"/>
        </w:rPr>
      </w:pPr>
      <w:r w:rsidRPr="00797FCA">
        <w:rPr>
          <w:rFonts w:cs="Arial"/>
          <w:szCs w:val="20"/>
          <w:lang w:eastAsia="ko-KR"/>
        </w:rPr>
        <w:t>B.</w:t>
      </w:r>
      <w:r w:rsidRPr="00797FCA">
        <w:rPr>
          <w:rFonts w:cs="Arial"/>
          <w:szCs w:val="20"/>
          <w:lang w:eastAsia="ko-KR"/>
        </w:rPr>
        <w:tab/>
      </w:r>
      <w:r w:rsidRPr="00797FCA">
        <w:rPr>
          <w:rFonts w:cs="Arial"/>
          <w:szCs w:val="20"/>
          <w:u w:val="single"/>
          <w:lang w:eastAsia="ko-KR"/>
        </w:rPr>
        <w:t>Budget utilization 2014</w:t>
      </w:r>
    </w:p>
    <w:p w:rsidR="00114690" w:rsidRPr="00797FCA" w:rsidRDefault="00114690" w:rsidP="00383D2D">
      <w:pPr>
        <w:tabs>
          <w:tab w:val="left" w:pos="709"/>
        </w:tabs>
        <w:jc w:val="both"/>
        <w:rPr>
          <w:rFonts w:cs="Arial"/>
          <w:szCs w:val="20"/>
          <w:u w:val="single"/>
          <w:lang w:eastAsia="ko-KR"/>
        </w:rPr>
      </w:pPr>
    </w:p>
    <w:p w:rsidR="00114690" w:rsidRPr="00016B2F" w:rsidRDefault="00114690" w:rsidP="00114690">
      <w:pPr>
        <w:pStyle w:val="ListParagraph"/>
        <w:numPr>
          <w:ilvl w:val="0"/>
          <w:numId w:val="79"/>
        </w:numPr>
        <w:tabs>
          <w:tab w:val="left" w:pos="709"/>
        </w:tabs>
        <w:ind w:left="0" w:firstLine="0"/>
        <w:jc w:val="both"/>
        <w:rPr>
          <w:rFonts w:ascii="Calibri" w:hAnsi="Calibri"/>
          <w:sz w:val="22"/>
          <w:szCs w:val="22"/>
        </w:rPr>
      </w:pPr>
      <w:r>
        <w:rPr>
          <w:rFonts w:cs="Arial"/>
        </w:rPr>
        <w:t>Budget</w:t>
      </w:r>
      <w:r>
        <w:rPr>
          <w:rFonts w:cs="Arial"/>
          <w:lang w:eastAsia="ko-KR"/>
        </w:rPr>
        <w:t xml:space="preserve"> utilization is within the expected range of 40-60 per cent for the first year of the biennium and is on track. </w:t>
      </w:r>
    </w:p>
    <w:p w:rsidR="00361A1E" w:rsidRDefault="00361A1E"/>
    <w:p w:rsidR="00D97F1C" w:rsidRDefault="00D97F1C"/>
    <w:p w:rsidR="00D97F1C" w:rsidRDefault="00D97F1C"/>
    <w:p w:rsidR="00D97F1C" w:rsidRDefault="00D97F1C"/>
    <w:p w:rsidR="00D97F1C" w:rsidRDefault="00D97F1C"/>
    <w:p w:rsidR="00D97F1C" w:rsidRDefault="00D97F1C"/>
    <w:p w:rsidR="00E43AF7" w:rsidRDefault="00E43AF7">
      <w:r>
        <w:br w:type="page"/>
      </w:r>
    </w:p>
    <w:p w:rsidR="00E43AF7" w:rsidRPr="00AD47BD" w:rsidRDefault="00E43AF7" w:rsidP="008D1891">
      <w:pPr>
        <w:pStyle w:val="Heading2"/>
        <w:tabs>
          <w:tab w:val="clear" w:pos="567"/>
          <w:tab w:val="left" w:pos="1985"/>
        </w:tabs>
        <w:ind w:left="1985" w:hanging="1985"/>
      </w:pPr>
      <w:bookmarkStart w:id="94" w:name="_Toc422210513"/>
      <w:r w:rsidRPr="00AD47BD">
        <w:lastRenderedPageBreak/>
        <w:t>PROGRAM 24</w:t>
      </w:r>
      <w:r w:rsidRPr="00AD47BD">
        <w:tab/>
        <w:t>GENERAL SUPPORT SERVICES</w:t>
      </w:r>
      <w:bookmarkEnd w:id="94"/>
    </w:p>
    <w:p w:rsidR="00E43AF7" w:rsidRPr="005C1F88" w:rsidRDefault="00E43AF7" w:rsidP="008D1891">
      <w:pPr>
        <w:ind w:left="1985" w:hanging="1985"/>
        <w:rPr>
          <w:rFonts w:cs="Arial"/>
          <w:b/>
          <w:szCs w:val="20"/>
        </w:rPr>
      </w:pPr>
    </w:p>
    <w:p w:rsidR="00E43AF7" w:rsidRPr="005C1F88" w:rsidRDefault="00E43AF7" w:rsidP="008D1891">
      <w:pPr>
        <w:ind w:left="1985" w:hanging="1985"/>
        <w:rPr>
          <w:rFonts w:cs="Arial"/>
          <w:b/>
          <w:szCs w:val="20"/>
        </w:rPr>
      </w:pPr>
      <w:r w:rsidRPr="005C1F88">
        <w:rPr>
          <w:rFonts w:cs="Arial"/>
          <w:b/>
          <w:szCs w:val="20"/>
        </w:rPr>
        <w:t>Program Manager</w:t>
      </w:r>
      <w:r w:rsidRPr="005C1F88">
        <w:rPr>
          <w:rFonts w:cs="Arial"/>
          <w:b/>
          <w:szCs w:val="20"/>
        </w:rPr>
        <w:tab/>
      </w:r>
      <w:r w:rsidRPr="005C1F88">
        <w:rPr>
          <w:rFonts w:cs="Arial"/>
          <w:b/>
          <w:bCs/>
          <w:szCs w:val="20"/>
        </w:rPr>
        <w:t>Mr. A. Sundaram</w:t>
      </w:r>
    </w:p>
    <w:p w:rsidR="00E43AF7" w:rsidRDefault="00E43AF7" w:rsidP="008D1891">
      <w:pPr>
        <w:ind w:left="2268" w:hanging="2268"/>
        <w:rPr>
          <w:rFonts w:cs="Arial"/>
          <w:b/>
          <w:bCs/>
          <w:szCs w:val="20"/>
        </w:rPr>
      </w:pPr>
    </w:p>
    <w:p w:rsidR="00E43AF7" w:rsidRPr="005C1F88" w:rsidRDefault="00E43AF7" w:rsidP="008D1891">
      <w:pPr>
        <w:ind w:left="2268" w:hanging="2268"/>
        <w:rPr>
          <w:rFonts w:cs="Arial"/>
          <w:b/>
          <w:bCs/>
          <w:szCs w:val="20"/>
        </w:rPr>
      </w:pPr>
    </w:p>
    <w:p w:rsidR="00E43AF7" w:rsidRPr="00AD47BD" w:rsidRDefault="00E43AF7" w:rsidP="008D1891">
      <w:pPr>
        <w:rPr>
          <w:rFonts w:cs="Arial"/>
          <w:szCs w:val="20"/>
        </w:rPr>
      </w:pPr>
      <w:r w:rsidRPr="00AD47BD">
        <w:rPr>
          <w:bCs/>
          <w:szCs w:val="20"/>
        </w:rPr>
        <w:t>OVERVIEW OF PROGRESS IN 2014</w:t>
      </w:r>
    </w:p>
    <w:p w:rsidR="00E43AF7" w:rsidRPr="005C1F88" w:rsidRDefault="00E43AF7" w:rsidP="008D1891">
      <w:pPr>
        <w:rPr>
          <w:rFonts w:cs="Arial"/>
          <w:bCs/>
          <w:color w:val="000000"/>
          <w:szCs w:val="20"/>
        </w:rPr>
      </w:pPr>
    </w:p>
    <w:p w:rsidR="00E43AF7" w:rsidRPr="00AD47BD" w:rsidRDefault="00E43AF7" w:rsidP="00E43AF7">
      <w:pPr>
        <w:pStyle w:val="ListParagraph"/>
        <w:numPr>
          <w:ilvl w:val="0"/>
          <w:numId w:val="53"/>
        </w:numPr>
        <w:tabs>
          <w:tab w:val="left" w:pos="709"/>
        </w:tabs>
        <w:ind w:left="0" w:firstLine="0"/>
        <w:jc w:val="both"/>
        <w:rPr>
          <w:rFonts w:cs="Arial"/>
          <w:bCs/>
          <w:color w:val="000000"/>
        </w:rPr>
      </w:pPr>
      <w:r w:rsidRPr="00AD47BD">
        <w:rPr>
          <w:rFonts w:cs="Arial"/>
          <w:bCs/>
          <w:color w:val="000000"/>
        </w:rPr>
        <w:t xml:space="preserve">In addition to providing strategic guidance and support in the areas of Administration and Management in WIPO, the Program includes Procurement and Travel and Premises Infrastructure services.  </w:t>
      </w:r>
    </w:p>
    <w:p w:rsidR="00E43AF7" w:rsidRDefault="00E43AF7" w:rsidP="008D1891">
      <w:pPr>
        <w:tabs>
          <w:tab w:val="left" w:pos="709"/>
        </w:tabs>
        <w:jc w:val="both"/>
        <w:rPr>
          <w:rFonts w:cs="Arial"/>
          <w:bCs/>
          <w:color w:val="000000"/>
          <w:szCs w:val="20"/>
        </w:rPr>
      </w:pPr>
    </w:p>
    <w:p w:rsidR="00E43AF7" w:rsidRPr="00AD47BD" w:rsidRDefault="00E43AF7" w:rsidP="00E43AF7">
      <w:pPr>
        <w:pStyle w:val="ListParagraph"/>
        <w:numPr>
          <w:ilvl w:val="0"/>
          <w:numId w:val="53"/>
        </w:numPr>
        <w:tabs>
          <w:tab w:val="left" w:pos="709"/>
        </w:tabs>
        <w:ind w:left="0" w:firstLine="0"/>
        <w:jc w:val="both"/>
        <w:rPr>
          <w:rFonts w:cs="Arial"/>
          <w:bCs/>
          <w:color w:val="000000"/>
        </w:rPr>
      </w:pPr>
      <w:r w:rsidRPr="00AD47BD">
        <w:rPr>
          <w:rFonts w:cs="Arial"/>
          <w:bCs/>
          <w:color w:val="000000"/>
        </w:rPr>
        <w:t>In 2014, procurement and travel made good progress towards achieving the targets through several measures aimed at improving efficiency and further reducing WIPO non-personnel expenditure, as illustrated by the performance data below.</w:t>
      </w:r>
    </w:p>
    <w:p w:rsidR="00E43AF7" w:rsidRPr="005C1F88" w:rsidRDefault="00E43AF7" w:rsidP="008D1891">
      <w:pPr>
        <w:tabs>
          <w:tab w:val="left" w:pos="709"/>
        </w:tabs>
        <w:jc w:val="both"/>
        <w:rPr>
          <w:rFonts w:cs="Arial"/>
          <w:bCs/>
          <w:color w:val="000000"/>
          <w:szCs w:val="20"/>
        </w:rPr>
      </w:pPr>
    </w:p>
    <w:p w:rsidR="00E43AF7" w:rsidRDefault="00E43AF7" w:rsidP="00E43AF7">
      <w:pPr>
        <w:pStyle w:val="ListParagraph"/>
        <w:numPr>
          <w:ilvl w:val="0"/>
          <w:numId w:val="53"/>
        </w:numPr>
        <w:tabs>
          <w:tab w:val="left" w:pos="709"/>
        </w:tabs>
        <w:ind w:left="0" w:firstLine="0"/>
        <w:jc w:val="both"/>
        <w:rPr>
          <w:rFonts w:cs="Arial"/>
          <w:bCs/>
          <w:color w:val="000000"/>
        </w:rPr>
      </w:pPr>
      <w:r w:rsidRPr="00AD47BD">
        <w:rPr>
          <w:rFonts w:cs="Arial"/>
          <w:bCs/>
          <w:color w:val="000000"/>
        </w:rPr>
        <w:t>Two major deliverables were completed in 2014: (</w:t>
      </w:r>
      <w:proofErr w:type="spellStart"/>
      <w:r w:rsidRPr="00AD47BD">
        <w:rPr>
          <w:rFonts w:cs="Arial"/>
          <w:bCs/>
          <w:color w:val="000000"/>
        </w:rPr>
        <w:t>i</w:t>
      </w:r>
      <w:proofErr w:type="spellEnd"/>
      <w:r w:rsidRPr="00AD47BD">
        <w:rPr>
          <w:rFonts w:cs="Arial"/>
          <w:bCs/>
          <w:color w:val="000000"/>
        </w:rPr>
        <w:t xml:space="preserve">) the implementation of a new policy for Individual Contractual Services (ICS), as well as the integration of the management of ICS into the Procurement and Travel Division, and (ii) an On- Line Booking Tool launched in December that should yield significant savings in 2015.  With regard to the regulatory framework, </w:t>
      </w:r>
      <w:r>
        <w:rPr>
          <w:rFonts w:cs="Arial"/>
          <w:bCs/>
          <w:color w:val="000000"/>
        </w:rPr>
        <w:t xml:space="preserve">a new Office Instruction (OI) on Procurement General Principles and Basic Rules as well as a Procurement Manual </w:t>
      </w:r>
      <w:proofErr w:type="gramStart"/>
      <w:r>
        <w:rPr>
          <w:rFonts w:cs="Arial"/>
          <w:bCs/>
          <w:color w:val="000000"/>
        </w:rPr>
        <w:t>were</w:t>
      </w:r>
      <w:proofErr w:type="gramEnd"/>
      <w:r>
        <w:rPr>
          <w:rFonts w:cs="Arial"/>
          <w:bCs/>
          <w:color w:val="000000"/>
        </w:rPr>
        <w:t xml:space="preserve"> published to reflect enhancements to the procurement process.</w:t>
      </w:r>
      <w:r w:rsidRPr="00AD47BD">
        <w:rPr>
          <w:rFonts w:cs="Arial"/>
          <w:bCs/>
          <w:color w:val="000000"/>
        </w:rPr>
        <w:t xml:space="preserve">  </w:t>
      </w:r>
    </w:p>
    <w:p w:rsidR="00E43AF7" w:rsidRDefault="00E43AF7" w:rsidP="008D1891">
      <w:pPr>
        <w:pStyle w:val="ListParagraph"/>
        <w:tabs>
          <w:tab w:val="left" w:pos="709"/>
        </w:tabs>
        <w:ind w:left="0"/>
        <w:jc w:val="both"/>
        <w:rPr>
          <w:rFonts w:cs="Arial"/>
          <w:bCs/>
          <w:color w:val="000000"/>
        </w:rPr>
      </w:pPr>
    </w:p>
    <w:p w:rsidR="00E43AF7" w:rsidRPr="00B0751C" w:rsidRDefault="00E43AF7" w:rsidP="00E43AF7">
      <w:pPr>
        <w:pStyle w:val="ListParagraph"/>
        <w:numPr>
          <w:ilvl w:val="0"/>
          <w:numId w:val="53"/>
        </w:numPr>
        <w:tabs>
          <w:tab w:val="left" w:pos="709"/>
        </w:tabs>
        <w:ind w:left="0" w:firstLine="0"/>
        <w:jc w:val="both"/>
        <w:rPr>
          <w:rFonts w:cs="Arial"/>
          <w:bCs/>
          <w:color w:val="000000"/>
        </w:rPr>
      </w:pPr>
      <w:r w:rsidRPr="00B0751C">
        <w:rPr>
          <w:rFonts w:cs="Arial"/>
          <w:bCs/>
          <w:color w:val="000000"/>
        </w:rPr>
        <w:t>Savings for procured goods and services continued to be yielded from more stringent price negotiations, which</w:t>
      </w:r>
      <w:r w:rsidRPr="000B1A6D">
        <w:rPr>
          <w:rFonts w:cs="Arial"/>
          <w:bCs/>
          <w:color w:val="000000"/>
        </w:rPr>
        <w:t xml:space="preserve"> resulted in an overall savings of 2,663,000 Swiss francs in 2014.  As regards travel expenditure, the average air ticket price was reduced by 7.5 per cent to 1,598 Swiss francs compared to 1,728 Swiss francs in 2013, thanks to the utilization of more economical fares.  It should also be noted that in 2014, a substantial effort was made to reduce travel expenditure leading to a decrease in both the number of tickets issued and the number of late travel submissions.  </w:t>
      </w:r>
      <w:r w:rsidRPr="00B0751C">
        <w:rPr>
          <w:rFonts w:cs="Arial"/>
          <w:bCs/>
          <w:color w:val="000000"/>
        </w:rPr>
        <w:t xml:space="preserve">Finally, through close monitoring of the administrative process, the average lead time to process purchase requisitions </w:t>
      </w:r>
      <w:r w:rsidR="00A952CD">
        <w:rPr>
          <w:rFonts w:cs="Arial"/>
          <w:bCs/>
          <w:color w:val="000000"/>
        </w:rPr>
        <w:t>was</w:t>
      </w:r>
      <w:r w:rsidRPr="00B0751C">
        <w:rPr>
          <w:rFonts w:cs="Arial"/>
          <w:bCs/>
          <w:color w:val="000000"/>
        </w:rPr>
        <w:t xml:space="preserve"> reduced by half in four years, resulting in greater efficiency and more agility in procuring goods and services, as illustrated in the graph below.</w:t>
      </w:r>
    </w:p>
    <w:p w:rsidR="00E43AF7" w:rsidRDefault="00E43AF7" w:rsidP="008D1891">
      <w:pPr>
        <w:tabs>
          <w:tab w:val="left" w:pos="709"/>
        </w:tabs>
        <w:jc w:val="both"/>
        <w:rPr>
          <w:rFonts w:cs="Arial"/>
          <w:bCs/>
          <w:color w:val="000000"/>
        </w:rPr>
      </w:pPr>
    </w:p>
    <w:p w:rsidR="00E43AF7" w:rsidRPr="000B1A6D" w:rsidRDefault="0049174E" w:rsidP="008D1891">
      <w:pPr>
        <w:tabs>
          <w:tab w:val="left" w:pos="709"/>
        </w:tabs>
        <w:jc w:val="center"/>
        <w:rPr>
          <w:rFonts w:cs="Arial"/>
          <w:bCs/>
          <w:color w:val="000000"/>
        </w:rPr>
      </w:pPr>
      <w:r w:rsidRPr="0049174E">
        <w:rPr>
          <w:rFonts w:cs="Arial"/>
          <w:bCs/>
          <w:color w:val="000000"/>
        </w:rPr>
        <w:t xml:space="preserve"> </w:t>
      </w:r>
      <w:r w:rsidRPr="0049174E">
        <w:rPr>
          <w:noProof/>
        </w:rPr>
        <w:drawing>
          <wp:inline distT="0" distB="0" distL="0" distR="0" wp14:anchorId="7CB9DA27" wp14:editId="00F2F7CB">
            <wp:extent cx="4735901" cy="3124698"/>
            <wp:effectExtent l="0" t="0" r="7620" b="0"/>
            <wp:docPr id="887"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748090" cy="3132740"/>
                    </a:xfrm>
                    <a:prstGeom prst="rect">
                      <a:avLst/>
                    </a:prstGeom>
                    <a:noFill/>
                    <a:ln>
                      <a:noFill/>
                    </a:ln>
                  </pic:spPr>
                </pic:pic>
              </a:graphicData>
            </a:graphic>
          </wp:inline>
        </w:drawing>
      </w:r>
    </w:p>
    <w:p w:rsidR="00E43AF7" w:rsidRPr="005C1F88" w:rsidRDefault="00E43AF7" w:rsidP="008D1891">
      <w:pPr>
        <w:tabs>
          <w:tab w:val="left" w:pos="709"/>
        </w:tabs>
        <w:jc w:val="both"/>
        <w:rPr>
          <w:szCs w:val="20"/>
        </w:rPr>
      </w:pPr>
    </w:p>
    <w:p w:rsidR="00E43AF7" w:rsidRPr="00AD47BD" w:rsidRDefault="00E43AF7" w:rsidP="00E43AF7">
      <w:pPr>
        <w:pStyle w:val="ListParagraph"/>
        <w:numPr>
          <w:ilvl w:val="0"/>
          <w:numId w:val="53"/>
        </w:numPr>
        <w:tabs>
          <w:tab w:val="left" w:pos="709"/>
        </w:tabs>
        <w:ind w:left="0" w:firstLine="0"/>
        <w:jc w:val="both"/>
        <w:rPr>
          <w:rFonts w:cs="Arial"/>
        </w:rPr>
      </w:pPr>
      <w:r w:rsidRPr="00AD47BD">
        <w:rPr>
          <w:rFonts w:cs="Arial"/>
        </w:rPr>
        <w:t>As regards premises management, in 2014, the interaction and sharing of experiences and information with other UN Agencies, mainly Geneva-based agencies, was significantly increased in respect of both the management of large construction and renovation projects (such as the Strategic Heritage Plan for the Geneva headquarters of the UN) and the management and occupation of premises (office spaces, conference and meeting facilities, technical and specialized spaces and semi-public areas).</w:t>
      </w:r>
    </w:p>
    <w:p w:rsidR="00E43AF7" w:rsidRPr="005C1F88" w:rsidRDefault="00E43AF7" w:rsidP="008D1891">
      <w:pPr>
        <w:tabs>
          <w:tab w:val="left" w:pos="709"/>
        </w:tabs>
        <w:jc w:val="both"/>
        <w:rPr>
          <w:rFonts w:cs="Arial"/>
          <w:szCs w:val="20"/>
        </w:rPr>
      </w:pPr>
    </w:p>
    <w:p w:rsidR="00E43AF7" w:rsidRPr="00AD47BD" w:rsidRDefault="00E43AF7" w:rsidP="00E43AF7">
      <w:pPr>
        <w:pStyle w:val="ListParagraph"/>
        <w:numPr>
          <w:ilvl w:val="0"/>
          <w:numId w:val="53"/>
        </w:numPr>
        <w:tabs>
          <w:tab w:val="left" w:pos="709"/>
        </w:tabs>
        <w:ind w:left="0" w:firstLine="0"/>
        <w:jc w:val="both"/>
        <w:rPr>
          <w:rFonts w:cs="Arial"/>
        </w:rPr>
      </w:pPr>
      <w:r w:rsidRPr="00AD47BD">
        <w:rPr>
          <w:rFonts w:cs="Arial"/>
        </w:rPr>
        <w:lastRenderedPageBreak/>
        <w:t xml:space="preserve">As regards space management in the headquarters buildings, at the end of 2014, an adequate balance between occupied (85 per cent) and non-occupied (15 per cent) workplaces was reached for the second consecutive year, despite the fact that the balance was not evenly reached across all buildings, as explained in previous reports.  The implementation of a more efficient and cost-effective use of storage and parking areas on- and off-site allowed for the termination of the leases for two off-site storage areas and off-site parking spaces, as well as a reduction in quantities of office supplies (for a total savings of about 23,800 Swiss francs by the end of 2014).  Finally, a total of 195,000 Swiss francs revenue was generated in 2014 from the rental of certain spaces to other entities (the data center, roof spaces for telephony antennas, the bank teller machine and one office for the </w:t>
      </w:r>
      <w:r w:rsidRPr="00AD47BD">
        <w:rPr>
          <w:rFonts w:cs="Arial"/>
          <w:i/>
        </w:rPr>
        <w:t xml:space="preserve">Association </w:t>
      </w:r>
      <w:proofErr w:type="spellStart"/>
      <w:r w:rsidRPr="00AD47BD">
        <w:rPr>
          <w:rFonts w:cs="Arial"/>
          <w:i/>
        </w:rPr>
        <w:t>Coopérative</w:t>
      </w:r>
      <w:proofErr w:type="spellEnd"/>
      <w:r w:rsidRPr="00AD47BD">
        <w:rPr>
          <w:rFonts w:cs="Arial"/>
          <w:i/>
        </w:rPr>
        <w:t xml:space="preserve"> </w:t>
      </w:r>
      <w:proofErr w:type="spellStart"/>
      <w:r w:rsidRPr="00AD47BD">
        <w:rPr>
          <w:rFonts w:cs="Arial"/>
          <w:i/>
        </w:rPr>
        <w:t>Financière</w:t>
      </w:r>
      <w:proofErr w:type="spellEnd"/>
      <w:r w:rsidRPr="00AD47BD">
        <w:rPr>
          <w:rFonts w:cs="Arial"/>
          <w:i/>
        </w:rPr>
        <w:t xml:space="preserve"> des </w:t>
      </w:r>
      <w:proofErr w:type="spellStart"/>
      <w:r w:rsidRPr="00AD47BD">
        <w:rPr>
          <w:rFonts w:cs="Arial"/>
          <w:i/>
        </w:rPr>
        <w:t>Fonctionnaires</w:t>
      </w:r>
      <w:proofErr w:type="spellEnd"/>
      <w:r w:rsidRPr="00AD47BD">
        <w:rPr>
          <w:rFonts w:cs="Arial"/>
          <w:i/>
        </w:rPr>
        <w:t xml:space="preserve"> </w:t>
      </w:r>
      <w:proofErr w:type="spellStart"/>
      <w:r w:rsidRPr="00AD47BD">
        <w:rPr>
          <w:rFonts w:cs="Arial"/>
          <w:i/>
        </w:rPr>
        <w:t>Internationaux</w:t>
      </w:r>
      <w:proofErr w:type="spellEnd"/>
      <w:r w:rsidRPr="00AD47BD">
        <w:rPr>
          <w:rFonts w:cs="Arial"/>
          <w:i/>
        </w:rPr>
        <w:t xml:space="preserve"> </w:t>
      </w:r>
      <w:r w:rsidRPr="00AD47BD">
        <w:rPr>
          <w:rFonts w:cs="Arial"/>
        </w:rPr>
        <w:t>(AMFIE)).</w:t>
      </w:r>
    </w:p>
    <w:p w:rsidR="00E43AF7" w:rsidRPr="005C1F88" w:rsidRDefault="00E43AF7" w:rsidP="008D1891">
      <w:pPr>
        <w:tabs>
          <w:tab w:val="left" w:pos="709"/>
        </w:tabs>
        <w:jc w:val="both"/>
        <w:rPr>
          <w:rFonts w:cs="Arial"/>
          <w:szCs w:val="20"/>
        </w:rPr>
      </w:pPr>
    </w:p>
    <w:p w:rsidR="00E43AF7" w:rsidRPr="00AD47BD" w:rsidRDefault="00E43AF7" w:rsidP="00E43AF7">
      <w:pPr>
        <w:pStyle w:val="ListParagraph"/>
        <w:numPr>
          <w:ilvl w:val="0"/>
          <w:numId w:val="53"/>
        </w:numPr>
        <w:tabs>
          <w:tab w:val="left" w:pos="709"/>
        </w:tabs>
        <w:ind w:left="0" w:firstLine="0"/>
        <w:jc w:val="both"/>
        <w:rPr>
          <w:rFonts w:cs="Arial"/>
        </w:rPr>
      </w:pPr>
      <w:r w:rsidRPr="00AD47BD">
        <w:rPr>
          <w:rFonts w:cs="Arial"/>
        </w:rPr>
        <w:t>In respect of technical installations, regular maintenance of main and/or critical technical installations was undertaken throughout the year in accordance with the established schedule.  The first detailed inventory of all critical installations was completed in 2014, which will strengthen the future analysis of the wider preventative maintenance program of infrastructure and installations.</w:t>
      </w:r>
    </w:p>
    <w:p w:rsidR="00E43AF7" w:rsidRPr="005C1F88" w:rsidRDefault="00E43AF7" w:rsidP="008D1891">
      <w:pPr>
        <w:tabs>
          <w:tab w:val="left" w:pos="709"/>
        </w:tabs>
        <w:jc w:val="both"/>
        <w:rPr>
          <w:rFonts w:cs="Arial"/>
          <w:szCs w:val="20"/>
        </w:rPr>
      </w:pPr>
    </w:p>
    <w:p w:rsidR="00E43AF7" w:rsidRPr="00AD47BD" w:rsidRDefault="00E43AF7" w:rsidP="00E43AF7">
      <w:pPr>
        <w:pStyle w:val="ListParagraph"/>
        <w:numPr>
          <w:ilvl w:val="0"/>
          <w:numId w:val="53"/>
        </w:numPr>
        <w:tabs>
          <w:tab w:val="left" w:pos="709"/>
        </w:tabs>
        <w:ind w:left="0" w:firstLine="0"/>
        <w:jc w:val="both"/>
        <w:rPr>
          <w:rFonts w:cs="Arial"/>
        </w:rPr>
      </w:pPr>
      <w:r w:rsidRPr="00AD47BD">
        <w:rPr>
          <w:rFonts w:cs="Arial"/>
        </w:rPr>
        <w:t>In respect of the upgrading of older facilities, significant progress was made not only through the reserve-funded Capital Master Plan (CMP) projects</w:t>
      </w:r>
      <w:r w:rsidRPr="006B5B97">
        <w:rPr>
          <w:rStyle w:val="FootnoteReference"/>
          <w:rFonts w:cs="Arial"/>
        </w:rPr>
        <w:footnoteReference w:id="59"/>
      </w:r>
      <w:r w:rsidRPr="00AD47BD">
        <w:rPr>
          <w:rFonts w:cs="Arial"/>
        </w:rPr>
        <w:t xml:space="preserve">, but also through a number of less significant and more technical improvements (please see details in the performance table).  </w:t>
      </w:r>
    </w:p>
    <w:p w:rsidR="00E43AF7" w:rsidRDefault="00E43AF7" w:rsidP="008D1891">
      <w:pPr>
        <w:pStyle w:val="NoSpacing"/>
        <w:tabs>
          <w:tab w:val="left" w:pos="709"/>
        </w:tabs>
        <w:jc w:val="both"/>
        <w:rPr>
          <w:rFonts w:ascii="Arial" w:hAnsi="Arial" w:cs="Arial"/>
          <w:sz w:val="20"/>
          <w:szCs w:val="20"/>
        </w:rPr>
      </w:pPr>
    </w:p>
    <w:p w:rsidR="00E43AF7" w:rsidRPr="007E792E" w:rsidRDefault="00E43AF7" w:rsidP="00E43AF7">
      <w:pPr>
        <w:pStyle w:val="NoSpacing"/>
        <w:numPr>
          <w:ilvl w:val="0"/>
          <w:numId w:val="53"/>
        </w:numPr>
        <w:tabs>
          <w:tab w:val="left" w:pos="709"/>
        </w:tabs>
        <w:ind w:left="0" w:firstLine="0"/>
        <w:jc w:val="both"/>
        <w:rPr>
          <w:rFonts w:ascii="Arial" w:hAnsi="Arial" w:cs="Arial"/>
          <w:sz w:val="20"/>
          <w:szCs w:val="20"/>
        </w:rPr>
      </w:pPr>
      <w:r w:rsidRPr="007E792E">
        <w:rPr>
          <w:rFonts w:ascii="Arial" w:hAnsi="Arial" w:cs="Arial"/>
          <w:sz w:val="20"/>
          <w:szCs w:val="20"/>
        </w:rPr>
        <w:t>Energy consumption (including electricity</w:t>
      </w:r>
      <w:r>
        <w:rPr>
          <w:rFonts w:ascii="Arial" w:hAnsi="Arial" w:cs="Arial"/>
          <w:sz w:val="20"/>
          <w:szCs w:val="20"/>
        </w:rPr>
        <w:t xml:space="preserve"> and</w:t>
      </w:r>
      <w:r w:rsidRPr="007E792E">
        <w:rPr>
          <w:rFonts w:ascii="Arial" w:hAnsi="Arial" w:cs="Arial"/>
          <w:sz w:val="20"/>
          <w:szCs w:val="20"/>
        </w:rPr>
        <w:t xml:space="preserve"> water) w</w:t>
      </w:r>
      <w:r>
        <w:rPr>
          <w:rFonts w:ascii="Arial" w:hAnsi="Arial" w:cs="Arial"/>
          <w:sz w:val="20"/>
          <w:szCs w:val="20"/>
        </w:rPr>
        <w:t>as</w:t>
      </w:r>
      <w:r w:rsidRPr="007E792E">
        <w:rPr>
          <w:rFonts w:ascii="Arial" w:hAnsi="Arial" w:cs="Arial"/>
          <w:sz w:val="20"/>
          <w:szCs w:val="20"/>
        </w:rPr>
        <w:t xml:space="preserve"> reduced </w:t>
      </w:r>
      <w:r>
        <w:rPr>
          <w:rFonts w:ascii="Arial" w:hAnsi="Arial" w:cs="Arial"/>
          <w:sz w:val="20"/>
          <w:szCs w:val="20"/>
        </w:rPr>
        <w:t>by 2.2</w:t>
      </w:r>
      <w:r w:rsidR="009823BF">
        <w:rPr>
          <w:rFonts w:ascii="Arial" w:hAnsi="Arial" w:cs="Arial"/>
          <w:sz w:val="20"/>
          <w:szCs w:val="20"/>
        </w:rPr>
        <w:t xml:space="preserve"> per cent</w:t>
      </w:r>
      <w:r>
        <w:rPr>
          <w:rFonts w:ascii="Arial" w:hAnsi="Arial" w:cs="Arial"/>
          <w:sz w:val="20"/>
          <w:szCs w:val="20"/>
        </w:rPr>
        <w:t xml:space="preserve"> and 10 per cent respectively </w:t>
      </w:r>
      <w:r w:rsidRPr="007E792E">
        <w:rPr>
          <w:rFonts w:ascii="Arial" w:hAnsi="Arial" w:cs="Arial"/>
          <w:sz w:val="20"/>
          <w:szCs w:val="20"/>
        </w:rPr>
        <w:t xml:space="preserve">despite the </w:t>
      </w:r>
      <w:r w:rsidRPr="00987AA8">
        <w:rPr>
          <w:rFonts w:ascii="Arial" w:hAnsi="Arial" w:cs="Arial"/>
          <w:sz w:val="20"/>
          <w:szCs w:val="20"/>
        </w:rPr>
        <w:t xml:space="preserve">additional consumption due to the </w:t>
      </w:r>
      <w:r>
        <w:rPr>
          <w:rFonts w:ascii="Arial" w:hAnsi="Arial" w:cs="Arial"/>
          <w:sz w:val="20"/>
          <w:szCs w:val="20"/>
        </w:rPr>
        <w:t xml:space="preserve">new WIPO Conference Hall </w:t>
      </w:r>
      <w:r w:rsidRPr="00987AA8">
        <w:rPr>
          <w:rFonts w:ascii="Arial" w:hAnsi="Arial" w:cs="Arial"/>
          <w:sz w:val="20"/>
          <w:szCs w:val="20"/>
        </w:rPr>
        <w:t>as from September 2014. An upgrading of the cooling system using the Geneva Lake-produced chilled water was implemented in the New Building (NB)</w:t>
      </w:r>
      <w:r>
        <w:rPr>
          <w:rFonts w:ascii="Arial" w:hAnsi="Arial" w:cs="Arial"/>
          <w:sz w:val="20"/>
          <w:szCs w:val="20"/>
        </w:rPr>
        <w:t>.</w:t>
      </w:r>
      <w:r w:rsidRPr="00987AA8">
        <w:rPr>
          <w:rFonts w:ascii="Arial" w:hAnsi="Arial" w:cs="Arial"/>
          <w:sz w:val="20"/>
          <w:szCs w:val="20"/>
        </w:rPr>
        <w:t xml:space="preserve"> </w:t>
      </w:r>
      <w:r>
        <w:rPr>
          <w:rFonts w:ascii="Arial" w:hAnsi="Arial" w:cs="Arial"/>
          <w:sz w:val="20"/>
          <w:szCs w:val="20"/>
        </w:rPr>
        <w:t xml:space="preserve">The </w:t>
      </w:r>
      <w:r w:rsidRPr="00987AA8">
        <w:rPr>
          <w:rFonts w:ascii="Arial" w:hAnsi="Arial" w:cs="Arial"/>
          <w:sz w:val="20"/>
          <w:szCs w:val="20"/>
        </w:rPr>
        <w:t xml:space="preserve">total savings </w:t>
      </w:r>
      <w:r>
        <w:rPr>
          <w:rFonts w:ascii="Arial" w:hAnsi="Arial" w:cs="Arial"/>
          <w:sz w:val="20"/>
          <w:szCs w:val="20"/>
        </w:rPr>
        <w:t xml:space="preserve">on energy consumption and upgrading of the </w:t>
      </w:r>
      <w:r w:rsidRPr="007E792E">
        <w:rPr>
          <w:rFonts w:ascii="Arial" w:hAnsi="Arial" w:cs="Arial"/>
          <w:sz w:val="20"/>
          <w:szCs w:val="20"/>
        </w:rPr>
        <w:t>cooling system</w:t>
      </w:r>
      <w:r>
        <w:rPr>
          <w:rFonts w:ascii="Arial" w:hAnsi="Arial" w:cs="Arial"/>
          <w:sz w:val="20"/>
          <w:szCs w:val="20"/>
        </w:rPr>
        <w:t xml:space="preserve"> using the </w:t>
      </w:r>
      <w:r w:rsidRPr="007E792E">
        <w:rPr>
          <w:rFonts w:ascii="Arial" w:hAnsi="Arial" w:cs="Arial"/>
          <w:sz w:val="20"/>
          <w:szCs w:val="20"/>
        </w:rPr>
        <w:t>Geneva Lake</w:t>
      </w:r>
      <w:r>
        <w:rPr>
          <w:rFonts w:ascii="Arial" w:hAnsi="Arial" w:cs="Arial"/>
          <w:sz w:val="20"/>
          <w:szCs w:val="20"/>
        </w:rPr>
        <w:t xml:space="preserve"> chilled water amounted to</w:t>
      </w:r>
      <w:r w:rsidRPr="00987AA8" w:rsidDel="00A075BD">
        <w:rPr>
          <w:rFonts w:ascii="Arial" w:hAnsi="Arial" w:cs="Arial"/>
          <w:sz w:val="20"/>
          <w:szCs w:val="20"/>
        </w:rPr>
        <w:t xml:space="preserve"> </w:t>
      </w:r>
      <w:r w:rsidRPr="00987AA8">
        <w:rPr>
          <w:rFonts w:ascii="Arial" w:hAnsi="Arial" w:cs="Arial"/>
          <w:sz w:val="20"/>
          <w:szCs w:val="20"/>
        </w:rPr>
        <w:t>about 70,000 Swiss francs.  Furthermore, the electricity provider reimbursed a percentage of unused electricity over</w:t>
      </w:r>
      <w:r w:rsidRPr="001777FF">
        <w:rPr>
          <w:rFonts w:ascii="Arial" w:hAnsi="Arial" w:cs="Arial"/>
          <w:sz w:val="20"/>
          <w:szCs w:val="20"/>
        </w:rPr>
        <w:t xml:space="preserve"> the year of reference (2014), amounting to </w:t>
      </w:r>
      <w:r w:rsidRPr="006B5B97">
        <w:rPr>
          <w:rFonts w:ascii="Arial" w:hAnsi="Arial" w:cs="Arial"/>
          <w:sz w:val="20"/>
          <w:szCs w:val="20"/>
        </w:rPr>
        <w:t>21,300</w:t>
      </w:r>
      <w:r w:rsidRPr="001777FF">
        <w:rPr>
          <w:rFonts w:ascii="Arial" w:hAnsi="Arial" w:cs="Arial"/>
          <w:sz w:val="20"/>
          <w:szCs w:val="20"/>
        </w:rPr>
        <w:t xml:space="preserve"> Swiss francs.</w:t>
      </w:r>
      <w:r w:rsidRPr="001E3665">
        <w:rPr>
          <w:rFonts w:ascii="Arial" w:hAnsi="Arial" w:cs="Arial"/>
          <w:sz w:val="20"/>
          <w:szCs w:val="20"/>
        </w:rPr>
        <w:t xml:space="preserve"> </w:t>
      </w:r>
    </w:p>
    <w:p w:rsidR="00E43AF7" w:rsidRPr="00AD47BD" w:rsidRDefault="00E43AF7" w:rsidP="008D1891">
      <w:pPr>
        <w:tabs>
          <w:tab w:val="left" w:pos="709"/>
          <w:tab w:val="left" w:pos="1440"/>
        </w:tabs>
        <w:jc w:val="both"/>
        <w:rPr>
          <w:rFonts w:cs="Arial"/>
          <w:szCs w:val="20"/>
        </w:rPr>
      </w:pPr>
    </w:p>
    <w:p w:rsidR="00E43AF7" w:rsidRPr="00AD47BD" w:rsidRDefault="00E43AF7" w:rsidP="00E43AF7">
      <w:pPr>
        <w:pStyle w:val="NoSpacing"/>
        <w:numPr>
          <w:ilvl w:val="0"/>
          <w:numId w:val="53"/>
        </w:numPr>
        <w:tabs>
          <w:tab w:val="left" w:pos="709"/>
        </w:tabs>
        <w:ind w:left="0" w:firstLine="0"/>
        <w:jc w:val="both"/>
        <w:rPr>
          <w:rFonts w:ascii="Arial" w:hAnsi="Arial" w:cs="Arial"/>
          <w:sz w:val="20"/>
          <w:szCs w:val="20"/>
        </w:rPr>
      </w:pPr>
      <w:r w:rsidRPr="00AD47BD">
        <w:rPr>
          <w:rFonts w:ascii="Arial" w:hAnsi="Arial" w:cs="Arial"/>
          <w:sz w:val="20"/>
          <w:szCs w:val="20"/>
        </w:rPr>
        <w:t>In respect of asset management, 2014 was the first time the new procedure for carrying out an externalized inventory of assets was implemented.  The assets concerned were those valued above 1,000 Swiss francs, as well as works of art regardless of value and attractive items regardless of value.  In the second year of the biennium, the assets targeted to be inventoried will be those with a value higher than 5,000 Swiss francs.  This two-phased approach aligned to the biennium framework was aimed at structuring the asset management for both physical recording and reporting and financial reporting.</w:t>
      </w:r>
    </w:p>
    <w:p w:rsidR="00E43AF7" w:rsidRPr="00AD47BD" w:rsidRDefault="00E43AF7" w:rsidP="008D1891">
      <w:pPr>
        <w:tabs>
          <w:tab w:val="left" w:pos="709"/>
        </w:tabs>
        <w:jc w:val="both"/>
        <w:rPr>
          <w:rFonts w:cs="Arial"/>
          <w:szCs w:val="20"/>
        </w:rPr>
      </w:pPr>
    </w:p>
    <w:p w:rsidR="00E43AF7" w:rsidRPr="00AD47BD" w:rsidRDefault="00E43AF7" w:rsidP="00E43AF7">
      <w:pPr>
        <w:pStyle w:val="NoSpacing"/>
        <w:numPr>
          <w:ilvl w:val="0"/>
          <w:numId w:val="53"/>
        </w:numPr>
        <w:tabs>
          <w:tab w:val="left" w:pos="709"/>
        </w:tabs>
        <w:ind w:left="0" w:firstLine="0"/>
        <w:jc w:val="both"/>
        <w:rPr>
          <w:rFonts w:ascii="Arial" w:hAnsi="Arial" w:cs="Arial"/>
          <w:sz w:val="20"/>
          <w:szCs w:val="20"/>
        </w:rPr>
      </w:pPr>
      <w:r w:rsidRPr="00AD47BD">
        <w:rPr>
          <w:rFonts w:ascii="Arial" w:hAnsi="Arial" w:cs="Arial"/>
          <w:sz w:val="20"/>
          <w:szCs w:val="20"/>
        </w:rPr>
        <w:t>Under the WIPO Accessibility Project, and based on recommendations resulting from audits carried out in 2012 and 2013, a number of improvement measures were implemented in 2014 in several buildings.  In addition, several features, which had been included in the scope of the New Conference Hall</w:t>
      </w:r>
      <w:r>
        <w:rPr>
          <w:rFonts w:ascii="Arial" w:hAnsi="Arial" w:cs="Arial"/>
          <w:sz w:val="20"/>
          <w:szCs w:val="20"/>
        </w:rPr>
        <w:t xml:space="preserve"> Project</w:t>
      </w:r>
      <w:r w:rsidRPr="00AD47BD">
        <w:rPr>
          <w:rFonts w:ascii="Arial" w:hAnsi="Arial" w:cs="Arial"/>
          <w:sz w:val="20"/>
          <w:szCs w:val="20"/>
        </w:rPr>
        <w:t xml:space="preserve"> and renovation of several levels of the AB Building, were also implemented in the course of 2014 during the construction and/or renovation phases.  Improvements included: </w:t>
      </w:r>
      <w:r>
        <w:rPr>
          <w:rFonts w:ascii="Arial" w:hAnsi="Arial" w:cs="Arial"/>
          <w:sz w:val="20"/>
          <w:szCs w:val="20"/>
        </w:rPr>
        <w:t xml:space="preserve"> </w:t>
      </w:r>
      <w:r w:rsidRPr="00AD47BD">
        <w:rPr>
          <w:rFonts w:ascii="Arial" w:hAnsi="Arial" w:cs="Arial"/>
          <w:sz w:val="20"/>
          <w:szCs w:val="20"/>
        </w:rPr>
        <w:t>(</w:t>
      </w:r>
      <w:proofErr w:type="spellStart"/>
      <w:r w:rsidRPr="00AD47BD">
        <w:rPr>
          <w:rFonts w:ascii="Arial" w:hAnsi="Arial" w:cs="Arial"/>
          <w:sz w:val="20"/>
          <w:szCs w:val="20"/>
        </w:rPr>
        <w:t>i</w:t>
      </w:r>
      <w:proofErr w:type="spellEnd"/>
      <w:r w:rsidRPr="00AD47BD">
        <w:rPr>
          <w:rFonts w:ascii="Arial" w:hAnsi="Arial" w:cs="Arial"/>
          <w:sz w:val="20"/>
          <w:szCs w:val="20"/>
        </w:rPr>
        <w:t xml:space="preserve">) additional ramps for wheelchair access (access to interpreters booths in a new meeting room in the NB, access to the podium in the </w:t>
      </w:r>
      <w:r>
        <w:rPr>
          <w:rFonts w:ascii="Arial" w:hAnsi="Arial" w:cs="Arial"/>
          <w:sz w:val="20"/>
          <w:szCs w:val="20"/>
        </w:rPr>
        <w:t>new WIPO Conference Hall</w:t>
      </w:r>
      <w:r w:rsidRPr="00AD47BD">
        <w:rPr>
          <w:rFonts w:ascii="Arial" w:hAnsi="Arial" w:cs="Arial"/>
          <w:sz w:val="20"/>
          <w:szCs w:val="20"/>
        </w:rPr>
        <w:t xml:space="preserve">, access to interpreters booths in two new meeting rooms on the renovated floor of the AB Building); and (ii) the lowering of badge readers to be at the level of wheelchair access in the AB, PCT and NB Buildings and the </w:t>
      </w:r>
      <w:r>
        <w:rPr>
          <w:rFonts w:ascii="Arial" w:hAnsi="Arial" w:cs="Arial"/>
          <w:sz w:val="20"/>
          <w:szCs w:val="20"/>
        </w:rPr>
        <w:t>new WIPO Conference Hall</w:t>
      </w:r>
      <w:r w:rsidRPr="00AD47BD">
        <w:rPr>
          <w:rFonts w:ascii="Arial" w:hAnsi="Arial" w:cs="Arial"/>
          <w:sz w:val="20"/>
          <w:szCs w:val="20"/>
        </w:rPr>
        <w:t>, some of which were implemented at no major cost and/or where the features could be integrated in other infrastructure or installations improvement at minimal extra cost</w:t>
      </w:r>
      <w:r w:rsidRPr="00AD47BD">
        <w:rPr>
          <w:rFonts w:ascii="Arial" w:hAnsi="Arial" w:cs="Arial"/>
          <w:color w:val="FF0000"/>
          <w:sz w:val="20"/>
          <w:szCs w:val="20"/>
        </w:rPr>
        <w:t>.</w:t>
      </w:r>
      <w:r w:rsidRPr="00AD47BD">
        <w:rPr>
          <w:rFonts w:ascii="Arial" w:hAnsi="Arial" w:cs="Arial"/>
          <w:sz w:val="20"/>
          <w:szCs w:val="20"/>
        </w:rPr>
        <w:t> </w:t>
      </w:r>
    </w:p>
    <w:p w:rsidR="00E43AF7" w:rsidRPr="00AD47BD" w:rsidRDefault="00E43AF7" w:rsidP="008D1891">
      <w:pPr>
        <w:tabs>
          <w:tab w:val="left" w:pos="709"/>
        </w:tabs>
        <w:jc w:val="both"/>
        <w:rPr>
          <w:rFonts w:cs="Arial"/>
          <w:szCs w:val="20"/>
        </w:rPr>
      </w:pPr>
    </w:p>
    <w:p w:rsidR="00E43AF7" w:rsidRPr="00AD47BD" w:rsidRDefault="00E43AF7" w:rsidP="00E43AF7">
      <w:pPr>
        <w:pStyle w:val="NoSpacing"/>
        <w:numPr>
          <w:ilvl w:val="0"/>
          <w:numId w:val="53"/>
        </w:numPr>
        <w:tabs>
          <w:tab w:val="left" w:pos="709"/>
        </w:tabs>
        <w:ind w:left="0" w:firstLine="0"/>
        <w:jc w:val="both"/>
        <w:rPr>
          <w:rFonts w:ascii="Arial" w:hAnsi="Arial" w:cs="Arial"/>
          <w:sz w:val="20"/>
          <w:szCs w:val="20"/>
        </w:rPr>
      </w:pPr>
      <w:r w:rsidRPr="00AD47BD">
        <w:rPr>
          <w:rFonts w:ascii="Arial" w:hAnsi="Arial" w:cs="Arial"/>
          <w:sz w:val="20"/>
          <w:szCs w:val="20"/>
        </w:rPr>
        <w:t xml:space="preserve">Under the framework of the WIPO Environmental Responsibility, a number of activities were undertaken in 2014 aimed at raising environmental awareness amongst staff and/or taking concrete and practical actions.  These actions related to:  premises-related issues (e.g. upgrading of technical installations to more ecological solutions, upgrading of electrical installations, reducing electricity consumption under the framework of an agreement with the local electricity provider, renewal for the NB of the electricity tariff with the highest percentage of contribution to renewable electricity production in the Canton of Geneva), use of alternative means of commuting to and from work (mobility days or months on public transport and free rental of electrical bikes and bike repairs).  In addition, WIPO participated in a number of initiatives within the UN-Interagency context, mainly through the United Nations Environment </w:t>
      </w:r>
      <w:proofErr w:type="spellStart"/>
      <w:r w:rsidRPr="00AD47BD">
        <w:rPr>
          <w:rFonts w:ascii="Arial" w:hAnsi="Arial" w:cs="Arial"/>
          <w:sz w:val="20"/>
          <w:szCs w:val="20"/>
        </w:rPr>
        <w:t>Programme</w:t>
      </w:r>
      <w:proofErr w:type="spellEnd"/>
      <w:r w:rsidRPr="00AD47BD">
        <w:rPr>
          <w:rFonts w:ascii="Arial" w:hAnsi="Arial" w:cs="Arial"/>
          <w:sz w:val="20"/>
          <w:szCs w:val="20"/>
        </w:rPr>
        <w:t xml:space="preserve"> (UNEP) and the Sustainable UN (“SUN”), e.g. participation in the annual collection of data for the Greenhouse Gas (GHG) Calculator, as well as participation in various meetings and forums.</w:t>
      </w:r>
    </w:p>
    <w:p w:rsidR="00E43AF7" w:rsidRPr="009D2B82" w:rsidRDefault="00E43AF7" w:rsidP="008D1891">
      <w:pPr>
        <w:rPr>
          <w:rFonts w:cs="Arial"/>
          <w:bCs/>
          <w:szCs w:val="20"/>
        </w:rPr>
      </w:pPr>
    </w:p>
    <w:p w:rsidR="00E43AF7" w:rsidRPr="009D2B82" w:rsidRDefault="00E43AF7" w:rsidP="008D1891">
      <w:pPr>
        <w:rPr>
          <w:rFonts w:eastAsia="MS Mincho" w:cs="Arial"/>
          <w:szCs w:val="20"/>
          <w:lang w:eastAsia="ja-JP" w:bidi="th-TH"/>
        </w:rPr>
      </w:pPr>
    </w:p>
    <w:p w:rsidR="00E43AF7" w:rsidRDefault="00E43AF7" w:rsidP="008D1891">
      <w:r>
        <w:t>P</w:t>
      </w:r>
      <w:r w:rsidRPr="005E6AFC">
        <w:t>ERFORMANCE DATA</w:t>
      </w:r>
    </w:p>
    <w:p w:rsidR="00E43AF7" w:rsidRPr="00A8525E" w:rsidRDefault="00E43AF7" w:rsidP="00A8525E">
      <w:pPr>
        <w:rPr>
          <w:b/>
          <w:sz w:val="16"/>
          <w:szCs w:val="16"/>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2408"/>
        <w:gridCol w:w="281"/>
        <w:gridCol w:w="1420"/>
        <w:gridCol w:w="281"/>
        <w:gridCol w:w="1847"/>
        <w:gridCol w:w="992"/>
      </w:tblGrid>
      <w:tr w:rsidR="00E43AF7" w:rsidTr="008D1891">
        <w:trPr>
          <w:cantSplit/>
        </w:trPr>
        <w:tc>
          <w:tcPr>
            <w:tcW w:w="5000" w:type="pct"/>
            <w:gridSpan w:val="7"/>
            <w:tcBorders>
              <w:top w:val="single" w:sz="4" w:space="0" w:color="auto"/>
              <w:bottom w:val="single" w:sz="4" w:space="0" w:color="auto"/>
            </w:tcBorders>
            <w:shd w:val="clear" w:color="auto" w:fill="CCFFFF"/>
            <w:vAlign w:val="center"/>
          </w:tcPr>
          <w:p w:rsidR="00E43AF7" w:rsidRDefault="00E43AF7" w:rsidP="008D1891">
            <w:pPr>
              <w:keepNext/>
              <w:keepLines/>
              <w:tabs>
                <w:tab w:val="left" w:pos="1452"/>
              </w:tabs>
              <w:spacing w:before="120" w:after="120"/>
              <w:ind w:left="1452" w:hanging="1452"/>
              <w:rPr>
                <w:rFonts w:cs="Arial"/>
                <w:b/>
                <w:bCs/>
                <w:sz w:val="16"/>
                <w:szCs w:val="16"/>
              </w:rPr>
            </w:pPr>
            <w:r w:rsidRPr="00234BEF">
              <w:rPr>
                <w:rFonts w:cs="Arial"/>
                <w:b/>
                <w:bCs/>
                <w:sz w:val="16"/>
                <w:szCs w:val="16"/>
              </w:rPr>
              <w:t>Expected Result</w:t>
            </w:r>
            <w:r>
              <w:rPr>
                <w:rFonts w:cs="Arial"/>
                <w:b/>
                <w:bCs/>
                <w:sz w:val="16"/>
                <w:szCs w:val="16"/>
              </w:rPr>
              <w:t>:</w:t>
            </w:r>
            <w:r>
              <w:rPr>
                <w:rFonts w:cs="Arial"/>
                <w:b/>
                <w:bCs/>
                <w:sz w:val="16"/>
                <w:szCs w:val="16"/>
              </w:rPr>
              <w:tab/>
            </w:r>
            <w:r w:rsidRPr="00F62987">
              <w:rPr>
                <w:rFonts w:cs="Arial"/>
                <w:sz w:val="16"/>
                <w:szCs w:val="16"/>
              </w:rPr>
              <w:t>VIII.5 WIPO effectively interacts and partners with UN and other IGO processes and negotiations</w:t>
            </w:r>
          </w:p>
        </w:tc>
      </w:tr>
      <w:tr w:rsidR="00E43AF7" w:rsidRPr="006550F0" w:rsidTr="008D1891">
        <w:trPr>
          <w:cantSplit/>
        </w:trPr>
        <w:tc>
          <w:tcPr>
            <w:tcW w:w="1137" w:type="pct"/>
            <w:tcBorders>
              <w:top w:val="single" w:sz="4" w:space="0" w:color="auto"/>
            </w:tcBorders>
            <w:shd w:val="clear" w:color="auto" w:fill="auto"/>
            <w:vAlign w:val="center"/>
          </w:tcPr>
          <w:p w:rsidR="00E43AF7" w:rsidRPr="006550F0" w:rsidRDefault="00E43AF7" w:rsidP="008D1891">
            <w:pPr>
              <w:rPr>
                <w:rFonts w:cs="Arial"/>
                <w:sz w:val="16"/>
                <w:szCs w:val="16"/>
              </w:rPr>
            </w:pPr>
            <w:r w:rsidRPr="006550F0">
              <w:rPr>
                <w:rFonts w:cs="Arial"/>
                <w:b/>
                <w:bCs/>
                <w:sz w:val="16"/>
                <w:szCs w:val="16"/>
              </w:rPr>
              <w:t>Performance Indicators</w:t>
            </w:r>
          </w:p>
        </w:tc>
        <w:tc>
          <w:tcPr>
            <w:tcW w:w="1437" w:type="pct"/>
            <w:gridSpan w:val="2"/>
            <w:tcBorders>
              <w:top w:val="single" w:sz="4" w:space="0" w:color="auto"/>
            </w:tcBorders>
            <w:shd w:val="clear" w:color="auto" w:fill="auto"/>
            <w:vAlign w:val="center"/>
          </w:tcPr>
          <w:p w:rsidR="00E43AF7" w:rsidRPr="006550F0" w:rsidRDefault="00E43AF7" w:rsidP="008D1891">
            <w:pPr>
              <w:rPr>
                <w:rFonts w:cs="Arial"/>
                <w:b/>
                <w:bCs/>
                <w:sz w:val="16"/>
                <w:szCs w:val="16"/>
              </w:rPr>
            </w:pPr>
            <w:r w:rsidRPr="006550F0">
              <w:rPr>
                <w:rFonts w:cs="Arial"/>
                <w:b/>
                <w:bCs/>
                <w:sz w:val="16"/>
                <w:szCs w:val="16"/>
              </w:rPr>
              <w:t>Baselines</w:t>
            </w:r>
          </w:p>
        </w:tc>
        <w:tc>
          <w:tcPr>
            <w:tcW w:w="909" w:type="pct"/>
            <w:gridSpan w:val="2"/>
            <w:tcBorders>
              <w:top w:val="single" w:sz="4" w:space="0" w:color="auto"/>
            </w:tcBorders>
            <w:shd w:val="clear" w:color="auto" w:fill="auto"/>
            <w:tcMar>
              <w:top w:w="110" w:type="dxa"/>
            </w:tcMar>
            <w:vAlign w:val="center"/>
          </w:tcPr>
          <w:p w:rsidR="00E43AF7" w:rsidRPr="006550F0" w:rsidRDefault="00E43AF7" w:rsidP="008D1891">
            <w:pPr>
              <w:rPr>
                <w:rFonts w:cs="Arial"/>
                <w:b/>
                <w:sz w:val="16"/>
                <w:szCs w:val="16"/>
              </w:rPr>
            </w:pPr>
            <w:r w:rsidRPr="006550F0">
              <w:rPr>
                <w:rFonts w:cs="Arial"/>
                <w:b/>
                <w:sz w:val="16"/>
                <w:szCs w:val="16"/>
              </w:rPr>
              <w:t>Target</w:t>
            </w:r>
            <w:r>
              <w:rPr>
                <w:rFonts w:cs="Arial"/>
                <w:b/>
                <w:sz w:val="16"/>
                <w:szCs w:val="16"/>
              </w:rPr>
              <w:t>s</w:t>
            </w:r>
          </w:p>
        </w:tc>
        <w:tc>
          <w:tcPr>
            <w:tcW w:w="987" w:type="pct"/>
            <w:tcBorders>
              <w:top w:val="single" w:sz="4" w:space="0" w:color="auto"/>
            </w:tcBorders>
            <w:shd w:val="clear" w:color="auto" w:fill="FFFFFF"/>
            <w:tcMar>
              <w:top w:w="110" w:type="dxa"/>
            </w:tcMar>
            <w:vAlign w:val="center"/>
          </w:tcPr>
          <w:p w:rsidR="00E43AF7" w:rsidRPr="006550F0" w:rsidRDefault="00E43AF7" w:rsidP="008D1891">
            <w:pPr>
              <w:rPr>
                <w:rFonts w:cs="Arial"/>
                <w:sz w:val="16"/>
                <w:szCs w:val="16"/>
              </w:rPr>
            </w:pPr>
            <w:r w:rsidRPr="006550F0">
              <w:rPr>
                <w:rFonts w:cs="Arial"/>
                <w:b/>
                <w:bCs/>
                <w:sz w:val="16"/>
                <w:szCs w:val="16"/>
              </w:rPr>
              <w:t>Performance Data</w:t>
            </w:r>
          </w:p>
        </w:tc>
        <w:tc>
          <w:tcPr>
            <w:tcW w:w="530" w:type="pct"/>
            <w:tcBorders>
              <w:top w:val="single" w:sz="4" w:space="0" w:color="auto"/>
            </w:tcBorders>
            <w:shd w:val="clear" w:color="auto" w:fill="auto"/>
            <w:tcMar>
              <w:top w:w="110" w:type="dxa"/>
            </w:tcMar>
            <w:vAlign w:val="center"/>
          </w:tcPr>
          <w:p w:rsidR="00E43AF7" w:rsidRPr="006550F0" w:rsidRDefault="00E43AF7" w:rsidP="008D1891">
            <w:pPr>
              <w:keepNext/>
              <w:keepLines/>
              <w:jc w:val="center"/>
              <w:rPr>
                <w:rFonts w:cs="Arial"/>
                <w:b/>
                <w:bCs/>
                <w:sz w:val="16"/>
                <w:szCs w:val="16"/>
              </w:rPr>
            </w:pPr>
            <w:r w:rsidRPr="006550F0">
              <w:rPr>
                <w:rFonts w:cs="Arial"/>
                <w:b/>
                <w:bCs/>
                <w:sz w:val="16"/>
                <w:szCs w:val="16"/>
              </w:rPr>
              <w:t>TLS</w:t>
            </w:r>
          </w:p>
        </w:tc>
      </w:tr>
      <w:tr w:rsidR="00E43AF7" w:rsidTr="008D1891">
        <w:trPr>
          <w:cantSplit/>
        </w:trPr>
        <w:tc>
          <w:tcPr>
            <w:tcW w:w="1137" w:type="pct"/>
            <w:shd w:val="clear" w:color="auto" w:fill="auto"/>
          </w:tcPr>
          <w:p w:rsidR="00E43AF7" w:rsidRPr="00FE03FF" w:rsidRDefault="00E43AF7" w:rsidP="008D1891">
            <w:pPr>
              <w:rPr>
                <w:rFonts w:cs="Arial"/>
                <w:sz w:val="16"/>
                <w:szCs w:val="16"/>
              </w:rPr>
            </w:pPr>
            <w:r w:rsidRPr="004B7039">
              <w:rPr>
                <w:rFonts w:cs="Arial"/>
                <w:sz w:val="16"/>
                <w:szCs w:val="16"/>
              </w:rPr>
              <w:t>HLCM and Subsidiary Networks Closed Recommendations</w:t>
            </w:r>
          </w:p>
        </w:tc>
        <w:tc>
          <w:tcPr>
            <w:tcW w:w="1437" w:type="pct"/>
            <w:gridSpan w:val="2"/>
            <w:shd w:val="clear" w:color="auto" w:fill="auto"/>
          </w:tcPr>
          <w:p w:rsidR="00E43AF7" w:rsidRPr="00252B78" w:rsidRDefault="00E43AF7" w:rsidP="008D1891">
            <w:pPr>
              <w:rPr>
                <w:color w:val="002060"/>
                <w:sz w:val="16"/>
                <w:szCs w:val="16"/>
              </w:rPr>
            </w:pPr>
            <w:r w:rsidRPr="00252B78">
              <w:rPr>
                <w:i/>
                <w:color w:val="002060"/>
                <w:sz w:val="16"/>
                <w:szCs w:val="16"/>
              </w:rPr>
              <w:t>Updated Baseline end 2013:</w:t>
            </w:r>
            <w:r w:rsidRPr="00252B78">
              <w:rPr>
                <w:color w:val="002060"/>
                <w:sz w:val="16"/>
                <w:szCs w:val="16"/>
              </w:rPr>
              <w:t xml:space="preserve"> </w:t>
            </w:r>
            <w:r>
              <w:rPr>
                <w:color w:val="002060"/>
                <w:sz w:val="16"/>
                <w:szCs w:val="16"/>
              </w:rPr>
              <w:t xml:space="preserve"> 13 of the 36 outstanding </w:t>
            </w:r>
            <w:r w:rsidRPr="00A97199">
              <w:rPr>
                <w:color w:val="002060"/>
                <w:sz w:val="16"/>
                <w:szCs w:val="16"/>
              </w:rPr>
              <w:t>Joint Inspection Unit</w:t>
            </w:r>
            <w:r>
              <w:rPr>
                <w:color w:val="002060"/>
                <w:sz w:val="16"/>
                <w:szCs w:val="16"/>
              </w:rPr>
              <w:t xml:space="preserve"> (JIU)</w:t>
            </w:r>
            <w:r w:rsidRPr="00A97199">
              <w:rPr>
                <w:color w:val="002060"/>
                <w:sz w:val="16"/>
                <w:szCs w:val="16"/>
              </w:rPr>
              <w:t>/</w:t>
            </w:r>
            <w:r>
              <w:rPr>
                <w:color w:val="002060"/>
                <w:sz w:val="16"/>
                <w:szCs w:val="16"/>
              </w:rPr>
              <w:t xml:space="preserve"> </w:t>
            </w:r>
            <w:r w:rsidRPr="00A97199">
              <w:rPr>
                <w:color w:val="002060"/>
                <w:sz w:val="16"/>
                <w:szCs w:val="16"/>
              </w:rPr>
              <w:t xml:space="preserve">Legislative Body </w:t>
            </w:r>
            <w:r>
              <w:rPr>
                <w:color w:val="002060"/>
                <w:sz w:val="16"/>
                <w:szCs w:val="16"/>
              </w:rPr>
              <w:t>recommendations were closed in 2013 (36%)</w:t>
            </w:r>
          </w:p>
          <w:p w:rsidR="00E43AF7" w:rsidRPr="008225D9" w:rsidRDefault="00E43AF7" w:rsidP="008D1891">
            <w:pPr>
              <w:rPr>
                <w:rFonts w:cs="Arial"/>
                <w:i/>
                <w:sz w:val="8"/>
                <w:szCs w:val="8"/>
              </w:rPr>
            </w:pPr>
          </w:p>
          <w:p w:rsidR="00E43AF7" w:rsidRPr="00E813BA" w:rsidRDefault="00E43AF7" w:rsidP="008D1891">
            <w:pPr>
              <w:rPr>
                <w:rFonts w:cstheme="minorBidi"/>
                <w:szCs w:val="22"/>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  </w:t>
            </w:r>
            <w:r w:rsidRPr="005C1F88">
              <w:rPr>
                <w:rFonts w:cs="Arial"/>
                <w:sz w:val="16"/>
                <w:szCs w:val="16"/>
              </w:rPr>
              <w:t>Percentage of closed recommendations on January 1 2013</w:t>
            </w:r>
          </w:p>
        </w:tc>
        <w:tc>
          <w:tcPr>
            <w:tcW w:w="909" w:type="pct"/>
            <w:gridSpan w:val="2"/>
            <w:shd w:val="clear" w:color="auto" w:fill="auto"/>
            <w:tcMar>
              <w:top w:w="110" w:type="dxa"/>
            </w:tcMar>
          </w:tcPr>
          <w:p w:rsidR="00E43AF7" w:rsidRPr="006550F0" w:rsidRDefault="00E43AF7" w:rsidP="008D1891">
            <w:pPr>
              <w:rPr>
                <w:rFonts w:cs="Arial"/>
                <w:sz w:val="16"/>
                <w:szCs w:val="16"/>
                <w:lang w:bidi="th-TH"/>
              </w:rPr>
            </w:pPr>
            <w:r w:rsidRPr="00E813BA">
              <w:rPr>
                <w:rFonts w:cs="Arial"/>
                <w:sz w:val="16"/>
                <w:szCs w:val="16"/>
                <w:lang w:bidi="th-TH"/>
              </w:rPr>
              <w:t>Percentage of closed recommendations on December 31,</w:t>
            </w:r>
            <w:r>
              <w:rPr>
                <w:rFonts w:cs="Arial"/>
                <w:sz w:val="16"/>
                <w:szCs w:val="16"/>
                <w:lang w:bidi="th-TH"/>
              </w:rPr>
              <w:t> </w:t>
            </w:r>
            <w:r w:rsidRPr="00E813BA">
              <w:rPr>
                <w:rFonts w:cs="Arial"/>
                <w:sz w:val="16"/>
                <w:szCs w:val="16"/>
                <w:lang w:bidi="th-TH"/>
              </w:rPr>
              <w:t>201</w:t>
            </w:r>
            <w:r>
              <w:rPr>
                <w:rFonts w:cs="Arial"/>
                <w:sz w:val="16"/>
                <w:szCs w:val="16"/>
                <w:lang w:bidi="th-TH"/>
              </w:rPr>
              <w:t>5</w:t>
            </w:r>
            <w:r>
              <w:rPr>
                <w:rStyle w:val="FootnoteReference"/>
                <w:rFonts w:cs="Arial"/>
                <w:sz w:val="16"/>
                <w:szCs w:val="16"/>
                <w:lang w:bidi="th-TH"/>
              </w:rPr>
              <w:footnoteReference w:id="60"/>
            </w:r>
          </w:p>
        </w:tc>
        <w:tc>
          <w:tcPr>
            <w:tcW w:w="987" w:type="pct"/>
            <w:shd w:val="clear" w:color="auto" w:fill="FFFFFF"/>
            <w:tcMar>
              <w:top w:w="110" w:type="dxa"/>
            </w:tcMar>
          </w:tcPr>
          <w:p w:rsidR="00E43AF7" w:rsidRPr="006550F0" w:rsidRDefault="00E43AF7" w:rsidP="008D1891">
            <w:pPr>
              <w:rPr>
                <w:rFonts w:cs="Arial"/>
                <w:sz w:val="16"/>
                <w:szCs w:val="16"/>
                <w:lang w:bidi="th-TH"/>
              </w:rPr>
            </w:pPr>
            <w:r w:rsidRPr="0042593C">
              <w:rPr>
                <w:sz w:val="16"/>
                <w:szCs w:val="16"/>
              </w:rPr>
              <w:t>12 of the 24 outstanding Joint Inspection Unit (JIU)/ Legislative Body recommendations were closed in 2014 (50%)</w:t>
            </w:r>
          </w:p>
        </w:tc>
        <w:tc>
          <w:tcPr>
            <w:tcW w:w="530" w:type="pct"/>
            <w:shd w:val="clear" w:color="auto" w:fill="auto"/>
            <w:tcMar>
              <w:top w:w="110" w:type="dxa"/>
            </w:tcMar>
          </w:tcPr>
          <w:p w:rsidR="00E43AF7" w:rsidRPr="00D4506D" w:rsidRDefault="00E43AF7" w:rsidP="008D1891">
            <w:pPr>
              <w:keepNext/>
              <w:keepLines/>
              <w:jc w:val="center"/>
              <w:rPr>
                <w:rFonts w:cs="Arial"/>
                <w:b/>
                <w:bCs/>
                <w:color w:val="808080"/>
                <w:sz w:val="16"/>
                <w:szCs w:val="16"/>
              </w:rPr>
            </w:pPr>
            <w:r w:rsidRPr="00D4506D">
              <w:rPr>
                <w:rFonts w:cs="Arial"/>
                <w:b/>
                <w:bCs/>
                <w:color w:val="808080" w:themeColor="background1" w:themeShade="80"/>
                <w:sz w:val="12"/>
                <w:szCs w:val="16"/>
              </w:rPr>
              <w:t>Not assessable</w:t>
            </w:r>
          </w:p>
        </w:tc>
      </w:tr>
      <w:tr w:rsidR="00E43AF7" w:rsidTr="008D1891">
        <w:trPr>
          <w:cantSplit/>
        </w:trPr>
        <w:tc>
          <w:tcPr>
            <w:tcW w:w="1137" w:type="pct"/>
            <w:shd w:val="clear" w:color="auto" w:fill="auto"/>
          </w:tcPr>
          <w:p w:rsidR="00E43AF7" w:rsidRPr="00FE03FF" w:rsidRDefault="00E43AF7" w:rsidP="008D1891">
            <w:pPr>
              <w:rPr>
                <w:rFonts w:cs="Arial"/>
                <w:sz w:val="16"/>
                <w:szCs w:val="16"/>
              </w:rPr>
            </w:pPr>
            <w:r w:rsidRPr="004B7039">
              <w:rPr>
                <w:rFonts w:cs="Arial"/>
                <w:sz w:val="16"/>
                <w:szCs w:val="16"/>
              </w:rPr>
              <w:t>% of locally sourced good</w:t>
            </w:r>
            <w:r>
              <w:rPr>
                <w:rFonts w:cs="Arial"/>
                <w:sz w:val="16"/>
                <w:szCs w:val="16"/>
              </w:rPr>
              <w:t>s</w:t>
            </w:r>
            <w:r w:rsidRPr="004B7039">
              <w:rPr>
                <w:rFonts w:cs="Arial"/>
                <w:sz w:val="16"/>
                <w:szCs w:val="16"/>
              </w:rPr>
              <w:t xml:space="preserve"> and services compared to total amount procured for development activity</w:t>
            </w:r>
          </w:p>
        </w:tc>
        <w:tc>
          <w:tcPr>
            <w:tcW w:w="1437" w:type="pct"/>
            <w:gridSpan w:val="2"/>
            <w:shd w:val="clear" w:color="auto" w:fill="auto"/>
          </w:tcPr>
          <w:p w:rsidR="00E43AF7" w:rsidRDefault="00E43AF7" w:rsidP="008D1891">
            <w:pPr>
              <w:rPr>
                <w:color w:val="002060"/>
                <w:sz w:val="16"/>
                <w:szCs w:val="16"/>
              </w:rPr>
            </w:pPr>
            <w:r>
              <w:rPr>
                <w:i/>
                <w:color w:val="002060"/>
                <w:sz w:val="16"/>
                <w:szCs w:val="16"/>
              </w:rPr>
              <w:t>Updated Baseline end 20</w:t>
            </w:r>
            <w:r w:rsidRPr="006550F0">
              <w:rPr>
                <w:i/>
                <w:color w:val="002060"/>
                <w:sz w:val="16"/>
                <w:szCs w:val="16"/>
              </w:rPr>
              <w:t>1</w:t>
            </w:r>
            <w:r>
              <w:rPr>
                <w:i/>
                <w:color w:val="002060"/>
                <w:sz w:val="16"/>
                <w:szCs w:val="16"/>
              </w:rPr>
              <w:t>3</w:t>
            </w:r>
            <w:r w:rsidRPr="006550F0">
              <w:rPr>
                <w:i/>
                <w:color w:val="002060"/>
                <w:sz w:val="16"/>
                <w:szCs w:val="16"/>
              </w:rPr>
              <w:t>:</w:t>
            </w:r>
            <w:r>
              <w:rPr>
                <w:i/>
                <w:color w:val="002060"/>
                <w:sz w:val="16"/>
                <w:szCs w:val="16"/>
              </w:rPr>
              <w:t xml:space="preserve">  </w:t>
            </w:r>
            <w:r w:rsidRPr="005C1F88">
              <w:rPr>
                <w:color w:val="002060"/>
                <w:sz w:val="16"/>
                <w:szCs w:val="16"/>
              </w:rPr>
              <w:t>48%</w:t>
            </w:r>
            <w:r w:rsidRPr="006550F0">
              <w:rPr>
                <w:color w:val="002060"/>
                <w:sz w:val="16"/>
                <w:szCs w:val="16"/>
              </w:rPr>
              <w:t xml:space="preserve"> </w:t>
            </w:r>
          </w:p>
          <w:p w:rsidR="00E43AF7" w:rsidRPr="00E813BA" w:rsidRDefault="00E43AF7" w:rsidP="008D1891">
            <w:pPr>
              <w:rPr>
                <w:rFonts w:cstheme="minorBidi"/>
                <w:color w:val="002060"/>
                <w:sz w:val="16"/>
                <w:szCs w:val="16"/>
              </w:rPr>
            </w:pPr>
          </w:p>
          <w:p w:rsidR="00E43AF7" w:rsidRPr="00E813BA" w:rsidRDefault="00E43AF7" w:rsidP="008D1891">
            <w:pPr>
              <w:rPr>
                <w:rFonts w:cstheme="minorBidi"/>
                <w:szCs w:val="22"/>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  </w:t>
            </w:r>
            <w:r w:rsidRPr="005C1F88">
              <w:rPr>
                <w:rFonts w:cs="Arial"/>
                <w:sz w:val="16"/>
                <w:szCs w:val="16"/>
              </w:rPr>
              <w:t>2013 result</w:t>
            </w:r>
          </w:p>
        </w:tc>
        <w:tc>
          <w:tcPr>
            <w:tcW w:w="909" w:type="pct"/>
            <w:gridSpan w:val="2"/>
            <w:shd w:val="clear" w:color="auto" w:fill="auto"/>
            <w:tcMar>
              <w:top w:w="110" w:type="dxa"/>
            </w:tcMar>
          </w:tcPr>
          <w:p w:rsidR="00E43AF7" w:rsidRPr="006550F0" w:rsidRDefault="00E43AF7" w:rsidP="008D1891">
            <w:pPr>
              <w:rPr>
                <w:rFonts w:ascii="ArialMT" w:hAnsi="ArialMT" w:cs="ArialMT"/>
                <w:sz w:val="16"/>
                <w:szCs w:val="16"/>
              </w:rPr>
            </w:pPr>
            <w:r w:rsidRPr="004A242B">
              <w:rPr>
                <w:rFonts w:cs="Arial"/>
                <w:sz w:val="16"/>
                <w:szCs w:val="16"/>
                <w:lang w:bidi="th-TH"/>
              </w:rPr>
              <w:t>2013 + 5%</w:t>
            </w:r>
          </w:p>
        </w:tc>
        <w:tc>
          <w:tcPr>
            <w:tcW w:w="987" w:type="pct"/>
            <w:shd w:val="clear" w:color="auto" w:fill="FFFFFF"/>
            <w:tcMar>
              <w:top w:w="110" w:type="dxa"/>
            </w:tcMar>
          </w:tcPr>
          <w:p w:rsidR="00E43AF7" w:rsidRPr="006550F0" w:rsidRDefault="00E43AF7" w:rsidP="008D1891">
            <w:pPr>
              <w:rPr>
                <w:rFonts w:cs="Arial"/>
                <w:sz w:val="16"/>
                <w:szCs w:val="16"/>
                <w:lang w:bidi="th-TH"/>
              </w:rPr>
            </w:pPr>
            <w:r w:rsidRPr="00E813BA">
              <w:rPr>
                <w:rFonts w:cs="Arial"/>
                <w:sz w:val="16"/>
                <w:szCs w:val="16"/>
                <w:lang w:bidi="th-TH"/>
              </w:rPr>
              <w:t>45%</w:t>
            </w:r>
          </w:p>
        </w:tc>
        <w:tc>
          <w:tcPr>
            <w:tcW w:w="530" w:type="pct"/>
            <w:shd w:val="clear" w:color="auto" w:fill="auto"/>
            <w:tcMar>
              <w:top w:w="110" w:type="dxa"/>
            </w:tcMar>
          </w:tcPr>
          <w:p w:rsidR="00E43AF7" w:rsidRPr="00AD47BD" w:rsidRDefault="00E43AF7" w:rsidP="008D1891">
            <w:pPr>
              <w:keepNext/>
              <w:keepLines/>
              <w:spacing w:after="120"/>
              <w:jc w:val="center"/>
              <w:rPr>
                <w:rFonts w:cs="Arial"/>
                <w:b/>
                <w:bCs/>
                <w:color w:val="FF0000"/>
                <w:sz w:val="16"/>
                <w:szCs w:val="16"/>
              </w:rPr>
            </w:pPr>
            <w:r w:rsidRPr="00AD47BD">
              <w:rPr>
                <w:rFonts w:cs="Arial"/>
                <w:b/>
                <w:bCs/>
                <w:color w:val="FF0000"/>
                <w:sz w:val="16"/>
                <w:szCs w:val="16"/>
              </w:rPr>
              <w:t xml:space="preserve">Not </w:t>
            </w:r>
            <w:r w:rsidRPr="00AD47BD">
              <w:rPr>
                <w:rFonts w:cs="Arial"/>
                <w:b/>
                <w:bCs/>
                <w:color w:val="FF0000"/>
                <w:sz w:val="16"/>
                <w:szCs w:val="16"/>
              </w:rPr>
              <w:br/>
              <w:t>on track</w:t>
            </w:r>
          </w:p>
        </w:tc>
      </w:tr>
      <w:tr w:rsidR="00E43AF7" w:rsidRPr="0017565C" w:rsidTr="008D1891">
        <w:trPr>
          <w:cantSplit/>
        </w:trPr>
        <w:tc>
          <w:tcPr>
            <w:tcW w:w="1137" w:type="pct"/>
            <w:shd w:val="clear" w:color="auto" w:fill="auto"/>
          </w:tcPr>
          <w:p w:rsidR="00E43AF7" w:rsidRPr="00FE03FF" w:rsidRDefault="00E43AF7" w:rsidP="008D1891">
            <w:pPr>
              <w:rPr>
                <w:rFonts w:cs="Arial"/>
                <w:sz w:val="16"/>
                <w:szCs w:val="16"/>
              </w:rPr>
            </w:pPr>
            <w:r w:rsidRPr="004B7039">
              <w:rPr>
                <w:rFonts w:cs="Arial"/>
                <w:sz w:val="16"/>
                <w:szCs w:val="16"/>
              </w:rPr>
              <w:t>% of spend subject to UN leverage (either common tender or piggy backing)</w:t>
            </w:r>
          </w:p>
        </w:tc>
        <w:tc>
          <w:tcPr>
            <w:tcW w:w="1437" w:type="pct"/>
            <w:gridSpan w:val="2"/>
            <w:shd w:val="clear" w:color="auto" w:fill="auto"/>
          </w:tcPr>
          <w:p w:rsidR="00E43AF7" w:rsidRPr="006550F0" w:rsidRDefault="00E43AF7" w:rsidP="008D1891">
            <w:pPr>
              <w:rPr>
                <w:color w:val="002060"/>
                <w:sz w:val="16"/>
                <w:szCs w:val="16"/>
              </w:rPr>
            </w:pPr>
            <w:r>
              <w:rPr>
                <w:i/>
                <w:color w:val="002060"/>
                <w:sz w:val="16"/>
                <w:szCs w:val="16"/>
              </w:rPr>
              <w:t>Updated Baseline end 20</w:t>
            </w:r>
            <w:r w:rsidRPr="006550F0">
              <w:rPr>
                <w:i/>
                <w:color w:val="002060"/>
                <w:sz w:val="16"/>
                <w:szCs w:val="16"/>
              </w:rPr>
              <w:t>1</w:t>
            </w:r>
            <w:r>
              <w:rPr>
                <w:i/>
                <w:color w:val="002060"/>
                <w:sz w:val="16"/>
                <w:szCs w:val="16"/>
              </w:rPr>
              <w:t>3</w:t>
            </w:r>
            <w:r w:rsidRPr="006550F0">
              <w:rPr>
                <w:i/>
                <w:color w:val="002060"/>
                <w:sz w:val="16"/>
                <w:szCs w:val="16"/>
              </w:rPr>
              <w:t>:</w:t>
            </w:r>
            <w:r>
              <w:rPr>
                <w:i/>
                <w:color w:val="002060"/>
                <w:sz w:val="16"/>
                <w:szCs w:val="16"/>
              </w:rPr>
              <w:t xml:space="preserve">  </w:t>
            </w:r>
            <w:r w:rsidRPr="005C1F88">
              <w:rPr>
                <w:color w:val="002060"/>
                <w:sz w:val="16"/>
                <w:szCs w:val="16"/>
              </w:rPr>
              <w:t>4%</w:t>
            </w:r>
            <w:r w:rsidRPr="006550F0">
              <w:rPr>
                <w:color w:val="002060"/>
                <w:sz w:val="16"/>
                <w:szCs w:val="16"/>
              </w:rPr>
              <w:t xml:space="preserve"> </w:t>
            </w:r>
          </w:p>
          <w:p w:rsidR="00E43AF7" w:rsidRPr="008225D9" w:rsidRDefault="00E43AF7" w:rsidP="008D1891">
            <w:pPr>
              <w:rPr>
                <w:rFonts w:cs="Arial"/>
                <w:i/>
                <w:sz w:val="8"/>
                <w:szCs w:val="8"/>
              </w:rPr>
            </w:pPr>
          </w:p>
          <w:p w:rsidR="00E43AF7" w:rsidRPr="00E813BA" w:rsidRDefault="00E43AF7" w:rsidP="008D1891">
            <w:pPr>
              <w:rPr>
                <w:rFonts w:cstheme="minorBidi"/>
                <w:szCs w:val="22"/>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  </w:t>
            </w:r>
            <w:r w:rsidRPr="005C1F88">
              <w:rPr>
                <w:rFonts w:cs="Arial"/>
                <w:sz w:val="16"/>
                <w:szCs w:val="16"/>
              </w:rPr>
              <w:t>2013 result</w:t>
            </w:r>
          </w:p>
        </w:tc>
        <w:tc>
          <w:tcPr>
            <w:tcW w:w="909" w:type="pct"/>
            <w:gridSpan w:val="2"/>
            <w:shd w:val="clear" w:color="auto" w:fill="auto"/>
            <w:tcMar>
              <w:top w:w="110" w:type="dxa"/>
            </w:tcMar>
          </w:tcPr>
          <w:p w:rsidR="00E43AF7" w:rsidRPr="004A242B" w:rsidRDefault="00E43AF7" w:rsidP="008D1891">
            <w:pPr>
              <w:rPr>
                <w:color w:val="002060"/>
                <w:sz w:val="16"/>
                <w:szCs w:val="16"/>
              </w:rPr>
            </w:pPr>
            <w:r w:rsidRPr="004A242B">
              <w:rPr>
                <w:color w:val="002060"/>
                <w:sz w:val="16"/>
                <w:szCs w:val="16"/>
              </w:rPr>
              <w:t xml:space="preserve">Defined Target: 4% </w:t>
            </w:r>
          </w:p>
          <w:p w:rsidR="00E43AF7" w:rsidRPr="004A242B" w:rsidRDefault="00E43AF7" w:rsidP="008D1891">
            <w:pPr>
              <w:rPr>
                <w:rFonts w:cs="Arial"/>
                <w:sz w:val="8"/>
                <w:szCs w:val="8"/>
              </w:rPr>
            </w:pPr>
          </w:p>
          <w:p w:rsidR="00E43AF7" w:rsidRPr="00E813BA" w:rsidRDefault="00E43AF7" w:rsidP="008D1891">
            <w:pPr>
              <w:rPr>
                <w:rFonts w:cstheme="minorBidi"/>
                <w:szCs w:val="22"/>
              </w:rPr>
            </w:pPr>
            <w:r w:rsidRPr="004A242B">
              <w:rPr>
                <w:rFonts w:cs="Arial"/>
                <w:sz w:val="16"/>
                <w:szCs w:val="16"/>
              </w:rPr>
              <w:t xml:space="preserve">Original Target P&amp;B 2014/15: </w:t>
            </w:r>
            <w:proofErr w:type="spellStart"/>
            <w:r w:rsidRPr="004A242B">
              <w:rPr>
                <w:rFonts w:cs="Arial"/>
                <w:sz w:val="16"/>
                <w:szCs w:val="16"/>
              </w:rPr>
              <w:t>tbd</w:t>
            </w:r>
            <w:proofErr w:type="spellEnd"/>
          </w:p>
        </w:tc>
        <w:tc>
          <w:tcPr>
            <w:tcW w:w="987" w:type="pct"/>
            <w:shd w:val="clear" w:color="auto" w:fill="FFFFFF"/>
            <w:tcMar>
              <w:top w:w="110" w:type="dxa"/>
            </w:tcMar>
          </w:tcPr>
          <w:p w:rsidR="00E43AF7" w:rsidRPr="006550F0" w:rsidRDefault="00E43AF7" w:rsidP="008D1891">
            <w:pPr>
              <w:rPr>
                <w:rFonts w:cs="Arial"/>
                <w:sz w:val="16"/>
                <w:szCs w:val="16"/>
                <w:lang w:bidi="th-TH"/>
              </w:rPr>
            </w:pPr>
            <w:r w:rsidRPr="00E813BA">
              <w:rPr>
                <w:rFonts w:cs="Arial"/>
                <w:sz w:val="16"/>
                <w:szCs w:val="16"/>
                <w:lang w:bidi="th-TH"/>
              </w:rPr>
              <w:t>4.15%</w:t>
            </w:r>
          </w:p>
        </w:tc>
        <w:tc>
          <w:tcPr>
            <w:tcW w:w="530" w:type="pct"/>
            <w:shd w:val="clear" w:color="auto" w:fill="auto"/>
          </w:tcPr>
          <w:p w:rsidR="00E43AF7" w:rsidRPr="00AD47BD" w:rsidRDefault="00E43AF7" w:rsidP="008D1891">
            <w:pPr>
              <w:keepNext/>
              <w:keepLines/>
              <w:jc w:val="center"/>
              <w:rPr>
                <w:rFonts w:cs="Arial"/>
                <w:b/>
                <w:bCs/>
                <w:color w:val="22DE4F"/>
                <w:sz w:val="16"/>
                <w:szCs w:val="16"/>
              </w:rPr>
            </w:pPr>
            <w:r w:rsidRPr="00AB5747">
              <w:rPr>
                <w:b/>
                <w:bCs/>
                <w:color w:val="00B050"/>
                <w:sz w:val="16"/>
                <w:szCs w:val="16"/>
              </w:rPr>
              <w:t>On track</w:t>
            </w:r>
          </w:p>
        </w:tc>
      </w:tr>
      <w:tr w:rsidR="00E43AF7" w:rsidTr="008D1891">
        <w:trPr>
          <w:cantSplit/>
        </w:trPr>
        <w:tc>
          <w:tcPr>
            <w:tcW w:w="5000" w:type="pct"/>
            <w:gridSpan w:val="7"/>
            <w:tcBorders>
              <w:top w:val="single" w:sz="4" w:space="0" w:color="auto"/>
              <w:bottom w:val="single" w:sz="4" w:space="0" w:color="auto"/>
            </w:tcBorders>
            <w:shd w:val="clear" w:color="auto" w:fill="CCFFFF"/>
            <w:vAlign w:val="center"/>
          </w:tcPr>
          <w:p w:rsidR="00E43AF7" w:rsidRDefault="00E43AF7" w:rsidP="008D1891">
            <w:pPr>
              <w:keepNext/>
              <w:keepLines/>
              <w:tabs>
                <w:tab w:val="left" w:pos="1452"/>
              </w:tabs>
              <w:spacing w:before="120" w:after="120"/>
              <w:ind w:left="1452" w:hanging="1452"/>
              <w:rPr>
                <w:rFonts w:cs="Arial"/>
                <w:b/>
                <w:bCs/>
                <w:sz w:val="16"/>
                <w:szCs w:val="16"/>
              </w:rPr>
            </w:pPr>
            <w:r w:rsidRPr="00234BEF">
              <w:rPr>
                <w:rFonts w:cs="Arial"/>
                <w:b/>
                <w:bCs/>
                <w:sz w:val="16"/>
                <w:szCs w:val="16"/>
              </w:rPr>
              <w:t>Expected Result</w:t>
            </w:r>
            <w:r>
              <w:rPr>
                <w:rFonts w:cs="Arial"/>
                <w:b/>
                <w:bCs/>
                <w:sz w:val="16"/>
                <w:szCs w:val="16"/>
              </w:rPr>
              <w:t>:</w:t>
            </w:r>
            <w:r>
              <w:rPr>
                <w:rFonts w:cs="Arial"/>
                <w:b/>
                <w:bCs/>
                <w:sz w:val="16"/>
                <w:szCs w:val="16"/>
              </w:rPr>
              <w:tab/>
            </w:r>
            <w:r w:rsidRPr="00F62987">
              <w:rPr>
                <w:rFonts w:cs="Arial"/>
                <w:sz w:val="16"/>
                <w:szCs w:val="16"/>
              </w:rPr>
              <w:t>IX.1 Effective, efficient, quality and customer-oriented support services both to internal clients and to external stakeholders</w:t>
            </w:r>
          </w:p>
        </w:tc>
      </w:tr>
      <w:tr w:rsidR="00E43AF7" w:rsidRPr="0028218A" w:rsidTr="008D1891">
        <w:trPr>
          <w:cantSplit/>
        </w:trPr>
        <w:tc>
          <w:tcPr>
            <w:tcW w:w="1137" w:type="pct"/>
            <w:tcBorders>
              <w:top w:val="single" w:sz="4" w:space="0" w:color="auto"/>
            </w:tcBorders>
            <w:shd w:val="clear" w:color="auto" w:fill="auto"/>
            <w:vAlign w:val="center"/>
          </w:tcPr>
          <w:p w:rsidR="00E43AF7" w:rsidRPr="0028218A" w:rsidRDefault="00E43AF7" w:rsidP="008D1891">
            <w:pPr>
              <w:keepNext/>
              <w:keepLines/>
              <w:rPr>
                <w:rFonts w:cs="Arial"/>
                <w:sz w:val="16"/>
                <w:szCs w:val="16"/>
              </w:rPr>
            </w:pPr>
            <w:r w:rsidRPr="0028218A">
              <w:rPr>
                <w:rFonts w:cs="Arial"/>
                <w:b/>
                <w:bCs/>
                <w:sz w:val="16"/>
                <w:szCs w:val="16"/>
              </w:rPr>
              <w:t>Performance Indicators</w:t>
            </w:r>
          </w:p>
        </w:tc>
        <w:tc>
          <w:tcPr>
            <w:tcW w:w="1287" w:type="pct"/>
            <w:tcBorders>
              <w:top w:val="single" w:sz="4" w:space="0" w:color="auto"/>
            </w:tcBorders>
            <w:shd w:val="clear" w:color="auto" w:fill="auto"/>
            <w:vAlign w:val="center"/>
          </w:tcPr>
          <w:p w:rsidR="00E43AF7" w:rsidRPr="0028218A" w:rsidRDefault="00E43AF7" w:rsidP="008D1891">
            <w:pPr>
              <w:keepNext/>
              <w:keepLines/>
              <w:rPr>
                <w:rFonts w:cs="Arial"/>
                <w:b/>
                <w:bCs/>
                <w:sz w:val="16"/>
                <w:szCs w:val="16"/>
              </w:rPr>
            </w:pPr>
            <w:r w:rsidRPr="0028218A">
              <w:rPr>
                <w:rFonts w:cs="Arial"/>
                <w:b/>
                <w:bCs/>
                <w:sz w:val="16"/>
                <w:szCs w:val="16"/>
              </w:rPr>
              <w:t>Baselines</w:t>
            </w:r>
          </w:p>
        </w:tc>
        <w:tc>
          <w:tcPr>
            <w:tcW w:w="909" w:type="pct"/>
            <w:gridSpan w:val="2"/>
            <w:tcBorders>
              <w:top w:val="single" w:sz="4" w:space="0" w:color="auto"/>
            </w:tcBorders>
            <w:shd w:val="clear" w:color="auto" w:fill="auto"/>
            <w:tcMar>
              <w:top w:w="110" w:type="dxa"/>
            </w:tcMar>
            <w:vAlign w:val="center"/>
          </w:tcPr>
          <w:p w:rsidR="00E43AF7" w:rsidRPr="0028218A" w:rsidRDefault="00E43AF7" w:rsidP="008D1891">
            <w:pPr>
              <w:keepNext/>
              <w:keepLines/>
              <w:rPr>
                <w:rFonts w:cs="Arial"/>
                <w:b/>
                <w:sz w:val="16"/>
                <w:szCs w:val="16"/>
              </w:rPr>
            </w:pPr>
            <w:r w:rsidRPr="0028218A">
              <w:rPr>
                <w:rFonts w:cs="Arial"/>
                <w:b/>
                <w:sz w:val="16"/>
                <w:szCs w:val="16"/>
              </w:rPr>
              <w:t>Target</w:t>
            </w:r>
            <w:r>
              <w:rPr>
                <w:rFonts w:cs="Arial"/>
                <w:b/>
                <w:sz w:val="16"/>
                <w:szCs w:val="16"/>
              </w:rPr>
              <w:t>s</w:t>
            </w:r>
          </w:p>
        </w:tc>
        <w:tc>
          <w:tcPr>
            <w:tcW w:w="1137" w:type="pct"/>
            <w:gridSpan w:val="2"/>
            <w:tcBorders>
              <w:top w:val="single" w:sz="4" w:space="0" w:color="auto"/>
            </w:tcBorders>
            <w:shd w:val="clear" w:color="auto" w:fill="FFFFFF"/>
            <w:tcMar>
              <w:top w:w="110" w:type="dxa"/>
            </w:tcMar>
            <w:vAlign w:val="center"/>
          </w:tcPr>
          <w:p w:rsidR="00E43AF7" w:rsidRPr="0028218A" w:rsidRDefault="00E43AF7" w:rsidP="008D1891">
            <w:pPr>
              <w:keepNext/>
              <w:keepLines/>
              <w:rPr>
                <w:rFonts w:cs="Arial"/>
                <w:sz w:val="16"/>
                <w:szCs w:val="16"/>
              </w:rPr>
            </w:pPr>
            <w:r w:rsidRPr="0028218A">
              <w:rPr>
                <w:rFonts w:cs="Arial"/>
                <w:b/>
                <w:bCs/>
                <w:sz w:val="16"/>
                <w:szCs w:val="16"/>
              </w:rPr>
              <w:t>Performance Data</w:t>
            </w:r>
          </w:p>
        </w:tc>
        <w:tc>
          <w:tcPr>
            <w:tcW w:w="530" w:type="pct"/>
            <w:tcBorders>
              <w:top w:val="single" w:sz="4" w:space="0" w:color="auto"/>
            </w:tcBorders>
            <w:shd w:val="clear" w:color="auto" w:fill="auto"/>
            <w:tcMar>
              <w:top w:w="110" w:type="dxa"/>
            </w:tcMar>
            <w:vAlign w:val="center"/>
          </w:tcPr>
          <w:p w:rsidR="00E43AF7" w:rsidRPr="0028218A" w:rsidRDefault="00E43AF7" w:rsidP="008D1891">
            <w:pPr>
              <w:keepNext/>
              <w:keepLines/>
              <w:jc w:val="center"/>
              <w:rPr>
                <w:rFonts w:cs="Arial"/>
                <w:b/>
                <w:bCs/>
                <w:sz w:val="16"/>
                <w:szCs w:val="16"/>
              </w:rPr>
            </w:pPr>
            <w:r w:rsidRPr="0028218A">
              <w:rPr>
                <w:rFonts w:cs="Arial"/>
                <w:b/>
                <w:bCs/>
                <w:sz w:val="16"/>
                <w:szCs w:val="16"/>
              </w:rPr>
              <w:t>TLS</w:t>
            </w:r>
          </w:p>
        </w:tc>
      </w:tr>
      <w:tr w:rsidR="00E43AF7" w:rsidRPr="003C3247" w:rsidTr="008D1891">
        <w:trPr>
          <w:cantSplit/>
        </w:trPr>
        <w:tc>
          <w:tcPr>
            <w:tcW w:w="1137" w:type="pct"/>
            <w:shd w:val="clear" w:color="auto" w:fill="auto"/>
          </w:tcPr>
          <w:p w:rsidR="00E43AF7" w:rsidRPr="00FE03FF" w:rsidRDefault="00E43AF7" w:rsidP="008D1891">
            <w:pPr>
              <w:keepNext/>
              <w:keepLines/>
              <w:rPr>
                <w:rFonts w:cs="Arial"/>
                <w:sz w:val="16"/>
                <w:szCs w:val="16"/>
              </w:rPr>
            </w:pPr>
            <w:r w:rsidRPr="00F62987">
              <w:rPr>
                <w:rFonts w:cs="Arial"/>
                <w:sz w:val="16"/>
                <w:szCs w:val="16"/>
              </w:rPr>
              <w:t>Cost savings for goods and services procured by WIPO (derived from RFPs or direct negotiations)</w:t>
            </w:r>
          </w:p>
        </w:tc>
        <w:tc>
          <w:tcPr>
            <w:tcW w:w="1287" w:type="pct"/>
            <w:shd w:val="clear" w:color="auto" w:fill="auto"/>
          </w:tcPr>
          <w:p w:rsidR="00E43AF7" w:rsidRDefault="00E43AF7" w:rsidP="008D1891">
            <w:pPr>
              <w:keepNext/>
              <w:keepLines/>
              <w:rPr>
                <w:color w:val="002060"/>
                <w:sz w:val="16"/>
                <w:szCs w:val="16"/>
              </w:rPr>
            </w:pPr>
            <w:r>
              <w:rPr>
                <w:i/>
                <w:color w:val="002060"/>
                <w:sz w:val="16"/>
                <w:szCs w:val="16"/>
              </w:rPr>
              <w:t>Updated Baseline end 20</w:t>
            </w:r>
            <w:r w:rsidRPr="006550F0">
              <w:rPr>
                <w:i/>
                <w:color w:val="002060"/>
                <w:sz w:val="16"/>
                <w:szCs w:val="16"/>
              </w:rPr>
              <w:t>1</w:t>
            </w:r>
            <w:r>
              <w:rPr>
                <w:i/>
                <w:color w:val="002060"/>
                <w:sz w:val="16"/>
                <w:szCs w:val="16"/>
              </w:rPr>
              <w:t>3</w:t>
            </w:r>
            <w:r w:rsidRPr="006550F0">
              <w:rPr>
                <w:i/>
                <w:color w:val="002060"/>
                <w:sz w:val="16"/>
                <w:szCs w:val="16"/>
              </w:rPr>
              <w:t>:</w:t>
            </w:r>
            <w:r>
              <w:t xml:space="preserve"> </w:t>
            </w:r>
            <w:r w:rsidRPr="005C1F88">
              <w:rPr>
                <w:color w:val="002060"/>
                <w:sz w:val="16"/>
                <w:szCs w:val="16"/>
              </w:rPr>
              <w:t>531,000 Swiss francs</w:t>
            </w:r>
            <w:r w:rsidRPr="006550F0">
              <w:rPr>
                <w:color w:val="002060"/>
                <w:sz w:val="16"/>
                <w:szCs w:val="16"/>
              </w:rPr>
              <w:t xml:space="preserve"> </w:t>
            </w:r>
          </w:p>
          <w:p w:rsidR="00E43AF7" w:rsidRPr="004D5A82" w:rsidRDefault="00E43AF7" w:rsidP="008D1891">
            <w:pPr>
              <w:keepNext/>
              <w:keepLines/>
              <w:rPr>
                <w:rFonts w:cstheme="minorBidi"/>
                <w:color w:val="002060"/>
                <w:sz w:val="16"/>
                <w:szCs w:val="16"/>
              </w:rPr>
            </w:pPr>
          </w:p>
          <w:p w:rsidR="00E43AF7" w:rsidRPr="00E813BA" w:rsidRDefault="00E43AF7" w:rsidP="008D1891">
            <w:pPr>
              <w:keepNext/>
              <w:keepLines/>
              <w:rPr>
                <w:rFonts w:cstheme="minorBidi"/>
                <w:szCs w:val="22"/>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w:t>
            </w:r>
            <w:r>
              <w:t xml:space="preserve"> </w:t>
            </w:r>
            <w:r w:rsidRPr="005C1F88">
              <w:rPr>
                <w:rFonts w:cs="Arial"/>
                <w:sz w:val="16"/>
                <w:szCs w:val="16"/>
              </w:rPr>
              <w:t>2013 result</w:t>
            </w:r>
          </w:p>
        </w:tc>
        <w:tc>
          <w:tcPr>
            <w:tcW w:w="909" w:type="pct"/>
            <w:gridSpan w:val="2"/>
            <w:shd w:val="clear" w:color="auto" w:fill="auto"/>
            <w:tcMar>
              <w:top w:w="110" w:type="dxa"/>
            </w:tcMar>
          </w:tcPr>
          <w:p w:rsidR="00E43AF7" w:rsidRPr="006550F0" w:rsidRDefault="00E43AF7" w:rsidP="008D1891">
            <w:pPr>
              <w:keepNext/>
              <w:keepLines/>
              <w:rPr>
                <w:rFonts w:cs="Arial"/>
                <w:sz w:val="16"/>
                <w:szCs w:val="16"/>
              </w:rPr>
            </w:pPr>
            <w:r w:rsidRPr="004D5A82">
              <w:rPr>
                <w:rFonts w:cs="Arial"/>
                <w:sz w:val="16"/>
                <w:szCs w:val="16"/>
              </w:rPr>
              <w:t>2013 + 5%</w:t>
            </w:r>
          </w:p>
        </w:tc>
        <w:tc>
          <w:tcPr>
            <w:tcW w:w="1137" w:type="pct"/>
            <w:gridSpan w:val="2"/>
            <w:shd w:val="clear" w:color="auto" w:fill="FFFFFF"/>
            <w:tcMar>
              <w:top w:w="110" w:type="dxa"/>
            </w:tcMar>
          </w:tcPr>
          <w:p w:rsidR="00E43AF7" w:rsidRPr="006550F0" w:rsidRDefault="00E43AF7" w:rsidP="008D1891">
            <w:pPr>
              <w:keepNext/>
              <w:keepLines/>
              <w:rPr>
                <w:rFonts w:cs="Arial"/>
                <w:sz w:val="16"/>
                <w:szCs w:val="16"/>
                <w:lang w:bidi="th-TH"/>
              </w:rPr>
            </w:pPr>
            <w:r w:rsidRPr="004D5A82">
              <w:rPr>
                <w:rFonts w:cs="Arial"/>
                <w:sz w:val="16"/>
                <w:szCs w:val="16"/>
                <w:lang w:bidi="th-TH"/>
              </w:rPr>
              <w:t>2</w:t>
            </w:r>
            <w:r>
              <w:rPr>
                <w:rFonts w:cs="Arial"/>
                <w:sz w:val="16"/>
                <w:szCs w:val="16"/>
                <w:lang w:bidi="th-TH"/>
              </w:rPr>
              <w:t>,</w:t>
            </w:r>
            <w:r w:rsidRPr="004D5A82">
              <w:rPr>
                <w:rFonts w:cs="Arial"/>
                <w:sz w:val="16"/>
                <w:szCs w:val="16"/>
                <w:lang w:bidi="th-TH"/>
              </w:rPr>
              <w:t>663</w:t>
            </w:r>
            <w:r>
              <w:rPr>
                <w:rFonts w:cs="Arial"/>
                <w:sz w:val="16"/>
                <w:szCs w:val="16"/>
                <w:lang w:bidi="th-TH"/>
              </w:rPr>
              <w:t>,000 Swiss francs</w:t>
            </w:r>
            <w:r w:rsidRPr="004D5A82">
              <w:rPr>
                <w:rFonts w:cs="Arial"/>
                <w:sz w:val="16"/>
                <w:szCs w:val="16"/>
                <w:lang w:bidi="th-TH"/>
              </w:rPr>
              <w:t xml:space="preserve"> </w:t>
            </w:r>
          </w:p>
        </w:tc>
        <w:tc>
          <w:tcPr>
            <w:tcW w:w="530" w:type="pct"/>
            <w:shd w:val="clear" w:color="auto" w:fill="auto"/>
            <w:tcMar>
              <w:top w:w="110" w:type="dxa"/>
            </w:tcMar>
          </w:tcPr>
          <w:p w:rsidR="00E43AF7" w:rsidRPr="003C3247" w:rsidRDefault="00E43AF7" w:rsidP="008D1891">
            <w:pPr>
              <w:keepNext/>
              <w:keepLines/>
              <w:jc w:val="center"/>
              <w:rPr>
                <w:rFonts w:cs="Arial"/>
                <w:bCs/>
                <w:color w:val="808080" w:themeColor="background1" w:themeShade="80"/>
                <w:sz w:val="16"/>
                <w:szCs w:val="16"/>
              </w:rPr>
            </w:pPr>
            <w:r w:rsidRPr="00AB5747">
              <w:rPr>
                <w:b/>
                <w:bCs/>
                <w:color w:val="00B050"/>
                <w:sz w:val="16"/>
                <w:szCs w:val="16"/>
              </w:rPr>
              <w:t>On track</w:t>
            </w:r>
          </w:p>
        </w:tc>
      </w:tr>
      <w:tr w:rsidR="00E43AF7" w:rsidRPr="003C3247" w:rsidTr="008D1891">
        <w:trPr>
          <w:cantSplit/>
        </w:trPr>
        <w:tc>
          <w:tcPr>
            <w:tcW w:w="1137" w:type="pct"/>
            <w:shd w:val="clear" w:color="auto" w:fill="auto"/>
          </w:tcPr>
          <w:p w:rsidR="00E43AF7" w:rsidRPr="00F62987" w:rsidRDefault="00E43AF7" w:rsidP="008D1891">
            <w:pPr>
              <w:rPr>
                <w:rFonts w:cs="Arial"/>
                <w:sz w:val="16"/>
                <w:szCs w:val="16"/>
              </w:rPr>
            </w:pPr>
            <w:r w:rsidRPr="004D5A82">
              <w:rPr>
                <w:rFonts w:cs="Arial"/>
                <w:sz w:val="16"/>
                <w:szCs w:val="16"/>
              </w:rPr>
              <w:t>% of internal clients satisfied with procurement services</w:t>
            </w:r>
          </w:p>
        </w:tc>
        <w:tc>
          <w:tcPr>
            <w:tcW w:w="1287" w:type="pct"/>
            <w:shd w:val="clear" w:color="auto" w:fill="auto"/>
          </w:tcPr>
          <w:p w:rsidR="00E43AF7" w:rsidRDefault="00E43AF7" w:rsidP="008D1891">
            <w:pPr>
              <w:rPr>
                <w:color w:val="002060"/>
                <w:sz w:val="16"/>
                <w:szCs w:val="16"/>
              </w:rPr>
            </w:pPr>
            <w:r>
              <w:rPr>
                <w:i/>
                <w:color w:val="002060"/>
                <w:sz w:val="16"/>
                <w:szCs w:val="16"/>
              </w:rPr>
              <w:t>Updated Baseline end 20</w:t>
            </w:r>
            <w:r w:rsidRPr="006550F0">
              <w:rPr>
                <w:i/>
                <w:color w:val="002060"/>
                <w:sz w:val="16"/>
                <w:szCs w:val="16"/>
              </w:rPr>
              <w:t>1</w:t>
            </w:r>
            <w:r>
              <w:rPr>
                <w:i/>
                <w:color w:val="002060"/>
                <w:sz w:val="16"/>
                <w:szCs w:val="16"/>
              </w:rPr>
              <w:t>3</w:t>
            </w:r>
            <w:r w:rsidRPr="006550F0">
              <w:rPr>
                <w:i/>
                <w:color w:val="002060"/>
                <w:sz w:val="16"/>
                <w:szCs w:val="16"/>
              </w:rPr>
              <w:t>:</w:t>
            </w:r>
            <w:r>
              <w:rPr>
                <w:i/>
                <w:color w:val="002060"/>
                <w:sz w:val="16"/>
                <w:szCs w:val="16"/>
              </w:rPr>
              <w:t xml:space="preserve"> </w:t>
            </w:r>
            <w:r w:rsidRPr="005C1F88">
              <w:rPr>
                <w:color w:val="002060"/>
                <w:sz w:val="16"/>
                <w:szCs w:val="16"/>
              </w:rPr>
              <w:t>73%</w:t>
            </w:r>
            <w:r w:rsidRPr="006550F0">
              <w:rPr>
                <w:color w:val="002060"/>
                <w:sz w:val="16"/>
                <w:szCs w:val="16"/>
              </w:rPr>
              <w:t xml:space="preserve"> </w:t>
            </w:r>
          </w:p>
          <w:p w:rsidR="00E43AF7" w:rsidRPr="004D5A82" w:rsidRDefault="00E43AF7" w:rsidP="008D1891">
            <w:pPr>
              <w:rPr>
                <w:rFonts w:cstheme="minorBidi"/>
                <w:color w:val="002060"/>
                <w:sz w:val="16"/>
                <w:szCs w:val="16"/>
              </w:rPr>
            </w:pPr>
          </w:p>
          <w:p w:rsidR="00E43AF7" w:rsidRPr="00E813BA" w:rsidRDefault="00E43AF7" w:rsidP="008D1891">
            <w:pPr>
              <w:rPr>
                <w:szCs w:val="22"/>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  </w:t>
            </w:r>
            <w:r w:rsidRPr="005C1F88">
              <w:rPr>
                <w:rFonts w:cs="Arial"/>
                <w:sz w:val="16"/>
                <w:szCs w:val="16"/>
              </w:rPr>
              <w:t>2012 result</w:t>
            </w:r>
          </w:p>
        </w:tc>
        <w:tc>
          <w:tcPr>
            <w:tcW w:w="909" w:type="pct"/>
            <w:gridSpan w:val="2"/>
            <w:shd w:val="clear" w:color="auto" w:fill="auto"/>
            <w:tcMar>
              <w:top w:w="110" w:type="dxa"/>
            </w:tcMar>
          </w:tcPr>
          <w:p w:rsidR="00E43AF7" w:rsidRPr="006550F0" w:rsidRDefault="00E43AF7" w:rsidP="008D1891">
            <w:pPr>
              <w:rPr>
                <w:rFonts w:cs="Arial"/>
                <w:sz w:val="16"/>
                <w:szCs w:val="16"/>
              </w:rPr>
            </w:pPr>
            <w:r w:rsidRPr="004D5A82">
              <w:rPr>
                <w:rFonts w:cs="Arial"/>
                <w:sz w:val="16"/>
                <w:szCs w:val="16"/>
              </w:rPr>
              <w:t>2012 + 5%</w:t>
            </w:r>
          </w:p>
        </w:tc>
        <w:tc>
          <w:tcPr>
            <w:tcW w:w="1137" w:type="pct"/>
            <w:gridSpan w:val="2"/>
            <w:shd w:val="clear" w:color="auto" w:fill="FFFFFF"/>
            <w:tcMar>
              <w:top w:w="110" w:type="dxa"/>
            </w:tcMar>
          </w:tcPr>
          <w:p w:rsidR="00E43AF7" w:rsidRPr="006550F0" w:rsidRDefault="00E43AF7" w:rsidP="008D1891">
            <w:pPr>
              <w:rPr>
                <w:rFonts w:cs="Arial"/>
                <w:sz w:val="16"/>
                <w:szCs w:val="16"/>
                <w:lang w:bidi="th-TH"/>
              </w:rPr>
            </w:pPr>
            <w:r w:rsidRPr="004D5A82">
              <w:rPr>
                <w:rFonts w:cs="Arial"/>
                <w:sz w:val="16"/>
                <w:szCs w:val="16"/>
                <w:lang w:bidi="th-TH"/>
              </w:rPr>
              <w:t>89%</w:t>
            </w:r>
          </w:p>
        </w:tc>
        <w:tc>
          <w:tcPr>
            <w:tcW w:w="530" w:type="pct"/>
            <w:shd w:val="clear" w:color="auto" w:fill="auto"/>
            <w:tcMar>
              <w:top w:w="110" w:type="dxa"/>
            </w:tcMar>
          </w:tcPr>
          <w:p w:rsidR="00E43AF7" w:rsidRPr="003C3247" w:rsidRDefault="00E43AF7" w:rsidP="008D1891">
            <w:pPr>
              <w:keepNext/>
              <w:keepLines/>
              <w:jc w:val="center"/>
              <w:rPr>
                <w:rFonts w:cs="Arial"/>
                <w:bCs/>
                <w:color w:val="FF0000"/>
                <w:sz w:val="16"/>
                <w:szCs w:val="16"/>
              </w:rPr>
            </w:pPr>
            <w:r w:rsidRPr="00AB5747">
              <w:rPr>
                <w:b/>
                <w:bCs/>
                <w:color w:val="00B050"/>
                <w:sz w:val="16"/>
                <w:szCs w:val="16"/>
              </w:rPr>
              <w:t>On track</w:t>
            </w:r>
          </w:p>
        </w:tc>
      </w:tr>
      <w:tr w:rsidR="00E43AF7" w:rsidRPr="003C3247" w:rsidTr="008D1891">
        <w:trPr>
          <w:cantSplit/>
        </w:trPr>
        <w:tc>
          <w:tcPr>
            <w:tcW w:w="1137" w:type="pct"/>
            <w:shd w:val="clear" w:color="auto" w:fill="auto"/>
          </w:tcPr>
          <w:p w:rsidR="00E43AF7" w:rsidRPr="00F62987" w:rsidRDefault="00E43AF7" w:rsidP="008D1891">
            <w:pPr>
              <w:rPr>
                <w:rFonts w:cs="Arial"/>
                <w:sz w:val="16"/>
                <w:szCs w:val="16"/>
              </w:rPr>
            </w:pPr>
            <w:r w:rsidRPr="004D5A82">
              <w:rPr>
                <w:rFonts w:cs="Arial"/>
                <w:sz w:val="16"/>
                <w:szCs w:val="16"/>
              </w:rPr>
              <w:t>Processing time of travel related requests (</w:t>
            </w:r>
            <w:proofErr w:type="spellStart"/>
            <w:r w:rsidRPr="004D5A82">
              <w:rPr>
                <w:rFonts w:cs="Arial"/>
                <w:sz w:val="16"/>
                <w:szCs w:val="16"/>
              </w:rPr>
              <w:t>eTA</w:t>
            </w:r>
            <w:proofErr w:type="spellEnd"/>
            <w:r w:rsidRPr="004D5A82">
              <w:rPr>
                <w:rFonts w:cs="Arial"/>
                <w:sz w:val="16"/>
                <w:szCs w:val="16"/>
              </w:rPr>
              <w:t>, ER, Visas)</w:t>
            </w:r>
          </w:p>
        </w:tc>
        <w:tc>
          <w:tcPr>
            <w:tcW w:w="1287" w:type="pct"/>
            <w:shd w:val="clear" w:color="auto" w:fill="auto"/>
          </w:tcPr>
          <w:p w:rsidR="00E43AF7" w:rsidRPr="005C1F88" w:rsidRDefault="00E43AF7" w:rsidP="008D1891">
            <w:pPr>
              <w:rPr>
                <w:rFonts w:cs="Arial"/>
                <w:sz w:val="16"/>
                <w:szCs w:val="16"/>
              </w:rPr>
            </w:pPr>
            <w:r w:rsidRPr="005C1F88">
              <w:rPr>
                <w:rFonts w:cs="Arial"/>
                <w:sz w:val="16"/>
                <w:szCs w:val="16"/>
              </w:rPr>
              <w:t xml:space="preserve">Processing time of travel related requests:  </w:t>
            </w:r>
          </w:p>
          <w:p w:rsidR="00E43AF7" w:rsidRPr="005C1F88" w:rsidRDefault="00E43AF7" w:rsidP="008D1891">
            <w:pPr>
              <w:rPr>
                <w:rFonts w:cs="Arial"/>
                <w:sz w:val="16"/>
                <w:szCs w:val="16"/>
              </w:rPr>
            </w:pPr>
            <w:proofErr w:type="spellStart"/>
            <w:r w:rsidRPr="005C1F88">
              <w:rPr>
                <w:rFonts w:cs="Arial"/>
                <w:sz w:val="16"/>
                <w:szCs w:val="16"/>
              </w:rPr>
              <w:t>eTA</w:t>
            </w:r>
            <w:proofErr w:type="spellEnd"/>
            <w:r w:rsidRPr="005C1F88">
              <w:rPr>
                <w:rFonts w:cs="Arial"/>
                <w:sz w:val="16"/>
                <w:szCs w:val="16"/>
              </w:rPr>
              <w:t xml:space="preserve"> = 1day</w:t>
            </w:r>
          </w:p>
          <w:p w:rsidR="00E43AF7" w:rsidRPr="005C1F88" w:rsidRDefault="00E43AF7" w:rsidP="008D1891">
            <w:pPr>
              <w:rPr>
                <w:rFonts w:cs="Arial"/>
                <w:sz w:val="16"/>
                <w:szCs w:val="16"/>
              </w:rPr>
            </w:pPr>
            <w:r w:rsidRPr="005C1F88">
              <w:rPr>
                <w:rFonts w:cs="Arial"/>
                <w:sz w:val="16"/>
                <w:szCs w:val="16"/>
              </w:rPr>
              <w:t>ER = 2 hours</w:t>
            </w:r>
          </w:p>
          <w:p w:rsidR="00E43AF7" w:rsidRPr="004B7039" w:rsidRDefault="00E43AF7" w:rsidP="008D1891">
            <w:pPr>
              <w:rPr>
                <w:rFonts w:cs="Arial"/>
                <w:i/>
                <w:sz w:val="16"/>
                <w:szCs w:val="16"/>
              </w:rPr>
            </w:pPr>
            <w:r w:rsidRPr="005C1F88">
              <w:rPr>
                <w:rFonts w:cs="Arial"/>
                <w:sz w:val="16"/>
                <w:szCs w:val="16"/>
              </w:rPr>
              <w:t>Visa for 3rd party = 2 days</w:t>
            </w:r>
            <w:r w:rsidR="00E51E18">
              <w:rPr>
                <w:rFonts w:cs="Arial"/>
                <w:sz w:val="16"/>
                <w:szCs w:val="16"/>
              </w:rPr>
              <w:t xml:space="preserve"> (baseline 2013)</w:t>
            </w:r>
          </w:p>
        </w:tc>
        <w:tc>
          <w:tcPr>
            <w:tcW w:w="909" w:type="pct"/>
            <w:gridSpan w:val="2"/>
            <w:shd w:val="clear" w:color="auto" w:fill="auto"/>
            <w:tcMar>
              <w:top w:w="110" w:type="dxa"/>
            </w:tcMar>
          </w:tcPr>
          <w:p w:rsidR="00E43AF7" w:rsidRPr="004B7039" w:rsidRDefault="00E43AF7" w:rsidP="008D1891">
            <w:pPr>
              <w:rPr>
                <w:rFonts w:cs="Arial"/>
                <w:sz w:val="16"/>
                <w:szCs w:val="16"/>
              </w:rPr>
            </w:pPr>
            <w:proofErr w:type="spellStart"/>
            <w:r w:rsidRPr="004B7039">
              <w:rPr>
                <w:rFonts w:cs="Arial"/>
                <w:sz w:val="16"/>
                <w:szCs w:val="16"/>
              </w:rPr>
              <w:t>eTA</w:t>
            </w:r>
            <w:proofErr w:type="spellEnd"/>
            <w:r w:rsidRPr="004B7039">
              <w:rPr>
                <w:rFonts w:cs="Arial"/>
                <w:sz w:val="16"/>
                <w:szCs w:val="16"/>
              </w:rPr>
              <w:t xml:space="preserve"> = 1/2 day</w:t>
            </w:r>
          </w:p>
          <w:p w:rsidR="00E43AF7" w:rsidRPr="004B7039" w:rsidRDefault="00E43AF7" w:rsidP="008D1891">
            <w:pPr>
              <w:rPr>
                <w:rFonts w:cs="Arial"/>
                <w:sz w:val="16"/>
                <w:szCs w:val="16"/>
              </w:rPr>
            </w:pPr>
            <w:r w:rsidRPr="004B7039">
              <w:rPr>
                <w:rFonts w:cs="Arial"/>
                <w:sz w:val="16"/>
                <w:szCs w:val="16"/>
              </w:rPr>
              <w:t>ER = 1 hour</w:t>
            </w:r>
          </w:p>
          <w:p w:rsidR="00E43AF7" w:rsidRPr="006550F0" w:rsidRDefault="00E43AF7" w:rsidP="008D1891">
            <w:pPr>
              <w:rPr>
                <w:rFonts w:cs="Arial"/>
                <w:sz w:val="16"/>
                <w:szCs w:val="16"/>
              </w:rPr>
            </w:pPr>
            <w:r w:rsidRPr="004B7039">
              <w:rPr>
                <w:rFonts w:cs="Arial"/>
                <w:sz w:val="16"/>
                <w:szCs w:val="16"/>
              </w:rPr>
              <w:t>Visas = 2 days</w:t>
            </w:r>
          </w:p>
        </w:tc>
        <w:tc>
          <w:tcPr>
            <w:tcW w:w="1137" w:type="pct"/>
            <w:gridSpan w:val="2"/>
            <w:shd w:val="clear" w:color="auto" w:fill="FFFFFF"/>
            <w:tcMar>
              <w:top w:w="110" w:type="dxa"/>
            </w:tcMar>
          </w:tcPr>
          <w:p w:rsidR="00E43AF7" w:rsidRPr="004B7039" w:rsidRDefault="00E43AF7" w:rsidP="008D1891">
            <w:pPr>
              <w:rPr>
                <w:rFonts w:cs="Arial"/>
                <w:sz w:val="16"/>
                <w:szCs w:val="16"/>
                <w:lang w:bidi="th-TH"/>
              </w:rPr>
            </w:pPr>
            <w:r w:rsidRPr="004B7039">
              <w:rPr>
                <w:rFonts w:cs="Arial"/>
                <w:sz w:val="16"/>
                <w:szCs w:val="16"/>
                <w:lang w:bidi="th-TH"/>
              </w:rPr>
              <w:t>e-TA</w:t>
            </w:r>
            <w:r>
              <w:rPr>
                <w:rFonts w:cs="Arial"/>
                <w:sz w:val="16"/>
                <w:szCs w:val="16"/>
                <w:lang w:bidi="th-TH"/>
              </w:rPr>
              <w:t xml:space="preserve"> = </w:t>
            </w:r>
            <w:r w:rsidRPr="004B7039">
              <w:rPr>
                <w:rFonts w:cs="Arial"/>
                <w:sz w:val="16"/>
                <w:szCs w:val="16"/>
                <w:lang w:bidi="th-TH"/>
              </w:rPr>
              <w:t>&lt;1/2 day</w:t>
            </w:r>
          </w:p>
          <w:p w:rsidR="00E43AF7" w:rsidRPr="004B7039" w:rsidRDefault="00E43AF7" w:rsidP="008D1891">
            <w:pPr>
              <w:rPr>
                <w:rFonts w:cs="Arial"/>
                <w:sz w:val="16"/>
                <w:szCs w:val="16"/>
                <w:lang w:bidi="th-TH"/>
              </w:rPr>
            </w:pPr>
            <w:r w:rsidRPr="004B7039">
              <w:rPr>
                <w:rFonts w:cs="Arial"/>
                <w:sz w:val="16"/>
                <w:szCs w:val="16"/>
                <w:lang w:bidi="th-TH"/>
              </w:rPr>
              <w:t>ER</w:t>
            </w:r>
            <w:r>
              <w:rPr>
                <w:rFonts w:cs="Arial"/>
                <w:sz w:val="16"/>
                <w:szCs w:val="16"/>
                <w:lang w:bidi="th-TH"/>
              </w:rPr>
              <w:t xml:space="preserve"> </w:t>
            </w:r>
            <w:r w:rsidRPr="004B7039">
              <w:rPr>
                <w:rFonts w:cs="Arial"/>
                <w:sz w:val="16"/>
                <w:szCs w:val="16"/>
                <w:lang w:bidi="th-TH"/>
              </w:rPr>
              <w:t xml:space="preserve"> = &lt;1hour</w:t>
            </w:r>
          </w:p>
          <w:p w:rsidR="00E43AF7" w:rsidRPr="006550F0" w:rsidRDefault="00E43AF7" w:rsidP="008D1891">
            <w:pPr>
              <w:rPr>
                <w:rFonts w:cs="Arial"/>
                <w:sz w:val="16"/>
                <w:szCs w:val="16"/>
                <w:lang w:bidi="th-TH"/>
              </w:rPr>
            </w:pPr>
            <w:r w:rsidRPr="004B7039">
              <w:rPr>
                <w:rFonts w:cs="Arial"/>
                <w:sz w:val="16"/>
                <w:szCs w:val="16"/>
                <w:lang w:bidi="th-TH"/>
              </w:rPr>
              <w:t>Visa</w:t>
            </w:r>
            <w:r>
              <w:rPr>
                <w:rFonts w:cs="Arial"/>
                <w:sz w:val="16"/>
                <w:szCs w:val="16"/>
                <w:lang w:bidi="th-TH"/>
              </w:rPr>
              <w:t xml:space="preserve">= </w:t>
            </w:r>
            <w:r w:rsidRPr="004B7039">
              <w:rPr>
                <w:rFonts w:cs="Arial"/>
                <w:sz w:val="16"/>
                <w:szCs w:val="16"/>
                <w:lang w:bidi="th-TH"/>
              </w:rPr>
              <w:t>&lt;1 day</w:t>
            </w:r>
          </w:p>
        </w:tc>
        <w:tc>
          <w:tcPr>
            <w:tcW w:w="530" w:type="pct"/>
            <w:shd w:val="clear" w:color="auto" w:fill="auto"/>
            <w:tcMar>
              <w:top w:w="110" w:type="dxa"/>
            </w:tcMar>
          </w:tcPr>
          <w:p w:rsidR="00E43AF7" w:rsidRDefault="00E43AF7" w:rsidP="008D1891">
            <w:pPr>
              <w:keepNext/>
              <w:keepLines/>
              <w:jc w:val="center"/>
              <w:rPr>
                <w:rFonts w:cs="Arial"/>
                <w:bCs/>
                <w:color w:val="008000"/>
                <w:sz w:val="16"/>
                <w:szCs w:val="16"/>
              </w:rPr>
            </w:pPr>
            <w:r w:rsidRPr="00AB5747">
              <w:rPr>
                <w:b/>
                <w:bCs/>
                <w:color w:val="00B050"/>
                <w:sz w:val="16"/>
                <w:szCs w:val="16"/>
              </w:rPr>
              <w:t>On track</w:t>
            </w:r>
            <w:r w:rsidRPr="004D5A82">
              <w:rPr>
                <w:rFonts w:cs="Arial"/>
                <w:bCs/>
                <w:color w:val="008000"/>
                <w:sz w:val="16"/>
                <w:szCs w:val="16"/>
              </w:rPr>
              <w:t xml:space="preserve"> </w:t>
            </w:r>
            <w:r w:rsidRPr="00AB5747">
              <w:rPr>
                <w:b/>
                <w:bCs/>
                <w:color w:val="00B050"/>
                <w:sz w:val="16"/>
                <w:szCs w:val="16"/>
              </w:rPr>
              <w:t>On track</w:t>
            </w:r>
          </w:p>
          <w:p w:rsidR="00E43AF7" w:rsidRPr="003C3247" w:rsidRDefault="00E43AF7" w:rsidP="008D1891">
            <w:pPr>
              <w:keepNext/>
              <w:keepLines/>
              <w:jc w:val="center"/>
              <w:rPr>
                <w:rFonts w:cs="Arial"/>
                <w:bCs/>
                <w:color w:val="FF0000"/>
                <w:sz w:val="16"/>
                <w:szCs w:val="16"/>
              </w:rPr>
            </w:pPr>
            <w:r w:rsidRPr="00AB5747">
              <w:rPr>
                <w:b/>
                <w:bCs/>
                <w:color w:val="00B050"/>
                <w:sz w:val="16"/>
                <w:szCs w:val="16"/>
              </w:rPr>
              <w:t>On track</w:t>
            </w:r>
          </w:p>
        </w:tc>
      </w:tr>
      <w:tr w:rsidR="00E43AF7" w:rsidRPr="003C3247" w:rsidTr="008D1891">
        <w:trPr>
          <w:cantSplit/>
        </w:trPr>
        <w:tc>
          <w:tcPr>
            <w:tcW w:w="1137" w:type="pct"/>
            <w:shd w:val="clear" w:color="auto" w:fill="auto"/>
          </w:tcPr>
          <w:p w:rsidR="00E43AF7" w:rsidRPr="00F62987" w:rsidRDefault="00E43AF7" w:rsidP="008D1891">
            <w:pPr>
              <w:rPr>
                <w:rFonts w:cs="Arial"/>
                <w:sz w:val="16"/>
                <w:szCs w:val="16"/>
              </w:rPr>
            </w:pPr>
            <w:r w:rsidRPr="004D5A82">
              <w:rPr>
                <w:rFonts w:cs="Arial"/>
                <w:sz w:val="16"/>
                <w:szCs w:val="16"/>
              </w:rPr>
              <w:t>Average ticket cost (TMC and UNDP tickets)</w:t>
            </w:r>
          </w:p>
        </w:tc>
        <w:tc>
          <w:tcPr>
            <w:tcW w:w="1287" w:type="pct"/>
            <w:shd w:val="clear" w:color="auto" w:fill="auto"/>
          </w:tcPr>
          <w:p w:rsidR="00E43AF7" w:rsidRDefault="00E43AF7" w:rsidP="008D1891">
            <w:pPr>
              <w:rPr>
                <w:color w:val="002060"/>
                <w:sz w:val="16"/>
                <w:szCs w:val="16"/>
              </w:rPr>
            </w:pPr>
            <w:r>
              <w:rPr>
                <w:i/>
                <w:color w:val="002060"/>
                <w:sz w:val="16"/>
                <w:szCs w:val="16"/>
              </w:rPr>
              <w:t>Updated Baseline end 20</w:t>
            </w:r>
            <w:r w:rsidRPr="006550F0">
              <w:rPr>
                <w:i/>
                <w:color w:val="002060"/>
                <w:sz w:val="16"/>
                <w:szCs w:val="16"/>
              </w:rPr>
              <w:t>1</w:t>
            </w:r>
            <w:r>
              <w:rPr>
                <w:i/>
                <w:color w:val="002060"/>
                <w:sz w:val="16"/>
                <w:szCs w:val="16"/>
              </w:rPr>
              <w:t>3</w:t>
            </w:r>
            <w:r w:rsidRPr="006550F0">
              <w:rPr>
                <w:i/>
                <w:color w:val="002060"/>
                <w:sz w:val="16"/>
                <w:szCs w:val="16"/>
              </w:rPr>
              <w:t>:</w:t>
            </w:r>
            <w:r>
              <w:rPr>
                <w:i/>
                <w:color w:val="002060"/>
                <w:sz w:val="16"/>
                <w:szCs w:val="16"/>
              </w:rPr>
              <w:t xml:space="preserve"> </w:t>
            </w:r>
            <w:r w:rsidRPr="005C1F88">
              <w:rPr>
                <w:color w:val="002060"/>
                <w:sz w:val="16"/>
                <w:szCs w:val="16"/>
              </w:rPr>
              <w:t>2013=1</w:t>
            </w:r>
            <w:r>
              <w:rPr>
                <w:color w:val="002060"/>
                <w:sz w:val="16"/>
                <w:szCs w:val="16"/>
              </w:rPr>
              <w:t>,</w:t>
            </w:r>
            <w:r w:rsidRPr="005C1F88">
              <w:rPr>
                <w:color w:val="002060"/>
                <w:sz w:val="16"/>
                <w:szCs w:val="16"/>
              </w:rPr>
              <w:t>728</w:t>
            </w:r>
            <w:r>
              <w:rPr>
                <w:color w:val="002060"/>
                <w:sz w:val="16"/>
                <w:szCs w:val="16"/>
              </w:rPr>
              <w:t xml:space="preserve"> Swiss francs</w:t>
            </w:r>
            <w:r w:rsidRPr="006550F0">
              <w:rPr>
                <w:color w:val="002060"/>
                <w:sz w:val="16"/>
                <w:szCs w:val="16"/>
              </w:rPr>
              <w:t xml:space="preserve"> </w:t>
            </w:r>
          </w:p>
          <w:p w:rsidR="00E43AF7" w:rsidRPr="004D5A82" w:rsidRDefault="00E43AF7" w:rsidP="008D1891">
            <w:pPr>
              <w:rPr>
                <w:rFonts w:cstheme="minorBidi"/>
                <w:color w:val="002060"/>
                <w:sz w:val="16"/>
                <w:szCs w:val="16"/>
              </w:rPr>
            </w:pPr>
          </w:p>
          <w:p w:rsidR="00E43AF7" w:rsidRPr="00E813BA" w:rsidRDefault="00E43AF7" w:rsidP="008D1891">
            <w:pPr>
              <w:rPr>
                <w:szCs w:val="22"/>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w:t>
            </w:r>
            <w:r>
              <w:t xml:space="preserve"> </w:t>
            </w:r>
            <w:r w:rsidRPr="00AC2A2B">
              <w:rPr>
                <w:rFonts w:cs="Arial"/>
                <w:sz w:val="16"/>
                <w:szCs w:val="16"/>
              </w:rPr>
              <w:t>cost (baseline 2013)</w:t>
            </w:r>
          </w:p>
        </w:tc>
        <w:tc>
          <w:tcPr>
            <w:tcW w:w="909" w:type="pct"/>
            <w:gridSpan w:val="2"/>
            <w:shd w:val="clear" w:color="auto" w:fill="auto"/>
            <w:tcMar>
              <w:top w:w="110" w:type="dxa"/>
            </w:tcMar>
          </w:tcPr>
          <w:p w:rsidR="00E43AF7" w:rsidRPr="006550F0" w:rsidRDefault="00E43AF7" w:rsidP="008D1891">
            <w:pPr>
              <w:rPr>
                <w:rFonts w:cs="Arial"/>
                <w:sz w:val="16"/>
                <w:szCs w:val="16"/>
              </w:rPr>
            </w:pPr>
            <w:r w:rsidRPr="004B7039">
              <w:rPr>
                <w:rFonts w:cs="Arial"/>
                <w:sz w:val="16"/>
                <w:szCs w:val="16"/>
              </w:rPr>
              <w:t>Reduced average ticket cost</w:t>
            </w:r>
          </w:p>
        </w:tc>
        <w:tc>
          <w:tcPr>
            <w:tcW w:w="1137" w:type="pct"/>
            <w:gridSpan w:val="2"/>
            <w:shd w:val="clear" w:color="auto" w:fill="FFFFFF"/>
            <w:tcMar>
              <w:top w:w="110" w:type="dxa"/>
            </w:tcMar>
          </w:tcPr>
          <w:p w:rsidR="00E43AF7" w:rsidRPr="006550F0" w:rsidRDefault="00E43AF7" w:rsidP="008D1891">
            <w:pPr>
              <w:rPr>
                <w:rFonts w:cs="Arial"/>
                <w:sz w:val="16"/>
                <w:szCs w:val="16"/>
                <w:lang w:bidi="th-TH"/>
              </w:rPr>
            </w:pPr>
            <w:r w:rsidRPr="004B7039">
              <w:rPr>
                <w:rFonts w:cs="Arial"/>
                <w:sz w:val="16"/>
                <w:szCs w:val="16"/>
                <w:lang w:bidi="th-TH"/>
              </w:rPr>
              <w:t>2014=1</w:t>
            </w:r>
            <w:r>
              <w:rPr>
                <w:rFonts w:cs="Arial"/>
                <w:sz w:val="16"/>
                <w:szCs w:val="16"/>
                <w:lang w:bidi="th-TH"/>
              </w:rPr>
              <w:t>,</w:t>
            </w:r>
            <w:r w:rsidRPr="004B7039">
              <w:rPr>
                <w:rFonts w:cs="Arial"/>
                <w:sz w:val="16"/>
                <w:szCs w:val="16"/>
                <w:lang w:bidi="th-TH"/>
              </w:rPr>
              <w:t>598</w:t>
            </w:r>
            <w:r>
              <w:rPr>
                <w:rFonts w:cs="Arial"/>
                <w:sz w:val="16"/>
                <w:szCs w:val="16"/>
                <w:lang w:bidi="th-TH"/>
              </w:rPr>
              <w:t xml:space="preserve"> Swiss francs</w:t>
            </w:r>
          </w:p>
        </w:tc>
        <w:tc>
          <w:tcPr>
            <w:tcW w:w="530" w:type="pct"/>
            <w:shd w:val="clear" w:color="auto" w:fill="auto"/>
            <w:tcMar>
              <w:top w:w="110" w:type="dxa"/>
            </w:tcMar>
          </w:tcPr>
          <w:p w:rsidR="00E43AF7" w:rsidRPr="003C3247" w:rsidRDefault="00E43AF7" w:rsidP="008D1891">
            <w:pPr>
              <w:keepNext/>
              <w:keepLines/>
              <w:jc w:val="center"/>
              <w:rPr>
                <w:rFonts w:cs="Arial"/>
                <w:bCs/>
                <w:color w:val="FF0000"/>
                <w:sz w:val="16"/>
                <w:szCs w:val="16"/>
              </w:rPr>
            </w:pPr>
            <w:r w:rsidRPr="00AB5747">
              <w:rPr>
                <w:b/>
                <w:bCs/>
                <w:color w:val="00B050"/>
                <w:sz w:val="16"/>
                <w:szCs w:val="16"/>
              </w:rPr>
              <w:t>On track</w:t>
            </w:r>
          </w:p>
        </w:tc>
      </w:tr>
    </w:tbl>
    <w:p w:rsidR="00E43AF7" w:rsidRDefault="00E43AF7">
      <w:r>
        <w:br w:type="page"/>
      </w: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3"/>
        <w:gridCol w:w="2408"/>
        <w:gridCol w:w="1701"/>
        <w:gridCol w:w="2103"/>
        <w:gridCol w:w="24"/>
        <w:gridCol w:w="988"/>
      </w:tblGrid>
      <w:tr w:rsidR="00E43AF7" w:rsidRPr="003C3247" w:rsidTr="00E43AF7">
        <w:trPr>
          <w:cantSplit/>
        </w:trPr>
        <w:tc>
          <w:tcPr>
            <w:tcW w:w="1139" w:type="pct"/>
            <w:shd w:val="clear" w:color="auto" w:fill="auto"/>
            <w:vAlign w:val="center"/>
          </w:tcPr>
          <w:p w:rsidR="00E43AF7" w:rsidRPr="006550F0" w:rsidRDefault="00E43AF7" w:rsidP="008D1891">
            <w:pPr>
              <w:rPr>
                <w:rFonts w:cs="Arial"/>
                <w:sz w:val="16"/>
                <w:szCs w:val="16"/>
              </w:rPr>
            </w:pPr>
            <w:r w:rsidRPr="006550F0">
              <w:rPr>
                <w:rFonts w:cs="Arial"/>
                <w:b/>
                <w:bCs/>
                <w:sz w:val="16"/>
                <w:szCs w:val="16"/>
              </w:rPr>
              <w:lastRenderedPageBreak/>
              <w:t>Performance Indicators</w:t>
            </w:r>
          </w:p>
        </w:tc>
        <w:tc>
          <w:tcPr>
            <w:tcW w:w="1287" w:type="pct"/>
            <w:shd w:val="clear" w:color="auto" w:fill="auto"/>
            <w:vAlign w:val="center"/>
          </w:tcPr>
          <w:p w:rsidR="00E43AF7" w:rsidRPr="006550F0" w:rsidRDefault="00E43AF7" w:rsidP="008D1891">
            <w:pPr>
              <w:rPr>
                <w:rFonts w:cs="Arial"/>
                <w:b/>
                <w:bCs/>
                <w:sz w:val="16"/>
                <w:szCs w:val="16"/>
              </w:rPr>
            </w:pPr>
            <w:r w:rsidRPr="006550F0">
              <w:rPr>
                <w:rFonts w:cs="Arial"/>
                <w:b/>
                <w:bCs/>
                <w:sz w:val="16"/>
                <w:szCs w:val="16"/>
              </w:rPr>
              <w:t>Baselines</w:t>
            </w:r>
          </w:p>
        </w:tc>
        <w:tc>
          <w:tcPr>
            <w:tcW w:w="909" w:type="pct"/>
            <w:shd w:val="clear" w:color="auto" w:fill="auto"/>
            <w:tcMar>
              <w:top w:w="110" w:type="dxa"/>
            </w:tcMar>
            <w:vAlign w:val="center"/>
          </w:tcPr>
          <w:p w:rsidR="00E43AF7" w:rsidRPr="006550F0" w:rsidRDefault="00E43AF7" w:rsidP="008D1891">
            <w:pPr>
              <w:rPr>
                <w:rFonts w:cs="Arial"/>
                <w:b/>
                <w:sz w:val="16"/>
                <w:szCs w:val="16"/>
              </w:rPr>
            </w:pPr>
            <w:r w:rsidRPr="006550F0">
              <w:rPr>
                <w:rFonts w:cs="Arial"/>
                <w:b/>
                <w:sz w:val="16"/>
                <w:szCs w:val="16"/>
              </w:rPr>
              <w:t>Target</w:t>
            </w:r>
            <w:r>
              <w:rPr>
                <w:rFonts w:cs="Arial"/>
                <w:b/>
                <w:sz w:val="16"/>
                <w:szCs w:val="16"/>
              </w:rPr>
              <w:t>s</w:t>
            </w:r>
          </w:p>
        </w:tc>
        <w:tc>
          <w:tcPr>
            <w:tcW w:w="1137" w:type="pct"/>
            <w:gridSpan w:val="2"/>
            <w:shd w:val="clear" w:color="auto" w:fill="FFFFFF"/>
            <w:tcMar>
              <w:top w:w="110" w:type="dxa"/>
            </w:tcMar>
            <w:vAlign w:val="center"/>
          </w:tcPr>
          <w:p w:rsidR="00E43AF7" w:rsidRPr="006550F0" w:rsidRDefault="00E43AF7" w:rsidP="008D1891">
            <w:pPr>
              <w:rPr>
                <w:rFonts w:cs="Arial"/>
                <w:sz w:val="16"/>
                <w:szCs w:val="16"/>
              </w:rPr>
            </w:pPr>
            <w:r w:rsidRPr="006550F0">
              <w:rPr>
                <w:rFonts w:cs="Arial"/>
                <w:b/>
                <w:bCs/>
                <w:sz w:val="16"/>
                <w:szCs w:val="16"/>
              </w:rPr>
              <w:t>Performance Data</w:t>
            </w:r>
          </w:p>
        </w:tc>
        <w:tc>
          <w:tcPr>
            <w:tcW w:w="529" w:type="pct"/>
            <w:shd w:val="clear" w:color="auto" w:fill="auto"/>
            <w:tcMar>
              <w:top w:w="110" w:type="dxa"/>
            </w:tcMar>
            <w:vAlign w:val="center"/>
          </w:tcPr>
          <w:p w:rsidR="00E43AF7" w:rsidRPr="006550F0" w:rsidRDefault="00E43AF7" w:rsidP="008D1891">
            <w:pPr>
              <w:keepNext/>
              <w:keepLines/>
              <w:jc w:val="center"/>
              <w:rPr>
                <w:rFonts w:cs="Arial"/>
                <w:b/>
                <w:bCs/>
                <w:sz w:val="16"/>
                <w:szCs w:val="16"/>
              </w:rPr>
            </w:pPr>
            <w:r w:rsidRPr="006550F0">
              <w:rPr>
                <w:rFonts w:cs="Arial"/>
                <w:b/>
                <w:bCs/>
                <w:sz w:val="16"/>
                <w:szCs w:val="16"/>
              </w:rPr>
              <w:t>TLS</w:t>
            </w:r>
          </w:p>
        </w:tc>
      </w:tr>
      <w:tr w:rsidR="00E43AF7" w:rsidRPr="003C3247" w:rsidTr="00E43AF7">
        <w:trPr>
          <w:cantSplit/>
        </w:trPr>
        <w:tc>
          <w:tcPr>
            <w:tcW w:w="1139" w:type="pct"/>
            <w:shd w:val="clear" w:color="auto" w:fill="auto"/>
          </w:tcPr>
          <w:p w:rsidR="00E43AF7" w:rsidRPr="00F62987" w:rsidRDefault="00E43AF7" w:rsidP="008D1891">
            <w:pPr>
              <w:rPr>
                <w:rFonts w:cs="Arial"/>
                <w:sz w:val="16"/>
                <w:szCs w:val="16"/>
              </w:rPr>
            </w:pPr>
            <w:r w:rsidRPr="004D5A82">
              <w:rPr>
                <w:rFonts w:cs="Arial"/>
                <w:sz w:val="16"/>
                <w:szCs w:val="16"/>
              </w:rPr>
              <w:t>All types of space on the WIPO campus (workplaces, storage and archiving) are effectively managed</w:t>
            </w:r>
          </w:p>
        </w:tc>
        <w:tc>
          <w:tcPr>
            <w:tcW w:w="1287" w:type="pct"/>
            <w:shd w:val="clear" w:color="auto" w:fill="auto"/>
          </w:tcPr>
          <w:p w:rsidR="00E43AF7" w:rsidRDefault="00E43AF7" w:rsidP="008D1891">
            <w:pPr>
              <w:rPr>
                <w:i/>
                <w:color w:val="002060"/>
                <w:sz w:val="16"/>
                <w:szCs w:val="16"/>
              </w:rPr>
            </w:pPr>
            <w:r w:rsidRPr="005C1F88">
              <w:rPr>
                <w:i/>
                <w:color w:val="002060"/>
                <w:sz w:val="16"/>
                <w:szCs w:val="16"/>
              </w:rPr>
              <w:t xml:space="preserve">Updated Baseline </w:t>
            </w:r>
            <w:proofErr w:type="gramStart"/>
            <w:r w:rsidRPr="005C1F88">
              <w:rPr>
                <w:i/>
                <w:color w:val="002060"/>
                <w:sz w:val="16"/>
                <w:szCs w:val="16"/>
              </w:rPr>
              <w:t>end</w:t>
            </w:r>
            <w:proofErr w:type="gramEnd"/>
            <w:r w:rsidRPr="005C1F88">
              <w:rPr>
                <w:i/>
                <w:color w:val="002060"/>
                <w:sz w:val="16"/>
                <w:szCs w:val="16"/>
              </w:rPr>
              <w:t xml:space="preserve"> 2013:</w:t>
            </w:r>
            <w:r>
              <w:rPr>
                <w:i/>
                <w:color w:val="002060"/>
                <w:sz w:val="16"/>
                <w:szCs w:val="16"/>
              </w:rPr>
              <w:t xml:space="preserve"> </w:t>
            </w:r>
            <w:r w:rsidRPr="005C1F88">
              <w:rPr>
                <w:color w:val="002060"/>
                <w:sz w:val="16"/>
                <w:szCs w:val="16"/>
              </w:rPr>
              <w:t>80 workplaces (No additional rental office space was required during the biennium.)</w:t>
            </w:r>
            <w:r>
              <w:rPr>
                <w:i/>
                <w:color w:val="002060"/>
                <w:sz w:val="16"/>
                <w:szCs w:val="16"/>
              </w:rPr>
              <w:t xml:space="preserve"> </w:t>
            </w:r>
          </w:p>
          <w:p w:rsidR="00E43AF7" w:rsidRPr="004D5A82" w:rsidRDefault="00E43AF7" w:rsidP="008D1891">
            <w:pPr>
              <w:rPr>
                <w:rFonts w:cstheme="minorBidi"/>
                <w:color w:val="002060"/>
                <w:sz w:val="16"/>
                <w:szCs w:val="16"/>
              </w:rPr>
            </w:pPr>
          </w:p>
          <w:p w:rsidR="00E43AF7" w:rsidRDefault="00E43AF7" w:rsidP="008D1891">
            <w:pPr>
              <w:rPr>
                <w:rFonts w:cs="Arial"/>
                <w:i/>
                <w:sz w:val="16"/>
                <w:szCs w:val="16"/>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w:t>
            </w:r>
            <w:r>
              <w:t xml:space="preserve"> </w:t>
            </w:r>
            <w:r w:rsidRPr="005C1F88">
              <w:rPr>
                <w:rFonts w:cs="Arial"/>
                <w:sz w:val="16"/>
                <w:szCs w:val="16"/>
              </w:rPr>
              <w:t>Maintain number of workplaces throughout buildings in order to accommodate service expansion and changes in WIPO activities (number of employees at end 2013); maximum of 80 rented workplaces (end 2013);  6 off-site storage/archiving areas (end 2013)</w:t>
            </w:r>
          </w:p>
          <w:p w:rsidR="00E43AF7" w:rsidRPr="00E813BA" w:rsidRDefault="00E43AF7" w:rsidP="008D1891">
            <w:pPr>
              <w:rPr>
                <w:szCs w:val="22"/>
              </w:rPr>
            </w:pPr>
          </w:p>
        </w:tc>
        <w:tc>
          <w:tcPr>
            <w:tcW w:w="909" w:type="pct"/>
            <w:shd w:val="clear" w:color="auto" w:fill="auto"/>
            <w:tcMar>
              <w:top w:w="110" w:type="dxa"/>
            </w:tcMar>
          </w:tcPr>
          <w:p w:rsidR="00E43AF7" w:rsidRPr="006550F0" w:rsidRDefault="00E43AF7" w:rsidP="008D1891">
            <w:pPr>
              <w:rPr>
                <w:rFonts w:cs="Arial"/>
                <w:sz w:val="16"/>
                <w:szCs w:val="16"/>
              </w:rPr>
            </w:pPr>
            <w:r w:rsidRPr="004B7039">
              <w:rPr>
                <w:rFonts w:cs="Arial"/>
                <w:sz w:val="16"/>
                <w:szCs w:val="16"/>
              </w:rPr>
              <w:t>Maximum of 80</w:t>
            </w:r>
            <w:r>
              <w:rPr>
                <w:rFonts w:cs="Arial"/>
                <w:sz w:val="16"/>
                <w:szCs w:val="16"/>
              </w:rPr>
              <w:t> </w:t>
            </w:r>
            <w:r w:rsidRPr="004B7039">
              <w:rPr>
                <w:rFonts w:cs="Arial"/>
                <w:sz w:val="16"/>
                <w:szCs w:val="16"/>
              </w:rPr>
              <w:t>rented workplaces (out of a total of 1,582 workplaces); 6</w:t>
            </w:r>
            <w:r>
              <w:rPr>
                <w:rFonts w:cs="Arial"/>
                <w:sz w:val="16"/>
                <w:szCs w:val="16"/>
              </w:rPr>
              <w:t> </w:t>
            </w:r>
            <w:r w:rsidRPr="004B7039">
              <w:rPr>
                <w:rFonts w:cs="Arial"/>
                <w:sz w:val="16"/>
                <w:szCs w:val="16"/>
              </w:rPr>
              <w:t>storage/archiving area</w:t>
            </w:r>
          </w:p>
        </w:tc>
        <w:tc>
          <w:tcPr>
            <w:tcW w:w="1137" w:type="pct"/>
            <w:gridSpan w:val="2"/>
            <w:shd w:val="clear" w:color="auto" w:fill="FFFFFF"/>
            <w:tcMar>
              <w:top w:w="110" w:type="dxa"/>
            </w:tcMar>
          </w:tcPr>
          <w:p w:rsidR="00E43AF7" w:rsidRDefault="00E43AF7" w:rsidP="008D1891">
            <w:pPr>
              <w:rPr>
                <w:rFonts w:cs="Arial"/>
                <w:sz w:val="16"/>
                <w:szCs w:val="16"/>
              </w:rPr>
            </w:pPr>
            <w:r w:rsidRPr="004B7039">
              <w:rPr>
                <w:rFonts w:cs="Arial"/>
                <w:sz w:val="16"/>
                <w:szCs w:val="16"/>
              </w:rPr>
              <w:t xml:space="preserve">80 rented workplaces (out of a total </w:t>
            </w:r>
            <w:r w:rsidRPr="00476AC4">
              <w:rPr>
                <w:rFonts w:cs="Arial"/>
                <w:sz w:val="16"/>
                <w:szCs w:val="16"/>
              </w:rPr>
              <w:t xml:space="preserve">of </w:t>
            </w:r>
            <w:r w:rsidRPr="005C1F88">
              <w:rPr>
                <w:rFonts w:cs="Arial"/>
                <w:sz w:val="16"/>
                <w:szCs w:val="16"/>
              </w:rPr>
              <w:t>1,627 workplaces</w:t>
            </w:r>
            <w:r>
              <w:rPr>
                <w:rFonts w:cs="Arial"/>
                <w:sz w:val="16"/>
                <w:szCs w:val="16"/>
              </w:rPr>
              <w:t xml:space="preserve">); </w:t>
            </w:r>
            <w:r w:rsidRPr="007F136C">
              <w:rPr>
                <w:rFonts w:cs="Arial"/>
                <w:sz w:val="16"/>
                <w:szCs w:val="16"/>
              </w:rPr>
              <w:t>5 storage /archiving area</w:t>
            </w:r>
            <w:r>
              <w:rPr>
                <w:rFonts w:cs="Arial"/>
                <w:sz w:val="16"/>
                <w:szCs w:val="16"/>
              </w:rPr>
              <w:t xml:space="preserve">s due to </w:t>
            </w:r>
            <w:r w:rsidRPr="00C037CB">
              <w:rPr>
                <w:rFonts w:cs="Arial"/>
                <w:sz w:val="16"/>
                <w:szCs w:val="16"/>
              </w:rPr>
              <w:t xml:space="preserve">termination of the lease for </w:t>
            </w:r>
            <w:r>
              <w:rPr>
                <w:rFonts w:cs="Arial"/>
                <w:sz w:val="16"/>
                <w:szCs w:val="16"/>
              </w:rPr>
              <w:t xml:space="preserve">one </w:t>
            </w:r>
            <w:r w:rsidRPr="00C037CB">
              <w:rPr>
                <w:rFonts w:cs="Arial"/>
                <w:sz w:val="16"/>
                <w:szCs w:val="16"/>
              </w:rPr>
              <w:t>off-site storage area</w:t>
            </w:r>
            <w:r>
              <w:rPr>
                <w:rFonts w:cs="Arial"/>
                <w:sz w:val="16"/>
                <w:szCs w:val="16"/>
              </w:rPr>
              <w:t xml:space="preserve">.  In addition, termination of the lease for a stand-alone self-contained space in </w:t>
            </w:r>
            <w:proofErr w:type="gramStart"/>
            <w:r>
              <w:rPr>
                <w:rFonts w:cs="Arial"/>
                <w:sz w:val="16"/>
                <w:szCs w:val="16"/>
              </w:rPr>
              <w:t>a warehouse</w:t>
            </w:r>
            <w:proofErr w:type="gramEnd"/>
            <w:r>
              <w:rPr>
                <w:rFonts w:cs="Arial"/>
                <w:sz w:val="16"/>
                <w:szCs w:val="16"/>
              </w:rPr>
              <w:t xml:space="preserve"> storage,</w:t>
            </w:r>
            <w:r w:rsidRPr="00C037CB">
              <w:rPr>
                <w:rFonts w:cs="Arial"/>
                <w:sz w:val="16"/>
                <w:szCs w:val="16"/>
              </w:rPr>
              <w:t xml:space="preserve"> and </w:t>
            </w:r>
            <w:r>
              <w:rPr>
                <w:rFonts w:cs="Arial"/>
                <w:sz w:val="16"/>
                <w:szCs w:val="16"/>
              </w:rPr>
              <w:t xml:space="preserve">termination of the rental of 32 </w:t>
            </w:r>
            <w:r w:rsidRPr="00C037CB">
              <w:rPr>
                <w:rFonts w:cs="Arial"/>
                <w:sz w:val="16"/>
                <w:szCs w:val="16"/>
              </w:rPr>
              <w:t>off-site parking spaces</w:t>
            </w:r>
            <w:r>
              <w:rPr>
                <w:rFonts w:cs="Arial"/>
                <w:sz w:val="16"/>
                <w:szCs w:val="16"/>
              </w:rPr>
              <w:t>.</w:t>
            </w:r>
          </w:p>
          <w:p w:rsidR="00E43AF7" w:rsidRDefault="00E43AF7" w:rsidP="008D1891">
            <w:pPr>
              <w:rPr>
                <w:rFonts w:cs="Arial"/>
                <w:sz w:val="16"/>
                <w:szCs w:val="16"/>
              </w:rPr>
            </w:pPr>
          </w:p>
          <w:p w:rsidR="00E43AF7" w:rsidRPr="006550F0" w:rsidRDefault="00E43AF7" w:rsidP="008D1891">
            <w:pPr>
              <w:rPr>
                <w:rFonts w:cs="Arial"/>
                <w:sz w:val="16"/>
                <w:szCs w:val="16"/>
                <w:lang w:bidi="th-TH"/>
              </w:rPr>
            </w:pPr>
          </w:p>
        </w:tc>
        <w:tc>
          <w:tcPr>
            <w:tcW w:w="529" w:type="pct"/>
            <w:shd w:val="clear" w:color="auto" w:fill="auto"/>
            <w:tcMar>
              <w:top w:w="110" w:type="dxa"/>
            </w:tcMar>
          </w:tcPr>
          <w:p w:rsidR="00E43AF7" w:rsidRPr="003C3247" w:rsidRDefault="00E43AF7" w:rsidP="008D1891">
            <w:pPr>
              <w:keepNext/>
              <w:keepLines/>
              <w:jc w:val="center"/>
              <w:rPr>
                <w:rFonts w:cs="Arial"/>
                <w:bCs/>
                <w:color w:val="FF0000"/>
                <w:sz w:val="16"/>
                <w:szCs w:val="16"/>
              </w:rPr>
            </w:pPr>
            <w:r w:rsidRPr="00AB5747">
              <w:rPr>
                <w:b/>
                <w:bCs/>
                <w:color w:val="00B050"/>
                <w:sz w:val="16"/>
                <w:szCs w:val="16"/>
              </w:rPr>
              <w:t>On track</w:t>
            </w:r>
          </w:p>
        </w:tc>
      </w:tr>
      <w:tr w:rsidR="00E43AF7" w:rsidRPr="003C3247" w:rsidTr="00E43AF7">
        <w:trPr>
          <w:cantSplit/>
        </w:trPr>
        <w:tc>
          <w:tcPr>
            <w:tcW w:w="1139" w:type="pct"/>
            <w:shd w:val="clear" w:color="auto" w:fill="auto"/>
          </w:tcPr>
          <w:p w:rsidR="00E43AF7" w:rsidRPr="00F62987" w:rsidRDefault="00E43AF7" w:rsidP="008D1891">
            <w:pPr>
              <w:rPr>
                <w:rFonts w:cs="Arial"/>
                <w:sz w:val="16"/>
                <w:szCs w:val="16"/>
              </w:rPr>
            </w:pPr>
            <w:r w:rsidRPr="004D5A82">
              <w:rPr>
                <w:rFonts w:cs="Arial"/>
                <w:sz w:val="16"/>
                <w:szCs w:val="16"/>
              </w:rPr>
              <w:t>Buildings in the WIPO c</w:t>
            </w:r>
            <w:r>
              <w:rPr>
                <w:rFonts w:cs="Arial"/>
                <w:sz w:val="16"/>
                <w:szCs w:val="16"/>
              </w:rPr>
              <w:t>ampus are renovated/modernized/</w:t>
            </w:r>
            <w:r w:rsidRPr="004D5A82">
              <w:rPr>
                <w:rFonts w:cs="Arial"/>
                <w:sz w:val="16"/>
                <w:szCs w:val="16"/>
              </w:rPr>
              <w:t>transformed to remain fit for purpose</w:t>
            </w:r>
          </w:p>
        </w:tc>
        <w:tc>
          <w:tcPr>
            <w:tcW w:w="1287" w:type="pct"/>
            <w:shd w:val="clear" w:color="auto" w:fill="auto"/>
          </w:tcPr>
          <w:p w:rsidR="00E43AF7" w:rsidRPr="00022AC8" w:rsidRDefault="00E43AF7" w:rsidP="008D1891">
            <w:pPr>
              <w:rPr>
                <w:color w:val="002060"/>
                <w:sz w:val="16"/>
                <w:szCs w:val="16"/>
              </w:rPr>
            </w:pPr>
            <w:r w:rsidRPr="00022AC8">
              <w:rPr>
                <w:i/>
                <w:color w:val="002060"/>
                <w:sz w:val="16"/>
                <w:szCs w:val="16"/>
              </w:rPr>
              <w:t>Updated Baseline end 2013</w:t>
            </w:r>
            <w:r w:rsidRPr="006B6FD7">
              <w:rPr>
                <w:i/>
                <w:color w:val="002060"/>
                <w:sz w:val="16"/>
                <w:szCs w:val="16"/>
              </w:rPr>
              <w:t>:</w:t>
            </w:r>
            <w:r>
              <w:t xml:space="preserve"> </w:t>
            </w:r>
            <w:r w:rsidRPr="00022AC8">
              <w:rPr>
                <w:color w:val="002060"/>
                <w:sz w:val="16"/>
                <w:szCs w:val="16"/>
              </w:rPr>
              <w:t>The cooling installations in GBI and GB II Buildings using the Geneva Lake Water system were upgraded and completed in 2012 and June 2013 respectively.</w:t>
            </w:r>
          </w:p>
          <w:p w:rsidR="00E43AF7" w:rsidRPr="00022AC8" w:rsidRDefault="00E43AF7" w:rsidP="008D1891">
            <w:pPr>
              <w:rPr>
                <w:color w:val="002060"/>
                <w:sz w:val="16"/>
                <w:szCs w:val="16"/>
              </w:rPr>
            </w:pPr>
          </w:p>
          <w:p w:rsidR="00E43AF7" w:rsidRDefault="00E43AF7" w:rsidP="008D1891">
            <w:pPr>
              <w:rPr>
                <w:rFonts w:cstheme="minorBidi"/>
                <w:color w:val="002060"/>
                <w:sz w:val="16"/>
                <w:szCs w:val="16"/>
              </w:rPr>
            </w:pPr>
            <w:r w:rsidRPr="00022AC8">
              <w:rPr>
                <w:color w:val="002060"/>
                <w:sz w:val="16"/>
                <w:szCs w:val="16"/>
              </w:rPr>
              <w:t>The electrical installations in the oldest building (GBI) started to be upgraded in 2012 to comply with recently enacted local legislation, with the added benefit of setting a technical framework for reducing electricity consumption.  It was completed in 2013.</w:t>
            </w:r>
            <w:r w:rsidRPr="006B6FD7">
              <w:rPr>
                <w:color w:val="002060"/>
                <w:sz w:val="16"/>
                <w:szCs w:val="16"/>
              </w:rPr>
              <w:t xml:space="preserve"> </w:t>
            </w:r>
          </w:p>
          <w:p w:rsidR="00E43AF7" w:rsidRPr="004D5A82" w:rsidRDefault="00E43AF7" w:rsidP="008D1891">
            <w:pPr>
              <w:rPr>
                <w:rFonts w:cstheme="minorBidi"/>
                <w:color w:val="002060"/>
                <w:sz w:val="16"/>
                <w:szCs w:val="16"/>
              </w:rPr>
            </w:pPr>
          </w:p>
          <w:p w:rsidR="00E43AF7" w:rsidRPr="00E813BA" w:rsidRDefault="00E43AF7" w:rsidP="008D1891">
            <w:pPr>
              <w:rPr>
                <w:szCs w:val="22"/>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 </w:t>
            </w:r>
            <w:r w:rsidRPr="005C1F88">
              <w:rPr>
                <w:rFonts w:cs="Arial"/>
                <w:sz w:val="16"/>
                <w:szCs w:val="16"/>
              </w:rPr>
              <w:t>6-year plan for first phase of implementation of required major renovation, transformation and/or modernization of premises on WIPO campus</w:t>
            </w:r>
          </w:p>
        </w:tc>
        <w:tc>
          <w:tcPr>
            <w:tcW w:w="909" w:type="pct"/>
            <w:shd w:val="clear" w:color="auto" w:fill="auto"/>
            <w:tcMar>
              <w:top w:w="110" w:type="dxa"/>
            </w:tcMar>
          </w:tcPr>
          <w:p w:rsidR="00E43AF7" w:rsidRPr="006550F0" w:rsidRDefault="00E43AF7" w:rsidP="008D1891">
            <w:pPr>
              <w:rPr>
                <w:rFonts w:cs="Arial"/>
                <w:sz w:val="16"/>
                <w:szCs w:val="16"/>
              </w:rPr>
            </w:pPr>
            <w:r w:rsidRPr="004B7039">
              <w:rPr>
                <w:rFonts w:cs="Arial"/>
                <w:sz w:val="16"/>
                <w:szCs w:val="16"/>
              </w:rPr>
              <w:t>Implementation of major renovation, transformation and/or modernization projects according to 6-year plan</w:t>
            </w:r>
          </w:p>
        </w:tc>
        <w:tc>
          <w:tcPr>
            <w:tcW w:w="1137" w:type="pct"/>
            <w:gridSpan w:val="2"/>
            <w:shd w:val="clear" w:color="auto" w:fill="FFFFFF"/>
            <w:tcMar>
              <w:top w:w="110" w:type="dxa"/>
            </w:tcMar>
          </w:tcPr>
          <w:p w:rsidR="00E43AF7" w:rsidRDefault="00E43AF7" w:rsidP="008D1891">
            <w:pPr>
              <w:rPr>
                <w:rFonts w:cs="Arial"/>
                <w:sz w:val="16"/>
                <w:szCs w:val="16"/>
              </w:rPr>
            </w:pPr>
            <w:r w:rsidRPr="00845557">
              <w:rPr>
                <w:rFonts w:cs="Arial"/>
                <w:sz w:val="16"/>
                <w:szCs w:val="16"/>
              </w:rPr>
              <w:t xml:space="preserve">See Appendix III:  Progress Report on the </w:t>
            </w:r>
            <w:r w:rsidR="006B7B51" w:rsidRPr="007F4916">
              <w:rPr>
                <w:rFonts w:cs="Arial"/>
                <w:sz w:val="16"/>
                <w:szCs w:val="16"/>
              </w:rPr>
              <w:t>Capital Master Plan</w:t>
            </w:r>
            <w:r w:rsidR="006B7B51">
              <w:rPr>
                <w:rFonts w:cs="Arial"/>
                <w:sz w:val="16"/>
                <w:szCs w:val="16"/>
              </w:rPr>
              <w:t xml:space="preserve"> (CMP)</w:t>
            </w:r>
            <w:r w:rsidR="006B7B51" w:rsidRPr="007F4916">
              <w:rPr>
                <w:rFonts w:cs="Arial"/>
                <w:sz w:val="16"/>
                <w:szCs w:val="16"/>
              </w:rPr>
              <w:t xml:space="preserve"> </w:t>
            </w:r>
            <w:r w:rsidRPr="00845557">
              <w:rPr>
                <w:rFonts w:cs="Arial"/>
                <w:sz w:val="16"/>
                <w:szCs w:val="16"/>
              </w:rPr>
              <w:t>in 2014.</w:t>
            </w:r>
            <w:r>
              <w:rPr>
                <w:rFonts w:cs="Arial"/>
                <w:sz w:val="16"/>
                <w:szCs w:val="16"/>
              </w:rPr>
              <w:t xml:space="preserve"> </w:t>
            </w:r>
          </w:p>
          <w:p w:rsidR="00E43AF7" w:rsidRDefault="00E43AF7" w:rsidP="008D1891">
            <w:pPr>
              <w:rPr>
                <w:rFonts w:cs="Arial"/>
                <w:sz w:val="16"/>
                <w:szCs w:val="16"/>
              </w:rPr>
            </w:pPr>
          </w:p>
          <w:p w:rsidR="00E43AF7" w:rsidRPr="006550F0" w:rsidRDefault="00E43AF7">
            <w:pPr>
              <w:rPr>
                <w:rFonts w:cs="Arial"/>
                <w:sz w:val="16"/>
                <w:szCs w:val="16"/>
                <w:lang w:bidi="th-TH"/>
              </w:rPr>
            </w:pPr>
            <w:r w:rsidRPr="007F136C">
              <w:rPr>
                <w:rFonts w:cs="Arial"/>
                <w:sz w:val="16"/>
                <w:szCs w:val="16"/>
              </w:rPr>
              <w:t xml:space="preserve">In addition to </w:t>
            </w:r>
            <w:r>
              <w:rPr>
                <w:rFonts w:cs="Arial"/>
                <w:sz w:val="16"/>
                <w:szCs w:val="16"/>
              </w:rPr>
              <w:t xml:space="preserve">the </w:t>
            </w:r>
            <w:r w:rsidRPr="007F136C">
              <w:rPr>
                <w:rFonts w:cs="Arial"/>
                <w:sz w:val="16"/>
                <w:szCs w:val="16"/>
              </w:rPr>
              <w:t>C</w:t>
            </w:r>
            <w:r>
              <w:rPr>
                <w:rFonts w:cs="Arial"/>
                <w:sz w:val="16"/>
                <w:szCs w:val="16"/>
              </w:rPr>
              <w:t>MP,</w:t>
            </w:r>
            <w:r w:rsidRPr="007F136C">
              <w:rPr>
                <w:rFonts w:cs="Arial"/>
                <w:sz w:val="16"/>
                <w:szCs w:val="16"/>
              </w:rPr>
              <w:t xml:space="preserve"> </w:t>
            </w:r>
            <w:r>
              <w:rPr>
                <w:rFonts w:cs="Arial"/>
                <w:sz w:val="16"/>
                <w:szCs w:val="16"/>
              </w:rPr>
              <w:t xml:space="preserve">the following modernization </w:t>
            </w:r>
            <w:r w:rsidRPr="007F136C">
              <w:rPr>
                <w:rFonts w:cs="Arial"/>
                <w:sz w:val="16"/>
                <w:szCs w:val="16"/>
              </w:rPr>
              <w:t>and transformation project</w:t>
            </w:r>
            <w:r>
              <w:rPr>
                <w:rFonts w:cs="Arial"/>
                <w:sz w:val="16"/>
                <w:szCs w:val="16"/>
              </w:rPr>
              <w:t>s</w:t>
            </w:r>
            <w:r w:rsidRPr="007F136C">
              <w:rPr>
                <w:rFonts w:cs="Arial"/>
                <w:sz w:val="16"/>
                <w:szCs w:val="16"/>
              </w:rPr>
              <w:t xml:space="preserve"> were implemented</w:t>
            </w:r>
            <w:r>
              <w:rPr>
                <w:rFonts w:cs="Arial"/>
                <w:sz w:val="16"/>
                <w:szCs w:val="16"/>
              </w:rPr>
              <w:t xml:space="preserve"> in 2014</w:t>
            </w:r>
            <w:r w:rsidRPr="007F136C">
              <w:rPr>
                <w:rFonts w:cs="Arial"/>
                <w:sz w:val="16"/>
                <w:szCs w:val="16"/>
              </w:rPr>
              <w:t xml:space="preserve">: </w:t>
            </w:r>
            <w:r>
              <w:rPr>
                <w:rFonts w:cs="Arial"/>
                <w:sz w:val="16"/>
                <w:szCs w:val="16"/>
              </w:rPr>
              <w:t xml:space="preserve"> (</w:t>
            </w:r>
            <w:proofErr w:type="spellStart"/>
            <w:r>
              <w:rPr>
                <w:rFonts w:cs="Arial"/>
                <w:sz w:val="16"/>
                <w:szCs w:val="16"/>
              </w:rPr>
              <w:t>i</w:t>
            </w:r>
            <w:proofErr w:type="spellEnd"/>
            <w:r>
              <w:rPr>
                <w:rFonts w:cs="Arial"/>
                <w:sz w:val="16"/>
                <w:szCs w:val="16"/>
              </w:rPr>
              <w:t>) t</w:t>
            </w:r>
            <w:r w:rsidRPr="007F136C">
              <w:rPr>
                <w:rFonts w:cs="Arial"/>
                <w:sz w:val="16"/>
                <w:szCs w:val="16"/>
              </w:rPr>
              <w:t>he main structural work</w:t>
            </w:r>
            <w:r>
              <w:rPr>
                <w:rFonts w:cs="Arial"/>
                <w:sz w:val="16"/>
                <w:szCs w:val="16"/>
              </w:rPr>
              <w:t xml:space="preserve"> for the </w:t>
            </w:r>
            <w:r w:rsidRPr="007F136C">
              <w:rPr>
                <w:rFonts w:cs="Arial"/>
                <w:sz w:val="16"/>
                <w:szCs w:val="16"/>
              </w:rPr>
              <w:t xml:space="preserve"> multimedia studio</w:t>
            </w:r>
            <w:r>
              <w:rPr>
                <w:rFonts w:cs="Arial"/>
                <w:sz w:val="16"/>
                <w:szCs w:val="16"/>
              </w:rPr>
              <w:t xml:space="preserve">;  (ii) the </w:t>
            </w:r>
            <w:r w:rsidRPr="007F136C">
              <w:rPr>
                <w:rFonts w:cs="Arial"/>
                <w:sz w:val="16"/>
                <w:szCs w:val="16"/>
              </w:rPr>
              <w:t>upgrading of technical installation</w:t>
            </w:r>
            <w:r>
              <w:rPr>
                <w:rFonts w:cs="Arial"/>
                <w:sz w:val="16"/>
                <w:szCs w:val="16"/>
              </w:rPr>
              <w:t>s</w:t>
            </w:r>
            <w:r w:rsidRPr="007F136C">
              <w:rPr>
                <w:rFonts w:cs="Arial"/>
                <w:sz w:val="16"/>
                <w:szCs w:val="16"/>
              </w:rPr>
              <w:t xml:space="preserve"> and technical management systems (electri</w:t>
            </w:r>
            <w:r>
              <w:rPr>
                <w:rFonts w:cs="Arial"/>
                <w:sz w:val="16"/>
                <w:szCs w:val="16"/>
              </w:rPr>
              <w:t>cal;</w:t>
            </w:r>
            <w:r w:rsidRPr="007F136C">
              <w:rPr>
                <w:rFonts w:cs="Arial"/>
                <w:sz w:val="16"/>
                <w:szCs w:val="16"/>
              </w:rPr>
              <w:t xml:space="preserve"> water distribution system</w:t>
            </w:r>
            <w:r>
              <w:rPr>
                <w:rFonts w:cs="Arial"/>
                <w:sz w:val="16"/>
                <w:szCs w:val="16"/>
              </w:rPr>
              <w:t>;</w:t>
            </w:r>
            <w:r w:rsidRPr="007F136C">
              <w:rPr>
                <w:rFonts w:cs="Arial"/>
                <w:sz w:val="16"/>
                <w:szCs w:val="16"/>
              </w:rPr>
              <w:t xml:space="preserve"> increase in power and cooling capacity in </w:t>
            </w:r>
            <w:r>
              <w:rPr>
                <w:rFonts w:cs="Arial"/>
                <w:sz w:val="16"/>
                <w:szCs w:val="16"/>
              </w:rPr>
              <w:t>the NB</w:t>
            </w:r>
            <w:r w:rsidRPr="007F136C">
              <w:rPr>
                <w:rFonts w:cs="Arial"/>
                <w:sz w:val="16"/>
                <w:szCs w:val="16"/>
              </w:rPr>
              <w:t xml:space="preserve"> data center</w:t>
            </w:r>
            <w:r>
              <w:rPr>
                <w:rFonts w:cs="Arial"/>
                <w:sz w:val="16"/>
                <w:szCs w:val="16"/>
              </w:rPr>
              <w:t xml:space="preserve">; </w:t>
            </w:r>
            <w:r w:rsidRPr="007F136C">
              <w:rPr>
                <w:rFonts w:cs="Arial"/>
                <w:sz w:val="16"/>
                <w:szCs w:val="16"/>
              </w:rPr>
              <w:t>replacement of</w:t>
            </w:r>
            <w:r>
              <w:rPr>
                <w:rFonts w:cs="Arial"/>
                <w:sz w:val="16"/>
                <w:szCs w:val="16"/>
              </w:rPr>
              <w:t xml:space="preserve"> the</w:t>
            </w:r>
            <w:r w:rsidRPr="007F136C">
              <w:rPr>
                <w:rFonts w:cs="Arial"/>
                <w:sz w:val="16"/>
                <w:szCs w:val="16"/>
              </w:rPr>
              <w:t xml:space="preserve"> cooling tower for redundancy cooling</w:t>
            </w:r>
            <w:r>
              <w:rPr>
                <w:rFonts w:cs="Arial"/>
                <w:sz w:val="16"/>
                <w:szCs w:val="16"/>
              </w:rPr>
              <w:t>;</w:t>
            </w:r>
            <w:r w:rsidRPr="007F136C">
              <w:rPr>
                <w:rFonts w:cs="Arial"/>
                <w:sz w:val="16"/>
                <w:szCs w:val="16"/>
              </w:rPr>
              <w:t xml:space="preserve"> upgrading of </w:t>
            </w:r>
            <w:r>
              <w:rPr>
                <w:rFonts w:cs="Arial"/>
                <w:sz w:val="16"/>
                <w:szCs w:val="16"/>
              </w:rPr>
              <w:t xml:space="preserve">the </w:t>
            </w:r>
            <w:r w:rsidRPr="007F136C">
              <w:rPr>
                <w:rFonts w:cs="Arial"/>
                <w:sz w:val="16"/>
                <w:szCs w:val="16"/>
              </w:rPr>
              <w:t>lightning rod in</w:t>
            </w:r>
            <w:r>
              <w:rPr>
                <w:rFonts w:cs="Arial"/>
                <w:sz w:val="16"/>
                <w:szCs w:val="16"/>
              </w:rPr>
              <w:t xml:space="preserve"> the</w:t>
            </w:r>
            <w:r w:rsidRPr="007F136C">
              <w:rPr>
                <w:rFonts w:cs="Arial"/>
                <w:sz w:val="16"/>
                <w:szCs w:val="16"/>
              </w:rPr>
              <w:t xml:space="preserve"> PCT and GBII building</w:t>
            </w:r>
            <w:r>
              <w:rPr>
                <w:rFonts w:cs="Arial"/>
                <w:sz w:val="16"/>
                <w:szCs w:val="16"/>
              </w:rPr>
              <w:t>s);  (iii) the</w:t>
            </w:r>
            <w:r w:rsidRPr="007F136C">
              <w:rPr>
                <w:rFonts w:cs="Arial"/>
                <w:sz w:val="16"/>
                <w:szCs w:val="16"/>
              </w:rPr>
              <w:t xml:space="preserve"> </w:t>
            </w:r>
            <w:r>
              <w:rPr>
                <w:rFonts w:cs="Arial"/>
                <w:sz w:val="16"/>
                <w:szCs w:val="16"/>
              </w:rPr>
              <w:t>u</w:t>
            </w:r>
            <w:r w:rsidRPr="007F136C">
              <w:rPr>
                <w:rFonts w:cs="Arial"/>
                <w:sz w:val="16"/>
                <w:szCs w:val="16"/>
              </w:rPr>
              <w:t xml:space="preserve">pgrading </w:t>
            </w:r>
            <w:r>
              <w:rPr>
                <w:rFonts w:cs="Arial"/>
                <w:sz w:val="16"/>
                <w:szCs w:val="16"/>
              </w:rPr>
              <w:t xml:space="preserve">of the </w:t>
            </w:r>
            <w:r w:rsidRPr="007F136C">
              <w:rPr>
                <w:rFonts w:cs="Arial"/>
                <w:sz w:val="16"/>
                <w:szCs w:val="16"/>
              </w:rPr>
              <w:t>ventilation system for</w:t>
            </w:r>
            <w:r>
              <w:rPr>
                <w:rFonts w:cs="Arial"/>
                <w:sz w:val="16"/>
                <w:szCs w:val="16"/>
              </w:rPr>
              <w:t xml:space="preserve"> the</w:t>
            </w:r>
            <w:r w:rsidRPr="007F136C">
              <w:rPr>
                <w:rFonts w:cs="Arial"/>
                <w:sz w:val="16"/>
                <w:szCs w:val="16"/>
              </w:rPr>
              <w:t xml:space="preserve"> AB building (11</w:t>
            </w:r>
            <w:r>
              <w:rPr>
                <w:rFonts w:cs="Arial"/>
                <w:sz w:val="16"/>
                <w:szCs w:val="16"/>
              </w:rPr>
              <w:t>th</w:t>
            </w:r>
            <w:r w:rsidRPr="007F136C">
              <w:rPr>
                <w:rFonts w:cs="Arial"/>
                <w:sz w:val="16"/>
                <w:szCs w:val="16"/>
              </w:rPr>
              <w:t xml:space="preserve"> and 13th floor</w:t>
            </w:r>
            <w:r>
              <w:rPr>
                <w:rFonts w:cs="Arial"/>
                <w:sz w:val="16"/>
                <w:szCs w:val="16"/>
              </w:rPr>
              <w:t>s</w:t>
            </w:r>
            <w:r w:rsidRPr="007F136C">
              <w:rPr>
                <w:rFonts w:cs="Arial"/>
                <w:sz w:val="16"/>
                <w:szCs w:val="16"/>
              </w:rPr>
              <w:t>)</w:t>
            </w:r>
            <w:r>
              <w:rPr>
                <w:rFonts w:cs="Arial"/>
                <w:sz w:val="16"/>
                <w:szCs w:val="16"/>
              </w:rPr>
              <w:t>;  and (iv) the</w:t>
            </w:r>
            <w:r w:rsidRPr="007F136C">
              <w:rPr>
                <w:rFonts w:cs="Arial"/>
                <w:sz w:val="16"/>
                <w:szCs w:val="16"/>
              </w:rPr>
              <w:t xml:space="preserve"> upgrading of </w:t>
            </w:r>
            <w:r>
              <w:rPr>
                <w:rFonts w:cs="Arial"/>
                <w:sz w:val="16"/>
                <w:szCs w:val="16"/>
              </w:rPr>
              <w:t xml:space="preserve">the </w:t>
            </w:r>
            <w:r w:rsidRPr="007F136C">
              <w:rPr>
                <w:rFonts w:cs="Arial"/>
                <w:sz w:val="16"/>
                <w:szCs w:val="16"/>
              </w:rPr>
              <w:t>technical alarm</w:t>
            </w:r>
            <w:r>
              <w:rPr>
                <w:rFonts w:cs="Arial"/>
                <w:sz w:val="16"/>
                <w:szCs w:val="16"/>
              </w:rPr>
              <w:t>s</w:t>
            </w:r>
            <w:r w:rsidRPr="007F136C">
              <w:rPr>
                <w:rFonts w:cs="Arial"/>
                <w:sz w:val="16"/>
                <w:szCs w:val="16"/>
              </w:rPr>
              <w:t xml:space="preserve"> in </w:t>
            </w:r>
            <w:r>
              <w:rPr>
                <w:rFonts w:cs="Arial"/>
                <w:sz w:val="16"/>
                <w:szCs w:val="16"/>
              </w:rPr>
              <w:t>the NB</w:t>
            </w:r>
            <w:r w:rsidRPr="007F136C">
              <w:rPr>
                <w:rFonts w:cs="Arial"/>
                <w:sz w:val="16"/>
                <w:szCs w:val="16"/>
              </w:rPr>
              <w:t>.</w:t>
            </w:r>
          </w:p>
        </w:tc>
        <w:tc>
          <w:tcPr>
            <w:tcW w:w="529" w:type="pct"/>
            <w:shd w:val="clear" w:color="auto" w:fill="auto"/>
            <w:tcMar>
              <w:top w:w="110" w:type="dxa"/>
            </w:tcMar>
          </w:tcPr>
          <w:p w:rsidR="00E43AF7" w:rsidRPr="003C3247" w:rsidRDefault="00E43AF7" w:rsidP="008D1891">
            <w:pPr>
              <w:keepNext/>
              <w:keepLines/>
              <w:jc w:val="center"/>
              <w:rPr>
                <w:rFonts w:cs="Arial"/>
                <w:bCs/>
                <w:color w:val="FF0000"/>
                <w:sz w:val="16"/>
                <w:szCs w:val="16"/>
              </w:rPr>
            </w:pPr>
            <w:r w:rsidRPr="00AB5747">
              <w:rPr>
                <w:b/>
                <w:bCs/>
                <w:color w:val="00B050"/>
                <w:sz w:val="16"/>
                <w:szCs w:val="16"/>
              </w:rPr>
              <w:t>On track</w:t>
            </w:r>
          </w:p>
        </w:tc>
      </w:tr>
      <w:tr w:rsidR="00E43AF7" w:rsidRPr="003C3247" w:rsidTr="00E43AF7">
        <w:trPr>
          <w:cantSplit/>
        </w:trPr>
        <w:tc>
          <w:tcPr>
            <w:tcW w:w="1139" w:type="pct"/>
            <w:tcBorders>
              <w:bottom w:val="single" w:sz="4" w:space="0" w:color="auto"/>
            </w:tcBorders>
            <w:shd w:val="clear" w:color="auto" w:fill="auto"/>
          </w:tcPr>
          <w:p w:rsidR="00E43AF7" w:rsidRPr="00FE03FF" w:rsidRDefault="00E43AF7" w:rsidP="008D1891">
            <w:pPr>
              <w:rPr>
                <w:rFonts w:cs="Arial"/>
                <w:sz w:val="16"/>
                <w:szCs w:val="16"/>
              </w:rPr>
            </w:pPr>
            <w:r w:rsidRPr="004D5A82">
              <w:rPr>
                <w:rFonts w:cs="Arial"/>
                <w:sz w:val="16"/>
                <w:szCs w:val="16"/>
              </w:rPr>
              <w:t>All types of critical technical installations comply with applicable technical standards</w:t>
            </w:r>
          </w:p>
        </w:tc>
        <w:tc>
          <w:tcPr>
            <w:tcW w:w="1287" w:type="pct"/>
            <w:tcBorders>
              <w:bottom w:val="single" w:sz="4" w:space="0" w:color="auto"/>
            </w:tcBorders>
            <w:shd w:val="clear" w:color="auto" w:fill="auto"/>
          </w:tcPr>
          <w:p w:rsidR="00E43AF7" w:rsidRDefault="00E43AF7" w:rsidP="008D1891">
            <w:pPr>
              <w:rPr>
                <w:rFonts w:cs="Arial"/>
                <w:sz w:val="16"/>
                <w:szCs w:val="16"/>
              </w:rPr>
            </w:pPr>
            <w:r w:rsidRPr="005C1F88">
              <w:rPr>
                <w:rFonts w:cs="Arial"/>
                <w:sz w:val="16"/>
                <w:szCs w:val="16"/>
              </w:rPr>
              <w:t>Compliance of technical installations with applicable standards and definition of critical installations</w:t>
            </w:r>
          </w:p>
          <w:p w:rsidR="00E43AF7" w:rsidRPr="00E813BA" w:rsidRDefault="00E43AF7" w:rsidP="008D1891">
            <w:pPr>
              <w:rPr>
                <w:rFonts w:cstheme="minorBidi"/>
                <w:szCs w:val="22"/>
              </w:rPr>
            </w:pPr>
          </w:p>
        </w:tc>
        <w:tc>
          <w:tcPr>
            <w:tcW w:w="909" w:type="pct"/>
            <w:tcBorders>
              <w:bottom w:val="single" w:sz="4" w:space="0" w:color="auto"/>
            </w:tcBorders>
            <w:shd w:val="clear" w:color="auto" w:fill="auto"/>
            <w:tcMar>
              <w:top w:w="110" w:type="dxa"/>
            </w:tcMar>
          </w:tcPr>
          <w:p w:rsidR="00E43AF7" w:rsidRPr="006550F0" w:rsidRDefault="00E43AF7" w:rsidP="00E51E18">
            <w:pPr>
              <w:rPr>
                <w:rFonts w:cs="Arial"/>
                <w:sz w:val="16"/>
                <w:szCs w:val="16"/>
              </w:rPr>
            </w:pPr>
            <w:r w:rsidRPr="004D5A82">
              <w:rPr>
                <w:rFonts w:cs="Arial"/>
                <w:sz w:val="16"/>
                <w:szCs w:val="16"/>
              </w:rPr>
              <w:t>Verification and/or improve/replace (if required) of critical technical installations as necessary</w:t>
            </w:r>
          </w:p>
        </w:tc>
        <w:tc>
          <w:tcPr>
            <w:tcW w:w="1137" w:type="pct"/>
            <w:gridSpan w:val="2"/>
            <w:tcBorders>
              <w:bottom w:val="single" w:sz="4" w:space="0" w:color="auto"/>
            </w:tcBorders>
            <w:shd w:val="clear" w:color="auto" w:fill="FFFFFF"/>
            <w:tcMar>
              <w:top w:w="110" w:type="dxa"/>
            </w:tcMar>
          </w:tcPr>
          <w:p w:rsidR="00E43AF7" w:rsidRPr="007F136C" w:rsidRDefault="00E43AF7" w:rsidP="008D1891">
            <w:pPr>
              <w:rPr>
                <w:rFonts w:cs="Arial"/>
                <w:sz w:val="16"/>
                <w:szCs w:val="16"/>
              </w:rPr>
            </w:pPr>
            <w:r w:rsidRPr="007F136C">
              <w:rPr>
                <w:rFonts w:cs="Arial"/>
                <w:sz w:val="16"/>
                <w:szCs w:val="16"/>
              </w:rPr>
              <w:t>Critical installation</w:t>
            </w:r>
            <w:r>
              <w:rPr>
                <w:rFonts w:cs="Arial"/>
                <w:sz w:val="16"/>
                <w:szCs w:val="16"/>
              </w:rPr>
              <w:t>s</w:t>
            </w:r>
            <w:r w:rsidRPr="007F136C">
              <w:rPr>
                <w:rFonts w:cs="Arial"/>
                <w:sz w:val="16"/>
                <w:szCs w:val="16"/>
              </w:rPr>
              <w:t xml:space="preserve"> </w:t>
            </w:r>
            <w:r>
              <w:rPr>
                <w:rFonts w:cs="Arial"/>
                <w:sz w:val="16"/>
                <w:szCs w:val="16"/>
              </w:rPr>
              <w:t xml:space="preserve">periodically </w:t>
            </w:r>
            <w:r w:rsidRPr="007F136C">
              <w:rPr>
                <w:rFonts w:cs="Arial"/>
                <w:sz w:val="16"/>
                <w:szCs w:val="16"/>
              </w:rPr>
              <w:t xml:space="preserve">verified. The first detailed inventory of all critical installations was </w:t>
            </w:r>
            <w:r>
              <w:rPr>
                <w:rFonts w:cs="Arial"/>
                <w:sz w:val="16"/>
                <w:szCs w:val="16"/>
              </w:rPr>
              <w:t>c</w:t>
            </w:r>
            <w:r w:rsidRPr="007F136C">
              <w:rPr>
                <w:rFonts w:cs="Arial"/>
                <w:sz w:val="16"/>
                <w:szCs w:val="16"/>
              </w:rPr>
              <w:t>omplete</w:t>
            </w:r>
            <w:r>
              <w:rPr>
                <w:rFonts w:cs="Arial"/>
                <w:sz w:val="16"/>
                <w:szCs w:val="16"/>
              </w:rPr>
              <w:t>d</w:t>
            </w:r>
            <w:r w:rsidRPr="007F136C">
              <w:rPr>
                <w:rFonts w:cs="Arial"/>
                <w:sz w:val="16"/>
                <w:szCs w:val="16"/>
              </w:rPr>
              <w:t>.</w:t>
            </w:r>
          </w:p>
          <w:p w:rsidR="00E43AF7" w:rsidRPr="006550F0" w:rsidRDefault="00E43AF7" w:rsidP="008D1891">
            <w:pPr>
              <w:rPr>
                <w:rFonts w:cs="Arial"/>
                <w:sz w:val="16"/>
                <w:szCs w:val="16"/>
              </w:rPr>
            </w:pPr>
          </w:p>
        </w:tc>
        <w:tc>
          <w:tcPr>
            <w:tcW w:w="529" w:type="pct"/>
            <w:tcBorders>
              <w:bottom w:val="single" w:sz="4" w:space="0" w:color="auto"/>
            </w:tcBorders>
            <w:shd w:val="clear" w:color="auto" w:fill="auto"/>
            <w:tcMar>
              <w:top w:w="110" w:type="dxa"/>
            </w:tcMar>
          </w:tcPr>
          <w:p w:rsidR="00E43AF7" w:rsidRPr="003C3247" w:rsidRDefault="00E43AF7" w:rsidP="008D1891">
            <w:pPr>
              <w:keepNext/>
              <w:keepLines/>
              <w:jc w:val="center"/>
              <w:rPr>
                <w:rFonts w:cs="Arial"/>
                <w:bCs/>
                <w:color w:val="808080" w:themeColor="background1" w:themeShade="80"/>
                <w:sz w:val="16"/>
                <w:szCs w:val="16"/>
              </w:rPr>
            </w:pPr>
            <w:r w:rsidRPr="00AB5747">
              <w:rPr>
                <w:b/>
                <w:bCs/>
                <w:color w:val="00B050"/>
                <w:sz w:val="16"/>
                <w:szCs w:val="16"/>
              </w:rPr>
              <w:t>On track</w:t>
            </w:r>
          </w:p>
        </w:tc>
      </w:tr>
      <w:tr w:rsidR="00E43AF7" w:rsidTr="008D1891">
        <w:trPr>
          <w:cantSplit/>
        </w:trPr>
        <w:tc>
          <w:tcPr>
            <w:tcW w:w="5000" w:type="pct"/>
            <w:gridSpan w:val="6"/>
            <w:tcBorders>
              <w:top w:val="single" w:sz="4" w:space="0" w:color="auto"/>
              <w:bottom w:val="single" w:sz="4" w:space="0" w:color="auto"/>
            </w:tcBorders>
            <w:shd w:val="clear" w:color="auto" w:fill="CCFFFF"/>
            <w:vAlign w:val="center"/>
          </w:tcPr>
          <w:p w:rsidR="00E43AF7" w:rsidRDefault="00E43AF7" w:rsidP="008D1891">
            <w:pPr>
              <w:keepNext/>
              <w:keepLines/>
              <w:tabs>
                <w:tab w:val="left" w:pos="1452"/>
              </w:tabs>
              <w:spacing w:before="120" w:after="120"/>
              <w:ind w:left="1452" w:hanging="1452"/>
              <w:rPr>
                <w:rFonts w:cs="Arial"/>
                <w:b/>
                <w:bCs/>
                <w:sz w:val="16"/>
                <w:szCs w:val="16"/>
              </w:rPr>
            </w:pPr>
            <w:r w:rsidRPr="00234BEF">
              <w:rPr>
                <w:rFonts w:cs="Arial"/>
                <w:b/>
                <w:bCs/>
                <w:sz w:val="16"/>
                <w:szCs w:val="16"/>
              </w:rPr>
              <w:lastRenderedPageBreak/>
              <w:t>Expected Result</w:t>
            </w:r>
            <w:r>
              <w:rPr>
                <w:rFonts w:cs="Arial"/>
                <w:b/>
                <w:bCs/>
                <w:sz w:val="16"/>
                <w:szCs w:val="16"/>
              </w:rPr>
              <w:t>:</w:t>
            </w:r>
            <w:r>
              <w:rPr>
                <w:rFonts w:cs="Arial"/>
                <w:b/>
                <w:bCs/>
                <w:sz w:val="16"/>
                <w:szCs w:val="16"/>
              </w:rPr>
              <w:tab/>
            </w:r>
            <w:r w:rsidRPr="00F62987">
              <w:rPr>
                <w:rFonts w:cs="Arial"/>
                <w:sz w:val="16"/>
                <w:szCs w:val="16"/>
              </w:rPr>
              <w:t>IX.4 An environmentally and socially responsible Organization in which WIPO staff, delegates, visitors and information and physical assets are safe and secure</w:t>
            </w:r>
          </w:p>
        </w:tc>
      </w:tr>
      <w:tr w:rsidR="00E43AF7" w:rsidRPr="003C3247" w:rsidTr="00E43AF7">
        <w:trPr>
          <w:cantSplit/>
        </w:trPr>
        <w:tc>
          <w:tcPr>
            <w:tcW w:w="1139" w:type="pct"/>
            <w:tcBorders>
              <w:top w:val="single" w:sz="4" w:space="0" w:color="auto"/>
            </w:tcBorders>
            <w:shd w:val="clear" w:color="auto" w:fill="auto"/>
            <w:vAlign w:val="center"/>
          </w:tcPr>
          <w:p w:rsidR="00E43AF7" w:rsidRPr="003C3247" w:rsidRDefault="00E43AF7" w:rsidP="008D1891">
            <w:pPr>
              <w:keepNext/>
              <w:keepLines/>
              <w:rPr>
                <w:rFonts w:cs="Arial"/>
                <w:sz w:val="16"/>
                <w:szCs w:val="16"/>
              </w:rPr>
            </w:pPr>
            <w:r w:rsidRPr="003C3247">
              <w:rPr>
                <w:rFonts w:cs="Arial"/>
                <w:b/>
                <w:bCs/>
                <w:sz w:val="16"/>
                <w:szCs w:val="16"/>
              </w:rPr>
              <w:t>Performance Indicators</w:t>
            </w:r>
          </w:p>
        </w:tc>
        <w:tc>
          <w:tcPr>
            <w:tcW w:w="1287" w:type="pct"/>
            <w:tcBorders>
              <w:top w:val="single" w:sz="4" w:space="0" w:color="auto"/>
            </w:tcBorders>
            <w:shd w:val="clear" w:color="auto" w:fill="auto"/>
            <w:vAlign w:val="center"/>
          </w:tcPr>
          <w:p w:rsidR="00E43AF7" w:rsidRPr="003C3247" w:rsidRDefault="00E43AF7" w:rsidP="008D1891">
            <w:pPr>
              <w:keepNext/>
              <w:keepLines/>
              <w:rPr>
                <w:rFonts w:cs="Arial"/>
                <w:b/>
                <w:bCs/>
                <w:sz w:val="16"/>
                <w:szCs w:val="16"/>
              </w:rPr>
            </w:pPr>
            <w:r w:rsidRPr="003C3247">
              <w:rPr>
                <w:rFonts w:cs="Arial"/>
                <w:b/>
                <w:bCs/>
                <w:sz w:val="16"/>
                <w:szCs w:val="16"/>
              </w:rPr>
              <w:t>Baselines</w:t>
            </w:r>
          </w:p>
        </w:tc>
        <w:tc>
          <w:tcPr>
            <w:tcW w:w="909" w:type="pct"/>
            <w:tcBorders>
              <w:top w:val="single" w:sz="4" w:space="0" w:color="auto"/>
            </w:tcBorders>
            <w:shd w:val="clear" w:color="auto" w:fill="auto"/>
            <w:tcMar>
              <w:top w:w="110" w:type="dxa"/>
            </w:tcMar>
            <w:vAlign w:val="center"/>
          </w:tcPr>
          <w:p w:rsidR="00E43AF7" w:rsidRPr="003C3247" w:rsidRDefault="00E43AF7" w:rsidP="008D1891">
            <w:pPr>
              <w:keepNext/>
              <w:keepLines/>
              <w:rPr>
                <w:rFonts w:cs="Arial"/>
                <w:b/>
                <w:sz w:val="16"/>
                <w:szCs w:val="16"/>
              </w:rPr>
            </w:pPr>
            <w:r w:rsidRPr="003C3247">
              <w:rPr>
                <w:rFonts w:cs="Arial"/>
                <w:b/>
                <w:sz w:val="16"/>
                <w:szCs w:val="16"/>
              </w:rPr>
              <w:t>Target</w:t>
            </w:r>
            <w:r>
              <w:rPr>
                <w:rFonts w:cs="Arial"/>
                <w:b/>
                <w:sz w:val="16"/>
                <w:szCs w:val="16"/>
              </w:rPr>
              <w:t>s</w:t>
            </w:r>
          </w:p>
        </w:tc>
        <w:tc>
          <w:tcPr>
            <w:tcW w:w="1124" w:type="pct"/>
            <w:tcBorders>
              <w:top w:val="single" w:sz="4" w:space="0" w:color="auto"/>
            </w:tcBorders>
            <w:shd w:val="clear" w:color="auto" w:fill="FFFFFF"/>
            <w:tcMar>
              <w:top w:w="110" w:type="dxa"/>
            </w:tcMar>
            <w:vAlign w:val="center"/>
          </w:tcPr>
          <w:p w:rsidR="00E43AF7" w:rsidRPr="003C3247" w:rsidRDefault="00E43AF7" w:rsidP="008D1891">
            <w:pPr>
              <w:keepNext/>
              <w:keepLines/>
              <w:rPr>
                <w:rFonts w:cs="Arial"/>
                <w:sz w:val="16"/>
                <w:szCs w:val="16"/>
              </w:rPr>
            </w:pPr>
            <w:r w:rsidRPr="003C3247">
              <w:rPr>
                <w:rFonts w:cs="Arial"/>
                <w:b/>
                <w:bCs/>
                <w:sz w:val="16"/>
                <w:szCs w:val="16"/>
              </w:rPr>
              <w:t>Performance Data</w:t>
            </w:r>
          </w:p>
        </w:tc>
        <w:tc>
          <w:tcPr>
            <w:tcW w:w="542" w:type="pct"/>
            <w:gridSpan w:val="2"/>
            <w:tcBorders>
              <w:top w:val="single" w:sz="4" w:space="0" w:color="auto"/>
            </w:tcBorders>
            <w:shd w:val="clear" w:color="auto" w:fill="auto"/>
            <w:tcMar>
              <w:top w:w="110" w:type="dxa"/>
            </w:tcMar>
            <w:vAlign w:val="center"/>
          </w:tcPr>
          <w:p w:rsidR="00E43AF7" w:rsidRPr="003C3247" w:rsidRDefault="00E43AF7" w:rsidP="008D1891">
            <w:pPr>
              <w:keepNext/>
              <w:keepLines/>
              <w:jc w:val="center"/>
              <w:rPr>
                <w:rFonts w:cs="Arial"/>
                <w:b/>
                <w:bCs/>
                <w:sz w:val="16"/>
                <w:szCs w:val="16"/>
              </w:rPr>
            </w:pPr>
            <w:r w:rsidRPr="003C3247">
              <w:rPr>
                <w:rFonts w:cs="Arial"/>
                <w:b/>
                <w:bCs/>
                <w:sz w:val="16"/>
                <w:szCs w:val="16"/>
              </w:rPr>
              <w:t>TLS</w:t>
            </w:r>
          </w:p>
        </w:tc>
      </w:tr>
      <w:tr w:rsidR="00E43AF7" w:rsidTr="00E43AF7">
        <w:trPr>
          <w:cantSplit/>
          <w:trHeight w:val="4752"/>
        </w:trPr>
        <w:tc>
          <w:tcPr>
            <w:tcW w:w="1139" w:type="pct"/>
            <w:shd w:val="clear" w:color="auto" w:fill="auto"/>
          </w:tcPr>
          <w:p w:rsidR="00E43AF7" w:rsidRPr="00FE03FF" w:rsidRDefault="00E43AF7" w:rsidP="008D1891">
            <w:pPr>
              <w:rPr>
                <w:rFonts w:cs="Arial"/>
                <w:sz w:val="16"/>
                <w:szCs w:val="16"/>
              </w:rPr>
            </w:pPr>
            <w:r w:rsidRPr="00F62987">
              <w:rPr>
                <w:rFonts w:cs="Arial"/>
                <w:sz w:val="16"/>
                <w:szCs w:val="16"/>
              </w:rPr>
              <w:t>Improved physical access to the WIPO campus</w:t>
            </w:r>
          </w:p>
        </w:tc>
        <w:tc>
          <w:tcPr>
            <w:tcW w:w="1287" w:type="pct"/>
            <w:shd w:val="clear" w:color="auto" w:fill="auto"/>
          </w:tcPr>
          <w:p w:rsidR="00E43AF7" w:rsidRPr="00F62987" w:rsidRDefault="00E43AF7" w:rsidP="008D1891">
            <w:pPr>
              <w:rPr>
                <w:color w:val="002060"/>
                <w:sz w:val="16"/>
                <w:szCs w:val="16"/>
                <w:highlight w:val="yellow"/>
              </w:rPr>
            </w:pPr>
            <w:r w:rsidRPr="00AC2A2B">
              <w:rPr>
                <w:i/>
                <w:color w:val="002060"/>
                <w:sz w:val="16"/>
                <w:szCs w:val="16"/>
              </w:rPr>
              <w:t>Updated Baseline end 2013:</w:t>
            </w:r>
            <w:r>
              <w:t xml:space="preserve"> </w:t>
            </w:r>
            <w:r w:rsidRPr="00AC2A2B">
              <w:rPr>
                <w:color w:val="002060"/>
                <w:sz w:val="16"/>
                <w:szCs w:val="16"/>
              </w:rPr>
              <w:t xml:space="preserve">The 5- year plan was not established at the end of 2013. </w:t>
            </w:r>
            <w:r w:rsidRPr="006B6FD7">
              <w:rPr>
                <w:color w:val="002060"/>
                <w:sz w:val="16"/>
                <w:szCs w:val="16"/>
                <w:highlight w:val="yellow"/>
              </w:rPr>
              <w:t xml:space="preserve"> </w:t>
            </w:r>
          </w:p>
          <w:p w:rsidR="00E43AF7" w:rsidRPr="008225D9" w:rsidRDefault="00E43AF7" w:rsidP="008D1891">
            <w:pPr>
              <w:rPr>
                <w:rFonts w:cs="Arial"/>
                <w:i/>
                <w:sz w:val="8"/>
                <w:szCs w:val="8"/>
              </w:rPr>
            </w:pPr>
          </w:p>
          <w:p w:rsidR="00E43AF7" w:rsidRPr="00FE03FF" w:rsidRDefault="00E43AF7" w:rsidP="008D1891">
            <w:pPr>
              <w:rPr>
                <w:rFonts w:cs="Arial"/>
                <w:sz w:val="16"/>
                <w:szCs w:val="16"/>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w:t>
            </w:r>
            <w:r>
              <w:rPr>
                <w:rFonts w:cs="Arial"/>
                <w:sz w:val="16"/>
                <w:szCs w:val="16"/>
              </w:rPr>
              <w:br/>
            </w:r>
            <w:r w:rsidRPr="005C1F88">
              <w:rPr>
                <w:rFonts w:cs="Arial"/>
                <w:sz w:val="16"/>
                <w:szCs w:val="16"/>
              </w:rPr>
              <w:t>5-year plan for implementation of recommendations in 2012 Physical Accessibility Audit (plan established at end 2013)</w:t>
            </w:r>
          </w:p>
        </w:tc>
        <w:tc>
          <w:tcPr>
            <w:tcW w:w="909" w:type="pct"/>
            <w:shd w:val="clear" w:color="auto" w:fill="auto"/>
            <w:tcMar>
              <w:top w:w="110" w:type="dxa"/>
            </w:tcMar>
          </w:tcPr>
          <w:p w:rsidR="00E43AF7" w:rsidRPr="008225D9" w:rsidRDefault="00E43AF7" w:rsidP="008D1891">
            <w:pPr>
              <w:rPr>
                <w:rFonts w:cs="Arial"/>
                <w:sz w:val="16"/>
                <w:szCs w:val="16"/>
              </w:rPr>
            </w:pPr>
            <w:r w:rsidRPr="00F62987">
              <w:rPr>
                <w:rFonts w:cs="Arial"/>
                <w:sz w:val="16"/>
                <w:szCs w:val="16"/>
              </w:rPr>
              <w:t>Implementation of audit recommendations according to 5-year plan</w:t>
            </w:r>
          </w:p>
        </w:tc>
        <w:tc>
          <w:tcPr>
            <w:tcW w:w="1124" w:type="pct"/>
            <w:shd w:val="clear" w:color="auto" w:fill="FFFFFF"/>
            <w:tcMar>
              <w:top w:w="110" w:type="dxa"/>
            </w:tcMar>
          </w:tcPr>
          <w:p w:rsidR="00E43AF7" w:rsidRDefault="00E43AF7" w:rsidP="008D1891">
            <w:pPr>
              <w:rPr>
                <w:rFonts w:cs="Arial"/>
                <w:sz w:val="16"/>
                <w:szCs w:val="16"/>
              </w:rPr>
            </w:pPr>
            <w:r w:rsidRPr="007F136C">
              <w:rPr>
                <w:rFonts w:cs="Arial"/>
                <w:sz w:val="16"/>
                <w:szCs w:val="16"/>
              </w:rPr>
              <w:t>The 5</w:t>
            </w:r>
            <w:r>
              <w:rPr>
                <w:rFonts w:cs="Arial"/>
                <w:sz w:val="16"/>
                <w:szCs w:val="16"/>
              </w:rPr>
              <w:t>-</w:t>
            </w:r>
            <w:r w:rsidRPr="007F136C">
              <w:rPr>
                <w:rFonts w:cs="Arial"/>
                <w:sz w:val="16"/>
                <w:szCs w:val="16"/>
              </w:rPr>
              <w:t xml:space="preserve">year plan </w:t>
            </w:r>
            <w:r>
              <w:rPr>
                <w:rFonts w:cs="Arial"/>
                <w:sz w:val="16"/>
                <w:szCs w:val="16"/>
              </w:rPr>
              <w:t>was not</w:t>
            </w:r>
            <w:r w:rsidRPr="007F136C">
              <w:rPr>
                <w:rFonts w:cs="Arial"/>
                <w:sz w:val="16"/>
                <w:szCs w:val="16"/>
              </w:rPr>
              <w:t xml:space="preserve"> established </w:t>
            </w:r>
            <w:r>
              <w:rPr>
                <w:rFonts w:cs="Arial"/>
                <w:sz w:val="16"/>
                <w:szCs w:val="16"/>
              </w:rPr>
              <w:t>by</w:t>
            </w:r>
            <w:r w:rsidRPr="007F136C">
              <w:rPr>
                <w:rFonts w:cs="Arial"/>
                <w:sz w:val="16"/>
                <w:szCs w:val="16"/>
              </w:rPr>
              <w:t xml:space="preserve"> the end of 201</w:t>
            </w:r>
            <w:r>
              <w:rPr>
                <w:rFonts w:cs="Arial"/>
                <w:sz w:val="16"/>
                <w:szCs w:val="16"/>
              </w:rPr>
              <w:t>4</w:t>
            </w:r>
            <w:r w:rsidRPr="007F136C">
              <w:rPr>
                <w:rFonts w:cs="Arial"/>
                <w:sz w:val="16"/>
                <w:szCs w:val="16"/>
              </w:rPr>
              <w:t xml:space="preserve"> due to the lack of available resources and the worksite</w:t>
            </w:r>
            <w:r>
              <w:rPr>
                <w:rFonts w:cs="Arial"/>
                <w:sz w:val="16"/>
                <w:szCs w:val="16"/>
              </w:rPr>
              <w:t xml:space="preserve"> for the </w:t>
            </w:r>
            <w:r w:rsidRPr="003B7155">
              <w:rPr>
                <w:rFonts w:cs="Arial"/>
                <w:sz w:val="16"/>
                <w:szCs w:val="16"/>
              </w:rPr>
              <w:t>new WIPO Conference Hall</w:t>
            </w:r>
            <w:r w:rsidRPr="007F136C">
              <w:rPr>
                <w:rFonts w:cs="Arial"/>
                <w:sz w:val="16"/>
                <w:szCs w:val="16"/>
              </w:rPr>
              <w:t>.</w:t>
            </w:r>
          </w:p>
          <w:p w:rsidR="00E43AF7" w:rsidRPr="007F136C" w:rsidRDefault="00E43AF7" w:rsidP="008D1891">
            <w:pPr>
              <w:rPr>
                <w:rFonts w:cs="Arial"/>
                <w:sz w:val="16"/>
                <w:szCs w:val="16"/>
              </w:rPr>
            </w:pPr>
            <w:r w:rsidRPr="007F136C">
              <w:rPr>
                <w:rFonts w:cs="Arial"/>
                <w:sz w:val="16"/>
                <w:szCs w:val="16"/>
              </w:rPr>
              <w:t xml:space="preserve"> </w:t>
            </w:r>
          </w:p>
          <w:p w:rsidR="00E43AF7" w:rsidRPr="00720FD9" w:rsidRDefault="00E43AF7" w:rsidP="008D1891">
            <w:pPr>
              <w:rPr>
                <w:rFonts w:cs="Arial"/>
                <w:sz w:val="16"/>
                <w:szCs w:val="16"/>
              </w:rPr>
            </w:pPr>
            <w:r w:rsidRPr="007956DB">
              <w:rPr>
                <w:rFonts w:cs="Arial"/>
                <w:sz w:val="16"/>
                <w:szCs w:val="16"/>
              </w:rPr>
              <w:t>Improvements included: (</w:t>
            </w:r>
            <w:proofErr w:type="spellStart"/>
            <w:r w:rsidRPr="007956DB">
              <w:rPr>
                <w:rFonts w:cs="Arial"/>
                <w:sz w:val="16"/>
                <w:szCs w:val="16"/>
              </w:rPr>
              <w:t>i</w:t>
            </w:r>
            <w:proofErr w:type="spellEnd"/>
            <w:r w:rsidRPr="007956DB">
              <w:rPr>
                <w:rFonts w:cs="Arial"/>
                <w:sz w:val="16"/>
                <w:szCs w:val="16"/>
              </w:rPr>
              <w:t xml:space="preserve">) additional ramps for wheelchair access (access to interpreters booths in a new meeting room in the </w:t>
            </w:r>
            <w:r>
              <w:rPr>
                <w:rFonts w:cs="Arial"/>
                <w:sz w:val="16"/>
                <w:szCs w:val="16"/>
              </w:rPr>
              <w:t>NB</w:t>
            </w:r>
            <w:r w:rsidRPr="007956DB">
              <w:rPr>
                <w:rFonts w:cs="Arial"/>
                <w:sz w:val="16"/>
                <w:szCs w:val="16"/>
              </w:rPr>
              <w:t xml:space="preserve">,; and (ii) the lowering of badge readers to be at the level of wheelchair access in the AB, PCT and NB Buildings </w:t>
            </w:r>
            <w:r>
              <w:rPr>
                <w:rFonts w:cs="Arial"/>
                <w:sz w:val="16"/>
                <w:szCs w:val="16"/>
              </w:rPr>
              <w:t xml:space="preserve">Some of these </w:t>
            </w:r>
            <w:r w:rsidRPr="007956DB">
              <w:rPr>
                <w:rFonts w:cs="Arial"/>
                <w:sz w:val="16"/>
                <w:szCs w:val="16"/>
              </w:rPr>
              <w:t xml:space="preserve">features were implemented at no major cost and/or where the features could be integrated in other infrastructure or installations improvement at minimal extra cost. </w:t>
            </w:r>
          </w:p>
        </w:tc>
        <w:tc>
          <w:tcPr>
            <w:tcW w:w="542" w:type="pct"/>
            <w:gridSpan w:val="2"/>
            <w:shd w:val="clear" w:color="auto" w:fill="auto"/>
            <w:tcMar>
              <w:top w:w="110" w:type="dxa"/>
            </w:tcMar>
          </w:tcPr>
          <w:p w:rsidR="00E43AF7" w:rsidRPr="0087507C" w:rsidRDefault="00E43AF7" w:rsidP="008D1891">
            <w:pPr>
              <w:keepNext/>
              <w:keepLines/>
              <w:jc w:val="center"/>
              <w:rPr>
                <w:rFonts w:cs="Arial"/>
                <w:b/>
                <w:color w:val="FF0000"/>
                <w:sz w:val="16"/>
                <w:szCs w:val="16"/>
              </w:rPr>
            </w:pPr>
            <w:r w:rsidRPr="0087507C">
              <w:rPr>
                <w:rFonts w:cs="Arial"/>
                <w:b/>
                <w:color w:val="FF0000"/>
                <w:sz w:val="16"/>
                <w:szCs w:val="16"/>
              </w:rPr>
              <w:t>Not on track</w:t>
            </w:r>
          </w:p>
        </w:tc>
      </w:tr>
      <w:tr w:rsidR="00E43AF7" w:rsidTr="00E43AF7">
        <w:trPr>
          <w:cantSplit/>
        </w:trPr>
        <w:tc>
          <w:tcPr>
            <w:tcW w:w="1139" w:type="pct"/>
            <w:shd w:val="clear" w:color="auto" w:fill="auto"/>
          </w:tcPr>
          <w:p w:rsidR="00E43AF7" w:rsidRPr="00F62987" w:rsidRDefault="00E43AF7" w:rsidP="008D1891">
            <w:pPr>
              <w:rPr>
                <w:rFonts w:cs="Arial"/>
                <w:sz w:val="16"/>
                <w:szCs w:val="16"/>
              </w:rPr>
            </w:pPr>
            <w:r w:rsidRPr="00F62987">
              <w:rPr>
                <w:rFonts w:cs="Arial"/>
                <w:sz w:val="16"/>
                <w:szCs w:val="16"/>
              </w:rPr>
              <w:t>Reduced impact of WIPO buildings on the environment</w:t>
            </w:r>
          </w:p>
        </w:tc>
        <w:tc>
          <w:tcPr>
            <w:tcW w:w="1287" w:type="pct"/>
            <w:shd w:val="clear" w:color="auto" w:fill="auto"/>
          </w:tcPr>
          <w:p w:rsidR="00E43AF7" w:rsidRPr="006550F0" w:rsidRDefault="00E43AF7" w:rsidP="008D1891">
            <w:pPr>
              <w:rPr>
                <w:rFonts w:cs="Arial"/>
                <w:sz w:val="16"/>
                <w:szCs w:val="16"/>
                <w:lang w:bidi="th-TH"/>
              </w:rPr>
            </w:pPr>
            <w:r w:rsidRPr="001027B6">
              <w:rPr>
                <w:i/>
                <w:color w:val="002060"/>
                <w:sz w:val="16"/>
                <w:szCs w:val="16"/>
              </w:rPr>
              <w:t>Updated Baseline end 2013:</w:t>
            </w:r>
            <w:r w:rsidRPr="001027B6">
              <w:rPr>
                <w:color w:val="002060"/>
                <w:sz w:val="16"/>
                <w:szCs w:val="16"/>
              </w:rPr>
              <w:t xml:space="preserve"> 2% reduction in electricity consumption due to the implementation of a variety of measures aimed at upgrading installations;  7% reduction in water consumption due to upgrading of cooling installation in one of the data centers</w:t>
            </w:r>
          </w:p>
          <w:p w:rsidR="00E43AF7" w:rsidRDefault="00E43AF7" w:rsidP="008D1891">
            <w:pPr>
              <w:rPr>
                <w:color w:val="002060"/>
                <w:sz w:val="16"/>
                <w:szCs w:val="16"/>
                <w:highlight w:val="yellow"/>
              </w:rPr>
            </w:pPr>
          </w:p>
          <w:p w:rsidR="00E43AF7" w:rsidRPr="00F62987" w:rsidRDefault="00E43AF7" w:rsidP="008D1891">
            <w:pPr>
              <w:rPr>
                <w:rFonts w:cstheme="minorBidi"/>
                <w:color w:val="002060"/>
                <w:sz w:val="16"/>
                <w:szCs w:val="16"/>
                <w:highlight w:val="yellow"/>
              </w:rPr>
            </w:pPr>
          </w:p>
          <w:p w:rsidR="00E43AF7" w:rsidRPr="00E813BA" w:rsidRDefault="00E43AF7" w:rsidP="008D1891">
            <w:pPr>
              <w:rPr>
                <w:szCs w:val="22"/>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w:t>
            </w:r>
            <w:r>
              <w:t xml:space="preserve"> </w:t>
            </w:r>
            <w:r w:rsidRPr="005C1F88">
              <w:rPr>
                <w:rFonts w:cs="Arial"/>
                <w:sz w:val="16"/>
                <w:szCs w:val="16"/>
              </w:rPr>
              <w:t>Annual electricity and water consumption (at end 2013</w:t>
            </w:r>
            <w:r>
              <w:rPr>
                <w:rFonts w:cs="Arial"/>
                <w:sz w:val="16"/>
                <w:szCs w:val="16"/>
              </w:rPr>
              <w:t>)</w:t>
            </w:r>
          </w:p>
        </w:tc>
        <w:tc>
          <w:tcPr>
            <w:tcW w:w="909" w:type="pct"/>
            <w:shd w:val="clear" w:color="auto" w:fill="auto"/>
            <w:tcMar>
              <w:top w:w="110" w:type="dxa"/>
            </w:tcMar>
          </w:tcPr>
          <w:p w:rsidR="00E43AF7" w:rsidRPr="00F62987" w:rsidRDefault="00E43AF7" w:rsidP="008D1891">
            <w:pPr>
              <w:rPr>
                <w:rFonts w:cs="Arial"/>
                <w:sz w:val="16"/>
                <w:szCs w:val="16"/>
              </w:rPr>
            </w:pPr>
            <w:r w:rsidRPr="00F62987">
              <w:rPr>
                <w:rFonts w:cs="Arial"/>
                <w:sz w:val="16"/>
                <w:szCs w:val="16"/>
              </w:rPr>
              <w:t>4% reduction in electricity consumption and 10% reduction in water consumption by end-2015</w:t>
            </w:r>
          </w:p>
        </w:tc>
        <w:tc>
          <w:tcPr>
            <w:tcW w:w="1124" w:type="pct"/>
            <w:shd w:val="clear" w:color="auto" w:fill="FFFFFF"/>
            <w:tcMar>
              <w:top w:w="110" w:type="dxa"/>
            </w:tcMar>
          </w:tcPr>
          <w:p w:rsidR="00E43AF7" w:rsidRDefault="00E43AF7" w:rsidP="008D1891">
            <w:pPr>
              <w:rPr>
                <w:rFonts w:cs="Arial"/>
                <w:sz w:val="16"/>
                <w:szCs w:val="16"/>
              </w:rPr>
            </w:pPr>
            <w:r>
              <w:rPr>
                <w:rFonts w:cs="Arial"/>
                <w:sz w:val="16"/>
                <w:szCs w:val="16"/>
              </w:rPr>
              <w:t>2.2% reduction in e</w:t>
            </w:r>
            <w:r w:rsidRPr="004A242B">
              <w:rPr>
                <w:rFonts w:cs="Arial"/>
                <w:sz w:val="16"/>
                <w:szCs w:val="16"/>
              </w:rPr>
              <w:t xml:space="preserve">lectricity consumption and </w:t>
            </w:r>
            <w:r>
              <w:rPr>
                <w:rFonts w:cs="Arial"/>
                <w:sz w:val="16"/>
                <w:szCs w:val="16"/>
              </w:rPr>
              <w:t>10% reduction in water in the first year of the biennium.</w:t>
            </w:r>
          </w:p>
          <w:p w:rsidR="00E43AF7" w:rsidRDefault="00E43AF7" w:rsidP="008D1891">
            <w:pPr>
              <w:rPr>
                <w:rFonts w:cs="Arial"/>
                <w:sz w:val="16"/>
                <w:szCs w:val="16"/>
              </w:rPr>
            </w:pPr>
          </w:p>
          <w:p w:rsidR="00E43AF7" w:rsidRDefault="00E43AF7" w:rsidP="008D1891">
            <w:pPr>
              <w:rPr>
                <w:rFonts w:cs="Arial"/>
                <w:sz w:val="16"/>
                <w:szCs w:val="16"/>
              </w:rPr>
            </w:pPr>
            <w:r w:rsidRPr="004A242B">
              <w:rPr>
                <w:rFonts w:cs="Arial"/>
                <w:sz w:val="16"/>
                <w:szCs w:val="16"/>
              </w:rPr>
              <w:t xml:space="preserve">An upgrading of the cooling system using the Geneva Lake produced chilled water was implemented in the </w:t>
            </w:r>
            <w:r>
              <w:rPr>
                <w:rFonts w:cs="Arial"/>
                <w:sz w:val="16"/>
                <w:szCs w:val="16"/>
              </w:rPr>
              <w:t>NB</w:t>
            </w:r>
            <w:r w:rsidRPr="004A242B">
              <w:rPr>
                <w:rFonts w:cs="Arial"/>
                <w:sz w:val="16"/>
                <w:szCs w:val="16"/>
              </w:rPr>
              <w:t xml:space="preserve">.  </w:t>
            </w:r>
          </w:p>
          <w:p w:rsidR="00E43AF7" w:rsidRDefault="00E43AF7" w:rsidP="008D1891">
            <w:pPr>
              <w:rPr>
                <w:rFonts w:cs="Arial"/>
                <w:sz w:val="16"/>
                <w:szCs w:val="16"/>
              </w:rPr>
            </w:pPr>
          </w:p>
          <w:p w:rsidR="00E43AF7" w:rsidRPr="00720FD9" w:rsidRDefault="00E43AF7" w:rsidP="008D1891">
            <w:pPr>
              <w:rPr>
                <w:rFonts w:cs="Arial"/>
                <w:sz w:val="16"/>
                <w:szCs w:val="16"/>
              </w:rPr>
            </w:pPr>
            <w:r>
              <w:rPr>
                <w:rFonts w:cs="Arial"/>
                <w:sz w:val="16"/>
                <w:szCs w:val="16"/>
              </w:rPr>
              <w:t>Additional environmentally-sound measures included the following main measures: (</w:t>
            </w:r>
            <w:proofErr w:type="spellStart"/>
            <w:r>
              <w:rPr>
                <w:rFonts w:cs="Arial"/>
                <w:sz w:val="16"/>
                <w:szCs w:val="16"/>
              </w:rPr>
              <w:t>i</w:t>
            </w:r>
            <w:proofErr w:type="spellEnd"/>
            <w:r>
              <w:rPr>
                <w:rFonts w:cs="Arial"/>
                <w:sz w:val="16"/>
                <w:szCs w:val="16"/>
              </w:rPr>
              <w:t>) reduction of artificial light consumption by replacement of traditional light fixtures by new fixtures using LED technology, (ii) lighting activated by presence detection during off-hours on office floors in various areas of various older buildings,</w:t>
            </w:r>
          </w:p>
        </w:tc>
        <w:tc>
          <w:tcPr>
            <w:tcW w:w="542" w:type="pct"/>
            <w:gridSpan w:val="2"/>
            <w:shd w:val="clear" w:color="auto" w:fill="auto"/>
            <w:tcMar>
              <w:top w:w="110" w:type="dxa"/>
            </w:tcMar>
          </w:tcPr>
          <w:p w:rsidR="00E43AF7" w:rsidRPr="006550F0" w:rsidRDefault="00E43AF7" w:rsidP="008D1891">
            <w:pPr>
              <w:keepNext/>
              <w:keepLines/>
              <w:jc w:val="center"/>
              <w:rPr>
                <w:rFonts w:ascii="Calibri" w:hAnsi="Calibri" w:cs="Arial"/>
                <w:sz w:val="16"/>
                <w:szCs w:val="16"/>
              </w:rPr>
            </w:pPr>
            <w:r w:rsidRPr="00AB5747">
              <w:rPr>
                <w:b/>
                <w:bCs/>
                <w:color w:val="00B050"/>
                <w:sz w:val="16"/>
                <w:szCs w:val="16"/>
              </w:rPr>
              <w:t>On track</w:t>
            </w:r>
          </w:p>
        </w:tc>
      </w:tr>
    </w:tbl>
    <w:p w:rsidR="00E43AF7" w:rsidRDefault="00E43AF7">
      <w:r>
        <w:br w:type="page"/>
      </w: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3"/>
        <w:gridCol w:w="2408"/>
        <w:gridCol w:w="1701"/>
        <w:gridCol w:w="2103"/>
        <w:gridCol w:w="1012"/>
      </w:tblGrid>
      <w:tr w:rsidR="00E43AF7" w:rsidTr="00E43AF7">
        <w:trPr>
          <w:cantSplit/>
        </w:trPr>
        <w:tc>
          <w:tcPr>
            <w:tcW w:w="1139" w:type="pct"/>
            <w:shd w:val="clear" w:color="auto" w:fill="auto"/>
            <w:vAlign w:val="center"/>
          </w:tcPr>
          <w:p w:rsidR="00E43AF7" w:rsidRPr="006550F0" w:rsidRDefault="00E43AF7" w:rsidP="008D1891">
            <w:pPr>
              <w:rPr>
                <w:rFonts w:cs="Arial"/>
                <w:sz w:val="16"/>
                <w:szCs w:val="16"/>
              </w:rPr>
            </w:pPr>
            <w:r w:rsidRPr="006550F0">
              <w:rPr>
                <w:rFonts w:cs="Arial"/>
                <w:b/>
                <w:bCs/>
                <w:sz w:val="16"/>
                <w:szCs w:val="16"/>
              </w:rPr>
              <w:lastRenderedPageBreak/>
              <w:t>Performance Indicators</w:t>
            </w:r>
          </w:p>
        </w:tc>
        <w:tc>
          <w:tcPr>
            <w:tcW w:w="1287" w:type="pct"/>
            <w:shd w:val="clear" w:color="auto" w:fill="auto"/>
            <w:vAlign w:val="center"/>
          </w:tcPr>
          <w:p w:rsidR="00E43AF7" w:rsidRPr="006550F0" w:rsidRDefault="00E43AF7" w:rsidP="008D1891">
            <w:pPr>
              <w:rPr>
                <w:rFonts w:cs="Arial"/>
                <w:b/>
                <w:bCs/>
                <w:sz w:val="16"/>
                <w:szCs w:val="16"/>
              </w:rPr>
            </w:pPr>
            <w:r w:rsidRPr="006550F0">
              <w:rPr>
                <w:rFonts w:cs="Arial"/>
                <w:b/>
                <w:bCs/>
                <w:sz w:val="16"/>
                <w:szCs w:val="16"/>
              </w:rPr>
              <w:t>Baselines</w:t>
            </w:r>
          </w:p>
        </w:tc>
        <w:tc>
          <w:tcPr>
            <w:tcW w:w="909" w:type="pct"/>
            <w:shd w:val="clear" w:color="auto" w:fill="auto"/>
            <w:tcMar>
              <w:top w:w="110" w:type="dxa"/>
            </w:tcMar>
            <w:vAlign w:val="center"/>
          </w:tcPr>
          <w:p w:rsidR="00E43AF7" w:rsidRPr="006550F0" w:rsidRDefault="00E43AF7" w:rsidP="008D1891">
            <w:pPr>
              <w:rPr>
                <w:rFonts w:cs="Arial"/>
                <w:b/>
                <w:sz w:val="16"/>
                <w:szCs w:val="16"/>
              </w:rPr>
            </w:pPr>
            <w:r w:rsidRPr="006550F0">
              <w:rPr>
                <w:rFonts w:cs="Arial"/>
                <w:b/>
                <w:sz w:val="16"/>
                <w:szCs w:val="16"/>
              </w:rPr>
              <w:t>Target</w:t>
            </w:r>
            <w:r>
              <w:rPr>
                <w:rFonts w:cs="Arial"/>
                <w:b/>
                <w:sz w:val="16"/>
                <w:szCs w:val="16"/>
              </w:rPr>
              <w:t>s</w:t>
            </w:r>
          </w:p>
        </w:tc>
        <w:tc>
          <w:tcPr>
            <w:tcW w:w="1124" w:type="pct"/>
            <w:shd w:val="clear" w:color="auto" w:fill="FFFFFF"/>
            <w:tcMar>
              <w:top w:w="110" w:type="dxa"/>
            </w:tcMar>
            <w:vAlign w:val="center"/>
          </w:tcPr>
          <w:p w:rsidR="00E43AF7" w:rsidRPr="006550F0" w:rsidRDefault="00E43AF7" w:rsidP="008D1891">
            <w:pPr>
              <w:rPr>
                <w:rFonts w:cs="Arial"/>
                <w:sz w:val="16"/>
                <w:szCs w:val="16"/>
              </w:rPr>
            </w:pPr>
            <w:r w:rsidRPr="006550F0">
              <w:rPr>
                <w:rFonts w:cs="Arial"/>
                <w:b/>
                <w:bCs/>
                <w:sz w:val="16"/>
                <w:szCs w:val="16"/>
              </w:rPr>
              <w:t>Performance Data</w:t>
            </w:r>
          </w:p>
        </w:tc>
        <w:tc>
          <w:tcPr>
            <w:tcW w:w="542" w:type="pct"/>
            <w:shd w:val="clear" w:color="auto" w:fill="auto"/>
            <w:tcMar>
              <w:top w:w="110" w:type="dxa"/>
            </w:tcMar>
            <w:vAlign w:val="center"/>
          </w:tcPr>
          <w:p w:rsidR="00E43AF7" w:rsidRPr="006550F0" w:rsidRDefault="00E43AF7" w:rsidP="008D1891">
            <w:pPr>
              <w:keepNext/>
              <w:keepLines/>
              <w:jc w:val="center"/>
              <w:rPr>
                <w:rFonts w:cs="Arial"/>
                <w:b/>
                <w:bCs/>
                <w:sz w:val="16"/>
                <w:szCs w:val="16"/>
              </w:rPr>
            </w:pPr>
            <w:r w:rsidRPr="006550F0">
              <w:rPr>
                <w:rFonts w:cs="Arial"/>
                <w:b/>
                <w:bCs/>
                <w:sz w:val="16"/>
                <w:szCs w:val="16"/>
              </w:rPr>
              <w:t>TLS</w:t>
            </w:r>
          </w:p>
        </w:tc>
      </w:tr>
      <w:tr w:rsidR="00E43AF7" w:rsidTr="00E43AF7">
        <w:trPr>
          <w:cantSplit/>
        </w:trPr>
        <w:tc>
          <w:tcPr>
            <w:tcW w:w="1139" w:type="pct"/>
            <w:tcBorders>
              <w:bottom w:val="single" w:sz="4" w:space="0" w:color="auto"/>
            </w:tcBorders>
            <w:shd w:val="clear" w:color="auto" w:fill="auto"/>
          </w:tcPr>
          <w:p w:rsidR="00E43AF7" w:rsidRPr="00F62987" w:rsidRDefault="00E43AF7" w:rsidP="008D1891">
            <w:pPr>
              <w:rPr>
                <w:rFonts w:cs="Arial"/>
                <w:sz w:val="16"/>
                <w:szCs w:val="16"/>
              </w:rPr>
            </w:pPr>
            <w:r w:rsidRPr="00F62987">
              <w:rPr>
                <w:rFonts w:cs="Arial"/>
                <w:sz w:val="16"/>
                <w:szCs w:val="16"/>
              </w:rPr>
              <w:t>WIPO premises comply with recommendations in 2009 audit by Institute of Safety and Security (Neuchatel) and UN H-MOSS peripheral security measure</w:t>
            </w:r>
            <w:r w:rsidR="00FA462D">
              <w:rPr>
                <w:rFonts w:cs="Arial"/>
                <w:sz w:val="16"/>
                <w:szCs w:val="16"/>
              </w:rPr>
              <w:t>s</w:t>
            </w:r>
          </w:p>
        </w:tc>
        <w:tc>
          <w:tcPr>
            <w:tcW w:w="1287" w:type="pct"/>
            <w:tcBorders>
              <w:bottom w:val="single" w:sz="4" w:space="0" w:color="auto"/>
            </w:tcBorders>
            <w:shd w:val="clear" w:color="auto" w:fill="auto"/>
          </w:tcPr>
          <w:p w:rsidR="00E43AF7" w:rsidRDefault="00E43AF7" w:rsidP="008D1891">
            <w:pPr>
              <w:rPr>
                <w:rFonts w:cs="Arial"/>
                <w:sz w:val="16"/>
                <w:szCs w:val="16"/>
              </w:rPr>
            </w:pPr>
            <w:r w:rsidRPr="005C1F88">
              <w:rPr>
                <w:rFonts w:cs="Arial"/>
                <w:sz w:val="16"/>
                <w:szCs w:val="16"/>
              </w:rPr>
              <w:t>6-year plan for implementation of recommendations in 2009 audit by Institute of Safety and Security (Neuchatel)</w:t>
            </w:r>
          </w:p>
          <w:p w:rsidR="00E43AF7" w:rsidRPr="00E813BA" w:rsidRDefault="00E43AF7" w:rsidP="008D1891">
            <w:pPr>
              <w:rPr>
                <w:szCs w:val="22"/>
              </w:rPr>
            </w:pPr>
          </w:p>
        </w:tc>
        <w:tc>
          <w:tcPr>
            <w:tcW w:w="909" w:type="pct"/>
            <w:tcBorders>
              <w:bottom w:val="single" w:sz="4" w:space="0" w:color="auto"/>
            </w:tcBorders>
            <w:shd w:val="clear" w:color="auto" w:fill="auto"/>
            <w:tcMar>
              <w:top w:w="110" w:type="dxa"/>
            </w:tcMar>
          </w:tcPr>
          <w:p w:rsidR="00E43AF7" w:rsidRPr="00F62987" w:rsidRDefault="00E43AF7" w:rsidP="008D1891">
            <w:pPr>
              <w:rPr>
                <w:rFonts w:cs="Arial"/>
                <w:sz w:val="16"/>
                <w:szCs w:val="16"/>
              </w:rPr>
            </w:pPr>
            <w:r w:rsidRPr="00F62987">
              <w:rPr>
                <w:rFonts w:cs="Arial"/>
                <w:sz w:val="16"/>
                <w:szCs w:val="16"/>
              </w:rPr>
              <w:t>Implementation of audit recommendations according to 6-year plan phasing and peripheral security measures by end-2015</w:t>
            </w:r>
          </w:p>
        </w:tc>
        <w:tc>
          <w:tcPr>
            <w:tcW w:w="1124" w:type="pct"/>
            <w:tcBorders>
              <w:bottom w:val="single" w:sz="4" w:space="0" w:color="auto"/>
            </w:tcBorders>
            <w:shd w:val="clear" w:color="auto" w:fill="FFFFFF"/>
            <w:tcMar>
              <w:top w:w="110" w:type="dxa"/>
            </w:tcMar>
          </w:tcPr>
          <w:p w:rsidR="00E43AF7" w:rsidRDefault="00E43AF7" w:rsidP="008D1891">
            <w:pPr>
              <w:rPr>
                <w:rFonts w:cs="Arial"/>
                <w:sz w:val="16"/>
                <w:szCs w:val="16"/>
              </w:rPr>
            </w:pPr>
            <w:r w:rsidRPr="00845557">
              <w:rPr>
                <w:rFonts w:cs="Arial"/>
                <w:sz w:val="16"/>
                <w:szCs w:val="16"/>
              </w:rPr>
              <w:t>See Appendix III Progress Report on the Capital Master Plan</w:t>
            </w:r>
            <w:r w:rsidR="006B7B51">
              <w:rPr>
                <w:rFonts w:cs="Arial"/>
                <w:sz w:val="16"/>
                <w:szCs w:val="16"/>
              </w:rPr>
              <w:t xml:space="preserve"> (CMP) </w:t>
            </w:r>
            <w:r w:rsidRPr="00845557">
              <w:rPr>
                <w:rFonts w:cs="Arial"/>
                <w:sz w:val="16"/>
                <w:szCs w:val="16"/>
              </w:rPr>
              <w:t xml:space="preserve"> in 2014</w:t>
            </w:r>
          </w:p>
          <w:p w:rsidR="00E43AF7" w:rsidRDefault="00E43AF7" w:rsidP="008D1891">
            <w:pPr>
              <w:rPr>
                <w:rFonts w:cs="Arial"/>
                <w:sz w:val="16"/>
                <w:szCs w:val="16"/>
              </w:rPr>
            </w:pPr>
          </w:p>
          <w:p w:rsidR="00E43AF7" w:rsidRDefault="00E43AF7" w:rsidP="008D1891">
            <w:pPr>
              <w:rPr>
                <w:rFonts w:cs="Arial"/>
                <w:sz w:val="16"/>
                <w:szCs w:val="16"/>
              </w:rPr>
            </w:pPr>
            <w:r>
              <w:rPr>
                <w:rFonts w:cs="Arial"/>
                <w:sz w:val="16"/>
                <w:szCs w:val="16"/>
              </w:rPr>
              <w:t xml:space="preserve">In addition to the implementation of the recommendation covered by the Capital Master Plan, the following recommendation was implemented: </w:t>
            </w:r>
          </w:p>
          <w:p w:rsidR="00E43AF7" w:rsidRPr="00BB1466" w:rsidRDefault="00E43AF7" w:rsidP="008D1891">
            <w:pPr>
              <w:rPr>
                <w:rFonts w:cs="Arial"/>
                <w:sz w:val="16"/>
                <w:szCs w:val="16"/>
              </w:rPr>
            </w:pPr>
            <w:proofErr w:type="gramStart"/>
            <w:r>
              <w:rPr>
                <w:rFonts w:cs="Arial"/>
                <w:sz w:val="16"/>
                <w:szCs w:val="16"/>
              </w:rPr>
              <w:t>m</w:t>
            </w:r>
            <w:r w:rsidRPr="00BB1466">
              <w:rPr>
                <w:rFonts w:cs="Arial"/>
                <w:sz w:val="16"/>
                <w:szCs w:val="16"/>
              </w:rPr>
              <w:t>odernization</w:t>
            </w:r>
            <w:proofErr w:type="gramEnd"/>
            <w:r w:rsidRPr="00BB1466">
              <w:rPr>
                <w:rFonts w:cs="Arial"/>
                <w:sz w:val="16"/>
                <w:szCs w:val="16"/>
              </w:rPr>
              <w:t xml:space="preserve"> of the fire detection system (the latest generation of detectors) in the </w:t>
            </w:r>
            <w:r>
              <w:rPr>
                <w:rFonts w:cs="Arial"/>
                <w:sz w:val="16"/>
                <w:szCs w:val="16"/>
              </w:rPr>
              <w:t>2</w:t>
            </w:r>
            <w:r w:rsidRPr="00BB1466">
              <w:rPr>
                <w:rFonts w:cs="Arial"/>
                <w:sz w:val="16"/>
                <w:szCs w:val="16"/>
                <w:vertAlign w:val="superscript"/>
              </w:rPr>
              <w:t>nd</w:t>
            </w:r>
            <w:r>
              <w:rPr>
                <w:rFonts w:cs="Arial"/>
                <w:sz w:val="16"/>
                <w:szCs w:val="16"/>
              </w:rPr>
              <w:t xml:space="preserve"> and 3</w:t>
            </w:r>
            <w:r w:rsidRPr="00BB1466">
              <w:rPr>
                <w:rFonts w:cs="Arial"/>
                <w:sz w:val="16"/>
                <w:szCs w:val="16"/>
                <w:vertAlign w:val="superscript"/>
              </w:rPr>
              <w:t>rd</w:t>
            </w:r>
            <w:r>
              <w:rPr>
                <w:rFonts w:cs="Arial"/>
                <w:sz w:val="16"/>
                <w:szCs w:val="16"/>
              </w:rPr>
              <w:t xml:space="preserve"> basement levels of the </w:t>
            </w:r>
            <w:r w:rsidRPr="00BB1466">
              <w:rPr>
                <w:rFonts w:cs="Arial"/>
                <w:sz w:val="16"/>
                <w:szCs w:val="16"/>
              </w:rPr>
              <w:t>AB parking garage.</w:t>
            </w:r>
          </w:p>
          <w:p w:rsidR="00E43AF7" w:rsidRPr="00AC2A2B" w:rsidRDefault="00E43AF7" w:rsidP="008D1891">
            <w:pPr>
              <w:pStyle w:val="ListParagraph"/>
              <w:ind w:left="360"/>
              <w:rPr>
                <w:rFonts w:cs="Arial"/>
                <w:sz w:val="16"/>
                <w:szCs w:val="16"/>
              </w:rPr>
            </w:pPr>
          </w:p>
        </w:tc>
        <w:tc>
          <w:tcPr>
            <w:tcW w:w="542" w:type="pct"/>
            <w:tcBorders>
              <w:bottom w:val="single" w:sz="4" w:space="0" w:color="auto"/>
            </w:tcBorders>
            <w:shd w:val="clear" w:color="auto" w:fill="auto"/>
            <w:tcMar>
              <w:top w:w="110" w:type="dxa"/>
            </w:tcMar>
          </w:tcPr>
          <w:p w:rsidR="00E43AF7" w:rsidRPr="006550F0" w:rsidRDefault="00E43AF7" w:rsidP="008D1891">
            <w:pPr>
              <w:keepNext/>
              <w:keepLines/>
              <w:jc w:val="center"/>
              <w:rPr>
                <w:rFonts w:ascii="Calibri" w:hAnsi="Calibri" w:cs="Arial"/>
                <w:sz w:val="16"/>
                <w:szCs w:val="16"/>
              </w:rPr>
            </w:pPr>
            <w:r w:rsidRPr="00AB5747">
              <w:rPr>
                <w:b/>
                <w:bCs/>
                <w:color w:val="00B050"/>
                <w:sz w:val="16"/>
                <w:szCs w:val="16"/>
              </w:rPr>
              <w:t>On track</w:t>
            </w:r>
          </w:p>
        </w:tc>
      </w:tr>
    </w:tbl>
    <w:p w:rsidR="00E43AF7" w:rsidRDefault="00E43AF7" w:rsidP="008D1891">
      <w:pPr>
        <w:rPr>
          <w:rFonts w:cs="Arial"/>
          <w:color w:val="000000"/>
          <w:szCs w:val="22"/>
        </w:rPr>
      </w:pPr>
    </w:p>
    <w:p w:rsidR="00E43AF7" w:rsidRDefault="00E43AF7" w:rsidP="008D1891">
      <w:pPr>
        <w:rPr>
          <w:rFonts w:cs="Arial"/>
          <w:color w:val="000000"/>
          <w:szCs w:val="22"/>
        </w:rPr>
      </w:pPr>
    </w:p>
    <w:p w:rsidR="00E43AF7" w:rsidRDefault="00E43AF7" w:rsidP="008D1891">
      <w:pPr>
        <w:rPr>
          <w:b/>
          <w:sz w:val="18"/>
          <w:szCs w:val="18"/>
        </w:rPr>
      </w:pPr>
      <w:r>
        <w:rPr>
          <w:rFonts w:cs="Arial"/>
          <w:color w:val="000000"/>
          <w:szCs w:val="22"/>
        </w:rPr>
        <w:t>RESOURCE UTILIZATION</w:t>
      </w:r>
      <w:r>
        <w:rPr>
          <w:rFonts w:cs="Arial"/>
          <w:color w:val="000000"/>
          <w:szCs w:val="22"/>
        </w:rPr>
        <w:tab/>
      </w:r>
    </w:p>
    <w:p w:rsidR="00E43AF7" w:rsidRDefault="00E43AF7" w:rsidP="008D1891">
      <w:pPr>
        <w:rPr>
          <w:rFonts w:cs="Arial"/>
          <w:szCs w:val="22"/>
        </w:rPr>
      </w:pPr>
    </w:p>
    <w:p w:rsidR="00E43AF7" w:rsidRPr="00383D2D" w:rsidRDefault="00E43AF7" w:rsidP="008D1891">
      <w:pPr>
        <w:pStyle w:val="NormalWeb"/>
        <w:spacing w:before="0" w:beforeAutospacing="0" w:after="0" w:afterAutospacing="0"/>
        <w:jc w:val="center"/>
        <w:rPr>
          <w:sz w:val="20"/>
          <w:szCs w:val="20"/>
        </w:rPr>
      </w:pPr>
      <w:r w:rsidRPr="00383D2D">
        <w:rPr>
          <w:color w:val="000000"/>
          <w:sz w:val="20"/>
          <w:szCs w:val="20"/>
        </w:rPr>
        <w:t xml:space="preserve">Budget and Actual Expenditure (by result) </w:t>
      </w:r>
    </w:p>
    <w:p w:rsidR="00E43AF7" w:rsidRDefault="00E43AF7" w:rsidP="008D1891">
      <w:pPr>
        <w:pStyle w:val="NormalWeb"/>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E43AF7" w:rsidRPr="0087507C" w:rsidRDefault="00E43AF7" w:rsidP="008D1891">
      <w:pPr>
        <w:rPr>
          <w:rFonts w:cs="Arial"/>
          <w:sz w:val="18"/>
          <w:szCs w:val="22"/>
        </w:rPr>
      </w:pPr>
    </w:p>
    <w:p w:rsidR="00E43AF7" w:rsidRDefault="00E43AF7" w:rsidP="008D1891">
      <w:pPr>
        <w:jc w:val="center"/>
        <w:rPr>
          <w:rFonts w:cs="Arial"/>
          <w:szCs w:val="22"/>
        </w:rPr>
      </w:pPr>
      <w:r w:rsidRPr="00052734">
        <w:rPr>
          <w:noProof/>
        </w:rPr>
        <w:drawing>
          <wp:inline distT="0" distB="0" distL="0" distR="0" wp14:anchorId="3177C8DC" wp14:editId="5B617963">
            <wp:extent cx="5344907" cy="2252812"/>
            <wp:effectExtent l="0" t="0" r="825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344318" cy="2252564"/>
                    </a:xfrm>
                    <a:prstGeom prst="rect">
                      <a:avLst/>
                    </a:prstGeom>
                    <a:noFill/>
                    <a:ln>
                      <a:noFill/>
                    </a:ln>
                  </pic:spPr>
                </pic:pic>
              </a:graphicData>
            </a:graphic>
          </wp:inline>
        </w:drawing>
      </w:r>
    </w:p>
    <w:p w:rsidR="00E43AF7" w:rsidRPr="0087507C" w:rsidRDefault="00E43AF7" w:rsidP="008D1891">
      <w:pPr>
        <w:rPr>
          <w:rFonts w:cs="Arial"/>
          <w:szCs w:val="22"/>
        </w:rPr>
      </w:pPr>
    </w:p>
    <w:p w:rsidR="00E43AF7" w:rsidRPr="0087507C" w:rsidRDefault="00E43AF7" w:rsidP="008D1891">
      <w:pPr>
        <w:rPr>
          <w:rFonts w:cs="Arial"/>
          <w:szCs w:val="22"/>
        </w:rPr>
      </w:pPr>
    </w:p>
    <w:p w:rsidR="00E43AF7" w:rsidRPr="00383D2D" w:rsidRDefault="00E43AF7" w:rsidP="008D1891">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E43AF7" w:rsidRPr="00383D2D" w:rsidRDefault="00E43AF7" w:rsidP="008D1891">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E43AF7" w:rsidRPr="0087507C" w:rsidRDefault="00E43AF7" w:rsidP="008D1891">
      <w:pPr>
        <w:rPr>
          <w:rFonts w:cs="Arial"/>
          <w:szCs w:val="22"/>
        </w:rPr>
      </w:pPr>
    </w:p>
    <w:p w:rsidR="00E43AF7" w:rsidRDefault="00E43AF7" w:rsidP="008D1891">
      <w:pPr>
        <w:jc w:val="center"/>
        <w:rPr>
          <w:rFonts w:cs="Arial"/>
          <w:szCs w:val="22"/>
        </w:rPr>
      </w:pPr>
      <w:r w:rsidRPr="00052734">
        <w:rPr>
          <w:noProof/>
        </w:rPr>
        <w:drawing>
          <wp:inline distT="0" distB="0" distL="0" distR="0" wp14:anchorId="457AA029" wp14:editId="0C5F0C88">
            <wp:extent cx="5516880" cy="1231104"/>
            <wp:effectExtent l="0" t="0" r="0" b="762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516272" cy="1230968"/>
                    </a:xfrm>
                    <a:prstGeom prst="rect">
                      <a:avLst/>
                    </a:prstGeom>
                    <a:noFill/>
                    <a:ln>
                      <a:noFill/>
                    </a:ln>
                  </pic:spPr>
                </pic:pic>
              </a:graphicData>
            </a:graphic>
          </wp:inline>
        </w:drawing>
      </w:r>
    </w:p>
    <w:p w:rsidR="00E43AF7" w:rsidRPr="009C736D" w:rsidRDefault="00E43AF7" w:rsidP="008D1891">
      <w:pPr>
        <w:keepNext/>
        <w:autoSpaceDE w:val="0"/>
        <w:autoSpaceDN w:val="0"/>
        <w:rPr>
          <w:i/>
          <w:sz w:val="16"/>
          <w:szCs w:val="16"/>
        </w:rPr>
      </w:pPr>
      <w:r w:rsidRPr="009C736D">
        <w:rPr>
          <w:i/>
          <w:sz w:val="16"/>
          <w:szCs w:val="16"/>
        </w:rPr>
        <w:t>NOTE: The 2014/15 Budget after Transfers reflects transfers as of March 31, 2015 to address needs during the 2014/15 biennium in line with Financial Regulation 5.5.</w:t>
      </w:r>
    </w:p>
    <w:p w:rsidR="00E43AF7" w:rsidRPr="008704A4" w:rsidRDefault="00E43AF7" w:rsidP="008D1891">
      <w:pPr>
        <w:widowControl w:val="0"/>
        <w:autoSpaceDE w:val="0"/>
        <w:autoSpaceDN w:val="0"/>
        <w:adjustRightInd w:val="0"/>
        <w:rPr>
          <w:rFonts w:cs="Arial"/>
          <w:szCs w:val="20"/>
        </w:rPr>
      </w:pPr>
    </w:p>
    <w:p w:rsidR="00E43AF7" w:rsidRPr="008704A4" w:rsidRDefault="00E43AF7" w:rsidP="008D1891">
      <w:pPr>
        <w:rPr>
          <w:rFonts w:cs="Arial"/>
          <w:szCs w:val="20"/>
          <w:u w:val="single"/>
        </w:rPr>
      </w:pPr>
      <w:r w:rsidRPr="008704A4">
        <w:rPr>
          <w:rFonts w:cs="Arial"/>
          <w:szCs w:val="20"/>
        </w:rPr>
        <w:t>A.</w:t>
      </w:r>
      <w:r w:rsidRPr="008704A4">
        <w:rPr>
          <w:rFonts w:cs="Arial"/>
          <w:szCs w:val="20"/>
        </w:rPr>
        <w:tab/>
      </w:r>
      <w:r w:rsidRPr="008704A4">
        <w:rPr>
          <w:rFonts w:cs="Arial"/>
          <w:szCs w:val="20"/>
          <w:u w:val="single"/>
        </w:rPr>
        <w:t>Budget after Transfers 2014/15</w:t>
      </w:r>
    </w:p>
    <w:p w:rsidR="00E43AF7" w:rsidRPr="008704A4" w:rsidRDefault="00E43AF7" w:rsidP="008D1891">
      <w:pPr>
        <w:rPr>
          <w:rFonts w:cs="Arial"/>
          <w:szCs w:val="20"/>
          <w:u w:val="single"/>
        </w:rPr>
      </w:pPr>
    </w:p>
    <w:p w:rsidR="00E43AF7" w:rsidRDefault="00E43AF7" w:rsidP="00E43AF7">
      <w:pPr>
        <w:pStyle w:val="ListParagraph"/>
        <w:numPr>
          <w:ilvl w:val="0"/>
          <w:numId w:val="53"/>
        </w:numPr>
        <w:tabs>
          <w:tab w:val="left" w:pos="709"/>
        </w:tabs>
        <w:ind w:left="0" w:firstLine="0"/>
        <w:jc w:val="both"/>
      </w:pPr>
      <w:r>
        <w:t>The 2014/15 Budget after Transfers reflects a slight increase compared to the 2014/15 Approved Budget. The net decrease under non-personnel resources is due, on the one hand, to the implementation of cost efficiency measures and, on the other hand, the transfer of additional resources to the Program for (</w:t>
      </w:r>
      <w:proofErr w:type="spellStart"/>
      <w:r>
        <w:t>i</w:t>
      </w:r>
      <w:proofErr w:type="spellEnd"/>
      <w:r>
        <w:t xml:space="preserve">) JIU related activities and (ii) the inauguration of the </w:t>
      </w:r>
      <w:r>
        <w:rPr>
          <w:rFonts w:cs="Arial"/>
        </w:rPr>
        <w:t>new WIPO Conference Hall</w:t>
      </w:r>
      <w:r>
        <w:t xml:space="preserve">, the total cost of which </w:t>
      </w:r>
      <w:r>
        <w:lastRenderedPageBreak/>
        <w:t xml:space="preserve">was charged to the Program although several other Programs were involved in the implementation of that event. </w:t>
      </w:r>
    </w:p>
    <w:p w:rsidR="00E43AF7" w:rsidRDefault="00E43AF7" w:rsidP="008D1891">
      <w:pPr>
        <w:jc w:val="both"/>
        <w:rPr>
          <w:szCs w:val="20"/>
        </w:rPr>
      </w:pPr>
    </w:p>
    <w:p w:rsidR="00E43AF7" w:rsidRDefault="00E43AF7" w:rsidP="00E43AF7">
      <w:pPr>
        <w:pStyle w:val="ListParagraph"/>
        <w:numPr>
          <w:ilvl w:val="0"/>
          <w:numId w:val="53"/>
        </w:numPr>
        <w:tabs>
          <w:tab w:val="left" w:pos="709"/>
        </w:tabs>
        <w:ind w:left="0" w:firstLine="0"/>
        <w:jc w:val="both"/>
      </w:pPr>
      <w:r>
        <w:t xml:space="preserve">The increase under personnel resources is primarily due to regularizations of continuing functions and the redeployment of three posts into the Program for support to the WIPO Appeals Board and maintenance and renovation of premises. </w:t>
      </w:r>
    </w:p>
    <w:p w:rsidR="00E43AF7" w:rsidRDefault="00E43AF7" w:rsidP="008D1891">
      <w:pPr>
        <w:jc w:val="both"/>
        <w:rPr>
          <w:szCs w:val="20"/>
        </w:rPr>
      </w:pPr>
    </w:p>
    <w:p w:rsidR="00E43AF7" w:rsidRDefault="00E43AF7" w:rsidP="00E43AF7">
      <w:pPr>
        <w:pStyle w:val="ListParagraph"/>
        <w:numPr>
          <w:ilvl w:val="0"/>
          <w:numId w:val="53"/>
        </w:numPr>
        <w:tabs>
          <w:tab w:val="left" w:pos="709"/>
        </w:tabs>
        <w:ind w:left="0" w:firstLine="0"/>
        <w:jc w:val="both"/>
      </w:pPr>
      <w:r>
        <w:t xml:space="preserve">The shift of resources by Expected Results is </w:t>
      </w:r>
      <w:r w:rsidR="000B6001">
        <w:t xml:space="preserve">primarily </w:t>
      </w:r>
      <w:r>
        <w:t xml:space="preserve">due to the redistribution of personnel resources for the implementation of environmental activities and enhanced engagement with </w:t>
      </w:r>
      <w:r w:rsidRPr="005C1F88">
        <w:rPr>
          <w:rFonts w:cs="Arial"/>
        </w:rPr>
        <w:t xml:space="preserve">other UN Agencies in respect of </w:t>
      </w:r>
      <w:r>
        <w:rPr>
          <w:rFonts w:cs="Arial"/>
        </w:rPr>
        <w:t>(</w:t>
      </w:r>
      <w:proofErr w:type="spellStart"/>
      <w:r>
        <w:rPr>
          <w:rFonts w:cs="Arial"/>
        </w:rPr>
        <w:t>i</w:t>
      </w:r>
      <w:proofErr w:type="spellEnd"/>
      <w:r>
        <w:rPr>
          <w:rFonts w:cs="Arial"/>
        </w:rPr>
        <w:t>)</w:t>
      </w:r>
      <w:r>
        <w:t xml:space="preserve"> </w:t>
      </w:r>
      <w:r>
        <w:rPr>
          <w:rFonts w:cs="Arial"/>
        </w:rPr>
        <w:t>procurement and (ii)</w:t>
      </w:r>
      <w:r>
        <w:t> </w:t>
      </w:r>
      <w:r w:rsidRPr="005C1F88">
        <w:rPr>
          <w:rFonts w:cs="Arial"/>
        </w:rPr>
        <w:t>the management of large construction and renovation projects</w:t>
      </w:r>
      <w:r>
        <w:t xml:space="preserve">. </w:t>
      </w:r>
    </w:p>
    <w:p w:rsidR="00E43AF7" w:rsidRPr="008704A4" w:rsidRDefault="00E43AF7" w:rsidP="008D1891">
      <w:pPr>
        <w:autoSpaceDE w:val="0"/>
        <w:autoSpaceDN w:val="0"/>
        <w:jc w:val="both"/>
        <w:rPr>
          <w:rFonts w:cs="Arial"/>
          <w:szCs w:val="20"/>
          <w:lang w:eastAsia="ko-KR"/>
        </w:rPr>
      </w:pPr>
    </w:p>
    <w:p w:rsidR="00E43AF7" w:rsidRPr="008704A4" w:rsidRDefault="00E43AF7" w:rsidP="008D1891">
      <w:pPr>
        <w:jc w:val="both"/>
        <w:rPr>
          <w:rFonts w:cs="Arial"/>
          <w:szCs w:val="20"/>
          <w:u w:val="single"/>
          <w:lang w:eastAsia="ko-KR"/>
        </w:rPr>
      </w:pPr>
      <w:r w:rsidRPr="008704A4">
        <w:rPr>
          <w:rFonts w:cs="Arial"/>
          <w:szCs w:val="20"/>
          <w:lang w:eastAsia="ko-KR"/>
        </w:rPr>
        <w:t>B.</w:t>
      </w:r>
      <w:r w:rsidRPr="008704A4">
        <w:rPr>
          <w:rFonts w:cs="Arial"/>
          <w:szCs w:val="20"/>
          <w:lang w:eastAsia="ko-KR"/>
        </w:rPr>
        <w:tab/>
      </w:r>
      <w:r w:rsidRPr="008704A4">
        <w:rPr>
          <w:rFonts w:cs="Arial"/>
          <w:szCs w:val="20"/>
          <w:u w:val="single"/>
          <w:lang w:eastAsia="ko-KR"/>
        </w:rPr>
        <w:t>Budget utilization 2014</w:t>
      </w:r>
    </w:p>
    <w:p w:rsidR="00E43AF7" w:rsidRPr="008704A4" w:rsidRDefault="00E43AF7" w:rsidP="008D1891">
      <w:pPr>
        <w:tabs>
          <w:tab w:val="left" w:pos="709"/>
        </w:tabs>
        <w:jc w:val="both"/>
        <w:rPr>
          <w:rFonts w:cs="Arial"/>
          <w:szCs w:val="20"/>
          <w:u w:val="single"/>
          <w:lang w:eastAsia="ko-KR"/>
        </w:rPr>
      </w:pPr>
    </w:p>
    <w:p w:rsidR="00E43AF7" w:rsidRPr="004A7853" w:rsidRDefault="00E43AF7" w:rsidP="00E43AF7">
      <w:pPr>
        <w:pStyle w:val="ListParagraph"/>
        <w:numPr>
          <w:ilvl w:val="0"/>
          <w:numId w:val="53"/>
        </w:numPr>
        <w:tabs>
          <w:tab w:val="left" w:pos="709"/>
        </w:tabs>
        <w:ind w:left="0" w:firstLine="0"/>
        <w:jc w:val="both"/>
        <w:rPr>
          <w:rFonts w:ascii="Calibri" w:hAnsi="Calibri"/>
        </w:rPr>
      </w:pPr>
      <w:r w:rsidRPr="008704A4">
        <w:rPr>
          <w:rFonts w:cs="Arial"/>
          <w:lang w:eastAsia="ko-KR"/>
        </w:rPr>
        <w:t xml:space="preserve">Budget utilization is within the expected range of 40-60 per cent for the first year of the biennium and is on track. </w:t>
      </w:r>
    </w:p>
    <w:p w:rsidR="00361A1E" w:rsidRDefault="00361A1E"/>
    <w:p w:rsidR="00E43AF7" w:rsidRDefault="00E43AF7"/>
    <w:p w:rsidR="005E4C4F" w:rsidRDefault="005E4C4F">
      <w:r>
        <w:br w:type="page"/>
      </w:r>
    </w:p>
    <w:p w:rsidR="005E4C4F" w:rsidRPr="001243AF" w:rsidRDefault="005E4C4F" w:rsidP="00271CFB">
      <w:pPr>
        <w:pStyle w:val="Heading2"/>
        <w:tabs>
          <w:tab w:val="clear" w:pos="567"/>
          <w:tab w:val="left" w:pos="2268"/>
        </w:tabs>
        <w:ind w:left="1985" w:hanging="1985"/>
      </w:pPr>
      <w:bookmarkStart w:id="95" w:name="_Toc422210514"/>
      <w:r w:rsidRPr="001243AF">
        <w:lastRenderedPageBreak/>
        <w:t xml:space="preserve">PROGRAM </w:t>
      </w:r>
      <w:r>
        <w:t>25</w:t>
      </w:r>
      <w:r>
        <w:tab/>
        <w:t>INFORMATION AND COMMUNICATION TECHNOLOGY</w:t>
      </w:r>
      <w:bookmarkEnd w:id="95"/>
    </w:p>
    <w:p w:rsidR="005E4C4F" w:rsidRPr="00383D2D" w:rsidRDefault="005E4C4F" w:rsidP="00271CFB">
      <w:pPr>
        <w:ind w:left="1985" w:hanging="1985"/>
        <w:rPr>
          <w:szCs w:val="20"/>
        </w:rPr>
      </w:pPr>
    </w:p>
    <w:p w:rsidR="005E4C4F" w:rsidRPr="0005022A" w:rsidRDefault="005E4C4F" w:rsidP="00271CFB">
      <w:pPr>
        <w:ind w:left="1985" w:hanging="1985"/>
        <w:rPr>
          <w:b/>
          <w:szCs w:val="20"/>
        </w:rPr>
      </w:pPr>
      <w:r w:rsidRPr="0005022A">
        <w:rPr>
          <w:b/>
          <w:szCs w:val="20"/>
        </w:rPr>
        <w:t>Program Manager</w:t>
      </w:r>
      <w:r w:rsidRPr="0005022A">
        <w:rPr>
          <w:b/>
          <w:szCs w:val="20"/>
        </w:rPr>
        <w:tab/>
        <w:t>Mr. A. Sundaram</w:t>
      </w:r>
    </w:p>
    <w:p w:rsidR="005E4C4F" w:rsidRPr="008F4A6D" w:rsidRDefault="005E4C4F" w:rsidP="000E148D">
      <w:pPr>
        <w:rPr>
          <w:szCs w:val="20"/>
        </w:rPr>
      </w:pPr>
    </w:p>
    <w:p w:rsidR="005E4C4F" w:rsidRPr="001C6F4D" w:rsidRDefault="005E4C4F" w:rsidP="000E148D">
      <w:pPr>
        <w:rPr>
          <w:szCs w:val="20"/>
        </w:rPr>
      </w:pPr>
    </w:p>
    <w:p w:rsidR="005E4C4F" w:rsidRPr="005E6AFC" w:rsidRDefault="005E4C4F" w:rsidP="000E148D">
      <w:pPr>
        <w:rPr>
          <w:bCs/>
          <w:sz w:val="22"/>
          <w:szCs w:val="22"/>
        </w:rPr>
      </w:pPr>
      <w:r>
        <w:rPr>
          <w:bCs/>
          <w:sz w:val="22"/>
          <w:szCs w:val="22"/>
        </w:rPr>
        <w:t>OVERVIEW OF PROGRESS IN 2014</w:t>
      </w:r>
    </w:p>
    <w:p w:rsidR="005E4C4F" w:rsidRPr="00383D2D" w:rsidRDefault="005E4C4F" w:rsidP="000E148D">
      <w:pPr>
        <w:rPr>
          <w:szCs w:val="20"/>
        </w:rPr>
      </w:pPr>
    </w:p>
    <w:p w:rsidR="005E4C4F" w:rsidRDefault="005E4C4F" w:rsidP="005E4C4F">
      <w:pPr>
        <w:pStyle w:val="ONUME"/>
        <w:numPr>
          <w:ilvl w:val="0"/>
          <w:numId w:val="44"/>
        </w:numPr>
        <w:tabs>
          <w:tab w:val="left" w:pos="709"/>
        </w:tabs>
        <w:ind w:left="0" w:firstLine="0"/>
      </w:pPr>
      <w:r w:rsidRPr="00916E56">
        <w:t>The following highlights serve as indicators of progress in the field of Infrastructure Services and Business Solution Services (including Internet Services) in 2014:</w:t>
      </w:r>
    </w:p>
    <w:p w:rsidR="005E4C4F" w:rsidRPr="006A5C71" w:rsidRDefault="005E4C4F" w:rsidP="00271CFB">
      <w:pPr>
        <w:pStyle w:val="ListParagraph"/>
        <w:tabs>
          <w:tab w:val="left" w:pos="1134"/>
        </w:tabs>
        <w:jc w:val="both"/>
        <w:rPr>
          <w:rFonts w:cs="Arial"/>
        </w:rPr>
      </w:pPr>
    </w:p>
    <w:p w:rsidR="005E4C4F" w:rsidRPr="006A5C71" w:rsidRDefault="005E4C4F" w:rsidP="00271CFB">
      <w:pPr>
        <w:pStyle w:val="ListParagraph"/>
        <w:tabs>
          <w:tab w:val="left" w:pos="540"/>
          <w:tab w:val="left" w:pos="1276"/>
        </w:tabs>
        <w:jc w:val="both"/>
        <w:rPr>
          <w:rFonts w:cs="Arial"/>
        </w:rPr>
      </w:pPr>
      <w:r w:rsidRPr="006A5C71">
        <w:rPr>
          <w:rFonts w:cs="Arial"/>
        </w:rPr>
        <w:t>(</w:t>
      </w:r>
      <w:proofErr w:type="spellStart"/>
      <w:r w:rsidRPr="006A5C71">
        <w:rPr>
          <w:rFonts w:cs="Arial"/>
        </w:rPr>
        <w:t>i</w:t>
      </w:r>
      <w:proofErr w:type="spellEnd"/>
      <w:r w:rsidRPr="006A5C71">
        <w:rPr>
          <w:rFonts w:cs="Arial"/>
        </w:rPr>
        <w:t>)</w:t>
      </w:r>
      <w:r w:rsidRPr="006A5C71">
        <w:rPr>
          <w:rFonts w:cs="Arial"/>
        </w:rPr>
        <w:tab/>
      </w:r>
      <w:r w:rsidRPr="00916E56">
        <w:rPr>
          <w:rFonts w:eastAsiaTheme="minorEastAsia" w:cs="Arial"/>
          <w:szCs w:val="22"/>
          <w:lang w:eastAsia="ja-JP"/>
        </w:rPr>
        <w:t>ICT infrastructure resilience and service continuity were further enhanced.  Preliminary tests were conducted showing promising results;</w:t>
      </w:r>
      <w:r>
        <w:rPr>
          <w:rFonts w:cs="Arial"/>
        </w:rPr>
        <w:t xml:space="preserve">     </w:t>
      </w:r>
    </w:p>
    <w:p w:rsidR="005E4C4F" w:rsidRPr="006A5C71" w:rsidRDefault="005E4C4F" w:rsidP="00271CFB">
      <w:pPr>
        <w:pStyle w:val="ListParagraph"/>
        <w:tabs>
          <w:tab w:val="left" w:pos="540"/>
          <w:tab w:val="left" w:pos="1276"/>
        </w:tabs>
        <w:jc w:val="both"/>
        <w:rPr>
          <w:rFonts w:cs="Arial"/>
        </w:rPr>
      </w:pPr>
    </w:p>
    <w:p w:rsidR="005E4C4F" w:rsidRDefault="005E4C4F" w:rsidP="00271CFB">
      <w:pPr>
        <w:pStyle w:val="ListParagraph"/>
        <w:tabs>
          <w:tab w:val="left" w:pos="540"/>
          <w:tab w:val="left" w:pos="1276"/>
        </w:tabs>
        <w:jc w:val="both"/>
        <w:rPr>
          <w:rFonts w:cs="Arial"/>
        </w:rPr>
      </w:pPr>
      <w:r w:rsidRPr="006A5C71">
        <w:rPr>
          <w:rFonts w:cs="Arial"/>
        </w:rPr>
        <w:t>(ii)</w:t>
      </w:r>
      <w:r w:rsidRPr="006A5C71">
        <w:rPr>
          <w:rFonts w:cs="Arial"/>
        </w:rPr>
        <w:tab/>
      </w:r>
      <w:r w:rsidRPr="00916E56">
        <w:rPr>
          <w:rFonts w:eastAsiaTheme="minorEastAsia" w:cs="Arial"/>
          <w:szCs w:val="22"/>
          <w:lang w:eastAsia="ja-JP"/>
        </w:rPr>
        <w:t>ICT</w:t>
      </w:r>
      <w:r w:rsidRPr="00BE4891">
        <w:rPr>
          <w:rFonts w:cs="Arial"/>
        </w:rPr>
        <w:t xml:space="preserve"> infrastructure for the </w:t>
      </w:r>
      <w:r>
        <w:rPr>
          <w:rFonts w:cs="Arial"/>
        </w:rPr>
        <w:t>n</w:t>
      </w:r>
      <w:r w:rsidRPr="00BE4891">
        <w:rPr>
          <w:rFonts w:cs="Arial"/>
        </w:rPr>
        <w:t xml:space="preserve">ew </w:t>
      </w:r>
      <w:r>
        <w:rPr>
          <w:rFonts w:cs="Arial"/>
        </w:rPr>
        <w:t xml:space="preserve">WIPO </w:t>
      </w:r>
      <w:r w:rsidRPr="00BE4891">
        <w:rPr>
          <w:rFonts w:cs="Arial"/>
        </w:rPr>
        <w:t xml:space="preserve">Conference Hall was completed </w:t>
      </w:r>
      <w:r>
        <w:rPr>
          <w:rFonts w:cs="Arial"/>
        </w:rPr>
        <w:t>in time for its</w:t>
      </w:r>
      <w:r w:rsidRPr="00BE4891">
        <w:rPr>
          <w:rFonts w:cs="Arial"/>
        </w:rPr>
        <w:t xml:space="preserve"> opening for </w:t>
      </w:r>
      <w:r w:rsidRPr="00BD7E9A">
        <w:rPr>
          <w:bCs/>
        </w:rPr>
        <w:t xml:space="preserve">the twenty-second session of the PBC and the fifty-fourth series of </w:t>
      </w:r>
      <w:r>
        <w:rPr>
          <w:bCs/>
        </w:rPr>
        <w:t>meetings of the WIPO Assemblies</w:t>
      </w:r>
      <w:r w:rsidRPr="00BE4891">
        <w:rPr>
          <w:rFonts w:cs="Arial"/>
        </w:rPr>
        <w:t>;</w:t>
      </w:r>
      <w:r>
        <w:rPr>
          <w:rFonts w:cs="Arial"/>
        </w:rPr>
        <w:t xml:space="preserve">   </w:t>
      </w:r>
    </w:p>
    <w:p w:rsidR="005E4C4F" w:rsidRPr="00BE4891" w:rsidRDefault="005E4C4F" w:rsidP="00271CFB">
      <w:pPr>
        <w:pStyle w:val="ListParagraph"/>
        <w:jc w:val="both"/>
        <w:rPr>
          <w:rFonts w:cs="Arial"/>
        </w:rPr>
      </w:pPr>
    </w:p>
    <w:p w:rsidR="005E4C4F" w:rsidRPr="006A5C71" w:rsidRDefault="005E4C4F" w:rsidP="00271CFB">
      <w:pPr>
        <w:pStyle w:val="ListParagraph"/>
        <w:tabs>
          <w:tab w:val="left" w:pos="567"/>
          <w:tab w:val="left" w:pos="1276"/>
        </w:tabs>
        <w:ind w:left="709"/>
        <w:jc w:val="both"/>
        <w:rPr>
          <w:rFonts w:eastAsiaTheme="minorEastAsia" w:cs="Arial"/>
          <w:szCs w:val="22"/>
          <w:lang w:eastAsia="ja-JP"/>
        </w:rPr>
      </w:pPr>
      <w:r>
        <w:rPr>
          <w:rFonts w:eastAsiaTheme="minorEastAsia" w:cs="Arial"/>
          <w:szCs w:val="22"/>
          <w:lang w:eastAsia="ja-JP"/>
        </w:rPr>
        <w:t>(iii)</w:t>
      </w:r>
      <w:r>
        <w:rPr>
          <w:rFonts w:eastAsiaTheme="minorEastAsia" w:cs="Arial"/>
          <w:szCs w:val="22"/>
          <w:lang w:eastAsia="ja-JP"/>
        </w:rPr>
        <w:tab/>
      </w:r>
      <w:r w:rsidRPr="00916E56">
        <w:rPr>
          <w:rFonts w:eastAsiaTheme="minorEastAsia" w:cs="Arial"/>
          <w:szCs w:val="22"/>
          <w:lang w:eastAsia="ja-JP"/>
        </w:rPr>
        <w:t>Through</w:t>
      </w:r>
      <w:r w:rsidRPr="006A5C71">
        <w:rPr>
          <w:rFonts w:eastAsiaTheme="minorEastAsia" w:cs="Arial"/>
          <w:szCs w:val="22"/>
          <w:lang w:eastAsia="ja-JP"/>
        </w:rPr>
        <w:t xml:space="preserve"> close collaboration, ICT capacity expectations from key business areas were better understood and documented.  As a result, Service Delivery Agreements (SDAs) were established to explicitly capture the ICT needs for the specific business areas and also to enable more systematic tracking and monitoring;</w:t>
      </w:r>
      <w:r>
        <w:rPr>
          <w:rFonts w:eastAsiaTheme="minorEastAsia" w:cs="Arial"/>
          <w:szCs w:val="22"/>
          <w:lang w:eastAsia="ja-JP"/>
        </w:rPr>
        <w:t xml:space="preserve">  </w:t>
      </w:r>
    </w:p>
    <w:p w:rsidR="005E4C4F" w:rsidRPr="006A5C71" w:rsidRDefault="005E4C4F" w:rsidP="00271CFB">
      <w:pPr>
        <w:pStyle w:val="ListParagraph"/>
        <w:jc w:val="both"/>
        <w:rPr>
          <w:rFonts w:eastAsiaTheme="minorEastAsia" w:cs="Arial"/>
          <w:szCs w:val="22"/>
          <w:lang w:eastAsia="ja-JP"/>
        </w:rPr>
      </w:pPr>
    </w:p>
    <w:p w:rsidR="005E4C4F" w:rsidRDefault="005E4C4F" w:rsidP="00271CFB">
      <w:pPr>
        <w:pStyle w:val="ListParagraph"/>
        <w:tabs>
          <w:tab w:val="left" w:pos="567"/>
          <w:tab w:val="left" w:pos="1276"/>
        </w:tabs>
        <w:ind w:left="709"/>
        <w:jc w:val="both"/>
      </w:pPr>
      <w:r>
        <w:rPr>
          <w:rFonts w:eastAsiaTheme="minorEastAsia" w:cs="Arial"/>
          <w:szCs w:val="22"/>
          <w:lang w:eastAsia="ja-JP"/>
        </w:rPr>
        <w:t>(iv)</w:t>
      </w:r>
      <w:r>
        <w:rPr>
          <w:rFonts w:eastAsiaTheme="minorEastAsia" w:cs="Arial"/>
          <w:szCs w:val="22"/>
          <w:lang w:eastAsia="ja-JP"/>
        </w:rPr>
        <w:tab/>
      </w:r>
      <w:r w:rsidRPr="00916E56">
        <w:rPr>
          <w:rFonts w:eastAsiaTheme="minorEastAsia" w:cs="Arial"/>
          <w:szCs w:val="22"/>
          <w:lang w:eastAsia="ja-JP"/>
        </w:rPr>
        <w:t>In</w:t>
      </w:r>
      <w:r>
        <w:t xml:space="preserve"> response to an ever-changing business environment, t</w:t>
      </w:r>
      <w:r w:rsidRPr="00BE4891">
        <w:t xml:space="preserve">echnology evolutions </w:t>
      </w:r>
      <w:r>
        <w:t xml:space="preserve">were explored with a view to developing a </w:t>
      </w:r>
      <w:r w:rsidRPr="00BE4891">
        <w:t>future end-user computing strategy</w:t>
      </w:r>
      <w:r>
        <w:t xml:space="preserve"> to address the nascent need for greater business mobility, e.g. through the use of handheld devices (tablets and smartphones) as opposed to traditional computing devices (desktops and laptops); </w:t>
      </w:r>
    </w:p>
    <w:p w:rsidR="005E4C4F" w:rsidRDefault="005E4C4F" w:rsidP="00271CFB">
      <w:pPr>
        <w:pStyle w:val="ListParagraph"/>
      </w:pPr>
    </w:p>
    <w:p w:rsidR="005E4C4F" w:rsidRDefault="005E4C4F" w:rsidP="00271CFB">
      <w:pPr>
        <w:pStyle w:val="ListParagraph"/>
        <w:tabs>
          <w:tab w:val="left" w:pos="567"/>
          <w:tab w:val="left" w:pos="1276"/>
        </w:tabs>
        <w:ind w:left="709"/>
        <w:jc w:val="both"/>
      </w:pPr>
      <w:r>
        <w:rPr>
          <w:rFonts w:cs="Arial"/>
        </w:rPr>
        <w:t>(v)</w:t>
      </w:r>
      <w:r>
        <w:rPr>
          <w:rFonts w:cs="Arial"/>
        </w:rPr>
        <w:tab/>
      </w:r>
      <w:r w:rsidRPr="000F4336">
        <w:rPr>
          <w:rFonts w:cs="Arial"/>
        </w:rPr>
        <w:t>Mobile telecommunications were enhanced with more integrated services offered at lower costs.  In keeping up with industry development, a Mobile Device Management (MDM) system was introduced to allow cost-effective communications am</w:t>
      </w:r>
      <w:r w:rsidRPr="00615410">
        <w:rPr>
          <w:rFonts w:cs="Arial"/>
        </w:rPr>
        <w:t>ong WIPO staff through various means regardless of where they are;</w:t>
      </w:r>
      <w:r>
        <w:rPr>
          <w:rFonts w:cs="Arial"/>
        </w:rPr>
        <w:t xml:space="preserve"> </w:t>
      </w:r>
      <w:r w:rsidRPr="00615410">
        <w:rPr>
          <w:rFonts w:cs="Arial"/>
        </w:rPr>
        <w:t xml:space="preserve"> </w:t>
      </w:r>
      <w:r>
        <w:t>and</w:t>
      </w:r>
    </w:p>
    <w:p w:rsidR="005E4C4F" w:rsidRPr="00BE4891" w:rsidRDefault="005E4C4F" w:rsidP="00271CFB">
      <w:pPr>
        <w:pStyle w:val="ListParagraph"/>
        <w:jc w:val="both"/>
      </w:pPr>
    </w:p>
    <w:p w:rsidR="005E4C4F" w:rsidRDefault="005E4C4F" w:rsidP="00271CFB">
      <w:pPr>
        <w:pStyle w:val="ListParagraph"/>
        <w:tabs>
          <w:tab w:val="left" w:pos="567"/>
          <w:tab w:val="left" w:pos="1276"/>
        </w:tabs>
        <w:ind w:left="709"/>
        <w:jc w:val="both"/>
        <w:rPr>
          <w:rFonts w:cs="Arial"/>
        </w:rPr>
      </w:pPr>
      <w:proofErr w:type="gramStart"/>
      <w:r>
        <w:rPr>
          <w:rFonts w:cs="Arial"/>
        </w:rPr>
        <w:t>(vi)</w:t>
      </w:r>
      <w:r>
        <w:rPr>
          <w:rFonts w:cs="Arial"/>
        </w:rPr>
        <w:tab/>
        <w:t>F</w:t>
      </w:r>
      <w:r w:rsidRPr="00BE4891">
        <w:rPr>
          <w:rFonts w:cs="Arial"/>
        </w:rPr>
        <w:t>urther</w:t>
      </w:r>
      <w:proofErr w:type="gramEnd"/>
      <w:r w:rsidRPr="00BE4891">
        <w:rPr>
          <w:rFonts w:cs="Arial"/>
        </w:rPr>
        <w:t xml:space="preserve"> migration of traditional server platforms to virtual servers, consolidation of database licenses, optimizing policies in managing unused user accounts</w:t>
      </w:r>
      <w:r>
        <w:rPr>
          <w:rFonts w:cs="Arial"/>
        </w:rPr>
        <w:t>.</w:t>
      </w:r>
    </w:p>
    <w:p w:rsidR="005E4C4F" w:rsidRDefault="005E4C4F" w:rsidP="00271CFB">
      <w:pPr>
        <w:jc w:val="both"/>
      </w:pPr>
    </w:p>
    <w:p w:rsidR="005E4C4F" w:rsidRDefault="005E4C4F" w:rsidP="005E4C4F">
      <w:pPr>
        <w:pStyle w:val="ONUME"/>
        <w:numPr>
          <w:ilvl w:val="0"/>
          <w:numId w:val="44"/>
        </w:numPr>
        <w:tabs>
          <w:tab w:val="left" w:pos="709"/>
        </w:tabs>
        <w:ind w:left="0" w:firstLine="0"/>
        <w:jc w:val="both"/>
      </w:pPr>
      <w:r>
        <w:t>Whilst much of the work in relation to information assurance was operational, the year 2014 saw several key achievements which greatly contributed to enhancing the protection and security of WIPO’s information and systems.</w:t>
      </w:r>
    </w:p>
    <w:p w:rsidR="005E4C4F" w:rsidRDefault="005E4C4F" w:rsidP="005E4C4F">
      <w:pPr>
        <w:pStyle w:val="ONUME"/>
        <w:numPr>
          <w:ilvl w:val="0"/>
          <w:numId w:val="44"/>
        </w:numPr>
        <w:tabs>
          <w:tab w:val="left" w:pos="709"/>
        </w:tabs>
        <w:ind w:left="0" w:firstLine="0"/>
        <w:jc w:val="both"/>
      </w:pPr>
      <w:r>
        <w:t>As part of the continuous improvement process promoted by the ISO 27001 Standard, the PCT underwent re-certification to the updated 2013 version of the standard (ISO 27001:2013), with no major or minor non-conformities.  As part of this process, a series of third party service provider risk assessments was carried out to ensure improved supply-chain security for services.</w:t>
      </w:r>
    </w:p>
    <w:p w:rsidR="005E4C4F" w:rsidRDefault="005E4C4F" w:rsidP="005E4C4F">
      <w:pPr>
        <w:pStyle w:val="ONUME"/>
        <w:numPr>
          <w:ilvl w:val="0"/>
          <w:numId w:val="44"/>
        </w:numPr>
        <w:tabs>
          <w:tab w:val="left" w:pos="709"/>
        </w:tabs>
        <w:ind w:left="0" w:firstLine="0"/>
        <w:jc w:val="both"/>
      </w:pPr>
      <w:r>
        <w:t>The Information Security Section (ISS) also contributed to the selection and implementation of an Enterprise Risk Management solution (Acuity Stream) to enhance enterprise risk management capabilities within WIPO, and to enable the complete integration of the ISO-based risk management processes within the organizational risk management approaches.  The ISO related risk management activities for the PCT were greatly enhanced by the implementation of this solution which provides better reporting and visualization of current levels of risk and mitigation status.</w:t>
      </w:r>
    </w:p>
    <w:p w:rsidR="005E4C4F" w:rsidRDefault="005E4C4F" w:rsidP="005E4C4F">
      <w:pPr>
        <w:pStyle w:val="ONUME"/>
        <w:numPr>
          <w:ilvl w:val="0"/>
          <w:numId w:val="44"/>
        </w:numPr>
        <w:tabs>
          <w:tab w:val="left" w:pos="709"/>
        </w:tabs>
        <w:ind w:left="0" w:firstLine="0"/>
        <w:jc w:val="both"/>
      </w:pPr>
      <w:r>
        <w:t xml:space="preserve">ISS also collaborated closely with the PCT development teams to formulate and implement a Secure Development </w:t>
      </w:r>
      <w:proofErr w:type="spellStart"/>
      <w:r>
        <w:t>LifeCycle</w:t>
      </w:r>
      <w:proofErr w:type="spellEnd"/>
      <w:r>
        <w:t xml:space="preserve"> approach for application development, ensuring that information security requirements and controls are addressed from the beginning of a development project, thus reducing dramatically the amount of re-work required to pass security testing of the applications.</w:t>
      </w:r>
    </w:p>
    <w:p w:rsidR="005E4C4F" w:rsidRDefault="005E4C4F" w:rsidP="005E4C4F">
      <w:pPr>
        <w:pStyle w:val="ONUME"/>
        <w:numPr>
          <w:ilvl w:val="0"/>
          <w:numId w:val="44"/>
        </w:numPr>
        <w:tabs>
          <w:tab w:val="left" w:pos="709"/>
        </w:tabs>
        <w:ind w:left="0" w:firstLine="0"/>
        <w:jc w:val="both"/>
      </w:pPr>
      <w:r>
        <w:t xml:space="preserve">A project to fully implement the </w:t>
      </w:r>
      <w:proofErr w:type="spellStart"/>
      <w:r>
        <w:t>ArcSight</w:t>
      </w:r>
      <w:proofErr w:type="spellEnd"/>
      <w:r>
        <w:t xml:space="preserve"> Security Event and Information Management (SEIM) system was completed, providing greater visibility on potential security events within WIPO’s network, and enabling more effective and efficient incident response.  </w:t>
      </w:r>
    </w:p>
    <w:p w:rsidR="005E4C4F" w:rsidRDefault="005E4C4F" w:rsidP="00271CFB">
      <w:pPr>
        <w:jc w:val="both"/>
      </w:pPr>
    </w:p>
    <w:p w:rsidR="005E4C4F" w:rsidRDefault="005E4C4F" w:rsidP="005E4C4F">
      <w:pPr>
        <w:pStyle w:val="ONUME"/>
        <w:numPr>
          <w:ilvl w:val="0"/>
          <w:numId w:val="44"/>
        </w:numPr>
        <w:tabs>
          <w:tab w:val="left" w:pos="709"/>
        </w:tabs>
        <w:ind w:left="0" w:firstLine="0"/>
        <w:jc w:val="both"/>
      </w:pPr>
      <w:r>
        <w:t>The year 2014 also saw the launch of a solution aimed at raising user awareness around the topic of Phishing.  The first such campaign resulted in a dramatic increase in the number of phishing attempts being reported by the user community.</w:t>
      </w:r>
    </w:p>
    <w:p w:rsidR="005E4C4F" w:rsidRPr="00024CE7" w:rsidRDefault="005E4C4F" w:rsidP="005E4C4F">
      <w:pPr>
        <w:pStyle w:val="ONUME"/>
        <w:numPr>
          <w:ilvl w:val="0"/>
          <w:numId w:val="44"/>
        </w:numPr>
        <w:tabs>
          <w:tab w:val="left" w:pos="709"/>
        </w:tabs>
        <w:ind w:left="0" w:firstLine="0"/>
        <w:jc w:val="both"/>
      </w:pPr>
      <w:r>
        <w:t xml:space="preserve">The number of major incidents related to information security was very low during the year, with only one incident that affected a whole business unit.  </w:t>
      </w:r>
    </w:p>
    <w:p w:rsidR="005E4C4F" w:rsidRDefault="005E4C4F" w:rsidP="00271CFB">
      <w:pPr>
        <w:jc w:val="both"/>
        <w:rPr>
          <w:rFonts w:cs="Arial"/>
          <w:color w:val="000000" w:themeColor="text1"/>
          <w:sz w:val="22"/>
          <w:szCs w:val="22"/>
        </w:rPr>
      </w:pPr>
    </w:p>
    <w:p w:rsidR="005E4C4F" w:rsidRDefault="005E4C4F" w:rsidP="00271CFB">
      <w:pPr>
        <w:jc w:val="both"/>
        <w:rPr>
          <w:rFonts w:cs="Arial"/>
          <w:color w:val="000000" w:themeColor="text1"/>
          <w:sz w:val="22"/>
          <w:szCs w:val="22"/>
        </w:rPr>
      </w:pPr>
    </w:p>
    <w:p w:rsidR="005E4C4F" w:rsidRDefault="005E4C4F" w:rsidP="00271CFB">
      <w:pPr>
        <w:jc w:val="both"/>
        <w:rPr>
          <w:rFonts w:cs="Arial"/>
          <w:color w:val="000000" w:themeColor="text1"/>
          <w:sz w:val="22"/>
          <w:szCs w:val="22"/>
        </w:rPr>
      </w:pPr>
      <w:r w:rsidRPr="0048768E">
        <w:rPr>
          <w:rFonts w:cs="Arial"/>
          <w:color w:val="000000" w:themeColor="text1"/>
          <w:sz w:val="22"/>
          <w:szCs w:val="22"/>
        </w:rPr>
        <w:t>PERFORMANCE DATA</w:t>
      </w:r>
    </w:p>
    <w:p w:rsidR="005E4C4F" w:rsidRPr="0048768E" w:rsidRDefault="005E4C4F" w:rsidP="00271CFB">
      <w:pPr>
        <w:rPr>
          <w:rFonts w:cs="Arial"/>
          <w:color w:val="000000" w:themeColor="text1"/>
          <w:sz w:val="22"/>
          <w:szCs w:val="22"/>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1844"/>
        <w:gridCol w:w="1560"/>
        <w:gridCol w:w="2977"/>
        <w:gridCol w:w="990"/>
      </w:tblGrid>
      <w:tr w:rsidR="005E4C4F" w:rsidRPr="007B1B92" w:rsidTr="00271CFB">
        <w:trPr>
          <w:cantSplit/>
        </w:trPr>
        <w:tc>
          <w:tcPr>
            <w:tcW w:w="5000" w:type="pct"/>
            <w:gridSpan w:val="5"/>
            <w:tcBorders>
              <w:top w:val="single" w:sz="4" w:space="0" w:color="auto"/>
              <w:bottom w:val="single" w:sz="4" w:space="0" w:color="auto"/>
            </w:tcBorders>
            <w:shd w:val="clear" w:color="auto" w:fill="CCFFFF"/>
            <w:vAlign w:val="center"/>
          </w:tcPr>
          <w:p w:rsidR="005E4C4F" w:rsidRPr="007B1B92" w:rsidRDefault="005E4C4F" w:rsidP="00271CFB">
            <w:pPr>
              <w:keepNext/>
              <w:keepLines/>
              <w:tabs>
                <w:tab w:val="left" w:pos="1452"/>
              </w:tabs>
              <w:spacing w:before="120" w:after="120"/>
              <w:ind w:left="1452" w:hanging="1452"/>
              <w:rPr>
                <w:rFonts w:cs="Arial"/>
                <w:b/>
                <w:bCs/>
                <w:color w:val="000000" w:themeColor="text1"/>
                <w:sz w:val="16"/>
                <w:szCs w:val="16"/>
              </w:rPr>
            </w:pPr>
            <w:r w:rsidRPr="007B1B92">
              <w:rPr>
                <w:rFonts w:cs="Arial"/>
                <w:b/>
                <w:bCs/>
                <w:color w:val="000000" w:themeColor="text1"/>
                <w:sz w:val="16"/>
                <w:szCs w:val="16"/>
              </w:rPr>
              <w:t>Expected Result:</w:t>
            </w:r>
            <w:r w:rsidRPr="007B1B92">
              <w:rPr>
                <w:rFonts w:cs="Arial"/>
                <w:b/>
                <w:bCs/>
                <w:color w:val="000000" w:themeColor="text1"/>
                <w:sz w:val="16"/>
                <w:szCs w:val="16"/>
              </w:rPr>
              <w:tab/>
            </w:r>
            <w:r w:rsidRPr="00367545">
              <w:rPr>
                <w:rFonts w:cs="Arial"/>
                <w:color w:val="000000" w:themeColor="text1"/>
                <w:sz w:val="16"/>
                <w:szCs w:val="16"/>
              </w:rPr>
              <w:t>IX.1 Effective, efficient, quality and customer-oriented support services both to internal clients and to external stakeholders</w:t>
            </w:r>
          </w:p>
        </w:tc>
      </w:tr>
      <w:tr w:rsidR="005E4C4F" w:rsidRPr="007B1B92" w:rsidTr="00271CFB">
        <w:trPr>
          <w:cantSplit/>
        </w:trPr>
        <w:tc>
          <w:tcPr>
            <w:tcW w:w="1120" w:type="pct"/>
            <w:tcBorders>
              <w:top w:val="single" w:sz="4" w:space="0" w:color="auto"/>
              <w:left w:val="single" w:sz="4" w:space="0" w:color="auto"/>
              <w:bottom w:val="nil"/>
            </w:tcBorders>
            <w:shd w:val="clear" w:color="auto" w:fill="auto"/>
            <w:vAlign w:val="center"/>
          </w:tcPr>
          <w:p w:rsidR="005E4C4F" w:rsidRPr="007B1B92" w:rsidRDefault="005E4C4F" w:rsidP="00271CFB">
            <w:pPr>
              <w:rPr>
                <w:rFonts w:cs="Arial"/>
                <w:color w:val="000000" w:themeColor="text1"/>
                <w:sz w:val="16"/>
                <w:szCs w:val="16"/>
              </w:rPr>
            </w:pPr>
            <w:r w:rsidRPr="007B1B92">
              <w:rPr>
                <w:rFonts w:cs="Arial"/>
                <w:b/>
                <w:bCs/>
                <w:color w:val="000000" w:themeColor="text1"/>
                <w:sz w:val="16"/>
                <w:szCs w:val="16"/>
              </w:rPr>
              <w:t>Performance Indicators</w:t>
            </w:r>
          </w:p>
        </w:tc>
        <w:tc>
          <w:tcPr>
            <w:tcW w:w="971" w:type="pct"/>
            <w:tcBorders>
              <w:top w:val="single" w:sz="4" w:space="0" w:color="auto"/>
              <w:bottom w:val="nil"/>
            </w:tcBorders>
            <w:shd w:val="clear" w:color="auto" w:fill="auto"/>
            <w:vAlign w:val="center"/>
          </w:tcPr>
          <w:p w:rsidR="005E4C4F" w:rsidRPr="007B1B92" w:rsidRDefault="005E4C4F" w:rsidP="00271CFB">
            <w:pPr>
              <w:rPr>
                <w:rFonts w:cs="Arial"/>
                <w:b/>
                <w:bCs/>
                <w:color w:val="000000" w:themeColor="text1"/>
                <w:sz w:val="16"/>
                <w:szCs w:val="16"/>
              </w:rPr>
            </w:pPr>
            <w:r w:rsidRPr="007B1B92">
              <w:rPr>
                <w:rFonts w:cs="Arial"/>
                <w:b/>
                <w:bCs/>
                <w:sz w:val="16"/>
                <w:szCs w:val="16"/>
              </w:rPr>
              <w:t>Baselines</w:t>
            </w:r>
          </w:p>
        </w:tc>
        <w:tc>
          <w:tcPr>
            <w:tcW w:w="821" w:type="pct"/>
            <w:tcBorders>
              <w:top w:val="single" w:sz="4" w:space="0" w:color="auto"/>
              <w:bottom w:val="nil"/>
            </w:tcBorders>
            <w:shd w:val="clear" w:color="auto" w:fill="auto"/>
            <w:tcMar>
              <w:top w:w="110" w:type="dxa"/>
            </w:tcMar>
            <w:vAlign w:val="center"/>
          </w:tcPr>
          <w:p w:rsidR="005E4C4F" w:rsidRPr="007B1B92" w:rsidRDefault="005E4C4F" w:rsidP="00271CFB">
            <w:pPr>
              <w:rPr>
                <w:rFonts w:cs="Arial"/>
                <w:b/>
                <w:color w:val="000000" w:themeColor="text1"/>
                <w:sz w:val="16"/>
                <w:szCs w:val="16"/>
              </w:rPr>
            </w:pPr>
            <w:r w:rsidRPr="007B1B92">
              <w:rPr>
                <w:rFonts w:cs="Arial"/>
                <w:b/>
                <w:sz w:val="16"/>
                <w:szCs w:val="16"/>
              </w:rPr>
              <w:t>Targets</w:t>
            </w:r>
          </w:p>
        </w:tc>
        <w:tc>
          <w:tcPr>
            <w:tcW w:w="1567" w:type="pct"/>
            <w:tcBorders>
              <w:top w:val="single" w:sz="4" w:space="0" w:color="auto"/>
              <w:bottom w:val="nil"/>
            </w:tcBorders>
            <w:shd w:val="clear" w:color="auto" w:fill="FFFFFF"/>
            <w:tcMar>
              <w:top w:w="110" w:type="dxa"/>
            </w:tcMar>
            <w:vAlign w:val="center"/>
          </w:tcPr>
          <w:p w:rsidR="005E4C4F" w:rsidRPr="007B1B92" w:rsidRDefault="005E4C4F" w:rsidP="00271CFB">
            <w:pPr>
              <w:rPr>
                <w:rFonts w:cs="Arial"/>
                <w:color w:val="000000" w:themeColor="text1"/>
                <w:sz w:val="16"/>
                <w:szCs w:val="16"/>
              </w:rPr>
            </w:pPr>
            <w:r w:rsidRPr="007B1B92">
              <w:rPr>
                <w:rFonts w:cs="Arial"/>
                <w:b/>
                <w:bCs/>
                <w:color w:val="000000" w:themeColor="text1"/>
                <w:sz w:val="16"/>
                <w:szCs w:val="16"/>
              </w:rPr>
              <w:t>Performance Data</w:t>
            </w:r>
          </w:p>
        </w:tc>
        <w:tc>
          <w:tcPr>
            <w:tcW w:w="521" w:type="pct"/>
            <w:tcBorders>
              <w:top w:val="single" w:sz="4" w:space="0" w:color="auto"/>
              <w:bottom w:val="nil"/>
              <w:right w:val="single" w:sz="4" w:space="0" w:color="auto"/>
            </w:tcBorders>
            <w:shd w:val="clear" w:color="auto" w:fill="auto"/>
            <w:tcMar>
              <w:top w:w="110" w:type="dxa"/>
            </w:tcMar>
            <w:vAlign w:val="center"/>
          </w:tcPr>
          <w:p w:rsidR="005E4C4F" w:rsidRPr="007B1B92" w:rsidRDefault="005E4C4F" w:rsidP="00271CFB">
            <w:pPr>
              <w:keepNext/>
              <w:keepLines/>
              <w:jc w:val="center"/>
              <w:rPr>
                <w:rFonts w:cs="Arial"/>
                <w:b/>
                <w:bCs/>
                <w:color w:val="000000" w:themeColor="text1"/>
                <w:sz w:val="16"/>
                <w:szCs w:val="16"/>
              </w:rPr>
            </w:pPr>
            <w:r w:rsidRPr="007B1B92">
              <w:rPr>
                <w:rFonts w:cs="Arial"/>
                <w:b/>
                <w:bCs/>
                <w:color w:val="000000" w:themeColor="text1"/>
                <w:sz w:val="16"/>
                <w:szCs w:val="16"/>
              </w:rPr>
              <w:t>TLS</w:t>
            </w:r>
          </w:p>
        </w:tc>
      </w:tr>
      <w:tr w:rsidR="005E4C4F" w:rsidRPr="007B1B92" w:rsidTr="00271CFB">
        <w:trPr>
          <w:cantSplit/>
        </w:trPr>
        <w:tc>
          <w:tcPr>
            <w:tcW w:w="1120" w:type="pct"/>
            <w:tcBorders>
              <w:top w:val="nil"/>
              <w:left w:val="single" w:sz="4" w:space="0" w:color="auto"/>
              <w:bottom w:val="nil"/>
            </w:tcBorders>
            <w:shd w:val="clear" w:color="auto" w:fill="auto"/>
          </w:tcPr>
          <w:p w:rsidR="005E4C4F" w:rsidRPr="007B1B92" w:rsidRDefault="005E4C4F" w:rsidP="00271CFB">
            <w:pPr>
              <w:rPr>
                <w:rFonts w:cs="Arial"/>
                <w:color w:val="000000" w:themeColor="text1"/>
                <w:sz w:val="16"/>
                <w:szCs w:val="16"/>
              </w:rPr>
            </w:pPr>
            <w:r w:rsidRPr="004972A9">
              <w:rPr>
                <w:rFonts w:cs="Arial"/>
                <w:color w:val="000000" w:themeColor="text1"/>
                <w:sz w:val="16"/>
                <w:szCs w:val="16"/>
              </w:rPr>
              <w:t>ICT Systems are cost-effectively hosted and managed in line with business demands</w:t>
            </w:r>
          </w:p>
        </w:tc>
        <w:tc>
          <w:tcPr>
            <w:tcW w:w="971" w:type="pct"/>
            <w:tcBorders>
              <w:top w:val="nil"/>
              <w:bottom w:val="nil"/>
            </w:tcBorders>
            <w:shd w:val="clear" w:color="auto" w:fill="auto"/>
          </w:tcPr>
          <w:p w:rsidR="005E4C4F" w:rsidRDefault="005E4C4F" w:rsidP="00271CFB">
            <w:pPr>
              <w:rPr>
                <w:color w:val="002060"/>
                <w:sz w:val="16"/>
                <w:szCs w:val="16"/>
              </w:rPr>
            </w:pPr>
            <w:r>
              <w:rPr>
                <w:i/>
                <w:color w:val="002060"/>
                <w:sz w:val="16"/>
                <w:szCs w:val="16"/>
              </w:rPr>
              <w:t>Updated Baseline end 2013</w:t>
            </w:r>
            <w:r w:rsidRPr="006550F0">
              <w:rPr>
                <w:i/>
                <w:color w:val="002060"/>
                <w:sz w:val="16"/>
                <w:szCs w:val="16"/>
              </w:rPr>
              <w:t>:</w:t>
            </w:r>
            <w:r w:rsidRPr="006550F0">
              <w:rPr>
                <w:color w:val="002060"/>
                <w:sz w:val="16"/>
                <w:szCs w:val="16"/>
              </w:rPr>
              <w:t xml:space="preserve"> </w:t>
            </w:r>
          </w:p>
          <w:p w:rsidR="005E4C4F" w:rsidRPr="004972A9" w:rsidRDefault="005E4C4F" w:rsidP="00271CFB">
            <w:pPr>
              <w:rPr>
                <w:color w:val="002060"/>
                <w:sz w:val="16"/>
                <w:szCs w:val="16"/>
              </w:rPr>
            </w:pPr>
            <w:r w:rsidRPr="004972A9">
              <w:rPr>
                <w:color w:val="002060"/>
                <w:sz w:val="16"/>
                <w:szCs w:val="16"/>
              </w:rPr>
              <w:t>Enterprise Server  Support Monthly cost: $280;</w:t>
            </w:r>
          </w:p>
          <w:p w:rsidR="005E4C4F" w:rsidRPr="004972A9" w:rsidRDefault="005E4C4F" w:rsidP="00271CFB">
            <w:pPr>
              <w:rPr>
                <w:color w:val="002060"/>
                <w:sz w:val="16"/>
                <w:szCs w:val="16"/>
              </w:rPr>
            </w:pPr>
            <w:r w:rsidRPr="004972A9">
              <w:rPr>
                <w:color w:val="002060"/>
                <w:sz w:val="16"/>
                <w:szCs w:val="16"/>
              </w:rPr>
              <w:t xml:space="preserve">Virtual Server Monthly cost (2 core &amp; 8GB): $229; </w:t>
            </w:r>
          </w:p>
          <w:p w:rsidR="005E4C4F" w:rsidRPr="006550F0" w:rsidRDefault="005E4C4F" w:rsidP="00271CFB">
            <w:pPr>
              <w:rPr>
                <w:color w:val="002060"/>
                <w:sz w:val="16"/>
                <w:szCs w:val="16"/>
              </w:rPr>
            </w:pPr>
            <w:r w:rsidRPr="004972A9">
              <w:rPr>
                <w:color w:val="002060"/>
                <w:sz w:val="16"/>
                <w:szCs w:val="16"/>
              </w:rPr>
              <w:t>High-Perf</w:t>
            </w:r>
            <w:r>
              <w:rPr>
                <w:color w:val="002060"/>
                <w:sz w:val="16"/>
                <w:szCs w:val="16"/>
              </w:rPr>
              <w:t>ormance</w:t>
            </w:r>
            <w:r w:rsidRPr="004972A9">
              <w:rPr>
                <w:color w:val="002060"/>
                <w:sz w:val="16"/>
                <w:szCs w:val="16"/>
              </w:rPr>
              <w:t xml:space="preserve">. Storage Average Monthly cost: </w:t>
            </w:r>
            <w:r>
              <w:rPr>
                <w:color w:val="002060"/>
                <w:sz w:val="16"/>
                <w:szCs w:val="16"/>
              </w:rPr>
              <w:t>$</w:t>
            </w:r>
            <w:r w:rsidRPr="004972A9">
              <w:rPr>
                <w:color w:val="002060"/>
                <w:sz w:val="16"/>
                <w:szCs w:val="16"/>
              </w:rPr>
              <w:t xml:space="preserve">420/TB Backup Average Monthly cost: </w:t>
            </w:r>
            <w:r>
              <w:rPr>
                <w:color w:val="002060"/>
                <w:sz w:val="16"/>
                <w:szCs w:val="16"/>
              </w:rPr>
              <w:t>$</w:t>
            </w:r>
            <w:r w:rsidRPr="004972A9">
              <w:rPr>
                <w:color w:val="002060"/>
                <w:sz w:val="16"/>
                <w:szCs w:val="16"/>
              </w:rPr>
              <w:t>53.9</w:t>
            </w:r>
          </w:p>
          <w:p w:rsidR="005E4C4F" w:rsidRPr="008225D9" w:rsidRDefault="005E4C4F" w:rsidP="00271CFB">
            <w:pPr>
              <w:rPr>
                <w:rFonts w:cs="Arial"/>
                <w:i/>
                <w:sz w:val="8"/>
                <w:szCs w:val="8"/>
              </w:rPr>
            </w:pPr>
          </w:p>
          <w:p w:rsidR="005E4C4F" w:rsidRPr="007B1B92" w:rsidRDefault="005E4C4F" w:rsidP="00271CFB">
            <w:pPr>
              <w:rPr>
                <w:rFonts w:cs="Arial"/>
                <w:color w:val="000000" w:themeColor="text1"/>
                <w:sz w:val="16"/>
                <w:szCs w:val="16"/>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w:t>
            </w:r>
            <w:r>
              <w:rPr>
                <w:rFonts w:cs="Arial"/>
                <w:sz w:val="16"/>
                <w:szCs w:val="16"/>
              </w:rPr>
              <w:br/>
            </w:r>
            <w:r w:rsidRPr="004972A9">
              <w:rPr>
                <w:rFonts w:cs="Arial"/>
                <w:color w:val="000000" w:themeColor="text1"/>
                <w:sz w:val="16"/>
                <w:szCs w:val="16"/>
              </w:rPr>
              <w:t>Unit costs for physical, virtual servers, for storage and backup</w:t>
            </w:r>
          </w:p>
        </w:tc>
        <w:tc>
          <w:tcPr>
            <w:tcW w:w="821" w:type="pct"/>
            <w:tcBorders>
              <w:top w:val="nil"/>
              <w:bottom w:val="nil"/>
            </w:tcBorders>
            <w:shd w:val="clear" w:color="auto" w:fill="auto"/>
            <w:tcMar>
              <w:top w:w="110" w:type="dxa"/>
            </w:tcMar>
          </w:tcPr>
          <w:p w:rsidR="005E4C4F" w:rsidRPr="007B1B92" w:rsidRDefault="005E4C4F" w:rsidP="00271CFB">
            <w:pPr>
              <w:rPr>
                <w:rFonts w:cs="Arial"/>
                <w:color w:val="000000" w:themeColor="text1"/>
                <w:sz w:val="16"/>
                <w:szCs w:val="16"/>
              </w:rPr>
            </w:pPr>
            <w:r w:rsidRPr="004972A9">
              <w:rPr>
                <w:rFonts w:cs="Arial"/>
                <w:color w:val="000000" w:themeColor="text1"/>
                <w:sz w:val="16"/>
                <w:szCs w:val="16"/>
              </w:rPr>
              <w:t>Unit costs of infrastructure hosting are at the level or below the baseline</w:t>
            </w:r>
          </w:p>
        </w:tc>
        <w:tc>
          <w:tcPr>
            <w:tcW w:w="1567" w:type="pct"/>
            <w:tcBorders>
              <w:top w:val="nil"/>
              <w:bottom w:val="nil"/>
            </w:tcBorders>
            <w:shd w:val="clear" w:color="auto" w:fill="FFFFFF"/>
            <w:tcMar>
              <w:top w:w="110" w:type="dxa"/>
            </w:tcMar>
          </w:tcPr>
          <w:p w:rsidR="005E4C4F" w:rsidRDefault="005E4C4F" w:rsidP="00271CFB">
            <w:pPr>
              <w:rPr>
                <w:rFonts w:cs="Arial"/>
                <w:color w:val="000000"/>
                <w:sz w:val="16"/>
                <w:szCs w:val="16"/>
              </w:rPr>
            </w:pPr>
            <w:r>
              <w:rPr>
                <w:rFonts w:cs="Arial"/>
                <w:color w:val="000000"/>
                <w:sz w:val="16"/>
                <w:szCs w:val="16"/>
              </w:rPr>
              <w:t>The rates for 2014 did not change from the 2013 updated baseline.</w:t>
            </w:r>
          </w:p>
          <w:p w:rsidR="005E4C4F" w:rsidRDefault="005E4C4F" w:rsidP="00271CFB">
            <w:pPr>
              <w:rPr>
                <w:rFonts w:cs="Arial"/>
                <w:color w:val="000000" w:themeColor="text1"/>
                <w:sz w:val="16"/>
                <w:szCs w:val="16"/>
              </w:rPr>
            </w:pPr>
          </w:p>
          <w:p w:rsidR="005E4C4F" w:rsidRPr="00804829" w:rsidRDefault="005E4C4F" w:rsidP="00271CFB">
            <w:pPr>
              <w:rPr>
                <w:rFonts w:cs="Arial"/>
                <w:color w:val="000000"/>
                <w:sz w:val="16"/>
                <w:szCs w:val="16"/>
              </w:rPr>
            </w:pPr>
            <w:r w:rsidRPr="00804829">
              <w:rPr>
                <w:rFonts w:cs="Arial"/>
                <w:color w:val="000000" w:themeColor="text1"/>
                <w:sz w:val="16"/>
                <w:szCs w:val="16"/>
              </w:rPr>
              <w:t xml:space="preserve">New rates negotiated </w:t>
            </w:r>
            <w:r>
              <w:rPr>
                <w:rFonts w:cs="Arial"/>
                <w:color w:val="000000" w:themeColor="text1"/>
                <w:sz w:val="16"/>
                <w:szCs w:val="16"/>
              </w:rPr>
              <w:t xml:space="preserve">in 2014 </w:t>
            </w:r>
            <w:r w:rsidRPr="00804829">
              <w:rPr>
                <w:rFonts w:cs="Arial"/>
                <w:color w:val="000000" w:themeColor="text1"/>
                <w:sz w:val="16"/>
                <w:szCs w:val="16"/>
              </w:rPr>
              <w:t>to take effect in 2015</w:t>
            </w:r>
            <w:r>
              <w:rPr>
                <w:rFonts w:cs="Arial"/>
                <w:color w:val="000000" w:themeColor="text1"/>
                <w:sz w:val="16"/>
                <w:szCs w:val="16"/>
              </w:rPr>
              <w:t>:</w:t>
            </w:r>
          </w:p>
          <w:p w:rsidR="005E4C4F" w:rsidRPr="00FF2007" w:rsidRDefault="005E4C4F" w:rsidP="005E4C4F">
            <w:pPr>
              <w:pStyle w:val="ListParagraph"/>
              <w:numPr>
                <w:ilvl w:val="0"/>
                <w:numId w:val="43"/>
              </w:numPr>
              <w:rPr>
                <w:rFonts w:cs="Arial"/>
                <w:color w:val="000000"/>
                <w:sz w:val="16"/>
                <w:szCs w:val="16"/>
              </w:rPr>
            </w:pPr>
            <w:r w:rsidRPr="00FF2007">
              <w:rPr>
                <w:rFonts w:cs="Arial"/>
                <w:color w:val="000000"/>
                <w:sz w:val="16"/>
                <w:szCs w:val="16"/>
              </w:rPr>
              <w:t>Unit cost of Servers: 448 CHF/month; Unit cost per TB of storage: 299 CHF/month</w:t>
            </w:r>
          </w:p>
          <w:p w:rsidR="005E4C4F" w:rsidRPr="00FF2007" w:rsidRDefault="005E4C4F" w:rsidP="005E4C4F">
            <w:pPr>
              <w:pStyle w:val="ListParagraph"/>
              <w:numPr>
                <w:ilvl w:val="0"/>
                <w:numId w:val="43"/>
              </w:numPr>
              <w:rPr>
                <w:rFonts w:cs="Arial"/>
                <w:color w:val="000000"/>
                <w:sz w:val="16"/>
                <w:szCs w:val="16"/>
              </w:rPr>
            </w:pPr>
            <w:r w:rsidRPr="00FF2007">
              <w:rPr>
                <w:rFonts w:cs="Arial"/>
                <w:color w:val="000000"/>
                <w:sz w:val="16"/>
                <w:szCs w:val="16"/>
              </w:rPr>
              <w:t>Unit cost of backup per TB of storage: 370 CHF/month (End-2014)</w:t>
            </w:r>
          </w:p>
          <w:p w:rsidR="005E4C4F" w:rsidRPr="00FF2007" w:rsidRDefault="005E4C4F" w:rsidP="005E4C4F">
            <w:pPr>
              <w:pStyle w:val="ListParagraph"/>
              <w:numPr>
                <w:ilvl w:val="0"/>
                <w:numId w:val="43"/>
              </w:numPr>
              <w:rPr>
                <w:rFonts w:cs="Arial"/>
                <w:color w:val="000000"/>
                <w:sz w:val="16"/>
                <w:szCs w:val="16"/>
              </w:rPr>
            </w:pPr>
            <w:r w:rsidRPr="00FF2007">
              <w:rPr>
                <w:rFonts w:cs="Arial"/>
                <w:color w:val="000000"/>
                <w:sz w:val="16"/>
                <w:szCs w:val="16"/>
              </w:rPr>
              <w:t>Number of service incidents with medium or high impact: 1.75 per month</w:t>
            </w:r>
          </w:p>
          <w:p w:rsidR="005E4C4F" w:rsidRPr="007B1B92" w:rsidRDefault="005E4C4F" w:rsidP="00271CFB">
            <w:pPr>
              <w:rPr>
                <w:rFonts w:cs="Arial"/>
                <w:color w:val="000000" w:themeColor="text1"/>
                <w:sz w:val="16"/>
                <w:szCs w:val="16"/>
              </w:rPr>
            </w:pPr>
          </w:p>
        </w:tc>
        <w:tc>
          <w:tcPr>
            <w:tcW w:w="521" w:type="pct"/>
            <w:tcBorders>
              <w:top w:val="nil"/>
              <w:bottom w:val="nil"/>
              <w:right w:val="single" w:sz="4" w:space="0" w:color="auto"/>
            </w:tcBorders>
            <w:shd w:val="clear" w:color="auto" w:fill="auto"/>
            <w:tcMar>
              <w:top w:w="110" w:type="dxa"/>
            </w:tcMar>
          </w:tcPr>
          <w:p w:rsidR="005E4C4F" w:rsidRPr="0092581A" w:rsidRDefault="005E4C4F" w:rsidP="00271CFB">
            <w:pPr>
              <w:keepNext/>
              <w:keepLines/>
              <w:jc w:val="center"/>
              <w:rPr>
                <w:rFonts w:cs="Arial"/>
                <w:b/>
                <w:bCs/>
                <w:color w:val="00B050"/>
                <w:sz w:val="16"/>
                <w:szCs w:val="16"/>
              </w:rPr>
            </w:pPr>
            <w:r w:rsidRPr="0092581A">
              <w:rPr>
                <w:rFonts w:cs="Arial"/>
                <w:b/>
                <w:bCs/>
                <w:color w:val="00B050"/>
                <w:sz w:val="16"/>
                <w:szCs w:val="16"/>
              </w:rPr>
              <w:t>On Track</w:t>
            </w:r>
          </w:p>
        </w:tc>
      </w:tr>
      <w:tr w:rsidR="005E4C4F" w:rsidRPr="007B1B92" w:rsidTr="005E4C4F">
        <w:trPr>
          <w:cantSplit/>
        </w:trPr>
        <w:tc>
          <w:tcPr>
            <w:tcW w:w="1120" w:type="pct"/>
            <w:tcBorders>
              <w:top w:val="nil"/>
              <w:left w:val="single" w:sz="4" w:space="0" w:color="auto"/>
              <w:bottom w:val="nil"/>
            </w:tcBorders>
            <w:shd w:val="clear" w:color="auto" w:fill="auto"/>
          </w:tcPr>
          <w:p w:rsidR="005E4C4F" w:rsidRPr="0092581A" w:rsidRDefault="005E4C4F" w:rsidP="00271CFB">
            <w:pPr>
              <w:ind w:leftChars="-11" w:left="-22"/>
              <w:rPr>
                <w:rFonts w:cs="Arial"/>
                <w:color w:val="000000" w:themeColor="text1"/>
                <w:sz w:val="16"/>
                <w:szCs w:val="16"/>
              </w:rPr>
            </w:pPr>
            <w:r w:rsidRPr="0092581A">
              <w:rPr>
                <w:rFonts w:cs="Arial"/>
                <w:color w:val="000000" w:themeColor="text1"/>
                <w:sz w:val="16"/>
                <w:szCs w:val="16"/>
              </w:rPr>
              <w:t>No. of SLAs for hosted systems and services that are compliant with ICT SLA framework</w:t>
            </w:r>
          </w:p>
        </w:tc>
        <w:tc>
          <w:tcPr>
            <w:tcW w:w="971" w:type="pct"/>
            <w:tcBorders>
              <w:top w:val="nil"/>
              <w:bottom w:val="nil"/>
            </w:tcBorders>
            <w:shd w:val="clear" w:color="auto" w:fill="auto"/>
          </w:tcPr>
          <w:p w:rsidR="005E4C4F" w:rsidRDefault="005E4C4F" w:rsidP="00271CFB">
            <w:pPr>
              <w:rPr>
                <w:rFonts w:cs="Arial"/>
                <w:color w:val="000000" w:themeColor="text1"/>
                <w:sz w:val="16"/>
                <w:szCs w:val="16"/>
              </w:rPr>
            </w:pPr>
            <w:r w:rsidRPr="0092581A">
              <w:rPr>
                <w:rFonts w:cs="Arial"/>
                <w:color w:val="000000" w:themeColor="text1"/>
                <w:sz w:val="16"/>
                <w:szCs w:val="16"/>
              </w:rPr>
              <w:t>Standard ICT SLA Framework in place</w:t>
            </w:r>
          </w:p>
          <w:p w:rsidR="005E4C4F" w:rsidRDefault="005E4C4F" w:rsidP="00271CFB">
            <w:pPr>
              <w:rPr>
                <w:rFonts w:cs="Arial"/>
                <w:color w:val="000000" w:themeColor="text1"/>
                <w:sz w:val="16"/>
                <w:szCs w:val="16"/>
              </w:rPr>
            </w:pPr>
          </w:p>
          <w:p w:rsidR="005E4C4F" w:rsidRDefault="005E4C4F" w:rsidP="00271CFB">
            <w:pPr>
              <w:rPr>
                <w:rFonts w:cs="Arial"/>
                <w:color w:val="000000" w:themeColor="text1"/>
                <w:sz w:val="16"/>
                <w:szCs w:val="16"/>
              </w:rPr>
            </w:pPr>
          </w:p>
          <w:p w:rsidR="005E4C4F" w:rsidRDefault="005E4C4F" w:rsidP="00271CFB">
            <w:pPr>
              <w:rPr>
                <w:i/>
                <w:color w:val="002060"/>
                <w:sz w:val="16"/>
                <w:szCs w:val="16"/>
              </w:rPr>
            </w:pPr>
          </w:p>
        </w:tc>
        <w:tc>
          <w:tcPr>
            <w:tcW w:w="821" w:type="pct"/>
            <w:tcBorders>
              <w:top w:val="nil"/>
              <w:bottom w:val="nil"/>
            </w:tcBorders>
            <w:shd w:val="clear" w:color="auto" w:fill="auto"/>
            <w:tcMar>
              <w:top w:w="110" w:type="dxa"/>
            </w:tcMar>
          </w:tcPr>
          <w:p w:rsidR="005E4C4F" w:rsidRPr="0092581A" w:rsidRDefault="005E4C4F" w:rsidP="00271CFB">
            <w:pPr>
              <w:ind w:leftChars="-11" w:left="-22"/>
              <w:rPr>
                <w:rFonts w:cs="Arial"/>
                <w:color w:val="000000" w:themeColor="text1"/>
                <w:sz w:val="16"/>
                <w:szCs w:val="16"/>
              </w:rPr>
            </w:pPr>
            <w:r w:rsidRPr="0092581A">
              <w:rPr>
                <w:rFonts w:cs="Arial"/>
                <w:color w:val="000000" w:themeColor="text1"/>
                <w:sz w:val="16"/>
                <w:szCs w:val="16"/>
              </w:rPr>
              <w:t>% of SLAs that comply with the ICT Framework</w:t>
            </w:r>
          </w:p>
        </w:tc>
        <w:tc>
          <w:tcPr>
            <w:tcW w:w="1567" w:type="pct"/>
            <w:tcBorders>
              <w:top w:val="nil"/>
              <w:bottom w:val="nil"/>
            </w:tcBorders>
            <w:shd w:val="clear" w:color="auto" w:fill="FFFFFF"/>
            <w:tcMar>
              <w:top w:w="110" w:type="dxa"/>
            </w:tcMar>
          </w:tcPr>
          <w:p w:rsidR="005E4C4F" w:rsidRPr="0092581A" w:rsidRDefault="005E4C4F" w:rsidP="00271CFB">
            <w:pPr>
              <w:rPr>
                <w:rFonts w:cs="Arial"/>
                <w:color w:val="000000" w:themeColor="text1"/>
                <w:sz w:val="16"/>
                <w:szCs w:val="16"/>
              </w:rPr>
            </w:pPr>
            <w:r>
              <w:rPr>
                <w:rFonts w:cs="Arial"/>
                <w:color w:val="000000" w:themeColor="text1"/>
                <w:sz w:val="16"/>
                <w:szCs w:val="16"/>
              </w:rPr>
              <w:t>6</w:t>
            </w:r>
            <w:r w:rsidRPr="0092581A">
              <w:rPr>
                <w:rFonts w:cs="Arial"/>
                <w:color w:val="000000" w:themeColor="text1"/>
                <w:sz w:val="16"/>
                <w:szCs w:val="16"/>
              </w:rPr>
              <w:t xml:space="preserve"> new SDAs signed (</w:t>
            </w:r>
            <w:r w:rsidRPr="00706065">
              <w:rPr>
                <w:rFonts w:cs="Arial"/>
                <w:color w:val="000000" w:themeColor="text1"/>
                <w:sz w:val="16"/>
                <w:szCs w:val="16"/>
              </w:rPr>
              <w:t>E</w:t>
            </w:r>
            <w:r>
              <w:rPr>
                <w:rFonts w:cs="Arial"/>
                <w:color w:val="000000" w:themeColor="text1"/>
                <w:sz w:val="16"/>
                <w:szCs w:val="16"/>
              </w:rPr>
              <w:t xml:space="preserve">nterprise </w:t>
            </w:r>
            <w:r w:rsidRPr="00706065">
              <w:rPr>
                <w:rFonts w:cs="Arial"/>
                <w:color w:val="000000" w:themeColor="text1"/>
                <w:sz w:val="16"/>
                <w:szCs w:val="16"/>
              </w:rPr>
              <w:t>C</w:t>
            </w:r>
            <w:r>
              <w:rPr>
                <w:rFonts w:cs="Arial"/>
                <w:color w:val="000000" w:themeColor="text1"/>
                <w:sz w:val="16"/>
                <w:szCs w:val="16"/>
              </w:rPr>
              <w:t xml:space="preserve">ommunication </w:t>
            </w:r>
            <w:r w:rsidRPr="00706065">
              <w:rPr>
                <w:rFonts w:cs="Arial"/>
                <w:color w:val="000000" w:themeColor="text1"/>
                <w:sz w:val="16"/>
                <w:szCs w:val="16"/>
              </w:rPr>
              <w:t>S</w:t>
            </w:r>
            <w:r>
              <w:rPr>
                <w:rFonts w:cs="Arial"/>
                <w:color w:val="000000" w:themeColor="text1"/>
                <w:sz w:val="16"/>
                <w:szCs w:val="16"/>
              </w:rPr>
              <w:t>ystem</w:t>
            </w:r>
            <w:r w:rsidRPr="00706065">
              <w:rPr>
                <w:rFonts w:cs="Arial"/>
                <w:color w:val="000000" w:themeColor="text1"/>
                <w:sz w:val="16"/>
                <w:szCs w:val="16"/>
              </w:rPr>
              <w:t xml:space="preserve">, </w:t>
            </w:r>
            <w:r>
              <w:rPr>
                <w:rFonts w:cs="Arial"/>
                <w:color w:val="000000" w:themeColor="text1"/>
                <w:sz w:val="16"/>
                <w:szCs w:val="16"/>
              </w:rPr>
              <w:t xml:space="preserve">IRIS, IRPI, </w:t>
            </w:r>
            <w:r w:rsidRPr="00706065">
              <w:rPr>
                <w:rFonts w:cs="Arial"/>
                <w:color w:val="000000" w:themeColor="text1"/>
                <w:sz w:val="16"/>
                <w:szCs w:val="16"/>
              </w:rPr>
              <w:t xml:space="preserve">PCT, </w:t>
            </w:r>
            <w:r w:rsidRPr="0092581A">
              <w:rPr>
                <w:rFonts w:cs="Arial"/>
                <w:color w:val="000000" w:themeColor="text1"/>
                <w:sz w:val="16"/>
                <w:szCs w:val="16"/>
              </w:rPr>
              <w:t>PEARL</w:t>
            </w:r>
            <w:r>
              <w:rPr>
                <w:rFonts w:cs="Arial"/>
                <w:color w:val="000000" w:themeColor="text1"/>
                <w:sz w:val="16"/>
                <w:szCs w:val="16"/>
              </w:rPr>
              <w:t xml:space="preserve">, </w:t>
            </w:r>
            <w:proofErr w:type="gramStart"/>
            <w:r>
              <w:rPr>
                <w:rFonts w:cs="Arial"/>
                <w:color w:val="000000" w:themeColor="text1"/>
                <w:sz w:val="16"/>
                <w:szCs w:val="16"/>
              </w:rPr>
              <w:t>SIGAGIP</w:t>
            </w:r>
            <w:proofErr w:type="gramEnd"/>
            <w:r w:rsidRPr="0092581A">
              <w:rPr>
                <w:rFonts w:cs="Arial"/>
                <w:color w:val="000000" w:themeColor="text1"/>
                <w:sz w:val="16"/>
                <w:szCs w:val="16"/>
              </w:rPr>
              <w:t>)</w:t>
            </w:r>
            <w:r>
              <w:rPr>
                <w:rFonts w:cs="Arial"/>
                <w:color w:val="000000" w:themeColor="text1"/>
                <w:sz w:val="16"/>
                <w:szCs w:val="16"/>
              </w:rPr>
              <w:t xml:space="preserve"> in compliance with the ICT framework (100%)</w:t>
            </w:r>
          </w:p>
        </w:tc>
        <w:tc>
          <w:tcPr>
            <w:tcW w:w="521" w:type="pct"/>
            <w:tcBorders>
              <w:top w:val="nil"/>
              <w:bottom w:val="nil"/>
              <w:right w:val="single" w:sz="4" w:space="0" w:color="auto"/>
            </w:tcBorders>
            <w:shd w:val="clear" w:color="auto" w:fill="auto"/>
            <w:tcMar>
              <w:top w:w="110" w:type="dxa"/>
            </w:tcMar>
          </w:tcPr>
          <w:p w:rsidR="005E4C4F" w:rsidRPr="0092581A" w:rsidRDefault="005E4C4F" w:rsidP="00271CFB">
            <w:pPr>
              <w:keepNext/>
              <w:keepLines/>
              <w:jc w:val="center"/>
              <w:rPr>
                <w:rFonts w:cs="Arial"/>
                <w:b/>
                <w:bCs/>
                <w:color w:val="000000" w:themeColor="text1"/>
                <w:sz w:val="16"/>
                <w:szCs w:val="16"/>
              </w:rPr>
            </w:pPr>
            <w:r w:rsidRPr="0092581A">
              <w:rPr>
                <w:rFonts w:cs="Arial"/>
                <w:b/>
                <w:bCs/>
                <w:color w:val="00B050"/>
                <w:sz w:val="16"/>
                <w:szCs w:val="16"/>
              </w:rPr>
              <w:t>On Track</w:t>
            </w:r>
          </w:p>
        </w:tc>
      </w:tr>
      <w:tr w:rsidR="005E4C4F" w:rsidRPr="007B1B92" w:rsidTr="005E4C4F">
        <w:trPr>
          <w:cantSplit/>
        </w:trPr>
        <w:tc>
          <w:tcPr>
            <w:tcW w:w="1120" w:type="pct"/>
            <w:tcBorders>
              <w:top w:val="nil"/>
              <w:left w:val="single" w:sz="4" w:space="0" w:color="auto"/>
              <w:bottom w:val="single" w:sz="4" w:space="0" w:color="auto"/>
            </w:tcBorders>
            <w:shd w:val="clear" w:color="auto" w:fill="auto"/>
          </w:tcPr>
          <w:p w:rsidR="005E4C4F" w:rsidRPr="007B1B92" w:rsidRDefault="005E4C4F" w:rsidP="00271CFB">
            <w:pPr>
              <w:ind w:leftChars="-11" w:left="-22"/>
              <w:rPr>
                <w:rFonts w:cs="Arial"/>
                <w:color w:val="000000" w:themeColor="text1"/>
                <w:sz w:val="16"/>
                <w:szCs w:val="16"/>
              </w:rPr>
            </w:pPr>
            <w:r>
              <w:rPr>
                <w:rFonts w:cs="Arial"/>
                <w:color w:val="000000" w:themeColor="text1"/>
                <w:sz w:val="16"/>
                <w:szCs w:val="16"/>
              </w:rPr>
              <w:t>I</w:t>
            </w:r>
            <w:r w:rsidRPr="004972A9">
              <w:rPr>
                <w:rFonts w:cs="Arial"/>
                <w:color w:val="000000" w:themeColor="text1"/>
                <w:sz w:val="16"/>
                <w:szCs w:val="16"/>
              </w:rPr>
              <w:t>CT Service Continuity of critical systems</w:t>
            </w:r>
          </w:p>
        </w:tc>
        <w:tc>
          <w:tcPr>
            <w:tcW w:w="971" w:type="pct"/>
            <w:tcBorders>
              <w:top w:val="nil"/>
              <w:bottom w:val="single" w:sz="4" w:space="0" w:color="auto"/>
            </w:tcBorders>
            <w:shd w:val="clear" w:color="auto" w:fill="auto"/>
          </w:tcPr>
          <w:p w:rsidR="005E4C4F" w:rsidRDefault="005E4C4F" w:rsidP="00271CFB">
            <w:pPr>
              <w:rPr>
                <w:color w:val="002060"/>
                <w:sz w:val="16"/>
                <w:szCs w:val="16"/>
              </w:rPr>
            </w:pPr>
            <w:r>
              <w:rPr>
                <w:i/>
                <w:color w:val="002060"/>
                <w:sz w:val="16"/>
                <w:szCs w:val="16"/>
              </w:rPr>
              <w:t>Updated Baseline end 2013</w:t>
            </w:r>
            <w:r w:rsidRPr="006550F0">
              <w:rPr>
                <w:i/>
                <w:color w:val="002060"/>
                <w:sz w:val="16"/>
                <w:szCs w:val="16"/>
              </w:rPr>
              <w:t>:</w:t>
            </w:r>
            <w:r w:rsidRPr="006550F0">
              <w:rPr>
                <w:color w:val="002060"/>
                <w:sz w:val="16"/>
                <w:szCs w:val="16"/>
              </w:rPr>
              <w:t xml:space="preserve"> </w:t>
            </w:r>
            <w:r>
              <w:rPr>
                <w:color w:val="002060"/>
                <w:sz w:val="16"/>
                <w:szCs w:val="16"/>
              </w:rPr>
              <w:t>2</w:t>
            </w:r>
            <w:r w:rsidRPr="00615410">
              <w:rPr>
                <w:color w:val="002060"/>
                <w:sz w:val="16"/>
                <w:szCs w:val="16"/>
              </w:rPr>
              <w:t xml:space="preserve"> closely linked Data Centers</w:t>
            </w:r>
            <w:r>
              <w:rPr>
                <w:color w:val="002060"/>
                <w:sz w:val="16"/>
                <w:szCs w:val="16"/>
              </w:rPr>
              <w:t xml:space="preserve"> established; </w:t>
            </w:r>
            <w:r w:rsidRPr="00615410">
              <w:rPr>
                <w:color w:val="002060"/>
                <w:sz w:val="16"/>
                <w:szCs w:val="16"/>
              </w:rPr>
              <w:t>server infrastructure and network architecture Centers</w:t>
            </w:r>
            <w:r>
              <w:rPr>
                <w:color w:val="002060"/>
                <w:sz w:val="16"/>
                <w:szCs w:val="16"/>
              </w:rPr>
              <w:t xml:space="preserve"> partially developed to support the 2 centers</w:t>
            </w:r>
            <w:proofErr w:type="gramStart"/>
            <w:r>
              <w:rPr>
                <w:color w:val="002060"/>
                <w:sz w:val="16"/>
                <w:szCs w:val="16"/>
              </w:rPr>
              <w:t xml:space="preserve">; </w:t>
            </w:r>
            <w:r w:rsidRPr="00615410">
              <w:rPr>
                <w:color w:val="002060"/>
                <w:sz w:val="16"/>
                <w:szCs w:val="16"/>
              </w:rPr>
              <w:t xml:space="preserve"> 38</w:t>
            </w:r>
            <w:proofErr w:type="gramEnd"/>
            <w:r w:rsidRPr="00615410">
              <w:rPr>
                <w:color w:val="002060"/>
                <w:sz w:val="16"/>
                <w:szCs w:val="16"/>
              </w:rPr>
              <w:t xml:space="preserve"> core ICT services were assessed and suitable measures implemented for mitigating risks and ensuring their enhanced availability. </w:t>
            </w:r>
            <w:r>
              <w:rPr>
                <w:color w:val="002060"/>
                <w:sz w:val="16"/>
                <w:szCs w:val="16"/>
              </w:rPr>
              <w:t xml:space="preserve"> </w:t>
            </w:r>
          </w:p>
          <w:p w:rsidR="005E4C4F" w:rsidRDefault="005E4C4F" w:rsidP="00271CFB">
            <w:pPr>
              <w:ind w:leftChars="-11" w:left="-22"/>
              <w:rPr>
                <w:rFonts w:cs="Arial"/>
                <w:color w:val="000000" w:themeColor="text1"/>
                <w:sz w:val="16"/>
                <w:szCs w:val="16"/>
              </w:rPr>
            </w:pPr>
          </w:p>
          <w:p w:rsidR="005E4C4F" w:rsidRDefault="005E4C4F" w:rsidP="00271CFB">
            <w:pPr>
              <w:ind w:leftChars="-11" w:left="-22"/>
              <w:rPr>
                <w:rFonts w:cs="Arial"/>
                <w:i/>
                <w:sz w:val="16"/>
                <w:szCs w:val="16"/>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w:t>
            </w:r>
          </w:p>
          <w:p w:rsidR="005E4C4F" w:rsidRPr="0092581A" w:rsidRDefault="005E4C4F" w:rsidP="00271CFB">
            <w:pPr>
              <w:ind w:leftChars="-11" w:left="-22"/>
              <w:rPr>
                <w:rFonts w:cs="Arial"/>
                <w:color w:val="000000" w:themeColor="text1"/>
                <w:sz w:val="16"/>
                <w:szCs w:val="16"/>
              </w:rPr>
            </w:pPr>
            <w:r w:rsidRPr="0092581A">
              <w:rPr>
                <w:rFonts w:cs="Arial"/>
                <w:color w:val="000000" w:themeColor="text1"/>
                <w:sz w:val="16"/>
                <w:szCs w:val="16"/>
              </w:rPr>
              <w:t>Data backed-up offline, data restore may require several days</w:t>
            </w:r>
          </w:p>
        </w:tc>
        <w:tc>
          <w:tcPr>
            <w:tcW w:w="821" w:type="pct"/>
            <w:tcBorders>
              <w:top w:val="nil"/>
              <w:bottom w:val="single" w:sz="4" w:space="0" w:color="auto"/>
            </w:tcBorders>
            <w:shd w:val="clear" w:color="auto" w:fill="auto"/>
            <w:tcMar>
              <w:top w:w="110" w:type="dxa"/>
            </w:tcMar>
          </w:tcPr>
          <w:p w:rsidR="005E4C4F" w:rsidRPr="007B1B92" w:rsidRDefault="005E4C4F" w:rsidP="00271CFB">
            <w:pPr>
              <w:ind w:leftChars="-11" w:left="-22"/>
              <w:rPr>
                <w:rFonts w:cs="Arial"/>
                <w:color w:val="000000" w:themeColor="text1"/>
                <w:sz w:val="16"/>
                <w:szCs w:val="16"/>
              </w:rPr>
            </w:pPr>
            <w:r w:rsidRPr="0092581A">
              <w:rPr>
                <w:rFonts w:cs="Arial"/>
                <w:color w:val="000000" w:themeColor="text1"/>
                <w:sz w:val="16"/>
                <w:szCs w:val="16"/>
              </w:rPr>
              <w:t>Critical systems can be recovered in a timely manner without data loss in the event of localized major disruptions</w:t>
            </w:r>
          </w:p>
        </w:tc>
        <w:tc>
          <w:tcPr>
            <w:tcW w:w="1567" w:type="pct"/>
            <w:tcBorders>
              <w:top w:val="nil"/>
              <w:bottom w:val="single" w:sz="4" w:space="0" w:color="auto"/>
            </w:tcBorders>
            <w:shd w:val="clear" w:color="auto" w:fill="FFFFFF"/>
            <w:tcMar>
              <w:top w:w="110" w:type="dxa"/>
            </w:tcMar>
          </w:tcPr>
          <w:p w:rsidR="005E4C4F" w:rsidRPr="007B1B92" w:rsidRDefault="005E4C4F" w:rsidP="00271CFB">
            <w:pPr>
              <w:rPr>
                <w:rFonts w:cs="Arial"/>
                <w:color w:val="000000" w:themeColor="text1"/>
                <w:sz w:val="16"/>
                <w:szCs w:val="16"/>
              </w:rPr>
            </w:pPr>
            <w:r w:rsidRPr="00B435B8">
              <w:rPr>
                <w:rFonts w:cs="Arial"/>
                <w:color w:val="000000" w:themeColor="text1"/>
                <w:sz w:val="16"/>
                <w:szCs w:val="16"/>
              </w:rPr>
              <w:t>ICT infrastructure resilience and service continuity were further enhanced.  Preliminary tests were conducted showing promising results</w:t>
            </w:r>
          </w:p>
        </w:tc>
        <w:tc>
          <w:tcPr>
            <w:tcW w:w="521" w:type="pct"/>
            <w:tcBorders>
              <w:top w:val="nil"/>
              <w:bottom w:val="single" w:sz="4" w:space="0" w:color="auto"/>
              <w:right w:val="single" w:sz="4" w:space="0" w:color="auto"/>
            </w:tcBorders>
            <w:shd w:val="clear" w:color="auto" w:fill="auto"/>
            <w:tcMar>
              <w:top w:w="110" w:type="dxa"/>
            </w:tcMar>
          </w:tcPr>
          <w:p w:rsidR="005E4C4F" w:rsidRPr="0092581A" w:rsidRDefault="005E4C4F" w:rsidP="00271CFB">
            <w:pPr>
              <w:keepNext/>
              <w:keepLines/>
              <w:jc w:val="center"/>
              <w:rPr>
                <w:rFonts w:cs="Arial"/>
                <w:b/>
                <w:bCs/>
                <w:color w:val="00B050"/>
                <w:sz w:val="16"/>
                <w:szCs w:val="16"/>
              </w:rPr>
            </w:pPr>
            <w:r w:rsidRPr="0092581A">
              <w:rPr>
                <w:rFonts w:cs="Arial"/>
                <w:b/>
                <w:bCs/>
                <w:color w:val="00B050"/>
                <w:sz w:val="16"/>
                <w:szCs w:val="16"/>
              </w:rPr>
              <w:t>On Track</w:t>
            </w:r>
          </w:p>
        </w:tc>
      </w:tr>
    </w:tbl>
    <w:p w:rsidR="005E4C4F" w:rsidRDefault="005E4C4F">
      <w:r>
        <w:br w:type="page"/>
      </w: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1844"/>
        <w:gridCol w:w="1560"/>
        <w:gridCol w:w="2977"/>
        <w:gridCol w:w="990"/>
      </w:tblGrid>
      <w:tr w:rsidR="005E4C4F" w:rsidRPr="007B1B92" w:rsidTr="005E4C4F">
        <w:trPr>
          <w:cantSplit/>
        </w:trPr>
        <w:tc>
          <w:tcPr>
            <w:tcW w:w="1120" w:type="pct"/>
            <w:tcBorders>
              <w:top w:val="single" w:sz="4" w:space="0" w:color="auto"/>
              <w:left w:val="single" w:sz="4" w:space="0" w:color="auto"/>
              <w:bottom w:val="nil"/>
            </w:tcBorders>
            <w:shd w:val="clear" w:color="auto" w:fill="auto"/>
            <w:vAlign w:val="center"/>
          </w:tcPr>
          <w:p w:rsidR="005E4C4F" w:rsidRPr="007B1B92" w:rsidRDefault="005E4C4F" w:rsidP="00271CFB">
            <w:pPr>
              <w:rPr>
                <w:rFonts w:cs="Arial"/>
                <w:color w:val="000000" w:themeColor="text1"/>
                <w:sz w:val="16"/>
                <w:szCs w:val="16"/>
              </w:rPr>
            </w:pPr>
            <w:r w:rsidRPr="007B1B92">
              <w:rPr>
                <w:rFonts w:cs="Arial"/>
                <w:b/>
                <w:bCs/>
                <w:color w:val="000000" w:themeColor="text1"/>
                <w:sz w:val="16"/>
                <w:szCs w:val="16"/>
              </w:rPr>
              <w:lastRenderedPageBreak/>
              <w:t>Performance Indicators</w:t>
            </w:r>
          </w:p>
        </w:tc>
        <w:tc>
          <w:tcPr>
            <w:tcW w:w="971" w:type="pct"/>
            <w:tcBorders>
              <w:top w:val="single" w:sz="4" w:space="0" w:color="auto"/>
              <w:bottom w:val="nil"/>
            </w:tcBorders>
            <w:shd w:val="clear" w:color="auto" w:fill="auto"/>
            <w:vAlign w:val="center"/>
          </w:tcPr>
          <w:p w:rsidR="005E4C4F" w:rsidRPr="007B1B92" w:rsidRDefault="005E4C4F" w:rsidP="00271CFB">
            <w:pPr>
              <w:rPr>
                <w:rFonts w:cs="Arial"/>
                <w:b/>
                <w:bCs/>
                <w:color w:val="000000" w:themeColor="text1"/>
                <w:sz w:val="16"/>
                <w:szCs w:val="16"/>
              </w:rPr>
            </w:pPr>
            <w:r w:rsidRPr="007B1B92">
              <w:rPr>
                <w:rFonts w:cs="Arial"/>
                <w:b/>
                <w:bCs/>
                <w:sz w:val="16"/>
                <w:szCs w:val="16"/>
              </w:rPr>
              <w:t>Baselines</w:t>
            </w:r>
          </w:p>
        </w:tc>
        <w:tc>
          <w:tcPr>
            <w:tcW w:w="821" w:type="pct"/>
            <w:tcBorders>
              <w:top w:val="single" w:sz="4" w:space="0" w:color="auto"/>
              <w:bottom w:val="nil"/>
            </w:tcBorders>
            <w:shd w:val="clear" w:color="auto" w:fill="auto"/>
            <w:tcMar>
              <w:top w:w="110" w:type="dxa"/>
            </w:tcMar>
            <w:vAlign w:val="center"/>
          </w:tcPr>
          <w:p w:rsidR="005E4C4F" w:rsidRPr="007B1B92" w:rsidRDefault="005E4C4F" w:rsidP="00271CFB">
            <w:pPr>
              <w:rPr>
                <w:rFonts w:cs="Arial"/>
                <w:b/>
                <w:color w:val="000000" w:themeColor="text1"/>
                <w:sz w:val="16"/>
                <w:szCs w:val="16"/>
              </w:rPr>
            </w:pPr>
            <w:r w:rsidRPr="007B1B92">
              <w:rPr>
                <w:rFonts w:cs="Arial"/>
                <w:b/>
                <w:sz w:val="16"/>
                <w:szCs w:val="16"/>
              </w:rPr>
              <w:t>Targets</w:t>
            </w:r>
          </w:p>
        </w:tc>
        <w:tc>
          <w:tcPr>
            <w:tcW w:w="1567" w:type="pct"/>
            <w:tcBorders>
              <w:top w:val="single" w:sz="4" w:space="0" w:color="auto"/>
              <w:bottom w:val="nil"/>
            </w:tcBorders>
            <w:shd w:val="clear" w:color="auto" w:fill="FFFFFF"/>
            <w:tcMar>
              <w:top w:w="110" w:type="dxa"/>
            </w:tcMar>
            <w:vAlign w:val="center"/>
          </w:tcPr>
          <w:p w:rsidR="005E4C4F" w:rsidRPr="007B1B92" w:rsidRDefault="005E4C4F" w:rsidP="00271CFB">
            <w:pPr>
              <w:rPr>
                <w:rFonts w:cs="Arial"/>
                <w:color w:val="000000" w:themeColor="text1"/>
                <w:sz w:val="16"/>
                <w:szCs w:val="16"/>
              </w:rPr>
            </w:pPr>
            <w:r w:rsidRPr="007B1B92">
              <w:rPr>
                <w:rFonts w:cs="Arial"/>
                <w:b/>
                <w:bCs/>
                <w:color w:val="000000" w:themeColor="text1"/>
                <w:sz w:val="16"/>
                <w:szCs w:val="16"/>
              </w:rPr>
              <w:t>Performance Data</w:t>
            </w:r>
          </w:p>
        </w:tc>
        <w:tc>
          <w:tcPr>
            <w:tcW w:w="521" w:type="pct"/>
            <w:tcBorders>
              <w:top w:val="single" w:sz="4" w:space="0" w:color="auto"/>
              <w:bottom w:val="nil"/>
              <w:right w:val="single" w:sz="4" w:space="0" w:color="auto"/>
            </w:tcBorders>
            <w:shd w:val="clear" w:color="auto" w:fill="auto"/>
            <w:tcMar>
              <w:top w:w="110" w:type="dxa"/>
            </w:tcMar>
            <w:vAlign w:val="center"/>
          </w:tcPr>
          <w:p w:rsidR="005E4C4F" w:rsidRPr="007B1B92" w:rsidRDefault="005E4C4F" w:rsidP="00271CFB">
            <w:pPr>
              <w:keepNext/>
              <w:keepLines/>
              <w:jc w:val="center"/>
              <w:rPr>
                <w:rFonts w:cs="Arial"/>
                <w:b/>
                <w:bCs/>
                <w:color w:val="000000" w:themeColor="text1"/>
                <w:sz w:val="16"/>
                <w:szCs w:val="16"/>
              </w:rPr>
            </w:pPr>
            <w:r w:rsidRPr="007B1B92">
              <w:rPr>
                <w:rFonts w:cs="Arial"/>
                <w:b/>
                <w:bCs/>
                <w:color w:val="000000" w:themeColor="text1"/>
                <w:sz w:val="16"/>
                <w:szCs w:val="16"/>
              </w:rPr>
              <w:t>TLS</w:t>
            </w:r>
          </w:p>
        </w:tc>
      </w:tr>
      <w:tr w:rsidR="005E4C4F" w:rsidRPr="007B1B92" w:rsidTr="00271CFB">
        <w:trPr>
          <w:cantSplit/>
        </w:trPr>
        <w:tc>
          <w:tcPr>
            <w:tcW w:w="1120" w:type="pct"/>
            <w:tcBorders>
              <w:top w:val="nil"/>
              <w:left w:val="single" w:sz="4" w:space="0" w:color="auto"/>
              <w:bottom w:val="nil"/>
            </w:tcBorders>
            <w:shd w:val="clear" w:color="auto" w:fill="auto"/>
          </w:tcPr>
          <w:p w:rsidR="005E4C4F" w:rsidRPr="0092581A" w:rsidRDefault="005E4C4F" w:rsidP="00271CFB">
            <w:pPr>
              <w:ind w:leftChars="-11" w:left="-22"/>
              <w:rPr>
                <w:rFonts w:cs="Arial"/>
                <w:color w:val="000000" w:themeColor="text1"/>
                <w:sz w:val="16"/>
                <w:szCs w:val="16"/>
              </w:rPr>
            </w:pPr>
            <w:r w:rsidRPr="0092581A">
              <w:rPr>
                <w:rFonts w:cs="Arial"/>
                <w:color w:val="000000" w:themeColor="text1"/>
                <w:sz w:val="16"/>
                <w:szCs w:val="16"/>
              </w:rPr>
              <w:t>% end-users and business sectors who are satisfied with ICT services</w:t>
            </w:r>
          </w:p>
        </w:tc>
        <w:tc>
          <w:tcPr>
            <w:tcW w:w="971" w:type="pct"/>
            <w:tcBorders>
              <w:top w:val="nil"/>
              <w:bottom w:val="nil"/>
            </w:tcBorders>
            <w:shd w:val="clear" w:color="auto" w:fill="auto"/>
          </w:tcPr>
          <w:p w:rsidR="005E4C4F" w:rsidRDefault="005E4C4F" w:rsidP="00271CFB">
            <w:pPr>
              <w:rPr>
                <w:color w:val="002060"/>
                <w:sz w:val="16"/>
                <w:szCs w:val="16"/>
              </w:rPr>
            </w:pPr>
            <w:r>
              <w:rPr>
                <w:i/>
                <w:color w:val="002060"/>
                <w:sz w:val="16"/>
                <w:szCs w:val="16"/>
              </w:rPr>
              <w:t>Updated Baseline end 2013</w:t>
            </w:r>
            <w:r w:rsidRPr="006550F0">
              <w:rPr>
                <w:i/>
                <w:color w:val="002060"/>
                <w:sz w:val="16"/>
                <w:szCs w:val="16"/>
              </w:rPr>
              <w:t>:</w:t>
            </w:r>
            <w:r w:rsidRPr="006550F0">
              <w:rPr>
                <w:color w:val="002060"/>
                <w:sz w:val="16"/>
                <w:szCs w:val="16"/>
              </w:rPr>
              <w:t xml:space="preserve"> </w:t>
            </w:r>
          </w:p>
          <w:p w:rsidR="005E4C4F" w:rsidRPr="0092581A" w:rsidRDefault="005E4C4F" w:rsidP="00271CFB">
            <w:pPr>
              <w:ind w:leftChars="-11" w:left="-22"/>
              <w:rPr>
                <w:color w:val="002060"/>
                <w:sz w:val="16"/>
                <w:szCs w:val="16"/>
              </w:rPr>
            </w:pPr>
            <w:r w:rsidRPr="0092581A">
              <w:rPr>
                <w:color w:val="002060"/>
                <w:sz w:val="16"/>
                <w:szCs w:val="16"/>
              </w:rPr>
              <w:t>2013 Helpdesk Survey: "Highly satisfied" rating by 64% of participants</w:t>
            </w:r>
          </w:p>
          <w:p w:rsidR="005E4C4F" w:rsidRDefault="005E4C4F" w:rsidP="00271CFB">
            <w:pPr>
              <w:ind w:leftChars="-11" w:left="-22"/>
              <w:rPr>
                <w:rFonts w:cs="Arial"/>
                <w:color w:val="000000" w:themeColor="text1"/>
                <w:sz w:val="16"/>
                <w:szCs w:val="16"/>
              </w:rPr>
            </w:pPr>
          </w:p>
          <w:p w:rsidR="005E4C4F" w:rsidRDefault="005E4C4F" w:rsidP="00271CFB">
            <w:pPr>
              <w:ind w:leftChars="-11" w:left="-22"/>
              <w:rPr>
                <w:rFonts w:cs="Arial"/>
                <w:i/>
                <w:sz w:val="16"/>
                <w:szCs w:val="16"/>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w:t>
            </w:r>
          </w:p>
          <w:p w:rsidR="005E4C4F" w:rsidRDefault="005E4C4F" w:rsidP="00271CFB">
            <w:pPr>
              <w:rPr>
                <w:i/>
                <w:color w:val="002060"/>
                <w:sz w:val="16"/>
                <w:szCs w:val="16"/>
              </w:rPr>
            </w:pPr>
            <w:r w:rsidRPr="0092581A">
              <w:rPr>
                <w:rFonts w:cs="Arial"/>
                <w:color w:val="000000" w:themeColor="text1"/>
                <w:sz w:val="16"/>
                <w:szCs w:val="16"/>
              </w:rPr>
              <w:t>Business managers' satisfaction at the beginning of the biennium</w:t>
            </w:r>
          </w:p>
        </w:tc>
        <w:tc>
          <w:tcPr>
            <w:tcW w:w="821" w:type="pct"/>
            <w:tcBorders>
              <w:top w:val="nil"/>
              <w:bottom w:val="nil"/>
            </w:tcBorders>
            <w:shd w:val="clear" w:color="auto" w:fill="auto"/>
            <w:tcMar>
              <w:top w:w="110" w:type="dxa"/>
            </w:tcMar>
          </w:tcPr>
          <w:p w:rsidR="005E4C4F" w:rsidRPr="0092581A" w:rsidRDefault="005E4C4F" w:rsidP="00271CFB">
            <w:pPr>
              <w:ind w:leftChars="-11" w:left="-22"/>
              <w:rPr>
                <w:rFonts w:cs="Arial"/>
                <w:color w:val="000000" w:themeColor="text1"/>
                <w:sz w:val="16"/>
                <w:szCs w:val="16"/>
              </w:rPr>
            </w:pPr>
            <w:r w:rsidRPr="0092581A">
              <w:rPr>
                <w:rFonts w:cs="Arial"/>
                <w:color w:val="000000" w:themeColor="text1"/>
                <w:sz w:val="16"/>
                <w:szCs w:val="16"/>
              </w:rPr>
              <w:t>Maintain or improve against the baseline</w:t>
            </w:r>
          </w:p>
        </w:tc>
        <w:tc>
          <w:tcPr>
            <w:tcW w:w="1567" w:type="pct"/>
            <w:tcBorders>
              <w:top w:val="nil"/>
              <w:bottom w:val="nil"/>
            </w:tcBorders>
            <w:shd w:val="clear" w:color="auto" w:fill="FFFFFF"/>
            <w:tcMar>
              <w:top w:w="110" w:type="dxa"/>
            </w:tcMar>
          </w:tcPr>
          <w:p w:rsidR="005E4C4F" w:rsidRPr="0092581A" w:rsidRDefault="005E4C4F" w:rsidP="00271CFB">
            <w:pPr>
              <w:rPr>
                <w:rFonts w:cs="Arial"/>
                <w:color w:val="000000" w:themeColor="text1"/>
                <w:sz w:val="16"/>
                <w:szCs w:val="16"/>
              </w:rPr>
            </w:pPr>
            <w:r w:rsidRPr="0092581A">
              <w:rPr>
                <w:rFonts w:cs="Arial"/>
                <w:color w:val="000000" w:themeColor="text1"/>
                <w:sz w:val="16"/>
                <w:szCs w:val="16"/>
              </w:rPr>
              <w:t>2014 Helpdesk Survey: "Highly satisfied" rating by 67% of participants</w:t>
            </w:r>
          </w:p>
        </w:tc>
        <w:tc>
          <w:tcPr>
            <w:tcW w:w="521" w:type="pct"/>
            <w:tcBorders>
              <w:top w:val="nil"/>
              <w:bottom w:val="nil"/>
              <w:right w:val="single" w:sz="4" w:space="0" w:color="auto"/>
            </w:tcBorders>
            <w:shd w:val="clear" w:color="auto" w:fill="auto"/>
            <w:tcMar>
              <w:top w:w="110" w:type="dxa"/>
            </w:tcMar>
          </w:tcPr>
          <w:p w:rsidR="005E4C4F" w:rsidRPr="0092581A" w:rsidRDefault="005E4C4F" w:rsidP="00271CFB">
            <w:pPr>
              <w:keepNext/>
              <w:keepLines/>
              <w:jc w:val="center"/>
              <w:rPr>
                <w:rFonts w:cs="Arial"/>
                <w:b/>
                <w:bCs/>
                <w:color w:val="00B050"/>
                <w:sz w:val="16"/>
                <w:szCs w:val="16"/>
              </w:rPr>
            </w:pPr>
            <w:r w:rsidRPr="0092581A">
              <w:rPr>
                <w:rFonts w:cs="Arial"/>
                <w:b/>
                <w:bCs/>
                <w:color w:val="00B050"/>
                <w:sz w:val="16"/>
                <w:szCs w:val="16"/>
              </w:rPr>
              <w:t>On Track</w:t>
            </w:r>
          </w:p>
        </w:tc>
      </w:tr>
      <w:tr w:rsidR="005E4C4F" w:rsidRPr="007B1B92" w:rsidTr="00271CFB">
        <w:trPr>
          <w:cantSplit/>
        </w:trPr>
        <w:tc>
          <w:tcPr>
            <w:tcW w:w="1120" w:type="pct"/>
            <w:tcBorders>
              <w:top w:val="nil"/>
              <w:left w:val="single" w:sz="4" w:space="0" w:color="auto"/>
              <w:bottom w:val="nil"/>
            </w:tcBorders>
            <w:shd w:val="clear" w:color="auto" w:fill="auto"/>
          </w:tcPr>
          <w:p w:rsidR="005E4C4F" w:rsidRPr="004972A9" w:rsidRDefault="005E4C4F" w:rsidP="00271CFB">
            <w:pPr>
              <w:ind w:leftChars="-11" w:left="-22"/>
              <w:rPr>
                <w:rFonts w:cs="Arial"/>
                <w:color w:val="000000" w:themeColor="text1"/>
                <w:sz w:val="16"/>
                <w:szCs w:val="16"/>
              </w:rPr>
            </w:pPr>
            <w:r w:rsidRPr="0092581A">
              <w:rPr>
                <w:rFonts w:cs="Arial"/>
                <w:color w:val="000000" w:themeColor="text1"/>
                <w:sz w:val="16"/>
                <w:szCs w:val="16"/>
              </w:rPr>
              <w:t>Comprehensive and integrated communication technologies easily accessible to staff</w:t>
            </w:r>
          </w:p>
        </w:tc>
        <w:tc>
          <w:tcPr>
            <w:tcW w:w="971" w:type="pct"/>
            <w:tcBorders>
              <w:top w:val="nil"/>
              <w:bottom w:val="nil"/>
            </w:tcBorders>
            <w:shd w:val="clear" w:color="auto" w:fill="auto"/>
          </w:tcPr>
          <w:p w:rsidR="005E4C4F" w:rsidRDefault="005E4C4F" w:rsidP="00271CFB">
            <w:pPr>
              <w:rPr>
                <w:rFonts w:cs="Arial"/>
                <w:color w:val="000000" w:themeColor="text1"/>
                <w:sz w:val="16"/>
                <w:szCs w:val="16"/>
              </w:rPr>
            </w:pPr>
            <w:r>
              <w:rPr>
                <w:rFonts w:cs="Arial"/>
                <w:color w:val="000000" w:themeColor="text1"/>
                <w:sz w:val="16"/>
                <w:szCs w:val="16"/>
              </w:rPr>
              <w:t>Available on desktops (and laptops)</w:t>
            </w:r>
          </w:p>
          <w:p w:rsidR="005E4C4F" w:rsidRDefault="005E4C4F" w:rsidP="00271CFB">
            <w:pPr>
              <w:rPr>
                <w:i/>
                <w:color w:val="002060"/>
                <w:sz w:val="16"/>
                <w:szCs w:val="16"/>
              </w:rPr>
            </w:pPr>
          </w:p>
        </w:tc>
        <w:tc>
          <w:tcPr>
            <w:tcW w:w="821" w:type="pct"/>
            <w:tcBorders>
              <w:top w:val="nil"/>
              <w:bottom w:val="nil"/>
            </w:tcBorders>
            <w:shd w:val="clear" w:color="auto" w:fill="auto"/>
            <w:tcMar>
              <w:top w:w="110" w:type="dxa"/>
            </w:tcMar>
          </w:tcPr>
          <w:p w:rsidR="005E4C4F" w:rsidRPr="0092581A" w:rsidRDefault="005E4C4F" w:rsidP="00271CFB">
            <w:pPr>
              <w:ind w:leftChars="-11" w:left="-22"/>
              <w:rPr>
                <w:rFonts w:cs="Arial"/>
                <w:color w:val="000000" w:themeColor="text1"/>
                <w:sz w:val="16"/>
                <w:szCs w:val="16"/>
              </w:rPr>
            </w:pPr>
            <w:r>
              <w:rPr>
                <w:rFonts w:cs="Arial"/>
                <w:color w:val="000000" w:themeColor="text1"/>
                <w:sz w:val="16"/>
                <w:szCs w:val="16"/>
              </w:rPr>
              <w:t>Available on other mobile devices</w:t>
            </w:r>
          </w:p>
        </w:tc>
        <w:tc>
          <w:tcPr>
            <w:tcW w:w="1567" w:type="pct"/>
            <w:tcBorders>
              <w:top w:val="nil"/>
              <w:bottom w:val="nil"/>
            </w:tcBorders>
            <w:shd w:val="clear" w:color="auto" w:fill="FFFFFF"/>
            <w:tcMar>
              <w:top w:w="110" w:type="dxa"/>
            </w:tcMar>
          </w:tcPr>
          <w:p w:rsidR="005E4C4F" w:rsidRPr="0092581A" w:rsidRDefault="005E4C4F" w:rsidP="00271CFB">
            <w:pPr>
              <w:rPr>
                <w:rFonts w:cs="Arial"/>
                <w:color w:val="000000" w:themeColor="text1"/>
                <w:sz w:val="16"/>
                <w:szCs w:val="16"/>
              </w:rPr>
            </w:pPr>
            <w:r w:rsidRPr="0092581A">
              <w:rPr>
                <w:rFonts w:cs="Arial"/>
                <w:color w:val="000000" w:themeColor="text1"/>
                <w:sz w:val="16"/>
                <w:szCs w:val="16"/>
              </w:rPr>
              <w:t>Access to Intranet and Corporate voice-mail via WIPO mobiles</w:t>
            </w:r>
          </w:p>
        </w:tc>
        <w:tc>
          <w:tcPr>
            <w:tcW w:w="521" w:type="pct"/>
            <w:tcBorders>
              <w:top w:val="nil"/>
              <w:bottom w:val="nil"/>
              <w:right w:val="single" w:sz="4" w:space="0" w:color="auto"/>
            </w:tcBorders>
            <w:shd w:val="clear" w:color="auto" w:fill="auto"/>
            <w:tcMar>
              <w:top w:w="110" w:type="dxa"/>
            </w:tcMar>
          </w:tcPr>
          <w:p w:rsidR="005E4C4F" w:rsidRPr="0092581A" w:rsidRDefault="005E4C4F" w:rsidP="00271CFB">
            <w:pPr>
              <w:keepNext/>
              <w:keepLines/>
              <w:jc w:val="center"/>
              <w:rPr>
                <w:rFonts w:cs="Arial"/>
                <w:b/>
                <w:bCs/>
                <w:color w:val="00B050"/>
                <w:sz w:val="16"/>
                <w:szCs w:val="16"/>
              </w:rPr>
            </w:pPr>
            <w:r w:rsidRPr="0092581A">
              <w:rPr>
                <w:rFonts w:cs="Arial"/>
                <w:b/>
                <w:bCs/>
                <w:color w:val="00B050"/>
                <w:sz w:val="16"/>
                <w:szCs w:val="16"/>
              </w:rPr>
              <w:t>On Track</w:t>
            </w:r>
          </w:p>
        </w:tc>
      </w:tr>
      <w:tr w:rsidR="005E4C4F" w:rsidRPr="007B1B92" w:rsidTr="00271CFB">
        <w:trPr>
          <w:cantSplit/>
        </w:trPr>
        <w:tc>
          <w:tcPr>
            <w:tcW w:w="5000" w:type="pct"/>
            <w:gridSpan w:val="5"/>
            <w:tcBorders>
              <w:top w:val="single" w:sz="4" w:space="0" w:color="auto"/>
              <w:bottom w:val="single" w:sz="4" w:space="0" w:color="auto"/>
            </w:tcBorders>
            <w:shd w:val="clear" w:color="auto" w:fill="CCFFFF"/>
            <w:vAlign w:val="center"/>
          </w:tcPr>
          <w:p w:rsidR="005E4C4F" w:rsidRPr="007B1B92" w:rsidRDefault="005E4C4F" w:rsidP="00271CFB">
            <w:pPr>
              <w:keepNext/>
              <w:keepLines/>
              <w:tabs>
                <w:tab w:val="left" w:pos="1452"/>
              </w:tabs>
              <w:spacing w:before="120" w:after="120"/>
              <w:ind w:left="1452" w:hanging="1452"/>
              <w:rPr>
                <w:rFonts w:cs="Arial"/>
                <w:b/>
                <w:bCs/>
                <w:color w:val="000000" w:themeColor="text1"/>
                <w:sz w:val="16"/>
                <w:szCs w:val="16"/>
              </w:rPr>
            </w:pPr>
            <w:r w:rsidRPr="007B1B92">
              <w:rPr>
                <w:rFonts w:cs="Arial"/>
                <w:b/>
                <w:bCs/>
                <w:color w:val="000000" w:themeColor="text1"/>
                <w:sz w:val="16"/>
                <w:szCs w:val="16"/>
              </w:rPr>
              <w:t>Expected Result:</w:t>
            </w:r>
            <w:r w:rsidRPr="007B1B92">
              <w:rPr>
                <w:rFonts w:cs="Arial"/>
                <w:b/>
                <w:bCs/>
                <w:color w:val="000000" w:themeColor="text1"/>
                <w:sz w:val="16"/>
                <w:szCs w:val="16"/>
              </w:rPr>
              <w:tab/>
            </w:r>
            <w:r w:rsidRPr="00367545">
              <w:rPr>
                <w:rFonts w:cs="Arial"/>
                <w:color w:val="000000" w:themeColor="text1"/>
                <w:sz w:val="16"/>
                <w:szCs w:val="16"/>
              </w:rPr>
              <w:t>IX.4 An environmentally and socially responsible Organization in which WIPO staff, delegates, visitors and information and physical assets are safe and secure</w:t>
            </w:r>
          </w:p>
        </w:tc>
      </w:tr>
      <w:tr w:rsidR="005E4C4F" w:rsidRPr="007B1B92" w:rsidTr="005E4C4F">
        <w:trPr>
          <w:cantSplit/>
        </w:trPr>
        <w:tc>
          <w:tcPr>
            <w:tcW w:w="1120" w:type="pct"/>
            <w:tcBorders>
              <w:top w:val="single" w:sz="4" w:space="0" w:color="auto"/>
            </w:tcBorders>
            <w:shd w:val="clear" w:color="auto" w:fill="auto"/>
            <w:vAlign w:val="center"/>
          </w:tcPr>
          <w:p w:rsidR="005E4C4F" w:rsidRPr="007B1B92" w:rsidRDefault="005E4C4F" w:rsidP="00271CFB">
            <w:pPr>
              <w:rPr>
                <w:rFonts w:cs="Arial"/>
                <w:color w:val="000000" w:themeColor="text1"/>
                <w:sz w:val="16"/>
                <w:szCs w:val="16"/>
              </w:rPr>
            </w:pPr>
            <w:r w:rsidRPr="007B1B92">
              <w:rPr>
                <w:rFonts w:cs="Arial"/>
                <w:b/>
                <w:bCs/>
                <w:color w:val="000000" w:themeColor="text1"/>
                <w:sz w:val="16"/>
                <w:szCs w:val="16"/>
              </w:rPr>
              <w:t>Performance Indicators</w:t>
            </w:r>
          </w:p>
        </w:tc>
        <w:tc>
          <w:tcPr>
            <w:tcW w:w="971" w:type="pct"/>
            <w:tcBorders>
              <w:top w:val="single" w:sz="4" w:space="0" w:color="auto"/>
            </w:tcBorders>
            <w:shd w:val="clear" w:color="auto" w:fill="auto"/>
            <w:vAlign w:val="center"/>
          </w:tcPr>
          <w:p w:rsidR="005E4C4F" w:rsidRPr="007B1B92" w:rsidRDefault="005E4C4F" w:rsidP="00271CFB">
            <w:pPr>
              <w:rPr>
                <w:rFonts w:cs="Arial"/>
                <w:b/>
                <w:bCs/>
                <w:color w:val="000000" w:themeColor="text1"/>
                <w:sz w:val="16"/>
                <w:szCs w:val="16"/>
              </w:rPr>
            </w:pPr>
            <w:r w:rsidRPr="007B1B92">
              <w:rPr>
                <w:rFonts w:cs="Arial"/>
                <w:b/>
                <w:bCs/>
                <w:sz w:val="16"/>
                <w:szCs w:val="16"/>
              </w:rPr>
              <w:t>Baselines</w:t>
            </w:r>
          </w:p>
        </w:tc>
        <w:tc>
          <w:tcPr>
            <w:tcW w:w="821" w:type="pct"/>
            <w:tcBorders>
              <w:top w:val="single" w:sz="4" w:space="0" w:color="auto"/>
            </w:tcBorders>
            <w:shd w:val="clear" w:color="auto" w:fill="auto"/>
            <w:tcMar>
              <w:top w:w="110" w:type="dxa"/>
            </w:tcMar>
            <w:vAlign w:val="center"/>
          </w:tcPr>
          <w:p w:rsidR="005E4C4F" w:rsidRPr="007B1B92" w:rsidRDefault="005E4C4F" w:rsidP="00271CFB">
            <w:pPr>
              <w:rPr>
                <w:rFonts w:cs="Arial"/>
                <w:b/>
                <w:color w:val="000000" w:themeColor="text1"/>
                <w:sz w:val="16"/>
                <w:szCs w:val="16"/>
              </w:rPr>
            </w:pPr>
            <w:r w:rsidRPr="007B1B92">
              <w:rPr>
                <w:rFonts w:cs="Arial"/>
                <w:b/>
                <w:sz w:val="16"/>
                <w:szCs w:val="16"/>
              </w:rPr>
              <w:t>Targets</w:t>
            </w:r>
          </w:p>
        </w:tc>
        <w:tc>
          <w:tcPr>
            <w:tcW w:w="1567" w:type="pct"/>
            <w:tcBorders>
              <w:top w:val="single" w:sz="4" w:space="0" w:color="auto"/>
            </w:tcBorders>
            <w:shd w:val="clear" w:color="auto" w:fill="FFFFFF"/>
            <w:tcMar>
              <w:top w:w="110" w:type="dxa"/>
            </w:tcMar>
            <w:vAlign w:val="center"/>
          </w:tcPr>
          <w:p w:rsidR="005E4C4F" w:rsidRPr="007B1B92" w:rsidRDefault="005E4C4F" w:rsidP="00271CFB">
            <w:pPr>
              <w:rPr>
                <w:rFonts w:cs="Arial"/>
                <w:color w:val="000000" w:themeColor="text1"/>
                <w:sz w:val="16"/>
                <w:szCs w:val="16"/>
              </w:rPr>
            </w:pPr>
            <w:r w:rsidRPr="007B1B92">
              <w:rPr>
                <w:rFonts w:cs="Arial"/>
                <w:b/>
                <w:bCs/>
                <w:color w:val="000000" w:themeColor="text1"/>
                <w:sz w:val="16"/>
                <w:szCs w:val="16"/>
              </w:rPr>
              <w:t>Performance Data</w:t>
            </w:r>
          </w:p>
        </w:tc>
        <w:tc>
          <w:tcPr>
            <w:tcW w:w="521" w:type="pct"/>
            <w:tcBorders>
              <w:top w:val="single" w:sz="4" w:space="0" w:color="auto"/>
            </w:tcBorders>
            <w:shd w:val="clear" w:color="auto" w:fill="auto"/>
            <w:tcMar>
              <w:top w:w="110" w:type="dxa"/>
            </w:tcMar>
            <w:vAlign w:val="center"/>
          </w:tcPr>
          <w:p w:rsidR="005E4C4F" w:rsidRPr="007B1B92" w:rsidRDefault="005E4C4F" w:rsidP="00271CFB">
            <w:pPr>
              <w:keepNext/>
              <w:keepLines/>
              <w:jc w:val="center"/>
              <w:rPr>
                <w:rFonts w:cs="Arial"/>
                <w:b/>
                <w:bCs/>
                <w:color w:val="000000" w:themeColor="text1"/>
                <w:sz w:val="16"/>
                <w:szCs w:val="16"/>
              </w:rPr>
            </w:pPr>
            <w:r w:rsidRPr="007B1B92">
              <w:rPr>
                <w:rFonts w:cs="Arial"/>
                <w:b/>
                <w:bCs/>
                <w:color w:val="000000" w:themeColor="text1"/>
                <w:sz w:val="16"/>
                <w:szCs w:val="16"/>
              </w:rPr>
              <w:t>TLS</w:t>
            </w:r>
          </w:p>
        </w:tc>
      </w:tr>
      <w:tr w:rsidR="005E4C4F" w:rsidRPr="007B1B92" w:rsidTr="005E4C4F">
        <w:trPr>
          <w:cantSplit/>
        </w:trPr>
        <w:tc>
          <w:tcPr>
            <w:tcW w:w="1120" w:type="pct"/>
            <w:shd w:val="clear" w:color="auto" w:fill="auto"/>
          </w:tcPr>
          <w:p w:rsidR="005E4C4F" w:rsidRPr="007B1B92" w:rsidRDefault="005E4C4F" w:rsidP="00271CFB">
            <w:pPr>
              <w:ind w:leftChars="-11" w:left="-22"/>
              <w:rPr>
                <w:rFonts w:cs="Arial"/>
                <w:color w:val="000000" w:themeColor="text1"/>
                <w:sz w:val="16"/>
                <w:szCs w:val="16"/>
              </w:rPr>
            </w:pPr>
            <w:r w:rsidRPr="0092581A">
              <w:rPr>
                <w:rFonts w:cs="Arial"/>
                <w:color w:val="000000" w:themeColor="text1"/>
                <w:sz w:val="16"/>
                <w:szCs w:val="16"/>
              </w:rPr>
              <w:t xml:space="preserve">Information security is reinforced </w:t>
            </w:r>
            <w:r>
              <w:rPr>
                <w:rFonts w:cs="Arial"/>
                <w:color w:val="000000" w:themeColor="text1"/>
                <w:sz w:val="16"/>
                <w:szCs w:val="16"/>
              </w:rPr>
              <w:t xml:space="preserve"> </w:t>
            </w:r>
            <w:r w:rsidRPr="0092581A">
              <w:rPr>
                <w:rFonts w:cs="Arial"/>
                <w:color w:val="000000" w:themeColor="text1"/>
                <w:sz w:val="16"/>
                <w:szCs w:val="16"/>
              </w:rPr>
              <w:t>to protect against increasing attacks on the Internet</w:t>
            </w:r>
          </w:p>
        </w:tc>
        <w:tc>
          <w:tcPr>
            <w:tcW w:w="971" w:type="pct"/>
            <w:shd w:val="clear" w:color="auto" w:fill="auto"/>
          </w:tcPr>
          <w:p w:rsidR="005E4C4F" w:rsidRPr="007B1B92" w:rsidRDefault="005E4C4F" w:rsidP="00271CFB">
            <w:pPr>
              <w:ind w:leftChars="-11" w:left="-22"/>
              <w:rPr>
                <w:rFonts w:cs="Arial"/>
                <w:color w:val="000000" w:themeColor="text1"/>
                <w:sz w:val="16"/>
                <w:szCs w:val="16"/>
              </w:rPr>
            </w:pPr>
            <w:r w:rsidRPr="0092581A">
              <w:rPr>
                <w:rFonts w:cs="Arial"/>
                <w:color w:val="000000" w:themeColor="text1"/>
                <w:sz w:val="16"/>
                <w:szCs w:val="16"/>
              </w:rPr>
              <w:t>No major breaches to WIPO information systems</w:t>
            </w:r>
          </w:p>
        </w:tc>
        <w:tc>
          <w:tcPr>
            <w:tcW w:w="821" w:type="pct"/>
            <w:shd w:val="clear" w:color="auto" w:fill="auto"/>
            <w:tcMar>
              <w:top w:w="110" w:type="dxa"/>
            </w:tcMar>
          </w:tcPr>
          <w:p w:rsidR="005E4C4F" w:rsidRPr="007B1B92" w:rsidRDefault="005E4C4F" w:rsidP="00271CFB">
            <w:pPr>
              <w:ind w:leftChars="14" w:left="28"/>
              <w:rPr>
                <w:rFonts w:cs="Arial"/>
                <w:color w:val="000000" w:themeColor="text1"/>
                <w:sz w:val="16"/>
                <w:szCs w:val="16"/>
              </w:rPr>
            </w:pPr>
            <w:r w:rsidRPr="0092581A">
              <w:rPr>
                <w:rFonts w:cs="Arial"/>
                <w:color w:val="000000" w:themeColor="text1"/>
                <w:sz w:val="16"/>
                <w:szCs w:val="16"/>
              </w:rPr>
              <w:t>No major breaches to WIPO information systems</w:t>
            </w:r>
          </w:p>
        </w:tc>
        <w:tc>
          <w:tcPr>
            <w:tcW w:w="1567" w:type="pct"/>
            <w:shd w:val="clear" w:color="auto" w:fill="FFFFFF"/>
            <w:tcMar>
              <w:top w:w="110" w:type="dxa"/>
            </w:tcMar>
          </w:tcPr>
          <w:p w:rsidR="005E4C4F" w:rsidRPr="007B1B92" w:rsidRDefault="005E4C4F" w:rsidP="00271CFB">
            <w:pPr>
              <w:rPr>
                <w:rFonts w:cs="Arial"/>
                <w:color w:val="000000" w:themeColor="text1"/>
                <w:sz w:val="16"/>
                <w:szCs w:val="16"/>
              </w:rPr>
            </w:pPr>
            <w:r w:rsidRPr="0092581A">
              <w:rPr>
                <w:rFonts w:cs="Arial"/>
                <w:color w:val="000000" w:themeColor="text1"/>
                <w:sz w:val="16"/>
                <w:szCs w:val="16"/>
              </w:rPr>
              <w:t>No major breaches to WIPO information systems</w:t>
            </w:r>
          </w:p>
        </w:tc>
        <w:tc>
          <w:tcPr>
            <w:tcW w:w="521" w:type="pct"/>
            <w:shd w:val="clear" w:color="auto" w:fill="auto"/>
            <w:tcMar>
              <w:top w:w="110" w:type="dxa"/>
            </w:tcMar>
          </w:tcPr>
          <w:p w:rsidR="005E4C4F" w:rsidRPr="007B1B92" w:rsidRDefault="005E4C4F" w:rsidP="00271CFB">
            <w:pPr>
              <w:keepNext/>
              <w:keepLines/>
              <w:jc w:val="center"/>
              <w:rPr>
                <w:rFonts w:cs="Arial"/>
                <w:bCs/>
                <w:color w:val="000000" w:themeColor="text1"/>
                <w:sz w:val="16"/>
                <w:szCs w:val="16"/>
              </w:rPr>
            </w:pPr>
            <w:r w:rsidRPr="0092581A">
              <w:rPr>
                <w:rFonts w:cs="Arial"/>
                <w:b/>
                <w:bCs/>
                <w:color w:val="00B050"/>
                <w:sz w:val="16"/>
                <w:szCs w:val="16"/>
              </w:rPr>
              <w:t>On Track</w:t>
            </w:r>
          </w:p>
        </w:tc>
      </w:tr>
      <w:tr w:rsidR="005E4C4F" w:rsidRPr="007B1B92" w:rsidTr="005E4C4F">
        <w:trPr>
          <w:cantSplit/>
        </w:trPr>
        <w:tc>
          <w:tcPr>
            <w:tcW w:w="1120" w:type="pct"/>
            <w:shd w:val="clear" w:color="auto" w:fill="auto"/>
          </w:tcPr>
          <w:p w:rsidR="005E4C4F" w:rsidRPr="007B1B92" w:rsidRDefault="005E4C4F" w:rsidP="00271CFB">
            <w:pPr>
              <w:ind w:leftChars="-11" w:left="-22"/>
              <w:rPr>
                <w:rFonts w:cs="Arial"/>
                <w:color w:val="000000" w:themeColor="text1"/>
                <w:sz w:val="16"/>
                <w:szCs w:val="16"/>
              </w:rPr>
            </w:pPr>
            <w:r w:rsidRPr="002F771D">
              <w:rPr>
                <w:rFonts w:cs="Arial"/>
                <w:color w:val="000000" w:themeColor="text1"/>
                <w:sz w:val="16"/>
                <w:szCs w:val="16"/>
              </w:rPr>
              <w:t>Status of ISO 27001 Certification and Information Risk management processes</w:t>
            </w:r>
          </w:p>
        </w:tc>
        <w:tc>
          <w:tcPr>
            <w:tcW w:w="971" w:type="pct"/>
            <w:shd w:val="clear" w:color="auto" w:fill="auto"/>
          </w:tcPr>
          <w:p w:rsidR="005E4C4F" w:rsidRDefault="005E4C4F" w:rsidP="00271CFB">
            <w:pPr>
              <w:rPr>
                <w:color w:val="002060"/>
                <w:sz w:val="16"/>
                <w:szCs w:val="16"/>
              </w:rPr>
            </w:pPr>
            <w:r>
              <w:rPr>
                <w:i/>
                <w:color w:val="002060"/>
                <w:sz w:val="16"/>
                <w:szCs w:val="16"/>
              </w:rPr>
              <w:t>Updated Baseline end 2013</w:t>
            </w:r>
            <w:r w:rsidRPr="006550F0">
              <w:rPr>
                <w:i/>
                <w:color w:val="002060"/>
                <w:sz w:val="16"/>
                <w:szCs w:val="16"/>
              </w:rPr>
              <w:t>:</w:t>
            </w:r>
            <w:r w:rsidRPr="006550F0">
              <w:rPr>
                <w:color w:val="002060"/>
                <w:sz w:val="16"/>
                <w:szCs w:val="16"/>
              </w:rPr>
              <w:t xml:space="preserve"> </w:t>
            </w:r>
          </w:p>
          <w:p w:rsidR="005E4C4F" w:rsidRDefault="005E4C4F" w:rsidP="00271CFB">
            <w:pPr>
              <w:ind w:leftChars="-11" w:left="-22"/>
              <w:rPr>
                <w:color w:val="002060"/>
                <w:sz w:val="16"/>
                <w:szCs w:val="16"/>
              </w:rPr>
            </w:pPr>
            <w:r w:rsidRPr="00671896">
              <w:rPr>
                <w:color w:val="002060"/>
                <w:sz w:val="16"/>
                <w:szCs w:val="16"/>
              </w:rPr>
              <w:t>156 outst</w:t>
            </w:r>
            <w:r>
              <w:rPr>
                <w:color w:val="002060"/>
                <w:sz w:val="16"/>
                <w:szCs w:val="16"/>
              </w:rPr>
              <w:t>anding mitigation activities</w:t>
            </w:r>
          </w:p>
          <w:p w:rsidR="005E4C4F" w:rsidRDefault="005E4C4F" w:rsidP="00271CFB">
            <w:pPr>
              <w:ind w:leftChars="-11" w:left="-22"/>
              <w:rPr>
                <w:color w:val="002060"/>
                <w:sz w:val="16"/>
                <w:szCs w:val="16"/>
              </w:rPr>
            </w:pPr>
          </w:p>
          <w:p w:rsidR="005E4C4F" w:rsidRPr="00671896" w:rsidRDefault="005E4C4F" w:rsidP="00271CFB">
            <w:pPr>
              <w:ind w:leftChars="-11" w:left="-22"/>
              <w:rPr>
                <w:color w:val="002060"/>
                <w:sz w:val="16"/>
                <w:szCs w:val="16"/>
              </w:rPr>
            </w:pPr>
            <w:r w:rsidRPr="00671896">
              <w:rPr>
                <w:color w:val="002060"/>
                <w:sz w:val="16"/>
                <w:szCs w:val="16"/>
              </w:rPr>
              <w:t>PCT certified to ISO27001:2005 (October 2013);</w:t>
            </w:r>
          </w:p>
          <w:p w:rsidR="005E4C4F" w:rsidRDefault="005E4C4F" w:rsidP="00271CFB">
            <w:pPr>
              <w:ind w:leftChars="-11" w:left="-22"/>
              <w:rPr>
                <w:color w:val="002060"/>
                <w:sz w:val="16"/>
                <w:szCs w:val="16"/>
              </w:rPr>
            </w:pPr>
          </w:p>
          <w:p w:rsidR="005E4C4F" w:rsidRPr="00615410" w:rsidRDefault="005E4C4F" w:rsidP="00271CFB">
            <w:pPr>
              <w:ind w:leftChars="-11" w:left="-22"/>
              <w:rPr>
                <w:color w:val="002060"/>
                <w:sz w:val="16"/>
                <w:szCs w:val="16"/>
              </w:rPr>
            </w:pPr>
            <w:r w:rsidRPr="00615410">
              <w:rPr>
                <w:color w:val="002060"/>
                <w:sz w:val="16"/>
                <w:szCs w:val="16"/>
              </w:rPr>
              <w:t xml:space="preserve">The Information Security Risk Registry was updated biannually and was reviewed in detail in the context of the ISO 27001 </w:t>
            </w:r>
            <w:r w:rsidRPr="005201F8">
              <w:rPr>
                <w:color w:val="002060"/>
                <w:sz w:val="16"/>
                <w:szCs w:val="16"/>
              </w:rPr>
              <w:t>certification of the PCT operations.</w:t>
            </w:r>
            <w:r w:rsidRPr="00615410" w:rsidDel="009D4ADD">
              <w:rPr>
                <w:color w:val="002060"/>
                <w:sz w:val="16"/>
                <w:szCs w:val="16"/>
              </w:rPr>
              <w:t xml:space="preserve"> </w:t>
            </w:r>
          </w:p>
          <w:p w:rsidR="005E4C4F" w:rsidRDefault="005E4C4F" w:rsidP="00271CFB">
            <w:pPr>
              <w:rPr>
                <w:rFonts w:cs="Arial"/>
                <w:color w:val="000000" w:themeColor="text1"/>
                <w:sz w:val="16"/>
                <w:szCs w:val="16"/>
              </w:rPr>
            </w:pPr>
          </w:p>
          <w:p w:rsidR="005E4C4F" w:rsidRDefault="005E4C4F" w:rsidP="00271CFB">
            <w:pPr>
              <w:ind w:leftChars="-11" w:left="-22"/>
              <w:rPr>
                <w:rFonts w:cs="Arial"/>
                <w:i/>
                <w:sz w:val="16"/>
                <w:szCs w:val="16"/>
              </w:rPr>
            </w:pPr>
            <w:r>
              <w:rPr>
                <w:rFonts w:cs="Arial"/>
                <w:i/>
                <w:sz w:val="16"/>
                <w:szCs w:val="16"/>
              </w:rPr>
              <w:t xml:space="preserve">Original </w:t>
            </w:r>
            <w:r w:rsidRPr="004608BD">
              <w:rPr>
                <w:rFonts w:cs="Arial"/>
                <w:i/>
                <w:sz w:val="16"/>
                <w:szCs w:val="16"/>
              </w:rPr>
              <w:t>Baseline</w:t>
            </w:r>
            <w:r>
              <w:rPr>
                <w:rFonts w:cs="Arial"/>
                <w:i/>
                <w:sz w:val="16"/>
                <w:szCs w:val="16"/>
              </w:rPr>
              <w:t xml:space="preserve"> P&amp;B 2014/15:</w:t>
            </w:r>
          </w:p>
          <w:p w:rsidR="005E4C4F" w:rsidRPr="007B1B92" w:rsidRDefault="00442578" w:rsidP="00442578">
            <w:pPr>
              <w:ind w:leftChars="-11" w:left="-22"/>
              <w:rPr>
                <w:rFonts w:cs="Arial"/>
                <w:color w:val="000000" w:themeColor="text1"/>
                <w:sz w:val="16"/>
                <w:szCs w:val="16"/>
              </w:rPr>
            </w:pPr>
            <w:r w:rsidRPr="002F771D">
              <w:rPr>
                <w:rFonts w:cs="Arial"/>
                <w:color w:val="000000" w:themeColor="text1"/>
                <w:sz w:val="16"/>
                <w:szCs w:val="16"/>
              </w:rPr>
              <w:t>N</w:t>
            </w:r>
            <w:r>
              <w:rPr>
                <w:rFonts w:cs="Arial"/>
                <w:color w:val="000000" w:themeColor="text1"/>
                <w:sz w:val="16"/>
                <w:szCs w:val="16"/>
              </w:rPr>
              <w:t>o.</w:t>
            </w:r>
            <w:r w:rsidRPr="002F771D">
              <w:rPr>
                <w:rFonts w:cs="Arial"/>
                <w:color w:val="000000" w:themeColor="text1"/>
                <w:sz w:val="16"/>
                <w:szCs w:val="16"/>
              </w:rPr>
              <w:t xml:space="preserve"> </w:t>
            </w:r>
            <w:r w:rsidR="005E4C4F" w:rsidRPr="002F771D">
              <w:rPr>
                <w:rFonts w:cs="Arial"/>
                <w:color w:val="000000" w:themeColor="text1"/>
                <w:sz w:val="16"/>
                <w:szCs w:val="16"/>
              </w:rPr>
              <w:t>of outstanding risk mitigation activities at commencement of biennium; PCT Section ISO 27001 certified</w:t>
            </w:r>
          </w:p>
        </w:tc>
        <w:tc>
          <w:tcPr>
            <w:tcW w:w="821" w:type="pct"/>
            <w:shd w:val="clear" w:color="auto" w:fill="auto"/>
            <w:tcMar>
              <w:top w:w="110" w:type="dxa"/>
            </w:tcMar>
          </w:tcPr>
          <w:p w:rsidR="005E4C4F" w:rsidRPr="007B1B92" w:rsidRDefault="005E4C4F" w:rsidP="00271CFB">
            <w:pPr>
              <w:ind w:leftChars="-11" w:left="-22"/>
              <w:rPr>
                <w:rFonts w:cs="Arial"/>
                <w:color w:val="000000" w:themeColor="text1"/>
                <w:sz w:val="16"/>
                <w:szCs w:val="16"/>
              </w:rPr>
            </w:pPr>
            <w:r w:rsidRPr="002F771D">
              <w:rPr>
                <w:rFonts w:cs="Arial"/>
                <w:color w:val="000000" w:themeColor="text1"/>
                <w:sz w:val="16"/>
                <w:szCs w:val="16"/>
              </w:rPr>
              <w:t>90% of baseline resolved within biennium; 60% of new risks mitigated within 3 months of identification;  organizational units certified, as needed; PCT certification maintained</w:t>
            </w:r>
          </w:p>
        </w:tc>
        <w:tc>
          <w:tcPr>
            <w:tcW w:w="1567" w:type="pct"/>
            <w:shd w:val="clear" w:color="auto" w:fill="FFFFFF"/>
            <w:tcMar>
              <w:top w:w="110" w:type="dxa"/>
            </w:tcMar>
          </w:tcPr>
          <w:p w:rsidR="005E4C4F" w:rsidRPr="009945E0" w:rsidRDefault="005E4C4F" w:rsidP="00271CFB">
            <w:pPr>
              <w:ind w:leftChars="-11" w:left="-22"/>
              <w:rPr>
                <w:rFonts w:cs="Arial"/>
                <w:color w:val="000000" w:themeColor="text1"/>
                <w:sz w:val="16"/>
                <w:szCs w:val="16"/>
                <w:lang w:bidi="th-TH"/>
              </w:rPr>
            </w:pPr>
            <w:r w:rsidRPr="009945E0">
              <w:rPr>
                <w:rFonts w:cs="Arial"/>
                <w:color w:val="000000" w:themeColor="text1"/>
                <w:sz w:val="16"/>
                <w:szCs w:val="16"/>
                <w:lang w:bidi="th-TH"/>
              </w:rPr>
              <w:t xml:space="preserve">17 </w:t>
            </w:r>
            <w:r>
              <w:rPr>
                <w:rFonts w:cs="Arial"/>
                <w:color w:val="000000" w:themeColor="text1"/>
                <w:sz w:val="16"/>
                <w:szCs w:val="16"/>
                <w:lang w:bidi="th-TH"/>
              </w:rPr>
              <w:t xml:space="preserve">out of the 156 baseline </w:t>
            </w:r>
            <w:r w:rsidRPr="009945E0">
              <w:rPr>
                <w:rFonts w:cs="Arial"/>
                <w:color w:val="000000" w:themeColor="text1"/>
                <w:sz w:val="16"/>
                <w:szCs w:val="16"/>
                <w:lang w:bidi="th-TH"/>
              </w:rPr>
              <w:t>risks remain</w:t>
            </w:r>
            <w:r>
              <w:rPr>
                <w:rFonts w:cs="Arial"/>
                <w:color w:val="000000" w:themeColor="text1"/>
                <w:sz w:val="16"/>
                <w:szCs w:val="16"/>
                <w:lang w:bidi="th-TH"/>
              </w:rPr>
              <w:t xml:space="preserve">ed </w:t>
            </w:r>
            <w:r w:rsidRPr="009945E0">
              <w:rPr>
                <w:rFonts w:cs="Arial"/>
                <w:color w:val="000000" w:themeColor="text1"/>
                <w:sz w:val="16"/>
                <w:szCs w:val="16"/>
                <w:lang w:bidi="th-TH"/>
              </w:rPr>
              <w:t>open end Q4 (11%)</w:t>
            </w:r>
          </w:p>
          <w:p w:rsidR="005E4C4F" w:rsidRDefault="005E4C4F" w:rsidP="00271CFB">
            <w:pPr>
              <w:ind w:leftChars="-11" w:left="-22"/>
              <w:rPr>
                <w:rFonts w:cs="Arial"/>
                <w:color w:val="000000" w:themeColor="text1"/>
                <w:sz w:val="16"/>
                <w:szCs w:val="16"/>
                <w:lang w:bidi="th-TH"/>
              </w:rPr>
            </w:pPr>
          </w:p>
          <w:p w:rsidR="005E4C4F" w:rsidRDefault="005E4C4F" w:rsidP="00271CFB">
            <w:pPr>
              <w:rPr>
                <w:rFonts w:cs="Arial"/>
                <w:color w:val="000000" w:themeColor="text1"/>
                <w:sz w:val="16"/>
                <w:szCs w:val="16"/>
                <w:lang w:bidi="th-TH"/>
              </w:rPr>
            </w:pPr>
            <w:r w:rsidRPr="002F771D">
              <w:rPr>
                <w:rFonts w:cs="Arial"/>
                <w:color w:val="000000" w:themeColor="text1"/>
                <w:sz w:val="16"/>
                <w:szCs w:val="16"/>
                <w:lang w:bidi="th-TH"/>
              </w:rPr>
              <w:t xml:space="preserve">12 </w:t>
            </w:r>
            <w:r>
              <w:rPr>
                <w:rFonts w:cs="Arial"/>
                <w:color w:val="000000" w:themeColor="text1"/>
                <w:sz w:val="16"/>
                <w:szCs w:val="16"/>
                <w:lang w:bidi="th-TH"/>
              </w:rPr>
              <w:t xml:space="preserve">new </w:t>
            </w:r>
            <w:r w:rsidRPr="002F771D">
              <w:rPr>
                <w:rFonts w:cs="Arial"/>
                <w:color w:val="000000" w:themeColor="text1"/>
                <w:sz w:val="16"/>
                <w:szCs w:val="16"/>
                <w:lang w:bidi="th-TH"/>
              </w:rPr>
              <w:t>risks identified during/carried forward to Q4, of which 8</w:t>
            </w:r>
            <w:r>
              <w:rPr>
                <w:rFonts w:cs="Arial"/>
                <w:color w:val="000000" w:themeColor="text1"/>
                <w:sz w:val="16"/>
                <w:szCs w:val="16"/>
                <w:lang w:bidi="th-TH"/>
              </w:rPr>
              <w:t xml:space="preserve"> were mitigated within 3 months of identification</w:t>
            </w:r>
            <w:r w:rsidRPr="002F771D">
              <w:rPr>
                <w:rFonts w:cs="Arial"/>
                <w:color w:val="000000" w:themeColor="text1"/>
                <w:sz w:val="16"/>
                <w:szCs w:val="16"/>
                <w:lang w:bidi="th-TH"/>
              </w:rPr>
              <w:t xml:space="preserve"> (66%).  </w:t>
            </w:r>
          </w:p>
          <w:p w:rsidR="005E4C4F" w:rsidRDefault="005E4C4F" w:rsidP="00271CFB">
            <w:pPr>
              <w:rPr>
                <w:rFonts w:cs="Arial"/>
                <w:color w:val="000000" w:themeColor="text1"/>
                <w:sz w:val="16"/>
                <w:szCs w:val="16"/>
                <w:lang w:bidi="th-TH"/>
              </w:rPr>
            </w:pPr>
          </w:p>
          <w:p w:rsidR="005E4C4F" w:rsidRPr="007B1B92" w:rsidRDefault="005E4C4F" w:rsidP="00271CFB">
            <w:pPr>
              <w:rPr>
                <w:rFonts w:cs="Arial"/>
                <w:color w:val="000000" w:themeColor="text1"/>
                <w:sz w:val="16"/>
                <w:szCs w:val="16"/>
              </w:rPr>
            </w:pPr>
            <w:r w:rsidRPr="002F771D">
              <w:rPr>
                <w:rFonts w:cs="Arial"/>
                <w:color w:val="000000" w:themeColor="text1"/>
                <w:sz w:val="16"/>
                <w:szCs w:val="16"/>
                <w:lang w:bidi="th-TH"/>
              </w:rPr>
              <w:t xml:space="preserve">PCT transition to ISO 27001:2013 from 27001:2005 </w:t>
            </w:r>
            <w:r>
              <w:rPr>
                <w:rFonts w:cs="Arial"/>
                <w:color w:val="000000" w:themeColor="text1"/>
                <w:sz w:val="16"/>
                <w:szCs w:val="16"/>
                <w:lang w:bidi="th-TH"/>
              </w:rPr>
              <w:t xml:space="preserve">was </w:t>
            </w:r>
            <w:r w:rsidRPr="002F771D">
              <w:rPr>
                <w:rFonts w:cs="Arial"/>
                <w:color w:val="000000" w:themeColor="text1"/>
                <w:sz w:val="16"/>
                <w:szCs w:val="16"/>
                <w:lang w:bidi="th-TH"/>
              </w:rPr>
              <w:t>successfully completed</w:t>
            </w:r>
            <w:r>
              <w:rPr>
                <w:rFonts w:cs="Arial"/>
                <w:color w:val="000000" w:themeColor="text1"/>
                <w:sz w:val="16"/>
                <w:szCs w:val="16"/>
                <w:lang w:bidi="th-TH"/>
              </w:rPr>
              <w:t>.  C</w:t>
            </w:r>
            <w:r w:rsidRPr="002F771D">
              <w:rPr>
                <w:rFonts w:cs="Arial"/>
                <w:color w:val="000000" w:themeColor="text1"/>
                <w:sz w:val="16"/>
                <w:szCs w:val="16"/>
                <w:lang w:bidi="th-TH"/>
              </w:rPr>
              <w:t xml:space="preserve">ertification </w:t>
            </w:r>
            <w:r>
              <w:rPr>
                <w:rFonts w:cs="Arial"/>
                <w:color w:val="000000" w:themeColor="text1"/>
                <w:sz w:val="16"/>
                <w:szCs w:val="16"/>
                <w:lang w:bidi="th-TH"/>
              </w:rPr>
              <w:t xml:space="preserve">was </w:t>
            </w:r>
            <w:r w:rsidRPr="002F771D">
              <w:rPr>
                <w:rFonts w:cs="Arial"/>
                <w:color w:val="000000" w:themeColor="text1"/>
                <w:sz w:val="16"/>
                <w:szCs w:val="16"/>
                <w:lang w:bidi="th-TH"/>
              </w:rPr>
              <w:t xml:space="preserve">awarded </w:t>
            </w:r>
            <w:r>
              <w:rPr>
                <w:rFonts w:cs="Arial"/>
                <w:color w:val="000000" w:themeColor="text1"/>
                <w:sz w:val="16"/>
                <w:szCs w:val="16"/>
                <w:lang w:bidi="th-TH"/>
              </w:rPr>
              <w:t xml:space="preserve">in </w:t>
            </w:r>
            <w:r w:rsidRPr="002F771D">
              <w:rPr>
                <w:rFonts w:cs="Arial"/>
                <w:color w:val="000000" w:themeColor="text1"/>
                <w:sz w:val="16"/>
                <w:szCs w:val="16"/>
                <w:lang w:bidi="th-TH"/>
              </w:rPr>
              <w:t>October 2014</w:t>
            </w:r>
            <w:r>
              <w:rPr>
                <w:rFonts w:cs="Arial"/>
                <w:color w:val="000000" w:themeColor="text1"/>
                <w:sz w:val="16"/>
                <w:szCs w:val="16"/>
                <w:lang w:bidi="th-TH"/>
              </w:rPr>
              <w:t>.</w:t>
            </w:r>
          </w:p>
        </w:tc>
        <w:tc>
          <w:tcPr>
            <w:tcW w:w="521" w:type="pct"/>
            <w:shd w:val="clear" w:color="auto" w:fill="auto"/>
            <w:tcMar>
              <w:top w:w="110" w:type="dxa"/>
            </w:tcMar>
          </w:tcPr>
          <w:p w:rsidR="005E4C4F" w:rsidRDefault="005E4C4F" w:rsidP="00271CFB">
            <w:pPr>
              <w:keepNext/>
              <w:keepLines/>
              <w:jc w:val="center"/>
              <w:rPr>
                <w:rFonts w:cs="Arial"/>
                <w:b/>
                <w:bCs/>
                <w:color w:val="00B050"/>
                <w:sz w:val="16"/>
                <w:szCs w:val="16"/>
              </w:rPr>
            </w:pPr>
            <w:r w:rsidRPr="007B1B92">
              <w:rPr>
                <w:rFonts w:cs="Arial"/>
                <w:bCs/>
                <w:color w:val="008000"/>
                <w:sz w:val="16"/>
                <w:szCs w:val="16"/>
              </w:rPr>
              <w:t xml:space="preserve"> </w:t>
            </w:r>
            <w:r w:rsidRPr="0092581A">
              <w:rPr>
                <w:rFonts w:cs="Arial"/>
                <w:b/>
                <w:bCs/>
                <w:color w:val="00B050"/>
                <w:sz w:val="16"/>
                <w:szCs w:val="16"/>
              </w:rPr>
              <w:t>On Track</w:t>
            </w:r>
          </w:p>
          <w:p w:rsidR="005E4C4F" w:rsidRDefault="005E4C4F" w:rsidP="00271CFB">
            <w:pPr>
              <w:keepNext/>
              <w:keepLines/>
              <w:jc w:val="center"/>
              <w:rPr>
                <w:rFonts w:cs="Arial"/>
                <w:b/>
                <w:bCs/>
                <w:color w:val="00B050"/>
                <w:sz w:val="16"/>
                <w:szCs w:val="16"/>
              </w:rPr>
            </w:pPr>
          </w:p>
          <w:p w:rsidR="005E4C4F" w:rsidRDefault="005E4C4F" w:rsidP="00271CFB">
            <w:pPr>
              <w:keepNext/>
              <w:keepLines/>
              <w:rPr>
                <w:rFonts w:cs="Arial"/>
                <w:b/>
                <w:bCs/>
                <w:color w:val="00B050"/>
                <w:sz w:val="16"/>
                <w:szCs w:val="16"/>
              </w:rPr>
            </w:pPr>
          </w:p>
          <w:p w:rsidR="005E4C4F" w:rsidRDefault="005E4C4F" w:rsidP="00271CFB">
            <w:pPr>
              <w:keepNext/>
              <w:keepLines/>
              <w:jc w:val="center"/>
              <w:rPr>
                <w:rFonts w:cs="Arial"/>
                <w:b/>
                <w:bCs/>
                <w:color w:val="00B050"/>
                <w:sz w:val="16"/>
                <w:szCs w:val="16"/>
              </w:rPr>
            </w:pPr>
            <w:r w:rsidRPr="0092581A">
              <w:rPr>
                <w:rFonts w:cs="Arial"/>
                <w:b/>
                <w:bCs/>
                <w:color w:val="00B050"/>
                <w:sz w:val="16"/>
                <w:szCs w:val="16"/>
              </w:rPr>
              <w:t>On Track</w:t>
            </w:r>
          </w:p>
          <w:p w:rsidR="005E4C4F" w:rsidRDefault="005E4C4F" w:rsidP="00271CFB">
            <w:pPr>
              <w:keepNext/>
              <w:keepLines/>
              <w:jc w:val="center"/>
              <w:rPr>
                <w:rFonts w:cs="Arial"/>
                <w:b/>
                <w:bCs/>
                <w:color w:val="00B050"/>
                <w:sz w:val="16"/>
                <w:szCs w:val="16"/>
              </w:rPr>
            </w:pPr>
          </w:p>
          <w:p w:rsidR="005E4C4F" w:rsidRDefault="005E4C4F" w:rsidP="00271CFB">
            <w:pPr>
              <w:keepNext/>
              <w:keepLines/>
              <w:jc w:val="center"/>
              <w:rPr>
                <w:rFonts w:cs="Arial"/>
                <w:b/>
                <w:bCs/>
                <w:color w:val="00B050"/>
                <w:sz w:val="16"/>
                <w:szCs w:val="16"/>
              </w:rPr>
            </w:pPr>
          </w:p>
          <w:p w:rsidR="005E4C4F" w:rsidRDefault="005E4C4F" w:rsidP="00271CFB">
            <w:pPr>
              <w:keepNext/>
              <w:keepLines/>
              <w:jc w:val="center"/>
              <w:rPr>
                <w:rFonts w:cs="Arial"/>
                <w:b/>
                <w:bCs/>
                <w:color w:val="00B050"/>
                <w:sz w:val="16"/>
                <w:szCs w:val="16"/>
              </w:rPr>
            </w:pPr>
          </w:p>
          <w:p w:rsidR="005E4C4F" w:rsidRDefault="005E4C4F" w:rsidP="00271CFB">
            <w:pPr>
              <w:keepNext/>
              <w:keepLines/>
              <w:jc w:val="center"/>
              <w:rPr>
                <w:rFonts w:cs="Arial"/>
                <w:b/>
                <w:bCs/>
                <w:color w:val="00B050"/>
                <w:sz w:val="16"/>
                <w:szCs w:val="16"/>
              </w:rPr>
            </w:pPr>
          </w:p>
          <w:p w:rsidR="005E4C4F" w:rsidRDefault="005E4C4F" w:rsidP="00271CFB">
            <w:pPr>
              <w:keepNext/>
              <w:keepLines/>
              <w:jc w:val="center"/>
              <w:rPr>
                <w:rFonts w:cs="Arial"/>
                <w:b/>
                <w:bCs/>
                <w:color w:val="00B050"/>
                <w:sz w:val="16"/>
                <w:szCs w:val="16"/>
              </w:rPr>
            </w:pPr>
          </w:p>
          <w:p w:rsidR="005E4C4F" w:rsidRPr="007B1B92" w:rsidRDefault="005E4C4F" w:rsidP="00271CFB">
            <w:pPr>
              <w:keepNext/>
              <w:keepLines/>
              <w:jc w:val="center"/>
              <w:rPr>
                <w:rFonts w:cs="Arial"/>
                <w:bCs/>
                <w:color w:val="000000" w:themeColor="text1"/>
                <w:sz w:val="16"/>
                <w:szCs w:val="16"/>
              </w:rPr>
            </w:pPr>
            <w:r w:rsidRPr="0092581A">
              <w:rPr>
                <w:rFonts w:cs="Arial"/>
                <w:b/>
                <w:bCs/>
                <w:color w:val="00B050"/>
                <w:sz w:val="16"/>
                <w:szCs w:val="16"/>
              </w:rPr>
              <w:t>On Track</w:t>
            </w:r>
          </w:p>
        </w:tc>
      </w:tr>
      <w:tr w:rsidR="005E4C4F" w:rsidRPr="007B1B92" w:rsidTr="005E4C4F">
        <w:trPr>
          <w:cantSplit/>
        </w:trPr>
        <w:tc>
          <w:tcPr>
            <w:tcW w:w="1120" w:type="pct"/>
            <w:tcBorders>
              <w:bottom w:val="single" w:sz="4" w:space="0" w:color="auto"/>
            </w:tcBorders>
            <w:shd w:val="clear" w:color="auto" w:fill="auto"/>
          </w:tcPr>
          <w:p w:rsidR="005E4C4F" w:rsidRPr="007B1B92" w:rsidRDefault="005E4C4F" w:rsidP="00271CFB">
            <w:pPr>
              <w:ind w:leftChars="-11" w:left="-22"/>
              <w:rPr>
                <w:rFonts w:cs="Arial"/>
                <w:color w:val="000000" w:themeColor="text1"/>
                <w:sz w:val="16"/>
                <w:szCs w:val="16"/>
              </w:rPr>
            </w:pPr>
            <w:r w:rsidRPr="002F771D">
              <w:rPr>
                <w:rFonts w:cs="Arial"/>
                <w:color w:val="000000" w:themeColor="text1"/>
                <w:sz w:val="16"/>
                <w:szCs w:val="16"/>
              </w:rPr>
              <w:t xml:space="preserve">Effectiveness of Information Security controls (internal and external facing) </w:t>
            </w:r>
          </w:p>
        </w:tc>
        <w:tc>
          <w:tcPr>
            <w:tcW w:w="971" w:type="pct"/>
            <w:tcBorders>
              <w:bottom w:val="single" w:sz="4" w:space="0" w:color="auto"/>
            </w:tcBorders>
            <w:shd w:val="clear" w:color="auto" w:fill="auto"/>
          </w:tcPr>
          <w:p w:rsidR="005E4C4F" w:rsidRDefault="005E4C4F" w:rsidP="00271CFB">
            <w:pPr>
              <w:ind w:leftChars="-11" w:left="-22"/>
              <w:rPr>
                <w:rFonts w:cs="Arial"/>
                <w:color w:val="000000" w:themeColor="text1"/>
                <w:sz w:val="16"/>
                <w:szCs w:val="16"/>
              </w:rPr>
            </w:pPr>
            <w:r w:rsidRPr="002F771D">
              <w:rPr>
                <w:rFonts w:cs="Arial"/>
                <w:color w:val="000000" w:themeColor="text1"/>
                <w:sz w:val="16"/>
                <w:szCs w:val="16"/>
              </w:rPr>
              <w:t>5 or less incidents per year</w:t>
            </w:r>
          </w:p>
          <w:p w:rsidR="005E4C4F" w:rsidRPr="007B1B92" w:rsidRDefault="005E4C4F" w:rsidP="00271CFB">
            <w:pPr>
              <w:ind w:leftChars="-11" w:left="-22"/>
              <w:rPr>
                <w:rFonts w:cs="Arial"/>
                <w:color w:val="000000" w:themeColor="text1"/>
                <w:sz w:val="16"/>
                <w:szCs w:val="16"/>
              </w:rPr>
            </w:pPr>
          </w:p>
        </w:tc>
        <w:tc>
          <w:tcPr>
            <w:tcW w:w="821" w:type="pct"/>
            <w:tcBorders>
              <w:bottom w:val="single" w:sz="4" w:space="0" w:color="auto"/>
            </w:tcBorders>
            <w:shd w:val="clear" w:color="auto" w:fill="auto"/>
            <w:tcMar>
              <w:top w:w="110" w:type="dxa"/>
            </w:tcMar>
          </w:tcPr>
          <w:p w:rsidR="005E4C4F" w:rsidRPr="007B1B92" w:rsidRDefault="005E4C4F" w:rsidP="00271CFB">
            <w:pPr>
              <w:rPr>
                <w:rFonts w:cs="Arial"/>
                <w:color w:val="000000" w:themeColor="text1"/>
                <w:sz w:val="16"/>
                <w:szCs w:val="16"/>
              </w:rPr>
            </w:pPr>
            <w:r w:rsidRPr="002F771D">
              <w:rPr>
                <w:rFonts w:cs="Arial"/>
                <w:color w:val="000000" w:themeColor="text1"/>
                <w:sz w:val="16"/>
                <w:szCs w:val="16"/>
              </w:rPr>
              <w:t xml:space="preserve">2 or less incidents per year </w:t>
            </w:r>
          </w:p>
        </w:tc>
        <w:tc>
          <w:tcPr>
            <w:tcW w:w="1567" w:type="pct"/>
            <w:tcBorders>
              <w:bottom w:val="single" w:sz="4" w:space="0" w:color="auto"/>
            </w:tcBorders>
            <w:shd w:val="clear" w:color="auto" w:fill="FFFFFF"/>
            <w:tcMar>
              <w:top w:w="110" w:type="dxa"/>
            </w:tcMar>
          </w:tcPr>
          <w:p w:rsidR="005E4C4F" w:rsidRPr="007B1B92" w:rsidRDefault="005E4C4F" w:rsidP="00271CFB">
            <w:pPr>
              <w:rPr>
                <w:rFonts w:cs="Arial"/>
                <w:color w:val="000000" w:themeColor="text1"/>
                <w:sz w:val="16"/>
                <w:szCs w:val="16"/>
              </w:rPr>
            </w:pPr>
            <w:r w:rsidRPr="002F771D">
              <w:rPr>
                <w:rFonts w:cs="Arial"/>
                <w:color w:val="000000" w:themeColor="text1"/>
                <w:sz w:val="16"/>
                <w:szCs w:val="16"/>
              </w:rPr>
              <w:t>1 major incident for the year.</w:t>
            </w:r>
          </w:p>
        </w:tc>
        <w:tc>
          <w:tcPr>
            <w:tcW w:w="521" w:type="pct"/>
            <w:tcBorders>
              <w:bottom w:val="single" w:sz="4" w:space="0" w:color="auto"/>
            </w:tcBorders>
            <w:shd w:val="clear" w:color="auto" w:fill="auto"/>
            <w:tcMar>
              <w:top w:w="110" w:type="dxa"/>
            </w:tcMar>
          </w:tcPr>
          <w:p w:rsidR="005E4C4F" w:rsidRPr="007B1B92" w:rsidRDefault="005E4C4F" w:rsidP="00271CFB">
            <w:pPr>
              <w:keepNext/>
              <w:keepLines/>
              <w:jc w:val="center"/>
              <w:rPr>
                <w:rStyle w:val="Style5"/>
                <w:rFonts w:ascii="Arial" w:hAnsi="Arial" w:cs="Arial"/>
                <w:color w:val="000000" w:themeColor="text1"/>
                <w:sz w:val="16"/>
                <w:szCs w:val="16"/>
              </w:rPr>
            </w:pPr>
            <w:r w:rsidRPr="007B1B92">
              <w:rPr>
                <w:rFonts w:cs="Arial"/>
                <w:bCs/>
                <w:color w:val="E36C0A" w:themeColor="accent6" w:themeShade="BF"/>
                <w:sz w:val="16"/>
                <w:szCs w:val="16"/>
              </w:rPr>
              <w:t xml:space="preserve"> </w:t>
            </w:r>
            <w:r w:rsidRPr="0092581A">
              <w:rPr>
                <w:rFonts w:cs="Arial"/>
                <w:b/>
                <w:bCs/>
                <w:color w:val="00B050"/>
                <w:sz w:val="16"/>
                <w:szCs w:val="16"/>
              </w:rPr>
              <w:t>On Track</w:t>
            </w:r>
          </w:p>
          <w:p w:rsidR="005E4C4F" w:rsidRPr="007B1B92" w:rsidRDefault="005E4C4F" w:rsidP="00271CFB">
            <w:pPr>
              <w:keepNext/>
              <w:keepLines/>
              <w:jc w:val="center"/>
              <w:rPr>
                <w:rFonts w:cs="Arial"/>
                <w:bCs/>
                <w:color w:val="000000" w:themeColor="text1"/>
                <w:sz w:val="16"/>
                <w:szCs w:val="16"/>
              </w:rPr>
            </w:pPr>
          </w:p>
        </w:tc>
      </w:tr>
    </w:tbl>
    <w:p w:rsidR="005E4C4F" w:rsidRDefault="005E4C4F" w:rsidP="00C3728B">
      <w:pPr>
        <w:rPr>
          <w:bCs/>
          <w:sz w:val="22"/>
          <w:szCs w:val="22"/>
        </w:rPr>
      </w:pPr>
    </w:p>
    <w:p w:rsidR="005E4C4F" w:rsidRDefault="005E4C4F" w:rsidP="00C3728B">
      <w:pPr>
        <w:rPr>
          <w:bCs/>
          <w:sz w:val="22"/>
          <w:szCs w:val="22"/>
        </w:rPr>
      </w:pPr>
    </w:p>
    <w:p w:rsidR="005E4C4F" w:rsidRDefault="005E4C4F" w:rsidP="00271CFB">
      <w:pPr>
        <w:keepNext/>
        <w:keepLines/>
        <w:rPr>
          <w:b/>
          <w:sz w:val="18"/>
          <w:szCs w:val="18"/>
        </w:rPr>
      </w:pPr>
      <w:r>
        <w:rPr>
          <w:rFonts w:cs="Arial"/>
          <w:color w:val="000000"/>
          <w:sz w:val="22"/>
          <w:szCs w:val="22"/>
        </w:rPr>
        <w:lastRenderedPageBreak/>
        <w:t>RESOURCE UTILIZATION</w:t>
      </w:r>
      <w:r>
        <w:rPr>
          <w:rFonts w:cs="Arial"/>
          <w:color w:val="000000"/>
          <w:sz w:val="22"/>
          <w:szCs w:val="22"/>
        </w:rPr>
        <w:tab/>
      </w:r>
    </w:p>
    <w:p w:rsidR="005E4C4F" w:rsidRPr="008F4A6D" w:rsidRDefault="005E4C4F" w:rsidP="00271CFB">
      <w:pPr>
        <w:keepNext/>
        <w:keepLines/>
        <w:rPr>
          <w:szCs w:val="20"/>
        </w:rPr>
      </w:pPr>
    </w:p>
    <w:p w:rsidR="005E4C4F" w:rsidRPr="00383D2D" w:rsidRDefault="005E4C4F" w:rsidP="00271CFB">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(by result) </w:t>
      </w:r>
    </w:p>
    <w:p w:rsidR="005E4C4F" w:rsidRDefault="005E4C4F" w:rsidP="00271CFB">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5E4C4F" w:rsidRPr="00383D2D" w:rsidRDefault="005E4C4F" w:rsidP="00271CFB">
      <w:pPr>
        <w:pStyle w:val="NormalWeb"/>
        <w:keepNext/>
        <w:keepLines/>
        <w:spacing w:before="0" w:beforeAutospacing="0" w:after="0" w:afterAutospacing="0"/>
        <w:jc w:val="center"/>
        <w:rPr>
          <w:sz w:val="20"/>
          <w:szCs w:val="20"/>
        </w:rPr>
      </w:pPr>
    </w:p>
    <w:p w:rsidR="005E4C4F" w:rsidRDefault="005E4C4F" w:rsidP="005E4C4F">
      <w:pPr>
        <w:keepNext/>
        <w:keepLines/>
        <w:jc w:val="center"/>
      </w:pPr>
      <w:r w:rsidRPr="00144597">
        <w:rPr>
          <w:noProof/>
        </w:rPr>
        <w:drawing>
          <wp:inline distT="0" distB="0" distL="0" distR="0" wp14:anchorId="6ACAE342" wp14:editId="047D56E9">
            <wp:extent cx="5529375" cy="1741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531987" cy="1742023"/>
                    </a:xfrm>
                    <a:prstGeom prst="rect">
                      <a:avLst/>
                    </a:prstGeom>
                    <a:noFill/>
                    <a:ln>
                      <a:noFill/>
                    </a:ln>
                  </pic:spPr>
                </pic:pic>
              </a:graphicData>
            </a:graphic>
          </wp:inline>
        </w:drawing>
      </w:r>
    </w:p>
    <w:p w:rsidR="005E4C4F" w:rsidRDefault="005E4C4F"/>
    <w:p w:rsidR="005E4C4F" w:rsidRDefault="005E4C4F"/>
    <w:p w:rsidR="005E4C4F" w:rsidRPr="00383D2D" w:rsidRDefault="005E4C4F" w:rsidP="00383D2D">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5E4C4F" w:rsidRPr="00383D2D" w:rsidRDefault="005E4C4F" w:rsidP="00383D2D">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5E4C4F" w:rsidRDefault="005E4C4F" w:rsidP="00383D2D">
      <w:pPr>
        <w:pStyle w:val="NormalWeb"/>
        <w:keepNext/>
        <w:keepLines/>
        <w:spacing w:before="0" w:beforeAutospacing="0" w:after="0" w:afterAutospacing="0"/>
        <w:jc w:val="center"/>
      </w:pPr>
    </w:p>
    <w:p w:rsidR="005E4C4F" w:rsidRPr="00383D2D" w:rsidRDefault="005E4C4F" w:rsidP="005E4C4F">
      <w:pPr>
        <w:jc w:val="center"/>
        <w:rPr>
          <w:szCs w:val="20"/>
        </w:rPr>
      </w:pPr>
      <w:r w:rsidRPr="007504B6">
        <w:rPr>
          <w:noProof/>
        </w:rPr>
        <w:drawing>
          <wp:inline distT="0" distB="0" distL="0" distR="0" wp14:anchorId="577BECC1" wp14:editId="48368639">
            <wp:extent cx="5557962" cy="1160613"/>
            <wp:effectExtent l="0" t="0" r="508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558303" cy="1160684"/>
                    </a:xfrm>
                    <a:prstGeom prst="rect">
                      <a:avLst/>
                    </a:prstGeom>
                    <a:noFill/>
                    <a:ln>
                      <a:noFill/>
                    </a:ln>
                  </pic:spPr>
                </pic:pic>
              </a:graphicData>
            </a:graphic>
          </wp:inline>
        </w:drawing>
      </w:r>
    </w:p>
    <w:p w:rsidR="005E4C4F" w:rsidRPr="004312A2" w:rsidRDefault="005E4C4F" w:rsidP="00DD012F">
      <w:pPr>
        <w:keepNext/>
        <w:autoSpaceDE w:val="0"/>
        <w:autoSpaceDN w:val="0"/>
        <w:rPr>
          <w:sz w:val="16"/>
          <w:szCs w:val="16"/>
        </w:rPr>
      </w:pPr>
      <w:r w:rsidRPr="00CF1A07">
        <w:rPr>
          <w:i/>
          <w:sz w:val="16"/>
          <w:szCs w:val="16"/>
        </w:rPr>
        <w:t>NOTE: The 2014/15 Budget after Transfers reflects transfers as of March 31, 2015 to address needs during the 2014/15 biennium in line with Financial Regulation 5.5.</w:t>
      </w:r>
    </w:p>
    <w:p w:rsidR="005E4C4F" w:rsidRPr="008F4A6D" w:rsidRDefault="005E4C4F" w:rsidP="00420F90">
      <w:pPr>
        <w:widowControl w:val="0"/>
        <w:autoSpaceDE w:val="0"/>
        <w:autoSpaceDN w:val="0"/>
        <w:adjustRightInd w:val="0"/>
        <w:rPr>
          <w:rFonts w:cs="Arial"/>
          <w:szCs w:val="20"/>
        </w:rPr>
      </w:pPr>
    </w:p>
    <w:p w:rsidR="005E4C4F" w:rsidRPr="001C6F4D" w:rsidRDefault="005E4C4F" w:rsidP="00420F90">
      <w:pPr>
        <w:widowControl w:val="0"/>
        <w:autoSpaceDE w:val="0"/>
        <w:autoSpaceDN w:val="0"/>
        <w:adjustRightInd w:val="0"/>
        <w:rPr>
          <w:rFonts w:cs="Arial"/>
          <w:szCs w:val="20"/>
        </w:rPr>
      </w:pPr>
    </w:p>
    <w:p w:rsidR="005E4C4F" w:rsidRDefault="005E4C4F" w:rsidP="00A93FCA">
      <w:pPr>
        <w:rPr>
          <w:rFonts w:cs="Arial"/>
          <w:u w:val="single"/>
        </w:rPr>
      </w:pPr>
      <w:r w:rsidRPr="00420F90">
        <w:rPr>
          <w:rFonts w:cs="Arial"/>
          <w:szCs w:val="20"/>
        </w:rPr>
        <w:t>A.</w:t>
      </w:r>
      <w:r w:rsidRPr="00420F90">
        <w:rPr>
          <w:rFonts w:cs="Arial"/>
        </w:rPr>
        <w:tab/>
      </w:r>
      <w:r w:rsidRPr="00420F90">
        <w:rPr>
          <w:rFonts w:cs="Arial"/>
          <w:u w:val="single"/>
        </w:rPr>
        <w:t>Budget after Transfers 201</w:t>
      </w:r>
      <w:r>
        <w:rPr>
          <w:rFonts w:cs="Arial"/>
          <w:u w:val="single"/>
        </w:rPr>
        <w:t>4/15</w:t>
      </w:r>
    </w:p>
    <w:p w:rsidR="005E4C4F" w:rsidRPr="00420F90" w:rsidRDefault="005E4C4F" w:rsidP="0042593C">
      <w:pPr>
        <w:jc w:val="both"/>
        <w:rPr>
          <w:rFonts w:cs="Arial"/>
          <w:u w:val="single"/>
        </w:rPr>
      </w:pPr>
    </w:p>
    <w:p w:rsidR="005E4C4F" w:rsidRPr="006A5C71" w:rsidRDefault="005E4C4F" w:rsidP="0042593C">
      <w:pPr>
        <w:pStyle w:val="ONUME"/>
        <w:numPr>
          <w:ilvl w:val="0"/>
          <w:numId w:val="44"/>
        </w:numPr>
        <w:tabs>
          <w:tab w:val="left" w:pos="709"/>
        </w:tabs>
        <w:ind w:left="0" w:firstLine="0"/>
        <w:jc w:val="both"/>
      </w:pPr>
      <w:r>
        <w:t xml:space="preserve">The overall increase of approximately one million Swiss francs in the 2014/15 Budget after Transfers as compared to the 2014/15 Approved Budget is primarily due to an increase in non-personnel resources which is the net result of, on the one hand, cost efficiency measures implemented in 2014/15, and, on the other hand, additional resources provided to the Program to cover UNICC costs, the implementation of a resilient infrastructure for External Offices and costs related to the hosting of the Pearl Terminology database.  The increase in personnel resources is primarily due to reclassifications and completed regularizations.  The increases are reflected under Expected Result XI.1. </w:t>
      </w:r>
    </w:p>
    <w:p w:rsidR="005E4C4F" w:rsidRDefault="005E4C4F" w:rsidP="0042593C">
      <w:pPr>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Budget utilization 2014</w:t>
      </w:r>
    </w:p>
    <w:p w:rsidR="005E4C4F" w:rsidRDefault="005E4C4F" w:rsidP="0042593C">
      <w:pPr>
        <w:tabs>
          <w:tab w:val="left" w:pos="709"/>
        </w:tabs>
        <w:jc w:val="both"/>
        <w:rPr>
          <w:rFonts w:cs="Arial"/>
          <w:szCs w:val="20"/>
          <w:u w:val="single"/>
          <w:lang w:eastAsia="ko-KR"/>
        </w:rPr>
      </w:pPr>
    </w:p>
    <w:p w:rsidR="005E4C4F" w:rsidRPr="002651C8" w:rsidRDefault="005E4C4F" w:rsidP="0042593C">
      <w:pPr>
        <w:pStyle w:val="ONUME"/>
        <w:numPr>
          <w:ilvl w:val="0"/>
          <w:numId w:val="44"/>
        </w:numPr>
        <w:tabs>
          <w:tab w:val="left" w:pos="709"/>
        </w:tabs>
        <w:ind w:left="0" w:firstLine="0"/>
        <w:jc w:val="both"/>
        <w:rPr>
          <w:rFonts w:ascii="Calibri" w:hAnsi="Calibri"/>
          <w:sz w:val="22"/>
          <w:szCs w:val="22"/>
        </w:rPr>
      </w:pPr>
      <w:r>
        <w:t>Budget</w:t>
      </w:r>
      <w:r>
        <w:rPr>
          <w:lang w:eastAsia="ko-KR"/>
        </w:rPr>
        <w:t xml:space="preserve"> utilization is within the expected range of 40-60 per cent for the first year of the biennium and is on track. </w:t>
      </w:r>
    </w:p>
    <w:p w:rsidR="005E4C4F" w:rsidRDefault="005E4C4F" w:rsidP="00295D7D">
      <w:pPr>
        <w:autoSpaceDE w:val="0"/>
        <w:autoSpaceDN w:val="0"/>
        <w:jc w:val="both"/>
      </w:pPr>
    </w:p>
    <w:p w:rsidR="005E4C4F" w:rsidRDefault="005E4C4F"/>
    <w:p w:rsidR="005E4C4F" w:rsidRDefault="005E4C4F"/>
    <w:p w:rsidR="00FF768F" w:rsidRDefault="00FF768F">
      <w:r>
        <w:br w:type="page"/>
      </w:r>
    </w:p>
    <w:p w:rsidR="00FF768F" w:rsidRPr="007F6F24" w:rsidRDefault="00FF768F" w:rsidP="00845557">
      <w:pPr>
        <w:pStyle w:val="Heading2"/>
        <w:tabs>
          <w:tab w:val="clear" w:pos="567"/>
          <w:tab w:val="clear" w:pos="9072"/>
        </w:tabs>
        <w:spacing w:before="240" w:after="60"/>
        <w:ind w:left="1985" w:hanging="1985"/>
        <w:rPr>
          <w:rFonts w:eastAsia="SimSun"/>
          <w:bCs w:val="0"/>
          <w:caps/>
          <w:szCs w:val="22"/>
          <w:lang w:eastAsia="zh-CN"/>
        </w:rPr>
      </w:pPr>
      <w:bookmarkStart w:id="96" w:name="_Toc421180448"/>
      <w:bookmarkStart w:id="97" w:name="_Toc422210515"/>
      <w:r w:rsidRPr="007F6F24">
        <w:rPr>
          <w:rFonts w:eastAsia="SimSun"/>
          <w:bCs w:val="0"/>
          <w:caps/>
          <w:szCs w:val="22"/>
          <w:lang w:eastAsia="zh-CN"/>
        </w:rPr>
        <w:lastRenderedPageBreak/>
        <w:t>PROGRAM 26</w:t>
      </w:r>
      <w:r w:rsidRPr="007F6F24">
        <w:rPr>
          <w:rFonts w:eastAsia="SimSun"/>
          <w:bCs w:val="0"/>
          <w:caps/>
          <w:szCs w:val="22"/>
          <w:lang w:eastAsia="zh-CN"/>
        </w:rPr>
        <w:tab/>
        <w:t>INTERNAL OVERSIGHT</w:t>
      </w:r>
      <w:bookmarkEnd w:id="96"/>
      <w:bookmarkEnd w:id="97"/>
    </w:p>
    <w:p w:rsidR="00FF768F" w:rsidRPr="00C3328E" w:rsidRDefault="00FF768F" w:rsidP="00845557">
      <w:pPr>
        <w:tabs>
          <w:tab w:val="left" w:pos="1985"/>
        </w:tabs>
        <w:rPr>
          <w:szCs w:val="20"/>
        </w:rPr>
      </w:pPr>
    </w:p>
    <w:p w:rsidR="00FF768F" w:rsidRPr="00C3328E" w:rsidRDefault="00FF768F" w:rsidP="00E023E5">
      <w:pPr>
        <w:tabs>
          <w:tab w:val="left" w:pos="1985"/>
        </w:tabs>
        <w:rPr>
          <w:b/>
          <w:szCs w:val="20"/>
        </w:rPr>
      </w:pPr>
      <w:r w:rsidRPr="00C3328E">
        <w:rPr>
          <w:b/>
          <w:szCs w:val="20"/>
        </w:rPr>
        <w:t>Program Manager</w:t>
      </w:r>
      <w:r>
        <w:rPr>
          <w:b/>
          <w:szCs w:val="20"/>
        </w:rPr>
        <w:tab/>
      </w:r>
      <w:r w:rsidRPr="00544CDC">
        <w:rPr>
          <w:b/>
          <w:szCs w:val="20"/>
        </w:rPr>
        <w:t xml:space="preserve">Mr. </w:t>
      </w:r>
      <w:r>
        <w:rPr>
          <w:b/>
          <w:szCs w:val="20"/>
        </w:rPr>
        <w:t>T. Efendioglu (Acting Director IOD)</w:t>
      </w:r>
    </w:p>
    <w:p w:rsidR="00FF768F" w:rsidRPr="00C3328E" w:rsidRDefault="00FF768F" w:rsidP="000E148D">
      <w:pPr>
        <w:rPr>
          <w:szCs w:val="20"/>
        </w:rPr>
      </w:pPr>
    </w:p>
    <w:p w:rsidR="00FF768F" w:rsidRPr="00C3328E" w:rsidRDefault="00FF768F" w:rsidP="000E148D">
      <w:pPr>
        <w:rPr>
          <w:szCs w:val="20"/>
        </w:rPr>
      </w:pPr>
    </w:p>
    <w:p w:rsidR="00FF768F" w:rsidRPr="00544CDC" w:rsidRDefault="00FF768F" w:rsidP="000E148D">
      <w:pPr>
        <w:rPr>
          <w:bCs/>
          <w:sz w:val="22"/>
          <w:szCs w:val="20"/>
        </w:rPr>
      </w:pPr>
      <w:r w:rsidRPr="00544CDC">
        <w:rPr>
          <w:bCs/>
          <w:sz w:val="22"/>
          <w:szCs w:val="20"/>
        </w:rPr>
        <w:t>OVERVIEW OF PROGRESS IN 2014</w:t>
      </w:r>
    </w:p>
    <w:p w:rsidR="00FF768F" w:rsidRPr="00C3328E" w:rsidRDefault="00FF768F" w:rsidP="000E148D">
      <w:pPr>
        <w:rPr>
          <w:szCs w:val="20"/>
        </w:rPr>
      </w:pPr>
    </w:p>
    <w:p w:rsidR="00FF768F" w:rsidRPr="000F4AFC" w:rsidRDefault="00FF768F" w:rsidP="00520CAA">
      <w:pPr>
        <w:pStyle w:val="ListParagraph"/>
        <w:numPr>
          <w:ilvl w:val="0"/>
          <w:numId w:val="3"/>
        </w:numPr>
        <w:ind w:left="0" w:firstLine="0"/>
        <w:jc w:val="both"/>
        <w:rPr>
          <w:rFonts w:cs="Arial"/>
        </w:rPr>
      </w:pPr>
      <w:r w:rsidRPr="000F4AFC">
        <w:rPr>
          <w:rFonts w:cs="Arial"/>
        </w:rPr>
        <w:t>The Internal Oversight Division (IOD) went through two successful external quality assessments (EQAs) of its audit and evaluation functions in 2014.  The internal audit function</w:t>
      </w:r>
      <w:r>
        <w:rPr>
          <w:rStyle w:val="FootnoteReference"/>
          <w:rFonts w:cs="Arial"/>
        </w:rPr>
        <w:footnoteReference w:id="61"/>
      </w:r>
      <w:r w:rsidRPr="000F4AFC">
        <w:rPr>
          <w:rFonts w:cs="Arial"/>
        </w:rPr>
        <w:t xml:space="preserve"> was found to </w:t>
      </w:r>
      <w:r>
        <w:rPr>
          <w:rFonts w:cs="Arial"/>
        </w:rPr>
        <w:t>be</w:t>
      </w:r>
      <w:r>
        <w:t xml:space="preserve"> generally in conformance with the </w:t>
      </w:r>
      <w:r>
        <w:rPr>
          <w:i/>
          <w:iCs/>
        </w:rPr>
        <w:t>Standards</w:t>
      </w:r>
      <w:r>
        <w:t>, the IIA Code of Ethics, and the Definition of Internal Auditing</w:t>
      </w:r>
      <w:r w:rsidRPr="000F4AFC">
        <w:rPr>
          <w:rFonts w:cs="Arial"/>
        </w:rPr>
        <w:t>, the highest possible rating.  The review of the evaluation function concluded that it was generally consistent with UNEG norms and standards.</w:t>
      </w:r>
    </w:p>
    <w:p w:rsidR="00FF768F" w:rsidRPr="00C3328E" w:rsidRDefault="00FF768F" w:rsidP="00E023E5">
      <w:pPr>
        <w:tabs>
          <w:tab w:val="left" w:pos="709"/>
        </w:tabs>
        <w:jc w:val="both"/>
        <w:rPr>
          <w:rFonts w:cs="Arial"/>
          <w:szCs w:val="20"/>
        </w:rPr>
      </w:pPr>
    </w:p>
    <w:p w:rsidR="00FF768F" w:rsidRPr="000F4AFC" w:rsidRDefault="00FF768F" w:rsidP="00520CAA">
      <w:pPr>
        <w:pStyle w:val="ListParagraph"/>
        <w:numPr>
          <w:ilvl w:val="0"/>
          <w:numId w:val="3"/>
        </w:numPr>
        <w:ind w:left="0" w:firstLine="0"/>
        <w:jc w:val="both"/>
        <w:rPr>
          <w:rFonts w:cs="Arial"/>
        </w:rPr>
      </w:pPr>
      <w:r w:rsidRPr="000F4AFC">
        <w:rPr>
          <w:rFonts w:cs="Arial"/>
        </w:rPr>
        <w:t xml:space="preserve">IOD also contributed to the revision of WIPO’s Internal Oversight Charter, which was approved by the General Assembly on September 30, 2014.  The revision resulted in: </w:t>
      </w:r>
      <w:r>
        <w:rPr>
          <w:rFonts w:cs="Arial"/>
        </w:rPr>
        <w:t xml:space="preserve"> </w:t>
      </w:r>
      <w:r w:rsidRPr="000F4AFC">
        <w:rPr>
          <w:rFonts w:cs="Arial"/>
        </w:rPr>
        <w:t>(</w:t>
      </w:r>
      <w:proofErr w:type="spellStart"/>
      <w:r w:rsidRPr="000F4AFC">
        <w:rPr>
          <w:rFonts w:cs="Arial"/>
        </w:rPr>
        <w:t>i</w:t>
      </w:r>
      <w:proofErr w:type="spellEnd"/>
      <w:r w:rsidRPr="000F4AFC">
        <w:rPr>
          <w:rFonts w:cs="Arial"/>
        </w:rPr>
        <w:t>) change of the name of the “Internal Audit and Oversight Division” to “Internal Oversight Division (IOD)”</w:t>
      </w:r>
      <w:proofErr w:type="gramStart"/>
      <w:r w:rsidRPr="000F4AFC">
        <w:rPr>
          <w:rFonts w:cs="Arial"/>
        </w:rPr>
        <w:t xml:space="preserve">; </w:t>
      </w:r>
      <w:r>
        <w:rPr>
          <w:rFonts w:cs="Arial"/>
        </w:rPr>
        <w:t xml:space="preserve"> </w:t>
      </w:r>
      <w:r w:rsidRPr="000F4AFC">
        <w:rPr>
          <w:rFonts w:cs="Arial"/>
        </w:rPr>
        <w:t>(</w:t>
      </w:r>
      <w:proofErr w:type="gramEnd"/>
      <w:r w:rsidRPr="000F4AFC">
        <w:rPr>
          <w:rFonts w:cs="Arial"/>
        </w:rPr>
        <w:t xml:space="preserve">ii) </w:t>
      </w:r>
      <w:r>
        <w:rPr>
          <w:rFonts w:cs="Arial"/>
        </w:rPr>
        <w:t>I</w:t>
      </w:r>
      <w:r w:rsidRPr="000F4AFC">
        <w:rPr>
          <w:rFonts w:cs="Arial"/>
        </w:rPr>
        <w:t xml:space="preserve">nternational </w:t>
      </w:r>
      <w:r>
        <w:rPr>
          <w:rFonts w:cs="Arial"/>
        </w:rPr>
        <w:t>S</w:t>
      </w:r>
      <w:r w:rsidRPr="000F4AFC">
        <w:rPr>
          <w:rFonts w:cs="Arial"/>
        </w:rPr>
        <w:t>tandards</w:t>
      </w:r>
      <w:r>
        <w:rPr>
          <w:rFonts w:cs="Arial"/>
        </w:rPr>
        <w:t>/UN Guidelines and Norms</w:t>
      </w:r>
      <w:r w:rsidRPr="000F4AFC">
        <w:rPr>
          <w:rFonts w:cs="Arial"/>
        </w:rPr>
        <w:t xml:space="preserve"> became mandatory</w:t>
      </w:r>
      <w:r w:rsidRPr="00230FA4">
        <w:rPr>
          <w:rFonts w:cs="Arial"/>
        </w:rPr>
        <w:t xml:space="preserve"> </w:t>
      </w:r>
      <w:r w:rsidRPr="000F4AFC">
        <w:rPr>
          <w:rFonts w:cs="Arial"/>
        </w:rPr>
        <w:t xml:space="preserve">for internal audit, evaluation and investigation; </w:t>
      </w:r>
      <w:r>
        <w:rPr>
          <w:rFonts w:cs="Arial"/>
        </w:rPr>
        <w:t xml:space="preserve"> </w:t>
      </w:r>
      <w:r w:rsidRPr="000F4AFC">
        <w:rPr>
          <w:rFonts w:cs="Arial"/>
        </w:rPr>
        <w:t xml:space="preserve">(iii) greater involvement of the Independent Advisory Oversight Committee (IAOC) in the preparation of IOD’s work plan;  and (iv) the public </w:t>
      </w:r>
      <w:r>
        <w:rPr>
          <w:rFonts w:cs="Arial"/>
        </w:rPr>
        <w:t>disclosure of</w:t>
      </w:r>
      <w:r w:rsidRPr="000F4AFC">
        <w:rPr>
          <w:rFonts w:cs="Arial"/>
        </w:rPr>
        <w:t xml:space="preserve">  internal audit</w:t>
      </w:r>
      <w:r>
        <w:rPr>
          <w:rFonts w:cs="Arial"/>
        </w:rPr>
        <w:t>,</w:t>
      </w:r>
      <w:r w:rsidRPr="000F4AFC">
        <w:rPr>
          <w:rFonts w:cs="Arial"/>
        </w:rPr>
        <w:t xml:space="preserve"> evaluation </w:t>
      </w:r>
      <w:r>
        <w:rPr>
          <w:rFonts w:cs="Arial"/>
        </w:rPr>
        <w:t xml:space="preserve">and management implication </w:t>
      </w:r>
      <w:r w:rsidRPr="000F4AFC">
        <w:rPr>
          <w:rFonts w:cs="Arial"/>
        </w:rPr>
        <w:t>reports.  WIPO is the first UN specialized agency to approve such a practice, which is now common in the UN Secretariat, its Funds and Programs.  The first IOD report was available online at the end of 2014; additional IOD reports will be made available in</w:t>
      </w:r>
      <w:r>
        <w:rPr>
          <w:rFonts w:cs="Arial"/>
        </w:rPr>
        <w:t> </w:t>
      </w:r>
      <w:r w:rsidRPr="000F4AFC">
        <w:rPr>
          <w:rFonts w:cs="Arial"/>
        </w:rPr>
        <w:t>2015.</w:t>
      </w:r>
    </w:p>
    <w:p w:rsidR="00FF768F" w:rsidRPr="00C3328E" w:rsidRDefault="00FF768F" w:rsidP="00E023E5">
      <w:pPr>
        <w:tabs>
          <w:tab w:val="left" w:pos="709"/>
        </w:tabs>
        <w:jc w:val="both"/>
        <w:rPr>
          <w:rFonts w:cs="Arial"/>
          <w:szCs w:val="20"/>
        </w:rPr>
      </w:pPr>
    </w:p>
    <w:p w:rsidR="00FF768F" w:rsidRPr="000F4AFC" w:rsidRDefault="00FF768F" w:rsidP="00520CAA">
      <w:pPr>
        <w:pStyle w:val="ListParagraph"/>
        <w:numPr>
          <w:ilvl w:val="0"/>
          <w:numId w:val="3"/>
        </w:numPr>
        <w:ind w:left="0" w:firstLine="0"/>
        <w:jc w:val="both"/>
        <w:rPr>
          <w:rFonts w:cs="Arial"/>
        </w:rPr>
      </w:pPr>
      <w:r w:rsidRPr="000F4AFC">
        <w:rPr>
          <w:rFonts w:cs="Arial"/>
        </w:rPr>
        <w:t>IOD issued six audit reports, three evaluation reports and the validation of the end-biennial PPR</w:t>
      </w:r>
      <w:r>
        <w:rPr>
          <w:rFonts w:cs="Arial"/>
        </w:rPr>
        <w:t> </w:t>
      </w:r>
      <w:r w:rsidRPr="000F4AFC">
        <w:rPr>
          <w:rFonts w:cs="Arial"/>
        </w:rPr>
        <w:t>2012/13 (WO/PBC/22/9), with a total of 74 recommendations for improvements.  IOD’s Oversight Plan was developed using IOD’s risk assessment methodology taking into account WIPO’s operational entities and relevant business processes, as well as inputs received from Member States, the IAOC, Senior Management and the External Auditor.  Audit and evaluation activities covered various program and project management areas, including results based management, data management, information security, knowledge management and events management in the Organization.</w:t>
      </w:r>
    </w:p>
    <w:p w:rsidR="00FF768F" w:rsidRPr="00C3328E" w:rsidRDefault="00FF768F" w:rsidP="00E023E5">
      <w:pPr>
        <w:tabs>
          <w:tab w:val="left" w:pos="709"/>
        </w:tabs>
        <w:jc w:val="both"/>
        <w:rPr>
          <w:rFonts w:cs="Arial"/>
          <w:szCs w:val="20"/>
        </w:rPr>
      </w:pPr>
    </w:p>
    <w:p w:rsidR="00FF768F" w:rsidRPr="000F4AFC" w:rsidRDefault="00FF768F" w:rsidP="00520CAA">
      <w:pPr>
        <w:pStyle w:val="ListParagraph"/>
        <w:numPr>
          <w:ilvl w:val="0"/>
          <w:numId w:val="3"/>
        </w:numPr>
        <w:ind w:left="0" w:firstLine="0"/>
        <w:jc w:val="both"/>
        <w:rPr>
          <w:rFonts w:cs="Arial"/>
        </w:rPr>
      </w:pPr>
      <w:r w:rsidRPr="000F4AFC">
        <w:rPr>
          <w:rFonts w:cs="Arial"/>
        </w:rPr>
        <w:t>IOD registered 21 cases for investigative activities and closed 19 in 2014.  On average, all cases were closed within the timeframe set by the WIPO’s Investigation Policy.  More than 50 per cent of the cases dealt with harassment, statements/activities incompatible with the obligations of an international civil servant and fraud on benefits/entitlements.</w:t>
      </w:r>
    </w:p>
    <w:p w:rsidR="00FF768F" w:rsidRPr="00C3328E" w:rsidRDefault="00FF768F" w:rsidP="00E023E5">
      <w:pPr>
        <w:tabs>
          <w:tab w:val="left" w:pos="709"/>
        </w:tabs>
        <w:jc w:val="both"/>
        <w:rPr>
          <w:rFonts w:cs="Arial"/>
          <w:szCs w:val="20"/>
        </w:rPr>
      </w:pPr>
    </w:p>
    <w:p w:rsidR="00FF768F" w:rsidRPr="000F4AFC" w:rsidRDefault="00FF768F" w:rsidP="00520CAA">
      <w:pPr>
        <w:pStyle w:val="ListParagraph"/>
        <w:numPr>
          <w:ilvl w:val="0"/>
          <w:numId w:val="3"/>
        </w:numPr>
        <w:ind w:left="0" w:firstLine="0"/>
        <w:jc w:val="both"/>
        <w:rPr>
          <w:rFonts w:cs="Arial"/>
        </w:rPr>
      </w:pPr>
      <w:r w:rsidRPr="000F4AFC">
        <w:rPr>
          <w:rFonts w:cs="Arial"/>
        </w:rPr>
        <w:t xml:space="preserve">To </w:t>
      </w:r>
      <w:r>
        <w:rPr>
          <w:rFonts w:cs="Arial"/>
        </w:rPr>
        <w:t>gain a better</w:t>
      </w:r>
      <w:r w:rsidRPr="000F4AFC">
        <w:rPr>
          <w:rFonts w:cs="Arial"/>
        </w:rPr>
        <w:t xml:space="preserve"> understand</w:t>
      </w:r>
      <w:r>
        <w:rPr>
          <w:rFonts w:cs="Arial"/>
        </w:rPr>
        <w:t>ing of</w:t>
      </w:r>
      <w:r w:rsidRPr="000F4AFC">
        <w:rPr>
          <w:rFonts w:cs="Arial"/>
        </w:rPr>
        <w:t xml:space="preserve"> expectations from colleagues and obtain their feedback on oversight work, IOD continued to use client satisfaction surveys that were originally launched in 2013.  Such surveys, which reflected an 84 per cent average satisfaction rate, </w:t>
      </w:r>
      <w:r>
        <w:rPr>
          <w:rFonts w:cs="Arial"/>
        </w:rPr>
        <w:t>enabled</w:t>
      </w:r>
      <w:r w:rsidRPr="000F4AFC">
        <w:rPr>
          <w:rFonts w:cs="Arial"/>
        </w:rPr>
        <w:t xml:space="preserve"> IOD to better measure stakeholders’ expectations of its performance and identify areas for improvement.</w:t>
      </w:r>
    </w:p>
    <w:p w:rsidR="00FF768F" w:rsidRPr="00C3328E" w:rsidRDefault="00FF768F" w:rsidP="00E023E5">
      <w:pPr>
        <w:tabs>
          <w:tab w:val="left" w:pos="709"/>
        </w:tabs>
        <w:jc w:val="both"/>
        <w:rPr>
          <w:rFonts w:cs="Arial"/>
          <w:szCs w:val="20"/>
        </w:rPr>
      </w:pPr>
    </w:p>
    <w:p w:rsidR="00FF768F" w:rsidRPr="000F4AFC" w:rsidRDefault="00FF768F" w:rsidP="00520CAA">
      <w:pPr>
        <w:pStyle w:val="ListParagraph"/>
        <w:numPr>
          <w:ilvl w:val="0"/>
          <w:numId w:val="3"/>
        </w:numPr>
        <w:ind w:left="0" w:firstLine="0"/>
        <w:jc w:val="both"/>
        <w:rPr>
          <w:rFonts w:cs="Arial"/>
        </w:rPr>
      </w:pPr>
      <w:r w:rsidRPr="000F4AFC">
        <w:rPr>
          <w:rFonts w:cs="Arial"/>
        </w:rPr>
        <w:t xml:space="preserve">In 2014, IOD continued to reach out to staff, management and Member States through various presentations and the issuance of two Newsletters.  IOD also organized the annual meeting of Heads of Internal Audit </w:t>
      </w:r>
      <w:proofErr w:type="gramStart"/>
      <w:r w:rsidRPr="000F4AFC">
        <w:rPr>
          <w:rFonts w:cs="Arial"/>
        </w:rPr>
        <w:t>in  Organizations</w:t>
      </w:r>
      <w:proofErr w:type="gramEnd"/>
      <w:r>
        <w:rPr>
          <w:rFonts w:cs="Arial"/>
        </w:rPr>
        <w:t xml:space="preserve"> based in Europe (HOIA)</w:t>
      </w:r>
      <w:r w:rsidRPr="000F4AFC">
        <w:rPr>
          <w:rFonts w:cs="Arial"/>
        </w:rPr>
        <w:t>.</w:t>
      </w:r>
    </w:p>
    <w:p w:rsidR="00FF768F" w:rsidRPr="00C3328E" w:rsidRDefault="00FF768F" w:rsidP="00E023E5">
      <w:pPr>
        <w:tabs>
          <w:tab w:val="left" w:pos="709"/>
        </w:tabs>
        <w:jc w:val="both"/>
        <w:rPr>
          <w:rFonts w:cs="Arial"/>
          <w:szCs w:val="20"/>
        </w:rPr>
      </w:pPr>
    </w:p>
    <w:p w:rsidR="00FF768F" w:rsidRPr="000F4AFC" w:rsidRDefault="00FF768F" w:rsidP="00520CAA">
      <w:pPr>
        <w:pStyle w:val="ListParagraph"/>
        <w:numPr>
          <w:ilvl w:val="0"/>
          <w:numId w:val="3"/>
        </w:numPr>
        <w:ind w:left="0" w:firstLine="0"/>
        <w:jc w:val="both"/>
        <w:rPr>
          <w:rFonts w:cs="Arial"/>
        </w:rPr>
      </w:pPr>
      <w:r w:rsidRPr="000F4AFC">
        <w:rPr>
          <w:rFonts w:cs="Arial"/>
        </w:rPr>
        <w:t xml:space="preserve">IOD followed up on previous years’ oversight recommendations to ensure effective follow-up by management confirming that 94 recommendations were closed in 2014.  </w:t>
      </w:r>
      <w:r>
        <w:rPr>
          <w:rFonts w:cs="Arial"/>
        </w:rPr>
        <w:t xml:space="preserve">IOD continued to provide </w:t>
      </w:r>
      <w:r w:rsidRPr="000F4AFC">
        <w:rPr>
          <w:rFonts w:cs="Arial"/>
        </w:rPr>
        <w:t xml:space="preserve">WIPO management </w:t>
      </w:r>
      <w:r>
        <w:rPr>
          <w:rFonts w:cs="Arial"/>
        </w:rPr>
        <w:t xml:space="preserve">with professional advice and feedback </w:t>
      </w:r>
      <w:r w:rsidRPr="000F4AFC">
        <w:rPr>
          <w:rFonts w:cs="Arial"/>
        </w:rPr>
        <w:t xml:space="preserve">on </w:t>
      </w:r>
      <w:r>
        <w:rPr>
          <w:rFonts w:cs="Arial"/>
        </w:rPr>
        <w:t xml:space="preserve">internal controls, risk management and </w:t>
      </w:r>
      <w:r w:rsidRPr="000F4AFC">
        <w:rPr>
          <w:rFonts w:cs="Arial"/>
        </w:rPr>
        <w:t>other issues such as drafting or revision of policies and the preparation of external reviews.</w:t>
      </w:r>
    </w:p>
    <w:p w:rsidR="00FF768F" w:rsidRPr="00C3328E" w:rsidRDefault="00FF768F" w:rsidP="00E023E5">
      <w:pPr>
        <w:tabs>
          <w:tab w:val="left" w:pos="709"/>
        </w:tabs>
        <w:jc w:val="both"/>
        <w:rPr>
          <w:rFonts w:cs="Arial"/>
          <w:szCs w:val="20"/>
        </w:rPr>
      </w:pPr>
    </w:p>
    <w:p w:rsidR="00FF768F" w:rsidRPr="000F4AFC" w:rsidRDefault="00FF768F" w:rsidP="00520CAA">
      <w:pPr>
        <w:pStyle w:val="ListParagraph"/>
        <w:numPr>
          <w:ilvl w:val="0"/>
          <w:numId w:val="3"/>
        </w:numPr>
        <w:ind w:left="0" w:firstLine="0"/>
        <w:jc w:val="both"/>
        <w:rPr>
          <w:rFonts w:cs="Arial"/>
        </w:rPr>
      </w:pPr>
      <w:r w:rsidRPr="000F4AFC">
        <w:rPr>
          <w:rFonts w:cs="Arial"/>
        </w:rPr>
        <w:t>IOD’s work continued to be closely reviewed by the IAOC.  IOD benefitted from the IAOC’s guidance in the implementation of its Oversight Plan.</w:t>
      </w:r>
    </w:p>
    <w:p w:rsidR="00FF768F" w:rsidRDefault="00FF768F" w:rsidP="00E023E5">
      <w:pPr>
        <w:spacing w:before="100" w:after="100"/>
        <w:rPr>
          <w:rFonts w:cs="Arial"/>
          <w:szCs w:val="20"/>
        </w:rPr>
      </w:pPr>
    </w:p>
    <w:p w:rsidR="00FF768F" w:rsidRDefault="00FF768F">
      <w:pPr>
        <w:rPr>
          <w:rFonts w:cs="Arial"/>
          <w:sz w:val="22"/>
          <w:szCs w:val="20"/>
        </w:rPr>
      </w:pPr>
      <w:r>
        <w:rPr>
          <w:rFonts w:cs="Arial"/>
          <w:sz w:val="22"/>
          <w:szCs w:val="20"/>
        </w:rPr>
        <w:br w:type="page"/>
      </w:r>
    </w:p>
    <w:p w:rsidR="00FF768F" w:rsidRPr="000F4AFC" w:rsidRDefault="00FF768F" w:rsidP="00E023E5">
      <w:pPr>
        <w:jc w:val="both"/>
        <w:rPr>
          <w:rFonts w:cs="Arial"/>
          <w:sz w:val="22"/>
          <w:szCs w:val="20"/>
        </w:rPr>
      </w:pPr>
      <w:r w:rsidRPr="000F4AFC">
        <w:rPr>
          <w:rFonts w:cs="Arial"/>
          <w:sz w:val="22"/>
          <w:szCs w:val="20"/>
        </w:rPr>
        <w:lastRenderedPageBreak/>
        <w:t>PERFORMANCE DATA</w:t>
      </w:r>
    </w:p>
    <w:p w:rsidR="00FF768F" w:rsidRPr="00C3328E" w:rsidRDefault="00FF768F" w:rsidP="00E023E5">
      <w:pPr>
        <w:jc w:val="both"/>
        <w:rPr>
          <w:rFonts w:cs="Arial"/>
          <w:szCs w:val="20"/>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0"/>
        <w:gridCol w:w="2126"/>
        <w:gridCol w:w="1841"/>
        <w:gridCol w:w="2268"/>
        <w:gridCol w:w="992"/>
      </w:tblGrid>
      <w:tr w:rsidR="00FF768F" w:rsidRPr="0020416E" w:rsidTr="00E023E5">
        <w:tc>
          <w:tcPr>
            <w:tcW w:w="5000" w:type="pct"/>
            <w:gridSpan w:val="5"/>
            <w:tcBorders>
              <w:top w:val="single" w:sz="4" w:space="0" w:color="auto"/>
              <w:bottom w:val="single" w:sz="4" w:space="0" w:color="auto"/>
            </w:tcBorders>
            <w:shd w:val="clear" w:color="auto" w:fill="CCFFFF"/>
            <w:vAlign w:val="center"/>
          </w:tcPr>
          <w:p w:rsidR="00FF768F" w:rsidRPr="0020416E" w:rsidRDefault="00FF768F" w:rsidP="00E023E5">
            <w:pPr>
              <w:keepNext/>
              <w:keepLines/>
              <w:tabs>
                <w:tab w:val="left" w:pos="1452"/>
              </w:tabs>
              <w:spacing w:before="120" w:after="120"/>
              <w:ind w:left="1452" w:hanging="1452"/>
              <w:rPr>
                <w:rFonts w:cs="Arial"/>
                <w:b/>
                <w:bCs/>
                <w:sz w:val="16"/>
                <w:szCs w:val="16"/>
              </w:rPr>
            </w:pPr>
            <w:r w:rsidRPr="0020416E">
              <w:rPr>
                <w:rFonts w:cs="Arial"/>
                <w:b/>
                <w:bCs/>
                <w:sz w:val="16"/>
                <w:szCs w:val="16"/>
              </w:rPr>
              <w:t>Expected Result:</w:t>
            </w:r>
            <w:r w:rsidRPr="0020416E">
              <w:rPr>
                <w:rFonts w:cs="Arial"/>
                <w:b/>
                <w:bCs/>
                <w:sz w:val="16"/>
                <w:szCs w:val="16"/>
              </w:rPr>
              <w:tab/>
            </w:r>
            <w:r w:rsidRPr="00C3328E">
              <w:rPr>
                <w:rFonts w:cs="Arial"/>
                <w:sz w:val="16"/>
                <w:szCs w:val="16"/>
                <w:lang w:bidi="th-TH"/>
              </w:rPr>
              <w:t>IX.8 Improved accountability, organizational learning, value for money, stewardship, internal control and corporate governance through assistance from effective and independent oversight</w:t>
            </w:r>
          </w:p>
        </w:tc>
      </w:tr>
      <w:tr w:rsidR="00FF768F" w:rsidRPr="0020416E" w:rsidTr="00F54CA4">
        <w:tc>
          <w:tcPr>
            <w:tcW w:w="1138" w:type="pct"/>
            <w:tcBorders>
              <w:top w:val="single" w:sz="4" w:space="0" w:color="auto"/>
              <w:left w:val="single" w:sz="4" w:space="0" w:color="auto"/>
              <w:bottom w:val="nil"/>
            </w:tcBorders>
            <w:shd w:val="clear" w:color="auto" w:fill="auto"/>
            <w:vAlign w:val="center"/>
          </w:tcPr>
          <w:p w:rsidR="00FF768F" w:rsidRPr="0020416E" w:rsidRDefault="00FF768F" w:rsidP="00E023E5">
            <w:pPr>
              <w:rPr>
                <w:rFonts w:cs="Arial"/>
                <w:sz w:val="16"/>
                <w:szCs w:val="16"/>
              </w:rPr>
            </w:pPr>
            <w:r w:rsidRPr="0020416E">
              <w:rPr>
                <w:rFonts w:cs="Arial"/>
                <w:b/>
                <w:bCs/>
                <w:sz w:val="16"/>
                <w:szCs w:val="16"/>
              </w:rPr>
              <w:t>Performance Indicators</w:t>
            </w:r>
          </w:p>
        </w:tc>
        <w:tc>
          <w:tcPr>
            <w:tcW w:w="1136" w:type="pct"/>
            <w:tcBorders>
              <w:top w:val="single" w:sz="4" w:space="0" w:color="auto"/>
              <w:bottom w:val="nil"/>
            </w:tcBorders>
            <w:shd w:val="clear" w:color="auto" w:fill="auto"/>
            <w:vAlign w:val="center"/>
          </w:tcPr>
          <w:p w:rsidR="00FF768F" w:rsidRPr="0020416E" w:rsidRDefault="00FF768F" w:rsidP="00E023E5">
            <w:pPr>
              <w:rPr>
                <w:rFonts w:cs="Arial"/>
                <w:b/>
                <w:bCs/>
                <w:sz w:val="16"/>
                <w:szCs w:val="16"/>
              </w:rPr>
            </w:pPr>
            <w:r w:rsidRPr="0020416E">
              <w:rPr>
                <w:rFonts w:cs="Arial"/>
                <w:b/>
                <w:bCs/>
                <w:sz w:val="16"/>
                <w:szCs w:val="16"/>
              </w:rPr>
              <w:t>Baselines</w:t>
            </w:r>
          </w:p>
        </w:tc>
        <w:tc>
          <w:tcPr>
            <w:tcW w:w="984" w:type="pct"/>
            <w:tcBorders>
              <w:top w:val="single" w:sz="4" w:space="0" w:color="auto"/>
              <w:bottom w:val="nil"/>
            </w:tcBorders>
            <w:shd w:val="clear" w:color="auto" w:fill="auto"/>
            <w:tcMar>
              <w:top w:w="110" w:type="dxa"/>
            </w:tcMar>
            <w:vAlign w:val="center"/>
          </w:tcPr>
          <w:p w:rsidR="00FF768F" w:rsidRPr="0020416E" w:rsidRDefault="00FF768F" w:rsidP="00E023E5">
            <w:pPr>
              <w:rPr>
                <w:rFonts w:cs="Arial"/>
                <w:b/>
                <w:sz w:val="16"/>
                <w:szCs w:val="16"/>
              </w:rPr>
            </w:pPr>
            <w:r w:rsidRPr="0020416E">
              <w:rPr>
                <w:rFonts w:cs="Arial"/>
                <w:b/>
                <w:sz w:val="16"/>
                <w:szCs w:val="16"/>
              </w:rPr>
              <w:t>Targets</w:t>
            </w:r>
          </w:p>
        </w:tc>
        <w:tc>
          <w:tcPr>
            <w:tcW w:w="1212" w:type="pct"/>
            <w:tcBorders>
              <w:top w:val="single" w:sz="4" w:space="0" w:color="auto"/>
              <w:bottom w:val="nil"/>
            </w:tcBorders>
            <w:shd w:val="clear" w:color="auto" w:fill="FFFFFF"/>
            <w:tcMar>
              <w:top w:w="110" w:type="dxa"/>
            </w:tcMar>
            <w:vAlign w:val="center"/>
          </w:tcPr>
          <w:p w:rsidR="00FF768F" w:rsidRPr="0020416E" w:rsidRDefault="00FF768F" w:rsidP="00E023E5">
            <w:pPr>
              <w:rPr>
                <w:rFonts w:cs="Arial"/>
                <w:sz w:val="16"/>
                <w:szCs w:val="16"/>
              </w:rPr>
            </w:pPr>
            <w:r w:rsidRPr="0020416E">
              <w:rPr>
                <w:rFonts w:cs="Arial"/>
                <w:b/>
                <w:bCs/>
                <w:sz w:val="16"/>
                <w:szCs w:val="16"/>
              </w:rPr>
              <w:t>Performance Data</w:t>
            </w:r>
          </w:p>
        </w:tc>
        <w:tc>
          <w:tcPr>
            <w:tcW w:w="531" w:type="pct"/>
            <w:tcBorders>
              <w:top w:val="single" w:sz="4" w:space="0" w:color="auto"/>
              <w:bottom w:val="nil"/>
              <w:right w:val="single" w:sz="4" w:space="0" w:color="auto"/>
            </w:tcBorders>
            <w:shd w:val="clear" w:color="auto" w:fill="auto"/>
            <w:tcMar>
              <w:top w:w="110" w:type="dxa"/>
            </w:tcMar>
            <w:vAlign w:val="center"/>
          </w:tcPr>
          <w:p w:rsidR="00FF768F" w:rsidRPr="0020416E" w:rsidRDefault="00FF768F" w:rsidP="00E023E5">
            <w:pPr>
              <w:keepNext/>
              <w:keepLines/>
              <w:jc w:val="center"/>
              <w:rPr>
                <w:rFonts w:cs="Arial"/>
                <w:b/>
                <w:bCs/>
                <w:sz w:val="16"/>
                <w:szCs w:val="16"/>
              </w:rPr>
            </w:pPr>
            <w:r w:rsidRPr="0020416E">
              <w:rPr>
                <w:rFonts w:cs="Arial"/>
                <w:b/>
                <w:bCs/>
                <w:sz w:val="16"/>
                <w:szCs w:val="16"/>
              </w:rPr>
              <w:t>TLS</w:t>
            </w:r>
          </w:p>
        </w:tc>
      </w:tr>
      <w:tr w:rsidR="00FF768F" w:rsidRPr="0020416E" w:rsidTr="00F54CA4">
        <w:tc>
          <w:tcPr>
            <w:tcW w:w="1138" w:type="pct"/>
            <w:tcBorders>
              <w:top w:val="nil"/>
              <w:left w:val="single" w:sz="4" w:space="0" w:color="auto"/>
              <w:bottom w:val="nil"/>
            </w:tcBorders>
            <w:shd w:val="clear" w:color="auto" w:fill="auto"/>
          </w:tcPr>
          <w:p w:rsidR="00FF768F" w:rsidRPr="0020416E" w:rsidRDefault="00FF768F" w:rsidP="00E023E5">
            <w:pPr>
              <w:keepNext/>
              <w:keepLines/>
              <w:rPr>
                <w:rFonts w:cs="Arial"/>
                <w:sz w:val="16"/>
                <w:szCs w:val="16"/>
                <w:lang w:bidi="th-TH"/>
              </w:rPr>
            </w:pPr>
            <w:r w:rsidRPr="00C3328E">
              <w:rPr>
                <w:rFonts w:cs="Arial"/>
                <w:sz w:val="16"/>
                <w:szCs w:val="16"/>
                <w:lang w:bidi="th-TH"/>
              </w:rPr>
              <w:t>No</w:t>
            </w:r>
            <w:r>
              <w:rPr>
                <w:rFonts w:cs="Arial"/>
                <w:sz w:val="16"/>
                <w:szCs w:val="16"/>
                <w:lang w:bidi="th-TH"/>
              </w:rPr>
              <w:t xml:space="preserve"> </w:t>
            </w:r>
            <w:r w:rsidRPr="00C3328E">
              <w:rPr>
                <w:rFonts w:cs="Arial"/>
                <w:sz w:val="16"/>
                <w:szCs w:val="16"/>
                <w:lang w:bidi="th-TH"/>
              </w:rPr>
              <w:t>interference and perceived independence by key stakeholders</w:t>
            </w:r>
          </w:p>
        </w:tc>
        <w:tc>
          <w:tcPr>
            <w:tcW w:w="1136" w:type="pct"/>
            <w:tcBorders>
              <w:top w:val="nil"/>
              <w:bottom w:val="nil"/>
            </w:tcBorders>
            <w:shd w:val="clear" w:color="auto" w:fill="auto"/>
          </w:tcPr>
          <w:p w:rsidR="00FF768F" w:rsidRPr="0020416E" w:rsidRDefault="00FF768F" w:rsidP="00E023E5">
            <w:pPr>
              <w:keepNext/>
              <w:keepLines/>
              <w:rPr>
                <w:rFonts w:cs="Arial"/>
                <w:i/>
                <w:color w:val="002060"/>
                <w:sz w:val="16"/>
                <w:szCs w:val="16"/>
              </w:rPr>
            </w:pPr>
            <w:r>
              <w:rPr>
                <w:rFonts w:cs="Arial"/>
                <w:i/>
                <w:color w:val="002060"/>
                <w:sz w:val="16"/>
                <w:szCs w:val="16"/>
              </w:rPr>
              <w:t>Updated Baseline end 2013</w:t>
            </w:r>
            <w:r w:rsidRPr="0020416E">
              <w:rPr>
                <w:rFonts w:cs="Arial"/>
                <w:i/>
                <w:color w:val="002060"/>
                <w:sz w:val="16"/>
                <w:szCs w:val="16"/>
              </w:rPr>
              <w:t xml:space="preserve">:  </w:t>
            </w:r>
            <w:r w:rsidRPr="00C3328E">
              <w:rPr>
                <w:rFonts w:cs="Arial"/>
                <w:sz w:val="16"/>
                <w:szCs w:val="16"/>
                <w:lang w:bidi="th-TH"/>
              </w:rPr>
              <w:t>No interference in IOD's work</w:t>
            </w:r>
          </w:p>
          <w:p w:rsidR="00FF768F" w:rsidRPr="0020416E" w:rsidRDefault="00FF768F" w:rsidP="00E023E5">
            <w:pPr>
              <w:keepNext/>
              <w:keepLines/>
              <w:rPr>
                <w:rFonts w:cs="Arial"/>
                <w:i/>
                <w:color w:val="002060"/>
                <w:sz w:val="8"/>
                <w:szCs w:val="8"/>
              </w:rPr>
            </w:pPr>
          </w:p>
          <w:p w:rsidR="00FF768F" w:rsidRPr="0020416E" w:rsidRDefault="00FF768F" w:rsidP="00E023E5">
            <w:pPr>
              <w:keepNext/>
              <w:keepLines/>
              <w:rPr>
                <w:rFonts w:cs="Arial"/>
                <w:sz w:val="16"/>
                <w:szCs w:val="16"/>
                <w:lang w:bidi="th-TH"/>
              </w:rPr>
            </w:pPr>
            <w:r>
              <w:rPr>
                <w:rFonts w:cs="Arial"/>
                <w:i/>
                <w:sz w:val="16"/>
                <w:szCs w:val="16"/>
              </w:rPr>
              <w:t>Original Baseline P&amp;B 2014/15</w:t>
            </w:r>
            <w:r w:rsidRPr="0020416E">
              <w:rPr>
                <w:rFonts w:cs="Arial"/>
                <w:i/>
                <w:sz w:val="16"/>
                <w:szCs w:val="16"/>
              </w:rPr>
              <w:t>:</w:t>
            </w:r>
            <w:r w:rsidRPr="0020416E">
              <w:rPr>
                <w:rFonts w:cs="Arial"/>
                <w:sz w:val="16"/>
                <w:szCs w:val="16"/>
              </w:rPr>
              <w:br/>
            </w:r>
            <w:r w:rsidRPr="00C3328E">
              <w:rPr>
                <w:rFonts w:cs="Arial"/>
                <w:sz w:val="16"/>
                <w:szCs w:val="16"/>
                <w:lang w:bidi="th-TH"/>
              </w:rPr>
              <w:t>No interference in IOD's work</w:t>
            </w:r>
          </w:p>
        </w:tc>
        <w:tc>
          <w:tcPr>
            <w:tcW w:w="984" w:type="pct"/>
            <w:tcBorders>
              <w:top w:val="nil"/>
              <w:bottom w:val="nil"/>
            </w:tcBorders>
            <w:shd w:val="clear" w:color="auto" w:fill="auto"/>
            <w:tcMar>
              <w:top w:w="110" w:type="dxa"/>
            </w:tcMar>
          </w:tcPr>
          <w:p w:rsidR="00FF768F" w:rsidRPr="0020416E" w:rsidRDefault="00FF768F" w:rsidP="00E023E5">
            <w:pPr>
              <w:keepNext/>
              <w:keepLines/>
              <w:rPr>
                <w:rFonts w:cs="Arial"/>
                <w:sz w:val="16"/>
                <w:szCs w:val="16"/>
                <w:lang w:bidi="th-TH"/>
              </w:rPr>
            </w:pPr>
            <w:r w:rsidRPr="00C3328E">
              <w:rPr>
                <w:rFonts w:cs="Arial"/>
                <w:sz w:val="16"/>
                <w:szCs w:val="16"/>
              </w:rPr>
              <w:t>Full independence and perceived independence by key stakeholders (Clients/IAOC/MS)</w:t>
            </w:r>
          </w:p>
        </w:tc>
        <w:tc>
          <w:tcPr>
            <w:tcW w:w="1212" w:type="pct"/>
            <w:tcBorders>
              <w:top w:val="nil"/>
              <w:bottom w:val="nil"/>
            </w:tcBorders>
            <w:shd w:val="clear" w:color="auto" w:fill="FFFFFF"/>
            <w:tcMar>
              <w:top w:w="110" w:type="dxa"/>
            </w:tcMar>
          </w:tcPr>
          <w:p w:rsidR="00FF768F" w:rsidRPr="00776203" w:rsidRDefault="00FF768F" w:rsidP="00E023E5">
            <w:pPr>
              <w:rPr>
                <w:rFonts w:cs="Arial"/>
                <w:sz w:val="16"/>
                <w:szCs w:val="16"/>
                <w:lang w:bidi="th-TH"/>
              </w:rPr>
            </w:pPr>
            <w:r w:rsidRPr="00776203">
              <w:rPr>
                <w:rFonts w:cs="Arial"/>
                <w:sz w:val="16"/>
                <w:szCs w:val="16"/>
                <w:lang w:bidi="th-TH"/>
              </w:rPr>
              <w:t xml:space="preserve">No interference in IOD's work, as reflected in annual report WO/PBC/22/4. </w:t>
            </w:r>
          </w:p>
          <w:p w:rsidR="00FF768F" w:rsidRPr="00776203" w:rsidRDefault="00FF768F" w:rsidP="00E023E5">
            <w:pPr>
              <w:rPr>
                <w:rFonts w:cs="Arial"/>
                <w:sz w:val="16"/>
                <w:szCs w:val="16"/>
                <w:lang w:bidi="th-TH"/>
              </w:rPr>
            </w:pPr>
          </w:p>
          <w:p w:rsidR="00FF768F" w:rsidRPr="00776203" w:rsidRDefault="00FF768F" w:rsidP="00E023E5">
            <w:pPr>
              <w:rPr>
                <w:rFonts w:cs="Arial"/>
                <w:sz w:val="16"/>
                <w:szCs w:val="16"/>
                <w:lang w:bidi="th-TH"/>
              </w:rPr>
            </w:pPr>
            <w:r w:rsidRPr="00776203">
              <w:rPr>
                <w:rFonts w:cs="Arial"/>
                <w:sz w:val="16"/>
                <w:szCs w:val="16"/>
                <w:lang w:bidi="th-TH"/>
              </w:rPr>
              <w:t xml:space="preserve">Cases of perceived impaired independence referred to IAOC in accordance with para </w:t>
            </w:r>
            <w:r w:rsidRPr="00544CDC">
              <w:rPr>
                <w:rFonts w:cs="Arial"/>
                <w:sz w:val="16"/>
                <w:szCs w:val="16"/>
                <w:lang w:bidi="th-TH"/>
              </w:rPr>
              <w:t>18</w:t>
            </w:r>
            <w:r w:rsidRPr="00776203">
              <w:rPr>
                <w:rFonts w:cs="Arial"/>
                <w:sz w:val="16"/>
                <w:szCs w:val="16"/>
                <w:lang w:bidi="th-TH"/>
              </w:rPr>
              <w:t xml:space="preserve"> of the Charter.</w:t>
            </w:r>
          </w:p>
        </w:tc>
        <w:tc>
          <w:tcPr>
            <w:tcW w:w="531" w:type="pct"/>
            <w:tcBorders>
              <w:top w:val="nil"/>
              <w:bottom w:val="nil"/>
              <w:right w:val="single" w:sz="4" w:space="0" w:color="auto"/>
            </w:tcBorders>
            <w:shd w:val="clear" w:color="auto" w:fill="auto"/>
            <w:tcMar>
              <w:top w:w="110" w:type="dxa"/>
            </w:tcMar>
          </w:tcPr>
          <w:p w:rsidR="00FF768F" w:rsidRPr="00776203" w:rsidRDefault="00FF768F" w:rsidP="00E023E5">
            <w:pPr>
              <w:keepNext/>
              <w:keepLines/>
              <w:jc w:val="center"/>
              <w:rPr>
                <w:rFonts w:cs="Arial"/>
                <w:b/>
                <w:bCs/>
                <w:color w:val="00B050"/>
                <w:sz w:val="16"/>
                <w:szCs w:val="16"/>
              </w:rPr>
            </w:pPr>
            <w:r w:rsidRPr="00776203">
              <w:rPr>
                <w:rFonts w:cs="Arial"/>
                <w:b/>
                <w:bCs/>
                <w:color w:val="00B050"/>
                <w:sz w:val="16"/>
                <w:szCs w:val="16"/>
              </w:rPr>
              <w:t>On track</w:t>
            </w:r>
          </w:p>
          <w:p w:rsidR="00FF768F" w:rsidRPr="00776203" w:rsidRDefault="00FF768F" w:rsidP="00E023E5">
            <w:pPr>
              <w:keepNext/>
              <w:keepLines/>
              <w:jc w:val="center"/>
              <w:rPr>
                <w:rFonts w:cs="Arial"/>
                <w:b/>
                <w:bCs/>
                <w:color w:val="00B050"/>
                <w:sz w:val="16"/>
                <w:szCs w:val="16"/>
              </w:rPr>
            </w:pPr>
          </w:p>
          <w:p w:rsidR="00FF768F" w:rsidRPr="00776203" w:rsidRDefault="00FF768F" w:rsidP="00E023E5">
            <w:pPr>
              <w:keepNext/>
              <w:keepLines/>
              <w:jc w:val="center"/>
              <w:rPr>
                <w:rFonts w:cs="Arial"/>
                <w:b/>
                <w:bCs/>
                <w:color w:val="00B050"/>
                <w:sz w:val="16"/>
                <w:szCs w:val="16"/>
              </w:rPr>
            </w:pPr>
          </w:p>
          <w:p w:rsidR="00FF768F" w:rsidRPr="00776203" w:rsidRDefault="00FF768F" w:rsidP="00E023E5">
            <w:pPr>
              <w:keepNext/>
              <w:keepLines/>
              <w:jc w:val="center"/>
              <w:rPr>
                <w:rFonts w:cs="Arial"/>
                <w:b/>
                <w:bCs/>
                <w:color w:val="FF0000"/>
                <w:sz w:val="16"/>
                <w:szCs w:val="16"/>
              </w:rPr>
            </w:pPr>
          </w:p>
        </w:tc>
      </w:tr>
      <w:tr w:rsidR="00FF768F" w:rsidRPr="0020416E" w:rsidTr="00F54CA4">
        <w:tc>
          <w:tcPr>
            <w:tcW w:w="1138" w:type="pct"/>
            <w:tcBorders>
              <w:top w:val="nil"/>
              <w:left w:val="single" w:sz="4" w:space="0" w:color="auto"/>
              <w:bottom w:val="nil"/>
            </w:tcBorders>
            <w:shd w:val="clear" w:color="auto" w:fill="auto"/>
          </w:tcPr>
          <w:p w:rsidR="00FF768F" w:rsidRPr="00C3328E" w:rsidRDefault="00FF768F" w:rsidP="00E023E5">
            <w:pPr>
              <w:rPr>
                <w:rFonts w:cs="Arial"/>
                <w:sz w:val="16"/>
                <w:szCs w:val="16"/>
                <w:lang w:bidi="th-TH"/>
              </w:rPr>
            </w:pPr>
            <w:r w:rsidRPr="00C3328E">
              <w:rPr>
                <w:rFonts w:cs="Arial"/>
                <w:sz w:val="16"/>
                <w:szCs w:val="16"/>
                <w:lang w:bidi="th-TH"/>
              </w:rPr>
              <w:t xml:space="preserve">EFFECTIVENESS </w:t>
            </w:r>
          </w:p>
          <w:p w:rsidR="00FF768F" w:rsidRPr="0020416E" w:rsidRDefault="00FF768F" w:rsidP="00E023E5">
            <w:pPr>
              <w:rPr>
                <w:rFonts w:cs="Arial"/>
                <w:sz w:val="16"/>
                <w:szCs w:val="16"/>
                <w:lang w:bidi="th-TH"/>
              </w:rPr>
            </w:pPr>
            <w:r w:rsidRPr="00C3328E">
              <w:rPr>
                <w:rFonts w:cs="Arial"/>
                <w:sz w:val="16"/>
                <w:szCs w:val="16"/>
                <w:lang w:bidi="th-TH"/>
              </w:rPr>
              <w:t>% of work of I</w:t>
            </w:r>
            <w:r w:rsidR="00D75DD0">
              <w:rPr>
                <w:rFonts w:cs="Arial"/>
                <w:sz w:val="16"/>
                <w:szCs w:val="16"/>
                <w:lang w:bidi="th-TH"/>
              </w:rPr>
              <w:t>O</w:t>
            </w:r>
            <w:r w:rsidRPr="00C3328E">
              <w:rPr>
                <w:rFonts w:cs="Arial"/>
                <w:sz w:val="16"/>
                <w:szCs w:val="16"/>
                <w:lang w:bidi="th-TH"/>
              </w:rPr>
              <w:t>D which covers high risk/high relevance areas</w:t>
            </w:r>
          </w:p>
        </w:tc>
        <w:tc>
          <w:tcPr>
            <w:tcW w:w="1136" w:type="pct"/>
            <w:tcBorders>
              <w:top w:val="nil"/>
              <w:bottom w:val="nil"/>
            </w:tcBorders>
            <w:shd w:val="clear" w:color="auto" w:fill="auto"/>
          </w:tcPr>
          <w:p w:rsidR="00FF768F" w:rsidRPr="0020416E" w:rsidRDefault="00FF768F" w:rsidP="00E023E5">
            <w:pPr>
              <w:keepNext/>
              <w:keepLines/>
              <w:rPr>
                <w:rFonts w:cs="Arial"/>
                <w:i/>
                <w:color w:val="002060"/>
                <w:sz w:val="16"/>
                <w:szCs w:val="16"/>
              </w:rPr>
            </w:pPr>
            <w:r>
              <w:rPr>
                <w:rFonts w:cs="Arial"/>
                <w:i/>
                <w:color w:val="002060"/>
                <w:sz w:val="16"/>
                <w:szCs w:val="16"/>
              </w:rPr>
              <w:t>Updated Baseline end 2013</w:t>
            </w:r>
            <w:r w:rsidRPr="0020416E">
              <w:rPr>
                <w:rFonts w:cs="Arial"/>
                <w:i/>
                <w:color w:val="002060"/>
                <w:sz w:val="16"/>
                <w:szCs w:val="16"/>
              </w:rPr>
              <w:t xml:space="preserve">:  </w:t>
            </w:r>
            <w:r w:rsidRPr="00C3328E">
              <w:rPr>
                <w:rFonts w:cs="Arial"/>
                <w:sz w:val="16"/>
                <w:szCs w:val="16"/>
                <w:lang w:bidi="th-TH"/>
              </w:rPr>
              <w:t>All work (100%) covers  high risk/high relevance areas</w:t>
            </w:r>
          </w:p>
          <w:p w:rsidR="00FF768F" w:rsidRPr="0020416E" w:rsidRDefault="00FF768F" w:rsidP="00E023E5">
            <w:pPr>
              <w:keepNext/>
              <w:keepLines/>
              <w:rPr>
                <w:rFonts w:cs="Arial"/>
                <w:i/>
                <w:color w:val="002060"/>
                <w:sz w:val="8"/>
                <w:szCs w:val="8"/>
              </w:rPr>
            </w:pPr>
          </w:p>
          <w:p w:rsidR="00FF768F" w:rsidRPr="0020416E" w:rsidRDefault="00FF768F" w:rsidP="00E023E5">
            <w:pPr>
              <w:rPr>
                <w:rFonts w:cs="Arial"/>
                <w:sz w:val="16"/>
                <w:szCs w:val="16"/>
                <w:lang w:bidi="th-TH"/>
              </w:rPr>
            </w:pPr>
            <w:r>
              <w:rPr>
                <w:rFonts w:cs="Arial"/>
                <w:i/>
                <w:sz w:val="16"/>
                <w:szCs w:val="16"/>
              </w:rPr>
              <w:t>Original Baseline P&amp;B 2014/15</w:t>
            </w:r>
            <w:r w:rsidRPr="0020416E">
              <w:rPr>
                <w:rFonts w:cs="Arial"/>
                <w:i/>
                <w:sz w:val="16"/>
                <w:szCs w:val="16"/>
              </w:rPr>
              <w:t>:</w:t>
            </w:r>
            <w:r w:rsidRPr="0020416E">
              <w:rPr>
                <w:rFonts w:cs="Arial"/>
                <w:sz w:val="16"/>
                <w:szCs w:val="16"/>
              </w:rPr>
              <w:br/>
            </w:r>
            <w:r w:rsidRPr="00C3328E">
              <w:rPr>
                <w:rFonts w:cs="Arial"/>
                <w:sz w:val="16"/>
                <w:szCs w:val="16"/>
                <w:lang w:bidi="th-TH"/>
              </w:rPr>
              <w:t>All work (100%) covers  high risk/high relevance areas</w:t>
            </w:r>
          </w:p>
        </w:tc>
        <w:tc>
          <w:tcPr>
            <w:tcW w:w="984" w:type="pct"/>
            <w:tcBorders>
              <w:top w:val="nil"/>
              <w:bottom w:val="nil"/>
            </w:tcBorders>
            <w:shd w:val="clear" w:color="auto" w:fill="auto"/>
            <w:tcMar>
              <w:top w:w="110" w:type="dxa"/>
            </w:tcMar>
          </w:tcPr>
          <w:p w:rsidR="00FF768F" w:rsidRPr="0020416E" w:rsidRDefault="00FF768F" w:rsidP="00E023E5">
            <w:pPr>
              <w:rPr>
                <w:rFonts w:cs="Arial"/>
                <w:sz w:val="16"/>
                <w:szCs w:val="16"/>
                <w:lang w:bidi="th-TH"/>
              </w:rPr>
            </w:pPr>
            <w:r w:rsidRPr="00C3328E">
              <w:rPr>
                <w:rFonts w:cs="Arial"/>
                <w:sz w:val="16"/>
                <w:szCs w:val="16"/>
              </w:rPr>
              <w:t>All work (100%) covers  high risk/high relevance areas</w:t>
            </w:r>
          </w:p>
        </w:tc>
        <w:tc>
          <w:tcPr>
            <w:tcW w:w="1212" w:type="pct"/>
            <w:tcBorders>
              <w:top w:val="nil"/>
              <w:bottom w:val="nil"/>
            </w:tcBorders>
            <w:shd w:val="clear" w:color="auto" w:fill="FFFFFF"/>
            <w:tcMar>
              <w:top w:w="110" w:type="dxa"/>
            </w:tcMar>
          </w:tcPr>
          <w:p w:rsidR="00FF768F" w:rsidRPr="0020416E" w:rsidRDefault="00FF768F" w:rsidP="00E023E5">
            <w:pPr>
              <w:rPr>
                <w:rFonts w:cs="Arial"/>
                <w:sz w:val="16"/>
                <w:szCs w:val="16"/>
              </w:rPr>
            </w:pPr>
            <w:r w:rsidRPr="00C3328E">
              <w:rPr>
                <w:rFonts w:cs="Arial"/>
                <w:sz w:val="16"/>
                <w:szCs w:val="16"/>
                <w:lang w:bidi="th-TH"/>
              </w:rPr>
              <w:t>All work (100%) covers high risk/high relevance areas</w:t>
            </w:r>
          </w:p>
        </w:tc>
        <w:tc>
          <w:tcPr>
            <w:tcW w:w="531" w:type="pct"/>
            <w:tcBorders>
              <w:top w:val="nil"/>
              <w:bottom w:val="nil"/>
              <w:right w:val="single" w:sz="4" w:space="0" w:color="auto"/>
            </w:tcBorders>
            <w:shd w:val="clear" w:color="auto" w:fill="auto"/>
            <w:tcMar>
              <w:top w:w="110" w:type="dxa"/>
            </w:tcMar>
          </w:tcPr>
          <w:p w:rsidR="00FF768F" w:rsidRPr="0020416E" w:rsidRDefault="00FF768F" w:rsidP="00E023E5">
            <w:pPr>
              <w:keepNext/>
              <w:keepLines/>
              <w:jc w:val="center"/>
              <w:rPr>
                <w:rFonts w:cs="Arial"/>
                <w:bCs/>
                <w:color w:val="808080"/>
                <w:sz w:val="16"/>
                <w:szCs w:val="16"/>
              </w:rPr>
            </w:pPr>
            <w:r w:rsidRPr="00C3328E">
              <w:rPr>
                <w:rFonts w:cs="Arial"/>
                <w:b/>
                <w:bCs/>
                <w:color w:val="00B050"/>
                <w:sz w:val="16"/>
                <w:szCs w:val="16"/>
              </w:rPr>
              <w:t>On track</w:t>
            </w:r>
          </w:p>
        </w:tc>
      </w:tr>
      <w:tr w:rsidR="00FF768F" w:rsidRPr="0020416E" w:rsidTr="00F54CA4">
        <w:tc>
          <w:tcPr>
            <w:tcW w:w="1138" w:type="pct"/>
            <w:tcBorders>
              <w:top w:val="nil"/>
              <w:left w:val="single" w:sz="4" w:space="0" w:color="auto"/>
              <w:bottom w:val="nil"/>
            </w:tcBorders>
            <w:shd w:val="clear" w:color="auto" w:fill="auto"/>
          </w:tcPr>
          <w:p w:rsidR="00FF768F" w:rsidRPr="00C3328E" w:rsidRDefault="00FF768F" w:rsidP="00E023E5">
            <w:pPr>
              <w:rPr>
                <w:rFonts w:cs="Arial"/>
                <w:sz w:val="16"/>
                <w:szCs w:val="16"/>
                <w:lang w:bidi="th-TH"/>
              </w:rPr>
            </w:pPr>
            <w:r w:rsidRPr="00C3328E">
              <w:rPr>
                <w:rFonts w:cs="Arial"/>
                <w:sz w:val="16"/>
                <w:szCs w:val="16"/>
                <w:lang w:bidi="th-TH"/>
              </w:rPr>
              <w:t xml:space="preserve">EFFICIENCY: </w:t>
            </w:r>
          </w:p>
          <w:p w:rsidR="00FF768F" w:rsidRPr="00C3328E" w:rsidRDefault="00FF768F" w:rsidP="00E023E5">
            <w:pPr>
              <w:rPr>
                <w:rFonts w:cs="Arial"/>
                <w:sz w:val="16"/>
                <w:szCs w:val="16"/>
                <w:lang w:bidi="th-TH"/>
              </w:rPr>
            </w:pPr>
            <w:r w:rsidRPr="00C3328E">
              <w:rPr>
                <w:rFonts w:cs="Arial"/>
                <w:sz w:val="16"/>
                <w:szCs w:val="16"/>
                <w:lang w:bidi="th-TH"/>
              </w:rPr>
              <w:t xml:space="preserve">(a) Timely and qualitative completion of oversight reports, </w:t>
            </w:r>
          </w:p>
          <w:p w:rsidR="00FF768F" w:rsidRPr="00C3328E" w:rsidRDefault="00FF768F" w:rsidP="00E023E5">
            <w:pPr>
              <w:rPr>
                <w:rFonts w:cs="Arial"/>
                <w:sz w:val="16"/>
                <w:szCs w:val="16"/>
                <w:lang w:bidi="th-TH"/>
              </w:rPr>
            </w:pPr>
            <w:r w:rsidRPr="00C3328E">
              <w:rPr>
                <w:rFonts w:cs="Arial"/>
                <w:sz w:val="16"/>
                <w:szCs w:val="16"/>
                <w:lang w:bidi="th-TH"/>
              </w:rPr>
              <w:t xml:space="preserve">(b) Number of audits &amp; evaluations completed as per oversight </w:t>
            </w:r>
            <w:proofErr w:type="spellStart"/>
            <w:r w:rsidRPr="00C3328E">
              <w:rPr>
                <w:rFonts w:cs="Arial"/>
                <w:sz w:val="16"/>
                <w:szCs w:val="16"/>
                <w:lang w:bidi="th-TH"/>
              </w:rPr>
              <w:t>workplan</w:t>
            </w:r>
            <w:proofErr w:type="spellEnd"/>
            <w:r w:rsidRPr="00C3328E">
              <w:rPr>
                <w:rFonts w:cs="Arial"/>
                <w:sz w:val="16"/>
                <w:szCs w:val="16"/>
                <w:lang w:bidi="th-TH"/>
              </w:rPr>
              <w:t xml:space="preserve">; </w:t>
            </w:r>
          </w:p>
          <w:p w:rsidR="00FF768F" w:rsidRPr="0020416E" w:rsidRDefault="00FF768F" w:rsidP="00E023E5">
            <w:pPr>
              <w:rPr>
                <w:rFonts w:cs="Arial"/>
                <w:sz w:val="16"/>
                <w:szCs w:val="16"/>
                <w:lang w:bidi="th-TH"/>
              </w:rPr>
            </w:pPr>
            <w:r w:rsidRPr="00C3328E">
              <w:rPr>
                <w:rFonts w:cs="Arial"/>
                <w:sz w:val="16"/>
                <w:szCs w:val="16"/>
                <w:lang w:bidi="th-TH"/>
              </w:rPr>
              <w:t>(c) Number of complaints/reports of possible misconduct handle</w:t>
            </w:r>
            <w:r w:rsidR="00E732D1">
              <w:rPr>
                <w:rFonts w:cs="Arial"/>
                <w:sz w:val="16"/>
                <w:szCs w:val="16"/>
                <w:lang w:bidi="th-TH"/>
              </w:rPr>
              <w:t>d</w:t>
            </w:r>
          </w:p>
        </w:tc>
        <w:tc>
          <w:tcPr>
            <w:tcW w:w="1136" w:type="pct"/>
            <w:tcBorders>
              <w:top w:val="nil"/>
              <w:bottom w:val="nil"/>
            </w:tcBorders>
            <w:shd w:val="clear" w:color="auto" w:fill="auto"/>
          </w:tcPr>
          <w:p w:rsidR="00FF768F" w:rsidRDefault="00FF768F" w:rsidP="00E023E5">
            <w:pPr>
              <w:keepNext/>
              <w:keepLines/>
              <w:rPr>
                <w:rFonts w:cs="Arial"/>
                <w:color w:val="002060"/>
                <w:sz w:val="16"/>
                <w:szCs w:val="16"/>
              </w:rPr>
            </w:pPr>
            <w:r>
              <w:rPr>
                <w:rFonts w:cs="Arial"/>
                <w:i/>
                <w:color w:val="002060"/>
                <w:sz w:val="16"/>
                <w:szCs w:val="16"/>
              </w:rPr>
              <w:t>Updated Baseline end 2013</w:t>
            </w:r>
            <w:r w:rsidRPr="0020416E">
              <w:rPr>
                <w:rFonts w:cs="Arial"/>
                <w:i/>
                <w:color w:val="002060"/>
                <w:sz w:val="16"/>
                <w:szCs w:val="16"/>
              </w:rPr>
              <w:t xml:space="preserve">:  </w:t>
            </w:r>
            <w:r w:rsidRPr="00BE05A8">
              <w:rPr>
                <w:rFonts w:cs="Arial"/>
                <w:color w:val="002060"/>
                <w:sz w:val="16"/>
                <w:szCs w:val="16"/>
              </w:rPr>
              <w:t>(a) Investigations completed on average in 3</w:t>
            </w:r>
            <w:r>
              <w:rPr>
                <w:rFonts w:cs="Arial"/>
                <w:color w:val="002060"/>
                <w:sz w:val="16"/>
                <w:szCs w:val="16"/>
              </w:rPr>
              <w:t> </w:t>
            </w:r>
            <w:r w:rsidRPr="00BE05A8">
              <w:rPr>
                <w:rFonts w:cs="Arial"/>
                <w:color w:val="002060"/>
                <w:sz w:val="16"/>
                <w:szCs w:val="16"/>
              </w:rPr>
              <w:t>months</w:t>
            </w:r>
            <w:r>
              <w:rPr>
                <w:rFonts w:cs="Arial"/>
                <w:color w:val="002060"/>
                <w:sz w:val="16"/>
                <w:szCs w:val="16"/>
              </w:rPr>
              <w:t>;</w:t>
            </w:r>
          </w:p>
          <w:p w:rsidR="00FF768F" w:rsidRPr="00BE05A8" w:rsidRDefault="00FF768F" w:rsidP="00E023E5">
            <w:pPr>
              <w:keepNext/>
              <w:keepLines/>
              <w:rPr>
                <w:rFonts w:cs="Arial"/>
                <w:color w:val="002060"/>
                <w:sz w:val="16"/>
                <w:szCs w:val="16"/>
              </w:rPr>
            </w:pPr>
          </w:p>
          <w:p w:rsidR="00FF768F" w:rsidRDefault="00FF768F" w:rsidP="00E023E5">
            <w:pPr>
              <w:keepNext/>
              <w:keepLines/>
              <w:rPr>
                <w:rFonts w:cs="Arial"/>
                <w:color w:val="002060"/>
                <w:sz w:val="16"/>
                <w:szCs w:val="16"/>
              </w:rPr>
            </w:pPr>
            <w:r w:rsidRPr="00BE05A8">
              <w:rPr>
                <w:rFonts w:cs="Arial"/>
                <w:color w:val="002060"/>
                <w:sz w:val="16"/>
                <w:szCs w:val="16"/>
              </w:rPr>
              <w:t>(b) 7 audits</w:t>
            </w:r>
            <w:r>
              <w:rPr>
                <w:rFonts w:cs="Arial"/>
                <w:color w:val="002060"/>
                <w:sz w:val="16"/>
                <w:szCs w:val="16"/>
              </w:rPr>
              <w:t xml:space="preserve"> and 2 evaluations;</w:t>
            </w:r>
          </w:p>
          <w:p w:rsidR="00FF768F" w:rsidRPr="00BE05A8" w:rsidRDefault="00FF768F" w:rsidP="00E023E5">
            <w:pPr>
              <w:keepNext/>
              <w:keepLines/>
              <w:rPr>
                <w:rFonts w:cs="Arial"/>
                <w:color w:val="002060"/>
                <w:sz w:val="16"/>
                <w:szCs w:val="16"/>
              </w:rPr>
            </w:pPr>
          </w:p>
          <w:p w:rsidR="00FF768F" w:rsidRDefault="00FF768F" w:rsidP="00E023E5">
            <w:pPr>
              <w:keepNext/>
              <w:keepLines/>
              <w:rPr>
                <w:rFonts w:cs="Arial"/>
                <w:color w:val="002060"/>
                <w:sz w:val="16"/>
                <w:szCs w:val="16"/>
              </w:rPr>
            </w:pPr>
            <w:r w:rsidRPr="00BE05A8">
              <w:rPr>
                <w:rFonts w:cs="Arial"/>
                <w:color w:val="002060"/>
                <w:sz w:val="16"/>
                <w:szCs w:val="16"/>
              </w:rPr>
              <w:t>(c)19 investigations</w:t>
            </w:r>
            <w:r>
              <w:rPr>
                <w:rFonts w:cs="Arial"/>
                <w:color w:val="002060"/>
                <w:sz w:val="16"/>
                <w:szCs w:val="16"/>
              </w:rPr>
              <w:t>;</w:t>
            </w:r>
          </w:p>
          <w:p w:rsidR="00FF768F" w:rsidRDefault="00FF768F" w:rsidP="00E023E5">
            <w:pPr>
              <w:keepNext/>
              <w:keepLines/>
              <w:rPr>
                <w:rFonts w:cs="Arial"/>
                <w:color w:val="002060"/>
                <w:sz w:val="16"/>
                <w:szCs w:val="16"/>
              </w:rPr>
            </w:pPr>
          </w:p>
          <w:p w:rsidR="00FF768F" w:rsidRPr="00BE05A8" w:rsidRDefault="00FF768F" w:rsidP="00E023E5">
            <w:pPr>
              <w:keepNext/>
              <w:keepLines/>
              <w:rPr>
                <w:rFonts w:cs="Arial"/>
                <w:color w:val="002060"/>
                <w:sz w:val="16"/>
                <w:szCs w:val="16"/>
              </w:rPr>
            </w:pPr>
            <w:r>
              <w:rPr>
                <w:rFonts w:cs="Arial"/>
                <w:color w:val="002060"/>
                <w:sz w:val="16"/>
                <w:szCs w:val="16"/>
              </w:rPr>
              <w:t>(d) all work done in accordance with standards</w:t>
            </w:r>
          </w:p>
          <w:p w:rsidR="00FF768F" w:rsidRPr="0020416E" w:rsidRDefault="00FF768F" w:rsidP="00E023E5">
            <w:pPr>
              <w:keepNext/>
              <w:keepLines/>
              <w:rPr>
                <w:rFonts w:cs="Arial"/>
                <w:i/>
                <w:color w:val="002060"/>
                <w:sz w:val="8"/>
                <w:szCs w:val="8"/>
              </w:rPr>
            </w:pPr>
          </w:p>
          <w:p w:rsidR="00FF768F" w:rsidRPr="00C3328E" w:rsidRDefault="00FF768F" w:rsidP="00E023E5">
            <w:pPr>
              <w:rPr>
                <w:rFonts w:cs="Arial"/>
                <w:sz w:val="16"/>
                <w:szCs w:val="16"/>
                <w:lang w:bidi="th-TH"/>
              </w:rPr>
            </w:pPr>
            <w:r>
              <w:rPr>
                <w:rFonts w:cs="Arial"/>
                <w:i/>
                <w:sz w:val="16"/>
                <w:szCs w:val="16"/>
              </w:rPr>
              <w:t>Original Baseline P&amp;B 2014/15</w:t>
            </w:r>
            <w:r w:rsidRPr="0020416E">
              <w:rPr>
                <w:rFonts w:cs="Arial"/>
                <w:i/>
                <w:sz w:val="16"/>
                <w:szCs w:val="16"/>
              </w:rPr>
              <w:t>:</w:t>
            </w:r>
            <w:r w:rsidRPr="0020416E">
              <w:rPr>
                <w:rFonts w:cs="Arial"/>
                <w:sz w:val="16"/>
                <w:szCs w:val="16"/>
              </w:rPr>
              <w:br/>
            </w:r>
            <w:r w:rsidRPr="00C3328E">
              <w:rPr>
                <w:rFonts w:cs="Arial"/>
                <w:sz w:val="16"/>
                <w:szCs w:val="16"/>
                <w:lang w:bidi="th-TH"/>
              </w:rPr>
              <w:t xml:space="preserve">(a) Investigations, audits/evaluations completed on average in 10  and </w:t>
            </w:r>
            <w:r w:rsidR="00E732D1">
              <w:rPr>
                <w:rFonts w:cs="Arial"/>
                <w:sz w:val="16"/>
                <w:szCs w:val="16"/>
                <w:lang w:bidi="th-TH"/>
              </w:rPr>
              <w:t>five</w:t>
            </w:r>
            <w:r w:rsidR="00E732D1" w:rsidRPr="00C3328E">
              <w:rPr>
                <w:rFonts w:cs="Arial"/>
                <w:sz w:val="16"/>
                <w:szCs w:val="16"/>
                <w:lang w:bidi="th-TH"/>
              </w:rPr>
              <w:t xml:space="preserve"> </w:t>
            </w:r>
            <w:r w:rsidRPr="00C3328E">
              <w:rPr>
                <w:rFonts w:cs="Arial"/>
                <w:sz w:val="16"/>
                <w:szCs w:val="16"/>
                <w:lang w:bidi="th-TH"/>
              </w:rPr>
              <w:t xml:space="preserve">months in 2012; </w:t>
            </w:r>
          </w:p>
          <w:p w:rsidR="00FF768F" w:rsidRPr="00C3328E" w:rsidRDefault="00FF768F" w:rsidP="00E023E5">
            <w:pPr>
              <w:rPr>
                <w:rFonts w:cs="Arial"/>
                <w:sz w:val="16"/>
                <w:szCs w:val="16"/>
                <w:lang w:bidi="th-TH"/>
              </w:rPr>
            </w:pPr>
            <w:r w:rsidRPr="00C3328E">
              <w:rPr>
                <w:rFonts w:cs="Arial"/>
                <w:sz w:val="16"/>
                <w:szCs w:val="16"/>
                <w:lang w:bidi="th-TH"/>
              </w:rPr>
              <w:t xml:space="preserve">(b) </w:t>
            </w:r>
            <w:r w:rsidR="00E732D1">
              <w:rPr>
                <w:rFonts w:cs="Arial"/>
                <w:sz w:val="16"/>
                <w:szCs w:val="16"/>
                <w:lang w:bidi="th-TH"/>
              </w:rPr>
              <w:t>three</w:t>
            </w:r>
            <w:r w:rsidR="00E732D1" w:rsidRPr="00C3328E">
              <w:rPr>
                <w:rFonts w:cs="Arial"/>
                <w:sz w:val="16"/>
                <w:szCs w:val="16"/>
                <w:lang w:bidi="th-TH"/>
              </w:rPr>
              <w:t xml:space="preserve"> </w:t>
            </w:r>
            <w:r w:rsidRPr="00C3328E">
              <w:rPr>
                <w:rFonts w:cs="Arial"/>
                <w:sz w:val="16"/>
                <w:szCs w:val="16"/>
                <w:lang w:bidi="th-TH"/>
              </w:rPr>
              <w:t xml:space="preserve">audits and </w:t>
            </w:r>
            <w:r w:rsidR="00E732D1">
              <w:rPr>
                <w:rFonts w:cs="Arial"/>
                <w:sz w:val="16"/>
                <w:szCs w:val="16"/>
                <w:lang w:bidi="th-TH"/>
              </w:rPr>
              <w:t>five </w:t>
            </w:r>
            <w:r w:rsidRPr="00C3328E">
              <w:rPr>
                <w:rFonts w:cs="Arial"/>
                <w:sz w:val="16"/>
                <w:szCs w:val="16"/>
                <w:lang w:bidi="th-TH"/>
              </w:rPr>
              <w:t>evaluations completed</w:t>
            </w:r>
            <w:r>
              <w:rPr>
                <w:rFonts w:cs="Arial"/>
                <w:sz w:val="16"/>
                <w:szCs w:val="16"/>
                <w:lang w:bidi="th-TH"/>
              </w:rPr>
              <w:t> </w:t>
            </w:r>
            <w:r w:rsidRPr="00C3328E">
              <w:rPr>
                <w:rFonts w:cs="Arial"/>
                <w:sz w:val="16"/>
                <w:szCs w:val="16"/>
                <w:lang w:bidi="th-TH"/>
              </w:rPr>
              <w:t xml:space="preserve">in 2012; </w:t>
            </w:r>
          </w:p>
          <w:p w:rsidR="00FF768F" w:rsidRPr="00C3328E" w:rsidRDefault="00FF768F" w:rsidP="00E023E5">
            <w:pPr>
              <w:rPr>
                <w:rFonts w:cs="Arial"/>
                <w:sz w:val="16"/>
                <w:szCs w:val="16"/>
                <w:lang w:bidi="th-TH"/>
              </w:rPr>
            </w:pPr>
            <w:r w:rsidRPr="00C3328E">
              <w:rPr>
                <w:rFonts w:cs="Arial"/>
                <w:sz w:val="16"/>
                <w:szCs w:val="16"/>
                <w:lang w:bidi="th-TH"/>
              </w:rPr>
              <w:t xml:space="preserve">(c) 15 investigations closed in 2011 and 23 in 2012; </w:t>
            </w:r>
          </w:p>
          <w:p w:rsidR="00FF768F" w:rsidRPr="0020416E" w:rsidRDefault="00FF768F" w:rsidP="00E023E5">
            <w:pPr>
              <w:rPr>
                <w:rFonts w:cs="Arial"/>
                <w:sz w:val="16"/>
                <w:szCs w:val="16"/>
                <w:lang w:bidi="th-TH"/>
              </w:rPr>
            </w:pPr>
            <w:r w:rsidRPr="00C3328E">
              <w:rPr>
                <w:rFonts w:cs="Arial"/>
                <w:sz w:val="16"/>
                <w:szCs w:val="16"/>
                <w:lang w:bidi="th-TH"/>
              </w:rPr>
              <w:t>(d) all oversight work done in accordance with standards</w:t>
            </w:r>
          </w:p>
        </w:tc>
        <w:tc>
          <w:tcPr>
            <w:tcW w:w="984" w:type="pct"/>
            <w:tcBorders>
              <w:top w:val="nil"/>
              <w:bottom w:val="nil"/>
            </w:tcBorders>
            <w:shd w:val="clear" w:color="auto" w:fill="auto"/>
            <w:tcMar>
              <w:top w:w="110" w:type="dxa"/>
            </w:tcMar>
          </w:tcPr>
          <w:p w:rsidR="00FF768F" w:rsidRDefault="00FF768F" w:rsidP="00E023E5">
            <w:pPr>
              <w:autoSpaceDE w:val="0"/>
              <w:autoSpaceDN w:val="0"/>
              <w:adjustRightInd w:val="0"/>
              <w:rPr>
                <w:rFonts w:cs="Arial"/>
                <w:sz w:val="16"/>
                <w:szCs w:val="16"/>
              </w:rPr>
            </w:pPr>
            <w:r w:rsidRPr="00C3328E">
              <w:rPr>
                <w:rFonts w:cs="Arial"/>
                <w:sz w:val="16"/>
                <w:szCs w:val="16"/>
              </w:rPr>
              <w:t xml:space="preserve">a) Investigations completed in </w:t>
            </w:r>
            <w:r w:rsidR="00E732D1">
              <w:rPr>
                <w:rFonts w:cs="Arial"/>
                <w:sz w:val="16"/>
                <w:szCs w:val="16"/>
              </w:rPr>
              <w:t>six</w:t>
            </w:r>
            <w:r w:rsidR="00E732D1" w:rsidRPr="00C3328E">
              <w:rPr>
                <w:rFonts w:cs="Arial"/>
                <w:sz w:val="16"/>
                <w:szCs w:val="16"/>
              </w:rPr>
              <w:t xml:space="preserve"> </w:t>
            </w:r>
            <w:r w:rsidRPr="00C3328E">
              <w:rPr>
                <w:rFonts w:cs="Arial"/>
                <w:sz w:val="16"/>
                <w:szCs w:val="16"/>
              </w:rPr>
              <w:t>months on average, audits  and evaluations in 5 months;</w:t>
            </w:r>
          </w:p>
          <w:p w:rsidR="00FF768F" w:rsidRPr="00C3328E" w:rsidRDefault="00FF768F" w:rsidP="00E023E5">
            <w:pPr>
              <w:autoSpaceDE w:val="0"/>
              <w:autoSpaceDN w:val="0"/>
              <w:adjustRightInd w:val="0"/>
              <w:rPr>
                <w:rFonts w:cs="Arial"/>
                <w:sz w:val="16"/>
                <w:szCs w:val="16"/>
              </w:rPr>
            </w:pPr>
          </w:p>
          <w:p w:rsidR="00FF768F" w:rsidRDefault="00FF768F" w:rsidP="00E023E5">
            <w:pPr>
              <w:autoSpaceDE w:val="0"/>
              <w:autoSpaceDN w:val="0"/>
              <w:adjustRightInd w:val="0"/>
              <w:rPr>
                <w:rFonts w:cs="Arial"/>
                <w:sz w:val="16"/>
                <w:szCs w:val="16"/>
              </w:rPr>
            </w:pPr>
            <w:r w:rsidRPr="00C3328E">
              <w:rPr>
                <w:rFonts w:cs="Arial"/>
                <w:sz w:val="16"/>
                <w:szCs w:val="16"/>
              </w:rPr>
              <w:t xml:space="preserve">(b) 12 audits and </w:t>
            </w:r>
            <w:r w:rsidR="00E732D1">
              <w:rPr>
                <w:rFonts w:cs="Arial"/>
                <w:sz w:val="16"/>
                <w:szCs w:val="16"/>
              </w:rPr>
              <w:t>six</w:t>
            </w:r>
            <w:r w:rsidR="00E732D1" w:rsidRPr="00C3328E">
              <w:rPr>
                <w:rFonts w:cs="Arial"/>
                <w:sz w:val="16"/>
                <w:szCs w:val="16"/>
              </w:rPr>
              <w:t xml:space="preserve"> </w:t>
            </w:r>
            <w:r w:rsidRPr="00C3328E">
              <w:rPr>
                <w:rFonts w:cs="Arial"/>
                <w:sz w:val="16"/>
                <w:szCs w:val="16"/>
              </w:rPr>
              <w:t>evaluations completed;</w:t>
            </w:r>
          </w:p>
          <w:p w:rsidR="00FF768F" w:rsidRPr="00C3328E" w:rsidRDefault="00FF768F" w:rsidP="00E023E5">
            <w:pPr>
              <w:autoSpaceDE w:val="0"/>
              <w:autoSpaceDN w:val="0"/>
              <w:adjustRightInd w:val="0"/>
              <w:rPr>
                <w:rFonts w:cs="Arial"/>
                <w:sz w:val="16"/>
                <w:szCs w:val="16"/>
              </w:rPr>
            </w:pPr>
          </w:p>
          <w:p w:rsidR="00FF768F" w:rsidRDefault="00FF768F" w:rsidP="00E023E5">
            <w:pPr>
              <w:autoSpaceDE w:val="0"/>
              <w:autoSpaceDN w:val="0"/>
              <w:adjustRightInd w:val="0"/>
              <w:rPr>
                <w:rFonts w:cs="Arial"/>
                <w:sz w:val="16"/>
                <w:szCs w:val="16"/>
              </w:rPr>
            </w:pPr>
            <w:r w:rsidRPr="00C3328E">
              <w:rPr>
                <w:rFonts w:cs="Arial"/>
                <w:sz w:val="16"/>
                <w:szCs w:val="16"/>
              </w:rPr>
              <w:t xml:space="preserve">(c) At least 15 investigations closed; </w:t>
            </w:r>
          </w:p>
          <w:p w:rsidR="00FF768F" w:rsidRPr="00C3328E" w:rsidRDefault="00FF768F" w:rsidP="00E023E5">
            <w:pPr>
              <w:autoSpaceDE w:val="0"/>
              <w:autoSpaceDN w:val="0"/>
              <w:adjustRightInd w:val="0"/>
              <w:rPr>
                <w:rFonts w:cs="Arial"/>
                <w:sz w:val="16"/>
                <w:szCs w:val="16"/>
              </w:rPr>
            </w:pPr>
          </w:p>
          <w:p w:rsidR="00FF768F" w:rsidRPr="0020416E" w:rsidRDefault="00FF768F" w:rsidP="00E023E5">
            <w:pPr>
              <w:autoSpaceDE w:val="0"/>
              <w:autoSpaceDN w:val="0"/>
              <w:adjustRightInd w:val="0"/>
              <w:rPr>
                <w:rFonts w:cs="Arial"/>
                <w:sz w:val="16"/>
                <w:szCs w:val="16"/>
              </w:rPr>
            </w:pPr>
            <w:r w:rsidRPr="00C3328E">
              <w:rPr>
                <w:rFonts w:cs="Arial"/>
                <w:sz w:val="16"/>
                <w:szCs w:val="16"/>
              </w:rPr>
              <w:t>(d)compliance with standards</w:t>
            </w:r>
          </w:p>
        </w:tc>
        <w:tc>
          <w:tcPr>
            <w:tcW w:w="1212" w:type="pct"/>
            <w:tcBorders>
              <w:top w:val="nil"/>
              <w:bottom w:val="nil"/>
            </w:tcBorders>
            <w:shd w:val="clear" w:color="auto" w:fill="FFFFFF"/>
            <w:tcMar>
              <w:top w:w="110" w:type="dxa"/>
            </w:tcMar>
          </w:tcPr>
          <w:p w:rsidR="00FF768F" w:rsidRDefault="00FF768F" w:rsidP="00E023E5">
            <w:pPr>
              <w:rPr>
                <w:rFonts w:cs="Arial"/>
                <w:sz w:val="16"/>
                <w:szCs w:val="16"/>
                <w:lang w:bidi="th-TH"/>
              </w:rPr>
            </w:pPr>
            <w:r w:rsidRPr="00C3328E">
              <w:rPr>
                <w:rFonts w:cs="Arial"/>
                <w:sz w:val="16"/>
                <w:szCs w:val="16"/>
                <w:lang w:bidi="th-TH"/>
              </w:rPr>
              <w:t>(a)</w:t>
            </w:r>
            <w:r>
              <w:rPr>
                <w:rFonts w:cs="Arial"/>
                <w:sz w:val="16"/>
                <w:szCs w:val="16"/>
                <w:lang w:bidi="th-TH"/>
              </w:rPr>
              <w:t xml:space="preserve"> </w:t>
            </w:r>
            <w:r w:rsidRPr="00C3328E">
              <w:rPr>
                <w:rFonts w:cs="Arial"/>
                <w:sz w:val="16"/>
                <w:szCs w:val="16"/>
                <w:lang w:bidi="th-TH"/>
              </w:rPr>
              <w:t>Investigations on average completed in 79 days; audits and evaluations completed resp</w:t>
            </w:r>
            <w:r>
              <w:rPr>
                <w:rFonts w:cs="Arial"/>
                <w:sz w:val="16"/>
                <w:szCs w:val="16"/>
                <w:lang w:bidi="th-TH"/>
              </w:rPr>
              <w:t>ectively</w:t>
            </w:r>
            <w:r w:rsidRPr="00C3328E">
              <w:rPr>
                <w:rFonts w:cs="Arial"/>
                <w:sz w:val="16"/>
                <w:szCs w:val="16"/>
                <w:lang w:bidi="th-TH"/>
              </w:rPr>
              <w:t>.in 5</w:t>
            </w:r>
            <w:r>
              <w:rPr>
                <w:rFonts w:cs="Arial"/>
                <w:sz w:val="16"/>
                <w:szCs w:val="16"/>
                <w:lang w:bidi="th-TH"/>
              </w:rPr>
              <w:t> </w:t>
            </w:r>
            <w:r w:rsidRPr="00C3328E">
              <w:rPr>
                <w:rFonts w:cs="Arial"/>
                <w:sz w:val="16"/>
                <w:szCs w:val="16"/>
                <w:lang w:bidi="th-TH"/>
              </w:rPr>
              <w:t>and 6 months</w:t>
            </w:r>
            <w:r>
              <w:rPr>
                <w:rFonts w:cs="Arial"/>
                <w:sz w:val="16"/>
                <w:szCs w:val="16"/>
                <w:lang w:bidi="th-TH"/>
              </w:rPr>
              <w:t xml:space="preserve"> </w:t>
            </w:r>
          </w:p>
          <w:p w:rsidR="00FF768F" w:rsidRDefault="00FF768F" w:rsidP="00E023E5">
            <w:pPr>
              <w:rPr>
                <w:rFonts w:cs="Arial"/>
                <w:sz w:val="16"/>
                <w:szCs w:val="16"/>
                <w:lang w:bidi="th-TH"/>
              </w:rPr>
            </w:pPr>
          </w:p>
          <w:p w:rsidR="00FF768F" w:rsidRDefault="00FF768F" w:rsidP="00E023E5">
            <w:pPr>
              <w:rPr>
                <w:rFonts w:cs="Arial"/>
                <w:sz w:val="16"/>
                <w:szCs w:val="16"/>
                <w:lang w:bidi="th-TH"/>
              </w:rPr>
            </w:pPr>
            <w:r w:rsidRPr="00C3328E">
              <w:rPr>
                <w:rFonts w:cs="Arial"/>
                <w:sz w:val="16"/>
                <w:szCs w:val="16"/>
                <w:lang w:bidi="th-TH"/>
              </w:rPr>
              <w:t xml:space="preserve">(b) </w:t>
            </w:r>
            <w:r>
              <w:rPr>
                <w:rFonts w:cs="Arial"/>
                <w:sz w:val="16"/>
                <w:szCs w:val="16"/>
                <w:lang w:bidi="th-TH"/>
              </w:rPr>
              <w:t>6</w:t>
            </w:r>
            <w:r w:rsidRPr="00C3328E">
              <w:rPr>
                <w:rFonts w:cs="Arial"/>
                <w:sz w:val="16"/>
                <w:szCs w:val="16"/>
                <w:lang w:bidi="th-TH"/>
              </w:rPr>
              <w:t xml:space="preserve"> audit</w:t>
            </w:r>
            <w:r>
              <w:rPr>
                <w:rFonts w:cs="Arial"/>
                <w:sz w:val="16"/>
                <w:szCs w:val="16"/>
                <w:lang w:bidi="th-TH"/>
              </w:rPr>
              <w:t xml:space="preserve"> reports</w:t>
            </w:r>
            <w:r>
              <w:rPr>
                <w:rStyle w:val="FootnoteReference"/>
                <w:rFonts w:cs="Arial"/>
                <w:sz w:val="16"/>
                <w:szCs w:val="16"/>
                <w:lang w:bidi="th-TH"/>
              </w:rPr>
              <w:footnoteReference w:id="62"/>
            </w:r>
            <w:r>
              <w:rPr>
                <w:rFonts w:cs="Arial"/>
                <w:sz w:val="16"/>
                <w:szCs w:val="16"/>
                <w:lang w:bidi="th-TH"/>
              </w:rPr>
              <w:t xml:space="preserve">, 3 </w:t>
            </w:r>
            <w:r w:rsidRPr="00C3328E">
              <w:rPr>
                <w:rFonts w:cs="Arial"/>
                <w:sz w:val="16"/>
                <w:szCs w:val="16"/>
                <w:lang w:bidi="th-TH"/>
              </w:rPr>
              <w:t>evaluation</w:t>
            </w:r>
            <w:r>
              <w:rPr>
                <w:rStyle w:val="FootnoteReference"/>
                <w:rFonts w:cs="Arial"/>
                <w:sz w:val="16"/>
                <w:szCs w:val="16"/>
                <w:lang w:bidi="th-TH"/>
              </w:rPr>
              <w:footnoteReference w:id="63"/>
            </w:r>
            <w:r w:rsidRPr="00C3328E">
              <w:rPr>
                <w:rFonts w:cs="Arial"/>
                <w:sz w:val="16"/>
                <w:szCs w:val="16"/>
                <w:lang w:bidi="th-TH"/>
              </w:rPr>
              <w:t xml:space="preserve"> reports</w:t>
            </w:r>
            <w:r>
              <w:rPr>
                <w:rFonts w:cs="Arial"/>
                <w:sz w:val="16"/>
                <w:szCs w:val="16"/>
                <w:lang w:bidi="th-TH"/>
              </w:rPr>
              <w:t>, and the validation of the PPR 2012/13 completed;</w:t>
            </w:r>
            <w:r w:rsidRPr="00C3328E">
              <w:rPr>
                <w:rFonts w:cs="Arial"/>
                <w:sz w:val="16"/>
                <w:szCs w:val="16"/>
                <w:lang w:bidi="th-TH"/>
              </w:rPr>
              <w:t xml:space="preserve"> </w:t>
            </w:r>
          </w:p>
          <w:p w:rsidR="00FF768F" w:rsidRDefault="00FF768F" w:rsidP="00E023E5">
            <w:pPr>
              <w:rPr>
                <w:rFonts w:cs="Arial"/>
                <w:sz w:val="16"/>
                <w:szCs w:val="16"/>
                <w:lang w:bidi="th-TH"/>
              </w:rPr>
            </w:pPr>
          </w:p>
          <w:p w:rsidR="00FF768F" w:rsidRDefault="00FF768F" w:rsidP="00E023E5">
            <w:pPr>
              <w:rPr>
                <w:rFonts w:cs="Arial"/>
                <w:sz w:val="16"/>
                <w:szCs w:val="16"/>
                <w:lang w:bidi="th-TH"/>
              </w:rPr>
            </w:pPr>
            <w:r w:rsidRPr="00C3328E">
              <w:rPr>
                <w:rFonts w:cs="Arial"/>
                <w:sz w:val="16"/>
                <w:szCs w:val="16"/>
                <w:lang w:bidi="th-TH"/>
              </w:rPr>
              <w:t>(c) 19 invest</w:t>
            </w:r>
            <w:r>
              <w:rPr>
                <w:rFonts w:cs="Arial"/>
                <w:sz w:val="16"/>
                <w:szCs w:val="16"/>
                <w:lang w:bidi="th-TH"/>
              </w:rPr>
              <w:t>igations</w:t>
            </w:r>
            <w:r w:rsidRPr="00C3328E">
              <w:rPr>
                <w:rFonts w:cs="Arial"/>
                <w:sz w:val="16"/>
                <w:szCs w:val="16"/>
                <w:lang w:bidi="th-TH"/>
              </w:rPr>
              <w:t xml:space="preserve"> closed </w:t>
            </w:r>
          </w:p>
          <w:p w:rsidR="00FF768F" w:rsidRDefault="00FF768F" w:rsidP="00E023E5">
            <w:pPr>
              <w:rPr>
                <w:rFonts w:cs="Arial"/>
                <w:sz w:val="16"/>
                <w:szCs w:val="16"/>
                <w:lang w:bidi="th-TH"/>
              </w:rPr>
            </w:pPr>
          </w:p>
          <w:p w:rsidR="00FF768F" w:rsidRPr="0020416E" w:rsidRDefault="00FF768F" w:rsidP="00E023E5">
            <w:pPr>
              <w:rPr>
                <w:rFonts w:cs="Arial"/>
                <w:sz w:val="16"/>
                <w:szCs w:val="16"/>
                <w:lang w:bidi="th-TH"/>
              </w:rPr>
            </w:pPr>
            <w:r w:rsidRPr="00C3328E">
              <w:rPr>
                <w:rFonts w:cs="Arial"/>
                <w:sz w:val="16"/>
                <w:szCs w:val="16"/>
                <w:lang w:bidi="th-TH"/>
              </w:rPr>
              <w:t>(d) compliance with the standards confirmed by the EQA or IAOC</w:t>
            </w:r>
          </w:p>
        </w:tc>
        <w:tc>
          <w:tcPr>
            <w:tcW w:w="531" w:type="pct"/>
            <w:tcBorders>
              <w:top w:val="nil"/>
              <w:bottom w:val="nil"/>
              <w:right w:val="single" w:sz="4" w:space="0" w:color="auto"/>
            </w:tcBorders>
            <w:shd w:val="clear" w:color="auto" w:fill="auto"/>
            <w:tcMar>
              <w:top w:w="110" w:type="dxa"/>
            </w:tcMar>
          </w:tcPr>
          <w:p w:rsidR="00FF768F" w:rsidRPr="0020416E" w:rsidRDefault="00FF768F" w:rsidP="00E023E5">
            <w:pPr>
              <w:keepNext/>
              <w:keepLines/>
              <w:jc w:val="center"/>
              <w:rPr>
                <w:rFonts w:cs="Arial"/>
                <w:bCs/>
                <w:color w:val="808080"/>
                <w:sz w:val="16"/>
                <w:szCs w:val="16"/>
              </w:rPr>
            </w:pPr>
            <w:r w:rsidRPr="00C3328E">
              <w:rPr>
                <w:rFonts w:cs="Arial"/>
                <w:b/>
                <w:bCs/>
                <w:color w:val="00B050"/>
                <w:sz w:val="16"/>
                <w:szCs w:val="16"/>
              </w:rPr>
              <w:t>On track</w:t>
            </w:r>
          </w:p>
        </w:tc>
      </w:tr>
      <w:tr w:rsidR="00FF768F" w:rsidRPr="0020416E" w:rsidTr="00F54CA4">
        <w:tc>
          <w:tcPr>
            <w:tcW w:w="1138" w:type="pct"/>
            <w:tcBorders>
              <w:top w:val="nil"/>
              <w:left w:val="single" w:sz="4" w:space="0" w:color="auto"/>
              <w:bottom w:val="nil"/>
            </w:tcBorders>
            <w:shd w:val="clear" w:color="auto" w:fill="auto"/>
          </w:tcPr>
          <w:p w:rsidR="00FF768F" w:rsidRPr="00C3328E" w:rsidRDefault="00FF768F" w:rsidP="00E023E5">
            <w:pPr>
              <w:rPr>
                <w:rFonts w:cs="Arial"/>
                <w:sz w:val="16"/>
                <w:szCs w:val="16"/>
                <w:lang w:bidi="th-TH"/>
              </w:rPr>
            </w:pPr>
            <w:r w:rsidRPr="00C3328E">
              <w:rPr>
                <w:rFonts w:cs="Arial"/>
                <w:sz w:val="16"/>
                <w:szCs w:val="16"/>
                <w:lang w:bidi="th-TH"/>
              </w:rPr>
              <w:t>RELEVANCE, ADDED VALUE &amp; STEWARDSHIP- Tangible cost savings or improvements made in business processes and systems</w:t>
            </w:r>
          </w:p>
        </w:tc>
        <w:tc>
          <w:tcPr>
            <w:tcW w:w="1136" w:type="pct"/>
            <w:tcBorders>
              <w:top w:val="nil"/>
              <w:bottom w:val="nil"/>
            </w:tcBorders>
            <w:shd w:val="clear" w:color="auto" w:fill="auto"/>
          </w:tcPr>
          <w:p w:rsidR="00FF768F" w:rsidRDefault="00FF768F" w:rsidP="00E023E5">
            <w:pPr>
              <w:keepNext/>
              <w:keepLines/>
              <w:rPr>
                <w:rFonts w:cs="Arial"/>
                <w:i/>
                <w:color w:val="002060"/>
                <w:sz w:val="16"/>
                <w:szCs w:val="16"/>
              </w:rPr>
            </w:pPr>
            <w:r w:rsidRPr="00C3328E">
              <w:rPr>
                <w:rFonts w:cs="Arial"/>
                <w:sz w:val="16"/>
                <w:szCs w:val="16"/>
                <w:lang w:bidi="th-TH"/>
              </w:rPr>
              <w:t>Not available</w:t>
            </w:r>
          </w:p>
        </w:tc>
        <w:tc>
          <w:tcPr>
            <w:tcW w:w="984" w:type="pct"/>
            <w:tcBorders>
              <w:top w:val="nil"/>
              <w:bottom w:val="nil"/>
            </w:tcBorders>
            <w:shd w:val="clear" w:color="auto" w:fill="auto"/>
            <w:tcMar>
              <w:top w:w="110" w:type="dxa"/>
            </w:tcMar>
          </w:tcPr>
          <w:p w:rsidR="00FF768F" w:rsidRDefault="00FF768F" w:rsidP="00E023E5">
            <w:pPr>
              <w:autoSpaceDE w:val="0"/>
              <w:autoSpaceDN w:val="0"/>
              <w:adjustRightInd w:val="0"/>
              <w:rPr>
                <w:rFonts w:cs="Arial"/>
                <w:sz w:val="16"/>
                <w:szCs w:val="16"/>
              </w:rPr>
            </w:pPr>
            <w:proofErr w:type="spellStart"/>
            <w:r w:rsidRPr="00C3328E">
              <w:rPr>
                <w:rFonts w:cs="Arial"/>
                <w:sz w:val="16"/>
                <w:szCs w:val="16"/>
              </w:rPr>
              <w:t>tbd</w:t>
            </w:r>
            <w:proofErr w:type="spellEnd"/>
          </w:p>
          <w:p w:rsidR="00FF768F" w:rsidRPr="00C3328E" w:rsidRDefault="00FF768F" w:rsidP="00E023E5">
            <w:pPr>
              <w:jc w:val="center"/>
              <w:rPr>
                <w:rFonts w:cs="Arial"/>
                <w:sz w:val="16"/>
                <w:szCs w:val="16"/>
              </w:rPr>
            </w:pPr>
          </w:p>
        </w:tc>
        <w:tc>
          <w:tcPr>
            <w:tcW w:w="1212" w:type="pct"/>
            <w:tcBorders>
              <w:top w:val="nil"/>
              <w:bottom w:val="nil"/>
            </w:tcBorders>
            <w:shd w:val="clear" w:color="auto" w:fill="FFFFFF"/>
            <w:tcMar>
              <w:top w:w="110" w:type="dxa"/>
            </w:tcMar>
          </w:tcPr>
          <w:p w:rsidR="00FF768F" w:rsidRPr="00C3328E" w:rsidRDefault="00FF768F" w:rsidP="00E023E5">
            <w:pPr>
              <w:rPr>
                <w:rFonts w:cs="Arial"/>
                <w:sz w:val="16"/>
                <w:szCs w:val="16"/>
                <w:lang w:bidi="th-TH"/>
              </w:rPr>
            </w:pPr>
            <w:r w:rsidRPr="00C3328E">
              <w:rPr>
                <w:rFonts w:cs="Arial"/>
                <w:sz w:val="16"/>
                <w:szCs w:val="16"/>
                <w:lang w:bidi="th-TH"/>
              </w:rPr>
              <w:t xml:space="preserve">Data </w:t>
            </w:r>
            <w:r>
              <w:rPr>
                <w:rFonts w:cs="Arial"/>
                <w:sz w:val="16"/>
                <w:szCs w:val="16"/>
                <w:lang w:bidi="th-TH"/>
              </w:rPr>
              <w:t>to be available in</w:t>
            </w:r>
            <w:r w:rsidRPr="00C3328E">
              <w:rPr>
                <w:rFonts w:cs="Arial"/>
                <w:sz w:val="16"/>
                <w:szCs w:val="16"/>
                <w:lang w:bidi="th-TH"/>
              </w:rPr>
              <w:t xml:space="preserve"> 2015.</w:t>
            </w:r>
          </w:p>
        </w:tc>
        <w:tc>
          <w:tcPr>
            <w:tcW w:w="531" w:type="pct"/>
            <w:tcBorders>
              <w:top w:val="nil"/>
              <w:bottom w:val="nil"/>
              <w:right w:val="single" w:sz="4" w:space="0" w:color="auto"/>
            </w:tcBorders>
            <w:shd w:val="clear" w:color="auto" w:fill="auto"/>
            <w:tcMar>
              <w:top w:w="110" w:type="dxa"/>
            </w:tcMar>
          </w:tcPr>
          <w:p w:rsidR="00FF768F" w:rsidRPr="000368FE" w:rsidRDefault="00FF768F" w:rsidP="00E023E5">
            <w:pPr>
              <w:keepNext/>
              <w:keepLines/>
              <w:jc w:val="center"/>
              <w:rPr>
                <w:rFonts w:cs="Arial"/>
                <w:b/>
                <w:bCs/>
                <w:color w:val="808080"/>
                <w:sz w:val="16"/>
                <w:szCs w:val="16"/>
              </w:rPr>
            </w:pPr>
            <w:r w:rsidRPr="00F54CA4">
              <w:rPr>
                <w:rFonts w:cs="Arial"/>
                <w:b/>
                <w:bCs/>
                <w:color w:val="0070C0"/>
                <w:sz w:val="16"/>
                <w:szCs w:val="16"/>
              </w:rPr>
              <w:t>N/A 2014</w:t>
            </w:r>
          </w:p>
        </w:tc>
      </w:tr>
      <w:tr w:rsidR="00FF768F" w:rsidRPr="0020416E" w:rsidTr="00F54CA4">
        <w:tc>
          <w:tcPr>
            <w:tcW w:w="1138" w:type="pct"/>
            <w:tcBorders>
              <w:top w:val="nil"/>
              <w:left w:val="single" w:sz="4" w:space="0" w:color="auto"/>
              <w:bottom w:val="single" w:sz="4" w:space="0" w:color="auto"/>
            </w:tcBorders>
            <w:shd w:val="clear" w:color="auto" w:fill="auto"/>
          </w:tcPr>
          <w:p w:rsidR="00FF768F" w:rsidRPr="00C3328E" w:rsidRDefault="00FF768F" w:rsidP="00E023E5">
            <w:pPr>
              <w:rPr>
                <w:rFonts w:cs="Arial"/>
                <w:sz w:val="16"/>
                <w:szCs w:val="16"/>
                <w:lang w:bidi="th-TH"/>
              </w:rPr>
            </w:pPr>
            <w:r w:rsidRPr="00C3328E">
              <w:rPr>
                <w:rFonts w:cs="Arial"/>
                <w:sz w:val="16"/>
                <w:szCs w:val="16"/>
                <w:lang w:bidi="th-TH"/>
              </w:rPr>
              <w:t>ORGANIZATIONAL LEARNING-Uptake of Lessons and Recommendations from Oversight Processes.</w:t>
            </w:r>
          </w:p>
        </w:tc>
        <w:tc>
          <w:tcPr>
            <w:tcW w:w="1136" w:type="pct"/>
            <w:tcBorders>
              <w:top w:val="nil"/>
              <w:bottom w:val="single" w:sz="4" w:space="0" w:color="auto"/>
            </w:tcBorders>
            <w:shd w:val="clear" w:color="auto" w:fill="auto"/>
          </w:tcPr>
          <w:p w:rsidR="00FF768F" w:rsidRPr="00C3328E" w:rsidRDefault="00FF768F" w:rsidP="00E023E5">
            <w:pPr>
              <w:keepNext/>
              <w:keepLines/>
              <w:rPr>
                <w:rFonts w:cs="Arial"/>
                <w:sz w:val="16"/>
                <w:szCs w:val="16"/>
                <w:lang w:bidi="th-TH"/>
              </w:rPr>
            </w:pPr>
            <w:r w:rsidRPr="00C3328E">
              <w:rPr>
                <w:rFonts w:cs="Arial"/>
                <w:sz w:val="16"/>
                <w:szCs w:val="16"/>
                <w:lang w:bidi="th-TH"/>
              </w:rPr>
              <w:t>90% of recommendations accepted</w:t>
            </w:r>
          </w:p>
          <w:p w:rsidR="00FF768F" w:rsidRDefault="00FF768F" w:rsidP="00E023E5">
            <w:pPr>
              <w:keepNext/>
              <w:keepLines/>
              <w:rPr>
                <w:rFonts w:cs="Arial"/>
                <w:sz w:val="16"/>
                <w:szCs w:val="16"/>
                <w:lang w:bidi="th-TH"/>
              </w:rPr>
            </w:pPr>
            <w:r w:rsidRPr="00C3328E">
              <w:rPr>
                <w:rFonts w:cs="Arial"/>
                <w:sz w:val="16"/>
                <w:szCs w:val="16"/>
                <w:lang w:bidi="th-TH"/>
              </w:rPr>
              <w:t xml:space="preserve">90% of recommendations implemented in two </w:t>
            </w:r>
            <w:proofErr w:type="spellStart"/>
            <w:r w:rsidRPr="00C3328E">
              <w:rPr>
                <w:rFonts w:cs="Arial"/>
                <w:sz w:val="16"/>
                <w:szCs w:val="16"/>
                <w:lang w:bidi="th-TH"/>
              </w:rPr>
              <w:t>years time</w:t>
            </w:r>
            <w:proofErr w:type="spellEnd"/>
          </w:p>
          <w:p w:rsidR="00FF768F" w:rsidRDefault="00FF768F" w:rsidP="00E023E5">
            <w:pPr>
              <w:keepNext/>
              <w:keepLines/>
              <w:rPr>
                <w:rFonts w:cs="Arial"/>
                <w:i/>
                <w:color w:val="002060"/>
                <w:sz w:val="16"/>
                <w:szCs w:val="16"/>
              </w:rPr>
            </w:pPr>
          </w:p>
        </w:tc>
        <w:tc>
          <w:tcPr>
            <w:tcW w:w="984" w:type="pct"/>
            <w:tcBorders>
              <w:top w:val="nil"/>
              <w:bottom w:val="single" w:sz="4" w:space="0" w:color="auto"/>
            </w:tcBorders>
            <w:shd w:val="clear" w:color="auto" w:fill="auto"/>
            <w:tcMar>
              <w:top w:w="110" w:type="dxa"/>
            </w:tcMar>
          </w:tcPr>
          <w:p w:rsidR="00FF768F" w:rsidRPr="00C3328E" w:rsidRDefault="00FF768F" w:rsidP="00E023E5">
            <w:pPr>
              <w:autoSpaceDE w:val="0"/>
              <w:autoSpaceDN w:val="0"/>
              <w:adjustRightInd w:val="0"/>
              <w:rPr>
                <w:rFonts w:cs="Arial"/>
                <w:sz w:val="16"/>
                <w:szCs w:val="16"/>
              </w:rPr>
            </w:pPr>
            <w:r w:rsidRPr="00C3328E">
              <w:rPr>
                <w:rFonts w:cs="Arial"/>
                <w:sz w:val="16"/>
                <w:szCs w:val="16"/>
              </w:rPr>
              <w:t>90% of recommendations accepted</w:t>
            </w:r>
          </w:p>
          <w:p w:rsidR="00FF768F" w:rsidRPr="00C3328E" w:rsidRDefault="00FF768F" w:rsidP="00E023E5">
            <w:pPr>
              <w:autoSpaceDE w:val="0"/>
              <w:autoSpaceDN w:val="0"/>
              <w:adjustRightInd w:val="0"/>
              <w:rPr>
                <w:rFonts w:cs="Arial"/>
                <w:sz w:val="16"/>
                <w:szCs w:val="16"/>
              </w:rPr>
            </w:pPr>
            <w:r w:rsidRPr="00C3328E">
              <w:rPr>
                <w:rFonts w:cs="Arial"/>
                <w:sz w:val="16"/>
                <w:szCs w:val="16"/>
              </w:rPr>
              <w:t xml:space="preserve">90% of recommendations implemented in two </w:t>
            </w:r>
            <w:proofErr w:type="spellStart"/>
            <w:r w:rsidRPr="00C3328E">
              <w:rPr>
                <w:rFonts w:cs="Arial"/>
                <w:sz w:val="16"/>
                <w:szCs w:val="16"/>
              </w:rPr>
              <w:t>years time</w:t>
            </w:r>
            <w:proofErr w:type="spellEnd"/>
          </w:p>
        </w:tc>
        <w:tc>
          <w:tcPr>
            <w:tcW w:w="1212" w:type="pct"/>
            <w:tcBorders>
              <w:top w:val="nil"/>
              <w:bottom w:val="single" w:sz="4" w:space="0" w:color="auto"/>
            </w:tcBorders>
            <w:shd w:val="clear" w:color="auto" w:fill="FFFFFF"/>
            <w:tcMar>
              <w:top w:w="110" w:type="dxa"/>
            </w:tcMar>
          </w:tcPr>
          <w:p w:rsidR="00FF768F" w:rsidRPr="00C3328E" w:rsidRDefault="00FF768F" w:rsidP="00E023E5">
            <w:pPr>
              <w:rPr>
                <w:rFonts w:cs="Arial"/>
                <w:sz w:val="16"/>
                <w:szCs w:val="16"/>
                <w:lang w:bidi="th-TH"/>
              </w:rPr>
            </w:pPr>
            <w:r w:rsidRPr="00C3328E">
              <w:rPr>
                <w:rFonts w:cs="Arial"/>
                <w:sz w:val="16"/>
                <w:szCs w:val="16"/>
                <w:lang w:bidi="th-TH"/>
              </w:rPr>
              <w:t>84% of satisfaction rate; 100% of recommendations accepted</w:t>
            </w:r>
            <w:r>
              <w:rPr>
                <w:rFonts w:cs="Arial"/>
                <w:sz w:val="16"/>
                <w:szCs w:val="16"/>
                <w:lang w:bidi="th-TH"/>
              </w:rPr>
              <w:t xml:space="preserve">; </w:t>
            </w:r>
            <w:r w:rsidRPr="00C3328E">
              <w:rPr>
                <w:rFonts w:cs="Arial"/>
                <w:sz w:val="16"/>
                <w:szCs w:val="16"/>
                <w:lang w:bidi="th-TH"/>
              </w:rPr>
              <w:t xml:space="preserve">90% of recommendations implemented </w:t>
            </w:r>
            <w:r>
              <w:rPr>
                <w:rFonts w:cs="Arial"/>
                <w:sz w:val="16"/>
                <w:szCs w:val="16"/>
                <w:lang w:bidi="th-TH"/>
              </w:rPr>
              <w:t>with</w:t>
            </w:r>
            <w:r w:rsidRPr="00C3328E">
              <w:rPr>
                <w:rFonts w:cs="Arial"/>
                <w:sz w:val="16"/>
                <w:szCs w:val="16"/>
                <w:lang w:bidi="th-TH"/>
              </w:rPr>
              <w:t>in two years</w:t>
            </w:r>
          </w:p>
        </w:tc>
        <w:tc>
          <w:tcPr>
            <w:tcW w:w="531" w:type="pct"/>
            <w:tcBorders>
              <w:top w:val="nil"/>
              <w:bottom w:val="single" w:sz="4" w:space="0" w:color="auto"/>
              <w:right w:val="single" w:sz="4" w:space="0" w:color="auto"/>
            </w:tcBorders>
            <w:shd w:val="clear" w:color="auto" w:fill="auto"/>
            <w:tcMar>
              <w:top w:w="110" w:type="dxa"/>
            </w:tcMar>
          </w:tcPr>
          <w:p w:rsidR="00FF768F" w:rsidRPr="00C3328E" w:rsidRDefault="00FF768F" w:rsidP="00E023E5">
            <w:pPr>
              <w:keepNext/>
              <w:keepLines/>
              <w:jc w:val="center"/>
              <w:rPr>
                <w:rFonts w:cs="Arial"/>
                <w:b/>
                <w:bCs/>
                <w:color w:val="00B050"/>
                <w:sz w:val="16"/>
                <w:szCs w:val="16"/>
              </w:rPr>
            </w:pPr>
            <w:r w:rsidRPr="00C3328E">
              <w:rPr>
                <w:rFonts w:cs="Arial"/>
                <w:b/>
                <w:bCs/>
                <w:color w:val="00B050"/>
                <w:sz w:val="16"/>
                <w:szCs w:val="16"/>
              </w:rPr>
              <w:t>On track</w:t>
            </w:r>
          </w:p>
        </w:tc>
      </w:tr>
    </w:tbl>
    <w:p w:rsidR="00FF768F" w:rsidRDefault="00FF768F">
      <w:pPr>
        <w:rPr>
          <w:rFonts w:cs="Arial"/>
          <w:color w:val="000000"/>
          <w:sz w:val="22"/>
          <w:szCs w:val="22"/>
        </w:rPr>
      </w:pPr>
    </w:p>
    <w:p w:rsidR="00FF768F" w:rsidRDefault="00FF768F">
      <w:pPr>
        <w:rPr>
          <w:rFonts w:cs="Arial"/>
          <w:color w:val="000000"/>
          <w:sz w:val="22"/>
          <w:szCs w:val="22"/>
        </w:rPr>
      </w:pPr>
    </w:p>
    <w:p w:rsidR="00FF768F" w:rsidRDefault="00FF768F">
      <w:pPr>
        <w:rPr>
          <w:rFonts w:cs="Arial"/>
          <w:color w:val="000000"/>
          <w:sz w:val="22"/>
          <w:szCs w:val="22"/>
        </w:rPr>
      </w:pPr>
    </w:p>
    <w:p w:rsidR="00FF768F" w:rsidRDefault="00FF768F" w:rsidP="00A8525E">
      <w:pPr>
        <w:rPr>
          <w:b/>
          <w:sz w:val="18"/>
          <w:szCs w:val="18"/>
        </w:rPr>
      </w:pPr>
      <w:r>
        <w:rPr>
          <w:rFonts w:cs="Arial"/>
          <w:color w:val="000000"/>
          <w:sz w:val="22"/>
          <w:szCs w:val="22"/>
        </w:rPr>
        <w:t>RESOURCE UTILIZATION</w:t>
      </w:r>
      <w:r>
        <w:rPr>
          <w:rFonts w:cs="Arial"/>
          <w:color w:val="000000"/>
          <w:sz w:val="22"/>
          <w:szCs w:val="22"/>
        </w:rPr>
        <w:tab/>
      </w:r>
    </w:p>
    <w:p w:rsidR="00FF768F" w:rsidRPr="008F4A6D" w:rsidRDefault="00FF768F">
      <w:pPr>
        <w:rPr>
          <w:szCs w:val="20"/>
        </w:rPr>
      </w:pPr>
    </w:p>
    <w:p w:rsidR="00FF768F" w:rsidRPr="00383D2D" w:rsidRDefault="00FF768F" w:rsidP="004611B9">
      <w:pPr>
        <w:pStyle w:val="NormalWeb"/>
        <w:spacing w:before="0" w:beforeAutospacing="0" w:after="0" w:afterAutospacing="0"/>
        <w:jc w:val="center"/>
        <w:rPr>
          <w:sz w:val="20"/>
          <w:szCs w:val="20"/>
        </w:rPr>
      </w:pPr>
      <w:r w:rsidRPr="00383D2D">
        <w:rPr>
          <w:color w:val="000000"/>
          <w:sz w:val="20"/>
          <w:szCs w:val="20"/>
        </w:rPr>
        <w:t xml:space="preserve">Budget and Actual Expenditure (by result) </w:t>
      </w:r>
    </w:p>
    <w:p w:rsidR="00FF768F" w:rsidRDefault="00FF768F" w:rsidP="004611B9">
      <w:pPr>
        <w:pStyle w:val="NormalWeb"/>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FF768F" w:rsidRPr="00383D2D" w:rsidRDefault="00FF768F" w:rsidP="004611B9">
      <w:pPr>
        <w:pStyle w:val="NormalWeb"/>
        <w:spacing w:before="0" w:beforeAutospacing="0" w:after="0" w:afterAutospacing="0"/>
        <w:jc w:val="center"/>
        <w:rPr>
          <w:sz w:val="20"/>
          <w:szCs w:val="20"/>
        </w:rPr>
      </w:pPr>
    </w:p>
    <w:p w:rsidR="00FF768F" w:rsidRDefault="00FF768F" w:rsidP="00E023E5">
      <w:pPr>
        <w:jc w:val="center"/>
      </w:pPr>
      <w:r w:rsidRPr="00807E2F">
        <w:rPr>
          <w:noProof/>
        </w:rPr>
        <w:drawing>
          <wp:inline distT="0" distB="0" distL="0" distR="0" wp14:anchorId="45DC7020" wp14:editId="34C64F05">
            <wp:extent cx="5529532" cy="1306981"/>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529704" cy="1307022"/>
                    </a:xfrm>
                    <a:prstGeom prst="rect">
                      <a:avLst/>
                    </a:prstGeom>
                    <a:noFill/>
                    <a:ln>
                      <a:noFill/>
                    </a:ln>
                  </pic:spPr>
                </pic:pic>
              </a:graphicData>
            </a:graphic>
          </wp:inline>
        </w:drawing>
      </w:r>
    </w:p>
    <w:p w:rsidR="00FF768F" w:rsidRDefault="00FF768F"/>
    <w:p w:rsidR="00FF768F" w:rsidRDefault="00FF768F"/>
    <w:p w:rsidR="00FF768F" w:rsidRPr="00383D2D" w:rsidRDefault="00FF768F" w:rsidP="00383D2D">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FF768F" w:rsidRPr="00383D2D" w:rsidRDefault="00FF768F" w:rsidP="00383D2D">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FF768F" w:rsidRDefault="00FF768F" w:rsidP="00383D2D">
      <w:pPr>
        <w:pStyle w:val="NormalWeb"/>
        <w:keepNext/>
        <w:keepLines/>
        <w:spacing w:before="0" w:beforeAutospacing="0" w:after="0" w:afterAutospacing="0"/>
        <w:jc w:val="center"/>
      </w:pPr>
    </w:p>
    <w:p w:rsidR="00FF768F" w:rsidRPr="00383D2D" w:rsidRDefault="00FF768F" w:rsidP="00E023E5">
      <w:pPr>
        <w:jc w:val="center"/>
        <w:rPr>
          <w:szCs w:val="20"/>
        </w:rPr>
      </w:pPr>
      <w:r w:rsidRPr="00807E2F">
        <w:rPr>
          <w:noProof/>
        </w:rPr>
        <w:drawing>
          <wp:inline distT="0" distB="0" distL="0" distR="0" wp14:anchorId="36D25306" wp14:editId="3DC7EFB6">
            <wp:extent cx="5555411" cy="1193211"/>
            <wp:effectExtent l="0" t="0" r="762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550899" cy="1192242"/>
                    </a:xfrm>
                    <a:prstGeom prst="rect">
                      <a:avLst/>
                    </a:prstGeom>
                    <a:noFill/>
                    <a:ln>
                      <a:noFill/>
                    </a:ln>
                  </pic:spPr>
                </pic:pic>
              </a:graphicData>
            </a:graphic>
          </wp:inline>
        </w:drawing>
      </w:r>
    </w:p>
    <w:p w:rsidR="00FF768F" w:rsidRPr="004312A2" w:rsidRDefault="00FF768F" w:rsidP="00DD012F">
      <w:pPr>
        <w:keepNext/>
        <w:autoSpaceDE w:val="0"/>
        <w:autoSpaceDN w:val="0"/>
        <w:rPr>
          <w:sz w:val="16"/>
          <w:szCs w:val="16"/>
        </w:rPr>
      </w:pPr>
      <w:r w:rsidRPr="00544CDC">
        <w:rPr>
          <w:i/>
          <w:sz w:val="16"/>
          <w:szCs w:val="16"/>
        </w:rPr>
        <w:t>NOTE: The 2014/15 Budget after Transfers reflects transfers as of March 31, 2015 to address needs during the 2014/15 biennium in line with Financial Regulation 5.5.</w:t>
      </w:r>
    </w:p>
    <w:p w:rsidR="00FF768F" w:rsidRPr="008F4A6D" w:rsidRDefault="00FF768F" w:rsidP="00420F90">
      <w:pPr>
        <w:widowControl w:val="0"/>
        <w:autoSpaceDE w:val="0"/>
        <w:autoSpaceDN w:val="0"/>
        <w:adjustRightInd w:val="0"/>
        <w:rPr>
          <w:rFonts w:cs="Arial"/>
          <w:szCs w:val="20"/>
        </w:rPr>
      </w:pPr>
    </w:p>
    <w:p w:rsidR="00FF768F" w:rsidRPr="001C6F4D" w:rsidRDefault="00FF768F" w:rsidP="00420F90">
      <w:pPr>
        <w:widowControl w:val="0"/>
        <w:autoSpaceDE w:val="0"/>
        <w:autoSpaceDN w:val="0"/>
        <w:adjustRightInd w:val="0"/>
        <w:rPr>
          <w:rFonts w:cs="Arial"/>
          <w:szCs w:val="20"/>
        </w:rPr>
      </w:pPr>
    </w:p>
    <w:p w:rsidR="00FF768F" w:rsidRDefault="00FF768F" w:rsidP="00A93FCA">
      <w:pPr>
        <w:rPr>
          <w:rFonts w:cs="Arial"/>
          <w:u w:val="single"/>
        </w:rPr>
      </w:pPr>
      <w:r w:rsidRPr="00420F90">
        <w:rPr>
          <w:rFonts w:cs="Arial"/>
          <w:szCs w:val="20"/>
        </w:rPr>
        <w:t>A.</w:t>
      </w:r>
      <w:r w:rsidRPr="00420F90">
        <w:rPr>
          <w:rFonts w:cs="Arial"/>
        </w:rPr>
        <w:tab/>
      </w:r>
      <w:r w:rsidRPr="00420F90">
        <w:rPr>
          <w:rFonts w:cs="Arial"/>
          <w:u w:val="single"/>
        </w:rPr>
        <w:t>Budget after Transfers 201</w:t>
      </w:r>
      <w:r>
        <w:rPr>
          <w:rFonts w:cs="Arial"/>
          <w:u w:val="single"/>
        </w:rPr>
        <w:t>4/15</w:t>
      </w:r>
    </w:p>
    <w:p w:rsidR="00FF768F" w:rsidRPr="00420F90" w:rsidRDefault="00FF768F" w:rsidP="00A93FCA">
      <w:pPr>
        <w:rPr>
          <w:rFonts w:cs="Arial"/>
          <w:u w:val="single"/>
        </w:rPr>
      </w:pPr>
    </w:p>
    <w:p w:rsidR="00FF768F" w:rsidRDefault="00FF768F" w:rsidP="00520CAA">
      <w:pPr>
        <w:pStyle w:val="ListParagraph"/>
        <w:numPr>
          <w:ilvl w:val="0"/>
          <w:numId w:val="3"/>
        </w:numPr>
        <w:ind w:left="0" w:firstLine="0"/>
        <w:jc w:val="both"/>
        <w:rPr>
          <w:rFonts w:cs="Arial"/>
          <w:lang w:eastAsia="ko-KR"/>
        </w:rPr>
      </w:pPr>
      <w:r w:rsidRPr="006D1EA0">
        <w:rPr>
          <w:rFonts w:cs="Arial"/>
          <w:color w:val="000000"/>
        </w:rPr>
        <w:t xml:space="preserve">The </w:t>
      </w:r>
      <w:r>
        <w:rPr>
          <w:rFonts w:cs="Arial"/>
          <w:color w:val="000000"/>
        </w:rPr>
        <w:t xml:space="preserve">2014/15 </w:t>
      </w:r>
      <w:r w:rsidRPr="006D1EA0">
        <w:rPr>
          <w:rFonts w:cs="Arial"/>
          <w:color w:val="000000"/>
        </w:rPr>
        <w:t xml:space="preserve">Budget after </w:t>
      </w:r>
      <w:r>
        <w:rPr>
          <w:rFonts w:cs="Arial"/>
          <w:color w:val="000000"/>
        </w:rPr>
        <w:t>T</w:t>
      </w:r>
      <w:r w:rsidRPr="006D1EA0">
        <w:rPr>
          <w:rFonts w:cs="Arial"/>
          <w:color w:val="000000"/>
        </w:rPr>
        <w:t xml:space="preserve">ransfers reflects </w:t>
      </w:r>
      <w:r>
        <w:rPr>
          <w:rFonts w:cs="Arial"/>
          <w:color w:val="000000"/>
        </w:rPr>
        <w:t xml:space="preserve">a slight downward adjustment made for cost efficiency gains. </w:t>
      </w:r>
    </w:p>
    <w:p w:rsidR="00FF768F" w:rsidRDefault="00FF768F" w:rsidP="00E023E5">
      <w:pPr>
        <w:autoSpaceDE w:val="0"/>
        <w:autoSpaceDN w:val="0"/>
        <w:jc w:val="both"/>
        <w:rPr>
          <w:rFonts w:cs="Arial"/>
          <w:szCs w:val="20"/>
          <w:lang w:eastAsia="ko-KR"/>
        </w:rPr>
      </w:pPr>
    </w:p>
    <w:p w:rsidR="00FF768F" w:rsidRDefault="00FF768F" w:rsidP="00E023E5">
      <w:pPr>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Budget utilization 2014</w:t>
      </w:r>
    </w:p>
    <w:p w:rsidR="00FF768F" w:rsidRDefault="00FF768F" w:rsidP="00E023E5">
      <w:pPr>
        <w:jc w:val="both"/>
        <w:rPr>
          <w:rFonts w:cs="Arial"/>
          <w:szCs w:val="20"/>
          <w:u w:val="single"/>
          <w:lang w:eastAsia="ko-KR"/>
        </w:rPr>
      </w:pPr>
    </w:p>
    <w:p w:rsidR="00FF768F" w:rsidRPr="002651C8" w:rsidRDefault="00FF768F" w:rsidP="00520CAA">
      <w:pPr>
        <w:pStyle w:val="ListParagraph"/>
        <w:numPr>
          <w:ilvl w:val="0"/>
          <w:numId w:val="3"/>
        </w:numPr>
        <w:ind w:left="0" w:firstLine="0"/>
        <w:jc w:val="both"/>
        <w:rPr>
          <w:rFonts w:ascii="Calibri" w:hAnsi="Calibri"/>
          <w:sz w:val="22"/>
          <w:szCs w:val="22"/>
        </w:rPr>
      </w:pPr>
      <w:r>
        <w:rPr>
          <w:rFonts w:cs="Arial"/>
          <w:lang w:eastAsia="ko-KR"/>
        </w:rPr>
        <w:t xml:space="preserve">Budget utilization is within the expected range of 40-60 per cent for the first year of the biennium and is on track. </w:t>
      </w:r>
    </w:p>
    <w:p w:rsidR="00FF768F" w:rsidRDefault="00FF768F" w:rsidP="00E023E5">
      <w:pPr>
        <w:jc w:val="both"/>
      </w:pPr>
    </w:p>
    <w:p w:rsidR="00FF768F" w:rsidRDefault="00FF768F">
      <w:r>
        <w:br w:type="page"/>
      </w:r>
    </w:p>
    <w:p w:rsidR="004E366B" w:rsidRPr="000B3AA7" w:rsidRDefault="00127901" w:rsidP="00127901">
      <w:pPr>
        <w:pStyle w:val="Heading2"/>
        <w:tabs>
          <w:tab w:val="clear" w:pos="567"/>
          <w:tab w:val="left" w:pos="1985"/>
        </w:tabs>
        <w:ind w:left="1985" w:hanging="1985"/>
        <w:jc w:val="both"/>
      </w:pPr>
      <w:bookmarkStart w:id="98" w:name="_Toc422210516"/>
      <w:r>
        <w:lastRenderedPageBreak/>
        <w:t>PROGRAM 27</w:t>
      </w:r>
      <w:r>
        <w:tab/>
      </w:r>
      <w:r w:rsidR="004E366B" w:rsidRPr="000B3AA7">
        <w:t>CONFERENCE AND LANGUAGE SERVICES</w:t>
      </w:r>
      <w:bookmarkEnd w:id="98"/>
    </w:p>
    <w:p w:rsidR="004E366B" w:rsidRPr="000B3AA7" w:rsidRDefault="004E366B" w:rsidP="00271CFB">
      <w:pPr>
        <w:jc w:val="both"/>
        <w:rPr>
          <w:szCs w:val="20"/>
        </w:rPr>
      </w:pPr>
    </w:p>
    <w:p w:rsidR="004E366B" w:rsidRPr="00C950D6" w:rsidRDefault="004E366B" w:rsidP="00271CFB">
      <w:pPr>
        <w:tabs>
          <w:tab w:val="left" w:pos="1985"/>
        </w:tabs>
        <w:jc w:val="both"/>
        <w:rPr>
          <w:b/>
          <w:szCs w:val="22"/>
        </w:rPr>
      </w:pPr>
      <w:r w:rsidRPr="00C950D6">
        <w:rPr>
          <w:b/>
          <w:szCs w:val="22"/>
        </w:rPr>
        <w:t>Program Manager</w:t>
      </w:r>
      <w:r w:rsidRPr="00C950D6">
        <w:rPr>
          <w:b/>
          <w:szCs w:val="22"/>
        </w:rPr>
        <w:tab/>
        <w:t>Mr. A. Sundaram</w:t>
      </w:r>
    </w:p>
    <w:p w:rsidR="004E366B" w:rsidRPr="000B3AA7" w:rsidRDefault="004E366B" w:rsidP="00271CFB">
      <w:pPr>
        <w:jc w:val="both"/>
        <w:rPr>
          <w:szCs w:val="20"/>
        </w:rPr>
      </w:pPr>
    </w:p>
    <w:p w:rsidR="004E366B" w:rsidRPr="000B3AA7" w:rsidRDefault="004E366B" w:rsidP="00271CFB">
      <w:pPr>
        <w:jc w:val="both"/>
        <w:rPr>
          <w:szCs w:val="20"/>
        </w:rPr>
      </w:pPr>
    </w:p>
    <w:p w:rsidR="004E366B" w:rsidRPr="000B3AA7" w:rsidRDefault="004E366B" w:rsidP="00271CFB">
      <w:pPr>
        <w:jc w:val="both"/>
        <w:rPr>
          <w:bCs/>
          <w:sz w:val="22"/>
          <w:szCs w:val="22"/>
        </w:rPr>
      </w:pPr>
      <w:r w:rsidRPr="000B3AA7">
        <w:rPr>
          <w:bCs/>
          <w:sz w:val="22"/>
          <w:szCs w:val="22"/>
        </w:rPr>
        <w:t>OVERVIEW OF PROGRESS IN 2014</w:t>
      </w:r>
    </w:p>
    <w:p w:rsidR="004E366B" w:rsidRPr="000B3AA7" w:rsidRDefault="004E366B" w:rsidP="00271CFB">
      <w:pPr>
        <w:jc w:val="both"/>
        <w:rPr>
          <w:szCs w:val="20"/>
        </w:rPr>
      </w:pPr>
    </w:p>
    <w:p w:rsidR="004E366B" w:rsidRPr="00070896" w:rsidRDefault="004E366B" w:rsidP="004E366B">
      <w:pPr>
        <w:pStyle w:val="ListParagraph"/>
        <w:numPr>
          <w:ilvl w:val="0"/>
          <w:numId w:val="50"/>
        </w:numPr>
        <w:tabs>
          <w:tab w:val="left" w:pos="709"/>
        </w:tabs>
        <w:ind w:left="0" w:firstLine="0"/>
        <w:jc w:val="both"/>
        <w:rPr>
          <w:rFonts w:cs="Arial"/>
          <w:bCs/>
          <w:lang w:eastAsia="zh-CN"/>
        </w:rPr>
      </w:pPr>
      <w:r w:rsidRPr="00070896">
        <w:rPr>
          <w:rFonts w:cs="Arial"/>
          <w:bCs/>
          <w:color w:val="000000"/>
        </w:rPr>
        <w:t xml:space="preserve">During the year under review, the </w:t>
      </w:r>
      <w:r w:rsidRPr="00070896">
        <w:rPr>
          <w:rFonts w:cs="Arial"/>
          <w:bCs/>
        </w:rPr>
        <w:t xml:space="preserve">Secretariat </w:t>
      </w:r>
      <w:r w:rsidRPr="00070896">
        <w:rPr>
          <w:rFonts w:cs="Arial"/>
          <w:bCs/>
          <w:lang w:eastAsia="zh-CN"/>
        </w:rPr>
        <w:t xml:space="preserve">continued to effectively implement the WIPO Language Policy by extending the six-language coverage to Working Groups in a phased and cost effective manner.  According to the timeline set by Member States, coverage was extended in 2014 to the PCT Working Group and the Working Group on the Legal Development of the Hague System for the International Registration of Industrial Designs.  </w:t>
      </w:r>
    </w:p>
    <w:p w:rsidR="004E366B" w:rsidRPr="00070896" w:rsidRDefault="004E366B" w:rsidP="00271CFB">
      <w:pPr>
        <w:tabs>
          <w:tab w:val="left" w:pos="709"/>
        </w:tabs>
        <w:jc w:val="both"/>
        <w:rPr>
          <w:rFonts w:cs="Arial"/>
          <w:bCs/>
          <w:szCs w:val="20"/>
          <w:lang w:eastAsia="zh-CN"/>
        </w:rPr>
      </w:pPr>
    </w:p>
    <w:p w:rsidR="004E366B" w:rsidRPr="00070896" w:rsidRDefault="004E366B" w:rsidP="004E366B">
      <w:pPr>
        <w:pStyle w:val="ListParagraph"/>
        <w:numPr>
          <w:ilvl w:val="0"/>
          <w:numId w:val="50"/>
        </w:numPr>
        <w:tabs>
          <w:tab w:val="left" w:pos="709"/>
        </w:tabs>
        <w:ind w:left="0" w:firstLine="0"/>
        <w:jc w:val="both"/>
        <w:rPr>
          <w:rFonts w:cs="Arial"/>
          <w:bCs/>
          <w:lang w:eastAsia="zh-CN"/>
        </w:rPr>
      </w:pPr>
      <w:r w:rsidRPr="00070896">
        <w:rPr>
          <w:rFonts w:cs="Arial"/>
          <w:bCs/>
        </w:rPr>
        <w:t>By rigorously applying the rationalization and control measures on the number and size of documents for all meetings, the translation volume was kept at a similar level to the previous year, despite the extended language coverage to these two major Working Groups.</w:t>
      </w:r>
    </w:p>
    <w:p w:rsidR="004E366B" w:rsidRPr="00070896" w:rsidRDefault="004E366B" w:rsidP="00271CFB">
      <w:pPr>
        <w:tabs>
          <w:tab w:val="left" w:pos="709"/>
        </w:tabs>
        <w:jc w:val="both"/>
        <w:rPr>
          <w:rFonts w:cs="Arial"/>
          <w:bCs/>
          <w:szCs w:val="20"/>
          <w:lang w:eastAsia="zh-CN"/>
        </w:rPr>
      </w:pPr>
    </w:p>
    <w:p w:rsidR="004E366B" w:rsidRPr="00070896" w:rsidRDefault="004E366B" w:rsidP="004E366B">
      <w:pPr>
        <w:pStyle w:val="ListParagraph"/>
        <w:numPr>
          <w:ilvl w:val="0"/>
          <w:numId w:val="50"/>
        </w:numPr>
        <w:tabs>
          <w:tab w:val="left" w:pos="709"/>
        </w:tabs>
        <w:ind w:left="0" w:firstLine="0"/>
        <w:jc w:val="both"/>
        <w:rPr>
          <w:rFonts w:cs="Arial"/>
          <w:bCs/>
          <w:lang w:eastAsia="zh-CN"/>
        </w:rPr>
      </w:pPr>
      <w:r w:rsidRPr="00070896">
        <w:rPr>
          <w:rFonts w:cs="Arial"/>
          <w:bCs/>
          <w:lang w:eastAsia="zh-CN"/>
        </w:rPr>
        <w:t>Language services continued placing a higher reliance on outsourcing of translation services, with 59 per cent of the workload outsourced to individual and institutional translators in 2014, compared to 56 per cent in 2013.  In order to ensure the quality of translation, quality control measures were further enhanced with the help of the internal core team of translators and revisers.  New measures and work processes were developed and streamlined across all languages.  The overall quality control rate rose from less than 10 per cent before the implementation of the Language Policy (end of 2011) to around 39</w:t>
      </w:r>
      <w:r>
        <w:rPr>
          <w:rFonts w:cs="Arial"/>
          <w:bCs/>
          <w:lang w:eastAsia="zh-CN"/>
        </w:rPr>
        <w:t> </w:t>
      </w:r>
      <w:r w:rsidRPr="00070896">
        <w:rPr>
          <w:rFonts w:cs="Arial"/>
          <w:bCs/>
          <w:lang w:eastAsia="zh-CN"/>
        </w:rPr>
        <w:t xml:space="preserve">per cent in 2014. </w:t>
      </w:r>
    </w:p>
    <w:p w:rsidR="004E366B" w:rsidRPr="00070896" w:rsidRDefault="004E366B" w:rsidP="00271CFB">
      <w:pPr>
        <w:tabs>
          <w:tab w:val="left" w:pos="709"/>
        </w:tabs>
        <w:jc w:val="both"/>
        <w:rPr>
          <w:rFonts w:cs="Arial"/>
          <w:bCs/>
          <w:szCs w:val="20"/>
          <w:lang w:eastAsia="zh-CN"/>
        </w:rPr>
      </w:pPr>
    </w:p>
    <w:p w:rsidR="004E366B" w:rsidRPr="00070896" w:rsidRDefault="004E366B" w:rsidP="004E366B">
      <w:pPr>
        <w:pStyle w:val="ListParagraph"/>
        <w:numPr>
          <w:ilvl w:val="0"/>
          <w:numId w:val="50"/>
        </w:numPr>
        <w:tabs>
          <w:tab w:val="left" w:pos="709"/>
        </w:tabs>
        <w:ind w:left="0" w:firstLine="0"/>
        <w:jc w:val="both"/>
        <w:rPr>
          <w:rFonts w:cs="Arial"/>
          <w:bCs/>
          <w:lang w:eastAsia="zh-CN"/>
        </w:rPr>
      </w:pPr>
      <w:r w:rsidRPr="00070896">
        <w:rPr>
          <w:rFonts w:cs="Arial"/>
          <w:bCs/>
          <w:lang w:eastAsia="zh-CN"/>
        </w:rPr>
        <w:t>Building on the new Computer-Assisted Translation and Terminological (CATT) tools, which were fully integrated in 2014, the Program embarked on a terminology project, aiming at publishing terminology assets, for the first time, in all six UN languages, through the newly launched WIPO Pearl terminology platform, which currently includes only PCT terminological entries.</w:t>
      </w:r>
    </w:p>
    <w:p w:rsidR="004E366B" w:rsidRPr="00070896" w:rsidRDefault="004E366B" w:rsidP="00271CFB">
      <w:pPr>
        <w:tabs>
          <w:tab w:val="left" w:pos="709"/>
        </w:tabs>
        <w:jc w:val="both"/>
        <w:rPr>
          <w:rFonts w:cs="Arial"/>
          <w:bCs/>
          <w:szCs w:val="20"/>
          <w:lang w:eastAsia="zh-CN"/>
        </w:rPr>
      </w:pPr>
    </w:p>
    <w:p w:rsidR="004E366B" w:rsidRPr="00070896" w:rsidRDefault="004E366B" w:rsidP="004E366B">
      <w:pPr>
        <w:pStyle w:val="ListParagraph"/>
        <w:numPr>
          <w:ilvl w:val="0"/>
          <w:numId w:val="50"/>
        </w:numPr>
        <w:tabs>
          <w:tab w:val="left" w:pos="709"/>
        </w:tabs>
        <w:ind w:left="0" w:firstLine="0"/>
        <w:jc w:val="both"/>
        <w:rPr>
          <w:rFonts w:cs="Arial"/>
          <w:bCs/>
          <w:lang w:eastAsia="zh-CN"/>
        </w:rPr>
      </w:pPr>
      <w:r w:rsidRPr="00070896">
        <w:rPr>
          <w:rFonts w:cs="Arial"/>
          <w:bCs/>
          <w:lang w:eastAsia="zh-CN"/>
        </w:rPr>
        <w:t xml:space="preserve">In addition, the concept of “quality at source” was further strengthened by a general revision of the contractual relationship with external translators.  While retaining only those translators who conform to set standards, new individual translators were engaged only after an intensive examination process. Furthermore, systems were introduced to link payments with the quality and timely delivery of outsourced translations. </w:t>
      </w:r>
    </w:p>
    <w:p w:rsidR="004E366B" w:rsidRPr="00070896" w:rsidRDefault="004E366B" w:rsidP="00271CFB">
      <w:pPr>
        <w:tabs>
          <w:tab w:val="left" w:pos="709"/>
        </w:tabs>
        <w:jc w:val="both"/>
        <w:rPr>
          <w:rFonts w:cs="Arial"/>
          <w:bCs/>
          <w:szCs w:val="20"/>
          <w:lang w:eastAsia="zh-CN"/>
        </w:rPr>
      </w:pPr>
    </w:p>
    <w:p w:rsidR="004E366B" w:rsidRPr="00070896" w:rsidRDefault="004E366B" w:rsidP="004E366B">
      <w:pPr>
        <w:pStyle w:val="ListParagraph"/>
        <w:numPr>
          <w:ilvl w:val="0"/>
          <w:numId w:val="50"/>
        </w:numPr>
        <w:tabs>
          <w:tab w:val="left" w:pos="709"/>
        </w:tabs>
        <w:ind w:left="0" w:firstLine="0"/>
        <w:jc w:val="both"/>
        <w:rPr>
          <w:rFonts w:cs="Arial"/>
          <w:bCs/>
          <w:lang w:eastAsia="zh-CN"/>
        </w:rPr>
      </w:pPr>
      <w:r w:rsidRPr="00070896">
        <w:rPr>
          <w:rFonts w:cs="Arial"/>
          <w:bCs/>
          <w:lang w:eastAsia="zh-CN"/>
        </w:rPr>
        <w:t>Additional agencies were selected through international tenders to cover Arabic, Chinese and Russian translations, taking into consideration the experiences gained in outsourcing translation work into French and Spanish.</w:t>
      </w:r>
    </w:p>
    <w:p w:rsidR="004E366B" w:rsidRPr="00070896" w:rsidRDefault="004E366B" w:rsidP="00271CFB">
      <w:pPr>
        <w:tabs>
          <w:tab w:val="left" w:pos="709"/>
        </w:tabs>
        <w:jc w:val="both"/>
        <w:rPr>
          <w:rFonts w:cs="Arial"/>
          <w:bCs/>
          <w:szCs w:val="20"/>
          <w:lang w:eastAsia="zh-CN"/>
        </w:rPr>
      </w:pPr>
    </w:p>
    <w:p w:rsidR="004E366B" w:rsidRPr="00070896" w:rsidRDefault="004E366B" w:rsidP="004E366B">
      <w:pPr>
        <w:pStyle w:val="ListParagraph"/>
        <w:numPr>
          <w:ilvl w:val="0"/>
          <w:numId w:val="50"/>
        </w:numPr>
        <w:tabs>
          <w:tab w:val="left" w:pos="709"/>
        </w:tabs>
        <w:ind w:left="0" w:firstLine="0"/>
        <w:jc w:val="both"/>
        <w:rPr>
          <w:rFonts w:cs="Arial"/>
          <w:bCs/>
          <w:lang w:eastAsia="zh-CN"/>
        </w:rPr>
      </w:pPr>
      <w:r w:rsidRPr="00070896">
        <w:rPr>
          <w:rFonts w:cs="Arial"/>
          <w:bCs/>
          <w:lang w:eastAsia="zh-CN"/>
        </w:rPr>
        <w:t>These measures and initiatives contributed to the achievement of cost efficiencies, with the per-word translation cost reduced from 0.63 Swiss francs in 2013 to 0.59 Swiss francs in 2014.</w:t>
      </w:r>
    </w:p>
    <w:p w:rsidR="004E366B" w:rsidRPr="00070896" w:rsidRDefault="004E366B" w:rsidP="00271CFB">
      <w:pPr>
        <w:tabs>
          <w:tab w:val="left" w:pos="709"/>
        </w:tabs>
        <w:jc w:val="both"/>
        <w:rPr>
          <w:rFonts w:cs="Arial"/>
          <w:bCs/>
          <w:szCs w:val="20"/>
          <w:lang w:eastAsia="zh-CN"/>
        </w:rPr>
      </w:pPr>
    </w:p>
    <w:p w:rsidR="004E366B" w:rsidRPr="00070896" w:rsidRDefault="004E366B" w:rsidP="004E366B">
      <w:pPr>
        <w:pStyle w:val="ListParagraph"/>
        <w:numPr>
          <w:ilvl w:val="0"/>
          <w:numId w:val="50"/>
        </w:numPr>
        <w:tabs>
          <w:tab w:val="left" w:pos="709"/>
        </w:tabs>
        <w:ind w:left="0" w:firstLine="0"/>
        <w:jc w:val="both"/>
        <w:rPr>
          <w:rFonts w:cs="Arial"/>
          <w:bCs/>
        </w:rPr>
      </w:pPr>
      <w:r w:rsidRPr="00070896">
        <w:rPr>
          <w:rFonts w:cs="Arial"/>
          <w:bCs/>
          <w:lang w:eastAsia="zh-CN"/>
        </w:rPr>
        <w:t>Efficient and quality interpretation service continued to be provided to all WIPO meetings and events, as required.</w:t>
      </w:r>
    </w:p>
    <w:p w:rsidR="004E366B" w:rsidRPr="00070896" w:rsidRDefault="004E366B" w:rsidP="00271CFB">
      <w:pPr>
        <w:tabs>
          <w:tab w:val="left" w:pos="709"/>
        </w:tabs>
        <w:jc w:val="both"/>
        <w:rPr>
          <w:rFonts w:cs="Arial"/>
          <w:bCs/>
          <w:szCs w:val="20"/>
        </w:rPr>
      </w:pPr>
    </w:p>
    <w:p w:rsidR="004E366B" w:rsidRPr="00070896" w:rsidRDefault="004E366B" w:rsidP="004E366B">
      <w:pPr>
        <w:pStyle w:val="ListParagraph"/>
        <w:numPr>
          <w:ilvl w:val="0"/>
          <w:numId w:val="50"/>
        </w:numPr>
        <w:tabs>
          <w:tab w:val="left" w:pos="709"/>
        </w:tabs>
        <w:ind w:left="0" w:firstLine="0"/>
        <w:jc w:val="both"/>
      </w:pPr>
      <w:r w:rsidRPr="00070896">
        <w:t>After several years of marked growth, 2014 saw a stabilization in the number of meetings organized in Geneva, which had reach</w:t>
      </w:r>
      <w:r>
        <w:t>ed</w:t>
      </w:r>
      <w:r w:rsidRPr="00070896">
        <w:t xml:space="preserve"> a peak in 2013</w:t>
      </w:r>
      <w:r>
        <w:t>, largely</w:t>
      </w:r>
      <w:r w:rsidRPr="00070896">
        <w:t xml:space="preserve"> as a result of the Diplomatic Conference and the extraordinary session of the Assemblies.  The</w:t>
      </w:r>
      <w:r>
        <w:t xml:space="preserve">re was a slight dip in </w:t>
      </w:r>
      <w:r w:rsidRPr="00070896">
        <w:t xml:space="preserve"> intergovernmental conferences held in Geneva </w:t>
      </w:r>
      <w:r>
        <w:t xml:space="preserve"> which numbered</w:t>
      </w:r>
      <w:r w:rsidRPr="00070896">
        <w:t xml:space="preserve"> 101</w:t>
      </w:r>
      <w:r>
        <w:t xml:space="preserve"> in 2014, versus </w:t>
      </w:r>
      <w:r w:rsidRPr="00070896">
        <w:t>108 in 2013</w:t>
      </w:r>
      <w:r>
        <w:t>, as well as in</w:t>
      </w:r>
      <w:r w:rsidRPr="00070896">
        <w:t xml:space="preserve"> </w:t>
      </w:r>
      <w:r w:rsidRPr="00070896">
        <w:rPr>
          <w:i/>
        </w:rPr>
        <w:t>ad hoc</w:t>
      </w:r>
      <w:r w:rsidRPr="00070896">
        <w:t xml:space="preserve"> meetings (study visits, consultations, groups, bilateral meetings, presentations, side events, official visits and internal meetings)</w:t>
      </w:r>
      <w:r>
        <w:t>,  the number</w:t>
      </w:r>
      <w:r w:rsidRPr="00070896">
        <w:t xml:space="preserve"> </w:t>
      </w:r>
      <w:r>
        <w:t xml:space="preserve">standing at </w:t>
      </w:r>
      <w:r w:rsidRPr="00070896">
        <w:t xml:space="preserve">5,400 </w:t>
      </w:r>
      <w:r>
        <w:t xml:space="preserve">in 2014 </w:t>
      </w:r>
      <w:r w:rsidRPr="00070896">
        <w:t xml:space="preserve">compared to 5,600 </w:t>
      </w:r>
      <w:r>
        <w:t>the previous year</w:t>
      </w:r>
      <w:r w:rsidRPr="00070896">
        <w:t>.  In addition, a total of 81 meetings, as compared to 80 in 2013, were serviced outside the standard meeting hours, i.e. beyond 6:30 p.m. or during weekends.</w:t>
      </w:r>
    </w:p>
    <w:p w:rsidR="004E366B" w:rsidRPr="00070896" w:rsidRDefault="004E366B" w:rsidP="00271CFB">
      <w:pPr>
        <w:pStyle w:val="ListParagraph"/>
        <w:tabs>
          <w:tab w:val="left" w:pos="709"/>
        </w:tabs>
        <w:ind w:left="0"/>
        <w:jc w:val="both"/>
      </w:pPr>
    </w:p>
    <w:p w:rsidR="004E366B" w:rsidRPr="00070896" w:rsidRDefault="004E366B" w:rsidP="004E366B">
      <w:pPr>
        <w:pStyle w:val="ListParagraph"/>
        <w:numPr>
          <w:ilvl w:val="0"/>
          <w:numId w:val="50"/>
        </w:numPr>
        <w:tabs>
          <w:tab w:val="left" w:pos="709"/>
        </w:tabs>
        <w:ind w:left="0" w:firstLine="0"/>
        <w:jc w:val="both"/>
        <w:rPr>
          <w:rFonts w:cs="Arial"/>
        </w:rPr>
      </w:pPr>
      <w:r w:rsidRPr="00070896">
        <w:rPr>
          <w:rFonts w:cs="Arial"/>
        </w:rPr>
        <w:t>To improve services to conference stakeholders, an electronic questionnaire to participants of principal sessions was distributed systematically. Mechanisms were also established for monitoring feedback, analyzing results, and implementing corrective measures.</w:t>
      </w:r>
    </w:p>
    <w:p w:rsidR="004E366B" w:rsidRPr="00070896" w:rsidRDefault="004E366B" w:rsidP="00271CFB">
      <w:pPr>
        <w:tabs>
          <w:tab w:val="left" w:pos="709"/>
        </w:tabs>
        <w:jc w:val="both"/>
        <w:rPr>
          <w:rFonts w:cs="Arial"/>
          <w:szCs w:val="20"/>
        </w:rPr>
      </w:pPr>
    </w:p>
    <w:p w:rsidR="004E366B" w:rsidRPr="00070896" w:rsidRDefault="004E366B" w:rsidP="00845557">
      <w:pPr>
        <w:pStyle w:val="ListParagraph"/>
        <w:keepNext/>
        <w:keepLines/>
        <w:numPr>
          <w:ilvl w:val="0"/>
          <w:numId w:val="50"/>
        </w:numPr>
        <w:tabs>
          <w:tab w:val="left" w:pos="709"/>
        </w:tabs>
        <w:ind w:left="0" w:firstLine="0"/>
        <w:jc w:val="both"/>
        <w:rPr>
          <w:rFonts w:cs="Arial"/>
        </w:rPr>
      </w:pPr>
      <w:r w:rsidRPr="00070896">
        <w:rPr>
          <w:rFonts w:cs="Arial"/>
        </w:rPr>
        <w:lastRenderedPageBreak/>
        <w:t>With regard to the timely availability of meeting documents, a tracking system was developed in</w:t>
      </w:r>
      <w:r>
        <w:rPr>
          <w:rFonts w:cs="Arial"/>
        </w:rPr>
        <w:t> </w:t>
      </w:r>
      <w:r w:rsidRPr="00070896">
        <w:rPr>
          <w:rFonts w:cs="Arial"/>
        </w:rPr>
        <w:t>2014 and relevant data collected over the course of the year.  The results of the exercise, conducted for the first time, have led to discussions on corrective measures, in collaboration with meeting secretariats.</w:t>
      </w:r>
    </w:p>
    <w:p w:rsidR="004E366B" w:rsidRPr="00070896" w:rsidRDefault="004E366B" w:rsidP="00271CFB">
      <w:pPr>
        <w:tabs>
          <w:tab w:val="left" w:pos="709"/>
        </w:tabs>
        <w:jc w:val="both"/>
        <w:rPr>
          <w:rFonts w:cs="Arial"/>
          <w:szCs w:val="20"/>
        </w:rPr>
      </w:pPr>
    </w:p>
    <w:p w:rsidR="004E366B" w:rsidRPr="00070896" w:rsidRDefault="004E366B" w:rsidP="004E366B">
      <w:pPr>
        <w:pStyle w:val="Default"/>
        <w:numPr>
          <w:ilvl w:val="0"/>
          <w:numId w:val="50"/>
        </w:numPr>
        <w:tabs>
          <w:tab w:val="left" w:pos="709"/>
        </w:tabs>
        <w:ind w:left="0" w:firstLine="0"/>
        <w:jc w:val="both"/>
        <w:rPr>
          <w:sz w:val="20"/>
          <w:szCs w:val="20"/>
        </w:rPr>
      </w:pPr>
      <w:r w:rsidRPr="00070896">
        <w:rPr>
          <w:sz w:val="20"/>
          <w:szCs w:val="20"/>
        </w:rPr>
        <w:t xml:space="preserve">Of particular note was the smooth transition to the new conference facilities and registration infrastructure, both inaugurated in the last quarter of the </w:t>
      </w:r>
      <w:proofErr w:type="gramStart"/>
      <w:r w:rsidRPr="00070896">
        <w:rPr>
          <w:sz w:val="20"/>
          <w:szCs w:val="20"/>
        </w:rPr>
        <w:t>year.</w:t>
      </w:r>
      <w:proofErr w:type="gramEnd"/>
      <w:r w:rsidRPr="00070896">
        <w:rPr>
          <w:sz w:val="20"/>
          <w:szCs w:val="20"/>
        </w:rPr>
        <w:t xml:space="preserve">  A conference participant badging system, with enhanced security features, was introduced in conjunction with the inauguration of the Access Center and relocation of conference registration activities to this new facility.  </w:t>
      </w:r>
    </w:p>
    <w:p w:rsidR="004E366B" w:rsidRPr="00070896" w:rsidRDefault="004E366B" w:rsidP="00271CFB">
      <w:pPr>
        <w:tabs>
          <w:tab w:val="left" w:pos="709"/>
        </w:tabs>
        <w:jc w:val="both"/>
        <w:rPr>
          <w:rFonts w:cs="Arial"/>
          <w:szCs w:val="20"/>
        </w:rPr>
      </w:pPr>
    </w:p>
    <w:p w:rsidR="004E366B" w:rsidRPr="00070896" w:rsidRDefault="004E366B" w:rsidP="004E366B">
      <w:pPr>
        <w:pStyle w:val="Default"/>
        <w:numPr>
          <w:ilvl w:val="0"/>
          <w:numId w:val="50"/>
        </w:numPr>
        <w:tabs>
          <w:tab w:val="left" w:pos="709"/>
        </w:tabs>
        <w:ind w:left="0" w:firstLine="0"/>
        <w:jc w:val="both"/>
        <w:rPr>
          <w:sz w:val="20"/>
          <w:szCs w:val="20"/>
        </w:rPr>
      </w:pPr>
      <w:r w:rsidRPr="00070896">
        <w:rPr>
          <w:sz w:val="20"/>
          <w:szCs w:val="20"/>
        </w:rPr>
        <w:t xml:space="preserve">During the year, WIPO continued to provide printing services in an efficient and timely manner.  The renegotiation of leasing services led to a decrease in the printing cost per page by 26 per cent from 0.19 Swiss francs in 2013 to 0.14 Swiss francs in 2014.  In an effort to improve the carbon footprint of WIPO meetings, the practice of mailing paper copies of meeting agendas was discontinued, and print runs for document-counter distribution were further reduced. </w:t>
      </w:r>
    </w:p>
    <w:p w:rsidR="004E366B" w:rsidRPr="00070896" w:rsidRDefault="004E366B" w:rsidP="00271CFB">
      <w:pPr>
        <w:tabs>
          <w:tab w:val="left" w:pos="709"/>
        </w:tabs>
        <w:jc w:val="both"/>
        <w:rPr>
          <w:rFonts w:cs="Arial"/>
          <w:bCs/>
          <w:szCs w:val="20"/>
        </w:rPr>
      </w:pPr>
    </w:p>
    <w:p w:rsidR="004E366B" w:rsidRPr="00070896" w:rsidRDefault="004E366B" w:rsidP="004E366B">
      <w:pPr>
        <w:pStyle w:val="ListParagraph"/>
        <w:numPr>
          <w:ilvl w:val="0"/>
          <w:numId w:val="50"/>
        </w:numPr>
        <w:tabs>
          <w:tab w:val="left" w:pos="709"/>
        </w:tabs>
        <w:ind w:left="0" w:firstLine="0"/>
        <w:jc w:val="both"/>
      </w:pPr>
      <w:r w:rsidRPr="00070896">
        <w:t>Following the adoption of the Records Management and Archiving Policy in the biennium</w:t>
      </w:r>
      <w:r>
        <w:t> </w:t>
      </w:r>
      <w:r w:rsidRPr="00070896">
        <w:t xml:space="preserve">2012/13, work was initiated on establishing retention schedules of records. </w:t>
      </w:r>
    </w:p>
    <w:p w:rsidR="004E366B" w:rsidRPr="00070896" w:rsidRDefault="004E366B" w:rsidP="00271CFB">
      <w:pPr>
        <w:tabs>
          <w:tab w:val="left" w:pos="709"/>
        </w:tabs>
        <w:jc w:val="both"/>
        <w:rPr>
          <w:rFonts w:cs="Arial"/>
          <w:szCs w:val="20"/>
        </w:rPr>
      </w:pPr>
    </w:p>
    <w:p w:rsidR="004E366B" w:rsidRPr="00070896" w:rsidRDefault="004E366B" w:rsidP="004E366B">
      <w:pPr>
        <w:pStyle w:val="ListParagraph"/>
        <w:numPr>
          <w:ilvl w:val="0"/>
          <w:numId w:val="50"/>
        </w:numPr>
        <w:tabs>
          <w:tab w:val="left" w:pos="709"/>
        </w:tabs>
        <w:ind w:left="0" w:firstLine="0"/>
        <w:jc w:val="both"/>
        <w:rPr>
          <w:rFonts w:cs="Arial"/>
        </w:rPr>
      </w:pPr>
      <w:r w:rsidRPr="00070896">
        <w:rPr>
          <w:rFonts w:cs="Arial"/>
        </w:rPr>
        <w:t xml:space="preserve">In line with WIPO’s continued commitment to reducing costs, tariffs with external mail service providers continued to be negotiated, resulting in an additional four per cent reduction in 2014.   </w:t>
      </w:r>
    </w:p>
    <w:p w:rsidR="004E366B" w:rsidRPr="00070896" w:rsidRDefault="004E366B" w:rsidP="00271CFB">
      <w:pPr>
        <w:keepNext/>
        <w:jc w:val="both"/>
        <w:rPr>
          <w:rFonts w:cs="Arial"/>
          <w:szCs w:val="20"/>
        </w:rPr>
      </w:pPr>
    </w:p>
    <w:p w:rsidR="004E366B" w:rsidRPr="00070896" w:rsidRDefault="004E366B" w:rsidP="00271CFB">
      <w:pPr>
        <w:jc w:val="both"/>
        <w:rPr>
          <w:rFonts w:cs="Arial"/>
          <w:szCs w:val="20"/>
        </w:rPr>
      </w:pPr>
    </w:p>
    <w:p w:rsidR="004E366B" w:rsidRPr="00C7008C" w:rsidRDefault="004E366B" w:rsidP="00271CFB">
      <w:pPr>
        <w:rPr>
          <w:rFonts w:cs="Arial"/>
          <w:sz w:val="22"/>
          <w:szCs w:val="22"/>
        </w:rPr>
      </w:pPr>
      <w:r w:rsidRPr="00C7008C">
        <w:rPr>
          <w:rFonts w:cs="Arial"/>
          <w:sz w:val="22"/>
          <w:szCs w:val="22"/>
        </w:rPr>
        <w:t>PERFORMANCE DATA</w:t>
      </w:r>
    </w:p>
    <w:p w:rsidR="004E366B" w:rsidRDefault="004E366B" w:rsidP="00271CFB">
      <w:pPr>
        <w:jc w:val="both"/>
        <w:rPr>
          <w:rFonts w:cs="Arial"/>
          <w:sz w:val="24"/>
          <w:szCs w:val="20"/>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2126"/>
        <w:gridCol w:w="1559"/>
        <w:gridCol w:w="2553"/>
        <w:gridCol w:w="992"/>
      </w:tblGrid>
      <w:tr w:rsidR="004E366B" w:rsidRPr="00C7008C" w:rsidTr="00271CFB">
        <w:trPr>
          <w:cantSplit/>
        </w:trPr>
        <w:tc>
          <w:tcPr>
            <w:tcW w:w="5000" w:type="pct"/>
            <w:gridSpan w:val="5"/>
            <w:tcBorders>
              <w:top w:val="single" w:sz="4" w:space="0" w:color="auto"/>
              <w:bottom w:val="single" w:sz="4" w:space="0" w:color="auto"/>
            </w:tcBorders>
            <w:shd w:val="clear" w:color="auto" w:fill="CCFFFF"/>
            <w:vAlign w:val="center"/>
          </w:tcPr>
          <w:p w:rsidR="004E366B" w:rsidRPr="00C7008C" w:rsidRDefault="004E366B" w:rsidP="00271CFB">
            <w:pPr>
              <w:tabs>
                <w:tab w:val="left" w:pos="1452"/>
              </w:tabs>
              <w:spacing w:before="120" w:after="120"/>
              <w:ind w:left="1452" w:hanging="1452"/>
              <w:rPr>
                <w:rFonts w:cs="Arial"/>
                <w:b/>
                <w:bCs/>
                <w:sz w:val="16"/>
                <w:szCs w:val="16"/>
              </w:rPr>
            </w:pPr>
            <w:r w:rsidRPr="00C7008C">
              <w:rPr>
                <w:rFonts w:cs="Arial"/>
                <w:b/>
                <w:bCs/>
                <w:sz w:val="16"/>
                <w:szCs w:val="16"/>
              </w:rPr>
              <w:t>Expected Result:</w:t>
            </w:r>
            <w:r w:rsidRPr="00C7008C">
              <w:rPr>
                <w:rFonts w:cs="Arial"/>
                <w:b/>
                <w:bCs/>
                <w:sz w:val="16"/>
                <w:szCs w:val="16"/>
              </w:rPr>
              <w:tab/>
            </w:r>
            <w:r w:rsidRPr="00A5586F">
              <w:rPr>
                <w:rFonts w:cs="Arial"/>
                <w:sz w:val="16"/>
                <w:szCs w:val="16"/>
              </w:rPr>
              <w:t>IX.1 Effective, efficient, quality and customer-oriented support services both to internal clients and to external stakeholders</w:t>
            </w:r>
          </w:p>
        </w:tc>
      </w:tr>
      <w:tr w:rsidR="004E366B" w:rsidRPr="00C7008C" w:rsidTr="0042593C">
        <w:trPr>
          <w:cantSplit/>
        </w:trPr>
        <w:tc>
          <w:tcPr>
            <w:tcW w:w="1137" w:type="pct"/>
            <w:tcBorders>
              <w:top w:val="single" w:sz="4" w:space="0" w:color="auto"/>
              <w:bottom w:val="nil"/>
              <w:right w:val="nil"/>
            </w:tcBorders>
            <w:shd w:val="clear" w:color="auto" w:fill="auto"/>
            <w:vAlign w:val="center"/>
          </w:tcPr>
          <w:p w:rsidR="004E366B" w:rsidRPr="00C7008C" w:rsidRDefault="004E366B" w:rsidP="00271CFB">
            <w:pPr>
              <w:rPr>
                <w:rFonts w:cs="Arial"/>
                <w:sz w:val="16"/>
                <w:szCs w:val="16"/>
              </w:rPr>
            </w:pPr>
            <w:r w:rsidRPr="00C7008C">
              <w:rPr>
                <w:rFonts w:cs="Arial"/>
                <w:b/>
                <w:bCs/>
                <w:sz w:val="16"/>
                <w:szCs w:val="16"/>
              </w:rPr>
              <w:t>Performance Indicators</w:t>
            </w:r>
          </w:p>
        </w:tc>
        <w:tc>
          <w:tcPr>
            <w:tcW w:w="1136" w:type="pct"/>
            <w:tcBorders>
              <w:top w:val="single" w:sz="4" w:space="0" w:color="auto"/>
              <w:left w:val="nil"/>
              <w:bottom w:val="nil"/>
              <w:right w:val="nil"/>
            </w:tcBorders>
            <w:shd w:val="clear" w:color="auto" w:fill="auto"/>
            <w:vAlign w:val="center"/>
          </w:tcPr>
          <w:p w:rsidR="004E366B" w:rsidRPr="00C7008C" w:rsidRDefault="004E366B" w:rsidP="00271CFB">
            <w:pPr>
              <w:rPr>
                <w:rFonts w:cs="Arial"/>
                <w:b/>
                <w:bCs/>
                <w:sz w:val="16"/>
                <w:szCs w:val="16"/>
              </w:rPr>
            </w:pPr>
            <w:r w:rsidRPr="00C7008C">
              <w:rPr>
                <w:rFonts w:cs="Arial"/>
                <w:b/>
                <w:bCs/>
                <w:sz w:val="16"/>
                <w:szCs w:val="16"/>
              </w:rPr>
              <w:t>Baselines</w:t>
            </w:r>
          </w:p>
        </w:tc>
        <w:tc>
          <w:tcPr>
            <w:tcW w:w="833" w:type="pct"/>
            <w:tcBorders>
              <w:top w:val="single" w:sz="4" w:space="0" w:color="auto"/>
              <w:left w:val="nil"/>
              <w:bottom w:val="nil"/>
              <w:right w:val="nil"/>
            </w:tcBorders>
            <w:shd w:val="clear" w:color="auto" w:fill="auto"/>
            <w:tcMar>
              <w:top w:w="110" w:type="dxa"/>
            </w:tcMar>
            <w:vAlign w:val="center"/>
          </w:tcPr>
          <w:p w:rsidR="004E366B" w:rsidRPr="00C7008C" w:rsidRDefault="004E366B" w:rsidP="00271CFB">
            <w:pPr>
              <w:rPr>
                <w:rFonts w:cs="Arial"/>
                <w:b/>
                <w:sz w:val="16"/>
                <w:szCs w:val="16"/>
              </w:rPr>
            </w:pPr>
            <w:r w:rsidRPr="00C7008C">
              <w:rPr>
                <w:rFonts w:cs="Arial"/>
                <w:b/>
                <w:sz w:val="16"/>
                <w:szCs w:val="16"/>
              </w:rPr>
              <w:t>Target</w:t>
            </w:r>
            <w:r>
              <w:rPr>
                <w:rFonts w:cs="Arial"/>
                <w:b/>
                <w:sz w:val="16"/>
                <w:szCs w:val="16"/>
              </w:rPr>
              <w:t>s</w:t>
            </w:r>
          </w:p>
        </w:tc>
        <w:tc>
          <w:tcPr>
            <w:tcW w:w="1364" w:type="pct"/>
            <w:tcBorders>
              <w:top w:val="single" w:sz="4" w:space="0" w:color="auto"/>
              <w:left w:val="nil"/>
              <w:bottom w:val="nil"/>
              <w:right w:val="nil"/>
            </w:tcBorders>
            <w:shd w:val="clear" w:color="auto" w:fill="FFFFFF"/>
            <w:tcMar>
              <w:top w:w="110" w:type="dxa"/>
            </w:tcMar>
            <w:vAlign w:val="center"/>
          </w:tcPr>
          <w:p w:rsidR="004E366B" w:rsidRPr="00C7008C" w:rsidRDefault="004E366B" w:rsidP="00271CFB">
            <w:pPr>
              <w:rPr>
                <w:rFonts w:cs="Arial"/>
                <w:sz w:val="16"/>
                <w:szCs w:val="16"/>
              </w:rPr>
            </w:pPr>
            <w:r w:rsidRPr="00C7008C">
              <w:rPr>
                <w:rFonts w:cs="Arial"/>
                <w:b/>
                <w:bCs/>
                <w:sz w:val="16"/>
                <w:szCs w:val="16"/>
              </w:rPr>
              <w:t>Performance Data</w:t>
            </w:r>
          </w:p>
        </w:tc>
        <w:tc>
          <w:tcPr>
            <w:tcW w:w="530" w:type="pct"/>
            <w:tcBorders>
              <w:top w:val="single" w:sz="4" w:space="0" w:color="auto"/>
              <w:left w:val="nil"/>
              <w:bottom w:val="nil"/>
            </w:tcBorders>
            <w:shd w:val="clear" w:color="auto" w:fill="auto"/>
            <w:tcMar>
              <w:top w:w="110" w:type="dxa"/>
            </w:tcMar>
            <w:vAlign w:val="center"/>
          </w:tcPr>
          <w:p w:rsidR="004E366B" w:rsidRPr="00C7008C" w:rsidRDefault="004E366B" w:rsidP="00271CFB">
            <w:pPr>
              <w:jc w:val="center"/>
              <w:rPr>
                <w:rFonts w:cs="Arial"/>
                <w:b/>
                <w:bCs/>
                <w:sz w:val="16"/>
                <w:szCs w:val="16"/>
              </w:rPr>
            </w:pPr>
            <w:r w:rsidRPr="00C7008C">
              <w:rPr>
                <w:rFonts w:cs="Arial"/>
                <w:b/>
                <w:bCs/>
                <w:sz w:val="16"/>
                <w:szCs w:val="16"/>
              </w:rPr>
              <w:t>TLS</w:t>
            </w:r>
          </w:p>
        </w:tc>
      </w:tr>
      <w:tr w:rsidR="004E366B" w:rsidRPr="00C7008C" w:rsidTr="0042593C">
        <w:trPr>
          <w:cantSplit/>
        </w:trPr>
        <w:tc>
          <w:tcPr>
            <w:tcW w:w="1137" w:type="pct"/>
            <w:tcBorders>
              <w:top w:val="nil"/>
            </w:tcBorders>
            <w:shd w:val="clear" w:color="auto" w:fill="auto"/>
          </w:tcPr>
          <w:p w:rsidR="004E366B" w:rsidRPr="00C7008C" w:rsidRDefault="004E366B" w:rsidP="00271CFB">
            <w:pPr>
              <w:ind w:leftChars="-1" w:left="1" w:hangingChars="2" w:hanging="3"/>
              <w:rPr>
                <w:rFonts w:cs="Arial"/>
                <w:sz w:val="16"/>
                <w:szCs w:val="16"/>
              </w:rPr>
            </w:pPr>
            <w:r w:rsidRPr="00991DB4">
              <w:rPr>
                <w:rFonts w:cs="Arial"/>
                <w:sz w:val="16"/>
                <w:szCs w:val="16"/>
              </w:rPr>
              <w:t>% of internal and external participants satisfied with WIPO Conference Services</w:t>
            </w:r>
          </w:p>
        </w:tc>
        <w:tc>
          <w:tcPr>
            <w:tcW w:w="1136" w:type="pct"/>
            <w:tcBorders>
              <w:top w:val="nil"/>
            </w:tcBorders>
            <w:shd w:val="clear" w:color="auto" w:fill="auto"/>
          </w:tcPr>
          <w:p w:rsidR="004E366B" w:rsidRPr="00C7008C" w:rsidRDefault="004E366B" w:rsidP="00271CFB">
            <w:pPr>
              <w:autoSpaceDE w:val="0"/>
              <w:autoSpaceDN w:val="0"/>
              <w:adjustRightInd w:val="0"/>
              <w:rPr>
                <w:rFonts w:eastAsia="Batang" w:cs="Arial"/>
                <w:color w:val="002060"/>
                <w:sz w:val="16"/>
                <w:szCs w:val="16"/>
                <w:lang w:eastAsia="ja-JP"/>
              </w:rPr>
            </w:pPr>
            <w:r w:rsidRPr="00C7008C">
              <w:rPr>
                <w:rFonts w:eastAsia="Batang" w:cs="Arial"/>
                <w:i/>
                <w:color w:val="002060"/>
                <w:sz w:val="16"/>
                <w:szCs w:val="16"/>
                <w:lang w:eastAsia="ja-JP"/>
              </w:rPr>
              <w:t>Updated Baseline end 201</w:t>
            </w:r>
            <w:r>
              <w:rPr>
                <w:rFonts w:eastAsia="Batang" w:cs="Arial"/>
                <w:i/>
                <w:color w:val="002060"/>
                <w:sz w:val="16"/>
                <w:szCs w:val="16"/>
                <w:lang w:eastAsia="ja-JP"/>
              </w:rPr>
              <w:t>3</w:t>
            </w:r>
            <w:r w:rsidRPr="00C7008C">
              <w:rPr>
                <w:rFonts w:eastAsia="Batang" w:cs="Arial"/>
                <w:i/>
                <w:color w:val="002060"/>
                <w:sz w:val="16"/>
                <w:szCs w:val="16"/>
                <w:lang w:eastAsia="ja-JP"/>
              </w:rPr>
              <w:t xml:space="preserve">: </w:t>
            </w:r>
            <w:r w:rsidRPr="00C7008C">
              <w:rPr>
                <w:rFonts w:eastAsia="Batang" w:cs="Arial"/>
                <w:i/>
                <w:sz w:val="16"/>
                <w:szCs w:val="16"/>
                <w:lang w:eastAsia="ja-JP"/>
              </w:rPr>
              <w:t xml:space="preserve"> </w:t>
            </w:r>
            <w:r w:rsidRPr="00E17788">
              <w:rPr>
                <w:rFonts w:eastAsia="Batang" w:cs="Arial"/>
                <w:sz w:val="16"/>
                <w:szCs w:val="16"/>
                <w:lang w:eastAsia="ja-JP"/>
              </w:rPr>
              <w:t>Results of a satisfaction survey, conducted in 2013 indicated that 98% of users considered the overall quality of WIPO’s conference services either excellent (64%) or good (34%).</w:t>
            </w:r>
          </w:p>
          <w:p w:rsidR="004E366B" w:rsidRPr="00C7008C" w:rsidRDefault="004E366B" w:rsidP="00271CFB">
            <w:pPr>
              <w:rPr>
                <w:rFonts w:cs="Arial"/>
                <w:i/>
                <w:sz w:val="8"/>
                <w:szCs w:val="8"/>
              </w:rPr>
            </w:pPr>
          </w:p>
          <w:p w:rsidR="004E366B" w:rsidRPr="00C7008C" w:rsidRDefault="004E366B" w:rsidP="00271CFB">
            <w:pPr>
              <w:rPr>
                <w:rFonts w:cs="Arial"/>
                <w:sz w:val="16"/>
                <w:szCs w:val="16"/>
              </w:rPr>
            </w:pPr>
            <w:r w:rsidRPr="00C7008C">
              <w:rPr>
                <w:rFonts w:cs="Arial"/>
                <w:i/>
                <w:sz w:val="16"/>
                <w:szCs w:val="16"/>
              </w:rPr>
              <w:t>Original Baseline P&amp;B 201</w:t>
            </w:r>
            <w:r>
              <w:rPr>
                <w:rFonts w:cs="Arial"/>
                <w:i/>
                <w:sz w:val="16"/>
                <w:szCs w:val="16"/>
              </w:rPr>
              <w:t>4</w:t>
            </w:r>
            <w:r w:rsidRPr="00C7008C">
              <w:rPr>
                <w:rFonts w:cs="Arial"/>
                <w:i/>
                <w:sz w:val="16"/>
                <w:szCs w:val="16"/>
              </w:rPr>
              <w:t>/1</w:t>
            </w:r>
            <w:r>
              <w:rPr>
                <w:rFonts w:cs="Arial"/>
                <w:i/>
                <w:sz w:val="16"/>
                <w:szCs w:val="16"/>
              </w:rPr>
              <w:t>5</w:t>
            </w:r>
            <w:r w:rsidRPr="00C7008C">
              <w:rPr>
                <w:rFonts w:cs="Arial"/>
                <w:i/>
                <w:sz w:val="16"/>
                <w:szCs w:val="16"/>
              </w:rPr>
              <w:t>:</w:t>
            </w:r>
            <w:r w:rsidRPr="00C7008C">
              <w:rPr>
                <w:rFonts w:cs="Arial"/>
                <w:sz w:val="16"/>
                <w:szCs w:val="16"/>
              </w:rPr>
              <w:br/>
            </w:r>
            <w:r w:rsidRPr="00991DB4">
              <w:rPr>
                <w:rFonts w:cs="Arial"/>
                <w:sz w:val="16"/>
                <w:szCs w:val="16"/>
              </w:rPr>
              <w:t>Rate at end 2013</w:t>
            </w:r>
          </w:p>
        </w:tc>
        <w:tc>
          <w:tcPr>
            <w:tcW w:w="833" w:type="pct"/>
            <w:tcBorders>
              <w:top w:val="nil"/>
            </w:tcBorders>
            <w:shd w:val="clear" w:color="auto" w:fill="auto"/>
            <w:tcMar>
              <w:top w:w="110" w:type="dxa"/>
            </w:tcMar>
          </w:tcPr>
          <w:p w:rsidR="004E366B" w:rsidRPr="00C7008C" w:rsidRDefault="004E366B" w:rsidP="00271CFB">
            <w:pPr>
              <w:rPr>
                <w:rFonts w:cs="Arial"/>
                <w:sz w:val="16"/>
                <w:szCs w:val="16"/>
              </w:rPr>
            </w:pPr>
            <w:r w:rsidRPr="00991DB4">
              <w:rPr>
                <w:rFonts w:cs="Arial"/>
                <w:sz w:val="16"/>
                <w:szCs w:val="16"/>
              </w:rPr>
              <w:t>10% increase in rate by 2015</w:t>
            </w:r>
          </w:p>
        </w:tc>
        <w:tc>
          <w:tcPr>
            <w:tcW w:w="1364" w:type="pct"/>
            <w:tcBorders>
              <w:top w:val="nil"/>
            </w:tcBorders>
            <w:shd w:val="clear" w:color="auto" w:fill="FFFFFF"/>
            <w:tcMar>
              <w:top w:w="110" w:type="dxa"/>
            </w:tcMar>
          </w:tcPr>
          <w:p w:rsidR="004E366B" w:rsidRPr="00C7008C" w:rsidRDefault="004E366B" w:rsidP="00271CFB">
            <w:pPr>
              <w:rPr>
                <w:rFonts w:cs="Arial"/>
                <w:sz w:val="16"/>
                <w:szCs w:val="16"/>
              </w:rPr>
            </w:pPr>
            <w:r w:rsidRPr="00E17788">
              <w:rPr>
                <w:rFonts w:eastAsia="Batang" w:cs="Arial"/>
                <w:sz w:val="16"/>
                <w:szCs w:val="16"/>
                <w:lang w:eastAsia="ja-JP"/>
              </w:rPr>
              <w:t>Results of a satisfaction survey, conducted in 201</w:t>
            </w:r>
            <w:r>
              <w:rPr>
                <w:rFonts w:eastAsia="Batang" w:cs="Arial"/>
                <w:sz w:val="16"/>
                <w:szCs w:val="16"/>
                <w:lang w:eastAsia="ja-JP"/>
              </w:rPr>
              <w:t>4</w:t>
            </w:r>
            <w:r w:rsidRPr="00E17788">
              <w:rPr>
                <w:rFonts w:eastAsia="Batang" w:cs="Arial"/>
                <w:sz w:val="16"/>
                <w:szCs w:val="16"/>
                <w:lang w:eastAsia="ja-JP"/>
              </w:rPr>
              <w:t xml:space="preserve"> indicated that 9</w:t>
            </w:r>
            <w:r>
              <w:rPr>
                <w:rFonts w:eastAsia="Batang" w:cs="Arial"/>
                <w:sz w:val="16"/>
                <w:szCs w:val="16"/>
                <w:lang w:eastAsia="ja-JP"/>
              </w:rPr>
              <w:t>7</w:t>
            </w:r>
            <w:r w:rsidRPr="00E17788">
              <w:rPr>
                <w:rFonts w:eastAsia="Batang" w:cs="Arial"/>
                <w:sz w:val="16"/>
                <w:szCs w:val="16"/>
                <w:lang w:eastAsia="ja-JP"/>
              </w:rPr>
              <w:t>% of users considered the overall quality of WIPO’s conferen</w:t>
            </w:r>
            <w:r>
              <w:rPr>
                <w:rFonts w:eastAsia="Batang" w:cs="Arial"/>
                <w:sz w:val="16"/>
                <w:szCs w:val="16"/>
                <w:lang w:eastAsia="ja-JP"/>
              </w:rPr>
              <w:t>ce services either excellent (48</w:t>
            </w:r>
            <w:r w:rsidRPr="00E17788">
              <w:rPr>
                <w:rFonts w:eastAsia="Batang" w:cs="Arial"/>
                <w:sz w:val="16"/>
                <w:szCs w:val="16"/>
                <w:lang w:eastAsia="ja-JP"/>
              </w:rPr>
              <w:t>%) or good (</w:t>
            </w:r>
            <w:r>
              <w:rPr>
                <w:rFonts w:eastAsia="Batang" w:cs="Arial"/>
                <w:sz w:val="16"/>
                <w:szCs w:val="16"/>
                <w:lang w:eastAsia="ja-JP"/>
              </w:rPr>
              <w:t>49</w:t>
            </w:r>
            <w:r w:rsidRPr="00E17788">
              <w:rPr>
                <w:rFonts w:eastAsia="Batang" w:cs="Arial"/>
                <w:sz w:val="16"/>
                <w:szCs w:val="16"/>
                <w:lang w:eastAsia="ja-JP"/>
              </w:rPr>
              <w:t>%).</w:t>
            </w:r>
          </w:p>
        </w:tc>
        <w:tc>
          <w:tcPr>
            <w:tcW w:w="530" w:type="pct"/>
            <w:tcBorders>
              <w:top w:val="nil"/>
            </w:tcBorders>
            <w:shd w:val="clear" w:color="auto" w:fill="auto"/>
            <w:tcMar>
              <w:top w:w="110" w:type="dxa"/>
            </w:tcMar>
          </w:tcPr>
          <w:p w:rsidR="004E366B" w:rsidRPr="00991DB4" w:rsidRDefault="004E366B" w:rsidP="00271CFB">
            <w:pPr>
              <w:jc w:val="center"/>
              <w:rPr>
                <w:rFonts w:cs="Arial"/>
                <w:b/>
                <w:bCs/>
                <w:sz w:val="16"/>
                <w:szCs w:val="16"/>
              </w:rPr>
            </w:pPr>
            <w:r w:rsidRPr="00991DB4">
              <w:rPr>
                <w:rFonts w:cs="Arial"/>
                <w:b/>
                <w:bCs/>
                <w:color w:val="00B050"/>
                <w:sz w:val="16"/>
                <w:szCs w:val="16"/>
              </w:rPr>
              <w:t>On track</w:t>
            </w:r>
          </w:p>
        </w:tc>
      </w:tr>
      <w:tr w:rsidR="004E366B" w:rsidRPr="00C7008C" w:rsidTr="0042593C">
        <w:trPr>
          <w:cantSplit/>
        </w:trPr>
        <w:tc>
          <w:tcPr>
            <w:tcW w:w="1137" w:type="pct"/>
            <w:shd w:val="clear" w:color="auto" w:fill="auto"/>
          </w:tcPr>
          <w:p w:rsidR="004E366B" w:rsidRPr="00C7008C" w:rsidRDefault="004E366B" w:rsidP="00271CFB">
            <w:pPr>
              <w:rPr>
                <w:rFonts w:cs="Arial"/>
                <w:sz w:val="16"/>
                <w:szCs w:val="16"/>
              </w:rPr>
            </w:pPr>
            <w:r w:rsidRPr="00991DB4">
              <w:rPr>
                <w:rFonts w:cs="Arial"/>
                <w:sz w:val="16"/>
                <w:szCs w:val="16"/>
              </w:rPr>
              <w:t>Effective implementation of WIPO Language Policy</w:t>
            </w:r>
          </w:p>
        </w:tc>
        <w:tc>
          <w:tcPr>
            <w:tcW w:w="1136" w:type="pct"/>
            <w:shd w:val="clear" w:color="auto" w:fill="auto"/>
          </w:tcPr>
          <w:p w:rsidR="004E366B" w:rsidRDefault="004E366B" w:rsidP="00271CFB">
            <w:pPr>
              <w:rPr>
                <w:rFonts w:cs="Arial"/>
                <w:i/>
                <w:sz w:val="8"/>
                <w:szCs w:val="8"/>
              </w:rPr>
            </w:pPr>
            <w:r w:rsidRPr="00C7008C">
              <w:rPr>
                <w:rFonts w:eastAsia="Batang" w:cs="Arial"/>
                <w:i/>
                <w:color w:val="002060"/>
                <w:sz w:val="16"/>
                <w:szCs w:val="16"/>
                <w:lang w:eastAsia="ja-JP"/>
              </w:rPr>
              <w:t>Updated Baseline end 201</w:t>
            </w:r>
            <w:r>
              <w:rPr>
                <w:rFonts w:eastAsia="Batang" w:cs="Arial"/>
                <w:i/>
                <w:color w:val="002060"/>
                <w:sz w:val="16"/>
                <w:szCs w:val="16"/>
                <w:lang w:eastAsia="ja-JP"/>
              </w:rPr>
              <w:t>3</w:t>
            </w:r>
            <w:r w:rsidRPr="00C7008C">
              <w:rPr>
                <w:rFonts w:eastAsia="Batang" w:cs="Arial"/>
                <w:i/>
                <w:color w:val="002060"/>
                <w:sz w:val="16"/>
                <w:szCs w:val="16"/>
                <w:lang w:eastAsia="ja-JP"/>
              </w:rPr>
              <w:t xml:space="preserve">: </w:t>
            </w:r>
            <w:r w:rsidRPr="00C7008C">
              <w:rPr>
                <w:rFonts w:eastAsia="Batang" w:cs="Arial"/>
                <w:i/>
                <w:sz w:val="16"/>
                <w:szCs w:val="16"/>
                <w:lang w:eastAsia="ja-JP"/>
              </w:rPr>
              <w:t xml:space="preserve"> </w:t>
            </w:r>
            <w:r w:rsidRPr="00FC467A">
              <w:rPr>
                <w:rFonts w:cs="Arial"/>
                <w:color w:val="002060"/>
                <w:sz w:val="16"/>
                <w:szCs w:val="16"/>
              </w:rPr>
              <w:t>The language policy was extended to all WIPO Standing Committees and Main Bodies.</w:t>
            </w:r>
          </w:p>
          <w:p w:rsidR="004E366B" w:rsidRPr="00C7008C" w:rsidRDefault="004E366B" w:rsidP="00271CFB">
            <w:pPr>
              <w:rPr>
                <w:rFonts w:cs="Arial"/>
                <w:i/>
                <w:sz w:val="8"/>
                <w:szCs w:val="8"/>
              </w:rPr>
            </w:pPr>
          </w:p>
          <w:p w:rsidR="004E366B" w:rsidRPr="00991DB4" w:rsidRDefault="004E366B" w:rsidP="00271CFB">
            <w:pPr>
              <w:rPr>
                <w:rFonts w:cs="Arial"/>
                <w:sz w:val="16"/>
                <w:szCs w:val="16"/>
              </w:rPr>
            </w:pPr>
            <w:r w:rsidRPr="00C7008C">
              <w:rPr>
                <w:rFonts w:cs="Arial"/>
                <w:i/>
                <w:sz w:val="16"/>
                <w:szCs w:val="16"/>
              </w:rPr>
              <w:t>Original Baseline P&amp;B 201</w:t>
            </w:r>
            <w:r>
              <w:rPr>
                <w:rFonts w:cs="Arial"/>
                <w:i/>
                <w:sz w:val="16"/>
                <w:szCs w:val="16"/>
              </w:rPr>
              <w:t>4</w:t>
            </w:r>
            <w:r w:rsidRPr="00C7008C">
              <w:rPr>
                <w:rFonts w:cs="Arial"/>
                <w:i/>
                <w:sz w:val="16"/>
                <w:szCs w:val="16"/>
              </w:rPr>
              <w:t>/1</w:t>
            </w:r>
            <w:r>
              <w:rPr>
                <w:rFonts w:cs="Arial"/>
                <w:i/>
                <w:sz w:val="16"/>
                <w:szCs w:val="16"/>
              </w:rPr>
              <w:t>5</w:t>
            </w:r>
            <w:r w:rsidRPr="00C7008C">
              <w:rPr>
                <w:rFonts w:cs="Arial"/>
                <w:i/>
                <w:sz w:val="16"/>
                <w:szCs w:val="16"/>
              </w:rPr>
              <w:t>:</w:t>
            </w:r>
            <w:r w:rsidRPr="00C7008C">
              <w:rPr>
                <w:rFonts w:cs="Arial"/>
                <w:sz w:val="16"/>
                <w:szCs w:val="16"/>
              </w:rPr>
              <w:br/>
            </w:r>
            <w:r w:rsidRPr="00991DB4">
              <w:rPr>
                <w:rFonts w:cs="Arial"/>
                <w:sz w:val="16"/>
                <w:szCs w:val="16"/>
              </w:rPr>
              <w:t>Language coverage limited to certain Committees/Main bodies;</w:t>
            </w:r>
          </w:p>
          <w:p w:rsidR="004E366B" w:rsidRPr="00C7008C" w:rsidRDefault="004E366B" w:rsidP="00271CFB">
            <w:pPr>
              <w:rPr>
                <w:rFonts w:cs="Arial"/>
                <w:sz w:val="16"/>
                <w:szCs w:val="16"/>
              </w:rPr>
            </w:pPr>
            <w:r w:rsidRPr="00991DB4">
              <w:rPr>
                <w:rFonts w:cs="Arial"/>
                <w:sz w:val="16"/>
                <w:szCs w:val="16"/>
              </w:rPr>
              <w:t>Variable length of documents</w:t>
            </w:r>
          </w:p>
        </w:tc>
        <w:tc>
          <w:tcPr>
            <w:tcW w:w="833" w:type="pct"/>
            <w:shd w:val="clear" w:color="auto" w:fill="auto"/>
            <w:tcMar>
              <w:top w:w="110" w:type="dxa"/>
            </w:tcMar>
          </w:tcPr>
          <w:p w:rsidR="004E366B" w:rsidRDefault="004E366B" w:rsidP="00271CFB">
            <w:pPr>
              <w:autoSpaceDE w:val="0"/>
              <w:autoSpaceDN w:val="0"/>
              <w:adjustRightInd w:val="0"/>
              <w:rPr>
                <w:rFonts w:cs="Arial"/>
                <w:sz w:val="16"/>
                <w:szCs w:val="16"/>
              </w:rPr>
            </w:pPr>
            <w:r w:rsidRPr="00991DB4">
              <w:rPr>
                <w:rFonts w:cs="Arial"/>
                <w:sz w:val="16"/>
                <w:szCs w:val="16"/>
              </w:rPr>
              <w:t>Quality translation to be made available for all Committees/</w:t>
            </w:r>
            <w:r>
              <w:rPr>
                <w:rFonts w:cs="Arial"/>
                <w:sz w:val="16"/>
                <w:szCs w:val="16"/>
              </w:rPr>
              <w:t xml:space="preserve"> </w:t>
            </w:r>
            <w:r w:rsidRPr="00991DB4">
              <w:rPr>
                <w:rFonts w:cs="Arial"/>
                <w:sz w:val="16"/>
                <w:szCs w:val="16"/>
              </w:rPr>
              <w:t>Main Bodies;</w:t>
            </w:r>
          </w:p>
          <w:p w:rsidR="004E366B" w:rsidRPr="00991DB4" w:rsidRDefault="004E366B" w:rsidP="00271CFB">
            <w:pPr>
              <w:autoSpaceDE w:val="0"/>
              <w:autoSpaceDN w:val="0"/>
              <w:adjustRightInd w:val="0"/>
              <w:rPr>
                <w:rFonts w:cs="Arial"/>
                <w:sz w:val="16"/>
                <w:szCs w:val="16"/>
              </w:rPr>
            </w:pPr>
          </w:p>
          <w:p w:rsidR="004E366B" w:rsidRPr="00C7008C" w:rsidRDefault="004E366B" w:rsidP="00271CFB">
            <w:pPr>
              <w:rPr>
                <w:rFonts w:cs="Arial"/>
                <w:sz w:val="16"/>
                <w:szCs w:val="16"/>
              </w:rPr>
            </w:pPr>
            <w:r w:rsidRPr="00991DB4">
              <w:rPr>
                <w:rFonts w:cs="Arial"/>
                <w:sz w:val="16"/>
                <w:szCs w:val="16"/>
              </w:rPr>
              <w:t>Length of documents for Committees/</w:t>
            </w:r>
            <w:r>
              <w:rPr>
                <w:rFonts w:cs="Arial"/>
                <w:sz w:val="16"/>
                <w:szCs w:val="16"/>
              </w:rPr>
              <w:t xml:space="preserve"> </w:t>
            </w:r>
            <w:r w:rsidRPr="00991DB4">
              <w:rPr>
                <w:rFonts w:cs="Arial"/>
                <w:sz w:val="16"/>
                <w:szCs w:val="16"/>
              </w:rPr>
              <w:t>Main Bodies reduced to 3</w:t>
            </w:r>
            <w:r>
              <w:rPr>
                <w:rFonts w:cs="Arial"/>
                <w:sz w:val="16"/>
                <w:szCs w:val="16"/>
              </w:rPr>
              <w:t>,</w:t>
            </w:r>
            <w:r w:rsidRPr="00991DB4">
              <w:rPr>
                <w:rFonts w:cs="Arial"/>
                <w:sz w:val="16"/>
                <w:szCs w:val="16"/>
              </w:rPr>
              <w:t>300 words</w:t>
            </w:r>
          </w:p>
        </w:tc>
        <w:tc>
          <w:tcPr>
            <w:tcW w:w="1364" w:type="pct"/>
            <w:shd w:val="clear" w:color="auto" w:fill="FFFFFF"/>
            <w:tcMar>
              <w:top w:w="110" w:type="dxa"/>
            </w:tcMar>
          </w:tcPr>
          <w:p w:rsidR="004E366B" w:rsidRPr="00991DB4" w:rsidRDefault="004E366B" w:rsidP="00271CFB">
            <w:pPr>
              <w:rPr>
                <w:rFonts w:cs="Arial"/>
                <w:sz w:val="16"/>
                <w:szCs w:val="16"/>
                <w:lang w:bidi="th-TH"/>
              </w:rPr>
            </w:pPr>
            <w:r w:rsidRPr="00991DB4">
              <w:rPr>
                <w:rFonts w:cs="Arial"/>
                <w:sz w:val="16"/>
                <w:szCs w:val="16"/>
                <w:lang w:bidi="th-TH"/>
              </w:rPr>
              <w:t xml:space="preserve">The six-language coverage was extended to two Working Groups </w:t>
            </w:r>
            <w:r>
              <w:rPr>
                <w:rFonts w:cs="Arial"/>
                <w:sz w:val="16"/>
                <w:szCs w:val="16"/>
                <w:lang w:bidi="th-TH"/>
              </w:rPr>
              <w:t xml:space="preserve"> (PCT </w:t>
            </w:r>
            <w:r w:rsidRPr="00233A5C">
              <w:rPr>
                <w:rFonts w:cs="Arial"/>
                <w:sz w:val="16"/>
                <w:szCs w:val="16"/>
                <w:lang w:bidi="th-TH"/>
              </w:rPr>
              <w:t>Working Group and the Working Group on the Legal Development of the Hague System for the International Registration of Industrial Designs)</w:t>
            </w:r>
            <w:r>
              <w:rPr>
                <w:rFonts w:cs="Arial"/>
                <w:sz w:val="16"/>
                <w:szCs w:val="16"/>
                <w:lang w:bidi="th-TH"/>
              </w:rPr>
              <w:t xml:space="preserve"> </w:t>
            </w:r>
            <w:r w:rsidRPr="00991DB4">
              <w:rPr>
                <w:rFonts w:cs="Arial"/>
                <w:sz w:val="16"/>
                <w:szCs w:val="16"/>
                <w:lang w:bidi="th-TH"/>
              </w:rPr>
              <w:t>as determined by Member States</w:t>
            </w:r>
          </w:p>
          <w:p w:rsidR="004E366B" w:rsidRPr="00991DB4" w:rsidRDefault="004E366B" w:rsidP="00271CFB">
            <w:pPr>
              <w:rPr>
                <w:rFonts w:cs="Arial"/>
                <w:sz w:val="16"/>
                <w:szCs w:val="16"/>
                <w:lang w:bidi="th-TH"/>
              </w:rPr>
            </w:pPr>
          </w:p>
          <w:p w:rsidR="004E366B" w:rsidRPr="00C7008C" w:rsidRDefault="004E366B" w:rsidP="00271CFB">
            <w:pPr>
              <w:rPr>
                <w:rFonts w:cs="Arial"/>
                <w:sz w:val="16"/>
                <w:szCs w:val="16"/>
              </w:rPr>
            </w:pPr>
            <w:r w:rsidRPr="00991DB4">
              <w:rPr>
                <w:rFonts w:cs="Arial"/>
                <w:sz w:val="16"/>
                <w:szCs w:val="16"/>
                <w:lang w:bidi="th-TH"/>
              </w:rPr>
              <w:t xml:space="preserve">Despite strengthened efforts, it </w:t>
            </w:r>
            <w:r>
              <w:rPr>
                <w:rFonts w:cs="Arial"/>
                <w:sz w:val="16"/>
                <w:szCs w:val="16"/>
                <w:lang w:bidi="th-TH"/>
              </w:rPr>
              <w:t>was not</w:t>
            </w:r>
            <w:r w:rsidRPr="00991DB4">
              <w:rPr>
                <w:rFonts w:cs="Arial"/>
                <w:sz w:val="16"/>
                <w:szCs w:val="16"/>
                <w:lang w:bidi="th-TH"/>
              </w:rPr>
              <w:t xml:space="preserve"> possible to restrict the length of all documents to 3,300 words</w:t>
            </w:r>
            <w:r>
              <w:rPr>
                <w:rFonts w:cs="Arial"/>
                <w:sz w:val="16"/>
                <w:szCs w:val="16"/>
                <w:lang w:bidi="th-TH"/>
              </w:rPr>
              <w:t>.  Additional efforts will continue in 2015 to more rigorously apply the rationalization and control measures.</w:t>
            </w:r>
          </w:p>
        </w:tc>
        <w:tc>
          <w:tcPr>
            <w:tcW w:w="530" w:type="pct"/>
            <w:shd w:val="clear" w:color="auto" w:fill="auto"/>
            <w:tcMar>
              <w:top w:w="110" w:type="dxa"/>
            </w:tcMar>
          </w:tcPr>
          <w:p w:rsidR="004E366B" w:rsidRDefault="004E366B" w:rsidP="00271CFB">
            <w:pPr>
              <w:jc w:val="center"/>
              <w:rPr>
                <w:rFonts w:cs="Arial"/>
                <w:b/>
                <w:bCs/>
                <w:color w:val="00B050"/>
                <w:sz w:val="16"/>
                <w:szCs w:val="16"/>
              </w:rPr>
            </w:pPr>
            <w:r w:rsidRPr="00991DB4">
              <w:rPr>
                <w:rFonts w:cs="Arial"/>
                <w:b/>
                <w:bCs/>
                <w:color w:val="00B050"/>
                <w:sz w:val="16"/>
                <w:szCs w:val="16"/>
              </w:rPr>
              <w:t>On track</w:t>
            </w:r>
          </w:p>
          <w:p w:rsidR="004E366B" w:rsidRDefault="004E366B" w:rsidP="00271CFB">
            <w:pPr>
              <w:jc w:val="center"/>
              <w:rPr>
                <w:rFonts w:cs="Arial"/>
                <w:b/>
                <w:bCs/>
                <w:color w:val="00B050"/>
                <w:sz w:val="16"/>
                <w:szCs w:val="16"/>
              </w:rPr>
            </w:pPr>
          </w:p>
          <w:p w:rsidR="004E366B" w:rsidRDefault="004E366B" w:rsidP="00271CFB">
            <w:pPr>
              <w:jc w:val="center"/>
              <w:rPr>
                <w:rFonts w:cs="Arial"/>
                <w:b/>
                <w:bCs/>
                <w:color w:val="00B050"/>
                <w:sz w:val="16"/>
                <w:szCs w:val="16"/>
              </w:rPr>
            </w:pPr>
          </w:p>
          <w:p w:rsidR="004E366B" w:rsidRDefault="004E366B" w:rsidP="00271CFB">
            <w:pPr>
              <w:jc w:val="center"/>
              <w:rPr>
                <w:rFonts w:cs="Arial"/>
                <w:b/>
                <w:bCs/>
                <w:color w:val="00B050"/>
                <w:sz w:val="16"/>
                <w:szCs w:val="16"/>
              </w:rPr>
            </w:pPr>
          </w:p>
          <w:p w:rsidR="004E366B" w:rsidRDefault="004E366B" w:rsidP="00271CFB">
            <w:pPr>
              <w:jc w:val="center"/>
              <w:rPr>
                <w:rFonts w:cs="Arial"/>
                <w:b/>
                <w:bCs/>
                <w:color w:val="00B050"/>
                <w:sz w:val="16"/>
                <w:szCs w:val="16"/>
              </w:rPr>
            </w:pPr>
          </w:p>
          <w:p w:rsidR="004E366B" w:rsidRDefault="004E366B" w:rsidP="00271CFB">
            <w:pPr>
              <w:jc w:val="center"/>
              <w:rPr>
                <w:rFonts w:cs="Arial"/>
                <w:b/>
                <w:bCs/>
                <w:color w:val="00B050"/>
                <w:sz w:val="16"/>
                <w:szCs w:val="16"/>
              </w:rPr>
            </w:pPr>
          </w:p>
          <w:p w:rsidR="004E366B" w:rsidRDefault="004E366B" w:rsidP="00271CFB">
            <w:pPr>
              <w:jc w:val="center"/>
              <w:rPr>
                <w:rFonts w:cs="Arial"/>
                <w:b/>
                <w:bCs/>
                <w:color w:val="00B050"/>
                <w:sz w:val="16"/>
                <w:szCs w:val="16"/>
              </w:rPr>
            </w:pPr>
          </w:p>
          <w:p w:rsidR="004E366B" w:rsidRDefault="004E366B" w:rsidP="00271CFB">
            <w:pPr>
              <w:jc w:val="center"/>
              <w:rPr>
                <w:rFonts w:cs="Arial"/>
                <w:b/>
                <w:bCs/>
                <w:color w:val="00B050"/>
                <w:sz w:val="16"/>
                <w:szCs w:val="16"/>
              </w:rPr>
            </w:pPr>
          </w:p>
          <w:p w:rsidR="004E366B" w:rsidRDefault="004E366B" w:rsidP="00271CFB">
            <w:pPr>
              <w:jc w:val="center"/>
              <w:rPr>
                <w:rFonts w:cs="Arial"/>
                <w:b/>
                <w:bCs/>
                <w:color w:val="00B050"/>
                <w:sz w:val="16"/>
                <w:szCs w:val="16"/>
              </w:rPr>
            </w:pPr>
          </w:p>
          <w:p w:rsidR="004E366B" w:rsidRPr="00C7008C" w:rsidRDefault="004E366B" w:rsidP="00271CFB">
            <w:pPr>
              <w:jc w:val="center"/>
              <w:rPr>
                <w:rFonts w:cs="Arial"/>
                <w:bCs/>
                <w:color w:val="808080"/>
                <w:sz w:val="16"/>
                <w:szCs w:val="16"/>
              </w:rPr>
            </w:pPr>
            <w:r w:rsidRPr="00A22BD8">
              <w:rPr>
                <w:rFonts w:cs="Arial"/>
                <w:b/>
                <w:bCs/>
                <w:color w:val="FF0000"/>
                <w:sz w:val="16"/>
                <w:szCs w:val="16"/>
              </w:rPr>
              <w:t xml:space="preserve">Not </w:t>
            </w:r>
            <w:r>
              <w:rPr>
                <w:rFonts w:cs="Arial"/>
                <w:b/>
                <w:bCs/>
                <w:color w:val="FF0000"/>
                <w:sz w:val="16"/>
                <w:szCs w:val="16"/>
              </w:rPr>
              <w:br/>
            </w:r>
            <w:r w:rsidRPr="00A22BD8">
              <w:rPr>
                <w:rFonts w:cs="Arial"/>
                <w:b/>
                <w:bCs/>
                <w:color w:val="FF0000"/>
                <w:sz w:val="16"/>
                <w:szCs w:val="16"/>
              </w:rPr>
              <w:t>on track</w:t>
            </w:r>
          </w:p>
        </w:tc>
      </w:tr>
    </w:tbl>
    <w:p w:rsidR="0042593C" w:rsidRDefault="0042593C">
      <w:r>
        <w:br w:type="page"/>
      </w: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2126"/>
        <w:gridCol w:w="1559"/>
        <w:gridCol w:w="2553"/>
        <w:gridCol w:w="992"/>
      </w:tblGrid>
      <w:tr w:rsidR="0042593C" w:rsidRPr="00C7008C" w:rsidTr="00F25872">
        <w:trPr>
          <w:cantSplit/>
        </w:trPr>
        <w:tc>
          <w:tcPr>
            <w:tcW w:w="1137" w:type="pct"/>
            <w:shd w:val="clear" w:color="auto" w:fill="auto"/>
            <w:vAlign w:val="center"/>
          </w:tcPr>
          <w:p w:rsidR="0042593C" w:rsidRPr="00991DB4" w:rsidRDefault="0042593C" w:rsidP="00F25872">
            <w:pPr>
              <w:rPr>
                <w:rFonts w:cs="Arial"/>
                <w:sz w:val="16"/>
                <w:szCs w:val="16"/>
              </w:rPr>
            </w:pPr>
            <w:r w:rsidRPr="00C7008C">
              <w:rPr>
                <w:rFonts w:cs="Arial"/>
                <w:b/>
                <w:bCs/>
                <w:sz w:val="16"/>
                <w:szCs w:val="16"/>
              </w:rPr>
              <w:lastRenderedPageBreak/>
              <w:t>Performance Indicators</w:t>
            </w:r>
          </w:p>
        </w:tc>
        <w:tc>
          <w:tcPr>
            <w:tcW w:w="1136" w:type="pct"/>
            <w:shd w:val="clear" w:color="auto" w:fill="auto"/>
            <w:vAlign w:val="center"/>
          </w:tcPr>
          <w:p w:rsidR="0042593C" w:rsidRPr="00C7008C" w:rsidRDefault="0042593C" w:rsidP="00F25872">
            <w:pPr>
              <w:autoSpaceDE w:val="0"/>
              <w:autoSpaceDN w:val="0"/>
              <w:adjustRightInd w:val="0"/>
              <w:rPr>
                <w:rFonts w:eastAsia="Batang" w:cs="Arial"/>
                <w:i/>
                <w:color w:val="002060"/>
                <w:sz w:val="16"/>
                <w:szCs w:val="16"/>
                <w:lang w:eastAsia="ja-JP"/>
              </w:rPr>
            </w:pPr>
            <w:r w:rsidRPr="00C7008C">
              <w:rPr>
                <w:rFonts w:cs="Arial"/>
                <w:b/>
                <w:bCs/>
                <w:sz w:val="16"/>
                <w:szCs w:val="16"/>
              </w:rPr>
              <w:t>Baselines</w:t>
            </w:r>
          </w:p>
        </w:tc>
        <w:tc>
          <w:tcPr>
            <w:tcW w:w="833" w:type="pct"/>
            <w:shd w:val="clear" w:color="auto" w:fill="auto"/>
            <w:tcMar>
              <w:top w:w="110" w:type="dxa"/>
            </w:tcMar>
            <w:vAlign w:val="center"/>
          </w:tcPr>
          <w:p w:rsidR="0042593C" w:rsidRPr="00991DB4" w:rsidRDefault="0042593C" w:rsidP="00F25872">
            <w:pPr>
              <w:autoSpaceDE w:val="0"/>
              <w:autoSpaceDN w:val="0"/>
              <w:adjustRightInd w:val="0"/>
              <w:rPr>
                <w:rFonts w:eastAsia="Batang" w:cs="Arial"/>
                <w:sz w:val="16"/>
                <w:szCs w:val="16"/>
                <w:lang w:eastAsia="ja-JP"/>
              </w:rPr>
            </w:pPr>
            <w:r w:rsidRPr="00C7008C">
              <w:rPr>
                <w:rFonts w:cs="Arial"/>
                <w:b/>
                <w:sz w:val="16"/>
                <w:szCs w:val="16"/>
              </w:rPr>
              <w:t>Target</w:t>
            </w:r>
            <w:r>
              <w:rPr>
                <w:rFonts w:cs="Arial"/>
                <w:b/>
                <w:sz w:val="16"/>
                <w:szCs w:val="16"/>
              </w:rPr>
              <w:t>s</w:t>
            </w:r>
          </w:p>
        </w:tc>
        <w:tc>
          <w:tcPr>
            <w:tcW w:w="1364" w:type="pct"/>
            <w:shd w:val="clear" w:color="auto" w:fill="FFFFFF"/>
            <w:tcMar>
              <w:top w:w="110" w:type="dxa"/>
            </w:tcMar>
            <w:vAlign w:val="center"/>
          </w:tcPr>
          <w:p w:rsidR="0042593C" w:rsidRPr="00A22BD8" w:rsidRDefault="0042593C" w:rsidP="00F25872">
            <w:pPr>
              <w:rPr>
                <w:rFonts w:cs="Arial"/>
                <w:sz w:val="16"/>
                <w:szCs w:val="16"/>
              </w:rPr>
            </w:pPr>
            <w:r w:rsidRPr="00C7008C">
              <w:rPr>
                <w:rFonts w:cs="Arial"/>
                <w:b/>
                <w:bCs/>
                <w:sz w:val="16"/>
                <w:szCs w:val="16"/>
              </w:rPr>
              <w:t>Performance Data</w:t>
            </w:r>
          </w:p>
        </w:tc>
        <w:tc>
          <w:tcPr>
            <w:tcW w:w="530" w:type="pct"/>
            <w:shd w:val="clear" w:color="auto" w:fill="auto"/>
            <w:tcMar>
              <w:top w:w="110" w:type="dxa"/>
            </w:tcMar>
            <w:vAlign w:val="center"/>
          </w:tcPr>
          <w:p w:rsidR="0042593C" w:rsidRPr="006D5F84" w:rsidRDefault="0042593C" w:rsidP="00F25872">
            <w:pPr>
              <w:keepNext/>
              <w:keepLines/>
              <w:jc w:val="center"/>
              <w:rPr>
                <w:rFonts w:cs="Arial"/>
                <w:b/>
                <w:bCs/>
                <w:color w:val="A6A6A6" w:themeColor="background1" w:themeShade="A6"/>
                <w:sz w:val="14"/>
                <w:szCs w:val="16"/>
              </w:rPr>
            </w:pPr>
            <w:r w:rsidRPr="00C7008C">
              <w:rPr>
                <w:rFonts w:cs="Arial"/>
                <w:b/>
                <w:bCs/>
                <w:sz w:val="16"/>
                <w:szCs w:val="16"/>
              </w:rPr>
              <w:t>TLS</w:t>
            </w:r>
          </w:p>
        </w:tc>
      </w:tr>
      <w:tr w:rsidR="0042593C" w:rsidRPr="00C7008C" w:rsidTr="0042593C">
        <w:trPr>
          <w:cantSplit/>
        </w:trPr>
        <w:tc>
          <w:tcPr>
            <w:tcW w:w="1137" w:type="pct"/>
            <w:shd w:val="clear" w:color="auto" w:fill="auto"/>
          </w:tcPr>
          <w:p w:rsidR="0042593C" w:rsidRPr="00C7008C" w:rsidRDefault="0042593C" w:rsidP="00271CFB">
            <w:pPr>
              <w:rPr>
                <w:rFonts w:cs="Arial"/>
                <w:sz w:val="16"/>
                <w:szCs w:val="16"/>
              </w:rPr>
            </w:pPr>
            <w:r w:rsidRPr="00991DB4">
              <w:rPr>
                <w:rFonts w:cs="Arial"/>
                <w:spacing w:val="-4"/>
                <w:sz w:val="16"/>
                <w:szCs w:val="16"/>
              </w:rPr>
              <w:t>Cost per word of translation</w:t>
            </w:r>
          </w:p>
        </w:tc>
        <w:tc>
          <w:tcPr>
            <w:tcW w:w="1136" w:type="pct"/>
            <w:shd w:val="clear" w:color="auto" w:fill="auto"/>
          </w:tcPr>
          <w:p w:rsidR="0042593C" w:rsidRPr="00C7008C" w:rsidRDefault="0042593C" w:rsidP="00271CFB">
            <w:pPr>
              <w:autoSpaceDE w:val="0"/>
              <w:autoSpaceDN w:val="0"/>
              <w:adjustRightInd w:val="0"/>
              <w:rPr>
                <w:rFonts w:eastAsia="Batang" w:cs="Arial"/>
                <w:color w:val="002060"/>
                <w:sz w:val="16"/>
                <w:szCs w:val="16"/>
                <w:lang w:eastAsia="ja-JP"/>
              </w:rPr>
            </w:pPr>
            <w:r w:rsidRPr="00C7008C">
              <w:rPr>
                <w:rFonts w:eastAsia="Batang" w:cs="Arial"/>
                <w:i/>
                <w:color w:val="002060"/>
                <w:sz w:val="16"/>
                <w:szCs w:val="16"/>
                <w:lang w:eastAsia="ja-JP"/>
              </w:rPr>
              <w:t>Updated Baseline end 201</w:t>
            </w:r>
            <w:r>
              <w:rPr>
                <w:rFonts w:eastAsia="Batang" w:cs="Arial"/>
                <w:i/>
                <w:color w:val="002060"/>
                <w:sz w:val="16"/>
                <w:szCs w:val="16"/>
                <w:lang w:eastAsia="ja-JP"/>
              </w:rPr>
              <w:t>3</w:t>
            </w:r>
            <w:r w:rsidRPr="00C7008C">
              <w:rPr>
                <w:rFonts w:eastAsia="Batang" w:cs="Arial"/>
                <w:i/>
                <w:color w:val="002060"/>
                <w:sz w:val="16"/>
                <w:szCs w:val="16"/>
                <w:lang w:eastAsia="ja-JP"/>
              </w:rPr>
              <w:t xml:space="preserve">: </w:t>
            </w:r>
            <w:r w:rsidRPr="00C7008C">
              <w:rPr>
                <w:rFonts w:eastAsia="Batang" w:cs="Arial"/>
                <w:i/>
                <w:sz w:val="16"/>
                <w:szCs w:val="16"/>
                <w:lang w:eastAsia="ja-JP"/>
              </w:rPr>
              <w:t xml:space="preserve"> </w:t>
            </w:r>
            <w:r w:rsidRPr="00991DB4">
              <w:rPr>
                <w:rFonts w:cs="Arial"/>
                <w:color w:val="002060"/>
                <w:sz w:val="16"/>
                <w:szCs w:val="16"/>
              </w:rPr>
              <w:t xml:space="preserve">0.63 </w:t>
            </w:r>
            <w:r>
              <w:rPr>
                <w:rFonts w:cs="Arial"/>
                <w:color w:val="002060"/>
                <w:sz w:val="16"/>
                <w:szCs w:val="16"/>
              </w:rPr>
              <w:t xml:space="preserve">Swiss francs </w:t>
            </w:r>
            <w:r w:rsidRPr="00991DB4">
              <w:rPr>
                <w:rFonts w:cs="Arial"/>
                <w:color w:val="002060"/>
                <w:sz w:val="16"/>
                <w:szCs w:val="16"/>
              </w:rPr>
              <w:t>per word</w:t>
            </w:r>
            <w:r>
              <w:rPr>
                <w:rFonts w:cs="Arial"/>
                <w:color w:val="002060"/>
                <w:sz w:val="16"/>
                <w:szCs w:val="16"/>
              </w:rPr>
              <w:t xml:space="preserve"> on average</w:t>
            </w:r>
          </w:p>
          <w:p w:rsidR="0042593C" w:rsidRPr="00C7008C" w:rsidRDefault="0042593C" w:rsidP="00271CFB">
            <w:pPr>
              <w:keepNext/>
              <w:rPr>
                <w:rFonts w:cs="Arial"/>
                <w:i/>
                <w:sz w:val="8"/>
                <w:szCs w:val="8"/>
              </w:rPr>
            </w:pPr>
          </w:p>
          <w:p w:rsidR="0042593C" w:rsidRPr="00C7008C" w:rsidRDefault="0042593C" w:rsidP="00271CFB">
            <w:pPr>
              <w:rPr>
                <w:rFonts w:cs="Arial"/>
                <w:sz w:val="16"/>
                <w:szCs w:val="16"/>
              </w:rPr>
            </w:pPr>
            <w:r w:rsidRPr="00C7008C">
              <w:rPr>
                <w:rFonts w:cs="Arial"/>
                <w:i/>
                <w:sz w:val="16"/>
                <w:szCs w:val="16"/>
              </w:rPr>
              <w:t>Original Baseline P&amp;B 201</w:t>
            </w:r>
            <w:r>
              <w:rPr>
                <w:rFonts w:cs="Arial"/>
                <w:i/>
                <w:sz w:val="16"/>
                <w:szCs w:val="16"/>
              </w:rPr>
              <w:t>4</w:t>
            </w:r>
            <w:r w:rsidRPr="00C7008C">
              <w:rPr>
                <w:rFonts w:cs="Arial"/>
                <w:i/>
                <w:sz w:val="16"/>
                <w:szCs w:val="16"/>
              </w:rPr>
              <w:t>/1</w:t>
            </w:r>
            <w:r>
              <w:rPr>
                <w:rFonts w:cs="Arial"/>
                <w:i/>
                <w:sz w:val="16"/>
                <w:szCs w:val="16"/>
              </w:rPr>
              <w:t>5</w:t>
            </w:r>
            <w:r w:rsidRPr="00C7008C">
              <w:rPr>
                <w:rFonts w:cs="Arial"/>
                <w:i/>
                <w:sz w:val="16"/>
                <w:szCs w:val="16"/>
              </w:rPr>
              <w:t>:</w:t>
            </w:r>
            <w:r w:rsidRPr="00C7008C">
              <w:rPr>
                <w:rFonts w:cs="Arial"/>
                <w:sz w:val="16"/>
                <w:szCs w:val="16"/>
              </w:rPr>
              <w:br/>
            </w:r>
            <w:proofErr w:type="spellStart"/>
            <w:r>
              <w:rPr>
                <w:rFonts w:cs="Arial"/>
                <w:sz w:val="16"/>
                <w:szCs w:val="16"/>
              </w:rPr>
              <w:t>tbd</w:t>
            </w:r>
            <w:proofErr w:type="spellEnd"/>
          </w:p>
          <w:p w:rsidR="0042593C" w:rsidRPr="00C7008C" w:rsidRDefault="0042593C" w:rsidP="00271CFB">
            <w:pPr>
              <w:rPr>
                <w:rFonts w:cs="Arial"/>
                <w:sz w:val="16"/>
                <w:szCs w:val="16"/>
              </w:rPr>
            </w:pPr>
          </w:p>
        </w:tc>
        <w:tc>
          <w:tcPr>
            <w:tcW w:w="833" w:type="pct"/>
            <w:shd w:val="clear" w:color="auto" w:fill="auto"/>
            <w:tcMar>
              <w:top w:w="110" w:type="dxa"/>
            </w:tcMar>
          </w:tcPr>
          <w:p w:rsidR="0042593C" w:rsidRPr="00991DB4" w:rsidRDefault="0042593C" w:rsidP="00271CFB">
            <w:pPr>
              <w:rPr>
                <w:rFonts w:eastAsia="Batang" w:cs="Arial"/>
                <w:i/>
                <w:color w:val="002060"/>
                <w:sz w:val="16"/>
                <w:szCs w:val="16"/>
                <w:lang w:eastAsia="ja-JP"/>
              </w:rPr>
            </w:pPr>
            <w:r>
              <w:rPr>
                <w:rFonts w:eastAsia="Batang" w:cs="Arial"/>
                <w:i/>
                <w:color w:val="002060"/>
                <w:sz w:val="16"/>
                <w:szCs w:val="16"/>
                <w:lang w:eastAsia="ja-JP"/>
              </w:rPr>
              <w:t>Defined</w:t>
            </w:r>
            <w:r w:rsidRPr="00991DB4">
              <w:rPr>
                <w:rFonts w:eastAsia="Batang" w:cs="Arial"/>
                <w:i/>
                <w:color w:val="002060"/>
                <w:sz w:val="16"/>
                <w:szCs w:val="16"/>
                <w:lang w:eastAsia="ja-JP"/>
              </w:rPr>
              <w:t xml:space="preserve"> target:</w:t>
            </w:r>
          </w:p>
          <w:p w:rsidR="0042593C" w:rsidRDefault="0042593C" w:rsidP="00271CFB">
            <w:pPr>
              <w:rPr>
                <w:rFonts w:eastAsia="Batang" w:cs="Arial"/>
                <w:color w:val="002060"/>
                <w:sz w:val="16"/>
                <w:szCs w:val="16"/>
                <w:lang w:eastAsia="ja-JP"/>
              </w:rPr>
            </w:pPr>
            <w:r w:rsidRPr="00991DB4">
              <w:rPr>
                <w:rFonts w:eastAsia="Batang" w:cs="Arial"/>
                <w:color w:val="002060"/>
                <w:sz w:val="16"/>
                <w:szCs w:val="16"/>
                <w:lang w:eastAsia="ja-JP"/>
              </w:rPr>
              <w:t>Maintain the average rate of translation</w:t>
            </w:r>
          </w:p>
          <w:p w:rsidR="0042593C" w:rsidRDefault="0042593C" w:rsidP="00271CFB">
            <w:pPr>
              <w:rPr>
                <w:rFonts w:eastAsia="Batang" w:cs="Arial"/>
                <w:color w:val="002060"/>
                <w:sz w:val="16"/>
                <w:szCs w:val="16"/>
                <w:lang w:eastAsia="ja-JP"/>
              </w:rPr>
            </w:pPr>
          </w:p>
          <w:p w:rsidR="0042593C" w:rsidRPr="00AD21F2" w:rsidRDefault="0042593C" w:rsidP="00271CFB">
            <w:pPr>
              <w:rPr>
                <w:rFonts w:eastAsia="Batang" w:cs="Arial"/>
                <w:sz w:val="16"/>
                <w:szCs w:val="16"/>
                <w:lang w:eastAsia="ja-JP"/>
              </w:rPr>
            </w:pPr>
            <w:r w:rsidRPr="00AD21F2">
              <w:rPr>
                <w:rFonts w:eastAsia="Batang" w:cs="Arial"/>
                <w:i/>
                <w:sz w:val="16"/>
                <w:szCs w:val="16"/>
                <w:lang w:eastAsia="ja-JP"/>
              </w:rPr>
              <w:t>Original target</w:t>
            </w:r>
            <w:r w:rsidRPr="00AD21F2">
              <w:rPr>
                <w:rFonts w:eastAsia="Batang" w:cs="Arial"/>
                <w:sz w:val="16"/>
                <w:szCs w:val="16"/>
                <w:lang w:eastAsia="ja-JP"/>
              </w:rPr>
              <w:t xml:space="preserve"> </w:t>
            </w:r>
            <w:r w:rsidRPr="00AD21F2">
              <w:rPr>
                <w:rFonts w:eastAsia="Batang" w:cs="Arial"/>
                <w:i/>
                <w:sz w:val="16"/>
                <w:szCs w:val="16"/>
                <w:lang w:eastAsia="ja-JP"/>
              </w:rPr>
              <w:t>P&amp;B 2014/15:</w:t>
            </w:r>
            <w:r w:rsidRPr="00AD21F2">
              <w:rPr>
                <w:rFonts w:eastAsia="Batang" w:cs="Arial"/>
                <w:sz w:val="16"/>
                <w:szCs w:val="16"/>
                <w:lang w:eastAsia="ja-JP"/>
              </w:rPr>
              <w:t xml:space="preserve"> </w:t>
            </w:r>
            <w:proofErr w:type="spellStart"/>
            <w:r w:rsidRPr="00AD21F2">
              <w:rPr>
                <w:rFonts w:eastAsia="Batang" w:cs="Arial"/>
                <w:sz w:val="16"/>
                <w:szCs w:val="16"/>
                <w:lang w:eastAsia="ja-JP"/>
              </w:rPr>
              <w:t>tbd</w:t>
            </w:r>
            <w:proofErr w:type="spellEnd"/>
          </w:p>
          <w:p w:rsidR="0042593C" w:rsidRPr="00991DB4" w:rsidRDefault="0042593C" w:rsidP="00271CFB">
            <w:pPr>
              <w:rPr>
                <w:rFonts w:cs="Arial"/>
                <w:sz w:val="16"/>
                <w:szCs w:val="16"/>
              </w:rPr>
            </w:pPr>
          </w:p>
        </w:tc>
        <w:tc>
          <w:tcPr>
            <w:tcW w:w="1364" w:type="pct"/>
            <w:shd w:val="clear" w:color="auto" w:fill="FFFFFF"/>
            <w:tcMar>
              <w:top w:w="110" w:type="dxa"/>
            </w:tcMar>
          </w:tcPr>
          <w:p w:rsidR="0042593C" w:rsidRPr="00C7008C" w:rsidRDefault="0042593C" w:rsidP="00271CFB">
            <w:pPr>
              <w:rPr>
                <w:rFonts w:cs="Arial"/>
                <w:sz w:val="16"/>
                <w:szCs w:val="16"/>
              </w:rPr>
            </w:pPr>
            <w:r w:rsidRPr="00991DB4">
              <w:rPr>
                <w:rFonts w:cs="Arial"/>
                <w:sz w:val="16"/>
                <w:szCs w:val="16"/>
              </w:rPr>
              <w:t xml:space="preserve">0.59 </w:t>
            </w:r>
            <w:r>
              <w:rPr>
                <w:rFonts w:cs="Arial"/>
                <w:sz w:val="16"/>
                <w:szCs w:val="16"/>
              </w:rPr>
              <w:t>Swiss francs</w:t>
            </w:r>
            <w:r w:rsidRPr="00991DB4">
              <w:rPr>
                <w:rFonts w:cs="Arial"/>
                <w:sz w:val="16"/>
                <w:szCs w:val="16"/>
              </w:rPr>
              <w:t xml:space="preserve"> per word</w:t>
            </w:r>
          </w:p>
        </w:tc>
        <w:tc>
          <w:tcPr>
            <w:tcW w:w="530" w:type="pct"/>
            <w:shd w:val="clear" w:color="auto" w:fill="auto"/>
            <w:tcMar>
              <w:top w:w="110" w:type="dxa"/>
            </w:tcMar>
          </w:tcPr>
          <w:p w:rsidR="0042593C" w:rsidRPr="00C7008C" w:rsidRDefault="0042593C" w:rsidP="00271CFB">
            <w:pPr>
              <w:keepNext/>
              <w:keepLines/>
              <w:jc w:val="center"/>
              <w:rPr>
                <w:rFonts w:cs="Arial"/>
                <w:bCs/>
                <w:color w:val="808080"/>
                <w:sz w:val="16"/>
                <w:szCs w:val="16"/>
              </w:rPr>
            </w:pPr>
            <w:r w:rsidRPr="00991DB4">
              <w:rPr>
                <w:rFonts w:cs="Arial"/>
                <w:b/>
                <w:bCs/>
                <w:color w:val="00B050"/>
                <w:sz w:val="16"/>
                <w:szCs w:val="16"/>
              </w:rPr>
              <w:t>On track</w:t>
            </w:r>
          </w:p>
        </w:tc>
      </w:tr>
      <w:tr w:rsidR="0042593C" w:rsidRPr="00C7008C" w:rsidTr="0042593C">
        <w:trPr>
          <w:cantSplit/>
        </w:trPr>
        <w:tc>
          <w:tcPr>
            <w:tcW w:w="1137" w:type="pct"/>
            <w:shd w:val="clear" w:color="auto" w:fill="auto"/>
          </w:tcPr>
          <w:p w:rsidR="0042593C" w:rsidRPr="00C7008C" w:rsidRDefault="0042593C" w:rsidP="00271CFB">
            <w:pPr>
              <w:rPr>
                <w:rFonts w:cs="Arial"/>
                <w:sz w:val="16"/>
                <w:szCs w:val="16"/>
              </w:rPr>
            </w:pPr>
            <w:r w:rsidRPr="00991DB4">
              <w:rPr>
                <w:rFonts w:cs="Arial"/>
                <w:sz w:val="16"/>
                <w:szCs w:val="16"/>
              </w:rPr>
              <w:t>Quality of translation</w:t>
            </w:r>
          </w:p>
        </w:tc>
        <w:tc>
          <w:tcPr>
            <w:tcW w:w="1136" w:type="pct"/>
            <w:shd w:val="clear" w:color="auto" w:fill="auto"/>
          </w:tcPr>
          <w:p w:rsidR="0042593C" w:rsidRPr="00991DB4" w:rsidRDefault="0042593C" w:rsidP="00271CFB">
            <w:pPr>
              <w:autoSpaceDE w:val="0"/>
              <w:autoSpaceDN w:val="0"/>
              <w:adjustRightInd w:val="0"/>
              <w:rPr>
                <w:rFonts w:eastAsia="Batang" w:cs="Arial"/>
                <w:color w:val="002060"/>
                <w:sz w:val="16"/>
                <w:szCs w:val="16"/>
                <w:lang w:eastAsia="ja-JP"/>
              </w:rPr>
            </w:pPr>
            <w:r w:rsidRPr="00C7008C">
              <w:rPr>
                <w:rFonts w:eastAsia="Batang" w:cs="Arial"/>
                <w:i/>
                <w:color w:val="002060"/>
                <w:sz w:val="16"/>
                <w:szCs w:val="16"/>
                <w:lang w:eastAsia="ja-JP"/>
              </w:rPr>
              <w:t>Updated Baseline end 201</w:t>
            </w:r>
            <w:r>
              <w:rPr>
                <w:rFonts w:eastAsia="Batang" w:cs="Arial"/>
                <w:i/>
                <w:color w:val="002060"/>
                <w:sz w:val="16"/>
                <w:szCs w:val="16"/>
                <w:lang w:eastAsia="ja-JP"/>
              </w:rPr>
              <w:t>3</w:t>
            </w:r>
            <w:r w:rsidRPr="00C7008C">
              <w:rPr>
                <w:rFonts w:eastAsia="Batang" w:cs="Arial"/>
                <w:i/>
                <w:color w:val="002060"/>
                <w:sz w:val="16"/>
                <w:szCs w:val="16"/>
                <w:lang w:eastAsia="ja-JP"/>
              </w:rPr>
              <w:t xml:space="preserve">: </w:t>
            </w:r>
            <w:r w:rsidRPr="00991DB4">
              <w:rPr>
                <w:rFonts w:eastAsia="Batang" w:cs="Arial"/>
                <w:color w:val="002060"/>
                <w:sz w:val="16"/>
                <w:szCs w:val="16"/>
                <w:lang w:eastAsia="ja-JP"/>
              </w:rPr>
              <w:t>96% of documents which respect quality criteria</w:t>
            </w:r>
            <w:r w:rsidRPr="00991DB4">
              <w:rPr>
                <w:rFonts w:eastAsia="Batang" w:cs="Arial"/>
                <w:sz w:val="16"/>
                <w:szCs w:val="16"/>
                <w:lang w:eastAsia="ja-JP"/>
              </w:rPr>
              <w:t xml:space="preserve"> </w:t>
            </w:r>
          </w:p>
          <w:p w:rsidR="0042593C" w:rsidRPr="00C7008C" w:rsidRDefault="0042593C" w:rsidP="00271CFB">
            <w:pPr>
              <w:keepNext/>
              <w:rPr>
                <w:rFonts w:cs="Arial"/>
                <w:i/>
                <w:sz w:val="8"/>
                <w:szCs w:val="8"/>
              </w:rPr>
            </w:pPr>
          </w:p>
          <w:p w:rsidR="0042593C" w:rsidRPr="00991DB4" w:rsidRDefault="0042593C" w:rsidP="00271CFB">
            <w:pPr>
              <w:rPr>
                <w:rFonts w:cs="Arial"/>
                <w:sz w:val="16"/>
                <w:szCs w:val="16"/>
              </w:rPr>
            </w:pPr>
            <w:r w:rsidRPr="00C7008C">
              <w:rPr>
                <w:rFonts w:cs="Arial"/>
                <w:i/>
                <w:sz w:val="16"/>
                <w:szCs w:val="16"/>
              </w:rPr>
              <w:t>Original Baseline P&amp;B 201</w:t>
            </w:r>
            <w:r>
              <w:rPr>
                <w:rFonts w:cs="Arial"/>
                <w:i/>
                <w:sz w:val="16"/>
                <w:szCs w:val="16"/>
              </w:rPr>
              <w:t>4</w:t>
            </w:r>
            <w:r w:rsidRPr="00C7008C">
              <w:rPr>
                <w:rFonts w:cs="Arial"/>
                <w:i/>
                <w:sz w:val="16"/>
                <w:szCs w:val="16"/>
              </w:rPr>
              <w:t>/1</w:t>
            </w:r>
            <w:r>
              <w:rPr>
                <w:rFonts w:cs="Arial"/>
                <w:i/>
                <w:sz w:val="16"/>
                <w:szCs w:val="16"/>
              </w:rPr>
              <w:t>5</w:t>
            </w:r>
            <w:r w:rsidRPr="00C7008C">
              <w:rPr>
                <w:rFonts w:cs="Arial"/>
                <w:i/>
                <w:sz w:val="16"/>
                <w:szCs w:val="16"/>
              </w:rPr>
              <w:t>:</w:t>
            </w:r>
            <w:r>
              <w:rPr>
                <w:rFonts w:cs="Arial"/>
                <w:i/>
                <w:sz w:val="16"/>
                <w:szCs w:val="16"/>
              </w:rPr>
              <w:t xml:space="preserve"> </w:t>
            </w:r>
            <w:r w:rsidRPr="00991DB4">
              <w:rPr>
                <w:rFonts w:cs="Arial"/>
                <w:sz w:val="16"/>
                <w:szCs w:val="16"/>
              </w:rPr>
              <w:t>% of documents which respect quality criteria</w:t>
            </w:r>
          </w:p>
        </w:tc>
        <w:tc>
          <w:tcPr>
            <w:tcW w:w="833" w:type="pct"/>
            <w:shd w:val="clear" w:color="auto" w:fill="auto"/>
            <w:tcMar>
              <w:top w:w="110" w:type="dxa"/>
            </w:tcMar>
          </w:tcPr>
          <w:p w:rsidR="0042593C" w:rsidRDefault="0042593C" w:rsidP="00271CFB">
            <w:pPr>
              <w:autoSpaceDE w:val="0"/>
              <w:autoSpaceDN w:val="0"/>
              <w:adjustRightInd w:val="0"/>
              <w:rPr>
                <w:rFonts w:eastAsia="Batang" w:cs="Arial"/>
                <w:sz w:val="16"/>
                <w:szCs w:val="16"/>
                <w:lang w:eastAsia="ja-JP"/>
              </w:rPr>
            </w:pPr>
            <w:r w:rsidRPr="00991DB4">
              <w:rPr>
                <w:rFonts w:eastAsia="Batang" w:cs="Arial"/>
                <w:sz w:val="16"/>
                <w:szCs w:val="16"/>
                <w:lang w:eastAsia="ja-JP"/>
              </w:rPr>
              <w:t>% of documents which respect quality criteria</w:t>
            </w:r>
          </w:p>
          <w:p w:rsidR="0042593C" w:rsidRDefault="0042593C" w:rsidP="00271CFB">
            <w:pPr>
              <w:autoSpaceDE w:val="0"/>
              <w:autoSpaceDN w:val="0"/>
              <w:adjustRightInd w:val="0"/>
              <w:rPr>
                <w:rFonts w:eastAsia="Batang" w:cs="Arial"/>
                <w:sz w:val="16"/>
                <w:szCs w:val="16"/>
                <w:lang w:eastAsia="ja-JP"/>
              </w:rPr>
            </w:pPr>
          </w:p>
          <w:p w:rsidR="0042593C" w:rsidRPr="00C7008C" w:rsidRDefault="0042593C" w:rsidP="00271CFB">
            <w:pPr>
              <w:autoSpaceDE w:val="0"/>
              <w:autoSpaceDN w:val="0"/>
              <w:adjustRightInd w:val="0"/>
              <w:rPr>
                <w:rFonts w:eastAsia="Batang" w:cs="Arial"/>
                <w:sz w:val="16"/>
                <w:szCs w:val="16"/>
                <w:lang w:eastAsia="ja-JP"/>
              </w:rPr>
            </w:pPr>
          </w:p>
        </w:tc>
        <w:tc>
          <w:tcPr>
            <w:tcW w:w="1364" w:type="pct"/>
            <w:shd w:val="clear" w:color="auto" w:fill="FFFFFF"/>
            <w:tcMar>
              <w:top w:w="110" w:type="dxa"/>
            </w:tcMar>
          </w:tcPr>
          <w:p w:rsidR="0042593C" w:rsidRPr="00C7008C" w:rsidRDefault="0042593C" w:rsidP="00271CFB">
            <w:pPr>
              <w:rPr>
                <w:rFonts w:cs="Arial"/>
                <w:sz w:val="16"/>
                <w:szCs w:val="16"/>
              </w:rPr>
            </w:pPr>
            <w:r w:rsidRPr="00A22BD8">
              <w:rPr>
                <w:rFonts w:cs="Arial"/>
                <w:sz w:val="16"/>
                <w:szCs w:val="16"/>
              </w:rPr>
              <w:t>Quality of translations was improved to 97%</w:t>
            </w:r>
            <w:r>
              <w:rPr>
                <w:rFonts w:cs="Arial"/>
                <w:sz w:val="16"/>
                <w:szCs w:val="16"/>
              </w:rPr>
              <w:t xml:space="preserve"> </w:t>
            </w:r>
            <w:r w:rsidRPr="00A22BD8">
              <w:rPr>
                <w:rFonts w:cs="Arial"/>
                <w:sz w:val="16"/>
                <w:szCs w:val="16"/>
              </w:rPr>
              <w:t xml:space="preserve">following strengthened efforts by the internal core team on </w:t>
            </w:r>
            <w:r>
              <w:rPr>
                <w:rFonts w:cs="Arial"/>
                <w:sz w:val="16"/>
                <w:szCs w:val="16"/>
              </w:rPr>
              <w:t>quality control</w:t>
            </w:r>
            <w:r w:rsidRPr="00A22BD8">
              <w:rPr>
                <w:rFonts w:cs="Arial"/>
                <w:sz w:val="16"/>
                <w:szCs w:val="16"/>
              </w:rPr>
              <w:t xml:space="preserve"> work of outsourced translations, as confirmed by the survey on the satisfaction of Member States and other stakeholders</w:t>
            </w:r>
          </w:p>
        </w:tc>
        <w:tc>
          <w:tcPr>
            <w:tcW w:w="530" w:type="pct"/>
            <w:shd w:val="clear" w:color="auto" w:fill="auto"/>
            <w:tcMar>
              <w:top w:w="110" w:type="dxa"/>
            </w:tcMar>
          </w:tcPr>
          <w:p w:rsidR="0042593C" w:rsidRPr="0042593C" w:rsidRDefault="0042593C" w:rsidP="0042593C">
            <w:pPr>
              <w:keepNext/>
              <w:keepLines/>
              <w:jc w:val="center"/>
              <w:rPr>
                <w:rFonts w:cs="Arial"/>
                <w:b/>
                <w:bCs/>
                <w:color w:val="A6A6A6" w:themeColor="background1" w:themeShade="A6"/>
                <w:sz w:val="14"/>
                <w:szCs w:val="16"/>
              </w:rPr>
            </w:pPr>
            <w:r w:rsidRPr="0042593C">
              <w:rPr>
                <w:rFonts w:cs="Arial"/>
                <w:b/>
                <w:bCs/>
                <w:color w:val="A6A6A6" w:themeColor="background1" w:themeShade="A6"/>
                <w:sz w:val="14"/>
                <w:szCs w:val="16"/>
              </w:rPr>
              <w:t>Not</w:t>
            </w:r>
          </w:p>
          <w:p w:rsidR="0042593C" w:rsidRPr="0042593C" w:rsidRDefault="0042593C" w:rsidP="0042593C">
            <w:pPr>
              <w:keepNext/>
              <w:keepLines/>
              <w:jc w:val="center"/>
              <w:rPr>
                <w:rFonts w:cs="Arial"/>
                <w:b/>
                <w:bCs/>
                <w:color w:val="A6A6A6" w:themeColor="background1" w:themeShade="A6"/>
                <w:sz w:val="14"/>
                <w:szCs w:val="16"/>
              </w:rPr>
            </w:pPr>
            <w:r w:rsidRPr="0042593C">
              <w:rPr>
                <w:rFonts w:cs="Arial"/>
                <w:b/>
                <w:bCs/>
                <w:color w:val="A6A6A6" w:themeColor="background1" w:themeShade="A6"/>
                <w:sz w:val="14"/>
                <w:szCs w:val="16"/>
              </w:rPr>
              <w:t>assessable</w:t>
            </w:r>
          </w:p>
          <w:p w:rsidR="0042593C" w:rsidRPr="003B4433" w:rsidRDefault="0042593C" w:rsidP="00271CFB">
            <w:pPr>
              <w:keepNext/>
              <w:keepLines/>
              <w:rPr>
                <w:rFonts w:cs="Arial"/>
                <w:bCs/>
                <w:color w:val="808080"/>
                <w:sz w:val="12"/>
                <w:szCs w:val="12"/>
              </w:rPr>
            </w:pPr>
          </w:p>
        </w:tc>
      </w:tr>
      <w:tr w:rsidR="0042593C" w:rsidRPr="00C7008C" w:rsidTr="0042593C">
        <w:trPr>
          <w:cantSplit/>
        </w:trPr>
        <w:tc>
          <w:tcPr>
            <w:tcW w:w="1137" w:type="pct"/>
            <w:shd w:val="clear" w:color="auto" w:fill="auto"/>
          </w:tcPr>
          <w:p w:rsidR="0042593C" w:rsidRPr="00C7008C" w:rsidRDefault="0042593C" w:rsidP="00271CFB">
            <w:pPr>
              <w:rPr>
                <w:rFonts w:cs="Arial"/>
                <w:sz w:val="16"/>
                <w:szCs w:val="16"/>
              </w:rPr>
            </w:pPr>
            <w:r w:rsidRPr="00A22BD8">
              <w:rPr>
                <w:rFonts w:cs="Arial"/>
                <w:sz w:val="16"/>
                <w:szCs w:val="16"/>
              </w:rPr>
              <w:t xml:space="preserve">Reduction in printing costs (per page) </w:t>
            </w:r>
          </w:p>
        </w:tc>
        <w:tc>
          <w:tcPr>
            <w:tcW w:w="1136" w:type="pct"/>
            <w:shd w:val="clear" w:color="auto" w:fill="auto"/>
          </w:tcPr>
          <w:p w:rsidR="0042593C" w:rsidRPr="00991DB4" w:rsidRDefault="0042593C" w:rsidP="00271CFB">
            <w:pPr>
              <w:autoSpaceDE w:val="0"/>
              <w:autoSpaceDN w:val="0"/>
              <w:adjustRightInd w:val="0"/>
              <w:rPr>
                <w:rFonts w:eastAsia="Batang" w:cs="Arial"/>
                <w:color w:val="002060"/>
                <w:sz w:val="16"/>
                <w:szCs w:val="16"/>
                <w:lang w:eastAsia="ja-JP"/>
              </w:rPr>
            </w:pPr>
            <w:r w:rsidRPr="00C7008C">
              <w:rPr>
                <w:rFonts w:eastAsia="Batang" w:cs="Arial"/>
                <w:i/>
                <w:color w:val="002060"/>
                <w:sz w:val="16"/>
                <w:szCs w:val="16"/>
                <w:lang w:eastAsia="ja-JP"/>
              </w:rPr>
              <w:t>Updated Baseline end 201</w:t>
            </w:r>
            <w:r>
              <w:rPr>
                <w:rFonts w:eastAsia="Batang" w:cs="Arial"/>
                <w:i/>
                <w:color w:val="002060"/>
                <w:sz w:val="16"/>
                <w:szCs w:val="16"/>
                <w:lang w:eastAsia="ja-JP"/>
              </w:rPr>
              <w:t>3</w:t>
            </w:r>
            <w:r w:rsidRPr="00C7008C">
              <w:rPr>
                <w:rFonts w:eastAsia="Batang" w:cs="Arial"/>
                <w:i/>
                <w:color w:val="002060"/>
                <w:sz w:val="16"/>
                <w:szCs w:val="16"/>
                <w:lang w:eastAsia="ja-JP"/>
              </w:rPr>
              <w:t xml:space="preserve">: </w:t>
            </w:r>
            <w:r w:rsidRPr="00A22BD8">
              <w:rPr>
                <w:rFonts w:eastAsia="Batang" w:cs="Arial"/>
                <w:color w:val="002060"/>
                <w:sz w:val="16"/>
                <w:szCs w:val="16"/>
                <w:lang w:eastAsia="ja-JP"/>
              </w:rPr>
              <w:t xml:space="preserve">0.19 </w:t>
            </w:r>
            <w:r>
              <w:rPr>
                <w:rFonts w:eastAsia="Batang" w:cs="Arial"/>
                <w:color w:val="002060"/>
                <w:sz w:val="16"/>
                <w:szCs w:val="16"/>
                <w:lang w:eastAsia="ja-JP"/>
              </w:rPr>
              <w:t>Swiss francs</w:t>
            </w:r>
            <w:r w:rsidRPr="00A22BD8">
              <w:rPr>
                <w:rFonts w:eastAsia="Batang" w:cs="Arial"/>
                <w:color w:val="002060"/>
                <w:sz w:val="16"/>
                <w:szCs w:val="16"/>
                <w:lang w:eastAsia="ja-JP"/>
              </w:rPr>
              <w:t xml:space="preserve"> average cost per page in 2013</w:t>
            </w:r>
          </w:p>
          <w:p w:rsidR="0042593C" w:rsidRPr="00C7008C" w:rsidRDefault="0042593C" w:rsidP="00271CFB">
            <w:pPr>
              <w:keepNext/>
              <w:rPr>
                <w:rFonts w:cs="Arial"/>
                <w:i/>
                <w:sz w:val="8"/>
                <w:szCs w:val="8"/>
              </w:rPr>
            </w:pPr>
          </w:p>
          <w:p w:rsidR="0042593C" w:rsidRPr="00480D9B" w:rsidRDefault="0042593C" w:rsidP="00271CFB">
            <w:pPr>
              <w:rPr>
                <w:rFonts w:cs="Arial"/>
                <w:sz w:val="16"/>
                <w:szCs w:val="16"/>
              </w:rPr>
            </w:pPr>
            <w:r w:rsidRPr="00C7008C">
              <w:rPr>
                <w:rFonts w:cs="Arial"/>
                <w:i/>
                <w:sz w:val="16"/>
                <w:szCs w:val="16"/>
              </w:rPr>
              <w:t>Original Baseline P&amp;B 201</w:t>
            </w:r>
            <w:r>
              <w:rPr>
                <w:rFonts w:cs="Arial"/>
                <w:i/>
                <w:sz w:val="16"/>
                <w:szCs w:val="16"/>
              </w:rPr>
              <w:t>4</w:t>
            </w:r>
            <w:r w:rsidRPr="00C7008C">
              <w:rPr>
                <w:rFonts w:cs="Arial"/>
                <w:i/>
                <w:sz w:val="16"/>
                <w:szCs w:val="16"/>
              </w:rPr>
              <w:t>/1</w:t>
            </w:r>
            <w:r>
              <w:rPr>
                <w:rFonts w:cs="Arial"/>
                <w:i/>
                <w:sz w:val="16"/>
                <w:szCs w:val="16"/>
              </w:rPr>
              <w:t>5</w:t>
            </w:r>
            <w:r w:rsidRPr="00C7008C">
              <w:rPr>
                <w:rFonts w:cs="Arial"/>
                <w:i/>
                <w:sz w:val="16"/>
                <w:szCs w:val="16"/>
              </w:rPr>
              <w:t>:</w:t>
            </w:r>
            <w:r>
              <w:rPr>
                <w:rFonts w:cs="Arial"/>
                <w:i/>
                <w:sz w:val="16"/>
                <w:szCs w:val="16"/>
              </w:rPr>
              <w:t xml:space="preserve"> </w:t>
            </w:r>
            <w:proofErr w:type="spellStart"/>
            <w:r>
              <w:rPr>
                <w:rFonts w:cs="Arial"/>
                <w:sz w:val="16"/>
                <w:szCs w:val="16"/>
              </w:rPr>
              <w:t>tbd</w:t>
            </w:r>
            <w:proofErr w:type="spellEnd"/>
          </w:p>
        </w:tc>
        <w:tc>
          <w:tcPr>
            <w:tcW w:w="833" w:type="pct"/>
            <w:shd w:val="clear" w:color="auto" w:fill="auto"/>
            <w:tcMar>
              <w:top w:w="110" w:type="dxa"/>
            </w:tcMar>
          </w:tcPr>
          <w:p w:rsidR="0042593C" w:rsidRPr="00AD21F2" w:rsidRDefault="0042593C" w:rsidP="00271CFB">
            <w:pPr>
              <w:rPr>
                <w:rFonts w:eastAsia="Batang" w:cs="Arial"/>
                <w:i/>
                <w:color w:val="002060"/>
                <w:sz w:val="16"/>
                <w:szCs w:val="16"/>
                <w:lang w:eastAsia="ja-JP"/>
              </w:rPr>
            </w:pPr>
            <w:r w:rsidRPr="00AD21F2">
              <w:rPr>
                <w:rFonts w:eastAsia="Batang" w:cs="Arial"/>
                <w:i/>
                <w:color w:val="002060"/>
                <w:sz w:val="16"/>
                <w:szCs w:val="16"/>
                <w:lang w:eastAsia="ja-JP"/>
              </w:rPr>
              <w:t>Define</w:t>
            </w:r>
            <w:r>
              <w:rPr>
                <w:rFonts w:eastAsia="Batang" w:cs="Arial"/>
                <w:i/>
                <w:color w:val="002060"/>
                <w:sz w:val="16"/>
                <w:szCs w:val="16"/>
                <w:lang w:eastAsia="ja-JP"/>
              </w:rPr>
              <w:t>d</w:t>
            </w:r>
            <w:r w:rsidRPr="00AD21F2">
              <w:rPr>
                <w:rFonts w:eastAsia="Batang" w:cs="Arial"/>
                <w:i/>
                <w:color w:val="002060"/>
                <w:sz w:val="16"/>
                <w:szCs w:val="16"/>
                <w:lang w:eastAsia="ja-JP"/>
              </w:rPr>
              <w:t xml:space="preserve"> target: </w:t>
            </w:r>
          </w:p>
          <w:p w:rsidR="0042593C" w:rsidRDefault="0042593C" w:rsidP="00271CFB">
            <w:pPr>
              <w:rPr>
                <w:rFonts w:eastAsia="Batang" w:cs="Arial"/>
                <w:color w:val="002060"/>
                <w:sz w:val="16"/>
                <w:szCs w:val="16"/>
                <w:lang w:eastAsia="ja-JP"/>
              </w:rPr>
            </w:pPr>
            <w:r w:rsidRPr="00AD21F2">
              <w:rPr>
                <w:rFonts w:eastAsia="Batang" w:cs="Arial"/>
                <w:color w:val="002060"/>
                <w:sz w:val="16"/>
                <w:szCs w:val="16"/>
                <w:lang w:eastAsia="ja-JP"/>
              </w:rPr>
              <w:t xml:space="preserve">5% </w:t>
            </w:r>
            <w:r>
              <w:rPr>
                <w:rFonts w:eastAsia="Batang" w:cs="Arial"/>
                <w:color w:val="002060"/>
                <w:sz w:val="16"/>
                <w:szCs w:val="16"/>
                <w:lang w:eastAsia="ja-JP"/>
              </w:rPr>
              <w:t>r</w:t>
            </w:r>
            <w:r w:rsidRPr="00AD21F2">
              <w:rPr>
                <w:rFonts w:eastAsia="Batang" w:cs="Arial"/>
                <w:color w:val="002060"/>
                <w:sz w:val="16"/>
                <w:szCs w:val="16"/>
                <w:lang w:eastAsia="ja-JP"/>
              </w:rPr>
              <w:t>eduction in</w:t>
            </w:r>
            <w:r>
              <w:rPr>
                <w:rFonts w:eastAsia="Batang" w:cs="Arial"/>
                <w:color w:val="002060"/>
                <w:sz w:val="16"/>
                <w:szCs w:val="16"/>
                <w:lang w:eastAsia="ja-JP"/>
              </w:rPr>
              <w:t xml:space="preserve"> the average cost per page</w:t>
            </w:r>
            <w:r w:rsidRPr="00AD21F2">
              <w:rPr>
                <w:rFonts w:eastAsia="Batang" w:cs="Arial"/>
                <w:color w:val="002060"/>
                <w:sz w:val="16"/>
                <w:szCs w:val="16"/>
                <w:lang w:eastAsia="ja-JP"/>
              </w:rPr>
              <w:t xml:space="preserve"> </w:t>
            </w:r>
          </w:p>
          <w:p w:rsidR="0042593C" w:rsidRDefault="0042593C" w:rsidP="00271CFB">
            <w:pPr>
              <w:rPr>
                <w:rFonts w:cs="Arial"/>
                <w:sz w:val="16"/>
                <w:szCs w:val="16"/>
              </w:rPr>
            </w:pPr>
          </w:p>
          <w:p w:rsidR="0042593C" w:rsidRPr="00AD21F2" w:rsidRDefault="0042593C" w:rsidP="00271CFB">
            <w:pPr>
              <w:rPr>
                <w:rFonts w:eastAsia="Batang" w:cs="Arial"/>
                <w:sz w:val="16"/>
                <w:szCs w:val="16"/>
                <w:lang w:eastAsia="ja-JP"/>
              </w:rPr>
            </w:pPr>
            <w:r w:rsidRPr="00AD21F2">
              <w:rPr>
                <w:rFonts w:eastAsia="Batang" w:cs="Arial"/>
                <w:i/>
                <w:sz w:val="16"/>
                <w:szCs w:val="16"/>
                <w:lang w:eastAsia="ja-JP"/>
              </w:rPr>
              <w:t>Original target</w:t>
            </w:r>
            <w:r w:rsidRPr="00AD21F2">
              <w:rPr>
                <w:rFonts w:eastAsia="Batang" w:cs="Arial"/>
                <w:sz w:val="16"/>
                <w:szCs w:val="16"/>
                <w:lang w:eastAsia="ja-JP"/>
              </w:rPr>
              <w:t xml:space="preserve"> </w:t>
            </w:r>
            <w:r w:rsidRPr="00AD21F2">
              <w:rPr>
                <w:rFonts w:eastAsia="Batang" w:cs="Arial"/>
                <w:i/>
                <w:sz w:val="16"/>
                <w:szCs w:val="16"/>
                <w:lang w:eastAsia="ja-JP"/>
              </w:rPr>
              <w:t>P&amp;B 2014/15:</w:t>
            </w:r>
            <w:r w:rsidRPr="00AD21F2">
              <w:rPr>
                <w:rFonts w:eastAsia="Batang" w:cs="Arial"/>
                <w:sz w:val="16"/>
                <w:szCs w:val="16"/>
                <w:lang w:eastAsia="ja-JP"/>
              </w:rPr>
              <w:t xml:space="preserve"> </w:t>
            </w:r>
            <w:proofErr w:type="spellStart"/>
            <w:r w:rsidRPr="00AD21F2">
              <w:rPr>
                <w:rFonts w:eastAsia="Batang" w:cs="Arial"/>
                <w:sz w:val="16"/>
                <w:szCs w:val="16"/>
                <w:lang w:eastAsia="ja-JP"/>
              </w:rPr>
              <w:t>tbd</w:t>
            </w:r>
            <w:proofErr w:type="spellEnd"/>
          </w:p>
          <w:p w:rsidR="0042593C" w:rsidRPr="00C7008C" w:rsidRDefault="0042593C" w:rsidP="00271CFB">
            <w:pPr>
              <w:rPr>
                <w:rFonts w:cs="Arial"/>
                <w:sz w:val="16"/>
                <w:szCs w:val="16"/>
              </w:rPr>
            </w:pPr>
          </w:p>
        </w:tc>
        <w:tc>
          <w:tcPr>
            <w:tcW w:w="1364" w:type="pct"/>
            <w:shd w:val="clear" w:color="auto" w:fill="FFFFFF"/>
            <w:tcMar>
              <w:top w:w="110" w:type="dxa"/>
            </w:tcMar>
          </w:tcPr>
          <w:p w:rsidR="0042593C" w:rsidRPr="00C7008C" w:rsidRDefault="0042593C" w:rsidP="00271CFB">
            <w:pPr>
              <w:rPr>
                <w:rFonts w:cs="Arial"/>
                <w:sz w:val="16"/>
                <w:szCs w:val="16"/>
              </w:rPr>
            </w:pPr>
            <w:r w:rsidRPr="00A22BD8">
              <w:rPr>
                <w:rFonts w:cs="Arial"/>
                <w:sz w:val="16"/>
                <w:szCs w:val="16"/>
                <w:lang w:bidi="th-TH"/>
              </w:rPr>
              <w:t xml:space="preserve">Cost efficiencies resulted in </w:t>
            </w:r>
            <w:r>
              <w:rPr>
                <w:rFonts w:cs="Arial"/>
                <w:sz w:val="16"/>
                <w:szCs w:val="16"/>
                <w:lang w:bidi="th-TH"/>
              </w:rPr>
              <w:t xml:space="preserve">a 26% reduction in the </w:t>
            </w:r>
            <w:r w:rsidRPr="00A22BD8">
              <w:rPr>
                <w:rFonts w:cs="Arial"/>
                <w:sz w:val="16"/>
                <w:szCs w:val="16"/>
                <w:lang w:bidi="th-TH"/>
              </w:rPr>
              <w:t xml:space="preserve">cost per page to 0.14 </w:t>
            </w:r>
            <w:r>
              <w:rPr>
                <w:rFonts w:cs="Arial"/>
                <w:sz w:val="16"/>
                <w:szCs w:val="16"/>
                <w:lang w:bidi="th-TH"/>
              </w:rPr>
              <w:t>Swiss francs</w:t>
            </w:r>
            <w:r w:rsidRPr="00A22BD8">
              <w:rPr>
                <w:rFonts w:cs="Arial"/>
                <w:sz w:val="16"/>
                <w:szCs w:val="16"/>
                <w:lang w:bidi="th-TH"/>
              </w:rPr>
              <w:t xml:space="preserve"> in 2014</w:t>
            </w:r>
            <w:r>
              <w:rPr>
                <w:rFonts w:cs="Arial"/>
                <w:sz w:val="16"/>
                <w:szCs w:val="16"/>
                <w:lang w:bidi="th-TH"/>
              </w:rPr>
              <w:t>.</w:t>
            </w:r>
          </w:p>
        </w:tc>
        <w:tc>
          <w:tcPr>
            <w:tcW w:w="530" w:type="pct"/>
            <w:shd w:val="clear" w:color="auto" w:fill="auto"/>
            <w:tcMar>
              <w:top w:w="110" w:type="dxa"/>
            </w:tcMar>
          </w:tcPr>
          <w:p w:rsidR="0042593C" w:rsidRPr="00C7008C" w:rsidRDefault="0042593C" w:rsidP="00271CFB">
            <w:pPr>
              <w:keepNext/>
              <w:keepLines/>
              <w:jc w:val="center"/>
              <w:rPr>
                <w:rFonts w:cs="Arial"/>
                <w:bCs/>
                <w:color w:val="808080"/>
                <w:sz w:val="16"/>
                <w:szCs w:val="16"/>
              </w:rPr>
            </w:pPr>
            <w:r w:rsidRPr="00991DB4">
              <w:rPr>
                <w:rFonts w:cs="Arial"/>
                <w:b/>
                <w:bCs/>
                <w:color w:val="00B050"/>
                <w:sz w:val="16"/>
                <w:szCs w:val="16"/>
              </w:rPr>
              <w:t>On track</w:t>
            </w:r>
          </w:p>
        </w:tc>
      </w:tr>
      <w:tr w:rsidR="0042593C" w:rsidRPr="00C7008C" w:rsidTr="0042593C">
        <w:trPr>
          <w:cantSplit/>
        </w:trPr>
        <w:tc>
          <w:tcPr>
            <w:tcW w:w="1137" w:type="pct"/>
            <w:shd w:val="clear" w:color="auto" w:fill="auto"/>
          </w:tcPr>
          <w:p w:rsidR="0042593C" w:rsidRPr="00A22BD8" w:rsidRDefault="0042593C" w:rsidP="00271CFB">
            <w:pPr>
              <w:rPr>
                <w:rFonts w:cs="Arial"/>
                <w:sz w:val="16"/>
                <w:szCs w:val="16"/>
              </w:rPr>
            </w:pPr>
            <w:r w:rsidRPr="00A22BD8">
              <w:rPr>
                <w:rFonts w:cs="Arial"/>
                <w:sz w:val="16"/>
                <w:szCs w:val="16"/>
              </w:rPr>
              <w:t>Timely publication of documents for committees and working groups</w:t>
            </w:r>
          </w:p>
        </w:tc>
        <w:tc>
          <w:tcPr>
            <w:tcW w:w="1136" w:type="pct"/>
            <w:shd w:val="clear" w:color="auto" w:fill="auto"/>
          </w:tcPr>
          <w:p w:rsidR="0042593C" w:rsidRPr="00991DB4" w:rsidRDefault="0042593C" w:rsidP="00271CFB">
            <w:pPr>
              <w:autoSpaceDE w:val="0"/>
              <w:autoSpaceDN w:val="0"/>
              <w:adjustRightInd w:val="0"/>
              <w:rPr>
                <w:rFonts w:eastAsia="Batang" w:cs="Arial"/>
                <w:color w:val="002060"/>
                <w:sz w:val="16"/>
                <w:szCs w:val="16"/>
                <w:lang w:eastAsia="ja-JP"/>
              </w:rPr>
            </w:pPr>
            <w:r w:rsidRPr="00C7008C">
              <w:rPr>
                <w:rFonts w:eastAsia="Batang" w:cs="Arial"/>
                <w:i/>
                <w:color w:val="002060"/>
                <w:sz w:val="16"/>
                <w:szCs w:val="16"/>
                <w:lang w:eastAsia="ja-JP"/>
              </w:rPr>
              <w:t>Updated Baseline end 201</w:t>
            </w:r>
            <w:r>
              <w:rPr>
                <w:rFonts w:eastAsia="Batang" w:cs="Arial"/>
                <w:i/>
                <w:color w:val="002060"/>
                <w:sz w:val="16"/>
                <w:szCs w:val="16"/>
                <w:lang w:eastAsia="ja-JP"/>
              </w:rPr>
              <w:t>3</w:t>
            </w:r>
            <w:r w:rsidRPr="00C7008C">
              <w:rPr>
                <w:rFonts w:eastAsia="Batang" w:cs="Arial"/>
                <w:i/>
                <w:color w:val="002060"/>
                <w:sz w:val="16"/>
                <w:szCs w:val="16"/>
                <w:lang w:eastAsia="ja-JP"/>
              </w:rPr>
              <w:t xml:space="preserve">: </w:t>
            </w:r>
            <w:r w:rsidRPr="00A22BD8">
              <w:rPr>
                <w:rFonts w:eastAsia="Batang" w:cs="Arial"/>
                <w:color w:val="002060"/>
                <w:sz w:val="16"/>
                <w:szCs w:val="16"/>
                <w:lang w:eastAsia="ja-JP"/>
              </w:rPr>
              <w:t>26% of documents in all languages published two months before the relevant meetings</w:t>
            </w:r>
          </w:p>
          <w:p w:rsidR="0042593C" w:rsidRPr="00C7008C" w:rsidRDefault="0042593C" w:rsidP="00271CFB">
            <w:pPr>
              <w:keepNext/>
              <w:rPr>
                <w:rFonts w:cs="Arial"/>
                <w:i/>
                <w:sz w:val="8"/>
                <w:szCs w:val="8"/>
              </w:rPr>
            </w:pPr>
          </w:p>
          <w:p w:rsidR="0042593C" w:rsidRDefault="0042593C" w:rsidP="00271CFB">
            <w:pPr>
              <w:autoSpaceDE w:val="0"/>
              <w:autoSpaceDN w:val="0"/>
              <w:adjustRightInd w:val="0"/>
              <w:rPr>
                <w:rFonts w:cs="Arial"/>
                <w:sz w:val="16"/>
                <w:szCs w:val="16"/>
              </w:rPr>
            </w:pPr>
            <w:r w:rsidRPr="00C7008C">
              <w:rPr>
                <w:rFonts w:cs="Arial"/>
                <w:i/>
                <w:sz w:val="16"/>
                <w:szCs w:val="16"/>
              </w:rPr>
              <w:t>Original Baseline P&amp;B 201</w:t>
            </w:r>
            <w:r>
              <w:rPr>
                <w:rFonts w:cs="Arial"/>
                <w:i/>
                <w:sz w:val="16"/>
                <w:szCs w:val="16"/>
              </w:rPr>
              <w:t>4</w:t>
            </w:r>
            <w:r w:rsidRPr="00C7008C">
              <w:rPr>
                <w:rFonts w:cs="Arial"/>
                <w:i/>
                <w:sz w:val="16"/>
                <w:szCs w:val="16"/>
              </w:rPr>
              <w:t>/1</w:t>
            </w:r>
            <w:r>
              <w:rPr>
                <w:rFonts w:cs="Arial"/>
                <w:i/>
                <w:sz w:val="16"/>
                <w:szCs w:val="16"/>
              </w:rPr>
              <w:t>5</w:t>
            </w:r>
            <w:r w:rsidRPr="00C7008C">
              <w:rPr>
                <w:rFonts w:cs="Arial"/>
                <w:i/>
                <w:sz w:val="16"/>
                <w:szCs w:val="16"/>
              </w:rPr>
              <w:t>:</w:t>
            </w:r>
            <w:r>
              <w:rPr>
                <w:rFonts w:cs="Arial"/>
                <w:i/>
                <w:sz w:val="16"/>
                <w:szCs w:val="16"/>
              </w:rPr>
              <w:t xml:space="preserve"> </w:t>
            </w:r>
            <w:r w:rsidRPr="00A22BD8">
              <w:rPr>
                <w:rFonts w:cs="Arial"/>
                <w:sz w:val="16"/>
                <w:szCs w:val="16"/>
              </w:rPr>
              <w:t>% of documents published two months before the relevant meetings (</w:t>
            </w:r>
            <w:proofErr w:type="spellStart"/>
            <w:r w:rsidRPr="00A22BD8">
              <w:rPr>
                <w:rFonts w:cs="Arial"/>
                <w:sz w:val="16"/>
                <w:szCs w:val="16"/>
              </w:rPr>
              <w:t>tbd</w:t>
            </w:r>
            <w:proofErr w:type="spellEnd"/>
            <w:r w:rsidRPr="00A22BD8">
              <w:rPr>
                <w:rFonts w:cs="Arial"/>
                <w:sz w:val="16"/>
                <w:szCs w:val="16"/>
              </w:rPr>
              <w:t>)</w:t>
            </w:r>
          </w:p>
          <w:p w:rsidR="0042593C" w:rsidRPr="00C7008C" w:rsidRDefault="0042593C" w:rsidP="00271CFB">
            <w:pPr>
              <w:autoSpaceDE w:val="0"/>
              <w:autoSpaceDN w:val="0"/>
              <w:adjustRightInd w:val="0"/>
              <w:rPr>
                <w:rFonts w:eastAsia="Batang" w:cs="Arial"/>
                <w:i/>
                <w:color w:val="002060"/>
                <w:sz w:val="16"/>
                <w:szCs w:val="16"/>
                <w:lang w:eastAsia="ja-JP"/>
              </w:rPr>
            </w:pPr>
          </w:p>
        </w:tc>
        <w:tc>
          <w:tcPr>
            <w:tcW w:w="833" w:type="pct"/>
            <w:shd w:val="clear" w:color="auto" w:fill="auto"/>
            <w:tcMar>
              <w:top w:w="110" w:type="dxa"/>
            </w:tcMar>
          </w:tcPr>
          <w:p w:rsidR="0042593C" w:rsidRPr="00B814E8" w:rsidRDefault="0042593C" w:rsidP="00271CFB">
            <w:pPr>
              <w:rPr>
                <w:rFonts w:cs="Arial"/>
                <w:sz w:val="16"/>
                <w:szCs w:val="16"/>
              </w:rPr>
            </w:pPr>
            <w:r w:rsidRPr="00B814E8">
              <w:rPr>
                <w:rFonts w:cs="Arial"/>
                <w:sz w:val="16"/>
                <w:szCs w:val="16"/>
              </w:rPr>
              <w:t>65% of documents published two months before the relevant meetings</w:t>
            </w:r>
          </w:p>
        </w:tc>
        <w:tc>
          <w:tcPr>
            <w:tcW w:w="1364" w:type="pct"/>
            <w:shd w:val="clear" w:color="auto" w:fill="FFFFFF"/>
            <w:tcMar>
              <w:top w:w="110" w:type="dxa"/>
            </w:tcMar>
          </w:tcPr>
          <w:p w:rsidR="0042593C" w:rsidRPr="00B814E8" w:rsidRDefault="0042593C">
            <w:pPr>
              <w:rPr>
                <w:rFonts w:eastAsiaTheme="minorHAnsi" w:cs="Arial"/>
                <w:sz w:val="16"/>
                <w:szCs w:val="16"/>
              </w:rPr>
            </w:pPr>
            <w:r w:rsidRPr="00845557">
              <w:rPr>
                <w:rFonts w:eastAsiaTheme="minorHAnsi" w:cs="Arial"/>
                <w:sz w:val="16"/>
                <w:szCs w:val="16"/>
              </w:rPr>
              <w:t>41</w:t>
            </w:r>
            <w:r w:rsidRPr="00B814E8">
              <w:rPr>
                <w:rFonts w:eastAsiaTheme="minorHAnsi" w:cs="Arial"/>
                <w:sz w:val="16"/>
                <w:szCs w:val="16"/>
              </w:rPr>
              <w:t>% of documents in all languages published two months before the relevant meetings</w:t>
            </w:r>
          </w:p>
        </w:tc>
        <w:tc>
          <w:tcPr>
            <w:tcW w:w="530" w:type="pct"/>
            <w:shd w:val="clear" w:color="auto" w:fill="auto"/>
            <w:tcMar>
              <w:top w:w="110" w:type="dxa"/>
            </w:tcMar>
          </w:tcPr>
          <w:p w:rsidR="0042593C" w:rsidRPr="00A22BD8" w:rsidRDefault="0042593C" w:rsidP="00271CFB">
            <w:pPr>
              <w:keepNext/>
              <w:keepLines/>
              <w:jc w:val="center"/>
              <w:rPr>
                <w:rFonts w:cs="Arial"/>
                <w:b/>
                <w:bCs/>
                <w:color w:val="00B050"/>
                <w:sz w:val="16"/>
                <w:szCs w:val="16"/>
              </w:rPr>
            </w:pPr>
            <w:r w:rsidRPr="00A22BD8">
              <w:rPr>
                <w:rFonts w:cs="Arial"/>
                <w:b/>
                <w:bCs/>
                <w:color w:val="FF0000"/>
                <w:sz w:val="16"/>
                <w:szCs w:val="16"/>
              </w:rPr>
              <w:t xml:space="preserve">Not </w:t>
            </w:r>
            <w:r>
              <w:rPr>
                <w:rFonts w:cs="Arial"/>
                <w:b/>
                <w:bCs/>
                <w:color w:val="FF0000"/>
                <w:sz w:val="16"/>
                <w:szCs w:val="16"/>
              </w:rPr>
              <w:br/>
            </w:r>
            <w:r w:rsidRPr="00A22BD8">
              <w:rPr>
                <w:rFonts w:cs="Arial"/>
                <w:b/>
                <w:bCs/>
                <w:color w:val="FF0000"/>
                <w:sz w:val="16"/>
                <w:szCs w:val="16"/>
              </w:rPr>
              <w:t>on track</w:t>
            </w:r>
          </w:p>
        </w:tc>
      </w:tr>
    </w:tbl>
    <w:p w:rsidR="004E366B" w:rsidRDefault="004E366B" w:rsidP="00A8525E">
      <w:pPr>
        <w:rPr>
          <w:rFonts w:cs="Arial"/>
          <w:color w:val="000000"/>
          <w:sz w:val="22"/>
          <w:szCs w:val="22"/>
        </w:rPr>
      </w:pPr>
    </w:p>
    <w:p w:rsidR="004E366B" w:rsidRDefault="004E366B" w:rsidP="00A8525E">
      <w:pPr>
        <w:rPr>
          <w:rFonts w:cs="Arial"/>
          <w:color w:val="000000"/>
          <w:sz w:val="22"/>
          <w:szCs w:val="22"/>
        </w:rPr>
      </w:pPr>
    </w:p>
    <w:p w:rsidR="004E366B" w:rsidRPr="000B3AA7" w:rsidRDefault="004E366B" w:rsidP="00A8525E">
      <w:pPr>
        <w:rPr>
          <w:b/>
          <w:sz w:val="18"/>
          <w:szCs w:val="18"/>
        </w:rPr>
      </w:pPr>
      <w:r w:rsidRPr="000B3AA7">
        <w:rPr>
          <w:rFonts w:cs="Arial"/>
          <w:color w:val="000000"/>
          <w:sz w:val="22"/>
          <w:szCs w:val="22"/>
        </w:rPr>
        <w:t>RESOURCE UTILIZATION</w:t>
      </w:r>
      <w:r w:rsidRPr="000B3AA7">
        <w:rPr>
          <w:rFonts w:cs="Arial"/>
          <w:color w:val="000000"/>
          <w:sz w:val="22"/>
          <w:szCs w:val="22"/>
        </w:rPr>
        <w:tab/>
      </w:r>
    </w:p>
    <w:p w:rsidR="004E366B" w:rsidRPr="000B3AA7" w:rsidRDefault="004E366B">
      <w:pPr>
        <w:rPr>
          <w:szCs w:val="20"/>
        </w:rPr>
      </w:pPr>
    </w:p>
    <w:p w:rsidR="004E366B" w:rsidRPr="000B3AA7" w:rsidRDefault="004E366B" w:rsidP="004611B9">
      <w:pPr>
        <w:pStyle w:val="NormalWeb"/>
        <w:spacing w:before="0" w:beforeAutospacing="0" w:after="0" w:afterAutospacing="0"/>
        <w:jc w:val="center"/>
        <w:rPr>
          <w:sz w:val="20"/>
          <w:szCs w:val="20"/>
        </w:rPr>
      </w:pPr>
      <w:r w:rsidRPr="000B3AA7">
        <w:rPr>
          <w:color w:val="000000"/>
          <w:sz w:val="20"/>
          <w:szCs w:val="20"/>
        </w:rPr>
        <w:t xml:space="preserve">Budget and Actual Expenditure (by result) </w:t>
      </w:r>
    </w:p>
    <w:p w:rsidR="004E366B" w:rsidRPr="000B3AA7" w:rsidRDefault="004E366B" w:rsidP="004611B9">
      <w:pPr>
        <w:pStyle w:val="NormalWeb"/>
        <w:spacing w:before="0" w:beforeAutospacing="0" w:after="0" w:afterAutospacing="0"/>
        <w:jc w:val="center"/>
        <w:rPr>
          <w:i/>
          <w:iCs/>
          <w:color w:val="000000"/>
          <w:sz w:val="20"/>
          <w:szCs w:val="20"/>
        </w:rPr>
      </w:pPr>
      <w:r w:rsidRPr="000B3AA7">
        <w:rPr>
          <w:i/>
          <w:iCs/>
          <w:color w:val="000000"/>
          <w:sz w:val="20"/>
          <w:szCs w:val="20"/>
        </w:rPr>
        <w:t>(</w:t>
      </w:r>
      <w:proofErr w:type="gramStart"/>
      <w:r w:rsidRPr="000B3AA7">
        <w:rPr>
          <w:i/>
          <w:iCs/>
          <w:color w:val="000000"/>
          <w:sz w:val="20"/>
          <w:szCs w:val="20"/>
        </w:rPr>
        <w:t>in</w:t>
      </w:r>
      <w:proofErr w:type="gramEnd"/>
      <w:r w:rsidRPr="000B3AA7">
        <w:rPr>
          <w:i/>
          <w:iCs/>
          <w:color w:val="000000"/>
          <w:sz w:val="20"/>
          <w:szCs w:val="20"/>
        </w:rPr>
        <w:t xml:space="preserve"> thousands of Swiss francs)</w:t>
      </w:r>
    </w:p>
    <w:p w:rsidR="004E366B" w:rsidRPr="000B3AA7" w:rsidRDefault="004E366B" w:rsidP="004611B9">
      <w:pPr>
        <w:pStyle w:val="NormalWeb"/>
        <w:spacing w:before="0" w:beforeAutospacing="0" w:after="0" w:afterAutospacing="0"/>
        <w:jc w:val="center"/>
        <w:rPr>
          <w:sz w:val="20"/>
          <w:szCs w:val="20"/>
        </w:rPr>
      </w:pPr>
    </w:p>
    <w:p w:rsidR="004E366B" w:rsidRPr="000B3AA7" w:rsidRDefault="004E366B" w:rsidP="00271CFB">
      <w:pPr>
        <w:jc w:val="center"/>
      </w:pPr>
      <w:r w:rsidRPr="00DB4D17">
        <w:rPr>
          <w:noProof/>
        </w:rPr>
        <w:drawing>
          <wp:inline distT="0" distB="0" distL="0" distR="0" wp14:anchorId="6C251A36" wp14:editId="666B89BE">
            <wp:extent cx="5842000" cy="1532255"/>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842000" cy="1532255"/>
                    </a:xfrm>
                    <a:prstGeom prst="rect">
                      <a:avLst/>
                    </a:prstGeom>
                    <a:noFill/>
                    <a:ln>
                      <a:noFill/>
                    </a:ln>
                  </pic:spPr>
                </pic:pic>
              </a:graphicData>
            </a:graphic>
          </wp:inline>
        </w:drawing>
      </w:r>
    </w:p>
    <w:p w:rsidR="004E366B" w:rsidRPr="000B3AA7" w:rsidRDefault="004E366B"/>
    <w:p w:rsidR="004E366B" w:rsidRPr="000B3AA7" w:rsidRDefault="004E366B" w:rsidP="00271CFB"/>
    <w:p w:rsidR="004E366B" w:rsidRPr="000B3AA7" w:rsidRDefault="004E366B" w:rsidP="00845557">
      <w:pPr>
        <w:pStyle w:val="NormalWeb"/>
        <w:keepNext/>
        <w:keepLines/>
        <w:spacing w:before="0" w:beforeAutospacing="0" w:after="0" w:afterAutospacing="0"/>
        <w:jc w:val="center"/>
        <w:rPr>
          <w:sz w:val="20"/>
          <w:szCs w:val="20"/>
        </w:rPr>
      </w:pPr>
      <w:r w:rsidRPr="000B3AA7">
        <w:rPr>
          <w:color w:val="000000"/>
          <w:sz w:val="20"/>
          <w:szCs w:val="20"/>
        </w:rPr>
        <w:lastRenderedPageBreak/>
        <w:t xml:space="preserve">Budget and Actual Expenditure (personnel and non-personnel) </w:t>
      </w:r>
    </w:p>
    <w:p w:rsidR="004E366B" w:rsidRPr="000B3AA7" w:rsidRDefault="004E366B" w:rsidP="00845557">
      <w:pPr>
        <w:pStyle w:val="NormalWeb"/>
        <w:keepNext/>
        <w:keepLines/>
        <w:spacing w:before="0" w:beforeAutospacing="0" w:after="0" w:afterAutospacing="0"/>
        <w:jc w:val="center"/>
        <w:rPr>
          <w:i/>
          <w:iCs/>
          <w:color w:val="000000"/>
          <w:sz w:val="20"/>
          <w:szCs w:val="20"/>
        </w:rPr>
      </w:pPr>
      <w:r w:rsidRPr="000B3AA7">
        <w:rPr>
          <w:i/>
          <w:iCs/>
          <w:color w:val="000000"/>
          <w:sz w:val="20"/>
          <w:szCs w:val="20"/>
        </w:rPr>
        <w:t>(</w:t>
      </w:r>
      <w:proofErr w:type="gramStart"/>
      <w:r w:rsidRPr="000B3AA7">
        <w:rPr>
          <w:i/>
          <w:iCs/>
          <w:color w:val="000000"/>
          <w:sz w:val="20"/>
          <w:szCs w:val="20"/>
        </w:rPr>
        <w:t>in</w:t>
      </w:r>
      <w:proofErr w:type="gramEnd"/>
      <w:r w:rsidRPr="000B3AA7">
        <w:rPr>
          <w:i/>
          <w:iCs/>
          <w:color w:val="000000"/>
          <w:sz w:val="20"/>
          <w:szCs w:val="20"/>
        </w:rPr>
        <w:t xml:space="preserve"> thousands of Swiss francs)</w:t>
      </w:r>
    </w:p>
    <w:p w:rsidR="004E366B" w:rsidRPr="000B3AA7" w:rsidRDefault="004E366B" w:rsidP="00845557">
      <w:pPr>
        <w:pStyle w:val="NormalWeb"/>
        <w:keepNext/>
        <w:keepLines/>
        <w:spacing w:before="0" w:beforeAutospacing="0" w:after="0" w:afterAutospacing="0"/>
        <w:jc w:val="center"/>
      </w:pPr>
    </w:p>
    <w:p w:rsidR="004E366B" w:rsidRPr="000B3AA7" w:rsidRDefault="004E366B" w:rsidP="00845557">
      <w:pPr>
        <w:keepNext/>
        <w:keepLines/>
        <w:jc w:val="center"/>
        <w:rPr>
          <w:szCs w:val="20"/>
        </w:rPr>
      </w:pPr>
      <w:r w:rsidRPr="00DB4D17">
        <w:rPr>
          <w:noProof/>
        </w:rPr>
        <w:drawing>
          <wp:inline distT="0" distB="0" distL="0" distR="0" wp14:anchorId="46902F17" wp14:editId="246B62DE">
            <wp:extent cx="5834418" cy="127966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832430" cy="1279231"/>
                    </a:xfrm>
                    <a:prstGeom prst="rect">
                      <a:avLst/>
                    </a:prstGeom>
                    <a:noFill/>
                    <a:ln>
                      <a:noFill/>
                    </a:ln>
                  </pic:spPr>
                </pic:pic>
              </a:graphicData>
            </a:graphic>
          </wp:inline>
        </w:drawing>
      </w:r>
    </w:p>
    <w:p w:rsidR="004E366B" w:rsidRPr="000B3AA7" w:rsidRDefault="004E366B" w:rsidP="00271CFB">
      <w:pPr>
        <w:autoSpaceDE w:val="0"/>
        <w:autoSpaceDN w:val="0"/>
        <w:rPr>
          <w:sz w:val="16"/>
          <w:szCs w:val="16"/>
        </w:rPr>
      </w:pPr>
      <w:r w:rsidRPr="007A1AD4">
        <w:rPr>
          <w:i/>
          <w:sz w:val="16"/>
          <w:szCs w:val="16"/>
        </w:rPr>
        <w:t>NOTE: The 2014/15 Budget after Transfers reflects transfers as of March 31, 2015 to address needs during the 2014/15 biennium in line with Financial Regulation 5.5.</w:t>
      </w:r>
    </w:p>
    <w:p w:rsidR="004E366B" w:rsidRPr="000B3AA7" w:rsidRDefault="004E366B" w:rsidP="00271CFB">
      <w:pPr>
        <w:widowControl w:val="0"/>
        <w:autoSpaceDE w:val="0"/>
        <w:autoSpaceDN w:val="0"/>
        <w:adjustRightInd w:val="0"/>
        <w:rPr>
          <w:rFonts w:cs="Arial"/>
          <w:szCs w:val="20"/>
        </w:rPr>
      </w:pPr>
    </w:p>
    <w:p w:rsidR="004E366B" w:rsidRPr="000B3AA7" w:rsidRDefault="004E366B" w:rsidP="00271CFB">
      <w:pPr>
        <w:widowControl w:val="0"/>
        <w:autoSpaceDE w:val="0"/>
        <w:autoSpaceDN w:val="0"/>
        <w:adjustRightInd w:val="0"/>
        <w:rPr>
          <w:rFonts w:cs="Arial"/>
          <w:szCs w:val="20"/>
        </w:rPr>
      </w:pPr>
    </w:p>
    <w:p w:rsidR="004E366B" w:rsidRPr="006D1EA0" w:rsidRDefault="004E366B" w:rsidP="00271CFB">
      <w:pPr>
        <w:jc w:val="both"/>
        <w:rPr>
          <w:rFonts w:cs="Arial"/>
          <w:szCs w:val="20"/>
          <w:u w:val="single"/>
        </w:rPr>
      </w:pPr>
      <w:r w:rsidRPr="006D1EA0">
        <w:rPr>
          <w:rFonts w:cs="Arial"/>
          <w:szCs w:val="20"/>
        </w:rPr>
        <w:t>A.</w:t>
      </w:r>
      <w:r w:rsidRPr="006D1EA0">
        <w:rPr>
          <w:rFonts w:cs="Arial"/>
          <w:szCs w:val="20"/>
        </w:rPr>
        <w:tab/>
      </w:r>
      <w:r w:rsidRPr="006D1EA0">
        <w:rPr>
          <w:rFonts w:cs="Arial"/>
          <w:szCs w:val="20"/>
          <w:u w:val="single"/>
        </w:rPr>
        <w:t>Budget after Transfers 2014/15</w:t>
      </w:r>
    </w:p>
    <w:p w:rsidR="004E366B" w:rsidRPr="006D1EA0" w:rsidRDefault="004E366B" w:rsidP="00271CFB">
      <w:pPr>
        <w:jc w:val="both"/>
        <w:rPr>
          <w:rFonts w:cs="Arial"/>
          <w:szCs w:val="20"/>
          <w:u w:val="single"/>
        </w:rPr>
      </w:pPr>
    </w:p>
    <w:p w:rsidR="004E366B" w:rsidRPr="006D1EA0" w:rsidRDefault="004E366B" w:rsidP="004E366B">
      <w:pPr>
        <w:pStyle w:val="ListParagraph"/>
        <w:numPr>
          <w:ilvl w:val="0"/>
          <w:numId w:val="50"/>
        </w:numPr>
        <w:tabs>
          <w:tab w:val="left" w:pos="709"/>
        </w:tabs>
        <w:ind w:left="0" w:firstLine="0"/>
        <w:jc w:val="both"/>
        <w:rPr>
          <w:rFonts w:cs="Arial"/>
          <w:color w:val="000000"/>
        </w:rPr>
      </w:pPr>
      <w:r w:rsidRPr="006D5F84">
        <w:rPr>
          <w:rFonts w:cs="Arial"/>
        </w:rPr>
        <w:t>The</w:t>
      </w:r>
      <w:r w:rsidRPr="006D1EA0">
        <w:rPr>
          <w:rFonts w:cs="Arial"/>
          <w:color w:val="000000"/>
        </w:rPr>
        <w:t xml:space="preserve"> </w:t>
      </w:r>
      <w:r>
        <w:rPr>
          <w:rFonts w:cs="Arial"/>
          <w:color w:val="000000"/>
        </w:rPr>
        <w:t xml:space="preserve">reduction in the 2014/15 </w:t>
      </w:r>
      <w:r w:rsidRPr="006D1EA0">
        <w:rPr>
          <w:rFonts w:cs="Arial"/>
          <w:color w:val="000000"/>
        </w:rPr>
        <w:t xml:space="preserve">Budget after </w:t>
      </w:r>
      <w:r>
        <w:rPr>
          <w:rFonts w:cs="Arial"/>
          <w:color w:val="000000"/>
        </w:rPr>
        <w:t>T</w:t>
      </w:r>
      <w:r w:rsidRPr="006D1EA0">
        <w:rPr>
          <w:rFonts w:cs="Arial"/>
          <w:color w:val="000000"/>
        </w:rPr>
        <w:t xml:space="preserve">ransfers reflects </w:t>
      </w:r>
      <w:r>
        <w:rPr>
          <w:rFonts w:cs="Arial"/>
          <w:color w:val="000000"/>
        </w:rPr>
        <w:t>(</w:t>
      </w:r>
      <w:proofErr w:type="spellStart"/>
      <w:r>
        <w:rPr>
          <w:rFonts w:cs="Arial"/>
          <w:color w:val="000000"/>
        </w:rPr>
        <w:t>i</w:t>
      </w:r>
      <w:proofErr w:type="spellEnd"/>
      <w:r>
        <w:rPr>
          <w:rFonts w:cs="Arial"/>
          <w:color w:val="000000"/>
        </w:rPr>
        <w:t xml:space="preserve">) the redeployment of a post to reinforce administrative services in the WIPO Academy and (ii) adjustments made to the budget due to savings in primarily the translations and printing services. </w:t>
      </w:r>
    </w:p>
    <w:p w:rsidR="004E366B" w:rsidRDefault="004E366B" w:rsidP="00271CFB">
      <w:pPr>
        <w:autoSpaceDE w:val="0"/>
        <w:autoSpaceDN w:val="0"/>
        <w:jc w:val="both"/>
        <w:rPr>
          <w:lang w:eastAsia="ko-KR"/>
        </w:rPr>
      </w:pPr>
    </w:p>
    <w:p w:rsidR="004E366B" w:rsidRPr="006D1EA0" w:rsidRDefault="004E366B" w:rsidP="00271CFB">
      <w:pPr>
        <w:autoSpaceDE w:val="0"/>
        <w:autoSpaceDN w:val="0"/>
        <w:jc w:val="both"/>
        <w:rPr>
          <w:rFonts w:cs="Arial"/>
          <w:szCs w:val="20"/>
          <w:lang w:eastAsia="ko-KR"/>
        </w:rPr>
      </w:pPr>
    </w:p>
    <w:p w:rsidR="004E366B" w:rsidRPr="006D1EA0" w:rsidRDefault="004E366B" w:rsidP="00271CFB">
      <w:pPr>
        <w:jc w:val="both"/>
        <w:rPr>
          <w:rFonts w:cs="Arial"/>
          <w:szCs w:val="20"/>
          <w:u w:val="single"/>
          <w:lang w:eastAsia="ko-KR"/>
        </w:rPr>
      </w:pPr>
      <w:r w:rsidRPr="006D1EA0">
        <w:rPr>
          <w:rFonts w:cs="Arial"/>
          <w:szCs w:val="20"/>
          <w:lang w:eastAsia="ko-KR"/>
        </w:rPr>
        <w:t>B.</w:t>
      </w:r>
      <w:r w:rsidRPr="006D1EA0">
        <w:rPr>
          <w:rFonts w:cs="Arial"/>
          <w:szCs w:val="20"/>
          <w:lang w:eastAsia="ko-KR"/>
        </w:rPr>
        <w:tab/>
      </w:r>
      <w:r w:rsidRPr="006D1EA0">
        <w:rPr>
          <w:rFonts w:cs="Arial"/>
          <w:szCs w:val="20"/>
          <w:u w:val="single"/>
          <w:lang w:eastAsia="ko-KR"/>
        </w:rPr>
        <w:t>Budget utilization 2014</w:t>
      </w:r>
    </w:p>
    <w:p w:rsidR="004E366B" w:rsidRPr="006D1EA0" w:rsidRDefault="004E366B" w:rsidP="00271CFB">
      <w:pPr>
        <w:autoSpaceDE w:val="0"/>
        <w:autoSpaceDN w:val="0"/>
        <w:jc w:val="both"/>
        <w:rPr>
          <w:rFonts w:cs="Arial"/>
          <w:szCs w:val="20"/>
        </w:rPr>
      </w:pPr>
    </w:p>
    <w:p w:rsidR="004E366B" w:rsidRPr="000B3AA7" w:rsidRDefault="004E366B" w:rsidP="004E366B">
      <w:pPr>
        <w:pStyle w:val="ListParagraph"/>
        <w:numPr>
          <w:ilvl w:val="0"/>
          <w:numId w:val="50"/>
        </w:numPr>
        <w:tabs>
          <w:tab w:val="left" w:pos="709"/>
        </w:tabs>
        <w:ind w:left="0" w:firstLine="0"/>
        <w:jc w:val="both"/>
        <w:rPr>
          <w:rFonts w:cs="Arial"/>
          <w:u w:val="single"/>
          <w:lang w:eastAsia="ko-KR"/>
        </w:rPr>
      </w:pPr>
      <w:r w:rsidRPr="006D5F84">
        <w:rPr>
          <w:rFonts w:cs="Arial"/>
        </w:rPr>
        <w:t>Budget</w:t>
      </w:r>
      <w:r w:rsidRPr="006D1EA0">
        <w:rPr>
          <w:rFonts w:cs="Arial"/>
          <w:color w:val="000000"/>
        </w:rPr>
        <w:t xml:space="preserve"> utilization is within the expected range of 40-60 per cent for the first year of the biennium and is on track. </w:t>
      </w:r>
    </w:p>
    <w:p w:rsidR="004E366B" w:rsidRPr="000B3AA7" w:rsidRDefault="004E366B" w:rsidP="00295D7D">
      <w:pPr>
        <w:autoSpaceDE w:val="0"/>
        <w:autoSpaceDN w:val="0"/>
        <w:jc w:val="both"/>
      </w:pPr>
    </w:p>
    <w:p w:rsidR="0036297A" w:rsidRDefault="0036297A">
      <w:r>
        <w:br w:type="page"/>
      </w:r>
    </w:p>
    <w:p w:rsidR="0036297A" w:rsidRPr="007E3779" w:rsidRDefault="00127901" w:rsidP="00127901">
      <w:pPr>
        <w:pStyle w:val="Heading2"/>
        <w:tabs>
          <w:tab w:val="clear" w:pos="567"/>
          <w:tab w:val="left" w:pos="1985"/>
        </w:tabs>
        <w:ind w:left="1985" w:hanging="1985"/>
        <w:rPr>
          <w:sz w:val="20"/>
          <w:szCs w:val="20"/>
        </w:rPr>
      </w:pPr>
      <w:bookmarkStart w:id="99" w:name="_Toc422210517"/>
      <w:r>
        <w:rPr>
          <w:sz w:val="20"/>
          <w:szCs w:val="20"/>
        </w:rPr>
        <w:lastRenderedPageBreak/>
        <w:t>PROGRAM 28</w:t>
      </w:r>
      <w:r>
        <w:rPr>
          <w:sz w:val="20"/>
          <w:szCs w:val="20"/>
        </w:rPr>
        <w:tab/>
      </w:r>
      <w:r w:rsidR="0036297A" w:rsidRPr="007E3779">
        <w:rPr>
          <w:sz w:val="20"/>
          <w:szCs w:val="20"/>
        </w:rPr>
        <w:t>SAFETY AND SECURITY</w:t>
      </w:r>
      <w:bookmarkEnd w:id="99"/>
    </w:p>
    <w:p w:rsidR="0036297A" w:rsidRPr="007E3779" w:rsidRDefault="0036297A" w:rsidP="0036297A">
      <w:pPr>
        <w:tabs>
          <w:tab w:val="left" w:pos="1985"/>
        </w:tabs>
        <w:rPr>
          <w:szCs w:val="20"/>
        </w:rPr>
      </w:pPr>
    </w:p>
    <w:p w:rsidR="0036297A" w:rsidRPr="007E3779" w:rsidRDefault="0036297A" w:rsidP="0036297A">
      <w:pPr>
        <w:tabs>
          <w:tab w:val="left" w:pos="1985"/>
        </w:tabs>
        <w:rPr>
          <w:b/>
          <w:szCs w:val="20"/>
        </w:rPr>
      </w:pPr>
      <w:r w:rsidRPr="007E3779">
        <w:rPr>
          <w:b/>
          <w:szCs w:val="20"/>
        </w:rPr>
        <w:t>Program Manager</w:t>
      </w:r>
      <w:r w:rsidRPr="007E3779">
        <w:rPr>
          <w:b/>
          <w:szCs w:val="20"/>
        </w:rPr>
        <w:tab/>
        <w:t>Mr. A. Sundaram</w:t>
      </w:r>
    </w:p>
    <w:p w:rsidR="0036297A" w:rsidRPr="007E3779" w:rsidRDefault="0036297A" w:rsidP="008D1891">
      <w:pPr>
        <w:rPr>
          <w:szCs w:val="20"/>
        </w:rPr>
      </w:pPr>
    </w:p>
    <w:p w:rsidR="0036297A" w:rsidRPr="007E3779" w:rsidRDefault="0036297A" w:rsidP="008D1891">
      <w:pPr>
        <w:rPr>
          <w:szCs w:val="20"/>
        </w:rPr>
      </w:pPr>
    </w:p>
    <w:p w:rsidR="0036297A" w:rsidRPr="007E3779" w:rsidRDefault="0036297A" w:rsidP="008D1891">
      <w:pPr>
        <w:rPr>
          <w:bCs/>
          <w:szCs w:val="20"/>
        </w:rPr>
      </w:pPr>
      <w:r w:rsidRPr="007E3779">
        <w:rPr>
          <w:bCs/>
          <w:szCs w:val="20"/>
        </w:rPr>
        <w:t>OVERVIEW OF PROGRESS IN 2014</w:t>
      </w:r>
    </w:p>
    <w:p w:rsidR="0036297A" w:rsidRPr="007E3779" w:rsidRDefault="0036297A" w:rsidP="008D1891">
      <w:pPr>
        <w:rPr>
          <w:bCs/>
          <w:szCs w:val="20"/>
        </w:rPr>
      </w:pPr>
    </w:p>
    <w:p w:rsidR="0036297A" w:rsidRPr="00971170" w:rsidRDefault="0036297A" w:rsidP="0036297A">
      <w:pPr>
        <w:pStyle w:val="ListParagraph"/>
        <w:numPr>
          <w:ilvl w:val="0"/>
          <w:numId w:val="62"/>
        </w:numPr>
        <w:tabs>
          <w:tab w:val="left" w:pos="709"/>
        </w:tabs>
        <w:ind w:left="0" w:firstLine="0"/>
        <w:jc w:val="both"/>
        <w:rPr>
          <w:bCs/>
        </w:rPr>
      </w:pPr>
      <w:r w:rsidRPr="00971170">
        <w:rPr>
          <w:bCs/>
        </w:rPr>
        <w:t xml:space="preserve">Costs related to safety and security services during 2014 continued to be consistent with previous years’ costs as a percentage of total organizational expenditure.  The Program continued to manage organization-wide safety and security systems throughout the year, including the </w:t>
      </w:r>
      <w:r w:rsidRPr="00971170">
        <w:rPr>
          <w:rFonts w:cs="Arial"/>
        </w:rPr>
        <w:t xml:space="preserve">new WIPO Conference Hall </w:t>
      </w:r>
      <w:r w:rsidRPr="00971170">
        <w:rPr>
          <w:bCs/>
        </w:rPr>
        <w:t>facilities, which opened in September 2014.</w:t>
      </w:r>
    </w:p>
    <w:p w:rsidR="0036297A" w:rsidRDefault="0036297A" w:rsidP="008D1891">
      <w:pPr>
        <w:tabs>
          <w:tab w:val="left" w:pos="709"/>
        </w:tabs>
        <w:jc w:val="both"/>
        <w:rPr>
          <w:bCs/>
          <w:szCs w:val="20"/>
        </w:rPr>
      </w:pPr>
    </w:p>
    <w:p w:rsidR="0036297A" w:rsidRPr="00971170" w:rsidRDefault="0036297A" w:rsidP="0036297A">
      <w:pPr>
        <w:pStyle w:val="ListParagraph"/>
        <w:numPr>
          <w:ilvl w:val="0"/>
          <w:numId w:val="62"/>
        </w:numPr>
        <w:tabs>
          <w:tab w:val="left" w:pos="709"/>
        </w:tabs>
        <w:ind w:left="0" w:firstLine="0"/>
        <w:jc w:val="both"/>
        <w:rPr>
          <w:bCs/>
        </w:rPr>
      </w:pPr>
      <w:r w:rsidRPr="00971170">
        <w:rPr>
          <w:bCs/>
        </w:rPr>
        <w:t xml:space="preserve">The year 2014 saw a number of important safety and security achievements, notably the opening of the new WIPO Access Center (AB reception) and the Security Coordination Operations Center (SCOC), in time to successfully support the twenty-second session of the PBC and the fifty-fourth series of meetings of the WIPO Assemblies.  In addition, the H-MOSS project neared completion, with 95 per cent of new systems, including a new access control system, technically advanced anti-intrusion measures, a closed circuit television (CCTV) camera system, an emergency communications and response system and a fire detection/control system, fully operational by the end of 2014.  These enhancements significantly strengthened safety and security throughout the WIPO campus, and in line with the project plan, enabled a gradual but less than anticipated reduction in the level of on-site security staff in 2014.  </w:t>
      </w:r>
    </w:p>
    <w:p w:rsidR="0036297A" w:rsidRDefault="0036297A" w:rsidP="008D1891">
      <w:pPr>
        <w:tabs>
          <w:tab w:val="left" w:pos="709"/>
        </w:tabs>
        <w:jc w:val="both"/>
        <w:rPr>
          <w:bCs/>
          <w:szCs w:val="20"/>
        </w:rPr>
      </w:pPr>
    </w:p>
    <w:p w:rsidR="0036297A" w:rsidRPr="00971170" w:rsidRDefault="0036297A" w:rsidP="0036297A">
      <w:pPr>
        <w:pStyle w:val="ListParagraph"/>
        <w:numPr>
          <w:ilvl w:val="0"/>
          <w:numId w:val="62"/>
        </w:numPr>
        <w:tabs>
          <w:tab w:val="left" w:pos="709"/>
        </w:tabs>
        <w:ind w:left="0" w:firstLine="0"/>
        <w:jc w:val="both"/>
        <w:rPr>
          <w:bCs/>
        </w:rPr>
      </w:pPr>
      <w:r w:rsidRPr="00971170">
        <w:rPr>
          <w:bCs/>
        </w:rPr>
        <w:t>The H-MOSS project is expected to be completed in 2015.  As a result, several dependent, non-critical safety/security aspects (upgrades to lighting syst</w:t>
      </w:r>
      <w:r>
        <w:rPr>
          <w:bCs/>
        </w:rPr>
        <w:t xml:space="preserve">ems in </w:t>
      </w:r>
      <w:r w:rsidRPr="00971170">
        <w:rPr>
          <w:bCs/>
        </w:rPr>
        <w:t xml:space="preserve">two facilities, a VHF radio system upgrade, and enhanced access and CCTV systems for the WIPO CAM facility), originally planned to be started in 2014/15, have been deferred to the 2016/17 biennium. </w:t>
      </w:r>
    </w:p>
    <w:p w:rsidR="0036297A" w:rsidRPr="00BD7E9A" w:rsidRDefault="0036297A" w:rsidP="008D1891">
      <w:pPr>
        <w:tabs>
          <w:tab w:val="left" w:pos="709"/>
        </w:tabs>
        <w:jc w:val="both"/>
        <w:rPr>
          <w:bCs/>
          <w:szCs w:val="20"/>
        </w:rPr>
      </w:pPr>
    </w:p>
    <w:p w:rsidR="0036297A" w:rsidRPr="00971170" w:rsidRDefault="0036297A" w:rsidP="0036297A">
      <w:pPr>
        <w:pStyle w:val="ListParagraph"/>
        <w:numPr>
          <w:ilvl w:val="0"/>
          <w:numId w:val="62"/>
        </w:numPr>
        <w:tabs>
          <w:tab w:val="left" w:pos="709"/>
        </w:tabs>
        <w:ind w:left="0" w:firstLine="0"/>
        <w:jc w:val="both"/>
        <w:rPr>
          <w:bCs/>
        </w:rPr>
      </w:pPr>
      <w:r w:rsidRPr="00971170">
        <w:rPr>
          <w:bCs/>
        </w:rPr>
        <w:t xml:space="preserve">To optimize operational capacity of the SCOC and the new systems, safety and security staff and members of the on-site security guard team underwent specialized trainings.  New safety management procedures were implemented, and the existing standard operating procedures (SOPs) and specific policies were updated.  Furthermore, new security staff performance measures were identified and incorporated into the SOPs, with a view to further enhancing efficiency and emergency response capacity.  </w:t>
      </w:r>
    </w:p>
    <w:p w:rsidR="0036297A" w:rsidRPr="00BD7E9A" w:rsidRDefault="0036297A" w:rsidP="008D1891">
      <w:pPr>
        <w:tabs>
          <w:tab w:val="left" w:pos="709"/>
        </w:tabs>
        <w:jc w:val="both"/>
        <w:rPr>
          <w:bCs/>
          <w:szCs w:val="20"/>
        </w:rPr>
      </w:pPr>
    </w:p>
    <w:p w:rsidR="0036297A" w:rsidRPr="00971170" w:rsidRDefault="0036297A" w:rsidP="0036297A">
      <w:pPr>
        <w:pStyle w:val="ListParagraph"/>
        <w:numPr>
          <w:ilvl w:val="0"/>
          <w:numId w:val="62"/>
        </w:numPr>
        <w:tabs>
          <w:tab w:val="left" w:pos="709"/>
        </w:tabs>
        <w:ind w:left="0" w:firstLine="0"/>
        <w:jc w:val="both"/>
        <w:rPr>
          <w:bCs/>
        </w:rPr>
      </w:pPr>
      <w:r w:rsidRPr="00971170">
        <w:rPr>
          <w:bCs/>
        </w:rPr>
        <w:t xml:space="preserve">In November 2014, safety and security assessment audits of the Rio de Janeiro and New York Offices were undertaken resulting in a number of recommendations for both Offices to enhance the safety/security of WIPO staff, better protect the Organization’s assets and ensure compliance with UN safety and security procedures.  In addition, an out-reach program under the SCOC was established for WIPO’s External Offices to better address safety and security management through concerted coordination and a 24/7 security support service. </w:t>
      </w:r>
    </w:p>
    <w:p w:rsidR="0036297A" w:rsidRPr="00BD7E9A" w:rsidRDefault="0036297A" w:rsidP="008D1891">
      <w:pPr>
        <w:tabs>
          <w:tab w:val="left" w:pos="709"/>
        </w:tabs>
        <w:jc w:val="both"/>
        <w:rPr>
          <w:bCs/>
          <w:szCs w:val="20"/>
        </w:rPr>
      </w:pPr>
    </w:p>
    <w:p w:rsidR="0036297A" w:rsidRPr="00971170" w:rsidRDefault="0036297A" w:rsidP="0036297A">
      <w:pPr>
        <w:pStyle w:val="ListParagraph"/>
        <w:numPr>
          <w:ilvl w:val="0"/>
          <w:numId w:val="62"/>
        </w:numPr>
        <w:tabs>
          <w:tab w:val="left" w:pos="709"/>
        </w:tabs>
        <w:ind w:left="0" w:firstLine="0"/>
        <w:jc w:val="both"/>
        <w:rPr>
          <w:bCs/>
        </w:rPr>
      </w:pPr>
      <w:r w:rsidRPr="00971170">
        <w:rPr>
          <w:bCs/>
        </w:rPr>
        <w:t xml:space="preserve">The total number of reported safety and security incidents in 2014 remained low, with only two safety-related incidents resulting in injury. The total percentage of safety-related incidents with injuries amounted to 0.9 per cent for the year.  </w:t>
      </w:r>
    </w:p>
    <w:p w:rsidR="0036297A" w:rsidRDefault="0036297A" w:rsidP="008D1891">
      <w:pPr>
        <w:jc w:val="both"/>
        <w:rPr>
          <w:bCs/>
          <w:szCs w:val="20"/>
        </w:rPr>
      </w:pPr>
    </w:p>
    <w:p w:rsidR="0036297A" w:rsidRPr="00BD7E9A" w:rsidRDefault="0036297A" w:rsidP="008D1891">
      <w:pPr>
        <w:jc w:val="both"/>
        <w:rPr>
          <w:bCs/>
          <w:szCs w:val="20"/>
        </w:rPr>
      </w:pPr>
    </w:p>
    <w:p w:rsidR="0036297A" w:rsidRPr="00EC2855" w:rsidRDefault="0036297A" w:rsidP="008D1891">
      <w:pPr>
        <w:keepNext/>
        <w:keepLines/>
        <w:jc w:val="both"/>
        <w:rPr>
          <w:rFonts w:cs="Arial"/>
          <w:szCs w:val="20"/>
        </w:rPr>
      </w:pPr>
      <w:r w:rsidRPr="00EC2855">
        <w:rPr>
          <w:rFonts w:cs="Arial"/>
          <w:szCs w:val="20"/>
        </w:rPr>
        <w:lastRenderedPageBreak/>
        <w:t>PERFORMANCE DATA</w:t>
      </w:r>
    </w:p>
    <w:p w:rsidR="0036297A" w:rsidRDefault="0036297A" w:rsidP="008D1891">
      <w:pPr>
        <w:keepNext/>
        <w:keepLines/>
        <w:rPr>
          <w:bCs/>
          <w:sz w:val="22"/>
          <w:szCs w:val="22"/>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2266"/>
        <w:gridCol w:w="1277"/>
        <w:gridCol w:w="2832"/>
        <w:gridCol w:w="995"/>
      </w:tblGrid>
      <w:tr w:rsidR="0036297A" w:rsidTr="008D1891">
        <w:trPr>
          <w:cantSplit/>
        </w:trPr>
        <w:tc>
          <w:tcPr>
            <w:tcW w:w="5000" w:type="pct"/>
            <w:gridSpan w:val="5"/>
            <w:tcBorders>
              <w:top w:val="single" w:sz="4" w:space="0" w:color="auto"/>
              <w:bottom w:val="single" w:sz="4" w:space="0" w:color="auto"/>
            </w:tcBorders>
            <w:shd w:val="clear" w:color="auto" w:fill="CCFFFF"/>
            <w:vAlign w:val="center"/>
          </w:tcPr>
          <w:p w:rsidR="0036297A" w:rsidRDefault="0036297A" w:rsidP="008D1891">
            <w:pPr>
              <w:keepNext/>
              <w:keepLines/>
              <w:tabs>
                <w:tab w:val="left" w:pos="1452"/>
              </w:tabs>
              <w:spacing w:before="120" w:after="120"/>
              <w:ind w:left="1452" w:hanging="1452"/>
              <w:rPr>
                <w:rFonts w:cs="Arial"/>
                <w:b/>
                <w:bCs/>
                <w:sz w:val="16"/>
                <w:szCs w:val="16"/>
              </w:rPr>
            </w:pPr>
            <w:r w:rsidRPr="00234BEF">
              <w:rPr>
                <w:rFonts w:cs="Arial"/>
                <w:b/>
                <w:bCs/>
                <w:sz w:val="16"/>
                <w:szCs w:val="16"/>
              </w:rPr>
              <w:t>Expected Result</w:t>
            </w:r>
            <w:r>
              <w:rPr>
                <w:rFonts w:cs="Arial"/>
                <w:b/>
                <w:bCs/>
                <w:sz w:val="16"/>
                <w:szCs w:val="16"/>
              </w:rPr>
              <w:t>:</w:t>
            </w:r>
            <w:r>
              <w:rPr>
                <w:rFonts w:cs="Arial"/>
                <w:b/>
                <w:bCs/>
                <w:sz w:val="16"/>
                <w:szCs w:val="16"/>
              </w:rPr>
              <w:tab/>
            </w:r>
            <w:r w:rsidRPr="00917C42">
              <w:rPr>
                <w:rFonts w:cs="Arial"/>
                <w:sz w:val="16"/>
                <w:szCs w:val="16"/>
              </w:rPr>
              <w:t>IX.4 An environmentally and socially responsible Organization in which WIPO staff, delegates, visitors and information and physical assets are safe and secure</w:t>
            </w:r>
          </w:p>
        </w:tc>
      </w:tr>
      <w:tr w:rsidR="0036297A" w:rsidRPr="008C4799" w:rsidTr="008D1891">
        <w:trPr>
          <w:cantSplit/>
        </w:trPr>
        <w:tc>
          <w:tcPr>
            <w:tcW w:w="1120" w:type="pct"/>
            <w:tcBorders>
              <w:top w:val="single" w:sz="4" w:space="0" w:color="auto"/>
            </w:tcBorders>
            <w:shd w:val="clear" w:color="auto" w:fill="auto"/>
            <w:vAlign w:val="center"/>
          </w:tcPr>
          <w:p w:rsidR="0036297A" w:rsidRPr="008C4799" w:rsidRDefault="0036297A" w:rsidP="008D1891">
            <w:pPr>
              <w:keepNext/>
              <w:keepLines/>
              <w:rPr>
                <w:rFonts w:cs="Arial"/>
                <w:sz w:val="16"/>
                <w:szCs w:val="16"/>
              </w:rPr>
            </w:pPr>
            <w:r w:rsidRPr="008C4799">
              <w:rPr>
                <w:rFonts w:cs="Arial"/>
                <w:b/>
                <w:bCs/>
                <w:sz w:val="16"/>
                <w:szCs w:val="16"/>
              </w:rPr>
              <w:t>Performance Indicators</w:t>
            </w:r>
          </w:p>
        </w:tc>
        <w:tc>
          <w:tcPr>
            <w:tcW w:w="1193" w:type="pct"/>
            <w:tcBorders>
              <w:top w:val="single" w:sz="4" w:space="0" w:color="auto"/>
            </w:tcBorders>
            <w:shd w:val="clear" w:color="auto" w:fill="auto"/>
            <w:vAlign w:val="center"/>
          </w:tcPr>
          <w:p w:rsidR="0036297A" w:rsidRPr="008C4799" w:rsidRDefault="0036297A" w:rsidP="008D1891">
            <w:pPr>
              <w:keepNext/>
              <w:keepLines/>
              <w:rPr>
                <w:rFonts w:cs="Arial"/>
                <w:b/>
                <w:bCs/>
                <w:sz w:val="16"/>
                <w:szCs w:val="16"/>
              </w:rPr>
            </w:pPr>
            <w:r w:rsidRPr="008C4799">
              <w:rPr>
                <w:rFonts w:cs="Arial"/>
                <w:b/>
                <w:bCs/>
                <w:sz w:val="16"/>
                <w:szCs w:val="16"/>
              </w:rPr>
              <w:t>Baselines</w:t>
            </w:r>
          </w:p>
        </w:tc>
        <w:tc>
          <w:tcPr>
            <w:tcW w:w="672" w:type="pct"/>
            <w:tcBorders>
              <w:top w:val="single" w:sz="4" w:space="0" w:color="auto"/>
            </w:tcBorders>
            <w:shd w:val="clear" w:color="auto" w:fill="auto"/>
            <w:tcMar>
              <w:top w:w="110" w:type="dxa"/>
            </w:tcMar>
            <w:vAlign w:val="center"/>
          </w:tcPr>
          <w:p w:rsidR="0036297A" w:rsidRPr="008C4799" w:rsidRDefault="0036297A" w:rsidP="008D1891">
            <w:pPr>
              <w:keepNext/>
              <w:keepLines/>
              <w:rPr>
                <w:rFonts w:cs="Arial"/>
                <w:b/>
                <w:sz w:val="16"/>
                <w:szCs w:val="16"/>
              </w:rPr>
            </w:pPr>
            <w:r w:rsidRPr="008C4799">
              <w:rPr>
                <w:rFonts w:cs="Arial"/>
                <w:b/>
                <w:sz w:val="16"/>
                <w:szCs w:val="16"/>
              </w:rPr>
              <w:t>Targets</w:t>
            </w:r>
          </w:p>
        </w:tc>
        <w:tc>
          <w:tcPr>
            <w:tcW w:w="1491" w:type="pct"/>
            <w:tcBorders>
              <w:top w:val="single" w:sz="4" w:space="0" w:color="auto"/>
            </w:tcBorders>
            <w:shd w:val="clear" w:color="auto" w:fill="FFFFFF"/>
            <w:tcMar>
              <w:top w:w="110" w:type="dxa"/>
            </w:tcMar>
            <w:vAlign w:val="center"/>
          </w:tcPr>
          <w:p w:rsidR="0036297A" w:rsidRPr="008C4799" w:rsidRDefault="0036297A" w:rsidP="008D1891">
            <w:pPr>
              <w:keepNext/>
              <w:keepLines/>
              <w:rPr>
                <w:rFonts w:cs="Arial"/>
                <w:sz w:val="16"/>
                <w:szCs w:val="16"/>
              </w:rPr>
            </w:pPr>
            <w:r w:rsidRPr="008C4799">
              <w:rPr>
                <w:rFonts w:cs="Arial"/>
                <w:b/>
                <w:bCs/>
                <w:sz w:val="16"/>
                <w:szCs w:val="16"/>
              </w:rPr>
              <w:t>Performance Data</w:t>
            </w:r>
          </w:p>
        </w:tc>
        <w:tc>
          <w:tcPr>
            <w:tcW w:w="524" w:type="pct"/>
            <w:tcBorders>
              <w:top w:val="single" w:sz="4" w:space="0" w:color="auto"/>
            </w:tcBorders>
            <w:shd w:val="clear" w:color="auto" w:fill="auto"/>
            <w:tcMar>
              <w:top w:w="110" w:type="dxa"/>
            </w:tcMar>
            <w:vAlign w:val="center"/>
          </w:tcPr>
          <w:p w:rsidR="0036297A" w:rsidRPr="008C4799" w:rsidRDefault="0036297A" w:rsidP="008D1891">
            <w:pPr>
              <w:keepNext/>
              <w:keepLines/>
              <w:jc w:val="center"/>
              <w:rPr>
                <w:rFonts w:cs="Arial"/>
                <w:b/>
                <w:bCs/>
                <w:sz w:val="16"/>
                <w:szCs w:val="16"/>
              </w:rPr>
            </w:pPr>
            <w:r w:rsidRPr="008C4799">
              <w:rPr>
                <w:rFonts w:cs="Arial"/>
                <w:b/>
                <w:bCs/>
                <w:sz w:val="16"/>
                <w:szCs w:val="16"/>
              </w:rPr>
              <w:t>TLS</w:t>
            </w:r>
          </w:p>
        </w:tc>
      </w:tr>
      <w:tr w:rsidR="0036297A" w:rsidTr="008D1891">
        <w:trPr>
          <w:cantSplit/>
        </w:trPr>
        <w:tc>
          <w:tcPr>
            <w:tcW w:w="1120" w:type="pct"/>
            <w:shd w:val="clear" w:color="auto" w:fill="auto"/>
          </w:tcPr>
          <w:p w:rsidR="0036297A" w:rsidRPr="00301B3A" w:rsidRDefault="0036297A" w:rsidP="008D1891">
            <w:pPr>
              <w:keepNext/>
              <w:keepLines/>
              <w:rPr>
                <w:rFonts w:cs="Arial"/>
                <w:sz w:val="16"/>
                <w:szCs w:val="16"/>
              </w:rPr>
            </w:pPr>
            <w:r w:rsidRPr="00917C42">
              <w:rPr>
                <w:rFonts w:cs="Arial"/>
                <w:sz w:val="16"/>
                <w:szCs w:val="16"/>
              </w:rPr>
              <w:t>% of WIPO staff, delegates &amp; visitors reporting a work related injury or incident</w:t>
            </w:r>
          </w:p>
        </w:tc>
        <w:tc>
          <w:tcPr>
            <w:tcW w:w="1193" w:type="pct"/>
            <w:shd w:val="clear" w:color="auto" w:fill="auto"/>
          </w:tcPr>
          <w:p w:rsidR="0036297A" w:rsidRPr="00C7008C" w:rsidRDefault="0036297A" w:rsidP="008D1891">
            <w:pPr>
              <w:keepNext/>
              <w:keepLines/>
              <w:rPr>
                <w:rFonts w:cs="Arial"/>
                <w:i/>
                <w:color w:val="002060"/>
                <w:sz w:val="16"/>
                <w:szCs w:val="16"/>
              </w:rPr>
            </w:pPr>
            <w:r>
              <w:rPr>
                <w:rFonts w:cs="Arial"/>
                <w:i/>
                <w:color w:val="002060"/>
                <w:sz w:val="16"/>
                <w:szCs w:val="16"/>
              </w:rPr>
              <w:t>Updated Baseline end 2013</w:t>
            </w:r>
            <w:r w:rsidRPr="00C7008C">
              <w:rPr>
                <w:rFonts w:cs="Arial"/>
                <w:i/>
                <w:color w:val="002060"/>
                <w:sz w:val="16"/>
                <w:szCs w:val="16"/>
              </w:rPr>
              <w:t xml:space="preserve">: </w:t>
            </w:r>
          </w:p>
          <w:p w:rsidR="0036297A" w:rsidRPr="00142728" w:rsidRDefault="0036297A" w:rsidP="008D1891">
            <w:pPr>
              <w:keepNext/>
              <w:keepLines/>
              <w:rPr>
                <w:rFonts w:cs="Arial"/>
                <w:color w:val="002060"/>
                <w:sz w:val="16"/>
                <w:szCs w:val="16"/>
              </w:rPr>
            </w:pPr>
            <w:r w:rsidRPr="00142728">
              <w:rPr>
                <w:rFonts w:cs="Arial"/>
                <w:color w:val="002060"/>
                <w:sz w:val="16"/>
                <w:szCs w:val="16"/>
              </w:rPr>
              <w:t xml:space="preserve">The total percentage of staff related incidents with injuries amounted to less than 2 </w:t>
            </w:r>
            <w:r>
              <w:rPr>
                <w:rFonts w:cs="Arial"/>
                <w:color w:val="002060"/>
                <w:sz w:val="16"/>
                <w:szCs w:val="16"/>
              </w:rPr>
              <w:t>%</w:t>
            </w:r>
            <w:r w:rsidRPr="00142728">
              <w:rPr>
                <w:rFonts w:cs="Arial"/>
                <w:color w:val="002060"/>
                <w:sz w:val="16"/>
                <w:szCs w:val="16"/>
              </w:rPr>
              <w:t xml:space="preserve"> during 2012/13</w:t>
            </w:r>
            <w:r>
              <w:rPr>
                <w:rFonts w:cs="Arial"/>
                <w:color w:val="002060"/>
                <w:sz w:val="16"/>
                <w:szCs w:val="16"/>
              </w:rPr>
              <w:t xml:space="preserve"> (6 in </w:t>
            </w:r>
            <w:r w:rsidRPr="00142728">
              <w:rPr>
                <w:rFonts w:cs="Arial"/>
                <w:color w:val="002060"/>
                <w:sz w:val="16"/>
                <w:szCs w:val="16"/>
              </w:rPr>
              <w:t>2012</w:t>
            </w:r>
            <w:r>
              <w:rPr>
                <w:rFonts w:cs="Arial"/>
                <w:color w:val="002060"/>
                <w:sz w:val="16"/>
                <w:szCs w:val="16"/>
              </w:rPr>
              <w:t>; 4</w:t>
            </w:r>
            <w:r w:rsidRPr="00142728">
              <w:rPr>
                <w:rFonts w:cs="Arial"/>
                <w:color w:val="002060"/>
                <w:sz w:val="16"/>
                <w:szCs w:val="16"/>
              </w:rPr>
              <w:t xml:space="preserve"> </w:t>
            </w:r>
            <w:r>
              <w:rPr>
                <w:rFonts w:cs="Arial"/>
                <w:color w:val="002060"/>
                <w:sz w:val="16"/>
                <w:szCs w:val="16"/>
              </w:rPr>
              <w:t xml:space="preserve">in </w:t>
            </w:r>
            <w:r w:rsidRPr="00142728">
              <w:rPr>
                <w:rFonts w:cs="Arial"/>
                <w:color w:val="002060"/>
                <w:sz w:val="16"/>
                <w:szCs w:val="16"/>
              </w:rPr>
              <w:t>2013)</w:t>
            </w:r>
          </w:p>
          <w:p w:rsidR="0036297A" w:rsidRDefault="0036297A" w:rsidP="008D1891">
            <w:pPr>
              <w:keepNext/>
              <w:keepLines/>
              <w:rPr>
                <w:rFonts w:cs="Arial"/>
                <w:sz w:val="16"/>
                <w:szCs w:val="16"/>
              </w:rPr>
            </w:pPr>
          </w:p>
          <w:p w:rsidR="0036297A" w:rsidRDefault="0036297A" w:rsidP="008D1891">
            <w:pPr>
              <w:keepNext/>
              <w:keepLines/>
              <w:rPr>
                <w:rFonts w:cs="Arial"/>
                <w:sz w:val="16"/>
                <w:szCs w:val="16"/>
              </w:rPr>
            </w:pPr>
            <w:r w:rsidRPr="00C7008C">
              <w:rPr>
                <w:rFonts w:cs="Arial"/>
                <w:i/>
                <w:sz w:val="16"/>
                <w:szCs w:val="16"/>
              </w:rPr>
              <w:t>Original Baseline P&amp;B 201</w:t>
            </w:r>
            <w:r>
              <w:rPr>
                <w:rFonts w:cs="Arial"/>
                <w:i/>
                <w:sz w:val="16"/>
                <w:szCs w:val="16"/>
              </w:rPr>
              <w:t>4</w:t>
            </w:r>
            <w:r w:rsidRPr="00C7008C">
              <w:rPr>
                <w:rFonts w:cs="Arial"/>
                <w:i/>
                <w:sz w:val="16"/>
                <w:szCs w:val="16"/>
              </w:rPr>
              <w:t>/1</w:t>
            </w:r>
            <w:r>
              <w:rPr>
                <w:rFonts w:cs="Arial"/>
                <w:i/>
                <w:sz w:val="16"/>
                <w:szCs w:val="16"/>
              </w:rPr>
              <w:t>5</w:t>
            </w:r>
            <w:r w:rsidRPr="00C7008C">
              <w:rPr>
                <w:rFonts w:cs="Arial"/>
                <w:i/>
                <w:sz w:val="16"/>
                <w:szCs w:val="16"/>
              </w:rPr>
              <w:t>:</w:t>
            </w:r>
            <w:r w:rsidRPr="00C7008C">
              <w:rPr>
                <w:rFonts w:cs="Arial"/>
                <w:sz w:val="16"/>
                <w:szCs w:val="16"/>
              </w:rPr>
              <w:br/>
            </w:r>
            <w:r w:rsidRPr="00917C42">
              <w:rPr>
                <w:rFonts w:cs="Arial"/>
                <w:sz w:val="16"/>
                <w:szCs w:val="16"/>
              </w:rPr>
              <w:t>2% or less of total stakeholders / clients reporting a work related injury or incident</w:t>
            </w:r>
          </w:p>
          <w:p w:rsidR="0036297A" w:rsidRPr="00301B3A" w:rsidRDefault="0036297A" w:rsidP="008D1891">
            <w:pPr>
              <w:keepNext/>
              <w:keepLines/>
              <w:rPr>
                <w:rFonts w:cs="Arial"/>
                <w:sz w:val="16"/>
                <w:szCs w:val="16"/>
              </w:rPr>
            </w:pPr>
          </w:p>
        </w:tc>
        <w:tc>
          <w:tcPr>
            <w:tcW w:w="672" w:type="pct"/>
            <w:shd w:val="clear" w:color="auto" w:fill="auto"/>
            <w:tcMar>
              <w:top w:w="110" w:type="dxa"/>
            </w:tcMar>
          </w:tcPr>
          <w:p w:rsidR="0036297A" w:rsidRPr="00B05940" w:rsidRDefault="0036297A" w:rsidP="008D1891">
            <w:pPr>
              <w:keepNext/>
              <w:keepLines/>
              <w:rPr>
                <w:rFonts w:cs="Arial"/>
                <w:sz w:val="16"/>
                <w:szCs w:val="16"/>
              </w:rPr>
            </w:pPr>
            <w:r w:rsidRPr="00917C42">
              <w:rPr>
                <w:rFonts w:ascii="ArialMT" w:hAnsi="ArialMT" w:cs="ArialMT"/>
                <w:sz w:val="16"/>
                <w:szCs w:val="16"/>
              </w:rPr>
              <w:t>2% or less</w:t>
            </w:r>
          </w:p>
        </w:tc>
        <w:tc>
          <w:tcPr>
            <w:tcW w:w="1491" w:type="pct"/>
            <w:shd w:val="clear" w:color="auto" w:fill="FFFFFF"/>
            <w:tcMar>
              <w:top w:w="110" w:type="dxa"/>
            </w:tcMar>
          </w:tcPr>
          <w:p w:rsidR="0036297A" w:rsidRDefault="0036297A" w:rsidP="008D1891">
            <w:pPr>
              <w:keepNext/>
              <w:keepLines/>
              <w:rPr>
                <w:rFonts w:cs="Arial"/>
                <w:sz w:val="16"/>
                <w:szCs w:val="16"/>
              </w:rPr>
            </w:pPr>
            <w:r w:rsidRPr="008C677B">
              <w:rPr>
                <w:rFonts w:cs="Arial"/>
                <w:sz w:val="16"/>
                <w:szCs w:val="16"/>
              </w:rPr>
              <w:t xml:space="preserve">The total percentage of </w:t>
            </w:r>
            <w:r>
              <w:rPr>
                <w:rFonts w:cs="Arial"/>
                <w:sz w:val="16"/>
                <w:szCs w:val="16"/>
              </w:rPr>
              <w:t>safety-</w:t>
            </w:r>
            <w:r w:rsidRPr="008C677B">
              <w:rPr>
                <w:rFonts w:cs="Arial"/>
                <w:sz w:val="16"/>
                <w:szCs w:val="16"/>
              </w:rPr>
              <w:t>related incidents</w:t>
            </w:r>
            <w:r>
              <w:rPr>
                <w:rFonts w:cs="Arial"/>
                <w:sz w:val="16"/>
                <w:szCs w:val="16"/>
              </w:rPr>
              <w:t xml:space="preserve"> with injuries</w:t>
            </w:r>
            <w:r w:rsidRPr="008C677B">
              <w:rPr>
                <w:rFonts w:cs="Arial"/>
                <w:sz w:val="16"/>
                <w:szCs w:val="16"/>
              </w:rPr>
              <w:t xml:space="preserve"> </w:t>
            </w:r>
            <w:r>
              <w:rPr>
                <w:rFonts w:cs="Arial"/>
                <w:sz w:val="16"/>
                <w:szCs w:val="16"/>
              </w:rPr>
              <w:t>amounted to</w:t>
            </w:r>
            <w:r w:rsidRPr="008C677B">
              <w:rPr>
                <w:rFonts w:cs="Arial"/>
                <w:sz w:val="16"/>
                <w:szCs w:val="16"/>
              </w:rPr>
              <w:t xml:space="preserve"> </w:t>
            </w:r>
            <w:r>
              <w:rPr>
                <w:rFonts w:cs="Arial"/>
                <w:sz w:val="16"/>
                <w:szCs w:val="16"/>
              </w:rPr>
              <w:t>0.9% in 2014, with two safety-related incidents being reported.</w:t>
            </w:r>
          </w:p>
          <w:p w:rsidR="0036297A" w:rsidRPr="008C4799" w:rsidRDefault="0036297A" w:rsidP="008D1891">
            <w:pPr>
              <w:keepNext/>
              <w:keepLines/>
              <w:jc w:val="both"/>
              <w:rPr>
                <w:rFonts w:cs="Arial"/>
                <w:sz w:val="8"/>
                <w:szCs w:val="8"/>
              </w:rPr>
            </w:pPr>
          </w:p>
          <w:p w:rsidR="0036297A" w:rsidRPr="00BD13DE" w:rsidRDefault="0036297A" w:rsidP="008D1891">
            <w:pPr>
              <w:keepNext/>
              <w:keepLines/>
              <w:rPr>
                <w:rFonts w:cs="Arial"/>
                <w:sz w:val="16"/>
                <w:szCs w:val="16"/>
              </w:rPr>
            </w:pPr>
          </w:p>
        </w:tc>
        <w:tc>
          <w:tcPr>
            <w:tcW w:w="524" w:type="pct"/>
            <w:shd w:val="clear" w:color="auto" w:fill="auto"/>
            <w:tcMar>
              <w:top w:w="110" w:type="dxa"/>
            </w:tcMar>
          </w:tcPr>
          <w:p w:rsidR="0036297A" w:rsidRPr="00BD13DE" w:rsidRDefault="0036297A" w:rsidP="008D1891">
            <w:pPr>
              <w:keepNext/>
              <w:keepLines/>
              <w:rPr>
                <w:rFonts w:cs="Arial"/>
                <w:b/>
                <w:bCs/>
                <w:color w:val="00B050"/>
                <w:sz w:val="16"/>
                <w:szCs w:val="16"/>
              </w:rPr>
            </w:pPr>
            <w:r w:rsidRPr="00BD13DE">
              <w:rPr>
                <w:rFonts w:cs="Arial"/>
                <w:b/>
                <w:bCs/>
                <w:color w:val="00B050"/>
                <w:sz w:val="16"/>
                <w:szCs w:val="16"/>
              </w:rPr>
              <w:t>On track</w:t>
            </w:r>
          </w:p>
        </w:tc>
      </w:tr>
      <w:tr w:rsidR="0036297A" w:rsidRPr="0017565C" w:rsidTr="008D1891">
        <w:trPr>
          <w:cantSplit/>
        </w:trPr>
        <w:tc>
          <w:tcPr>
            <w:tcW w:w="1120" w:type="pct"/>
            <w:shd w:val="clear" w:color="auto" w:fill="auto"/>
          </w:tcPr>
          <w:p w:rsidR="0036297A" w:rsidRPr="00301B3A" w:rsidRDefault="0036297A" w:rsidP="00AC2DF1">
            <w:pPr>
              <w:rPr>
                <w:rFonts w:cs="Arial"/>
                <w:sz w:val="16"/>
                <w:szCs w:val="16"/>
              </w:rPr>
            </w:pPr>
            <w:r w:rsidRPr="00301B3A">
              <w:rPr>
                <w:rFonts w:cs="Arial"/>
                <w:sz w:val="16"/>
                <w:szCs w:val="16"/>
              </w:rPr>
              <w:t xml:space="preserve">% of timely requests for safety </w:t>
            </w:r>
            <w:r w:rsidR="00AC2DF1">
              <w:rPr>
                <w:rFonts w:cs="Arial"/>
                <w:sz w:val="16"/>
                <w:szCs w:val="16"/>
              </w:rPr>
              <w:t>&amp;</w:t>
            </w:r>
            <w:r w:rsidR="00AC2DF1" w:rsidRPr="00301B3A">
              <w:rPr>
                <w:rFonts w:cs="Arial"/>
                <w:sz w:val="16"/>
                <w:szCs w:val="16"/>
              </w:rPr>
              <w:t xml:space="preserve"> </w:t>
            </w:r>
            <w:r w:rsidRPr="00301B3A">
              <w:rPr>
                <w:rFonts w:cs="Arial"/>
                <w:sz w:val="16"/>
                <w:szCs w:val="16"/>
              </w:rPr>
              <w:t>security assistance at conferences or events held in or outside of Geneva</w:t>
            </w:r>
          </w:p>
        </w:tc>
        <w:tc>
          <w:tcPr>
            <w:tcW w:w="1193" w:type="pct"/>
            <w:shd w:val="clear" w:color="auto" w:fill="auto"/>
          </w:tcPr>
          <w:p w:rsidR="0036297A" w:rsidRPr="00C7008C" w:rsidRDefault="0036297A" w:rsidP="008D1891">
            <w:pPr>
              <w:rPr>
                <w:rFonts w:cs="Arial"/>
                <w:i/>
                <w:color w:val="002060"/>
                <w:sz w:val="16"/>
                <w:szCs w:val="16"/>
              </w:rPr>
            </w:pPr>
            <w:r>
              <w:rPr>
                <w:rFonts w:cs="Arial"/>
                <w:i/>
                <w:color w:val="002060"/>
                <w:sz w:val="16"/>
                <w:szCs w:val="16"/>
              </w:rPr>
              <w:t>Updated Baseline end 2013</w:t>
            </w:r>
            <w:r w:rsidRPr="00C7008C">
              <w:rPr>
                <w:rFonts w:cs="Arial"/>
                <w:i/>
                <w:color w:val="002060"/>
                <w:sz w:val="16"/>
                <w:szCs w:val="16"/>
              </w:rPr>
              <w:t xml:space="preserve">: </w:t>
            </w:r>
          </w:p>
          <w:p w:rsidR="0036297A" w:rsidRPr="00142728" w:rsidRDefault="0036297A" w:rsidP="008D1891">
            <w:pPr>
              <w:rPr>
                <w:rFonts w:cs="Arial"/>
                <w:color w:val="002060"/>
                <w:sz w:val="16"/>
                <w:szCs w:val="16"/>
              </w:rPr>
            </w:pPr>
            <w:r w:rsidRPr="00142728">
              <w:rPr>
                <w:rFonts w:cs="Arial"/>
                <w:color w:val="002060"/>
                <w:sz w:val="16"/>
                <w:szCs w:val="16"/>
              </w:rPr>
              <w:t>During the biennium, a total of seven audits of external conferences/meetings were completed with assistance from the respective country offices of UN DSS and complied with  all UN safety/security management system standards:</w:t>
            </w:r>
          </w:p>
          <w:p w:rsidR="0036297A" w:rsidRPr="00142728" w:rsidRDefault="0036297A" w:rsidP="008D1891">
            <w:pPr>
              <w:rPr>
                <w:rFonts w:cs="Arial"/>
                <w:color w:val="002060"/>
                <w:sz w:val="8"/>
                <w:szCs w:val="8"/>
              </w:rPr>
            </w:pPr>
          </w:p>
          <w:p w:rsidR="0036297A" w:rsidRPr="00142728" w:rsidRDefault="0036297A" w:rsidP="0036297A">
            <w:pPr>
              <w:pStyle w:val="ListParagraph"/>
              <w:numPr>
                <w:ilvl w:val="0"/>
                <w:numId w:val="61"/>
              </w:numPr>
              <w:ind w:left="460" w:hanging="284"/>
              <w:rPr>
                <w:rFonts w:cs="Arial"/>
                <w:color w:val="002060"/>
                <w:sz w:val="16"/>
                <w:szCs w:val="16"/>
              </w:rPr>
            </w:pPr>
            <w:r w:rsidRPr="00142728">
              <w:rPr>
                <w:rFonts w:cs="Arial"/>
                <w:color w:val="002060"/>
                <w:sz w:val="16"/>
                <w:szCs w:val="16"/>
              </w:rPr>
              <w:t>three (2012)</w:t>
            </w:r>
          </w:p>
          <w:p w:rsidR="0036297A" w:rsidRPr="00142728" w:rsidRDefault="0036297A" w:rsidP="0036297A">
            <w:pPr>
              <w:pStyle w:val="ListParagraph"/>
              <w:numPr>
                <w:ilvl w:val="0"/>
                <w:numId w:val="61"/>
              </w:numPr>
              <w:ind w:left="460" w:hanging="284"/>
              <w:rPr>
                <w:rFonts w:cs="Arial"/>
                <w:color w:val="002060"/>
                <w:sz w:val="16"/>
                <w:szCs w:val="16"/>
              </w:rPr>
            </w:pPr>
            <w:r w:rsidRPr="00142728">
              <w:rPr>
                <w:rFonts w:cs="Arial"/>
                <w:color w:val="002060"/>
                <w:sz w:val="16"/>
                <w:szCs w:val="16"/>
              </w:rPr>
              <w:t>four (2013)</w:t>
            </w:r>
            <w:r w:rsidRPr="00142728">
              <w:rPr>
                <w:rFonts w:cs="Arial"/>
                <w:color w:val="002060"/>
                <w:sz w:val="16"/>
                <w:szCs w:val="16"/>
              </w:rPr>
              <w:br/>
            </w:r>
          </w:p>
          <w:p w:rsidR="0036297A" w:rsidRPr="00142728" w:rsidRDefault="0036297A" w:rsidP="008D1891">
            <w:pPr>
              <w:rPr>
                <w:rFonts w:cs="Arial"/>
                <w:color w:val="002060"/>
                <w:sz w:val="16"/>
                <w:szCs w:val="16"/>
              </w:rPr>
            </w:pPr>
            <w:r w:rsidRPr="00142728">
              <w:rPr>
                <w:rFonts w:cs="Arial"/>
                <w:color w:val="002060"/>
                <w:sz w:val="16"/>
                <w:szCs w:val="16"/>
              </w:rPr>
              <w:t>In addition, audits were completed for two external events managed directly by WIPO. (100% of all requests were responded to in a timely manner).</w:t>
            </w:r>
          </w:p>
          <w:p w:rsidR="0036297A" w:rsidRPr="00142728" w:rsidRDefault="0036297A" w:rsidP="008D1891">
            <w:pPr>
              <w:rPr>
                <w:rFonts w:cs="Arial"/>
                <w:color w:val="002060"/>
                <w:sz w:val="16"/>
                <w:szCs w:val="16"/>
              </w:rPr>
            </w:pPr>
          </w:p>
          <w:p w:rsidR="0036297A" w:rsidRPr="00142728" w:rsidRDefault="0036297A" w:rsidP="008D1891">
            <w:pPr>
              <w:rPr>
                <w:rFonts w:cs="Arial"/>
                <w:color w:val="002060"/>
                <w:sz w:val="16"/>
                <w:szCs w:val="16"/>
              </w:rPr>
            </w:pPr>
            <w:r w:rsidRPr="00142728">
              <w:rPr>
                <w:rFonts w:cs="Arial"/>
                <w:color w:val="002060"/>
                <w:sz w:val="16"/>
                <w:szCs w:val="16"/>
              </w:rPr>
              <w:t>In 2012, there were two audits undertaken of External Office premises (Singapore and Tokyo)</w:t>
            </w:r>
            <w:proofErr w:type="gramStart"/>
            <w:r w:rsidRPr="00142728">
              <w:rPr>
                <w:rFonts w:cs="Arial"/>
                <w:color w:val="002060"/>
                <w:sz w:val="16"/>
                <w:szCs w:val="16"/>
              </w:rPr>
              <w:t>..</w:t>
            </w:r>
            <w:proofErr w:type="gramEnd"/>
          </w:p>
          <w:p w:rsidR="0036297A" w:rsidRPr="00C7008C" w:rsidRDefault="0036297A" w:rsidP="008D1891">
            <w:pPr>
              <w:rPr>
                <w:rFonts w:cs="Arial"/>
                <w:i/>
                <w:color w:val="002060"/>
                <w:sz w:val="8"/>
                <w:szCs w:val="8"/>
              </w:rPr>
            </w:pPr>
          </w:p>
          <w:p w:rsidR="0036297A" w:rsidRDefault="0036297A" w:rsidP="008D1891">
            <w:pPr>
              <w:rPr>
                <w:rFonts w:cs="Arial"/>
                <w:sz w:val="16"/>
                <w:szCs w:val="16"/>
              </w:rPr>
            </w:pPr>
            <w:r w:rsidRPr="00C7008C">
              <w:rPr>
                <w:rFonts w:cs="Arial"/>
                <w:i/>
                <w:sz w:val="16"/>
                <w:szCs w:val="16"/>
              </w:rPr>
              <w:t>Original Baseline P&amp;B 201</w:t>
            </w:r>
            <w:r>
              <w:rPr>
                <w:rFonts w:cs="Arial"/>
                <w:i/>
                <w:sz w:val="16"/>
                <w:szCs w:val="16"/>
              </w:rPr>
              <w:t>4</w:t>
            </w:r>
            <w:r w:rsidRPr="00C7008C">
              <w:rPr>
                <w:rFonts w:cs="Arial"/>
                <w:i/>
                <w:sz w:val="16"/>
                <w:szCs w:val="16"/>
              </w:rPr>
              <w:t>/1</w:t>
            </w:r>
            <w:r>
              <w:rPr>
                <w:rFonts w:cs="Arial"/>
                <w:i/>
                <w:sz w:val="16"/>
                <w:szCs w:val="16"/>
              </w:rPr>
              <w:t>5</w:t>
            </w:r>
            <w:r w:rsidRPr="00C7008C">
              <w:rPr>
                <w:rFonts w:cs="Arial"/>
                <w:i/>
                <w:sz w:val="16"/>
                <w:szCs w:val="16"/>
              </w:rPr>
              <w:t>:</w:t>
            </w:r>
            <w:r w:rsidRPr="00C7008C">
              <w:rPr>
                <w:rFonts w:cs="Arial"/>
                <w:sz w:val="16"/>
                <w:szCs w:val="16"/>
              </w:rPr>
              <w:br/>
            </w:r>
            <w:r w:rsidRPr="00917C42">
              <w:rPr>
                <w:rFonts w:cs="Arial"/>
                <w:sz w:val="16"/>
                <w:szCs w:val="16"/>
              </w:rPr>
              <w:t>65</w:t>
            </w:r>
            <w:r w:rsidR="00AC2DF1">
              <w:rPr>
                <w:rFonts w:cs="Arial"/>
                <w:sz w:val="16"/>
                <w:szCs w:val="16"/>
              </w:rPr>
              <w:t xml:space="preserve"> </w:t>
            </w:r>
            <w:r w:rsidRPr="00917C42">
              <w:rPr>
                <w:rFonts w:cs="Arial"/>
                <w:sz w:val="16"/>
                <w:szCs w:val="16"/>
              </w:rPr>
              <w:t>% or more of total stakeholders</w:t>
            </w:r>
            <w:r w:rsidR="00AC2DF1">
              <w:rPr>
                <w:rFonts w:cs="Arial"/>
                <w:sz w:val="16"/>
                <w:szCs w:val="16"/>
              </w:rPr>
              <w:t xml:space="preserve"> </w:t>
            </w:r>
            <w:r w:rsidRPr="00917C42">
              <w:rPr>
                <w:rFonts w:cs="Arial"/>
                <w:sz w:val="16"/>
                <w:szCs w:val="16"/>
              </w:rPr>
              <w:t>/</w:t>
            </w:r>
            <w:r w:rsidR="00AC2DF1">
              <w:rPr>
                <w:rFonts w:cs="Arial"/>
                <w:sz w:val="16"/>
                <w:szCs w:val="16"/>
              </w:rPr>
              <w:t xml:space="preserve"> </w:t>
            </w:r>
            <w:r w:rsidRPr="00917C42">
              <w:rPr>
                <w:rFonts w:cs="Arial"/>
                <w:sz w:val="16"/>
                <w:szCs w:val="16"/>
              </w:rPr>
              <w:t xml:space="preserve">clients requesting timely  for safety </w:t>
            </w:r>
            <w:r w:rsidR="00AC2DF1">
              <w:rPr>
                <w:rFonts w:cs="Arial"/>
                <w:sz w:val="16"/>
                <w:szCs w:val="16"/>
              </w:rPr>
              <w:t>&amp;</w:t>
            </w:r>
            <w:r w:rsidR="00AC2DF1" w:rsidRPr="00917C42">
              <w:rPr>
                <w:rFonts w:cs="Arial"/>
                <w:sz w:val="16"/>
                <w:szCs w:val="16"/>
              </w:rPr>
              <w:t xml:space="preserve"> </w:t>
            </w:r>
            <w:r w:rsidRPr="00917C42">
              <w:rPr>
                <w:rFonts w:cs="Arial"/>
                <w:sz w:val="16"/>
                <w:szCs w:val="16"/>
              </w:rPr>
              <w:t>security assistance at conferences or events held in or outside of Geneva</w:t>
            </w:r>
          </w:p>
          <w:p w:rsidR="0036297A" w:rsidRPr="00301B3A" w:rsidRDefault="0036297A" w:rsidP="008D1891">
            <w:pPr>
              <w:rPr>
                <w:rFonts w:cs="Arial"/>
                <w:sz w:val="16"/>
                <w:szCs w:val="16"/>
              </w:rPr>
            </w:pPr>
          </w:p>
        </w:tc>
        <w:tc>
          <w:tcPr>
            <w:tcW w:w="672" w:type="pct"/>
            <w:shd w:val="clear" w:color="auto" w:fill="auto"/>
            <w:tcMar>
              <w:top w:w="110" w:type="dxa"/>
            </w:tcMar>
          </w:tcPr>
          <w:p w:rsidR="0036297A" w:rsidRPr="00B05940" w:rsidRDefault="0036297A" w:rsidP="008D1891">
            <w:pPr>
              <w:rPr>
                <w:rFonts w:cs="Arial"/>
                <w:sz w:val="16"/>
                <w:szCs w:val="16"/>
              </w:rPr>
            </w:pPr>
            <w:r w:rsidRPr="00B05940">
              <w:rPr>
                <w:rFonts w:ascii="ArialMT" w:hAnsi="ArialMT" w:cs="ArialMT"/>
                <w:sz w:val="16"/>
                <w:szCs w:val="16"/>
              </w:rPr>
              <w:t>80%</w:t>
            </w:r>
            <w:r>
              <w:rPr>
                <w:rFonts w:ascii="ArialMT" w:hAnsi="ArialMT" w:cs="ArialMT"/>
                <w:sz w:val="16"/>
                <w:szCs w:val="16"/>
              </w:rPr>
              <w:t xml:space="preserve"> or more</w:t>
            </w:r>
          </w:p>
        </w:tc>
        <w:tc>
          <w:tcPr>
            <w:tcW w:w="1491" w:type="pct"/>
            <w:shd w:val="clear" w:color="auto" w:fill="FFFFFF"/>
            <w:tcMar>
              <w:top w:w="110" w:type="dxa"/>
            </w:tcMar>
          </w:tcPr>
          <w:p w:rsidR="0036297A" w:rsidRDefault="0036297A" w:rsidP="008D1891">
            <w:pPr>
              <w:rPr>
                <w:rFonts w:cs="Arial"/>
                <w:sz w:val="16"/>
                <w:szCs w:val="16"/>
                <w:lang w:bidi="th-TH"/>
              </w:rPr>
            </w:pPr>
            <w:r w:rsidRPr="00BD13DE">
              <w:rPr>
                <w:rFonts w:cs="Arial"/>
                <w:sz w:val="16"/>
                <w:szCs w:val="16"/>
                <w:lang w:bidi="th-TH"/>
              </w:rPr>
              <w:t>In 2014, all requests</w:t>
            </w:r>
            <w:r>
              <w:rPr>
                <w:rFonts w:cs="Arial"/>
                <w:sz w:val="16"/>
                <w:szCs w:val="16"/>
                <w:lang w:bidi="th-TH"/>
              </w:rPr>
              <w:t xml:space="preserve"> (100%) </w:t>
            </w:r>
            <w:r w:rsidRPr="00BD13DE">
              <w:rPr>
                <w:rFonts w:cs="Arial"/>
                <w:sz w:val="16"/>
                <w:szCs w:val="16"/>
                <w:lang w:bidi="th-TH"/>
              </w:rPr>
              <w:t xml:space="preserve">for </w:t>
            </w:r>
            <w:r w:rsidRPr="00301B3A">
              <w:rPr>
                <w:rFonts w:cs="Arial"/>
                <w:sz w:val="16"/>
                <w:szCs w:val="16"/>
              </w:rPr>
              <w:t xml:space="preserve">safety and security </w:t>
            </w:r>
            <w:r w:rsidRPr="00BD13DE">
              <w:rPr>
                <w:rFonts w:cs="Arial"/>
                <w:sz w:val="16"/>
                <w:szCs w:val="16"/>
                <w:lang w:bidi="th-TH"/>
              </w:rPr>
              <w:t xml:space="preserve">assistance </w:t>
            </w:r>
            <w:r>
              <w:rPr>
                <w:rFonts w:cs="Arial"/>
                <w:sz w:val="16"/>
                <w:szCs w:val="16"/>
                <w:lang w:bidi="th-TH"/>
              </w:rPr>
              <w:t xml:space="preserve">for all internal Geneva-based meetings and social functions, as required, </w:t>
            </w:r>
            <w:r w:rsidRPr="00BD13DE">
              <w:rPr>
                <w:rFonts w:cs="Arial"/>
                <w:sz w:val="16"/>
                <w:szCs w:val="16"/>
                <w:lang w:bidi="th-TH"/>
              </w:rPr>
              <w:t>were met</w:t>
            </w:r>
            <w:r>
              <w:rPr>
                <w:rFonts w:cs="Arial"/>
                <w:sz w:val="16"/>
                <w:szCs w:val="16"/>
                <w:lang w:bidi="th-TH"/>
              </w:rPr>
              <w:t>.</w:t>
            </w:r>
          </w:p>
          <w:p w:rsidR="0036297A" w:rsidRPr="00E024CC" w:rsidRDefault="0036297A" w:rsidP="008D1891">
            <w:pPr>
              <w:rPr>
                <w:rFonts w:cs="Arial"/>
                <w:sz w:val="16"/>
                <w:szCs w:val="16"/>
                <w:lang w:bidi="th-TH"/>
              </w:rPr>
            </w:pPr>
          </w:p>
          <w:p w:rsidR="0036297A" w:rsidRPr="00022AC8" w:rsidRDefault="0036297A" w:rsidP="008D1891">
            <w:pPr>
              <w:rPr>
                <w:rFonts w:cs="Arial"/>
                <w:color w:val="002060"/>
                <w:sz w:val="16"/>
                <w:szCs w:val="16"/>
              </w:rPr>
            </w:pPr>
            <w:r w:rsidRPr="00022AC8">
              <w:rPr>
                <w:rFonts w:cs="Arial"/>
                <w:color w:val="002060"/>
                <w:sz w:val="16"/>
                <w:szCs w:val="16"/>
              </w:rPr>
              <w:t xml:space="preserve">In </w:t>
            </w:r>
            <w:r>
              <w:rPr>
                <w:rFonts w:cs="Arial"/>
                <w:color w:val="002060"/>
                <w:sz w:val="16"/>
                <w:szCs w:val="16"/>
              </w:rPr>
              <w:t>November 2014</w:t>
            </w:r>
            <w:r w:rsidRPr="00022AC8">
              <w:rPr>
                <w:rFonts w:cs="Arial"/>
                <w:color w:val="002060"/>
                <w:sz w:val="16"/>
                <w:szCs w:val="16"/>
              </w:rPr>
              <w:t xml:space="preserve">, </w:t>
            </w:r>
            <w:r>
              <w:rPr>
                <w:rFonts w:cs="Arial"/>
                <w:color w:val="002060"/>
                <w:sz w:val="16"/>
                <w:szCs w:val="16"/>
              </w:rPr>
              <w:t xml:space="preserve">two </w:t>
            </w:r>
            <w:r w:rsidRPr="002911F7">
              <w:rPr>
                <w:rFonts w:cs="Arial"/>
                <w:color w:val="002060"/>
                <w:sz w:val="16"/>
                <w:szCs w:val="16"/>
              </w:rPr>
              <w:t xml:space="preserve">safety and security assessment audits of the Rio de Janeiro and New York Offices </w:t>
            </w:r>
            <w:r>
              <w:rPr>
                <w:rFonts w:cs="Arial"/>
                <w:color w:val="002060"/>
                <w:sz w:val="16"/>
                <w:szCs w:val="16"/>
              </w:rPr>
              <w:t>were undertaken</w:t>
            </w:r>
            <w:r w:rsidRPr="00022AC8">
              <w:rPr>
                <w:rFonts w:cs="Arial"/>
                <w:color w:val="002060"/>
                <w:sz w:val="16"/>
                <w:szCs w:val="16"/>
              </w:rPr>
              <w:t>.</w:t>
            </w:r>
          </w:p>
          <w:p w:rsidR="0036297A" w:rsidRDefault="0036297A" w:rsidP="008D1891">
            <w:pPr>
              <w:rPr>
                <w:rFonts w:cs="Arial"/>
                <w:sz w:val="16"/>
                <w:szCs w:val="16"/>
                <w:lang w:bidi="th-TH"/>
              </w:rPr>
            </w:pPr>
          </w:p>
        </w:tc>
        <w:tc>
          <w:tcPr>
            <w:tcW w:w="524" w:type="pct"/>
            <w:shd w:val="clear" w:color="auto" w:fill="auto"/>
          </w:tcPr>
          <w:p w:rsidR="0036297A" w:rsidRPr="00BD13DE" w:rsidRDefault="0036297A" w:rsidP="008D1891">
            <w:pPr>
              <w:keepNext/>
              <w:keepLines/>
              <w:rPr>
                <w:rFonts w:cs="Arial"/>
                <w:b/>
                <w:bCs/>
                <w:color w:val="00B050"/>
                <w:sz w:val="16"/>
                <w:szCs w:val="16"/>
              </w:rPr>
            </w:pPr>
            <w:r w:rsidRPr="00BD13DE">
              <w:rPr>
                <w:rFonts w:cs="Arial"/>
                <w:b/>
                <w:bCs/>
                <w:color w:val="00B050"/>
                <w:sz w:val="16"/>
                <w:szCs w:val="16"/>
              </w:rPr>
              <w:t>On track</w:t>
            </w:r>
          </w:p>
          <w:p w:rsidR="0036297A" w:rsidRPr="00BD13DE" w:rsidRDefault="0036297A" w:rsidP="008D1891">
            <w:pPr>
              <w:keepNext/>
              <w:keepLines/>
              <w:jc w:val="center"/>
              <w:rPr>
                <w:b/>
                <w:bCs/>
                <w:color w:val="00B050"/>
              </w:rPr>
            </w:pPr>
          </w:p>
          <w:p w:rsidR="0036297A" w:rsidRPr="00BD13DE" w:rsidRDefault="0036297A" w:rsidP="008D1891">
            <w:pPr>
              <w:keepNext/>
              <w:keepLines/>
              <w:jc w:val="center"/>
              <w:rPr>
                <w:b/>
                <w:bCs/>
                <w:color w:val="00B050"/>
              </w:rPr>
            </w:pPr>
          </w:p>
          <w:p w:rsidR="0036297A" w:rsidRPr="00BD13DE" w:rsidRDefault="0036297A" w:rsidP="008D1891">
            <w:pPr>
              <w:keepNext/>
              <w:keepLines/>
              <w:jc w:val="center"/>
              <w:rPr>
                <w:b/>
                <w:bCs/>
                <w:color w:val="00B050"/>
              </w:rPr>
            </w:pPr>
          </w:p>
          <w:p w:rsidR="0036297A" w:rsidRPr="00BD13DE" w:rsidRDefault="0036297A" w:rsidP="008D1891">
            <w:pPr>
              <w:keepNext/>
              <w:keepLines/>
              <w:jc w:val="center"/>
              <w:rPr>
                <w:b/>
                <w:bCs/>
                <w:color w:val="00B050"/>
              </w:rPr>
            </w:pPr>
          </w:p>
          <w:p w:rsidR="0036297A" w:rsidRPr="00BD13DE" w:rsidRDefault="0036297A" w:rsidP="008D1891">
            <w:pPr>
              <w:keepNext/>
              <w:keepLines/>
              <w:jc w:val="center"/>
              <w:rPr>
                <w:b/>
                <w:bCs/>
                <w:color w:val="00B050"/>
              </w:rPr>
            </w:pPr>
          </w:p>
          <w:p w:rsidR="0036297A" w:rsidRPr="00BD13DE" w:rsidRDefault="0036297A" w:rsidP="008D1891">
            <w:pPr>
              <w:keepNext/>
              <w:keepLines/>
              <w:jc w:val="center"/>
              <w:rPr>
                <w:b/>
                <w:bCs/>
                <w:color w:val="00B050"/>
              </w:rPr>
            </w:pPr>
          </w:p>
          <w:p w:rsidR="0036297A" w:rsidRPr="00BD13DE" w:rsidRDefault="0036297A" w:rsidP="008D1891">
            <w:pPr>
              <w:keepNext/>
              <w:keepLines/>
              <w:jc w:val="center"/>
              <w:rPr>
                <w:b/>
                <w:bCs/>
                <w:color w:val="00B050"/>
              </w:rPr>
            </w:pPr>
          </w:p>
          <w:p w:rsidR="0036297A" w:rsidRPr="00BD13DE" w:rsidRDefault="0036297A" w:rsidP="008D1891">
            <w:pPr>
              <w:keepNext/>
              <w:keepLines/>
              <w:jc w:val="center"/>
              <w:rPr>
                <w:rFonts w:cs="Arial"/>
                <w:b/>
                <w:bCs/>
                <w:color w:val="00B050"/>
                <w:sz w:val="16"/>
                <w:szCs w:val="16"/>
              </w:rPr>
            </w:pPr>
          </w:p>
        </w:tc>
      </w:tr>
    </w:tbl>
    <w:p w:rsidR="0036297A" w:rsidRDefault="0036297A" w:rsidP="008D1891">
      <w:pPr>
        <w:rPr>
          <w:rFonts w:cs="Arial"/>
          <w:color w:val="000000"/>
          <w:sz w:val="22"/>
          <w:szCs w:val="22"/>
        </w:rPr>
      </w:pPr>
    </w:p>
    <w:p w:rsidR="0036297A" w:rsidRDefault="0036297A" w:rsidP="008D1891">
      <w:pPr>
        <w:rPr>
          <w:rFonts w:cs="Arial"/>
          <w:color w:val="000000"/>
          <w:sz w:val="22"/>
          <w:szCs w:val="22"/>
        </w:rPr>
      </w:pPr>
    </w:p>
    <w:p w:rsidR="0036297A" w:rsidRPr="002B69CD" w:rsidRDefault="0036297A" w:rsidP="008D1891">
      <w:pPr>
        <w:keepNext/>
        <w:keepLines/>
        <w:rPr>
          <w:rFonts w:cs="Arial"/>
          <w:color w:val="000000"/>
          <w:sz w:val="22"/>
          <w:szCs w:val="22"/>
        </w:rPr>
      </w:pPr>
      <w:r>
        <w:rPr>
          <w:rFonts w:cs="Arial"/>
          <w:color w:val="000000"/>
          <w:sz w:val="22"/>
          <w:szCs w:val="22"/>
        </w:rPr>
        <w:t>RESOURCE UTILIZATION</w:t>
      </w:r>
      <w:r>
        <w:rPr>
          <w:rFonts w:cs="Arial"/>
          <w:color w:val="000000"/>
          <w:sz w:val="22"/>
          <w:szCs w:val="22"/>
        </w:rPr>
        <w:tab/>
      </w:r>
    </w:p>
    <w:p w:rsidR="0036297A" w:rsidRPr="008F4A6D" w:rsidRDefault="0036297A" w:rsidP="008D1891">
      <w:pPr>
        <w:keepNext/>
        <w:keepLines/>
        <w:rPr>
          <w:szCs w:val="20"/>
        </w:rPr>
      </w:pPr>
    </w:p>
    <w:p w:rsidR="0036297A" w:rsidRPr="00383D2D" w:rsidRDefault="0036297A" w:rsidP="008D1891">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(by result) </w:t>
      </w:r>
    </w:p>
    <w:p w:rsidR="0036297A" w:rsidRDefault="0036297A" w:rsidP="008D1891">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36297A" w:rsidRPr="00383D2D" w:rsidRDefault="0036297A" w:rsidP="008D1891">
      <w:pPr>
        <w:pStyle w:val="NormalWeb"/>
        <w:keepNext/>
        <w:keepLines/>
        <w:spacing w:before="0" w:beforeAutospacing="0" w:after="0" w:afterAutospacing="0"/>
        <w:jc w:val="center"/>
        <w:rPr>
          <w:sz w:val="20"/>
          <w:szCs w:val="20"/>
        </w:rPr>
      </w:pPr>
    </w:p>
    <w:p w:rsidR="0036297A" w:rsidRDefault="0036297A" w:rsidP="008D1891">
      <w:pPr>
        <w:keepNext/>
        <w:keepLines/>
        <w:jc w:val="center"/>
      </w:pPr>
      <w:r w:rsidRPr="00950217">
        <w:rPr>
          <w:noProof/>
        </w:rPr>
        <w:drawing>
          <wp:inline distT="0" distB="0" distL="0" distR="0" wp14:anchorId="13C41584" wp14:editId="647A2F9C">
            <wp:extent cx="5280660" cy="1124176"/>
            <wp:effectExtent l="0" t="0" r="0" b="0"/>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283393" cy="1124758"/>
                    </a:xfrm>
                    <a:prstGeom prst="rect">
                      <a:avLst/>
                    </a:prstGeom>
                    <a:noFill/>
                    <a:ln>
                      <a:noFill/>
                    </a:ln>
                  </pic:spPr>
                </pic:pic>
              </a:graphicData>
            </a:graphic>
          </wp:inline>
        </w:drawing>
      </w:r>
    </w:p>
    <w:p w:rsidR="0036297A" w:rsidRDefault="0036297A" w:rsidP="008D1891"/>
    <w:p w:rsidR="0036297A" w:rsidRPr="00383D2D" w:rsidRDefault="0036297A" w:rsidP="008D1891">
      <w:pPr>
        <w:pStyle w:val="NormalWeb"/>
        <w:keepNext/>
        <w:keepLines/>
        <w:spacing w:before="0" w:beforeAutospacing="0" w:after="0" w:afterAutospacing="0"/>
        <w:jc w:val="center"/>
        <w:rPr>
          <w:sz w:val="20"/>
          <w:szCs w:val="20"/>
        </w:rPr>
      </w:pPr>
      <w:r w:rsidRPr="00383D2D">
        <w:rPr>
          <w:color w:val="000000"/>
          <w:sz w:val="20"/>
          <w:szCs w:val="20"/>
        </w:rPr>
        <w:lastRenderedPageBreak/>
        <w:t xml:space="preserve">Budget and Actual Expenditure (personnel and non-personnel) </w:t>
      </w:r>
    </w:p>
    <w:p w:rsidR="0036297A" w:rsidRPr="00383D2D" w:rsidRDefault="0036297A" w:rsidP="008D1891">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36297A" w:rsidRDefault="0036297A" w:rsidP="008D1891">
      <w:pPr>
        <w:pStyle w:val="NormalWeb"/>
        <w:keepNext/>
        <w:keepLines/>
        <w:spacing w:before="0" w:beforeAutospacing="0" w:after="0" w:afterAutospacing="0"/>
        <w:jc w:val="center"/>
      </w:pPr>
    </w:p>
    <w:p w:rsidR="0036297A" w:rsidRPr="00383D2D" w:rsidRDefault="0036297A" w:rsidP="008D1891">
      <w:pPr>
        <w:jc w:val="center"/>
        <w:rPr>
          <w:szCs w:val="20"/>
        </w:rPr>
      </w:pPr>
      <w:r w:rsidRPr="00950217">
        <w:rPr>
          <w:noProof/>
        </w:rPr>
        <w:drawing>
          <wp:inline distT="0" distB="0" distL="0" distR="0" wp14:anchorId="3E815887" wp14:editId="032DF941">
            <wp:extent cx="5509260" cy="1160734"/>
            <wp:effectExtent l="0" t="0" r="0" b="1905"/>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517614" cy="1162494"/>
                    </a:xfrm>
                    <a:prstGeom prst="rect">
                      <a:avLst/>
                    </a:prstGeom>
                    <a:noFill/>
                    <a:ln>
                      <a:noFill/>
                    </a:ln>
                  </pic:spPr>
                </pic:pic>
              </a:graphicData>
            </a:graphic>
          </wp:inline>
        </w:drawing>
      </w:r>
    </w:p>
    <w:p w:rsidR="0036297A" w:rsidRPr="004312A2" w:rsidRDefault="0036297A" w:rsidP="008D1891">
      <w:pPr>
        <w:keepNext/>
        <w:autoSpaceDE w:val="0"/>
        <w:autoSpaceDN w:val="0"/>
        <w:rPr>
          <w:sz w:val="16"/>
          <w:szCs w:val="16"/>
        </w:rPr>
      </w:pPr>
      <w:r w:rsidRPr="00142728">
        <w:rPr>
          <w:i/>
          <w:sz w:val="16"/>
          <w:szCs w:val="16"/>
        </w:rPr>
        <w:t>NOTE: The 2014/15 Budget after Transfers reflects transfers as of March 31, 2015 to address needs during the 2014/15 biennium in line with Financial Regulation 5.5.</w:t>
      </w:r>
    </w:p>
    <w:p w:rsidR="0036297A" w:rsidRPr="008F4A6D" w:rsidRDefault="0036297A" w:rsidP="008D1891">
      <w:pPr>
        <w:widowControl w:val="0"/>
        <w:autoSpaceDE w:val="0"/>
        <w:autoSpaceDN w:val="0"/>
        <w:adjustRightInd w:val="0"/>
        <w:rPr>
          <w:rFonts w:cs="Arial"/>
          <w:szCs w:val="20"/>
        </w:rPr>
      </w:pPr>
    </w:p>
    <w:p w:rsidR="0036297A" w:rsidRPr="001C6F4D" w:rsidRDefault="0036297A" w:rsidP="008D1891">
      <w:pPr>
        <w:widowControl w:val="0"/>
        <w:autoSpaceDE w:val="0"/>
        <w:autoSpaceDN w:val="0"/>
        <w:adjustRightInd w:val="0"/>
        <w:rPr>
          <w:rFonts w:cs="Arial"/>
          <w:szCs w:val="20"/>
        </w:rPr>
      </w:pPr>
    </w:p>
    <w:p w:rsidR="0036297A" w:rsidRDefault="0036297A" w:rsidP="008D1891">
      <w:pPr>
        <w:rPr>
          <w:rFonts w:cs="Arial"/>
          <w:u w:val="single"/>
        </w:rPr>
      </w:pPr>
      <w:r w:rsidRPr="00420F90">
        <w:rPr>
          <w:rFonts w:cs="Arial"/>
          <w:szCs w:val="20"/>
        </w:rPr>
        <w:t>A.</w:t>
      </w:r>
      <w:r w:rsidRPr="00420F90">
        <w:rPr>
          <w:rFonts w:cs="Arial"/>
        </w:rPr>
        <w:tab/>
      </w:r>
      <w:r w:rsidRPr="00420F90">
        <w:rPr>
          <w:rFonts w:cs="Arial"/>
          <w:u w:val="single"/>
        </w:rPr>
        <w:t>Budget after Transfers 201</w:t>
      </w:r>
      <w:r>
        <w:rPr>
          <w:rFonts w:cs="Arial"/>
          <w:u w:val="single"/>
        </w:rPr>
        <w:t>4/15</w:t>
      </w:r>
    </w:p>
    <w:p w:rsidR="0036297A" w:rsidRPr="00420F90" w:rsidRDefault="0036297A" w:rsidP="008D1891">
      <w:pPr>
        <w:rPr>
          <w:rFonts w:cs="Arial"/>
          <w:u w:val="single"/>
        </w:rPr>
      </w:pPr>
    </w:p>
    <w:p w:rsidR="0036297A" w:rsidRDefault="0036297A" w:rsidP="0036297A">
      <w:pPr>
        <w:pStyle w:val="ListParagraph"/>
        <w:numPr>
          <w:ilvl w:val="0"/>
          <w:numId w:val="62"/>
        </w:numPr>
        <w:tabs>
          <w:tab w:val="left" w:pos="709"/>
        </w:tabs>
        <w:ind w:left="0" w:firstLine="0"/>
        <w:jc w:val="both"/>
      </w:pPr>
      <w:r>
        <w:t>The slight increase in the 2014/15 Budget after Transfers is the net result of, on the one hand, implementation of cost efficiency measures in 2014/15 (non-personnel resources) and, on the other hand, an increase in personnel resources to enhance safety and security at WIPO, in particular in relation to the maintenance of safety-related systems and equipment and the enhancement of UN-HMOSS standards.</w:t>
      </w:r>
    </w:p>
    <w:p w:rsidR="0036297A" w:rsidRDefault="0036297A" w:rsidP="008D1891">
      <w:pPr>
        <w:autoSpaceDE w:val="0"/>
        <w:autoSpaceDN w:val="0"/>
        <w:jc w:val="both"/>
        <w:rPr>
          <w:rFonts w:cs="Arial"/>
          <w:szCs w:val="20"/>
          <w:lang w:eastAsia="ko-KR"/>
        </w:rPr>
      </w:pPr>
    </w:p>
    <w:p w:rsidR="0036297A" w:rsidRDefault="0036297A" w:rsidP="008D1891">
      <w:pPr>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Budget utilization 2014</w:t>
      </w:r>
    </w:p>
    <w:p w:rsidR="0036297A" w:rsidRDefault="0036297A" w:rsidP="008D1891">
      <w:pPr>
        <w:tabs>
          <w:tab w:val="left" w:pos="709"/>
        </w:tabs>
        <w:jc w:val="both"/>
        <w:rPr>
          <w:rFonts w:cs="Arial"/>
          <w:szCs w:val="20"/>
          <w:u w:val="single"/>
          <w:lang w:eastAsia="ko-KR"/>
        </w:rPr>
      </w:pPr>
    </w:p>
    <w:p w:rsidR="0036297A" w:rsidRPr="002651C8" w:rsidRDefault="0036297A" w:rsidP="0036297A">
      <w:pPr>
        <w:pStyle w:val="ListParagraph"/>
        <w:numPr>
          <w:ilvl w:val="0"/>
          <w:numId w:val="62"/>
        </w:numPr>
        <w:tabs>
          <w:tab w:val="left" w:pos="709"/>
        </w:tabs>
        <w:ind w:left="0" w:firstLine="0"/>
        <w:jc w:val="both"/>
        <w:rPr>
          <w:rFonts w:ascii="Calibri" w:hAnsi="Calibri"/>
          <w:sz w:val="22"/>
          <w:szCs w:val="22"/>
        </w:rPr>
      </w:pPr>
      <w:r>
        <w:rPr>
          <w:rFonts w:cs="Arial"/>
          <w:lang w:eastAsia="ko-KR"/>
        </w:rPr>
        <w:t xml:space="preserve">Budget utilization is within the expected range of 40-60 per cent for the first year of the biennium and is on track. </w:t>
      </w:r>
    </w:p>
    <w:p w:rsidR="0036297A" w:rsidRDefault="0036297A" w:rsidP="008D1891">
      <w:pPr>
        <w:autoSpaceDE w:val="0"/>
        <w:autoSpaceDN w:val="0"/>
        <w:jc w:val="both"/>
      </w:pPr>
    </w:p>
    <w:p w:rsidR="007505A5" w:rsidRDefault="007505A5">
      <w:r>
        <w:br w:type="page"/>
      </w:r>
    </w:p>
    <w:p w:rsidR="007505A5" w:rsidRPr="001243AF" w:rsidRDefault="007505A5" w:rsidP="00127901">
      <w:pPr>
        <w:pStyle w:val="Heading2"/>
        <w:tabs>
          <w:tab w:val="clear" w:pos="567"/>
          <w:tab w:val="left" w:pos="1985"/>
        </w:tabs>
        <w:ind w:left="1985" w:hanging="1985"/>
      </w:pPr>
      <w:bookmarkStart w:id="100" w:name="_Toc422210518"/>
      <w:r w:rsidRPr="001243AF">
        <w:lastRenderedPageBreak/>
        <w:t xml:space="preserve">PROGRAM </w:t>
      </w:r>
      <w:r w:rsidR="00127901">
        <w:t>29</w:t>
      </w:r>
      <w:r w:rsidR="00127901">
        <w:tab/>
      </w:r>
      <w:r>
        <w:t>CONSTRUCTIONS PROJECTS</w:t>
      </w:r>
      <w:bookmarkEnd w:id="100"/>
    </w:p>
    <w:p w:rsidR="007505A5" w:rsidRPr="00383D2D" w:rsidRDefault="007505A5" w:rsidP="008D1891">
      <w:pPr>
        <w:tabs>
          <w:tab w:val="left" w:pos="1985"/>
        </w:tabs>
        <w:rPr>
          <w:szCs w:val="20"/>
        </w:rPr>
      </w:pPr>
    </w:p>
    <w:p w:rsidR="007505A5" w:rsidRPr="006A3E06" w:rsidRDefault="007505A5" w:rsidP="008D1891">
      <w:pPr>
        <w:tabs>
          <w:tab w:val="left" w:pos="1985"/>
        </w:tabs>
        <w:rPr>
          <w:b/>
          <w:szCs w:val="22"/>
        </w:rPr>
      </w:pPr>
      <w:r w:rsidRPr="006A3E06">
        <w:rPr>
          <w:b/>
          <w:szCs w:val="22"/>
        </w:rPr>
        <w:t>Program Manager</w:t>
      </w:r>
      <w:r w:rsidRPr="006A3E06">
        <w:rPr>
          <w:b/>
          <w:szCs w:val="22"/>
        </w:rPr>
        <w:tab/>
        <w:t>Mr. A. Sundaram</w:t>
      </w:r>
    </w:p>
    <w:p w:rsidR="007505A5" w:rsidRDefault="007505A5" w:rsidP="000E148D">
      <w:pPr>
        <w:rPr>
          <w:sz w:val="18"/>
          <w:szCs w:val="20"/>
        </w:rPr>
      </w:pPr>
    </w:p>
    <w:p w:rsidR="007505A5" w:rsidRPr="006A3E06" w:rsidRDefault="007505A5" w:rsidP="000E148D">
      <w:pPr>
        <w:rPr>
          <w:sz w:val="18"/>
          <w:szCs w:val="20"/>
        </w:rPr>
      </w:pPr>
    </w:p>
    <w:p w:rsidR="007505A5" w:rsidRDefault="007505A5" w:rsidP="000E148D">
      <w:pPr>
        <w:rPr>
          <w:bCs/>
          <w:sz w:val="22"/>
          <w:szCs w:val="22"/>
        </w:rPr>
      </w:pPr>
      <w:r>
        <w:rPr>
          <w:bCs/>
          <w:sz w:val="22"/>
          <w:szCs w:val="22"/>
        </w:rPr>
        <w:t>OVERVIEW OF PROGRESS IN 2014</w:t>
      </w:r>
    </w:p>
    <w:p w:rsidR="007505A5" w:rsidRDefault="007505A5" w:rsidP="000E148D">
      <w:pPr>
        <w:rPr>
          <w:bCs/>
          <w:sz w:val="22"/>
          <w:szCs w:val="22"/>
        </w:rPr>
      </w:pPr>
    </w:p>
    <w:p w:rsidR="007505A5" w:rsidRPr="00383D2D" w:rsidRDefault="007505A5" w:rsidP="000E148D">
      <w:pPr>
        <w:rPr>
          <w:szCs w:val="20"/>
        </w:rPr>
      </w:pPr>
    </w:p>
    <w:p w:rsidR="007505A5" w:rsidRDefault="007505A5" w:rsidP="008D1891">
      <w:pPr>
        <w:jc w:val="both"/>
        <w:rPr>
          <w:rFonts w:cs="Arial"/>
          <w:szCs w:val="20"/>
        </w:rPr>
      </w:pPr>
      <w:r>
        <w:rPr>
          <w:rFonts w:cs="Arial"/>
          <w:szCs w:val="20"/>
        </w:rPr>
        <w:t xml:space="preserve">NEW CONSTRUCTION PROJECT </w:t>
      </w:r>
    </w:p>
    <w:p w:rsidR="007505A5" w:rsidRPr="00383D2D" w:rsidRDefault="007505A5" w:rsidP="00A8525E">
      <w:pPr>
        <w:jc w:val="both"/>
        <w:rPr>
          <w:rFonts w:cs="Arial"/>
          <w:szCs w:val="20"/>
        </w:rPr>
      </w:pPr>
    </w:p>
    <w:p w:rsidR="007505A5" w:rsidRPr="002D63BA" w:rsidRDefault="007505A5" w:rsidP="007505A5">
      <w:pPr>
        <w:pStyle w:val="ListParagraph"/>
        <w:numPr>
          <w:ilvl w:val="0"/>
          <w:numId w:val="63"/>
        </w:numPr>
        <w:tabs>
          <w:tab w:val="left" w:pos="709"/>
        </w:tabs>
        <w:ind w:left="0" w:firstLine="0"/>
        <w:jc w:val="both"/>
        <w:rPr>
          <w:rFonts w:cs="Arial"/>
        </w:rPr>
      </w:pPr>
      <w:r w:rsidRPr="002D63BA">
        <w:rPr>
          <w:rFonts w:cs="Arial"/>
        </w:rPr>
        <w:t>Almost all the remaining repairs, replacement and finishing works, which had started mid-2011 after the handover of the New Building by the former general contracto</w:t>
      </w:r>
      <w:r>
        <w:rPr>
          <w:rFonts w:cs="Arial"/>
        </w:rPr>
        <w:t>r, were completed by the end of </w:t>
      </w:r>
      <w:r w:rsidRPr="002D63BA">
        <w:rPr>
          <w:rFonts w:cs="Arial"/>
        </w:rPr>
        <w:t xml:space="preserve">2014.  The planning for the replacement of the ground floor windows was finalized in 2014, with implementation originally to begin in April 2015 and then postponed to June, to accommodate the holding of the Diplomatic Conference. The work is scheduled to last until the end of 2015.  The final closure of the July 2012 termination agreement with the former general contractor was amicably concluded at the end of August 2014, bringing to an end all the outstanding points on substitution works for the New Building.  It should be noted that WIPO held sufficient funds to cover the cost of these works. </w:t>
      </w:r>
    </w:p>
    <w:p w:rsidR="007505A5" w:rsidRDefault="007505A5" w:rsidP="00C3728B">
      <w:pPr>
        <w:rPr>
          <w:bCs/>
          <w:sz w:val="22"/>
          <w:szCs w:val="22"/>
        </w:rPr>
      </w:pPr>
    </w:p>
    <w:p w:rsidR="007505A5" w:rsidRDefault="007505A5" w:rsidP="008D1891">
      <w:pPr>
        <w:jc w:val="both"/>
        <w:rPr>
          <w:rFonts w:cs="Arial"/>
          <w:szCs w:val="20"/>
        </w:rPr>
      </w:pPr>
      <w:r>
        <w:rPr>
          <w:rFonts w:cs="Arial"/>
          <w:szCs w:val="20"/>
        </w:rPr>
        <w:t xml:space="preserve">NEW CONFERENCE HALL PROJECT </w:t>
      </w:r>
    </w:p>
    <w:p w:rsidR="007505A5" w:rsidRDefault="007505A5" w:rsidP="008D1891">
      <w:pPr>
        <w:jc w:val="both"/>
        <w:rPr>
          <w:rFonts w:cs="Arial"/>
          <w:szCs w:val="20"/>
        </w:rPr>
      </w:pPr>
    </w:p>
    <w:p w:rsidR="007505A5" w:rsidRDefault="007505A5" w:rsidP="007505A5">
      <w:pPr>
        <w:pStyle w:val="ListParagraph"/>
        <w:numPr>
          <w:ilvl w:val="0"/>
          <w:numId w:val="63"/>
        </w:numPr>
        <w:tabs>
          <w:tab w:val="left" w:pos="709"/>
        </w:tabs>
        <w:ind w:left="0" w:firstLine="0"/>
        <w:jc w:val="both"/>
        <w:rPr>
          <w:rFonts w:cs="Arial"/>
        </w:rPr>
      </w:pPr>
      <w:r>
        <w:rPr>
          <w:rFonts w:cs="Arial"/>
        </w:rPr>
        <w:t xml:space="preserve">As part of the final closure of the July 2012 termination agreement, which was amicably concluded at the end of August 2014, the former general contractor reimbursed to WIPO the final balance due on the Project.  It is recalled that, in August 2012, the Secretariat had taken over the direct responsibility for the Project, with reinforced mandates for the architects, engineers and project pilot, as well as modifications to the internal governance and project management structure, in order to bring added flexibility and agility, and to deal with a number of project modifications and unforeseen matters identified during project execution in a proactive and timely manner.  The Project was delivered in several stages, with various technical and system tests carried out in parallel, area by area.  The new Access Center was delivered in July 2014; the exterior landscaping between the New Building, the new WIPO Conference Hall and the AB Building was delivered at the end of August 2014; the new WIPO Conference Hall </w:t>
      </w:r>
      <w:r w:rsidRPr="00C473F9">
        <w:rPr>
          <w:rFonts w:cs="Arial"/>
        </w:rPr>
        <w:t>per se</w:t>
      </w:r>
      <w:r>
        <w:rPr>
          <w:rFonts w:cs="Arial"/>
        </w:rPr>
        <w:t xml:space="preserve"> was delivered at the end of August and was available for the holding of the PBC session from September 1 to 5, 2014; the entirety of the new and renovated construction was completed in September 2014 in the new WIPO Conference Hall and three floors of the AB Building, and made available for the session of the WIPO Assemblies from September 22 to 30, 2014, which included the inauguration of the Hall on the opening day in the presence of WIPO Member States and observers, officials from the Host Country (federal, cantonal and municipal levels), representatives from other UN Agencies, and from the 70-odd companies and firms that had contributed to the construction and completion of the Project.  A number of elements of the exterior landscaping were left pending and will be addressed in the spring 2015.  The new WIPO Conference Hall and adjacent new or renovated facilities were subsequently used on several occasions for meetings of WIPO Member States and other meetings.  The Project was completed on time for the WIPO Assemblies, even though it was delayed from April 2014 to September 2014, in view of the complexity of the worksite in particular in the last few months.  In addition, a complementary budget was sought from Member States in September 2014, </w:t>
      </w:r>
      <w:r w:rsidRPr="007505A5">
        <w:rPr>
          <w:rFonts w:cs="Arial"/>
          <w:i/>
        </w:rPr>
        <w:t>via</w:t>
      </w:r>
      <w:r>
        <w:rPr>
          <w:rFonts w:cs="Arial"/>
        </w:rPr>
        <w:t xml:space="preserve"> the PBC (documents WO/PBC/22/14 and A/54/11).  The validation of the final accounts with some companies and firms were completed by the end of 2014, while the majority of the accounts are expected to be completed during the first semester of 2015.</w:t>
      </w:r>
    </w:p>
    <w:p w:rsidR="007505A5" w:rsidRDefault="007505A5" w:rsidP="00C3728B">
      <w:pPr>
        <w:rPr>
          <w:bCs/>
          <w:sz w:val="22"/>
          <w:szCs w:val="22"/>
        </w:rPr>
      </w:pPr>
    </w:p>
    <w:p w:rsidR="007505A5" w:rsidRDefault="007505A5" w:rsidP="00C3728B">
      <w:pPr>
        <w:rPr>
          <w:bCs/>
          <w:sz w:val="22"/>
          <w:szCs w:val="22"/>
        </w:rPr>
      </w:pPr>
    </w:p>
    <w:p w:rsidR="007505A5" w:rsidRDefault="007505A5">
      <w:r>
        <w:br w:type="page"/>
      </w:r>
    </w:p>
    <w:p w:rsidR="007505A5" w:rsidRDefault="007505A5">
      <w:r w:rsidRPr="005E6AFC">
        <w:lastRenderedPageBreak/>
        <w:t>PERFORMANCE DATA</w:t>
      </w:r>
      <w:r>
        <w:t xml:space="preserve"> </w:t>
      </w:r>
    </w:p>
    <w:p w:rsidR="007505A5" w:rsidRDefault="007505A5"/>
    <w:tbl>
      <w:tblPr>
        <w:tblW w:w="5074" w:type="pct"/>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1560"/>
        <w:gridCol w:w="1560"/>
        <w:gridCol w:w="3543"/>
        <w:gridCol w:w="923"/>
      </w:tblGrid>
      <w:tr w:rsidR="007505A5" w:rsidRPr="002D63BA" w:rsidTr="008D1891">
        <w:trPr>
          <w:cantSplit/>
          <w:trHeight w:val="677"/>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7505A5" w:rsidRPr="002D63BA" w:rsidRDefault="007505A5" w:rsidP="008D1891">
            <w:pPr>
              <w:tabs>
                <w:tab w:val="left" w:pos="1452"/>
              </w:tabs>
              <w:spacing w:before="120" w:after="120"/>
              <w:ind w:left="1452" w:hanging="1452"/>
              <w:rPr>
                <w:rFonts w:cs="Arial"/>
                <w:bCs/>
                <w:sz w:val="16"/>
                <w:szCs w:val="16"/>
              </w:rPr>
            </w:pPr>
            <w:r w:rsidRPr="002D63BA">
              <w:rPr>
                <w:rFonts w:cs="Arial"/>
                <w:bCs/>
                <w:sz w:val="16"/>
                <w:szCs w:val="16"/>
              </w:rPr>
              <w:t>Expected Result:</w:t>
            </w:r>
            <w:r w:rsidRPr="002D63BA">
              <w:rPr>
                <w:rFonts w:cs="Arial"/>
                <w:bCs/>
                <w:sz w:val="16"/>
                <w:szCs w:val="16"/>
              </w:rPr>
              <w:tab/>
            </w:r>
            <w:r w:rsidRPr="002D63BA">
              <w:rPr>
                <w:rFonts w:cs="Arial"/>
                <w:sz w:val="16"/>
                <w:szCs w:val="16"/>
              </w:rPr>
              <w:t>IX.1 Effective, efficient, quality and customer-oriented support services both to internal clients and to external stakeholders</w:t>
            </w:r>
          </w:p>
        </w:tc>
      </w:tr>
      <w:tr w:rsidR="007505A5" w:rsidRPr="002D63BA" w:rsidTr="007505A5">
        <w:trPr>
          <w:cantSplit/>
        </w:trPr>
        <w:tc>
          <w:tcPr>
            <w:tcW w:w="1095" w:type="pct"/>
            <w:tcBorders>
              <w:top w:val="single" w:sz="4" w:space="0" w:color="auto"/>
              <w:left w:val="single" w:sz="4" w:space="0" w:color="auto"/>
              <w:bottom w:val="nil"/>
            </w:tcBorders>
            <w:shd w:val="clear" w:color="auto" w:fill="auto"/>
            <w:vAlign w:val="center"/>
          </w:tcPr>
          <w:p w:rsidR="007505A5" w:rsidRPr="002D63BA" w:rsidRDefault="007505A5" w:rsidP="008D1891">
            <w:pPr>
              <w:rPr>
                <w:rFonts w:cs="Arial"/>
                <w:b/>
                <w:sz w:val="16"/>
                <w:szCs w:val="16"/>
              </w:rPr>
            </w:pPr>
            <w:r w:rsidRPr="002D63BA">
              <w:rPr>
                <w:rFonts w:cs="Arial"/>
                <w:b/>
                <w:bCs/>
                <w:sz w:val="16"/>
                <w:szCs w:val="16"/>
              </w:rPr>
              <w:t>Performance Indicators</w:t>
            </w:r>
          </w:p>
        </w:tc>
        <w:tc>
          <w:tcPr>
            <w:tcW w:w="803" w:type="pct"/>
            <w:tcBorders>
              <w:top w:val="single" w:sz="4" w:space="0" w:color="auto"/>
              <w:bottom w:val="nil"/>
            </w:tcBorders>
            <w:shd w:val="clear" w:color="auto" w:fill="auto"/>
            <w:vAlign w:val="center"/>
          </w:tcPr>
          <w:p w:rsidR="007505A5" w:rsidRPr="002D63BA" w:rsidRDefault="007505A5" w:rsidP="008D1891">
            <w:pPr>
              <w:rPr>
                <w:rFonts w:cs="Arial"/>
                <w:b/>
                <w:bCs/>
                <w:sz w:val="16"/>
                <w:szCs w:val="16"/>
              </w:rPr>
            </w:pPr>
            <w:r w:rsidRPr="002D63BA">
              <w:rPr>
                <w:rFonts w:cs="Arial"/>
                <w:b/>
                <w:bCs/>
                <w:sz w:val="16"/>
                <w:szCs w:val="16"/>
              </w:rPr>
              <w:t>Baselines</w:t>
            </w:r>
          </w:p>
        </w:tc>
        <w:tc>
          <w:tcPr>
            <w:tcW w:w="803" w:type="pct"/>
            <w:tcBorders>
              <w:top w:val="single" w:sz="4" w:space="0" w:color="auto"/>
              <w:bottom w:val="nil"/>
            </w:tcBorders>
            <w:shd w:val="clear" w:color="auto" w:fill="auto"/>
            <w:tcMar>
              <w:top w:w="110" w:type="dxa"/>
            </w:tcMar>
            <w:vAlign w:val="center"/>
          </w:tcPr>
          <w:p w:rsidR="007505A5" w:rsidRPr="002D63BA" w:rsidRDefault="007505A5" w:rsidP="008D1891">
            <w:pPr>
              <w:rPr>
                <w:rFonts w:cs="Arial"/>
                <w:b/>
                <w:sz w:val="16"/>
                <w:szCs w:val="16"/>
              </w:rPr>
            </w:pPr>
            <w:r w:rsidRPr="002D63BA">
              <w:rPr>
                <w:rFonts w:cs="Arial"/>
                <w:b/>
                <w:sz w:val="16"/>
                <w:szCs w:val="16"/>
              </w:rPr>
              <w:t>Targets</w:t>
            </w:r>
          </w:p>
        </w:tc>
        <w:tc>
          <w:tcPr>
            <w:tcW w:w="1824" w:type="pct"/>
            <w:tcBorders>
              <w:top w:val="single" w:sz="4" w:space="0" w:color="auto"/>
              <w:bottom w:val="nil"/>
            </w:tcBorders>
            <w:shd w:val="clear" w:color="auto" w:fill="FFFFFF"/>
            <w:tcMar>
              <w:top w:w="110" w:type="dxa"/>
            </w:tcMar>
            <w:vAlign w:val="center"/>
          </w:tcPr>
          <w:p w:rsidR="007505A5" w:rsidRPr="002D63BA" w:rsidRDefault="007505A5" w:rsidP="008D1891">
            <w:pPr>
              <w:rPr>
                <w:rFonts w:cs="Arial"/>
                <w:b/>
                <w:sz w:val="16"/>
                <w:szCs w:val="16"/>
              </w:rPr>
            </w:pPr>
            <w:r w:rsidRPr="002D63BA">
              <w:rPr>
                <w:rFonts w:cs="Arial"/>
                <w:b/>
                <w:bCs/>
                <w:sz w:val="16"/>
                <w:szCs w:val="16"/>
              </w:rPr>
              <w:t>Performance Data</w:t>
            </w:r>
          </w:p>
        </w:tc>
        <w:tc>
          <w:tcPr>
            <w:tcW w:w="475" w:type="pct"/>
            <w:tcBorders>
              <w:top w:val="single" w:sz="4" w:space="0" w:color="auto"/>
              <w:bottom w:val="nil"/>
              <w:right w:val="single" w:sz="4" w:space="0" w:color="auto"/>
            </w:tcBorders>
            <w:shd w:val="clear" w:color="auto" w:fill="auto"/>
            <w:tcMar>
              <w:top w:w="110" w:type="dxa"/>
            </w:tcMar>
            <w:vAlign w:val="center"/>
          </w:tcPr>
          <w:p w:rsidR="007505A5" w:rsidRPr="002D63BA" w:rsidRDefault="007505A5" w:rsidP="008D1891">
            <w:pPr>
              <w:jc w:val="center"/>
              <w:rPr>
                <w:rFonts w:cs="Arial"/>
                <w:b/>
                <w:bCs/>
                <w:sz w:val="16"/>
                <w:szCs w:val="16"/>
              </w:rPr>
            </w:pPr>
            <w:r w:rsidRPr="002D63BA">
              <w:rPr>
                <w:rFonts w:cs="Arial"/>
                <w:b/>
                <w:bCs/>
                <w:sz w:val="16"/>
                <w:szCs w:val="16"/>
              </w:rPr>
              <w:t>TLS</w:t>
            </w:r>
          </w:p>
        </w:tc>
      </w:tr>
      <w:tr w:rsidR="007505A5" w:rsidRPr="002D63BA" w:rsidTr="007505A5">
        <w:trPr>
          <w:cantSplit/>
        </w:trPr>
        <w:tc>
          <w:tcPr>
            <w:tcW w:w="1095" w:type="pct"/>
            <w:tcBorders>
              <w:top w:val="nil"/>
              <w:left w:val="single" w:sz="4" w:space="0" w:color="auto"/>
              <w:bottom w:val="nil"/>
            </w:tcBorders>
            <w:shd w:val="clear" w:color="auto" w:fill="auto"/>
          </w:tcPr>
          <w:p w:rsidR="007505A5" w:rsidRPr="002D63BA" w:rsidRDefault="007505A5" w:rsidP="008D1891">
            <w:pPr>
              <w:rPr>
                <w:rFonts w:cs="Arial"/>
                <w:sz w:val="16"/>
                <w:szCs w:val="16"/>
              </w:rPr>
            </w:pPr>
            <w:r w:rsidRPr="002D63BA">
              <w:rPr>
                <w:rFonts w:cs="Arial"/>
                <w:sz w:val="16"/>
                <w:szCs w:val="16"/>
              </w:rPr>
              <w:t>Completion of New Conference Hall Project in accordance with quality requirements, on time and within budgetary limits</w:t>
            </w:r>
          </w:p>
        </w:tc>
        <w:tc>
          <w:tcPr>
            <w:tcW w:w="803" w:type="pct"/>
            <w:tcBorders>
              <w:top w:val="nil"/>
              <w:bottom w:val="nil"/>
            </w:tcBorders>
            <w:shd w:val="clear" w:color="auto" w:fill="auto"/>
          </w:tcPr>
          <w:p w:rsidR="007505A5" w:rsidRPr="002D63BA" w:rsidRDefault="007505A5" w:rsidP="008D1891">
            <w:pPr>
              <w:rPr>
                <w:rFonts w:cs="Arial"/>
                <w:sz w:val="16"/>
                <w:szCs w:val="16"/>
              </w:rPr>
            </w:pPr>
            <w:r w:rsidRPr="002D63BA">
              <w:rPr>
                <w:rFonts w:cs="Arial"/>
                <w:sz w:val="16"/>
                <w:szCs w:val="16"/>
              </w:rPr>
              <w:t>Ensuring hall is delivered within budget and</w:t>
            </w:r>
            <w:r w:rsidR="008218F6">
              <w:rPr>
                <w:rFonts w:cs="Arial"/>
                <w:sz w:val="16"/>
                <w:szCs w:val="16"/>
              </w:rPr>
              <w:t xml:space="preserve"> according to the revised completion date (due to termination of contract with the general contractor)</w:t>
            </w:r>
            <w:r w:rsidRPr="002D63BA">
              <w:rPr>
                <w:rFonts w:cs="Arial"/>
                <w:sz w:val="16"/>
                <w:szCs w:val="16"/>
              </w:rPr>
              <w:t xml:space="preserve">  for 2014 Assemblies of Member States</w:t>
            </w:r>
          </w:p>
          <w:p w:rsidR="007505A5" w:rsidRPr="002D63BA" w:rsidRDefault="007505A5" w:rsidP="008D1891">
            <w:pPr>
              <w:rPr>
                <w:rFonts w:cs="Arial"/>
                <w:i/>
                <w:sz w:val="16"/>
                <w:szCs w:val="16"/>
              </w:rPr>
            </w:pPr>
          </w:p>
        </w:tc>
        <w:tc>
          <w:tcPr>
            <w:tcW w:w="803" w:type="pct"/>
            <w:tcBorders>
              <w:top w:val="nil"/>
              <w:bottom w:val="nil"/>
            </w:tcBorders>
            <w:shd w:val="clear" w:color="auto" w:fill="auto"/>
            <w:tcMar>
              <w:top w:w="110" w:type="dxa"/>
            </w:tcMar>
          </w:tcPr>
          <w:p w:rsidR="007505A5" w:rsidRPr="002D63BA" w:rsidRDefault="007505A5" w:rsidP="008D1891">
            <w:pPr>
              <w:rPr>
                <w:rFonts w:cs="Arial"/>
                <w:i/>
                <w:sz w:val="16"/>
                <w:szCs w:val="16"/>
              </w:rPr>
            </w:pPr>
            <w:r w:rsidRPr="002D63BA">
              <w:rPr>
                <w:rFonts w:cs="Arial"/>
                <w:sz w:val="16"/>
                <w:szCs w:val="16"/>
              </w:rPr>
              <w:t>2014 Assemblies of Member States to be held in new conference hall</w:t>
            </w:r>
          </w:p>
        </w:tc>
        <w:tc>
          <w:tcPr>
            <w:tcW w:w="1824" w:type="pct"/>
            <w:tcBorders>
              <w:top w:val="nil"/>
              <w:bottom w:val="nil"/>
            </w:tcBorders>
            <w:shd w:val="clear" w:color="auto" w:fill="FFFFFF"/>
            <w:tcMar>
              <w:top w:w="110" w:type="dxa"/>
            </w:tcMar>
          </w:tcPr>
          <w:p w:rsidR="007505A5" w:rsidRPr="002D63BA" w:rsidRDefault="007505A5" w:rsidP="008D1891">
            <w:pPr>
              <w:rPr>
                <w:rFonts w:cs="Arial"/>
                <w:sz w:val="16"/>
                <w:szCs w:val="16"/>
              </w:rPr>
            </w:pPr>
            <w:r w:rsidRPr="002D63BA">
              <w:rPr>
                <w:rFonts w:cs="Arial"/>
                <w:sz w:val="16"/>
                <w:szCs w:val="16"/>
              </w:rPr>
              <w:t xml:space="preserve">The </w:t>
            </w:r>
            <w:r w:rsidR="00472AA6">
              <w:rPr>
                <w:rFonts w:cs="Arial"/>
                <w:sz w:val="16"/>
                <w:szCs w:val="16"/>
              </w:rPr>
              <w:t>N</w:t>
            </w:r>
            <w:r w:rsidRPr="002D63BA">
              <w:rPr>
                <w:rFonts w:cs="Arial"/>
                <w:sz w:val="16"/>
                <w:szCs w:val="16"/>
              </w:rPr>
              <w:t>ew Conference Hall Project was completed and delivered on time in accordance with quality requirements.</w:t>
            </w:r>
          </w:p>
          <w:p w:rsidR="007505A5" w:rsidRPr="002D63BA" w:rsidRDefault="007505A5" w:rsidP="008D1891">
            <w:pPr>
              <w:rPr>
                <w:rFonts w:cs="Arial"/>
                <w:sz w:val="16"/>
                <w:szCs w:val="16"/>
              </w:rPr>
            </w:pPr>
          </w:p>
          <w:p w:rsidR="007505A5" w:rsidRPr="002D63BA" w:rsidRDefault="007505A5" w:rsidP="008D1891">
            <w:pPr>
              <w:rPr>
                <w:rFonts w:cs="Arial"/>
                <w:sz w:val="16"/>
                <w:szCs w:val="16"/>
              </w:rPr>
            </w:pPr>
            <w:r w:rsidRPr="002D63BA">
              <w:rPr>
                <w:rFonts w:cs="Arial"/>
                <w:sz w:val="16"/>
                <w:szCs w:val="16"/>
              </w:rPr>
              <w:t xml:space="preserve">The first official meeting held in the </w:t>
            </w:r>
            <w:r w:rsidRPr="00BB2517">
              <w:rPr>
                <w:rFonts w:cs="Arial"/>
                <w:sz w:val="16"/>
                <w:szCs w:val="16"/>
              </w:rPr>
              <w:t xml:space="preserve">new WIPO Conference Hall </w:t>
            </w:r>
            <w:r w:rsidRPr="002D63BA">
              <w:rPr>
                <w:rFonts w:cs="Arial"/>
                <w:sz w:val="16"/>
                <w:szCs w:val="16"/>
              </w:rPr>
              <w:t xml:space="preserve">in 2014 was the PBC from September 1 to 5, 2014.  The 2014 WIPO Assemblies of Member States were held as planned in the </w:t>
            </w:r>
            <w:r w:rsidRPr="00BB2517">
              <w:rPr>
                <w:rFonts w:cs="Arial"/>
                <w:sz w:val="16"/>
                <w:szCs w:val="16"/>
              </w:rPr>
              <w:t xml:space="preserve">new WIPO Conference Hall </w:t>
            </w:r>
            <w:r w:rsidRPr="002D63BA">
              <w:rPr>
                <w:rFonts w:cs="Arial"/>
                <w:sz w:val="16"/>
                <w:szCs w:val="16"/>
              </w:rPr>
              <w:t>from September 22 to 30, 2014, with the inauguration ceremonies held on the first day.</w:t>
            </w:r>
          </w:p>
          <w:p w:rsidR="007505A5" w:rsidRPr="002D63BA" w:rsidRDefault="007505A5" w:rsidP="008D1891">
            <w:pPr>
              <w:rPr>
                <w:rFonts w:cs="Arial"/>
                <w:sz w:val="16"/>
                <w:szCs w:val="16"/>
              </w:rPr>
            </w:pPr>
          </w:p>
          <w:p w:rsidR="007505A5" w:rsidRPr="002D63BA" w:rsidRDefault="007505A5" w:rsidP="008D1891">
            <w:pPr>
              <w:rPr>
                <w:rFonts w:cs="Arial"/>
                <w:sz w:val="16"/>
                <w:szCs w:val="16"/>
              </w:rPr>
            </w:pPr>
            <w:r w:rsidRPr="002D63BA">
              <w:rPr>
                <w:rFonts w:cs="Arial"/>
                <w:sz w:val="16"/>
                <w:szCs w:val="16"/>
              </w:rPr>
              <w:t>The budgetary situation will be assessed once the validation of the final accounts is completed in 2015.</w:t>
            </w:r>
          </w:p>
        </w:tc>
        <w:tc>
          <w:tcPr>
            <w:tcW w:w="475" w:type="pct"/>
            <w:tcBorders>
              <w:top w:val="nil"/>
              <w:bottom w:val="nil"/>
              <w:right w:val="single" w:sz="4" w:space="0" w:color="auto"/>
            </w:tcBorders>
            <w:shd w:val="clear" w:color="auto" w:fill="auto"/>
            <w:tcMar>
              <w:top w:w="110" w:type="dxa"/>
            </w:tcMar>
          </w:tcPr>
          <w:p w:rsidR="007505A5" w:rsidRPr="002D63BA" w:rsidRDefault="007505A5" w:rsidP="008D1891">
            <w:pPr>
              <w:jc w:val="center"/>
              <w:rPr>
                <w:rFonts w:cs="Arial"/>
                <w:b/>
                <w:bCs/>
                <w:color w:val="808080"/>
                <w:sz w:val="16"/>
                <w:szCs w:val="16"/>
              </w:rPr>
            </w:pPr>
            <w:r w:rsidRPr="002D63BA">
              <w:rPr>
                <w:b/>
                <w:bCs/>
                <w:color w:val="00B050"/>
                <w:sz w:val="16"/>
                <w:szCs w:val="16"/>
              </w:rPr>
              <w:t>On track</w:t>
            </w:r>
          </w:p>
        </w:tc>
      </w:tr>
      <w:tr w:rsidR="007505A5" w:rsidRPr="002D63BA" w:rsidTr="007505A5">
        <w:trPr>
          <w:cantSplit/>
        </w:trPr>
        <w:tc>
          <w:tcPr>
            <w:tcW w:w="1095" w:type="pct"/>
            <w:tcBorders>
              <w:top w:val="nil"/>
              <w:left w:val="single" w:sz="4" w:space="0" w:color="auto"/>
              <w:bottom w:val="single" w:sz="4" w:space="0" w:color="auto"/>
            </w:tcBorders>
            <w:shd w:val="clear" w:color="auto" w:fill="auto"/>
          </w:tcPr>
          <w:p w:rsidR="007505A5" w:rsidRPr="002D63BA" w:rsidRDefault="007505A5" w:rsidP="008D1891">
            <w:pPr>
              <w:rPr>
                <w:rFonts w:cs="Arial"/>
                <w:sz w:val="16"/>
                <w:szCs w:val="16"/>
              </w:rPr>
            </w:pPr>
            <w:r w:rsidRPr="002D63BA">
              <w:rPr>
                <w:rFonts w:cs="Arial"/>
                <w:sz w:val="16"/>
                <w:szCs w:val="16"/>
              </w:rPr>
              <w:t xml:space="preserve">Use of conference hall as preferred location for meetings and events </w:t>
            </w:r>
            <w:r w:rsidR="008218F6">
              <w:rPr>
                <w:rFonts w:cs="Arial"/>
                <w:sz w:val="16"/>
                <w:szCs w:val="16"/>
              </w:rPr>
              <w:t xml:space="preserve">organized </w:t>
            </w:r>
            <w:r w:rsidRPr="002D63BA">
              <w:rPr>
                <w:rFonts w:cs="Arial"/>
                <w:sz w:val="16"/>
                <w:szCs w:val="16"/>
              </w:rPr>
              <w:t>by Member States</w:t>
            </w:r>
          </w:p>
        </w:tc>
        <w:tc>
          <w:tcPr>
            <w:tcW w:w="803" w:type="pct"/>
            <w:tcBorders>
              <w:top w:val="nil"/>
              <w:bottom w:val="single" w:sz="4" w:space="0" w:color="auto"/>
            </w:tcBorders>
            <w:shd w:val="clear" w:color="auto" w:fill="auto"/>
          </w:tcPr>
          <w:p w:rsidR="007505A5" w:rsidRPr="002D63BA" w:rsidRDefault="007505A5" w:rsidP="008D1891">
            <w:pPr>
              <w:rPr>
                <w:rFonts w:cs="Arial"/>
                <w:sz w:val="16"/>
                <w:szCs w:val="16"/>
              </w:rPr>
            </w:pPr>
            <w:r w:rsidRPr="002D63BA">
              <w:rPr>
                <w:rFonts w:cs="Arial"/>
                <w:sz w:val="16"/>
                <w:szCs w:val="16"/>
              </w:rPr>
              <w:t>Starting 2015, requests for use of facilities by Member States (for meetings and events other than those organized by WIPO)</w:t>
            </w:r>
          </w:p>
        </w:tc>
        <w:tc>
          <w:tcPr>
            <w:tcW w:w="803" w:type="pct"/>
            <w:tcBorders>
              <w:top w:val="nil"/>
              <w:bottom w:val="single" w:sz="4" w:space="0" w:color="auto"/>
            </w:tcBorders>
            <w:shd w:val="clear" w:color="auto" w:fill="auto"/>
            <w:tcMar>
              <w:top w:w="110" w:type="dxa"/>
            </w:tcMar>
          </w:tcPr>
          <w:p w:rsidR="007505A5" w:rsidRPr="002D63BA" w:rsidRDefault="007505A5" w:rsidP="00284065">
            <w:pPr>
              <w:rPr>
                <w:rFonts w:cs="Arial"/>
                <w:sz w:val="16"/>
                <w:szCs w:val="16"/>
              </w:rPr>
            </w:pPr>
            <w:r w:rsidRPr="002D63BA">
              <w:rPr>
                <w:rFonts w:cs="Arial"/>
                <w:sz w:val="16"/>
                <w:szCs w:val="16"/>
              </w:rPr>
              <w:t>At least two requests per annum by Member States</w:t>
            </w:r>
            <w:r w:rsidR="00284065">
              <w:rPr>
                <w:rFonts w:cs="Arial"/>
                <w:sz w:val="16"/>
                <w:szCs w:val="16"/>
              </w:rPr>
              <w:t xml:space="preserve"> or other</w:t>
            </w:r>
            <w:r w:rsidRPr="002D63BA">
              <w:rPr>
                <w:rFonts w:cs="Arial"/>
                <w:sz w:val="16"/>
                <w:szCs w:val="16"/>
              </w:rPr>
              <w:t xml:space="preserve"> international organizations or other entities for the organization of meetings and/or events (other than those organized by WIPO)</w:t>
            </w:r>
          </w:p>
        </w:tc>
        <w:tc>
          <w:tcPr>
            <w:tcW w:w="1824" w:type="pct"/>
            <w:tcBorders>
              <w:top w:val="nil"/>
              <w:bottom w:val="single" w:sz="4" w:space="0" w:color="auto"/>
            </w:tcBorders>
            <w:shd w:val="clear" w:color="auto" w:fill="FFFFFF"/>
            <w:tcMar>
              <w:top w:w="110" w:type="dxa"/>
            </w:tcMar>
          </w:tcPr>
          <w:p w:rsidR="007505A5" w:rsidRPr="002D63BA" w:rsidRDefault="007505A5" w:rsidP="008D1891">
            <w:pPr>
              <w:rPr>
                <w:rFonts w:cs="Arial"/>
                <w:sz w:val="16"/>
                <w:szCs w:val="16"/>
                <w:lang w:bidi="th-TH"/>
              </w:rPr>
            </w:pPr>
            <w:r w:rsidRPr="002D63BA">
              <w:rPr>
                <w:rFonts w:cs="Arial"/>
                <w:sz w:val="16"/>
                <w:szCs w:val="16"/>
                <w:lang w:bidi="th-TH"/>
              </w:rPr>
              <w:t>Data to be available at the end of 2015.</w:t>
            </w:r>
          </w:p>
        </w:tc>
        <w:tc>
          <w:tcPr>
            <w:tcW w:w="475" w:type="pct"/>
            <w:tcBorders>
              <w:top w:val="nil"/>
              <w:bottom w:val="single" w:sz="4" w:space="0" w:color="auto"/>
              <w:right w:val="single" w:sz="4" w:space="0" w:color="auto"/>
            </w:tcBorders>
            <w:shd w:val="clear" w:color="auto" w:fill="auto"/>
            <w:tcMar>
              <w:top w:w="110" w:type="dxa"/>
            </w:tcMar>
          </w:tcPr>
          <w:p w:rsidR="007505A5" w:rsidRPr="002D63BA" w:rsidRDefault="007505A5" w:rsidP="008D1891">
            <w:pPr>
              <w:jc w:val="center"/>
              <w:rPr>
                <w:rStyle w:val="Style5"/>
                <w:rFonts w:cs="Arial"/>
                <w:b/>
                <w:color w:val="595959" w:themeColor="text1" w:themeTint="A6"/>
                <w:sz w:val="16"/>
                <w:szCs w:val="16"/>
              </w:rPr>
            </w:pPr>
            <w:r w:rsidRPr="00EC0307">
              <w:rPr>
                <w:b/>
                <w:color w:val="0070C0"/>
                <w:sz w:val="16"/>
                <w:szCs w:val="16"/>
              </w:rPr>
              <w:t>N/A 2014</w:t>
            </w:r>
          </w:p>
        </w:tc>
      </w:tr>
      <w:tr w:rsidR="007505A5" w:rsidRPr="002D63BA" w:rsidTr="008D1891">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7505A5" w:rsidRPr="002D63BA" w:rsidRDefault="007505A5" w:rsidP="008D1891">
            <w:pPr>
              <w:tabs>
                <w:tab w:val="left" w:pos="1452"/>
              </w:tabs>
              <w:spacing w:before="120" w:after="120"/>
              <w:ind w:left="1452" w:hanging="1452"/>
              <w:rPr>
                <w:rFonts w:cs="Arial"/>
                <w:bCs/>
                <w:sz w:val="16"/>
                <w:szCs w:val="16"/>
              </w:rPr>
            </w:pPr>
            <w:r w:rsidRPr="002D63BA">
              <w:rPr>
                <w:rFonts w:cs="Arial"/>
                <w:bCs/>
                <w:sz w:val="16"/>
                <w:szCs w:val="16"/>
              </w:rPr>
              <w:t>Expected Result:</w:t>
            </w:r>
            <w:r w:rsidRPr="002D63BA">
              <w:rPr>
                <w:rFonts w:cs="Arial"/>
                <w:bCs/>
                <w:sz w:val="16"/>
                <w:szCs w:val="16"/>
              </w:rPr>
              <w:tab/>
            </w:r>
            <w:r w:rsidRPr="002D63BA">
              <w:rPr>
                <w:rFonts w:cs="Arial"/>
                <w:sz w:val="16"/>
                <w:szCs w:val="16"/>
              </w:rPr>
              <w:t>IX.4 An environmentally and socially responsible Organization in which WIPO staff, delegates, visitors and information and physical assets are safe and secure</w:t>
            </w:r>
          </w:p>
        </w:tc>
      </w:tr>
      <w:tr w:rsidR="007505A5" w:rsidRPr="002D63BA" w:rsidTr="007505A5">
        <w:trPr>
          <w:cantSplit/>
        </w:trPr>
        <w:tc>
          <w:tcPr>
            <w:tcW w:w="1095" w:type="pct"/>
            <w:tcBorders>
              <w:top w:val="single" w:sz="4" w:space="0" w:color="auto"/>
              <w:left w:val="single" w:sz="4" w:space="0" w:color="auto"/>
              <w:bottom w:val="nil"/>
            </w:tcBorders>
            <w:shd w:val="clear" w:color="auto" w:fill="auto"/>
            <w:vAlign w:val="center"/>
          </w:tcPr>
          <w:p w:rsidR="007505A5" w:rsidRPr="002D63BA" w:rsidRDefault="007505A5" w:rsidP="008D1891">
            <w:pPr>
              <w:rPr>
                <w:rFonts w:cs="Arial"/>
                <w:b/>
                <w:sz w:val="16"/>
                <w:szCs w:val="16"/>
              </w:rPr>
            </w:pPr>
            <w:r w:rsidRPr="002D63BA">
              <w:rPr>
                <w:rFonts w:cs="Arial"/>
                <w:b/>
                <w:bCs/>
                <w:sz w:val="16"/>
                <w:szCs w:val="16"/>
              </w:rPr>
              <w:t>Performance Indicators</w:t>
            </w:r>
          </w:p>
        </w:tc>
        <w:tc>
          <w:tcPr>
            <w:tcW w:w="803" w:type="pct"/>
            <w:tcBorders>
              <w:top w:val="single" w:sz="4" w:space="0" w:color="auto"/>
              <w:bottom w:val="nil"/>
            </w:tcBorders>
            <w:shd w:val="clear" w:color="auto" w:fill="auto"/>
            <w:vAlign w:val="center"/>
          </w:tcPr>
          <w:p w:rsidR="007505A5" w:rsidRPr="002D63BA" w:rsidRDefault="007505A5" w:rsidP="008D1891">
            <w:pPr>
              <w:rPr>
                <w:rFonts w:cs="Arial"/>
                <w:b/>
                <w:bCs/>
                <w:sz w:val="16"/>
                <w:szCs w:val="16"/>
              </w:rPr>
            </w:pPr>
            <w:r w:rsidRPr="002D63BA">
              <w:rPr>
                <w:rFonts w:cs="Arial"/>
                <w:b/>
                <w:bCs/>
                <w:sz w:val="16"/>
                <w:szCs w:val="16"/>
              </w:rPr>
              <w:t>Baselines</w:t>
            </w:r>
          </w:p>
        </w:tc>
        <w:tc>
          <w:tcPr>
            <w:tcW w:w="803" w:type="pct"/>
            <w:tcBorders>
              <w:top w:val="single" w:sz="4" w:space="0" w:color="auto"/>
              <w:bottom w:val="nil"/>
            </w:tcBorders>
            <w:shd w:val="clear" w:color="auto" w:fill="auto"/>
            <w:tcMar>
              <w:top w:w="110" w:type="dxa"/>
            </w:tcMar>
            <w:vAlign w:val="center"/>
          </w:tcPr>
          <w:p w:rsidR="007505A5" w:rsidRPr="002D63BA" w:rsidRDefault="007505A5" w:rsidP="008D1891">
            <w:pPr>
              <w:rPr>
                <w:rFonts w:cs="Arial"/>
                <w:b/>
                <w:sz w:val="16"/>
                <w:szCs w:val="16"/>
              </w:rPr>
            </w:pPr>
            <w:r w:rsidRPr="002D63BA">
              <w:rPr>
                <w:rFonts w:cs="Arial"/>
                <w:b/>
                <w:sz w:val="16"/>
                <w:szCs w:val="16"/>
              </w:rPr>
              <w:t>Targets</w:t>
            </w:r>
          </w:p>
        </w:tc>
        <w:tc>
          <w:tcPr>
            <w:tcW w:w="1824" w:type="pct"/>
            <w:tcBorders>
              <w:top w:val="single" w:sz="4" w:space="0" w:color="auto"/>
              <w:bottom w:val="nil"/>
            </w:tcBorders>
            <w:shd w:val="clear" w:color="auto" w:fill="FFFFFF"/>
            <w:tcMar>
              <w:top w:w="110" w:type="dxa"/>
            </w:tcMar>
            <w:vAlign w:val="center"/>
          </w:tcPr>
          <w:p w:rsidR="007505A5" w:rsidRPr="002D63BA" w:rsidRDefault="007505A5" w:rsidP="008D1891">
            <w:pPr>
              <w:rPr>
                <w:rFonts w:cs="Arial"/>
                <w:b/>
                <w:sz w:val="16"/>
                <w:szCs w:val="16"/>
              </w:rPr>
            </w:pPr>
            <w:r w:rsidRPr="002D63BA">
              <w:rPr>
                <w:rFonts w:cs="Arial"/>
                <w:b/>
                <w:bCs/>
                <w:sz w:val="16"/>
                <w:szCs w:val="16"/>
              </w:rPr>
              <w:t>Performance Data</w:t>
            </w:r>
          </w:p>
        </w:tc>
        <w:tc>
          <w:tcPr>
            <w:tcW w:w="475" w:type="pct"/>
            <w:tcBorders>
              <w:top w:val="single" w:sz="4" w:space="0" w:color="auto"/>
              <w:bottom w:val="nil"/>
              <w:right w:val="single" w:sz="4" w:space="0" w:color="auto"/>
            </w:tcBorders>
            <w:shd w:val="clear" w:color="auto" w:fill="auto"/>
            <w:tcMar>
              <w:top w:w="110" w:type="dxa"/>
            </w:tcMar>
            <w:vAlign w:val="center"/>
          </w:tcPr>
          <w:p w:rsidR="007505A5" w:rsidRPr="002D63BA" w:rsidRDefault="007505A5" w:rsidP="008D1891">
            <w:pPr>
              <w:jc w:val="center"/>
              <w:rPr>
                <w:rFonts w:cs="Arial"/>
                <w:b/>
                <w:bCs/>
                <w:sz w:val="16"/>
                <w:szCs w:val="16"/>
              </w:rPr>
            </w:pPr>
            <w:r w:rsidRPr="002D63BA">
              <w:rPr>
                <w:rFonts w:cs="Arial"/>
                <w:b/>
                <w:bCs/>
                <w:sz w:val="16"/>
                <w:szCs w:val="16"/>
              </w:rPr>
              <w:t>TLS</w:t>
            </w:r>
          </w:p>
        </w:tc>
      </w:tr>
      <w:tr w:rsidR="007505A5" w:rsidRPr="002D63BA" w:rsidTr="007505A5">
        <w:tc>
          <w:tcPr>
            <w:tcW w:w="1095" w:type="pct"/>
            <w:tcBorders>
              <w:top w:val="nil"/>
              <w:left w:val="single" w:sz="4" w:space="0" w:color="auto"/>
              <w:bottom w:val="single" w:sz="4" w:space="0" w:color="auto"/>
            </w:tcBorders>
            <w:shd w:val="clear" w:color="auto" w:fill="auto"/>
          </w:tcPr>
          <w:p w:rsidR="007505A5" w:rsidRPr="002D63BA" w:rsidRDefault="007505A5" w:rsidP="008D1891">
            <w:pPr>
              <w:rPr>
                <w:rFonts w:cs="Arial"/>
                <w:sz w:val="16"/>
                <w:szCs w:val="16"/>
              </w:rPr>
            </w:pPr>
            <w:r w:rsidRPr="002D63BA">
              <w:rPr>
                <w:rFonts w:cs="Arial"/>
                <w:sz w:val="16"/>
                <w:szCs w:val="16"/>
              </w:rPr>
              <w:t>Monitoring of physical accessibility measures ensuring that the new conference hall and related facilities are in full compliance with the applicable standards during construction</w:t>
            </w:r>
          </w:p>
        </w:tc>
        <w:tc>
          <w:tcPr>
            <w:tcW w:w="803" w:type="pct"/>
            <w:tcBorders>
              <w:top w:val="nil"/>
              <w:bottom w:val="single" w:sz="4" w:space="0" w:color="auto"/>
            </w:tcBorders>
            <w:shd w:val="clear" w:color="auto" w:fill="auto"/>
          </w:tcPr>
          <w:p w:rsidR="007505A5" w:rsidRPr="002D63BA" w:rsidRDefault="007505A5" w:rsidP="008D1891">
            <w:pPr>
              <w:rPr>
                <w:color w:val="002060"/>
                <w:sz w:val="16"/>
                <w:szCs w:val="16"/>
              </w:rPr>
            </w:pPr>
            <w:r w:rsidRPr="002D63BA">
              <w:rPr>
                <w:i/>
                <w:color w:val="002060"/>
                <w:sz w:val="16"/>
                <w:szCs w:val="16"/>
              </w:rPr>
              <w:t>Updated Baseline end 2013:</w:t>
            </w:r>
            <w:r w:rsidRPr="002D63BA">
              <w:rPr>
                <w:color w:val="002060"/>
                <w:sz w:val="16"/>
                <w:szCs w:val="16"/>
              </w:rPr>
              <w:t xml:space="preserve"> n/a</w:t>
            </w:r>
          </w:p>
          <w:p w:rsidR="007505A5" w:rsidRPr="002D63BA" w:rsidRDefault="007505A5" w:rsidP="008D1891">
            <w:pPr>
              <w:rPr>
                <w:color w:val="002060"/>
                <w:sz w:val="16"/>
                <w:szCs w:val="16"/>
                <w:highlight w:val="yellow"/>
              </w:rPr>
            </w:pPr>
          </w:p>
          <w:p w:rsidR="007505A5" w:rsidRPr="002D63BA" w:rsidRDefault="007505A5" w:rsidP="008D1891">
            <w:pPr>
              <w:rPr>
                <w:color w:val="002060"/>
                <w:sz w:val="16"/>
                <w:szCs w:val="16"/>
                <w:highlight w:val="yellow"/>
              </w:rPr>
            </w:pPr>
          </w:p>
          <w:p w:rsidR="007505A5" w:rsidRPr="002D63BA" w:rsidRDefault="007505A5" w:rsidP="008D1891">
            <w:pPr>
              <w:rPr>
                <w:rFonts w:cs="Arial"/>
                <w:sz w:val="16"/>
                <w:szCs w:val="16"/>
              </w:rPr>
            </w:pPr>
            <w:r w:rsidRPr="002D63BA">
              <w:rPr>
                <w:rFonts w:cs="Arial"/>
                <w:i/>
                <w:sz w:val="16"/>
                <w:szCs w:val="16"/>
              </w:rPr>
              <w:t>Original Baseline P&amp;B 2014/15: To be established beginning 2014 when new conference hall is delivered and on the basis of the specific architectural and technical assessment carried out in 2013</w:t>
            </w:r>
          </w:p>
        </w:tc>
        <w:tc>
          <w:tcPr>
            <w:tcW w:w="803" w:type="pct"/>
            <w:tcBorders>
              <w:top w:val="nil"/>
              <w:bottom w:val="single" w:sz="4" w:space="0" w:color="auto"/>
            </w:tcBorders>
            <w:shd w:val="clear" w:color="auto" w:fill="auto"/>
            <w:tcMar>
              <w:top w:w="110" w:type="dxa"/>
            </w:tcMar>
          </w:tcPr>
          <w:p w:rsidR="007505A5" w:rsidRPr="002D63BA" w:rsidRDefault="007505A5" w:rsidP="008D1891">
            <w:pPr>
              <w:rPr>
                <w:rFonts w:cs="Arial"/>
                <w:bCs/>
                <w:sz w:val="16"/>
                <w:szCs w:val="16"/>
              </w:rPr>
            </w:pPr>
            <w:r w:rsidRPr="002D63BA">
              <w:rPr>
                <w:rFonts w:cs="Arial"/>
                <w:sz w:val="16"/>
                <w:szCs w:val="16"/>
              </w:rPr>
              <w:t>To be established beginning 2014 when new conference hall is delivered and on the basis of the specific architectural and technical assessment carried out in 2013</w:t>
            </w:r>
          </w:p>
        </w:tc>
        <w:tc>
          <w:tcPr>
            <w:tcW w:w="1824" w:type="pct"/>
            <w:tcBorders>
              <w:top w:val="nil"/>
              <w:bottom w:val="single" w:sz="4" w:space="0" w:color="auto"/>
            </w:tcBorders>
            <w:shd w:val="clear" w:color="auto" w:fill="FFFFFF"/>
            <w:tcMar>
              <w:top w:w="110" w:type="dxa"/>
            </w:tcMar>
          </w:tcPr>
          <w:p w:rsidR="007505A5" w:rsidRPr="002D63BA" w:rsidRDefault="007505A5" w:rsidP="008D1891">
            <w:pPr>
              <w:rPr>
                <w:rFonts w:cs="Arial"/>
                <w:sz w:val="16"/>
                <w:szCs w:val="16"/>
              </w:rPr>
            </w:pPr>
            <w:r w:rsidRPr="002D63BA">
              <w:rPr>
                <w:rFonts w:cs="Arial"/>
                <w:sz w:val="16"/>
                <w:szCs w:val="16"/>
              </w:rPr>
              <w:t>Physical accessibility measures implemented during construction (until end of construction in August 2014, rather than at the beginning of 2014) included the following main measures: (</w:t>
            </w:r>
            <w:proofErr w:type="spellStart"/>
            <w:r w:rsidRPr="002D63BA">
              <w:rPr>
                <w:rFonts w:cs="Arial"/>
                <w:sz w:val="16"/>
                <w:szCs w:val="16"/>
              </w:rPr>
              <w:t>i</w:t>
            </w:r>
            <w:proofErr w:type="spellEnd"/>
            <w:r w:rsidRPr="002D63BA">
              <w:rPr>
                <w:rFonts w:cs="Arial"/>
                <w:sz w:val="16"/>
                <w:szCs w:val="16"/>
              </w:rPr>
              <w:t xml:space="preserve">) ramp for wheelchair access to the podium in the </w:t>
            </w:r>
            <w:r>
              <w:rPr>
                <w:rFonts w:cs="Arial"/>
                <w:sz w:val="16"/>
                <w:szCs w:val="16"/>
              </w:rPr>
              <w:t xml:space="preserve">new WIPO Conference Hall </w:t>
            </w:r>
            <w:r w:rsidRPr="002D63BA">
              <w:rPr>
                <w:rFonts w:cs="Arial"/>
                <w:sz w:val="16"/>
                <w:szCs w:val="16"/>
              </w:rPr>
              <w:t xml:space="preserve">, and all (31 if in full configuration) seats on the podium accessible by wheelchair, (ii) 26 seats in 3 different locations in the delegates desks areas accessible by wheelchairs, (iii) all 850-odd chairs for delegates’ desks removable and replaceable on demand by any other chair for disability needs, (iv) additional emergency exit door at the bottom area of the </w:t>
            </w:r>
            <w:r>
              <w:rPr>
                <w:rFonts w:cs="Arial"/>
                <w:sz w:val="16"/>
                <w:szCs w:val="16"/>
              </w:rPr>
              <w:t xml:space="preserve">new WIPO Conference Hall </w:t>
            </w:r>
            <w:r w:rsidRPr="002D63BA">
              <w:rPr>
                <w:rFonts w:cs="Arial"/>
                <w:sz w:val="16"/>
                <w:szCs w:val="16"/>
              </w:rPr>
              <w:t xml:space="preserve">, for independent access by wheelchair, directly onto an exterior ramp leading to the outside esplanade, (v) ramps for wheelchair access to interpreters booths in two new meeting rooms on one renovated floor of the AB Building, (vi) restrooms fitted for access by wheelchair, (vii) anti-slip bands affixed on steps of all staircases in and around the </w:t>
            </w:r>
            <w:r>
              <w:rPr>
                <w:rFonts w:cs="Arial"/>
                <w:sz w:val="16"/>
                <w:szCs w:val="16"/>
              </w:rPr>
              <w:t xml:space="preserve">new WIPO Conference Hall </w:t>
            </w:r>
            <w:r w:rsidRPr="002D63BA">
              <w:rPr>
                <w:rFonts w:cs="Arial"/>
                <w:sz w:val="16"/>
                <w:szCs w:val="16"/>
              </w:rPr>
              <w:t xml:space="preserve">, (viii) ramp for wheelchair access created from the </w:t>
            </w:r>
            <w:r>
              <w:rPr>
                <w:rFonts w:cs="Arial"/>
                <w:sz w:val="16"/>
                <w:szCs w:val="16"/>
              </w:rPr>
              <w:t xml:space="preserve">new WIPO Conference Hall </w:t>
            </w:r>
            <w:r w:rsidRPr="002D63BA">
              <w:rPr>
                <w:rFonts w:cs="Arial"/>
                <w:sz w:val="16"/>
                <w:szCs w:val="16"/>
              </w:rPr>
              <w:t xml:space="preserve"> foyer doors leading towards the emergency exit point at the perimeter of the WIPO Campus, (ix) access from the street to the main new WIPO entrance fit for wheelchair, and interior speed gates leading to reception and registration counters fit for independent access by wheelchair, (x) dedicated mobile seat for persons with disabilities, to be used on demand from the interpreters’ booths floor in case of emergency.</w:t>
            </w:r>
          </w:p>
        </w:tc>
        <w:tc>
          <w:tcPr>
            <w:tcW w:w="475" w:type="pct"/>
            <w:tcBorders>
              <w:top w:val="nil"/>
              <w:bottom w:val="single" w:sz="4" w:space="0" w:color="auto"/>
              <w:right w:val="single" w:sz="4" w:space="0" w:color="auto"/>
            </w:tcBorders>
            <w:shd w:val="clear" w:color="auto" w:fill="auto"/>
            <w:tcMar>
              <w:top w:w="110" w:type="dxa"/>
            </w:tcMar>
          </w:tcPr>
          <w:p w:rsidR="007505A5" w:rsidRPr="002D63BA" w:rsidRDefault="007505A5" w:rsidP="008D1891">
            <w:pPr>
              <w:jc w:val="center"/>
              <w:rPr>
                <w:rFonts w:cs="Arial"/>
                <w:b/>
                <w:bCs/>
                <w:color w:val="808080"/>
                <w:sz w:val="16"/>
                <w:szCs w:val="16"/>
              </w:rPr>
            </w:pPr>
            <w:r w:rsidRPr="007505A5">
              <w:rPr>
                <w:b/>
                <w:color w:val="808080" w:themeColor="background1" w:themeShade="80"/>
                <w:sz w:val="12"/>
                <w:szCs w:val="16"/>
              </w:rPr>
              <w:t>Not assessable</w:t>
            </w:r>
          </w:p>
        </w:tc>
      </w:tr>
      <w:tr w:rsidR="007505A5" w:rsidRPr="002D63BA" w:rsidTr="007505A5">
        <w:trPr>
          <w:cantSplit/>
        </w:trPr>
        <w:tc>
          <w:tcPr>
            <w:tcW w:w="1095" w:type="pct"/>
            <w:tcBorders>
              <w:top w:val="single" w:sz="4" w:space="0" w:color="auto"/>
              <w:left w:val="single" w:sz="4" w:space="0" w:color="auto"/>
              <w:bottom w:val="nil"/>
            </w:tcBorders>
            <w:shd w:val="clear" w:color="auto" w:fill="auto"/>
            <w:vAlign w:val="center"/>
          </w:tcPr>
          <w:p w:rsidR="007505A5" w:rsidRPr="002D63BA" w:rsidRDefault="007505A5" w:rsidP="008D1891">
            <w:pPr>
              <w:rPr>
                <w:rFonts w:cs="Arial"/>
                <w:b/>
                <w:sz w:val="16"/>
                <w:szCs w:val="16"/>
              </w:rPr>
            </w:pPr>
            <w:r w:rsidRPr="002D63BA">
              <w:rPr>
                <w:rFonts w:cs="Arial"/>
                <w:b/>
                <w:bCs/>
                <w:sz w:val="16"/>
                <w:szCs w:val="16"/>
              </w:rPr>
              <w:lastRenderedPageBreak/>
              <w:t>Performance Indicators</w:t>
            </w:r>
          </w:p>
        </w:tc>
        <w:tc>
          <w:tcPr>
            <w:tcW w:w="803" w:type="pct"/>
            <w:tcBorders>
              <w:top w:val="single" w:sz="4" w:space="0" w:color="auto"/>
              <w:bottom w:val="nil"/>
            </w:tcBorders>
            <w:shd w:val="clear" w:color="auto" w:fill="auto"/>
            <w:vAlign w:val="center"/>
          </w:tcPr>
          <w:p w:rsidR="007505A5" w:rsidRPr="002D63BA" w:rsidRDefault="007505A5" w:rsidP="008D1891">
            <w:pPr>
              <w:rPr>
                <w:rFonts w:cs="Arial"/>
                <w:b/>
                <w:bCs/>
                <w:sz w:val="16"/>
                <w:szCs w:val="16"/>
              </w:rPr>
            </w:pPr>
            <w:r w:rsidRPr="002D63BA">
              <w:rPr>
                <w:rFonts w:cs="Arial"/>
                <w:b/>
                <w:bCs/>
                <w:sz w:val="16"/>
                <w:szCs w:val="16"/>
              </w:rPr>
              <w:t>Baselines</w:t>
            </w:r>
          </w:p>
        </w:tc>
        <w:tc>
          <w:tcPr>
            <w:tcW w:w="803" w:type="pct"/>
            <w:tcBorders>
              <w:top w:val="single" w:sz="4" w:space="0" w:color="auto"/>
              <w:bottom w:val="nil"/>
            </w:tcBorders>
            <w:shd w:val="clear" w:color="auto" w:fill="auto"/>
            <w:tcMar>
              <w:top w:w="110" w:type="dxa"/>
            </w:tcMar>
            <w:vAlign w:val="center"/>
          </w:tcPr>
          <w:p w:rsidR="007505A5" w:rsidRPr="002D63BA" w:rsidRDefault="007505A5" w:rsidP="008D1891">
            <w:pPr>
              <w:rPr>
                <w:rFonts w:cs="Arial"/>
                <w:b/>
                <w:sz w:val="16"/>
                <w:szCs w:val="16"/>
              </w:rPr>
            </w:pPr>
            <w:r w:rsidRPr="002D63BA">
              <w:rPr>
                <w:rFonts w:cs="Arial"/>
                <w:b/>
                <w:sz w:val="16"/>
                <w:szCs w:val="16"/>
              </w:rPr>
              <w:t>Targets</w:t>
            </w:r>
          </w:p>
        </w:tc>
        <w:tc>
          <w:tcPr>
            <w:tcW w:w="1824" w:type="pct"/>
            <w:tcBorders>
              <w:top w:val="single" w:sz="4" w:space="0" w:color="auto"/>
              <w:bottom w:val="nil"/>
            </w:tcBorders>
            <w:shd w:val="clear" w:color="auto" w:fill="FFFFFF"/>
            <w:tcMar>
              <w:top w:w="110" w:type="dxa"/>
            </w:tcMar>
            <w:vAlign w:val="center"/>
          </w:tcPr>
          <w:p w:rsidR="007505A5" w:rsidRPr="002D63BA" w:rsidRDefault="007505A5" w:rsidP="008D1891">
            <w:pPr>
              <w:rPr>
                <w:rFonts w:cs="Arial"/>
                <w:b/>
                <w:sz w:val="16"/>
                <w:szCs w:val="16"/>
              </w:rPr>
            </w:pPr>
            <w:r w:rsidRPr="002D63BA">
              <w:rPr>
                <w:rFonts w:cs="Arial"/>
                <w:b/>
                <w:bCs/>
                <w:sz w:val="16"/>
                <w:szCs w:val="16"/>
              </w:rPr>
              <w:t>Performance Data</w:t>
            </w:r>
          </w:p>
        </w:tc>
        <w:tc>
          <w:tcPr>
            <w:tcW w:w="475" w:type="pct"/>
            <w:tcBorders>
              <w:top w:val="single" w:sz="4" w:space="0" w:color="auto"/>
              <w:bottom w:val="nil"/>
              <w:right w:val="single" w:sz="4" w:space="0" w:color="auto"/>
            </w:tcBorders>
            <w:shd w:val="clear" w:color="auto" w:fill="auto"/>
            <w:tcMar>
              <w:top w:w="110" w:type="dxa"/>
            </w:tcMar>
            <w:vAlign w:val="center"/>
          </w:tcPr>
          <w:p w:rsidR="007505A5" w:rsidRPr="002D63BA" w:rsidRDefault="007505A5" w:rsidP="008D1891">
            <w:pPr>
              <w:jc w:val="center"/>
              <w:rPr>
                <w:rFonts w:cs="Arial"/>
                <w:b/>
                <w:bCs/>
                <w:sz w:val="16"/>
                <w:szCs w:val="16"/>
              </w:rPr>
            </w:pPr>
            <w:r w:rsidRPr="002D63BA">
              <w:rPr>
                <w:rFonts w:cs="Arial"/>
                <w:b/>
                <w:bCs/>
                <w:sz w:val="16"/>
                <w:szCs w:val="16"/>
              </w:rPr>
              <w:t>TLS</w:t>
            </w:r>
          </w:p>
        </w:tc>
      </w:tr>
      <w:tr w:rsidR="007505A5" w:rsidRPr="002D63BA" w:rsidTr="007505A5">
        <w:trPr>
          <w:cantSplit/>
        </w:trPr>
        <w:tc>
          <w:tcPr>
            <w:tcW w:w="1095" w:type="pct"/>
            <w:tcBorders>
              <w:top w:val="nil"/>
              <w:left w:val="single" w:sz="4" w:space="0" w:color="auto"/>
              <w:bottom w:val="nil"/>
            </w:tcBorders>
            <w:shd w:val="clear" w:color="auto" w:fill="auto"/>
          </w:tcPr>
          <w:p w:rsidR="007505A5" w:rsidRPr="002D63BA" w:rsidRDefault="007505A5" w:rsidP="008D1891">
            <w:pPr>
              <w:rPr>
                <w:rFonts w:cs="Arial"/>
                <w:sz w:val="16"/>
                <w:szCs w:val="16"/>
              </w:rPr>
            </w:pPr>
            <w:r w:rsidRPr="002D63BA">
              <w:rPr>
                <w:rFonts w:cs="Arial"/>
                <w:sz w:val="16"/>
                <w:szCs w:val="16"/>
              </w:rPr>
              <w:t>Monitoring of environmentally sound measures and energy consumption reduction measures implemented during construction</w:t>
            </w:r>
          </w:p>
        </w:tc>
        <w:tc>
          <w:tcPr>
            <w:tcW w:w="803" w:type="pct"/>
            <w:tcBorders>
              <w:top w:val="nil"/>
              <w:bottom w:val="nil"/>
            </w:tcBorders>
            <w:shd w:val="clear" w:color="auto" w:fill="auto"/>
          </w:tcPr>
          <w:p w:rsidR="007505A5" w:rsidRPr="002D63BA" w:rsidRDefault="007505A5" w:rsidP="008D1891">
            <w:pPr>
              <w:rPr>
                <w:color w:val="002060"/>
                <w:sz w:val="16"/>
                <w:szCs w:val="16"/>
                <w:highlight w:val="yellow"/>
              </w:rPr>
            </w:pPr>
            <w:r w:rsidRPr="002D63BA">
              <w:rPr>
                <w:i/>
                <w:color w:val="002060"/>
                <w:sz w:val="16"/>
                <w:szCs w:val="16"/>
              </w:rPr>
              <w:t>Updated Baseline end 2013:</w:t>
            </w:r>
            <w:r w:rsidRPr="002D63BA">
              <w:rPr>
                <w:color w:val="002060"/>
                <w:sz w:val="16"/>
                <w:szCs w:val="16"/>
              </w:rPr>
              <w:t xml:space="preserve"> n/a</w:t>
            </w:r>
          </w:p>
          <w:p w:rsidR="007505A5" w:rsidRPr="002D63BA" w:rsidRDefault="007505A5" w:rsidP="008D1891">
            <w:pPr>
              <w:rPr>
                <w:color w:val="002060"/>
                <w:sz w:val="16"/>
                <w:szCs w:val="16"/>
                <w:highlight w:val="yellow"/>
              </w:rPr>
            </w:pPr>
          </w:p>
          <w:p w:rsidR="007505A5" w:rsidRPr="002D63BA" w:rsidRDefault="007505A5" w:rsidP="008D1891">
            <w:pPr>
              <w:rPr>
                <w:rFonts w:cs="Arial"/>
                <w:sz w:val="16"/>
                <w:szCs w:val="16"/>
              </w:rPr>
            </w:pPr>
            <w:r w:rsidRPr="002D63BA">
              <w:rPr>
                <w:rFonts w:cs="Arial"/>
                <w:i/>
                <w:sz w:val="16"/>
                <w:szCs w:val="16"/>
              </w:rPr>
              <w:t>Original Baseline P&amp;B 2014/15: To be established beginning 2014 when new conference hall is delivered</w:t>
            </w:r>
          </w:p>
        </w:tc>
        <w:tc>
          <w:tcPr>
            <w:tcW w:w="803" w:type="pct"/>
            <w:tcBorders>
              <w:top w:val="nil"/>
              <w:bottom w:val="nil"/>
            </w:tcBorders>
            <w:shd w:val="clear" w:color="auto" w:fill="auto"/>
            <w:tcMar>
              <w:top w:w="110" w:type="dxa"/>
            </w:tcMar>
          </w:tcPr>
          <w:p w:rsidR="007505A5" w:rsidRPr="002D63BA" w:rsidRDefault="007505A5" w:rsidP="008D1891">
            <w:pPr>
              <w:rPr>
                <w:rFonts w:cs="Arial"/>
                <w:sz w:val="16"/>
                <w:szCs w:val="16"/>
              </w:rPr>
            </w:pPr>
            <w:r w:rsidRPr="002D63BA">
              <w:rPr>
                <w:rFonts w:cs="Arial"/>
                <w:sz w:val="16"/>
                <w:szCs w:val="16"/>
              </w:rPr>
              <w:t>To be established beginning 2014 when new conference hall is delivered</w:t>
            </w:r>
          </w:p>
        </w:tc>
        <w:tc>
          <w:tcPr>
            <w:tcW w:w="1824" w:type="pct"/>
            <w:tcBorders>
              <w:top w:val="nil"/>
              <w:bottom w:val="nil"/>
            </w:tcBorders>
            <w:shd w:val="clear" w:color="auto" w:fill="FFFFFF"/>
            <w:tcMar>
              <w:top w:w="110" w:type="dxa"/>
            </w:tcMar>
          </w:tcPr>
          <w:p w:rsidR="007505A5" w:rsidRPr="002D63BA" w:rsidRDefault="007505A5" w:rsidP="008D1891">
            <w:pPr>
              <w:rPr>
                <w:rFonts w:cs="Arial"/>
                <w:sz w:val="16"/>
                <w:szCs w:val="16"/>
              </w:rPr>
            </w:pPr>
            <w:r w:rsidRPr="002D63BA">
              <w:rPr>
                <w:rFonts w:cs="Arial"/>
                <w:sz w:val="16"/>
                <w:szCs w:val="16"/>
              </w:rPr>
              <w:t>Environmentally sound measures implemented during construction (until end of construction in August 2014, rather than at the beginning of 2014) included the following main measures: (</w:t>
            </w:r>
            <w:proofErr w:type="spellStart"/>
            <w:r w:rsidRPr="002D63BA">
              <w:rPr>
                <w:rFonts w:cs="Arial"/>
                <w:sz w:val="16"/>
                <w:szCs w:val="16"/>
              </w:rPr>
              <w:t>i</w:t>
            </w:r>
            <w:proofErr w:type="spellEnd"/>
            <w:r w:rsidRPr="002D63BA">
              <w:rPr>
                <w:rFonts w:cs="Arial"/>
                <w:sz w:val="16"/>
                <w:szCs w:val="16"/>
              </w:rPr>
              <w:t xml:space="preserve">) local wood for the main structure and interior paneling (ceiling, walls and floor) of the </w:t>
            </w:r>
            <w:r>
              <w:rPr>
                <w:rFonts w:cs="Arial"/>
                <w:sz w:val="16"/>
                <w:szCs w:val="16"/>
              </w:rPr>
              <w:t xml:space="preserve">new WIPO Conference Hall </w:t>
            </w:r>
            <w:r w:rsidRPr="002D63BA">
              <w:rPr>
                <w:rFonts w:cs="Arial"/>
                <w:sz w:val="16"/>
                <w:szCs w:val="16"/>
              </w:rPr>
              <w:t xml:space="preserve">, (ii) natural gas for heating, (iii) cooling system using the Geneva Lake produced chilled water, (iv) reduction of artificial light consumption by extensive use of LED technology (in all areas covered by the Project) and natural light through large bay windows and several rooftop windows (in the </w:t>
            </w:r>
            <w:r>
              <w:rPr>
                <w:rFonts w:cs="Arial"/>
                <w:sz w:val="16"/>
                <w:szCs w:val="16"/>
              </w:rPr>
              <w:t xml:space="preserve">new WIPO Conference Hall </w:t>
            </w:r>
            <w:r w:rsidRPr="002D63BA">
              <w:rPr>
                <w:rFonts w:cs="Arial"/>
                <w:sz w:val="16"/>
                <w:szCs w:val="16"/>
              </w:rPr>
              <w:t>), (v) extensive use of natural air through a mixed ventilation system, (vi) vegetation roof for the Access Center enhancing cooling capacity and rain water drainage, (vii) lighting activated by presence detection during off-hours,.</w:t>
            </w:r>
          </w:p>
        </w:tc>
        <w:tc>
          <w:tcPr>
            <w:tcW w:w="475" w:type="pct"/>
            <w:tcBorders>
              <w:top w:val="nil"/>
              <w:bottom w:val="nil"/>
              <w:right w:val="single" w:sz="4" w:space="0" w:color="auto"/>
            </w:tcBorders>
            <w:shd w:val="clear" w:color="auto" w:fill="auto"/>
            <w:tcMar>
              <w:top w:w="110" w:type="dxa"/>
            </w:tcMar>
          </w:tcPr>
          <w:p w:rsidR="007505A5" w:rsidRPr="002D63BA" w:rsidRDefault="007505A5" w:rsidP="008D1891">
            <w:pPr>
              <w:jc w:val="center"/>
              <w:rPr>
                <w:rStyle w:val="Style5"/>
                <w:rFonts w:ascii="Arial" w:hAnsi="Arial" w:cs="Arial"/>
                <w:color w:val="002060"/>
                <w:sz w:val="16"/>
                <w:szCs w:val="16"/>
              </w:rPr>
            </w:pPr>
            <w:r w:rsidRPr="007505A5">
              <w:rPr>
                <w:b/>
                <w:color w:val="808080" w:themeColor="background1" w:themeShade="80"/>
                <w:sz w:val="12"/>
                <w:szCs w:val="16"/>
              </w:rPr>
              <w:t>Not assessable</w:t>
            </w:r>
          </w:p>
        </w:tc>
      </w:tr>
      <w:tr w:rsidR="007505A5" w:rsidRPr="002D63BA" w:rsidTr="007505A5">
        <w:trPr>
          <w:cantSplit/>
        </w:trPr>
        <w:tc>
          <w:tcPr>
            <w:tcW w:w="1095" w:type="pct"/>
            <w:tcBorders>
              <w:top w:val="nil"/>
              <w:left w:val="single" w:sz="4" w:space="0" w:color="auto"/>
              <w:bottom w:val="single" w:sz="4" w:space="0" w:color="auto"/>
            </w:tcBorders>
            <w:shd w:val="clear" w:color="auto" w:fill="auto"/>
          </w:tcPr>
          <w:p w:rsidR="007505A5" w:rsidRPr="002D63BA" w:rsidRDefault="007505A5" w:rsidP="008D1891">
            <w:pPr>
              <w:rPr>
                <w:rFonts w:cs="Arial"/>
                <w:sz w:val="16"/>
                <w:szCs w:val="16"/>
              </w:rPr>
            </w:pPr>
            <w:r w:rsidRPr="002D63BA">
              <w:rPr>
                <w:rFonts w:cs="Arial"/>
                <w:sz w:val="16"/>
                <w:szCs w:val="16"/>
              </w:rPr>
              <w:t>Completion of UN H-MOSS peripheral security measures for the new conference hall</w:t>
            </w:r>
          </w:p>
        </w:tc>
        <w:tc>
          <w:tcPr>
            <w:tcW w:w="803" w:type="pct"/>
            <w:tcBorders>
              <w:top w:val="nil"/>
              <w:bottom w:val="single" w:sz="4" w:space="0" w:color="auto"/>
            </w:tcBorders>
            <w:shd w:val="clear" w:color="auto" w:fill="auto"/>
          </w:tcPr>
          <w:p w:rsidR="007505A5" w:rsidRPr="002D63BA" w:rsidRDefault="007505A5" w:rsidP="008D1891">
            <w:pPr>
              <w:rPr>
                <w:rFonts w:cs="Arial"/>
                <w:i/>
                <w:sz w:val="16"/>
                <w:szCs w:val="16"/>
              </w:rPr>
            </w:pPr>
            <w:r w:rsidRPr="002D63BA">
              <w:rPr>
                <w:rFonts w:cs="Arial"/>
                <w:i/>
                <w:sz w:val="16"/>
                <w:szCs w:val="16"/>
              </w:rPr>
              <w:t>n/a</w:t>
            </w:r>
          </w:p>
          <w:p w:rsidR="007505A5" w:rsidRPr="002D63BA" w:rsidRDefault="007505A5" w:rsidP="008D1891">
            <w:pPr>
              <w:rPr>
                <w:rFonts w:cs="Arial"/>
                <w:sz w:val="16"/>
                <w:szCs w:val="16"/>
                <w:lang w:bidi="th-TH"/>
              </w:rPr>
            </w:pPr>
          </w:p>
        </w:tc>
        <w:tc>
          <w:tcPr>
            <w:tcW w:w="803" w:type="pct"/>
            <w:tcBorders>
              <w:top w:val="nil"/>
              <w:bottom w:val="single" w:sz="4" w:space="0" w:color="auto"/>
            </w:tcBorders>
            <w:shd w:val="clear" w:color="auto" w:fill="auto"/>
            <w:tcMar>
              <w:top w:w="110" w:type="dxa"/>
            </w:tcMar>
          </w:tcPr>
          <w:p w:rsidR="007505A5" w:rsidRPr="002D63BA" w:rsidRDefault="007505A5" w:rsidP="008D1891">
            <w:pPr>
              <w:rPr>
                <w:rFonts w:cs="Arial"/>
                <w:sz w:val="16"/>
                <w:szCs w:val="16"/>
              </w:rPr>
            </w:pPr>
            <w:r w:rsidRPr="002D63BA">
              <w:rPr>
                <w:rFonts w:cs="Arial"/>
                <w:sz w:val="16"/>
                <w:szCs w:val="16"/>
              </w:rPr>
              <w:t>Completion of peripheral UN H-MOSS measures by end-2015</w:t>
            </w:r>
          </w:p>
          <w:p w:rsidR="007505A5" w:rsidRPr="002D63BA" w:rsidRDefault="007505A5" w:rsidP="008D1891">
            <w:pPr>
              <w:rPr>
                <w:rFonts w:cs="Arial"/>
                <w:sz w:val="16"/>
                <w:szCs w:val="16"/>
              </w:rPr>
            </w:pPr>
          </w:p>
        </w:tc>
        <w:tc>
          <w:tcPr>
            <w:tcW w:w="1824" w:type="pct"/>
            <w:tcBorders>
              <w:top w:val="nil"/>
              <w:bottom w:val="single" w:sz="4" w:space="0" w:color="auto"/>
            </w:tcBorders>
            <w:shd w:val="clear" w:color="auto" w:fill="FFFFFF"/>
            <w:tcMar>
              <w:top w:w="110" w:type="dxa"/>
            </w:tcMar>
          </w:tcPr>
          <w:p w:rsidR="007505A5" w:rsidRPr="002D63BA" w:rsidRDefault="007505A5" w:rsidP="008D1891">
            <w:pPr>
              <w:rPr>
                <w:rFonts w:cs="Arial"/>
                <w:sz w:val="16"/>
                <w:szCs w:val="16"/>
              </w:rPr>
            </w:pPr>
            <w:r w:rsidRPr="002D63BA">
              <w:rPr>
                <w:rFonts w:cs="Arial"/>
                <w:sz w:val="16"/>
                <w:szCs w:val="16"/>
              </w:rPr>
              <w:t xml:space="preserve">The security </w:t>
            </w:r>
            <w:proofErr w:type="gramStart"/>
            <w:r w:rsidRPr="002D63BA">
              <w:rPr>
                <w:rFonts w:cs="Arial"/>
                <w:sz w:val="16"/>
                <w:szCs w:val="16"/>
              </w:rPr>
              <w:t xml:space="preserve">perimeter in front of the </w:t>
            </w:r>
            <w:r>
              <w:rPr>
                <w:rFonts w:cs="Arial"/>
                <w:sz w:val="16"/>
                <w:szCs w:val="16"/>
              </w:rPr>
              <w:t xml:space="preserve">new WIPO Conference Hall </w:t>
            </w:r>
            <w:r w:rsidRPr="002D63BA">
              <w:rPr>
                <w:rFonts w:cs="Arial"/>
                <w:sz w:val="16"/>
                <w:szCs w:val="16"/>
              </w:rPr>
              <w:t xml:space="preserve">on the AB Building side, as well as the anti-blast wall on the Route de </w:t>
            </w:r>
            <w:proofErr w:type="spellStart"/>
            <w:r w:rsidRPr="002D63BA">
              <w:rPr>
                <w:rFonts w:cs="Arial"/>
                <w:sz w:val="16"/>
                <w:szCs w:val="16"/>
              </w:rPr>
              <w:t>Ferney</w:t>
            </w:r>
            <w:proofErr w:type="spellEnd"/>
            <w:r w:rsidRPr="002D63BA">
              <w:rPr>
                <w:rFonts w:cs="Arial"/>
                <w:sz w:val="16"/>
                <w:szCs w:val="16"/>
              </w:rPr>
              <w:t xml:space="preserve"> side were</w:t>
            </w:r>
            <w:proofErr w:type="gramEnd"/>
            <w:r w:rsidRPr="002D63BA">
              <w:rPr>
                <w:rFonts w:cs="Arial"/>
                <w:sz w:val="16"/>
                <w:szCs w:val="16"/>
              </w:rPr>
              <w:t xml:space="preserve"> completed in August 2014. The deadline for completion of the other measures is foreseen for the end of 2015.</w:t>
            </w:r>
          </w:p>
          <w:p w:rsidR="007505A5" w:rsidRPr="002D63BA" w:rsidRDefault="007505A5" w:rsidP="008D1891">
            <w:pPr>
              <w:rPr>
                <w:rFonts w:cs="Arial"/>
                <w:sz w:val="16"/>
                <w:szCs w:val="16"/>
              </w:rPr>
            </w:pPr>
          </w:p>
        </w:tc>
        <w:tc>
          <w:tcPr>
            <w:tcW w:w="475" w:type="pct"/>
            <w:tcBorders>
              <w:top w:val="nil"/>
              <w:bottom w:val="single" w:sz="4" w:space="0" w:color="auto"/>
              <w:right w:val="single" w:sz="4" w:space="0" w:color="auto"/>
            </w:tcBorders>
            <w:shd w:val="clear" w:color="auto" w:fill="auto"/>
            <w:tcMar>
              <w:top w:w="110" w:type="dxa"/>
            </w:tcMar>
          </w:tcPr>
          <w:p w:rsidR="007505A5" w:rsidRPr="00AD39B0" w:rsidRDefault="007505A5" w:rsidP="008D1891">
            <w:pPr>
              <w:keepNext/>
              <w:keepLines/>
              <w:jc w:val="center"/>
              <w:rPr>
                <w:rStyle w:val="Style5"/>
                <w:rFonts w:cs="Arial"/>
                <w:b/>
                <w:color w:val="595959" w:themeColor="text1" w:themeTint="A6"/>
                <w:sz w:val="16"/>
                <w:szCs w:val="16"/>
              </w:rPr>
            </w:pPr>
            <w:r w:rsidRPr="00AD39B0">
              <w:rPr>
                <w:b/>
                <w:bCs/>
                <w:color w:val="00B050"/>
                <w:sz w:val="16"/>
                <w:szCs w:val="16"/>
              </w:rPr>
              <w:t>On track</w:t>
            </w:r>
          </w:p>
        </w:tc>
      </w:tr>
    </w:tbl>
    <w:p w:rsidR="007505A5" w:rsidRDefault="007505A5">
      <w:pPr>
        <w:rPr>
          <w:rFonts w:cs="Arial"/>
          <w:color w:val="000000"/>
          <w:sz w:val="22"/>
          <w:szCs w:val="22"/>
        </w:rPr>
      </w:pPr>
    </w:p>
    <w:p w:rsidR="007505A5" w:rsidRDefault="007505A5">
      <w:pPr>
        <w:rPr>
          <w:rFonts w:cs="Arial"/>
          <w:color w:val="000000"/>
          <w:sz w:val="22"/>
          <w:szCs w:val="22"/>
        </w:rPr>
      </w:pPr>
    </w:p>
    <w:p w:rsidR="007505A5" w:rsidRPr="006B4E73" w:rsidRDefault="007505A5" w:rsidP="00A8525E">
      <w:pPr>
        <w:rPr>
          <w:b/>
          <w:szCs w:val="20"/>
        </w:rPr>
      </w:pPr>
      <w:r w:rsidRPr="002D63BA">
        <w:rPr>
          <w:rFonts w:cs="Arial"/>
          <w:color w:val="000000"/>
          <w:sz w:val="22"/>
          <w:szCs w:val="20"/>
        </w:rPr>
        <w:t>RESOURCE UTILIZATION</w:t>
      </w:r>
      <w:r w:rsidRPr="002D63BA">
        <w:rPr>
          <w:rFonts w:cs="Arial"/>
          <w:color w:val="000000"/>
          <w:sz w:val="22"/>
          <w:szCs w:val="20"/>
        </w:rPr>
        <w:tab/>
      </w:r>
    </w:p>
    <w:p w:rsidR="007505A5" w:rsidRPr="008F4A6D" w:rsidRDefault="007505A5">
      <w:pPr>
        <w:rPr>
          <w:szCs w:val="20"/>
        </w:rPr>
      </w:pPr>
    </w:p>
    <w:p w:rsidR="007505A5" w:rsidRPr="00383D2D" w:rsidRDefault="007505A5" w:rsidP="004611B9">
      <w:pPr>
        <w:pStyle w:val="NormalWeb"/>
        <w:spacing w:before="0" w:beforeAutospacing="0" w:after="0" w:afterAutospacing="0"/>
        <w:jc w:val="center"/>
        <w:rPr>
          <w:sz w:val="20"/>
          <w:szCs w:val="20"/>
        </w:rPr>
      </w:pPr>
      <w:r w:rsidRPr="00383D2D">
        <w:rPr>
          <w:color w:val="000000"/>
          <w:sz w:val="20"/>
          <w:szCs w:val="20"/>
        </w:rPr>
        <w:t xml:space="preserve">Budget and Actual Expenditure (by result) </w:t>
      </w:r>
    </w:p>
    <w:p w:rsidR="007505A5" w:rsidRDefault="007505A5" w:rsidP="004611B9">
      <w:pPr>
        <w:pStyle w:val="NormalWeb"/>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7505A5" w:rsidRPr="00383D2D" w:rsidRDefault="007505A5" w:rsidP="004611B9">
      <w:pPr>
        <w:pStyle w:val="NormalWeb"/>
        <w:spacing w:before="0" w:beforeAutospacing="0" w:after="0" w:afterAutospacing="0"/>
        <w:jc w:val="center"/>
        <w:rPr>
          <w:sz w:val="20"/>
          <w:szCs w:val="20"/>
        </w:rPr>
      </w:pPr>
    </w:p>
    <w:p w:rsidR="007505A5" w:rsidRDefault="007505A5" w:rsidP="008D1891">
      <w:pPr>
        <w:jc w:val="center"/>
      </w:pPr>
      <w:r w:rsidRPr="00B871AA">
        <w:rPr>
          <w:noProof/>
        </w:rPr>
        <w:drawing>
          <wp:inline distT="0" distB="0" distL="0" distR="0" wp14:anchorId="4CAA07A9" wp14:editId="31F4C173">
            <wp:extent cx="5478449" cy="1648965"/>
            <wp:effectExtent l="0" t="0" r="0" b="8890"/>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484995" cy="1650935"/>
                    </a:xfrm>
                    <a:prstGeom prst="rect">
                      <a:avLst/>
                    </a:prstGeom>
                    <a:noFill/>
                    <a:ln>
                      <a:noFill/>
                    </a:ln>
                  </pic:spPr>
                </pic:pic>
              </a:graphicData>
            </a:graphic>
          </wp:inline>
        </w:drawing>
      </w:r>
    </w:p>
    <w:p w:rsidR="007505A5" w:rsidRDefault="007505A5"/>
    <w:p w:rsidR="007505A5" w:rsidRPr="00383D2D" w:rsidRDefault="007505A5" w:rsidP="00383D2D">
      <w:pPr>
        <w:pStyle w:val="NormalWeb"/>
        <w:keepNext/>
        <w:keepLines/>
        <w:spacing w:before="0" w:beforeAutospacing="0" w:after="0" w:afterAutospacing="0"/>
        <w:jc w:val="center"/>
        <w:rPr>
          <w:sz w:val="20"/>
          <w:szCs w:val="20"/>
        </w:rPr>
      </w:pPr>
      <w:r w:rsidRPr="00383D2D">
        <w:rPr>
          <w:color w:val="000000"/>
          <w:sz w:val="20"/>
          <w:szCs w:val="20"/>
        </w:rPr>
        <w:t xml:space="preserve">Budget and Actual Expenditure (personnel and non-personnel) </w:t>
      </w:r>
    </w:p>
    <w:p w:rsidR="007505A5" w:rsidRPr="00383D2D" w:rsidRDefault="007505A5" w:rsidP="00383D2D">
      <w:pPr>
        <w:pStyle w:val="NormalWeb"/>
        <w:keepNext/>
        <w:keepLines/>
        <w:spacing w:before="0" w:beforeAutospacing="0" w:after="0" w:afterAutospacing="0"/>
        <w:jc w:val="center"/>
        <w:rPr>
          <w:i/>
          <w:iCs/>
          <w:color w:val="000000"/>
          <w:sz w:val="20"/>
          <w:szCs w:val="20"/>
        </w:rPr>
      </w:pPr>
      <w:r w:rsidRPr="00383D2D">
        <w:rPr>
          <w:i/>
          <w:iCs/>
          <w:color w:val="000000"/>
          <w:sz w:val="20"/>
          <w:szCs w:val="20"/>
        </w:rPr>
        <w:t>(</w:t>
      </w:r>
      <w:proofErr w:type="gramStart"/>
      <w:r w:rsidRPr="00383D2D">
        <w:rPr>
          <w:i/>
          <w:iCs/>
          <w:color w:val="000000"/>
          <w:sz w:val="20"/>
          <w:szCs w:val="20"/>
        </w:rPr>
        <w:t>in</w:t>
      </w:r>
      <w:proofErr w:type="gramEnd"/>
      <w:r w:rsidRPr="00383D2D">
        <w:rPr>
          <w:i/>
          <w:iCs/>
          <w:color w:val="000000"/>
          <w:sz w:val="20"/>
          <w:szCs w:val="20"/>
        </w:rPr>
        <w:t xml:space="preserve"> thousands of Swiss francs)</w:t>
      </w:r>
    </w:p>
    <w:p w:rsidR="007505A5" w:rsidRDefault="007505A5" w:rsidP="00383D2D">
      <w:pPr>
        <w:pStyle w:val="NormalWeb"/>
        <w:keepNext/>
        <w:keepLines/>
        <w:spacing w:before="0" w:beforeAutospacing="0" w:after="0" w:afterAutospacing="0"/>
        <w:jc w:val="center"/>
      </w:pPr>
    </w:p>
    <w:p w:rsidR="007505A5" w:rsidRPr="00383D2D" w:rsidRDefault="007505A5" w:rsidP="008D1891">
      <w:pPr>
        <w:jc w:val="center"/>
        <w:rPr>
          <w:szCs w:val="20"/>
        </w:rPr>
      </w:pPr>
      <w:r w:rsidRPr="003E24CA">
        <w:rPr>
          <w:noProof/>
        </w:rPr>
        <w:drawing>
          <wp:inline distT="0" distB="0" distL="0" distR="0" wp14:anchorId="15AE3791" wp14:editId="57966089">
            <wp:extent cx="5605670" cy="1208657"/>
            <wp:effectExtent l="0" t="0" r="0" b="0"/>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608626" cy="1209294"/>
                    </a:xfrm>
                    <a:prstGeom prst="rect">
                      <a:avLst/>
                    </a:prstGeom>
                    <a:noFill/>
                    <a:ln>
                      <a:noFill/>
                    </a:ln>
                  </pic:spPr>
                </pic:pic>
              </a:graphicData>
            </a:graphic>
          </wp:inline>
        </w:drawing>
      </w:r>
    </w:p>
    <w:p w:rsidR="007505A5" w:rsidRPr="004312A2" w:rsidRDefault="007505A5" w:rsidP="00DD012F">
      <w:pPr>
        <w:keepNext/>
        <w:autoSpaceDE w:val="0"/>
        <w:autoSpaceDN w:val="0"/>
        <w:rPr>
          <w:sz w:val="16"/>
          <w:szCs w:val="16"/>
        </w:rPr>
      </w:pPr>
      <w:r w:rsidRPr="006B4E73">
        <w:rPr>
          <w:i/>
          <w:sz w:val="16"/>
          <w:szCs w:val="16"/>
        </w:rPr>
        <w:t>NOTE: The 2014/15 Budget after Transfers reflects transfers as of March 31, 2015 to address needs during the 2014/15 biennium in line with Financial Regulation 5.5</w:t>
      </w:r>
      <w:r w:rsidRPr="00105DE7">
        <w:rPr>
          <w:sz w:val="16"/>
          <w:szCs w:val="16"/>
        </w:rPr>
        <w:t>.</w:t>
      </w:r>
    </w:p>
    <w:p w:rsidR="007505A5" w:rsidRDefault="007505A5" w:rsidP="00420F90">
      <w:pPr>
        <w:widowControl w:val="0"/>
        <w:autoSpaceDE w:val="0"/>
        <w:autoSpaceDN w:val="0"/>
        <w:adjustRightInd w:val="0"/>
        <w:rPr>
          <w:rFonts w:cs="Arial"/>
          <w:szCs w:val="20"/>
        </w:rPr>
      </w:pPr>
    </w:p>
    <w:p w:rsidR="007505A5" w:rsidRPr="001C6F4D" w:rsidRDefault="007505A5" w:rsidP="00420F90">
      <w:pPr>
        <w:widowControl w:val="0"/>
        <w:autoSpaceDE w:val="0"/>
        <w:autoSpaceDN w:val="0"/>
        <w:adjustRightInd w:val="0"/>
        <w:rPr>
          <w:rFonts w:cs="Arial"/>
          <w:szCs w:val="20"/>
        </w:rPr>
      </w:pPr>
    </w:p>
    <w:p w:rsidR="007505A5" w:rsidRDefault="007505A5" w:rsidP="007505A5">
      <w:pPr>
        <w:keepNext/>
        <w:keepLines/>
        <w:rPr>
          <w:rFonts w:cs="Arial"/>
          <w:u w:val="single"/>
        </w:rPr>
      </w:pPr>
      <w:r w:rsidRPr="00420F90">
        <w:rPr>
          <w:rFonts w:cs="Arial"/>
          <w:szCs w:val="20"/>
        </w:rPr>
        <w:lastRenderedPageBreak/>
        <w:t>A.</w:t>
      </w:r>
      <w:r w:rsidRPr="00420F90">
        <w:rPr>
          <w:rFonts w:cs="Arial"/>
        </w:rPr>
        <w:tab/>
      </w:r>
      <w:r w:rsidRPr="00420F90">
        <w:rPr>
          <w:rFonts w:cs="Arial"/>
          <w:u w:val="single"/>
        </w:rPr>
        <w:t>Budget after Transfers 201</w:t>
      </w:r>
      <w:r>
        <w:rPr>
          <w:rFonts w:cs="Arial"/>
          <w:u w:val="single"/>
        </w:rPr>
        <w:t>4/15</w:t>
      </w:r>
    </w:p>
    <w:p w:rsidR="007505A5" w:rsidRPr="00420F90" w:rsidRDefault="007505A5" w:rsidP="007505A5">
      <w:pPr>
        <w:keepNext/>
        <w:keepLines/>
        <w:rPr>
          <w:rFonts w:cs="Arial"/>
          <w:u w:val="single"/>
        </w:rPr>
      </w:pPr>
    </w:p>
    <w:p w:rsidR="007505A5" w:rsidRDefault="007505A5" w:rsidP="007505A5">
      <w:pPr>
        <w:pStyle w:val="ListParagraph"/>
        <w:keepNext/>
        <w:keepLines/>
        <w:numPr>
          <w:ilvl w:val="0"/>
          <w:numId w:val="63"/>
        </w:numPr>
        <w:tabs>
          <w:tab w:val="left" w:pos="709"/>
        </w:tabs>
        <w:ind w:left="0" w:firstLine="0"/>
        <w:jc w:val="both"/>
      </w:pPr>
      <w:r>
        <w:t xml:space="preserve">The slight reduction in the 2014/15 Budget after Transfers is the result of the implementation of cost efficiency measures in 2014/15.  The slight shift of resources by Expected Results is primarily due to the redistribution of personnel resources towards ensuring compliance with applicable standards related to physical accessibility, environment and energy efficiency as well as implementation of  peripheral security measures according to UN-HMOSS standards (in coordination with Program 28) for the </w:t>
      </w:r>
      <w:r w:rsidR="00472AA6">
        <w:t>n</w:t>
      </w:r>
      <w:r>
        <w:t xml:space="preserve">ew </w:t>
      </w:r>
      <w:r w:rsidR="00472AA6">
        <w:t xml:space="preserve">WIPO </w:t>
      </w:r>
      <w:r>
        <w:t>Conference Hall.</w:t>
      </w:r>
      <w:r w:rsidRPr="006B7283">
        <w:t xml:space="preserve"> </w:t>
      </w:r>
    </w:p>
    <w:p w:rsidR="007505A5" w:rsidRDefault="007505A5" w:rsidP="008D1891">
      <w:pPr>
        <w:autoSpaceDE w:val="0"/>
        <w:autoSpaceDN w:val="0"/>
        <w:jc w:val="both"/>
        <w:rPr>
          <w:rFonts w:cs="Arial"/>
          <w:szCs w:val="20"/>
          <w:lang w:eastAsia="ko-KR"/>
        </w:rPr>
      </w:pPr>
    </w:p>
    <w:p w:rsidR="007505A5" w:rsidRDefault="007505A5" w:rsidP="008D1891">
      <w:pPr>
        <w:jc w:val="both"/>
        <w:rPr>
          <w:rFonts w:cs="Arial"/>
          <w:szCs w:val="20"/>
          <w:u w:val="single"/>
          <w:lang w:eastAsia="ko-KR"/>
        </w:rPr>
      </w:pPr>
      <w:r>
        <w:rPr>
          <w:rFonts w:cs="Arial"/>
          <w:szCs w:val="20"/>
          <w:lang w:eastAsia="ko-KR"/>
        </w:rPr>
        <w:t>B.</w:t>
      </w:r>
      <w:r>
        <w:rPr>
          <w:rFonts w:cs="Arial"/>
          <w:szCs w:val="20"/>
          <w:lang w:eastAsia="ko-KR"/>
        </w:rPr>
        <w:tab/>
      </w:r>
      <w:r>
        <w:rPr>
          <w:rFonts w:cs="Arial"/>
          <w:szCs w:val="20"/>
          <w:u w:val="single"/>
          <w:lang w:eastAsia="ko-KR"/>
        </w:rPr>
        <w:t>Budget utilization 2014</w:t>
      </w:r>
    </w:p>
    <w:p w:rsidR="007505A5" w:rsidRDefault="007505A5" w:rsidP="008D1891">
      <w:pPr>
        <w:tabs>
          <w:tab w:val="left" w:pos="709"/>
        </w:tabs>
        <w:jc w:val="both"/>
        <w:rPr>
          <w:rFonts w:cs="Arial"/>
          <w:szCs w:val="20"/>
          <w:u w:val="single"/>
          <w:lang w:eastAsia="ko-KR"/>
        </w:rPr>
      </w:pPr>
    </w:p>
    <w:p w:rsidR="007505A5" w:rsidRPr="002651C8" w:rsidRDefault="007505A5" w:rsidP="007505A5">
      <w:pPr>
        <w:pStyle w:val="ListParagraph"/>
        <w:numPr>
          <w:ilvl w:val="0"/>
          <w:numId w:val="63"/>
        </w:numPr>
        <w:tabs>
          <w:tab w:val="left" w:pos="709"/>
        </w:tabs>
        <w:ind w:left="0" w:firstLine="0"/>
        <w:jc w:val="both"/>
        <w:rPr>
          <w:rFonts w:ascii="Calibri" w:hAnsi="Calibri"/>
          <w:sz w:val="22"/>
          <w:szCs w:val="22"/>
        </w:rPr>
      </w:pPr>
      <w:r>
        <w:rPr>
          <w:rFonts w:cs="Arial"/>
        </w:rPr>
        <w:t>Budget</w:t>
      </w:r>
      <w:r>
        <w:rPr>
          <w:rFonts w:cs="Arial"/>
          <w:lang w:eastAsia="ko-KR"/>
        </w:rPr>
        <w:t xml:space="preserve"> utilization is within the expected range of 40-60 per cent for the first year of the biennium and is on track. </w:t>
      </w:r>
    </w:p>
    <w:p w:rsidR="007505A5" w:rsidRDefault="007505A5" w:rsidP="00383D2D">
      <w:pPr>
        <w:tabs>
          <w:tab w:val="left" w:pos="709"/>
        </w:tabs>
        <w:jc w:val="both"/>
        <w:rPr>
          <w:rFonts w:cs="Arial"/>
          <w:szCs w:val="20"/>
          <w:u w:val="single"/>
          <w:lang w:eastAsia="ko-KR"/>
        </w:rPr>
      </w:pPr>
    </w:p>
    <w:p w:rsidR="007505A5" w:rsidRDefault="007505A5" w:rsidP="00295D7D">
      <w:pPr>
        <w:autoSpaceDE w:val="0"/>
        <w:autoSpaceDN w:val="0"/>
        <w:jc w:val="both"/>
      </w:pPr>
    </w:p>
    <w:p w:rsidR="0063033D" w:rsidRDefault="0063033D">
      <w:pPr>
        <w:sectPr w:rsidR="0063033D" w:rsidSect="007C62B7">
          <w:headerReference w:type="even" r:id="rId155"/>
          <w:headerReference w:type="default" r:id="rId156"/>
          <w:footerReference w:type="even" r:id="rId157"/>
          <w:footerReference w:type="default" r:id="rId158"/>
          <w:headerReference w:type="first" r:id="rId159"/>
          <w:footerReference w:type="first" r:id="rId160"/>
          <w:pgSz w:w="11907" w:h="16840" w:code="9"/>
          <w:pgMar w:top="567" w:right="1134" w:bottom="1247" w:left="1418" w:header="567" w:footer="1021" w:gutter="0"/>
          <w:pgNumType w:start="1"/>
          <w:cols w:space="720"/>
          <w:titlePg/>
          <w:docGrid w:linePitch="272"/>
        </w:sectPr>
      </w:pPr>
    </w:p>
    <w:p w:rsidR="0063033D" w:rsidRPr="0063033D" w:rsidRDefault="0063033D" w:rsidP="0063033D">
      <w:pPr>
        <w:pStyle w:val="Heading1"/>
        <w:ind w:hanging="578"/>
        <w:jc w:val="left"/>
      </w:pPr>
      <w:bookmarkStart w:id="101" w:name="_Toc422210519"/>
      <w:r w:rsidRPr="0063033D">
        <w:lastRenderedPageBreak/>
        <w:t>APPENDICES</w:t>
      </w:r>
      <w:bookmarkEnd w:id="101"/>
    </w:p>
    <w:p w:rsidR="0063033D" w:rsidRDefault="0063033D" w:rsidP="008D1891">
      <w:pPr>
        <w:rPr>
          <w:rFonts w:eastAsia="SimSun"/>
          <w:b/>
          <w:bCs/>
          <w:sz w:val="22"/>
          <w:szCs w:val="28"/>
        </w:rPr>
      </w:pPr>
    </w:p>
    <w:p w:rsidR="0063033D" w:rsidRDefault="0063033D" w:rsidP="008D1891">
      <w:pPr>
        <w:rPr>
          <w:rFonts w:eastAsia="SimSun"/>
          <w:b/>
          <w:bCs/>
          <w:sz w:val="22"/>
          <w:szCs w:val="28"/>
        </w:rPr>
      </w:pPr>
    </w:p>
    <w:p w:rsidR="0063033D" w:rsidRDefault="0063033D" w:rsidP="006C404A">
      <w:pPr>
        <w:pStyle w:val="Heading2"/>
        <w:tabs>
          <w:tab w:val="clear" w:pos="567"/>
          <w:tab w:val="left" w:pos="2268"/>
        </w:tabs>
        <w:ind w:left="0" w:firstLine="0"/>
        <w:rPr>
          <w:rFonts w:eastAsia="SimSun"/>
          <w:b w:val="0"/>
          <w:bCs w:val="0"/>
        </w:rPr>
      </w:pPr>
      <w:bookmarkStart w:id="102" w:name="_Toc422210520"/>
      <w:r w:rsidRPr="0063033D">
        <w:t>APPENDIX I</w:t>
      </w:r>
      <w:r w:rsidR="006C404A">
        <w:t xml:space="preserve">     </w:t>
      </w:r>
      <w:r w:rsidR="00815ABB">
        <w:br/>
      </w:r>
      <w:r w:rsidR="00815ABB">
        <w:br/>
      </w:r>
      <w:r w:rsidRPr="00815ABB">
        <w:t>BREAKDOWN OF THE PERFORMANCE ASSESSMENTS BY PROGRAM</w:t>
      </w:r>
      <w:bookmarkEnd w:id="102"/>
    </w:p>
    <w:p w:rsidR="0063033D" w:rsidRDefault="0063033D" w:rsidP="008D1891">
      <w:r>
        <w:t xml:space="preserve"> </w:t>
      </w:r>
    </w:p>
    <w:p w:rsidR="0063033D" w:rsidRDefault="0063033D" w:rsidP="008D1891"/>
    <w:p w:rsidR="0063033D" w:rsidRPr="00812B04" w:rsidRDefault="0063033D" w:rsidP="008D1891">
      <w:pPr>
        <w:jc w:val="both"/>
      </w:pPr>
      <w:r w:rsidRPr="00812B04">
        <w:t xml:space="preserve">The performance assessments for individual Programs in the PPR </w:t>
      </w:r>
      <w:r>
        <w:t>2014</w:t>
      </w:r>
      <w:r w:rsidRPr="00812B04">
        <w:t xml:space="preserve"> comprise:</w:t>
      </w:r>
    </w:p>
    <w:p w:rsidR="0063033D" w:rsidRPr="00812B04" w:rsidRDefault="0063033D" w:rsidP="008D1891">
      <w:pPr>
        <w:jc w:val="both"/>
        <w:rPr>
          <w:i/>
          <w:iCs/>
        </w:rPr>
      </w:pPr>
    </w:p>
    <w:p w:rsidR="0063033D" w:rsidRPr="00812B04" w:rsidRDefault="0063033D" w:rsidP="008D1891">
      <w:pPr>
        <w:jc w:val="both"/>
        <w:rPr>
          <w:bCs/>
          <w:i/>
          <w:iCs/>
          <w:szCs w:val="22"/>
        </w:rPr>
      </w:pPr>
      <w:r w:rsidRPr="00812B04">
        <w:rPr>
          <w:i/>
          <w:iCs/>
        </w:rPr>
        <w:t xml:space="preserve">Section I: </w:t>
      </w:r>
      <w:r>
        <w:rPr>
          <w:bCs/>
          <w:i/>
          <w:iCs/>
        </w:rPr>
        <w:t>Overview of Progress</w:t>
      </w:r>
      <w:r w:rsidRPr="00812B04">
        <w:rPr>
          <w:bCs/>
          <w:i/>
          <w:iCs/>
        </w:rPr>
        <w:t xml:space="preserve"> in </w:t>
      </w:r>
      <w:r>
        <w:rPr>
          <w:bCs/>
          <w:i/>
          <w:iCs/>
        </w:rPr>
        <w:t>2014</w:t>
      </w:r>
    </w:p>
    <w:p w:rsidR="0063033D" w:rsidRPr="00812B04" w:rsidRDefault="0063033D" w:rsidP="008D1891">
      <w:pPr>
        <w:jc w:val="both"/>
      </w:pPr>
    </w:p>
    <w:p w:rsidR="0063033D" w:rsidRDefault="0063033D" w:rsidP="008D1891">
      <w:pPr>
        <w:spacing w:after="120"/>
        <w:jc w:val="both"/>
      </w:pPr>
      <w:r w:rsidRPr="00812B04">
        <w:t xml:space="preserve">An analytical summary presenting </w:t>
      </w:r>
      <w:r>
        <w:t>progress made in 2014 towards achieving the R</w:t>
      </w:r>
      <w:r w:rsidRPr="00812B04">
        <w:t>esults</w:t>
      </w:r>
      <w:r>
        <w:t xml:space="preserve"> </w:t>
      </w:r>
      <w:r w:rsidRPr="00812B04">
        <w:t>by the Program concerned and any challenges encountered during the period under review</w:t>
      </w:r>
      <w:r>
        <w:t xml:space="preserve">.  For the first time in 2014, the assessment of the implementation of the Development Agenda (DA) has been mainstreamed and therefore integrated into the </w:t>
      </w:r>
      <w:r w:rsidRPr="00EC392B">
        <w:rPr>
          <w:i/>
        </w:rPr>
        <w:t>Overview of Progress.</w:t>
      </w:r>
      <w:r>
        <w:t xml:space="preserve">  </w:t>
      </w:r>
      <w:r w:rsidRPr="00812B04">
        <w:t xml:space="preserve">In line with </w:t>
      </w:r>
      <w:r w:rsidRPr="00EC392B">
        <w:t>the Budgetary Process for Projects Proposed by the Committee on Development and Intellectual Property (CDIP) for the Implementation of the DA Recommendations, approved by the WIPO Assemblies in 2010</w:t>
      </w:r>
      <w:r>
        <w:rPr>
          <w:rStyle w:val="FootnoteReference"/>
        </w:rPr>
        <w:footnoteReference w:id="64"/>
      </w:r>
      <w:r w:rsidRPr="00812B04">
        <w:t xml:space="preserve">, the reporting on the DA </w:t>
      </w:r>
      <w:r>
        <w:t xml:space="preserve">continues to </w:t>
      </w:r>
      <w:r w:rsidRPr="00812B04">
        <w:t>include detailed reporting on both the implementation of DA projects and DA Recommendations.</w:t>
      </w:r>
    </w:p>
    <w:p w:rsidR="0063033D" w:rsidRPr="00812B04" w:rsidRDefault="0063033D" w:rsidP="008D1891">
      <w:pPr>
        <w:jc w:val="both"/>
      </w:pPr>
    </w:p>
    <w:p w:rsidR="0063033D" w:rsidRPr="00812B04" w:rsidRDefault="0063033D" w:rsidP="008D1891">
      <w:pPr>
        <w:autoSpaceDE w:val="0"/>
        <w:autoSpaceDN w:val="0"/>
        <w:adjustRightInd w:val="0"/>
        <w:jc w:val="both"/>
        <w:rPr>
          <w:i/>
          <w:iCs/>
        </w:rPr>
      </w:pPr>
      <w:r w:rsidRPr="00812B04">
        <w:rPr>
          <w:i/>
          <w:iCs/>
        </w:rPr>
        <w:t xml:space="preserve">Section II: </w:t>
      </w:r>
      <w:r>
        <w:rPr>
          <w:i/>
          <w:iCs/>
        </w:rPr>
        <w:t xml:space="preserve"> </w:t>
      </w:r>
      <w:r w:rsidRPr="00812B04">
        <w:rPr>
          <w:i/>
          <w:iCs/>
        </w:rPr>
        <w:t>Performance Data</w:t>
      </w:r>
    </w:p>
    <w:p w:rsidR="0063033D" w:rsidRPr="00812B04" w:rsidRDefault="0063033D" w:rsidP="008D1891">
      <w:pPr>
        <w:jc w:val="both"/>
      </w:pPr>
    </w:p>
    <w:p w:rsidR="0063033D" w:rsidRDefault="0063033D" w:rsidP="008D1891">
      <w:pPr>
        <w:spacing w:after="120"/>
        <w:jc w:val="both"/>
      </w:pPr>
      <w:r w:rsidRPr="00812B04">
        <w:t>The table in this section recapitulates the Expected Results to which the Program contributes and the Performance Indicators</w:t>
      </w:r>
      <w:r>
        <w:t>, which measure</w:t>
      </w:r>
      <w:r w:rsidRPr="00812B04">
        <w:t xml:space="preserve"> Programs’ contribution to the Results as approved by Member States in the Program and Budget 201</w:t>
      </w:r>
      <w:r>
        <w:t>4</w:t>
      </w:r>
      <w:r w:rsidRPr="00812B04">
        <w:t>/1</w:t>
      </w:r>
      <w:r>
        <w:t>5</w:t>
      </w:r>
      <w:r w:rsidRPr="00812B04">
        <w:t xml:space="preserve">. Baselines have been updated, as appropriate, to reflect </w:t>
      </w:r>
      <w:r>
        <w:t xml:space="preserve">the </w:t>
      </w:r>
      <w:r w:rsidRPr="00812B04">
        <w:t>status at the end of 201</w:t>
      </w:r>
      <w:r>
        <w:t>3</w:t>
      </w:r>
      <w:r w:rsidRPr="00812B04">
        <w:t xml:space="preserve">. </w:t>
      </w:r>
      <w:r>
        <w:t>T</w:t>
      </w:r>
      <w:r w:rsidRPr="00812B04">
        <w:t xml:space="preserve">he performance data tables </w:t>
      </w:r>
      <w:r>
        <w:t xml:space="preserve">continue </w:t>
      </w:r>
      <w:r w:rsidRPr="00812B04">
        <w:t>to reflect both the original baselines (as per the Program and Budget 201</w:t>
      </w:r>
      <w:r>
        <w:t>4</w:t>
      </w:r>
      <w:r w:rsidRPr="00812B04">
        <w:t>/1</w:t>
      </w:r>
      <w:r>
        <w:t>5</w:t>
      </w:r>
      <w:r w:rsidRPr="00812B04">
        <w:t>), the updated baselines (as per the end of 201</w:t>
      </w:r>
      <w:r>
        <w:t>3</w:t>
      </w:r>
      <w:r w:rsidRPr="00812B04">
        <w:t>), and targets (as per the Program and Budget 201</w:t>
      </w:r>
      <w:r>
        <w:t>4</w:t>
      </w:r>
      <w:r w:rsidRPr="00812B04">
        <w:t>/1</w:t>
      </w:r>
      <w:r>
        <w:t>5</w:t>
      </w:r>
      <w:r w:rsidRPr="00812B04">
        <w:t xml:space="preserve">) for comparability purposes in relation to the performance data and assessments. </w:t>
      </w:r>
      <w:r w:rsidRPr="00E54155">
        <w:t>In line with Member States’ requests, the tables have been further enhanced in 2014.  Programs were provided an opportunity to define targets that had not been defined in the Program and Budget 2014/15, i.e. “</w:t>
      </w:r>
      <w:proofErr w:type="spellStart"/>
      <w:r w:rsidRPr="00E54155">
        <w:t>tbd</w:t>
      </w:r>
      <w:proofErr w:type="spellEnd"/>
      <w:r w:rsidRPr="00E54155">
        <w:t>” targets</w:t>
      </w:r>
      <w:r>
        <w:t>, d</w:t>
      </w:r>
      <w:r w:rsidRPr="00E54155">
        <w:t>uring the baseline update exercise (launched in Jul</w:t>
      </w:r>
      <w:r>
        <w:t>y</w:t>
      </w:r>
      <w:r w:rsidRPr="00E54155">
        <w:t xml:space="preserve"> 2014),</w:t>
      </w:r>
      <w:r>
        <w:t xml:space="preserve"> </w:t>
      </w:r>
      <w:r w:rsidRPr="00E54155">
        <w:t>using the year-end 2013 data as the basis</w:t>
      </w:r>
      <w:r>
        <w:t xml:space="preserve">.  </w:t>
      </w:r>
      <w:r w:rsidRPr="00E54155">
        <w:t>Targets that were not defined during this process remain undefined, and performance data are consequently rated as “not assessable.”</w:t>
      </w:r>
      <w:r>
        <w:t xml:space="preserve">  </w:t>
      </w:r>
      <w:r w:rsidRPr="00812B04">
        <w:t xml:space="preserve">The performance data for </w:t>
      </w:r>
      <w:r>
        <w:t>2014</w:t>
      </w:r>
      <w:r w:rsidRPr="00812B04">
        <w:t xml:space="preserve"> in relation to each indicator is provided in the fourth column.  The fifth column provides an assessment of performance using the “traffic light system”.  </w:t>
      </w:r>
    </w:p>
    <w:p w:rsidR="0063033D" w:rsidRDefault="0063033D" w:rsidP="008D1891">
      <w:pPr>
        <w:jc w:val="both"/>
        <w:rPr>
          <w:i/>
          <w:iCs/>
        </w:rPr>
      </w:pPr>
    </w:p>
    <w:p w:rsidR="0063033D" w:rsidRPr="00812B04" w:rsidRDefault="0063033D" w:rsidP="008D1891">
      <w:pPr>
        <w:jc w:val="both"/>
        <w:rPr>
          <w:i/>
          <w:iCs/>
        </w:rPr>
      </w:pPr>
      <w:r w:rsidRPr="00812B04">
        <w:rPr>
          <w:i/>
          <w:iCs/>
        </w:rPr>
        <w:t>Section I</w:t>
      </w:r>
      <w:r>
        <w:rPr>
          <w:i/>
          <w:iCs/>
        </w:rPr>
        <w:t>II</w:t>
      </w:r>
      <w:r w:rsidRPr="00812B04">
        <w:rPr>
          <w:i/>
          <w:iCs/>
        </w:rPr>
        <w:t xml:space="preserve">: </w:t>
      </w:r>
      <w:r>
        <w:rPr>
          <w:i/>
          <w:iCs/>
        </w:rPr>
        <w:t>Resource Utilization</w:t>
      </w:r>
      <w:r w:rsidRPr="00812B04">
        <w:rPr>
          <w:i/>
          <w:iCs/>
        </w:rPr>
        <w:t xml:space="preserve"> for </w:t>
      </w:r>
      <w:r>
        <w:rPr>
          <w:i/>
          <w:iCs/>
        </w:rPr>
        <w:t>2014</w:t>
      </w:r>
    </w:p>
    <w:p w:rsidR="0063033D" w:rsidRPr="00812B04" w:rsidRDefault="0063033D" w:rsidP="008D1891">
      <w:pPr>
        <w:jc w:val="both"/>
      </w:pPr>
    </w:p>
    <w:p w:rsidR="0063033D" w:rsidRPr="00812B04" w:rsidRDefault="0063033D" w:rsidP="008D1891">
      <w:pPr>
        <w:tabs>
          <w:tab w:val="left" w:pos="851"/>
        </w:tabs>
        <w:jc w:val="both"/>
      </w:pPr>
      <w:r w:rsidRPr="00812B04">
        <w:t>The final section provides information on the Approved Budget 201</w:t>
      </w:r>
      <w:r>
        <w:t>4</w:t>
      </w:r>
      <w:r w:rsidRPr="00812B04">
        <w:t>/1</w:t>
      </w:r>
      <w:r>
        <w:t>5</w:t>
      </w:r>
      <w:r w:rsidRPr="00812B04">
        <w:t>, the Budget after Transfers 201</w:t>
      </w:r>
      <w:r>
        <w:t>4</w:t>
      </w:r>
      <w:r w:rsidRPr="00812B04">
        <w:t>/1</w:t>
      </w:r>
      <w:r>
        <w:t>5</w:t>
      </w:r>
      <w:r w:rsidRPr="00812B04">
        <w:t xml:space="preserve">, </w:t>
      </w:r>
      <w:r>
        <w:t xml:space="preserve">and </w:t>
      </w:r>
      <w:r w:rsidRPr="00812B04">
        <w:t xml:space="preserve">actual expenditure and budget utilization in </w:t>
      </w:r>
      <w:r>
        <w:t>2014</w:t>
      </w:r>
      <w:r w:rsidRPr="00812B04">
        <w:t>.  The reporting in this section include</w:t>
      </w:r>
      <w:r>
        <w:t>s</w:t>
      </w:r>
      <w:r w:rsidRPr="00812B04">
        <w:t xml:space="preserve"> two tables:</w:t>
      </w:r>
    </w:p>
    <w:p w:rsidR="0063033D" w:rsidRPr="00812B04" w:rsidRDefault="0063033D" w:rsidP="008D1891">
      <w:pPr>
        <w:jc w:val="both"/>
      </w:pPr>
    </w:p>
    <w:p w:rsidR="0063033D" w:rsidRDefault="0063033D" w:rsidP="008D1891">
      <w:pPr>
        <w:pStyle w:val="ListParagraph"/>
        <w:ind w:left="0"/>
        <w:jc w:val="both"/>
        <w:rPr>
          <w:rFonts w:cs="Arial"/>
          <w:lang w:eastAsia="ko-KR"/>
        </w:rPr>
      </w:pPr>
      <w:r w:rsidRPr="00812B04">
        <w:t xml:space="preserve">The </w:t>
      </w:r>
      <w:r w:rsidRPr="00812B04">
        <w:rPr>
          <w:i/>
        </w:rPr>
        <w:t xml:space="preserve">Budget and Actual Expenditure (by result) </w:t>
      </w:r>
      <w:r w:rsidRPr="00812B04">
        <w:t>provides</w:t>
      </w:r>
      <w:r>
        <w:t xml:space="preserve"> </w:t>
      </w:r>
      <w:r w:rsidRPr="00812B04">
        <w:t>information on the Approved Budget 201</w:t>
      </w:r>
      <w:r>
        <w:t>4</w:t>
      </w:r>
      <w:r w:rsidRPr="00812B04">
        <w:t>/1</w:t>
      </w:r>
      <w:r>
        <w:t>5</w:t>
      </w:r>
      <w:r w:rsidRPr="00812B04">
        <w:t>, the Budget after Transfer</w:t>
      </w:r>
      <w:r>
        <w:t>s</w:t>
      </w:r>
      <w:r w:rsidRPr="00812B04">
        <w:t xml:space="preserve"> </w:t>
      </w:r>
      <w:proofErr w:type="gramStart"/>
      <w:r w:rsidRPr="00812B04">
        <w:t>2</w:t>
      </w:r>
      <w:r w:rsidRPr="00E54155">
        <w:t>014/15,</w:t>
      </w:r>
      <w:proofErr w:type="gramEnd"/>
      <w:r w:rsidRPr="00E54155">
        <w:t xml:space="preserve"> and actual expenditure by Result for 2014.  In 2014, the EPM planning system was enhanced to support the Organizational move to position level planning. </w:t>
      </w:r>
      <w:r w:rsidRPr="00E54155">
        <w:rPr>
          <w:rFonts w:cs="Arial"/>
          <w:lang w:eastAsia="ko-KR"/>
        </w:rPr>
        <w:t xml:space="preserve"> The adjustments across Results in the Budget after Transfers 2014/15 in Programs reflect this new and more accurate methodology for allocation of personnel resources.</w:t>
      </w:r>
      <w:r>
        <w:rPr>
          <w:rFonts w:cs="Arial"/>
          <w:lang w:eastAsia="ko-KR"/>
        </w:rPr>
        <w:t xml:space="preserve"> </w:t>
      </w:r>
    </w:p>
    <w:p w:rsidR="0063033D" w:rsidRPr="00812B04" w:rsidRDefault="0063033D" w:rsidP="008D1891">
      <w:pPr>
        <w:jc w:val="both"/>
      </w:pPr>
    </w:p>
    <w:p w:rsidR="0063033D" w:rsidRDefault="0063033D" w:rsidP="008D1891">
      <w:pPr>
        <w:autoSpaceDE w:val="0"/>
        <w:autoSpaceDN w:val="0"/>
        <w:adjustRightInd w:val="0"/>
        <w:jc w:val="both"/>
      </w:pPr>
      <w:r w:rsidRPr="00812B04">
        <w:t xml:space="preserve">The </w:t>
      </w:r>
      <w:r w:rsidRPr="00812B04">
        <w:rPr>
          <w:i/>
        </w:rPr>
        <w:t xml:space="preserve">Budget and Actual Expenditure (personnel and non-personnel resources) </w:t>
      </w:r>
      <w:r w:rsidRPr="00812B04">
        <w:t>provides information on the Approved Budget 201</w:t>
      </w:r>
      <w:r>
        <w:t>4</w:t>
      </w:r>
      <w:r w:rsidRPr="00812B04">
        <w:t>/1</w:t>
      </w:r>
      <w:r>
        <w:t>5</w:t>
      </w:r>
      <w:r w:rsidRPr="00812B04">
        <w:t>, the Budget after Transfer</w:t>
      </w:r>
      <w:r>
        <w:t>s</w:t>
      </w:r>
      <w:r w:rsidRPr="00812B04">
        <w:t xml:space="preserve"> </w:t>
      </w:r>
      <w:proofErr w:type="gramStart"/>
      <w:r w:rsidRPr="00812B04">
        <w:t>201</w:t>
      </w:r>
      <w:r>
        <w:t>4</w:t>
      </w:r>
      <w:r w:rsidRPr="00812B04">
        <w:t>/1</w:t>
      </w:r>
      <w:r>
        <w:t>5,</w:t>
      </w:r>
      <w:proofErr w:type="gramEnd"/>
      <w:r w:rsidRPr="00812B04">
        <w:t xml:space="preserve"> and actual expenditure </w:t>
      </w:r>
      <w:r>
        <w:t>2014</w:t>
      </w:r>
      <w:r w:rsidRPr="00812B04">
        <w:t xml:space="preserve"> (personnel and non-personnel).  Explanations are provided for the differences between the Approved Budget and Budget after Transfer</w:t>
      </w:r>
      <w:r>
        <w:t>s</w:t>
      </w:r>
      <w:r w:rsidRPr="00812B04">
        <w:t>, as well as for budget utilization, taking into account both a Results view and a view of type of expenditure (personnel and non-personnel).</w:t>
      </w:r>
    </w:p>
    <w:p w:rsidR="0063033D" w:rsidRPr="004C6584" w:rsidRDefault="0063033D" w:rsidP="008D1891">
      <w:pPr>
        <w:autoSpaceDE w:val="0"/>
        <w:autoSpaceDN w:val="0"/>
        <w:adjustRightInd w:val="0"/>
        <w:jc w:val="right"/>
        <w:rPr>
          <w:rFonts w:eastAsiaTheme="minorHAnsi" w:cs="Arial"/>
          <w:sz w:val="16"/>
          <w:szCs w:val="16"/>
        </w:rPr>
      </w:pPr>
      <w:r w:rsidRPr="00C842DA">
        <w:t>[</w:t>
      </w:r>
      <w:r>
        <w:t>Appendix II follows</w:t>
      </w:r>
      <w:r w:rsidRPr="00C842DA">
        <w:t>]</w:t>
      </w:r>
    </w:p>
    <w:p w:rsidR="0063033D" w:rsidRPr="00815ABB" w:rsidRDefault="0063033D" w:rsidP="00815ABB">
      <w:pPr>
        <w:pStyle w:val="Heading2"/>
        <w:ind w:left="0" w:firstLine="0"/>
        <w:rPr>
          <w:noProof/>
          <w:szCs w:val="20"/>
        </w:rPr>
      </w:pPr>
      <w:bookmarkStart w:id="103" w:name="_Toc422210521"/>
      <w:r w:rsidRPr="0063033D">
        <w:rPr>
          <w:bCs w:val="0"/>
          <w:szCs w:val="22"/>
          <w:lang w:eastAsia="zh-CN"/>
        </w:rPr>
        <w:lastRenderedPageBreak/>
        <w:t>APPENDIX II</w:t>
      </w:r>
      <w:r w:rsidR="00815ABB">
        <w:rPr>
          <w:bCs w:val="0"/>
          <w:szCs w:val="22"/>
          <w:lang w:eastAsia="zh-CN"/>
        </w:rPr>
        <w:t xml:space="preserve"> </w:t>
      </w:r>
      <w:r w:rsidR="006C404A">
        <w:rPr>
          <w:bCs w:val="0"/>
          <w:szCs w:val="22"/>
          <w:lang w:eastAsia="zh-CN"/>
        </w:rPr>
        <w:t xml:space="preserve">   </w:t>
      </w:r>
      <w:r w:rsidR="00815ABB">
        <w:rPr>
          <w:bCs w:val="0"/>
          <w:szCs w:val="22"/>
          <w:lang w:eastAsia="zh-CN"/>
        </w:rPr>
        <w:br/>
      </w:r>
      <w:r w:rsidR="00815ABB">
        <w:rPr>
          <w:b w:val="0"/>
          <w:bCs w:val="0"/>
          <w:szCs w:val="20"/>
        </w:rPr>
        <w:br/>
      </w:r>
      <w:r w:rsidRPr="00815ABB">
        <w:rPr>
          <w:bCs w:val="0"/>
          <w:szCs w:val="20"/>
        </w:rPr>
        <w:t>IMPLEMENTATION OF FUNDS-IN-TRUST 2014</w:t>
      </w:r>
      <w:bookmarkEnd w:id="103"/>
    </w:p>
    <w:p w:rsidR="0063033D" w:rsidRDefault="0063033D" w:rsidP="008D1891">
      <w:pPr>
        <w:rPr>
          <w:rFonts w:cs="Arial"/>
          <w:noProof/>
        </w:rPr>
      </w:pPr>
    </w:p>
    <w:p w:rsidR="0063033D" w:rsidRDefault="0063033D" w:rsidP="008D1891">
      <w:pPr>
        <w:jc w:val="both"/>
        <w:rPr>
          <w:szCs w:val="20"/>
        </w:rPr>
      </w:pPr>
      <w:r w:rsidRPr="002B4DBC">
        <w:rPr>
          <w:szCs w:val="20"/>
        </w:rPr>
        <w:t xml:space="preserve">As part of </w:t>
      </w:r>
      <w:r>
        <w:rPr>
          <w:szCs w:val="20"/>
        </w:rPr>
        <w:t xml:space="preserve">the </w:t>
      </w:r>
      <w:r w:rsidRPr="002B4DBC">
        <w:rPr>
          <w:szCs w:val="20"/>
        </w:rPr>
        <w:t xml:space="preserve">efforts to enhance the integration of all activities under the results-based management framework </w:t>
      </w:r>
      <w:r>
        <w:rPr>
          <w:szCs w:val="20"/>
        </w:rPr>
        <w:t>of the Organization</w:t>
      </w:r>
      <w:r w:rsidRPr="002B4DBC">
        <w:rPr>
          <w:szCs w:val="20"/>
        </w:rPr>
        <w:t xml:space="preserve">, irrespective of the source of funds, </w:t>
      </w:r>
      <w:r>
        <w:rPr>
          <w:szCs w:val="20"/>
        </w:rPr>
        <w:t>t</w:t>
      </w:r>
      <w:r w:rsidRPr="002B4DBC">
        <w:rPr>
          <w:szCs w:val="20"/>
        </w:rPr>
        <w:t xml:space="preserve">his </w:t>
      </w:r>
      <w:r>
        <w:rPr>
          <w:szCs w:val="20"/>
        </w:rPr>
        <w:t>Appendix</w:t>
      </w:r>
      <w:r w:rsidRPr="002B4DBC">
        <w:rPr>
          <w:szCs w:val="20"/>
        </w:rPr>
        <w:t xml:space="preserve"> provides</w:t>
      </w:r>
      <w:r>
        <w:rPr>
          <w:szCs w:val="20"/>
        </w:rPr>
        <w:t xml:space="preserve"> an overview of activities implemented under the WIPO Funds-in-Trust (FITs).  At the same time, this report responds to a request by d</w:t>
      </w:r>
      <w:r w:rsidRPr="002B4DBC">
        <w:rPr>
          <w:szCs w:val="20"/>
        </w:rPr>
        <w:t xml:space="preserve">onors </w:t>
      </w:r>
      <w:r>
        <w:rPr>
          <w:szCs w:val="20"/>
        </w:rPr>
        <w:t>for</w:t>
      </w:r>
      <w:r w:rsidRPr="002B4DBC">
        <w:rPr>
          <w:szCs w:val="20"/>
        </w:rPr>
        <w:t xml:space="preserve"> a more comprehensive report </w:t>
      </w:r>
      <w:r>
        <w:rPr>
          <w:szCs w:val="20"/>
        </w:rPr>
        <w:t>on</w:t>
      </w:r>
      <w:r w:rsidRPr="002B4DBC">
        <w:rPr>
          <w:szCs w:val="20"/>
        </w:rPr>
        <w:t xml:space="preserve"> all </w:t>
      </w:r>
      <w:r>
        <w:rPr>
          <w:szCs w:val="20"/>
        </w:rPr>
        <w:t>FITs,</w:t>
      </w:r>
      <w:r w:rsidRPr="002B4DBC">
        <w:rPr>
          <w:szCs w:val="20"/>
        </w:rPr>
        <w:t xml:space="preserve"> including both programmatic and financial </w:t>
      </w:r>
      <w:r>
        <w:rPr>
          <w:szCs w:val="20"/>
        </w:rPr>
        <w:t>information</w:t>
      </w:r>
      <w:r w:rsidRPr="002B4DBC">
        <w:rPr>
          <w:szCs w:val="20"/>
        </w:rPr>
        <w:t xml:space="preserve">.  In order to streamline reporting, the FIT report </w:t>
      </w:r>
      <w:r>
        <w:rPr>
          <w:szCs w:val="20"/>
        </w:rPr>
        <w:t xml:space="preserve">is an integral part of the Program Performance Report, providing an annual view of activities implemented </w:t>
      </w:r>
      <w:r w:rsidRPr="003F05A4">
        <w:rPr>
          <w:szCs w:val="20"/>
        </w:rPr>
        <w:t>in 201</w:t>
      </w:r>
      <w:r>
        <w:rPr>
          <w:szCs w:val="20"/>
        </w:rPr>
        <w:t>4</w:t>
      </w:r>
      <w:r w:rsidRPr="003F05A4">
        <w:rPr>
          <w:szCs w:val="20"/>
        </w:rPr>
        <w:t>.</w:t>
      </w:r>
      <w:r>
        <w:rPr>
          <w:szCs w:val="20"/>
        </w:rPr>
        <w:t xml:space="preserve">  </w:t>
      </w:r>
      <w:r w:rsidRPr="003F05A4">
        <w:rPr>
          <w:szCs w:val="20"/>
        </w:rPr>
        <w:t>The next annual FIT report will be included in the PPR for 2014</w:t>
      </w:r>
      <w:r>
        <w:rPr>
          <w:szCs w:val="20"/>
        </w:rPr>
        <w:t xml:space="preserve">/15.  This Appendix reports on the FITs listed in the table below and excludes the FITs for Junior Professional Officers (JPOs).   </w:t>
      </w:r>
    </w:p>
    <w:p w:rsidR="0063033D" w:rsidRDefault="0063033D" w:rsidP="0063033D">
      <w:pPr>
        <w:rPr>
          <w:rFonts w:cs="Arial"/>
          <w:noProof/>
        </w:rPr>
      </w:pPr>
    </w:p>
    <w:tbl>
      <w:tblPr>
        <w:tblpPr w:leftFromText="180" w:rightFromText="180" w:vertAnchor="page" w:horzAnchor="margin" w:tblpY="4505"/>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68"/>
        <w:gridCol w:w="5220"/>
      </w:tblGrid>
      <w:tr w:rsidR="0063033D" w:rsidRPr="00233A64" w:rsidTr="008D1891">
        <w:trPr>
          <w:trHeight w:val="293"/>
        </w:trPr>
        <w:tc>
          <w:tcPr>
            <w:tcW w:w="4068" w:type="dxa"/>
            <w:shd w:val="clear" w:color="auto" w:fill="CCFFFF"/>
            <w:tcMar>
              <w:top w:w="57" w:type="dxa"/>
              <w:left w:w="57" w:type="dxa"/>
              <w:bottom w:w="57" w:type="dxa"/>
              <w:right w:w="57" w:type="dxa"/>
            </w:tcMar>
          </w:tcPr>
          <w:p w:rsidR="0063033D" w:rsidRPr="00233A64" w:rsidRDefault="0063033D" w:rsidP="008D1891">
            <w:pPr>
              <w:jc w:val="center"/>
              <w:rPr>
                <w:rFonts w:cs="Arial"/>
                <w:b/>
                <w:bCs/>
                <w:sz w:val="18"/>
                <w:szCs w:val="18"/>
              </w:rPr>
            </w:pPr>
            <w:r w:rsidRPr="00233A64">
              <w:rPr>
                <w:rFonts w:cs="Arial"/>
                <w:b/>
                <w:bCs/>
                <w:sz w:val="18"/>
                <w:szCs w:val="18"/>
              </w:rPr>
              <w:t>FUND-IN-TRUST</w:t>
            </w:r>
          </w:p>
        </w:tc>
        <w:tc>
          <w:tcPr>
            <w:tcW w:w="5220" w:type="dxa"/>
            <w:shd w:val="clear" w:color="auto" w:fill="CCFFFF"/>
            <w:tcMar>
              <w:top w:w="57" w:type="dxa"/>
              <w:left w:w="57" w:type="dxa"/>
              <w:bottom w:w="57" w:type="dxa"/>
              <w:right w:w="57" w:type="dxa"/>
            </w:tcMar>
          </w:tcPr>
          <w:p w:rsidR="0063033D" w:rsidRPr="00233A64" w:rsidRDefault="0063033D" w:rsidP="008D1891">
            <w:pPr>
              <w:jc w:val="center"/>
              <w:rPr>
                <w:rFonts w:cs="Arial"/>
                <w:b/>
                <w:bCs/>
                <w:sz w:val="18"/>
                <w:szCs w:val="18"/>
              </w:rPr>
            </w:pPr>
            <w:r>
              <w:rPr>
                <w:rFonts w:cs="Arial"/>
                <w:b/>
                <w:bCs/>
                <w:sz w:val="18"/>
                <w:szCs w:val="18"/>
              </w:rPr>
              <w:t xml:space="preserve">IMPLEMENTING </w:t>
            </w:r>
            <w:r w:rsidRPr="00233A64">
              <w:rPr>
                <w:rFonts w:cs="Arial"/>
                <w:b/>
                <w:bCs/>
                <w:sz w:val="18"/>
                <w:szCs w:val="18"/>
              </w:rPr>
              <w:t>SECTOR</w:t>
            </w:r>
          </w:p>
        </w:tc>
      </w:tr>
      <w:tr w:rsidR="0063033D" w:rsidRPr="00233A64" w:rsidTr="008D1891">
        <w:tc>
          <w:tcPr>
            <w:tcW w:w="4068" w:type="dxa"/>
            <w:tcMar>
              <w:top w:w="57" w:type="dxa"/>
              <w:left w:w="57" w:type="dxa"/>
              <w:bottom w:w="57" w:type="dxa"/>
              <w:right w:w="57" w:type="dxa"/>
            </w:tcMar>
          </w:tcPr>
          <w:p w:rsidR="0063033D" w:rsidRPr="008F5032" w:rsidRDefault="0063033D" w:rsidP="008D1891">
            <w:pPr>
              <w:rPr>
                <w:rFonts w:cs="Arial"/>
                <w:sz w:val="18"/>
                <w:szCs w:val="18"/>
              </w:rPr>
            </w:pPr>
            <w:r w:rsidRPr="008F5032">
              <w:rPr>
                <w:rFonts w:cs="Arial"/>
                <w:sz w:val="18"/>
                <w:szCs w:val="18"/>
              </w:rPr>
              <w:t>Australia</w:t>
            </w:r>
          </w:p>
        </w:tc>
        <w:tc>
          <w:tcPr>
            <w:tcW w:w="5220" w:type="dxa"/>
            <w:tcMar>
              <w:top w:w="57" w:type="dxa"/>
              <w:left w:w="57" w:type="dxa"/>
              <w:bottom w:w="57" w:type="dxa"/>
              <w:right w:w="57" w:type="dxa"/>
            </w:tcMar>
          </w:tcPr>
          <w:p w:rsidR="0063033D" w:rsidRPr="00233A64" w:rsidRDefault="0063033D" w:rsidP="008D1891">
            <w:pPr>
              <w:rPr>
                <w:rFonts w:cs="Arial"/>
                <w:sz w:val="18"/>
                <w:szCs w:val="18"/>
              </w:rPr>
            </w:pPr>
            <w:r>
              <w:rPr>
                <w:rFonts w:cs="Arial"/>
                <w:sz w:val="18"/>
                <w:szCs w:val="18"/>
              </w:rPr>
              <w:t>Office of the Director General</w:t>
            </w:r>
          </w:p>
        </w:tc>
      </w:tr>
      <w:tr w:rsidR="0063033D" w:rsidRPr="00233A64" w:rsidTr="008D1891">
        <w:tc>
          <w:tcPr>
            <w:tcW w:w="4068" w:type="dxa"/>
            <w:tcMar>
              <w:top w:w="57" w:type="dxa"/>
              <w:left w:w="57" w:type="dxa"/>
              <w:bottom w:w="57" w:type="dxa"/>
              <w:right w:w="57" w:type="dxa"/>
            </w:tcMar>
          </w:tcPr>
          <w:p w:rsidR="0063033D" w:rsidRPr="00193DD5" w:rsidRDefault="0063033D" w:rsidP="008D1891">
            <w:pPr>
              <w:rPr>
                <w:rFonts w:cs="Arial"/>
                <w:sz w:val="18"/>
                <w:szCs w:val="18"/>
              </w:rPr>
            </w:pPr>
            <w:r w:rsidRPr="00193DD5">
              <w:rPr>
                <w:rFonts w:cs="Arial"/>
                <w:sz w:val="18"/>
                <w:szCs w:val="18"/>
              </w:rPr>
              <w:t>Brazil</w:t>
            </w:r>
          </w:p>
        </w:tc>
        <w:tc>
          <w:tcPr>
            <w:tcW w:w="5220" w:type="dxa"/>
            <w:tcMar>
              <w:top w:w="57" w:type="dxa"/>
              <w:left w:w="57" w:type="dxa"/>
              <w:bottom w:w="57" w:type="dxa"/>
              <w:right w:w="57" w:type="dxa"/>
            </w:tcMar>
          </w:tcPr>
          <w:p w:rsidR="0063033D" w:rsidRPr="00233A64" w:rsidRDefault="0063033D" w:rsidP="008D1891">
            <w:pPr>
              <w:rPr>
                <w:rFonts w:cs="Arial"/>
                <w:sz w:val="18"/>
                <w:szCs w:val="18"/>
              </w:rPr>
            </w:pPr>
            <w:r>
              <w:rPr>
                <w:rFonts w:cs="Arial"/>
                <w:sz w:val="18"/>
                <w:szCs w:val="18"/>
              </w:rPr>
              <w:t>Office of the Director General</w:t>
            </w:r>
          </w:p>
        </w:tc>
      </w:tr>
      <w:tr w:rsidR="0063033D" w:rsidRPr="00233A64" w:rsidTr="008D1891">
        <w:tc>
          <w:tcPr>
            <w:tcW w:w="4068" w:type="dxa"/>
            <w:tcMar>
              <w:top w:w="57" w:type="dxa"/>
              <w:left w:w="57" w:type="dxa"/>
              <w:bottom w:w="57" w:type="dxa"/>
              <w:right w:w="57" w:type="dxa"/>
            </w:tcMar>
            <w:vAlign w:val="center"/>
          </w:tcPr>
          <w:p w:rsidR="0063033D" w:rsidRPr="00193DD5" w:rsidRDefault="0063033D" w:rsidP="008D1891">
            <w:pPr>
              <w:rPr>
                <w:rFonts w:cs="Arial"/>
                <w:sz w:val="18"/>
                <w:szCs w:val="18"/>
              </w:rPr>
            </w:pPr>
            <w:r w:rsidRPr="00193DD5">
              <w:rPr>
                <w:rFonts w:cs="Arial"/>
                <w:sz w:val="18"/>
                <w:szCs w:val="18"/>
              </w:rPr>
              <w:t>Brazil South</w:t>
            </w:r>
          </w:p>
        </w:tc>
        <w:tc>
          <w:tcPr>
            <w:tcW w:w="5220" w:type="dxa"/>
            <w:tcMar>
              <w:top w:w="57" w:type="dxa"/>
              <w:left w:w="57" w:type="dxa"/>
              <w:bottom w:w="57" w:type="dxa"/>
              <w:right w:w="57" w:type="dxa"/>
            </w:tcMar>
            <w:vAlign w:val="center"/>
          </w:tcPr>
          <w:p w:rsidR="0063033D" w:rsidRPr="00233A64" w:rsidRDefault="0063033D" w:rsidP="008D1891">
            <w:pPr>
              <w:rPr>
                <w:rFonts w:cs="Arial"/>
                <w:sz w:val="18"/>
                <w:szCs w:val="18"/>
              </w:rPr>
            </w:pPr>
            <w:r>
              <w:rPr>
                <w:rFonts w:cs="Arial"/>
                <w:sz w:val="18"/>
                <w:szCs w:val="18"/>
              </w:rPr>
              <w:t>Office of the Director General</w:t>
            </w:r>
          </w:p>
        </w:tc>
      </w:tr>
      <w:tr w:rsidR="0063033D" w:rsidRPr="00233A64" w:rsidTr="008D1891">
        <w:tc>
          <w:tcPr>
            <w:tcW w:w="4068" w:type="dxa"/>
            <w:tcMar>
              <w:top w:w="57" w:type="dxa"/>
              <w:left w:w="57" w:type="dxa"/>
              <w:bottom w:w="57" w:type="dxa"/>
              <w:right w:w="57" w:type="dxa"/>
            </w:tcMar>
            <w:vAlign w:val="center"/>
          </w:tcPr>
          <w:p w:rsidR="0063033D" w:rsidRPr="00193DD5" w:rsidRDefault="0063033D" w:rsidP="008D1891">
            <w:pPr>
              <w:rPr>
                <w:rFonts w:cs="Arial"/>
                <w:sz w:val="18"/>
                <w:szCs w:val="18"/>
              </w:rPr>
            </w:pPr>
            <w:r w:rsidRPr="00193DD5">
              <w:rPr>
                <w:rFonts w:cs="Arial"/>
                <w:sz w:val="18"/>
                <w:szCs w:val="18"/>
              </w:rPr>
              <w:t>EU/Pakistan</w:t>
            </w:r>
          </w:p>
        </w:tc>
        <w:tc>
          <w:tcPr>
            <w:tcW w:w="5220" w:type="dxa"/>
            <w:tcMar>
              <w:top w:w="57" w:type="dxa"/>
              <w:left w:w="57" w:type="dxa"/>
              <w:bottom w:w="57" w:type="dxa"/>
              <w:right w:w="57" w:type="dxa"/>
            </w:tcMar>
            <w:vAlign w:val="center"/>
          </w:tcPr>
          <w:p w:rsidR="0063033D" w:rsidRDefault="0063033D" w:rsidP="008D1891">
            <w:pPr>
              <w:rPr>
                <w:rFonts w:cs="Arial"/>
                <w:sz w:val="18"/>
                <w:szCs w:val="18"/>
              </w:rPr>
            </w:pPr>
            <w:r w:rsidRPr="00233A64">
              <w:rPr>
                <w:rFonts w:cs="Arial"/>
                <w:sz w:val="18"/>
                <w:szCs w:val="18"/>
              </w:rPr>
              <w:t>Development Sector</w:t>
            </w:r>
          </w:p>
        </w:tc>
      </w:tr>
      <w:tr w:rsidR="0063033D" w:rsidRPr="00233A64" w:rsidTr="008D1891">
        <w:tc>
          <w:tcPr>
            <w:tcW w:w="4068" w:type="dxa"/>
            <w:tcMar>
              <w:top w:w="57" w:type="dxa"/>
              <w:left w:w="57" w:type="dxa"/>
              <w:bottom w:w="57" w:type="dxa"/>
              <w:right w:w="57" w:type="dxa"/>
            </w:tcMar>
          </w:tcPr>
          <w:p w:rsidR="0063033D" w:rsidRPr="00193DD5" w:rsidRDefault="0063033D" w:rsidP="008D1891">
            <w:pPr>
              <w:rPr>
                <w:rFonts w:cs="Arial"/>
                <w:sz w:val="18"/>
                <w:szCs w:val="18"/>
              </w:rPr>
            </w:pPr>
            <w:r w:rsidRPr="00193DD5">
              <w:rPr>
                <w:rFonts w:cs="Arial"/>
                <w:sz w:val="18"/>
                <w:szCs w:val="18"/>
              </w:rPr>
              <w:t xml:space="preserve">Finland Copyright </w:t>
            </w:r>
          </w:p>
        </w:tc>
        <w:tc>
          <w:tcPr>
            <w:tcW w:w="5220" w:type="dxa"/>
            <w:tcMar>
              <w:top w:w="57" w:type="dxa"/>
              <w:left w:w="57" w:type="dxa"/>
              <w:bottom w:w="57" w:type="dxa"/>
              <w:right w:w="57" w:type="dxa"/>
            </w:tcMar>
          </w:tcPr>
          <w:p w:rsidR="0063033D" w:rsidRPr="00233A64" w:rsidRDefault="0063033D" w:rsidP="008D1891">
            <w:pPr>
              <w:rPr>
                <w:rFonts w:cs="Arial"/>
                <w:sz w:val="18"/>
                <w:szCs w:val="18"/>
              </w:rPr>
            </w:pPr>
            <w:r w:rsidRPr="00233A64">
              <w:rPr>
                <w:rFonts w:cs="Arial"/>
                <w:sz w:val="18"/>
                <w:szCs w:val="18"/>
              </w:rPr>
              <w:t>Culture and Creative Industries Sector</w:t>
            </w:r>
          </w:p>
        </w:tc>
      </w:tr>
      <w:tr w:rsidR="0063033D" w:rsidRPr="00233A64" w:rsidTr="008D1891">
        <w:tc>
          <w:tcPr>
            <w:tcW w:w="4068" w:type="dxa"/>
            <w:tcMar>
              <w:top w:w="57" w:type="dxa"/>
              <w:left w:w="57" w:type="dxa"/>
              <w:bottom w:w="57" w:type="dxa"/>
              <w:right w:w="57" w:type="dxa"/>
            </w:tcMar>
          </w:tcPr>
          <w:p w:rsidR="0063033D" w:rsidRPr="00193DD5" w:rsidRDefault="0063033D" w:rsidP="008D1891">
            <w:pPr>
              <w:rPr>
                <w:rFonts w:cs="Arial"/>
                <w:sz w:val="18"/>
                <w:szCs w:val="18"/>
              </w:rPr>
            </w:pPr>
            <w:r w:rsidRPr="00193DD5">
              <w:rPr>
                <w:rFonts w:cs="Arial"/>
                <w:sz w:val="18"/>
                <w:szCs w:val="18"/>
              </w:rPr>
              <w:t>France IP</w:t>
            </w:r>
          </w:p>
        </w:tc>
        <w:tc>
          <w:tcPr>
            <w:tcW w:w="5220" w:type="dxa"/>
            <w:tcMar>
              <w:top w:w="57" w:type="dxa"/>
              <w:left w:w="57" w:type="dxa"/>
              <w:bottom w:w="57" w:type="dxa"/>
              <w:right w:w="57" w:type="dxa"/>
            </w:tcMar>
          </w:tcPr>
          <w:p w:rsidR="0063033D" w:rsidRPr="0064242E" w:rsidRDefault="0063033D" w:rsidP="008D1891">
            <w:pPr>
              <w:rPr>
                <w:rFonts w:cs="Arial"/>
                <w:sz w:val="18"/>
                <w:szCs w:val="18"/>
              </w:rPr>
            </w:pPr>
            <w:r w:rsidRPr="0064242E">
              <w:rPr>
                <w:rFonts w:cs="Arial"/>
                <w:sz w:val="18"/>
                <w:szCs w:val="18"/>
              </w:rPr>
              <w:t xml:space="preserve">Development Sector  </w:t>
            </w:r>
          </w:p>
        </w:tc>
      </w:tr>
      <w:tr w:rsidR="0063033D" w:rsidRPr="00233A64" w:rsidTr="008D1891">
        <w:tc>
          <w:tcPr>
            <w:tcW w:w="4068" w:type="dxa"/>
            <w:tcMar>
              <w:top w:w="57" w:type="dxa"/>
              <w:left w:w="57" w:type="dxa"/>
              <w:bottom w:w="57" w:type="dxa"/>
              <w:right w:w="57" w:type="dxa"/>
            </w:tcMar>
          </w:tcPr>
          <w:p w:rsidR="0063033D" w:rsidRPr="00193DD5" w:rsidRDefault="0063033D" w:rsidP="008D1891">
            <w:pPr>
              <w:rPr>
                <w:rFonts w:cs="Arial"/>
                <w:sz w:val="18"/>
                <w:szCs w:val="18"/>
              </w:rPr>
            </w:pPr>
            <w:proofErr w:type="spellStart"/>
            <w:r w:rsidRPr="00193DD5">
              <w:rPr>
                <w:rFonts w:cs="Arial"/>
                <w:sz w:val="18"/>
                <w:szCs w:val="18"/>
              </w:rPr>
              <w:t>Ibero</w:t>
            </w:r>
            <w:proofErr w:type="spellEnd"/>
            <w:r w:rsidRPr="00193DD5">
              <w:rPr>
                <w:rFonts w:cs="Arial"/>
                <w:sz w:val="18"/>
                <w:szCs w:val="18"/>
              </w:rPr>
              <w:t>-American Program for Industrial Property</w:t>
            </w:r>
          </w:p>
        </w:tc>
        <w:tc>
          <w:tcPr>
            <w:tcW w:w="5220" w:type="dxa"/>
            <w:tcMar>
              <w:top w:w="57" w:type="dxa"/>
              <w:left w:w="57" w:type="dxa"/>
              <w:bottom w:w="57" w:type="dxa"/>
              <w:right w:w="57" w:type="dxa"/>
            </w:tcMar>
          </w:tcPr>
          <w:p w:rsidR="0063033D" w:rsidRPr="00233A64" w:rsidRDefault="0063033D" w:rsidP="008D1891">
            <w:pPr>
              <w:rPr>
                <w:rFonts w:cs="Arial"/>
                <w:sz w:val="18"/>
                <w:szCs w:val="18"/>
              </w:rPr>
            </w:pPr>
            <w:r w:rsidRPr="00233A64">
              <w:rPr>
                <w:rFonts w:cs="Arial"/>
                <w:sz w:val="18"/>
                <w:szCs w:val="18"/>
              </w:rPr>
              <w:t>Development Sector</w:t>
            </w:r>
          </w:p>
        </w:tc>
      </w:tr>
      <w:tr w:rsidR="0063033D" w:rsidRPr="00233A64" w:rsidTr="008D1891">
        <w:tc>
          <w:tcPr>
            <w:tcW w:w="4068" w:type="dxa"/>
            <w:tcMar>
              <w:top w:w="57" w:type="dxa"/>
              <w:left w:w="57" w:type="dxa"/>
              <w:bottom w:w="57" w:type="dxa"/>
              <w:right w:w="57" w:type="dxa"/>
            </w:tcMar>
          </w:tcPr>
          <w:p w:rsidR="0063033D" w:rsidRPr="00193DD5" w:rsidRDefault="0063033D" w:rsidP="008D1891">
            <w:pPr>
              <w:rPr>
                <w:rFonts w:cs="Arial"/>
                <w:sz w:val="18"/>
                <w:szCs w:val="18"/>
              </w:rPr>
            </w:pPr>
            <w:r w:rsidRPr="00193DD5">
              <w:rPr>
                <w:rFonts w:cs="Arial"/>
                <w:sz w:val="18"/>
                <w:szCs w:val="18"/>
              </w:rPr>
              <w:t>Italy</w:t>
            </w:r>
          </w:p>
        </w:tc>
        <w:tc>
          <w:tcPr>
            <w:tcW w:w="5220" w:type="dxa"/>
            <w:tcMar>
              <w:top w:w="57" w:type="dxa"/>
              <w:left w:w="57" w:type="dxa"/>
              <w:bottom w:w="57" w:type="dxa"/>
              <w:right w:w="57" w:type="dxa"/>
            </w:tcMar>
          </w:tcPr>
          <w:p w:rsidR="0063033D" w:rsidRPr="00233A64" w:rsidRDefault="0063033D" w:rsidP="008D1891">
            <w:pPr>
              <w:rPr>
                <w:rFonts w:cs="Arial"/>
                <w:sz w:val="18"/>
                <w:szCs w:val="18"/>
              </w:rPr>
            </w:pPr>
            <w:r w:rsidRPr="00233A64">
              <w:rPr>
                <w:rFonts w:cs="Arial"/>
                <w:sz w:val="18"/>
                <w:szCs w:val="18"/>
              </w:rPr>
              <w:t>Development Sector</w:t>
            </w:r>
          </w:p>
        </w:tc>
      </w:tr>
      <w:tr w:rsidR="0063033D" w:rsidRPr="00233A64" w:rsidTr="008D1891">
        <w:tc>
          <w:tcPr>
            <w:tcW w:w="4068" w:type="dxa"/>
            <w:tcMar>
              <w:top w:w="57" w:type="dxa"/>
              <w:left w:w="57" w:type="dxa"/>
              <w:bottom w:w="57" w:type="dxa"/>
              <w:right w:w="57" w:type="dxa"/>
            </w:tcMar>
          </w:tcPr>
          <w:p w:rsidR="0063033D" w:rsidRPr="00193DD5" w:rsidRDefault="0063033D" w:rsidP="008D1891">
            <w:pPr>
              <w:rPr>
                <w:rFonts w:cs="Arial"/>
                <w:sz w:val="18"/>
                <w:szCs w:val="18"/>
              </w:rPr>
            </w:pPr>
            <w:r w:rsidRPr="00193DD5">
              <w:rPr>
                <w:rFonts w:cs="Arial"/>
                <w:sz w:val="18"/>
                <w:szCs w:val="18"/>
              </w:rPr>
              <w:t>Japan Copyright</w:t>
            </w:r>
          </w:p>
        </w:tc>
        <w:tc>
          <w:tcPr>
            <w:tcW w:w="5220" w:type="dxa"/>
            <w:tcMar>
              <w:top w:w="57" w:type="dxa"/>
              <w:left w:w="57" w:type="dxa"/>
              <w:bottom w:w="57" w:type="dxa"/>
              <w:right w:w="57" w:type="dxa"/>
            </w:tcMar>
          </w:tcPr>
          <w:p w:rsidR="0063033D" w:rsidRPr="00233A64" w:rsidRDefault="0063033D" w:rsidP="008D1891">
            <w:pPr>
              <w:rPr>
                <w:rFonts w:cs="Arial"/>
                <w:sz w:val="18"/>
                <w:szCs w:val="18"/>
              </w:rPr>
            </w:pPr>
            <w:r w:rsidRPr="00233A64">
              <w:rPr>
                <w:rFonts w:cs="Arial"/>
                <w:sz w:val="18"/>
                <w:szCs w:val="18"/>
              </w:rPr>
              <w:t>Culture and Creative Industries Sector</w:t>
            </w:r>
          </w:p>
        </w:tc>
      </w:tr>
      <w:tr w:rsidR="0063033D" w:rsidRPr="00233A64" w:rsidTr="008D1891">
        <w:tc>
          <w:tcPr>
            <w:tcW w:w="4068" w:type="dxa"/>
            <w:tcMar>
              <w:top w:w="57" w:type="dxa"/>
              <w:left w:w="57" w:type="dxa"/>
              <w:bottom w:w="57" w:type="dxa"/>
              <w:right w:w="57" w:type="dxa"/>
            </w:tcMar>
          </w:tcPr>
          <w:p w:rsidR="0063033D" w:rsidRPr="00193DD5" w:rsidRDefault="0063033D" w:rsidP="008D1891">
            <w:pPr>
              <w:rPr>
                <w:rFonts w:cs="Arial"/>
                <w:sz w:val="18"/>
                <w:szCs w:val="18"/>
              </w:rPr>
            </w:pPr>
            <w:r w:rsidRPr="00193DD5">
              <w:rPr>
                <w:rFonts w:cs="Arial"/>
                <w:sz w:val="18"/>
                <w:szCs w:val="18"/>
              </w:rPr>
              <w:t>Japan IP</w:t>
            </w:r>
          </w:p>
        </w:tc>
        <w:tc>
          <w:tcPr>
            <w:tcW w:w="5220" w:type="dxa"/>
            <w:tcMar>
              <w:top w:w="57" w:type="dxa"/>
              <w:left w:w="57" w:type="dxa"/>
              <w:bottom w:w="57" w:type="dxa"/>
              <w:right w:w="57" w:type="dxa"/>
            </w:tcMar>
          </w:tcPr>
          <w:p w:rsidR="0063033D" w:rsidRPr="00233A64" w:rsidRDefault="0063033D" w:rsidP="008D1891">
            <w:pPr>
              <w:rPr>
                <w:rFonts w:cs="Arial"/>
                <w:sz w:val="18"/>
                <w:szCs w:val="18"/>
              </w:rPr>
            </w:pPr>
            <w:r w:rsidRPr="00233A64">
              <w:rPr>
                <w:rFonts w:cs="Arial"/>
                <w:sz w:val="18"/>
                <w:szCs w:val="18"/>
              </w:rPr>
              <w:t>Development Sector</w:t>
            </w:r>
          </w:p>
        </w:tc>
      </w:tr>
      <w:tr w:rsidR="0063033D" w:rsidRPr="00233A64" w:rsidTr="008D1891">
        <w:tc>
          <w:tcPr>
            <w:tcW w:w="4068" w:type="dxa"/>
            <w:tcMar>
              <w:top w:w="57" w:type="dxa"/>
              <w:left w:w="57" w:type="dxa"/>
              <w:bottom w:w="57" w:type="dxa"/>
              <w:right w:w="57" w:type="dxa"/>
            </w:tcMar>
          </w:tcPr>
          <w:p w:rsidR="0063033D" w:rsidRPr="00193DD5" w:rsidRDefault="0063033D" w:rsidP="008D1891">
            <w:pPr>
              <w:rPr>
                <w:rFonts w:cs="Arial"/>
                <w:sz w:val="18"/>
                <w:szCs w:val="18"/>
              </w:rPr>
            </w:pPr>
            <w:r w:rsidRPr="00193DD5">
              <w:rPr>
                <w:rFonts w:cs="Arial"/>
                <w:sz w:val="18"/>
                <w:szCs w:val="18"/>
              </w:rPr>
              <w:t>Japan IP/Africa</w:t>
            </w:r>
          </w:p>
        </w:tc>
        <w:tc>
          <w:tcPr>
            <w:tcW w:w="5220" w:type="dxa"/>
            <w:tcMar>
              <w:top w:w="57" w:type="dxa"/>
              <w:left w:w="57" w:type="dxa"/>
              <w:bottom w:w="57" w:type="dxa"/>
              <w:right w:w="57" w:type="dxa"/>
            </w:tcMar>
          </w:tcPr>
          <w:p w:rsidR="0063033D" w:rsidRPr="00233A64" w:rsidRDefault="0063033D" w:rsidP="008D1891">
            <w:pPr>
              <w:rPr>
                <w:rFonts w:cs="Arial"/>
                <w:sz w:val="18"/>
                <w:szCs w:val="18"/>
              </w:rPr>
            </w:pPr>
            <w:r w:rsidRPr="00233A64">
              <w:rPr>
                <w:rFonts w:cs="Arial"/>
                <w:sz w:val="18"/>
                <w:szCs w:val="18"/>
              </w:rPr>
              <w:t>Development Sector</w:t>
            </w:r>
          </w:p>
        </w:tc>
      </w:tr>
      <w:tr w:rsidR="0063033D" w:rsidRPr="00233A64" w:rsidTr="008D1891">
        <w:tc>
          <w:tcPr>
            <w:tcW w:w="4068" w:type="dxa"/>
            <w:tcMar>
              <w:top w:w="57" w:type="dxa"/>
              <w:left w:w="57" w:type="dxa"/>
              <w:bottom w:w="57" w:type="dxa"/>
              <w:right w:w="57" w:type="dxa"/>
            </w:tcMar>
          </w:tcPr>
          <w:p w:rsidR="0063033D" w:rsidRPr="00193DD5" w:rsidRDefault="0063033D" w:rsidP="008D1891">
            <w:pPr>
              <w:rPr>
                <w:rFonts w:cs="Arial"/>
                <w:sz w:val="18"/>
                <w:szCs w:val="18"/>
              </w:rPr>
            </w:pPr>
            <w:r w:rsidRPr="00193DD5">
              <w:rPr>
                <w:rFonts w:cs="Arial"/>
                <w:sz w:val="18"/>
                <w:szCs w:val="18"/>
              </w:rPr>
              <w:t>Republic of Korea Building Respect for IP</w:t>
            </w:r>
          </w:p>
        </w:tc>
        <w:tc>
          <w:tcPr>
            <w:tcW w:w="5220" w:type="dxa"/>
            <w:tcMar>
              <w:top w:w="57" w:type="dxa"/>
              <w:left w:w="57" w:type="dxa"/>
              <w:bottom w:w="57" w:type="dxa"/>
              <w:right w:w="57" w:type="dxa"/>
            </w:tcMar>
          </w:tcPr>
          <w:p w:rsidR="0063033D" w:rsidRPr="00233A64" w:rsidRDefault="0063033D" w:rsidP="008D1891">
            <w:pPr>
              <w:rPr>
                <w:rFonts w:cs="Arial"/>
                <w:sz w:val="18"/>
                <w:szCs w:val="18"/>
              </w:rPr>
            </w:pPr>
            <w:r>
              <w:rPr>
                <w:rFonts w:cs="Arial"/>
                <w:sz w:val="18"/>
                <w:szCs w:val="18"/>
              </w:rPr>
              <w:t>Global Issues Sector</w:t>
            </w:r>
          </w:p>
        </w:tc>
      </w:tr>
      <w:tr w:rsidR="0063033D" w:rsidRPr="00233A64" w:rsidTr="008D1891">
        <w:tc>
          <w:tcPr>
            <w:tcW w:w="4068" w:type="dxa"/>
            <w:tcMar>
              <w:top w:w="57" w:type="dxa"/>
              <w:left w:w="57" w:type="dxa"/>
              <w:bottom w:w="57" w:type="dxa"/>
              <w:right w:w="57" w:type="dxa"/>
            </w:tcMar>
          </w:tcPr>
          <w:p w:rsidR="0063033D" w:rsidRPr="00193DD5" w:rsidRDefault="0063033D" w:rsidP="008D1891">
            <w:pPr>
              <w:rPr>
                <w:rFonts w:cs="Arial"/>
                <w:sz w:val="18"/>
                <w:szCs w:val="18"/>
              </w:rPr>
            </w:pPr>
            <w:r w:rsidRPr="00193DD5">
              <w:rPr>
                <w:rFonts w:cs="Arial"/>
                <w:sz w:val="18"/>
                <w:szCs w:val="18"/>
              </w:rPr>
              <w:t>Republic of Korea Copyright</w:t>
            </w:r>
          </w:p>
        </w:tc>
        <w:tc>
          <w:tcPr>
            <w:tcW w:w="5220" w:type="dxa"/>
            <w:tcMar>
              <w:top w:w="57" w:type="dxa"/>
              <w:left w:w="57" w:type="dxa"/>
              <w:bottom w:w="57" w:type="dxa"/>
              <w:right w:w="57" w:type="dxa"/>
            </w:tcMar>
          </w:tcPr>
          <w:p w:rsidR="0063033D" w:rsidRPr="00233A64" w:rsidRDefault="0063033D" w:rsidP="008D1891">
            <w:pPr>
              <w:rPr>
                <w:rFonts w:cs="Arial"/>
                <w:sz w:val="18"/>
                <w:szCs w:val="18"/>
              </w:rPr>
            </w:pPr>
            <w:r w:rsidRPr="00233A64">
              <w:rPr>
                <w:rFonts w:cs="Arial"/>
                <w:sz w:val="18"/>
                <w:szCs w:val="18"/>
              </w:rPr>
              <w:t>Culture and Creative Industries Sector</w:t>
            </w:r>
          </w:p>
        </w:tc>
      </w:tr>
      <w:tr w:rsidR="0063033D" w:rsidRPr="00233A64" w:rsidTr="008D1891">
        <w:tc>
          <w:tcPr>
            <w:tcW w:w="4068" w:type="dxa"/>
            <w:tcMar>
              <w:top w:w="57" w:type="dxa"/>
              <w:left w:w="57" w:type="dxa"/>
              <w:bottom w:w="57" w:type="dxa"/>
              <w:right w:w="57" w:type="dxa"/>
            </w:tcMar>
          </w:tcPr>
          <w:p w:rsidR="0063033D" w:rsidRPr="00193DD5" w:rsidRDefault="0063033D" w:rsidP="008D1891">
            <w:pPr>
              <w:rPr>
                <w:rFonts w:cs="Arial"/>
                <w:sz w:val="18"/>
                <w:szCs w:val="18"/>
              </w:rPr>
            </w:pPr>
            <w:r w:rsidRPr="00193DD5">
              <w:rPr>
                <w:rFonts w:cs="Arial"/>
                <w:sz w:val="18"/>
                <w:szCs w:val="18"/>
              </w:rPr>
              <w:t>Republic of Korea Education</w:t>
            </w:r>
          </w:p>
        </w:tc>
        <w:tc>
          <w:tcPr>
            <w:tcW w:w="5220" w:type="dxa"/>
            <w:tcMar>
              <w:top w:w="57" w:type="dxa"/>
              <w:left w:w="57" w:type="dxa"/>
              <w:bottom w:w="57" w:type="dxa"/>
              <w:right w:w="57" w:type="dxa"/>
            </w:tcMar>
          </w:tcPr>
          <w:p w:rsidR="0063033D" w:rsidRPr="00233A64" w:rsidRDefault="0063033D" w:rsidP="008D1891">
            <w:pPr>
              <w:rPr>
                <w:rFonts w:cs="Arial"/>
                <w:sz w:val="18"/>
                <w:szCs w:val="18"/>
              </w:rPr>
            </w:pPr>
            <w:r w:rsidRPr="00233A64">
              <w:rPr>
                <w:rFonts w:cs="Arial"/>
                <w:sz w:val="18"/>
                <w:szCs w:val="18"/>
              </w:rPr>
              <w:t>Development Sector</w:t>
            </w:r>
          </w:p>
        </w:tc>
      </w:tr>
      <w:tr w:rsidR="0063033D" w:rsidRPr="00233A64" w:rsidTr="008D1891">
        <w:trPr>
          <w:trHeight w:val="238"/>
        </w:trPr>
        <w:tc>
          <w:tcPr>
            <w:tcW w:w="4068" w:type="dxa"/>
            <w:tcMar>
              <w:top w:w="57" w:type="dxa"/>
              <w:left w:w="57" w:type="dxa"/>
              <w:bottom w:w="57" w:type="dxa"/>
              <w:right w:w="57" w:type="dxa"/>
            </w:tcMar>
          </w:tcPr>
          <w:p w:rsidR="0063033D" w:rsidRPr="00193DD5" w:rsidRDefault="0063033D" w:rsidP="008D1891">
            <w:pPr>
              <w:rPr>
                <w:rFonts w:cs="Arial"/>
                <w:sz w:val="18"/>
                <w:szCs w:val="18"/>
              </w:rPr>
            </w:pPr>
            <w:r w:rsidRPr="00193DD5">
              <w:rPr>
                <w:rFonts w:cs="Arial"/>
                <w:sz w:val="18"/>
                <w:szCs w:val="18"/>
              </w:rPr>
              <w:t>Republic of Korea IP</w:t>
            </w:r>
          </w:p>
        </w:tc>
        <w:tc>
          <w:tcPr>
            <w:tcW w:w="5220" w:type="dxa"/>
            <w:tcMar>
              <w:top w:w="57" w:type="dxa"/>
              <w:left w:w="57" w:type="dxa"/>
              <w:bottom w:w="57" w:type="dxa"/>
              <w:right w:w="57" w:type="dxa"/>
            </w:tcMar>
          </w:tcPr>
          <w:p w:rsidR="0063033D" w:rsidRPr="00233A64" w:rsidRDefault="0063033D" w:rsidP="008D1891">
            <w:pPr>
              <w:rPr>
                <w:rFonts w:cs="Arial"/>
                <w:sz w:val="18"/>
                <w:szCs w:val="18"/>
              </w:rPr>
            </w:pPr>
            <w:r w:rsidRPr="00233A64">
              <w:rPr>
                <w:rFonts w:cs="Arial"/>
                <w:sz w:val="18"/>
                <w:szCs w:val="18"/>
              </w:rPr>
              <w:t>Development Sector</w:t>
            </w:r>
          </w:p>
        </w:tc>
      </w:tr>
      <w:tr w:rsidR="0063033D" w:rsidRPr="00233A64" w:rsidTr="008D1891">
        <w:trPr>
          <w:trHeight w:val="238"/>
        </w:trPr>
        <w:tc>
          <w:tcPr>
            <w:tcW w:w="4068" w:type="dxa"/>
            <w:tcMar>
              <w:top w:w="57" w:type="dxa"/>
              <w:left w:w="57" w:type="dxa"/>
              <w:bottom w:w="57" w:type="dxa"/>
              <w:right w:w="57" w:type="dxa"/>
            </w:tcMar>
          </w:tcPr>
          <w:p w:rsidR="0063033D" w:rsidRPr="00193DD5" w:rsidRDefault="0063033D" w:rsidP="008D1891">
            <w:pPr>
              <w:rPr>
                <w:rFonts w:cs="Arial"/>
                <w:sz w:val="18"/>
                <w:szCs w:val="18"/>
              </w:rPr>
            </w:pPr>
            <w:r w:rsidRPr="00193DD5">
              <w:rPr>
                <w:rFonts w:cs="Arial"/>
                <w:sz w:val="18"/>
                <w:szCs w:val="18"/>
              </w:rPr>
              <w:t>Spain</w:t>
            </w:r>
          </w:p>
        </w:tc>
        <w:tc>
          <w:tcPr>
            <w:tcW w:w="5220" w:type="dxa"/>
            <w:tcMar>
              <w:top w:w="57" w:type="dxa"/>
              <w:left w:w="57" w:type="dxa"/>
              <w:bottom w:w="57" w:type="dxa"/>
              <w:right w:w="57" w:type="dxa"/>
            </w:tcMar>
          </w:tcPr>
          <w:p w:rsidR="0063033D" w:rsidRPr="00233A64" w:rsidRDefault="0063033D" w:rsidP="008D1891">
            <w:pPr>
              <w:rPr>
                <w:rFonts w:cs="Arial"/>
                <w:sz w:val="18"/>
                <w:szCs w:val="18"/>
              </w:rPr>
            </w:pPr>
            <w:r w:rsidRPr="00233A64">
              <w:rPr>
                <w:rFonts w:cs="Arial"/>
                <w:sz w:val="18"/>
                <w:szCs w:val="18"/>
              </w:rPr>
              <w:t>Development Sector</w:t>
            </w:r>
          </w:p>
        </w:tc>
      </w:tr>
      <w:tr w:rsidR="0063033D" w:rsidRPr="00233A64" w:rsidTr="008D1891">
        <w:trPr>
          <w:trHeight w:val="238"/>
        </w:trPr>
        <w:tc>
          <w:tcPr>
            <w:tcW w:w="4068" w:type="dxa"/>
            <w:tcMar>
              <w:top w:w="57" w:type="dxa"/>
              <w:left w:w="57" w:type="dxa"/>
              <w:bottom w:w="57" w:type="dxa"/>
              <w:right w:w="57" w:type="dxa"/>
            </w:tcMar>
          </w:tcPr>
          <w:p w:rsidR="0063033D" w:rsidRPr="00193DD5" w:rsidRDefault="0063033D" w:rsidP="008D1891">
            <w:pPr>
              <w:rPr>
                <w:rFonts w:cs="Arial"/>
                <w:sz w:val="18"/>
                <w:szCs w:val="18"/>
              </w:rPr>
            </w:pPr>
            <w:r w:rsidRPr="00193DD5">
              <w:rPr>
                <w:rFonts w:cs="Arial"/>
                <w:sz w:val="18"/>
                <w:szCs w:val="18"/>
              </w:rPr>
              <w:t>Uruguay</w:t>
            </w:r>
          </w:p>
        </w:tc>
        <w:tc>
          <w:tcPr>
            <w:tcW w:w="5220" w:type="dxa"/>
            <w:tcMar>
              <w:top w:w="57" w:type="dxa"/>
              <w:left w:w="57" w:type="dxa"/>
              <w:bottom w:w="57" w:type="dxa"/>
              <w:right w:w="57" w:type="dxa"/>
            </w:tcMar>
          </w:tcPr>
          <w:p w:rsidR="0063033D" w:rsidRPr="00233A64" w:rsidRDefault="0063033D" w:rsidP="008D1891">
            <w:pPr>
              <w:rPr>
                <w:rFonts w:cs="Arial"/>
                <w:sz w:val="18"/>
                <w:szCs w:val="18"/>
              </w:rPr>
            </w:pPr>
            <w:r w:rsidRPr="00233A64">
              <w:rPr>
                <w:rFonts w:cs="Arial"/>
                <w:sz w:val="18"/>
                <w:szCs w:val="18"/>
              </w:rPr>
              <w:t>Development Sector</w:t>
            </w:r>
          </w:p>
        </w:tc>
      </w:tr>
      <w:tr w:rsidR="0063033D" w:rsidRPr="00233A64" w:rsidTr="008D1891">
        <w:trPr>
          <w:trHeight w:val="238"/>
        </w:trPr>
        <w:tc>
          <w:tcPr>
            <w:tcW w:w="4068" w:type="dxa"/>
            <w:tcMar>
              <w:top w:w="57" w:type="dxa"/>
              <w:left w:w="57" w:type="dxa"/>
              <w:bottom w:w="57" w:type="dxa"/>
              <w:right w:w="57" w:type="dxa"/>
            </w:tcMar>
          </w:tcPr>
          <w:p w:rsidR="0063033D" w:rsidRPr="00193DD5" w:rsidRDefault="0063033D" w:rsidP="008D1891">
            <w:pPr>
              <w:rPr>
                <w:rFonts w:cs="Arial"/>
                <w:sz w:val="18"/>
                <w:szCs w:val="18"/>
              </w:rPr>
            </w:pPr>
            <w:r w:rsidRPr="00193DD5">
              <w:rPr>
                <w:rFonts w:cs="Arial"/>
                <w:sz w:val="18"/>
                <w:szCs w:val="18"/>
              </w:rPr>
              <w:t>U</w:t>
            </w:r>
            <w:r>
              <w:rPr>
                <w:rFonts w:cs="Arial"/>
                <w:sz w:val="18"/>
                <w:szCs w:val="18"/>
              </w:rPr>
              <w:t xml:space="preserve">nited States of America </w:t>
            </w:r>
            <w:r w:rsidRPr="00193DD5">
              <w:rPr>
                <w:rFonts w:cs="Arial"/>
                <w:sz w:val="18"/>
                <w:szCs w:val="18"/>
              </w:rPr>
              <w:t>Copyright</w:t>
            </w:r>
          </w:p>
        </w:tc>
        <w:tc>
          <w:tcPr>
            <w:tcW w:w="5220" w:type="dxa"/>
            <w:tcMar>
              <w:top w:w="57" w:type="dxa"/>
              <w:left w:w="57" w:type="dxa"/>
              <w:bottom w:w="57" w:type="dxa"/>
              <w:right w:w="57" w:type="dxa"/>
            </w:tcMar>
          </w:tcPr>
          <w:p w:rsidR="0063033D" w:rsidRDefault="0063033D" w:rsidP="008D1891">
            <w:pPr>
              <w:rPr>
                <w:rFonts w:cs="Arial"/>
                <w:sz w:val="18"/>
                <w:szCs w:val="18"/>
              </w:rPr>
            </w:pPr>
            <w:r w:rsidRPr="00233A64">
              <w:rPr>
                <w:rFonts w:cs="Arial"/>
                <w:sz w:val="18"/>
                <w:szCs w:val="18"/>
              </w:rPr>
              <w:t>Culture and Creative Industries Sector</w:t>
            </w:r>
          </w:p>
        </w:tc>
      </w:tr>
      <w:tr w:rsidR="0063033D" w:rsidRPr="00233A64" w:rsidTr="008D1891">
        <w:trPr>
          <w:trHeight w:val="238"/>
        </w:trPr>
        <w:tc>
          <w:tcPr>
            <w:tcW w:w="4068" w:type="dxa"/>
            <w:tcMar>
              <w:top w:w="57" w:type="dxa"/>
              <w:left w:w="57" w:type="dxa"/>
              <w:bottom w:w="57" w:type="dxa"/>
              <w:right w:w="57" w:type="dxa"/>
            </w:tcMar>
          </w:tcPr>
          <w:p w:rsidR="0063033D" w:rsidRPr="00193DD5" w:rsidRDefault="0063033D" w:rsidP="008D1891">
            <w:pPr>
              <w:rPr>
                <w:rFonts w:cs="Arial"/>
                <w:sz w:val="18"/>
                <w:szCs w:val="18"/>
              </w:rPr>
            </w:pPr>
            <w:r w:rsidRPr="00193DD5">
              <w:rPr>
                <w:rFonts w:cs="Arial"/>
                <w:sz w:val="18"/>
                <w:szCs w:val="18"/>
              </w:rPr>
              <w:t>U</w:t>
            </w:r>
            <w:r>
              <w:rPr>
                <w:rFonts w:cs="Arial"/>
                <w:sz w:val="18"/>
                <w:szCs w:val="18"/>
              </w:rPr>
              <w:t xml:space="preserve">nited States of America </w:t>
            </w:r>
            <w:r w:rsidRPr="00193DD5">
              <w:rPr>
                <w:rFonts w:cs="Arial"/>
                <w:sz w:val="18"/>
                <w:szCs w:val="18"/>
              </w:rPr>
              <w:t xml:space="preserve"> SMEs</w:t>
            </w:r>
          </w:p>
        </w:tc>
        <w:tc>
          <w:tcPr>
            <w:tcW w:w="5220" w:type="dxa"/>
            <w:tcMar>
              <w:top w:w="57" w:type="dxa"/>
              <w:left w:w="57" w:type="dxa"/>
              <w:bottom w:w="57" w:type="dxa"/>
              <w:right w:w="57" w:type="dxa"/>
            </w:tcMar>
          </w:tcPr>
          <w:p w:rsidR="0063033D" w:rsidRPr="00233A64" w:rsidRDefault="0063033D" w:rsidP="008D1891">
            <w:pPr>
              <w:rPr>
                <w:rFonts w:cs="Arial"/>
                <w:sz w:val="18"/>
                <w:szCs w:val="18"/>
              </w:rPr>
            </w:pPr>
            <w:r>
              <w:rPr>
                <w:rFonts w:cs="Arial"/>
                <w:sz w:val="18"/>
                <w:szCs w:val="18"/>
              </w:rPr>
              <w:t>Office of the Director General</w:t>
            </w:r>
          </w:p>
        </w:tc>
      </w:tr>
    </w:tbl>
    <w:p w:rsidR="0063033D" w:rsidRDefault="0063033D" w:rsidP="008D1891">
      <w:pPr>
        <w:rPr>
          <w:rFonts w:cs="Arial"/>
          <w:b/>
          <w:szCs w:val="20"/>
        </w:rPr>
      </w:pPr>
    </w:p>
    <w:p w:rsidR="0063033D" w:rsidRDefault="0063033D" w:rsidP="008D1891">
      <w:pPr>
        <w:rPr>
          <w:rFonts w:cs="Arial"/>
          <w:b/>
          <w:szCs w:val="20"/>
        </w:rPr>
      </w:pPr>
    </w:p>
    <w:p w:rsidR="0063033D" w:rsidRDefault="0063033D" w:rsidP="008D1891">
      <w:pPr>
        <w:rPr>
          <w:rFonts w:cs="Arial"/>
          <w:b/>
          <w:szCs w:val="20"/>
        </w:rPr>
      </w:pPr>
    </w:p>
    <w:p w:rsidR="0063033D" w:rsidRDefault="0063033D">
      <w:pPr>
        <w:rPr>
          <w:rFonts w:cs="Arial"/>
          <w:b/>
          <w:szCs w:val="20"/>
        </w:rPr>
      </w:pPr>
      <w:r>
        <w:rPr>
          <w:rFonts w:cs="Arial"/>
          <w:b/>
          <w:szCs w:val="20"/>
        </w:rPr>
        <w:br w:type="page"/>
      </w:r>
    </w:p>
    <w:p w:rsidR="0063033D" w:rsidRDefault="0063033D" w:rsidP="0063033D">
      <w:pPr>
        <w:rPr>
          <w:rFonts w:cs="Arial"/>
          <w:b/>
          <w:szCs w:val="20"/>
        </w:rPr>
      </w:pPr>
      <w:r>
        <w:rPr>
          <w:rFonts w:cs="Arial"/>
          <w:b/>
          <w:szCs w:val="20"/>
        </w:rPr>
        <w:lastRenderedPageBreak/>
        <w:t>AUSTRALIA</w:t>
      </w:r>
    </w:p>
    <w:p w:rsidR="0063033D" w:rsidRDefault="0063033D" w:rsidP="008D1891">
      <w:pPr>
        <w:rPr>
          <w:rFonts w:cs="Arial"/>
          <w:b/>
          <w:szCs w:val="20"/>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42"/>
        <w:gridCol w:w="1417"/>
        <w:gridCol w:w="284"/>
        <w:gridCol w:w="130"/>
        <w:gridCol w:w="12"/>
        <w:gridCol w:w="4394"/>
      </w:tblGrid>
      <w:tr w:rsidR="0063033D" w:rsidRPr="002B7DE5" w:rsidTr="008D1891">
        <w:trPr>
          <w:cantSplit/>
        </w:trPr>
        <w:tc>
          <w:tcPr>
            <w:tcW w:w="9356" w:type="dxa"/>
            <w:gridSpan w:val="8"/>
            <w:tcBorders>
              <w:top w:val="single" w:sz="4" w:space="0" w:color="000000"/>
              <w:bottom w:val="single" w:sz="4" w:space="0" w:color="000000"/>
            </w:tcBorders>
            <w:shd w:val="clear" w:color="auto" w:fill="CCFFFF"/>
            <w:vAlign w:val="center"/>
          </w:tcPr>
          <w:p w:rsidR="0063033D" w:rsidRPr="002B7DE5" w:rsidRDefault="0063033D" w:rsidP="008D1891">
            <w:pPr>
              <w:keepNext/>
              <w:keepLines/>
              <w:tabs>
                <w:tab w:val="left" w:pos="1740"/>
              </w:tabs>
              <w:spacing w:before="120" w:after="120"/>
              <w:ind w:left="1740" w:hanging="1740"/>
              <w:rPr>
                <w:rFonts w:cs="Arial"/>
                <w:b/>
                <w:bCs/>
                <w:sz w:val="16"/>
                <w:szCs w:val="16"/>
              </w:rPr>
            </w:pPr>
            <w:r w:rsidRPr="00774D44">
              <w:rPr>
                <w:rFonts w:cs="Arial"/>
                <w:b/>
                <w:bCs/>
                <w:color w:val="000000"/>
                <w:sz w:val="16"/>
                <w:szCs w:val="16"/>
              </w:rPr>
              <w:t>RESULT</w:t>
            </w:r>
            <w:r w:rsidRPr="002B7DE5">
              <w:rPr>
                <w:rFonts w:cs="Arial"/>
                <w:b/>
                <w:bCs/>
                <w:sz w:val="16"/>
                <w:szCs w:val="16"/>
              </w:rPr>
              <w:t>:</w:t>
            </w:r>
            <w:r w:rsidRPr="002B7DE5">
              <w:rPr>
                <w:rFonts w:cs="Arial"/>
                <w:b/>
                <w:bCs/>
                <w:sz w:val="16"/>
                <w:szCs w:val="16"/>
              </w:rPr>
              <w:tab/>
            </w:r>
            <w:r w:rsidRPr="009F377C">
              <w:rPr>
                <w:rFonts w:eastAsia="MS Mincho" w:cs="Arial"/>
                <w:bCs/>
                <w:color w:val="000000"/>
                <w:sz w:val="16"/>
                <w:szCs w:val="16"/>
                <w:lang w:val="en-AU" w:eastAsia="ja-JP" w:bidi="th-TH"/>
              </w:rPr>
              <w:t>II.1. Increased use of the PCT route for filing international patent applications</w:t>
            </w:r>
          </w:p>
        </w:tc>
      </w:tr>
      <w:tr w:rsidR="0063033D" w:rsidRPr="002B7DE5" w:rsidTr="008D1891">
        <w:trPr>
          <w:cantSplit/>
        </w:trPr>
        <w:tc>
          <w:tcPr>
            <w:tcW w:w="1843" w:type="dxa"/>
            <w:tcBorders>
              <w:top w:val="single" w:sz="4" w:space="0" w:color="000000"/>
            </w:tcBorders>
            <w:vAlign w:val="center"/>
          </w:tcPr>
          <w:p w:rsidR="0063033D" w:rsidRPr="002B7DE5" w:rsidRDefault="0063033D" w:rsidP="008D1891">
            <w:pPr>
              <w:keepNext/>
              <w:keepLines/>
              <w:rPr>
                <w:rFonts w:cs="Arial"/>
                <w:b/>
                <w:bCs/>
                <w:sz w:val="16"/>
                <w:szCs w:val="16"/>
              </w:rPr>
            </w:pPr>
            <w:r w:rsidRPr="002B7DE5">
              <w:rPr>
                <w:rFonts w:cs="Arial"/>
                <w:b/>
                <w:bCs/>
                <w:sz w:val="16"/>
                <w:szCs w:val="16"/>
              </w:rPr>
              <w:t>Activity</w:t>
            </w:r>
          </w:p>
        </w:tc>
        <w:tc>
          <w:tcPr>
            <w:tcW w:w="1276" w:type="dxa"/>
            <w:gridSpan w:val="2"/>
            <w:tcBorders>
              <w:top w:val="single" w:sz="4" w:space="0" w:color="000000"/>
            </w:tcBorders>
            <w:shd w:val="clear" w:color="auto" w:fill="auto"/>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Date</w:t>
            </w:r>
          </w:p>
        </w:tc>
        <w:tc>
          <w:tcPr>
            <w:tcW w:w="1843" w:type="dxa"/>
            <w:gridSpan w:val="4"/>
            <w:tcBorders>
              <w:top w:val="single" w:sz="4" w:space="0" w:color="000000"/>
            </w:tcBorders>
            <w:shd w:val="clear" w:color="auto" w:fill="auto"/>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000000"/>
            </w:tcBorders>
            <w:shd w:val="clear" w:color="auto" w:fill="FFFFFF"/>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Purpose(s)/Description(s)</w:t>
            </w:r>
          </w:p>
        </w:tc>
      </w:tr>
      <w:tr w:rsidR="0063033D" w:rsidRPr="00774D44" w:rsidTr="008D1891">
        <w:trPr>
          <w:cantSplit/>
          <w:trHeight w:val="495"/>
        </w:trPr>
        <w:tc>
          <w:tcPr>
            <w:tcW w:w="1843" w:type="dxa"/>
          </w:tcPr>
          <w:p w:rsidR="0063033D" w:rsidRPr="00774D44" w:rsidRDefault="0063033D" w:rsidP="008D1891">
            <w:pPr>
              <w:autoSpaceDE w:val="0"/>
              <w:autoSpaceDN w:val="0"/>
              <w:adjustRightInd w:val="0"/>
              <w:spacing w:before="120" w:after="120"/>
              <w:rPr>
                <w:rFonts w:cs="Arial"/>
                <w:color w:val="000000"/>
                <w:sz w:val="16"/>
                <w:szCs w:val="16"/>
              </w:rPr>
            </w:pPr>
            <w:r w:rsidRPr="000A08EE">
              <w:rPr>
                <w:rFonts w:cs="Arial"/>
                <w:color w:val="000000"/>
                <w:sz w:val="16"/>
                <w:szCs w:val="16"/>
              </w:rPr>
              <w:t>National Seminar and Workshop on Patent Examination Procedures</w:t>
            </w:r>
          </w:p>
        </w:tc>
        <w:tc>
          <w:tcPr>
            <w:tcW w:w="1276" w:type="dxa"/>
            <w:gridSpan w:val="2"/>
          </w:tcPr>
          <w:p w:rsidR="0063033D" w:rsidRPr="00774D44" w:rsidRDefault="0063033D" w:rsidP="008D1891">
            <w:pPr>
              <w:autoSpaceDE w:val="0"/>
              <w:autoSpaceDN w:val="0"/>
              <w:adjustRightInd w:val="0"/>
              <w:spacing w:before="120" w:after="120"/>
              <w:rPr>
                <w:rFonts w:cs="Arial"/>
                <w:color w:val="000000"/>
                <w:sz w:val="16"/>
                <w:szCs w:val="16"/>
              </w:rPr>
            </w:pPr>
            <w:r w:rsidRPr="000A08EE">
              <w:rPr>
                <w:rFonts w:cs="Arial"/>
                <w:color w:val="000000"/>
                <w:sz w:val="16"/>
                <w:szCs w:val="16"/>
              </w:rPr>
              <w:t>July 8 to 11, 2014</w:t>
            </w:r>
          </w:p>
        </w:tc>
        <w:tc>
          <w:tcPr>
            <w:tcW w:w="1843" w:type="dxa"/>
            <w:gridSpan w:val="4"/>
          </w:tcPr>
          <w:p w:rsidR="0063033D" w:rsidRPr="00774D44" w:rsidRDefault="0063033D" w:rsidP="008D1891">
            <w:pPr>
              <w:autoSpaceDE w:val="0"/>
              <w:autoSpaceDN w:val="0"/>
              <w:adjustRightInd w:val="0"/>
              <w:spacing w:before="120" w:after="120"/>
              <w:rPr>
                <w:rFonts w:cs="Arial"/>
                <w:color w:val="000000"/>
                <w:sz w:val="16"/>
                <w:szCs w:val="16"/>
              </w:rPr>
            </w:pPr>
            <w:r w:rsidRPr="000A08EE">
              <w:rPr>
                <w:rFonts w:cs="Arial"/>
                <w:color w:val="000000"/>
                <w:sz w:val="16"/>
                <w:szCs w:val="16"/>
              </w:rPr>
              <w:t>Philippines</w:t>
            </w:r>
            <w:r>
              <w:rPr>
                <w:rFonts w:cs="Arial"/>
                <w:color w:val="000000"/>
                <w:sz w:val="16"/>
                <w:szCs w:val="16"/>
              </w:rPr>
              <w:t>/ 45 participants</w:t>
            </w:r>
          </w:p>
        </w:tc>
        <w:tc>
          <w:tcPr>
            <w:tcW w:w="4394" w:type="dxa"/>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To provide</w:t>
            </w:r>
            <w:r w:rsidRPr="000A08EE">
              <w:rPr>
                <w:rFonts w:cs="Arial"/>
                <w:color w:val="000000"/>
                <w:sz w:val="16"/>
                <w:szCs w:val="16"/>
              </w:rPr>
              <w:t xml:space="preserve"> comprehensive training including </w:t>
            </w:r>
            <w:r>
              <w:rPr>
                <w:rFonts w:cs="Arial"/>
                <w:color w:val="000000"/>
                <w:sz w:val="16"/>
                <w:szCs w:val="16"/>
              </w:rPr>
              <w:t xml:space="preserve">with respect to </w:t>
            </w:r>
            <w:r w:rsidRPr="000A08EE">
              <w:rPr>
                <w:rFonts w:cs="Arial"/>
                <w:color w:val="000000"/>
                <w:sz w:val="16"/>
                <w:szCs w:val="16"/>
              </w:rPr>
              <w:t>update</w:t>
            </w:r>
            <w:r>
              <w:rPr>
                <w:rFonts w:cs="Arial"/>
                <w:color w:val="000000"/>
                <w:sz w:val="16"/>
                <w:szCs w:val="16"/>
              </w:rPr>
              <w:t>s</w:t>
            </w:r>
            <w:r w:rsidRPr="000A08EE">
              <w:rPr>
                <w:rFonts w:cs="Arial"/>
                <w:color w:val="000000"/>
                <w:sz w:val="16"/>
                <w:szCs w:val="16"/>
              </w:rPr>
              <w:t xml:space="preserve"> of </w:t>
            </w:r>
            <w:r>
              <w:rPr>
                <w:rFonts w:cs="Arial"/>
                <w:color w:val="000000"/>
                <w:sz w:val="16"/>
                <w:szCs w:val="16"/>
              </w:rPr>
              <w:t xml:space="preserve">recent </w:t>
            </w:r>
            <w:r w:rsidRPr="000A08EE">
              <w:rPr>
                <w:rFonts w:cs="Arial"/>
                <w:color w:val="000000"/>
                <w:sz w:val="16"/>
                <w:szCs w:val="16"/>
              </w:rPr>
              <w:t>PCT developments and substantive patent examination</w:t>
            </w:r>
            <w:r>
              <w:rPr>
                <w:rFonts w:cs="Arial"/>
                <w:color w:val="000000"/>
                <w:sz w:val="16"/>
                <w:szCs w:val="16"/>
              </w:rPr>
              <w:t>.</w:t>
            </w:r>
          </w:p>
        </w:tc>
      </w:tr>
      <w:tr w:rsidR="0063033D" w:rsidRPr="00774D44" w:rsidTr="008D1891">
        <w:trPr>
          <w:cantSplit/>
          <w:trHeight w:val="530"/>
        </w:trPr>
        <w:tc>
          <w:tcPr>
            <w:tcW w:w="1843" w:type="dxa"/>
          </w:tcPr>
          <w:p w:rsidR="0063033D" w:rsidRPr="00774D44" w:rsidRDefault="0063033D" w:rsidP="008D1891">
            <w:pPr>
              <w:autoSpaceDE w:val="0"/>
              <w:autoSpaceDN w:val="0"/>
              <w:adjustRightInd w:val="0"/>
              <w:spacing w:before="120" w:after="120"/>
              <w:rPr>
                <w:rFonts w:cs="Arial"/>
                <w:color w:val="000000"/>
                <w:sz w:val="16"/>
                <w:szCs w:val="16"/>
              </w:rPr>
            </w:pPr>
            <w:r w:rsidRPr="000A08EE">
              <w:rPr>
                <w:rFonts w:cs="Arial"/>
                <w:color w:val="000000"/>
                <w:sz w:val="16"/>
                <w:szCs w:val="16"/>
              </w:rPr>
              <w:t xml:space="preserve">Training of two </w:t>
            </w:r>
            <w:r>
              <w:rPr>
                <w:rFonts w:cs="Arial"/>
                <w:color w:val="000000"/>
                <w:sz w:val="16"/>
                <w:szCs w:val="16"/>
              </w:rPr>
              <w:t>officials from the Chilean Institute of Industrial Property (INAPI)</w:t>
            </w:r>
            <w:r w:rsidRPr="000A08EE">
              <w:rPr>
                <w:rFonts w:cs="Arial"/>
                <w:color w:val="000000"/>
                <w:sz w:val="16"/>
                <w:szCs w:val="16"/>
              </w:rPr>
              <w:t xml:space="preserve"> on I</w:t>
            </w:r>
            <w:r>
              <w:rPr>
                <w:rFonts w:cs="Arial"/>
                <w:color w:val="000000"/>
                <w:sz w:val="16"/>
                <w:szCs w:val="16"/>
              </w:rPr>
              <w:t xml:space="preserve">nternational </w:t>
            </w:r>
            <w:r w:rsidRPr="000A08EE">
              <w:rPr>
                <w:rFonts w:cs="Arial"/>
                <w:color w:val="000000"/>
                <w:sz w:val="16"/>
                <w:szCs w:val="16"/>
              </w:rPr>
              <w:t>S</w:t>
            </w:r>
            <w:r>
              <w:rPr>
                <w:rFonts w:cs="Arial"/>
                <w:color w:val="000000"/>
                <w:sz w:val="16"/>
                <w:szCs w:val="16"/>
              </w:rPr>
              <w:t xml:space="preserve">earching </w:t>
            </w:r>
            <w:r w:rsidRPr="000A08EE">
              <w:rPr>
                <w:rFonts w:cs="Arial"/>
                <w:color w:val="000000"/>
                <w:sz w:val="16"/>
                <w:szCs w:val="16"/>
              </w:rPr>
              <w:t>A</w:t>
            </w:r>
            <w:r>
              <w:rPr>
                <w:rFonts w:cs="Arial"/>
                <w:color w:val="000000"/>
                <w:sz w:val="16"/>
                <w:szCs w:val="16"/>
              </w:rPr>
              <w:t xml:space="preserve">uthorities (ISA) </w:t>
            </w:r>
            <w:r w:rsidRPr="000A08EE">
              <w:rPr>
                <w:rFonts w:cs="Arial"/>
                <w:color w:val="000000"/>
                <w:sz w:val="16"/>
                <w:szCs w:val="16"/>
              </w:rPr>
              <w:t>/</w:t>
            </w:r>
            <w:r w:rsidRPr="00CD0D7D">
              <w:t xml:space="preserve"> </w:t>
            </w:r>
            <w:r w:rsidRPr="00CD0D7D">
              <w:rPr>
                <w:rFonts w:cs="Arial"/>
                <w:color w:val="000000"/>
                <w:sz w:val="16"/>
                <w:szCs w:val="16"/>
              </w:rPr>
              <w:t xml:space="preserve">International Preliminary Examining Authorities </w:t>
            </w:r>
            <w:r>
              <w:rPr>
                <w:rFonts w:cs="Arial"/>
                <w:color w:val="000000"/>
                <w:sz w:val="16"/>
                <w:szCs w:val="16"/>
              </w:rPr>
              <w:t>(</w:t>
            </w:r>
            <w:r w:rsidRPr="000A08EE">
              <w:rPr>
                <w:rFonts w:cs="Arial"/>
                <w:color w:val="000000"/>
                <w:sz w:val="16"/>
                <w:szCs w:val="16"/>
              </w:rPr>
              <w:t>IPEA</w:t>
            </w:r>
            <w:r>
              <w:rPr>
                <w:rFonts w:cs="Arial"/>
                <w:color w:val="000000"/>
                <w:sz w:val="16"/>
                <w:szCs w:val="16"/>
              </w:rPr>
              <w:t>)</w:t>
            </w:r>
            <w:r w:rsidRPr="000A08EE">
              <w:rPr>
                <w:rFonts w:cs="Arial"/>
                <w:color w:val="000000"/>
                <w:sz w:val="16"/>
                <w:szCs w:val="16"/>
              </w:rPr>
              <w:t xml:space="preserve"> – Patent Examination Procedures</w:t>
            </w:r>
          </w:p>
        </w:tc>
        <w:tc>
          <w:tcPr>
            <w:tcW w:w="1276" w:type="dxa"/>
            <w:gridSpan w:val="2"/>
          </w:tcPr>
          <w:p w:rsidR="0063033D" w:rsidRPr="00774D44" w:rsidRDefault="0063033D" w:rsidP="008D1891">
            <w:pPr>
              <w:autoSpaceDE w:val="0"/>
              <w:autoSpaceDN w:val="0"/>
              <w:adjustRightInd w:val="0"/>
              <w:spacing w:before="120" w:after="120"/>
              <w:rPr>
                <w:rFonts w:cs="Arial"/>
                <w:color w:val="000000"/>
                <w:sz w:val="16"/>
                <w:szCs w:val="16"/>
              </w:rPr>
            </w:pPr>
            <w:r w:rsidRPr="000A08EE">
              <w:rPr>
                <w:rFonts w:cs="Arial"/>
                <w:color w:val="000000"/>
                <w:sz w:val="16"/>
                <w:szCs w:val="16"/>
              </w:rPr>
              <w:t>July 9 to 11, 2014</w:t>
            </w:r>
          </w:p>
        </w:tc>
        <w:tc>
          <w:tcPr>
            <w:tcW w:w="1843" w:type="dxa"/>
            <w:gridSpan w:val="4"/>
          </w:tcPr>
          <w:p w:rsidR="0063033D" w:rsidRPr="00774D44" w:rsidRDefault="0063033D" w:rsidP="008D1891">
            <w:pPr>
              <w:autoSpaceDE w:val="0"/>
              <w:autoSpaceDN w:val="0"/>
              <w:adjustRightInd w:val="0"/>
              <w:spacing w:before="120" w:after="120"/>
              <w:rPr>
                <w:rFonts w:cs="Arial"/>
                <w:color w:val="000000"/>
                <w:sz w:val="16"/>
                <w:szCs w:val="16"/>
              </w:rPr>
            </w:pPr>
            <w:r w:rsidRPr="000A08EE">
              <w:rPr>
                <w:rFonts w:cs="Arial"/>
                <w:color w:val="000000"/>
                <w:sz w:val="16"/>
                <w:szCs w:val="16"/>
              </w:rPr>
              <w:t>Australia</w:t>
            </w:r>
            <w:r>
              <w:rPr>
                <w:rFonts w:cs="Arial"/>
                <w:color w:val="000000"/>
                <w:sz w:val="16"/>
                <w:szCs w:val="16"/>
              </w:rPr>
              <w:t>/ 2 participants from Chile</w:t>
            </w:r>
          </w:p>
        </w:tc>
        <w:tc>
          <w:tcPr>
            <w:tcW w:w="4394" w:type="dxa"/>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To: </w:t>
            </w:r>
            <w:r w:rsidRPr="000A08EE">
              <w:rPr>
                <w:rFonts w:cs="Arial"/>
                <w:color w:val="000000"/>
                <w:sz w:val="16"/>
                <w:szCs w:val="16"/>
              </w:rPr>
              <w:t xml:space="preserve">provide a sound administrative and technical overview of the processing of international applications under the PCT system, from receipt to procedure for grant, by </w:t>
            </w:r>
            <w:r>
              <w:rPr>
                <w:rFonts w:cs="Arial"/>
                <w:color w:val="000000"/>
                <w:sz w:val="16"/>
                <w:szCs w:val="16"/>
              </w:rPr>
              <w:t>IP Australia</w:t>
            </w:r>
            <w:r w:rsidRPr="000A08EE">
              <w:rPr>
                <w:rFonts w:cs="Arial"/>
                <w:color w:val="000000"/>
                <w:sz w:val="16"/>
                <w:szCs w:val="16"/>
              </w:rPr>
              <w:t xml:space="preserve"> as an experienced Office that functions i</w:t>
            </w:r>
            <w:r>
              <w:rPr>
                <w:rFonts w:cs="Arial"/>
                <w:color w:val="000000"/>
                <w:sz w:val="16"/>
                <w:szCs w:val="16"/>
              </w:rPr>
              <w:t>n all capacities under the PCT (</w:t>
            </w:r>
            <w:r w:rsidRPr="000A08EE">
              <w:rPr>
                <w:rFonts w:cs="Arial"/>
                <w:color w:val="000000"/>
                <w:sz w:val="16"/>
                <w:szCs w:val="16"/>
              </w:rPr>
              <w:t>receiving, designated, elected</w:t>
            </w:r>
            <w:r>
              <w:rPr>
                <w:rFonts w:cs="Arial"/>
                <w:color w:val="000000"/>
                <w:sz w:val="16"/>
                <w:szCs w:val="16"/>
              </w:rPr>
              <w:t xml:space="preserve"> Office</w:t>
            </w:r>
            <w:r w:rsidRPr="000A08EE">
              <w:rPr>
                <w:rFonts w:cs="Arial"/>
                <w:color w:val="000000"/>
                <w:sz w:val="16"/>
                <w:szCs w:val="16"/>
              </w:rPr>
              <w:t>, and as an ISA/IPEA</w:t>
            </w:r>
            <w:r>
              <w:rPr>
                <w:rFonts w:cs="Arial"/>
                <w:color w:val="000000"/>
                <w:sz w:val="16"/>
                <w:szCs w:val="16"/>
              </w:rPr>
              <w:t>).</w:t>
            </w:r>
          </w:p>
        </w:tc>
      </w:tr>
      <w:tr w:rsidR="0063033D" w:rsidRPr="00774D44" w:rsidTr="008D1891">
        <w:trPr>
          <w:cantSplit/>
          <w:trHeight w:val="552"/>
        </w:trPr>
        <w:tc>
          <w:tcPr>
            <w:tcW w:w="1843" w:type="dxa"/>
          </w:tcPr>
          <w:p w:rsidR="0063033D" w:rsidRPr="00774D44" w:rsidRDefault="0063033D" w:rsidP="008D1891">
            <w:pPr>
              <w:autoSpaceDE w:val="0"/>
              <w:autoSpaceDN w:val="0"/>
              <w:adjustRightInd w:val="0"/>
              <w:spacing w:before="120" w:after="120"/>
              <w:rPr>
                <w:rFonts w:cs="Arial"/>
                <w:color w:val="000000"/>
                <w:sz w:val="16"/>
                <w:szCs w:val="16"/>
              </w:rPr>
            </w:pPr>
            <w:r w:rsidRPr="000A08EE">
              <w:rPr>
                <w:rFonts w:cs="Arial"/>
                <w:color w:val="000000"/>
                <w:sz w:val="16"/>
                <w:szCs w:val="16"/>
              </w:rPr>
              <w:t xml:space="preserve">PCT Workshop for Cambodia, </w:t>
            </w:r>
            <w:r w:rsidRPr="004B1373">
              <w:rPr>
                <w:rFonts w:cs="Arial"/>
                <w:color w:val="000000"/>
                <w:sz w:val="16"/>
                <w:szCs w:val="16"/>
              </w:rPr>
              <w:t>Lao People's Democratic Republic</w:t>
            </w:r>
            <w:r>
              <w:rPr>
                <w:rFonts w:cs="Arial"/>
                <w:color w:val="000000"/>
                <w:sz w:val="16"/>
                <w:szCs w:val="16"/>
              </w:rPr>
              <w:t xml:space="preserve"> and </w:t>
            </w:r>
            <w:r w:rsidRPr="000A08EE">
              <w:rPr>
                <w:rFonts w:cs="Arial"/>
                <w:color w:val="000000"/>
                <w:sz w:val="16"/>
                <w:szCs w:val="16"/>
              </w:rPr>
              <w:t xml:space="preserve"> Myanmar</w:t>
            </w:r>
          </w:p>
        </w:tc>
        <w:tc>
          <w:tcPr>
            <w:tcW w:w="1276" w:type="dxa"/>
            <w:gridSpan w:val="2"/>
          </w:tcPr>
          <w:p w:rsidR="0063033D" w:rsidRPr="00774D44" w:rsidRDefault="0063033D" w:rsidP="008D1891">
            <w:pPr>
              <w:autoSpaceDE w:val="0"/>
              <w:autoSpaceDN w:val="0"/>
              <w:adjustRightInd w:val="0"/>
              <w:spacing w:before="120" w:after="120"/>
              <w:rPr>
                <w:rFonts w:cs="Arial"/>
                <w:color w:val="000000"/>
                <w:sz w:val="16"/>
                <w:szCs w:val="16"/>
              </w:rPr>
            </w:pPr>
            <w:r w:rsidRPr="004B1373">
              <w:rPr>
                <w:rFonts w:cs="Arial"/>
                <w:color w:val="000000"/>
                <w:sz w:val="16"/>
                <w:szCs w:val="16"/>
              </w:rPr>
              <w:t>July 9 to 11, 2014</w:t>
            </w:r>
          </w:p>
        </w:tc>
        <w:tc>
          <w:tcPr>
            <w:tcW w:w="1843" w:type="dxa"/>
            <w:gridSpan w:val="4"/>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Singapore/ 3 participants from </w:t>
            </w:r>
            <w:r w:rsidRPr="000A08EE">
              <w:rPr>
                <w:rFonts w:cs="Arial"/>
                <w:color w:val="000000"/>
                <w:sz w:val="16"/>
                <w:szCs w:val="16"/>
              </w:rPr>
              <w:t xml:space="preserve">Cambodia, </w:t>
            </w:r>
            <w:r w:rsidRPr="004B1373">
              <w:rPr>
                <w:rFonts w:cs="Arial"/>
                <w:color w:val="000000"/>
                <w:sz w:val="16"/>
                <w:szCs w:val="16"/>
              </w:rPr>
              <w:t>Lao People's Democratic Republic</w:t>
            </w:r>
            <w:r>
              <w:rPr>
                <w:rFonts w:cs="Arial"/>
                <w:color w:val="000000"/>
                <w:sz w:val="16"/>
                <w:szCs w:val="16"/>
              </w:rPr>
              <w:t xml:space="preserve"> and </w:t>
            </w:r>
            <w:r w:rsidRPr="000A08EE">
              <w:rPr>
                <w:rFonts w:cs="Arial"/>
                <w:color w:val="000000"/>
                <w:sz w:val="16"/>
                <w:szCs w:val="16"/>
              </w:rPr>
              <w:t xml:space="preserve"> Myanmar </w:t>
            </w:r>
          </w:p>
        </w:tc>
        <w:tc>
          <w:tcPr>
            <w:tcW w:w="4394" w:type="dxa"/>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To provide </w:t>
            </w:r>
            <w:r w:rsidRPr="004B1373">
              <w:rPr>
                <w:rFonts w:cs="Arial"/>
                <w:color w:val="000000"/>
                <w:sz w:val="16"/>
                <w:szCs w:val="16"/>
              </w:rPr>
              <w:t xml:space="preserve">an overview of </w:t>
            </w:r>
            <w:r>
              <w:rPr>
                <w:rFonts w:cs="Arial"/>
                <w:color w:val="000000"/>
                <w:sz w:val="16"/>
                <w:szCs w:val="16"/>
              </w:rPr>
              <w:t xml:space="preserve">Receiving </w:t>
            </w:r>
            <w:r w:rsidRPr="004B1373">
              <w:rPr>
                <w:rFonts w:cs="Arial"/>
                <w:color w:val="000000"/>
                <w:sz w:val="16"/>
                <w:szCs w:val="16"/>
              </w:rPr>
              <w:t>Office</w:t>
            </w:r>
            <w:r>
              <w:rPr>
                <w:rFonts w:cs="Arial"/>
                <w:color w:val="000000"/>
                <w:sz w:val="16"/>
                <w:szCs w:val="16"/>
              </w:rPr>
              <w:t xml:space="preserve"> (RO)</w:t>
            </w:r>
            <w:r w:rsidRPr="004B1373">
              <w:rPr>
                <w:rFonts w:cs="Arial"/>
                <w:color w:val="000000"/>
                <w:sz w:val="16"/>
                <w:szCs w:val="16"/>
              </w:rPr>
              <w:t xml:space="preserve"> functions and the processing of I</w:t>
            </w:r>
            <w:r>
              <w:rPr>
                <w:rFonts w:cs="Arial"/>
                <w:color w:val="000000"/>
                <w:sz w:val="16"/>
                <w:szCs w:val="16"/>
              </w:rPr>
              <w:t xml:space="preserve">nternational </w:t>
            </w:r>
            <w:r w:rsidRPr="004B1373">
              <w:rPr>
                <w:rFonts w:cs="Arial"/>
                <w:color w:val="000000"/>
                <w:sz w:val="16"/>
                <w:szCs w:val="16"/>
              </w:rPr>
              <w:t>A</w:t>
            </w:r>
            <w:r>
              <w:rPr>
                <w:rFonts w:cs="Arial"/>
                <w:color w:val="000000"/>
                <w:sz w:val="16"/>
                <w:szCs w:val="16"/>
              </w:rPr>
              <w:t>pplication</w:t>
            </w:r>
            <w:r w:rsidRPr="004B1373">
              <w:rPr>
                <w:rFonts w:cs="Arial"/>
                <w:color w:val="000000"/>
                <w:sz w:val="16"/>
                <w:szCs w:val="16"/>
              </w:rPr>
              <w:t>s by an experienced PCT Office for future possible accession to the PCT</w:t>
            </w:r>
            <w:r>
              <w:rPr>
                <w:rFonts w:cs="Arial"/>
                <w:color w:val="000000"/>
                <w:sz w:val="16"/>
                <w:szCs w:val="16"/>
              </w:rPr>
              <w:t>.</w:t>
            </w:r>
          </w:p>
        </w:tc>
      </w:tr>
      <w:tr w:rsidR="0063033D" w:rsidRPr="002B7DE5" w:rsidTr="008D1891">
        <w:trPr>
          <w:cantSplit/>
        </w:trPr>
        <w:tc>
          <w:tcPr>
            <w:tcW w:w="9356" w:type="dxa"/>
            <w:gridSpan w:val="8"/>
            <w:tcBorders>
              <w:top w:val="single" w:sz="4" w:space="0" w:color="000000"/>
              <w:bottom w:val="single" w:sz="4" w:space="0" w:color="000000"/>
            </w:tcBorders>
            <w:shd w:val="clear" w:color="auto" w:fill="CCFFFF"/>
            <w:vAlign w:val="center"/>
          </w:tcPr>
          <w:p w:rsidR="0063033D" w:rsidRPr="002B7DE5" w:rsidRDefault="0063033D" w:rsidP="008D1891">
            <w:pPr>
              <w:keepNext/>
              <w:keepLines/>
              <w:tabs>
                <w:tab w:val="left" w:pos="1740"/>
              </w:tabs>
              <w:spacing w:before="120" w:after="120"/>
              <w:ind w:left="1740" w:hanging="1740"/>
              <w:rPr>
                <w:rFonts w:cs="Arial"/>
                <w:b/>
                <w:bCs/>
                <w:sz w:val="16"/>
                <w:szCs w:val="16"/>
              </w:rPr>
            </w:pPr>
            <w:r w:rsidRPr="00774D44">
              <w:rPr>
                <w:rFonts w:cs="Arial"/>
                <w:b/>
                <w:bCs/>
                <w:color w:val="000000"/>
                <w:sz w:val="16"/>
                <w:szCs w:val="16"/>
              </w:rPr>
              <w:t>RESULT</w:t>
            </w:r>
            <w:r w:rsidRPr="002B7DE5">
              <w:rPr>
                <w:rFonts w:cs="Arial"/>
                <w:b/>
                <w:bCs/>
                <w:sz w:val="16"/>
                <w:szCs w:val="16"/>
              </w:rPr>
              <w:t>:</w:t>
            </w:r>
            <w:r w:rsidRPr="002B7DE5">
              <w:rPr>
                <w:rFonts w:cs="Arial"/>
                <w:b/>
                <w:bCs/>
                <w:sz w:val="16"/>
                <w:szCs w:val="16"/>
              </w:rPr>
              <w:tab/>
            </w:r>
            <w:r w:rsidRPr="009F377C">
              <w:rPr>
                <w:rFonts w:cs="Arial"/>
                <w:bCs/>
                <w:sz w:val="16"/>
                <w:szCs w:val="16"/>
                <w:lang w:val="en-AU"/>
              </w:rPr>
              <w:t>II.6. Wider and better use of the Madrid &amp; Lisbon systems, including by developing countries and LDCs</w:t>
            </w:r>
          </w:p>
        </w:tc>
      </w:tr>
      <w:tr w:rsidR="0063033D" w:rsidRPr="002B7DE5" w:rsidTr="008D1891">
        <w:trPr>
          <w:cantSplit/>
        </w:trPr>
        <w:tc>
          <w:tcPr>
            <w:tcW w:w="1843" w:type="dxa"/>
            <w:tcBorders>
              <w:top w:val="single" w:sz="4" w:space="0" w:color="000000"/>
            </w:tcBorders>
            <w:vAlign w:val="center"/>
          </w:tcPr>
          <w:p w:rsidR="0063033D" w:rsidRPr="002B7DE5" w:rsidRDefault="0063033D" w:rsidP="008D1891">
            <w:pPr>
              <w:keepNext/>
              <w:keepLines/>
              <w:rPr>
                <w:rFonts w:cs="Arial"/>
                <w:b/>
                <w:bCs/>
                <w:sz w:val="16"/>
                <w:szCs w:val="16"/>
              </w:rPr>
            </w:pPr>
            <w:r w:rsidRPr="002B7DE5">
              <w:rPr>
                <w:rFonts w:cs="Arial"/>
                <w:b/>
                <w:bCs/>
                <w:sz w:val="16"/>
                <w:szCs w:val="16"/>
              </w:rPr>
              <w:t>Activity</w:t>
            </w:r>
          </w:p>
        </w:tc>
        <w:tc>
          <w:tcPr>
            <w:tcW w:w="1276" w:type="dxa"/>
            <w:gridSpan w:val="2"/>
            <w:tcBorders>
              <w:top w:val="single" w:sz="4" w:space="0" w:color="000000"/>
            </w:tcBorders>
            <w:shd w:val="clear" w:color="auto" w:fill="auto"/>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Date</w:t>
            </w:r>
          </w:p>
        </w:tc>
        <w:tc>
          <w:tcPr>
            <w:tcW w:w="1843" w:type="dxa"/>
            <w:gridSpan w:val="4"/>
            <w:tcBorders>
              <w:top w:val="single" w:sz="4" w:space="0" w:color="000000"/>
            </w:tcBorders>
            <w:shd w:val="clear" w:color="auto" w:fill="auto"/>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000000"/>
            </w:tcBorders>
            <w:shd w:val="clear" w:color="auto" w:fill="FFFFFF"/>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Purpose(s)/Description(s)</w:t>
            </w:r>
          </w:p>
        </w:tc>
      </w:tr>
      <w:tr w:rsidR="0063033D" w:rsidRPr="00774D44" w:rsidTr="008D1891">
        <w:trPr>
          <w:cantSplit/>
          <w:trHeight w:val="520"/>
        </w:trPr>
        <w:tc>
          <w:tcPr>
            <w:tcW w:w="1843"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Study visit to the New Zealand IP Office in support of accession to the Madrid System</w:t>
            </w:r>
          </w:p>
        </w:tc>
        <w:tc>
          <w:tcPr>
            <w:tcW w:w="1276" w:type="dxa"/>
            <w:gridSpan w:val="2"/>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February 17 to 21, 2014</w:t>
            </w:r>
          </w:p>
        </w:tc>
        <w:tc>
          <w:tcPr>
            <w:tcW w:w="1843" w:type="dxa"/>
            <w:gridSpan w:val="4"/>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New Zealand/ Cambodia (2), Indonesia (2), </w:t>
            </w:r>
            <w:r w:rsidRPr="004B1373">
              <w:rPr>
                <w:rFonts w:cs="Arial"/>
                <w:color w:val="000000"/>
                <w:sz w:val="16"/>
                <w:szCs w:val="16"/>
              </w:rPr>
              <w:t>Lao People's Democratic Republic</w:t>
            </w:r>
            <w:r>
              <w:rPr>
                <w:rFonts w:cs="Arial"/>
                <w:color w:val="000000"/>
                <w:sz w:val="16"/>
                <w:szCs w:val="16"/>
              </w:rPr>
              <w:t xml:space="preserve"> (2)</w:t>
            </w:r>
          </w:p>
        </w:tc>
        <w:tc>
          <w:tcPr>
            <w:tcW w:w="4394"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To increase understanding of how the Madrid System was implemented in New Zealand from an operational perspective.</w:t>
            </w:r>
          </w:p>
        </w:tc>
      </w:tr>
      <w:tr w:rsidR="0063033D" w:rsidRPr="002B7DE5" w:rsidTr="008D1891">
        <w:trPr>
          <w:cantSplit/>
        </w:trPr>
        <w:tc>
          <w:tcPr>
            <w:tcW w:w="9356" w:type="dxa"/>
            <w:gridSpan w:val="8"/>
            <w:tcBorders>
              <w:top w:val="single" w:sz="4" w:space="0" w:color="000000"/>
              <w:bottom w:val="single" w:sz="4" w:space="0" w:color="000000"/>
            </w:tcBorders>
            <w:shd w:val="clear" w:color="auto" w:fill="CCFFFF"/>
            <w:vAlign w:val="center"/>
          </w:tcPr>
          <w:p w:rsidR="0063033D" w:rsidRPr="00712F53" w:rsidRDefault="0063033D" w:rsidP="008D1891">
            <w:pPr>
              <w:keepNext/>
              <w:keepLines/>
              <w:tabs>
                <w:tab w:val="left" w:pos="1740"/>
              </w:tabs>
              <w:spacing w:before="120" w:after="120"/>
              <w:ind w:left="1740" w:hanging="1740"/>
              <w:rPr>
                <w:rFonts w:cs="Arial"/>
                <w:b/>
                <w:bCs/>
                <w:sz w:val="16"/>
                <w:szCs w:val="16"/>
                <w:lang w:val="en-AU"/>
              </w:rPr>
            </w:pPr>
            <w:r w:rsidRPr="00774D44">
              <w:rPr>
                <w:rFonts w:cs="Arial"/>
                <w:b/>
                <w:bCs/>
                <w:color w:val="000000"/>
                <w:sz w:val="16"/>
                <w:szCs w:val="16"/>
              </w:rPr>
              <w:t>RESULT</w:t>
            </w:r>
            <w:r w:rsidRPr="002B7DE5">
              <w:rPr>
                <w:rFonts w:cs="Arial"/>
                <w:b/>
                <w:bCs/>
                <w:sz w:val="16"/>
                <w:szCs w:val="16"/>
              </w:rPr>
              <w:t>:</w:t>
            </w:r>
            <w:r w:rsidRPr="002B7DE5">
              <w:rPr>
                <w:rFonts w:cs="Arial"/>
                <w:b/>
                <w:bCs/>
                <w:sz w:val="16"/>
                <w:szCs w:val="16"/>
              </w:rPr>
              <w:tab/>
            </w:r>
            <w:r w:rsidRPr="009F377C">
              <w:rPr>
                <w:rFonts w:cs="Arial"/>
                <w:bCs/>
                <w:sz w:val="16"/>
                <w:szCs w:val="16"/>
                <w:lang w:val="en-AU"/>
              </w:rPr>
              <w:t>III.1. National innovation and IP strategies and plans consistent with national development</w:t>
            </w:r>
          </w:p>
        </w:tc>
      </w:tr>
      <w:tr w:rsidR="0063033D" w:rsidRPr="002B7DE5" w:rsidTr="008D1891">
        <w:trPr>
          <w:cantSplit/>
        </w:trPr>
        <w:tc>
          <w:tcPr>
            <w:tcW w:w="1843" w:type="dxa"/>
            <w:tcBorders>
              <w:top w:val="single" w:sz="4" w:space="0" w:color="000000"/>
            </w:tcBorders>
            <w:vAlign w:val="center"/>
          </w:tcPr>
          <w:p w:rsidR="0063033D" w:rsidRPr="002B7DE5" w:rsidRDefault="0063033D" w:rsidP="008D1891">
            <w:pPr>
              <w:keepNext/>
              <w:keepLines/>
              <w:rPr>
                <w:rFonts w:cs="Arial"/>
                <w:b/>
                <w:bCs/>
                <w:sz w:val="16"/>
                <w:szCs w:val="16"/>
              </w:rPr>
            </w:pPr>
            <w:r w:rsidRPr="002B7DE5">
              <w:rPr>
                <w:rFonts w:cs="Arial"/>
                <w:b/>
                <w:bCs/>
                <w:sz w:val="16"/>
                <w:szCs w:val="16"/>
              </w:rPr>
              <w:t>Activity</w:t>
            </w:r>
          </w:p>
        </w:tc>
        <w:tc>
          <w:tcPr>
            <w:tcW w:w="1276" w:type="dxa"/>
            <w:gridSpan w:val="2"/>
            <w:tcBorders>
              <w:top w:val="single" w:sz="4" w:space="0" w:color="000000"/>
            </w:tcBorders>
            <w:shd w:val="clear" w:color="auto" w:fill="auto"/>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Date</w:t>
            </w:r>
          </w:p>
        </w:tc>
        <w:tc>
          <w:tcPr>
            <w:tcW w:w="1843" w:type="dxa"/>
            <w:gridSpan w:val="4"/>
            <w:tcBorders>
              <w:top w:val="single" w:sz="4" w:space="0" w:color="000000"/>
            </w:tcBorders>
            <w:shd w:val="clear" w:color="auto" w:fill="auto"/>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000000"/>
            </w:tcBorders>
            <w:shd w:val="clear" w:color="auto" w:fill="FFFFFF"/>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Purpose(s)/Description(s)</w:t>
            </w:r>
          </w:p>
        </w:tc>
      </w:tr>
      <w:tr w:rsidR="0063033D" w:rsidRPr="000514BA" w:rsidTr="008D1891">
        <w:trPr>
          <w:cantSplit/>
          <w:trHeight w:val="473"/>
        </w:trPr>
        <w:tc>
          <w:tcPr>
            <w:tcW w:w="1843" w:type="dxa"/>
            <w:tcBorders>
              <w:bottom w:val="nil"/>
            </w:tcBorders>
          </w:tcPr>
          <w:p w:rsidR="0063033D" w:rsidRPr="005B38F2" w:rsidRDefault="0063033D" w:rsidP="008D1891">
            <w:pPr>
              <w:autoSpaceDE w:val="0"/>
              <w:autoSpaceDN w:val="0"/>
              <w:adjustRightInd w:val="0"/>
              <w:spacing w:after="120"/>
              <w:rPr>
                <w:rFonts w:cs="Arial"/>
                <w:color w:val="000000"/>
                <w:sz w:val="16"/>
                <w:szCs w:val="16"/>
              </w:rPr>
            </w:pPr>
            <w:r w:rsidRPr="00BE6521">
              <w:rPr>
                <w:rFonts w:cs="Arial"/>
                <w:color w:val="000000"/>
                <w:sz w:val="16"/>
                <w:szCs w:val="16"/>
              </w:rPr>
              <w:t>Advisory mission to develop a National IP Strategy</w:t>
            </w:r>
          </w:p>
        </w:tc>
        <w:tc>
          <w:tcPr>
            <w:tcW w:w="1276" w:type="dxa"/>
            <w:gridSpan w:val="2"/>
            <w:tcBorders>
              <w:bottom w:val="nil"/>
            </w:tcBorders>
          </w:tcPr>
          <w:p w:rsidR="0063033D" w:rsidRPr="005B38F2" w:rsidRDefault="0063033D" w:rsidP="008D1891">
            <w:pPr>
              <w:autoSpaceDE w:val="0"/>
              <w:autoSpaceDN w:val="0"/>
              <w:adjustRightInd w:val="0"/>
              <w:spacing w:after="120"/>
              <w:rPr>
                <w:rFonts w:cs="Arial"/>
                <w:color w:val="000000"/>
                <w:sz w:val="16"/>
                <w:szCs w:val="16"/>
              </w:rPr>
            </w:pPr>
            <w:r>
              <w:rPr>
                <w:rFonts w:cs="Arial"/>
                <w:color w:val="000000"/>
                <w:sz w:val="16"/>
                <w:szCs w:val="16"/>
              </w:rPr>
              <w:t>April 28 to May 6, 2014</w:t>
            </w:r>
          </w:p>
        </w:tc>
        <w:tc>
          <w:tcPr>
            <w:tcW w:w="1831" w:type="dxa"/>
            <w:gridSpan w:val="3"/>
            <w:tcBorders>
              <w:bottom w:val="nil"/>
            </w:tcBorders>
          </w:tcPr>
          <w:p w:rsidR="0063033D" w:rsidRPr="005B38F2" w:rsidRDefault="0063033D" w:rsidP="008D1891">
            <w:pPr>
              <w:autoSpaceDE w:val="0"/>
              <w:autoSpaceDN w:val="0"/>
              <w:adjustRightInd w:val="0"/>
              <w:spacing w:after="120"/>
              <w:rPr>
                <w:rFonts w:cs="Arial"/>
                <w:color w:val="000000"/>
                <w:sz w:val="16"/>
                <w:szCs w:val="16"/>
              </w:rPr>
            </w:pPr>
            <w:r>
              <w:rPr>
                <w:rFonts w:cs="Arial"/>
                <w:color w:val="000000"/>
                <w:sz w:val="16"/>
                <w:szCs w:val="16"/>
              </w:rPr>
              <w:t>Solomon Islands</w:t>
            </w:r>
          </w:p>
        </w:tc>
        <w:tc>
          <w:tcPr>
            <w:tcW w:w="4406" w:type="dxa"/>
            <w:gridSpan w:val="2"/>
            <w:tcBorders>
              <w:bottom w:val="nil"/>
            </w:tcBorders>
          </w:tcPr>
          <w:p w:rsidR="0063033D" w:rsidRDefault="0063033D" w:rsidP="008D1891">
            <w:pPr>
              <w:autoSpaceDE w:val="0"/>
              <w:autoSpaceDN w:val="0"/>
              <w:adjustRightInd w:val="0"/>
              <w:rPr>
                <w:rFonts w:cs="Arial"/>
                <w:color w:val="000000"/>
                <w:sz w:val="16"/>
                <w:szCs w:val="16"/>
              </w:rPr>
            </w:pPr>
            <w:r w:rsidRPr="00BE6521">
              <w:rPr>
                <w:rFonts w:cs="Arial"/>
                <w:color w:val="000000"/>
                <w:sz w:val="16"/>
                <w:szCs w:val="16"/>
              </w:rPr>
              <w:t>To</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w:t>
            </w:r>
            <w:r w:rsidRPr="00BE6521">
              <w:rPr>
                <w:rFonts w:cs="Arial"/>
                <w:color w:val="000000"/>
                <w:sz w:val="16"/>
                <w:szCs w:val="16"/>
              </w:rPr>
              <w:t xml:space="preserve"> follow-up on the recommendations made in the Needs Assessment Report of May 2013</w:t>
            </w:r>
            <w:r>
              <w:rPr>
                <w:rFonts w:cs="Arial"/>
                <w:color w:val="000000"/>
                <w:sz w:val="16"/>
                <w:szCs w:val="16"/>
              </w:rPr>
              <w:t xml:space="preserve">; </w:t>
            </w:r>
            <w:r w:rsidRPr="00BE6521">
              <w:rPr>
                <w:rFonts w:cs="Arial"/>
                <w:color w:val="000000"/>
                <w:sz w:val="16"/>
                <w:szCs w:val="16"/>
              </w:rPr>
              <w:t xml:space="preserve"> and </w:t>
            </w:r>
            <w:r>
              <w:rPr>
                <w:rFonts w:cs="Arial"/>
                <w:color w:val="000000"/>
                <w:sz w:val="16"/>
                <w:szCs w:val="16"/>
              </w:rPr>
              <w:t>(ii)</w:t>
            </w:r>
            <w:r w:rsidRPr="00BE6521">
              <w:rPr>
                <w:rFonts w:cs="Arial"/>
                <w:color w:val="000000"/>
                <w:sz w:val="16"/>
                <w:szCs w:val="16"/>
              </w:rPr>
              <w:t xml:space="preserve"> provide a strategic framework (i.e. National IP Strategy) for the development of an IP system in the Solomon Islands. </w:t>
            </w:r>
          </w:p>
          <w:p w:rsidR="0063033D" w:rsidRDefault="0063033D" w:rsidP="008D1891">
            <w:pPr>
              <w:autoSpaceDE w:val="0"/>
              <w:autoSpaceDN w:val="0"/>
              <w:adjustRightInd w:val="0"/>
              <w:rPr>
                <w:rFonts w:cs="Arial"/>
                <w:color w:val="000000"/>
                <w:sz w:val="16"/>
                <w:szCs w:val="16"/>
              </w:rPr>
            </w:pPr>
            <w:r w:rsidRPr="00BE6521">
              <w:rPr>
                <w:rFonts w:cs="Arial"/>
                <w:color w:val="000000"/>
                <w:sz w:val="16"/>
                <w:szCs w:val="16"/>
              </w:rPr>
              <w:t xml:space="preserve"> </w:t>
            </w:r>
          </w:p>
          <w:p w:rsidR="0063033D" w:rsidRDefault="0063033D" w:rsidP="008D1891">
            <w:pPr>
              <w:autoSpaceDE w:val="0"/>
              <w:autoSpaceDN w:val="0"/>
              <w:adjustRightInd w:val="0"/>
              <w:rPr>
                <w:rFonts w:cs="Arial"/>
                <w:color w:val="000000"/>
                <w:sz w:val="16"/>
                <w:szCs w:val="16"/>
              </w:rPr>
            </w:pPr>
            <w:r w:rsidRPr="00BE6521">
              <w:rPr>
                <w:rFonts w:cs="Arial"/>
                <w:color w:val="000000"/>
                <w:sz w:val="16"/>
                <w:szCs w:val="16"/>
              </w:rPr>
              <w:t xml:space="preserve">The </w:t>
            </w:r>
            <w:r>
              <w:rPr>
                <w:rFonts w:cs="Arial"/>
                <w:color w:val="000000"/>
                <w:sz w:val="16"/>
                <w:szCs w:val="16"/>
              </w:rPr>
              <w:t xml:space="preserve">draft </w:t>
            </w:r>
            <w:r w:rsidRPr="00BE6521">
              <w:rPr>
                <w:rFonts w:cs="Arial"/>
                <w:color w:val="000000"/>
                <w:sz w:val="16"/>
                <w:szCs w:val="16"/>
              </w:rPr>
              <w:t xml:space="preserve">Strategy </w:t>
            </w:r>
            <w:r>
              <w:rPr>
                <w:rFonts w:cs="Arial"/>
                <w:color w:val="000000"/>
                <w:sz w:val="16"/>
                <w:szCs w:val="16"/>
              </w:rPr>
              <w:t>defines</w:t>
            </w:r>
            <w:r w:rsidRPr="00BE6521">
              <w:rPr>
                <w:rFonts w:cs="Arial"/>
                <w:color w:val="000000"/>
                <w:sz w:val="16"/>
                <w:szCs w:val="16"/>
              </w:rPr>
              <w:t xml:space="preserve"> the priority steps needed to be undertaken in the modernization of the national IP system</w:t>
            </w:r>
            <w:r>
              <w:rPr>
                <w:rFonts w:cs="Arial"/>
                <w:color w:val="000000"/>
                <w:sz w:val="16"/>
                <w:szCs w:val="16"/>
              </w:rPr>
              <w:t>,</w:t>
            </w:r>
            <w:r w:rsidRPr="00BE6521">
              <w:rPr>
                <w:rFonts w:cs="Arial"/>
                <w:color w:val="000000"/>
                <w:sz w:val="16"/>
                <w:szCs w:val="16"/>
              </w:rPr>
              <w:t xml:space="preserve"> including IP legislation, administration and capacity building</w:t>
            </w:r>
            <w:r>
              <w:rPr>
                <w:rFonts w:cs="Arial"/>
                <w:color w:val="000000"/>
                <w:sz w:val="16"/>
                <w:szCs w:val="16"/>
              </w:rPr>
              <w:t>.  Final consultations with the government and other stakeholders will take place from April 14 to 16, 2015, and the final draft strategy is expected to be submitted to the Government in May 2015.</w:t>
            </w:r>
          </w:p>
          <w:p w:rsidR="0063033D" w:rsidRPr="000514BA" w:rsidRDefault="0063033D" w:rsidP="008D1891">
            <w:pPr>
              <w:autoSpaceDE w:val="0"/>
              <w:autoSpaceDN w:val="0"/>
              <w:adjustRightInd w:val="0"/>
              <w:rPr>
                <w:rFonts w:cs="Arial"/>
                <w:color w:val="000000"/>
                <w:sz w:val="16"/>
                <w:szCs w:val="16"/>
              </w:rPr>
            </w:pPr>
          </w:p>
        </w:tc>
      </w:tr>
      <w:tr w:rsidR="0063033D" w:rsidRPr="000514BA" w:rsidTr="008D1891">
        <w:trPr>
          <w:cantSplit/>
          <w:trHeight w:val="473"/>
        </w:trPr>
        <w:tc>
          <w:tcPr>
            <w:tcW w:w="1843" w:type="dxa"/>
            <w:tcBorders>
              <w:top w:val="nil"/>
              <w:bottom w:val="single" w:sz="4" w:space="0" w:color="auto"/>
            </w:tcBorders>
          </w:tcPr>
          <w:p w:rsidR="0063033D" w:rsidRPr="005B38F2" w:rsidRDefault="0063033D" w:rsidP="008D1891">
            <w:pPr>
              <w:autoSpaceDE w:val="0"/>
              <w:autoSpaceDN w:val="0"/>
              <w:adjustRightInd w:val="0"/>
              <w:spacing w:after="120"/>
              <w:rPr>
                <w:rFonts w:cs="Arial"/>
                <w:color w:val="000000"/>
                <w:sz w:val="16"/>
                <w:szCs w:val="16"/>
              </w:rPr>
            </w:pPr>
            <w:r w:rsidRPr="00BE6521">
              <w:rPr>
                <w:rFonts w:cs="Arial"/>
                <w:color w:val="000000"/>
                <w:sz w:val="16"/>
                <w:szCs w:val="16"/>
              </w:rPr>
              <w:t>Advisory mission to develop a National IP Strategy</w:t>
            </w:r>
          </w:p>
        </w:tc>
        <w:tc>
          <w:tcPr>
            <w:tcW w:w="1276" w:type="dxa"/>
            <w:gridSpan w:val="2"/>
            <w:tcBorders>
              <w:top w:val="nil"/>
              <w:bottom w:val="single" w:sz="4" w:space="0" w:color="auto"/>
            </w:tcBorders>
          </w:tcPr>
          <w:p w:rsidR="0063033D" w:rsidRPr="005B38F2" w:rsidRDefault="0063033D" w:rsidP="008D1891">
            <w:pPr>
              <w:autoSpaceDE w:val="0"/>
              <w:autoSpaceDN w:val="0"/>
              <w:adjustRightInd w:val="0"/>
              <w:spacing w:after="120"/>
              <w:rPr>
                <w:rFonts w:cs="Arial"/>
                <w:color w:val="000000"/>
                <w:sz w:val="16"/>
                <w:szCs w:val="16"/>
              </w:rPr>
            </w:pPr>
            <w:r>
              <w:rPr>
                <w:rFonts w:cs="Arial"/>
                <w:color w:val="000000"/>
                <w:sz w:val="16"/>
                <w:szCs w:val="16"/>
              </w:rPr>
              <w:t>May 5 and 6, 2014</w:t>
            </w:r>
          </w:p>
        </w:tc>
        <w:tc>
          <w:tcPr>
            <w:tcW w:w="1831" w:type="dxa"/>
            <w:gridSpan w:val="3"/>
            <w:tcBorders>
              <w:top w:val="nil"/>
              <w:bottom w:val="single" w:sz="4" w:space="0" w:color="auto"/>
            </w:tcBorders>
          </w:tcPr>
          <w:p w:rsidR="0063033D" w:rsidRPr="005B38F2" w:rsidRDefault="0063033D" w:rsidP="008D1891">
            <w:pPr>
              <w:autoSpaceDE w:val="0"/>
              <w:autoSpaceDN w:val="0"/>
              <w:adjustRightInd w:val="0"/>
              <w:spacing w:after="120"/>
              <w:rPr>
                <w:rFonts w:cs="Arial"/>
                <w:color w:val="000000"/>
                <w:sz w:val="16"/>
                <w:szCs w:val="16"/>
              </w:rPr>
            </w:pPr>
            <w:r>
              <w:rPr>
                <w:rFonts w:cs="Arial"/>
                <w:color w:val="000000"/>
                <w:sz w:val="16"/>
                <w:szCs w:val="16"/>
              </w:rPr>
              <w:t>Vanuatu</w:t>
            </w:r>
          </w:p>
        </w:tc>
        <w:tc>
          <w:tcPr>
            <w:tcW w:w="4406" w:type="dxa"/>
            <w:gridSpan w:val="2"/>
            <w:tcBorders>
              <w:top w:val="nil"/>
              <w:bottom w:val="single" w:sz="4" w:space="0" w:color="auto"/>
            </w:tcBorders>
          </w:tcPr>
          <w:p w:rsidR="0063033D" w:rsidRDefault="0063033D" w:rsidP="008D1891">
            <w:pPr>
              <w:autoSpaceDE w:val="0"/>
              <w:autoSpaceDN w:val="0"/>
              <w:adjustRightInd w:val="0"/>
              <w:rPr>
                <w:rFonts w:cs="Arial"/>
                <w:color w:val="000000"/>
                <w:sz w:val="16"/>
                <w:szCs w:val="16"/>
              </w:rPr>
            </w:pPr>
            <w:r w:rsidRPr="00BE6521">
              <w:rPr>
                <w:rFonts w:cs="Arial"/>
                <w:color w:val="000000"/>
                <w:sz w:val="16"/>
                <w:szCs w:val="16"/>
              </w:rPr>
              <w:t>To hold national consultation meetings on the draft National IP Strategy with a view to finalize it and to proceed with the process of</w:t>
            </w:r>
            <w:r>
              <w:rPr>
                <w:rFonts w:cs="Arial"/>
                <w:color w:val="000000"/>
                <w:sz w:val="16"/>
                <w:szCs w:val="16"/>
              </w:rPr>
              <w:t xml:space="preserve"> national approval through the N</w:t>
            </w:r>
            <w:r w:rsidRPr="00BE6521">
              <w:rPr>
                <w:rFonts w:cs="Arial"/>
                <w:color w:val="000000"/>
                <w:sz w:val="16"/>
                <w:szCs w:val="16"/>
              </w:rPr>
              <w:t xml:space="preserve">ational Council of Ministers and the Council of Chiefs. </w:t>
            </w:r>
          </w:p>
          <w:p w:rsidR="0063033D" w:rsidRDefault="0063033D" w:rsidP="008D1891">
            <w:pPr>
              <w:autoSpaceDE w:val="0"/>
              <w:autoSpaceDN w:val="0"/>
              <w:adjustRightInd w:val="0"/>
              <w:rPr>
                <w:rFonts w:cs="Arial"/>
                <w:color w:val="000000"/>
                <w:sz w:val="16"/>
                <w:szCs w:val="16"/>
              </w:rPr>
            </w:pPr>
          </w:p>
          <w:p w:rsidR="0063033D" w:rsidRDefault="0063033D" w:rsidP="008D1891">
            <w:pPr>
              <w:autoSpaceDE w:val="0"/>
              <w:autoSpaceDN w:val="0"/>
              <w:adjustRightInd w:val="0"/>
              <w:rPr>
                <w:rFonts w:cs="Arial"/>
                <w:color w:val="000000"/>
                <w:sz w:val="16"/>
                <w:szCs w:val="16"/>
              </w:rPr>
            </w:pPr>
            <w:r>
              <w:rPr>
                <w:rFonts w:cs="Arial"/>
                <w:color w:val="000000"/>
                <w:sz w:val="16"/>
                <w:szCs w:val="16"/>
              </w:rPr>
              <w:t xml:space="preserve">This was the final phase of the IP Strategy preparation process.  The final draft submitted by WIPO was approved by the Council of Ministers of the Vanuatu Government in November 2014. </w:t>
            </w:r>
          </w:p>
          <w:p w:rsidR="0063033D" w:rsidRPr="000514BA" w:rsidRDefault="0063033D" w:rsidP="008D1891">
            <w:pPr>
              <w:autoSpaceDE w:val="0"/>
              <w:autoSpaceDN w:val="0"/>
              <w:adjustRightInd w:val="0"/>
              <w:rPr>
                <w:rFonts w:cs="Arial"/>
                <w:color w:val="000000"/>
                <w:sz w:val="16"/>
                <w:szCs w:val="16"/>
              </w:rPr>
            </w:pPr>
          </w:p>
        </w:tc>
      </w:tr>
      <w:tr w:rsidR="0063033D" w:rsidRPr="000514BA" w:rsidTr="008D1891">
        <w:trPr>
          <w:cantSplit/>
          <w:trHeight w:val="473"/>
        </w:trPr>
        <w:tc>
          <w:tcPr>
            <w:tcW w:w="1843" w:type="dxa"/>
            <w:tcBorders>
              <w:top w:val="single" w:sz="4" w:space="0" w:color="auto"/>
              <w:bottom w:val="nil"/>
            </w:tcBorders>
            <w:vAlign w:val="center"/>
          </w:tcPr>
          <w:p w:rsidR="0063033D" w:rsidRPr="002B7DE5" w:rsidRDefault="0063033D" w:rsidP="008D1891">
            <w:pPr>
              <w:keepNext/>
              <w:keepLines/>
              <w:rPr>
                <w:rFonts w:cs="Arial"/>
                <w:b/>
                <w:bCs/>
                <w:sz w:val="16"/>
                <w:szCs w:val="16"/>
              </w:rPr>
            </w:pPr>
            <w:r w:rsidRPr="002B7DE5">
              <w:rPr>
                <w:rFonts w:cs="Arial"/>
                <w:b/>
                <w:bCs/>
                <w:sz w:val="16"/>
                <w:szCs w:val="16"/>
              </w:rPr>
              <w:lastRenderedPageBreak/>
              <w:t>Activity</w:t>
            </w:r>
          </w:p>
        </w:tc>
        <w:tc>
          <w:tcPr>
            <w:tcW w:w="1276" w:type="dxa"/>
            <w:gridSpan w:val="2"/>
            <w:tcBorders>
              <w:top w:val="single" w:sz="4" w:space="0" w:color="auto"/>
              <w:bottom w:val="nil"/>
            </w:tcBorders>
            <w:vAlign w:val="center"/>
          </w:tcPr>
          <w:p w:rsidR="0063033D" w:rsidRPr="002B7DE5" w:rsidRDefault="0063033D" w:rsidP="008D1891">
            <w:pPr>
              <w:keepNext/>
              <w:keepLines/>
              <w:rPr>
                <w:rFonts w:cs="Arial"/>
                <w:sz w:val="16"/>
                <w:szCs w:val="16"/>
              </w:rPr>
            </w:pPr>
            <w:r w:rsidRPr="002B7DE5">
              <w:rPr>
                <w:rFonts w:cs="Arial"/>
                <w:b/>
                <w:bCs/>
                <w:sz w:val="16"/>
                <w:szCs w:val="16"/>
              </w:rPr>
              <w:t>Date</w:t>
            </w:r>
          </w:p>
        </w:tc>
        <w:tc>
          <w:tcPr>
            <w:tcW w:w="1831" w:type="dxa"/>
            <w:gridSpan w:val="3"/>
            <w:tcBorders>
              <w:top w:val="single" w:sz="4" w:space="0" w:color="auto"/>
              <w:bottom w:val="nil"/>
            </w:tcBorders>
            <w:vAlign w:val="center"/>
          </w:tcPr>
          <w:p w:rsidR="0063033D" w:rsidRPr="002B7DE5" w:rsidRDefault="0063033D" w:rsidP="008D1891">
            <w:pPr>
              <w:keepNext/>
              <w:keepLines/>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406" w:type="dxa"/>
            <w:gridSpan w:val="2"/>
            <w:tcBorders>
              <w:top w:val="single" w:sz="4" w:space="0" w:color="auto"/>
              <w:bottom w:val="nil"/>
            </w:tcBorders>
            <w:vAlign w:val="center"/>
          </w:tcPr>
          <w:p w:rsidR="0063033D" w:rsidRPr="002B7DE5" w:rsidRDefault="0063033D" w:rsidP="008D1891">
            <w:pPr>
              <w:keepNext/>
              <w:keepLines/>
              <w:rPr>
                <w:rFonts w:cs="Arial"/>
                <w:sz w:val="16"/>
                <w:szCs w:val="16"/>
              </w:rPr>
            </w:pPr>
            <w:r w:rsidRPr="002B7DE5">
              <w:rPr>
                <w:rFonts w:cs="Arial"/>
                <w:b/>
                <w:bCs/>
                <w:sz w:val="16"/>
                <w:szCs w:val="16"/>
              </w:rPr>
              <w:t>Purpose(s)/Description(s)</w:t>
            </w:r>
          </w:p>
        </w:tc>
      </w:tr>
      <w:tr w:rsidR="0063033D" w:rsidRPr="000514BA" w:rsidTr="008D1891">
        <w:trPr>
          <w:cantSplit/>
          <w:trHeight w:val="473"/>
        </w:trPr>
        <w:tc>
          <w:tcPr>
            <w:tcW w:w="1843" w:type="dxa"/>
            <w:tcBorders>
              <w:top w:val="single" w:sz="4" w:space="0" w:color="auto"/>
              <w:bottom w:val="nil"/>
            </w:tcBorders>
          </w:tcPr>
          <w:p w:rsidR="0063033D" w:rsidRPr="005B38F2" w:rsidRDefault="0063033D" w:rsidP="008D1891">
            <w:pPr>
              <w:autoSpaceDE w:val="0"/>
              <w:autoSpaceDN w:val="0"/>
              <w:adjustRightInd w:val="0"/>
              <w:spacing w:after="120"/>
              <w:rPr>
                <w:rFonts w:cs="Arial"/>
                <w:color w:val="000000"/>
                <w:sz w:val="16"/>
                <w:szCs w:val="16"/>
              </w:rPr>
            </w:pPr>
            <w:r w:rsidRPr="00BE6521">
              <w:rPr>
                <w:rFonts w:cs="Arial"/>
                <w:color w:val="000000"/>
                <w:sz w:val="16"/>
                <w:szCs w:val="16"/>
              </w:rPr>
              <w:t>Advisory mission to develop a National IP Strategy</w:t>
            </w:r>
          </w:p>
        </w:tc>
        <w:tc>
          <w:tcPr>
            <w:tcW w:w="1276" w:type="dxa"/>
            <w:gridSpan w:val="2"/>
            <w:tcBorders>
              <w:top w:val="single" w:sz="4" w:space="0" w:color="auto"/>
              <w:bottom w:val="nil"/>
            </w:tcBorders>
          </w:tcPr>
          <w:p w:rsidR="0063033D" w:rsidRPr="005B38F2" w:rsidRDefault="0063033D" w:rsidP="008D1891">
            <w:pPr>
              <w:autoSpaceDE w:val="0"/>
              <w:autoSpaceDN w:val="0"/>
              <w:adjustRightInd w:val="0"/>
              <w:spacing w:after="120"/>
              <w:rPr>
                <w:rFonts w:cs="Arial"/>
                <w:color w:val="000000"/>
                <w:sz w:val="16"/>
                <w:szCs w:val="16"/>
              </w:rPr>
            </w:pPr>
            <w:r>
              <w:rPr>
                <w:rFonts w:cs="Arial"/>
                <w:color w:val="000000"/>
                <w:sz w:val="16"/>
                <w:szCs w:val="16"/>
              </w:rPr>
              <w:t>May 8 and 9, 2014</w:t>
            </w:r>
          </w:p>
        </w:tc>
        <w:tc>
          <w:tcPr>
            <w:tcW w:w="1831" w:type="dxa"/>
            <w:gridSpan w:val="3"/>
            <w:tcBorders>
              <w:top w:val="single" w:sz="4" w:space="0" w:color="auto"/>
              <w:bottom w:val="nil"/>
            </w:tcBorders>
          </w:tcPr>
          <w:p w:rsidR="0063033D" w:rsidRPr="005B38F2" w:rsidRDefault="0063033D" w:rsidP="008D1891">
            <w:pPr>
              <w:autoSpaceDE w:val="0"/>
              <w:autoSpaceDN w:val="0"/>
              <w:adjustRightInd w:val="0"/>
              <w:spacing w:after="120"/>
              <w:rPr>
                <w:rFonts w:cs="Arial"/>
                <w:color w:val="000000"/>
                <w:sz w:val="16"/>
                <w:szCs w:val="16"/>
              </w:rPr>
            </w:pPr>
            <w:r>
              <w:rPr>
                <w:rFonts w:cs="Arial"/>
                <w:color w:val="000000"/>
                <w:sz w:val="16"/>
                <w:szCs w:val="16"/>
              </w:rPr>
              <w:t>Tonga</w:t>
            </w:r>
          </w:p>
        </w:tc>
        <w:tc>
          <w:tcPr>
            <w:tcW w:w="4406" w:type="dxa"/>
            <w:gridSpan w:val="2"/>
            <w:tcBorders>
              <w:top w:val="single" w:sz="4" w:space="0" w:color="auto"/>
              <w:bottom w:val="nil"/>
            </w:tcBorders>
          </w:tcPr>
          <w:p w:rsidR="0063033D" w:rsidRDefault="0063033D" w:rsidP="008D1891">
            <w:pPr>
              <w:autoSpaceDE w:val="0"/>
              <w:autoSpaceDN w:val="0"/>
              <w:adjustRightInd w:val="0"/>
              <w:rPr>
                <w:rFonts w:cs="Arial"/>
                <w:color w:val="000000"/>
                <w:sz w:val="16"/>
                <w:szCs w:val="16"/>
              </w:rPr>
            </w:pPr>
            <w:r w:rsidRPr="00702EF6">
              <w:rPr>
                <w:rFonts w:cs="Arial"/>
                <w:color w:val="000000"/>
                <w:sz w:val="16"/>
                <w:szCs w:val="16"/>
              </w:rPr>
              <w:t>This was the final phase of the IP Strategy preparation process</w:t>
            </w:r>
            <w:r>
              <w:rPr>
                <w:rFonts w:cs="Arial"/>
                <w:color w:val="000000"/>
                <w:sz w:val="16"/>
                <w:szCs w:val="16"/>
              </w:rPr>
              <w:t xml:space="preserve"> involving national stakeholder consultations on the draft national IP strategy. </w:t>
            </w:r>
          </w:p>
          <w:p w:rsidR="0063033D" w:rsidRDefault="0063033D" w:rsidP="008D1891">
            <w:pPr>
              <w:autoSpaceDE w:val="0"/>
              <w:autoSpaceDN w:val="0"/>
              <w:adjustRightInd w:val="0"/>
              <w:rPr>
                <w:rFonts w:cs="Arial"/>
                <w:color w:val="000000"/>
                <w:sz w:val="16"/>
                <w:szCs w:val="16"/>
              </w:rPr>
            </w:pPr>
          </w:p>
          <w:p w:rsidR="0063033D" w:rsidRPr="000514BA" w:rsidRDefault="0063033D" w:rsidP="008D1891">
            <w:pPr>
              <w:autoSpaceDE w:val="0"/>
              <w:autoSpaceDN w:val="0"/>
              <w:adjustRightInd w:val="0"/>
              <w:rPr>
                <w:rFonts w:cs="Arial"/>
                <w:color w:val="000000"/>
                <w:sz w:val="16"/>
                <w:szCs w:val="16"/>
              </w:rPr>
            </w:pPr>
            <w:r>
              <w:rPr>
                <w:rFonts w:cs="Arial"/>
                <w:color w:val="000000"/>
                <w:sz w:val="16"/>
                <w:szCs w:val="16"/>
              </w:rPr>
              <w:t xml:space="preserve">The Minister in charge of IP and the Education Minister provided positive feedback on the report.  </w:t>
            </w:r>
            <w:r w:rsidRPr="00F67D15">
              <w:rPr>
                <w:rFonts w:cs="Arial"/>
                <w:color w:val="000000"/>
                <w:sz w:val="16"/>
                <w:szCs w:val="16"/>
              </w:rPr>
              <w:t>The final draft submitted by WIPO was approved by the</w:t>
            </w:r>
            <w:r>
              <w:rPr>
                <w:rFonts w:cs="Arial"/>
                <w:color w:val="000000"/>
                <w:sz w:val="16"/>
                <w:szCs w:val="16"/>
              </w:rPr>
              <w:t xml:space="preserve"> Government of Tonga in November 2014. </w:t>
            </w:r>
          </w:p>
        </w:tc>
      </w:tr>
      <w:tr w:rsidR="0063033D" w:rsidRPr="000514BA" w:rsidTr="008D1891">
        <w:trPr>
          <w:cantSplit/>
          <w:trHeight w:val="473"/>
        </w:trPr>
        <w:tc>
          <w:tcPr>
            <w:tcW w:w="1843" w:type="dxa"/>
            <w:tcBorders>
              <w:top w:val="nil"/>
              <w:bottom w:val="nil"/>
            </w:tcBorders>
          </w:tcPr>
          <w:p w:rsidR="0063033D" w:rsidRPr="005B38F2" w:rsidRDefault="0063033D" w:rsidP="008D1891">
            <w:pPr>
              <w:autoSpaceDE w:val="0"/>
              <w:autoSpaceDN w:val="0"/>
              <w:adjustRightInd w:val="0"/>
              <w:spacing w:before="120" w:after="120"/>
              <w:rPr>
                <w:rFonts w:cs="Arial"/>
                <w:color w:val="000000"/>
                <w:sz w:val="16"/>
                <w:szCs w:val="16"/>
              </w:rPr>
            </w:pPr>
            <w:r w:rsidRPr="00BE6521">
              <w:rPr>
                <w:rFonts w:cs="Arial"/>
                <w:color w:val="000000"/>
                <w:sz w:val="16"/>
                <w:szCs w:val="16"/>
              </w:rPr>
              <w:t>Advisory mission to develop a National IP Strategy</w:t>
            </w:r>
          </w:p>
        </w:tc>
        <w:tc>
          <w:tcPr>
            <w:tcW w:w="1276" w:type="dxa"/>
            <w:gridSpan w:val="2"/>
            <w:tcBorders>
              <w:top w:val="nil"/>
              <w:bottom w:val="nil"/>
            </w:tcBorders>
          </w:tcPr>
          <w:p w:rsidR="0063033D" w:rsidRPr="005B38F2" w:rsidRDefault="0063033D" w:rsidP="008D1891">
            <w:pPr>
              <w:autoSpaceDE w:val="0"/>
              <w:autoSpaceDN w:val="0"/>
              <w:adjustRightInd w:val="0"/>
              <w:spacing w:before="120" w:after="120"/>
              <w:rPr>
                <w:rFonts w:cs="Arial"/>
                <w:color w:val="000000"/>
                <w:sz w:val="16"/>
                <w:szCs w:val="16"/>
              </w:rPr>
            </w:pPr>
            <w:r w:rsidRPr="00702EF6">
              <w:rPr>
                <w:rFonts w:cs="Arial"/>
                <w:color w:val="000000"/>
                <w:sz w:val="16"/>
                <w:szCs w:val="16"/>
              </w:rPr>
              <w:t>November 10 to 14, 2014</w:t>
            </w:r>
          </w:p>
        </w:tc>
        <w:tc>
          <w:tcPr>
            <w:tcW w:w="1831" w:type="dxa"/>
            <w:gridSpan w:val="3"/>
            <w:tcBorders>
              <w:top w:val="nil"/>
              <w:bottom w:val="nil"/>
            </w:tcBorders>
          </w:tcPr>
          <w:p w:rsidR="0063033D" w:rsidRPr="005B38F2"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Cook Islands</w:t>
            </w:r>
          </w:p>
        </w:tc>
        <w:tc>
          <w:tcPr>
            <w:tcW w:w="4406" w:type="dxa"/>
            <w:gridSpan w:val="2"/>
            <w:tcBorders>
              <w:top w:val="nil"/>
              <w:bottom w:val="nil"/>
            </w:tcBorders>
          </w:tcPr>
          <w:p w:rsidR="0063033D" w:rsidRDefault="0063033D" w:rsidP="008D1891">
            <w:pPr>
              <w:autoSpaceDE w:val="0"/>
              <w:autoSpaceDN w:val="0"/>
              <w:adjustRightInd w:val="0"/>
              <w:rPr>
                <w:rFonts w:cs="Arial"/>
                <w:color w:val="000000"/>
                <w:sz w:val="16"/>
                <w:szCs w:val="16"/>
              </w:rPr>
            </w:pPr>
            <w:r>
              <w:rPr>
                <w:rFonts w:cs="Arial"/>
                <w:color w:val="000000"/>
                <w:sz w:val="16"/>
                <w:szCs w:val="16"/>
              </w:rPr>
              <w:t xml:space="preserve">To prepare </w:t>
            </w:r>
            <w:r w:rsidRPr="00702EF6">
              <w:rPr>
                <w:rFonts w:cs="Arial"/>
                <w:color w:val="000000"/>
                <w:sz w:val="16"/>
                <w:szCs w:val="16"/>
              </w:rPr>
              <w:t>the nati</w:t>
            </w:r>
            <w:r>
              <w:rPr>
                <w:rFonts w:cs="Arial"/>
                <w:color w:val="000000"/>
                <w:sz w:val="16"/>
                <w:szCs w:val="16"/>
              </w:rPr>
              <w:t xml:space="preserve">onal IP </w:t>
            </w:r>
            <w:r w:rsidRPr="00702EF6">
              <w:rPr>
                <w:rFonts w:cs="Arial"/>
                <w:color w:val="000000"/>
                <w:sz w:val="16"/>
                <w:szCs w:val="16"/>
              </w:rPr>
              <w:t>strategy for the Cook Islands</w:t>
            </w:r>
            <w:r>
              <w:rPr>
                <w:rFonts w:cs="Arial"/>
                <w:color w:val="000000"/>
                <w:sz w:val="16"/>
                <w:szCs w:val="16"/>
              </w:rPr>
              <w:t>, which involved collective and separate meetings with stakeholders and meetings with members of the Cabinet?  The final draft of the strategy is under preparation.</w:t>
            </w:r>
          </w:p>
          <w:p w:rsidR="0063033D" w:rsidRPr="000514BA" w:rsidRDefault="0063033D" w:rsidP="008D1891">
            <w:pPr>
              <w:autoSpaceDE w:val="0"/>
              <w:autoSpaceDN w:val="0"/>
              <w:adjustRightInd w:val="0"/>
              <w:rPr>
                <w:rFonts w:cs="Arial"/>
                <w:color w:val="000000"/>
                <w:sz w:val="16"/>
                <w:szCs w:val="16"/>
              </w:rPr>
            </w:pPr>
          </w:p>
        </w:tc>
      </w:tr>
      <w:tr w:rsidR="0063033D" w:rsidRPr="00774D44" w:rsidTr="008D1891">
        <w:trPr>
          <w:cantSplit/>
          <w:trHeight w:val="315"/>
        </w:trPr>
        <w:tc>
          <w:tcPr>
            <w:tcW w:w="9356" w:type="dxa"/>
            <w:gridSpan w:val="8"/>
            <w:tcBorders>
              <w:top w:val="single" w:sz="4" w:space="0" w:color="000000"/>
              <w:bottom w:val="single" w:sz="4" w:space="0" w:color="000000"/>
            </w:tcBorders>
            <w:shd w:val="clear" w:color="auto" w:fill="CCFFFF"/>
          </w:tcPr>
          <w:p w:rsidR="0063033D" w:rsidRPr="00774D44" w:rsidRDefault="0063033D" w:rsidP="008D1891">
            <w:pPr>
              <w:keepNext/>
              <w:keepLines/>
              <w:tabs>
                <w:tab w:val="left" w:pos="1740"/>
              </w:tabs>
              <w:spacing w:before="120" w:after="120"/>
              <w:ind w:left="1740" w:hanging="1740"/>
              <w:rPr>
                <w:rFonts w:cs="Arial"/>
                <w:color w:val="000000"/>
                <w:sz w:val="16"/>
                <w:szCs w:val="16"/>
              </w:rPr>
            </w:pPr>
            <w:r w:rsidRPr="00712F53">
              <w:rPr>
                <w:rFonts w:cs="Arial"/>
                <w:b/>
                <w:bCs/>
                <w:color w:val="000000"/>
                <w:sz w:val="16"/>
                <w:szCs w:val="16"/>
              </w:rPr>
              <w:t>RESULT</w:t>
            </w:r>
            <w:r w:rsidRPr="00712F53">
              <w:rPr>
                <w:rFonts w:cs="Arial"/>
                <w:bCs/>
                <w:sz w:val="16"/>
                <w:szCs w:val="16"/>
                <w:lang w:val="en-AU"/>
              </w:rPr>
              <w:t>:</w:t>
            </w:r>
            <w:r w:rsidRPr="00712F53">
              <w:rPr>
                <w:rFonts w:cs="Arial"/>
                <w:bCs/>
                <w:sz w:val="16"/>
                <w:szCs w:val="16"/>
                <w:lang w:val="en-AU"/>
              </w:rPr>
              <w:tab/>
            </w:r>
            <w:r w:rsidRPr="009F377C">
              <w:rPr>
                <w:rFonts w:cs="Arial"/>
                <w:bCs/>
                <w:sz w:val="16"/>
                <w:szCs w:val="16"/>
                <w:lang w:val="en-AU"/>
              </w:rPr>
              <w:t>III.2. Enhanced human resource capacities able to deal with the broad range of requirements for the effective use of IP for development in developing countries, LDCs and countries with economies in transition</w:t>
            </w:r>
          </w:p>
        </w:tc>
      </w:tr>
      <w:tr w:rsidR="0063033D" w:rsidRPr="00774D44" w:rsidTr="008D1891">
        <w:trPr>
          <w:cantSplit/>
          <w:trHeight w:val="405"/>
        </w:trPr>
        <w:tc>
          <w:tcPr>
            <w:tcW w:w="1843" w:type="dxa"/>
            <w:tcBorders>
              <w:top w:val="single" w:sz="4" w:space="0" w:color="000000"/>
            </w:tcBorders>
            <w:vAlign w:val="center"/>
          </w:tcPr>
          <w:p w:rsidR="0063033D" w:rsidRPr="002B7DE5" w:rsidRDefault="0063033D" w:rsidP="008D1891">
            <w:pPr>
              <w:keepNext/>
              <w:keepLines/>
              <w:spacing w:before="120" w:after="120"/>
              <w:rPr>
                <w:rFonts w:cs="Arial"/>
                <w:b/>
                <w:bCs/>
                <w:sz w:val="16"/>
                <w:szCs w:val="16"/>
              </w:rPr>
            </w:pPr>
            <w:r w:rsidRPr="002B7DE5">
              <w:rPr>
                <w:rFonts w:cs="Arial"/>
                <w:b/>
                <w:bCs/>
                <w:sz w:val="16"/>
                <w:szCs w:val="16"/>
              </w:rPr>
              <w:t>Activity</w:t>
            </w:r>
          </w:p>
        </w:tc>
        <w:tc>
          <w:tcPr>
            <w:tcW w:w="1276" w:type="dxa"/>
            <w:gridSpan w:val="2"/>
            <w:tcBorders>
              <w:top w:val="single" w:sz="4" w:space="0" w:color="000000"/>
            </w:tcBorders>
            <w:vAlign w:val="center"/>
          </w:tcPr>
          <w:p w:rsidR="0063033D" w:rsidRPr="002B7DE5" w:rsidRDefault="0063033D" w:rsidP="008D1891">
            <w:pPr>
              <w:keepNext/>
              <w:keepLines/>
              <w:spacing w:before="120" w:after="120"/>
              <w:rPr>
                <w:rFonts w:cs="Arial"/>
                <w:sz w:val="16"/>
                <w:szCs w:val="16"/>
              </w:rPr>
            </w:pPr>
            <w:r w:rsidRPr="002B7DE5">
              <w:rPr>
                <w:rFonts w:cs="Arial"/>
                <w:b/>
                <w:bCs/>
                <w:sz w:val="16"/>
                <w:szCs w:val="16"/>
              </w:rPr>
              <w:t>Date</w:t>
            </w:r>
          </w:p>
        </w:tc>
        <w:tc>
          <w:tcPr>
            <w:tcW w:w="1701" w:type="dxa"/>
            <w:gridSpan w:val="2"/>
            <w:tcBorders>
              <w:top w:val="single" w:sz="4" w:space="0" w:color="000000"/>
            </w:tcBorders>
            <w:vAlign w:val="center"/>
          </w:tcPr>
          <w:p w:rsidR="0063033D" w:rsidRPr="002B7DE5" w:rsidRDefault="0063033D" w:rsidP="008D1891">
            <w:pPr>
              <w:keepNext/>
              <w:keepLines/>
              <w:spacing w:before="120" w:after="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536" w:type="dxa"/>
            <w:gridSpan w:val="3"/>
            <w:tcBorders>
              <w:top w:val="single" w:sz="4" w:space="0" w:color="000000"/>
            </w:tcBorders>
            <w:vAlign w:val="center"/>
          </w:tcPr>
          <w:p w:rsidR="0063033D" w:rsidRPr="002B7DE5" w:rsidRDefault="0063033D" w:rsidP="008D1891">
            <w:pPr>
              <w:keepNext/>
              <w:keepLines/>
              <w:spacing w:before="120" w:after="120"/>
              <w:rPr>
                <w:rFonts w:cs="Arial"/>
                <w:sz w:val="16"/>
                <w:szCs w:val="16"/>
              </w:rPr>
            </w:pPr>
            <w:r w:rsidRPr="002B7DE5">
              <w:rPr>
                <w:rFonts w:cs="Arial"/>
                <w:b/>
                <w:bCs/>
                <w:sz w:val="16"/>
                <w:szCs w:val="16"/>
              </w:rPr>
              <w:t>Purpose(s)/Description(s)</w:t>
            </w:r>
          </w:p>
        </w:tc>
      </w:tr>
      <w:tr w:rsidR="0063033D" w:rsidRPr="00774D44" w:rsidTr="008D1891">
        <w:trPr>
          <w:cantSplit/>
          <w:trHeight w:val="315"/>
        </w:trPr>
        <w:tc>
          <w:tcPr>
            <w:tcW w:w="1843" w:type="dxa"/>
          </w:tcPr>
          <w:p w:rsidR="0063033D" w:rsidRDefault="0063033D" w:rsidP="008D1891">
            <w:pPr>
              <w:autoSpaceDE w:val="0"/>
              <w:autoSpaceDN w:val="0"/>
              <w:adjustRightInd w:val="0"/>
              <w:spacing w:before="120" w:after="120"/>
              <w:rPr>
                <w:rFonts w:cs="Arial"/>
                <w:color w:val="000000"/>
                <w:sz w:val="16"/>
                <w:szCs w:val="16"/>
              </w:rPr>
            </w:pPr>
            <w:r w:rsidRPr="009779C3">
              <w:rPr>
                <w:rFonts w:cs="Arial"/>
                <w:color w:val="000000"/>
                <w:sz w:val="16"/>
                <w:szCs w:val="16"/>
              </w:rPr>
              <w:t xml:space="preserve">Study </w:t>
            </w:r>
            <w:r>
              <w:rPr>
                <w:rFonts w:cs="Arial"/>
                <w:color w:val="000000"/>
                <w:sz w:val="16"/>
                <w:szCs w:val="16"/>
              </w:rPr>
              <w:t>V</w:t>
            </w:r>
            <w:r w:rsidRPr="009779C3">
              <w:rPr>
                <w:rFonts w:cs="Arial"/>
                <w:color w:val="000000"/>
                <w:sz w:val="16"/>
                <w:szCs w:val="16"/>
              </w:rPr>
              <w:t xml:space="preserve">isit of Trademark and Patent Examiners from </w:t>
            </w:r>
            <w:r w:rsidRPr="009B4816">
              <w:rPr>
                <w:rFonts w:cs="Arial"/>
                <w:color w:val="000000"/>
                <w:sz w:val="16"/>
                <w:szCs w:val="16"/>
              </w:rPr>
              <w:t xml:space="preserve">Intellectual Property Office of Papua New Guinea </w:t>
            </w:r>
            <w:r>
              <w:rPr>
                <w:rFonts w:cs="Arial"/>
                <w:color w:val="000000"/>
                <w:sz w:val="16"/>
                <w:szCs w:val="16"/>
              </w:rPr>
              <w:t>(</w:t>
            </w:r>
            <w:r w:rsidRPr="009779C3">
              <w:rPr>
                <w:rFonts w:cs="Arial"/>
                <w:color w:val="000000"/>
                <w:sz w:val="16"/>
                <w:szCs w:val="16"/>
              </w:rPr>
              <w:t>IPOPNG</w:t>
            </w:r>
            <w:r>
              <w:rPr>
                <w:rFonts w:cs="Arial"/>
                <w:color w:val="000000"/>
                <w:sz w:val="16"/>
                <w:szCs w:val="16"/>
              </w:rPr>
              <w:t>)</w:t>
            </w:r>
            <w:r w:rsidRPr="009779C3">
              <w:rPr>
                <w:rFonts w:cs="Arial"/>
                <w:color w:val="000000"/>
                <w:sz w:val="16"/>
                <w:szCs w:val="16"/>
              </w:rPr>
              <w:t xml:space="preserve"> to IP</w:t>
            </w:r>
            <w:r>
              <w:rPr>
                <w:rFonts w:cs="Arial"/>
                <w:color w:val="000000"/>
                <w:sz w:val="16"/>
                <w:szCs w:val="16"/>
              </w:rPr>
              <w:t xml:space="preserve"> </w:t>
            </w:r>
            <w:r w:rsidRPr="009779C3">
              <w:rPr>
                <w:rFonts w:cs="Arial"/>
                <w:color w:val="000000"/>
                <w:sz w:val="16"/>
                <w:szCs w:val="16"/>
              </w:rPr>
              <w:t>Australia</w:t>
            </w:r>
          </w:p>
        </w:tc>
        <w:tc>
          <w:tcPr>
            <w:tcW w:w="1276" w:type="dxa"/>
            <w:gridSpan w:val="2"/>
          </w:tcPr>
          <w:p w:rsidR="0063033D" w:rsidRPr="00A12513"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February 24 to March 7, 2014</w:t>
            </w:r>
          </w:p>
        </w:tc>
        <w:tc>
          <w:tcPr>
            <w:tcW w:w="1701" w:type="dxa"/>
            <w:gridSpan w:val="2"/>
          </w:tcPr>
          <w:p w:rsidR="0063033D" w:rsidRDefault="0063033D" w:rsidP="008D1891">
            <w:pPr>
              <w:autoSpaceDE w:val="0"/>
              <w:autoSpaceDN w:val="0"/>
              <w:adjustRightInd w:val="0"/>
              <w:spacing w:before="120" w:after="120"/>
              <w:rPr>
                <w:rFonts w:cs="Arial"/>
                <w:color w:val="000000"/>
                <w:sz w:val="16"/>
                <w:szCs w:val="16"/>
              </w:rPr>
            </w:pPr>
            <w:r w:rsidRPr="009779C3">
              <w:rPr>
                <w:rFonts w:cs="Arial"/>
                <w:color w:val="000000"/>
                <w:sz w:val="16"/>
                <w:szCs w:val="16"/>
              </w:rPr>
              <w:t>Australia</w:t>
            </w:r>
            <w:r>
              <w:rPr>
                <w:rFonts w:cs="Arial"/>
                <w:color w:val="000000"/>
                <w:sz w:val="16"/>
                <w:szCs w:val="16"/>
              </w:rPr>
              <w:t>/</w:t>
            </w:r>
            <w:r>
              <w:t xml:space="preserve"> </w:t>
            </w:r>
            <w:r w:rsidRPr="009779C3">
              <w:rPr>
                <w:rFonts w:cs="Arial"/>
                <w:color w:val="000000"/>
                <w:sz w:val="16"/>
                <w:szCs w:val="16"/>
              </w:rPr>
              <w:t>Three Trademark and one Patent Examiner from IPOPNG</w:t>
            </w:r>
            <w:r>
              <w:rPr>
                <w:rFonts w:cs="Arial"/>
                <w:color w:val="000000"/>
                <w:sz w:val="16"/>
                <w:szCs w:val="16"/>
              </w:rPr>
              <w:t xml:space="preserve"> (Papua New Guinea)</w:t>
            </w:r>
          </w:p>
        </w:tc>
        <w:tc>
          <w:tcPr>
            <w:tcW w:w="4536" w:type="dxa"/>
            <w:gridSpan w:val="3"/>
          </w:tcPr>
          <w:p w:rsidR="0063033D" w:rsidRDefault="0063033D" w:rsidP="008D1891">
            <w:pPr>
              <w:autoSpaceDE w:val="0"/>
              <w:autoSpaceDN w:val="0"/>
              <w:adjustRightInd w:val="0"/>
              <w:spacing w:before="120" w:after="120"/>
              <w:rPr>
                <w:rFonts w:cs="Arial"/>
                <w:color w:val="000000"/>
                <w:sz w:val="16"/>
                <w:szCs w:val="16"/>
              </w:rPr>
            </w:pPr>
            <w:r w:rsidRPr="009779C3">
              <w:rPr>
                <w:rFonts w:cs="Arial"/>
                <w:color w:val="000000"/>
                <w:sz w:val="16"/>
                <w:szCs w:val="16"/>
              </w:rPr>
              <w:t>To</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w:t>
            </w:r>
            <w:r w:rsidRPr="009779C3">
              <w:rPr>
                <w:rFonts w:cs="Arial"/>
                <w:color w:val="000000"/>
                <w:sz w:val="16"/>
                <w:szCs w:val="16"/>
              </w:rPr>
              <w:t xml:space="preserve"> assist examiners with formality check, search and examination, and substantive examination</w:t>
            </w:r>
            <w:r>
              <w:rPr>
                <w:rFonts w:cs="Arial"/>
                <w:color w:val="000000"/>
                <w:sz w:val="16"/>
                <w:szCs w:val="16"/>
              </w:rPr>
              <w:t xml:space="preserve">.  </w:t>
            </w:r>
            <w:r w:rsidRPr="009779C3">
              <w:rPr>
                <w:rFonts w:cs="Arial"/>
                <w:color w:val="000000"/>
                <w:sz w:val="16"/>
                <w:szCs w:val="16"/>
              </w:rPr>
              <w:t xml:space="preserve"> </w:t>
            </w:r>
          </w:p>
          <w:p w:rsidR="0063033D" w:rsidRPr="00A12513" w:rsidRDefault="0063033D" w:rsidP="008D1891">
            <w:pPr>
              <w:autoSpaceDE w:val="0"/>
              <w:autoSpaceDN w:val="0"/>
              <w:adjustRightInd w:val="0"/>
              <w:spacing w:before="120" w:after="120"/>
              <w:rPr>
                <w:rFonts w:cs="Arial"/>
                <w:color w:val="000000"/>
                <w:sz w:val="16"/>
                <w:szCs w:val="16"/>
              </w:rPr>
            </w:pPr>
            <w:r w:rsidRPr="009779C3">
              <w:rPr>
                <w:rFonts w:cs="Arial"/>
                <w:color w:val="000000"/>
                <w:sz w:val="16"/>
                <w:szCs w:val="16"/>
              </w:rPr>
              <w:t xml:space="preserve">The knowledge gained from this training </w:t>
            </w:r>
            <w:r>
              <w:rPr>
                <w:rFonts w:cs="Arial"/>
                <w:color w:val="000000"/>
                <w:sz w:val="16"/>
                <w:szCs w:val="16"/>
              </w:rPr>
              <w:t xml:space="preserve">should </w:t>
            </w:r>
            <w:r w:rsidRPr="009779C3">
              <w:rPr>
                <w:rFonts w:cs="Arial"/>
                <w:color w:val="000000"/>
                <w:sz w:val="16"/>
                <w:szCs w:val="16"/>
              </w:rPr>
              <w:t>be used to train other examiners in IPOPNG and also for the recipients to apply in their day to day work</w:t>
            </w:r>
            <w:r>
              <w:rPr>
                <w:rFonts w:cs="Arial"/>
                <w:color w:val="000000"/>
                <w:sz w:val="16"/>
                <w:szCs w:val="16"/>
              </w:rPr>
              <w:t>.</w:t>
            </w:r>
          </w:p>
        </w:tc>
      </w:tr>
      <w:tr w:rsidR="0063033D" w:rsidRPr="00774D44" w:rsidTr="008D1891">
        <w:trPr>
          <w:cantSplit/>
          <w:trHeight w:val="315"/>
        </w:trPr>
        <w:tc>
          <w:tcPr>
            <w:tcW w:w="1843"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Sub-Regional Workshop on Copyright, Creativity and Development for Decision Makers </w:t>
            </w:r>
          </w:p>
        </w:tc>
        <w:tc>
          <w:tcPr>
            <w:tcW w:w="1276" w:type="dxa"/>
            <w:gridSpan w:val="2"/>
          </w:tcPr>
          <w:p w:rsidR="0063033D" w:rsidRPr="00A12513"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March 24 to 26, 2014</w:t>
            </w:r>
          </w:p>
        </w:tc>
        <w:tc>
          <w:tcPr>
            <w:tcW w:w="1701" w:type="dxa"/>
            <w:gridSpan w:val="2"/>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New Zealand/ Cook Islands, Fiji, Kiribati, Marshall Islands, Niue, Papua New Guinea, Samoa, Solomon Islands, Tonga, Tuvalu, Vanuatu)</w:t>
            </w:r>
          </w:p>
        </w:tc>
        <w:tc>
          <w:tcPr>
            <w:tcW w:w="4536" w:type="dxa"/>
            <w:gridSpan w:val="3"/>
          </w:tcPr>
          <w:p w:rsidR="0063033D" w:rsidRPr="00A12513" w:rsidRDefault="0063033D" w:rsidP="008D1891">
            <w:pPr>
              <w:autoSpaceDE w:val="0"/>
              <w:autoSpaceDN w:val="0"/>
              <w:adjustRightInd w:val="0"/>
              <w:spacing w:before="120" w:after="120"/>
              <w:rPr>
                <w:rFonts w:cs="Arial"/>
                <w:color w:val="000000"/>
                <w:sz w:val="16"/>
                <w:szCs w:val="16"/>
              </w:rPr>
            </w:pPr>
            <w:r w:rsidRPr="00B05D2E">
              <w:rPr>
                <w:rFonts w:cs="Arial"/>
                <w:sz w:val="16"/>
                <w:szCs w:val="16"/>
              </w:rPr>
              <w:t>To</w:t>
            </w:r>
            <w:r>
              <w:rPr>
                <w:rFonts w:cs="Arial"/>
                <w:sz w:val="16"/>
                <w:szCs w:val="16"/>
              </w:rPr>
              <w:t>: (</w:t>
            </w:r>
            <w:proofErr w:type="spellStart"/>
            <w:r>
              <w:rPr>
                <w:rFonts w:cs="Arial"/>
                <w:sz w:val="16"/>
                <w:szCs w:val="16"/>
              </w:rPr>
              <w:t>i</w:t>
            </w:r>
            <w:proofErr w:type="spellEnd"/>
            <w:r>
              <w:rPr>
                <w:rFonts w:cs="Arial"/>
                <w:sz w:val="16"/>
                <w:szCs w:val="16"/>
              </w:rPr>
              <w:t xml:space="preserve">) raise awareness of the role of copyright in promoting and protecting creativity;  (ii) improve understanding and </w:t>
            </w:r>
            <w:r w:rsidRPr="00B05D2E">
              <w:rPr>
                <w:rFonts w:cs="Arial"/>
                <w:sz w:val="16"/>
                <w:szCs w:val="16"/>
              </w:rPr>
              <w:t xml:space="preserve">capacity of policy makers; </w:t>
            </w:r>
            <w:r>
              <w:rPr>
                <w:rFonts w:cs="Arial"/>
                <w:sz w:val="16"/>
                <w:szCs w:val="16"/>
              </w:rPr>
              <w:t xml:space="preserve"> and (iii) </w:t>
            </w:r>
            <w:r w:rsidRPr="00B05D2E">
              <w:rPr>
                <w:rFonts w:cs="Arial"/>
                <w:sz w:val="16"/>
                <w:szCs w:val="16"/>
              </w:rPr>
              <w:t xml:space="preserve">encourage establishment/enhancement of copyright systems and </w:t>
            </w:r>
            <w:r>
              <w:rPr>
                <w:rFonts w:cs="Arial"/>
                <w:sz w:val="16"/>
                <w:szCs w:val="16"/>
              </w:rPr>
              <w:t>participation in the international framework of copyright and related rights</w:t>
            </w:r>
            <w:r>
              <w:rPr>
                <w:rFonts w:cs="Arial"/>
                <w:color w:val="000000"/>
                <w:sz w:val="16"/>
                <w:szCs w:val="16"/>
              </w:rPr>
              <w:t>.</w:t>
            </w:r>
          </w:p>
        </w:tc>
      </w:tr>
      <w:tr w:rsidR="0063033D" w:rsidRPr="00774D44" w:rsidTr="008D1891">
        <w:trPr>
          <w:cantSplit/>
          <w:trHeight w:val="315"/>
        </w:trPr>
        <w:tc>
          <w:tcPr>
            <w:tcW w:w="1843" w:type="dxa"/>
          </w:tcPr>
          <w:p w:rsidR="0063033D" w:rsidRDefault="0063033D" w:rsidP="008D1891">
            <w:pPr>
              <w:autoSpaceDE w:val="0"/>
              <w:autoSpaceDN w:val="0"/>
              <w:adjustRightInd w:val="0"/>
              <w:spacing w:before="120" w:after="120"/>
              <w:rPr>
                <w:rFonts w:cs="Arial"/>
                <w:color w:val="000000"/>
                <w:sz w:val="16"/>
                <w:szCs w:val="16"/>
              </w:rPr>
            </w:pPr>
            <w:r w:rsidRPr="006B008E">
              <w:rPr>
                <w:rFonts w:cs="Arial"/>
                <w:color w:val="000000"/>
                <w:sz w:val="16"/>
                <w:szCs w:val="16"/>
              </w:rPr>
              <w:t>Training Program on Financial and Human Resource Management of a National IP Office</w:t>
            </w:r>
          </w:p>
        </w:tc>
        <w:tc>
          <w:tcPr>
            <w:tcW w:w="1276" w:type="dxa"/>
            <w:gridSpan w:val="2"/>
          </w:tcPr>
          <w:p w:rsidR="0063033D" w:rsidRPr="00A12513" w:rsidRDefault="0063033D" w:rsidP="008D1891">
            <w:pPr>
              <w:autoSpaceDE w:val="0"/>
              <w:autoSpaceDN w:val="0"/>
              <w:adjustRightInd w:val="0"/>
              <w:spacing w:before="120" w:after="120"/>
              <w:rPr>
                <w:rFonts w:cs="Arial"/>
                <w:color w:val="000000"/>
                <w:sz w:val="16"/>
                <w:szCs w:val="16"/>
              </w:rPr>
            </w:pPr>
            <w:r w:rsidRPr="006B008E">
              <w:rPr>
                <w:rFonts w:cs="Arial"/>
                <w:color w:val="000000"/>
                <w:sz w:val="16"/>
                <w:szCs w:val="16"/>
              </w:rPr>
              <w:t>November 10 to 14, 2014</w:t>
            </w:r>
          </w:p>
        </w:tc>
        <w:tc>
          <w:tcPr>
            <w:tcW w:w="1701" w:type="dxa"/>
            <w:gridSpan w:val="2"/>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Myanmar/ approximately 30 staff from </w:t>
            </w:r>
            <w:r w:rsidRPr="006B008E">
              <w:rPr>
                <w:rFonts w:cs="Arial"/>
                <w:color w:val="000000"/>
                <w:sz w:val="16"/>
                <w:szCs w:val="16"/>
                <w:lang w:val="en-AU"/>
              </w:rPr>
              <w:t>the Ministry of Science and Technology</w:t>
            </w:r>
          </w:p>
        </w:tc>
        <w:tc>
          <w:tcPr>
            <w:tcW w:w="4536" w:type="dxa"/>
            <w:gridSpan w:val="3"/>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To </w:t>
            </w:r>
            <w:r w:rsidRPr="006B008E">
              <w:rPr>
                <w:rFonts w:cs="Arial"/>
                <w:color w:val="000000"/>
                <w:sz w:val="16"/>
                <w:szCs w:val="16"/>
              </w:rPr>
              <w:t xml:space="preserve">provide training to designated staff of the </w:t>
            </w:r>
            <w:r>
              <w:rPr>
                <w:rFonts w:cs="Arial"/>
                <w:color w:val="000000"/>
                <w:sz w:val="16"/>
                <w:szCs w:val="16"/>
              </w:rPr>
              <w:t xml:space="preserve">future national IP office </w:t>
            </w:r>
            <w:r w:rsidRPr="006B008E">
              <w:rPr>
                <w:rFonts w:cs="Arial"/>
                <w:color w:val="000000"/>
                <w:sz w:val="16"/>
                <w:szCs w:val="16"/>
              </w:rPr>
              <w:t>on financial and human reso</w:t>
            </w:r>
            <w:r>
              <w:rPr>
                <w:rFonts w:cs="Arial"/>
                <w:color w:val="000000"/>
                <w:sz w:val="16"/>
                <w:szCs w:val="16"/>
              </w:rPr>
              <w:t>urce aspects of managing an IP o</w:t>
            </w:r>
            <w:r w:rsidRPr="006B008E">
              <w:rPr>
                <w:rFonts w:cs="Arial"/>
                <w:color w:val="000000"/>
                <w:sz w:val="16"/>
                <w:szCs w:val="16"/>
              </w:rPr>
              <w:t xml:space="preserve">ffice.  </w:t>
            </w:r>
          </w:p>
          <w:p w:rsidR="0063033D" w:rsidRPr="00A12513" w:rsidRDefault="0063033D" w:rsidP="008D1891">
            <w:pPr>
              <w:autoSpaceDE w:val="0"/>
              <w:autoSpaceDN w:val="0"/>
              <w:adjustRightInd w:val="0"/>
              <w:spacing w:before="120" w:after="120"/>
              <w:rPr>
                <w:rFonts w:cs="Arial"/>
                <w:color w:val="000000"/>
                <w:sz w:val="16"/>
                <w:szCs w:val="16"/>
              </w:rPr>
            </w:pPr>
            <w:r>
              <w:rPr>
                <w:rFonts w:cs="Arial"/>
                <w:color w:val="000000"/>
                <w:sz w:val="16"/>
                <w:szCs w:val="16"/>
                <w:lang w:val="en-AU"/>
              </w:rPr>
              <w:t>This training was delivered by experienced officials from IP Australia and formed part of the on</w:t>
            </w:r>
            <w:r w:rsidRPr="006B008E">
              <w:rPr>
                <w:rFonts w:cs="Arial"/>
                <w:color w:val="000000"/>
                <w:sz w:val="16"/>
                <w:szCs w:val="16"/>
                <w:lang w:val="en-AU"/>
              </w:rPr>
              <w:t>going efforts to assist the Government of Myanmar in building capacity of the designated staff from the Ministry of Science and Technology who will man the future national IP office.</w:t>
            </w:r>
            <w:r>
              <w:rPr>
                <w:rFonts w:cs="Arial"/>
                <w:color w:val="000000"/>
                <w:sz w:val="16"/>
                <w:szCs w:val="16"/>
                <w:lang w:val="en-AU"/>
              </w:rPr>
              <w:t xml:space="preserve"> </w:t>
            </w:r>
          </w:p>
        </w:tc>
      </w:tr>
      <w:tr w:rsidR="0063033D" w:rsidRPr="00774D44" w:rsidTr="008D1891">
        <w:trPr>
          <w:cantSplit/>
          <w:trHeight w:val="315"/>
        </w:trPr>
        <w:tc>
          <w:tcPr>
            <w:tcW w:w="1843" w:type="dxa"/>
          </w:tcPr>
          <w:p w:rsidR="0063033D" w:rsidRPr="00774D44" w:rsidRDefault="0063033D" w:rsidP="008D1891">
            <w:pPr>
              <w:autoSpaceDE w:val="0"/>
              <w:autoSpaceDN w:val="0"/>
              <w:adjustRightInd w:val="0"/>
              <w:spacing w:before="120" w:after="120"/>
              <w:rPr>
                <w:rFonts w:cs="Arial"/>
                <w:color w:val="000000"/>
                <w:sz w:val="16"/>
                <w:szCs w:val="16"/>
              </w:rPr>
            </w:pPr>
            <w:r w:rsidRPr="00E873C9">
              <w:rPr>
                <w:rFonts w:cs="Arial"/>
                <w:color w:val="000000"/>
                <w:sz w:val="16"/>
                <w:szCs w:val="16"/>
              </w:rPr>
              <w:t>Training Program on Trademark Filing and Registration Management</w:t>
            </w:r>
          </w:p>
        </w:tc>
        <w:tc>
          <w:tcPr>
            <w:tcW w:w="1276" w:type="dxa"/>
            <w:gridSpan w:val="2"/>
          </w:tcPr>
          <w:p w:rsidR="0063033D" w:rsidRPr="00774D44" w:rsidRDefault="0063033D" w:rsidP="008D1891">
            <w:pPr>
              <w:autoSpaceDE w:val="0"/>
              <w:autoSpaceDN w:val="0"/>
              <w:adjustRightInd w:val="0"/>
              <w:spacing w:before="120" w:after="120"/>
              <w:rPr>
                <w:rFonts w:cs="Arial"/>
                <w:color w:val="000000"/>
                <w:sz w:val="16"/>
                <w:szCs w:val="16"/>
              </w:rPr>
            </w:pPr>
            <w:r w:rsidRPr="00E873C9">
              <w:rPr>
                <w:rFonts w:cs="Arial"/>
                <w:color w:val="000000"/>
                <w:sz w:val="16"/>
                <w:szCs w:val="16"/>
              </w:rPr>
              <w:t>November 17 to 21, 2014</w:t>
            </w:r>
          </w:p>
        </w:tc>
        <w:tc>
          <w:tcPr>
            <w:tcW w:w="1701" w:type="dxa"/>
            <w:gridSpan w:val="2"/>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Myanmar/ approximately 30 staff from </w:t>
            </w:r>
            <w:r w:rsidRPr="006B008E">
              <w:rPr>
                <w:rFonts w:cs="Arial"/>
                <w:color w:val="000000"/>
                <w:sz w:val="16"/>
                <w:szCs w:val="16"/>
                <w:lang w:val="en-AU"/>
              </w:rPr>
              <w:t>the Ministry of Science and Technology</w:t>
            </w:r>
          </w:p>
        </w:tc>
        <w:tc>
          <w:tcPr>
            <w:tcW w:w="4536" w:type="dxa"/>
            <w:gridSpan w:val="3"/>
          </w:tcPr>
          <w:p w:rsidR="0063033D" w:rsidRDefault="0063033D" w:rsidP="008D1891">
            <w:pPr>
              <w:autoSpaceDE w:val="0"/>
              <w:autoSpaceDN w:val="0"/>
              <w:adjustRightInd w:val="0"/>
              <w:spacing w:before="120" w:after="120"/>
              <w:rPr>
                <w:rFonts w:cs="Arial"/>
                <w:color w:val="000000"/>
                <w:sz w:val="16"/>
                <w:szCs w:val="16"/>
                <w:lang w:val="en-AU"/>
              </w:rPr>
            </w:pPr>
            <w:r>
              <w:rPr>
                <w:rFonts w:cs="Arial"/>
                <w:color w:val="000000"/>
                <w:sz w:val="16"/>
                <w:szCs w:val="16"/>
                <w:lang w:val="en-AU"/>
              </w:rPr>
              <w:t>To:  (</w:t>
            </w:r>
            <w:proofErr w:type="spellStart"/>
            <w:r>
              <w:rPr>
                <w:rFonts w:cs="Arial"/>
                <w:color w:val="000000"/>
                <w:sz w:val="16"/>
                <w:szCs w:val="16"/>
                <w:lang w:val="en-AU"/>
              </w:rPr>
              <w:t>i</w:t>
            </w:r>
            <w:proofErr w:type="spellEnd"/>
            <w:r>
              <w:rPr>
                <w:rFonts w:cs="Arial"/>
                <w:color w:val="000000"/>
                <w:sz w:val="16"/>
                <w:szCs w:val="16"/>
                <w:lang w:val="en-AU"/>
              </w:rPr>
              <w:t>)</w:t>
            </w:r>
            <w:r w:rsidRPr="00393099">
              <w:rPr>
                <w:rFonts w:cs="Arial"/>
                <w:color w:val="000000"/>
                <w:sz w:val="16"/>
                <w:szCs w:val="16"/>
                <w:lang w:val="en-AU"/>
              </w:rPr>
              <w:t xml:space="preserve"> enhance</w:t>
            </w:r>
            <w:r>
              <w:rPr>
                <w:rFonts w:cs="Arial"/>
                <w:color w:val="000000"/>
                <w:sz w:val="16"/>
                <w:szCs w:val="16"/>
                <w:lang w:val="en-AU"/>
              </w:rPr>
              <w:t xml:space="preserve"> participants’ </w:t>
            </w:r>
            <w:r w:rsidRPr="00393099">
              <w:rPr>
                <w:rFonts w:cs="Arial"/>
                <w:color w:val="000000"/>
                <w:sz w:val="16"/>
                <w:szCs w:val="16"/>
                <w:lang w:val="en-AU"/>
              </w:rPr>
              <w:t>knowledge and skills</w:t>
            </w:r>
            <w:r>
              <w:rPr>
                <w:rFonts w:cs="Arial"/>
                <w:color w:val="000000"/>
                <w:sz w:val="16"/>
                <w:szCs w:val="16"/>
                <w:lang w:val="en-AU"/>
              </w:rPr>
              <w:t>;  (ii)</w:t>
            </w:r>
            <w:r w:rsidRPr="00393099">
              <w:rPr>
                <w:rFonts w:cs="Arial"/>
                <w:color w:val="000000"/>
                <w:sz w:val="16"/>
                <w:szCs w:val="16"/>
                <w:lang w:val="en-AU"/>
              </w:rPr>
              <w:t xml:space="preserve"> build their confidence in dealing with trademark registrations and related issues</w:t>
            </w:r>
            <w:r>
              <w:rPr>
                <w:rFonts w:cs="Arial"/>
                <w:color w:val="000000"/>
                <w:sz w:val="16"/>
                <w:szCs w:val="16"/>
                <w:lang w:val="en-AU"/>
              </w:rPr>
              <w:t>;  and (iii) improve the</w:t>
            </w:r>
            <w:r w:rsidRPr="00393099">
              <w:rPr>
                <w:rFonts w:cs="Arial"/>
                <w:color w:val="000000"/>
                <w:sz w:val="16"/>
                <w:szCs w:val="16"/>
                <w:lang w:val="en-AU"/>
              </w:rPr>
              <w:t xml:space="preserve"> manage</w:t>
            </w:r>
            <w:r>
              <w:rPr>
                <w:rFonts w:cs="Arial"/>
                <w:color w:val="000000"/>
                <w:sz w:val="16"/>
                <w:szCs w:val="16"/>
                <w:lang w:val="en-AU"/>
              </w:rPr>
              <w:t>ment of</w:t>
            </w:r>
            <w:r w:rsidRPr="00393099">
              <w:rPr>
                <w:rFonts w:cs="Arial"/>
                <w:color w:val="000000"/>
                <w:sz w:val="16"/>
                <w:szCs w:val="16"/>
                <w:lang w:val="en-AU"/>
              </w:rPr>
              <w:t xml:space="preserve"> workload and minimize</w:t>
            </w:r>
            <w:r>
              <w:rPr>
                <w:rFonts w:cs="Arial"/>
                <w:color w:val="000000"/>
                <w:sz w:val="16"/>
                <w:szCs w:val="16"/>
                <w:lang w:val="en-AU"/>
              </w:rPr>
              <w:t xml:space="preserve"> the </w:t>
            </w:r>
            <w:r w:rsidRPr="00393099">
              <w:rPr>
                <w:rFonts w:cs="Arial"/>
                <w:color w:val="000000"/>
                <w:sz w:val="16"/>
                <w:szCs w:val="16"/>
                <w:lang w:val="en-AU"/>
              </w:rPr>
              <w:t xml:space="preserve">backlog of trademark registrations. </w:t>
            </w:r>
          </w:p>
          <w:p w:rsidR="0063033D" w:rsidRPr="00774D44" w:rsidRDefault="0063033D" w:rsidP="008D1891">
            <w:pPr>
              <w:autoSpaceDE w:val="0"/>
              <w:autoSpaceDN w:val="0"/>
              <w:adjustRightInd w:val="0"/>
              <w:spacing w:before="120" w:after="120"/>
              <w:rPr>
                <w:rFonts w:cs="Arial"/>
                <w:color w:val="000000"/>
                <w:sz w:val="16"/>
                <w:szCs w:val="16"/>
              </w:rPr>
            </w:pPr>
            <w:r w:rsidRPr="00393099">
              <w:rPr>
                <w:rFonts w:cs="Arial"/>
                <w:color w:val="000000"/>
                <w:sz w:val="16"/>
                <w:szCs w:val="16"/>
                <w:lang w:val="en-AU"/>
              </w:rPr>
              <w:t xml:space="preserve">This training </w:t>
            </w:r>
            <w:r>
              <w:rPr>
                <w:rFonts w:cs="Arial"/>
                <w:color w:val="000000"/>
                <w:sz w:val="16"/>
                <w:szCs w:val="16"/>
                <w:lang w:val="en-AU"/>
              </w:rPr>
              <w:t xml:space="preserve">was delivered by an experienced official from IP Australia and </w:t>
            </w:r>
            <w:r w:rsidRPr="00393099">
              <w:rPr>
                <w:rFonts w:cs="Arial"/>
                <w:color w:val="000000"/>
                <w:sz w:val="16"/>
                <w:szCs w:val="16"/>
                <w:lang w:val="en-AU"/>
              </w:rPr>
              <w:t>form</w:t>
            </w:r>
            <w:r>
              <w:rPr>
                <w:rFonts w:cs="Arial"/>
                <w:color w:val="000000"/>
                <w:sz w:val="16"/>
                <w:szCs w:val="16"/>
                <w:lang w:val="en-AU"/>
              </w:rPr>
              <w:t>ed part of the on</w:t>
            </w:r>
            <w:r w:rsidRPr="00393099">
              <w:rPr>
                <w:rFonts w:cs="Arial"/>
                <w:color w:val="000000"/>
                <w:sz w:val="16"/>
                <w:szCs w:val="16"/>
                <w:lang w:val="en-AU"/>
              </w:rPr>
              <w:t>going efforts to assist the Government of Myanmar in building capacity of the designated staff from the Ministry of Science and Technology who will man the future national IP office</w:t>
            </w:r>
            <w:r>
              <w:rPr>
                <w:rFonts w:cs="Arial"/>
                <w:color w:val="000000"/>
                <w:sz w:val="16"/>
                <w:szCs w:val="16"/>
                <w:lang w:val="en-AU"/>
              </w:rPr>
              <w:t xml:space="preserve">. </w:t>
            </w:r>
          </w:p>
        </w:tc>
      </w:tr>
      <w:tr w:rsidR="0063033D" w:rsidRPr="00774D44" w:rsidTr="008D1891">
        <w:trPr>
          <w:cantSplit/>
          <w:trHeight w:val="315"/>
        </w:trPr>
        <w:tc>
          <w:tcPr>
            <w:tcW w:w="9356" w:type="dxa"/>
            <w:gridSpan w:val="8"/>
            <w:tcBorders>
              <w:top w:val="single" w:sz="4" w:space="0" w:color="000000"/>
              <w:bottom w:val="single" w:sz="4" w:space="0" w:color="000000"/>
            </w:tcBorders>
            <w:shd w:val="clear" w:color="auto" w:fill="CCFFFF"/>
          </w:tcPr>
          <w:p w:rsidR="0063033D" w:rsidRPr="00774D44" w:rsidRDefault="0063033D" w:rsidP="008D1891">
            <w:pPr>
              <w:keepNext/>
              <w:keepLines/>
              <w:tabs>
                <w:tab w:val="left" w:pos="1740"/>
              </w:tabs>
              <w:spacing w:before="120" w:after="120"/>
              <w:ind w:left="1740" w:hanging="1740"/>
              <w:rPr>
                <w:rFonts w:cs="Arial"/>
                <w:color w:val="000000"/>
                <w:sz w:val="16"/>
                <w:szCs w:val="16"/>
              </w:rPr>
            </w:pPr>
            <w:r w:rsidRPr="00712F53">
              <w:rPr>
                <w:rFonts w:cs="Arial"/>
                <w:b/>
                <w:bCs/>
                <w:color w:val="000000"/>
                <w:sz w:val="16"/>
                <w:szCs w:val="16"/>
              </w:rPr>
              <w:lastRenderedPageBreak/>
              <w:t>RESULT</w:t>
            </w:r>
            <w:r w:rsidRPr="00712F53">
              <w:rPr>
                <w:rFonts w:cs="Arial"/>
                <w:bCs/>
                <w:sz w:val="16"/>
                <w:szCs w:val="16"/>
                <w:lang w:val="en-AU"/>
              </w:rPr>
              <w:t>:</w:t>
            </w:r>
            <w:r w:rsidRPr="00712F53">
              <w:rPr>
                <w:rFonts w:cs="Arial"/>
                <w:bCs/>
                <w:sz w:val="16"/>
                <w:szCs w:val="16"/>
                <w:lang w:val="en-AU"/>
              </w:rPr>
              <w:tab/>
            </w:r>
            <w:r w:rsidRPr="00C62606">
              <w:rPr>
                <w:rFonts w:cs="Arial"/>
                <w:bCs/>
                <w:sz w:val="16"/>
                <w:szCs w:val="16"/>
                <w:lang w:val="en-AU"/>
              </w:rPr>
              <w:t>IV.2. Enhanced access to, and use of, IP information by IP institutions and the public to promote innovation and creativity</w:t>
            </w:r>
          </w:p>
        </w:tc>
      </w:tr>
      <w:tr w:rsidR="0063033D" w:rsidRPr="00774D44" w:rsidTr="008D1891">
        <w:trPr>
          <w:cantSplit/>
          <w:trHeight w:val="429"/>
        </w:trPr>
        <w:tc>
          <w:tcPr>
            <w:tcW w:w="1843" w:type="dxa"/>
            <w:tcBorders>
              <w:top w:val="single" w:sz="4" w:space="0" w:color="000000"/>
            </w:tcBorders>
            <w:vAlign w:val="center"/>
          </w:tcPr>
          <w:p w:rsidR="0063033D" w:rsidRPr="002B7DE5" w:rsidRDefault="0063033D" w:rsidP="008D1891">
            <w:pPr>
              <w:keepNext/>
              <w:keepLines/>
              <w:spacing w:before="120" w:after="120"/>
              <w:rPr>
                <w:rFonts w:cs="Arial"/>
                <w:b/>
                <w:bCs/>
                <w:sz w:val="16"/>
                <w:szCs w:val="16"/>
              </w:rPr>
            </w:pPr>
            <w:r w:rsidRPr="002B7DE5">
              <w:rPr>
                <w:rFonts w:cs="Arial"/>
                <w:b/>
                <w:bCs/>
                <w:sz w:val="16"/>
                <w:szCs w:val="16"/>
              </w:rPr>
              <w:t>Activity</w:t>
            </w:r>
          </w:p>
        </w:tc>
        <w:tc>
          <w:tcPr>
            <w:tcW w:w="1134" w:type="dxa"/>
            <w:tcBorders>
              <w:top w:val="single" w:sz="4" w:space="0" w:color="000000"/>
            </w:tcBorders>
            <w:vAlign w:val="center"/>
          </w:tcPr>
          <w:p w:rsidR="0063033D" w:rsidRPr="002B7DE5" w:rsidRDefault="0063033D" w:rsidP="008D1891">
            <w:pPr>
              <w:keepNext/>
              <w:keepLines/>
              <w:spacing w:before="120" w:after="120"/>
              <w:rPr>
                <w:rFonts w:cs="Arial"/>
                <w:sz w:val="16"/>
                <w:szCs w:val="16"/>
              </w:rPr>
            </w:pPr>
            <w:r w:rsidRPr="002B7DE5">
              <w:rPr>
                <w:rFonts w:cs="Arial"/>
                <w:b/>
                <w:bCs/>
                <w:sz w:val="16"/>
                <w:szCs w:val="16"/>
              </w:rPr>
              <w:t>Date</w:t>
            </w:r>
          </w:p>
        </w:tc>
        <w:tc>
          <w:tcPr>
            <w:tcW w:w="1559" w:type="dxa"/>
            <w:gridSpan w:val="2"/>
            <w:tcBorders>
              <w:top w:val="single" w:sz="4" w:space="0" w:color="000000"/>
            </w:tcBorders>
            <w:vAlign w:val="center"/>
          </w:tcPr>
          <w:p w:rsidR="0063033D" w:rsidRPr="002B7DE5" w:rsidRDefault="0063033D" w:rsidP="008D1891">
            <w:pPr>
              <w:keepNext/>
              <w:keepLines/>
              <w:spacing w:before="120" w:after="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820" w:type="dxa"/>
            <w:gridSpan w:val="4"/>
            <w:tcBorders>
              <w:top w:val="single" w:sz="4" w:space="0" w:color="000000"/>
            </w:tcBorders>
            <w:vAlign w:val="center"/>
          </w:tcPr>
          <w:p w:rsidR="0063033D" w:rsidRPr="002B7DE5" w:rsidRDefault="0063033D" w:rsidP="008D1891">
            <w:pPr>
              <w:keepNext/>
              <w:keepLines/>
              <w:spacing w:before="120" w:after="120"/>
              <w:rPr>
                <w:rFonts w:cs="Arial"/>
                <w:sz w:val="16"/>
                <w:szCs w:val="16"/>
              </w:rPr>
            </w:pPr>
            <w:r w:rsidRPr="002B7DE5">
              <w:rPr>
                <w:rFonts w:cs="Arial"/>
                <w:b/>
                <w:bCs/>
                <w:sz w:val="16"/>
                <w:szCs w:val="16"/>
              </w:rPr>
              <w:t>Purpose(s)/Description(s)</w:t>
            </w:r>
          </w:p>
        </w:tc>
      </w:tr>
      <w:tr w:rsidR="0063033D" w:rsidRPr="00774D44" w:rsidTr="008D1891">
        <w:trPr>
          <w:cantSplit/>
          <w:trHeight w:val="315"/>
        </w:trPr>
        <w:tc>
          <w:tcPr>
            <w:tcW w:w="1843" w:type="dxa"/>
          </w:tcPr>
          <w:p w:rsidR="0063033D" w:rsidRPr="00774D44" w:rsidRDefault="0063033D" w:rsidP="008D1891">
            <w:pPr>
              <w:autoSpaceDE w:val="0"/>
              <w:autoSpaceDN w:val="0"/>
              <w:adjustRightInd w:val="0"/>
              <w:spacing w:before="120" w:after="120"/>
              <w:rPr>
                <w:rFonts w:cs="Arial"/>
                <w:color w:val="000000"/>
                <w:sz w:val="16"/>
                <w:szCs w:val="16"/>
              </w:rPr>
            </w:pPr>
            <w:r>
              <w:rPr>
                <w:rFonts w:cs="Arial"/>
                <w:sz w:val="16"/>
                <w:szCs w:val="16"/>
              </w:rPr>
              <w:t>Capacity building (through a Memorandum of Understanding)</w:t>
            </w:r>
          </w:p>
        </w:tc>
        <w:tc>
          <w:tcPr>
            <w:tcW w:w="1134" w:type="dxa"/>
          </w:tcPr>
          <w:p w:rsidR="0063033D" w:rsidRPr="00774D44" w:rsidRDefault="0063033D" w:rsidP="008D1891">
            <w:pPr>
              <w:autoSpaceDE w:val="0"/>
              <w:autoSpaceDN w:val="0"/>
              <w:adjustRightInd w:val="0"/>
              <w:spacing w:before="120" w:after="120"/>
              <w:rPr>
                <w:rFonts w:cs="Arial"/>
                <w:color w:val="000000"/>
                <w:sz w:val="16"/>
                <w:szCs w:val="16"/>
              </w:rPr>
            </w:pPr>
            <w:r>
              <w:rPr>
                <w:rFonts w:cs="Arial"/>
                <w:sz w:val="16"/>
                <w:szCs w:val="16"/>
              </w:rPr>
              <w:t>Ongoing throughout the year</w:t>
            </w:r>
          </w:p>
        </w:tc>
        <w:tc>
          <w:tcPr>
            <w:tcW w:w="1559" w:type="dxa"/>
            <w:gridSpan w:val="2"/>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Sri Lanka</w:t>
            </w:r>
          </w:p>
        </w:tc>
        <w:tc>
          <w:tcPr>
            <w:tcW w:w="4820" w:type="dxa"/>
            <w:gridSpan w:val="4"/>
          </w:tcPr>
          <w:p w:rsidR="0063033D" w:rsidRDefault="0063033D" w:rsidP="008D1891">
            <w:pPr>
              <w:autoSpaceDE w:val="0"/>
              <w:autoSpaceDN w:val="0"/>
              <w:adjustRightInd w:val="0"/>
              <w:spacing w:before="120" w:after="120"/>
              <w:rPr>
                <w:rFonts w:cs="Arial"/>
                <w:sz w:val="16"/>
                <w:szCs w:val="16"/>
              </w:rPr>
            </w:pPr>
            <w:r>
              <w:rPr>
                <w:rFonts w:cs="Arial"/>
                <w:sz w:val="16"/>
                <w:szCs w:val="16"/>
              </w:rPr>
              <w:t>To: (</w:t>
            </w:r>
            <w:proofErr w:type="spellStart"/>
            <w:r>
              <w:rPr>
                <w:rFonts w:cs="Arial"/>
                <w:sz w:val="16"/>
                <w:szCs w:val="16"/>
              </w:rPr>
              <w:t>i</w:t>
            </w:r>
            <w:proofErr w:type="spellEnd"/>
            <w:r>
              <w:rPr>
                <w:rFonts w:cs="Arial"/>
                <w:sz w:val="16"/>
                <w:szCs w:val="16"/>
              </w:rPr>
              <w:t xml:space="preserve">) provide a local organization, the DAISY Lanka Foundation (DLF), with the expertise and funding to carry out capacity building activities in Sri Lanka. </w:t>
            </w:r>
          </w:p>
          <w:p w:rsidR="0063033D" w:rsidRPr="00774D44" w:rsidRDefault="0063033D" w:rsidP="008D1891">
            <w:pPr>
              <w:autoSpaceDE w:val="0"/>
              <w:autoSpaceDN w:val="0"/>
              <w:adjustRightInd w:val="0"/>
              <w:spacing w:before="120" w:after="120"/>
              <w:rPr>
                <w:rFonts w:cs="Arial"/>
                <w:color w:val="000000"/>
                <w:sz w:val="16"/>
                <w:szCs w:val="16"/>
              </w:rPr>
            </w:pPr>
            <w:r>
              <w:rPr>
                <w:rFonts w:cs="Arial"/>
                <w:sz w:val="16"/>
                <w:szCs w:val="16"/>
              </w:rPr>
              <w:t>Activities included: (</w:t>
            </w:r>
            <w:proofErr w:type="spellStart"/>
            <w:r>
              <w:rPr>
                <w:rFonts w:cs="Arial"/>
                <w:sz w:val="16"/>
                <w:szCs w:val="16"/>
              </w:rPr>
              <w:t>i</w:t>
            </w:r>
            <w:proofErr w:type="spellEnd"/>
            <w:r>
              <w:rPr>
                <w:rFonts w:cs="Arial"/>
                <w:sz w:val="16"/>
                <w:szCs w:val="16"/>
              </w:rPr>
              <w:t>) the training of local government and commercial publishers, as well as local NGOs, on the production of accessible books:  (ii) the production of 870 educational books in accessible formats in Sinhalese; and (iii) the purchase of 80 DAISY reading devices that will be loaned to visually impaired students so that they can read these books.</w:t>
            </w:r>
          </w:p>
        </w:tc>
      </w:tr>
      <w:tr w:rsidR="0063033D" w:rsidRPr="00774D44" w:rsidTr="008D1891">
        <w:trPr>
          <w:cantSplit/>
          <w:trHeight w:val="315"/>
        </w:trPr>
        <w:tc>
          <w:tcPr>
            <w:tcW w:w="1843" w:type="dxa"/>
          </w:tcPr>
          <w:p w:rsidR="0063033D" w:rsidRPr="00774D44" w:rsidRDefault="0063033D" w:rsidP="008D1891">
            <w:pPr>
              <w:spacing w:before="120" w:after="120"/>
              <w:rPr>
                <w:rFonts w:cs="Arial"/>
                <w:color w:val="000000"/>
                <w:sz w:val="16"/>
                <w:szCs w:val="16"/>
              </w:rPr>
            </w:pPr>
            <w:r>
              <w:rPr>
                <w:rFonts w:cs="Arial"/>
                <w:sz w:val="16"/>
                <w:szCs w:val="16"/>
              </w:rPr>
              <w:t>Capacity building</w:t>
            </w:r>
            <w:r>
              <w:rPr>
                <w:rFonts w:cs="Arial"/>
                <w:sz w:val="16"/>
                <w:szCs w:val="16"/>
              </w:rPr>
              <w:br/>
              <w:t>(through a Memorandum of Understanding)</w:t>
            </w:r>
          </w:p>
        </w:tc>
        <w:tc>
          <w:tcPr>
            <w:tcW w:w="1134" w:type="dxa"/>
          </w:tcPr>
          <w:p w:rsidR="0063033D" w:rsidRPr="00774D44" w:rsidRDefault="0063033D" w:rsidP="008D1891">
            <w:pPr>
              <w:autoSpaceDE w:val="0"/>
              <w:autoSpaceDN w:val="0"/>
              <w:adjustRightInd w:val="0"/>
              <w:spacing w:before="120" w:after="120"/>
              <w:rPr>
                <w:rFonts w:cs="Arial"/>
                <w:color w:val="000000"/>
                <w:sz w:val="16"/>
                <w:szCs w:val="16"/>
              </w:rPr>
            </w:pPr>
            <w:r>
              <w:rPr>
                <w:rFonts w:cs="Arial"/>
                <w:sz w:val="16"/>
                <w:szCs w:val="16"/>
              </w:rPr>
              <w:t>Ongoing throughout the year</w:t>
            </w:r>
          </w:p>
        </w:tc>
        <w:tc>
          <w:tcPr>
            <w:tcW w:w="1559" w:type="dxa"/>
            <w:gridSpan w:val="2"/>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Sri Lanka</w:t>
            </w:r>
          </w:p>
        </w:tc>
        <w:tc>
          <w:tcPr>
            <w:tcW w:w="4820" w:type="dxa"/>
            <w:gridSpan w:val="4"/>
          </w:tcPr>
          <w:p w:rsidR="0063033D" w:rsidRPr="00774D44" w:rsidRDefault="0063033D" w:rsidP="008D1891">
            <w:pPr>
              <w:autoSpaceDE w:val="0"/>
              <w:autoSpaceDN w:val="0"/>
              <w:adjustRightInd w:val="0"/>
              <w:spacing w:before="120" w:after="120"/>
              <w:rPr>
                <w:rFonts w:cs="Arial"/>
                <w:color w:val="000000"/>
                <w:sz w:val="16"/>
                <w:szCs w:val="16"/>
              </w:rPr>
            </w:pPr>
            <w:r>
              <w:rPr>
                <w:rFonts w:cs="Arial"/>
                <w:sz w:val="16"/>
                <w:szCs w:val="16"/>
              </w:rPr>
              <w:t>To develop a high quality text-to-speech application in Sinhalese for use by the visually impaired in reading accessible format books in Sinhalese.  The application is being developed by the University of Colombo, School of Computing.  Currently, only a very “synthetic sounding” text- to- speech application in Sinhalese exists.</w:t>
            </w:r>
          </w:p>
        </w:tc>
      </w:tr>
      <w:tr w:rsidR="0063033D" w:rsidRPr="00774D44" w:rsidTr="008D1891">
        <w:trPr>
          <w:cantSplit/>
          <w:trHeight w:val="315"/>
        </w:trPr>
        <w:tc>
          <w:tcPr>
            <w:tcW w:w="1843" w:type="dxa"/>
          </w:tcPr>
          <w:p w:rsidR="0063033D" w:rsidRPr="00774D44" w:rsidRDefault="0063033D" w:rsidP="008D1891">
            <w:pPr>
              <w:autoSpaceDE w:val="0"/>
              <w:autoSpaceDN w:val="0"/>
              <w:adjustRightInd w:val="0"/>
              <w:spacing w:before="120" w:after="120"/>
              <w:rPr>
                <w:rFonts w:cs="Arial"/>
                <w:color w:val="000000"/>
                <w:sz w:val="16"/>
                <w:szCs w:val="16"/>
              </w:rPr>
            </w:pPr>
            <w:r>
              <w:rPr>
                <w:rFonts w:cs="Arial"/>
                <w:sz w:val="16"/>
                <w:szCs w:val="16"/>
              </w:rPr>
              <w:t>Capacity building</w:t>
            </w:r>
            <w:r>
              <w:rPr>
                <w:rFonts w:cs="Arial"/>
                <w:sz w:val="16"/>
                <w:szCs w:val="16"/>
              </w:rPr>
              <w:br/>
              <w:t>(through a Memorandum of Understanding)</w:t>
            </w:r>
          </w:p>
        </w:tc>
        <w:tc>
          <w:tcPr>
            <w:tcW w:w="1134" w:type="dxa"/>
          </w:tcPr>
          <w:p w:rsidR="0063033D" w:rsidRPr="00774D44" w:rsidRDefault="0063033D" w:rsidP="008D1891">
            <w:pPr>
              <w:spacing w:before="120" w:after="120"/>
              <w:rPr>
                <w:rFonts w:cs="Arial"/>
                <w:color w:val="000000"/>
                <w:sz w:val="16"/>
                <w:szCs w:val="16"/>
              </w:rPr>
            </w:pPr>
            <w:r>
              <w:rPr>
                <w:rFonts w:cs="Arial"/>
                <w:sz w:val="16"/>
                <w:szCs w:val="16"/>
              </w:rPr>
              <w:t>Ongoing throughout the year</w:t>
            </w:r>
          </w:p>
        </w:tc>
        <w:tc>
          <w:tcPr>
            <w:tcW w:w="1559" w:type="dxa"/>
            <w:gridSpan w:val="2"/>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Nepal</w:t>
            </w:r>
          </w:p>
        </w:tc>
        <w:tc>
          <w:tcPr>
            <w:tcW w:w="4820" w:type="dxa"/>
            <w:gridSpan w:val="4"/>
          </w:tcPr>
          <w:p w:rsidR="0063033D" w:rsidRDefault="0063033D" w:rsidP="008D1891">
            <w:pPr>
              <w:autoSpaceDE w:val="0"/>
              <w:autoSpaceDN w:val="0"/>
              <w:adjustRightInd w:val="0"/>
              <w:spacing w:before="120" w:after="120"/>
              <w:rPr>
                <w:rFonts w:cs="Arial"/>
                <w:sz w:val="16"/>
                <w:szCs w:val="16"/>
              </w:rPr>
            </w:pPr>
            <w:r>
              <w:rPr>
                <w:rFonts w:cs="Arial"/>
                <w:sz w:val="16"/>
                <w:szCs w:val="16"/>
              </w:rPr>
              <w:t>To provide a local organization, the Action on Disability Rights and Development (ADRAD), with the expertise and funding to carry out capacity building activities in Nepal.</w:t>
            </w:r>
          </w:p>
          <w:p w:rsidR="0063033D" w:rsidRPr="00774D44" w:rsidRDefault="0063033D" w:rsidP="008D1891">
            <w:pPr>
              <w:autoSpaceDE w:val="0"/>
              <w:autoSpaceDN w:val="0"/>
              <w:adjustRightInd w:val="0"/>
              <w:spacing w:before="120" w:after="120"/>
              <w:rPr>
                <w:rFonts w:cs="Arial"/>
                <w:color w:val="000000"/>
                <w:sz w:val="16"/>
                <w:szCs w:val="16"/>
              </w:rPr>
            </w:pPr>
            <w:r>
              <w:rPr>
                <w:rFonts w:cs="Arial"/>
                <w:sz w:val="16"/>
                <w:szCs w:val="16"/>
              </w:rPr>
              <w:t>Activities included: (</w:t>
            </w:r>
            <w:proofErr w:type="spellStart"/>
            <w:r>
              <w:rPr>
                <w:rFonts w:cs="Arial"/>
                <w:sz w:val="16"/>
                <w:szCs w:val="16"/>
              </w:rPr>
              <w:t>i</w:t>
            </w:r>
            <w:proofErr w:type="spellEnd"/>
            <w:r>
              <w:rPr>
                <w:rFonts w:cs="Arial"/>
                <w:sz w:val="16"/>
                <w:szCs w:val="16"/>
              </w:rPr>
              <w:t>) the training of local government and commercial publishers, as well as local NGOs, on the production of accessible books; (ii) the production of 140 educational books in accessible formats in English and Nepalese; and (iii) the purchase of 100 Android devices that will be loaned to visually impaired students so that they can read these books.</w:t>
            </w:r>
          </w:p>
        </w:tc>
      </w:tr>
      <w:tr w:rsidR="0063033D" w:rsidRPr="00D566BF" w:rsidTr="008D1891">
        <w:trPr>
          <w:cantSplit/>
          <w:trHeight w:val="315"/>
        </w:trPr>
        <w:tc>
          <w:tcPr>
            <w:tcW w:w="1843" w:type="dxa"/>
          </w:tcPr>
          <w:p w:rsidR="0063033D" w:rsidRPr="00B357EF" w:rsidRDefault="0063033D" w:rsidP="008D1891">
            <w:pPr>
              <w:autoSpaceDE w:val="0"/>
              <w:autoSpaceDN w:val="0"/>
              <w:adjustRightInd w:val="0"/>
              <w:spacing w:before="120" w:after="120"/>
              <w:rPr>
                <w:rFonts w:cs="Arial"/>
                <w:sz w:val="16"/>
                <w:szCs w:val="16"/>
              </w:rPr>
            </w:pPr>
            <w:r>
              <w:rPr>
                <w:rFonts w:cs="Arial"/>
                <w:sz w:val="16"/>
                <w:szCs w:val="16"/>
              </w:rPr>
              <w:t>Capacity building</w:t>
            </w:r>
            <w:r>
              <w:rPr>
                <w:rFonts w:cs="Arial"/>
                <w:sz w:val="16"/>
                <w:szCs w:val="16"/>
              </w:rPr>
              <w:br/>
              <w:t>(through a Memorandum of Understanding)</w:t>
            </w:r>
          </w:p>
        </w:tc>
        <w:tc>
          <w:tcPr>
            <w:tcW w:w="1134" w:type="dxa"/>
          </w:tcPr>
          <w:p w:rsidR="0063033D" w:rsidRPr="00B357EF" w:rsidRDefault="0063033D" w:rsidP="008D1891">
            <w:pPr>
              <w:spacing w:before="120" w:after="120"/>
              <w:rPr>
                <w:rFonts w:cs="Arial"/>
                <w:sz w:val="16"/>
                <w:szCs w:val="16"/>
              </w:rPr>
            </w:pPr>
            <w:r>
              <w:rPr>
                <w:rFonts w:cs="Arial"/>
                <w:sz w:val="16"/>
                <w:szCs w:val="16"/>
              </w:rPr>
              <w:t>Ongoing throughout the year</w:t>
            </w:r>
          </w:p>
        </w:tc>
        <w:tc>
          <w:tcPr>
            <w:tcW w:w="1559" w:type="dxa"/>
            <w:gridSpan w:val="2"/>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Bangladesh</w:t>
            </w:r>
          </w:p>
        </w:tc>
        <w:tc>
          <w:tcPr>
            <w:tcW w:w="4820" w:type="dxa"/>
            <w:gridSpan w:val="4"/>
          </w:tcPr>
          <w:p w:rsidR="0063033D" w:rsidRDefault="0063033D" w:rsidP="008D1891">
            <w:pPr>
              <w:autoSpaceDE w:val="0"/>
              <w:autoSpaceDN w:val="0"/>
              <w:adjustRightInd w:val="0"/>
              <w:spacing w:before="120" w:after="120"/>
              <w:rPr>
                <w:rFonts w:cs="Arial"/>
                <w:sz w:val="16"/>
                <w:szCs w:val="16"/>
              </w:rPr>
            </w:pPr>
            <w:r>
              <w:rPr>
                <w:rFonts w:cs="Arial"/>
                <w:sz w:val="16"/>
                <w:szCs w:val="16"/>
              </w:rPr>
              <w:t xml:space="preserve">To provide a local organization, Young Power in Social Action (YPSA), with the expertise and funding to carry out capacity building activities in Bangladesh. </w:t>
            </w:r>
          </w:p>
          <w:p w:rsidR="0063033D" w:rsidRPr="00D566BF" w:rsidRDefault="0063033D" w:rsidP="008D1891">
            <w:pPr>
              <w:autoSpaceDE w:val="0"/>
              <w:autoSpaceDN w:val="0"/>
              <w:adjustRightInd w:val="0"/>
              <w:spacing w:before="120" w:after="120"/>
              <w:rPr>
                <w:rFonts w:cs="Arial"/>
                <w:sz w:val="16"/>
                <w:szCs w:val="16"/>
              </w:rPr>
            </w:pPr>
            <w:r>
              <w:rPr>
                <w:rFonts w:cs="Arial"/>
                <w:sz w:val="16"/>
                <w:szCs w:val="16"/>
              </w:rPr>
              <w:t>Activities included: (</w:t>
            </w:r>
            <w:proofErr w:type="spellStart"/>
            <w:r>
              <w:rPr>
                <w:rFonts w:cs="Arial"/>
                <w:sz w:val="16"/>
                <w:szCs w:val="16"/>
              </w:rPr>
              <w:t>i</w:t>
            </w:r>
            <w:proofErr w:type="spellEnd"/>
            <w:r>
              <w:rPr>
                <w:rFonts w:cs="Arial"/>
                <w:sz w:val="16"/>
                <w:szCs w:val="16"/>
              </w:rPr>
              <w:t xml:space="preserve">) the training of local government and commercial publishers, as well as local NGOs, on the production of accessible books; (ii) the production of 152 educational books in accessible formats in Bengali; and (iii) the purchase of 35 Android devices that will be loaned to visually impaired students so that they can read these books. </w:t>
            </w:r>
          </w:p>
        </w:tc>
      </w:tr>
      <w:tr w:rsidR="0063033D" w:rsidRPr="00774D44" w:rsidTr="008D1891">
        <w:trPr>
          <w:cantSplit/>
          <w:trHeight w:val="315"/>
        </w:trPr>
        <w:tc>
          <w:tcPr>
            <w:tcW w:w="9356" w:type="dxa"/>
            <w:gridSpan w:val="8"/>
            <w:tcBorders>
              <w:top w:val="single" w:sz="4" w:space="0" w:color="000000"/>
              <w:bottom w:val="single" w:sz="4" w:space="0" w:color="000000"/>
            </w:tcBorders>
            <w:shd w:val="clear" w:color="auto" w:fill="CCFFFF"/>
          </w:tcPr>
          <w:p w:rsidR="0063033D" w:rsidRPr="00712F53" w:rsidRDefault="0063033D" w:rsidP="008D1891">
            <w:pPr>
              <w:keepNext/>
              <w:keepLines/>
              <w:tabs>
                <w:tab w:val="left" w:pos="1740"/>
              </w:tabs>
              <w:spacing w:before="120" w:after="120"/>
              <w:ind w:left="1740" w:hanging="1740"/>
              <w:rPr>
                <w:sz w:val="18"/>
                <w:szCs w:val="18"/>
                <w:lang w:val="en-AU"/>
              </w:rPr>
            </w:pPr>
            <w:r w:rsidRPr="00712F53">
              <w:rPr>
                <w:rFonts w:cs="Arial"/>
                <w:b/>
                <w:bCs/>
                <w:color w:val="000000"/>
                <w:sz w:val="16"/>
                <w:szCs w:val="16"/>
              </w:rPr>
              <w:t>RESULT</w:t>
            </w:r>
            <w:r w:rsidRPr="00712F53">
              <w:rPr>
                <w:rFonts w:cs="Arial"/>
                <w:bCs/>
                <w:sz w:val="16"/>
                <w:szCs w:val="16"/>
                <w:lang w:val="en-AU"/>
              </w:rPr>
              <w:t>:</w:t>
            </w:r>
            <w:r w:rsidRPr="00712F53">
              <w:rPr>
                <w:rFonts w:cs="Arial"/>
                <w:bCs/>
                <w:sz w:val="16"/>
                <w:szCs w:val="16"/>
                <w:lang w:val="en-AU"/>
              </w:rPr>
              <w:tab/>
            </w:r>
            <w:r w:rsidRPr="00397836">
              <w:rPr>
                <w:rFonts w:cs="Arial"/>
                <w:bCs/>
                <w:sz w:val="16"/>
                <w:szCs w:val="16"/>
                <w:lang w:val="en-AU"/>
              </w:rPr>
              <w:t>VII.2. IP-based platforms and tools are used for knowledge transfer, technology adaptation and diffusion from developed to developing countries, particularly least developed countries, to address global challenges</w:t>
            </w:r>
          </w:p>
        </w:tc>
      </w:tr>
      <w:tr w:rsidR="0063033D" w:rsidRPr="00774D44" w:rsidTr="008D1891">
        <w:trPr>
          <w:cantSplit/>
          <w:trHeight w:val="487"/>
        </w:trPr>
        <w:tc>
          <w:tcPr>
            <w:tcW w:w="1843" w:type="dxa"/>
            <w:tcBorders>
              <w:top w:val="single" w:sz="4" w:space="0" w:color="000000"/>
            </w:tcBorders>
            <w:vAlign w:val="center"/>
          </w:tcPr>
          <w:p w:rsidR="0063033D" w:rsidRPr="002B7DE5" w:rsidRDefault="0063033D" w:rsidP="008D1891">
            <w:pPr>
              <w:keepNext/>
              <w:keepLines/>
              <w:rPr>
                <w:rFonts w:cs="Arial"/>
                <w:b/>
                <w:bCs/>
                <w:sz w:val="16"/>
                <w:szCs w:val="16"/>
              </w:rPr>
            </w:pPr>
            <w:r w:rsidRPr="002B7DE5">
              <w:rPr>
                <w:rFonts w:cs="Arial"/>
                <w:b/>
                <w:bCs/>
                <w:sz w:val="16"/>
                <w:szCs w:val="16"/>
              </w:rPr>
              <w:t>Activity</w:t>
            </w:r>
          </w:p>
        </w:tc>
        <w:tc>
          <w:tcPr>
            <w:tcW w:w="1134" w:type="dxa"/>
            <w:tcBorders>
              <w:top w:val="single" w:sz="4" w:space="0" w:color="000000"/>
            </w:tcBorders>
            <w:vAlign w:val="center"/>
          </w:tcPr>
          <w:p w:rsidR="0063033D" w:rsidRPr="002B7DE5" w:rsidRDefault="0063033D" w:rsidP="008D1891">
            <w:pPr>
              <w:keepNext/>
              <w:keepLines/>
              <w:rPr>
                <w:rFonts w:cs="Arial"/>
                <w:sz w:val="16"/>
                <w:szCs w:val="16"/>
              </w:rPr>
            </w:pPr>
            <w:r w:rsidRPr="002B7DE5">
              <w:rPr>
                <w:rFonts w:cs="Arial"/>
                <w:b/>
                <w:bCs/>
                <w:sz w:val="16"/>
                <w:szCs w:val="16"/>
              </w:rPr>
              <w:t>Date</w:t>
            </w:r>
          </w:p>
        </w:tc>
        <w:tc>
          <w:tcPr>
            <w:tcW w:w="1559" w:type="dxa"/>
            <w:gridSpan w:val="2"/>
            <w:tcBorders>
              <w:top w:val="single" w:sz="4" w:space="0" w:color="000000"/>
            </w:tcBorders>
            <w:vAlign w:val="center"/>
          </w:tcPr>
          <w:p w:rsidR="0063033D" w:rsidRPr="002B7DE5" w:rsidRDefault="0063033D" w:rsidP="008D1891">
            <w:pPr>
              <w:keepNext/>
              <w:keepLines/>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820" w:type="dxa"/>
            <w:gridSpan w:val="4"/>
            <w:tcBorders>
              <w:top w:val="single" w:sz="4" w:space="0" w:color="000000"/>
            </w:tcBorders>
            <w:vAlign w:val="center"/>
          </w:tcPr>
          <w:p w:rsidR="0063033D" w:rsidRPr="002B7DE5" w:rsidRDefault="0063033D" w:rsidP="008D1891">
            <w:pPr>
              <w:keepNext/>
              <w:keepLines/>
              <w:rPr>
                <w:rFonts w:cs="Arial"/>
                <w:sz w:val="16"/>
                <w:szCs w:val="16"/>
              </w:rPr>
            </w:pPr>
            <w:r w:rsidRPr="002B7DE5">
              <w:rPr>
                <w:rFonts w:cs="Arial"/>
                <w:b/>
                <w:bCs/>
                <w:sz w:val="16"/>
                <w:szCs w:val="16"/>
              </w:rPr>
              <w:t>Purpose(s)/Description(s)</w:t>
            </w:r>
          </w:p>
        </w:tc>
      </w:tr>
      <w:tr w:rsidR="0063033D" w:rsidRPr="00F7487E" w:rsidTr="008D1891">
        <w:trPr>
          <w:cantSplit/>
          <w:trHeight w:val="315"/>
        </w:trPr>
        <w:tc>
          <w:tcPr>
            <w:tcW w:w="1843" w:type="dxa"/>
          </w:tcPr>
          <w:p w:rsidR="0063033D" w:rsidRPr="00F7487E" w:rsidRDefault="0063033D" w:rsidP="008D1891">
            <w:pPr>
              <w:spacing w:before="120" w:after="120"/>
              <w:rPr>
                <w:rFonts w:cs="Arial"/>
                <w:color w:val="000000"/>
                <w:sz w:val="16"/>
                <w:szCs w:val="16"/>
              </w:rPr>
            </w:pPr>
            <w:r w:rsidRPr="00F7487E">
              <w:rPr>
                <w:rFonts w:cs="Arial"/>
                <w:sz w:val="16"/>
                <w:szCs w:val="16"/>
              </w:rPr>
              <w:t>Continuation of Hosting Arrangements for African Biomedical Scientists in research facilities outside Africa</w:t>
            </w:r>
          </w:p>
        </w:tc>
        <w:tc>
          <w:tcPr>
            <w:tcW w:w="1134" w:type="dxa"/>
          </w:tcPr>
          <w:p w:rsidR="0063033D" w:rsidRPr="00F7487E" w:rsidRDefault="0063033D" w:rsidP="008D1891">
            <w:pPr>
              <w:spacing w:before="120" w:after="120"/>
              <w:rPr>
                <w:rFonts w:cs="Arial"/>
                <w:color w:val="000000"/>
                <w:sz w:val="16"/>
                <w:szCs w:val="16"/>
              </w:rPr>
            </w:pPr>
            <w:r w:rsidRPr="00F7487E">
              <w:rPr>
                <w:rFonts w:cs="Arial"/>
                <w:sz w:val="16"/>
                <w:szCs w:val="16"/>
              </w:rPr>
              <w:t xml:space="preserve">January </w:t>
            </w:r>
            <w:r>
              <w:rPr>
                <w:rFonts w:cs="Arial"/>
                <w:sz w:val="16"/>
                <w:szCs w:val="16"/>
              </w:rPr>
              <w:t xml:space="preserve">to </w:t>
            </w:r>
            <w:r w:rsidRPr="00F7487E">
              <w:rPr>
                <w:rFonts w:cs="Arial"/>
                <w:sz w:val="16"/>
                <w:szCs w:val="16"/>
              </w:rPr>
              <w:t>May 2014</w:t>
            </w:r>
          </w:p>
        </w:tc>
        <w:tc>
          <w:tcPr>
            <w:tcW w:w="1559" w:type="dxa"/>
            <w:gridSpan w:val="2"/>
          </w:tcPr>
          <w:p w:rsidR="0063033D" w:rsidRPr="00F7487E" w:rsidRDefault="0063033D" w:rsidP="008D1891">
            <w:pPr>
              <w:spacing w:before="120" w:after="120" w:line="276" w:lineRule="auto"/>
              <w:rPr>
                <w:rFonts w:cs="Arial"/>
                <w:color w:val="000000"/>
                <w:sz w:val="16"/>
                <w:szCs w:val="16"/>
              </w:rPr>
            </w:pPr>
            <w:r w:rsidRPr="00F7487E">
              <w:rPr>
                <w:rFonts w:eastAsia="Calibri" w:cs="Arial"/>
                <w:sz w:val="16"/>
                <w:szCs w:val="16"/>
              </w:rPr>
              <w:t>Stanford University, USA/</w:t>
            </w:r>
            <w:r>
              <w:rPr>
                <w:rFonts w:eastAsia="Calibri" w:cs="Arial"/>
                <w:sz w:val="16"/>
                <w:szCs w:val="16"/>
              </w:rPr>
              <w:t xml:space="preserve"> </w:t>
            </w:r>
            <w:r w:rsidRPr="00F7487E">
              <w:rPr>
                <w:rFonts w:eastAsia="Calibri" w:cs="Arial"/>
                <w:sz w:val="16"/>
                <w:szCs w:val="16"/>
              </w:rPr>
              <w:t xml:space="preserve">Dr. </w:t>
            </w:r>
            <w:proofErr w:type="spellStart"/>
            <w:r w:rsidRPr="00F7487E">
              <w:rPr>
                <w:rFonts w:eastAsia="Calibri" w:cs="Arial"/>
                <w:sz w:val="16"/>
                <w:szCs w:val="16"/>
              </w:rPr>
              <w:t>Olfat</w:t>
            </w:r>
            <w:proofErr w:type="spellEnd"/>
            <w:r w:rsidRPr="00F7487E">
              <w:rPr>
                <w:rFonts w:eastAsia="Calibri" w:cs="Arial"/>
                <w:sz w:val="16"/>
                <w:szCs w:val="16"/>
              </w:rPr>
              <w:t xml:space="preserve"> </w:t>
            </w:r>
            <w:proofErr w:type="spellStart"/>
            <w:r w:rsidRPr="00F7487E">
              <w:rPr>
                <w:rFonts w:eastAsia="Calibri" w:cs="Arial"/>
                <w:sz w:val="16"/>
                <w:szCs w:val="16"/>
              </w:rPr>
              <w:t>Hammam</w:t>
            </w:r>
            <w:proofErr w:type="spellEnd"/>
            <w:r w:rsidRPr="00F7487E">
              <w:rPr>
                <w:rFonts w:eastAsia="Calibri" w:cs="Arial"/>
                <w:sz w:val="16"/>
                <w:szCs w:val="16"/>
              </w:rPr>
              <w:t xml:space="preserve">, Theodore </w:t>
            </w:r>
            <w:proofErr w:type="spellStart"/>
            <w:r w:rsidRPr="00F7487E">
              <w:rPr>
                <w:rFonts w:eastAsia="Calibri" w:cs="Arial"/>
                <w:sz w:val="16"/>
                <w:szCs w:val="16"/>
              </w:rPr>
              <w:t>Bilharz</w:t>
            </w:r>
            <w:proofErr w:type="spellEnd"/>
            <w:r w:rsidRPr="00F7487E">
              <w:rPr>
                <w:rFonts w:eastAsia="Calibri" w:cs="Arial"/>
                <w:sz w:val="16"/>
                <w:szCs w:val="16"/>
              </w:rPr>
              <w:t xml:space="preserve"> Research Institute, Egypt</w:t>
            </w:r>
          </w:p>
        </w:tc>
        <w:tc>
          <w:tcPr>
            <w:tcW w:w="4820" w:type="dxa"/>
            <w:gridSpan w:val="4"/>
          </w:tcPr>
          <w:p w:rsidR="0063033D" w:rsidRPr="00F7487E" w:rsidRDefault="0063033D" w:rsidP="008D1891">
            <w:pPr>
              <w:spacing w:before="120" w:after="120"/>
              <w:rPr>
                <w:rFonts w:cs="Arial"/>
                <w:color w:val="000000"/>
                <w:sz w:val="16"/>
                <w:szCs w:val="16"/>
              </w:rPr>
            </w:pPr>
            <w:r>
              <w:rPr>
                <w:rFonts w:cs="Arial"/>
                <w:color w:val="000000"/>
                <w:sz w:val="16"/>
                <w:szCs w:val="16"/>
              </w:rPr>
              <w:t>To promote: (</w:t>
            </w:r>
            <w:proofErr w:type="spellStart"/>
            <w:r>
              <w:rPr>
                <w:rFonts w:cs="Arial"/>
                <w:color w:val="000000"/>
                <w:sz w:val="16"/>
                <w:szCs w:val="16"/>
              </w:rPr>
              <w:t>i</w:t>
            </w:r>
            <w:proofErr w:type="spellEnd"/>
            <w:r>
              <w:rPr>
                <w:rFonts w:cs="Arial"/>
                <w:color w:val="000000"/>
                <w:sz w:val="16"/>
                <w:szCs w:val="16"/>
              </w:rPr>
              <w:t>) the effective use of IP to address a global health challenge (neglected tropical diseases (NTDs)), which affects many LDCs; and (ii) knowledge transfer for scientists, particularly from LDCs.  Customized research programs were developed to ensure that participants upgrade research skills and are able to make a significant contribution in their home countries on NTDs.</w:t>
            </w:r>
          </w:p>
          <w:p w:rsidR="0063033D" w:rsidRPr="00F7487E" w:rsidRDefault="0063033D" w:rsidP="008D1891">
            <w:pPr>
              <w:spacing w:before="120" w:after="120"/>
              <w:rPr>
                <w:rFonts w:cs="Arial"/>
                <w:color w:val="000000"/>
                <w:sz w:val="16"/>
                <w:szCs w:val="16"/>
              </w:rPr>
            </w:pPr>
            <w:r w:rsidRPr="00F7487E">
              <w:rPr>
                <w:rFonts w:cs="Arial"/>
                <w:sz w:val="16"/>
                <w:szCs w:val="16"/>
              </w:rPr>
              <w:t xml:space="preserve">Dr. </w:t>
            </w:r>
            <w:proofErr w:type="spellStart"/>
            <w:r w:rsidRPr="00F7487E">
              <w:rPr>
                <w:rFonts w:cs="Arial"/>
                <w:sz w:val="16"/>
                <w:szCs w:val="16"/>
              </w:rPr>
              <w:t>Hammam</w:t>
            </w:r>
            <w:proofErr w:type="spellEnd"/>
            <w:r w:rsidRPr="00F7487E">
              <w:rPr>
                <w:rFonts w:cs="Arial"/>
                <w:sz w:val="16"/>
                <w:szCs w:val="16"/>
              </w:rPr>
              <w:t xml:space="preserve"> focused on using mouse models to diagnose </w:t>
            </w:r>
            <w:proofErr w:type="spellStart"/>
            <w:r w:rsidRPr="00F7487E">
              <w:rPr>
                <w:rFonts w:cs="Arial"/>
                <w:sz w:val="16"/>
                <w:szCs w:val="16"/>
              </w:rPr>
              <w:t>genito</w:t>
            </w:r>
            <w:proofErr w:type="spellEnd"/>
            <w:r w:rsidRPr="00F7487E">
              <w:rPr>
                <w:rFonts w:cs="Arial"/>
                <w:sz w:val="16"/>
                <w:szCs w:val="16"/>
              </w:rPr>
              <w:t xml:space="preserve">-urinary tract infections of </w:t>
            </w:r>
            <w:r>
              <w:rPr>
                <w:rFonts w:cs="Arial"/>
                <w:sz w:val="16"/>
                <w:szCs w:val="16"/>
              </w:rPr>
              <w:t xml:space="preserve">the </w:t>
            </w:r>
            <w:proofErr w:type="spellStart"/>
            <w:r w:rsidRPr="00F7487E">
              <w:rPr>
                <w:rFonts w:cs="Arial"/>
                <w:sz w:val="16"/>
                <w:szCs w:val="16"/>
              </w:rPr>
              <w:t>schistosome</w:t>
            </w:r>
            <w:proofErr w:type="spellEnd"/>
            <w:r w:rsidRPr="00F7487E">
              <w:rPr>
                <w:rFonts w:cs="Arial"/>
                <w:sz w:val="16"/>
                <w:szCs w:val="16"/>
              </w:rPr>
              <w:t xml:space="preserve"> parasite.</w:t>
            </w:r>
          </w:p>
        </w:tc>
      </w:tr>
      <w:tr w:rsidR="0063033D" w:rsidRPr="00644BAE" w:rsidTr="008D1891">
        <w:trPr>
          <w:cantSplit/>
          <w:trHeight w:val="315"/>
        </w:trPr>
        <w:tc>
          <w:tcPr>
            <w:tcW w:w="1843" w:type="dxa"/>
          </w:tcPr>
          <w:p w:rsidR="0063033D" w:rsidRPr="007536B3" w:rsidRDefault="0063033D" w:rsidP="008D1891">
            <w:pPr>
              <w:rPr>
                <w:rFonts w:eastAsia="Calibri" w:cs="Arial"/>
                <w:sz w:val="16"/>
                <w:szCs w:val="16"/>
              </w:rPr>
            </w:pPr>
            <w:r w:rsidRPr="007536B3">
              <w:rPr>
                <w:rFonts w:eastAsia="Calibri" w:cs="Arial"/>
                <w:sz w:val="16"/>
                <w:szCs w:val="16"/>
              </w:rPr>
              <w:t>National Training on “Successful Technology</w:t>
            </w:r>
          </w:p>
          <w:p w:rsidR="0063033D" w:rsidRPr="00644BAE" w:rsidRDefault="0063033D" w:rsidP="008D1891">
            <w:pPr>
              <w:rPr>
                <w:rFonts w:cs="Arial"/>
                <w:color w:val="000000"/>
                <w:sz w:val="16"/>
                <w:szCs w:val="16"/>
              </w:rPr>
            </w:pPr>
            <w:r w:rsidRPr="007536B3">
              <w:rPr>
                <w:rFonts w:eastAsia="Calibri" w:cs="Arial"/>
                <w:sz w:val="16"/>
                <w:szCs w:val="16"/>
              </w:rPr>
              <w:t>Licensing (STL</w:t>
            </w:r>
            <w:r w:rsidRPr="007536B3">
              <w:rPr>
                <w:rFonts w:ascii="Calibri" w:eastAsia="Calibri" w:hAnsi="Calibri"/>
                <w:szCs w:val="20"/>
              </w:rPr>
              <w:t>)”</w:t>
            </w:r>
          </w:p>
        </w:tc>
        <w:tc>
          <w:tcPr>
            <w:tcW w:w="1134" w:type="dxa"/>
          </w:tcPr>
          <w:p w:rsidR="0063033D" w:rsidRPr="00644BAE" w:rsidRDefault="0063033D" w:rsidP="008D1891">
            <w:pPr>
              <w:rPr>
                <w:rFonts w:cs="Arial"/>
                <w:color w:val="000000"/>
                <w:sz w:val="16"/>
                <w:szCs w:val="16"/>
              </w:rPr>
            </w:pPr>
            <w:r>
              <w:rPr>
                <w:rFonts w:cs="Arial"/>
                <w:color w:val="000000"/>
                <w:sz w:val="16"/>
                <w:szCs w:val="16"/>
              </w:rPr>
              <w:t>May 5 to 8, 2014</w:t>
            </w:r>
          </w:p>
        </w:tc>
        <w:tc>
          <w:tcPr>
            <w:tcW w:w="1559" w:type="dxa"/>
            <w:gridSpan w:val="2"/>
          </w:tcPr>
          <w:p w:rsidR="0063033D" w:rsidRPr="00644BAE" w:rsidRDefault="0063033D" w:rsidP="008D1891">
            <w:pPr>
              <w:autoSpaceDE w:val="0"/>
              <w:autoSpaceDN w:val="0"/>
              <w:adjustRightInd w:val="0"/>
              <w:rPr>
                <w:rFonts w:cs="Arial"/>
                <w:color w:val="000000"/>
                <w:sz w:val="16"/>
                <w:szCs w:val="16"/>
              </w:rPr>
            </w:pPr>
            <w:r>
              <w:rPr>
                <w:rFonts w:cs="Arial"/>
                <w:color w:val="000000"/>
                <w:sz w:val="16"/>
                <w:szCs w:val="16"/>
              </w:rPr>
              <w:t>Philippines</w:t>
            </w:r>
          </w:p>
        </w:tc>
        <w:tc>
          <w:tcPr>
            <w:tcW w:w="4820" w:type="dxa"/>
            <w:gridSpan w:val="4"/>
          </w:tcPr>
          <w:p w:rsidR="0063033D" w:rsidRDefault="0063033D" w:rsidP="008D1891">
            <w:pPr>
              <w:rPr>
                <w:rFonts w:eastAsia="Calibri" w:cs="Arial"/>
                <w:sz w:val="16"/>
                <w:szCs w:val="16"/>
              </w:rPr>
            </w:pPr>
            <w:r>
              <w:rPr>
                <w:rFonts w:eastAsia="Calibri" w:cs="Arial"/>
                <w:sz w:val="16"/>
                <w:szCs w:val="16"/>
              </w:rPr>
              <w:t>Participants acquired knowledge of how to use</w:t>
            </w:r>
            <w:r w:rsidRPr="007536B3">
              <w:rPr>
                <w:rFonts w:eastAsia="Calibri" w:cs="Arial"/>
                <w:sz w:val="16"/>
                <w:szCs w:val="16"/>
              </w:rPr>
              <w:t xml:space="preserve"> licensing agreement</w:t>
            </w:r>
            <w:r>
              <w:rPr>
                <w:rFonts w:eastAsia="Calibri" w:cs="Arial"/>
                <w:sz w:val="16"/>
                <w:szCs w:val="16"/>
              </w:rPr>
              <w:t>s</w:t>
            </w:r>
            <w:r w:rsidRPr="007536B3">
              <w:rPr>
                <w:rFonts w:eastAsia="Calibri" w:cs="Arial"/>
                <w:sz w:val="16"/>
                <w:szCs w:val="16"/>
              </w:rPr>
              <w:t xml:space="preserve"> as a tool </w:t>
            </w:r>
            <w:r>
              <w:rPr>
                <w:rFonts w:eastAsia="Calibri" w:cs="Arial"/>
                <w:sz w:val="16"/>
                <w:szCs w:val="16"/>
              </w:rPr>
              <w:t xml:space="preserve">to </w:t>
            </w:r>
            <w:r w:rsidRPr="007536B3">
              <w:rPr>
                <w:rFonts w:eastAsia="Calibri" w:cs="Arial"/>
                <w:sz w:val="16"/>
                <w:szCs w:val="16"/>
              </w:rPr>
              <w:t>transfer technology</w:t>
            </w:r>
            <w:r>
              <w:rPr>
                <w:rFonts w:eastAsia="Calibri" w:cs="Arial"/>
                <w:sz w:val="16"/>
                <w:szCs w:val="16"/>
              </w:rPr>
              <w:t>, to identify benefits and risks in licensing negotiations and to be able to contribute to licensing negotiations.</w:t>
            </w:r>
          </w:p>
          <w:p w:rsidR="0063033D" w:rsidRPr="00644BAE" w:rsidRDefault="0063033D" w:rsidP="008D1891">
            <w:pPr>
              <w:rPr>
                <w:rFonts w:cs="Arial"/>
                <w:color w:val="000000"/>
                <w:sz w:val="16"/>
                <w:szCs w:val="16"/>
              </w:rPr>
            </w:pPr>
          </w:p>
        </w:tc>
      </w:tr>
      <w:tr w:rsidR="0063033D" w:rsidRPr="00644BAE" w:rsidTr="008D1891">
        <w:trPr>
          <w:cantSplit/>
          <w:trHeight w:val="315"/>
        </w:trPr>
        <w:tc>
          <w:tcPr>
            <w:tcW w:w="1843" w:type="dxa"/>
          </w:tcPr>
          <w:p w:rsidR="0063033D" w:rsidRPr="00644BAE" w:rsidRDefault="0063033D" w:rsidP="008D1891">
            <w:pPr>
              <w:spacing w:before="120" w:after="120"/>
              <w:rPr>
                <w:rFonts w:cs="Arial"/>
                <w:color w:val="000000"/>
                <w:sz w:val="16"/>
                <w:szCs w:val="16"/>
              </w:rPr>
            </w:pPr>
            <w:r w:rsidRPr="007536B3">
              <w:rPr>
                <w:rFonts w:eastAsia="Calibri" w:cs="Arial"/>
                <w:sz w:val="16"/>
                <w:szCs w:val="16"/>
              </w:rPr>
              <w:t>WIPO National Workshop on Patent Drafting and the Use of the Patent System</w:t>
            </w:r>
          </w:p>
        </w:tc>
        <w:tc>
          <w:tcPr>
            <w:tcW w:w="1134" w:type="dxa"/>
          </w:tcPr>
          <w:p w:rsidR="0063033D" w:rsidRPr="00644BAE" w:rsidRDefault="0063033D" w:rsidP="008D1891">
            <w:pPr>
              <w:spacing w:before="120" w:after="120"/>
              <w:rPr>
                <w:rFonts w:cs="Arial"/>
                <w:color w:val="000000"/>
                <w:sz w:val="16"/>
                <w:szCs w:val="16"/>
              </w:rPr>
            </w:pPr>
            <w:r w:rsidRPr="00D566BF">
              <w:rPr>
                <w:rFonts w:cs="Arial"/>
                <w:sz w:val="16"/>
                <w:szCs w:val="16"/>
              </w:rPr>
              <w:t>May</w:t>
            </w:r>
            <w:r>
              <w:rPr>
                <w:rFonts w:cs="Arial"/>
                <w:sz w:val="16"/>
                <w:szCs w:val="16"/>
              </w:rPr>
              <w:t>, 19</w:t>
            </w:r>
            <w:r w:rsidRPr="00D566BF">
              <w:rPr>
                <w:rFonts w:cs="Arial"/>
                <w:sz w:val="16"/>
                <w:szCs w:val="16"/>
              </w:rPr>
              <w:t xml:space="preserve"> to 23, 201</w:t>
            </w:r>
            <w:r>
              <w:rPr>
                <w:rFonts w:cs="Arial"/>
                <w:sz w:val="16"/>
                <w:szCs w:val="16"/>
              </w:rPr>
              <w:t>4</w:t>
            </w:r>
          </w:p>
        </w:tc>
        <w:tc>
          <w:tcPr>
            <w:tcW w:w="1559" w:type="dxa"/>
            <w:gridSpan w:val="2"/>
          </w:tcPr>
          <w:p w:rsidR="0063033D" w:rsidRPr="00644BAE"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Indonesia</w:t>
            </w:r>
          </w:p>
        </w:tc>
        <w:tc>
          <w:tcPr>
            <w:tcW w:w="4820" w:type="dxa"/>
            <w:gridSpan w:val="4"/>
          </w:tcPr>
          <w:p w:rsidR="0063033D" w:rsidRPr="00644BAE" w:rsidRDefault="0063033D" w:rsidP="008D1891">
            <w:pPr>
              <w:spacing w:before="120" w:after="120"/>
              <w:rPr>
                <w:rFonts w:cs="Arial"/>
                <w:color w:val="000000"/>
                <w:sz w:val="16"/>
                <w:szCs w:val="16"/>
              </w:rPr>
            </w:pPr>
            <w:r>
              <w:rPr>
                <w:rFonts w:eastAsia="Calibri" w:cs="Arial"/>
                <w:sz w:val="16"/>
                <w:szCs w:val="16"/>
              </w:rPr>
              <w:t>To train professionals to: (</w:t>
            </w:r>
            <w:proofErr w:type="spellStart"/>
            <w:r>
              <w:rPr>
                <w:rFonts w:eastAsia="Calibri" w:cs="Arial"/>
                <w:sz w:val="16"/>
                <w:szCs w:val="16"/>
              </w:rPr>
              <w:t>i</w:t>
            </w:r>
            <w:proofErr w:type="spellEnd"/>
            <w:r>
              <w:rPr>
                <w:rFonts w:eastAsia="Calibri" w:cs="Arial"/>
                <w:sz w:val="16"/>
                <w:szCs w:val="16"/>
              </w:rPr>
              <w:t>) use the patent system as a part of their IP commercialization strategy;  (ii) provide support to patent attorneys in drafting patent claims regarding specific technologies; and (iii) understand the advantages of PCT filing.</w:t>
            </w:r>
          </w:p>
        </w:tc>
      </w:tr>
      <w:tr w:rsidR="0063033D" w:rsidRPr="00644BAE" w:rsidTr="0063033D">
        <w:trPr>
          <w:cantSplit/>
          <w:trHeight w:val="526"/>
        </w:trPr>
        <w:tc>
          <w:tcPr>
            <w:tcW w:w="1843" w:type="dxa"/>
            <w:vAlign w:val="center"/>
          </w:tcPr>
          <w:p w:rsidR="0063033D" w:rsidRPr="002B7DE5" w:rsidRDefault="0063033D" w:rsidP="008D1891">
            <w:pPr>
              <w:keepNext/>
              <w:keepLines/>
              <w:rPr>
                <w:rFonts w:cs="Arial"/>
                <w:b/>
                <w:bCs/>
                <w:sz w:val="16"/>
                <w:szCs w:val="16"/>
              </w:rPr>
            </w:pPr>
            <w:r w:rsidRPr="002B7DE5">
              <w:rPr>
                <w:rFonts w:cs="Arial"/>
                <w:b/>
                <w:bCs/>
                <w:sz w:val="16"/>
                <w:szCs w:val="16"/>
              </w:rPr>
              <w:lastRenderedPageBreak/>
              <w:t>Activity</w:t>
            </w:r>
          </w:p>
        </w:tc>
        <w:tc>
          <w:tcPr>
            <w:tcW w:w="1134" w:type="dxa"/>
            <w:vAlign w:val="center"/>
          </w:tcPr>
          <w:p w:rsidR="0063033D" w:rsidRPr="002B7DE5" w:rsidRDefault="0063033D" w:rsidP="008D1891">
            <w:pPr>
              <w:keepNext/>
              <w:keepLines/>
              <w:rPr>
                <w:rFonts w:cs="Arial"/>
                <w:sz w:val="16"/>
                <w:szCs w:val="16"/>
              </w:rPr>
            </w:pPr>
            <w:r w:rsidRPr="002B7DE5">
              <w:rPr>
                <w:rFonts w:cs="Arial"/>
                <w:b/>
                <w:bCs/>
                <w:sz w:val="16"/>
                <w:szCs w:val="16"/>
              </w:rPr>
              <w:t>Date</w:t>
            </w:r>
          </w:p>
        </w:tc>
        <w:tc>
          <w:tcPr>
            <w:tcW w:w="1559" w:type="dxa"/>
            <w:gridSpan w:val="2"/>
            <w:vAlign w:val="center"/>
          </w:tcPr>
          <w:p w:rsidR="0063033D" w:rsidRPr="002B7DE5" w:rsidRDefault="0063033D" w:rsidP="008D1891">
            <w:pPr>
              <w:keepNext/>
              <w:keepLines/>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820" w:type="dxa"/>
            <w:gridSpan w:val="4"/>
            <w:vAlign w:val="center"/>
          </w:tcPr>
          <w:p w:rsidR="0063033D" w:rsidRPr="002B7DE5" w:rsidRDefault="0063033D" w:rsidP="008D1891">
            <w:pPr>
              <w:keepNext/>
              <w:keepLines/>
              <w:rPr>
                <w:rFonts w:cs="Arial"/>
                <w:sz w:val="16"/>
                <w:szCs w:val="16"/>
              </w:rPr>
            </w:pPr>
            <w:r w:rsidRPr="002B7DE5">
              <w:rPr>
                <w:rFonts w:cs="Arial"/>
                <w:b/>
                <w:bCs/>
                <w:sz w:val="16"/>
                <w:szCs w:val="16"/>
              </w:rPr>
              <w:t>Purpose(s)/Description(s)</w:t>
            </w:r>
          </w:p>
        </w:tc>
      </w:tr>
      <w:tr w:rsidR="0063033D" w:rsidRPr="00644BAE" w:rsidTr="008D1891">
        <w:trPr>
          <w:cantSplit/>
          <w:trHeight w:val="315"/>
        </w:trPr>
        <w:tc>
          <w:tcPr>
            <w:tcW w:w="1843" w:type="dxa"/>
          </w:tcPr>
          <w:p w:rsidR="0063033D" w:rsidRPr="00644BAE" w:rsidRDefault="0063033D" w:rsidP="008D1891">
            <w:pPr>
              <w:spacing w:before="120" w:after="120"/>
              <w:rPr>
                <w:rFonts w:cs="Arial"/>
                <w:color w:val="000000"/>
                <w:sz w:val="16"/>
                <w:szCs w:val="16"/>
              </w:rPr>
            </w:pPr>
            <w:r w:rsidRPr="00B357EF">
              <w:rPr>
                <w:rFonts w:cs="Arial"/>
                <w:sz w:val="16"/>
                <w:szCs w:val="16"/>
              </w:rPr>
              <w:t>National Training on “Successful Technology Transfer (STL)”</w:t>
            </w:r>
          </w:p>
        </w:tc>
        <w:tc>
          <w:tcPr>
            <w:tcW w:w="1134" w:type="dxa"/>
          </w:tcPr>
          <w:p w:rsidR="0063033D" w:rsidRPr="00644BAE" w:rsidRDefault="0063033D" w:rsidP="008D1891">
            <w:pPr>
              <w:spacing w:before="120" w:after="120"/>
              <w:rPr>
                <w:rFonts w:cs="Arial"/>
                <w:color w:val="000000"/>
                <w:sz w:val="16"/>
                <w:szCs w:val="16"/>
              </w:rPr>
            </w:pPr>
            <w:r>
              <w:rPr>
                <w:rFonts w:cs="Arial"/>
                <w:sz w:val="16"/>
                <w:szCs w:val="16"/>
              </w:rPr>
              <w:t>June 17 to 20, 2014</w:t>
            </w:r>
          </w:p>
        </w:tc>
        <w:tc>
          <w:tcPr>
            <w:tcW w:w="1559" w:type="dxa"/>
            <w:gridSpan w:val="2"/>
          </w:tcPr>
          <w:p w:rsidR="0063033D" w:rsidRPr="00644BAE"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Indonesia</w:t>
            </w:r>
          </w:p>
        </w:tc>
        <w:tc>
          <w:tcPr>
            <w:tcW w:w="4820" w:type="dxa"/>
            <w:gridSpan w:val="4"/>
          </w:tcPr>
          <w:p w:rsidR="0063033D" w:rsidRPr="00644BAE" w:rsidRDefault="0063033D" w:rsidP="008D1891">
            <w:pPr>
              <w:spacing w:before="120" w:after="120"/>
              <w:rPr>
                <w:rFonts w:cs="Arial"/>
                <w:color w:val="000000"/>
                <w:sz w:val="16"/>
                <w:szCs w:val="16"/>
              </w:rPr>
            </w:pPr>
            <w:r w:rsidRPr="00E81C76">
              <w:rPr>
                <w:rFonts w:eastAsia="Calibri" w:cs="Arial"/>
                <w:sz w:val="16"/>
                <w:szCs w:val="16"/>
              </w:rPr>
              <w:t>Participants acquired knowledge of how to use licensing agreements as a tool to transfer technology, to identify benefits and risks in licensing negotiations and to be able to contribute to licensing negotiations.</w:t>
            </w:r>
          </w:p>
        </w:tc>
      </w:tr>
      <w:tr w:rsidR="0063033D" w:rsidRPr="00644BAE" w:rsidTr="008D1891">
        <w:trPr>
          <w:cantSplit/>
          <w:trHeight w:val="315"/>
        </w:trPr>
        <w:tc>
          <w:tcPr>
            <w:tcW w:w="1843" w:type="dxa"/>
          </w:tcPr>
          <w:p w:rsidR="0063033D" w:rsidRPr="00644BAE" w:rsidRDefault="0063033D" w:rsidP="008D1891">
            <w:pPr>
              <w:spacing w:before="120" w:after="120"/>
              <w:rPr>
                <w:rFonts w:cs="Arial"/>
                <w:color w:val="000000"/>
                <w:sz w:val="16"/>
                <w:szCs w:val="16"/>
              </w:rPr>
            </w:pPr>
            <w:r w:rsidRPr="0069036E">
              <w:rPr>
                <w:rFonts w:eastAsia="Calibri" w:cs="Arial"/>
                <w:sz w:val="16"/>
                <w:szCs w:val="16"/>
              </w:rPr>
              <w:t>WIPO National Workshop on Patent Drafting and the Use of the Patent System</w:t>
            </w:r>
          </w:p>
        </w:tc>
        <w:tc>
          <w:tcPr>
            <w:tcW w:w="1134" w:type="dxa"/>
          </w:tcPr>
          <w:p w:rsidR="0063033D" w:rsidRPr="00644BAE" w:rsidRDefault="0063033D" w:rsidP="008D1891">
            <w:pPr>
              <w:spacing w:before="120" w:after="120"/>
              <w:rPr>
                <w:rFonts w:cs="Arial"/>
                <w:color w:val="000000"/>
                <w:sz w:val="16"/>
                <w:szCs w:val="16"/>
              </w:rPr>
            </w:pPr>
            <w:r>
              <w:rPr>
                <w:rFonts w:cs="Arial"/>
                <w:sz w:val="16"/>
                <w:szCs w:val="16"/>
              </w:rPr>
              <w:t>June 23</w:t>
            </w:r>
            <w:r w:rsidRPr="00B357EF">
              <w:rPr>
                <w:rFonts w:cs="Arial"/>
                <w:sz w:val="16"/>
                <w:szCs w:val="16"/>
              </w:rPr>
              <w:t xml:space="preserve"> to </w:t>
            </w:r>
            <w:r>
              <w:rPr>
                <w:rFonts w:cs="Arial"/>
                <w:sz w:val="16"/>
                <w:szCs w:val="16"/>
              </w:rPr>
              <w:t>2</w:t>
            </w:r>
            <w:r w:rsidRPr="00B357EF">
              <w:rPr>
                <w:rFonts w:cs="Arial"/>
                <w:sz w:val="16"/>
                <w:szCs w:val="16"/>
              </w:rPr>
              <w:t>7, 201</w:t>
            </w:r>
            <w:r>
              <w:rPr>
                <w:rFonts w:cs="Arial"/>
                <w:sz w:val="16"/>
                <w:szCs w:val="16"/>
              </w:rPr>
              <w:t>4</w:t>
            </w:r>
          </w:p>
        </w:tc>
        <w:tc>
          <w:tcPr>
            <w:tcW w:w="1559" w:type="dxa"/>
            <w:gridSpan w:val="2"/>
          </w:tcPr>
          <w:p w:rsidR="0063033D" w:rsidRPr="00644BAE"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Thailand</w:t>
            </w:r>
          </w:p>
        </w:tc>
        <w:tc>
          <w:tcPr>
            <w:tcW w:w="4820" w:type="dxa"/>
            <w:gridSpan w:val="4"/>
          </w:tcPr>
          <w:p w:rsidR="0063033D" w:rsidRPr="00644BAE" w:rsidRDefault="0063033D" w:rsidP="008D1891">
            <w:pPr>
              <w:spacing w:before="120" w:after="120"/>
              <w:rPr>
                <w:rFonts w:cs="Arial"/>
                <w:color w:val="000000"/>
                <w:sz w:val="16"/>
                <w:szCs w:val="16"/>
              </w:rPr>
            </w:pPr>
            <w:r>
              <w:rPr>
                <w:rFonts w:eastAsia="Calibri" w:cs="Arial"/>
                <w:sz w:val="16"/>
                <w:szCs w:val="16"/>
              </w:rPr>
              <w:t>To train professionals to: (</w:t>
            </w:r>
            <w:proofErr w:type="spellStart"/>
            <w:r>
              <w:rPr>
                <w:rFonts w:eastAsia="Calibri" w:cs="Arial"/>
                <w:sz w:val="16"/>
                <w:szCs w:val="16"/>
              </w:rPr>
              <w:t>i</w:t>
            </w:r>
            <w:proofErr w:type="spellEnd"/>
            <w:r>
              <w:rPr>
                <w:rFonts w:eastAsia="Calibri" w:cs="Arial"/>
                <w:sz w:val="16"/>
                <w:szCs w:val="16"/>
              </w:rPr>
              <w:t>) use the patent system as a part of their IP commercialization strategy; (ii) provide support to patent attorneys in drafting patent claims regarding specific technologies: and (iii) understand the advantages of PCT filing.</w:t>
            </w:r>
          </w:p>
        </w:tc>
      </w:tr>
      <w:tr w:rsidR="0063033D" w:rsidRPr="00644BAE" w:rsidTr="008D1891">
        <w:trPr>
          <w:cantSplit/>
          <w:trHeight w:val="1167"/>
        </w:trPr>
        <w:tc>
          <w:tcPr>
            <w:tcW w:w="1843" w:type="dxa"/>
          </w:tcPr>
          <w:p w:rsidR="0063033D" w:rsidRPr="00644BAE" w:rsidRDefault="0063033D" w:rsidP="008D1891">
            <w:pPr>
              <w:spacing w:before="120" w:after="120"/>
              <w:rPr>
                <w:rFonts w:cs="Arial"/>
                <w:color w:val="000000"/>
                <w:sz w:val="16"/>
                <w:szCs w:val="16"/>
              </w:rPr>
            </w:pPr>
            <w:r w:rsidRPr="0069036E">
              <w:rPr>
                <w:rFonts w:cs="Arial"/>
                <w:sz w:val="16"/>
                <w:szCs w:val="16"/>
              </w:rPr>
              <w:t>WIPO / FIT Australia National Training Program on Advanced Successful Technology Licensing (STL)</w:t>
            </w:r>
          </w:p>
        </w:tc>
        <w:tc>
          <w:tcPr>
            <w:tcW w:w="1134" w:type="dxa"/>
          </w:tcPr>
          <w:p w:rsidR="0063033D" w:rsidRPr="00644BAE" w:rsidRDefault="0063033D" w:rsidP="008D1891">
            <w:pPr>
              <w:spacing w:before="120" w:after="120"/>
              <w:rPr>
                <w:rFonts w:cs="Arial"/>
                <w:color w:val="000000"/>
                <w:sz w:val="16"/>
                <w:szCs w:val="16"/>
              </w:rPr>
            </w:pPr>
            <w:r>
              <w:rPr>
                <w:rFonts w:cs="Arial"/>
                <w:color w:val="000000"/>
                <w:sz w:val="16"/>
                <w:szCs w:val="16"/>
              </w:rPr>
              <w:t>September 1 to 4, 2014</w:t>
            </w:r>
          </w:p>
        </w:tc>
        <w:tc>
          <w:tcPr>
            <w:tcW w:w="1559" w:type="dxa"/>
            <w:gridSpan w:val="2"/>
          </w:tcPr>
          <w:p w:rsidR="0063033D" w:rsidRPr="00644BAE"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Philippines</w:t>
            </w:r>
          </w:p>
        </w:tc>
        <w:tc>
          <w:tcPr>
            <w:tcW w:w="4820" w:type="dxa"/>
            <w:gridSpan w:val="4"/>
          </w:tcPr>
          <w:p w:rsidR="0063033D" w:rsidRPr="00644BAE" w:rsidRDefault="0063033D" w:rsidP="008D1891">
            <w:pPr>
              <w:spacing w:before="120" w:after="120"/>
              <w:rPr>
                <w:rFonts w:cs="Arial"/>
                <w:color w:val="000000"/>
                <w:sz w:val="16"/>
                <w:szCs w:val="16"/>
              </w:rPr>
            </w:pPr>
            <w:r>
              <w:rPr>
                <w:rFonts w:eastAsia="Calibri" w:cs="Arial"/>
                <w:sz w:val="16"/>
                <w:szCs w:val="16"/>
              </w:rPr>
              <w:t xml:space="preserve">To provide advanced training </w:t>
            </w:r>
            <w:r w:rsidRPr="0069036E">
              <w:rPr>
                <w:rFonts w:eastAsia="Calibri" w:cs="Arial"/>
                <w:sz w:val="16"/>
                <w:szCs w:val="16"/>
              </w:rPr>
              <w:t>in th</w:t>
            </w:r>
            <w:r>
              <w:rPr>
                <w:rFonts w:eastAsia="Calibri" w:cs="Arial"/>
                <w:sz w:val="16"/>
                <w:szCs w:val="16"/>
              </w:rPr>
              <w:t>e area of IP licensing to national experts</w:t>
            </w:r>
            <w:r w:rsidRPr="0069036E">
              <w:rPr>
                <w:rFonts w:eastAsia="Calibri" w:cs="Arial"/>
                <w:sz w:val="16"/>
                <w:szCs w:val="16"/>
              </w:rPr>
              <w:t xml:space="preserve"> who attended the basic STL course under t</w:t>
            </w:r>
            <w:r>
              <w:rPr>
                <w:rFonts w:eastAsia="Calibri" w:cs="Arial"/>
                <w:sz w:val="16"/>
                <w:szCs w:val="16"/>
              </w:rPr>
              <w:t xml:space="preserve">he FIT Australia program in order to </w:t>
            </w:r>
            <w:r w:rsidRPr="0069036E">
              <w:rPr>
                <w:rFonts w:eastAsia="Calibri" w:cs="Arial"/>
                <w:sz w:val="16"/>
                <w:szCs w:val="16"/>
              </w:rPr>
              <w:t xml:space="preserve">upgrade their knowledge to the level that </w:t>
            </w:r>
            <w:r>
              <w:rPr>
                <w:rFonts w:eastAsia="Calibri" w:cs="Arial"/>
                <w:sz w:val="16"/>
                <w:szCs w:val="16"/>
              </w:rPr>
              <w:t xml:space="preserve">at which </w:t>
            </w:r>
            <w:r w:rsidRPr="0069036E">
              <w:rPr>
                <w:rFonts w:eastAsia="Calibri" w:cs="Arial"/>
                <w:sz w:val="16"/>
                <w:szCs w:val="16"/>
              </w:rPr>
              <w:t>they can significantly contribute to licensing negotiation</w:t>
            </w:r>
            <w:r>
              <w:rPr>
                <w:rFonts w:eastAsia="Calibri" w:cs="Arial"/>
                <w:sz w:val="16"/>
                <w:szCs w:val="16"/>
              </w:rPr>
              <w:t xml:space="preserve">s. </w:t>
            </w:r>
          </w:p>
        </w:tc>
      </w:tr>
      <w:tr w:rsidR="0063033D" w:rsidRPr="00644BAE" w:rsidTr="008D1891">
        <w:trPr>
          <w:cantSplit/>
          <w:trHeight w:val="315"/>
        </w:trPr>
        <w:tc>
          <w:tcPr>
            <w:tcW w:w="1843" w:type="dxa"/>
          </w:tcPr>
          <w:p w:rsidR="0063033D" w:rsidRPr="00644BAE" w:rsidRDefault="0063033D" w:rsidP="008D1891">
            <w:pPr>
              <w:spacing w:before="120" w:after="120"/>
              <w:rPr>
                <w:rFonts w:cs="Arial"/>
                <w:color w:val="000000"/>
                <w:sz w:val="16"/>
                <w:szCs w:val="16"/>
              </w:rPr>
            </w:pPr>
            <w:r w:rsidRPr="00C94E59">
              <w:rPr>
                <w:rFonts w:eastAsia="Calibri" w:cs="Arial"/>
                <w:sz w:val="16"/>
                <w:szCs w:val="16"/>
              </w:rPr>
              <w:t xml:space="preserve">WIPO Regional Training on IPR Management in Research and Development (R&amp;D) Institutions from </w:t>
            </w:r>
            <w:r>
              <w:rPr>
                <w:rFonts w:eastAsia="Calibri" w:cs="Arial"/>
                <w:sz w:val="16"/>
                <w:szCs w:val="16"/>
              </w:rPr>
              <w:t xml:space="preserve">the </w:t>
            </w:r>
            <w:proofErr w:type="spellStart"/>
            <w:r w:rsidRPr="00C94E59">
              <w:rPr>
                <w:rFonts w:eastAsia="Calibri" w:cs="Arial"/>
                <w:sz w:val="16"/>
                <w:szCs w:val="16"/>
              </w:rPr>
              <w:t>Re:Search</w:t>
            </w:r>
            <w:proofErr w:type="spellEnd"/>
            <w:r w:rsidRPr="00C94E59">
              <w:rPr>
                <w:rFonts w:eastAsia="Calibri" w:cs="Arial"/>
                <w:sz w:val="16"/>
                <w:szCs w:val="16"/>
              </w:rPr>
              <w:t xml:space="preserve"> Network</w:t>
            </w:r>
          </w:p>
        </w:tc>
        <w:tc>
          <w:tcPr>
            <w:tcW w:w="1134" w:type="dxa"/>
          </w:tcPr>
          <w:p w:rsidR="0063033D" w:rsidRPr="00644BAE" w:rsidRDefault="0063033D" w:rsidP="008D1891">
            <w:pPr>
              <w:spacing w:before="120" w:after="120"/>
              <w:rPr>
                <w:rFonts w:cs="Arial"/>
                <w:color w:val="000000"/>
                <w:sz w:val="16"/>
                <w:szCs w:val="16"/>
              </w:rPr>
            </w:pPr>
            <w:r>
              <w:rPr>
                <w:rFonts w:cs="Arial"/>
                <w:sz w:val="16"/>
                <w:szCs w:val="16"/>
              </w:rPr>
              <w:t>November 4 to 5, 2014</w:t>
            </w:r>
          </w:p>
        </w:tc>
        <w:tc>
          <w:tcPr>
            <w:tcW w:w="1559" w:type="dxa"/>
            <w:gridSpan w:val="2"/>
          </w:tcPr>
          <w:p w:rsidR="0063033D" w:rsidRPr="00644BAE" w:rsidRDefault="0063033D" w:rsidP="008D1891">
            <w:pPr>
              <w:autoSpaceDE w:val="0"/>
              <w:autoSpaceDN w:val="0"/>
              <w:adjustRightInd w:val="0"/>
              <w:spacing w:before="120" w:after="120"/>
              <w:rPr>
                <w:rFonts w:cs="Arial"/>
                <w:color w:val="000000"/>
                <w:sz w:val="16"/>
                <w:szCs w:val="16"/>
              </w:rPr>
            </w:pPr>
            <w:r>
              <w:rPr>
                <w:rFonts w:cs="Arial"/>
                <w:sz w:val="16"/>
                <w:szCs w:val="16"/>
              </w:rPr>
              <w:t xml:space="preserve">New York, USA/ </w:t>
            </w:r>
            <w:r w:rsidRPr="006E2376">
              <w:rPr>
                <w:rFonts w:cs="Arial"/>
                <w:sz w:val="16"/>
                <w:szCs w:val="16"/>
              </w:rPr>
              <w:t>Cameroon, Egypt, Ghana, Mali</w:t>
            </w:r>
            <w:r>
              <w:rPr>
                <w:rFonts w:cs="Arial"/>
                <w:sz w:val="16"/>
                <w:szCs w:val="16"/>
              </w:rPr>
              <w:t>,</w:t>
            </w:r>
            <w:r w:rsidRPr="006E2376">
              <w:rPr>
                <w:rFonts w:cs="Arial"/>
                <w:sz w:val="16"/>
                <w:szCs w:val="16"/>
              </w:rPr>
              <w:t xml:space="preserve"> Mauritius, Nigeria and Tunisia</w:t>
            </w:r>
          </w:p>
        </w:tc>
        <w:tc>
          <w:tcPr>
            <w:tcW w:w="4820" w:type="dxa"/>
            <w:gridSpan w:val="4"/>
          </w:tcPr>
          <w:p w:rsidR="0063033D" w:rsidRPr="00644BAE" w:rsidRDefault="0063033D" w:rsidP="008D1891">
            <w:pPr>
              <w:spacing w:before="120" w:after="120"/>
              <w:rPr>
                <w:rFonts w:cs="Arial"/>
                <w:color w:val="000000"/>
                <w:sz w:val="16"/>
                <w:szCs w:val="16"/>
              </w:rPr>
            </w:pPr>
            <w:r>
              <w:rPr>
                <w:rFonts w:eastAsia="Calibri" w:cs="Arial"/>
                <w:sz w:val="16"/>
                <w:szCs w:val="16"/>
              </w:rPr>
              <w:t>To:  (</w:t>
            </w:r>
            <w:proofErr w:type="spellStart"/>
            <w:r>
              <w:rPr>
                <w:rFonts w:eastAsia="Calibri" w:cs="Arial"/>
                <w:sz w:val="16"/>
                <w:szCs w:val="16"/>
              </w:rPr>
              <w:t>i</w:t>
            </w:r>
            <w:proofErr w:type="spellEnd"/>
            <w:r>
              <w:rPr>
                <w:rFonts w:eastAsia="Calibri" w:cs="Arial"/>
                <w:sz w:val="16"/>
                <w:szCs w:val="16"/>
              </w:rPr>
              <w:t>) raise the awareness of</w:t>
            </w:r>
            <w:r w:rsidRPr="00C94E59">
              <w:rPr>
                <w:rFonts w:eastAsia="Calibri" w:cs="Arial"/>
                <w:sz w:val="16"/>
                <w:szCs w:val="16"/>
              </w:rPr>
              <w:t xml:space="preserve"> R&amp;D Institutions from the African Network for Drugs and Diagnostics (ANDI)</w:t>
            </w:r>
            <w:r>
              <w:rPr>
                <w:rFonts w:eastAsia="Calibri" w:cs="Arial"/>
                <w:sz w:val="16"/>
                <w:szCs w:val="16"/>
              </w:rPr>
              <w:t xml:space="preserve"> about the importance of</w:t>
            </w:r>
            <w:r w:rsidRPr="00C94E59">
              <w:rPr>
                <w:rFonts w:eastAsia="Calibri" w:cs="Arial"/>
                <w:sz w:val="16"/>
                <w:szCs w:val="16"/>
              </w:rPr>
              <w:t xml:space="preserve"> institutional IPR management policies and organizational infrastructure in order to systematically create and strategically manage their IP</w:t>
            </w:r>
            <w:r>
              <w:rPr>
                <w:rFonts w:eastAsia="Calibri" w:cs="Arial"/>
                <w:sz w:val="16"/>
                <w:szCs w:val="16"/>
              </w:rPr>
              <w:t>; and (ii) provide them with concrete training on how to develop IP institutional policies for their institutions</w:t>
            </w:r>
            <w:r w:rsidRPr="00C94E59">
              <w:rPr>
                <w:rFonts w:eastAsia="Calibri" w:cs="Arial"/>
                <w:sz w:val="16"/>
                <w:szCs w:val="16"/>
              </w:rPr>
              <w:t>.</w:t>
            </w:r>
          </w:p>
        </w:tc>
      </w:tr>
      <w:tr w:rsidR="0063033D" w:rsidRPr="00644BAE" w:rsidTr="008D1891">
        <w:trPr>
          <w:cantSplit/>
          <w:trHeight w:val="315"/>
        </w:trPr>
        <w:tc>
          <w:tcPr>
            <w:tcW w:w="1843" w:type="dxa"/>
          </w:tcPr>
          <w:p w:rsidR="0063033D" w:rsidRPr="00644BAE" w:rsidRDefault="0063033D" w:rsidP="008D1891">
            <w:pPr>
              <w:spacing w:before="120" w:after="120"/>
              <w:rPr>
                <w:rFonts w:cs="Arial"/>
                <w:color w:val="000000"/>
                <w:sz w:val="16"/>
                <w:szCs w:val="16"/>
              </w:rPr>
            </w:pPr>
            <w:r w:rsidRPr="00C94E59">
              <w:rPr>
                <w:rFonts w:eastAsia="Calibri" w:cs="Arial"/>
                <w:sz w:val="16"/>
                <w:szCs w:val="16"/>
              </w:rPr>
              <w:t>WIPO / FIT Australia Patent Drafting Training of Trainers Program</w:t>
            </w:r>
          </w:p>
        </w:tc>
        <w:tc>
          <w:tcPr>
            <w:tcW w:w="1134" w:type="dxa"/>
          </w:tcPr>
          <w:p w:rsidR="0063033D" w:rsidRPr="00644BAE" w:rsidRDefault="0063033D" w:rsidP="008D1891">
            <w:pPr>
              <w:spacing w:before="120" w:after="120"/>
              <w:rPr>
                <w:rFonts w:cs="Arial"/>
                <w:color w:val="000000"/>
                <w:sz w:val="16"/>
                <w:szCs w:val="16"/>
              </w:rPr>
            </w:pPr>
            <w:r>
              <w:rPr>
                <w:rFonts w:cs="Arial"/>
                <w:sz w:val="16"/>
                <w:szCs w:val="16"/>
              </w:rPr>
              <w:t>November 11 to 14, 2014</w:t>
            </w:r>
          </w:p>
        </w:tc>
        <w:tc>
          <w:tcPr>
            <w:tcW w:w="1559" w:type="dxa"/>
            <w:gridSpan w:val="2"/>
          </w:tcPr>
          <w:p w:rsidR="0063033D" w:rsidRPr="00644BAE" w:rsidRDefault="0063033D" w:rsidP="008D1891">
            <w:pPr>
              <w:autoSpaceDE w:val="0"/>
              <w:autoSpaceDN w:val="0"/>
              <w:adjustRightInd w:val="0"/>
              <w:spacing w:before="120" w:after="120"/>
              <w:rPr>
                <w:rFonts w:cs="Arial"/>
                <w:color w:val="000000"/>
                <w:sz w:val="16"/>
                <w:szCs w:val="16"/>
              </w:rPr>
            </w:pPr>
            <w:r>
              <w:rPr>
                <w:rFonts w:cs="Arial"/>
                <w:sz w:val="16"/>
                <w:szCs w:val="16"/>
              </w:rPr>
              <w:t>Viet Nam</w:t>
            </w:r>
          </w:p>
        </w:tc>
        <w:tc>
          <w:tcPr>
            <w:tcW w:w="4820" w:type="dxa"/>
            <w:gridSpan w:val="4"/>
          </w:tcPr>
          <w:p w:rsidR="0063033D" w:rsidRPr="00644BAE" w:rsidRDefault="0063033D" w:rsidP="008D1891">
            <w:pPr>
              <w:spacing w:before="120" w:after="120"/>
              <w:rPr>
                <w:rFonts w:cs="Arial"/>
                <w:color w:val="000000"/>
                <w:sz w:val="16"/>
                <w:szCs w:val="16"/>
              </w:rPr>
            </w:pPr>
            <w:r>
              <w:rPr>
                <w:rFonts w:eastAsia="Calibri" w:cs="Arial"/>
                <w:sz w:val="16"/>
                <w:szCs w:val="16"/>
              </w:rPr>
              <w:t>To enhance capacity of</w:t>
            </w:r>
            <w:r w:rsidRPr="00C94E59">
              <w:rPr>
                <w:rFonts w:eastAsia="Calibri" w:cs="Arial"/>
                <w:sz w:val="16"/>
                <w:szCs w:val="16"/>
              </w:rPr>
              <w:t xml:space="preserve"> trainees</w:t>
            </w:r>
            <w:r>
              <w:rPr>
                <w:rFonts w:eastAsia="Calibri" w:cs="Arial"/>
                <w:sz w:val="16"/>
                <w:szCs w:val="16"/>
              </w:rPr>
              <w:t xml:space="preserve"> through a train-the-trainer course</w:t>
            </w:r>
            <w:r w:rsidRPr="00C94E59">
              <w:rPr>
                <w:rFonts w:eastAsia="Calibri" w:cs="Arial"/>
                <w:sz w:val="16"/>
                <w:szCs w:val="16"/>
              </w:rPr>
              <w:t xml:space="preserve"> to organize and deliver future “Patent Drafting Workshops” in Vietnamese</w:t>
            </w:r>
            <w:r>
              <w:rPr>
                <w:rFonts w:cs="Arial"/>
                <w:sz w:val="16"/>
                <w:szCs w:val="16"/>
              </w:rPr>
              <w:t>, so that already provided capacity building programs will have more sustainable impact.</w:t>
            </w:r>
          </w:p>
        </w:tc>
      </w:tr>
      <w:tr w:rsidR="0063033D" w:rsidRPr="00644BAE" w:rsidTr="008D1891">
        <w:trPr>
          <w:cantSplit/>
          <w:trHeight w:val="315"/>
        </w:trPr>
        <w:tc>
          <w:tcPr>
            <w:tcW w:w="1843" w:type="dxa"/>
          </w:tcPr>
          <w:p w:rsidR="0063033D" w:rsidRPr="00644BAE" w:rsidRDefault="0063033D" w:rsidP="008D1891">
            <w:pPr>
              <w:spacing w:before="120" w:after="120"/>
              <w:rPr>
                <w:rFonts w:cs="Arial"/>
                <w:color w:val="000000"/>
                <w:sz w:val="16"/>
                <w:szCs w:val="16"/>
              </w:rPr>
            </w:pPr>
            <w:r w:rsidRPr="00253469">
              <w:rPr>
                <w:rFonts w:cs="Arial"/>
                <w:sz w:val="16"/>
                <w:szCs w:val="16"/>
              </w:rPr>
              <w:t>WIPO / FIT Australia National Workshop on Successful Technology Licensing (STL)</w:t>
            </w:r>
          </w:p>
        </w:tc>
        <w:tc>
          <w:tcPr>
            <w:tcW w:w="1134" w:type="dxa"/>
          </w:tcPr>
          <w:p w:rsidR="0063033D" w:rsidRPr="00644BAE" w:rsidRDefault="0063033D" w:rsidP="008D1891">
            <w:pPr>
              <w:spacing w:before="120" w:after="120"/>
              <w:rPr>
                <w:rFonts w:cs="Arial"/>
                <w:color w:val="000000"/>
                <w:sz w:val="16"/>
                <w:szCs w:val="16"/>
              </w:rPr>
            </w:pPr>
            <w:r>
              <w:rPr>
                <w:rFonts w:cs="Arial"/>
                <w:sz w:val="16"/>
                <w:szCs w:val="16"/>
              </w:rPr>
              <w:t>December 15 to 19, 2014</w:t>
            </w:r>
          </w:p>
        </w:tc>
        <w:tc>
          <w:tcPr>
            <w:tcW w:w="1559" w:type="dxa"/>
            <w:gridSpan w:val="2"/>
          </w:tcPr>
          <w:p w:rsidR="0063033D" w:rsidRPr="00644BAE" w:rsidRDefault="0063033D" w:rsidP="008D1891">
            <w:pPr>
              <w:autoSpaceDE w:val="0"/>
              <w:autoSpaceDN w:val="0"/>
              <w:adjustRightInd w:val="0"/>
              <w:spacing w:before="120" w:after="120"/>
              <w:rPr>
                <w:rFonts w:cs="Arial"/>
                <w:color w:val="000000"/>
                <w:sz w:val="16"/>
                <w:szCs w:val="16"/>
              </w:rPr>
            </w:pPr>
            <w:r>
              <w:rPr>
                <w:rFonts w:cs="Arial"/>
                <w:sz w:val="16"/>
                <w:szCs w:val="16"/>
              </w:rPr>
              <w:t>Viet Nam</w:t>
            </w:r>
          </w:p>
        </w:tc>
        <w:tc>
          <w:tcPr>
            <w:tcW w:w="4820" w:type="dxa"/>
            <w:gridSpan w:val="4"/>
          </w:tcPr>
          <w:p w:rsidR="0063033D" w:rsidRPr="00644BAE" w:rsidRDefault="0063033D" w:rsidP="008D1891">
            <w:pPr>
              <w:spacing w:before="120" w:after="120"/>
              <w:rPr>
                <w:rFonts w:cs="Arial"/>
                <w:color w:val="000000"/>
                <w:sz w:val="16"/>
                <w:szCs w:val="16"/>
              </w:rPr>
            </w:pPr>
            <w:r>
              <w:rPr>
                <w:rFonts w:eastAsia="Calibri" w:cs="Arial"/>
                <w:sz w:val="16"/>
                <w:szCs w:val="16"/>
              </w:rPr>
              <w:t>Participants acquired knowledge of how to use</w:t>
            </w:r>
            <w:r w:rsidRPr="007536B3">
              <w:rPr>
                <w:rFonts w:eastAsia="Calibri" w:cs="Arial"/>
                <w:sz w:val="16"/>
                <w:szCs w:val="16"/>
              </w:rPr>
              <w:t xml:space="preserve"> licensing agreement</w:t>
            </w:r>
            <w:r>
              <w:rPr>
                <w:rFonts w:eastAsia="Calibri" w:cs="Arial"/>
                <w:sz w:val="16"/>
                <w:szCs w:val="16"/>
              </w:rPr>
              <w:t>s</w:t>
            </w:r>
            <w:r w:rsidRPr="007536B3">
              <w:rPr>
                <w:rFonts w:eastAsia="Calibri" w:cs="Arial"/>
                <w:sz w:val="16"/>
                <w:szCs w:val="16"/>
              </w:rPr>
              <w:t xml:space="preserve"> as a tool </w:t>
            </w:r>
            <w:r>
              <w:rPr>
                <w:rFonts w:eastAsia="Calibri" w:cs="Arial"/>
                <w:sz w:val="16"/>
                <w:szCs w:val="16"/>
              </w:rPr>
              <w:t xml:space="preserve">to </w:t>
            </w:r>
            <w:r w:rsidRPr="007536B3">
              <w:rPr>
                <w:rFonts w:eastAsia="Calibri" w:cs="Arial"/>
                <w:sz w:val="16"/>
                <w:szCs w:val="16"/>
              </w:rPr>
              <w:t>transfer technology</w:t>
            </w:r>
            <w:r>
              <w:rPr>
                <w:rFonts w:eastAsia="Calibri" w:cs="Arial"/>
                <w:sz w:val="16"/>
                <w:szCs w:val="16"/>
              </w:rPr>
              <w:t>, to identify benefits and risks in licensing negotiations and to be able to contribute to licensing negotiations</w:t>
            </w:r>
            <w:r w:rsidRPr="00253469">
              <w:rPr>
                <w:rFonts w:cs="Arial"/>
                <w:sz w:val="16"/>
                <w:szCs w:val="16"/>
              </w:rPr>
              <w:t>.</w:t>
            </w:r>
          </w:p>
        </w:tc>
      </w:tr>
      <w:tr w:rsidR="0063033D" w:rsidRPr="00644BAE" w:rsidTr="008D1891">
        <w:trPr>
          <w:cantSplit/>
          <w:trHeight w:val="315"/>
        </w:trPr>
        <w:tc>
          <w:tcPr>
            <w:tcW w:w="1843" w:type="dxa"/>
          </w:tcPr>
          <w:p w:rsidR="0063033D" w:rsidRPr="00644BAE" w:rsidRDefault="0063033D" w:rsidP="008D1891">
            <w:pPr>
              <w:spacing w:before="120" w:after="120"/>
              <w:rPr>
                <w:rFonts w:cs="Arial"/>
                <w:color w:val="000000"/>
                <w:sz w:val="16"/>
                <w:szCs w:val="16"/>
              </w:rPr>
            </w:pPr>
            <w:r>
              <w:rPr>
                <w:rFonts w:cs="Arial"/>
                <w:color w:val="000000"/>
                <w:sz w:val="16"/>
                <w:szCs w:val="16"/>
              </w:rPr>
              <w:t>‘Tool Box’ – Models of Institutional Legal Infrastructure for Knowledge Transfer</w:t>
            </w:r>
          </w:p>
        </w:tc>
        <w:tc>
          <w:tcPr>
            <w:tcW w:w="1134" w:type="dxa"/>
          </w:tcPr>
          <w:p w:rsidR="0063033D" w:rsidRPr="00644BAE" w:rsidRDefault="0063033D" w:rsidP="008D1891">
            <w:pPr>
              <w:spacing w:before="120" w:after="120"/>
              <w:rPr>
                <w:rFonts w:cs="Arial"/>
                <w:color w:val="000000"/>
                <w:sz w:val="16"/>
                <w:szCs w:val="16"/>
              </w:rPr>
            </w:pPr>
            <w:r>
              <w:rPr>
                <w:rFonts w:cs="Arial"/>
                <w:color w:val="000000"/>
                <w:sz w:val="16"/>
                <w:szCs w:val="16"/>
              </w:rPr>
              <w:t>Ongoing throughout the year</w:t>
            </w:r>
          </w:p>
        </w:tc>
        <w:tc>
          <w:tcPr>
            <w:tcW w:w="1559" w:type="dxa"/>
            <w:gridSpan w:val="2"/>
          </w:tcPr>
          <w:p w:rsidR="0063033D" w:rsidRPr="00644BAE" w:rsidRDefault="0063033D" w:rsidP="008D1891">
            <w:pPr>
              <w:autoSpaceDE w:val="0"/>
              <w:autoSpaceDN w:val="0"/>
              <w:adjustRightInd w:val="0"/>
              <w:spacing w:before="120" w:after="120"/>
              <w:rPr>
                <w:rFonts w:cs="Arial"/>
                <w:color w:val="000000"/>
                <w:sz w:val="16"/>
                <w:szCs w:val="16"/>
              </w:rPr>
            </w:pPr>
            <w:r w:rsidRPr="0069036E">
              <w:rPr>
                <w:rFonts w:eastAsia="Calibri" w:cs="Arial"/>
                <w:sz w:val="16"/>
                <w:szCs w:val="16"/>
              </w:rPr>
              <w:t>LDCs and developing countries, in particular in the Asian region</w:t>
            </w:r>
          </w:p>
        </w:tc>
        <w:tc>
          <w:tcPr>
            <w:tcW w:w="4820" w:type="dxa"/>
            <w:gridSpan w:val="4"/>
          </w:tcPr>
          <w:p w:rsidR="0063033D" w:rsidRPr="00644BAE" w:rsidRDefault="0063033D" w:rsidP="008D1891">
            <w:pPr>
              <w:spacing w:before="120" w:after="120"/>
              <w:rPr>
                <w:rFonts w:cs="Arial"/>
                <w:color w:val="000000"/>
                <w:sz w:val="16"/>
                <w:szCs w:val="16"/>
              </w:rPr>
            </w:pPr>
            <w:r>
              <w:rPr>
                <w:rFonts w:eastAsia="Calibri" w:cs="Arial"/>
                <w:sz w:val="16"/>
                <w:szCs w:val="16"/>
              </w:rPr>
              <w:t xml:space="preserve">To deliver a complete training kit in the area of Institutional IPR Policy with models of technology transfer contracts that will support technology management professionals from </w:t>
            </w:r>
            <w:r w:rsidRPr="0069036E">
              <w:rPr>
                <w:rFonts w:eastAsia="Calibri" w:cs="Arial"/>
                <w:sz w:val="16"/>
                <w:szCs w:val="16"/>
              </w:rPr>
              <w:t>LDCs and developing countries, in particular in the Asian region, to develop their legal framework</w:t>
            </w:r>
            <w:r>
              <w:rPr>
                <w:rFonts w:eastAsia="Calibri" w:cs="Arial"/>
                <w:sz w:val="16"/>
                <w:szCs w:val="16"/>
              </w:rPr>
              <w:t>s and infrastructure for e</w:t>
            </w:r>
            <w:r w:rsidRPr="0069036E">
              <w:rPr>
                <w:rFonts w:eastAsia="Calibri" w:cs="Arial"/>
                <w:sz w:val="16"/>
                <w:szCs w:val="16"/>
              </w:rPr>
              <w:t>ffective knowledge transfer</w:t>
            </w:r>
            <w:r>
              <w:rPr>
                <w:rFonts w:eastAsia="Calibri" w:cs="Arial"/>
                <w:sz w:val="16"/>
                <w:szCs w:val="16"/>
              </w:rPr>
              <w:t>.</w:t>
            </w:r>
          </w:p>
        </w:tc>
      </w:tr>
      <w:tr w:rsidR="0063033D" w:rsidRPr="00644BAE" w:rsidTr="008D1891">
        <w:trPr>
          <w:cantSplit/>
          <w:trHeight w:val="315"/>
        </w:trPr>
        <w:tc>
          <w:tcPr>
            <w:tcW w:w="1843" w:type="dxa"/>
          </w:tcPr>
          <w:p w:rsidR="0063033D" w:rsidRPr="00644BAE" w:rsidRDefault="0063033D" w:rsidP="008D1891">
            <w:pPr>
              <w:spacing w:before="120" w:after="120"/>
              <w:rPr>
                <w:rFonts w:cs="Arial"/>
                <w:color w:val="000000"/>
                <w:sz w:val="16"/>
                <w:szCs w:val="16"/>
              </w:rPr>
            </w:pPr>
            <w:r>
              <w:rPr>
                <w:rFonts w:cs="Arial"/>
                <w:color w:val="000000"/>
                <w:sz w:val="16"/>
                <w:szCs w:val="16"/>
              </w:rPr>
              <w:t>Translation of WIPO Patent Drafting Manual in Vietnamese</w:t>
            </w:r>
          </w:p>
        </w:tc>
        <w:tc>
          <w:tcPr>
            <w:tcW w:w="1134" w:type="dxa"/>
          </w:tcPr>
          <w:p w:rsidR="0063033D" w:rsidRPr="00644BAE" w:rsidRDefault="0063033D" w:rsidP="008D1891">
            <w:pPr>
              <w:spacing w:before="120" w:after="120"/>
              <w:rPr>
                <w:rFonts w:cs="Arial"/>
                <w:color w:val="000000"/>
                <w:sz w:val="16"/>
                <w:szCs w:val="16"/>
              </w:rPr>
            </w:pPr>
            <w:r>
              <w:rPr>
                <w:rFonts w:cs="Arial"/>
                <w:color w:val="000000"/>
                <w:sz w:val="16"/>
                <w:szCs w:val="16"/>
              </w:rPr>
              <w:t>June 2014</w:t>
            </w:r>
          </w:p>
        </w:tc>
        <w:tc>
          <w:tcPr>
            <w:tcW w:w="1559" w:type="dxa"/>
            <w:gridSpan w:val="2"/>
          </w:tcPr>
          <w:p w:rsidR="0063033D" w:rsidRPr="00644BAE"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Viet Nam</w:t>
            </w:r>
          </w:p>
        </w:tc>
        <w:tc>
          <w:tcPr>
            <w:tcW w:w="4820" w:type="dxa"/>
            <w:gridSpan w:val="4"/>
          </w:tcPr>
          <w:p w:rsidR="0063033D" w:rsidRPr="00644BAE" w:rsidRDefault="0063033D" w:rsidP="008D1891">
            <w:pPr>
              <w:spacing w:before="120" w:after="120"/>
              <w:rPr>
                <w:rFonts w:cs="Arial"/>
                <w:color w:val="000000"/>
                <w:sz w:val="16"/>
                <w:szCs w:val="16"/>
              </w:rPr>
            </w:pPr>
            <w:r>
              <w:rPr>
                <w:rFonts w:cs="Arial"/>
                <w:color w:val="000000"/>
                <w:sz w:val="16"/>
                <w:szCs w:val="16"/>
              </w:rPr>
              <w:t>The WIPO Patent Drafting Manual was printed in Vietnamese to enable: (</w:t>
            </w:r>
            <w:proofErr w:type="spellStart"/>
            <w:r>
              <w:rPr>
                <w:rFonts w:cs="Arial"/>
                <w:color w:val="000000"/>
                <w:sz w:val="16"/>
                <w:szCs w:val="16"/>
              </w:rPr>
              <w:t>i</w:t>
            </w:r>
            <w:proofErr w:type="spellEnd"/>
            <w:r>
              <w:rPr>
                <w:rFonts w:cs="Arial"/>
                <w:color w:val="000000"/>
                <w:sz w:val="16"/>
                <w:szCs w:val="16"/>
              </w:rPr>
              <w:t>) further dissemination of knowledge in the national language through train- the- trainer courses; and (ii) more sustainable impact of WIPO/FIT Australia capacity building programs in the area of Patent Strategy and Patent Drafting.</w:t>
            </w:r>
          </w:p>
        </w:tc>
      </w:tr>
    </w:tbl>
    <w:p w:rsidR="0063033D" w:rsidRDefault="0063033D" w:rsidP="008D1891">
      <w:pPr>
        <w:tabs>
          <w:tab w:val="left" w:pos="0"/>
          <w:tab w:val="left" w:pos="9071"/>
        </w:tabs>
        <w:rPr>
          <w:rFonts w:cs="Arial"/>
          <w:b/>
          <w:sz w:val="18"/>
          <w:szCs w:val="18"/>
        </w:rPr>
      </w:pPr>
    </w:p>
    <w:p w:rsidR="0063033D" w:rsidRDefault="0063033D" w:rsidP="008D1891">
      <w:pPr>
        <w:tabs>
          <w:tab w:val="left" w:pos="0"/>
          <w:tab w:val="left" w:pos="9071"/>
        </w:tabs>
        <w:rPr>
          <w:rFonts w:cs="Arial"/>
          <w:b/>
          <w:sz w:val="18"/>
          <w:szCs w:val="18"/>
        </w:rPr>
      </w:pPr>
    </w:p>
    <w:p w:rsidR="0063033D" w:rsidRDefault="0063033D" w:rsidP="008D1891">
      <w:pPr>
        <w:tabs>
          <w:tab w:val="left" w:pos="0"/>
          <w:tab w:val="left" w:pos="9071"/>
        </w:tabs>
        <w:rPr>
          <w:rFonts w:cs="Arial"/>
          <w:b/>
          <w:sz w:val="18"/>
          <w:szCs w:val="18"/>
        </w:rPr>
      </w:pPr>
      <w:r w:rsidRPr="00A015E6">
        <w:rPr>
          <w:rFonts w:cs="Arial"/>
          <w:b/>
          <w:sz w:val="18"/>
          <w:szCs w:val="18"/>
        </w:rPr>
        <w:t>AUSTRALIA Donor Contributions and Expenditure in 201</w:t>
      </w:r>
      <w:r>
        <w:rPr>
          <w:rFonts w:cs="Arial"/>
          <w:b/>
          <w:sz w:val="18"/>
          <w:szCs w:val="18"/>
        </w:rPr>
        <w:t>4</w:t>
      </w:r>
    </w:p>
    <w:p w:rsidR="0063033D" w:rsidRDefault="0063033D" w:rsidP="008D1891">
      <w:pPr>
        <w:tabs>
          <w:tab w:val="left" w:pos="0"/>
          <w:tab w:val="left" w:pos="9071"/>
        </w:tabs>
        <w:rPr>
          <w:rFonts w:cs="Arial"/>
          <w:b/>
          <w:sz w:val="18"/>
          <w:szCs w:val="18"/>
        </w:rPr>
      </w:pPr>
    </w:p>
    <w:tbl>
      <w:tblPr>
        <w:tblW w:w="9087" w:type="dxa"/>
        <w:jc w:val="center"/>
        <w:tblInd w:w="93" w:type="dxa"/>
        <w:tblLook w:val="04A0" w:firstRow="1" w:lastRow="0" w:firstColumn="1" w:lastColumn="0" w:noHBand="0" w:noVBand="1"/>
      </w:tblPr>
      <w:tblGrid>
        <w:gridCol w:w="1920"/>
        <w:gridCol w:w="1600"/>
        <w:gridCol w:w="2000"/>
        <w:gridCol w:w="1860"/>
        <w:gridCol w:w="1707"/>
      </w:tblGrid>
      <w:tr w:rsidR="0063033D" w:rsidTr="008D1891">
        <w:trPr>
          <w:trHeight w:val="578"/>
          <w:jc w:val="center"/>
        </w:trPr>
        <w:tc>
          <w:tcPr>
            <w:tcW w:w="192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2013</w:t>
            </w:r>
          </w:p>
        </w:tc>
        <w:tc>
          <w:tcPr>
            <w:tcW w:w="1600"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Income 2014</w:t>
            </w:r>
          </w:p>
        </w:tc>
        <w:tc>
          <w:tcPr>
            <w:tcW w:w="2000"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Expenditure 2014</w:t>
            </w:r>
          </w:p>
        </w:tc>
        <w:tc>
          <w:tcPr>
            <w:tcW w:w="1860"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Reimbursements</w:t>
            </w:r>
          </w:p>
        </w:tc>
        <w:tc>
          <w:tcPr>
            <w:tcW w:w="1707"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2014</w:t>
            </w:r>
          </w:p>
        </w:tc>
      </w:tr>
      <w:tr w:rsidR="0063033D" w:rsidTr="008D1891">
        <w:trPr>
          <w:trHeight w:val="416"/>
          <w:jc w:val="center"/>
        </w:trPr>
        <w:tc>
          <w:tcPr>
            <w:tcW w:w="1920" w:type="dxa"/>
            <w:tcBorders>
              <w:top w:val="nil"/>
              <w:left w:val="single" w:sz="4" w:space="0" w:color="auto"/>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1,133,310</w:t>
            </w:r>
          </w:p>
        </w:tc>
        <w:tc>
          <w:tcPr>
            <w:tcW w:w="1600"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(189)</w:t>
            </w:r>
          </w:p>
        </w:tc>
        <w:tc>
          <w:tcPr>
            <w:tcW w:w="2000"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639,747</w:t>
            </w:r>
          </w:p>
        </w:tc>
        <w:tc>
          <w:tcPr>
            <w:tcW w:w="1860" w:type="dxa"/>
            <w:tcBorders>
              <w:top w:val="nil"/>
              <w:left w:val="nil"/>
              <w:bottom w:val="single" w:sz="4" w:space="0" w:color="auto"/>
              <w:right w:val="single" w:sz="4" w:space="0" w:color="auto"/>
            </w:tcBorders>
            <w:shd w:val="clear" w:color="auto" w:fill="auto"/>
            <w:noWrap/>
            <w:vAlign w:val="center"/>
            <w:hideMark/>
          </w:tcPr>
          <w:p w:rsidR="0063033D" w:rsidRDefault="0063033D" w:rsidP="008D1891">
            <w:pPr>
              <w:rPr>
                <w:rFonts w:cs="Arial"/>
                <w:color w:val="000000"/>
                <w:szCs w:val="20"/>
              </w:rPr>
            </w:pPr>
            <w:r>
              <w:rPr>
                <w:rFonts w:cs="Arial"/>
                <w:color w:val="000000"/>
                <w:szCs w:val="20"/>
              </w:rPr>
              <w:t>-</w:t>
            </w:r>
          </w:p>
        </w:tc>
        <w:tc>
          <w:tcPr>
            <w:tcW w:w="1707"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493,374</w:t>
            </w:r>
          </w:p>
        </w:tc>
      </w:tr>
    </w:tbl>
    <w:p w:rsidR="0063033D" w:rsidRPr="00A015E6" w:rsidRDefault="0063033D" w:rsidP="008D1891">
      <w:pPr>
        <w:tabs>
          <w:tab w:val="left" w:pos="0"/>
          <w:tab w:val="left" w:pos="9071"/>
        </w:tabs>
        <w:rPr>
          <w:rFonts w:cs="Arial"/>
          <w:b/>
          <w:sz w:val="18"/>
          <w:szCs w:val="18"/>
        </w:rPr>
      </w:pPr>
    </w:p>
    <w:p w:rsidR="0063033D" w:rsidRDefault="0063033D" w:rsidP="008D1891">
      <w:pPr>
        <w:rPr>
          <w:rFonts w:cs="Arial"/>
          <w:b/>
          <w:szCs w:val="20"/>
          <w:highlight w:val="yellow"/>
        </w:rPr>
      </w:pPr>
    </w:p>
    <w:p w:rsidR="0063033D" w:rsidRDefault="0063033D" w:rsidP="008D1891">
      <w:pPr>
        <w:rPr>
          <w:rFonts w:cs="Arial"/>
          <w:b/>
          <w:szCs w:val="20"/>
        </w:rPr>
      </w:pPr>
      <w:r>
        <w:rPr>
          <w:rFonts w:cs="Arial"/>
          <w:b/>
          <w:szCs w:val="20"/>
        </w:rPr>
        <w:br w:type="page"/>
      </w:r>
      <w:r w:rsidRPr="000B4395">
        <w:rPr>
          <w:rFonts w:cs="Arial"/>
          <w:b/>
          <w:szCs w:val="20"/>
        </w:rPr>
        <w:lastRenderedPageBreak/>
        <w:t>BRAZIL</w:t>
      </w:r>
    </w:p>
    <w:p w:rsidR="0063033D" w:rsidRDefault="0063033D" w:rsidP="008D1891">
      <w:pPr>
        <w:rPr>
          <w:rFonts w:cs="Arial"/>
          <w:b/>
          <w:szCs w:val="20"/>
        </w:rPr>
      </w:pP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276"/>
        <w:gridCol w:w="1559"/>
        <w:gridCol w:w="4394"/>
      </w:tblGrid>
      <w:tr w:rsidR="0063033D" w:rsidRPr="00774D44" w:rsidTr="008D1891">
        <w:trPr>
          <w:cantSplit/>
          <w:trHeight w:val="315"/>
        </w:trPr>
        <w:tc>
          <w:tcPr>
            <w:tcW w:w="9072" w:type="dxa"/>
            <w:gridSpan w:val="4"/>
            <w:tcBorders>
              <w:top w:val="single" w:sz="4" w:space="0" w:color="000000"/>
              <w:bottom w:val="single" w:sz="4" w:space="0" w:color="000000"/>
            </w:tcBorders>
            <w:shd w:val="clear" w:color="auto" w:fill="CCFFFF"/>
          </w:tcPr>
          <w:p w:rsidR="0063033D" w:rsidRPr="00774D44" w:rsidRDefault="0063033D" w:rsidP="008D1891">
            <w:pPr>
              <w:keepNext/>
              <w:keepLines/>
              <w:tabs>
                <w:tab w:val="left" w:pos="1740"/>
              </w:tabs>
              <w:spacing w:before="120" w:after="120"/>
              <w:ind w:left="1740" w:hanging="1740"/>
              <w:rPr>
                <w:rFonts w:cs="Arial"/>
                <w:color w:val="000000"/>
                <w:sz w:val="16"/>
                <w:szCs w:val="16"/>
              </w:rPr>
            </w:pPr>
            <w:r w:rsidRPr="00712F53">
              <w:rPr>
                <w:rFonts w:cs="Arial"/>
                <w:b/>
                <w:bCs/>
                <w:color w:val="000000"/>
                <w:sz w:val="16"/>
                <w:szCs w:val="16"/>
              </w:rPr>
              <w:t>RESULT</w:t>
            </w:r>
            <w:r w:rsidRPr="00712F53">
              <w:rPr>
                <w:rFonts w:cs="Arial"/>
                <w:bCs/>
                <w:sz w:val="16"/>
                <w:szCs w:val="16"/>
                <w:lang w:val="en-AU"/>
              </w:rPr>
              <w:t>:</w:t>
            </w:r>
            <w:r w:rsidRPr="00712F53">
              <w:rPr>
                <w:rFonts w:cs="Arial"/>
                <w:bCs/>
                <w:sz w:val="16"/>
                <w:szCs w:val="16"/>
                <w:lang w:val="en-AU"/>
              </w:rPr>
              <w:tab/>
            </w:r>
            <w:r w:rsidRPr="009F377C">
              <w:rPr>
                <w:rFonts w:cs="Arial"/>
                <w:bCs/>
                <w:sz w:val="16"/>
                <w:szCs w:val="16"/>
                <w:lang w:val="en-AU"/>
              </w:rPr>
              <w:t>III.2. Enhanced human resource capacities able to deal with the broad range of requirements for the effective use of IP for development in developing countries, LDCs and countries with economies in transition</w:t>
            </w:r>
          </w:p>
        </w:tc>
      </w:tr>
      <w:tr w:rsidR="0063033D" w:rsidRPr="00774D44" w:rsidTr="008D1891">
        <w:trPr>
          <w:cantSplit/>
          <w:trHeight w:val="402"/>
        </w:trPr>
        <w:tc>
          <w:tcPr>
            <w:tcW w:w="1843" w:type="dxa"/>
            <w:tcBorders>
              <w:top w:val="single" w:sz="4" w:space="0" w:color="000000"/>
            </w:tcBorders>
            <w:vAlign w:val="center"/>
          </w:tcPr>
          <w:p w:rsidR="0063033D" w:rsidRPr="002B7DE5" w:rsidRDefault="0063033D" w:rsidP="008D1891">
            <w:pPr>
              <w:keepNext/>
              <w:keepLines/>
              <w:spacing w:before="120" w:after="120"/>
              <w:rPr>
                <w:rFonts w:cs="Arial"/>
                <w:b/>
                <w:bCs/>
                <w:sz w:val="16"/>
                <w:szCs w:val="16"/>
              </w:rPr>
            </w:pPr>
            <w:r w:rsidRPr="002B7DE5">
              <w:rPr>
                <w:rFonts w:cs="Arial"/>
                <w:b/>
                <w:bCs/>
                <w:sz w:val="16"/>
                <w:szCs w:val="16"/>
              </w:rPr>
              <w:t>Activity</w:t>
            </w:r>
          </w:p>
        </w:tc>
        <w:tc>
          <w:tcPr>
            <w:tcW w:w="1276" w:type="dxa"/>
            <w:tcBorders>
              <w:top w:val="single" w:sz="4" w:space="0" w:color="000000"/>
            </w:tcBorders>
            <w:vAlign w:val="center"/>
          </w:tcPr>
          <w:p w:rsidR="0063033D" w:rsidRPr="002B7DE5" w:rsidRDefault="0063033D" w:rsidP="008D1891">
            <w:pPr>
              <w:keepNext/>
              <w:keepLines/>
              <w:spacing w:before="120" w:after="120"/>
              <w:rPr>
                <w:rFonts w:cs="Arial"/>
                <w:sz w:val="16"/>
                <w:szCs w:val="16"/>
              </w:rPr>
            </w:pPr>
            <w:r w:rsidRPr="002B7DE5">
              <w:rPr>
                <w:rFonts w:cs="Arial"/>
                <w:b/>
                <w:bCs/>
                <w:sz w:val="16"/>
                <w:szCs w:val="16"/>
              </w:rPr>
              <w:t>Date</w:t>
            </w:r>
          </w:p>
        </w:tc>
        <w:tc>
          <w:tcPr>
            <w:tcW w:w="1559" w:type="dxa"/>
            <w:tcBorders>
              <w:top w:val="single" w:sz="4" w:space="0" w:color="000000"/>
            </w:tcBorders>
            <w:vAlign w:val="center"/>
          </w:tcPr>
          <w:p w:rsidR="0063033D" w:rsidRPr="002B7DE5" w:rsidRDefault="0063033D" w:rsidP="008D1891">
            <w:pPr>
              <w:keepNext/>
              <w:keepLines/>
              <w:spacing w:before="120" w:after="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000000"/>
            </w:tcBorders>
            <w:vAlign w:val="center"/>
          </w:tcPr>
          <w:p w:rsidR="0063033D" w:rsidRPr="002B7DE5" w:rsidRDefault="0063033D" w:rsidP="008D1891">
            <w:pPr>
              <w:keepNext/>
              <w:keepLines/>
              <w:spacing w:before="120" w:after="120"/>
              <w:rPr>
                <w:rFonts w:cs="Arial"/>
                <w:sz w:val="16"/>
                <w:szCs w:val="16"/>
              </w:rPr>
            </w:pPr>
            <w:r w:rsidRPr="002B7DE5">
              <w:rPr>
                <w:rFonts w:cs="Arial"/>
                <w:b/>
                <w:bCs/>
                <w:sz w:val="16"/>
                <w:szCs w:val="16"/>
              </w:rPr>
              <w:t>Purpose(s)/Description(s)</w:t>
            </w:r>
          </w:p>
        </w:tc>
      </w:tr>
      <w:tr w:rsidR="0063033D" w:rsidRPr="00774D44" w:rsidTr="008D1891">
        <w:trPr>
          <w:cantSplit/>
          <w:trHeight w:val="315"/>
        </w:trPr>
        <w:tc>
          <w:tcPr>
            <w:tcW w:w="1843" w:type="dxa"/>
          </w:tcPr>
          <w:p w:rsidR="0063033D" w:rsidRPr="0003103D" w:rsidRDefault="0063033D" w:rsidP="008D1891">
            <w:pPr>
              <w:autoSpaceDE w:val="0"/>
              <w:autoSpaceDN w:val="0"/>
              <w:adjustRightInd w:val="0"/>
              <w:spacing w:before="120" w:after="120"/>
              <w:rPr>
                <w:rFonts w:cs="Arial"/>
                <w:color w:val="000000"/>
                <w:sz w:val="16"/>
                <w:szCs w:val="16"/>
              </w:rPr>
            </w:pPr>
            <w:r w:rsidRPr="0063717C">
              <w:rPr>
                <w:rFonts w:cs="Arial"/>
                <w:color w:val="000000"/>
                <w:sz w:val="16"/>
                <w:szCs w:val="16"/>
              </w:rPr>
              <w:t>International Conference on Intellectual Property and Innovation in the Information and Communication (ICT) Industry</w:t>
            </w:r>
          </w:p>
        </w:tc>
        <w:tc>
          <w:tcPr>
            <w:tcW w:w="1276" w:type="dxa"/>
          </w:tcPr>
          <w:p w:rsidR="0063033D" w:rsidRPr="0063717C" w:rsidRDefault="0063033D" w:rsidP="008D1891">
            <w:pPr>
              <w:autoSpaceDE w:val="0"/>
              <w:autoSpaceDN w:val="0"/>
              <w:adjustRightInd w:val="0"/>
              <w:spacing w:before="120" w:after="120"/>
              <w:rPr>
                <w:rFonts w:cs="Arial"/>
                <w:color w:val="000000"/>
                <w:sz w:val="16"/>
                <w:szCs w:val="16"/>
              </w:rPr>
            </w:pPr>
            <w:r w:rsidRPr="0063717C">
              <w:rPr>
                <w:rFonts w:cs="Arial"/>
                <w:color w:val="000000"/>
                <w:sz w:val="16"/>
                <w:szCs w:val="16"/>
              </w:rPr>
              <w:t>March 19 and 20, 2014</w:t>
            </w:r>
          </w:p>
          <w:p w:rsidR="0063033D" w:rsidRPr="0003103D" w:rsidRDefault="0063033D" w:rsidP="008D1891">
            <w:pPr>
              <w:autoSpaceDE w:val="0"/>
              <w:autoSpaceDN w:val="0"/>
              <w:adjustRightInd w:val="0"/>
              <w:spacing w:before="120" w:after="120"/>
              <w:rPr>
                <w:rFonts w:cs="Arial"/>
                <w:color w:val="000000"/>
                <w:sz w:val="16"/>
                <w:szCs w:val="16"/>
              </w:rPr>
            </w:pPr>
          </w:p>
        </w:tc>
        <w:tc>
          <w:tcPr>
            <w:tcW w:w="1559" w:type="dxa"/>
          </w:tcPr>
          <w:p w:rsidR="0063033D" w:rsidRPr="00AD445A" w:rsidRDefault="0063033D" w:rsidP="008D1891">
            <w:pPr>
              <w:autoSpaceDE w:val="0"/>
              <w:autoSpaceDN w:val="0"/>
              <w:adjustRightInd w:val="0"/>
              <w:spacing w:before="120" w:after="120"/>
              <w:rPr>
                <w:rFonts w:cs="Arial"/>
                <w:color w:val="000000"/>
                <w:sz w:val="16"/>
                <w:szCs w:val="16"/>
              </w:rPr>
            </w:pPr>
            <w:r w:rsidRPr="00AD445A">
              <w:rPr>
                <w:rFonts w:cs="Arial"/>
                <w:color w:val="000000"/>
                <w:sz w:val="16"/>
                <w:szCs w:val="16"/>
              </w:rPr>
              <w:t>Brazil</w:t>
            </w:r>
          </w:p>
          <w:p w:rsidR="0063033D" w:rsidRPr="00D329F5" w:rsidRDefault="0063033D" w:rsidP="008D1891">
            <w:pPr>
              <w:autoSpaceDE w:val="0"/>
              <w:autoSpaceDN w:val="0"/>
              <w:adjustRightInd w:val="0"/>
              <w:spacing w:before="120" w:after="120"/>
              <w:rPr>
                <w:rFonts w:cs="Arial"/>
                <w:color w:val="000000"/>
                <w:sz w:val="16"/>
                <w:szCs w:val="16"/>
              </w:rPr>
            </w:pPr>
          </w:p>
        </w:tc>
        <w:tc>
          <w:tcPr>
            <w:tcW w:w="4394" w:type="dxa"/>
          </w:tcPr>
          <w:p w:rsidR="0063033D" w:rsidRPr="0063717C" w:rsidRDefault="0063033D" w:rsidP="008D1891">
            <w:pPr>
              <w:autoSpaceDE w:val="0"/>
              <w:autoSpaceDN w:val="0"/>
              <w:adjustRightInd w:val="0"/>
              <w:spacing w:before="120" w:after="120"/>
              <w:rPr>
                <w:rFonts w:cs="Arial"/>
                <w:color w:val="000000"/>
                <w:sz w:val="16"/>
                <w:szCs w:val="16"/>
              </w:rPr>
            </w:pPr>
            <w:r w:rsidRPr="0063717C">
              <w:rPr>
                <w:rFonts w:cs="Arial"/>
                <w:color w:val="000000"/>
                <w:sz w:val="16"/>
                <w:szCs w:val="16"/>
              </w:rPr>
              <w:t>To discuss the importance IP protection for competitiveness of firms of the ICT Sector.</w:t>
            </w:r>
            <w:r>
              <w:rPr>
                <w:rFonts w:cs="Arial"/>
                <w:color w:val="000000"/>
                <w:sz w:val="16"/>
                <w:szCs w:val="16"/>
              </w:rPr>
              <w:t xml:space="preserve"> </w:t>
            </w:r>
            <w:r w:rsidRPr="0063717C">
              <w:rPr>
                <w:rFonts w:cs="Arial"/>
                <w:color w:val="000000"/>
                <w:sz w:val="16"/>
                <w:szCs w:val="16"/>
              </w:rPr>
              <w:t xml:space="preserve"> Economic analysis, policy initiatives and businesses best practices shaped the debates. </w:t>
            </w:r>
          </w:p>
          <w:p w:rsidR="0063033D" w:rsidRPr="0003103D" w:rsidRDefault="0063033D" w:rsidP="008D1891">
            <w:pPr>
              <w:autoSpaceDE w:val="0"/>
              <w:autoSpaceDN w:val="0"/>
              <w:adjustRightInd w:val="0"/>
              <w:spacing w:before="120" w:after="120"/>
              <w:rPr>
                <w:rFonts w:cs="Arial"/>
                <w:color w:val="000000"/>
                <w:sz w:val="16"/>
                <w:szCs w:val="16"/>
              </w:rPr>
            </w:pPr>
          </w:p>
        </w:tc>
      </w:tr>
      <w:tr w:rsidR="0063033D" w:rsidRPr="00774D44" w:rsidTr="008D1891">
        <w:trPr>
          <w:cantSplit/>
          <w:trHeight w:val="315"/>
        </w:trPr>
        <w:tc>
          <w:tcPr>
            <w:tcW w:w="1843"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WIPO Successful Technology Licensing Training Program (STL) for the Biotechnology Sector</w:t>
            </w:r>
          </w:p>
          <w:p w:rsidR="0063033D" w:rsidRDefault="0063033D" w:rsidP="008D1891">
            <w:pPr>
              <w:autoSpaceDE w:val="0"/>
              <w:autoSpaceDN w:val="0"/>
              <w:adjustRightInd w:val="0"/>
              <w:spacing w:before="120" w:after="120"/>
              <w:rPr>
                <w:rFonts w:cs="Arial"/>
                <w:color w:val="000000"/>
                <w:sz w:val="16"/>
                <w:szCs w:val="16"/>
              </w:rPr>
            </w:pPr>
          </w:p>
        </w:tc>
        <w:tc>
          <w:tcPr>
            <w:tcW w:w="1276"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March 31 to April 4, 2014</w:t>
            </w:r>
          </w:p>
          <w:p w:rsidR="0063033D" w:rsidRDefault="0063033D" w:rsidP="008D1891">
            <w:pPr>
              <w:autoSpaceDE w:val="0"/>
              <w:autoSpaceDN w:val="0"/>
              <w:adjustRightInd w:val="0"/>
              <w:spacing w:before="120" w:after="120"/>
              <w:rPr>
                <w:rFonts w:cs="Arial"/>
                <w:color w:val="000000"/>
                <w:sz w:val="16"/>
                <w:szCs w:val="16"/>
              </w:rPr>
            </w:pPr>
          </w:p>
        </w:tc>
        <w:tc>
          <w:tcPr>
            <w:tcW w:w="1559"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Brazil</w:t>
            </w:r>
          </w:p>
          <w:p w:rsidR="0063033D" w:rsidRDefault="0063033D" w:rsidP="008D1891">
            <w:pPr>
              <w:autoSpaceDE w:val="0"/>
              <w:autoSpaceDN w:val="0"/>
              <w:adjustRightInd w:val="0"/>
              <w:spacing w:before="120" w:after="120"/>
              <w:rPr>
                <w:rFonts w:cs="Arial"/>
                <w:color w:val="000000"/>
                <w:sz w:val="16"/>
                <w:szCs w:val="16"/>
              </w:rPr>
            </w:pPr>
          </w:p>
        </w:tc>
        <w:tc>
          <w:tcPr>
            <w:tcW w:w="4394"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To develop competencies in the negotiation and transfer of technology through the establishment of licensing agreements.</w:t>
            </w:r>
          </w:p>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The Program was dedicated to the biotechnology sector and was organized by WIPO in cooperation with the National Institute of Industrial Property (INPI) and the Network of Technology Transfer Offices of the Northeast Region of Brazil.  </w:t>
            </w:r>
          </w:p>
        </w:tc>
      </w:tr>
      <w:tr w:rsidR="0063033D" w:rsidRPr="00774D44" w:rsidTr="008D1891">
        <w:trPr>
          <w:cantSplit/>
          <w:trHeight w:val="315"/>
        </w:trPr>
        <w:tc>
          <w:tcPr>
            <w:tcW w:w="1843"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Conference on the Strategic Use of Intellectual Property by the Sport Industry</w:t>
            </w:r>
          </w:p>
        </w:tc>
        <w:tc>
          <w:tcPr>
            <w:tcW w:w="1276" w:type="dxa"/>
          </w:tcPr>
          <w:p w:rsidR="0063033D" w:rsidRPr="00D329F5" w:rsidRDefault="0063033D" w:rsidP="008D1891">
            <w:pPr>
              <w:autoSpaceDE w:val="0"/>
              <w:autoSpaceDN w:val="0"/>
              <w:adjustRightInd w:val="0"/>
              <w:spacing w:before="120" w:after="120"/>
              <w:rPr>
                <w:rFonts w:cs="Arial"/>
                <w:color w:val="000000"/>
                <w:sz w:val="16"/>
                <w:szCs w:val="16"/>
              </w:rPr>
            </w:pPr>
            <w:r w:rsidRPr="00D329F5">
              <w:rPr>
                <w:rFonts w:cs="Arial"/>
                <w:color w:val="000000"/>
                <w:sz w:val="16"/>
                <w:szCs w:val="16"/>
              </w:rPr>
              <w:t>May 6, 201</w:t>
            </w:r>
            <w:r w:rsidRPr="00783E7B">
              <w:rPr>
                <w:rFonts w:cs="Arial"/>
                <w:color w:val="000000"/>
                <w:sz w:val="16"/>
                <w:szCs w:val="16"/>
              </w:rPr>
              <w:t>4</w:t>
            </w:r>
          </w:p>
          <w:p w:rsidR="0063033D" w:rsidRPr="00AC648D" w:rsidRDefault="0063033D" w:rsidP="008D1891">
            <w:pPr>
              <w:autoSpaceDE w:val="0"/>
              <w:autoSpaceDN w:val="0"/>
              <w:adjustRightInd w:val="0"/>
              <w:spacing w:before="120" w:after="120"/>
              <w:rPr>
                <w:rFonts w:cs="Arial"/>
                <w:color w:val="000000"/>
                <w:sz w:val="16"/>
                <w:szCs w:val="16"/>
              </w:rPr>
            </w:pPr>
          </w:p>
        </w:tc>
        <w:tc>
          <w:tcPr>
            <w:tcW w:w="1559"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Brazil</w:t>
            </w:r>
          </w:p>
          <w:p w:rsidR="0063033D" w:rsidRDefault="0063033D" w:rsidP="008D1891">
            <w:pPr>
              <w:autoSpaceDE w:val="0"/>
              <w:autoSpaceDN w:val="0"/>
              <w:adjustRightInd w:val="0"/>
              <w:spacing w:before="120" w:after="120"/>
              <w:rPr>
                <w:rFonts w:cs="Arial"/>
                <w:color w:val="000000"/>
                <w:sz w:val="16"/>
                <w:szCs w:val="16"/>
              </w:rPr>
            </w:pPr>
          </w:p>
        </w:tc>
        <w:tc>
          <w:tcPr>
            <w:tcW w:w="4394"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The Conference focused on: (</w:t>
            </w:r>
            <w:proofErr w:type="spellStart"/>
            <w:r>
              <w:rPr>
                <w:rFonts w:cs="Arial"/>
                <w:color w:val="000000"/>
                <w:sz w:val="16"/>
                <w:szCs w:val="16"/>
              </w:rPr>
              <w:t>i</w:t>
            </w:r>
            <w:proofErr w:type="spellEnd"/>
            <w:r>
              <w:rPr>
                <w:rFonts w:cs="Arial"/>
                <w:color w:val="000000"/>
                <w:sz w:val="16"/>
                <w:szCs w:val="16"/>
              </w:rPr>
              <w:t xml:space="preserve">) the protection of intangible assets present in the sport business; and (ii) the role that big sports events may have with regard to economic and social development. </w:t>
            </w:r>
          </w:p>
        </w:tc>
      </w:tr>
      <w:tr w:rsidR="0063033D" w:rsidRPr="00774D44" w:rsidTr="008D1891">
        <w:trPr>
          <w:cantSplit/>
          <w:trHeight w:val="315"/>
        </w:trPr>
        <w:tc>
          <w:tcPr>
            <w:tcW w:w="1843"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VIII Annual Meeting of the Brazilian Forum of Innovation and Technology Transfer Managers (FORTEC)</w:t>
            </w:r>
          </w:p>
          <w:p w:rsidR="0063033D" w:rsidRDefault="0063033D" w:rsidP="008D1891">
            <w:pPr>
              <w:autoSpaceDE w:val="0"/>
              <w:autoSpaceDN w:val="0"/>
              <w:adjustRightInd w:val="0"/>
              <w:spacing w:before="120" w:after="120"/>
              <w:rPr>
                <w:rFonts w:cs="Arial"/>
                <w:color w:val="000000"/>
                <w:sz w:val="16"/>
                <w:szCs w:val="16"/>
              </w:rPr>
            </w:pPr>
          </w:p>
        </w:tc>
        <w:tc>
          <w:tcPr>
            <w:tcW w:w="1276" w:type="dxa"/>
          </w:tcPr>
          <w:p w:rsidR="0063033D" w:rsidRPr="00D329F5" w:rsidRDefault="0063033D" w:rsidP="008D1891">
            <w:pPr>
              <w:autoSpaceDE w:val="0"/>
              <w:autoSpaceDN w:val="0"/>
              <w:adjustRightInd w:val="0"/>
              <w:spacing w:before="120" w:after="120"/>
              <w:rPr>
                <w:rFonts w:cs="Arial"/>
                <w:color w:val="000000"/>
                <w:sz w:val="16"/>
                <w:szCs w:val="16"/>
              </w:rPr>
            </w:pPr>
            <w:r w:rsidRPr="00D329F5">
              <w:rPr>
                <w:rFonts w:cs="Arial"/>
                <w:color w:val="000000"/>
                <w:sz w:val="16"/>
                <w:szCs w:val="16"/>
              </w:rPr>
              <w:t>May 18 to 21, 201</w:t>
            </w:r>
            <w:r w:rsidRPr="00783E7B">
              <w:rPr>
                <w:rFonts w:cs="Arial"/>
                <w:color w:val="000000"/>
                <w:sz w:val="16"/>
                <w:szCs w:val="16"/>
              </w:rPr>
              <w:t>4</w:t>
            </w:r>
          </w:p>
          <w:p w:rsidR="0063033D" w:rsidRPr="00AC648D" w:rsidRDefault="0063033D" w:rsidP="008D1891">
            <w:pPr>
              <w:autoSpaceDE w:val="0"/>
              <w:autoSpaceDN w:val="0"/>
              <w:adjustRightInd w:val="0"/>
              <w:spacing w:before="120" w:after="120"/>
              <w:rPr>
                <w:rFonts w:cs="Arial"/>
                <w:color w:val="000000"/>
                <w:sz w:val="16"/>
                <w:szCs w:val="16"/>
              </w:rPr>
            </w:pPr>
          </w:p>
        </w:tc>
        <w:tc>
          <w:tcPr>
            <w:tcW w:w="1559"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Brazil</w:t>
            </w:r>
          </w:p>
          <w:p w:rsidR="0063033D" w:rsidRDefault="0063033D" w:rsidP="008D1891">
            <w:pPr>
              <w:autoSpaceDE w:val="0"/>
              <w:autoSpaceDN w:val="0"/>
              <w:adjustRightInd w:val="0"/>
              <w:spacing w:before="120" w:after="120"/>
              <w:rPr>
                <w:rFonts w:cs="Arial"/>
                <w:color w:val="000000"/>
                <w:sz w:val="16"/>
                <w:szCs w:val="16"/>
              </w:rPr>
            </w:pPr>
          </w:p>
        </w:tc>
        <w:tc>
          <w:tcPr>
            <w:tcW w:w="4394"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To promote dialogue about public policies for innovation and best practices on technology transfer. </w:t>
            </w:r>
          </w:p>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WIPO presented the WIPO Award for Best Inventor to a research team of four scientists whose invention has successfully reached the market and has become an important innovation in the energy field.</w:t>
            </w:r>
          </w:p>
        </w:tc>
      </w:tr>
      <w:tr w:rsidR="0063033D" w:rsidRPr="00774D44" w:rsidTr="008D1891">
        <w:trPr>
          <w:cantSplit/>
          <w:trHeight w:val="315"/>
        </w:trPr>
        <w:tc>
          <w:tcPr>
            <w:tcW w:w="1843"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Seminar on IP and Technological Development Agreements</w:t>
            </w:r>
          </w:p>
        </w:tc>
        <w:tc>
          <w:tcPr>
            <w:tcW w:w="1276" w:type="dxa"/>
          </w:tcPr>
          <w:p w:rsidR="0063033D" w:rsidRPr="00D329F5" w:rsidRDefault="0063033D" w:rsidP="008D1891">
            <w:pPr>
              <w:autoSpaceDE w:val="0"/>
              <w:autoSpaceDN w:val="0"/>
              <w:adjustRightInd w:val="0"/>
              <w:spacing w:before="120" w:after="120"/>
              <w:rPr>
                <w:rFonts w:cs="Arial"/>
                <w:color w:val="000000"/>
                <w:sz w:val="16"/>
                <w:szCs w:val="16"/>
              </w:rPr>
            </w:pPr>
            <w:r w:rsidRPr="00D329F5">
              <w:rPr>
                <w:rFonts w:cs="Arial"/>
                <w:color w:val="000000"/>
                <w:sz w:val="16"/>
                <w:szCs w:val="16"/>
              </w:rPr>
              <w:t>May 23, 201</w:t>
            </w:r>
            <w:r w:rsidRPr="00783E7B">
              <w:rPr>
                <w:rFonts w:cs="Arial"/>
                <w:color w:val="000000"/>
                <w:sz w:val="16"/>
                <w:szCs w:val="16"/>
              </w:rPr>
              <w:t>4</w:t>
            </w:r>
          </w:p>
        </w:tc>
        <w:tc>
          <w:tcPr>
            <w:tcW w:w="1559"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Brazil</w:t>
            </w:r>
          </w:p>
          <w:p w:rsidR="0063033D" w:rsidRDefault="0063033D" w:rsidP="008D1891">
            <w:pPr>
              <w:autoSpaceDE w:val="0"/>
              <w:autoSpaceDN w:val="0"/>
              <w:adjustRightInd w:val="0"/>
              <w:spacing w:before="120" w:after="120"/>
              <w:rPr>
                <w:rFonts w:cs="Arial"/>
                <w:color w:val="000000"/>
                <w:sz w:val="16"/>
                <w:szCs w:val="16"/>
              </w:rPr>
            </w:pPr>
          </w:p>
        </w:tc>
        <w:tc>
          <w:tcPr>
            <w:tcW w:w="4394" w:type="dxa"/>
          </w:tcPr>
          <w:p w:rsidR="0063033D" w:rsidRDefault="0063033D" w:rsidP="008D1891">
            <w:pPr>
              <w:autoSpaceDE w:val="0"/>
              <w:autoSpaceDN w:val="0"/>
              <w:adjustRightInd w:val="0"/>
              <w:spacing w:before="120" w:after="120"/>
              <w:rPr>
                <w:rFonts w:cs="Arial"/>
                <w:color w:val="000000"/>
                <w:sz w:val="16"/>
                <w:szCs w:val="16"/>
              </w:rPr>
            </w:pPr>
            <w:r w:rsidRPr="007734B8">
              <w:rPr>
                <w:rFonts w:cs="Arial"/>
                <w:color w:val="000000"/>
                <w:sz w:val="16"/>
                <w:szCs w:val="16"/>
              </w:rPr>
              <w:t>To train professionals in the field of technology management with a focus on strategic partnerships and technological platforms</w:t>
            </w:r>
            <w:r>
              <w:rPr>
                <w:rFonts w:cs="Arial"/>
                <w:color w:val="000000"/>
                <w:sz w:val="16"/>
                <w:szCs w:val="16"/>
              </w:rPr>
              <w:t xml:space="preserve"> </w:t>
            </w:r>
          </w:p>
        </w:tc>
      </w:tr>
      <w:tr w:rsidR="0063033D" w:rsidRPr="00774D44" w:rsidTr="008D1891">
        <w:trPr>
          <w:cantSplit/>
          <w:trHeight w:val="315"/>
        </w:trPr>
        <w:tc>
          <w:tcPr>
            <w:tcW w:w="1843"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Patent Drafting Training Program</w:t>
            </w:r>
          </w:p>
        </w:tc>
        <w:tc>
          <w:tcPr>
            <w:tcW w:w="1276" w:type="dxa"/>
          </w:tcPr>
          <w:p w:rsidR="0063033D" w:rsidRPr="00A12513"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August 18 to 22, 2014</w:t>
            </w:r>
          </w:p>
        </w:tc>
        <w:tc>
          <w:tcPr>
            <w:tcW w:w="1559"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Brazil</w:t>
            </w:r>
          </w:p>
        </w:tc>
        <w:tc>
          <w:tcPr>
            <w:tcW w:w="4394" w:type="dxa"/>
          </w:tcPr>
          <w:p w:rsidR="0063033D" w:rsidRPr="00A12513"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To: (</w:t>
            </w:r>
            <w:proofErr w:type="spellStart"/>
            <w:r>
              <w:rPr>
                <w:rFonts w:cs="Arial"/>
                <w:color w:val="000000"/>
                <w:sz w:val="16"/>
                <w:szCs w:val="16"/>
              </w:rPr>
              <w:t>i</w:t>
            </w:r>
            <w:proofErr w:type="spellEnd"/>
            <w:r>
              <w:rPr>
                <w:rFonts w:cs="Arial"/>
                <w:color w:val="000000"/>
                <w:sz w:val="16"/>
                <w:szCs w:val="16"/>
              </w:rPr>
              <w:t xml:space="preserve">) train new professionals in technology protection and commercialization; and (ii) strengthen the Technology Transfer Offices (TTOs) of universities, research institutes and enterprises.  </w:t>
            </w:r>
          </w:p>
        </w:tc>
      </w:tr>
      <w:tr w:rsidR="0063033D" w:rsidRPr="00774D44" w:rsidTr="008D1891">
        <w:trPr>
          <w:cantSplit/>
          <w:trHeight w:val="315"/>
        </w:trPr>
        <w:tc>
          <w:tcPr>
            <w:tcW w:w="1843"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WIPO Workshop on Interpretation of Patent Documents</w:t>
            </w:r>
          </w:p>
        </w:tc>
        <w:tc>
          <w:tcPr>
            <w:tcW w:w="1276" w:type="dxa"/>
          </w:tcPr>
          <w:p w:rsidR="0063033D" w:rsidRPr="00A12513"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August 27 to 29, 2014</w:t>
            </w:r>
          </w:p>
        </w:tc>
        <w:tc>
          <w:tcPr>
            <w:tcW w:w="1559"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Brazil</w:t>
            </w:r>
          </w:p>
        </w:tc>
        <w:tc>
          <w:tcPr>
            <w:tcW w:w="4394" w:type="dxa"/>
          </w:tcPr>
          <w:p w:rsidR="0063033D" w:rsidRPr="00A12513"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Organized in cooperation with the Regional Federal Judiciary School to discuss the analysis of patents and implications on legal cases with members of the judiciary.</w:t>
            </w:r>
          </w:p>
        </w:tc>
      </w:tr>
      <w:tr w:rsidR="0063033D" w:rsidRPr="00774D44" w:rsidTr="008D1891">
        <w:trPr>
          <w:cantSplit/>
          <w:trHeight w:val="315"/>
        </w:trPr>
        <w:tc>
          <w:tcPr>
            <w:tcW w:w="1843" w:type="dxa"/>
            <w:tcBorders>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VII ENAPID – Academic Meeting on Intellectual Property, Innovation and Development</w:t>
            </w:r>
          </w:p>
        </w:tc>
        <w:tc>
          <w:tcPr>
            <w:tcW w:w="1276" w:type="dxa"/>
            <w:tcBorders>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September 10 to 12, 2014</w:t>
            </w:r>
          </w:p>
        </w:tc>
        <w:tc>
          <w:tcPr>
            <w:tcW w:w="1559" w:type="dxa"/>
            <w:tcBorders>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Brazil</w:t>
            </w:r>
          </w:p>
        </w:tc>
        <w:tc>
          <w:tcPr>
            <w:tcW w:w="4394" w:type="dxa"/>
            <w:tcBorders>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To present research results in the area of IP and innovation developed by academic groups.</w:t>
            </w:r>
          </w:p>
        </w:tc>
      </w:tr>
      <w:tr w:rsidR="0063033D" w:rsidRPr="00774D44" w:rsidTr="008D1891">
        <w:trPr>
          <w:cantSplit/>
          <w:trHeight w:val="315"/>
        </w:trPr>
        <w:tc>
          <w:tcPr>
            <w:tcW w:w="1843" w:type="dxa"/>
            <w:tcBorders>
              <w:top w:val="nil"/>
              <w:bottom w:val="single" w:sz="4" w:space="0" w:color="auto"/>
            </w:tcBorders>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Workshop on Technological Development Agreements</w:t>
            </w:r>
          </w:p>
          <w:p w:rsidR="0063033D" w:rsidRDefault="0063033D" w:rsidP="008D1891">
            <w:pPr>
              <w:rPr>
                <w:rFonts w:cs="Arial"/>
                <w:color w:val="000000"/>
                <w:sz w:val="16"/>
                <w:szCs w:val="16"/>
              </w:rPr>
            </w:pPr>
          </w:p>
        </w:tc>
        <w:tc>
          <w:tcPr>
            <w:tcW w:w="1276" w:type="dxa"/>
            <w:tcBorders>
              <w:top w:val="nil"/>
              <w:bottom w:val="single" w:sz="4" w:space="0" w:color="auto"/>
            </w:tcBorders>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October 27 to 29, 2014</w:t>
            </w:r>
          </w:p>
          <w:p w:rsidR="0063033D" w:rsidRDefault="0063033D" w:rsidP="008D1891">
            <w:pPr>
              <w:rPr>
                <w:rFonts w:cs="Arial"/>
                <w:sz w:val="16"/>
                <w:szCs w:val="16"/>
              </w:rPr>
            </w:pPr>
          </w:p>
          <w:p w:rsidR="0063033D" w:rsidRDefault="0063033D" w:rsidP="008D1891">
            <w:pPr>
              <w:rPr>
                <w:rFonts w:cs="Arial"/>
                <w:sz w:val="16"/>
                <w:szCs w:val="16"/>
              </w:rPr>
            </w:pPr>
          </w:p>
          <w:p w:rsidR="0063033D" w:rsidRDefault="0063033D" w:rsidP="008D1891">
            <w:pPr>
              <w:rPr>
                <w:rFonts w:cs="Arial"/>
                <w:color w:val="000000"/>
                <w:sz w:val="16"/>
                <w:szCs w:val="16"/>
              </w:rPr>
            </w:pPr>
          </w:p>
        </w:tc>
        <w:tc>
          <w:tcPr>
            <w:tcW w:w="1559" w:type="dxa"/>
            <w:tcBorders>
              <w:top w:val="nil"/>
              <w:bottom w:val="single" w:sz="4" w:space="0" w:color="auto"/>
            </w:tcBorders>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Brazil</w:t>
            </w:r>
          </w:p>
          <w:p w:rsidR="0063033D" w:rsidRDefault="0063033D" w:rsidP="008D1891">
            <w:pPr>
              <w:autoSpaceDE w:val="0"/>
              <w:autoSpaceDN w:val="0"/>
              <w:adjustRightInd w:val="0"/>
              <w:spacing w:before="120" w:after="120"/>
              <w:rPr>
                <w:rFonts w:cs="Arial"/>
                <w:color w:val="000000"/>
                <w:sz w:val="16"/>
                <w:szCs w:val="16"/>
              </w:rPr>
            </w:pPr>
          </w:p>
        </w:tc>
        <w:tc>
          <w:tcPr>
            <w:tcW w:w="4394" w:type="dxa"/>
            <w:tcBorders>
              <w:top w:val="nil"/>
              <w:bottom w:val="single" w:sz="4" w:space="0" w:color="auto"/>
            </w:tcBorders>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The Workshop was organized in collaboration with the University of Campinas (UNICAMP) and was centered on contract models, definition of contract objectives and terms, and the design of a typology of technology transfer contracts frequently used by Brazilian institutions and enterprises.</w:t>
            </w:r>
          </w:p>
        </w:tc>
      </w:tr>
      <w:tr w:rsidR="0063033D" w:rsidRPr="00774D44" w:rsidTr="0024548C">
        <w:trPr>
          <w:cantSplit/>
          <w:trHeight w:val="516"/>
        </w:trPr>
        <w:tc>
          <w:tcPr>
            <w:tcW w:w="1843" w:type="dxa"/>
            <w:tcBorders>
              <w:top w:val="single" w:sz="4" w:space="0" w:color="auto"/>
              <w:bottom w:val="nil"/>
            </w:tcBorders>
            <w:vAlign w:val="center"/>
          </w:tcPr>
          <w:p w:rsidR="0063033D" w:rsidRPr="002B7DE5" w:rsidRDefault="0063033D" w:rsidP="0024548C">
            <w:pPr>
              <w:keepNext/>
              <w:keepLines/>
              <w:spacing w:before="120"/>
              <w:rPr>
                <w:rFonts w:cs="Arial"/>
                <w:b/>
                <w:bCs/>
                <w:sz w:val="16"/>
                <w:szCs w:val="16"/>
              </w:rPr>
            </w:pPr>
            <w:r w:rsidRPr="002B7DE5">
              <w:rPr>
                <w:rFonts w:cs="Arial"/>
                <w:b/>
                <w:bCs/>
                <w:sz w:val="16"/>
                <w:szCs w:val="16"/>
              </w:rPr>
              <w:lastRenderedPageBreak/>
              <w:t>Activity</w:t>
            </w:r>
          </w:p>
        </w:tc>
        <w:tc>
          <w:tcPr>
            <w:tcW w:w="1276" w:type="dxa"/>
            <w:tcBorders>
              <w:top w:val="single" w:sz="4" w:space="0" w:color="auto"/>
              <w:bottom w:val="nil"/>
            </w:tcBorders>
            <w:vAlign w:val="center"/>
          </w:tcPr>
          <w:p w:rsidR="0063033D" w:rsidRPr="002B7DE5" w:rsidRDefault="0063033D" w:rsidP="0024548C">
            <w:pPr>
              <w:keepNext/>
              <w:keepLines/>
              <w:spacing w:before="120"/>
              <w:rPr>
                <w:rFonts w:cs="Arial"/>
                <w:sz w:val="16"/>
                <w:szCs w:val="16"/>
              </w:rPr>
            </w:pPr>
            <w:r w:rsidRPr="002B7DE5">
              <w:rPr>
                <w:rFonts w:cs="Arial"/>
                <w:b/>
                <w:bCs/>
                <w:sz w:val="16"/>
                <w:szCs w:val="16"/>
              </w:rPr>
              <w:t>Date</w:t>
            </w:r>
          </w:p>
        </w:tc>
        <w:tc>
          <w:tcPr>
            <w:tcW w:w="1559" w:type="dxa"/>
            <w:tcBorders>
              <w:top w:val="single" w:sz="4" w:space="0" w:color="auto"/>
              <w:bottom w:val="nil"/>
            </w:tcBorders>
            <w:vAlign w:val="center"/>
          </w:tcPr>
          <w:p w:rsidR="0063033D" w:rsidRPr="002B7DE5" w:rsidRDefault="0063033D" w:rsidP="0024548C">
            <w:pPr>
              <w:keepNext/>
              <w:keepLines/>
              <w:spacing w:before="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auto"/>
              <w:bottom w:val="nil"/>
            </w:tcBorders>
            <w:vAlign w:val="center"/>
          </w:tcPr>
          <w:p w:rsidR="0063033D" w:rsidRPr="002B7DE5" w:rsidRDefault="0063033D" w:rsidP="0024548C">
            <w:pPr>
              <w:keepNext/>
              <w:keepLines/>
              <w:spacing w:before="120"/>
              <w:rPr>
                <w:rFonts w:cs="Arial"/>
                <w:sz w:val="16"/>
                <w:szCs w:val="16"/>
              </w:rPr>
            </w:pPr>
            <w:r w:rsidRPr="002B7DE5">
              <w:rPr>
                <w:rFonts w:cs="Arial"/>
                <w:b/>
                <w:bCs/>
                <w:sz w:val="16"/>
                <w:szCs w:val="16"/>
              </w:rPr>
              <w:t>Purpose(s)/Description(s)</w:t>
            </w:r>
          </w:p>
        </w:tc>
      </w:tr>
      <w:tr w:rsidR="0063033D" w:rsidRPr="00774D44" w:rsidTr="008D1891">
        <w:trPr>
          <w:cantSplit/>
          <w:trHeight w:val="315"/>
        </w:trPr>
        <w:tc>
          <w:tcPr>
            <w:tcW w:w="1843" w:type="dxa"/>
            <w:tcBorders>
              <w:top w:val="nil"/>
              <w:bottom w:val="nil"/>
            </w:tcBorders>
          </w:tcPr>
          <w:p w:rsidR="0063033D" w:rsidRPr="00C80D56" w:rsidRDefault="0063033D" w:rsidP="008D1891">
            <w:pPr>
              <w:rPr>
                <w:rFonts w:cs="Arial"/>
                <w:sz w:val="16"/>
                <w:szCs w:val="16"/>
              </w:rPr>
            </w:pPr>
            <w:r>
              <w:rPr>
                <w:rFonts w:cs="Arial"/>
                <w:sz w:val="16"/>
                <w:szCs w:val="16"/>
              </w:rPr>
              <w:t>International Seminar on Geographical Indications and Collective Trademarks in the Agribusiness Sector</w:t>
            </w:r>
          </w:p>
        </w:tc>
        <w:tc>
          <w:tcPr>
            <w:tcW w:w="1276" w:type="dxa"/>
            <w:tcBorders>
              <w:top w:val="nil"/>
              <w:bottom w:val="nil"/>
            </w:tcBorders>
          </w:tcPr>
          <w:p w:rsidR="0063033D" w:rsidRDefault="0063033D" w:rsidP="008D1891">
            <w:pPr>
              <w:rPr>
                <w:rFonts w:cs="Arial"/>
                <w:sz w:val="16"/>
                <w:szCs w:val="16"/>
              </w:rPr>
            </w:pPr>
            <w:r>
              <w:rPr>
                <w:rFonts w:cs="Arial"/>
                <w:sz w:val="16"/>
                <w:szCs w:val="16"/>
              </w:rPr>
              <w:t>October 27 to 29, 2014</w:t>
            </w:r>
          </w:p>
          <w:p w:rsidR="0063033D" w:rsidRDefault="0063033D" w:rsidP="008D1891">
            <w:pPr>
              <w:autoSpaceDE w:val="0"/>
              <w:autoSpaceDN w:val="0"/>
              <w:adjustRightInd w:val="0"/>
              <w:spacing w:before="120" w:after="120"/>
              <w:rPr>
                <w:rFonts w:cs="Arial"/>
                <w:color w:val="000000"/>
                <w:sz w:val="16"/>
                <w:szCs w:val="16"/>
              </w:rPr>
            </w:pPr>
          </w:p>
        </w:tc>
        <w:tc>
          <w:tcPr>
            <w:tcW w:w="1559" w:type="dxa"/>
            <w:tcBorders>
              <w:top w:val="nil"/>
              <w:bottom w:val="nil"/>
            </w:tcBorders>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Brazil/ Colombia</w:t>
            </w:r>
          </w:p>
        </w:tc>
        <w:tc>
          <w:tcPr>
            <w:tcW w:w="4394" w:type="dxa"/>
            <w:tcBorders>
              <w:top w:val="nil"/>
              <w:bottom w:val="nil"/>
            </w:tcBorders>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To: (</w:t>
            </w:r>
            <w:proofErr w:type="spellStart"/>
            <w:r>
              <w:rPr>
                <w:rFonts w:cs="Arial"/>
                <w:color w:val="000000"/>
                <w:sz w:val="16"/>
                <w:szCs w:val="16"/>
              </w:rPr>
              <w:t>i</w:t>
            </w:r>
            <w:proofErr w:type="spellEnd"/>
            <w:r>
              <w:rPr>
                <w:rFonts w:cs="Arial"/>
                <w:color w:val="000000"/>
                <w:sz w:val="16"/>
                <w:szCs w:val="16"/>
              </w:rPr>
              <w:t>) provide a forum for discussion on the economic and social gains that GIs and collective trademarks can bring to national development as a whole, in particular to the agribusiness community; and (ii) exchange experiences and cases with speakers from Colombia, India, Mexico and  Spain.</w:t>
            </w:r>
          </w:p>
        </w:tc>
      </w:tr>
      <w:tr w:rsidR="0063033D" w:rsidRPr="00774D44" w:rsidTr="008D1891">
        <w:trPr>
          <w:cantSplit/>
          <w:trHeight w:val="315"/>
        </w:trPr>
        <w:tc>
          <w:tcPr>
            <w:tcW w:w="1843" w:type="dxa"/>
            <w:tcBorders>
              <w:top w:val="nil"/>
              <w:bottom w:val="nil"/>
            </w:tcBorders>
          </w:tcPr>
          <w:p w:rsidR="0063033D" w:rsidRDefault="0063033D" w:rsidP="008D1891">
            <w:pPr>
              <w:rPr>
                <w:rFonts w:cs="Arial"/>
                <w:sz w:val="16"/>
                <w:szCs w:val="16"/>
              </w:rPr>
            </w:pPr>
            <w:r>
              <w:rPr>
                <w:rFonts w:cs="Arial"/>
                <w:sz w:val="16"/>
                <w:szCs w:val="16"/>
              </w:rPr>
              <w:t>WIPO Successful Technology Licensing (STL) Training Program</w:t>
            </w:r>
          </w:p>
          <w:p w:rsidR="0063033D" w:rsidRDefault="0063033D" w:rsidP="008D1891">
            <w:pPr>
              <w:autoSpaceDE w:val="0"/>
              <w:autoSpaceDN w:val="0"/>
              <w:adjustRightInd w:val="0"/>
              <w:spacing w:before="120" w:after="120"/>
              <w:rPr>
                <w:rFonts w:cs="Arial"/>
                <w:color w:val="000000"/>
                <w:sz w:val="16"/>
                <w:szCs w:val="16"/>
              </w:rPr>
            </w:pPr>
          </w:p>
        </w:tc>
        <w:tc>
          <w:tcPr>
            <w:tcW w:w="1276" w:type="dxa"/>
            <w:tcBorders>
              <w:top w:val="nil"/>
              <w:bottom w:val="nil"/>
            </w:tcBorders>
          </w:tcPr>
          <w:p w:rsidR="0063033D" w:rsidRDefault="0063033D" w:rsidP="008D1891">
            <w:pPr>
              <w:rPr>
                <w:rFonts w:cs="Arial"/>
                <w:sz w:val="16"/>
                <w:szCs w:val="16"/>
              </w:rPr>
            </w:pPr>
            <w:r>
              <w:rPr>
                <w:rFonts w:cs="Arial"/>
                <w:sz w:val="16"/>
                <w:szCs w:val="16"/>
              </w:rPr>
              <w:t>November 10 to 14, 2014</w:t>
            </w:r>
          </w:p>
          <w:p w:rsidR="0063033D" w:rsidRDefault="0063033D" w:rsidP="008D1891">
            <w:pPr>
              <w:autoSpaceDE w:val="0"/>
              <w:autoSpaceDN w:val="0"/>
              <w:adjustRightInd w:val="0"/>
              <w:spacing w:before="120" w:after="120"/>
              <w:rPr>
                <w:rFonts w:cs="Arial"/>
                <w:color w:val="000000"/>
                <w:sz w:val="16"/>
                <w:szCs w:val="16"/>
              </w:rPr>
            </w:pPr>
          </w:p>
        </w:tc>
        <w:tc>
          <w:tcPr>
            <w:tcW w:w="1559" w:type="dxa"/>
            <w:tcBorders>
              <w:top w:val="nil"/>
              <w:bottom w:val="nil"/>
            </w:tcBorders>
          </w:tcPr>
          <w:p w:rsidR="0063033D" w:rsidRDefault="0063033D" w:rsidP="008D1891">
            <w:pPr>
              <w:rPr>
                <w:rFonts w:cs="Arial"/>
                <w:sz w:val="16"/>
                <w:szCs w:val="16"/>
              </w:rPr>
            </w:pPr>
            <w:r>
              <w:rPr>
                <w:rFonts w:cs="Arial"/>
                <w:sz w:val="16"/>
                <w:szCs w:val="16"/>
              </w:rPr>
              <w:t xml:space="preserve">Brazil/ 120 participants from institutions in the South Region of Brazil </w:t>
            </w:r>
          </w:p>
          <w:p w:rsidR="0063033D" w:rsidRDefault="0063033D" w:rsidP="008D1891">
            <w:pPr>
              <w:autoSpaceDE w:val="0"/>
              <w:autoSpaceDN w:val="0"/>
              <w:adjustRightInd w:val="0"/>
              <w:spacing w:before="120" w:after="120"/>
              <w:rPr>
                <w:rFonts w:cs="Arial"/>
                <w:color w:val="000000"/>
                <w:sz w:val="16"/>
                <w:szCs w:val="16"/>
              </w:rPr>
            </w:pPr>
          </w:p>
        </w:tc>
        <w:tc>
          <w:tcPr>
            <w:tcW w:w="4394" w:type="dxa"/>
            <w:tcBorders>
              <w:top w:val="nil"/>
              <w:bottom w:val="nil"/>
            </w:tcBorders>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To develop competencies on the negotiation of contract terms of licensing agreements.</w:t>
            </w:r>
          </w:p>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This edition of the STL was organized in the State of Paran</w:t>
            </w:r>
            <w:r w:rsidRPr="0077172F">
              <w:rPr>
                <w:rFonts w:cs="Arial"/>
                <w:color w:val="000000"/>
                <w:sz w:val="16"/>
                <w:szCs w:val="16"/>
              </w:rPr>
              <w:t>á</w:t>
            </w:r>
            <w:r>
              <w:rPr>
                <w:rFonts w:cs="Arial"/>
                <w:color w:val="000000"/>
                <w:sz w:val="16"/>
                <w:szCs w:val="16"/>
              </w:rPr>
              <w:t xml:space="preserve"> to address the increased demand for training in IP commercialization from institutions based in the south of the country and highlighted the use of design protection as a central expertise for competitiveness in certain industrial sectors.</w:t>
            </w:r>
          </w:p>
        </w:tc>
      </w:tr>
      <w:tr w:rsidR="0063033D" w:rsidRPr="00774D44" w:rsidTr="008D1891">
        <w:trPr>
          <w:cantSplit/>
          <w:trHeight w:val="315"/>
        </w:trPr>
        <w:tc>
          <w:tcPr>
            <w:tcW w:w="1843" w:type="dxa"/>
            <w:tcBorders>
              <w:top w:val="nil"/>
              <w:bottom w:val="single" w:sz="4" w:space="0" w:color="000000"/>
            </w:tcBorders>
          </w:tcPr>
          <w:p w:rsidR="0063033D" w:rsidRPr="005E5C04" w:rsidRDefault="0063033D" w:rsidP="008D1891">
            <w:pPr>
              <w:autoSpaceDE w:val="0"/>
              <w:autoSpaceDN w:val="0"/>
              <w:adjustRightInd w:val="0"/>
              <w:spacing w:after="120"/>
              <w:rPr>
                <w:rFonts w:cs="Arial"/>
                <w:color w:val="000000"/>
                <w:sz w:val="16"/>
                <w:szCs w:val="16"/>
              </w:rPr>
            </w:pPr>
            <w:r>
              <w:rPr>
                <w:rFonts w:cs="Arial"/>
                <w:sz w:val="16"/>
                <w:szCs w:val="16"/>
              </w:rPr>
              <w:t>International Seminar on the Strategic Importance of  Industrial Design  Protection</w:t>
            </w:r>
          </w:p>
        </w:tc>
        <w:tc>
          <w:tcPr>
            <w:tcW w:w="1276" w:type="dxa"/>
            <w:tcBorders>
              <w:top w:val="nil"/>
              <w:bottom w:val="single" w:sz="4" w:space="0" w:color="000000"/>
            </w:tcBorders>
          </w:tcPr>
          <w:p w:rsidR="0063033D" w:rsidRPr="00F30999" w:rsidRDefault="0063033D" w:rsidP="008D1891">
            <w:pPr>
              <w:rPr>
                <w:rFonts w:cs="Arial"/>
                <w:sz w:val="16"/>
                <w:szCs w:val="16"/>
              </w:rPr>
            </w:pPr>
            <w:r>
              <w:rPr>
                <w:rFonts w:cs="Arial"/>
                <w:sz w:val="16"/>
                <w:szCs w:val="16"/>
              </w:rPr>
              <w:t>December 1 and 2, 2014</w:t>
            </w:r>
          </w:p>
        </w:tc>
        <w:tc>
          <w:tcPr>
            <w:tcW w:w="1559" w:type="dxa"/>
            <w:tcBorders>
              <w:top w:val="nil"/>
              <w:bottom w:val="single" w:sz="4" w:space="0" w:color="000000"/>
            </w:tcBorders>
          </w:tcPr>
          <w:p w:rsidR="0063033D" w:rsidRPr="00F30999" w:rsidRDefault="0063033D" w:rsidP="008D1891">
            <w:pPr>
              <w:rPr>
                <w:rFonts w:cs="Arial"/>
                <w:sz w:val="16"/>
                <w:szCs w:val="16"/>
              </w:rPr>
            </w:pPr>
            <w:r>
              <w:rPr>
                <w:rFonts w:cs="Arial"/>
                <w:sz w:val="16"/>
                <w:szCs w:val="16"/>
              </w:rPr>
              <w:t>Brazil</w:t>
            </w:r>
          </w:p>
        </w:tc>
        <w:tc>
          <w:tcPr>
            <w:tcW w:w="4394" w:type="dxa"/>
            <w:tcBorders>
              <w:top w:val="nil"/>
              <w:bottom w:val="single" w:sz="4" w:space="0" w:color="000000"/>
            </w:tcBorders>
          </w:tcPr>
          <w:p w:rsidR="0063033D" w:rsidRPr="00774D44" w:rsidRDefault="0063033D" w:rsidP="008D1891">
            <w:pPr>
              <w:autoSpaceDE w:val="0"/>
              <w:autoSpaceDN w:val="0"/>
              <w:adjustRightInd w:val="0"/>
              <w:spacing w:before="120" w:after="120"/>
              <w:rPr>
                <w:rFonts w:cs="Arial"/>
                <w:color w:val="000000"/>
                <w:sz w:val="16"/>
                <w:szCs w:val="16"/>
              </w:rPr>
            </w:pPr>
            <w:r w:rsidRPr="00E67DF7">
              <w:rPr>
                <w:rFonts w:cs="Arial"/>
                <w:color w:val="000000"/>
                <w:sz w:val="16"/>
                <w:szCs w:val="16"/>
              </w:rPr>
              <w:t>To promote the use of Industrial Design protection</w:t>
            </w:r>
            <w:r>
              <w:rPr>
                <w:rFonts w:cs="Arial"/>
                <w:color w:val="000000"/>
                <w:sz w:val="16"/>
                <w:szCs w:val="16"/>
              </w:rPr>
              <w:t xml:space="preserve"> as a tool for businesses for</w:t>
            </w:r>
            <w:r w:rsidRPr="00E67DF7">
              <w:rPr>
                <w:rFonts w:cs="Arial"/>
                <w:color w:val="000000"/>
                <w:sz w:val="16"/>
                <w:szCs w:val="16"/>
              </w:rPr>
              <w:t xml:space="preserve"> the improvement of competitiveness.</w:t>
            </w:r>
            <w:r>
              <w:rPr>
                <w:rFonts w:cs="Arial"/>
                <w:color w:val="000000"/>
                <w:sz w:val="16"/>
                <w:szCs w:val="16"/>
              </w:rPr>
              <w:t xml:space="preserve">  </w:t>
            </w:r>
          </w:p>
        </w:tc>
      </w:tr>
    </w:tbl>
    <w:p w:rsidR="0063033D" w:rsidRDefault="0063033D" w:rsidP="008D1891">
      <w:pPr>
        <w:tabs>
          <w:tab w:val="left" w:pos="0"/>
          <w:tab w:val="left" w:pos="9071"/>
        </w:tabs>
        <w:rPr>
          <w:rFonts w:cs="Arial"/>
          <w:b/>
          <w:sz w:val="18"/>
          <w:szCs w:val="18"/>
        </w:rPr>
      </w:pPr>
    </w:p>
    <w:p w:rsidR="0063033D" w:rsidRDefault="0063033D" w:rsidP="008D1891">
      <w:pPr>
        <w:tabs>
          <w:tab w:val="left" w:pos="0"/>
          <w:tab w:val="left" w:pos="9071"/>
        </w:tabs>
        <w:rPr>
          <w:rFonts w:cs="Arial"/>
          <w:b/>
          <w:sz w:val="18"/>
          <w:szCs w:val="18"/>
        </w:rPr>
      </w:pPr>
    </w:p>
    <w:p w:rsidR="0063033D" w:rsidRPr="001737B3" w:rsidRDefault="0063033D" w:rsidP="008D1891">
      <w:pPr>
        <w:tabs>
          <w:tab w:val="left" w:pos="0"/>
          <w:tab w:val="left" w:pos="9071"/>
        </w:tabs>
        <w:rPr>
          <w:rFonts w:cs="Arial"/>
          <w:b/>
          <w:sz w:val="18"/>
          <w:szCs w:val="18"/>
        </w:rPr>
      </w:pPr>
      <w:r>
        <w:rPr>
          <w:rFonts w:cs="Arial"/>
          <w:b/>
          <w:sz w:val="18"/>
          <w:szCs w:val="18"/>
        </w:rPr>
        <w:t xml:space="preserve">BRAZIL </w:t>
      </w:r>
      <w:r w:rsidRPr="001737B3">
        <w:rPr>
          <w:rFonts w:cs="Arial"/>
          <w:b/>
          <w:sz w:val="18"/>
          <w:szCs w:val="18"/>
        </w:rPr>
        <w:t>Donor Contributions and Expenditure in 201</w:t>
      </w:r>
      <w:r>
        <w:rPr>
          <w:rFonts w:cs="Arial"/>
          <w:b/>
          <w:sz w:val="18"/>
          <w:szCs w:val="18"/>
        </w:rPr>
        <w:t>4</w:t>
      </w:r>
    </w:p>
    <w:p w:rsidR="0063033D" w:rsidRDefault="0063033D" w:rsidP="008D1891">
      <w:pPr>
        <w:tabs>
          <w:tab w:val="left" w:pos="0"/>
          <w:tab w:val="left" w:pos="9071"/>
        </w:tabs>
        <w:rPr>
          <w:rFonts w:cs="Arial"/>
          <w:b/>
          <w:sz w:val="18"/>
          <w:szCs w:val="18"/>
        </w:rPr>
      </w:pPr>
    </w:p>
    <w:tbl>
      <w:tblPr>
        <w:tblW w:w="9087" w:type="dxa"/>
        <w:tblInd w:w="93" w:type="dxa"/>
        <w:tblLook w:val="04A0" w:firstRow="1" w:lastRow="0" w:firstColumn="1" w:lastColumn="0" w:noHBand="0" w:noVBand="1"/>
      </w:tblPr>
      <w:tblGrid>
        <w:gridCol w:w="1720"/>
        <w:gridCol w:w="1556"/>
        <w:gridCol w:w="1842"/>
        <w:gridCol w:w="1985"/>
        <w:gridCol w:w="1984"/>
      </w:tblGrid>
      <w:tr w:rsidR="0063033D" w:rsidTr="008D1891">
        <w:trPr>
          <w:trHeight w:val="538"/>
        </w:trPr>
        <w:tc>
          <w:tcPr>
            <w:tcW w:w="172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2013</w:t>
            </w:r>
          </w:p>
        </w:tc>
        <w:tc>
          <w:tcPr>
            <w:tcW w:w="1556"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Income 2014</w:t>
            </w:r>
          </w:p>
        </w:tc>
        <w:tc>
          <w:tcPr>
            <w:tcW w:w="1842"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Expenditure 2014</w:t>
            </w:r>
          </w:p>
        </w:tc>
        <w:tc>
          <w:tcPr>
            <w:tcW w:w="1985"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Reimbursements</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2014</w:t>
            </w:r>
          </w:p>
        </w:tc>
      </w:tr>
      <w:tr w:rsidR="0063033D" w:rsidTr="008D1891">
        <w:trPr>
          <w:trHeight w:val="493"/>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490,729</w:t>
            </w:r>
          </w:p>
        </w:tc>
        <w:tc>
          <w:tcPr>
            <w:tcW w:w="1556"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(596)</w:t>
            </w:r>
          </w:p>
        </w:tc>
        <w:tc>
          <w:tcPr>
            <w:tcW w:w="1842"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156,922</w:t>
            </w:r>
          </w:p>
        </w:tc>
        <w:tc>
          <w:tcPr>
            <w:tcW w:w="1985"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w:t>
            </w:r>
          </w:p>
        </w:tc>
        <w:tc>
          <w:tcPr>
            <w:tcW w:w="1984"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333,211</w:t>
            </w:r>
          </w:p>
        </w:tc>
      </w:tr>
    </w:tbl>
    <w:p w:rsidR="0063033D" w:rsidRDefault="0063033D" w:rsidP="008D1891">
      <w:pPr>
        <w:tabs>
          <w:tab w:val="left" w:pos="0"/>
          <w:tab w:val="left" w:pos="9071"/>
        </w:tabs>
        <w:rPr>
          <w:rFonts w:cs="Arial"/>
          <w:b/>
          <w:szCs w:val="20"/>
        </w:rPr>
      </w:pPr>
    </w:p>
    <w:p w:rsidR="0063033D" w:rsidRDefault="0063033D" w:rsidP="008D1891">
      <w:pPr>
        <w:tabs>
          <w:tab w:val="left" w:pos="0"/>
          <w:tab w:val="left" w:pos="9071"/>
        </w:tabs>
        <w:rPr>
          <w:rFonts w:cs="Arial"/>
          <w:b/>
          <w:szCs w:val="20"/>
        </w:rPr>
      </w:pPr>
    </w:p>
    <w:p w:rsidR="0063033D" w:rsidRDefault="0063033D" w:rsidP="008D1891">
      <w:pPr>
        <w:tabs>
          <w:tab w:val="left" w:pos="0"/>
          <w:tab w:val="left" w:pos="9071"/>
        </w:tabs>
        <w:rPr>
          <w:rFonts w:cs="Arial"/>
          <w:b/>
          <w:szCs w:val="20"/>
        </w:rPr>
      </w:pPr>
      <w:r>
        <w:rPr>
          <w:rFonts w:cs="Arial"/>
          <w:b/>
          <w:szCs w:val="20"/>
        </w:rPr>
        <w:t>BRAZIL SOUTH</w:t>
      </w:r>
    </w:p>
    <w:p w:rsidR="0063033D" w:rsidRDefault="0063033D" w:rsidP="008D1891">
      <w:pPr>
        <w:tabs>
          <w:tab w:val="left" w:pos="0"/>
          <w:tab w:val="left" w:pos="9071"/>
        </w:tabs>
        <w:rPr>
          <w:rFonts w:cs="Arial"/>
          <w:b/>
          <w:szCs w:val="20"/>
        </w:rPr>
      </w:pPr>
    </w:p>
    <w:tbl>
      <w:tblPr>
        <w:tblW w:w="9214"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985"/>
        <w:gridCol w:w="4252"/>
      </w:tblGrid>
      <w:tr w:rsidR="0063033D" w:rsidRPr="00774D44" w:rsidTr="008D1891">
        <w:trPr>
          <w:cantSplit/>
          <w:trHeight w:val="315"/>
        </w:trPr>
        <w:tc>
          <w:tcPr>
            <w:tcW w:w="9214" w:type="dxa"/>
            <w:gridSpan w:val="4"/>
            <w:tcBorders>
              <w:top w:val="single" w:sz="4" w:space="0" w:color="000000"/>
              <w:bottom w:val="single" w:sz="4" w:space="0" w:color="000000"/>
            </w:tcBorders>
            <w:shd w:val="clear" w:color="auto" w:fill="CCFFFF"/>
          </w:tcPr>
          <w:p w:rsidR="0063033D" w:rsidRPr="00774D44" w:rsidRDefault="0063033D" w:rsidP="008D1891">
            <w:pPr>
              <w:keepNext/>
              <w:keepLines/>
              <w:tabs>
                <w:tab w:val="left" w:pos="1740"/>
              </w:tabs>
              <w:spacing w:before="120" w:after="120"/>
              <w:ind w:left="1740" w:hanging="1740"/>
              <w:rPr>
                <w:rFonts w:cs="Arial"/>
                <w:color w:val="000000"/>
                <w:sz w:val="16"/>
                <w:szCs w:val="16"/>
              </w:rPr>
            </w:pPr>
            <w:r w:rsidRPr="00712F53">
              <w:rPr>
                <w:rFonts w:cs="Arial"/>
                <w:b/>
                <w:bCs/>
                <w:color w:val="000000"/>
                <w:sz w:val="16"/>
                <w:szCs w:val="16"/>
              </w:rPr>
              <w:t>RESULT</w:t>
            </w:r>
            <w:r w:rsidRPr="00712F53">
              <w:rPr>
                <w:rFonts w:cs="Arial"/>
                <w:bCs/>
                <w:sz w:val="16"/>
                <w:szCs w:val="16"/>
                <w:lang w:val="en-AU"/>
              </w:rPr>
              <w:t>:</w:t>
            </w:r>
            <w:r w:rsidRPr="00712F53">
              <w:rPr>
                <w:rFonts w:cs="Arial"/>
                <w:bCs/>
                <w:sz w:val="16"/>
                <w:szCs w:val="16"/>
                <w:lang w:val="en-AU"/>
              </w:rPr>
              <w:tab/>
            </w:r>
            <w:r w:rsidRPr="009F377C">
              <w:rPr>
                <w:rFonts w:cs="Arial"/>
                <w:bCs/>
                <w:sz w:val="16"/>
                <w:szCs w:val="16"/>
                <w:lang w:val="en-AU"/>
              </w:rPr>
              <w:t>III.2. Enhanced human resource capacities able to deal with the broad range of requirements for the effective use of IP for development in developing countries, LDCs and countries with economies in transition</w:t>
            </w:r>
          </w:p>
        </w:tc>
      </w:tr>
      <w:tr w:rsidR="0063033D" w:rsidRPr="00774D44" w:rsidTr="008D1891">
        <w:trPr>
          <w:cantSplit/>
          <w:trHeight w:val="402"/>
        </w:trPr>
        <w:tc>
          <w:tcPr>
            <w:tcW w:w="1843" w:type="dxa"/>
            <w:tcBorders>
              <w:top w:val="single" w:sz="4" w:space="0" w:color="000000"/>
            </w:tcBorders>
            <w:vAlign w:val="center"/>
          </w:tcPr>
          <w:p w:rsidR="0063033D" w:rsidRPr="002B7DE5" w:rsidRDefault="0063033D" w:rsidP="0024548C">
            <w:pPr>
              <w:keepNext/>
              <w:keepLines/>
              <w:spacing w:before="120"/>
              <w:rPr>
                <w:rFonts w:cs="Arial"/>
                <w:b/>
                <w:bCs/>
                <w:sz w:val="16"/>
                <w:szCs w:val="16"/>
              </w:rPr>
            </w:pPr>
            <w:r w:rsidRPr="002B7DE5">
              <w:rPr>
                <w:rFonts w:cs="Arial"/>
                <w:b/>
                <w:bCs/>
                <w:sz w:val="16"/>
                <w:szCs w:val="16"/>
              </w:rPr>
              <w:t>Activity</w:t>
            </w:r>
          </w:p>
        </w:tc>
        <w:tc>
          <w:tcPr>
            <w:tcW w:w="1134" w:type="dxa"/>
            <w:tcBorders>
              <w:top w:val="single" w:sz="4" w:space="0" w:color="000000"/>
            </w:tcBorders>
            <w:vAlign w:val="center"/>
          </w:tcPr>
          <w:p w:rsidR="0063033D" w:rsidRPr="002B7DE5" w:rsidRDefault="0063033D" w:rsidP="0024548C">
            <w:pPr>
              <w:keepNext/>
              <w:keepLines/>
              <w:spacing w:before="120"/>
              <w:rPr>
                <w:rFonts w:cs="Arial"/>
                <w:sz w:val="16"/>
                <w:szCs w:val="16"/>
              </w:rPr>
            </w:pPr>
            <w:r w:rsidRPr="002B7DE5">
              <w:rPr>
                <w:rFonts w:cs="Arial"/>
                <w:b/>
                <w:bCs/>
                <w:sz w:val="16"/>
                <w:szCs w:val="16"/>
              </w:rPr>
              <w:t>Date</w:t>
            </w:r>
          </w:p>
        </w:tc>
        <w:tc>
          <w:tcPr>
            <w:tcW w:w="1985" w:type="dxa"/>
            <w:tcBorders>
              <w:top w:val="single" w:sz="4" w:space="0" w:color="000000"/>
            </w:tcBorders>
            <w:vAlign w:val="center"/>
          </w:tcPr>
          <w:p w:rsidR="0063033D" w:rsidRPr="002B7DE5" w:rsidRDefault="0063033D" w:rsidP="0024548C">
            <w:pPr>
              <w:keepNext/>
              <w:keepLines/>
              <w:spacing w:before="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252" w:type="dxa"/>
            <w:tcBorders>
              <w:top w:val="single" w:sz="4" w:space="0" w:color="000000"/>
            </w:tcBorders>
            <w:vAlign w:val="center"/>
          </w:tcPr>
          <w:p w:rsidR="0063033D" w:rsidRPr="002B7DE5" w:rsidRDefault="0063033D" w:rsidP="0024548C">
            <w:pPr>
              <w:keepNext/>
              <w:keepLines/>
              <w:spacing w:before="120"/>
              <w:rPr>
                <w:rFonts w:cs="Arial"/>
                <w:sz w:val="16"/>
                <w:szCs w:val="16"/>
              </w:rPr>
            </w:pPr>
            <w:r w:rsidRPr="002B7DE5">
              <w:rPr>
                <w:rFonts w:cs="Arial"/>
                <w:b/>
                <w:bCs/>
                <w:sz w:val="16"/>
                <w:szCs w:val="16"/>
              </w:rPr>
              <w:t>Purpose(s)/Description(s)</w:t>
            </w:r>
          </w:p>
        </w:tc>
      </w:tr>
      <w:tr w:rsidR="0063033D" w:rsidRPr="00774D44" w:rsidTr="008D1891">
        <w:trPr>
          <w:cantSplit/>
          <w:trHeight w:val="315"/>
        </w:trPr>
        <w:tc>
          <w:tcPr>
            <w:tcW w:w="1843" w:type="dxa"/>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XXXII Seminar for IP Offices of </w:t>
            </w:r>
            <w:r w:rsidRPr="00345200">
              <w:rPr>
                <w:rFonts w:cs="Arial"/>
                <w:color w:val="000000"/>
                <w:sz w:val="16"/>
                <w:szCs w:val="16"/>
              </w:rPr>
              <w:t xml:space="preserve">Latin American </w:t>
            </w:r>
          </w:p>
        </w:tc>
        <w:tc>
          <w:tcPr>
            <w:tcW w:w="1134" w:type="dxa"/>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November 3 to 6, 2014</w:t>
            </w:r>
          </w:p>
        </w:tc>
        <w:tc>
          <w:tcPr>
            <w:tcW w:w="1985" w:type="dxa"/>
          </w:tcPr>
          <w:p w:rsidR="0063033D" w:rsidRPr="00845557" w:rsidRDefault="0063033D" w:rsidP="008D1891">
            <w:pPr>
              <w:autoSpaceDE w:val="0"/>
              <w:autoSpaceDN w:val="0"/>
              <w:adjustRightInd w:val="0"/>
              <w:spacing w:before="120" w:after="120"/>
              <w:rPr>
                <w:rFonts w:cs="Arial"/>
                <w:color w:val="000000"/>
                <w:sz w:val="16"/>
                <w:szCs w:val="16"/>
                <w:lang w:val="es-CL"/>
              </w:rPr>
            </w:pPr>
            <w:proofErr w:type="spellStart"/>
            <w:r w:rsidRPr="00845557">
              <w:rPr>
                <w:rFonts w:cs="Arial"/>
                <w:color w:val="000000"/>
                <w:sz w:val="16"/>
                <w:szCs w:val="16"/>
                <w:lang w:val="es-CL"/>
              </w:rPr>
              <w:t>Brazil</w:t>
            </w:r>
            <w:proofErr w:type="spellEnd"/>
            <w:r w:rsidRPr="00845557">
              <w:rPr>
                <w:rFonts w:cs="Arial"/>
                <w:color w:val="000000"/>
                <w:sz w:val="16"/>
                <w:szCs w:val="16"/>
                <w:lang w:val="es-CL"/>
              </w:rPr>
              <w:t xml:space="preserve">/ Argentina, Bolivia, Chile, Colombia, Costa Rica, Cuba, </w:t>
            </w:r>
            <w:proofErr w:type="spellStart"/>
            <w:r w:rsidRPr="00845557">
              <w:rPr>
                <w:rFonts w:cs="Arial"/>
                <w:color w:val="000000"/>
                <w:sz w:val="16"/>
                <w:szCs w:val="16"/>
                <w:lang w:val="es-CL"/>
              </w:rPr>
              <w:t>Dominican</w:t>
            </w:r>
            <w:proofErr w:type="spellEnd"/>
            <w:r w:rsidRPr="00845557">
              <w:rPr>
                <w:rFonts w:cs="Arial"/>
                <w:color w:val="000000"/>
                <w:sz w:val="16"/>
                <w:szCs w:val="16"/>
                <w:lang w:val="es-CL"/>
              </w:rPr>
              <w:t xml:space="preserve"> </w:t>
            </w:r>
            <w:proofErr w:type="spellStart"/>
            <w:r w:rsidRPr="00845557">
              <w:rPr>
                <w:rFonts w:cs="Arial"/>
                <w:color w:val="000000"/>
                <w:sz w:val="16"/>
                <w:szCs w:val="16"/>
                <w:lang w:val="es-CL"/>
              </w:rPr>
              <w:t>Republic</w:t>
            </w:r>
            <w:proofErr w:type="spellEnd"/>
            <w:r w:rsidRPr="00845557">
              <w:rPr>
                <w:rFonts w:cs="Arial"/>
                <w:color w:val="000000"/>
                <w:sz w:val="16"/>
                <w:szCs w:val="16"/>
                <w:lang w:val="es-CL"/>
              </w:rPr>
              <w:t xml:space="preserve">, Ecuador, El Salvador, Guatemala, Honduras, </w:t>
            </w:r>
            <w:proofErr w:type="spellStart"/>
            <w:r w:rsidRPr="00845557">
              <w:rPr>
                <w:rFonts w:cs="Arial"/>
                <w:color w:val="000000"/>
                <w:sz w:val="16"/>
                <w:szCs w:val="16"/>
                <w:lang w:val="es-CL"/>
              </w:rPr>
              <w:t>Mexico</w:t>
            </w:r>
            <w:proofErr w:type="spellEnd"/>
            <w:r w:rsidRPr="00845557">
              <w:rPr>
                <w:rFonts w:cs="Arial"/>
                <w:color w:val="000000"/>
                <w:sz w:val="16"/>
                <w:szCs w:val="16"/>
                <w:lang w:val="es-CL"/>
              </w:rPr>
              <w:t xml:space="preserve">, Nicaragua, </w:t>
            </w:r>
            <w:proofErr w:type="spellStart"/>
            <w:r w:rsidRPr="00845557">
              <w:rPr>
                <w:rFonts w:cs="Arial"/>
                <w:color w:val="000000"/>
                <w:sz w:val="16"/>
                <w:szCs w:val="16"/>
                <w:lang w:val="es-CL"/>
              </w:rPr>
              <w:t>Panama</w:t>
            </w:r>
            <w:proofErr w:type="spellEnd"/>
            <w:r w:rsidRPr="00845557">
              <w:rPr>
                <w:rFonts w:cs="Arial"/>
                <w:color w:val="000000"/>
                <w:sz w:val="16"/>
                <w:szCs w:val="16"/>
                <w:lang w:val="es-CL"/>
              </w:rPr>
              <w:t xml:space="preserve">, Paraguay, </w:t>
            </w:r>
            <w:proofErr w:type="spellStart"/>
            <w:r w:rsidRPr="00845557">
              <w:rPr>
                <w:rFonts w:cs="Arial"/>
                <w:color w:val="000000"/>
                <w:sz w:val="16"/>
                <w:szCs w:val="16"/>
                <w:lang w:val="es-CL"/>
              </w:rPr>
              <w:t>Peru</w:t>
            </w:r>
            <w:proofErr w:type="spellEnd"/>
            <w:r w:rsidRPr="00845557">
              <w:rPr>
                <w:rFonts w:cs="Arial"/>
                <w:color w:val="000000"/>
                <w:sz w:val="16"/>
                <w:szCs w:val="16"/>
                <w:lang w:val="es-CL"/>
              </w:rPr>
              <w:t>, Uruguay</w:t>
            </w:r>
          </w:p>
        </w:tc>
        <w:tc>
          <w:tcPr>
            <w:tcW w:w="4252" w:type="dxa"/>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To: (</w:t>
            </w:r>
            <w:proofErr w:type="spellStart"/>
            <w:r>
              <w:rPr>
                <w:rFonts w:cs="Arial"/>
                <w:color w:val="000000"/>
                <w:sz w:val="16"/>
                <w:szCs w:val="16"/>
              </w:rPr>
              <w:t>i</w:t>
            </w:r>
            <w:proofErr w:type="spellEnd"/>
            <w:r>
              <w:rPr>
                <w:rFonts w:cs="Arial"/>
                <w:color w:val="000000"/>
                <w:sz w:val="16"/>
                <w:szCs w:val="16"/>
              </w:rPr>
              <w:t>) train the officials of IP Offices on the use of technological information as a strategic tool for development; and (ii) to provide a forum for discussion on information services offered by IP Offices, the elaboration of patent mining studies as a subsidy for public policies, strategies of technological monitoring, and the use of patent databases</w:t>
            </w:r>
          </w:p>
        </w:tc>
      </w:tr>
      <w:tr w:rsidR="0063033D" w:rsidRPr="00774D44" w:rsidTr="008D1891">
        <w:trPr>
          <w:cantSplit/>
          <w:trHeight w:val="315"/>
        </w:trPr>
        <w:tc>
          <w:tcPr>
            <w:tcW w:w="1843" w:type="dxa"/>
          </w:tcPr>
          <w:p w:rsidR="0063033D" w:rsidRPr="00B357EF" w:rsidRDefault="0063033D" w:rsidP="008D1891">
            <w:pPr>
              <w:autoSpaceDE w:val="0"/>
              <w:autoSpaceDN w:val="0"/>
              <w:adjustRightInd w:val="0"/>
              <w:spacing w:before="120" w:after="120"/>
              <w:rPr>
                <w:rFonts w:cs="Arial"/>
                <w:sz w:val="16"/>
                <w:szCs w:val="16"/>
              </w:rPr>
            </w:pPr>
            <w:r>
              <w:rPr>
                <w:rFonts w:cs="Arial"/>
                <w:sz w:val="16"/>
                <w:szCs w:val="16"/>
              </w:rPr>
              <w:t>I Regional Workshop on IP and Technology Transfer</w:t>
            </w:r>
          </w:p>
        </w:tc>
        <w:tc>
          <w:tcPr>
            <w:tcW w:w="1134" w:type="dxa"/>
          </w:tcPr>
          <w:p w:rsidR="0063033D" w:rsidRPr="00B357EF" w:rsidRDefault="0063033D" w:rsidP="008D1891">
            <w:pPr>
              <w:spacing w:before="120" w:after="120"/>
              <w:rPr>
                <w:rFonts w:cs="Arial"/>
                <w:sz w:val="16"/>
                <w:szCs w:val="16"/>
              </w:rPr>
            </w:pPr>
            <w:r>
              <w:rPr>
                <w:rFonts w:cs="Arial"/>
                <w:sz w:val="16"/>
                <w:szCs w:val="16"/>
              </w:rPr>
              <w:t>December 10 to 12, 2014</w:t>
            </w:r>
          </w:p>
        </w:tc>
        <w:tc>
          <w:tcPr>
            <w:tcW w:w="1985" w:type="dxa"/>
          </w:tcPr>
          <w:p w:rsidR="0063033D" w:rsidRPr="008F7B65" w:rsidRDefault="0063033D" w:rsidP="008D1891">
            <w:pPr>
              <w:autoSpaceDE w:val="0"/>
              <w:autoSpaceDN w:val="0"/>
              <w:adjustRightInd w:val="0"/>
              <w:spacing w:before="120" w:after="120"/>
              <w:rPr>
                <w:rFonts w:cs="Arial"/>
                <w:color w:val="000000"/>
                <w:sz w:val="16"/>
                <w:szCs w:val="16"/>
                <w:lang w:val="es-ES"/>
              </w:rPr>
            </w:pPr>
            <w:r w:rsidRPr="008F7B65">
              <w:rPr>
                <w:rFonts w:cs="Arial"/>
                <w:color w:val="000000"/>
                <w:sz w:val="16"/>
                <w:szCs w:val="16"/>
                <w:lang w:val="es-ES"/>
              </w:rPr>
              <w:t xml:space="preserve">Uruguay/ Argentina, </w:t>
            </w:r>
            <w:proofErr w:type="spellStart"/>
            <w:r w:rsidRPr="008F7B65">
              <w:rPr>
                <w:rFonts w:cs="Arial"/>
                <w:color w:val="000000"/>
                <w:sz w:val="16"/>
                <w:szCs w:val="16"/>
                <w:lang w:val="es-ES"/>
              </w:rPr>
              <w:t>Brazil</w:t>
            </w:r>
            <w:proofErr w:type="spellEnd"/>
            <w:r w:rsidRPr="008F7B65">
              <w:rPr>
                <w:rFonts w:cs="Arial"/>
                <w:color w:val="000000"/>
                <w:sz w:val="16"/>
                <w:szCs w:val="16"/>
                <w:lang w:val="es-ES"/>
              </w:rPr>
              <w:t>, Chile, Paraguay, Uruguay</w:t>
            </w:r>
          </w:p>
        </w:tc>
        <w:tc>
          <w:tcPr>
            <w:tcW w:w="4252" w:type="dxa"/>
          </w:tcPr>
          <w:p w:rsidR="0063033D" w:rsidRPr="00D566BF" w:rsidRDefault="0063033D" w:rsidP="008D1891">
            <w:pPr>
              <w:autoSpaceDE w:val="0"/>
              <w:autoSpaceDN w:val="0"/>
              <w:adjustRightInd w:val="0"/>
              <w:spacing w:before="120" w:after="120"/>
              <w:rPr>
                <w:rFonts w:cs="Arial"/>
                <w:sz w:val="16"/>
                <w:szCs w:val="16"/>
              </w:rPr>
            </w:pPr>
            <w:r>
              <w:rPr>
                <w:rFonts w:cs="Arial"/>
                <w:sz w:val="16"/>
                <w:szCs w:val="16"/>
              </w:rPr>
              <w:t>To discuss: (</w:t>
            </w:r>
            <w:proofErr w:type="spellStart"/>
            <w:r>
              <w:rPr>
                <w:rFonts w:cs="Arial"/>
                <w:sz w:val="16"/>
                <w:szCs w:val="16"/>
              </w:rPr>
              <w:t>i</w:t>
            </w:r>
            <w:proofErr w:type="spellEnd"/>
            <w:r>
              <w:rPr>
                <w:rFonts w:cs="Arial"/>
                <w:sz w:val="16"/>
                <w:szCs w:val="16"/>
              </w:rPr>
              <w:t>) the structuring of national and institutional IP strategies; (ii) the establishment of technology transfer offices; and (iii) strategic models for fostering innovation</w:t>
            </w:r>
          </w:p>
        </w:tc>
      </w:tr>
    </w:tbl>
    <w:p w:rsidR="0063033D" w:rsidRDefault="0063033D" w:rsidP="008D1891">
      <w:pPr>
        <w:tabs>
          <w:tab w:val="left" w:pos="0"/>
          <w:tab w:val="left" w:pos="9071"/>
        </w:tabs>
        <w:rPr>
          <w:rFonts w:cs="Arial"/>
          <w:b/>
          <w:szCs w:val="20"/>
        </w:rPr>
      </w:pPr>
    </w:p>
    <w:p w:rsidR="0063033D" w:rsidRDefault="0063033D" w:rsidP="008D1891">
      <w:pPr>
        <w:tabs>
          <w:tab w:val="left" w:pos="0"/>
          <w:tab w:val="left" w:pos="9071"/>
        </w:tabs>
        <w:rPr>
          <w:rFonts w:cs="Arial"/>
          <w:b/>
          <w:szCs w:val="20"/>
        </w:rPr>
      </w:pPr>
    </w:p>
    <w:p w:rsidR="0063033D" w:rsidRPr="001737B3" w:rsidRDefault="0063033D" w:rsidP="008D1891">
      <w:pPr>
        <w:tabs>
          <w:tab w:val="left" w:pos="0"/>
          <w:tab w:val="left" w:pos="9071"/>
        </w:tabs>
        <w:rPr>
          <w:rFonts w:cs="Arial"/>
          <w:b/>
          <w:sz w:val="18"/>
          <w:szCs w:val="18"/>
        </w:rPr>
      </w:pPr>
      <w:r>
        <w:rPr>
          <w:rFonts w:cs="Arial"/>
          <w:b/>
          <w:sz w:val="18"/>
          <w:szCs w:val="18"/>
        </w:rPr>
        <w:t xml:space="preserve">BRAZIL SOUTH </w:t>
      </w:r>
      <w:r w:rsidRPr="001737B3">
        <w:rPr>
          <w:rFonts w:cs="Arial"/>
          <w:b/>
          <w:sz w:val="18"/>
          <w:szCs w:val="18"/>
        </w:rPr>
        <w:t>Donor Contributions and Expenditure in 201</w:t>
      </w:r>
      <w:r>
        <w:rPr>
          <w:rFonts w:cs="Arial"/>
          <w:b/>
          <w:sz w:val="18"/>
          <w:szCs w:val="18"/>
        </w:rPr>
        <w:t>4</w:t>
      </w:r>
    </w:p>
    <w:p w:rsidR="0063033D" w:rsidRDefault="0063033D" w:rsidP="008D1891">
      <w:pPr>
        <w:tabs>
          <w:tab w:val="left" w:pos="0"/>
          <w:tab w:val="left" w:pos="9071"/>
        </w:tabs>
        <w:rPr>
          <w:rFonts w:cs="Arial"/>
          <w:b/>
          <w:szCs w:val="20"/>
        </w:rPr>
      </w:pPr>
    </w:p>
    <w:tbl>
      <w:tblPr>
        <w:tblW w:w="9073" w:type="dxa"/>
        <w:jc w:val="center"/>
        <w:tblInd w:w="93" w:type="dxa"/>
        <w:tblLook w:val="04A0" w:firstRow="1" w:lastRow="0" w:firstColumn="1" w:lastColumn="0" w:noHBand="0" w:noVBand="1"/>
      </w:tblPr>
      <w:tblGrid>
        <w:gridCol w:w="2048"/>
        <w:gridCol w:w="1511"/>
        <w:gridCol w:w="1701"/>
        <w:gridCol w:w="1843"/>
        <w:gridCol w:w="1970"/>
      </w:tblGrid>
      <w:tr w:rsidR="0063033D" w:rsidTr="008D1891">
        <w:trPr>
          <w:trHeight w:val="488"/>
          <w:jc w:val="center"/>
        </w:trPr>
        <w:tc>
          <w:tcPr>
            <w:tcW w:w="204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2013</w:t>
            </w:r>
          </w:p>
        </w:tc>
        <w:tc>
          <w:tcPr>
            <w:tcW w:w="1511"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Income 2014</w:t>
            </w:r>
          </w:p>
        </w:tc>
        <w:tc>
          <w:tcPr>
            <w:tcW w:w="1701"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Expenditure 2014</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Reimbursements</w:t>
            </w:r>
          </w:p>
        </w:tc>
        <w:tc>
          <w:tcPr>
            <w:tcW w:w="1970"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2014</w:t>
            </w:r>
          </w:p>
        </w:tc>
      </w:tr>
      <w:tr w:rsidR="0063033D" w:rsidTr="008D1891">
        <w:trPr>
          <w:trHeight w:val="410"/>
          <w:jc w:val="center"/>
        </w:trPr>
        <w:tc>
          <w:tcPr>
            <w:tcW w:w="2048" w:type="dxa"/>
            <w:tcBorders>
              <w:top w:val="nil"/>
              <w:left w:val="single" w:sz="4" w:space="0" w:color="auto"/>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75,048</w:t>
            </w:r>
          </w:p>
        </w:tc>
        <w:tc>
          <w:tcPr>
            <w:tcW w:w="1511"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372,786</w:t>
            </w:r>
          </w:p>
        </w:tc>
        <w:tc>
          <w:tcPr>
            <w:tcW w:w="1701"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63,025</w:t>
            </w:r>
          </w:p>
        </w:tc>
        <w:tc>
          <w:tcPr>
            <w:tcW w:w="1843"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w:t>
            </w:r>
          </w:p>
        </w:tc>
        <w:tc>
          <w:tcPr>
            <w:tcW w:w="1970"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384,809</w:t>
            </w:r>
          </w:p>
        </w:tc>
      </w:tr>
    </w:tbl>
    <w:p w:rsidR="0063033D" w:rsidRDefault="0063033D" w:rsidP="008D1891">
      <w:pPr>
        <w:tabs>
          <w:tab w:val="left" w:pos="0"/>
          <w:tab w:val="left" w:pos="9071"/>
        </w:tabs>
        <w:rPr>
          <w:rFonts w:cs="Arial"/>
          <w:b/>
          <w:szCs w:val="20"/>
        </w:rPr>
      </w:pPr>
      <w:r>
        <w:rPr>
          <w:rFonts w:cs="Arial"/>
          <w:b/>
          <w:szCs w:val="20"/>
        </w:rPr>
        <w:br w:type="page"/>
      </w:r>
      <w:r>
        <w:rPr>
          <w:rFonts w:cs="Arial"/>
          <w:b/>
          <w:szCs w:val="20"/>
        </w:rPr>
        <w:lastRenderedPageBreak/>
        <w:t>EUROPEAN UNION (Pakistan Project)</w:t>
      </w:r>
    </w:p>
    <w:p w:rsidR="0063033D" w:rsidRDefault="0063033D" w:rsidP="008D1891">
      <w:pPr>
        <w:tabs>
          <w:tab w:val="left" w:pos="0"/>
          <w:tab w:val="left" w:pos="9071"/>
        </w:tabs>
        <w:rPr>
          <w:rFonts w:cs="Arial"/>
          <w:b/>
          <w:szCs w:val="20"/>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985"/>
        <w:gridCol w:w="4394"/>
      </w:tblGrid>
      <w:tr w:rsidR="0063033D" w:rsidRPr="002B7DE5" w:rsidTr="008D1891">
        <w:trPr>
          <w:cantSplit/>
        </w:trPr>
        <w:tc>
          <w:tcPr>
            <w:tcW w:w="9356" w:type="dxa"/>
            <w:gridSpan w:val="4"/>
            <w:tcBorders>
              <w:top w:val="single" w:sz="4" w:space="0" w:color="000000"/>
              <w:bottom w:val="single" w:sz="4" w:space="0" w:color="000000"/>
            </w:tcBorders>
            <w:shd w:val="clear" w:color="auto" w:fill="CCFFFF"/>
            <w:vAlign w:val="center"/>
          </w:tcPr>
          <w:p w:rsidR="0063033D" w:rsidRPr="002B7DE5" w:rsidRDefault="0063033D" w:rsidP="008D1891">
            <w:pPr>
              <w:keepNext/>
              <w:keepLines/>
              <w:tabs>
                <w:tab w:val="left" w:pos="1740"/>
              </w:tabs>
              <w:spacing w:before="120" w:after="120"/>
              <w:ind w:left="1740" w:hanging="1740"/>
              <w:rPr>
                <w:rFonts w:cs="Arial"/>
                <w:b/>
                <w:bCs/>
                <w:sz w:val="16"/>
                <w:szCs w:val="16"/>
              </w:rPr>
            </w:pPr>
            <w:r w:rsidRPr="00774D44">
              <w:rPr>
                <w:rFonts w:cs="Arial"/>
                <w:b/>
                <w:bCs/>
                <w:color w:val="000000"/>
                <w:sz w:val="16"/>
                <w:szCs w:val="16"/>
              </w:rPr>
              <w:t>RESULT</w:t>
            </w:r>
            <w:r w:rsidRPr="002B7DE5">
              <w:rPr>
                <w:rFonts w:cs="Arial"/>
                <w:b/>
                <w:bCs/>
                <w:sz w:val="16"/>
                <w:szCs w:val="16"/>
              </w:rPr>
              <w:t>:</w:t>
            </w:r>
            <w:r w:rsidRPr="002B7DE5">
              <w:rPr>
                <w:rFonts w:cs="Arial"/>
                <w:b/>
                <w:bCs/>
                <w:sz w:val="16"/>
                <w:szCs w:val="16"/>
              </w:rPr>
              <w:tab/>
            </w:r>
            <w:r w:rsidRPr="000B61A2">
              <w:rPr>
                <w:rFonts w:eastAsia="MS Mincho" w:cs="Arial"/>
                <w:bCs/>
                <w:color w:val="000000"/>
                <w:sz w:val="16"/>
                <w:szCs w:val="16"/>
                <w:lang w:val="en-AU" w:eastAsia="ja-JP" w:bidi="th-TH"/>
              </w:rPr>
              <w:t>I.2.  Tailored and balanced IP legislative, regulatory and policy frameworks</w:t>
            </w:r>
          </w:p>
        </w:tc>
      </w:tr>
      <w:tr w:rsidR="0063033D" w:rsidRPr="002B7DE5" w:rsidTr="008D1891">
        <w:trPr>
          <w:cantSplit/>
        </w:trPr>
        <w:tc>
          <w:tcPr>
            <w:tcW w:w="1843" w:type="dxa"/>
            <w:tcBorders>
              <w:top w:val="single" w:sz="4" w:space="0" w:color="000000"/>
            </w:tcBorders>
            <w:vAlign w:val="center"/>
          </w:tcPr>
          <w:p w:rsidR="0063033D" w:rsidRPr="002B7DE5" w:rsidRDefault="0063033D" w:rsidP="008D1891">
            <w:pPr>
              <w:keepNext/>
              <w:keepLines/>
              <w:rPr>
                <w:rFonts w:cs="Arial"/>
                <w:b/>
                <w:bCs/>
                <w:sz w:val="16"/>
                <w:szCs w:val="16"/>
              </w:rPr>
            </w:pPr>
            <w:r w:rsidRPr="002B7DE5">
              <w:rPr>
                <w:rFonts w:cs="Arial"/>
                <w:b/>
                <w:bCs/>
                <w:sz w:val="16"/>
                <w:szCs w:val="16"/>
              </w:rPr>
              <w:t>Activity</w:t>
            </w:r>
          </w:p>
        </w:tc>
        <w:tc>
          <w:tcPr>
            <w:tcW w:w="1134" w:type="dxa"/>
            <w:tcBorders>
              <w:top w:val="single" w:sz="4" w:space="0" w:color="000000"/>
            </w:tcBorders>
            <w:shd w:val="clear" w:color="auto" w:fill="auto"/>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Date</w:t>
            </w:r>
          </w:p>
        </w:tc>
        <w:tc>
          <w:tcPr>
            <w:tcW w:w="1985" w:type="dxa"/>
            <w:tcBorders>
              <w:top w:val="single" w:sz="4" w:space="0" w:color="000000"/>
            </w:tcBorders>
            <w:shd w:val="clear" w:color="auto" w:fill="auto"/>
            <w:tcMar>
              <w:top w:w="110" w:type="dxa"/>
            </w:tcMar>
            <w:vAlign w:val="center"/>
          </w:tcPr>
          <w:p w:rsidR="0063033D" w:rsidRDefault="0063033D" w:rsidP="008D1891">
            <w:pPr>
              <w:keepNext/>
              <w:keepLines/>
              <w:rPr>
                <w:rFonts w:cs="Arial"/>
                <w:b/>
                <w:bCs/>
                <w:sz w:val="16"/>
                <w:szCs w:val="16"/>
              </w:rPr>
            </w:pPr>
            <w:r w:rsidRPr="002B7DE5">
              <w:rPr>
                <w:rFonts w:cs="Arial"/>
                <w:b/>
                <w:bCs/>
                <w:sz w:val="16"/>
                <w:szCs w:val="16"/>
              </w:rPr>
              <w:t>Host Country/</w:t>
            </w:r>
            <w:r w:rsidRPr="002B7DE5">
              <w:rPr>
                <w:rFonts w:cs="Arial"/>
                <w:b/>
                <w:bCs/>
                <w:sz w:val="16"/>
                <w:szCs w:val="16"/>
              </w:rPr>
              <w:br/>
              <w:t>Recipients</w:t>
            </w:r>
          </w:p>
          <w:p w:rsidR="0024548C" w:rsidRPr="002B7DE5" w:rsidRDefault="0024548C" w:rsidP="008D1891">
            <w:pPr>
              <w:keepNext/>
              <w:keepLines/>
              <w:rPr>
                <w:rFonts w:cs="Arial"/>
                <w:sz w:val="16"/>
                <w:szCs w:val="16"/>
              </w:rPr>
            </w:pPr>
          </w:p>
        </w:tc>
        <w:tc>
          <w:tcPr>
            <w:tcW w:w="4394" w:type="dxa"/>
            <w:tcBorders>
              <w:top w:val="single" w:sz="4" w:space="0" w:color="000000"/>
            </w:tcBorders>
            <w:shd w:val="clear" w:color="auto" w:fill="FFFFFF"/>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Purpose(s)/Description(s)</w:t>
            </w:r>
          </w:p>
        </w:tc>
      </w:tr>
      <w:tr w:rsidR="0063033D" w:rsidRPr="00774D44" w:rsidTr="008D1891">
        <w:trPr>
          <w:cantSplit/>
          <w:trHeight w:val="495"/>
        </w:trPr>
        <w:tc>
          <w:tcPr>
            <w:tcW w:w="1843" w:type="dxa"/>
          </w:tcPr>
          <w:p w:rsidR="0063033D" w:rsidRPr="002124F7" w:rsidRDefault="0063033D" w:rsidP="008D1891">
            <w:pPr>
              <w:keepNext/>
              <w:keepLines/>
              <w:rPr>
                <w:rFonts w:cs="Arial"/>
                <w:bCs/>
                <w:sz w:val="16"/>
                <w:szCs w:val="16"/>
              </w:rPr>
            </w:pPr>
            <w:r w:rsidRPr="002124F7">
              <w:rPr>
                <w:rFonts w:cs="Arial"/>
                <w:bCs/>
                <w:sz w:val="16"/>
                <w:szCs w:val="16"/>
              </w:rPr>
              <w:t xml:space="preserve">Stakeholders Consultations on Plant Breeders Rights (PBRs) </w:t>
            </w:r>
          </w:p>
        </w:tc>
        <w:tc>
          <w:tcPr>
            <w:tcW w:w="1134" w:type="dxa"/>
          </w:tcPr>
          <w:p w:rsidR="0063033D" w:rsidRPr="002124F7" w:rsidRDefault="0063033D" w:rsidP="008D1891">
            <w:pPr>
              <w:keepNext/>
              <w:keepLines/>
              <w:rPr>
                <w:rFonts w:cs="Arial"/>
                <w:b/>
                <w:bCs/>
                <w:sz w:val="16"/>
                <w:szCs w:val="16"/>
              </w:rPr>
            </w:pPr>
            <w:r w:rsidRPr="002124F7">
              <w:rPr>
                <w:rFonts w:cs="Arial"/>
                <w:color w:val="000000"/>
                <w:sz w:val="16"/>
                <w:szCs w:val="16"/>
              </w:rPr>
              <w:t>February 11 to 13, 2014</w:t>
            </w:r>
          </w:p>
        </w:tc>
        <w:tc>
          <w:tcPr>
            <w:tcW w:w="1985" w:type="dxa"/>
          </w:tcPr>
          <w:p w:rsidR="0063033D" w:rsidRPr="002124F7" w:rsidRDefault="0063033D" w:rsidP="008D1891">
            <w:pPr>
              <w:keepNext/>
              <w:keepLines/>
              <w:rPr>
                <w:rFonts w:cs="Arial"/>
                <w:bCs/>
                <w:sz w:val="16"/>
                <w:szCs w:val="16"/>
              </w:rPr>
            </w:pPr>
            <w:r w:rsidRPr="002124F7">
              <w:rPr>
                <w:rFonts w:cs="Arial"/>
                <w:bCs/>
                <w:sz w:val="16"/>
                <w:szCs w:val="16"/>
              </w:rPr>
              <w:t>Pakistan</w:t>
            </w:r>
            <w:r>
              <w:rPr>
                <w:rFonts w:cs="Arial"/>
                <w:bCs/>
                <w:sz w:val="16"/>
                <w:szCs w:val="16"/>
              </w:rPr>
              <w:t xml:space="preserve">/ </w:t>
            </w:r>
            <w:r w:rsidRPr="002124F7">
              <w:rPr>
                <w:rFonts w:cs="Arial"/>
                <w:bCs/>
                <w:sz w:val="16"/>
                <w:szCs w:val="16"/>
              </w:rPr>
              <w:t xml:space="preserve">23 </w:t>
            </w:r>
            <w:r>
              <w:rPr>
                <w:rFonts w:cs="Arial"/>
                <w:bCs/>
                <w:sz w:val="16"/>
                <w:szCs w:val="16"/>
              </w:rPr>
              <w:t xml:space="preserve">national </w:t>
            </w:r>
            <w:r w:rsidRPr="002124F7">
              <w:rPr>
                <w:rFonts w:cs="Arial"/>
                <w:bCs/>
                <w:sz w:val="16"/>
                <w:szCs w:val="16"/>
              </w:rPr>
              <w:t xml:space="preserve">participants </w:t>
            </w:r>
          </w:p>
        </w:tc>
        <w:tc>
          <w:tcPr>
            <w:tcW w:w="4394" w:type="dxa"/>
          </w:tcPr>
          <w:p w:rsidR="0063033D" w:rsidRPr="002124F7" w:rsidRDefault="0063033D" w:rsidP="008D1891">
            <w:pPr>
              <w:autoSpaceDE w:val="0"/>
              <w:autoSpaceDN w:val="0"/>
              <w:adjustRightInd w:val="0"/>
              <w:rPr>
                <w:rFonts w:cs="Arial"/>
                <w:color w:val="000000"/>
                <w:sz w:val="16"/>
                <w:szCs w:val="16"/>
              </w:rPr>
            </w:pPr>
            <w:r w:rsidRPr="002124F7">
              <w:rPr>
                <w:rFonts w:cs="Arial"/>
                <w:color w:val="000000"/>
                <w:sz w:val="16"/>
                <w:szCs w:val="16"/>
              </w:rPr>
              <w:t>To hold consultations with national stakeholders on protection of PBRs, including on practical measures to operationalize and administer a system for PBR protection.</w:t>
            </w:r>
          </w:p>
          <w:p w:rsidR="0063033D" w:rsidRPr="002124F7" w:rsidRDefault="0063033D" w:rsidP="008D1891">
            <w:pPr>
              <w:keepNext/>
              <w:keepLines/>
              <w:rPr>
                <w:rFonts w:cs="Arial"/>
                <w:b/>
                <w:bCs/>
                <w:sz w:val="16"/>
                <w:szCs w:val="16"/>
              </w:rPr>
            </w:pPr>
          </w:p>
        </w:tc>
      </w:tr>
      <w:tr w:rsidR="0063033D" w:rsidRPr="00774D44" w:rsidTr="0024548C">
        <w:trPr>
          <w:cantSplit/>
          <w:trHeight w:val="530"/>
        </w:trPr>
        <w:tc>
          <w:tcPr>
            <w:tcW w:w="1843" w:type="dxa"/>
            <w:tcMar>
              <w:top w:w="85" w:type="dxa"/>
            </w:tcMar>
          </w:tcPr>
          <w:p w:rsidR="0063033D" w:rsidRPr="00B93AF6" w:rsidRDefault="0063033D" w:rsidP="008D1891">
            <w:pPr>
              <w:autoSpaceDE w:val="0"/>
              <w:autoSpaceDN w:val="0"/>
              <w:adjustRightInd w:val="0"/>
              <w:spacing w:after="120"/>
              <w:rPr>
                <w:rFonts w:cs="Arial"/>
                <w:color w:val="000000"/>
                <w:sz w:val="16"/>
                <w:szCs w:val="16"/>
              </w:rPr>
            </w:pPr>
            <w:r>
              <w:rPr>
                <w:rFonts w:cs="Arial"/>
                <w:color w:val="000000"/>
                <w:sz w:val="16"/>
                <w:szCs w:val="16"/>
              </w:rPr>
              <w:t>Finalization of a Paper on Branding Options for a Citrus Fruit (</w:t>
            </w:r>
            <w:proofErr w:type="spellStart"/>
            <w:r>
              <w:rPr>
                <w:rFonts w:cs="Arial"/>
                <w:color w:val="000000"/>
                <w:sz w:val="16"/>
                <w:szCs w:val="16"/>
              </w:rPr>
              <w:t>Kinnow</w:t>
            </w:r>
            <w:proofErr w:type="spellEnd"/>
            <w:r>
              <w:rPr>
                <w:rFonts w:cs="Arial"/>
                <w:color w:val="000000"/>
                <w:sz w:val="16"/>
                <w:szCs w:val="16"/>
              </w:rPr>
              <w:t xml:space="preserve">) </w:t>
            </w:r>
          </w:p>
        </w:tc>
        <w:tc>
          <w:tcPr>
            <w:tcW w:w="1134" w:type="dxa"/>
            <w:tcMar>
              <w:top w:w="85" w:type="dxa"/>
            </w:tcMar>
          </w:tcPr>
          <w:p w:rsidR="0063033D" w:rsidRPr="00B93AF6" w:rsidRDefault="0063033D" w:rsidP="008D1891">
            <w:pPr>
              <w:autoSpaceDE w:val="0"/>
              <w:autoSpaceDN w:val="0"/>
              <w:adjustRightInd w:val="0"/>
              <w:spacing w:after="120"/>
              <w:rPr>
                <w:rFonts w:cs="Arial"/>
                <w:color w:val="000000"/>
                <w:sz w:val="16"/>
                <w:szCs w:val="16"/>
              </w:rPr>
            </w:pPr>
            <w:r>
              <w:rPr>
                <w:rFonts w:cs="Arial"/>
                <w:color w:val="000000"/>
                <w:sz w:val="16"/>
                <w:szCs w:val="16"/>
              </w:rPr>
              <w:t>March 2014</w:t>
            </w:r>
          </w:p>
        </w:tc>
        <w:tc>
          <w:tcPr>
            <w:tcW w:w="1985" w:type="dxa"/>
            <w:tcMar>
              <w:top w:w="85" w:type="dxa"/>
            </w:tcMar>
          </w:tcPr>
          <w:p w:rsidR="0063033D" w:rsidRPr="00B93AF6" w:rsidRDefault="0063033D" w:rsidP="008D1891">
            <w:pPr>
              <w:autoSpaceDE w:val="0"/>
              <w:autoSpaceDN w:val="0"/>
              <w:adjustRightInd w:val="0"/>
              <w:spacing w:after="120"/>
              <w:rPr>
                <w:rFonts w:cs="Arial"/>
                <w:color w:val="000000"/>
                <w:sz w:val="16"/>
                <w:szCs w:val="16"/>
              </w:rPr>
            </w:pPr>
            <w:r>
              <w:rPr>
                <w:rFonts w:cs="Arial"/>
                <w:color w:val="000000"/>
                <w:sz w:val="16"/>
                <w:szCs w:val="16"/>
              </w:rPr>
              <w:t xml:space="preserve">Pakistan/ Intellectual Property Organization (IPO) of Pakistan </w:t>
            </w:r>
          </w:p>
        </w:tc>
        <w:tc>
          <w:tcPr>
            <w:tcW w:w="4394" w:type="dxa"/>
            <w:tcMar>
              <w:top w:w="85" w:type="dxa"/>
            </w:tcMar>
          </w:tcPr>
          <w:p w:rsidR="0063033D" w:rsidRDefault="0063033D" w:rsidP="008D1891">
            <w:pPr>
              <w:autoSpaceDE w:val="0"/>
              <w:autoSpaceDN w:val="0"/>
              <w:adjustRightInd w:val="0"/>
              <w:spacing w:after="120"/>
              <w:rPr>
                <w:rFonts w:cs="Arial"/>
                <w:color w:val="000000"/>
                <w:sz w:val="16"/>
                <w:szCs w:val="16"/>
              </w:rPr>
            </w:pPr>
            <w:r>
              <w:rPr>
                <w:rFonts w:cs="Arial"/>
                <w:color w:val="000000"/>
                <w:sz w:val="16"/>
                <w:szCs w:val="16"/>
              </w:rPr>
              <w:t xml:space="preserve">To identify/elaborate IP options for branding </w:t>
            </w:r>
            <w:proofErr w:type="spellStart"/>
            <w:r>
              <w:rPr>
                <w:rFonts w:cs="Arial"/>
                <w:color w:val="000000"/>
                <w:sz w:val="16"/>
                <w:szCs w:val="16"/>
              </w:rPr>
              <w:t>Kinnows</w:t>
            </w:r>
            <w:proofErr w:type="spellEnd"/>
            <w:r>
              <w:rPr>
                <w:rFonts w:cs="Arial"/>
                <w:color w:val="000000"/>
                <w:sz w:val="16"/>
                <w:szCs w:val="16"/>
              </w:rPr>
              <w:t xml:space="preserve"> through the use of Marks and GIs.</w:t>
            </w:r>
          </w:p>
          <w:p w:rsidR="0063033D" w:rsidRPr="00B93AF6" w:rsidRDefault="0063033D" w:rsidP="008D1891">
            <w:pPr>
              <w:autoSpaceDE w:val="0"/>
              <w:autoSpaceDN w:val="0"/>
              <w:adjustRightInd w:val="0"/>
              <w:spacing w:before="120" w:after="120"/>
              <w:rPr>
                <w:rFonts w:cs="Arial"/>
                <w:color w:val="000000"/>
                <w:sz w:val="16"/>
                <w:szCs w:val="16"/>
              </w:rPr>
            </w:pPr>
          </w:p>
        </w:tc>
      </w:tr>
      <w:tr w:rsidR="0063033D" w:rsidRPr="00774D44" w:rsidTr="008D1891">
        <w:trPr>
          <w:cantSplit/>
          <w:trHeight w:val="315"/>
        </w:trPr>
        <w:tc>
          <w:tcPr>
            <w:tcW w:w="9356" w:type="dxa"/>
            <w:gridSpan w:val="4"/>
            <w:tcBorders>
              <w:top w:val="single" w:sz="4" w:space="0" w:color="000000"/>
              <w:bottom w:val="single" w:sz="4" w:space="0" w:color="000000"/>
            </w:tcBorders>
            <w:shd w:val="clear" w:color="auto" w:fill="CCFFFF"/>
          </w:tcPr>
          <w:p w:rsidR="0063033D" w:rsidRPr="00774D44" w:rsidRDefault="0063033D" w:rsidP="008D1891">
            <w:pPr>
              <w:keepNext/>
              <w:keepLines/>
              <w:tabs>
                <w:tab w:val="left" w:pos="1740"/>
              </w:tabs>
              <w:spacing w:before="120" w:after="120"/>
              <w:ind w:left="1740" w:hanging="1740"/>
              <w:rPr>
                <w:rFonts w:cs="Arial"/>
                <w:color w:val="000000"/>
                <w:sz w:val="16"/>
                <w:szCs w:val="16"/>
              </w:rPr>
            </w:pPr>
            <w:r w:rsidRPr="00712F53">
              <w:rPr>
                <w:rFonts w:cs="Arial"/>
                <w:b/>
                <w:bCs/>
                <w:color w:val="000000"/>
                <w:sz w:val="16"/>
                <w:szCs w:val="16"/>
              </w:rPr>
              <w:t>RESULT</w:t>
            </w:r>
            <w:r w:rsidRPr="00712F53">
              <w:rPr>
                <w:rFonts w:cs="Arial"/>
                <w:bCs/>
                <w:sz w:val="16"/>
                <w:szCs w:val="16"/>
                <w:lang w:val="en-AU"/>
              </w:rPr>
              <w:t>:</w:t>
            </w:r>
            <w:r w:rsidRPr="00712F53">
              <w:rPr>
                <w:rFonts w:cs="Arial"/>
                <w:bCs/>
                <w:sz w:val="16"/>
                <w:szCs w:val="16"/>
                <w:lang w:val="en-AU"/>
              </w:rPr>
              <w:tab/>
            </w:r>
            <w:r w:rsidRPr="009F377C">
              <w:rPr>
                <w:rFonts w:cs="Arial"/>
                <w:bCs/>
                <w:sz w:val="16"/>
                <w:szCs w:val="16"/>
                <w:lang w:val="en-AU"/>
              </w:rPr>
              <w:t>III.2. Enhanced human resource capacities able to deal with the broad range of requirements for the effective use of IP for development in developing countries, LDCs and countries with economies in transition</w:t>
            </w:r>
          </w:p>
        </w:tc>
      </w:tr>
      <w:tr w:rsidR="0063033D" w:rsidRPr="00774D44" w:rsidTr="008D1891">
        <w:trPr>
          <w:cantSplit/>
          <w:trHeight w:val="402"/>
        </w:trPr>
        <w:tc>
          <w:tcPr>
            <w:tcW w:w="1843" w:type="dxa"/>
            <w:tcBorders>
              <w:top w:val="single" w:sz="4" w:space="0" w:color="000000"/>
            </w:tcBorders>
            <w:vAlign w:val="center"/>
          </w:tcPr>
          <w:p w:rsidR="0063033D" w:rsidRPr="002B7DE5" w:rsidRDefault="0063033D" w:rsidP="008D1891">
            <w:pPr>
              <w:keepNext/>
              <w:keepLines/>
              <w:spacing w:before="120" w:after="120"/>
              <w:rPr>
                <w:rFonts w:cs="Arial"/>
                <w:b/>
                <w:bCs/>
                <w:sz w:val="16"/>
                <w:szCs w:val="16"/>
              </w:rPr>
            </w:pPr>
            <w:r w:rsidRPr="002B7DE5">
              <w:rPr>
                <w:rFonts w:cs="Arial"/>
                <w:b/>
                <w:bCs/>
                <w:sz w:val="16"/>
                <w:szCs w:val="16"/>
              </w:rPr>
              <w:t>Activity</w:t>
            </w:r>
          </w:p>
        </w:tc>
        <w:tc>
          <w:tcPr>
            <w:tcW w:w="1134" w:type="dxa"/>
            <w:tcBorders>
              <w:top w:val="single" w:sz="4" w:space="0" w:color="000000"/>
            </w:tcBorders>
            <w:vAlign w:val="center"/>
          </w:tcPr>
          <w:p w:rsidR="0063033D" w:rsidRPr="002B7DE5" w:rsidRDefault="0063033D" w:rsidP="008D1891">
            <w:pPr>
              <w:keepNext/>
              <w:keepLines/>
              <w:spacing w:before="120" w:after="120"/>
              <w:rPr>
                <w:rFonts w:cs="Arial"/>
                <w:sz w:val="16"/>
                <w:szCs w:val="16"/>
              </w:rPr>
            </w:pPr>
            <w:r w:rsidRPr="002B7DE5">
              <w:rPr>
                <w:rFonts w:cs="Arial"/>
                <w:b/>
                <w:bCs/>
                <w:sz w:val="16"/>
                <w:szCs w:val="16"/>
              </w:rPr>
              <w:t>Date</w:t>
            </w:r>
          </w:p>
        </w:tc>
        <w:tc>
          <w:tcPr>
            <w:tcW w:w="1985" w:type="dxa"/>
            <w:tcBorders>
              <w:top w:val="single" w:sz="4" w:space="0" w:color="000000"/>
            </w:tcBorders>
            <w:vAlign w:val="center"/>
          </w:tcPr>
          <w:p w:rsidR="0063033D" w:rsidRPr="002B7DE5" w:rsidRDefault="0063033D" w:rsidP="008D1891">
            <w:pPr>
              <w:keepNext/>
              <w:keepLines/>
              <w:spacing w:before="120" w:after="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000000"/>
            </w:tcBorders>
            <w:vAlign w:val="center"/>
          </w:tcPr>
          <w:p w:rsidR="0063033D" w:rsidRPr="002B7DE5" w:rsidRDefault="0063033D" w:rsidP="008D1891">
            <w:pPr>
              <w:keepNext/>
              <w:keepLines/>
              <w:spacing w:before="120" w:after="120"/>
              <w:rPr>
                <w:rFonts w:cs="Arial"/>
                <w:sz w:val="16"/>
                <w:szCs w:val="16"/>
              </w:rPr>
            </w:pPr>
            <w:r w:rsidRPr="002B7DE5">
              <w:rPr>
                <w:rFonts w:cs="Arial"/>
                <w:b/>
                <w:bCs/>
                <w:sz w:val="16"/>
                <w:szCs w:val="16"/>
              </w:rPr>
              <w:t>Purpose(s)/Description(s)</w:t>
            </w:r>
          </w:p>
        </w:tc>
      </w:tr>
      <w:tr w:rsidR="0063033D" w:rsidRPr="00774D44" w:rsidTr="008D1891">
        <w:trPr>
          <w:cantSplit/>
          <w:trHeight w:val="315"/>
        </w:trPr>
        <w:tc>
          <w:tcPr>
            <w:tcW w:w="1843" w:type="dxa"/>
          </w:tcPr>
          <w:p w:rsidR="0063033D" w:rsidRPr="00B93AF6"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Completion of WIPO Turin University’s LLM Course in IP</w:t>
            </w:r>
            <w:r>
              <w:rPr>
                <w:rFonts w:cs="Arial"/>
                <w:color w:val="000000"/>
                <w:sz w:val="16"/>
                <w:szCs w:val="16"/>
              </w:rPr>
              <w:br/>
            </w:r>
          </w:p>
        </w:tc>
        <w:tc>
          <w:tcPr>
            <w:tcW w:w="1134"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February 2014 </w:t>
            </w:r>
          </w:p>
          <w:p w:rsidR="0063033D" w:rsidRPr="00B93AF6" w:rsidRDefault="0063033D" w:rsidP="008D1891">
            <w:pPr>
              <w:autoSpaceDE w:val="0"/>
              <w:autoSpaceDN w:val="0"/>
              <w:adjustRightInd w:val="0"/>
              <w:spacing w:before="120" w:after="120"/>
              <w:rPr>
                <w:rFonts w:cs="Arial"/>
                <w:color w:val="000000"/>
                <w:sz w:val="16"/>
                <w:szCs w:val="16"/>
              </w:rPr>
            </w:pPr>
          </w:p>
        </w:tc>
        <w:tc>
          <w:tcPr>
            <w:tcW w:w="1985" w:type="dxa"/>
          </w:tcPr>
          <w:p w:rsidR="0063033D" w:rsidRPr="00B93AF6"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Pakistan/ 1 official from IPO Pakistan </w:t>
            </w:r>
            <w:r>
              <w:rPr>
                <w:rFonts w:cs="Arial"/>
                <w:color w:val="000000"/>
                <w:sz w:val="16"/>
                <w:szCs w:val="16"/>
              </w:rPr>
              <w:br/>
            </w:r>
          </w:p>
        </w:tc>
        <w:tc>
          <w:tcPr>
            <w:tcW w:w="4394" w:type="dxa"/>
          </w:tcPr>
          <w:p w:rsidR="0063033D" w:rsidRPr="00B93AF6" w:rsidRDefault="0063033D" w:rsidP="008D1891">
            <w:pPr>
              <w:autoSpaceDE w:val="0"/>
              <w:autoSpaceDN w:val="0"/>
              <w:adjustRightInd w:val="0"/>
              <w:spacing w:before="120" w:after="120"/>
              <w:rPr>
                <w:rFonts w:cs="Arial"/>
                <w:color w:val="000000"/>
                <w:sz w:val="16"/>
                <w:szCs w:val="16"/>
              </w:rPr>
            </w:pPr>
            <w:r w:rsidRPr="00774D44">
              <w:rPr>
                <w:rFonts w:cs="Arial"/>
                <w:color w:val="000000"/>
                <w:sz w:val="16"/>
                <w:szCs w:val="16"/>
              </w:rPr>
              <w:t>To</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 enhance knowledge and understanding of IP law for IPO Pakistan officials; and (ii) enable the trained official to provide inputs (papers, policy briefs, comments) on specific IP law questions.</w:t>
            </w:r>
          </w:p>
        </w:tc>
      </w:tr>
      <w:tr w:rsidR="0063033D" w:rsidRPr="00774D44" w:rsidTr="008D1891">
        <w:trPr>
          <w:cantSplit/>
          <w:trHeight w:val="315"/>
        </w:trPr>
        <w:tc>
          <w:tcPr>
            <w:tcW w:w="1843" w:type="dxa"/>
          </w:tcPr>
          <w:p w:rsidR="0063033D" w:rsidRPr="00B93AF6"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Delivery of IP reference material to two institutions </w:t>
            </w:r>
          </w:p>
        </w:tc>
        <w:tc>
          <w:tcPr>
            <w:tcW w:w="1134" w:type="dxa"/>
          </w:tcPr>
          <w:p w:rsidR="0063033D" w:rsidRPr="00B93AF6"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February 2014 </w:t>
            </w:r>
          </w:p>
        </w:tc>
        <w:tc>
          <w:tcPr>
            <w:tcW w:w="1985" w:type="dxa"/>
          </w:tcPr>
          <w:p w:rsidR="0063033D" w:rsidRPr="00B93AF6"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Pakistan/ IPO Pakistan and Pakistan Institute of Trade and Development (PITAD) </w:t>
            </w:r>
          </w:p>
        </w:tc>
        <w:tc>
          <w:tcPr>
            <w:tcW w:w="4394" w:type="dxa"/>
          </w:tcPr>
          <w:p w:rsidR="0063033D" w:rsidRPr="00B93AF6"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To build capacity in the field of teaching and training of IP in Pakistan.</w:t>
            </w:r>
          </w:p>
        </w:tc>
      </w:tr>
      <w:tr w:rsidR="0063033D" w:rsidRPr="00774D44" w:rsidTr="008D1891">
        <w:trPr>
          <w:cantSplit/>
          <w:trHeight w:val="315"/>
        </w:trPr>
        <w:tc>
          <w:tcPr>
            <w:tcW w:w="1843" w:type="dxa"/>
          </w:tcPr>
          <w:p w:rsidR="0063033D" w:rsidRPr="00B93AF6"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Finalization of a paper on IP curriculum for law, business and engineering schools </w:t>
            </w:r>
          </w:p>
        </w:tc>
        <w:tc>
          <w:tcPr>
            <w:tcW w:w="1134" w:type="dxa"/>
          </w:tcPr>
          <w:p w:rsidR="0063033D" w:rsidRDefault="0063033D" w:rsidP="008D1891">
            <w:pPr>
              <w:autoSpaceDE w:val="0"/>
              <w:autoSpaceDN w:val="0"/>
              <w:adjustRightInd w:val="0"/>
              <w:spacing w:before="120" w:after="120"/>
              <w:rPr>
                <w:rFonts w:cs="Arial"/>
                <w:color w:val="000000"/>
                <w:sz w:val="16"/>
                <w:szCs w:val="16"/>
              </w:rPr>
            </w:pPr>
            <w:r w:rsidRPr="002124F7">
              <w:rPr>
                <w:rFonts w:cs="Arial"/>
                <w:color w:val="000000"/>
                <w:sz w:val="16"/>
                <w:szCs w:val="16"/>
              </w:rPr>
              <w:t>June 2014</w:t>
            </w:r>
          </w:p>
          <w:p w:rsidR="0063033D" w:rsidRPr="00B93AF6" w:rsidRDefault="0063033D" w:rsidP="008D1891">
            <w:pPr>
              <w:autoSpaceDE w:val="0"/>
              <w:autoSpaceDN w:val="0"/>
              <w:adjustRightInd w:val="0"/>
              <w:spacing w:before="120" w:after="120"/>
              <w:rPr>
                <w:rFonts w:cs="Arial"/>
                <w:color w:val="000000"/>
                <w:sz w:val="16"/>
                <w:szCs w:val="16"/>
              </w:rPr>
            </w:pPr>
          </w:p>
        </w:tc>
        <w:tc>
          <w:tcPr>
            <w:tcW w:w="1985" w:type="dxa"/>
          </w:tcPr>
          <w:p w:rsidR="0063033D" w:rsidRPr="00B93AF6"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Pakistan/ Higher Education Commission and IPO Pakistan </w:t>
            </w:r>
          </w:p>
        </w:tc>
        <w:tc>
          <w:tcPr>
            <w:tcW w:w="4394" w:type="dxa"/>
          </w:tcPr>
          <w:p w:rsidR="0063033D" w:rsidRPr="00B93AF6"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To provide guidelines/model syllabi for development of IP curricula in law, business and engineering schools. </w:t>
            </w:r>
            <w:r>
              <w:rPr>
                <w:rFonts w:cs="Arial"/>
                <w:color w:val="000000"/>
                <w:sz w:val="16"/>
                <w:szCs w:val="16"/>
              </w:rPr>
              <w:br/>
            </w:r>
          </w:p>
        </w:tc>
      </w:tr>
      <w:tr w:rsidR="0063033D" w:rsidRPr="00774D44" w:rsidTr="008D1891">
        <w:trPr>
          <w:cantSplit/>
          <w:trHeight w:val="315"/>
        </w:trPr>
        <w:tc>
          <w:tcPr>
            <w:tcW w:w="9356" w:type="dxa"/>
            <w:gridSpan w:val="4"/>
            <w:tcBorders>
              <w:top w:val="single" w:sz="4" w:space="0" w:color="000000"/>
              <w:bottom w:val="single" w:sz="4" w:space="0" w:color="auto"/>
            </w:tcBorders>
            <w:shd w:val="clear" w:color="auto" w:fill="CCFFFF"/>
          </w:tcPr>
          <w:p w:rsidR="0063033D" w:rsidRPr="00774D44" w:rsidRDefault="0063033D" w:rsidP="008D1891">
            <w:pPr>
              <w:keepNext/>
              <w:keepLines/>
              <w:tabs>
                <w:tab w:val="left" w:pos="1740"/>
              </w:tabs>
              <w:spacing w:before="120" w:after="120"/>
              <w:ind w:left="1740" w:hanging="1740"/>
              <w:rPr>
                <w:rFonts w:cs="Arial"/>
                <w:color w:val="000000"/>
                <w:sz w:val="16"/>
                <w:szCs w:val="16"/>
              </w:rPr>
            </w:pPr>
            <w:r w:rsidRPr="00712F53">
              <w:rPr>
                <w:rFonts w:cs="Arial"/>
                <w:b/>
                <w:bCs/>
                <w:color w:val="000000"/>
                <w:sz w:val="16"/>
                <w:szCs w:val="16"/>
              </w:rPr>
              <w:t>RESULT</w:t>
            </w:r>
            <w:r w:rsidRPr="00712F53">
              <w:rPr>
                <w:rFonts w:cs="Arial"/>
                <w:bCs/>
                <w:sz w:val="16"/>
                <w:szCs w:val="16"/>
                <w:lang w:val="en-AU"/>
              </w:rPr>
              <w:t>:</w:t>
            </w:r>
            <w:r w:rsidRPr="00712F53">
              <w:rPr>
                <w:rFonts w:cs="Arial"/>
                <w:bCs/>
                <w:sz w:val="16"/>
                <w:szCs w:val="16"/>
                <w:lang w:val="en-AU"/>
              </w:rPr>
              <w:tab/>
            </w:r>
            <w:r w:rsidRPr="00617398">
              <w:rPr>
                <w:rFonts w:cs="Arial"/>
                <w:bCs/>
                <w:sz w:val="16"/>
                <w:szCs w:val="16"/>
                <w:lang w:val="en-AU"/>
              </w:rPr>
              <w:t>IV.4. Enhanced technical and knowledge infrastructure for IP Offices and other IP institutions leading to better services (cheaper, faster, higher quality) to their stakeholders</w:t>
            </w:r>
          </w:p>
        </w:tc>
      </w:tr>
      <w:tr w:rsidR="0063033D" w:rsidRPr="00774D44" w:rsidTr="008D1891">
        <w:trPr>
          <w:cantSplit/>
          <w:trHeight w:val="399"/>
        </w:trPr>
        <w:tc>
          <w:tcPr>
            <w:tcW w:w="1843" w:type="dxa"/>
            <w:tcBorders>
              <w:top w:val="single" w:sz="4" w:space="0" w:color="auto"/>
              <w:left w:val="single" w:sz="4" w:space="0" w:color="auto"/>
              <w:bottom w:val="nil"/>
            </w:tcBorders>
            <w:vAlign w:val="center"/>
          </w:tcPr>
          <w:p w:rsidR="0063033D" w:rsidRPr="002B7DE5" w:rsidRDefault="0063033D" w:rsidP="008D1891">
            <w:pPr>
              <w:keepNext/>
              <w:keepLines/>
              <w:spacing w:before="120" w:after="120"/>
              <w:rPr>
                <w:rFonts w:cs="Arial"/>
                <w:b/>
                <w:bCs/>
                <w:sz w:val="16"/>
                <w:szCs w:val="16"/>
              </w:rPr>
            </w:pPr>
            <w:r w:rsidRPr="002B7DE5">
              <w:rPr>
                <w:rFonts w:cs="Arial"/>
                <w:b/>
                <w:bCs/>
                <w:sz w:val="16"/>
                <w:szCs w:val="16"/>
              </w:rPr>
              <w:t>Activity</w:t>
            </w:r>
          </w:p>
        </w:tc>
        <w:tc>
          <w:tcPr>
            <w:tcW w:w="1134" w:type="dxa"/>
            <w:tcBorders>
              <w:top w:val="single" w:sz="4" w:space="0" w:color="auto"/>
              <w:bottom w:val="nil"/>
            </w:tcBorders>
            <w:vAlign w:val="center"/>
          </w:tcPr>
          <w:p w:rsidR="0063033D" w:rsidRPr="002B7DE5" w:rsidRDefault="0063033D" w:rsidP="008D1891">
            <w:pPr>
              <w:keepNext/>
              <w:keepLines/>
              <w:spacing w:before="120" w:after="120"/>
              <w:rPr>
                <w:rFonts w:cs="Arial"/>
                <w:sz w:val="16"/>
                <w:szCs w:val="16"/>
              </w:rPr>
            </w:pPr>
            <w:r w:rsidRPr="002B7DE5">
              <w:rPr>
                <w:rFonts w:cs="Arial"/>
                <w:b/>
                <w:bCs/>
                <w:sz w:val="16"/>
                <w:szCs w:val="16"/>
              </w:rPr>
              <w:t>Date</w:t>
            </w:r>
          </w:p>
        </w:tc>
        <w:tc>
          <w:tcPr>
            <w:tcW w:w="1985" w:type="dxa"/>
            <w:tcBorders>
              <w:top w:val="single" w:sz="4" w:space="0" w:color="auto"/>
              <w:bottom w:val="nil"/>
            </w:tcBorders>
            <w:vAlign w:val="center"/>
          </w:tcPr>
          <w:p w:rsidR="0063033D" w:rsidRPr="002B7DE5" w:rsidRDefault="0063033D" w:rsidP="008D1891">
            <w:pPr>
              <w:keepNext/>
              <w:keepLines/>
              <w:spacing w:before="120" w:after="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auto"/>
              <w:bottom w:val="nil"/>
              <w:right w:val="single" w:sz="4" w:space="0" w:color="auto"/>
            </w:tcBorders>
            <w:vAlign w:val="center"/>
          </w:tcPr>
          <w:p w:rsidR="0063033D" w:rsidRPr="002B7DE5" w:rsidRDefault="0063033D" w:rsidP="008D1891">
            <w:pPr>
              <w:keepNext/>
              <w:keepLines/>
              <w:spacing w:before="120" w:after="120"/>
              <w:rPr>
                <w:rFonts w:cs="Arial"/>
                <w:sz w:val="16"/>
                <w:szCs w:val="16"/>
              </w:rPr>
            </w:pPr>
            <w:r w:rsidRPr="002B7DE5">
              <w:rPr>
                <w:rFonts w:cs="Arial"/>
                <w:b/>
                <w:bCs/>
                <w:sz w:val="16"/>
                <w:szCs w:val="16"/>
              </w:rPr>
              <w:t>Purpose(s)/Description(s)</w:t>
            </w:r>
          </w:p>
        </w:tc>
      </w:tr>
      <w:tr w:rsidR="0063033D" w:rsidRPr="00774D44" w:rsidTr="008D1891">
        <w:trPr>
          <w:cantSplit/>
          <w:trHeight w:val="315"/>
        </w:trPr>
        <w:tc>
          <w:tcPr>
            <w:tcW w:w="1843" w:type="dxa"/>
            <w:tcBorders>
              <w:top w:val="nil"/>
              <w:left w:val="single" w:sz="4" w:space="0" w:color="auto"/>
              <w:bottom w:val="nil"/>
            </w:tcBorders>
          </w:tcPr>
          <w:p w:rsidR="0063033D" w:rsidRPr="00B93AF6"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Contract awarded for d</w:t>
            </w:r>
            <w:r w:rsidRPr="002124F7">
              <w:rPr>
                <w:rFonts w:cs="Arial"/>
                <w:color w:val="000000"/>
                <w:sz w:val="16"/>
                <w:szCs w:val="16"/>
              </w:rPr>
              <w:t xml:space="preserve">evelopment of </w:t>
            </w:r>
            <w:r>
              <w:rPr>
                <w:rFonts w:cs="Arial"/>
                <w:color w:val="000000"/>
                <w:sz w:val="16"/>
                <w:szCs w:val="16"/>
              </w:rPr>
              <w:t xml:space="preserve">an </w:t>
            </w:r>
            <w:r w:rsidRPr="002124F7">
              <w:rPr>
                <w:rFonts w:cs="Arial"/>
                <w:color w:val="000000"/>
                <w:sz w:val="16"/>
                <w:szCs w:val="16"/>
              </w:rPr>
              <w:t xml:space="preserve">IPO Pakistan </w:t>
            </w:r>
            <w:r>
              <w:rPr>
                <w:rFonts w:cs="Arial"/>
                <w:color w:val="000000"/>
                <w:sz w:val="16"/>
                <w:szCs w:val="16"/>
              </w:rPr>
              <w:t>w</w:t>
            </w:r>
            <w:r w:rsidRPr="002124F7">
              <w:rPr>
                <w:rFonts w:cs="Arial"/>
                <w:color w:val="000000"/>
                <w:sz w:val="16"/>
                <w:szCs w:val="16"/>
              </w:rPr>
              <w:t xml:space="preserve">eb </w:t>
            </w:r>
            <w:r>
              <w:rPr>
                <w:rFonts w:cs="Arial"/>
                <w:color w:val="000000"/>
                <w:sz w:val="16"/>
                <w:szCs w:val="16"/>
              </w:rPr>
              <w:t>p</w:t>
            </w:r>
            <w:r w:rsidRPr="002124F7">
              <w:rPr>
                <w:rFonts w:cs="Arial"/>
                <w:color w:val="000000"/>
                <w:sz w:val="16"/>
                <w:szCs w:val="16"/>
              </w:rPr>
              <w:t>ortal</w:t>
            </w:r>
            <w:r>
              <w:rPr>
                <w:rFonts w:cs="Arial"/>
                <w:color w:val="000000"/>
                <w:sz w:val="16"/>
                <w:szCs w:val="16"/>
              </w:rPr>
              <w:t xml:space="preserve"> </w:t>
            </w:r>
          </w:p>
        </w:tc>
        <w:tc>
          <w:tcPr>
            <w:tcW w:w="1134" w:type="dxa"/>
            <w:tcBorders>
              <w:top w:val="nil"/>
              <w:bottom w:val="nil"/>
            </w:tcBorders>
          </w:tcPr>
          <w:p w:rsidR="0063033D" w:rsidRPr="002124F7" w:rsidRDefault="0063033D" w:rsidP="008D1891">
            <w:pPr>
              <w:autoSpaceDE w:val="0"/>
              <w:autoSpaceDN w:val="0"/>
              <w:adjustRightInd w:val="0"/>
              <w:spacing w:before="120" w:after="120"/>
              <w:rPr>
                <w:rFonts w:cs="Arial"/>
                <w:color w:val="000000"/>
                <w:sz w:val="16"/>
                <w:szCs w:val="16"/>
              </w:rPr>
            </w:pPr>
            <w:r w:rsidRPr="002124F7">
              <w:rPr>
                <w:rFonts w:cs="Arial"/>
                <w:color w:val="000000"/>
                <w:sz w:val="16"/>
                <w:szCs w:val="16"/>
              </w:rPr>
              <w:t>August 2014</w:t>
            </w:r>
          </w:p>
        </w:tc>
        <w:tc>
          <w:tcPr>
            <w:tcW w:w="1985" w:type="dxa"/>
            <w:tcBorders>
              <w:top w:val="nil"/>
              <w:bottom w:val="nil"/>
            </w:tcBorders>
          </w:tcPr>
          <w:p w:rsidR="0063033D" w:rsidRPr="002124F7" w:rsidRDefault="0063033D" w:rsidP="008D1891">
            <w:pPr>
              <w:autoSpaceDE w:val="0"/>
              <w:autoSpaceDN w:val="0"/>
              <w:adjustRightInd w:val="0"/>
              <w:spacing w:before="120" w:after="120"/>
              <w:rPr>
                <w:rFonts w:cs="Arial"/>
                <w:color w:val="000000"/>
                <w:sz w:val="16"/>
                <w:szCs w:val="16"/>
              </w:rPr>
            </w:pPr>
            <w:r w:rsidRPr="002124F7">
              <w:rPr>
                <w:rFonts w:cs="Arial"/>
                <w:color w:val="000000"/>
                <w:sz w:val="16"/>
                <w:szCs w:val="16"/>
              </w:rPr>
              <w:t>Pakistan</w:t>
            </w:r>
            <w:r>
              <w:rPr>
                <w:rFonts w:cs="Arial"/>
                <w:color w:val="000000"/>
                <w:sz w:val="16"/>
                <w:szCs w:val="16"/>
              </w:rPr>
              <w:t xml:space="preserve">/ </w:t>
            </w:r>
            <w:r w:rsidRPr="002124F7">
              <w:rPr>
                <w:rFonts w:cs="Arial"/>
                <w:color w:val="000000"/>
                <w:sz w:val="16"/>
                <w:szCs w:val="16"/>
              </w:rPr>
              <w:t xml:space="preserve">IPO Pakistan </w:t>
            </w:r>
          </w:p>
        </w:tc>
        <w:tc>
          <w:tcPr>
            <w:tcW w:w="4394" w:type="dxa"/>
            <w:tcBorders>
              <w:top w:val="nil"/>
              <w:bottom w:val="nil"/>
              <w:right w:val="single" w:sz="4" w:space="0" w:color="auto"/>
            </w:tcBorders>
          </w:tcPr>
          <w:p w:rsidR="0063033D" w:rsidRPr="002124F7" w:rsidRDefault="0063033D" w:rsidP="008D1891">
            <w:pPr>
              <w:autoSpaceDE w:val="0"/>
              <w:autoSpaceDN w:val="0"/>
              <w:adjustRightInd w:val="0"/>
              <w:spacing w:before="120" w:after="120"/>
              <w:rPr>
                <w:rFonts w:cs="Arial"/>
                <w:color w:val="000000"/>
                <w:sz w:val="16"/>
                <w:szCs w:val="16"/>
              </w:rPr>
            </w:pPr>
            <w:r w:rsidRPr="002124F7">
              <w:rPr>
                <w:rFonts w:cs="Arial"/>
                <w:color w:val="000000"/>
                <w:sz w:val="16"/>
                <w:szCs w:val="16"/>
              </w:rPr>
              <w:t>To upgrade IPO Pakistan’s existing website by introducing new features such as</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w:t>
            </w:r>
            <w:r w:rsidRPr="002124F7">
              <w:rPr>
                <w:rFonts w:cs="Arial"/>
                <w:color w:val="000000"/>
                <w:sz w:val="16"/>
                <w:szCs w:val="16"/>
              </w:rPr>
              <w:t xml:space="preserve"> online </w:t>
            </w:r>
            <w:r>
              <w:rPr>
                <w:rFonts w:cs="Arial"/>
                <w:color w:val="000000"/>
                <w:sz w:val="16"/>
                <w:szCs w:val="16"/>
              </w:rPr>
              <w:t xml:space="preserve">access to the </w:t>
            </w:r>
            <w:r w:rsidRPr="002124F7">
              <w:rPr>
                <w:rFonts w:cs="Arial"/>
                <w:color w:val="000000"/>
                <w:sz w:val="16"/>
                <w:szCs w:val="16"/>
              </w:rPr>
              <w:t>Patent Gazette and Trademark Journals</w:t>
            </w:r>
            <w:r>
              <w:rPr>
                <w:rFonts w:cs="Arial"/>
                <w:color w:val="000000"/>
                <w:sz w:val="16"/>
                <w:szCs w:val="16"/>
              </w:rPr>
              <w:t>; (ii)</w:t>
            </w:r>
            <w:r w:rsidRPr="002124F7">
              <w:rPr>
                <w:rFonts w:cs="Arial"/>
                <w:color w:val="000000"/>
                <w:sz w:val="16"/>
                <w:szCs w:val="16"/>
              </w:rPr>
              <w:t xml:space="preserve"> online </w:t>
            </w:r>
            <w:r>
              <w:rPr>
                <w:rFonts w:cs="Arial"/>
                <w:color w:val="000000"/>
                <w:sz w:val="16"/>
                <w:szCs w:val="16"/>
              </w:rPr>
              <w:t xml:space="preserve">access to </w:t>
            </w:r>
            <w:r w:rsidRPr="002124F7">
              <w:rPr>
                <w:rFonts w:cs="Arial"/>
                <w:color w:val="000000"/>
                <w:sz w:val="16"/>
                <w:szCs w:val="16"/>
              </w:rPr>
              <w:t>check status of IP applications</w:t>
            </w:r>
            <w:r>
              <w:rPr>
                <w:rFonts w:cs="Arial"/>
                <w:color w:val="000000"/>
                <w:sz w:val="16"/>
                <w:szCs w:val="16"/>
              </w:rPr>
              <w:t xml:space="preserve">; (iii) access to </w:t>
            </w:r>
            <w:r w:rsidRPr="002124F7">
              <w:rPr>
                <w:rFonts w:cs="Arial"/>
                <w:color w:val="000000"/>
                <w:sz w:val="16"/>
                <w:szCs w:val="16"/>
              </w:rPr>
              <w:t>public search of IP databases</w:t>
            </w:r>
            <w:r>
              <w:rPr>
                <w:rFonts w:cs="Arial"/>
                <w:color w:val="000000"/>
                <w:sz w:val="16"/>
                <w:szCs w:val="16"/>
              </w:rPr>
              <w:t>;</w:t>
            </w:r>
            <w:r w:rsidRPr="002124F7">
              <w:rPr>
                <w:rFonts w:cs="Arial"/>
                <w:color w:val="000000"/>
                <w:sz w:val="16"/>
                <w:szCs w:val="16"/>
              </w:rPr>
              <w:t xml:space="preserve"> and </w:t>
            </w:r>
            <w:r>
              <w:rPr>
                <w:rFonts w:cs="Arial"/>
                <w:color w:val="000000"/>
                <w:sz w:val="16"/>
                <w:szCs w:val="16"/>
              </w:rPr>
              <w:t xml:space="preserve">(iv) </w:t>
            </w:r>
            <w:r w:rsidRPr="002124F7">
              <w:rPr>
                <w:rFonts w:cs="Arial"/>
                <w:color w:val="000000"/>
                <w:sz w:val="16"/>
                <w:szCs w:val="16"/>
              </w:rPr>
              <w:t>implementation of an intranet for internal communication between offices of IPO Pakistan in Karachi, Lahore and Islamabad.</w:t>
            </w:r>
          </w:p>
        </w:tc>
      </w:tr>
      <w:tr w:rsidR="0063033D" w:rsidRPr="00774D44" w:rsidTr="008D1891">
        <w:trPr>
          <w:cantSplit/>
          <w:trHeight w:val="315"/>
        </w:trPr>
        <w:tc>
          <w:tcPr>
            <w:tcW w:w="1843" w:type="dxa"/>
            <w:tcBorders>
              <w:top w:val="nil"/>
              <w:left w:val="single" w:sz="4" w:space="0" w:color="auto"/>
              <w:bottom w:val="nil"/>
            </w:tcBorders>
          </w:tcPr>
          <w:p w:rsidR="0063033D" w:rsidRDefault="0063033D" w:rsidP="008D1891">
            <w:pPr>
              <w:autoSpaceDE w:val="0"/>
              <w:autoSpaceDN w:val="0"/>
              <w:adjustRightInd w:val="0"/>
              <w:rPr>
                <w:rFonts w:cs="Arial"/>
                <w:color w:val="000000"/>
                <w:sz w:val="16"/>
                <w:szCs w:val="16"/>
              </w:rPr>
            </w:pPr>
            <w:r>
              <w:rPr>
                <w:rFonts w:cs="Arial"/>
                <w:color w:val="000000"/>
                <w:sz w:val="16"/>
                <w:szCs w:val="16"/>
              </w:rPr>
              <w:t xml:space="preserve">Contract initiated for customization of software for HR and financial management in IPO Pakistan </w:t>
            </w:r>
          </w:p>
          <w:p w:rsidR="0063033D" w:rsidRPr="00B93AF6" w:rsidRDefault="0063033D" w:rsidP="008D1891">
            <w:pPr>
              <w:autoSpaceDE w:val="0"/>
              <w:autoSpaceDN w:val="0"/>
              <w:adjustRightInd w:val="0"/>
              <w:rPr>
                <w:rFonts w:cs="Arial"/>
                <w:color w:val="000000"/>
                <w:sz w:val="16"/>
                <w:szCs w:val="16"/>
              </w:rPr>
            </w:pPr>
          </w:p>
        </w:tc>
        <w:tc>
          <w:tcPr>
            <w:tcW w:w="1134" w:type="dxa"/>
            <w:tcBorders>
              <w:top w:val="nil"/>
              <w:bottom w:val="nil"/>
            </w:tcBorders>
          </w:tcPr>
          <w:p w:rsidR="0063033D" w:rsidRPr="002124F7" w:rsidRDefault="0063033D" w:rsidP="008D1891">
            <w:pPr>
              <w:autoSpaceDE w:val="0"/>
              <w:autoSpaceDN w:val="0"/>
              <w:adjustRightInd w:val="0"/>
              <w:rPr>
                <w:rFonts w:cs="Arial"/>
                <w:color w:val="000000"/>
                <w:sz w:val="16"/>
                <w:szCs w:val="16"/>
              </w:rPr>
            </w:pPr>
            <w:r w:rsidRPr="002124F7">
              <w:rPr>
                <w:rFonts w:cs="Arial"/>
                <w:color w:val="000000"/>
                <w:sz w:val="16"/>
                <w:szCs w:val="16"/>
              </w:rPr>
              <w:t>September 2014</w:t>
            </w:r>
          </w:p>
        </w:tc>
        <w:tc>
          <w:tcPr>
            <w:tcW w:w="1985" w:type="dxa"/>
            <w:tcBorders>
              <w:top w:val="nil"/>
              <w:bottom w:val="nil"/>
            </w:tcBorders>
          </w:tcPr>
          <w:p w:rsidR="0063033D" w:rsidRPr="002124F7" w:rsidRDefault="0063033D" w:rsidP="008D1891">
            <w:pPr>
              <w:autoSpaceDE w:val="0"/>
              <w:autoSpaceDN w:val="0"/>
              <w:adjustRightInd w:val="0"/>
              <w:rPr>
                <w:rFonts w:cs="Arial"/>
                <w:color w:val="000000"/>
                <w:sz w:val="16"/>
                <w:szCs w:val="16"/>
              </w:rPr>
            </w:pPr>
            <w:r w:rsidRPr="002124F7">
              <w:rPr>
                <w:rFonts w:cs="Arial"/>
                <w:color w:val="000000"/>
                <w:sz w:val="16"/>
                <w:szCs w:val="16"/>
              </w:rPr>
              <w:t>Pakistan</w:t>
            </w:r>
            <w:r>
              <w:rPr>
                <w:rFonts w:cs="Arial"/>
                <w:color w:val="000000"/>
                <w:sz w:val="16"/>
                <w:szCs w:val="16"/>
              </w:rPr>
              <w:t xml:space="preserve">/ </w:t>
            </w:r>
            <w:r w:rsidRPr="002124F7">
              <w:rPr>
                <w:rFonts w:cs="Arial"/>
                <w:color w:val="000000"/>
                <w:sz w:val="16"/>
                <w:szCs w:val="16"/>
              </w:rPr>
              <w:t xml:space="preserve">IPO Pakistan </w:t>
            </w:r>
          </w:p>
        </w:tc>
        <w:tc>
          <w:tcPr>
            <w:tcW w:w="4394" w:type="dxa"/>
            <w:tcBorders>
              <w:top w:val="nil"/>
              <w:bottom w:val="nil"/>
              <w:right w:val="single" w:sz="4" w:space="0" w:color="auto"/>
            </w:tcBorders>
          </w:tcPr>
          <w:p w:rsidR="0063033D" w:rsidRPr="002124F7" w:rsidRDefault="0063033D" w:rsidP="008D1891">
            <w:pPr>
              <w:autoSpaceDE w:val="0"/>
              <w:autoSpaceDN w:val="0"/>
              <w:adjustRightInd w:val="0"/>
              <w:rPr>
                <w:rFonts w:cs="Arial"/>
                <w:color w:val="000000"/>
                <w:sz w:val="16"/>
                <w:szCs w:val="16"/>
              </w:rPr>
            </w:pPr>
            <w:r w:rsidRPr="002124F7">
              <w:rPr>
                <w:rFonts w:cs="Arial"/>
                <w:color w:val="000000"/>
                <w:sz w:val="16"/>
                <w:szCs w:val="16"/>
              </w:rPr>
              <w:t xml:space="preserve">To enhance IPO Pakistan’s capacity to deliver services by introducing automation systems for its core human resource and financial management functions. </w:t>
            </w:r>
          </w:p>
        </w:tc>
      </w:tr>
      <w:tr w:rsidR="0063033D" w:rsidRPr="00774D44" w:rsidTr="008D1891">
        <w:trPr>
          <w:cantSplit/>
          <w:trHeight w:val="315"/>
        </w:trPr>
        <w:tc>
          <w:tcPr>
            <w:tcW w:w="1843" w:type="dxa"/>
            <w:tcBorders>
              <w:top w:val="nil"/>
              <w:left w:val="single" w:sz="4" w:space="0" w:color="auto"/>
              <w:bottom w:val="nil"/>
            </w:tcBorders>
          </w:tcPr>
          <w:p w:rsidR="0063033D" w:rsidRPr="002124F7" w:rsidRDefault="0063033D" w:rsidP="008D1891">
            <w:pPr>
              <w:autoSpaceDE w:val="0"/>
              <w:autoSpaceDN w:val="0"/>
              <w:adjustRightInd w:val="0"/>
              <w:spacing w:before="120" w:after="120"/>
              <w:rPr>
                <w:rFonts w:cs="Arial"/>
                <w:color w:val="000000"/>
                <w:sz w:val="16"/>
                <w:szCs w:val="16"/>
              </w:rPr>
            </w:pPr>
            <w:r w:rsidRPr="002124F7">
              <w:rPr>
                <w:rFonts w:cs="Arial"/>
                <w:color w:val="000000"/>
                <w:sz w:val="16"/>
                <w:szCs w:val="16"/>
              </w:rPr>
              <w:t xml:space="preserve">Expert Mission to IPO Pakistan for </w:t>
            </w:r>
            <w:r>
              <w:rPr>
                <w:rFonts w:cs="Arial"/>
                <w:color w:val="000000"/>
                <w:sz w:val="16"/>
                <w:szCs w:val="16"/>
              </w:rPr>
              <w:t>o</w:t>
            </w:r>
            <w:r w:rsidRPr="002124F7">
              <w:rPr>
                <w:rFonts w:cs="Arial"/>
                <w:color w:val="000000"/>
                <w:sz w:val="16"/>
                <w:szCs w:val="16"/>
              </w:rPr>
              <w:t xml:space="preserve">nsite </w:t>
            </w:r>
            <w:r>
              <w:rPr>
                <w:rFonts w:cs="Arial"/>
                <w:color w:val="000000"/>
                <w:sz w:val="16"/>
                <w:szCs w:val="16"/>
              </w:rPr>
              <w:t>t</w:t>
            </w:r>
            <w:r w:rsidRPr="002124F7">
              <w:rPr>
                <w:rFonts w:cs="Arial"/>
                <w:color w:val="000000"/>
                <w:sz w:val="16"/>
                <w:szCs w:val="16"/>
              </w:rPr>
              <w:t xml:space="preserve">echnical </w:t>
            </w:r>
            <w:r>
              <w:rPr>
                <w:rFonts w:cs="Arial"/>
                <w:color w:val="000000"/>
                <w:sz w:val="16"/>
                <w:szCs w:val="16"/>
              </w:rPr>
              <w:t>s</w:t>
            </w:r>
            <w:r w:rsidRPr="002124F7">
              <w:rPr>
                <w:rFonts w:cs="Arial"/>
                <w:color w:val="000000"/>
                <w:sz w:val="16"/>
                <w:szCs w:val="16"/>
              </w:rPr>
              <w:t xml:space="preserve">upport and </w:t>
            </w:r>
            <w:r>
              <w:rPr>
                <w:rFonts w:cs="Arial"/>
                <w:color w:val="000000"/>
                <w:sz w:val="16"/>
                <w:szCs w:val="16"/>
              </w:rPr>
              <w:t>t</w:t>
            </w:r>
            <w:r w:rsidRPr="002124F7">
              <w:rPr>
                <w:rFonts w:cs="Arial"/>
                <w:color w:val="000000"/>
                <w:sz w:val="16"/>
                <w:szCs w:val="16"/>
              </w:rPr>
              <w:t xml:space="preserve">raining of </w:t>
            </w:r>
            <w:r>
              <w:rPr>
                <w:rFonts w:cs="Arial"/>
                <w:color w:val="000000"/>
                <w:sz w:val="16"/>
                <w:szCs w:val="16"/>
              </w:rPr>
              <w:t xml:space="preserve">an </w:t>
            </w:r>
            <w:r w:rsidRPr="002124F7">
              <w:rPr>
                <w:rFonts w:cs="Arial"/>
                <w:color w:val="000000"/>
                <w:sz w:val="16"/>
                <w:szCs w:val="16"/>
              </w:rPr>
              <w:t xml:space="preserve">IPO IT </w:t>
            </w:r>
            <w:r>
              <w:rPr>
                <w:rFonts w:cs="Arial"/>
                <w:color w:val="000000"/>
                <w:sz w:val="16"/>
                <w:szCs w:val="16"/>
              </w:rPr>
              <w:t>t</w:t>
            </w:r>
            <w:r w:rsidRPr="002124F7">
              <w:rPr>
                <w:rFonts w:cs="Arial"/>
                <w:color w:val="000000"/>
                <w:sz w:val="16"/>
                <w:szCs w:val="16"/>
              </w:rPr>
              <w:t>eam</w:t>
            </w:r>
          </w:p>
        </w:tc>
        <w:tc>
          <w:tcPr>
            <w:tcW w:w="1134" w:type="dxa"/>
            <w:tcBorders>
              <w:top w:val="nil"/>
              <w:bottom w:val="nil"/>
            </w:tcBorders>
          </w:tcPr>
          <w:p w:rsidR="0063033D" w:rsidRPr="002124F7" w:rsidRDefault="0063033D" w:rsidP="008D1891">
            <w:pPr>
              <w:autoSpaceDE w:val="0"/>
              <w:autoSpaceDN w:val="0"/>
              <w:adjustRightInd w:val="0"/>
              <w:spacing w:before="120" w:after="120"/>
              <w:rPr>
                <w:rFonts w:cs="Arial"/>
                <w:color w:val="000000"/>
                <w:sz w:val="16"/>
                <w:szCs w:val="16"/>
              </w:rPr>
            </w:pPr>
            <w:r w:rsidRPr="002124F7">
              <w:rPr>
                <w:rFonts w:cs="Arial"/>
                <w:color w:val="000000"/>
                <w:sz w:val="16"/>
                <w:szCs w:val="16"/>
              </w:rPr>
              <w:t>February 24 to March 7, 2014</w:t>
            </w:r>
          </w:p>
        </w:tc>
        <w:tc>
          <w:tcPr>
            <w:tcW w:w="1985" w:type="dxa"/>
            <w:tcBorders>
              <w:top w:val="nil"/>
              <w:bottom w:val="nil"/>
            </w:tcBorders>
          </w:tcPr>
          <w:p w:rsidR="0063033D" w:rsidRPr="002124F7" w:rsidRDefault="0063033D" w:rsidP="008D1891">
            <w:pPr>
              <w:autoSpaceDE w:val="0"/>
              <w:autoSpaceDN w:val="0"/>
              <w:adjustRightInd w:val="0"/>
              <w:spacing w:before="120" w:after="120"/>
              <w:rPr>
                <w:rFonts w:cs="Arial"/>
                <w:color w:val="000000"/>
                <w:sz w:val="16"/>
                <w:szCs w:val="16"/>
              </w:rPr>
            </w:pPr>
            <w:r w:rsidRPr="002124F7">
              <w:rPr>
                <w:rFonts w:cs="Arial"/>
                <w:color w:val="000000"/>
                <w:sz w:val="16"/>
                <w:szCs w:val="16"/>
              </w:rPr>
              <w:t>Pakistan</w:t>
            </w:r>
            <w:r>
              <w:rPr>
                <w:rFonts w:cs="Arial"/>
                <w:color w:val="000000"/>
                <w:sz w:val="16"/>
                <w:szCs w:val="16"/>
              </w:rPr>
              <w:t xml:space="preserve">/ 7 participants from </w:t>
            </w:r>
            <w:r w:rsidRPr="002124F7">
              <w:rPr>
                <w:rFonts w:cs="Arial"/>
                <w:color w:val="000000"/>
                <w:sz w:val="16"/>
                <w:szCs w:val="16"/>
              </w:rPr>
              <w:t>IPO Pakistan</w:t>
            </w:r>
            <w:r w:rsidRPr="002124F7">
              <w:rPr>
                <w:rFonts w:cs="Arial"/>
                <w:color w:val="000000"/>
                <w:sz w:val="16"/>
                <w:szCs w:val="16"/>
              </w:rPr>
              <w:br/>
            </w:r>
          </w:p>
        </w:tc>
        <w:tc>
          <w:tcPr>
            <w:tcW w:w="4394" w:type="dxa"/>
            <w:tcBorders>
              <w:top w:val="nil"/>
              <w:bottom w:val="nil"/>
              <w:right w:val="single" w:sz="4" w:space="0" w:color="auto"/>
            </w:tcBorders>
          </w:tcPr>
          <w:p w:rsidR="0063033D" w:rsidRPr="002124F7" w:rsidRDefault="0063033D" w:rsidP="008D1891">
            <w:pPr>
              <w:autoSpaceDE w:val="0"/>
              <w:autoSpaceDN w:val="0"/>
              <w:adjustRightInd w:val="0"/>
              <w:spacing w:before="120" w:after="120"/>
              <w:rPr>
                <w:rFonts w:cs="Arial"/>
                <w:color w:val="000000"/>
                <w:sz w:val="16"/>
                <w:szCs w:val="16"/>
              </w:rPr>
            </w:pPr>
            <w:r w:rsidRPr="002124F7">
              <w:rPr>
                <w:rFonts w:cs="Arial"/>
                <w:color w:val="000000"/>
                <w:sz w:val="16"/>
                <w:szCs w:val="16"/>
              </w:rPr>
              <w:t xml:space="preserve">To ensure greater autonomy of IPO Pakistan in the management, configuration and user support of the upgraded IP </w:t>
            </w:r>
            <w:r>
              <w:rPr>
                <w:rFonts w:cs="Arial"/>
                <w:color w:val="000000"/>
                <w:sz w:val="16"/>
                <w:szCs w:val="16"/>
              </w:rPr>
              <w:t>A</w:t>
            </w:r>
            <w:r w:rsidRPr="002124F7">
              <w:rPr>
                <w:rFonts w:cs="Arial"/>
                <w:color w:val="000000"/>
                <w:sz w:val="16"/>
                <w:szCs w:val="16"/>
              </w:rPr>
              <w:t xml:space="preserve">utomation </w:t>
            </w:r>
            <w:r>
              <w:rPr>
                <w:rFonts w:cs="Arial"/>
                <w:color w:val="000000"/>
                <w:sz w:val="16"/>
                <w:szCs w:val="16"/>
              </w:rPr>
              <w:t>S</w:t>
            </w:r>
            <w:r w:rsidRPr="002124F7">
              <w:rPr>
                <w:rFonts w:cs="Arial"/>
                <w:color w:val="000000"/>
                <w:sz w:val="16"/>
                <w:szCs w:val="16"/>
              </w:rPr>
              <w:t>ystem (</w:t>
            </w:r>
            <w:r>
              <w:rPr>
                <w:rFonts w:cs="Arial"/>
                <w:color w:val="000000"/>
                <w:sz w:val="16"/>
                <w:szCs w:val="16"/>
              </w:rPr>
              <w:t xml:space="preserve">WIPO </w:t>
            </w:r>
            <w:r w:rsidRPr="002124F7">
              <w:rPr>
                <w:rFonts w:cs="Arial"/>
                <w:color w:val="000000"/>
                <w:sz w:val="16"/>
                <w:szCs w:val="16"/>
              </w:rPr>
              <w:t>IPAS)</w:t>
            </w:r>
            <w:r>
              <w:rPr>
                <w:rFonts w:cs="Arial"/>
                <w:color w:val="000000"/>
                <w:sz w:val="16"/>
                <w:szCs w:val="16"/>
              </w:rPr>
              <w:t>,</w:t>
            </w:r>
            <w:r w:rsidRPr="002124F7">
              <w:rPr>
                <w:rFonts w:cs="Arial"/>
                <w:color w:val="000000"/>
                <w:sz w:val="16"/>
                <w:szCs w:val="16"/>
              </w:rPr>
              <w:t xml:space="preserve"> including integration of the digitized IP records.</w:t>
            </w:r>
            <w:r w:rsidRPr="002124F7">
              <w:rPr>
                <w:rFonts w:cs="Arial"/>
                <w:color w:val="000000"/>
                <w:sz w:val="16"/>
                <w:szCs w:val="16"/>
              </w:rPr>
              <w:br/>
            </w:r>
          </w:p>
        </w:tc>
      </w:tr>
      <w:tr w:rsidR="0063033D" w:rsidRPr="00774D44" w:rsidTr="008D1891">
        <w:trPr>
          <w:cantSplit/>
          <w:trHeight w:val="315"/>
        </w:trPr>
        <w:tc>
          <w:tcPr>
            <w:tcW w:w="1843" w:type="dxa"/>
            <w:tcBorders>
              <w:top w:val="nil"/>
              <w:left w:val="single" w:sz="4" w:space="0" w:color="auto"/>
              <w:bottom w:val="single" w:sz="4" w:space="0" w:color="auto"/>
            </w:tcBorders>
          </w:tcPr>
          <w:p w:rsidR="0063033D" w:rsidRPr="002124F7" w:rsidRDefault="0063033D" w:rsidP="008D1891">
            <w:pPr>
              <w:autoSpaceDE w:val="0"/>
              <w:autoSpaceDN w:val="0"/>
              <w:adjustRightInd w:val="0"/>
              <w:spacing w:before="120" w:after="120"/>
              <w:rPr>
                <w:rFonts w:cs="Arial"/>
                <w:sz w:val="16"/>
                <w:szCs w:val="16"/>
              </w:rPr>
            </w:pPr>
            <w:r w:rsidRPr="002124F7">
              <w:rPr>
                <w:rFonts w:cs="Arial"/>
                <w:sz w:val="16"/>
                <w:szCs w:val="16"/>
              </w:rPr>
              <w:t xml:space="preserve">Training of IPO IT </w:t>
            </w:r>
            <w:r>
              <w:rPr>
                <w:rFonts w:cs="Arial"/>
                <w:sz w:val="16"/>
                <w:szCs w:val="16"/>
              </w:rPr>
              <w:t>t</w:t>
            </w:r>
            <w:r w:rsidRPr="002124F7">
              <w:rPr>
                <w:rFonts w:cs="Arial"/>
                <w:sz w:val="16"/>
                <w:szCs w:val="16"/>
              </w:rPr>
              <w:t>eam on the Oracle Database Management System (DBMS)</w:t>
            </w:r>
          </w:p>
        </w:tc>
        <w:tc>
          <w:tcPr>
            <w:tcW w:w="1134" w:type="dxa"/>
            <w:tcBorders>
              <w:top w:val="nil"/>
              <w:bottom w:val="single" w:sz="4" w:space="0" w:color="auto"/>
            </w:tcBorders>
          </w:tcPr>
          <w:p w:rsidR="0063033D" w:rsidRPr="002124F7" w:rsidRDefault="0063033D" w:rsidP="008D1891">
            <w:pPr>
              <w:autoSpaceDE w:val="0"/>
              <w:autoSpaceDN w:val="0"/>
              <w:adjustRightInd w:val="0"/>
              <w:spacing w:before="120" w:after="120"/>
              <w:rPr>
                <w:rFonts w:cs="Arial"/>
                <w:sz w:val="16"/>
                <w:szCs w:val="16"/>
              </w:rPr>
            </w:pPr>
            <w:r w:rsidRPr="002124F7">
              <w:rPr>
                <w:rFonts w:cs="Arial"/>
                <w:sz w:val="16"/>
                <w:szCs w:val="16"/>
              </w:rPr>
              <w:t>May 5 to 9, 2014</w:t>
            </w:r>
          </w:p>
        </w:tc>
        <w:tc>
          <w:tcPr>
            <w:tcW w:w="1985" w:type="dxa"/>
            <w:tcBorders>
              <w:top w:val="nil"/>
              <w:bottom w:val="single" w:sz="4" w:space="0" w:color="auto"/>
            </w:tcBorders>
          </w:tcPr>
          <w:p w:rsidR="0063033D" w:rsidRPr="002124F7" w:rsidRDefault="0063033D" w:rsidP="008D1891">
            <w:pPr>
              <w:autoSpaceDE w:val="0"/>
              <w:autoSpaceDN w:val="0"/>
              <w:adjustRightInd w:val="0"/>
              <w:spacing w:before="120" w:after="120"/>
              <w:rPr>
                <w:rFonts w:cs="Arial"/>
                <w:color w:val="000000"/>
                <w:sz w:val="16"/>
                <w:szCs w:val="16"/>
              </w:rPr>
            </w:pPr>
            <w:r w:rsidRPr="002124F7">
              <w:rPr>
                <w:rFonts w:cs="Arial"/>
                <w:color w:val="000000"/>
                <w:sz w:val="16"/>
                <w:szCs w:val="16"/>
              </w:rPr>
              <w:t>Pakistan</w:t>
            </w:r>
            <w:r>
              <w:rPr>
                <w:rFonts w:cs="Arial"/>
                <w:color w:val="000000"/>
                <w:sz w:val="16"/>
                <w:szCs w:val="16"/>
              </w:rPr>
              <w:t xml:space="preserve">/ 7 participants from </w:t>
            </w:r>
            <w:r w:rsidRPr="002124F7">
              <w:rPr>
                <w:rFonts w:cs="Arial"/>
                <w:color w:val="000000"/>
                <w:sz w:val="16"/>
                <w:szCs w:val="16"/>
              </w:rPr>
              <w:t>IPO Pakistan</w:t>
            </w:r>
            <w:r w:rsidRPr="002124F7">
              <w:rPr>
                <w:rFonts w:cs="Arial"/>
                <w:color w:val="000000"/>
                <w:sz w:val="16"/>
                <w:szCs w:val="16"/>
              </w:rPr>
              <w:br/>
            </w:r>
          </w:p>
        </w:tc>
        <w:tc>
          <w:tcPr>
            <w:tcW w:w="4394" w:type="dxa"/>
            <w:tcBorders>
              <w:top w:val="nil"/>
              <w:bottom w:val="single" w:sz="4" w:space="0" w:color="auto"/>
              <w:right w:val="single" w:sz="4" w:space="0" w:color="auto"/>
            </w:tcBorders>
          </w:tcPr>
          <w:p w:rsidR="0063033D" w:rsidRPr="002124F7" w:rsidRDefault="0063033D" w:rsidP="008D1891">
            <w:pPr>
              <w:autoSpaceDE w:val="0"/>
              <w:autoSpaceDN w:val="0"/>
              <w:adjustRightInd w:val="0"/>
              <w:spacing w:before="120" w:after="120"/>
              <w:rPr>
                <w:rFonts w:cs="Arial"/>
                <w:sz w:val="16"/>
                <w:szCs w:val="16"/>
              </w:rPr>
            </w:pPr>
            <w:r w:rsidRPr="002124F7">
              <w:rPr>
                <w:rFonts w:cs="Arial"/>
                <w:sz w:val="16"/>
                <w:szCs w:val="16"/>
              </w:rPr>
              <w:t>To enhance skills of</w:t>
            </w:r>
            <w:r>
              <w:rPr>
                <w:rFonts w:cs="Arial"/>
                <w:sz w:val="16"/>
                <w:szCs w:val="16"/>
              </w:rPr>
              <w:t xml:space="preserve"> the</w:t>
            </w:r>
            <w:r w:rsidRPr="002124F7">
              <w:rPr>
                <w:rFonts w:cs="Arial"/>
                <w:sz w:val="16"/>
                <w:szCs w:val="16"/>
              </w:rPr>
              <w:t xml:space="preserve"> IPO IT team in Oracle database technologies</w:t>
            </w:r>
            <w:r>
              <w:rPr>
                <w:rFonts w:cs="Arial"/>
                <w:sz w:val="16"/>
                <w:szCs w:val="16"/>
              </w:rPr>
              <w:t>,</w:t>
            </w:r>
            <w:r w:rsidRPr="002124F7">
              <w:rPr>
                <w:rFonts w:cs="Arial"/>
                <w:sz w:val="16"/>
                <w:szCs w:val="16"/>
              </w:rPr>
              <w:t xml:space="preserve"> including architecture, security, performance, backup and recovery for efficient operation of their IP automation system.</w:t>
            </w:r>
            <w:r w:rsidRPr="002124F7">
              <w:rPr>
                <w:rFonts w:cs="Arial"/>
                <w:sz w:val="16"/>
                <w:szCs w:val="16"/>
              </w:rPr>
              <w:br/>
            </w:r>
          </w:p>
        </w:tc>
      </w:tr>
      <w:tr w:rsidR="0063033D" w:rsidRPr="00774D44" w:rsidTr="008D1891">
        <w:trPr>
          <w:cantSplit/>
          <w:trHeight w:val="315"/>
        </w:trPr>
        <w:tc>
          <w:tcPr>
            <w:tcW w:w="1843" w:type="dxa"/>
            <w:tcBorders>
              <w:top w:val="single" w:sz="4" w:space="0" w:color="auto"/>
              <w:left w:val="single" w:sz="4" w:space="0" w:color="auto"/>
              <w:bottom w:val="nil"/>
            </w:tcBorders>
            <w:vAlign w:val="center"/>
          </w:tcPr>
          <w:p w:rsidR="0063033D" w:rsidRPr="002B7DE5" w:rsidRDefault="0063033D" w:rsidP="008D1891">
            <w:pPr>
              <w:keepNext/>
              <w:keepLines/>
              <w:spacing w:before="120"/>
              <w:rPr>
                <w:rFonts w:cs="Arial"/>
                <w:b/>
                <w:bCs/>
                <w:sz w:val="16"/>
                <w:szCs w:val="16"/>
              </w:rPr>
            </w:pPr>
            <w:r w:rsidRPr="002B7DE5">
              <w:rPr>
                <w:rFonts w:cs="Arial"/>
                <w:b/>
                <w:bCs/>
                <w:sz w:val="16"/>
                <w:szCs w:val="16"/>
              </w:rPr>
              <w:lastRenderedPageBreak/>
              <w:t>Activity</w:t>
            </w:r>
          </w:p>
        </w:tc>
        <w:tc>
          <w:tcPr>
            <w:tcW w:w="1134" w:type="dxa"/>
            <w:tcBorders>
              <w:top w:val="single" w:sz="4" w:space="0" w:color="auto"/>
              <w:bottom w:val="nil"/>
            </w:tcBorders>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Date</w:t>
            </w:r>
          </w:p>
        </w:tc>
        <w:tc>
          <w:tcPr>
            <w:tcW w:w="1985" w:type="dxa"/>
            <w:tcBorders>
              <w:top w:val="single" w:sz="4" w:space="0" w:color="auto"/>
              <w:bottom w:val="nil"/>
            </w:tcBorders>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auto"/>
              <w:bottom w:val="nil"/>
              <w:right w:val="single" w:sz="4" w:space="0" w:color="auto"/>
            </w:tcBorders>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Purpose(s)/Description(s)</w:t>
            </w:r>
          </w:p>
        </w:tc>
      </w:tr>
      <w:tr w:rsidR="0063033D" w:rsidRPr="00774D44" w:rsidTr="008D1891">
        <w:trPr>
          <w:cantSplit/>
          <w:trHeight w:val="315"/>
        </w:trPr>
        <w:tc>
          <w:tcPr>
            <w:tcW w:w="1843" w:type="dxa"/>
            <w:tcBorders>
              <w:top w:val="nil"/>
              <w:left w:val="single" w:sz="4" w:space="0" w:color="auto"/>
              <w:bottom w:val="nil"/>
            </w:tcBorders>
          </w:tcPr>
          <w:p w:rsidR="0063033D" w:rsidRPr="002124F7" w:rsidRDefault="0063033D" w:rsidP="008D1891">
            <w:pPr>
              <w:autoSpaceDE w:val="0"/>
              <w:autoSpaceDN w:val="0"/>
              <w:adjustRightInd w:val="0"/>
              <w:spacing w:before="120" w:after="120"/>
              <w:rPr>
                <w:rFonts w:cs="Arial"/>
                <w:sz w:val="16"/>
                <w:szCs w:val="16"/>
              </w:rPr>
            </w:pPr>
            <w:r w:rsidRPr="002124F7">
              <w:rPr>
                <w:rFonts w:cs="Arial"/>
                <w:sz w:val="16"/>
                <w:szCs w:val="16"/>
              </w:rPr>
              <w:t xml:space="preserve">Development of a </w:t>
            </w:r>
            <w:r>
              <w:rPr>
                <w:rFonts w:cs="Arial"/>
                <w:sz w:val="16"/>
                <w:szCs w:val="16"/>
              </w:rPr>
              <w:t>p</w:t>
            </w:r>
            <w:r w:rsidRPr="002124F7">
              <w:rPr>
                <w:rFonts w:cs="Arial"/>
                <w:sz w:val="16"/>
                <w:szCs w:val="16"/>
              </w:rPr>
              <w:t xml:space="preserve">ilot </w:t>
            </w:r>
            <w:r>
              <w:rPr>
                <w:rFonts w:cs="Arial"/>
                <w:sz w:val="16"/>
                <w:szCs w:val="16"/>
              </w:rPr>
              <w:t>v</w:t>
            </w:r>
            <w:r w:rsidRPr="002124F7">
              <w:rPr>
                <w:rFonts w:cs="Arial"/>
                <w:sz w:val="16"/>
                <w:szCs w:val="16"/>
              </w:rPr>
              <w:t xml:space="preserve">ersion of an e-Forum </w:t>
            </w:r>
          </w:p>
        </w:tc>
        <w:tc>
          <w:tcPr>
            <w:tcW w:w="1134" w:type="dxa"/>
            <w:tcBorders>
              <w:top w:val="nil"/>
              <w:bottom w:val="nil"/>
            </w:tcBorders>
          </w:tcPr>
          <w:p w:rsidR="0063033D" w:rsidRPr="002124F7" w:rsidRDefault="0063033D" w:rsidP="008D1891">
            <w:pPr>
              <w:spacing w:before="120" w:after="120"/>
              <w:rPr>
                <w:rFonts w:cs="Arial"/>
                <w:sz w:val="16"/>
                <w:szCs w:val="16"/>
              </w:rPr>
            </w:pPr>
            <w:r w:rsidRPr="002124F7">
              <w:rPr>
                <w:rFonts w:cs="Arial"/>
                <w:sz w:val="16"/>
                <w:szCs w:val="16"/>
              </w:rPr>
              <w:t>October 2014</w:t>
            </w:r>
          </w:p>
        </w:tc>
        <w:tc>
          <w:tcPr>
            <w:tcW w:w="1985" w:type="dxa"/>
            <w:tcBorders>
              <w:top w:val="nil"/>
              <w:bottom w:val="nil"/>
            </w:tcBorders>
          </w:tcPr>
          <w:p w:rsidR="0063033D" w:rsidRPr="002124F7" w:rsidRDefault="0063033D" w:rsidP="008D1891">
            <w:pPr>
              <w:autoSpaceDE w:val="0"/>
              <w:autoSpaceDN w:val="0"/>
              <w:adjustRightInd w:val="0"/>
              <w:spacing w:before="120" w:after="120"/>
              <w:rPr>
                <w:rFonts w:cs="Arial"/>
                <w:color w:val="000000"/>
                <w:sz w:val="16"/>
                <w:szCs w:val="16"/>
              </w:rPr>
            </w:pPr>
            <w:r w:rsidRPr="002124F7">
              <w:rPr>
                <w:rFonts w:cs="Arial"/>
                <w:color w:val="000000"/>
                <w:sz w:val="16"/>
                <w:szCs w:val="16"/>
              </w:rPr>
              <w:t>Pakistan</w:t>
            </w:r>
            <w:r>
              <w:rPr>
                <w:rFonts w:cs="Arial"/>
                <w:color w:val="000000"/>
                <w:sz w:val="16"/>
                <w:szCs w:val="16"/>
              </w:rPr>
              <w:t xml:space="preserve">/ </w:t>
            </w:r>
            <w:r w:rsidRPr="002124F7">
              <w:rPr>
                <w:rFonts w:cs="Arial"/>
                <w:color w:val="000000"/>
                <w:sz w:val="16"/>
                <w:szCs w:val="16"/>
              </w:rPr>
              <w:t>IPO Pakistan</w:t>
            </w:r>
          </w:p>
        </w:tc>
        <w:tc>
          <w:tcPr>
            <w:tcW w:w="4394" w:type="dxa"/>
            <w:tcBorders>
              <w:top w:val="nil"/>
              <w:bottom w:val="nil"/>
              <w:right w:val="single" w:sz="4" w:space="0" w:color="auto"/>
            </w:tcBorders>
          </w:tcPr>
          <w:p w:rsidR="0063033D" w:rsidRPr="002124F7" w:rsidRDefault="0063033D" w:rsidP="008D1891">
            <w:pPr>
              <w:autoSpaceDE w:val="0"/>
              <w:autoSpaceDN w:val="0"/>
              <w:adjustRightInd w:val="0"/>
              <w:spacing w:before="120" w:after="120"/>
              <w:rPr>
                <w:rFonts w:cs="Arial"/>
                <w:sz w:val="16"/>
                <w:szCs w:val="16"/>
              </w:rPr>
            </w:pPr>
            <w:r w:rsidRPr="002124F7">
              <w:rPr>
                <w:rFonts w:cs="Arial"/>
                <w:sz w:val="16"/>
                <w:szCs w:val="16"/>
              </w:rPr>
              <w:t>To strengthen linkages between research institutions and industry through a web-based e-Forum (</w:t>
            </w:r>
            <w:proofErr w:type="spellStart"/>
            <w:r w:rsidRPr="002124F7">
              <w:rPr>
                <w:rFonts w:cs="Arial"/>
                <w:sz w:val="16"/>
                <w:szCs w:val="16"/>
              </w:rPr>
              <w:t>PiNET</w:t>
            </w:r>
            <w:proofErr w:type="spellEnd"/>
            <w:r w:rsidRPr="002124F7">
              <w:rPr>
                <w:rFonts w:cs="Arial"/>
                <w:sz w:val="16"/>
                <w:szCs w:val="16"/>
              </w:rPr>
              <w:t>) where available technologies and research can be paired with industry needs.</w:t>
            </w:r>
          </w:p>
        </w:tc>
      </w:tr>
      <w:tr w:rsidR="0063033D" w:rsidRPr="00774D44" w:rsidTr="008D1891">
        <w:trPr>
          <w:cantSplit/>
          <w:trHeight w:val="315"/>
        </w:trPr>
        <w:tc>
          <w:tcPr>
            <w:tcW w:w="1843" w:type="dxa"/>
            <w:tcBorders>
              <w:top w:val="nil"/>
              <w:left w:val="single" w:sz="4" w:space="0" w:color="auto"/>
              <w:bottom w:val="single" w:sz="4" w:space="0" w:color="auto"/>
            </w:tcBorders>
          </w:tcPr>
          <w:p w:rsidR="0063033D" w:rsidRPr="002124F7" w:rsidRDefault="0063033D" w:rsidP="00FC1F02">
            <w:pPr>
              <w:autoSpaceDE w:val="0"/>
              <w:autoSpaceDN w:val="0"/>
              <w:adjustRightInd w:val="0"/>
              <w:spacing w:before="120" w:after="120"/>
              <w:rPr>
                <w:rFonts w:cs="Arial"/>
                <w:sz w:val="16"/>
                <w:szCs w:val="16"/>
              </w:rPr>
            </w:pPr>
            <w:r w:rsidRPr="002124F7">
              <w:rPr>
                <w:rFonts w:cs="Arial"/>
                <w:sz w:val="16"/>
                <w:szCs w:val="16"/>
              </w:rPr>
              <w:t>Workshop on</w:t>
            </w:r>
            <w:r w:rsidR="00FC1F02">
              <w:rPr>
                <w:rFonts w:cs="Arial"/>
                <w:sz w:val="16"/>
                <w:szCs w:val="16"/>
              </w:rPr>
              <w:t xml:space="preserve"> WIPO</w:t>
            </w:r>
            <w:r w:rsidRPr="002124F7">
              <w:rPr>
                <w:rFonts w:cs="Arial"/>
                <w:sz w:val="16"/>
                <w:szCs w:val="16"/>
              </w:rPr>
              <w:t xml:space="preserve"> IPAS, Electronic Document Management System </w:t>
            </w:r>
            <w:r>
              <w:rPr>
                <w:rFonts w:cs="Arial"/>
                <w:sz w:val="16"/>
                <w:szCs w:val="16"/>
              </w:rPr>
              <w:t>(</w:t>
            </w:r>
            <w:r w:rsidRPr="002124F7">
              <w:rPr>
                <w:rFonts w:cs="Arial"/>
                <w:sz w:val="16"/>
                <w:szCs w:val="16"/>
              </w:rPr>
              <w:t>EDMS</w:t>
            </w:r>
            <w:r>
              <w:rPr>
                <w:rFonts w:cs="Arial"/>
                <w:sz w:val="16"/>
                <w:szCs w:val="16"/>
              </w:rPr>
              <w:t>)</w:t>
            </w:r>
            <w:r w:rsidRPr="002124F7">
              <w:rPr>
                <w:rFonts w:cs="Arial"/>
                <w:sz w:val="16"/>
                <w:szCs w:val="16"/>
              </w:rPr>
              <w:t xml:space="preserve"> and </w:t>
            </w:r>
            <w:proofErr w:type="spellStart"/>
            <w:r w:rsidRPr="002124F7">
              <w:rPr>
                <w:rFonts w:cs="Arial"/>
                <w:sz w:val="16"/>
                <w:szCs w:val="16"/>
              </w:rPr>
              <w:t>WIPOScan</w:t>
            </w:r>
            <w:proofErr w:type="spellEnd"/>
            <w:r w:rsidRPr="002124F7">
              <w:rPr>
                <w:rFonts w:cs="Arial"/>
                <w:sz w:val="16"/>
                <w:szCs w:val="16"/>
              </w:rPr>
              <w:t xml:space="preserve"> for</w:t>
            </w:r>
            <w:r>
              <w:rPr>
                <w:rFonts w:cs="Arial"/>
                <w:sz w:val="16"/>
                <w:szCs w:val="16"/>
              </w:rPr>
              <w:t xml:space="preserve"> the</w:t>
            </w:r>
            <w:r w:rsidRPr="002124F7">
              <w:rPr>
                <w:rFonts w:cs="Arial"/>
                <w:sz w:val="16"/>
                <w:szCs w:val="16"/>
              </w:rPr>
              <w:t xml:space="preserve"> IPO IT </w:t>
            </w:r>
            <w:r>
              <w:rPr>
                <w:rFonts w:cs="Arial"/>
                <w:sz w:val="16"/>
                <w:szCs w:val="16"/>
              </w:rPr>
              <w:t>t</w:t>
            </w:r>
            <w:r w:rsidRPr="002124F7">
              <w:rPr>
                <w:rFonts w:cs="Arial"/>
                <w:sz w:val="16"/>
                <w:szCs w:val="16"/>
              </w:rPr>
              <w:t>eam</w:t>
            </w:r>
          </w:p>
        </w:tc>
        <w:tc>
          <w:tcPr>
            <w:tcW w:w="1134" w:type="dxa"/>
            <w:tcBorders>
              <w:top w:val="nil"/>
              <w:bottom w:val="single" w:sz="4" w:space="0" w:color="auto"/>
            </w:tcBorders>
          </w:tcPr>
          <w:p w:rsidR="0063033D" w:rsidRPr="002124F7" w:rsidRDefault="0063033D" w:rsidP="008D1891">
            <w:pPr>
              <w:spacing w:before="120" w:after="120"/>
              <w:rPr>
                <w:rFonts w:cs="Arial"/>
                <w:sz w:val="16"/>
                <w:szCs w:val="16"/>
              </w:rPr>
            </w:pPr>
            <w:r w:rsidRPr="002124F7">
              <w:rPr>
                <w:rFonts w:cs="Arial"/>
                <w:sz w:val="16"/>
                <w:szCs w:val="16"/>
              </w:rPr>
              <w:t>November 3 to 11, 2014</w:t>
            </w:r>
          </w:p>
        </w:tc>
        <w:tc>
          <w:tcPr>
            <w:tcW w:w="1985" w:type="dxa"/>
            <w:tcBorders>
              <w:top w:val="nil"/>
              <w:bottom w:val="single" w:sz="4" w:space="0" w:color="auto"/>
            </w:tcBorders>
          </w:tcPr>
          <w:p w:rsidR="0063033D" w:rsidRPr="002124F7" w:rsidRDefault="0063033D" w:rsidP="008D1891">
            <w:pPr>
              <w:autoSpaceDE w:val="0"/>
              <w:autoSpaceDN w:val="0"/>
              <w:adjustRightInd w:val="0"/>
              <w:spacing w:before="120" w:after="120"/>
              <w:rPr>
                <w:rFonts w:cs="Arial"/>
                <w:color w:val="000000"/>
                <w:sz w:val="16"/>
                <w:szCs w:val="16"/>
              </w:rPr>
            </w:pPr>
            <w:r w:rsidRPr="002124F7">
              <w:rPr>
                <w:rFonts w:cs="Arial"/>
                <w:color w:val="000000"/>
                <w:sz w:val="16"/>
                <w:szCs w:val="16"/>
              </w:rPr>
              <w:t>Pakistan</w:t>
            </w:r>
            <w:r>
              <w:rPr>
                <w:rFonts w:cs="Arial"/>
                <w:color w:val="000000"/>
                <w:sz w:val="16"/>
                <w:szCs w:val="16"/>
              </w:rPr>
              <w:t xml:space="preserve">/  </w:t>
            </w:r>
            <w:r w:rsidRPr="002124F7">
              <w:rPr>
                <w:rFonts w:cs="Arial"/>
                <w:color w:val="000000"/>
                <w:sz w:val="16"/>
                <w:szCs w:val="16"/>
              </w:rPr>
              <w:br/>
              <w:t>5</w:t>
            </w:r>
            <w:r>
              <w:rPr>
                <w:rFonts w:cs="Arial"/>
                <w:color w:val="000000"/>
                <w:sz w:val="16"/>
                <w:szCs w:val="16"/>
              </w:rPr>
              <w:t xml:space="preserve"> </w:t>
            </w:r>
            <w:r w:rsidRPr="002124F7">
              <w:rPr>
                <w:rFonts w:cs="Arial"/>
                <w:color w:val="000000"/>
                <w:sz w:val="16"/>
                <w:szCs w:val="16"/>
              </w:rPr>
              <w:t>participants</w:t>
            </w:r>
            <w:r>
              <w:rPr>
                <w:rFonts w:cs="Arial"/>
                <w:color w:val="000000"/>
                <w:sz w:val="16"/>
                <w:szCs w:val="16"/>
              </w:rPr>
              <w:t xml:space="preserve"> from</w:t>
            </w:r>
            <w:r w:rsidRPr="002124F7">
              <w:rPr>
                <w:rFonts w:cs="Arial"/>
                <w:color w:val="000000"/>
                <w:sz w:val="16"/>
                <w:szCs w:val="16"/>
              </w:rPr>
              <w:t xml:space="preserve"> IPO Pakistan</w:t>
            </w:r>
          </w:p>
        </w:tc>
        <w:tc>
          <w:tcPr>
            <w:tcW w:w="4394" w:type="dxa"/>
            <w:tcBorders>
              <w:top w:val="nil"/>
              <w:bottom w:val="single" w:sz="4" w:space="0" w:color="auto"/>
              <w:right w:val="single" w:sz="4" w:space="0" w:color="auto"/>
            </w:tcBorders>
          </w:tcPr>
          <w:p w:rsidR="0063033D" w:rsidRPr="002124F7" w:rsidRDefault="0063033D" w:rsidP="008D1891">
            <w:pPr>
              <w:autoSpaceDE w:val="0"/>
              <w:autoSpaceDN w:val="0"/>
              <w:adjustRightInd w:val="0"/>
              <w:spacing w:before="120" w:after="120"/>
              <w:rPr>
                <w:rFonts w:cs="Arial"/>
                <w:sz w:val="16"/>
                <w:szCs w:val="16"/>
              </w:rPr>
            </w:pPr>
            <w:r w:rsidRPr="002124F7">
              <w:rPr>
                <w:rFonts w:cs="Arial"/>
                <w:sz w:val="16"/>
                <w:szCs w:val="16"/>
              </w:rPr>
              <w:t>To enhance technical skills of</w:t>
            </w:r>
            <w:r>
              <w:rPr>
                <w:rFonts w:cs="Arial"/>
                <w:sz w:val="16"/>
                <w:szCs w:val="16"/>
              </w:rPr>
              <w:t xml:space="preserve"> the</w:t>
            </w:r>
            <w:r w:rsidRPr="002124F7">
              <w:rPr>
                <w:rFonts w:cs="Arial"/>
                <w:sz w:val="16"/>
                <w:szCs w:val="16"/>
              </w:rPr>
              <w:t xml:space="preserve"> IPO IT team through knowledge transfer of advanced features of </w:t>
            </w:r>
            <w:r>
              <w:rPr>
                <w:rFonts w:cs="Arial"/>
                <w:sz w:val="16"/>
                <w:szCs w:val="16"/>
              </w:rPr>
              <w:t xml:space="preserve">WIPO </w:t>
            </w:r>
            <w:r w:rsidRPr="002124F7">
              <w:rPr>
                <w:rFonts w:cs="Arial"/>
                <w:sz w:val="16"/>
                <w:szCs w:val="16"/>
              </w:rPr>
              <w:t xml:space="preserve">IPAS, EDMS and </w:t>
            </w:r>
            <w:proofErr w:type="spellStart"/>
            <w:r w:rsidRPr="002124F7">
              <w:rPr>
                <w:rFonts w:cs="Arial"/>
                <w:sz w:val="16"/>
                <w:szCs w:val="16"/>
              </w:rPr>
              <w:t>WIPOScan</w:t>
            </w:r>
            <w:proofErr w:type="spellEnd"/>
            <w:r w:rsidRPr="002124F7">
              <w:rPr>
                <w:rFonts w:cs="Arial"/>
                <w:sz w:val="16"/>
                <w:szCs w:val="16"/>
              </w:rPr>
              <w:t xml:space="preserve"> systems to ensure their effective deployment, operation and ongoing support at the IPO Patent Office and Trade</w:t>
            </w:r>
            <w:r>
              <w:rPr>
                <w:rFonts w:cs="Arial"/>
                <w:sz w:val="16"/>
                <w:szCs w:val="16"/>
              </w:rPr>
              <w:t>m</w:t>
            </w:r>
            <w:r w:rsidRPr="002124F7">
              <w:rPr>
                <w:rFonts w:cs="Arial"/>
                <w:sz w:val="16"/>
                <w:szCs w:val="16"/>
              </w:rPr>
              <w:t>arks Registry.</w:t>
            </w:r>
          </w:p>
        </w:tc>
      </w:tr>
    </w:tbl>
    <w:p w:rsidR="0063033D" w:rsidRDefault="0063033D" w:rsidP="008D1891">
      <w:pPr>
        <w:tabs>
          <w:tab w:val="left" w:pos="0"/>
          <w:tab w:val="left" w:pos="9071"/>
        </w:tabs>
        <w:rPr>
          <w:rFonts w:cs="Arial"/>
          <w:b/>
          <w:szCs w:val="20"/>
        </w:rPr>
      </w:pPr>
    </w:p>
    <w:p w:rsidR="0063033D" w:rsidRDefault="0063033D" w:rsidP="008D1891">
      <w:pPr>
        <w:tabs>
          <w:tab w:val="left" w:pos="0"/>
          <w:tab w:val="left" w:pos="9071"/>
        </w:tabs>
        <w:rPr>
          <w:rFonts w:cs="Arial"/>
          <w:b/>
          <w:szCs w:val="20"/>
        </w:rPr>
      </w:pPr>
    </w:p>
    <w:p w:rsidR="0063033D" w:rsidRPr="0024548C" w:rsidRDefault="0063033D" w:rsidP="008D1891">
      <w:pPr>
        <w:spacing w:before="120"/>
        <w:rPr>
          <w:rFonts w:ascii="Arial Bold" w:hAnsi="Arial Bold" w:cs="Arial"/>
          <w:b/>
          <w:szCs w:val="20"/>
        </w:rPr>
      </w:pPr>
      <w:r w:rsidRPr="0024548C">
        <w:rPr>
          <w:rFonts w:ascii="Arial Bold" w:hAnsi="Arial Bold" w:cs="Arial"/>
          <w:b/>
          <w:sz w:val="18"/>
          <w:szCs w:val="18"/>
        </w:rPr>
        <w:t>EUROPEAN UNION (Pakistan Project) Donor Contributions and Expenditure in 2014</w:t>
      </w:r>
    </w:p>
    <w:p w:rsidR="0063033D" w:rsidRDefault="0063033D" w:rsidP="008D1891">
      <w:pPr>
        <w:tabs>
          <w:tab w:val="left" w:pos="0"/>
          <w:tab w:val="left" w:pos="9071"/>
        </w:tabs>
        <w:rPr>
          <w:rFonts w:cs="Arial"/>
          <w:b/>
          <w:szCs w:val="20"/>
        </w:rPr>
      </w:pPr>
    </w:p>
    <w:tbl>
      <w:tblPr>
        <w:tblW w:w="9229" w:type="dxa"/>
        <w:jc w:val="center"/>
        <w:tblInd w:w="93" w:type="dxa"/>
        <w:tblLook w:val="04A0" w:firstRow="1" w:lastRow="0" w:firstColumn="1" w:lastColumn="0" w:noHBand="0" w:noVBand="1"/>
      </w:tblPr>
      <w:tblGrid>
        <w:gridCol w:w="1858"/>
        <w:gridCol w:w="1559"/>
        <w:gridCol w:w="1843"/>
        <w:gridCol w:w="1843"/>
        <w:gridCol w:w="2126"/>
      </w:tblGrid>
      <w:tr w:rsidR="0063033D" w:rsidTr="008D1891">
        <w:trPr>
          <w:trHeight w:val="518"/>
          <w:jc w:val="center"/>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2013</w:t>
            </w:r>
          </w:p>
        </w:tc>
        <w:tc>
          <w:tcPr>
            <w:tcW w:w="1559"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Income 2014</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Expenditure 2014</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Reimbursements</w:t>
            </w:r>
          </w:p>
        </w:tc>
        <w:tc>
          <w:tcPr>
            <w:tcW w:w="2126"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rsidP="008D1891">
            <w:pPr>
              <w:jc w:val="center"/>
              <w:rPr>
                <w:rFonts w:cs="Arial"/>
                <w:b/>
                <w:bCs/>
                <w:color w:val="000000"/>
                <w:sz w:val="16"/>
                <w:szCs w:val="16"/>
              </w:rPr>
            </w:pPr>
            <w:r>
              <w:rPr>
                <w:rFonts w:cs="Arial"/>
                <w:b/>
                <w:bCs/>
                <w:color w:val="000000"/>
                <w:sz w:val="16"/>
                <w:szCs w:val="16"/>
              </w:rPr>
              <w:t>Balance as of December 31, 2014</w:t>
            </w:r>
          </w:p>
        </w:tc>
      </w:tr>
      <w:tr w:rsidR="0063033D" w:rsidTr="008D1891">
        <w:trPr>
          <w:trHeight w:val="400"/>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605,533</w:t>
            </w:r>
          </w:p>
        </w:tc>
        <w:tc>
          <w:tcPr>
            <w:tcW w:w="1559"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(8,601)</w:t>
            </w:r>
          </w:p>
        </w:tc>
        <w:tc>
          <w:tcPr>
            <w:tcW w:w="1843"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213,817</w:t>
            </w:r>
          </w:p>
        </w:tc>
        <w:tc>
          <w:tcPr>
            <w:tcW w:w="1843"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 -</w:t>
            </w:r>
          </w:p>
        </w:tc>
        <w:tc>
          <w:tcPr>
            <w:tcW w:w="2126"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383,115</w:t>
            </w:r>
          </w:p>
        </w:tc>
      </w:tr>
    </w:tbl>
    <w:p w:rsidR="0063033D" w:rsidRPr="00BB4430" w:rsidRDefault="0063033D" w:rsidP="008D1891">
      <w:pPr>
        <w:rPr>
          <w:rFonts w:cs="Arial"/>
          <w:szCs w:val="20"/>
        </w:rPr>
      </w:pPr>
    </w:p>
    <w:p w:rsidR="0063033D" w:rsidRPr="00BB4430" w:rsidRDefault="0063033D" w:rsidP="008D1891">
      <w:pPr>
        <w:rPr>
          <w:rFonts w:cs="Arial"/>
          <w:szCs w:val="20"/>
        </w:rPr>
      </w:pPr>
    </w:p>
    <w:p w:rsidR="0063033D" w:rsidRPr="000B61A2" w:rsidRDefault="0063033D" w:rsidP="008D1891">
      <w:pPr>
        <w:rPr>
          <w:szCs w:val="20"/>
        </w:rPr>
      </w:pPr>
      <w:r w:rsidRPr="00795D13">
        <w:rPr>
          <w:rFonts w:cs="Arial"/>
          <w:b/>
          <w:szCs w:val="20"/>
        </w:rPr>
        <w:t xml:space="preserve">FINLAND/ COPYRIGHT </w:t>
      </w:r>
    </w:p>
    <w:p w:rsidR="0063033D" w:rsidRDefault="0063033D" w:rsidP="008D1891">
      <w:pPr>
        <w:spacing w:before="120"/>
        <w:rPr>
          <w:rFonts w:cs="Arial"/>
          <w:b/>
          <w:szCs w:val="20"/>
        </w:rPr>
      </w:pPr>
    </w:p>
    <w:tbl>
      <w:tblPr>
        <w:tblW w:w="9361" w:type="dxa"/>
        <w:tblInd w:w="10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4"/>
        <w:gridCol w:w="1137"/>
        <w:gridCol w:w="1843"/>
        <w:gridCol w:w="4537"/>
      </w:tblGrid>
      <w:tr w:rsidR="0063033D" w:rsidTr="008D1891">
        <w:tc>
          <w:tcPr>
            <w:tcW w:w="9361" w:type="dxa"/>
            <w:gridSpan w:val="4"/>
            <w:tcBorders>
              <w:top w:val="single" w:sz="4" w:space="0" w:color="000000"/>
              <w:bottom w:val="single" w:sz="4" w:space="0" w:color="000000"/>
            </w:tcBorders>
            <w:shd w:val="clear" w:color="auto" w:fill="CCFFFF"/>
            <w:vAlign w:val="center"/>
          </w:tcPr>
          <w:p w:rsidR="0063033D" w:rsidRPr="00A95449" w:rsidRDefault="0063033D" w:rsidP="008D1891">
            <w:pPr>
              <w:tabs>
                <w:tab w:val="left" w:pos="890"/>
              </w:tabs>
              <w:spacing w:before="120" w:after="120"/>
              <w:ind w:left="890" w:hanging="890"/>
              <w:rPr>
                <w:rFonts w:cs="Arial"/>
                <w:b/>
                <w:bCs/>
                <w:sz w:val="16"/>
                <w:szCs w:val="16"/>
              </w:rPr>
            </w:pPr>
            <w:r w:rsidRPr="00774D44">
              <w:rPr>
                <w:rFonts w:cs="Arial"/>
                <w:b/>
                <w:bCs/>
                <w:color w:val="000000"/>
                <w:sz w:val="16"/>
                <w:szCs w:val="16"/>
              </w:rPr>
              <w:t>RESULT</w:t>
            </w:r>
            <w:r w:rsidRPr="002B7DE5">
              <w:rPr>
                <w:rFonts w:cs="Arial"/>
                <w:b/>
                <w:bCs/>
                <w:sz w:val="16"/>
                <w:szCs w:val="16"/>
              </w:rPr>
              <w:t>:</w:t>
            </w:r>
            <w:r w:rsidRPr="00A95449">
              <w:rPr>
                <w:rFonts w:cs="Arial"/>
                <w:b/>
                <w:bCs/>
                <w:sz w:val="16"/>
                <w:szCs w:val="16"/>
              </w:rPr>
              <w:tab/>
            </w:r>
            <w:r>
              <w:rPr>
                <w:rFonts w:cs="Arial"/>
                <w:b/>
                <w:bCs/>
                <w:sz w:val="16"/>
                <w:szCs w:val="16"/>
              </w:rPr>
              <w:tab/>
            </w:r>
            <w:r>
              <w:rPr>
                <w:rFonts w:cs="Arial"/>
                <w:b/>
                <w:bCs/>
                <w:sz w:val="16"/>
                <w:szCs w:val="16"/>
              </w:rPr>
              <w:tab/>
            </w:r>
            <w:r w:rsidRPr="000B61A2">
              <w:rPr>
                <w:rFonts w:eastAsia="MS Mincho" w:cs="Arial"/>
                <w:bCs/>
                <w:color w:val="000000"/>
                <w:sz w:val="16"/>
                <w:szCs w:val="16"/>
                <w:lang w:eastAsia="ja-JP" w:bidi="th-TH"/>
              </w:rPr>
              <w:t>V.2. Wider and better use of WIPO economic analysis in policy formulation</w:t>
            </w:r>
          </w:p>
        </w:tc>
      </w:tr>
      <w:tr w:rsidR="0063033D" w:rsidTr="008D1891">
        <w:tc>
          <w:tcPr>
            <w:tcW w:w="1844" w:type="dxa"/>
            <w:tcBorders>
              <w:top w:val="single" w:sz="4" w:space="0" w:color="000000"/>
            </w:tcBorders>
            <w:vAlign w:val="center"/>
          </w:tcPr>
          <w:p w:rsidR="0063033D" w:rsidRDefault="0063033D" w:rsidP="008D1891">
            <w:pPr>
              <w:keepNext/>
              <w:keepLines/>
              <w:rPr>
                <w:rFonts w:cs="Arial"/>
                <w:b/>
                <w:bCs/>
                <w:sz w:val="16"/>
                <w:szCs w:val="16"/>
              </w:rPr>
            </w:pPr>
            <w:r>
              <w:rPr>
                <w:rFonts w:cs="Arial"/>
                <w:b/>
                <w:bCs/>
                <w:sz w:val="16"/>
                <w:szCs w:val="16"/>
              </w:rPr>
              <w:t>Activity</w:t>
            </w:r>
          </w:p>
        </w:tc>
        <w:tc>
          <w:tcPr>
            <w:tcW w:w="1137" w:type="dxa"/>
            <w:tcBorders>
              <w:top w:val="single" w:sz="4" w:space="0" w:color="000000"/>
            </w:tcBorders>
            <w:shd w:val="clear" w:color="auto" w:fill="auto"/>
            <w:tcMar>
              <w:top w:w="110" w:type="dxa"/>
            </w:tcMar>
            <w:vAlign w:val="center"/>
          </w:tcPr>
          <w:p w:rsidR="0063033D" w:rsidRDefault="0063033D" w:rsidP="008D1891">
            <w:pPr>
              <w:keepNext/>
              <w:keepLines/>
              <w:rPr>
                <w:rFonts w:cs="Arial"/>
                <w:sz w:val="16"/>
                <w:szCs w:val="16"/>
              </w:rPr>
            </w:pPr>
            <w:r>
              <w:rPr>
                <w:rFonts w:cs="Arial"/>
                <w:b/>
                <w:bCs/>
                <w:sz w:val="16"/>
                <w:szCs w:val="16"/>
              </w:rPr>
              <w:t>Date</w:t>
            </w:r>
          </w:p>
        </w:tc>
        <w:tc>
          <w:tcPr>
            <w:tcW w:w="1843" w:type="dxa"/>
            <w:tcBorders>
              <w:top w:val="single" w:sz="4" w:space="0" w:color="000000"/>
            </w:tcBorders>
            <w:shd w:val="clear" w:color="auto" w:fill="auto"/>
            <w:tcMar>
              <w:top w:w="110" w:type="dxa"/>
            </w:tcMar>
            <w:vAlign w:val="center"/>
          </w:tcPr>
          <w:p w:rsidR="0063033D" w:rsidRDefault="0063033D" w:rsidP="008D1891">
            <w:pPr>
              <w:keepNext/>
              <w:keepLines/>
              <w:rPr>
                <w:rFonts w:cs="Arial"/>
                <w:sz w:val="16"/>
                <w:szCs w:val="16"/>
              </w:rPr>
            </w:pPr>
            <w:r>
              <w:rPr>
                <w:rFonts w:cs="Arial"/>
                <w:b/>
                <w:bCs/>
                <w:sz w:val="16"/>
                <w:szCs w:val="16"/>
              </w:rPr>
              <w:t>Host Country/</w:t>
            </w:r>
            <w:r>
              <w:rPr>
                <w:rFonts w:cs="Arial"/>
                <w:b/>
                <w:bCs/>
                <w:sz w:val="16"/>
                <w:szCs w:val="16"/>
              </w:rPr>
              <w:br/>
              <w:t>Recipients</w:t>
            </w:r>
          </w:p>
        </w:tc>
        <w:tc>
          <w:tcPr>
            <w:tcW w:w="4537" w:type="dxa"/>
            <w:tcBorders>
              <w:top w:val="single" w:sz="4" w:space="0" w:color="000000"/>
            </w:tcBorders>
            <w:shd w:val="clear" w:color="auto" w:fill="FFFFFF"/>
            <w:tcMar>
              <w:top w:w="110" w:type="dxa"/>
            </w:tcMar>
            <w:vAlign w:val="center"/>
          </w:tcPr>
          <w:p w:rsidR="0063033D" w:rsidRDefault="0063033D" w:rsidP="008D1891">
            <w:pPr>
              <w:keepNext/>
              <w:keepLines/>
              <w:rPr>
                <w:rFonts w:cs="Arial"/>
                <w:sz w:val="16"/>
                <w:szCs w:val="16"/>
              </w:rPr>
            </w:pPr>
            <w:r>
              <w:rPr>
                <w:rFonts w:cs="Arial"/>
                <w:b/>
                <w:bCs/>
                <w:sz w:val="16"/>
                <w:szCs w:val="16"/>
              </w:rPr>
              <w:t>Purpose(s)/Description(s)</w:t>
            </w:r>
          </w:p>
        </w:tc>
      </w:tr>
      <w:tr w:rsidR="0063033D" w:rsidRPr="00F77251" w:rsidTr="008D1891">
        <w:tc>
          <w:tcPr>
            <w:tcW w:w="1844" w:type="dxa"/>
          </w:tcPr>
          <w:p w:rsidR="0063033D" w:rsidRPr="00F77251" w:rsidRDefault="0063033D" w:rsidP="008D1891">
            <w:pPr>
              <w:autoSpaceDE w:val="0"/>
              <w:autoSpaceDN w:val="0"/>
              <w:adjustRightInd w:val="0"/>
              <w:spacing w:before="120" w:after="120"/>
              <w:rPr>
                <w:rFonts w:eastAsia="MS Mincho" w:cs="Arial"/>
                <w:color w:val="000000"/>
                <w:sz w:val="16"/>
                <w:szCs w:val="16"/>
                <w:lang w:eastAsia="ja-JP" w:bidi="th-TH"/>
              </w:rPr>
            </w:pPr>
            <w:r>
              <w:rPr>
                <w:rFonts w:eastAsia="MS Mincho" w:cs="Arial"/>
                <w:color w:val="000000"/>
                <w:sz w:val="16"/>
                <w:szCs w:val="16"/>
                <w:lang w:eastAsia="ja-JP" w:bidi="th-TH"/>
              </w:rPr>
              <w:t>Expert meeting on the revision of the WIPO Guide on surveying the economic contribution of the copyright industries</w:t>
            </w:r>
          </w:p>
        </w:tc>
        <w:tc>
          <w:tcPr>
            <w:tcW w:w="1137" w:type="dxa"/>
          </w:tcPr>
          <w:p w:rsidR="0063033D" w:rsidRPr="00F77251" w:rsidRDefault="0063033D" w:rsidP="008D1891">
            <w:pPr>
              <w:autoSpaceDE w:val="0"/>
              <w:autoSpaceDN w:val="0"/>
              <w:adjustRightInd w:val="0"/>
              <w:spacing w:before="120" w:after="120"/>
              <w:rPr>
                <w:rFonts w:eastAsia="MS Mincho" w:cs="Arial"/>
                <w:color w:val="000000"/>
                <w:sz w:val="16"/>
                <w:szCs w:val="16"/>
                <w:lang w:eastAsia="ja-JP" w:bidi="th-TH"/>
              </w:rPr>
            </w:pPr>
            <w:r>
              <w:rPr>
                <w:rFonts w:eastAsia="MS Mincho" w:cs="Arial"/>
                <w:color w:val="000000"/>
                <w:sz w:val="16"/>
                <w:szCs w:val="16"/>
                <w:lang w:eastAsia="ja-JP" w:bidi="th-TH"/>
              </w:rPr>
              <w:t>March 25 to 27, 2014</w:t>
            </w:r>
          </w:p>
        </w:tc>
        <w:tc>
          <w:tcPr>
            <w:tcW w:w="1843" w:type="dxa"/>
          </w:tcPr>
          <w:p w:rsidR="0063033D" w:rsidRPr="00F77251" w:rsidRDefault="0063033D" w:rsidP="008D1891">
            <w:pPr>
              <w:autoSpaceDE w:val="0"/>
              <w:autoSpaceDN w:val="0"/>
              <w:adjustRightInd w:val="0"/>
              <w:spacing w:before="120" w:after="120"/>
              <w:rPr>
                <w:rFonts w:eastAsia="MS Mincho" w:cs="Arial"/>
                <w:color w:val="000000"/>
                <w:sz w:val="16"/>
                <w:szCs w:val="16"/>
                <w:lang w:eastAsia="ja-JP" w:bidi="th-TH"/>
              </w:rPr>
            </w:pPr>
            <w:r>
              <w:rPr>
                <w:rFonts w:eastAsia="MS Mincho" w:cs="Arial"/>
                <w:color w:val="000000"/>
                <w:sz w:val="16"/>
                <w:szCs w:val="16"/>
                <w:lang w:eastAsia="ja-JP" w:bidi="th-TH"/>
              </w:rPr>
              <w:t>Finland/all countries</w:t>
            </w:r>
          </w:p>
        </w:tc>
        <w:tc>
          <w:tcPr>
            <w:tcW w:w="4537" w:type="dxa"/>
          </w:tcPr>
          <w:p w:rsidR="0063033D" w:rsidRPr="00660313" w:rsidRDefault="0063033D" w:rsidP="008D1891">
            <w:pPr>
              <w:autoSpaceDE w:val="0"/>
              <w:autoSpaceDN w:val="0"/>
              <w:adjustRightInd w:val="0"/>
              <w:spacing w:before="120" w:after="120"/>
              <w:rPr>
                <w:rFonts w:eastAsia="MS Mincho" w:cs="Arial"/>
                <w:color w:val="000000"/>
                <w:sz w:val="16"/>
                <w:szCs w:val="16"/>
                <w:lang w:eastAsia="ja-JP" w:bidi="th-TH"/>
              </w:rPr>
            </w:pPr>
            <w:r>
              <w:rPr>
                <w:rFonts w:eastAsia="MS Mincho" w:cs="Arial"/>
                <w:color w:val="000000"/>
                <w:sz w:val="16"/>
                <w:szCs w:val="16"/>
                <w:lang w:eastAsia="ja-JP" w:bidi="th-TH"/>
              </w:rPr>
              <w:t>To review and update the WIPO methodology on surveying the economic contribution of the copyright industries.</w:t>
            </w:r>
          </w:p>
        </w:tc>
      </w:tr>
      <w:tr w:rsidR="0063033D" w:rsidRPr="00F77251" w:rsidTr="008D1891">
        <w:tc>
          <w:tcPr>
            <w:tcW w:w="1844" w:type="dxa"/>
          </w:tcPr>
          <w:p w:rsidR="0063033D" w:rsidRPr="00F77251" w:rsidRDefault="0063033D" w:rsidP="008D1891">
            <w:pPr>
              <w:autoSpaceDE w:val="0"/>
              <w:autoSpaceDN w:val="0"/>
              <w:adjustRightInd w:val="0"/>
              <w:spacing w:before="120" w:after="120"/>
              <w:rPr>
                <w:rFonts w:eastAsia="MS Mincho" w:cs="Arial"/>
                <w:color w:val="000000"/>
                <w:sz w:val="16"/>
                <w:szCs w:val="16"/>
                <w:lang w:eastAsia="ja-JP" w:bidi="th-TH"/>
              </w:rPr>
            </w:pPr>
            <w:r>
              <w:rPr>
                <w:rFonts w:eastAsia="MS Mincho" w:cs="Arial"/>
                <w:color w:val="000000"/>
                <w:sz w:val="16"/>
                <w:szCs w:val="16"/>
                <w:lang w:eastAsia="ja-JP" w:bidi="th-TH"/>
              </w:rPr>
              <w:t>Regional Conference on Intellectual Property and the Creative Industries</w:t>
            </w:r>
          </w:p>
        </w:tc>
        <w:tc>
          <w:tcPr>
            <w:tcW w:w="1137" w:type="dxa"/>
          </w:tcPr>
          <w:p w:rsidR="0063033D" w:rsidRPr="00F77251" w:rsidRDefault="0063033D" w:rsidP="008D1891">
            <w:pPr>
              <w:autoSpaceDE w:val="0"/>
              <w:autoSpaceDN w:val="0"/>
              <w:adjustRightInd w:val="0"/>
              <w:spacing w:before="120" w:after="120"/>
              <w:rPr>
                <w:rFonts w:eastAsia="MS Mincho" w:cs="Arial"/>
                <w:color w:val="000000"/>
                <w:sz w:val="16"/>
                <w:szCs w:val="16"/>
                <w:lang w:eastAsia="ja-JP" w:bidi="th-TH"/>
              </w:rPr>
            </w:pPr>
            <w:r>
              <w:rPr>
                <w:rFonts w:eastAsia="MS Mincho" w:cs="Arial"/>
                <w:color w:val="000000"/>
                <w:sz w:val="16"/>
                <w:szCs w:val="16"/>
                <w:lang w:eastAsia="ja-JP" w:bidi="th-TH"/>
              </w:rPr>
              <w:t>February 10 to 12, 2014</w:t>
            </w:r>
          </w:p>
        </w:tc>
        <w:tc>
          <w:tcPr>
            <w:tcW w:w="1843" w:type="dxa"/>
          </w:tcPr>
          <w:p w:rsidR="0063033D" w:rsidRPr="00F77251" w:rsidRDefault="0063033D" w:rsidP="008D1891">
            <w:pPr>
              <w:autoSpaceDE w:val="0"/>
              <w:autoSpaceDN w:val="0"/>
              <w:adjustRightInd w:val="0"/>
              <w:spacing w:before="120" w:after="120"/>
              <w:rPr>
                <w:rFonts w:eastAsia="MS Mincho" w:cs="Arial"/>
                <w:color w:val="000000"/>
                <w:sz w:val="16"/>
                <w:szCs w:val="16"/>
                <w:lang w:eastAsia="ja-JP" w:bidi="th-TH"/>
              </w:rPr>
            </w:pPr>
            <w:r>
              <w:rPr>
                <w:rFonts w:eastAsia="MS Mincho" w:cs="Arial"/>
                <w:color w:val="000000"/>
                <w:sz w:val="16"/>
                <w:szCs w:val="16"/>
                <w:lang w:eastAsia="ja-JP" w:bidi="th-TH"/>
              </w:rPr>
              <w:t>Caribbean countries</w:t>
            </w:r>
          </w:p>
        </w:tc>
        <w:tc>
          <w:tcPr>
            <w:tcW w:w="4537" w:type="dxa"/>
          </w:tcPr>
          <w:p w:rsidR="0063033D" w:rsidRPr="00660313" w:rsidRDefault="0063033D" w:rsidP="008D1891">
            <w:pPr>
              <w:autoSpaceDE w:val="0"/>
              <w:autoSpaceDN w:val="0"/>
              <w:adjustRightInd w:val="0"/>
              <w:spacing w:before="120" w:after="120"/>
              <w:rPr>
                <w:rFonts w:eastAsia="MS Mincho" w:cs="Arial"/>
                <w:color w:val="000000"/>
                <w:sz w:val="16"/>
                <w:szCs w:val="16"/>
                <w:lang w:eastAsia="ja-JP" w:bidi="th-TH"/>
              </w:rPr>
            </w:pPr>
            <w:r>
              <w:rPr>
                <w:rFonts w:eastAsia="MS Mincho" w:cs="Arial"/>
                <w:color w:val="000000"/>
                <w:sz w:val="16"/>
                <w:szCs w:val="16"/>
                <w:lang w:eastAsia="ja-JP" w:bidi="th-TH"/>
              </w:rPr>
              <w:t>To provide an international forum for discussion on the role of IP in the creative industries.</w:t>
            </w:r>
          </w:p>
        </w:tc>
      </w:tr>
      <w:tr w:rsidR="0063033D" w:rsidRPr="00F77251" w:rsidTr="008D1891">
        <w:tc>
          <w:tcPr>
            <w:tcW w:w="1844" w:type="dxa"/>
          </w:tcPr>
          <w:p w:rsidR="0063033D" w:rsidRPr="00F77251" w:rsidRDefault="0063033D" w:rsidP="008D1891">
            <w:pPr>
              <w:autoSpaceDE w:val="0"/>
              <w:autoSpaceDN w:val="0"/>
              <w:adjustRightInd w:val="0"/>
              <w:spacing w:before="120" w:after="120"/>
              <w:rPr>
                <w:rFonts w:eastAsia="MS Mincho" w:cs="Arial"/>
                <w:color w:val="000000"/>
                <w:sz w:val="16"/>
                <w:szCs w:val="16"/>
                <w:lang w:eastAsia="ja-JP" w:bidi="th-TH"/>
              </w:rPr>
            </w:pPr>
            <w:r>
              <w:rPr>
                <w:rFonts w:eastAsia="MS Mincho" w:cs="Arial"/>
                <w:color w:val="000000"/>
                <w:sz w:val="16"/>
                <w:szCs w:val="16"/>
                <w:lang w:eastAsia="ja-JP" w:bidi="th-TH"/>
              </w:rPr>
              <w:t>Launch of a pilot to assess the economic, social and cultural impact of copyright in the creative Industries</w:t>
            </w:r>
          </w:p>
        </w:tc>
        <w:tc>
          <w:tcPr>
            <w:tcW w:w="1137" w:type="dxa"/>
          </w:tcPr>
          <w:p w:rsidR="0063033D" w:rsidRPr="00F77251" w:rsidRDefault="0063033D" w:rsidP="008D1891">
            <w:pPr>
              <w:autoSpaceDE w:val="0"/>
              <w:autoSpaceDN w:val="0"/>
              <w:adjustRightInd w:val="0"/>
              <w:spacing w:before="120" w:after="120"/>
              <w:rPr>
                <w:rFonts w:eastAsia="MS Mincho" w:cs="Arial"/>
                <w:color w:val="000000"/>
                <w:sz w:val="16"/>
                <w:szCs w:val="16"/>
                <w:lang w:eastAsia="ja-JP" w:bidi="th-TH"/>
              </w:rPr>
            </w:pPr>
            <w:r>
              <w:rPr>
                <w:rFonts w:eastAsia="MS Mincho" w:cs="Arial"/>
                <w:color w:val="000000"/>
                <w:sz w:val="16"/>
                <w:szCs w:val="16"/>
                <w:lang w:eastAsia="ja-JP" w:bidi="th-TH"/>
              </w:rPr>
              <w:t>May 1 to December 31, 2014</w:t>
            </w:r>
          </w:p>
        </w:tc>
        <w:tc>
          <w:tcPr>
            <w:tcW w:w="1843" w:type="dxa"/>
          </w:tcPr>
          <w:p w:rsidR="0063033D" w:rsidRPr="00F77251" w:rsidRDefault="0063033D" w:rsidP="008D1891">
            <w:pPr>
              <w:autoSpaceDE w:val="0"/>
              <w:autoSpaceDN w:val="0"/>
              <w:adjustRightInd w:val="0"/>
              <w:spacing w:before="120" w:after="120"/>
              <w:rPr>
                <w:rFonts w:eastAsia="MS Mincho" w:cs="Arial"/>
                <w:color w:val="000000"/>
                <w:sz w:val="16"/>
                <w:szCs w:val="16"/>
                <w:lang w:eastAsia="ja-JP" w:bidi="th-TH"/>
              </w:rPr>
            </w:pPr>
            <w:r>
              <w:rPr>
                <w:rFonts w:eastAsia="MS Mincho" w:cs="Arial"/>
                <w:color w:val="000000"/>
                <w:sz w:val="16"/>
                <w:szCs w:val="16"/>
                <w:lang w:eastAsia="ja-JP" w:bidi="th-TH"/>
              </w:rPr>
              <w:t>Finland/all countries</w:t>
            </w:r>
          </w:p>
        </w:tc>
        <w:tc>
          <w:tcPr>
            <w:tcW w:w="4537" w:type="dxa"/>
          </w:tcPr>
          <w:p w:rsidR="0063033D" w:rsidRPr="00660313" w:rsidRDefault="0063033D" w:rsidP="008D1891">
            <w:pPr>
              <w:autoSpaceDE w:val="0"/>
              <w:autoSpaceDN w:val="0"/>
              <w:adjustRightInd w:val="0"/>
              <w:spacing w:before="120" w:after="120"/>
              <w:rPr>
                <w:rFonts w:eastAsia="MS Mincho" w:cs="Arial"/>
                <w:color w:val="000000"/>
                <w:sz w:val="16"/>
                <w:szCs w:val="16"/>
                <w:lang w:eastAsia="ja-JP" w:bidi="th-TH"/>
              </w:rPr>
            </w:pPr>
            <w:r>
              <w:rPr>
                <w:rFonts w:eastAsia="MS Mincho" w:cs="Arial"/>
                <w:color w:val="000000"/>
                <w:sz w:val="16"/>
                <w:szCs w:val="16"/>
                <w:lang w:eastAsia="ja-JP" w:bidi="th-TH"/>
              </w:rPr>
              <w:t>To pilot a project on testing the WIPO guidelines on measuring the broader impact of copyright.</w:t>
            </w:r>
          </w:p>
        </w:tc>
      </w:tr>
      <w:tr w:rsidR="0063033D" w:rsidRPr="00F77251" w:rsidTr="008D1891">
        <w:tc>
          <w:tcPr>
            <w:tcW w:w="1844" w:type="dxa"/>
          </w:tcPr>
          <w:p w:rsidR="0063033D" w:rsidRPr="00F77251" w:rsidRDefault="0063033D" w:rsidP="008D1891">
            <w:pPr>
              <w:autoSpaceDE w:val="0"/>
              <w:autoSpaceDN w:val="0"/>
              <w:adjustRightInd w:val="0"/>
              <w:spacing w:before="120" w:after="120"/>
              <w:rPr>
                <w:rFonts w:eastAsia="MS Mincho" w:cs="Arial"/>
                <w:color w:val="000000"/>
                <w:sz w:val="16"/>
                <w:szCs w:val="16"/>
                <w:lang w:eastAsia="ja-JP" w:bidi="th-TH"/>
              </w:rPr>
            </w:pPr>
            <w:r>
              <w:rPr>
                <w:rFonts w:eastAsia="MS Mincho" w:cs="Arial"/>
                <w:color w:val="000000"/>
                <w:sz w:val="16"/>
                <w:szCs w:val="16"/>
                <w:lang w:eastAsia="ja-JP" w:bidi="th-TH"/>
              </w:rPr>
              <w:t>Studies on the economic contribution of copyright industries and on assessing copyright piracy</w:t>
            </w:r>
          </w:p>
        </w:tc>
        <w:tc>
          <w:tcPr>
            <w:tcW w:w="1137" w:type="dxa"/>
          </w:tcPr>
          <w:p w:rsidR="0063033D" w:rsidRPr="00F77251" w:rsidRDefault="0063033D" w:rsidP="008D1891">
            <w:pPr>
              <w:autoSpaceDE w:val="0"/>
              <w:autoSpaceDN w:val="0"/>
              <w:adjustRightInd w:val="0"/>
              <w:spacing w:before="120" w:after="120"/>
              <w:rPr>
                <w:rFonts w:eastAsia="MS Mincho" w:cs="Arial"/>
                <w:color w:val="000000"/>
                <w:sz w:val="16"/>
                <w:szCs w:val="16"/>
                <w:lang w:eastAsia="ja-JP" w:bidi="th-TH"/>
              </w:rPr>
            </w:pPr>
            <w:r>
              <w:rPr>
                <w:rFonts w:eastAsia="MS Mincho" w:cs="Arial"/>
                <w:color w:val="000000"/>
                <w:sz w:val="16"/>
                <w:szCs w:val="16"/>
                <w:lang w:eastAsia="ja-JP" w:bidi="th-TH"/>
              </w:rPr>
              <w:t>August 1 to September 30, 2014</w:t>
            </w:r>
          </w:p>
        </w:tc>
        <w:tc>
          <w:tcPr>
            <w:tcW w:w="1843" w:type="dxa"/>
          </w:tcPr>
          <w:p w:rsidR="0063033D" w:rsidRPr="00F77251" w:rsidRDefault="0063033D" w:rsidP="008D1891">
            <w:pPr>
              <w:autoSpaceDE w:val="0"/>
              <w:autoSpaceDN w:val="0"/>
              <w:adjustRightInd w:val="0"/>
              <w:spacing w:before="120" w:after="120"/>
              <w:rPr>
                <w:rFonts w:eastAsia="MS Mincho" w:cs="Arial"/>
                <w:color w:val="000000"/>
                <w:sz w:val="16"/>
                <w:szCs w:val="16"/>
                <w:lang w:eastAsia="ja-JP" w:bidi="th-TH"/>
              </w:rPr>
            </w:pPr>
            <w:r>
              <w:rPr>
                <w:rFonts w:eastAsia="MS Mincho" w:cs="Arial"/>
                <w:color w:val="000000"/>
                <w:sz w:val="16"/>
                <w:szCs w:val="16"/>
                <w:lang w:eastAsia="ja-JP" w:bidi="th-TH"/>
              </w:rPr>
              <w:t xml:space="preserve">Philippines, Serbia, Turkey, </w:t>
            </w:r>
          </w:p>
        </w:tc>
        <w:tc>
          <w:tcPr>
            <w:tcW w:w="4537" w:type="dxa"/>
          </w:tcPr>
          <w:p w:rsidR="0063033D" w:rsidRPr="00660313" w:rsidRDefault="0063033D" w:rsidP="008D1891">
            <w:pPr>
              <w:autoSpaceDE w:val="0"/>
              <w:autoSpaceDN w:val="0"/>
              <w:adjustRightInd w:val="0"/>
              <w:spacing w:before="120" w:after="120"/>
              <w:rPr>
                <w:rFonts w:eastAsia="MS Mincho" w:cs="Arial"/>
                <w:color w:val="000000"/>
                <w:sz w:val="16"/>
                <w:szCs w:val="16"/>
                <w:lang w:eastAsia="ja-JP" w:bidi="th-TH"/>
              </w:rPr>
            </w:pPr>
            <w:r>
              <w:rPr>
                <w:rFonts w:eastAsia="MS Mincho" w:cs="Arial"/>
                <w:color w:val="000000"/>
                <w:sz w:val="16"/>
                <w:szCs w:val="16"/>
                <w:lang w:eastAsia="ja-JP" w:bidi="th-TH"/>
              </w:rPr>
              <w:t>Publication of the WIPO studies on the economic contribution of the copyright industries (Serbia and Turkey), and a study on assessing copyright piracy in the Philippines.</w:t>
            </w:r>
          </w:p>
        </w:tc>
      </w:tr>
    </w:tbl>
    <w:p w:rsidR="0063033D" w:rsidRDefault="0063033D" w:rsidP="008D1891">
      <w:pPr>
        <w:spacing w:before="120"/>
        <w:rPr>
          <w:rFonts w:cs="Arial"/>
          <w:b/>
          <w:sz w:val="16"/>
          <w:szCs w:val="16"/>
        </w:rPr>
      </w:pPr>
    </w:p>
    <w:p w:rsidR="0063033D" w:rsidRDefault="0063033D" w:rsidP="008D1891">
      <w:pPr>
        <w:spacing w:before="120"/>
        <w:rPr>
          <w:rFonts w:cs="Arial"/>
          <w:b/>
          <w:sz w:val="16"/>
          <w:szCs w:val="16"/>
        </w:rPr>
      </w:pPr>
    </w:p>
    <w:p w:rsidR="0063033D" w:rsidRDefault="0063033D" w:rsidP="008D1891">
      <w:pPr>
        <w:keepNext/>
        <w:keepLines/>
        <w:rPr>
          <w:rFonts w:cs="Arial"/>
          <w:b/>
          <w:bCs/>
          <w:sz w:val="18"/>
          <w:szCs w:val="18"/>
        </w:rPr>
      </w:pPr>
      <w:r w:rsidRPr="00E14883">
        <w:rPr>
          <w:rFonts w:cs="Arial"/>
          <w:b/>
          <w:sz w:val="18"/>
          <w:szCs w:val="18"/>
        </w:rPr>
        <w:lastRenderedPageBreak/>
        <w:t xml:space="preserve">FINLAND/ COPYRIGHT </w:t>
      </w:r>
      <w:r w:rsidRPr="00E14883">
        <w:rPr>
          <w:rFonts w:cs="Arial"/>
          <w:b/>
          <w:bCs/>
          <w:sz w:val="18"/>
          <w:szCs w:val="18"/>
        </w:rPr>
        <w:t>Donor Contributions and Expenditure in 201</w:t>
      </w:r>
      <w:r>
        <w:rPr>
          <w:rFonts w:cs="Arial"/>
          <w:b/>
          <w:bCs/>
          <w:sz w:val="18"/>
          <w:szCs w:val="18"/>
        </w:rPr>
        <w:t>4</w:t>
      </w:r>
      <w:r>
        <w:rPr>
          <w:rStyle w:val="FootnoteReference"/>
          <w:rFonts w:cs="Arial"/>
          <w:b/>
          <w:bCs/>
          <w:sz w:val="18"/>
          <w:szCs w:val="18"/>
        </w:rPr>
        <w:footnoteReference w:id="65"/>
      </w:r>
    </w:p>
    <w:p w:rsidR="0063033D" w:rsidRPr="00E14883" w:rsidRDefault="0063033D" w:rsidP="008D1891">
      <w:pPr>
        <w:keepNext/>
        <w:keepLines/>
        <w:rPr>
          <w:rFonts w:cs="Arial"/>
          <w:b/>
          <w:sz w:val="18"/>
          <w:szCs w:val="18"/>
        </w:rPr>
      </w:pPr>
    </w:p>
    <w:tbl>
      <w:tblPr>
        <w:tblW w:w="9229" w:type="dxa"/>
        <w:tblInd w:w="93" w:type="dxa"/>
        <w:tblLook w:val="04A0" w:firstRow="1" w:lastRow="0" w:firstColumn="1" w:lastColumn="0" w:noHBand="0" w:noVBand="1"/>
      </w:tblPr>
      <w:tblGrid>
        <w:gridCol w:w="1716"/>
        <w:gridCol w:w="1701"/>
        <w:gridCol w:w="1985"/>
        <w:gridCol w:w="1701"/>
        <w:gridCol w:w="2126"/>
      </w:tblGrid>
      <w:tr w:rsidR="0063033D" w:rsidTr="008D1891">
        <w:trPr>
          <w:trHeight w:val="608"/>
        </w:trPr>
        <w:tc>
          <w:tcPr>
            <w:tcW w:w="171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3033D" w:rsidRDefault="0063033D" w:rsidP="008D1891">
            <w:pPr>
              <w:keepNext/>
              <w:keepLines/>
              <w:jc w:val="center"/>
              <w:rPr>
                <w:rFonts w:cs="Arial"/>
                <w:b/>
                <w:bCs/>
                <w:color w:val="000000"/>
                <w:sz w:val="16"/>
                <w:szCs w:val="16"/>
              </w:rPr>
            </w:pPr>
            <w:r>
              <w:rPr>
                <w:rFonts w:cs="Arial"/>
                <w:b/>
                <w:bCs/>
                <w:color w:val="000000"/>
                <w:sz w:val="16"/>
                <w:szCs w:val="16"/>
              </w:rPr>
              <w:t>Balance as of December 31, 2013</w:t>
            </w:r>
          </w:p>
        </w:tc>
        <w:tc>
          <w:tcPr>
            <w:tcW w:w="1701"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rsidP="008D1891">
            <w:pPr>
              <w:keepNext/>
              <w:keepLines/>
              <w:jc w:val="center"/>
              <w:rPr>
                <w:rFonts w:cs="Arial"/>
                <w:b/>
                <w:bCs/>
                <w:color w:val="000000"/>
                <w:sz w:val="16"/>
                <w:szCs w:val="16"/>
              </w:rPr>
            </w:pPr>
            <w:r>
              <w:rPr>
                <w:rFonts w:cs="Arial"/>
                <w:b/>
                <w:bCs/>
                <w:color w:val="000000"/>
                <w:sz w:val="16"/>
                <w:szCs w:val="16"/>
              </w:rPr>
              <w:t>Income 2014</w:t>
            </w:r>
          </w:p>
        </w:tc>
        <w:tc>
          <w:tcPr>
            <w:tcW w:w="1985"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rsidP="008D1891">
            <w:pPr>
              <w:keepNext/>
              <w:keepLines/>
              <w:jc w:val="center"/>
              <w:rPr>
                <w:rFonts w:cs="Arial"/>
                <w:b/>
                <w:bCs/>
                <w:color w:val="000000"/>
                <w:sz w:val="16"/>
                <w:szCs w:val="16"/>
              </w:rPr>
            </w:pPr>
            <w:r>
              <w:rPr>
                <w:rFonts w:cs="Arial"/>
                <w:b/>
                <w:bCs/>
                <w:color w:val="000000"/>
                <w:sz w:val="16"/>
                <w:szCs w:val="16"/>
              </w:rPr>
              <w:t>Expenditure 2014</w:t>
            </w:r>
          </w:p>
        </w:tc>
        <w:tc>
          <w:tcPr>
            <w:tcW w:w="1701"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rsidP="008D1891">
            <w:pPr>
              <w:keepNext/>
              <w:keepLines/>
              <w:jc w:val="center"/>
              <w:rPr>
                <w:rFonts w:cs="Arial"/>
                <w:b/>
                <w:bCs/>
                <w:color w:val="000000"/>
                <w:sz w:val="16"/>
                <w:szCs w:val="16"/>
              </w:rPr>
            </w:pPr>
            <w:r>
              <w:rPr>
                <w:rFonts w:cs="Arial"/>
                <w:b/>
                <w:bCs/>
                <w:color w:val="000000"/>
                <w:sz w:val="16"/>
                <w:szCs w:val="16"/>
              </w:rPr>
              <w:t>Reimbursements</w:t>
            </w:r>
          </w:p>
        </w:tc>
        <w:tc>
          <w:tcPr>
            <w:tcW w:w="2126"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rsidP="008D1891">
            <w:pPr>
              <w:keepNext/>
              <w:keepLines/>
              <w:jc w:val="center"/>
              <w:rPr>
                <w:rFonts w:cs="Arial"/>
                <w:b/>
                <w:bCs/>
                <w:color w:val="000000"/>
                <w:sz w:val="16"/>
                <w:szCs w:val="16"/>
              </w:rPr>
            </w:pPr>
            <w:r>
              <w:rPr>
                <w:rFonts w:cs="Arial"/>
                <w:b/>
                <w:bCs/>
                <w:color w:val="000000"/>
                <w:sz w:val="16"/>
                <w:szCs w:val="16"/>
              </w:rPr>
              <w:t>Balance as of December 31, 2014</w:t>
            </w:r>
          </w:p>
        </w:tc>
      </w:tr>
      <w:tr w:rsidR="0063033D" w:rsidTr="008D1891">
        <w:trPr>
          <w:trHeight w:val="409"/>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63033D" w:rsidRDefault="0063033D" w:rsidP="008D1891">
            <w:pPr>
              <w:keepNext/>
              <w:keepLines/>
              <w:jc w:val="center"/>
              <w:rPr>
                <w:rFonts w:cs="Arial"/>
                <w:color w:val="000000"/>
                <w:sz w:val="16"/>
                <w:szCs w:val="16"/>
              </w:rPr>
            </w:pPr>
            <w:r>
              <w:rPr>
                <w:rFonts w:cs="Arial"/>
                <w:color w:val="000000"/>
                <w:sz w:val="16"/>
                <w:szCs w:val="16"/>
              </w:rPr>
              <w:t>15,319</w:t>
            </w:r>
            <w:r>
              <w:rPr>
                <w:rStyle w:val="FootnoteReference"/>
                <w:rFonts w:cs="Arial"/>
                <w:color w:val="000000"/>
                <w:sz w:val="16"/>
                <w:szCs w:val="16"/>
              </w:rPr>
              <w:footnoteReference w:id="66"/>
            </w:r>
          </w:p>
        </w:tc>
        <w:tc>
          <w:tcPr>
            <w:tcW w:w="1701" w:type="dxa"/>
            <w:tcBorders>
              <w:top w:val="nil"/>
              <w:left w:val="nil"/>
              <w:bottom w:val="single" w:sz="4" w:space="0" w:color="auto"/>
              <w:right w:val="single" w:sz="4" w:space="0" w:color="auto"/>
            </w:tcBorders>
            <w:shd w:val="clear" w:color="auto" w:fill="auto"/>
            <w:vAlign w:val="center"/>
            <w:hideMark/>
          </w:tcPr>
          <w:p w:rsidR="0063033D" w:rsidRDefault="0063033D" w:rsidP="008D1891">
            <w:pPr>
              <w:keepNext/>
              <w:keepLines/>
              <w:jc w:val="center"/>
              <w:rPr>
                <w:rFonts w:cs="Arial"/>
                <w:color w:val="000000"/>
                <w:sz w:val="16"/>
                <w:szCs w:val="16"/>
              </w:rPr>
            </w:pPr>
            <w:r>
              <w:rPr>
                <w:rFonts w:cs="Arial"/>
                <w:color w:val="000000"/>
                <w:sz w:val="16"/>
                <w:szCs w:val="16"/>
              </w:rPr>
              <w:t>(85)</w:t>
            </w:r>
          </w:p>
        </w:tc>
        <w:tc>
          <w:tcPr>
            <w:tcW w:w="1985" w:type="dxa"/>
            <w:tcBorders>
              <w:top w:val="nil"/>
              <w:left w:val="nil"/>
              <w:bottom w:val="single" w:sz="4" w:space="0" w:color="auto"/>
              <w:right w:val="single" w:sz="4" w:space="0" w:color="auto"/>
            </w:tcBorders>
            <w:shd w:val="clear" w:color="auto" w:fill="auto"/>
            <w:vAlign w:val="center"/>
            <w:hideMark/>
          </w:tcPr>
          <w:p w:rsidR="0063033D" w:rsidRDefault="0063033D" w:rsidP="008D1891">
            <w:pPr>
              <w:keepNext/>
              <w:keepLines/>
              <w:jc w:val="center"/>
              <w:rPr>
                <w:rFonts w:cs="Arial"/>
                <w:color w:val="000000"/>
                <w:sz w:val="16"/>
                <w:szCs w:val="16"/>
              </w:rPr>
            </w:pPr>
            <w:r>
              <w:rPr>
                <w:rFonts w:cs="Arial"/>
                <w:color w:val="000000"/>
                <w:sz w:val="16"/>
                <w:szCs w:val="16"/>
              </w:rPr>
              <w:t>69</w:t>
            </w:r>
          </w:p>
        </w:tc>
        <w:tc>
          <w:tcPr>
            <w:tcW w:w="1701" w:type="dxa"/>
            <w:tcBorders>
              <w:top w:val="nil"/>
              <w:left w:val="nil"/>
              <w:bottom w:val="single" w:sz="4" w:space="0" w:color="auto"/>
              <w:right w:val="single" w:sz="4" w:space="0" w:color="auto"/>
            </w:tcBorders>
            <w:shd w:val="clear" w:color="auto" w:fill="auto"/>
            <w:vAlign w:val="center"/>
            <w:hideMark/>
          </w:tcPr>
          <w:p w:rsidR="0063033D" w:rsidRDefault="0063033D" w:rsidP="008D1891">
            <w:pPr>
              <w:keepNext/>
              <w:keepLines/>
              <w:jc w:val="center"/>
              <w:rPr>
                <w:rFonts w:cs="Arial"/>
                <w:color w:val="000000"/>
                <w:sz w:val="16"/>
                <w:szCs w:val="16"/>
              </w:rPr>
            </w:pPr>
            <w:r>
              <w:rPr>
                <w:rFonts w:cs="Arial"/>
                <w:color w:val="000000"/>
                <w:sz w:val="16"/>
                <w:szCs w:val="16"/>
              </w:rPr>
              <w:t>15,165</w:t>
            </w:r>
          </w:p>
        </w:tc>
        <w:tc>
          <w:tcPr>
            <w:tcW w:w="2126" w:type="dxa"/>
            <w:tcBorders>
              <w:top w:val="nil"/>
              <w:left w:val="nil"/>
              <w:bottom w:val="single" w:sz="4" w:space="0" w:color="auto"/>
              <w:right w:val="single" w:sz="4" w:space="0" w:color="auto"/>
            </w:tcBorders>
            <w:shd w:val="clear" w:color="auto" w:fill="auto"/>
            <w:vAlign w:val="center"/>
            <w:hideMark/>
          </w:tcPr>
          <w:p w:rsidR="0063033D" w:rsidRDefault="0063033D" w:rsidP="008D1891">
            <w:pPr>
              <w:keepNext/>
              <w:keepLines/>
              <w:jc w:val="center"/>
              <w:rPr>
                <w:rFonts w:cs="Arial"/>
                <w:color w:val="000000"/>
                <w:sz w:val="16"/>
                <w:szCs w:val="16"/>
              </w:rPr>
            </w:pPr>
            <w:r>
              <w:rPr>
                <w:rFonts w:cs="Arial"/>
                <w:color w:val="000000"/>
                <w:sz w:val="16"/>
                <w:szCs w:val="16"/>
              </w:rPr>
              <w:t>-</w:t>
            </w:r>
          </w:p>
        </w:tc>
      </w:tr>
      <w:tr w:rsidR="0063033D" w:rsidTr="008D1891">
        <w:trPr>
          <w:trHeight w:val="415"/>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63033D" w:rsidRDefault="0063033D" w:rsidP="008D1891">
            <w:pPr>
              <w:keepNext/>
              <w:keepLines/>
              <w:jc w:val="center"/>
              <w:rPr>
                <w:rFonts w:cs="Arial"/>
                <w:color w:val="000000"/>
                <w:sz w:val="16"/>
                <w:szCs w:val="16"/>
              </w:rPr>
            </w:pPr>
            <w:r>
              <w:rPr>
                <w:rFonts w:cs="Arial"/>
                <w:color w:val="000000"/>
                <w:sz w:val="16"/>
                <w:szCs w:val="16"/>
              </w:rPr>
              <w:t>8,671</w:t>
            </w:r>
            <w:r>
              <w:rPr>
                <w:rStyle w:val="FootnoteReference"/>
                <w:rFonts w:cs="Arial"/>
                <w:color w:val="000000"/>
                <w:sz w:val="16"/>
                <w:szCs w:val="16"/>
              </w:rPr>
              <w:footnoteReference w:id="67"/>
            </w:r>
          </w:p>
        </w:tc>
        <w:tc>
          <w:tcPr>
            <w:tcW w:w="1701" w:type="dxa"/>
            <w:tcBorders>
              <w:top w:val="nil"/>
              <w:left w:val="nil"/>
              <w:bottom w:val="single" w:sz="4" w:space="0" w:color="auto"/>
              <w:right w:val="single" w:sz="4" w:space="0" w:color="auto"/>
            </w:tcBorders>
            <w:shd w:val="clear" w:color="auto" w:fill="auto"/>
            <w:noWrap/>
            <w:vAlign w:val="center"/>
            <w:hideMark/>
          </w:tcPr>
          <w:p w:rsidR="0063033D" w:rsidRDefault="0063033D" w:rsidP="008D1891">
            <w:pPr>
              <w:keepNext/>
              <w:keepLines/>
              <w:jc w:val="center"/>
              <w:rPr>
                <w:rFonts w:cs="Arial"/>
                <w:color w:val="000000"/>
                <w:sz w:val="16"/>
                <w:szCs w:val="16"/>
              </w:rPr>
            </w:pPr>
            <w:r>
              <w:rPr>
                <w:rFonts w:cs="Arial"/>
                <w:color w:val="000000"/>
                <w:sz w:val="16"/>
                <w:szCs w:val="16"/>
              </w:rPr>
              <w:t>(50)</w:t>
            </w:r>
          </w:p>
        </w:tc>
        <w:tc>
          <w:tcPr>
            <w:tcW w:w="1985" w:type="dxa"/>
            <w:tcBorders>
              <w:top w:val="nil"/>
              <w:left w:val="nil"/>
              <w:bottom w:val="single" w:sz="4" w:space="0" w:color="auto"/>
              <w:right w:val="single" w:sz="4" w:space="0" w:color="auto"/>
            </w:tcBorders>
            <w:shd w:val="clear" w:color="auto" w:fill="auto"/>
            <w:noWrap/>
            <w:vAlign w:val="center"/>
            <w:hideMark/>
          </w:tcPr>
          <w:p w:rsidR="0063033D" w:rsidRDefault="0063033D" w:rsidP="008D1891">
            <w:pPr>
              <w:keepNext/>
              <w:keepLines/>
              <w:jc w:val="center"/>
              <w:rPr>
                <w:rFonts w:cs="Arial"/>
                <w:color w:val="000000"/>
                <w:sz w:val="16"/>
                <w:szCs w:val="16"/>
              </w:rPr>
            </w:pPr>
            <w:r>
              <w:rPr>
                <w:rFonts w:cs="Arial"/>
                <w:color w:val="000000"/>
                <w:sz w:val="16"/>
                <w:szCs w:val="16"/>
              </w:rPr>
              <w:t>61</w:t>
            </w:r>
          </w:p>
        </w:tc>
        <w:tc>
          <w:tcPr>
            <w:tcW w:w="1701" w:type="dxa"/>
            <w:tcBorders>
              <w:top w:val="nil"/>
              <w:left w:val="nil"/>
              <w:bottom w:val="single" w:sz="4" w:space="0" w:color="auto"/>
              <w:right w:val="single" w:sz="4" w:space="0" w:color="auto"/>
            </w:tcBorders>
            <w:shd w:val="clear" w:color="auto" w:fill="auto"/>
            <w:noWrap/>
            <w:vAlign w:val="center"/>
            <w:hideMark/>
          </w:tcPr>
          <w:p w:rsidR="0063033D" w:rsidRDefault="0063033D" w:rsidP="008D1891">
            <w:pPr>
              <w:keepNext/>
              <w:keepLines/>
              <w:jc w:val="center"/>
              <w:rPr>
                <w:rFonts w:cs="Arial"/>
                <w:color w:val="000000"/>
                <w:sz w:val="16"/>
                <w:szCs w:val="16"/>
              </w:rPr>
            </w:pPr>
            <w:r>
              <w:rPr>
                <w:rFonts w:cs="Arial"/>
                <w:color w:val="000000"/>
                <w:sz w:val="16"/>
                <w:szCs w:val="16"/>
              </w:rPr>
              <w:t>8,560</w:t>
            </w:r>
          </w:p>
        </w:tc>
        <w:tc>
          <w:tcPr>
            <w:tcW w:w="2126" w:type="dxa"/>
            <w:tcBorders>
              <w:top w:val="nil"/>
              <w:left w:val="nil"/>
              <w:bottom w:val="single" w:sz="4" w:space="0" w:color="auto"/>
              <w:right w:val="single" w:sz="4" w:space="0" w:color="auto"/>
            </w:tcBorders>
            <w:shd w:val="clear" w:color="auto" w:fill="auto"/>
            <w:noWrap/>
            <w:vAlign w:val="center"/>
            <w:hideMark/>
          </w:tcPr>
          <w:p w:rsidR="0063033D" w:rsidRDefault="0063033D" w:rsidP="008D1891">
            <w:pPr>
              <w:keepNext/>
              <w:keepLines/>
              <w:jc w:val="center"/>
              <w:rPr>
                <w:rFonts w:cs="Arial"/>
                <w:color w:val="000000"/>
                <w:sz w:val="16"/>
                <w:szCs w:val="16"/>
              </w:rPr>
            </w:pPr>
            <w:r>
              <w:rPr>
                <w:rFonts w:cs="Arial"/>
                <w:color w:val="000000"/>
                <w:sz w:val="16"/>
                <w:szCs w:val="16"/>
              </w:rPr>
              <w:t>-</w:t>
            </w:r>
          </w:p>
        </w:tc>
      </w:tr>
      <w:tr w:rsidR="0063033D" w:rsidTr="008D1891">
        <w:trPr>
          <w:trHeight w:val="419"/>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63033D" w:rsidRDefault="0063033D" w:rsidP="008D1891">
            <w:pPr>
              <w:keepNext/>
              <w:keepLines/>
              <w:jc w:val="center"/>
              <w:rPr>
                <w:rFonts w:cs="Arial"/>
                <w:color w:val="000000"/>
                <w:sz w:val="16"/>
                <w:szCs w:val="16"/>
              </w:rPr>
            </w:pPr>
            <w:r>
              <w:rPr>
                <w:rFonts w:cs="Arial"/>
                <w:color w:val="000000"/>
                <w:sz w:val="16"/>
                <w:szCs w:val="16"/>
              </w:rPr>
              <w:t>170,138</w:t>
            </w:r>
            <w:r>
              <w:rPr>
                <w:rStyle w:val="FootnoteReference"/>
                <w:rFonts w:cs="Arial"/>
                <w:color w:val="000000"/>
                <w:sz w:val="16"/>
                <w:szCs w:val="16"/>
              </w:rPr>
              <w:footnoteReference w:id="68"/>
            </w:r>
          </w:p>
        </w:tc>
        <w:tc>
          <w:tcPr>
            <w:tcW w:w="1701" w:type="dxa"/>
            <w:tcBorders>
              <w:top w:val="nil"/>
              <w:left w:val="nil"/>
              <w:bottom w:val="single" w:sz="4" w:space="0" w:color="auto"/>
              <w:right w:val="single" w:sz="4" w:space="0" w:color="auto"/>
            </w:tcBorders>
            <w:shd w:val="clear" w:color="auto" w:fill="auto"/>
            <w:noWrap/>
            <w:vAlign w:val="center"/>
            <w:hideMark/>
          </w:tcPr>
          <w:p w:rsidR="0063033D" w:rsidRDefault="0063033D" w:rsidP="008D1891">
            <w:pPr>
              <w:keepNext/>
              <w:keepLines/>
              <w:jc w:val="center"/>
              <w:rPr>
                <w:rFonts w:cs="Arial"/>
                <w:color w:val="000000"/>
                <w:sz w:val="16"/>
                <w:szCs w:val="16"/>
              </w:rPr>
            </w:pPr>
            <w:r>
              <w:rPr>
                <w:rFonts w:cs="Arial"/>
                <w:color w:val="000000"/>
                <w:sz w:val="16"/>
                <w:szCs w:val="16"/>
              </w:rPr>
              <w:t>(734)</w:t>
            </w:r>
          </w:p>
        </w:tc>
        <w:tc>
          <w:tcPr>
            <w:tcW w:w="1985" w:type="dxa"/>
            <w:tcBorders>
              <w:top w:val="nil"/>
              <w:left w:val="nil"/>
              <w:bottom w:val="single" w:sz="4" w:space="0" w:color="auto"/>
              <w:right w:val="single" w:sz="4" w:space="0" w:color="auto"/>
            </w:tcBorders>
            <w:shd w:val="clear" w:color="auto" w:fill="auto"/>
            <w:noWrap/>
            <w:vAlign w:val="center"/>
            <w:hideMark/>
          </w:tcPr>
          <w:p w:rsidR="0063033D" w:rsidRDefault="0063033D" w:rsidP="008D1891">
            <w:pPr>
              <w:keepNext/>
              <w:keepLines/>
              <w:jc w:val="center"/>
              <w:rPr>
                <w:rFonts w:cs="Arial"/>
                <w:color w:val="000000"/>
                <w:sz w:val="16"/>
                <w:szCs w:val="16"/>
              </w:rPr>
            </w:pPr>
            <w:r>
              <w:rPr>
                <w:rFonts w:cs="Arial"/>
                <w:color w:val="000000"/>
                <w:sz w:val="16"/>
                <w:szCs w:val="16"/>
              </w:rPr>
              <w:t>124,236</w:t>
            </w:r>
          </w:p>
        </w:tc>
        <w:tc>
          <w:tcPr>
            <w:tcW w:w="1701" w:type="dxa"/>
            <w:tcBorders>
              <w:top w:val="nil"/>
              <w:left w:val="nil"/>
              <w:bottom w:val="single" w:sz="4" w:space="0" w:color="auto"/>
              <w:right w:val="single" w:sz="4" w:space="0" w:color="auto"/>
            </w:tcBorders>
            <w:shd w:val="clear" w:color="auto" w:fill="auto"/>
            <w:noWrap/>
            <w:vAlign w:val="center"/>
            <w:hideMark/>
          </w:tcPr>
          <w:p w:rsidR="0063033D" w:rsidRDefault="0063033D" w:rsidP="008D1891">
            <w:pPr>
              <w:keepNext/>
              <w:keepLines/>
              <w:jc w:val="center"/>
              <w:rPr>
                <w:rFonts w:cs="Arial"/>
                <w:color w:val="000000"/>
                <w:sz w:val="16"/>
                <w:szCs w:val="16"/>
              </w:rPr>
            </w:pPr>
            <w:r>
              <w:rPr>
                <w:rFonts w:cs="Arial"/>
                <w:color w:val="000000"/>
                <w:sz w:val="16"/>
                <w:szCs w:val="16"/>
              </w:rPr>
              <w:t>45,168</w:t>
            </w:r>
          </w:p>
        </w:tc>
        <w:tc>
          <w:tcPr>
            <w:tcW w:w="2126" w:type="dxa"/>
            <w:tcBorders>
              <w:top w:val="nil"/>
              <w:left w:val="nil"/>
              <w:bottom w:val="single" w:sz="4" w:space="0" w:color="auto"/>
              <w:right w:val="single" w:sz="4" w:space="0" w:color="auto"/>
            </w:tcBorders>
            <w:shd w:val="clear" w:color="auto" w:fill="auto"/>
            <w:noWrap/>
            <w:vAlign w:val="center"/>
            <w:hideMark/>
          </w:tcPr>
          <w:p w:rsidR="0063033D" w:rsidRDefault="0063033D" w:rsidP="008D1891">
            <w:pPr>
              <w:keepNext/>
              <w:keepLines/>
              <w:jc w:val="center"/>
              <w:rPr>
                <w:rFonts w:cs="Arial"/>
                <w:color w:val="000000"/>
                <w:sz w:val="16"/>
                <w:szCs w:val="16"/>
              </w:rPr>
            </w:pPr>
            <w:r>
              <w:rPr>
                <w:rFonts w:cs="Arial"/>
                <w:color w:val="000000"/>
                <w:sz w:val="16"/>
                <w:szCs w:val="16"/>
              </w:rPr>
              <w:t>-</w:t>
            </w:r>
          </w:p>
        </w:tc>
      </w:tr>
      <w:tr w:rsidR="0063033D" w:rsidTr="008D1891">
        <w:trPr>
          <w:trHeight w:val="409"/>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63033D" w:rsidRDefault="0063033D" w:rsidP="008D1891">
            <w:pPr>
              <w:keepNext/>
              <w:keepLines/>
              <w:jc w:val="center"/>
              <w:rPr>
                <w:rFonts w:cs="Arial"/>
                <w:sz w:val="16"/>
                <w:szCs w:val="16"/>
              </w:rPr>
            </w:pPr>
            <w:r>
              <w:rPr>
                <w:rFonts w:cs="Arial"/>
                <w:sz w:val="16"/>
                <w:szCs w:val="16"/>
              </w:rPr>
              <w:t>-</w:t>
            </w:r>
          </w:p>
        </w:tc>
        <w:tc>
          <w:tcPr>
            <w:tcW w:w="1701" w:type="dxa"/>
            <w:tcBorders>
              <w:top w:val="nil"/>
              <w:left w:val="nil"/>
              <w:bottom w:val="single" w:sz="4" w:space="0" w:color="auto"/>
              <w:right w:val="single" w:sz="4" w:space="0" w:color="auto"/>
            </w:tcBorders>
            <w:shd w:val="clear" w:color="auto" w:fill="auto"/>
            <w:vAlign w:val="center"/>
            <w:hideMark/>
          </w:tcPr>
          <w:p w:rsidR="0063033D" w:rsidRDefault="0063033D" w:rsidP="008D1891">
            <w:pPr>
              <w:keepNext/>
              <w:keepLines/>
              <w:jc w:val="center"/>
              <w:rPr>
                <w:rFonts w:cs="Arial"/>
                <w:sz w:val="16"/>
                <w:szCs w:val="16"/>
              </w:rPr>
            </w:pPr>
            <w:r>
              <w:rPr>
                <w:rFonts w:cs="Arial"/>
                <w:sz w:val="16"/>
                <w:szCs w:val="16"/>
              </w:rPr>
              <w:t>105,116</w:t>
            </w:r>
          </w:p>
        </w:tc>
        <w:tc>
          <w:tcPr>
            <w:tcW w:w="1985" w:type="dxa"/>
            <w:tcBorders>
              <w:top w:val="nil"/>
              <w:left w:val="nil"/>
              <w:bottom w:val="single" w:sz="4" w:space="0" w:color="auto"/>
              <w:right w:val="single" w:sz="4" w:space="0" w:color="auto"/>
            </w:tcBorders>
            <w:shd w:val="clear" w:color="auto" w:fill="auto"/>
            <w:vAlign w:val="center"/>
            <w:hideMark/>
          </w:tcPr>
          <w:p w:rsidR="0063033D" w:rsidRDefault="0063033D" w:rsidP="008D1891">
            <w:pPr>
              <w:keepNext/>
              <w:keepLines/>
              <w:jc w:val="center"/>
              <w:rPr>
                <w:rFonts w:cs="Arial"/>
                <w:sz w:val="16"/>
                <w:szCs w:val="16"/>
              </w:rPr>
            </w:pPr>
            <w:r>
              <w:rPr>
                <w:rFonts w:cs="Arial"/>
                <w:sz w:val="16"/>
                <w:szCs w:val="16"/>
              </w:rPr>
              <w:t>39,096</w:t>
            </w:r>
          </w:p>
        </w:tc>
        <w:tc>
          <w:tcPr>
            <w:tcW w:w="1701" w:type="dxa"/>
            <w:tcBorders>
              <w:top w:val="nil"/>
              <w:left w:val="nil"/>
              <w:bottom w:val="single" w:sz="4" w:space="0" w:color="auto"/>
              <w:right w:val="single" w:sz="4" w:space="0" w:color="auto"/>
            </w:tcBorders>
            <w:shd w:val="clear" w:color="auto" w:fill="auto"/>
            <w:vAlign w:val="center"/>
            <w:hideMark/>
          </w:tcPr>
          <w:p w:rsidR="0063033D" w:rsidRDefault="0063033D" w:rsidP="008D1891">
            <w:pPr>
              <w:keepNext/>
              <w:keepLines/>
              <w:jc w:val="center"/>
              <w:rPr>
                <w:rFonts w:cs="Arial"/>
                <w:sz w:val="16"/>
                <w:szCs w:val="16"/>
              </w:rPr>
            </w:pPr>
            <w:r>
              <w:rPr>
                <w:rFonts w:cs="Arial"/>
                <w:sz w:val="16"/>
                <w:szCs w:val="16"/>
              </w:rPr>
              <w:t>-</w:t>
            </w:r>
          </w:p>
        </w:tc>
        <w:tc>
          <w:tcPr>
            <w:tcW w:w="2126" w:type="dxa"/>
            <w:tcBorders>
              <w:top w:val="nil"/>
              <w:left w:val="nil"/>
              <w:bottom w:val="single" w:sz="4" w:space="0" w:color="auto"/>
              <w:right w:val="single" w:sz="4" w:space="0" w:color="auto"/>
            </w:tcBorders>
            <w:shd w:val="clear" w:color="auto" w:fill="auto"/>
            <w:vAlign w:val="center"/>
            <w:hideMark/>
          </w:tcPr>
          <w:p w:rsidR="0063033D" w:rsidRDefault="0063033D" w:rsidP="008D1891">
            <w:pPr>
              <w:keepNext/>
              <w:keepLines/>
              <w:jc w:val="center"/>
              <w:rPr>
                <w:rFonts w:cs="Arial"/>
                <w:sz w:val="16"/>
                <w:szCs w:val="16"/>
              </w:rPr>
            </w:pPr>
            <w:r>
              <w:rPr>
                <w:rFonts w:cs="Arial"/>
                <w:sz w:val="16"/>
                <w:szCs w:val="16"/>
              </w:rPr>
              <w:t>66,020</w:t>
            </w:r>
          </w:p>
        </w:tc>
      </w:tr>
    </w:tbl>
    <w:p w:rsidR="0063033D" w:rsidRDefault="0063033D" w:rsidP="008D1891">
      <w:pPr>
        <w:spacing w:before="120"/>
        <w:rPr>
          <w:rFonts w:cs="Arial"/>
          <w:b/>
          <w:szCs w:val="20"/>
        </w:rPr>
      </w:pPr>
    </w:p>
    <w:p w:rsidR="0063033D" w:rsidRDefault="0063033D" w:rsidP="008D1891">
      <w:pPr>
        <w:autoSpaceDE w:val="0"/>
        <w:autoSpaceDN w:val="0"/>
        <w:adjustRightInd w:val="0"/>
        <w:rPr>
          <w:rFonts w:eastAsia="MS Mincho" w:cs="Arial"/>
          <w:b/>
          <w:bCs/>
          <w:color w:val="000000"/>
          <w:sz w:val="18"/>
          <w:szCs w:val="18"/>
          <w:lang w:eastAsia="ja-JP" w:bidi="th-TH"/>
        </w:rPr>
      </w:pPr>
    </w:p>
    <w:p w:rsidR="0063033D" w:rsidRDefault="0063033D" w:rsidP="008D1891">
      <w:pPr>
        <w:rPr>
          <w:rFonts w:cs="Arial"/>
          <w:b/>
          <w:szCs w:val="20"/>
        </w:rPr>
      </w:pPr>
      <w:r w:rsidRPr="003943F0">
        <w:rPr>
          <w:rFonts w:cs="Arial"/>
          <w:b/>
          <w:szCs w:val="20"/>
        </w:rPr>
        <w:t>FRANCE</w:t>
      </w:r>
      <w:r>
        <w:rPr>
          <w:rFonts w:cs="Arial"/>
          <w:b/>
          <w:szCs w:val="20"/>
        </w:rPr>
        <w:t>/ INDUSTRIAL PROPERTY</w:t>
      </w:r>
    </w:p>
    <w:p w:rsidR="0063033D" w:rsidRDefault="0063033D" w:rsidP="008D1891">
      <w:pPr>
        <w:rPr>
          <w:rFonts w:cs="Arial"/>
          <w:b/>
          <w:sz w:val="16"/>
          <w:szCs w:val="16"/>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0"/>
        <w:gridCol w:w="1137"/>
        <w:gridCol w:w="1985"/>
        <w:gridCol w:w="4394"/>
      </w:tblGrid>
      <w:tr w:rsidR="0063033D" w:rsidRPr="00A07CC5" w:rsidTr="008D1891">
        <w:tc>
          <w:tcPr>
            <w:tcW w:w="9356" w:type="dxa"/>
            <w:gridSpan w:val="4"/>
            <w:tcBorders>
              <w:top w:val="single" w:sz="4" w:space="0" w:color="auto"/>
              <w:bottom w:val="single" w:sz="4" w:space="0" w:color="auto"/>
            </w:tcBorders>
            <w:shd w:val="clear" w:color="auto" w:fill="CCFFFF"/>
            <w:vAlign w:val="center"/>
          </w:tcPr>
          <w:p w:rsidR="0063033D" w:rsidRPr="00A07CC5" w:rsidRDefault="0063033D" w:rsidP="008D1891">
            <w:pPr>
              <w:keepNext/>
              <w:keepLines/>
              <w:tabs>
                <w:tab w:val="left" w:pos="1740"/>
              </w:tabs>
              <w:spacing w:before="120" w:after="60"/>
              <w:ind w:left="1741" w:hanging="1741"/>
              <w:rPr>
                <w:rFonts w:cs="Arial"/>
                <w:b/>
                <w:bCs/>
                <w:sz w:val="16"/>
                <w:szCs w:val="16"/>
              </w:rPr>
            </w:pPr>
            <w:r w:rsidRPr="00774D44">
              <w:rPr>
                <w:rFonts w:cs="Arial"/>
                <w:b/>
                <w:bCs/>
                <w:color w:val="000000"/>
                <w:sz w:val="16"/>
                <w:szCs w:val="16"/>
              </w:rPr>
              <w:t>RESULT</w:t>
            </w:r>
            <w:r w:rsidRPr="002B7DE5">
              <w:rPr>
                <w:rFonts w:cs="Arial"/>
                <w:b/>
                <w:bCs/>
                <w:sz w:val="16"/>
                <w:szCs w:val="16"/>
              </w:rPr>
              <w:t>:</w:t>
            </w:r>
            <w:r w:rsidRPr="00A07CC5">
              <w:rPr>
                <w:rFonts w:cs="Arial"/>
                <w:b/>
                <w:bCs/>
                <w:sz w:val="16"/>
                <w:szCs w:val="16"/>
              </w:rPr>
              <w:tab/>
            </w:r>
            <w:r w:rsidRPr="00937F04">
              <w:rPr>
                <w:rFonts w:eastAsia="MS Mincho" w:cs="Arial"/>
                <w:bCs/>
                <w:color w:val="000000"/>
                <w:sz w:val="16"/>
                <w:szCs w:val="16"/>
                <w:lang w:eastAsia="ja-JP" w:bidi="th-TH"/>
              </w:rPr>
              <w:t>III.2. Enhanced human resource capacities able to deal with the broad range of requirements for the effective use of IP for development in developing countries, LDCs and countries with economies in transition</w:t>
            </w:r>
          </w:p>
        </w:tc>
      </w:tr>
      <w:tr w:rsidR="0063033D" w:rsidTr="008D1891">
        <w:tc>
          <w:tcPr>
            <w:tcW w:w="1840" w:type="dxa"/>
            <w:tcBorders>
              <w:top w:val="single" w:sz="4" w:space="0" w:color="auto"/>
            </w:tcBorders>
            <w:vAlign w:val="center"/>
          </w:tcPr>
          <w:p w:rsidR="0063033D" w:rsidRDefault="0063033D" w:rsidP="008D1891">
            <w:pPr>
              <w:keepNext/>
              <w:keepLines/>
              <w:rPr>
                <w:rFonts w:cs="Arial"/>
                <w:b/>
                <w:bCs/>
                <w:sz w:val="16"/>
                <w:szCs w:val="16"/>
              </w:rPr>
            </w:pPr>
            <w:r>
              <w:rPr>
                <w:rFonts w:cs="Arial"/>
                <w:b/>
                <w:bCs/>
                <w:sz w:val="16"/>
                <w:szCs w:val="16"/>
              </w:rPr>
              <w:t>Activity</w:t>
            </w:r>
          </w:p>
        </w:tc>
        <w:tc>
          <w:tcPr>
            <w:tcW w:w="1137" w:type="dxa"/>
            <w:tcBorders>
              <w:top w:val="single" w:sz="4" w:space="0" w:color="auto"/>
            </w:tcBorders>
            <w:shd w:val="clear" w:color="auto" w:fill="auto"/>
            <w:tcMar>
              <w:top w:w="110" w:type="dxa"/>
            </w:tcMar>
            <w:vAlign w:val="center"/>
          </w:tcPr>
          <w:p w:rsidR="0063033D" w:rsidRDefault="0063033D" w:rsidP="008D1891">
            <w:pPr>
              <w:keepNext/>
              <w:keepLines/>
              <w:rPr>
                <w:rFonts w:cs="Arial"/>
                <w:sz w:val="16"/>
                <w:szCs w:val="16"/>
              </w:rPr>
            </w:pPr>
            <w:r>
              <w:rPr>
                <w:rFonts w:cs="Arial"/>
                <w:b/>
                <w:bCs/>
                <w:sz w:val="16"/>
                <w:szCs w:val="16"/>
              </w:rPr>
              <w:t>Date</w:t>
            </w:r>
          </w:p>
        </w:tc>
        <w:tc>
          <w:tcPr>
            <w:tcW w:w="1985" w:type="dxa"/>
            <w:tcBorders>
              <w:top w:val="single" w:sz="4" w:space="0" w:color="auto"/>
            </w:tcBorders>
            <w:shd w:val="clear" w:color="auto" w:fill="auto"/>
            <w:tcMar>
              <w:top w:w="110" w:type="dxa"/>
            </w:tcMar>
            <w:vAlign w:val="center"/>
          </w:tcPr>
          <w:p w:rsidR="0063033D" w:rsidRDefault="0063033D" w:rsidP="008D1891">
            <w:pPr>
              <w:keepNext/>
              <w:keepLines/>
              <w:rPr>
                <w:rFonts w:cs="Arial"/>
                <w:sz w:val="16"/>
                <w:szCs w:val="16"/>
              </w:rPr>
            </w:pPr>
            <w:r>
              <w:rPr>
                <w:rFonts w:cs="Arial"/>
                <w:b/>
                <w:bCs/>
                <w:sz w:val="16"/>
                <w:szCs w:val="16"/>
              </w:rPr>
              <w:t>Host Country/</w:t>
            </w:r>
            <w:r>
              <w:rPr>
                <w:rFonts w:cs="Arial"/>
                <w:b/>
                <w:bCs/>
                <w:sz w:val="16"/>
                <w:szCs w:val="16"/>
              </w:rPr>
              <w:br/>
              <w:t>Recipients</w:t>
            </w:r>
          </w:p>
        </w:tc>
        <w:tc>
          <w:tcPr>
            <w:tcW w:w="4394" w:type="dxa"/>
            <w:tcBorders>
              <w:top w:val="single" w:sz="4" w:space="0" w:color="auto"/>
            </w:tcBorders>
            <w:shd w:val="clear" w:color="auto" w:fill="FFFFFF"/>
            <w:tcMar>
              <w:top w:w="110" w:type="dxa"/>
            </w:tcMar>
            <w:vAlign w:val="center"/>
          </w:tcPr>
          <w:p w:rsidR="0063033D" w:rsidRDefault="0063033D" w:rsidP="008D1891">
            <w:pPr>
              <w:keepNext/>
              <w:keepLines/>
              <w:rPr>
                <w:rFonts w:cs="Arial"/>
                <w:sz w:val="16"/>
                <w:szCs w:val="16"/>
              </w:rPr>
            </w:pPr>
            <w:r>
              <w:rPr>
                <w:rFonts w:cs="Arial"/>
                <w:b/>
                <w:bCs/>
                <w:sz w:val="16"/>
                <w:szCs w:val="16"/>
              </w:rPr>
              <w:t>Purpose(s)/Description(s)</w:t>
            </w:r>
          </w:p>
        </w:tc>
      </w:tr>
      <w:tr w:rsidR="0063033D" w:rsidRPr="00CE3BC2" w:rsidTr="008D1891">
        <w:tc>
          <w:tcPr>
            <w:tcW w:w="1840" w:type="dxa"/>
          </w:tcPr>
          <w:p w:rsidR="0063033D" w:rsidRDefault="0063033D" w:rsidP="008D1891">
            <w:pPr>
              <w:autoSpaceDE w:val="0"/>
              <w:autoSpaceDN w:val="0"/>
              <w:adjustRightInd w:val="0"/>
              <w:spacing w:before="120" w:after="120"/>
              <w:rPr>
                <w:rFonts w:eastAsia="MS Mincho" w:cs="Arial"/>
                <w:color w:val="000000"/>
                <w:sz w:val="16"/>
                <w:szCs w:val="16"/>
                <w:lang w:eastAsia="ja-JP" w:bidi="th-TH"/>
              </w:rPr>
            </w:pPr>
            <w:r>
              <w:rPr>
                <w:rFonts w:eastAsia="MS Mincho" w:cs="Arial"/>
                <w:color w:val="000000"/>
                <w:sz w:val="16"/>
                <w:szCs w:val="16"/>
                <w:lang w:eastAsia="ja-JP" w:bidi="th-TH"/>
              </w:rPr>
              <w:t xml:space="preserve">Participation in the </w:t>
            </w:r>
            <w:r w:rsidRPr="00D626EF">
              <w:rPr>
                <w:rFonts w:eastAsia="MS Mincho" w:cs="Arial"/>
                <w:color w:val="000000"/>
                <w:sz w:val="16"/>
                <w:szCs w:val="16"/>
                <w:lang w:eastAsia="ja-JP" w:bidi="th-TH"/>
              </w:rPr>
              <w:t>3rd Euro-Mediterranean Meeting of National Committees against Counterfeiting</w:t>
            </w:r>
          </w:p>
        </w:tc>
        <w:tc>
          <w:tcPr>
            <w:tcW w:w="1137" w:type="dxa"/>
          </w:tcPr>
          <w:p w:rsidR="0063033D" w:rsidRPr="001D3AD5" w:rsidRDefault="0063033D" w:rsidP="008D1891">
            <w:pPr>
              <w:autoSpaceDE w:val="0"/>
              <w:autoSpaceDN w:val="0"/>
              <w:adjustRightInd w:val="0"/>
              <w:spacing w:before="120" w:after="120"/>
              <w:rPr>
                <w:rFonts w:eastAsia="MS Mincho" w:cs="Arial"/>
                <w:color w:val="000000"/>
                <w:sz w:val="16"/>
                <w:szCs w:val="16"/>
                <w:lang w:eastAsia="ja-JP" w:bidi="th-TH"/>
              </w:rPr>
            </w:pPr>
            <w:r>
              <w:rPr>
                <w:rFonts w:eastAsia="MS Mincho" w:cs="Arial"/>
                <w:color w:val="000000"/>
                <w:sz w:val="16"/>
                <w:szCs w:val="16"/>
                <w:lang w:eastAsia="ja-JP" w:bidi="th-TH"/>
              </w:rPr>
              <w:t>November 25 and 26, 2014</w:t>
            </w:r>
          </w:p>
        </w:tc>
        <w:tc>
          <w:tcPr>
            <w:tcW w:w="1985" w:type="dxa"/>
          </w:tcPr>
          <w:p w:rsidR="0063033D" w:rsidRPr="001D3AD5" w:rsidRDefault="0063033D" w:rsidP="008D1891">
            <w:pPr>
              <w:autoSpaceDE w:val="0"/>
              <w:autoSpaceDN w:val="0"/>
              <w:adjustRightInd w:val="0"/>
              <w:spacing w:before="120" w:after="60"/>
              <w:rPr>
                <w:rFonts w:eastAsia="MS Mincho" w:cs="Arial"/>
                <w:color w:val="000000"/>
                <w:sz w:val="16"/>
                <w:szCs w:val="16"/>
                <w:lang w:eastAsia="ja-JP" w:bidi="th-TH"/>
              </w:rPr>
            </w:pPr>
            <w:r>
              <w:rPr>
                <w:rFonts w:eastAsia="MS Mincho" w:cs="Arial"/>
                <w:color w:val="000000"/>
                <w:sz w:val="16"/>
                <w:szCs w:val="16"/>
                <w:lang w:eastAsia="ja-JP" w:bidi="th-TH"/>
              </w:rPr>
              <w:t>Italy/</w:t>
            </w:r>
            <w:r w:rsidRPr="00D626EF">
              <w:rPr>
                <w:rFonts w:eastAsia="MS Mincho" w:cs="Arial"/>
                <w:bCs/>
                <w:color w:val="000000"/>
                <w:sz w:val="16"/>
                <w:szCs w:val="16"/>
                <w:lang w:eastAsia="ja-JP" w:bidi="th-TH"/>
              </w:rPr>
              <w:t xml:space="preserve"> </w:t>
            </w:r>
            <w:r>
              <w:rPr>
                <w:rFonts w:eastAsia="MS Mincho" w:cs="Arial"/>
                <w:bCs/>
                <w:color w:val="000000"/>
                <w:sz w:val="16"/>
                <w:szCs w:val="16"/>
                <w:lang w:eastAsia="ja-JP" w:bidi="th-TH"/>
              </w:rPr>
              <w:t xml:space="preserve">representatives from </w:t>
            </w:r>
            <w:r w:rsidRPr="00D626EF">
              <w:rPr>
                <w:rFonts w:eastAsia="MS Mincho" w:cs="Arial"/>
                <w:bCs/>
                <w:color w:val="000000"/>
                <w:sz w:val="16"/>
                <w:szCs w:val="16"/>
                <w:lang w:eastAsia="ja-JP" w:bidi="th-TH"/>
              </w:rPr>
              <w:t>Bulgaria, Croatia,</w:t>
            </w:r>
            <w:r>
              <w:rPr>
                <w:rFonts w:eastAsia="MS Mincho" w:cs="Arial"/>
                <w:bCs/>
                <w:color w:val="000000"/>
                <w:sz w:val="16"/>
                <w:szCs w:val="16"/>
                <w:lang w:eastAsia="ja-JP" w:bidi="th-TH"/>
              </w:rPr>
              <w:t xml:space="preserve"> France,</w:t>
            </w:r>
            <w:r w:rsidRPr="00D626EF">
              <w:rPr>
                <w:rFonts w:eastAsia="MS Mincho" w:cs="Arial"/>
                <w:bCs/>
                <w:color w:val="000000"/>
                <w:sz w:val="16"/>
                <w:szCs w:val="16"/>
                <w:lang w:eastAsia="ja-JP" w:bidi="th-TH"/>
              </w:rPr>
              <w:t xml:space="preserve"> Greece, Malta, Portugal, Romania, Serbia, Slovenia and Spain</w:t>
            </w:r>
          </w:p>
        </w:tc>
        <w:tc>
          <w:tcPr>
            <w:tcW w:w="4394" w:type="dxa"/>
          </w:tcPr>
          <w:p w:rsidR="0063033D" w:rsidRPr="001D3AD5" w:rsidRDefault="0063033D" w:rsidP="008D1891">
            <w:pPr>
              <w:autoSpaceDE w:val="0"/>
              <w:autoSpaceDN w:val="0"/>
              <w:adjustRightInd w:val="0"/>
              <w:spacing w:before="120" w:after="120"/>
              <w:rPr>
                <w:rFonts w:eastAsia="MS Mincho" w:cs="Arial"/>
                <w:bCs/>
                <w:color w:val="000000"/>
                <w:sz w:val="16"/>
                <w:szCs w:val="16"/>
                <w:lang w:eastAsia="ja-JP" w:bidi="th-TH"/>
              </w:rPr>
            </w:pPr>
            <w:r w:rsidRPr="00D626EF">
              <w:rPr>
                <w:rFonts w:eastAsia="MS Mincho" w:cs="Arial"/>
                <w:bCs/>
                <w:color w:val="000000"/>
                <w:sz w:val="16"/>
                <w:szCs w:val="16"/>
                <w:lang w:eastAsia="ja-JP" w:bidi="th-TH"/>
              </w:rPr>
              <w:t>Following the success of the Euro-Mediterranean Meetings held in Cannes in 2008 and in Tangier in 2009, organized by the National Industrial Property Institute of France (INPI) and the Euro-Mediterranean National Committees against counterfeiting</w:t>
            </w:r>
            <w:r>
              <w:rPr>
                <w:rFonts w:eastAsia="MS Mincho" w:cs="Arial"/>
                <w:bCs/>
                <w:color w:val="000000"/>
                <w:sz w:val="16"/>
                <w:szCs w:val="16"/>
                <w:lang w:eastAsia="ja-JP" w:bidi="th-TH"/>
              </w:rPr>
              <w:t xml:space="preserve">, and in consultation with </w:t>
            </w:r>
            <w:r w:rsidRPr="00D626EF">
              <w:rPr>
                <w:rFonts w:eastAsia="MS Mincho" w:cs="Arial"/>
                <w:bCs/>
                <w:color w:val="000000"/>
                <w:sz w:val="16"/>
                <w:szCs w:val="16"/>
                <w:lang w:eastAsia="ja-JP" w:bidi="th-TH"/>
              </w:rPr>
              <w:t>the Director General of th</w:t>
            </w:r>
            <w:r>
              <w:rPr>
                <w:rFonts w:eastAsia="MS Mincho" w:cs="Arial"/>
                <w:bCs/>
                <w:color w:val="000000"/>
                <w:sz w:val="16"/>
                <w:szCs w:val="16"/>
                <w:lang w:eastAsia="ja-JP" w:bidi="th-TH"/>
              </w:rPr>
              <w:t>e Fight against Counterfeiting,</w:t>
            </w:r>
            <w:r w:rsidRPr="00D626EF">
              <w:rPr>
                <w:rFonts w:eastAsia="MS Mincho" w:cs="Arial"/>
                <w:bCs/>
                <w:color w:val="000000"/>
                <w:sz w:val="16"/>
                <w:szCs w:val="16"/>
                <w:lang w:eastAsia="ja-JP" w:bidi="th-TH"/>
              </w:rPr>
              <w:t xml:space="preserve"> Italian Patent and Trademark Office, Ministry of Economic Development</w:t>
            </w:r>
            <w:r>
              <w:rPr>
                <w:rFonts w:eastAsia="MS Mincho" w:cs="Arial"/>
                <w:bCs/>
                <w:color w:val="000000"/>
                <w:sz w:val="16"/>
                <w:szCs w:val="16"/>
                <w:lang w:eastAsia="ja-JP" w:bidi="th-TH"/>
              </w:rPr>
              <w:t>, the third meeting focused on awareness and education issues, especially as regards the younger generation.</w:t>
            </w:r>
          </w:p>
        </w:tc>
      </w:tr>
    </w:tbl>
    <w:p w:rsidR="0063033D" w:rsidRDefault="0063033D" w:rsidP="008D1891">
      <w:pPr>
        <w:rPr>
          <w:rFonts w:cs="Arial"/>
          <w:b/>
          <w:sz w:val="16"/>
          <w:szCs w:val="16"/>
        </w:rPr>
      </w:pPr>
    </w:p>
    <w:p w:rsidR="0063033D" w:rsidRDefault="0063033D" w:rsidP="008D1891">
      <w:pPr>
        <w:rPr>
          <w:rFonts w:cs="Arial"/>
          <w:b/>
          <w:sz w:val="18"/>
          <w:szCs w:val="18"/>
        </w:rPr>
      </w:pPr>
    </w:p>
    <w:p w:rsidR="0063033D" w:rsidRPr="003461BF" w:rsidRDefault="0063033D" w:rsidP="008D1891">
      <w:pPr>
        <w:rPr>
          <w:rFonts w:cs="Arial"/>
          <w:b/>
          <w:sz w:val="18"/>
          <w:szCs w:val="18"/>
        </w:rPr>
      </w:pPr>
      <w:r w:rsidRPr="003461BF">
        <w:rPr>
          <w:rFonts w:cs="Arial"/>
          <w:b/>
          <w:sz w:val="18"/>
          <w:szCs w:val="18"/>
        </w:rPr>
        <w:t xml:space="preserve">FRANCE/ INDUSTRIAL PROPERTY Donor </w:t>
      </w:r>
      <w:r w:rsidRPr="003461BF">
        <w:rPr>
          <w:rFonts w:cs="Arial"/>
          <w:b/>
          <w:bCs/>
          <w:sz w:val="18"/>
          <w:szCs w:val="18"/>
        </w:rPr>
        <w:t>Contributions and Expenditure in 2014</w:t>
      </w:r>
    </w:p>
    <w:p w:rsidR="0063033D" w:rsidRPr="001A2E86" w:rsidRDefault="0063033D" w:rsidP="008D1891">
      <w:pPr>
        <w:rPr>
          <w:szCs w:val="20"/>
        </w:rPr>
      </w:pPr>
    </w:p>
    <w:p w:rsidR="0063033D" w:rsidRPr="00660313" w:rsidRDefault="0063033D" w:rsidP="008D1891">
      <w:pPr>
        <w:rPr>
          <w:szCs w:val="20"/>
        </w:rPr>
      </w:pPr>
    </w:p>
    <w:tbl>
      <w:tblPr>
        <w:tblW w:w="9087" w:type="dxa"/>
        <w:jc w:val="center"/>
        <w:tblInd w:w="93" w:type="dxa"/>
        <w:tblLook w:val="04A0" w:firstRow="1" w:lastRow="0" w:firstColumn="1" w:lastColumn="0" w:noHBand="0" w:noVBand="1"/>
      </w:tblPr>
      <w:tblGrid>
        <w:gridCol w:w="1716"/>
        <w:gridCol w:w="1418"/>
        <w:gridCol w:w="1701"/>
        <w:gridCol w:w="2268"/>
        <w:gridCol w:w="1984"/>
      </w:tblGrid>
      <w:tr w:rsidR="0063033D" w:rsidTr="008D1891">
        <w:trPr>
          <w:trHeight w:val="600"/>
          <w:jc w:val="center"/>
        </w:trPr>
        <w:tc>
          <w:tcPr>
            <w:tcW w:w="171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2013</w:t>
            </w:r>
          </w:p>
        </w:tc>
        <w:tc>
          <w:tcPr>
            <w:tcW w:w="1418"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Income 2014</w:t>
            </w:r>
          </w:p>
        </w:tc>
        <w:tc>
          <w:tcPr>
            <w:tcW w:w="1701"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Expenditure 2014</w:t>
            </w:r>
          </w:p>
        </w:tc>
        <w:tc>
          <w:tcPr>
            <w:tcW w:w="2268"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Reimbursements</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2014</w:t>
            </w:r>
          </w:p>
        </w:tc>
      </w:tr>
      <w:tr w:rsidR="0063033D" w:rsidTr="008D1891">
        <w:trPr>
          <w:trHeight w:val="484"/>
          <w:jc w:val="center"/>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752,474</w:t>
            </w:r>
          </w:p>
        </w:tc>
        <w:tc>
          <w:tcPr>
            <w:tcW w:w="1418"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303,279</w:t>
            </w:r>
          </w:p>
        </w:tc>
        <w:tc>
          <w:tcPr>
            <w:tcW w:w="1701"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28,113</w:t>
            </w:r>
          </w:p>
        </w:tc>
        <w:tc>
          <w:tcPr>
            <w:tcW w:w="2268"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w:t>
            </w:r>
          </w:p>
        </w:tc>
        <w:tc>
          <w:tcPr>
            <w:tcW w:w="1984"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1,027,640</w:t>
            </w:r>
          </w:p>
        </w:tc>
      </w:tr>
    </w:tbl>
    <w:p w:rsidR="0063033D" w:rsidRDefault="0063033D" w:rsidP="008D1891">
      <w:pPr>
        <w:rPr>
          <w:rFonts w:cs="Arial"/>
          <w:b/>
          <w:sz w:val="16"/>
          <w:szCs w:val="16"/>
          <w:u w:val="single"/>
        </w:rPr>
      </w:pPr>
    </w:p>
    <w:p w:rsidR="0063033D" w:rsidRPr="001A2E86" w:rsidRDefault="0063033D" w:rsidP="008D1891">
      <w:pPr>
        <w:rPr>
          <w:rFonts w:cs="Arial"/>
          <w:b/>
          <w:sz w:val="16"/>
          <w:szCs w:val="16"/>
          <w:u w:val="single"/>
        </w:rPr>
      </w:pPr>
    </w:p>
    <w:p w:rsidR="0063033D" w:rsidRDefault="0063033D" w:rsidP="008D1891">
      <w:pPr>
        <w:rPr>
          <w:rFonts w:cs="Arial"/>
          <w:b/>
          <w:szCs w:val="20"/>
          <w:u w:val="single"/>
        </w:rPr>
      </w:pPr>
      <w:r>
        <w:rPr>
          <w:rFonts w:cs="Arial"/>
          <w:b/>
          <w:szCs w:val="20"/>
          <w:u w:val="single"/>
        </w:rPr>
        <w:br w:type="page"/>
      </w:r>
      <w:r w:rsidRPr="0024548C">
        <w:rPr>
          <w:rFonts w:cs="Arial"/>
          <w:b/>
          <w:szCs w:val="20"/>
        </w:rPr>
        <w:lastRenderedPageBreak/>
        <w:t>IBERO–AMERICAN PROGRAM FOR INDUSTRIAL PROPERTY</w:t>
      </w:r>
      <w:r>
        <w:rPr>
          <w:rStyle w:val="FootnoteReference"/>
          <w:rFonts w:cs="Arial"/>
          <w:b/>
          <w:szCs w:val="20"/>
          <w:u w:val="single"/>
        </w:rPr>
        <w:footnoteReference w:id="69"/>
      </w:r>
    </w:p>
    <w:p w:rsidR="0063033D" w:rsidRDefault="0063033D" w:rsidP="008D1891">
      <w:pPr>
        <w:rPr>
          <w:rFonts w:cs="Arial"/>
          <w:b/>
          <w:szCs w:val="20"/>
          <w:u w:val="single"/>
        </w:rPr>
      </w:pPr>
    </w:p>
    <w:p w:rsidR="0063033D" w:rsidRDefault="0063033D" w:rsidP="008D1891">
      <w:pPr>
        <w:rPr>
          <w:rFonts w:cs="Arial"/>
          <w:b/>
          <w:szCs w:val="20"/>
          <w:u w:val="single"/>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126"/>
        <w:gridCol w:w="4253"/>
      </w:tblGrid>
      <w:tr w:rsidR="0063033D" w:rsidRPr="002B7DE5" w:rsidTr="008D1891">
        <w:tc>
          <w:tcPr>
            <w:tcW w:w="9356" w:type="dxa"/>
            <w:gridSpan w:val="4"/>
            <w:tcBorders>
              <w:top w:val="single" w:sz="4" w:space="0" w:color="000000"/>
              <w:bottom w:val="single" w:sz="4" w:space="0" w:color="000000"/>
            </w:tcBorders>
            <w:shd w:val="clear" w:color="auto" w:fill="CCFFFF"/>
            <w:vAlign w:val="center"/>
          </w:tcPr>
          <w:p w:rsidR="0063033D" w:rsidRPr="002B7DE5" w:rsidRDefault="0063033D" w:rsidP="008D1891">
            <w:pPr>
              <w:keepNext/>
              <w:keepLines/>
              <w:tabs>
                <w:tab w:val="left" w:pos="1740"/>
              </w:tabs>
              <w:spacing w:before="120" w:after="120"/>
              <w:ind w:left="1740" w:hanging="1740"/>
              <w:rPr>
                <w:rFonts w:cs="Arial"/>
                <w:b/>
                <w:bCs/>
                <w:sz w:val="16"/>
                <w:szCs w:val="16"/>
              </w:rPr>
            </w:pPr>
            <w:r w:rsidRPr="00774D44">
              <w:rPr>
                <w:rFonts w:cs="Arial"/>
                <w:b/>
                <w:bCs/>
                <w:color w:val="000000"/>
                <w:sz w:val="16"/>
                <w:szCs w:val="16"/>
              </w:rPr>
              <w:t>RESULT</w:t>
            </w:r>
            <w:r w:rsidRPr="002B7DE5">
              <w:rPr>
                <w:rFonts w:cs="Arial"/>
                <w:b/>
                <w:bCs/>
                <w:sz w:val="16"/>
                <w:szCs w:val="16"/>
              </w:rPr>
              <w:t>:</w:t>
            </w:r>
            <w:r w:rsidRPr="002B7DE5">
              <w:rPr>
                <w:rFonts w:cs="Arial"/>
                <w:b/>
                <w:bCs/>
                <w:sz w:val="16"/>
                <w:szCs w:val="16"/>
              </w:rPr>
              <w:tab/>
            </w:r>
            <w:r w:rsidRPr="00937F04">
              <w:rPr>
                <w:rFonts w:cs="Arial"/>
                <w:bCs/>
                <w:color w:val="000000"/>
                <w:sz w:val="16"/>
                <w:szCs w:val="16"/>
              </w:rPr>
              <w:t>III.2. Enhanced human resource capacities able to deal with the broad range of requirements for the effective use of IP for development in developing countries, LDCs and countries with economies in transition</w:t>
            </w:r>
          </w:p>
        </w:tc>
      </w:tr>
      <w:tr w:rsidR="0063033D" w:rsidRPr="002B7DE5" w:rsidTr="008D1891">
        <w:tc>
          <w:tcPr>
            <w:tcW w:w="1843" w:type="dxa"/>
            <w:tcBorders>
              <w:top w:val="single" w:sz="4" w:space="0" w:color="000000"/>
            </w:tcBorders>
            <w:vAlign w:val="center"/>
          </w:tcPr>
          <w:p w:rsidR="0063033D" w:rsidRPr="002B7DE5" w:rsidRDefault="0063033D" w:rsidP="008D1891">
            <w:pPr>
              <w:keepNext/>
              <w:keepLines/>
              <w:rPr>
                <w:rFonts w:cs="Arial"/>
                <w:b/>
                <w:bCs/>
                <w:sz w:val="16"/>
                <w:szCs w:val="16"/>
              </w:rPr>
            </w:pPr>
            <w:r w:rsidRPr="002B7DE5">
              <w:rPr>
                <w:rFonts w:cs="Arial"/>
                <w:b/>
                <w:bCs/>
                <w:sz w:val="16"/>
                <w:szCs w:val="16"/>
              </w:rPr>
              <w:t>Activity</w:t>
            </w:r>
          </w:p>
        </w:tc>
        <w:tc>
          <w:tcPr>
            <w:tcW w:w="1134" w:type="dxa"/>
            <w:tcBorders>
              <w:top w:val="single" w:sz="4" w:space="0" w:color="000000"/>
            </w:tcBorders>
            <w:shd w:val="clear" w:color="auto" w:fill="auto"/>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Date</w:t>
            </w:r>
          </w:p>
        </w:tc>
        <w:tc>
          <w:tcPr>
            <w:tcW w:w="2126" w:type="dxa"/>
            <w:tcBorders>
              <w:top w:val="single" w:sz="4" w:space="0" w:color="000000"/>
            </w:tcBorders>
            <w:shd w:val="clear" w:color="auto" w:fill="auto"/>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253" w:type="dxa"/>
            <w:tcBorders>
              <w:top w:val="single" w:sz="4" w:space="0" w:color="000000"/>
            </w:tcBorders>
            <w:shd w:val="clear" w:color="auto" w:fill="FFFFFF"/>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Purpose(s)/Description(s)</w:t>
            </w:r>
          </w:p>
        </w:tc>
      </w:tr>
      <w:tr w:rsidR="0063033D" w:rsidRPr="00774D44" w:rsidTr="008D1891">
        <w:trPr>
          <w:trHeight w:val="520"/>
        </w:trPr>
        <w:tc>
          <w:tcPr>
            <w:tcW w:w="1843" w:type="dxa"/>
            <w:tcBorders>
              <w:bottom w:val="nil"/>
            </w:tcBorders>
          </w:tcPr>
          <w:p w:rsidR="0063033D" w:rsidRPr="00B5064B" w:rsidDel="009E0498" w:rsidRDefault="0063033D" w:rsidP="008D1891">
            <w:pPr>
              <w:autoSpaceDE w:val="0"/>
              <w:autoSpaceDN w:val="0"/>
              <w:adjustRightInd w:val="0"/>
              <w:spacing w:before="120" w:after="120"/>
              <w:rPr>
                <w:rFonts w:cs="Arial"/>
                <w:color w:val="000000"/>
                <w:sz w:val="16"/>
                <w:szCs w:val="16"/>
              </w:rPr>
            </w:pPr>
            <w:r w:rsidRPr="004F2087">
              <w:rPr>
                <w:rFonts w:cs="Arial"/>
                <w:color w:val="000000"/>
                <w:sz w:val="16"/>
                <w:szCs w:val="16"/>
              </w:rPr>
              <w:t xml:space="preserve">Platform in Spanish on IP services and contents to the </w:t>
            </w:r>
            <w:proofErr w:type="spellStart"/>
            <w:r w:rsidRPr="004F2087">
              <w:rPr>
                <w:rFonts w:cs="Arial"/>
                <w:color w:val="000000"/>
                <w:sz w:val="16"/>
                <w:szCs w:val="16"/>
              </w:rPr>
              <w:t>Ibero</w:t>
            </w:r>
            <w:proofErr w:type="spellEnd"/>
            <w:r>
              <w:rPr>
                <w:rFonts w:cs="Arial"/>
                <w:color w:val="000000"/>
                <w:sz w:val="16"/>
                <w:szCs w:val="16"/>
              </w:rPr>
              <w:t>-A</w:t>
            </w:r>
            <w:r w:rsidRPr="004F2087">
              <w:rPr>
                <w:rFonts w:cs="Arial"/>
                <w:color w:val="000000"/>
                <w:sz w:val="16"/>
                <w:szCs w:val="16"/>
              </w:rPr>
              <w:t>merican entrepreneurial sector with special focus on SMEs (CIBEPYME).</w:t>
            </w:r>
          </w:p>
        </w:tc>
        <w:tc>
          <w:tcPr>
            <w:tcW w:w="1134" w:type="dxa"/>
            <w:tcBorders>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January to December, 2014</w:t>
            </w:r>
          </w:p>
        </w:tc>
        <w:tc>
          <w:tcPr>
            <w:tcW w:w="2126" w:type="dxa"/>
            <w:tcBorders>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sidRPr="004F2087">
              <w:rPr>
                <w:rFonts w:cs="Arial"/>
                <w:color w:val="000000"/>
                <w:sz w:val="16"/>
                <w:szCs w:val="16"/>
              </w:rPr>
              <w:t xml:space="preserve">All </w:t>
            </w:r>
            <w:proofErr w:type="spellStart"/>
            <w:r w:rsidRPr="004F2087">
              <w:rPr>
                <w:rFonts w:cs="Arial"/>
                <w:color w:val="000000"/>
                <w:sz w:val="16"/>
                <w:szCs w:val="16"/>
              </w:rPr>
              <w:t>Ibero</w:t>
            </w:r>
            <w:proofErr w:type="spellEnd"/>
            <w:r>
              <w:rPr>
                <w:rFonts w:cs="Arial"/>
                <w:color w:val="000000"/>
                <w:sz w:val="16"/>
                <w:szCs w:val="16"/>
              </w:rPr>
              <w:t>-A</w:t>
            </w:r>
            <w:r w:rsidRPr="004F2087">
              <w:rPr>
                <w:rFonts w:cs="Arial"/>
                <w:color w:val="000000"/>
                <w:sz w:val="16"/>
                <w:szCs w:val="16"/>
              </w:rPr>
              <w:t>merican countries</w:t>
            </w:r>
          </w:p>
        </w:tc>
        <w:tc>
          <w:tcPr>
            <w:tcW w:w="4253" w:type="dxa"/>
            <w:tcBorders>
              <w:bottom w:val="nil"/>
            </w:tcBorders>
          </w:tcPr>
          <w:p w:rsidR="0063033D" w:rsidDel="00152E3E"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To</w:t>
            </w:r>
            <w:r w:rsidRPr="004F2087">
              <w:rPr>
                <w:rFonts w:cs="Arial"/>
                <w:color w:val="000000"/>
                <w:sz w:val="16"/>
                <w:szCs w:val="16"/>
              </w:rPr>
              <w:t xml:space="preserve"> </w:t>
            </w:r>
            <w:r>
              <w:rPr>
                <w:rFonts w:cs="Arial"/>
                <w:color w:val="000000"/>
                <w:sz w:val="16"/>
                <w:szCs w:val="16"/>
              </w:rPr>
              <w:t xml:space="preserve">strengthen capacity for and promote the use of IP as an important tool for business.  </w:t>
            </w:r>
          </w:p>
        </w:tc>
      </w:tr>
      <w:tr w:rsidR="0063033D" w:rsidRPr="00774D44" w:rsidTr="008D1891">
        <w:trPr>
          <w:trHeight w:val="520"/>
        </w:trPr>
        <w:tc>
          <w:tcPr>
            <w:tcW w:w="9356" w:type="dxa"/>
            <w:gridSpan w:val="4"/>
            <w:tcBorders>
              <w:top w:val="single" w:sz="4" w:space="0" w:color="000000"/>
              <w:bottom w:val="single" w:sz="4" w:space="0" w:color="000000"/>
            </w:tcBorders>
            <w:shd w:val="clear" w:color="auto" w:fill="CCFFFF"/>
          </w:tcPr>
          <w:p w:rsidR="0063033D" w:rsidDel="00152E3E" w:rsidRDefault="0063033D" w:rsidP="008D1891">
            <w:pPr>
              <w:keepNext/>
              <w:keepLines/>
              <w:tabs>
                <w:tab w:val="left" w:pos="1740"/>
              </w:tabs>
              <w:spacing w:before="120" w:after="120"/>
              <w:ind w:left="1740" w:hanging="1740"/>
              <w:rPr>
                <w:rFonts w:cs="Arial"/>
                <w:color w:val="000000"/>
                <w:sz w:val="16"/>
                <w:szCs w:val="16"/>
              </w:rPr>
            </w:pPr>
            <w:r w:rsidRPr="00A911C1">
              <w:rPr>
                <w:rFonts w:cs="Arial"/>
                <w:b/>
                <w:bCs/>
                <w:color w:val="000000"/>
                <w:sz w:val="16"/>
                <w:szCs w:val="16"/>
              </w:rPr>
              <w:t>RESULT:</w:t>
            </w:r>
            <w:r>
              <w:rPr>
                <w:rFonts w:cs="Arial"/>
                <w:bCs/>
                <w:color w:val="000000"/>
                <w:sz w:val="16"/>
                <w:szCs w:val="16"/>
              </w:rPr>
              <w:tab/>
            </w:r>
            <w:r w:rsidRPr="00937F04">
              <w:rPr>
                <w:rFonts w:cs="Arial"/>
                <w:bCs/>
                <w:color w:val="000000"/>
                <w:sz w:val="16"/>
                <w:szCs w:val="16"/>
              </w:rPr>
              <w:t>III.4. Strengthened cooperation mechanisms and programs tailored to the needs of developing countries and LDCs</w:t>
            </w:r>
          </w:p>
        </w:tc>
      </w:tr>
      <w:tr w:rsidR="0063033D" w:rsidRPr="00774D44" w:rsidTr="008D1891">
        <w:trPr>
          <w:trHeight w:val="520"/>
        </w:trPr>
        <w:tc>
          <w:tcPr>
            <w:tcW w:w="1843" w:type="dxa"/>
            <w:tcBorders>
              <w:top w:val="single" w:sz="4" w:space="0" w:color="000000"/>
            </w:tcBorders>
            <w:vAlign w:val="center"/>
          </w:tcPr>
          <w:p w:rsidR="0063033D" w:rsidRPr="00774D44" w:rsidRDefault="0063033D" w:rsidP="008D1891">
            <w:pPr>
              <w:autoSpaceDE w:val="0"/>
              <w:autoSpaceDN w:val="0"/>
              <w:adjustRightInd w:val="0"/>
              <w:spacing w:before="120" w:after="120"/>
              <w:rPr>
                <w:rFonts w:cs="Arial"/>
                <w:color w:val="000000"/>
                <w:sz w:val="16"/>
                <w:szCs w:val="16"/>
              </w:rPr>
            </w:pPr>
            <w:r w:rsidRPr="002B7DE5">
              <w:rPr>
                <w:rFonts w:cs="Arial"/>
                <w:b/>
                <w:bCs/>
                <w:sz w:val="16"/>
                <w:szCs w:val="16"/>
              </w:rPr>
              <w:t>Activity</w:t>
            </w:r>
          </w:p>
        </w:tc>
        <w:tc>
          <w:tcPr>
            <w:tcW w:w="1134" w:type="dxa"/>
            <w:tcBorders>
              <w:top w:val="single" w:sz="4" w:space="0" w:color="000000"/>
            </w:tcBorders>
            <w:vAlign w:val="center"/>
          </w:tcPr>
          <w:p w:rsidR="0063033D" w:rsidRPr="00774D44" w:rsidRDefault="0063033D" w:rsidP="008D1891">
            <w:pPr>
              <w:autoSpaceDE w:val="0"/>
              <w:autoSpaceDN w:val="0"/>
              <w:adjustRightInd w:val="0"/>
              <w:spacing w:before="120" w:after="120"/>
              <w:rPr>
                <w:rFonts w:cs="Arial"/>
                <w:color w:val="000000"/>
                <w:sz w:val="16"/>
                <w:szCs w:val="16"/>
              </w:rPr>
            </w:pPr>
            <w:r w:rsidRPr="002B7DE5">
              <w:rPr>
                <w:rFonts w:cs="Arial"/>
                <w:b/>
                <w:bCs/>
                <w:sz w:val="16"/>
                <w:szCs w:val="16"/>
              </w:rPr>
              <w:t>Date</w:t>
            </w:r>
          </w:p>
        </w:tc>
        <w:tc>
          <w:tcPr>
            <w:tcW w:w="2126" w:type="dxa"/>
            <w:tcBorders>
              <w:top w:val="single" w:sz="4" w:space="0" w:color="000000"/>
            </w:tcBorders>
            <w:vAlign w:val="center"/>
          </w:tcPr>
          <w:p w:rsidR="0063033D" w:rsidRPr="00774D44" w:rsidRDefault="0063033D" w:rsidP="008D1891">
            <w:pPr>
              <w:autoSpaceDE w:val="0"/>
              <w:autoSpaceDN w:val="0"/>
              <w:adjustRightInd w:val="0"/>
              <w:spacing w:before="120" w:after="120"/>
              <w:rPr>
                <w:rFonts w:cs="Arial"/>
                <w:color w:val="000000"/>
                <w:sz w:val="16"/>
                <w:szCs w:val="16"/>
              </w:rPr>
            </w:pPr>
            <w:r w:rsidRPr="002B7DE5">
              <w:rPr>
                <w:rFonts w:cs="Arial"/>
                <w:b/>
                <w:bCs/>
                <w:sz w:val="16"/>
                <w:szCs w:val="16"/>
              </w:rPr>
              <w:t>Host Country/</w:t>
            </w:r>
            <w:r w:rsidRPr="002B7DE5">
              <w:rPr>
                <w:rFonts w:cs="Arial"/>
                <w:b/>
                <w:bCs/>
                <w:sz w:val="16"/>
                <w:szCs w:val="16"/>
              </w:rPr>
              <w:br/>
              <w:t>Recipients</w:t>
            </w:r>
          </w:p>
        </w:tc>
        <w:tc>
          <w:tcPr>
            <w:tcW w:w="4253" w:type="dxa"/>
            <w:tcBorders>
              <w:top w:val="single" w:sz="4" w:space="0" w:color="000000"/>
            </w:tcBorders>
            <w:vAlign w:val="center"/>
          </w:tcPr>
          <w:p w:rsidR="0063033D" w:rsidRPr="00774D44" w:rsidRDefault="0063033D" w:rsidP="008D1891">
            <w:pPr>
              <w:autoSpaceDE w:val="0"/>
              <w:autoSpaceDN w:val="0"/>
              <w:adjustRightInd w:val="0"/>
              <w:spacing w:before="120" w:after="120"/>
              <w:rPr>
                <w:rFonts w:cs="Arial"/>
                <w:color w:val="000000"/>
                <w:sz w:val="16"/>
                <w:szCs w:val="16"/>
              </w:rPr>
            </w:pPr>
            <w:r w:rsidRPr="002B7DE5">
              <w:rPr>
                <w:rFonts w:cs="Arial"/>
                <w:b/>
                <w:bCs/>
                <w:sz w:val="16"/>
                <w:szCs w:val="16"/>
              </w:rPr>
              <w:t>Purpose(s)/Description(s)</w:t>
            </w:r>
          </w:p>
        </w:tc>
      </w:tr>
      <w:tr w:rsidR="0063033D" w:rsidRPr="00774D44" w:rsidTr="008D1891">
        <w:trPr>
          <w:trHeight w:val="315"/>
        </w:trPr>
        <w:tc>
          <w:tcPr>
            <w:tcW w:w="1843" w:type="dxa"/>
          </w:tcPr>
          <w:p w:rsidR="0063033D" w:rsidRPr="00774D44" w:rsidRDefault="0063033D" w:rsidP="008D1891">
            <w:pPr>
              <w:autoSpaceDE w:val="0"/>
              <w:autoSpaceDN w:val="0"/>
              <w:adjustRightInd w:val="0"/>
              <w:spacing w:before="120" w:after="120"/>
              <w:rPr>
                <w:rFonts w:cs="Arial"/>
                <w:color w:val="000000"/>
                <w:sz w:val="16"/>
                <w:szCs w:val="16"/>
              </w:rPr>
            </w:pPr>
            <w:r w:rsidRPr="000607B9">
              <w:rPr>
                <w:rFonts w:cs="Arial"/>
                <w:color w:val="000000"/>
                <w:sz w:val="16"/>
                <w:szCs w:val="16"/>
              </w:rPr>
              <w:t>Preparation of a situation analysis and action plan proposal by an external expert consultant</w:t>
            </w:r>
            <w:r>
              <w:rPr>
                <w:rFonts w:cs="Arial"/>
                <w:color w:val="000000"/>
                <w:sz w:val="16"/>
                <w:szCs w:val="16"/>
              </w:rPr>
              <w:t>.</w:t>
            </w:r>
            <w:r w:rsidRPr="000607B9" w:rsidDel="000607B9">
              <w:rPr>
                <w:rFonts w:cs="Arial"/>
                <w:color w:val="000000"/>
                <w:sz w:val="16"/>
                <w:szCs w:val="16"/>
              </w:rPr>
              <w:t xml:space="preserve"> </w:t>
            </w:r>
            <w:r w:rsidRPr="004F2087">
              <w:rPr>
                <w:rFonts w:cs="Arial"/>
                <w:color w:val="000000"/>
                <w:sz w:val="16"/>
                <w:szCs w:val="16"/>
              </w:rPr>
              <w:tab/>
            </w:r>
          </w:p>
        </w:tc>
        <w:tc>
          <w:tcPr>
            <w:tcW w:w="1134"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January to December, 2014</w:t>
            </w:r>
          </w:p>
          <w:p w:rsidR="0063033D" w:rsidRPr="00774D44" w:rsidRDefault="0063033D" w:rsidP="008D1891">
            <w:pPr>
              <w:autoSpaceDE w:val="0"/>
              <w:autoSpaceDN w:val="0"/>
              <w:adjustRightInd w:val="0"/>
              <w:spacing w:before="120" w:after="120"/>
              <w:rPr>
                <w:rFonts w:cs="Arial"/>
                <w:color w:val="000000"/>
                <w:sz w:val="16"/>
                <w:szCs w:val="16"/>
              </w:rPr>
            </w:pPr>
          </w:p>
        </w:tc>
        <w:tc>
          <w:tcPr>
            <w:tcW w:w="2126" w:type="dxa"/>
          </w:tcPr>
          <w:p w:rsidR="0063033D" w:rsidRPr="00774D44" w:rsidRDefault="0063033D" w:rsidP="008D1891">
            <w:pPr>
              <w:autoSpaceDE w:val="0"/>
              <w:autoSpaceDN w:val="0"/>
              <w:adjustRightInd w:val="0"/>
              <w:spacing w:before="120" w:after="120"/>
              <w:rPr>
                <w:rFonts w:cs="Arial"/>
                <w:color w:val="000000"/>
                <w:sz w:val="16"/>
                <w:szCs w:val="16"/>
              </w:rPr>
            </w:pPr>
            <w:r w:rsidRPr="004F2087">
              <w:rPr>
                <w:rFonts w:cs="Arial"/>
                <w:color w:val="000000"/>
                <w:sz w:val="16"/>
                <w:szCs w:val="16"/>
              </w:rPr>
              <w:t xml:space="preserve">All </w:t>
            </w:r>
            <w:proofErr w:type="spellStart"/>
            <w:r w:rsidRPr="004F2087">
              <w:rPr>
                <w:rFonts w:cs="Arial"/>
                <w:color w:val="000000"/>
                <w:sz w:val="16"/>
                <w:szCs w:val="16"/>
              </w:rPr>
              <w:t>Ibero</w:t>
            </w:r>
            <w:proofErr w:type="spellEnd"/>
            <w:r>
              <w:rPr>
                <w:rFonts w:cs="Arial"/>
                <w:color w:val="000000"/>
                <w:sz w:val="16"/>
                <w:szCs w:val="16"/>
              </w:rPr>
              <w:t>-A</w:t>
            </w:r>
            <w:r w:rsidRPr="004F2087">
              <w:rPr>
                <w:rFonts w:cs="Arial"/>
                <w:color w:val="000000"/>
                <w:sz w:val="16"/>
                <w:szCs w:val="16"/>
              </w:rPr>
              <w:t>merican countries</w:t>
            </w:r>
          </w:p>
        </w:tc>
        <w:tc>
          <w:tcPr>
            <w:tcW w:w="4253"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To</w:t>
            </w:r>
            <w:r w:rsidRPr="00C472F3">
              <w:rPr>
                <w:rFonts w:cs="Arial"/>
                <w:color w:val="000000"/>
                <w:sz w:val="16"/>
                <w:szCs w:val="16"/>
              </w:rPr>
              <w:t xml:space="preserve"> design a roadmap on strengthening and development of national information services and an implementation schedule,</w:t>
            </w:r>
            <w:r>
              <w:rPr>
                <w:rFonts w:cs="Arial"/>
                <w:color w:val="000000"/>
                <w:sz w:val="16"/>
                <w:szCs w:val="16"/>
              </w:rPr>
              <w:t xml:space="preserve"> with a view to enhancing</w:t>
            </w:r>
            <w:r w:rsidRPr="00C472F3">
              <w:rPr>
                <w:rFonts w:cs="Arial"/>
                <w:color w:val="000000"/>
                <w:sz w:val="16"/>
                <w:szCs w:val="16"/>
              </w:rPr>
              <w:t xml:space="preserve"> national capacities.</w:t>
            </w:r>
          </w:p>
          <w:p w:rsidR="0063033D" w:rsidRPr="00C472F3" w:rsidRDefault="0063033D" w:rsidP="008D1891">
            <w:pPr>
              <w:autoSpaceDE w:val="0"/>
              <w:autoSpaceDN w:val="0"/>
              <w:adjustRightInd w:val="0"/>
              <w:spacing w:before="120" w:after="120"/>
              <w:rPr>
                <w:rFonts w:cs="Arial"/>
                <w:color w:val="000000"/>
                <w:sz w:val="16"/>
                <w:szCs w:val="16"/>
              </w:rPr>
            </w:pPr>
            <w:r w:rsidRPr="000607B9">
              <w:rPr>
                <w:rFonts w:cs="Arial"/>
                <w:color w:val="000000"/>
                <w:sz w:val="16"/>
                <w:szCs w:val="16"/>
              </w:rPr>
              <w:t>Horizontal cooperation among IP Offices to reduce asymmetries in relation to quality management in information technology.  The tasks of the consultant are:  (</w:t>
            </w:r>
            <w:proofErr w:type="spellStart"/>
            <w:r w:rsidRPr="000607B9">
              <w:rPr>
                <w:rFonts w:cs="Arial"/>
                <w:color w:val="000000"/>
                <w:sz w:val="16"/>
                <w:szCs w:val="16"/>
              </w:rPr>
              <w:t>i</w:t>
            </w:r>
            <w:proofErr w:type="spellEnd"/>
            <w:r w:rsidRPr="000607B9">
              <w:rPr>
                <w:rFonts w:cs="Arial"/>
                <w:color w:val="000000"/>
                <w:sz w:val="16"/>
                <w:szCs w:val="16"/>
              </w:rPr>
              <w:t>) to detect asymmetries between IP Offices as regards quality management and information technology</w:t>
            </w:r>
            <w:proofErr w:type="gramStart"/>
            <w:r w:rsidRPr="000607B9">
              <w:rPr>
                <w:rFonts w:cs="Arial"/>
                <w:color w:val="000000"/>
                <w:sz w:val="16"/>
                <w:szCs w:val="16"/>
              </w:rPr>
              <w:t>;  (</w:t>
            </w:r>
            <w:proofErr w:type="gramEnd"/>
            <w:r w:rsidRPr="000607B9">
              <w:rPr>
                <w:rFonts w:cs="Arial"/>
                <w:color w:val="000000"/>
                <w:sz w:val="16"/>
                <w:szCs w:val="16"/>
              </w:rPr>
              <w:t>ii) design a program of action aimed at eliminating asymmetries through training;  and (iii) coordinate the implementation of this project</w:t>
            </w:r>
            <w:r>
              <w:rPr>
                <w:rFonts w:cs="Arial"/>
                <w:color w:val="000000"/>
                <w:sz w:val="16"/>
                <w:szCs w:val="16"/>
              </w:rPr>
              <w:t>.</w:t>
            </w:r>
          </w:p>
        </w:tc>
      </w:tr>
      <w:tr w:rsidR="0063033D" w:rsidRPr="00774D44" w:rsidTr="008D1891">
        <w:trPr>
          <w:trHeight w:val="315"/>
        </w:trPr>
        <w:tc>
          <w:tcPr>
            <w:tcW w:w="1843" w:type="dxa"/>
          </w:tcPr>
          <w:p w:rsidR="0063033D" w:rsidRPr="00774D44" w:rsidRDefault="0063033D" w:rsidP="008D1891">
            <w:pPr>
              <w:autoSpaceDE w:val="0"/>
              <w:autoSpaceDN w:val="0"/>
              <w:adjustRightInd w:val="0"/>
              <w:spacing w:before="120" w:after="120"/>
              <w:rPr>
                <w:rFonts w:cs="Arial"/>
                <w:color w:val="000000"/>
                <w:sz w:val="16"/>
                <w:szCs w:val="16"/>
              </w:rPr>
            </w:pPr>
            <w:r w:rsidRPr="004F2087">
              <w:rPr>
                <w:rFonts w:cs="Arial"/>
                <w:color w:val="000000"/>
                <w:sz w:val="16"/>
                <w:szCs w:val="16"/>
              </w:rPr>
              <w:t xml:space="preserve">Encouraging cooperation between Latin American IPOs, </w:t>
            </w:r>
            <w:r>
              <w:rPr>
                <w:rFonts w:cs="Arial"/>
                <w:color w:val="000000"/>
                <w:sz w:val="16"/>
                <w:szCs w:val="16"/>
              </w:rPr>
              <w:t>for the creation of</w:t>
            </w:r>
            <w:r w:rsidRPr="004F2087">
              <w:rPr>
                <w:rFonts w:cs="Arial"/>
                <w:color w:val="000000"/>
                <w:sz w:val="16"/>
                <w:szCs w:val="16"/>
              </w:rPr>
              <w:t xml:space="preserve"> a Platform </w:t>
            </w:r>
            <w:r>
              <w:rPr>
                <w:rFonts w:cs="Arial"/>
                <w:color w:val="000000"/>
                <w:sz w:val="16"/>
                <w:szCs w:val="16"/>
              </w:rPr>
              <w:t>for</w:t>
            </w:r>
            <w:r w:rsidRPr="004F2087">
              <w:rPr>
                <w:rFonts w:cs="Arial"/>
                <w:color w:val="000000"/>
                <w:sz w:val="16"/>
                <w:szCs w:val="16"/>
              </w:rPr>
              <w:t xml:space="preserve"> member countries to facilitate the exchange of experiences and good practices between </w:t>
            </w:r>
            <w:r>
              <w:rPr>
                <w:rFonts w:cs="Arial"/>
                <w:color w:val="000000"/>
                <w:sz w:val="16"/>
                <w:szCs w:val="16"/>
              </w:rPr>
              <w:t>O</w:t>
            </w:r>
            <w:r w:rsidRPr="004F2087">
              <w:rPr>
                <w:rFonts w:cs="Arial"/>
                <w:color w:val="000000"/>
                <w:sz w:val="16"/>
                <w:szCs w:val="16"/>
              </w:rPr>
              <w:t>ffices.</w:t>
            </w:r>
          </w:p>
        </w:tc>
        <w:tc>
          <w:tcPr>
            <w:tcW w:w="1134"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January to December, 2014</w:t>
            </w:r>
          </w:p>
          <w:p w:rsidR="0063033D" w:rsidRPr="00774D44" w:rsidRDefault="0063033D" w:rsidP="008D1891">
            <w:pPr>
              <w:autoSpaceDE w:val="0"/>
              <w:autoSpaceDN w:val="0"/>
              <w:adjustRightInd w:val="0"/>
              <w:spacing w:before="120" w:after="120"/>
              <w:rPr>
                <w:rFonts w:cs="Arial"/>
                <w:color w:val="000000"/>
                <w:sz w:val="16"/>
                <w:szCs w:val="16"/>
              </w:rPr>
            </w:pPr>
          </w:p>
        </w:tc>
        <w:tc>
          <w:tcPr>
            <w:tcW w:w="2126" w:type="dxa"/>
          </w:tcPr>
          <w:p w:rsidR="0063033D" w:rsidRPr="00774D44" w:rsidRDefault="0063033D" w:rsidP="008D1891">
            <w:pPr>
              <w:autoSpaceDE w:val="0"/>
              <w:autoSpaceDN w:val="0"/>
              <w:adjustRightInd w:val="0"/>
              <w:spacing w:before="120" w:after="120"/>
              <w:rPr>
                <w:rFonts w:cs="Arial"/>
                <w:color w:val="000000"/>
                <w:sz w:val="16"/>
                <w:szCs w:val="16"/>
              </w:rPr>
            </w:pPr>
            <w:r w:rsidRPr="004F2087">
              <w:rPr>
                <w:rFonts w:cs="Arial"/>
                <w:color w:val="000000"/>
                <w:sz w:val="16"/>
                <w:szCs w:val="16"/>
              </w:rPr>
              <w:t xml:space="preserve">All </w:t>
            </w:r>
            <w:proofErr w:type="spellStart"/>
            <w:r w:rsidRPr="004F2087">
              <w:rPr>
                <w:rFonts w:cs="Arial"/>
                <w:color w:val="000000"/>
                <w:sz w:val="16"/>
                <w:szCs w:val="16"/>
              </w:rPr>
              <w:t>Ibero</w:t>
            </w:r>
            <w:proofErr w:type="spellEnd"/>
            <w:r>
              <w:rPr>
                <w:rFonts w:cs="Arial"/>
                <w:color w:val="000000"/>
                <w:sz w:val="16"/>
                <w:szCs w:val="16"/>
              </w:rPr>
              <w:t>-A</w:t>
            </w:r>
            <w:r w:rsidRPr="004F2087">
              <w:rPr>
                <w:rFonts w:cs="Arial"/>
                <w:color w:val="000000"/>
                <w:sz w:val="16"/>
                <w:szCs w:val="16"/>
              </w:rPr>
              <w:t>merican countries</w:t>
            </w:r>
          </w:p>
        </w:tc>
        <w:tc>
          <w:tcPr>
            <w:tcW w:w="4253" w:type="dxa"/>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To promote</w:t>
            </w:r>
            <w:r w:rsidRPr="00C472F3">
              <w:rPr>
                <w:rFonts w:cs="Arial"/>
                <w:color w:val="000000"/>
                <w:sz w:val="16"/>
                <w:szCs w:val="16"/>
              </w:rPr>
              <w:t xml:space="preserve"> the virtual exchange of best practices </w:t>
            </w:r>
            <w:r>
              <w:rPr>
                <w:rFonts w:cs="Arial"/>
                <w:color w:val="000000"/>
                <w:sz w:val="16"/>
                <w:szCs w:val="16"/>
              </w:rPr>
              <w:t xml:space="preserve">between </w:t>
            </w:r>
            <w:r w:rsidRPr="00C472F3">
              <w:rPr>
                <w:rFonts w:cs="Arial"/>
                <w:color w:val="000000"/>
                <w:sz w:val="16"/>
                <w:szCs w:val="16"/>
              </w:rPr>
              <w:t>IPOs on issues such as</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w:t>
            </w:r>
            <w:r w:rsidRPr="00C472F3">
              <w:rPr>
                <w:rFonts w:cs="Arial"/>
                <w:color w:val="000000"/>
                <w:sz w:val="16"/>
                <w:szCs w:val="16"/>
              </w:rPr>
              <w:t xml:space="preserve"> quality management; </w:t>
            </w:r>
            <w:r>
              <w:rPr>
                <w:rFonts w:cs="Arial"/>
                <w:color w:val="000000"/>
                <w:sz w:val="16"/>
                <w:szCs w:val="16"/>
              </w:rPr>
              <w:t xml:space="preserve">(ii) </w:t>
            </w:r>
            <w:r w:rsidRPr="00C472F3">
              <w:rPr>
                <w:rFonts w:cs="Arial"/>
                <w:color w:val="000000"/>
                <w:sz w:val="16"/>
                <w:szCs w:val="16"/>
              </w:rPr>
              <w:t>o</w:t>
            </w:r>
            <w:r>
              <w:rPr>
                <w:rFonts w:cs="Arial"/>
                <w:color w:val="000000"/>
                <w:sz w:val="16"/>
                <w:szCs w:val="16"/>
              </w:rPr>
              <w:t>rganization of online</w:t>
            </w:r>
            <w:r w:rsidRPr="00C472F3">
              <w:rPr>
                <w:rFonts w:cs="Arial"/>
                <w:color w:val="000000"/>
                <w:sz w:val="16"/>
                <w:szCs w:val="16"/>
              </w:rPr>
              <w:t xml:space="preserve"> registration services and information; </w:t>
            </w:r>
            <w:r>
              <w:rPr>
                <w:rFonts w:cs="Arial"/>
                <w:color w:val="000000"/>
                <w:sz w:val="16"/>
                <w:szCs w:val="16"/>
              </w:rPr>
              <w:t xml:space="preserve">(iii) </w:t>
            </w:r>
            <w:r w:rsidRPr="00C472F3">
              <w:rPr>
                <w:rFonts w:cs="Arial"/>
                <w:color w:val="000000"/>
                <w:sz w:val="16"/>
                <w:szCs w:val="16"/>
              </w:rPr>
              <w:t xml:space="preserve">the provision of databases; </w:t>
            </w:r>
            <w:r>
              <w:rPr>
                <w:rFonts w:cs="Arial"/>
                <w:color w:val="000000"/>
                <w:sz w:val="16"/>
                <w:szCs w:val="16"/>
              </w:rPr>
              <w:t xml:space="preserve">(iv) </w:t>
            </w:r>
            <w:r w:rsidRPr="00C472F3">
              <w:rPr>
                <w:rFonts w:cs="Arial"/>
                <w:color w:val="000000"/>
                <w:sz w:val="16"/>
                <w:szCs w:val="16"/>
              </w:rPr>
              <w:t xml:space="preserve">examination of patents, designs and trademarks; </w:t>
            </w:r>
            <w:r>
              <w:rPr>
                <w:rFonts w:cs="Arial"/>
                <w:color w:val="000000"/>
                <w:sz w:val="16"/>
                <w:szCs w:val="16"/>
              </w:rPr>
              <w:t xml:space="preserve">(v) </w:t>
            </w:r>
            <w:r w:rsidRPr="00C472F3">
              <w:rPr>
                <w:rFonts w:cs="Arial"/>
                <w:color w:val="000000"/>
                <w:sz w:val="16"/>
                <w:szCs w:val="16"/>
              </w:rPr>
              <w:t xml:space="preserve">service organization of technological and commercial information; </w:t>
            </w:r>
            <w:r>
              <w:rPr>
                <w:rFonts w:cs="Arial"/>
                <w:color w:val="000000"/>
                <w:sz w:val="16"/>
                <w:szCs w:val="16"/>
              </w:rPr>
              <w:t xml:space="preserve">(vi) </w:t>
            </w:r>
            <w:r w:rsidRPr="00C472F3">
              <w:rPr>
                <w:rFonts w:cs="Arial"/>
                <w:color w:val="000000"/>
                <w:sz w:val="16"/>
                <w:szCs w:val="16"/>
              </w:rPr>
              <w:t>organi</w:t>
            </w:r>
            <w:r>
              <w:rPr>
                <w:rFonts w:cs="Arial"/>
                <w:color w:val="000000"/>
                <w:sz w:val="16"/>
                <w:szCs w:val="16"/>
              </w:rPr>
              <w:t>zation of</w:t>
            </w:r>
            <w:r w:rsidRPr="00C472F3">
              <w:rPr>
                <w:rFonts w:cs="Arial"/>
                <w:color w:val="000000"/>
                <w:sz w:val="16"/>
                <w:szCs w:val="16"/>
              </w:rPr>
              <w:t xml:space="preserve"> training programs; </w:t>
            </w:r>
            <w:r>
              <w:rPr>
                <w:rFonts w:cs="Arial"/>
                <w:color w:val="000000"/>
                <w:sz w:val="16"/>
                <w:szCs w:val="16"/>
              </w:rPr>
              <w:t xml:space="preserve">and (vii) </w:t>
            </w:r>
            <w:r w:rsidRPr="00C472F3">
              <w:rPr>
                <w:rFonts w:cs="Arial"/>
                <w:color w:val="000000"/>
                <w:sz w:val="16"/>
                <w:szCs w:val="16"/>
              </w:rPr>
              <w:t>the provision of mediation or arbitration</w:t>
            </w:r>
            <w:r>
              <w:rPr>
                <w:rFonts w:cs="Arial"/>
                <w:color w:val="000000"/>
                <w:sz w:val="16"/>
                <w:szCs w:val="16"/>
              </w:rPr>
              <w:t>.</w:t>
            </w:r>
          </w:p>
        </w:tc>
      </w:tr>
    </w:tbl>
    <w:p w:rsidR="0063033D" w:rsidRDefault="0063033D" w:rsidP="008D1891">
      <w:pPr>
        <w:rPr>
          <w:rFonts w:cs="Arial"/>
          <w:b/>
          <w:sz w:val="16"/>
          <w:szCs w:val="16"/>
        </w:rPr>
      </w:pPr>
    </w:p>
    <w:p w:rsidR="0063033D" w:rsidRPr="001A2E86" w:rsidRDefault="0063033D" w:rsidP="008D1891">
      <w:pPr>
        <w:rPr>
          <w:rFonts w:cs="Arial"/>
          <w:b/>
          <w:sz w:val="16"/>
          <w:szCs w:val="16"/>
        </w:rPr>
      </w:pPr>
    </w:p>
    <w:p w:rsidR="0063033D" w:rsidRPr="00D60E0A" w:rsidRDefault="0063033D" w:rsidP="008D1891">
      <w:pPr>
        <w:rPr>
          <w:rFonts w:cs="Arial"/>
          <w:b/>
          <w:sz w:val="18"/>
          <w:szCs w:val="18"/>
        </w:rPr>
      </w:pPr>
      <w:r w:rsidRPr="00D60E0A">
        <w:rPr>
          <w:rFonts w:cs="Arial"/>
          <w:b/>
          <w:sz w:val="18"/>
          <w:szCs w:val="18"/>
        </w:rPr>
        <w:t xml:space="preserve">IBERO –AMERICAN PROGRAM FOR INDUSTRIAL PROPERTY </w:t>
      </w:r>
      <w:r w:rsidRPr="00D60E0A">
        <w:rPr>
          <w:rFonts w:cs="Arial"/>
          <w:b/>
          <w:sz w:val="18"/>
          <w:szCs w:val="18"/>
        </w:rPr>
        <w:br/>
        <w:t xml:space="preserve">Donor </w:t>
      </w:r>
      <w:r w:rsidRPr="00D60E0A">
        <w:rPr>
          <w:rFonts w:cs="Arial"/>
          <w:b/>
          <w:bCs/>
          <w:sz w:val="18"/>
          <w:szCs w:val="18"/>
        </w:rPr>
        <w:t>Contributions and Expenditure in 201</w:t>
      </w:r>
      <w:r>
        <w:rPr>
          <w:rFonts w:cs="Arial"/>
          <w:b/>
          <w:bCs/>
          <w:sz w:val="18"/>
          <w:szCs w:val="18"/>
        </w:rPr>
        <w:t>4</w:t>
      </w:r>
    </w:p>
    <w:p w:rsidR="0063033D" w:rsidRPr="00E67645" w:rsidRDefault="0063033D" w:rsidP="008D1891"/>
    <w:tbl>
      <w:tblPr>
        <w:tblW w:w="9087" w:type="dxa"/>
        <w:jc w:val="center"/>
        <w:tblInd w:w="93" w:type="dxa"/>
        <w:tblLook w:val="04A0" w:firstRow="1" w:lastRow="0" w:firstColumn="1" w:lastColumn="0" w:noHBand="0" w:noVBand="1"/>
      </w:tblPr>
      <w:tblGrid>
        <w:gridCol w:w="1858"/>
        <w:gridCol w:w="1559"/>
        <w:gridCol w:w="1843"/>
        <w:gridCol w:w="1843"/>
        <w:gridCol w:w="1984"/>
      </w:tblGrid>
      <w:tr w:rsidR="0063033D" w:rsidTr="008D1891">
        <w:trPr>
          <w:trHeight w:val="508"/>
          <w:jc w:val="center"/>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2013</w:t>
            </w:r>
          </w:p>
        </w:tc>
        <w:tc>
          <w:tcPr>
            <w:tcW w:w="1559" w:type="dxa"/>
            <w:tcBorders>
              <w:top w:val="single" w:sz="4" w:space="0" w:color="auto"/>
              <w:left w:val="nil"/>
              <w:bottom w:val="nil"/>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Income 2014</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Expenditure 2014</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Reimbursements</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2014</w:t>
            </w:r>
          </w:p>
        </w:tc>
      </w:tr>
      <w:tr w:rsidR="0063033D" w:rsidTr="008D1891">
        <w:trPr>
          <w:trHeight w:val="416"/>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108,828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167,212</w:t>
            </w:r>
          </w:p>
        </w:tc>
        <w:tc>
          <w:tcPr>
            <w:tcW w:w="1843"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43,079</w:t>
            </w:r>
          </w:p>
        </w:tc>
        <w:tc>
          <w:tcPr>
            <w:tcW w:w="1843"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w:t>
            </w:r>
          </w:p>
        </w:tc>
        <w:tc>
          <w:tcPr>
            <w:tcW w:w="1984"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232,961</w:t>
            </w:r>
          </w:p>
        </w:tc>
      </w:tr>
    </w:tbl>
    <w:p w:rsidR="0063033D" w:rsidRDefault="0063033D" w:rsidP="008D1891">
      <w:pPr>
        <w:rPr>
          <w:rFonts w:cs="Arial"/>
          <w:b/>
          <w:sz w:val="18"/>
          <w:szCs w:val="18"/>
        </w:rPr>
      </w:pPr>
    </w:p>
    <w:p w:rsidR="0063033D" w:rsidRDefault="0063033D" w:rsidP="008D1891">
      <w:pPr>
        <w:keepNext/>
        <w:keepLines/>
        <w:rPr>
          <w:rFonts w:cs="Arial"/>
          <w:b/>
          <w:szCs w:val="20"/>
        </w:rPr>
      </w:pPr>
      <w:r>
        <w:rPr>
          <w:rFonts w:cs="Arial"/>
          <w:b/>
          <w:szCs w:val="20"/>
        </w:rPr>
        <w:br w:type="page"/>
      </w:r>
      <w:r>
        <w:rPr>
          <w:rFonts w:cs="Arial"/>
          <w:b/>
          <w:szCs w:val="20"/>
        </w:rPr>
        <w:lastRenderedPageBreak/>
        <w:t>ITALY</w:t>
      </w:r>
    </w:p>
    <w:p w:rsidR="0063033D" w:rsidRDefault="0063033D" w:rsidP="008D1891">
      <w:pPr>
        <w:keepNext/>
        <w:keepLines/>
        <w:rPr>
          <w:rFonts w:cs="Arial"/>
          <w:b/>
          <w:szCs w:val="20"/>
        </w:rPr>
      </w:pPr>
    </w:p>
    <w:tbl>
      <w:tblPr>
        <w:tblW w:w="9528"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276"/>
        <w:gridCol w:w="1984"/>
        <w:gridCol w:w="4395"/>
      </w:tblGrid>
      <w:tr w:rsidR="0063033D" w:rsidRPr="00CB548E" w:rsidTr="008D1891">
        <w:trPr>
          <w:cantSplit/>
        </w:trPr>
        <w:tc>
          <w:tcPr>
            <w:tcW w:w="9528" w:type="dxa"/>
            <w:gridSpan w:val="4"/>
            <w:tcBorders>
              <w:top w:val="single" w:sz="4" w:space="0" w:color="000000"/>
              <w:bottom w:val="single" w:sz="4" w:space="0" w:color="000000"/>
            </w:tcBorders>
            <w:shd w:val="clear" w:color="auto" w:fill="CCFFFF"/>
            <w:vAlign w:val="center"/>
          </w:tcPr>
          <w:p w:rsidR="0063033D" w:rsidRPr="00B5106D" w:rsidRDefault="0063033D" w:rsidP="008D1891">
            <w:pPr>
              <w:keepNext/>
              <w:keepLines/>
              <w:tabs>
                <w:tab w:val="left" w:pos="1740"/>
              </w:tabs>
              <w:spacing w:before="120" w:after="120"/>
              <w:ind w:left="1740" w:hanging="1740"/>
              <w:rPr>
                <w:rFonts w:cs="Arial"/>
                <w:b/>
                <w:bCs/>
                <w:sz w:val="16"/>
                <w:szCs w:val="16"/>
              </w:rPr>
            </w:pPr>
            <w:r w:rsidRPr="00B5106D">
              <w:rPr>
                <w:rFonts w:cs="Arial"/>
                <w:b/>
                <w:bCs/>
                <w:color w:val="000000"/>
                <w:sz w:val="16"/>
                <w:szCs w:val="16"/>
              </w:rPr>
              <w:t>RESULT</w:t>
            </w:r>
            <w:r w:rsidRPr="00B5106D">
              <w:rPr>
                <w:rFonts w:cs="Arial"/>
                <w:b/>
                <w:bCs/>
                <w:sz w:val="16"/>
                <w:szCs w:val="16"/>
              </w:rPr>
              <w:t>:</w:t>
            </w:r>
            <w:r w:rsidRPr="00B5106D">
              <w:rPr>
                <w:rFonts w:cs="Arial"/>
                <w:b/>
                <w:bCs/>
                <w:sz w:val="16"/>
                <w:szCs w:val="16"/>
              </w:rPr>
              <w:tab/>
            </w:r>
            <w:r w:rsidRPr="00C81CEB">
              <w:rPr>
                <w:rFonts w:cs="Arial"/>
                <w:bCs/>
                <w:sz w:val="16"/>
                <w:szCs w:val="16"/>
              </w:rPr>
              <w:t>IV.2. Enhanced access to, and use of, IP information by IP institutions and the public to promote innovation and creativity</w:t>
            </w:r>
          </w:p>
        </w:tc>
      </w:tr>
      <w:tr w:rsidR="0063033D" w:rsidRPr="00CB548E" w:rsidTr="008D1891">
        <w:trPr>
          <w:cantSplit/>
        </w:trPr>
        <w:tc>
          <w:tcPr>
            <w:tcW w:w="1873" w:type="dxa"/>
            <w:tcBorders>
              <w:top w:val="single" w:sz="4" w:space="0" w:color="000000"/>
            </w:tcBorders>
            <w:vAlign w:val="center"/>
          </w:tcPr>
          <w:p w:rsidR="0063033D" w:rsidRPr="00B5106D" w:rsidRDefault="0063033D" w:rsidP="008D1891">
            <w:pPr>
              <w:keepNext/>
              <w:keepLines/>
              <w:rPr>
                <w:rFonts w:cs="Arial"/>
                <w:b/>
                <w:bCs/>
                <w:sz w:val="16"/>
                <w:szCs w:val="16"/>
              </w:rPr>
            </w:pPr>
            <w:r w:rsidRPr="00B5106D">
              <w:rPr>
                <w:rFonts w:cs="Arial"/>
                <w:b/>
                <w:bCs/>
                <w:sz w:val="16"/>
                <w:szCs w:val="16"/>
              </w:rPr>
              <w:t>Activity</w:t>
            </w:r>
          </w:p>
        </w:tc>
        <w:tc>
          <w:tcPr>
            <w:tcW w:w="1276" w:type="dxa"/>
            <w:tcBorders>
              <w:top w:val="single" w:sz="4" w:space="0" w:color="000000"/>
            </w:tcBorders>
            <w:tcMar>
              <w:top w:w="110" w:type="dxa"/>
            </w:tcMar>
            <w:vAlign w:val="center"/>
          </w:tcPr>
          <w:p w:rsidR="0063033D" w:rsidRPr="00B5106D" w:rsidRDefault="0063033D" w:rsidP="008D1891">
            <w:pPr>
              <w:keepNext/>
              <w:keepLines/>
              <w:rPr>
                <w:rFonts w:cs="Arial"/>
                <w:sz w:val="16"/>
                <w:szCs w:val="16"/>
              </w:rPr>
            </w:pPr>
            <w:r w:rsidRPr="00B5106D">
              <w:rPr>
                <w:rFonts w:cs="Arial"/>
                <w:b/>
                <w:bCs/>
                <w:sz w:val="16"/>
                <w:szCs w:val="16"/>
              </w:rPr>
              <w:t>Date</w:t>
            </w:r>
          </w:p>
        </w:tc>
        <w:tc>
          <w:tcPr>
            <w:tcW w:w="1984" w:type="dxa"/>
            <w:tcBorders>
              <w:top w:val="single" w:sz="4" w:space="0" w:color="000000"/>
            </w:tcBorders>
            <w:tcMar>
              <w:top w:w="110" w:type="dxa"/>
            </w:tcMar>
            <w:vAlign w:val="center"/>
          </w:tcPr>
          <w:p w:rsidR="0063033D" w:rsidRPr="00B5106D" w:rsidRDefault="0063033D" w:rsidP="008D1891">
            <w:pPr>
              <w:keepNext/>
              <w:keepLines/>
              <w:rPr>
                <w:rFonts w:cs="Arial"/>
                <w:sz w:val="16"/>
                <w:szCs w:val="16"/>
              </w:rPr>
            </w:pPr>
            <w:r w:rsidRPr="00B5106D">
              <w:rPr>
                <w:rFonts w:cs="Arial"/>
                <w:b/>
                <w:bCs/>
                <w:sz w:val="16"/>
                <w:szCs w:val="16"/>
              </w:rPr>
              <w:t>Host Country/</w:t>
            </w:r>
            <w:r w:rsidRPr="00B5106D">
              <w:rPr>
                <w:rFonts w:cs="Arial"/>
                <w:b/>
                <w:bCs/>
                <w:sz w:val="16"/>
                <w:szCs w:val="16"/>
              </w:rPr>
              <w:br/>
              <w:t>Recipients</w:t>
            </w:r>
          </w:p>
        </w:tc>
        <w:tc>
          <w:tcPr>
            <w:tcW w:w="4395" w:type="dxa"/>
            <w:tcBorders>
              <w:top w:val="single" w:sz="4" w:space="0" w:color="000000"/>
            </w:tcBorders>
            <w:shd w:val="clear" w:color="auto" w:fill="FFFFFF"/>
            <w:tcMar>
              <w:top w:w="110" w:type="dxa"/>
            </w:tcMar>
            <w:vAlign w:val="center"/>
          </w:tcPr>
          <w:p w:rsidR="0063033D" w:rsidRPr="00B5106D" w:rsidRDefault="0063033D" w:rsidP="008D1891">
            <w:pPr>
              <w:keepNext/>
              <w:keepLines/>
              <w:rPr>
                <w:rFonts w:cs="Arial"/>
                <w:sz w:val="16"/>
                <w:szCs w:val="16"/>
              </w:rPr>
            </w:pPr>
            <w:r w:rsidRPr="00B5106D">
              <w:rPr>
                <w:rFonts w:cs="Arial"/>
                <w:b/>
                <w:bCs/>
                <w:sz w:val="16"/>
                <w:szCs w:val="16"/>
              </w:rPr>
              <w:t>Purpose(s)/Description(s)</w:t>
            </w:r>
          </w:p>
        </w:tc>
      </w:tr>
      <w:tr w:rsidR="0063033D" w:rsidRPr="005263A7" w:rsidTr="008D1891">
        <w:trPr>
          <w:cantSplit/>
        </w:trPr>
        <w:tc>
          <w:tcPr>
            <w:tcW w:w="1873" w:type="dxa"/>
          </w:tcPr>
          <w:p w:rsidR="0063033D" w:rsidRPr="00B5106D" w:rsidRDefault="0063033D" w:rsidP="008D1891">
            <w:pPr>
              <w:keepNext/>
              <w:keepLines/>
              <w:autoSpaceDE w:val="0"/>
              <w:autoSpaceDN w:val="0"/>
              <w:adjustRightInd w:val="0"/>
              <w:spacing w:before="120" w:after="120"/>
              <w:rPr>
                <w:rFonts w:cs="Arial"/>
                <w:color w:val="000000"/>
                <w:sz w:val="16"/>
                <w:szCs w:val="16"/>
              </w:rPr>
            </w:pPr>
            <w:r w:rsidRPr="00694EED">
              <w:rPr>
                <w:rFonts w:cs="Arial"/>
                <w:color w:val="000000"/>
                <w:sz w:val="16"/>
                <w:szCs w:val="16"/>
              </w:rPr>
              <w:t>Creation of an online national patent database at the Italian Patent and Trademark Office (DGLC-UIBM)</w:t>
            </w:r>
          </w:p>
        </w:tc>
        <w:tc>
          <w:tcPr>
            <w:tcW w:w="1276" w:type="dxa"/>
          </w:tcPr>
          <w:p w:rsidR="0063033D" w:rsidRPr="00694EED" w:rsidRDefault="0063033D" w:rsidP="008D1891">
            <w:pPr>
              <w:keepNext/>
              <w:keepLines/>
              <w:autoSpaceDE w:val="0"/>
              <w:autoSpaceDN w:val="0"/>
              <w:adjustRightInd w:val="0"/>
              <w:spacing w:before="120" w:after="120"/>
              <w:rPr>
                <w:rFonts w:cs="Arial"/>
                <w:color w:val="000000"/>
                <w:sz w:val="16"/>
                <w:szCs w:val="16"/>
              </w:rPr>
            </w:pPr>
            <w:r w:rsidRPr="00694EED">
              <w:rPr>
                <w:rFonts w:cs="Arial"/>
                <w:color w:val="000000"/>
                <w:sz w:val="16"/>
                <w:szCs w:val="16"/>
              </w:rPr>
              <w:t xml:space="preserve">June 2013 </w:t>
            </w:r>
            <w:r>
              <w:rPr>
                <w:rFonts w:cs="Arial"/>
                <w:color w:val="000000"/>
                <w:sz w:val="16"/>
                <w:szCs w:val="16"/>
              </w:rPr>
              <w:t>to</w:t>
            </w:r>
            <w:r w:rsidRPr="00694EED">
              <w:rPr>
                <w:rFonts w:cs="Arial"/>
                <w:color w:val="000000"/>
                <w:sz w:val="16"/>
                <w:szCs w:val="16"/>
              </w:rPr>
              <w:t xml:space="preserve"> Dec</w:t>
            </w:r>
            <w:r>
              <w:rPr>
                <w:rFonts w:cs="Arial"/>
                <w:color w:val="000000"/>
                <w:sz w:val="16"/>
                <w:szCs w:val="16"/>
              </w:rPr>
              <w:t>ember</w:t>
            </w:r>
            <w:r w:rsidRPr="00694EED">
              <w:rPr>
                <w:rFonts w:cs="Arial"/>
                <w:color w:val="000000"/>
                <w:sz w:val="16"/>
                <w:szCs w:val="16"/>
              </w:rPr>
              <w:t xml:space="preserve"> 2014</w:t>
            </w:r>
          </w:p>
          <w:p w:rsidR="0063033D" w:rsidRPr="00B5106D" w:rsidRDefault="0063033D" w:rsidP="008D1891">
            <w:pPr>
              <w:keepNext/>
              <w:keepLines/>
              <w:autoSpaceDE w:val="0"/>
              <w:autoSpaceDN w:val="0"/>
              <w:adjustRightInd w:val="0"/>
              <w:spacing w:before="120" w:after="120"/>
              <w:rPr>
                <w:rFonts w:cs="Arial"/>
                <w:color w:val="000000"/>
                <w:sz w:val="16"/>
                <w:szCs w:val="16"/>
              </w:rPr>
            </w:pPr>
            <w:r>
              <w:rPr>
                <w:rFonts w:cs="Arial"/>
                <w:color w:val="000000"/>
                <w:sz w:val="16"/>
                <w:szCs w:val="16"/>
              </w:rPr>
              <w:t>(O</w:t>
            </w:r>
            <w:r w:rsidRPr="00A55397">
              <w:rPr>
                <w:rFonts w:cs="Arial"/>
                <w:color w:val="000000"/>
                <w:sz w:val="16"/>
                <w:szCs w:val="16"/>
              </w:rPr>
              <w:t>ngoing</w:t>
            </w:r>
            <w:r>
              <w:rPr>
                <w:rFonts w:cs="Arial"/>
                <w:color w:val="000000"/>
                <w:sz w:val="16"/>
                <w:szCs w:val="16"/>
              </w:rPr>
              <w:t>)</w:t>
            </w:r>
          </w:p>
        </w:tc>
        <w:tc>
          <w:tcPr>
            <w:tcW w:w="1984" w:type="dxa"/>
          </w:tcPr>
          <w:p w:rsidR="0063033D" w:rsidRPr="00B5106D" w:rsidRDefault="0063033D" w:rsidP="008D1891">
            <w:pPr>
              <w:keepNext/>
              <w:keepLines/>
              <w:autoSpaceDE w:val="0"/>
              <w:autoSpaceDN w:val="0"/>
              <w:adjustRightInd w:val="0"/>
              <w:spacing w:before="120" w:after="120"/>
              <w:rPr>
                <w:rFonts w:cs="Arial"/>
                <w:color w:val="000000"/>
                <w:sz w:val="16"/>
                <w:szCs w:val="16"/>
              </w:rPr>
            </w:pPr>
            <w:r w:rsidRPr="00694EED">
              <w:rPr>
                <w:rFonts w:cs="Arial"/>
                <w:color w:val="000000"/>
                <w:sz w:val="16"/>
                <w:szCs w:val="16"/>
              </w:rPr>
              <w:t>Italy</w:t>
            </w:r>
          </w:p>
        </w:tc>
        <w:tc>
          <w:tcPr>
            <w:tcW w:w="4395" w:type="dxa"/>
          </w:tcPr>
          <w:p w:rsidR="0063033D" w:rsidRPr="00B5106D" w:rsidRDefault="0063033D" w:rsidP="008D1891">
            <w:pPr>
              <w:keepNext/>
              <w:keepLines/>
              <w:autoSpaceDE w:val="0"/>
              <w:autoSpaceDN w:val="0"/>
              <w:adjustRightInd w:val="0"/>
              <w:spacing w:before="120" w:after="120"/>
              <w:rPr>
                <w:rFonts w:cs="Arial"/>
                <w:color w:val="000000"/>
                <w:sz w:val="16"/>
                <w:szCs w:val="16"/>
                <w:lang w:val="it-IT"/>
              </w:rPr>
            </w:pPr>
            <w:r>
              <w:rPr>
                <w:rFonts w:cs="Arial"/>
                <w:color w:val="000000"/>
                <w:sz w:val="16"/>
                <w:szCs w:val="16"/>
                <w:lang w:val="it-IT"/>
              </w:rPr>
              <w:t>To:  (i) facilitate</w:t>
            </w:r>
            <w:r w:rsidRPr="00694EED">
              <w:rPr>
                <w:rFonts w:cs="Arial"/>
                <w:color w:val="000000"/>
                <w:sz w:val="16"/>
                <w:szCs w:val="16"/>
                <w:lang w:val="it-IT"/>
              </w:rPr>
              <w:t xml:space="preserve"> Italy’s participation in existing multilateral arrangements for sharing patent information and documents</w:t>
            </w:r>
            <w:r>
              <w:rPr>
                <w:rFonts w:cs="Arial"/>
                <w:color w:val="000000"/>
                <w:sz w:val="16"/>
                <w:szCs w:val="16"/>
                <w:lang w:val="it-IT"/>
              </w:rPr>
              <w:t>; (ii)</w:t>
            </w:r>
            <w:r w:rsidRPr="00694EED">
              <w:rPr>
                <w:rFonts w:cs="Arial"/>
                <w:color w:val="000000"/>
                <w:sz w:val="16"/>
                <w:szCs w:val="16"/>
                <w:lang w:val="it-IT"/>
              </w:rPr>
              <w:t xml:space="preserve"> set the basis for the participation of Italy in PATENTSCOPE and in other global or international patent databases (</w:t>
            </w:r>
            <w:r>
              <w:rPr>
                <w:rFonts w:cs="Arial"/>
                <w:color w:val="000000"/>
                <w:sz w:val="16"/>
                <w:szCs w:val="16"/>
                <w:lang w:val="it-IT"/>
              </w:rPr>
              <w:t xml:space="preserve">e.g. </w:t>
            </w:r>
            <w:r w:rsidRPr="00694EED">
              <w:rPr>
                <w:rFonts w:cs="Arial"/>
                <w:color w:val="000000"/>
                <w:sz w:val="16"/>
                <w:szCs w:val="16"/>
                <w:lang w:val="it-IT"/>
              </w:rPr>
              <w:t>Espacenet)</w:t>
            </w:r>
            <w:r>
              <w:rPr>
                <w:rFonts w:cs="Arial"/>
                <w:color w:val="000000"/>
                <w:sz w:val="16"/>
                <w:szCs w:val="16"/>
                <w:lang w:val="it-IT"/>
              </w:rPr>
              <w:t>; and (iii)</w:t>
            </w:r>
            <w:r w:rsidRPr="00694EED">
              <w:rPr>
                <w:rFonts w:cs="Arial"/>
                <w:color w:val="000000"/>
                <w:sz w:val="16"/>
                <w:szCs w:val="16"/>
                <w:lang w:val="it-IT"/>
              </w:rPr>
              <w:t xml:space="preserve"> contribute to increased dissemination of digitized patent collections</w:t>
            </w:r>
            <w:r>
              <w:rPr>
                <w:rFonts w:cs="Arial"/>
                <w:color w:val="000000"/>
                <w:sz w:val="16"/>
                <w:szCs w:val="16"/>
                <w:lang w:val="it-IT"/>
              </w:rPr>
              <w:t xml:space="preserve"> </w:t>
            </w:r>
            <w:r w:rsidRPr="00694EED">
              <w:rPr>
                <w:rFonts w:cs="Arial"/>
                <w:color w:val="000000"/>
                <w:sz w:val="16"/>
                <w:szCs w:val="16"/>
                <w:lang w:val="it-IT"/>
              </w:rPr>
              <w:t xml:space="preserve">for the benefit of all WIPO Member States, including </w:t>
            </w:r>
            <w:r>
              <w:rPr>
                <w:rFonts w:cs="Arial"/>
                <w:color w:val="000000"/>
                <w:sz w:val="16"/>
                <w:szCs w:val="16"/>
                <w:lang w:val="it-IT"/>
              </w:rPr>
              <w:t>d</w:t>
            </w:r>
            <w:r w:rsidRPr="00694EED">
              <w:rPr>
                <w:rFonts w:cs="Arial"/>
                <w:color w:val="000000"/>
                <w:sz w:val="16"/>
                <w:szCs w:val="16"/>
                <w:lang w:val="it-IT"/>
              </w:rPr>
              <w:t>eveloping countries.</w:t>
            </w:r>
          </w:p>
        </w:tc>
      </w:tr>
    </w:tbl>
    <w:p w:rsidR="0063033D" w:rsidRPr="00BB4430" w:rsidRDefault="0063033D" w:rsidP="008D1891">
      <w:pPr>
        <w:rPr>
          <w:rFonts w:cs="Arial"/>
          <w:szCs w:val="20"/>
        </w:rPr>
      </w:pPr>
    </w:p>
    <w:p w:rsidR="0063033D" w:rsidRPr="00BB4430" w:rsidRDefault="0063033D" w:rsidP="008D1891">
      <w:pPr>
        <w:rPr>
          <w:rFonts w:cs="Arial"/>
          <w:szCs w:val="20"/>
        </w:rPr>
      </w:pPr>
    </w:p>
    <w:p w:rsidR="0063033D" w:rsidRPr="00173234" w:rsidRDefault="0063033D" w:rsidP="008D1891">
      <w:pPr>
        <w:rPr>
          <w:rFonts w:cs="Arial"/>
          <w:b/>
          <w:sz w:val="18"/>
          <w:szCs w:val="18"/>
        </w:rPr>
      </w:pPr>
      <w:r w:rsidRPr="00173234">
        <w:rPr>
          <w:rFonts w:cs="Arial"/>
          <w:b/>
          <w:sz w:val="18"/>
          <w:szCs w:val="18"/>
        </w:rPr>
        <w:t xml:space="preserve">ITALY Donor </w:t>
      </w:r>
      <w:r w:rsidRPr="00173234">
        <w:rPr>
          <w:rFonts w:cs="Arial"/>
          <w:b/>
          <w:bCs/>
          <w:sz w:val="18"/>
          <w:szCs w:val="18"/>
        </w:rPr>
        <w:t>Contributions and Expenditure in 201</w:t>
      </w:r>
      <w:r>
        <w:rPr>
          <w:rFonts w:cs="Arial"/>
          <w:b/>
          <w:bCs/>
          <w:sz w:val="18"/>
          <w:szCs w:val="18"/>
        </w:rPr>
        <w:t>4</w:t>
      </w:r>
    </w:p>
    <w:p w:rsidR="0063033D" w:rsidRPr="00656430" w:rsidRDefault="0063033D" w:rsidP="008D1891">
      <w:pPr>
        <w:rPr>
          <w:szCs w:val="20"/>
        </w:rPr>
      </w:pPr>
    </w:p>
    <w:tbl>
      <w:tblPr>
        <w:tblW w:w="9436" w:type="dxa"/>
        <w:jc w:val="center"/>
        <w:tblInd w:w="93" w:type="dxa"/>
        <w:tblLook w:val="04A0" w:firstRow="1" w:lastRow="0" w:firstColumn="1" w:lastColumn="0" w:noHBand="0" w:noVBand="1"/>
      </w:tblPr>
      <w:tblGrid>
        <w:gridCol w:w="1858"/>
        <w:gridCol w:w="1559"/>
        <w:gridCol w:w="1701"/>
        <w:gridCol w:w="2050"/>
        <w:gridCol w:w="2268"/>
      </w:tblGrid>
      <w:tr w:rsidR="0063033D" w:rsidTr="008D1891">
        <w:trPr>
          <w:trHeight w:val="778"/>
          <w:jc w:val="center"/>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2013</w:t>
            </w:r>
          </w:p>
        </w:tc>
        <w:tc>
          <w:tcPr>
            <w:tcW w:w="1559"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Income 2014</w:t>
            </w:r>
          </w:p>
        </w:tc>
        <w:tc>
          <w:tcPr>
            <w:tcW w:w="1701"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Expenditure 2014</w:t>
            </w:r>
          </w:p>
        </w:tc>
        <w:tc>
          <w:tcPr>
            <w:tcW w:w="2050"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Reimbursements</w:t>
            </w:r>
          </w:p>
        </w:tc>
        <w:tc>
          <w:tcPr>
            <w:tcW w:w="2268"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rsidP="008D1891">
            <w:pPr>
              <w:jc w:val="center"/>
              <w:rPr>
                <w:rFonts w:cs="Arial"/>
                <w:b/>
                <w:bCs/>
                <w:color w:val="000000"/>
                <w:sz w:val="16"/>
                <w:szCs w:val="16"/>
              </w:rPr>
            </w:pPr>
            <w:r>
              <w:rPr>
                <w:rFonts w:cs="Arial"/>
                <w:b/>
                <w:bCs/>
                <w:color w:val="000000"/>
                <w:sz w:val="16"/>
                <w:szCs w:val="16"/>
              </w:rPr>
              <w:t>Balance as of December 31, 2014</w:t>
            </w:r>
          </w:p>
        </w:tc>
      </w:tr>
      <w:tr w:rsidR="0063033D" w:rsidTr="008D1891">
        <w:trPr>
          <w:trHeight w:val="801"/>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624,680</w:t>
            </w:r>
          </w:p>
        </w:tc>
        <w:tc>
          <w:tcPr>
            <w:tcW w:w="1559"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609,218</w:t>
            </w:r>
          </w:p>
        </w:tc>
        <w:tc>
          <w:tcPr>
            <w:tcW w:w="1701"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362</w:t>
            </w:r>
          </w:p>
        </w:tc>
        <w:tc>
          <w:tcPr>
            <w:tcW w:w="2050"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w:t>
            </w:r>
          </w:p>
        </w:tc>
        <w:tc>
          <w:tcPr>
            <w:tcW w:w="2268"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1,233,536</w:t>
            </w:r>
          </w:p>
        </w:tc>
      </w:tr>
    </w:tbl>
    <w:p w:rsidR="0063033D" w:rsidRDefault="0063033D" w:rsidP="008D1891">
      <w:pPr>
        <w:rPr>
          <w:rFonts w:cs="Arial"/>
          <w:b/>
          <w:szCs w:val="20"/>
        </w:rPr>
      </w:pPr>
    </w:p>
    <w:p w:rsidR="0063033D" w:rsidRDefault="0063033D" w:rsidP="008D1891">
      <w:pPr>
        <w:rPr>
          <w:rFonts w:cs="Arial"/>
          <w:b/>
          <w:szCs w:val="20"/>
        </w:rPr>
      </w:pPr>
    </w:p>
    <w:p w:rsidR="0063033D" w:rsidRDefault="0063033D" w:rsidP="008D1891">
      <w:pPr>
        <w:rPr>
          <w:rFonts w:cs="Arial"/>
          <w:b/>
          <w:szCs w:val="20"/>
        </w:rPr>
      </w:pPr>
      <w:r w:rsidRPr="00C4701A">
        <w:rPr>
          <w:rFonts w:cs="Arial"/>
          <w:b/>
          <w:szCs w:val="20"/>
        </w:rPr>
        <w:t>JAPAN/</w:t>
      </w:r>
      <w:r>
        <w:rPr>
          <w:rFonts w:cs="Arial"/>
          <w:b/>
          <w:szCs w:val="20"/>
        </w:rPr>
        <w:t>COPYRIGHT</w:t>
      </w:r>
    </w:p>
    <w:p w:rsidR="0063033D" w:rsidRDefault="0063033D" w:rsidP="008D1891">
      <w:pPr>
        <w:rPr>
          <w:rFonts w:cs="Arial"/>
          <w:b/>
          <w:szCs w:val="20"/>
        </w:rPr>
      </w:pPr>
    </w:p>
    <w:tbl>
      <w:tblPr>
        <w:tblW w:w="9498"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126"/>
        <w:gridCol w:w="4395"/>
      </w:tblGrid>
      <w:tr w:rsidR="0063033D" w:rsidRPr="002B7DE5" w:rsidTr="008D1891">
        <w:tc>
          <w:tcPr>
            <w:tcW w:w="9498" w:type="dxa"/>
            <w:gridSpan w:val="4"/>
            <w:tcBorders>
              <w:top w:val="single" w:sz="4" w:space="0" w:color="000000"/>
              <w:bottom w:val="single" w:sz="4" w:space="0" w:color="000000"/>
            </w:tcBorders>
            <w:shd w:val="clear" w:color="auto" w:fill="CCFFFF"/>
            <w:vAlign w:val="center"/>
          </w:tcPr>
          <w:p w:rsidR="0063033D" w:rsidRPr="002B7DE5" w:rsidRDefault="0063033D" w:rsidP="008D1891">
            <w:pPr>
              <w:keepNext/>
              <w:keepLines/>
              <w:tabs>
                <w:tab w:val="left" w:pos="1740"/>
              </w:tabs>
              <w:spacing w:before="120" w:after="120"/>
              <w:ind w:left="1740" w:hanging="1740"/>
              <w:rPr>
                <w:rFonts w:cs="Arial"/>
                <w:b/>
                <w:bCs/>
                <w:sz w:val="16"/>
                <w:szCs w:val="16"/>
              </w:rPr>
            </w:pPr>
            <w:r w:rsidRPr="00774D44">
              <w:rPr>
                <w:rFonts w:cs="Arial"/>
                <w:b/>
                <w:bCs/>
                <w:color w:val="000000"/>
                <w:sz w:val="16"/>
                <w:szCs w:val="16"/>
              </w:rPr>
              <w:t>RESULT</w:t>
            </w:r>
            <w:r w:rsidRPr="002B7DE5">
              <w:rPr>
                <w:rFonts w:cs="Arial"/>
                <w:b/>
                <w:bCs/>
                <w:sz w:val="16"/>
                <w:szCs w:val="16"/>
              </w:rPr>
              <w:t>:</w:t>
            </w:r>
            <w:r w:rsidRPr="002B7DE5">
              <w:rPr>
                <w:rFonts w:cs="Arial"/>
                <w:b/>
                <w:bCs/>
                <w:sz w:val="16"/>
                <w:szCs w:val="16"/>
              </w:rPr>
              <w:tab/>
            </w:r>
            <w:r w:rsidRPr="00937F04">
              <w:rPr>
                <w:rFonts w:cs="Arial"/>
                <w:bCs/>
                <w:color w:val="000000"/>
                <w:sz w:val="16"/>
                <w:szCs w:val="16"/>
              </w:rPr>
              <w:t>III.2. Enhanced human resource capacities able to deal with the broad range of requirements for the effective use of IP for development in developing countries, LDCs and countries with economies in transition</w:t>
            </w:r>
          </w:p>
        </w:tc>
      </w:tr>
      <w:tr w:rsidR="0063033D" w:rsidRPr="002B7DE5" w:rsidTr="008D1891">
        <w:tc>
          <w:tcPr>
            <w:tcW w:w="1843" w:type="dxa"/>
            <w:tcBorders>
              <w:top w:val="single" w:sz="4" w:space="0" w:color="000000"/>
            </w:tcBorders>
            <w:vAlign w:val="center"/>
          </w:tcPr>
          <w:p w:rsidR="0063033D" w:rsidRPr="002B7DE5" w:rsidRDefault="0063033D" w:rsidP="008D1891">
            <w:pPr>
              <w:keepNext/>
              <w:keepLines/>
              <w:rPr>
                <w:rFonts w:cs="Arial"/>
                <w:b/>
                <w:bCs/>
                <w:sz w:val="16"/>
                <w:szCs w:val="16"/>
              </w:rPr>
            </w:pPr>
            <w:r w:rsidRPr="002B7DE5">
              <w:rPr>
                <w:rFonts w:cs="Arial"/>
                <w:b/>
                <w:bCs/>
                <w:sz w:val="16"/>
                <w:szCs w:val="16"/>
              </w:rPr>
              <w:t>Activity</w:t>
            </w:r>
          </w:p>
        </w:tc>
        <w:tc>
          <w:tcPr>
            <w:tcW w:w="1134" w:type="dxa"/>
            <w:tcBorders>
              <w:top w:val="single" w:sz="4" w:space="0" w:color="000000"/>
            </w:tcBorders>
            <w:shd w:val="clear" w:color="auto" w:fill="auto"/>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Date</w:t>
            </w:r>
          </w:p>
        </w:tc>
        <w:tc>
          <w:tcPr>
            <w:tcW w:w="2126" w:type="dxa"/>
            <w:tcBorders>
              <w:top w:val="single" w:sz="4" w:space="0" w:color="000000"/>
            </w:tcBorders>
            <w:shd w:val="clear" w:color="auto" w:fill="auto"/>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5" w:type="dxa"/>
            <w:tcBorders>
              <w:top w:val="single" w:sz="4" w:space="0" w:color="000000"/>
            </w:tcBorders>
            <w:shd w:val="clear" w:color="auto" w:fill="FFFFFF"/>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Purpose(s)/Description(s)</w:t>
            </w:r>
          </w:p>
        </w:tc>
      </w:tr>
      <w:tr w:rsidR="0063033D" w:rsidRPr="00774D44" w:rsidTr="008D1891">
        <w:trPr>
          <w:trHeight w:val="520"/>
        </w:trPr>
        <w:tc>
          <w:tcPr>
            <w:tcW w:w="1843" w:type="dxa"/>
            <w:tcBorders>
              <w:bottom w:val="nil"/>
            </w:tcBorders>
          </w:tcPr>
          <w:p w:rsidR="0063033D" w:rsidRPr="00B5064B" w:rsidDel="009E0498" w:rsidRDefault="0063033D" w:rsidP="008D1891">
            <w:pPr>
              <w:autoSpaceDE w:val="0"/>
              <w:autoSpaceDN w:val="0"/>
              <w:adjustRightInd w:val="0"/>
              <w:spacing w:before="120" w:after="120"/>
              <w:rPr>
                <w:rFonts w:cs="Arial"/>
                <w:color w:val="000000"/>
                <w:sz w:val="16"/>
                <w:szCs w:val="16"/>
              </w:rPr>
            </w:pPr>
            <w:r w:rsidRPr="00062F80">
              <w:rPr>
                <w:rFonts w:cs="Arial"/>
                <w:color w:val="000000"/>
                <w:sz w:val="16"/>
                <w:szCs w:val="16"/>
              </w:rPr>
              <w:t>National Workshop on Copyright, Creativity and Development</w:t>
            </w:r>
          </w:p>
        </w:tc>
        <w:tc>
          <w:tcPr>
            <w:tcW w:w="1134" w:type="dxa"/>
            <w:tcBorders>
              <w:bottom w:val="nil"/>
            </w:tcBorders>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May 8 to </w:t>
            </w:r>
            <w:r w:rsidRPr="006E20A9">
              <w:rPr>
                <w:rFonts w:cs="Arial"/>
                <w:color w:val="000000"/>
                <w:sz w:val="16"/>
                <w:szCs w:val="16"/>
              </w:rPr>
              <w:t>9, 2014</w:t>
            </w:r>
          </w:p>
        </w:tc>
        <w:tc>
          <w:tcPr>
            <w:tcW w:w="2126" w:type="dxa"/>
            <w:tcBorders>
              <w:bottom w:val="nil"/>
            </w:tcBorders>
          </w:tcPr>
          <w:p w:rsidR="0063033D" w:rsidRPr="00961215"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Cambodia/ about 100 local participants</w:t>
            </w:r>
          </w:p>
        </w:tc>
        <w:tc>
          <w:tcPr>
            <w:tcW w:w="4395" w:type="dxa"/>
            <w:tcBorders>
              <w:bottom w:val="nil"/>
            </w:tcBorders>
          </w:tcPr>
          <w:p w:rsidR="0063033D" w:rsidDel="00152E3E"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To: (</w:t>
            </w:r>
            <w:proofErr w:type="spellStart"/>
            <w:r>
              <w:rPr>
                <w:rFonts w:cs="Arial"/>
                <w:color w:val="000000"/>
                <w:sz w:val="16"/>
                <w:szCs w:val="16"/>
              </w:rPr>
              <w:t>i</w:t>
            </w:r>
            <w:proofErr w:type="spellEnd"/>
            <w:r>
              <w:rPr>
                <w:rFonts w:cs="Arial"/>
                <w:color w:val="000000"/>
                <w:sz w:val="16"/>
                <w:szCs w:val="16"/>
              </w:rPr>
              <w:t xml:space="preserve">) </w:t>
            </w:r>
            <w:r w:rsidRPr="006E20A9">
              <w:rPr>
                <w:rFonts w:cs="Arial"/>
                <w:color w:val="000000"/>
                <w:sz w:val="16"/>
                <w:szCs w:val="16"/>
              </w:rPr>
              <w:t xml:space="preserve">raise awareness among policy makers and key stakeholders on the </w:t>
            </w:r>
            <w:r>
              <w:rPr>
                <w:rFonts w:cs="Arial"/>
                <w:color w:val="000000"/>
                <w:sz w:val="16"/>
                <w:szCs w:val="16"/>
              </w:rPr>
              <w:t xml:space="preserve">relevance and </w:t>
            </w:r>
            <w:r w:rsidRPr="006E20A9">
              <w:rPr>
                <w:rFonts w:cs="Arial"/>
                <w:color w:val="000000"/>
                <w:sz w:val="16"/>
                <w:szCs w:val="16"/>
              </w:rPr>
              <w:t>importance of copyright</w:t>
            </w:r>
            <w:r>
              <w:rPr>
                <w:rFonts w:cs="Arial"/>
                <w:color w:val="000000"/>
                <w:sz w:val="16"/>
                <w:szCs w:val="16"/>
              </w:rPr>
              <w:t xml:space="preserve">; </w:t>
            </w:r>
            <w:r w:rsidRPr="006E20A9">
              <w:rPr>
                <w:rFonts w:cs="Arial"/>
                <w:color w:val="000000"/>
                <w:sz w:val="16"/>
                <w:szCs w:val="16"/>
              </w:rPr>
              <w:t xml:space="preserve">and </w:t>
            </w:r>
            <w:r>
              <w:rPr>
                <w:rFonts w:cs="Arial"/>
                <w:color w:val="000000"/>
                <w:sz w:val="16"/>
                <w:szCs w:val="16"/>
              </w:rPr>
              <w:t>(ii)</w:t>
            </w:r>
            <w:r w:rsidRPr="006E20A9">
              <w:rPr>
                <w:rFonts w:cs="Arial"/>
                <w:color w:val="000000"/>
                <w:sz w:val="16"/>
                <w:szCs w:val="16"/>
              </w:rPr>
              <w:t xml:space="preserve"> assist in encouraging efficient exploitation of cultural works through copyright and related rights.</w:t>
            </w:r>
          </w:p>
        </w:tc>
      </w:tr>
      <w:tr w:rsidR="0063033D" w:rsidRPr="00774D44" w:rsidTr="008D1891">
        <w:trPr>
          <w:trHeight w:val="520"/>
        </w:trPr>
        <w:tc>
          <w:tcPr>
            <w:tcW w:w="9498" w:type="dxa"/>
            <w:gridSpan w:val="4"/>
            <w:tcBorders>
              <w:top w:val="single" w:sz="4" w:space="0" w:color="000000"/>
              <w:bottom w:val="single" w:sz="4" w:space="0" w:color="000000"/>
            </w:tcBorders>
            <w:shd w:val="clear" w:color="auto" w:fill="CCFFFF"/>
          </w:tcPr>
          <w:p w:rsidR="0063033D" w:rsidDel="00152E3E" w:rsidRDefault="0063033D" w:rsidP="008D1891">
            <w:pPr>
              <w:keepNext/>
              <w:keepLines/>
              <w:tabs>
                <w:tab w:val="left" w:pos="1740"/>
              </w:tabs>
              <w:spacing w:before="120" w:after="120"/>
              <w:ind w:left="1740" w:hanging="1740"/>
              <w:rPr>
                <w:rFonts w:cs="Arial"/>
                <w:color w:val="000000"/>
                <w:sz w:val="16"/>
                <w:szCs w:val="16"/>
              </w:rPr>
            </w:pPr>
            <w:r w:rsidRPr="00A911C1">
              <w:rPr>
                <w:rFonts w:cs="Arial"/>
                <w:b/>
                <w:bCs/>
                <w:color w:val="000000"/>
                <w:sz w:val="16"/>
                <w:szCs w:val="16"/>
              </w:rPr>
              <w:t>RESULT:</w:t>
            </w:r>
            <w:r>
              <w:rPr>
                <w:rFonts w:cs="Arial"/>
                <w:bCs/>
                <w:color w:val="000000"/>
                <w:sz w:val="16"/>
                <w:szCs w:val="16"/>
              </w:rPr>
              <w:tab/>
            </w:r>
            <w:r w:rsidRPr="00937F04">
              <w:rPr>
                <w:rFonts w:cs="Arial"/>
                <w:bCs/>
                <w:color w:val="000000"/>
                <w:sz w:val="16"/>
                <w:szCs w:val="16"/>
              </w:rPr>
              <w:t>IV.4. Enhanced technical and knowledge infrastructure for IP Offices and other IP institutions leading to better services (cheaper, faster, higher quality) to their stakeholders</w:t>
            </w:r>
          </w:p>
        </w:tc>
      </w:tr>
      <w:tr w:rsidR="0063033D" w:rsidRPr="00774D44" w:rsidTr="008D1891">
        <w:trPr>
          <w:trHeight w:val="520"/>
        </w:trPr>
        <w:tc>
          <w:tcPr>
            <w:tcW w:w="1843" w:type="dxa"/>
            <w:tcBorders>
              <w:top w:val="single" w:sz="4" w:space="0" w:color="000000"/>
            </w:tcBorders>
            <w:vAlign w:val="center"/>
          </w:tcPr>
          <w:p w:rsidR="0063033D" w:rsidRPr="00774D44" w:rsidRDefault="0063033D" w:rsidP="008D1891">
            <w:pPr>
              <w:autoSpaceDE w:val="0"/>
              <w:autoSpaceDN w:val="0"/>
              <w:adjustRightInd w:val="0"/>
              <w:spacing w:before="120"/>
              <w:rPr>
                <w:rFonts w:cs="Arial"/>
                <w:color w:val="000000"/>
                <w:sz w:val="16"/>
                <w:szCs w:val="16"/>
              </w:rPr>
            </w:pPr>
            <w:r w:rsidRPr="002B7DE5">
              <w:rPr>
                <w:rFonts w:cs="Arial"/>
                <w:b/>
                <w:bCs/>
                <w:sz w:val="16"/>
                <w:szCs w:val="16"/>
              </w:rPr>
              <w:t>Activity</w:t>
            </w:r>
          </w:p>
        </w:tc>
        <w:tc>
          <w:tcPr>
            <w:tcW w:w="1134" w:type="dxa"/>
            <w:tcBorders>
              <w:top w:val="single" w:sz="4" w:space="0" w:color="000000"/>
            </w:tcBorders>
            <w:vAlign w:val="center"/>
          </w:tcPr>
          <w:p w:rsidR="0063033D" w:rsidRPr="00774D44" w:rsidRDefault="0063033D" w:rsidP="008D1891">
            <w:pPr>
              <w:autoSpaceDE w:val="0"/>
              <w:autoSpaceDN w:val="0"/>
              <w:adjustRightInd w:val="0"/>
              <w:spacing w:before="120"/>
              <w:rPr>
                <w:rFonts w:cs="Arial"/>
                <w:color w:val="000000"/>
                <w:sz w:val="16"/>
                <w:szCs w:val="16"/>
              </w:rPr>
            </w:pPr>
            <w:r w:rsidRPr="002B7DE5">
              <w:rPr>
                <w:rFonts w:cs="Arial"/>
                <w:b/>
                <w:bCs/>
                <w:sz w:val="16"/>
                <w:szCs w:val="16"/>
              </w:rPr>
              <w:t>Date</w:t>
            </w:r>
          </w:p>
        </w:tc>
        <w:tc>
          <w:tcPr>
            <w:tcW w:w="2126" w:type="dxa"/>
            <w:tcBorders>
              <w:top w:val="single" w:sz="4" w:space="0" w:color="000000"/>
            </w:tcBorders>
            <w:vAlign w:val="center"/>
          </w:tcPr>
          <w:p w:rsidR="0063033D" w:rsidRPr="00774D44" w:rsidRDefault="0063033D" w:rsidP="008D1891">
            <w:pPr>
              <w:autoSpaceDE w:val="0"/>
              <w:autoSpaceDN w:val="0"/>
              <w:adjustRightInd w:val="0"/>
              <w:spacing w:before="120"/>
              <w:rPr>
                <w:rFonts w:cs="Arial"/>
                <w:color w:val="000000"/>
                <w:sz w:val="16"/>
                <w:szCs w:val="16"/>
              </w:rPr>
            </w:pPr>
            <w:r w:rsidRPr="002B7DE5">
              <w:rPr>
                <w:rFonts w:cs="Arial"/>
                <w:b/>
                <w:bCs/>
                <w:sz w:val="16"/>
                <w:szCs w:val="16"/>
              </w:rPr>
              <w:t>Host Country/</w:t>
            </w:r>
            <w:r w:rsidRPr="002B7DE5">
              <w:rPr>
                <w:rFonts w:cs="Arial"/>
                <w:b/>
                <w:bCs/>
                <w:sz w:val="16"/>
                <w:szCs w:val="16"/>
              </w:rPr>
              <w:br/>
              <w:t>Recipients</w:t>
            </w:r>
          </w:p>
        </w:tc>
        <w:tc>
          <w:tcPr>
            <w:tcW w:w="4395" w:type="dxa"/>
            <w:tcBorders>
              <w:top w:val="single" w:sz="4" w:space="0" w:color="000000"/>
            </w:tcBorders>
            <w:vAlign w:val="center"/>
          </w:tcPr>
          <w:p w:rsidR="0063033D" w:rsidRPr="00774D44" w:rsidRDefault="0063033D" w:rsidP="008D1891">
            <w:pPr>
              <w:autoSpaceDE w:val="0"/>
              <w:autoSpaceDN w:val="0"/>
              <w:adjustRightInd w:val="0"/>
              <w:spacing w:before="120"/>
              <w:rPr>
                <w:rFonts w:cs="Arial"/>
                <w:color w:val="000000"/>
                <w:sz w:val="16"/>
                <w:szCs w:val="16"/>
              </w:rPr>
            </w:pPr>
            <w:r w:rsidRPr="002B7DE5">
              <w:rPr>
                <w:rFonts w:cs="Arial"/>
                <w:b/>
                <w:bCs/>
                <w:sz w:val="16"/>
                <w:szCs w:val="16"/>
              </w:rPr>
              <w:t>Purpose(s)/Description(s)</w:t>
            </w:r>
          </w:p>
        </w:tc>
      </w:tr>
      <w:tr w:rsidR="0063033D" w:rsidRPr="00774D44" w:rsidTr="008D1891">
        <w:trPr>
          <w:trHeight w:val="315"/>
        </w:trPr>
        <w:tc>
          <w:tcPr>
            <w:tcW w:w="1843" w:type="dxa"/>
          </w:tcPr>
          <w:p w:rsidR="0063033D" w:rsidRPr="00774D44" w:rsidRDefault="0063033D" w:rsidP="008D1891">
            <w:pPr>
              <w:autoSpaceDE w:val="0"/>
              <w:autoSpaceDN w:val="0"/>
              <w:adjustRightInd w:val="0"/>
              <w:spacing w:before="120" w:after="120"/>
              <w:rPr>
                <w:rFonts w:cs="Arial"/>
                <w:color w:val="000000"/>
                <w:sz w:val="16"/>
                <w:szCs w:val="16"/>
              </w:rPr>
            </w:pPr>
            <w:r w:rsidRPr="00810BCD">
              <w:rPr>
                <w:rFonts w:cs="Arial"/>
                <w:color w:val="000000"/>
                <w:sz w:val="16"/>
                <w:szCs w:val="16"/>
              </w:rPr>
              <w:t>Study Visit to WIPO Headquarters by t</w:t>
            </w:r>
            <w:r>
              <w:rPr>
                <w:rFonts w:cs="Arial"/>
                <w:color w:val="000000"/>
                <w:sz w:val="16"/>
                <w:szCs w:val="16"/>
              </w:rPr>
              <w:t xml:space="preserve">he Delegation from Viet Nam for </w:t>
            </w:r>
            <w:r w:rsidRPr="00810BCD">
              <w:rPr>
                <w:rFonts w:cs="Arial"/>
                <w:color w:val="000000"/>
                <w:sz w:val="16"/>
                <w:szCs w:val="16"/>
              </w:rPr>
              <w:t xml:space="preserve">Understanding of Copyright </w:t>
            </w:r>
            <w:r>
              <w:rPr>
                <w:rFonts w:cs="Arial"/>
                <w:color w:val="000000"/>
                <w:sz w:val="16"/>
                <w:szCs w:val="16"/>
              </w:rPr>
              <w:t xml:space="preserve">and WIPO Treaties </w:t>
            </w:r>
          </w:p>
        </w:tc>
        <w:tc>
          <w:tcPr>
            <w:tcW w:w="1134" w:type="dxa"/>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February 5 to 7</w:t>
            </w:r>
            <w:r w:rsidRPr="006E20A9">
              <w:rPr>
                <w:rFonts w:cs="Arial"/>
                <w:color w:val="000000"/>
                <w:sz w:val="16"/>
                <w:szCs w:val="16"/>
              </w:rPr>
              <w:t>, 2014</w:t>
            </w:r>
          </w:p>
        </w:tc>
        <w:tc>
          <w:tcPr>
            <w:tcW w:w="2126" w:type="dxa"/>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WIPO Headquarters/ 3 officials from Viet Nam</w:t>
            </w:r>
          </w:p>
        </w:tc>
        <w:tc>
          <w:tcPr>
            <w:tcW w:w="4395" w:type="dxa"/>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w:t>
            </w:r>
            <w:r w:rsidRPr="006E20A9">
              <w:rPr>
                <w:rFonts w:cs="Arial"/>
                <w:color w:val="000000"/>
                <w:sz w:val="16"/>
                <w:szCs w:val="16"/>
              </w:rPr>
              <w:t xml:space="preserve">o assist government officials, legislators and policy makers from a developing country to </w:t>
            </w:r>
            <w:r>
              <w:rPr>
                <w:rFonts w:cs="Arial"/>
                <w:color w:val="000000"/>
                <w:sz w:val="16"/>
                <w:szCs w:val="16"/>
              </w:rPr>
              <w:t xml:space="preserve">an </w:t>
            </w:r>
            <w:r w:rsidRPr="006E20A9">
              <w:rPr>
                <w:rFonts w:cs="Arial"/>
                <w:color w:val="000000"/>
                <w:sz w:val="16"/>
                <w:szCs w:val="16"/>
              </w:rPr>
              <w:t>gain in-depth understanding of</w:t>
            </w:r>
            <w:r>
              <w:rPr>
                <w:rFonts w:cs="Arial"/>
                <w:color w:val="000000"/>
                <w:sz w:val="16"/>
                <w:szCs w:val="16"/>
              </w:rPr>
              <w:t xml:space="preserve"> </w:t>
            </w:r>
            <w:r w:rsidRPr="006E20A9">
              <w:rPr>
                <w:rFonts w:cs="Arial"/>
                <w:color w:val="000000"/>
                <w:sz w:val="16"/>
                <w:szCs w:val="16"/>
              </w:rPr>
              <w:t xml:space="preserve">copyright </w:t>
            </w:r>
            <w:r>
              <w:rPr>
                <w:rFonts w:cs="Arial"/>
                <w:color w:val="000000"/>
                <w:sz w:val="16"/>
                <w:szCs w:val="16"/>
              </w:rPr>
              <w:t xml:space="preserve"> and </w:t>
            </w:r>
            <w:r w:rsidRPr="006E20A9">
              <w:rPr>
                <w:rFonts w:cs="Arial"/>
                <w:color w:val="000000"/>
                <w:sz w:val="16"/>
                <w:szCs w:val="16"/>
              </w:rPr>
              <w:t>related</w:t>
            </w:r>
            <w:r>
              <w:rPr>
                <w:rFonts w:cs="Arial"/>
                <w:color w:val="000000"/>
                <w:sz w:val="16"/>
                <w:szCs w:val="16"/>
              </w:rPr>
              <w:t xml:space="preserve"> rights as well as </w:t>
            </w:r>
            <w:r w:rsidRPr="006E20A9">
              <w:rPr>
                <w:rFonts w:cs="Arial"/>
                <w:color w:val="000000"/>
                <w:sz w:val="16"/>
                <w:szCs w:val="16"/>
              </w:rPr>
              <w:t xml:space="preserve">treaties administrated by WIPO.  </w:t>
            </w:r>
          </w:p>
        </w:tc>
      </w:tr>
      <w:tr w:rsidR="0063033D" w:rsidRPr="00774D44" w:rsidTr="008D1891">
        <w:trPr>
          <w:trHeight w:val="315"/>
        </w:trPr>
        <w:tc>
          <w:tcPr>
            <w:tcW w:w="1843" w:type="dxa"/>
          </w:tcPr>
          <w:p w:rsidR="0063033D" w:rsidRPr="00774D44" w:rsidRDefault="0063033D" w:rsidP="008D1891">
            <w:pPr>
              <w:autoSpaceDE w:val="0"/>
              <w:autoSpaceDN w:val="0"/>
              <w:adjustRightInd w:val="0"/>
              <w:spacing w:before="120" w:after="120"/>
              <w:rPr>
                <w:rFonts w:cs="Arial"/>
                <w:color w:val="000000"/>
                <w:sz w:val="16"/>
                <w:szCs w:val="16"/>
              </w:rPr>
            </w:pPr>
            <w:r w:rsidRPr="006E20A9">
              <w:rPr>
                <w:rFonts w:cs="Arial"/>
                <w:color w:val="000000"/>
                <w:sz w:val="16"/>
                <w:szCs w:val="16"/>
              </w:rPr>
              <w:t>Asia-Pacific Regional Workshop on Copyright and Related Rights for Heads of Copyright Offices</w:t>
            </w:r>
          </w:p>
        </w:tc>
        <w:tc>
          <w:tcPr>
            <w:tcW w:w="1134" w:type="dxa"/>
          </w:tcPr>
          <w:p w:rsidR="0063033D" w:rsidRPr="00774D44" w:rsidRDefault="0063033D" w:rsidP="008D1891">
            <w:pPr>
              <w:autoSpaceDE w:val="0"/>
              <w:autoSpaceDN w:val="0"/>
              <w:adjustRightInd w:val="0"/>
              <w:spacing w:before="120" w:after="120"/>
              <w:rPr>
                <w:rFonts w:cs="Arial"/>
                <w:color w:val="000000"/>
                <w:sz w:val="16"/>
                <w:szCs w:val="16"/>
              </w:rPr>
            </w:pPr>
            <w:r w:rsidRPr="006E20A9">
              <w:rPr>
                <w:rFonts w:cs="Arial"/>
                <w:color w:val="000000"/>
                <w:sz w:val="16"/>
                <w:szCs w:val="16"/>
              </w:rPr>
              <w:t>October 27</w:t>
            </w:r>
            <w:r>
              <w:rPr>
                <w:rFonts w:cs="Arial"/>
                <w:color w:val="000000"/>
                <w:sz w:val="16"/>
                <w:szCs w:val="16"/>
              </w:rPr>
              <w:t xml:space="preserve"> to</w:t>
            </w:r>
            <w:r w:rsidRPr="006E20A9">
              <w:rPr>
                <w:rFonts w:cs="Arial"/>
                <w:color w:val="000000"/>
                <w:sz w:val="16"/>
                <w:szCs w:val="16"/>
              </w:rPr>
              <w:t xml:space="preserve"> 30, 2014</w:t>
            </w:r>
          </w:p>
        </w:tc>
        <w:tc>
          <w:tcPr>
            <w:tcW w:w="2126" w:type="dxa"/>
          </w:tcPr>
          <w:p w:rsidR="0063033D" w:rsidRPr="00774D44" w:rsidRDefault="0063033D" w:rsidP="008D1891">
            <w:pPr>
              <w:autoSpaceDE w:val="0"/>
              <w:autoSpaceDN w:val="0"/>
              <w:adjustRightInd w:val="0"/>
              <w:spacing w:before="120" w:after="120"/>
              <w:rPr>
                <w:rFonts w:cs="Arial"/>
                <w:color w:val="000000"/>
                <w:sz w:val="16"/>
                <w:szCs w:val="16"/>
              </w:rPr>
            </w:pPr>
            <w:r w:rsidRPr="006E20A9">
              <w:rPr>
                <w:rFonts w:cs="Arial"/>
                <w:color w:val="000000"/>
                <w:sz w:val="16"/>
                <w:szCs w:val="16"/>
              </w:rPr>
              <w:t>Japan/</w:t>
            </w:r>
            <w:r>
              <w:rPr>
                <w:rFonts w:cs="Arial"/>
                <w:color w:val="000000"/>
                <w:sz w:val="16"/>
                <w:szCs w:val="16"/>
              </w:rPr>
              <w:t xml:space="preserve"> </w:t>
            </w:r>
            <w:r w:rsidRPr="006E20A9">
              <w:rPr>
                <w:rFonts w:cs="Arial"/>
                <w:color w:val="000000"/>
                <w:sz w:val="16"/>
                <w:szCs w:val="16"/>
              </w:rPr>
              <w:t xml:space="preserve">24 foreign participants from 24 countries </w:t>
            </w:r>
            <w:r>
              <w:rPr>
                <w:rFonts w:cs="Arial"/>
                <w:color w:val="000000"/>
                <w:sz w:val="16"/>
                <w:szCs w:val="16"/>
              </w:rPr>
              <w:t xml:space="preserve">in </w:t>
            </w:r>
            <w:r w:rsidRPr="006E20A9">
              <w:rPr>
                <w:rFonts w:cs="Arial"/>
                <w:color w:val="000000"/>
                <w:sz w:val="16"/>
                <w:szCs w:val="16"/>
              </w:rPr>
              <w:t>Asia and</w:t>
            </w:r>
            <w:r>
              <w:rPr>
                <w:rFonts w:cs="Arial"/>
                <w:color w:val="000000"/>
                <w:sz w:val="16"/>
                <w:szCs w:val="16"/>
              </w:rPr>
              <w:t xml:space="preserve"> the  </w:t>
            </w:r>
            <w:r w:rsidRPr="006E20A9">
              <w:rPr>
                <w:rFonts w:cs="Arial"/>
                <w:color w:val="000000"/>
                <w:sz w:val="16"/>
                <w:szCs w:val="16"/>
              </w:rPr>
              <w:t>Pacific</w:t>
            </w:r>
          </w:p>
        </w:tc>
        <w:tc>
          <w:tcPr>
            <w:tcW w:w="4395" w:type="dxa"/>
          </w:tcPr>
          <w:p w:rsidR="0063033D" w:rsidRPr="00774D44" w:rsidRDefault="0063033D" w:rsidP="008D1891">
            <w:pPr>
              <w:autoSpaceDE w:val="0"/>
              <w:autoSpaceDN w:val="0"/>
              <w:adjustRightInd w:val="0"/>
              <w:spacing w:before="120" w:after="120"/>
              <w:rPr>
                <w:rFonts w:cs="Arial"/>
                <w:color w:val="000000"/>
                <w:sz w:val="16"/>
                <w:szCs w:val="16"/>
              </w:rPr>
            </w:pPr>
            <w:r w:rsidRPr="006E20A9">
              <w:rPr>
                <w:rFonts w:cs="Arial"/>
                <w:color w:val="000000"/>
                <w:sz w:val="16"/>
                <w:szCs w:val="16"/>
              </w:rPr>
              <w:t>To</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w:t>
            </w:r>
            <w:r w:rsidRPr="006E20A9">
              <w:rPr>
                <w:rFonts w:cs="Arial"/>
                <w:color w:val="000000"/>
                <w:sz w:val="16"/>
                <w:szCs w:val="16"/>
              </w:rPr>
              <w:t xml:space="preserve"> exchange views and information on policy and strategy considerations relating to copyright and related rights</w:t>
            </w:r>
            <w:r>
              <w:rPr>
                <w:rFonts w:cs="Arial"/>
                <w:color w:val="000000"/>
                <w:sz w:val="16"/>
                <w:szCs w:val="16"/>
              </w:rPr>
              <w:t>;  (ii)</w:t>
            </w:r>
            <w:r w:rsidRPr="006E20A9">
              <w:rPr>
                <w:rFonts w:cs="Arial"/>
                <w:color w:val="000000"/>
                <w:sz w:val="16"/>
                <w:szCs w:val="16"/>
              </w:rPr>
              <w:t xml:space="preserve"> exchange views and experiences </w:t>
            </w:r>
            <w:r>
              <w:rPr>
                <w:rFonts w:cs="Arial"/>
                <w:color w:val="000000"/>
                <w:sz w:val="16"/>
                <w:szCs w:val="16"/>
              </w:rPr>
              <w:t>on</w:t>
            </w:r>
            <w:r w:rsidRPr="006E20A9">
              <w:rPr>
                <w:rFonts w:cs="Arial"/>
                <w:color w:val="000000"/>
                <w:sz w:val="16"/>
                <w:szCs w:val="16"/>
              </w:rPr>
              <w:t xml:space="preserve"> strengthening the capacities </w:t>
            </w:r>
            <w:r>
              <w:rPr>
                <w:rFonts w:cs="Arial"/>
                <w:color w:val="000000"/>
                <w:sz w:val="16"/>
                <w:szCs w:val="16"/>
              </w:rPr>
              <w:t xml:space="preserve">of </w:t>
            </w:r>
            <w:r w:rsidRPr="006E20A9">
              <w:rPr>
                <w:rFonts w:cs="Arial"/>
                <w:color w:val="000000"/>
                <w:sz w:val="16"/>
                <w:szCs w:val="16"/>
              </w:rPr>
              <w:t xml:space="preserve">governmental copyright institutions </w:t>
            </w:r>
            <w:r>
              <w:rPr>
                <w:rFonts w:cs="Arial"/>
                <w:color w:val="000000"/>
                <w:sz w:val="16"/>
                <w:szCs w:val="16"/>
              </w:rPr>
              <w:t>in</w:t>
            </w:r>
            <w:r w:rsidRPr="006E20A9">
              <w:rPr>
                <w:rFonts w:cs="Arial"/>
                <w:color w:val="000000"/>
                <w:sz w:val="16"/>
                <w:szCs w:val="16"/>
              </w:rPr>
              <w:t xml:space="preserve"> policy formulation including those related to cultural and economic development</w:t>
            </w:r>
            <w:r>
              <w:rPr>
                <w:rFonts w:cs="Arial"/>
                <w:color w:val="000000"/>
                <w:sz w:val="16"/>
                <w:szCs w:val="16"/>
              </w:rPr>
              <w:t>;</w:t>
            </w:r>
            <w:r w:rsidRPr="006E20A9">
              <w:rPr>
                <w:rFonts w:cs="Arial"/>
                <w:color w:val="000000"/>
                <w:sz w:val="16"/>
                <w:szCs w:val="16"/>
              </w:rPr>
              <w:t xml:space="preserve"> </w:t>
            </w:r>
            <w:r>
              <w:rPr>
                <w:rFonts w:cs="Arial"/>
                <w:color w:val="000000"/>
                <w:sz w:val="16"/>
                <w:szCs w:val="16"/>
              </w:rPr>
              <w:t xml:space="preserve"> </w:t>
            </w:r>
            <w:r w:rsidRPr="006E20A9">
              <w:rPr>
                <w:rFonts w:cs="Arial"/>
                <w:color w:val="000000"/>
                <w:sz w:val="16"/>
                <w:szCs w:val="16"/>
              </w:rPr>
              <w:t>and</w:t>
            </w:r>
            <w:r>
              <w:rPr>
                <w:rFonts w:cs="Arial"/>
                <w:color w:val="000000"/>
                <w:sz w:val="16"/>
                <w:szCs w:val="16"/>
              </w:rPr>
              <w:t xml:space="preserve"> (iii)</w:t>
            </w:r>
            <w:r w:rsidRPr="006E20A9">
              <w:rPr>
                <w:rFonts w:cs="Arial"/>
                <w:color w:val="000000"/>
                <w:sz w:val="16"/>
                <w:szCs w:val="16"/>
              </w:rPr>
              <w:t xml:space="preserve"> explore new </w:t>
            </w:r>
            <w:r>
              <w:rPr>
                <w:rFonts w:cs="Arial"/>
                <w:color w:val="000000"/>
                <w:sz w:val="16"/>
                <w:szCs w:val="16"/>
              </w:rPr>
              <w:t xml:space="preserve">potential </w:t>
            </w:r>
            <w:r w:rsidRPr="006E20A9">
              <w:rPr>
                <w:rFonts w:cs="Arial"/>
                <w:color w:val="000000"/>
                <w:sz w:val="16"/>
                <w:szCs w:val="16"/>
              </w:rPr>
              <w:t>areas of cooperation among copyright offices in the region</w:t>
            </w:r>
            <w:r>
              <w:rPr>
                <w:rFonts w:cs="Arial"/>
                <w:color w:val="000000"/>
                <w:sz w:val="16"/>
                <w:szCs w:val="16"/>
              </w:rPr>
              <w:t>.</w:t>
            </w:r>
          </w:p>
        </w:tc>
      </w:tr>
    </w:tbl>
    <w:p w:rsidR="0063033D" w:rsidRDefault="0063033D" w:rsidP="008D1891">
      <w:pPr>
        <w:rPr>
          <w:rFonts w:cs="Arial"/>
          <w:b/>
          <w:szCs w:val="20"/>
        </w:rPr>
      </w:pPr>
    </w:p>
    <w:p w:rsidR="0063033D" w:rsidRDefault="0063033D" w:rsidP="008D1891">
      <w:pPr>
        <w:rPr>
          <w:rFonts w:cs="Arial"/>
          <w:b/>
          <w:sz w:val="18"/>
          <w:szCs w:val="18"/>
        </w:rPr>
      </w:pPr>
    </w:p>
    <w:p w:rsidR="0063033D" w:rsidRDefault="0063033D" w:rsidP="008D1891">
      <w:pPr>
        <w:rPr>
          <w:rFonts w:cs="Arial"/>
          <w:b/>
          <w:sz w:val="18"/>
          <w:szCs w:val="18"/>
        </w:rPr>
      </w:pPr>
    </w:p>
    <w:p w:rsidR="0063033D" w:rsidRPr="003A471D" w:rsidRDefault="0063033D" w:rsidP="008D1891">
      <w:pPr>
        <w:rPr>
          <w:rFonts w:cs="Arial"/>
          <w:b/>
          <w:sz w:val="18"/>
          <w:szCs w:val="18"/>
        </w:rPr>
      </w:pPr>
      <w:r w:rsidRPr="003A471D">
        <w:rPr>
          <w:rFonts w:cs="Arial"/>
          <w:b/>
          <w:sz w:val="18"/>
          <w:szCs w:val="18"/>
        </w:rPr>
        <w:lastRenderedPageBreak/>
        <w:t xml:space="preserve">JAPAN/COPYRIGHT Donor </w:t>
      </w:r>
      <w:r w:rsidRPr="003A471D">
        <w:rPr>
          <w:rFonts w:cs="Arial"/>
          <w:b/>
          <w:bCs/>
          <w:sz w:val="18"/>
          <w:szCs w:val="18"/>
        </w:rPr>
        <w:t>Contributions and Expenditure in 201</w:t>
      </w:r>
      <w:r>
        <w:rPr>
          <w:rFonts w:cs="Arial"/>
          <w:b/>
          <w:bCs/>
          <w:sz w:val="18"/>
          <w:szCs w:val="18"/>
        </w:rPr>
        <w:t>4</w:t>
      </w:r>
    </w:p>
    <w:p w:rsidR="0063033D" w:rsidRDefault="0063033D" w:rsidP="008D1891">
      <w:pPr>
        <w:rPr>
          <w:rFonts w:cs="Arial"/>
          <w:b/>
          <w:szCs w:val="20"/>
        </w:rPr>
      </w:pPr>
    </w:p>
    <w:p w:rsidR="0063033D" w:rsidRDefault="0063033D" w:rsidP="008D1891">
      <w:pPr>
        <w:rPr>
          <w:rFonts w:cs="Arial"/>
          <w:b/>
          <w:szCs w:val="20"/>
        </w:rPr>
      </w:pPr>
    </w:p>
    <w:tbl>
      <w:tblPr>
        <w:tblW w:w="9087" w:type="dxa"/>
        <w:jc w:val="center"/>
        <w:tblInd w:w="93" w:type="dxa"/>
        <w:tblLook w:val="04A0" w:firstRow="1" w:lastRow="0" w:firstColumn="1" w:lastColumn="0" w:noHBand="0" w:noVBand="1"/>
      </w:tblPr>
      <w:tblGrid>
        <w:gridCol w:w="1858"/>
        <w:gridCol w:w="1559"/>
        <w:gridCol w:w="1843"/>
        <w:gridCol w:w="1843"/>
        <w:gridCol w:w="1984"/>
      </w:tblGrid>
      <w:tr w:rsidR="0063033D" w:rsidTr="008D1891">
        <w:trPr>
          <w:trHeight w:val="765"/>
          <w:jc w:val="center"/>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2013</w:t>
            </w:r>
          </w:p>
        </w:tc>
        <w:tc>
          <w:tcPr>
            <w:tcW w:w="1559"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Income 2014</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Expenditure 2014</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Reimbursements</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2014</w:t>
            </w:r>
          </w:p>
        </w:tc>
      </w:tr>
      <w:tr w:rsidR="0063033D" w:rsidTr="008D1891">
        <w:trPr>
          <w:trHeight w:val="70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277,402</w:t>
            </w:r>
          </w:p>
        </w:tc>
        <w:tc>
          <w:tcPr>
            <w:tcW w:w="1559"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468,692</w:t>
            </w:r>
          </w:p>
        </w:tc>
        <w:tc>
          <w:tcPr>
            <w:tcW w:w="1843"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406,583</w:t>
            </w:r>
          </w:p>
        </w:tc>
        <w:tc>
          <w:tcPr>
            <w:tcW w:w="1843"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w:t>
            </w:r>
          </w:p>
        </w:tc>
        <w:tc>
          <w:tcPr>
            <w:tcW w:w="1984"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color w:val="000000"/>
                <w:sz w:val="16"/>
                <w:szCs w:val="16"/>
              </w:rPr>
            </w:pPr>
            <w:r>
              <w:rPr>
                <w:rFonts w:cs="Arial"/>
                <w:color w:val="000000"/>
                <w:sz w:val="16"/>
                <w:szCs w:val="16"/>
              </w:rPr>
              <w:t>339,511</w:t>
            </w:r>
          </w:p>
        </w:tc>
      </w:tr>
    </w:tbl>
    <w:p w:rsidR="0063033D" w:rsidRDefault="0063033D" w:rsidP="008D1891">
      <w:pPr>
        <w:rPr>
          <w:rFonts w:cs="Arial"/>
          <w:b/>
          <w:szCs w:val="20"/>
        </w:rPr>
      </w:pPr>
    </w:p>
    <w:p w:rsidR="0063033D" w:rsidRDefault="0063033D" w:rsidP="008D1891">
      <w:pPr>
        <w:rPr>
          <w:rFonts w:cs="Arial"/>
          <w:b/>
          <w:szCs w:val="20"/>
        </w:rPr>
      </w:pPr>
    </w:p>
    <w:p w:rsidR="0063033D" w:rsidRDefault="0063033D" w:rsidP="008D1891">
      <w:pPr>
        <w:keepNext/>
        <w:keepLines/>
        <w:rPr>
          <w:rFonts w:cs="Arial"/>
          <w:b/>
          <w:szCs w:val="20"/>
        </w:rPr>
      </w:pPr>
      <w:r w:rsidRPr="003943F0">
        <w:rPr>
          <w:rFonts w:cs="Arial"/>
          <w:b/>
          <w:szCs w:val="20"/>
        </w:rPr>
        <w:t>JAPAN</w:t>
      </w:r>
      <w:r>
        <w:rPr>
          <w:rFonts w:cs="Arial"/>
          <w:b/>
          <w:szCs w:val="20"/>
        </w:rPr>
        <w:t>/</w:t>
      </w:r>
      <w:r w:rsidRPr="00660313">
        <w:rPr>
          <w:rFonts w:cs="Arial"/>
          <w:b/>
          <w:szCs w:val="20"/>
        </w:rPr>
        <w:t>I</w:t>
      </w:r>
      <w:r>
        <w:rPr>
          <w:rFonts w:cs="Arial"/>
          <w:b/>
          <w:szCs w:val="20"/>
        </w:rPr>
        <w:t>NDUSTRIAL PROPERTY</w:t>
      </w:r>
    </w:p>
    <w:p w:rsidR="0063033D" w:rsidRDefault="0063033D" w:rsidP="008D1891">
      <w:pPr>
        <w:keepNext/>
        <w:keepLines/>
        <w:rPr>
          <w:rFonts w:cs="Arial"/>
          <w:b/>
          <w:szCs w:val="20"/>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973"/>
        <w:gridCol w:w="12"/>
        <w:gridCol w:w="4394"/>
      </w:tblGrid>
      <w:tr w:rsidR="0063033D" w:rsidRPr="002B7DE5" w:rsidTr="008D1891">
        <w:trPr>
          <w:cantSplit/>
        </w:trPr>
        <w:tc>
          <w:tcPr>
            <w:tcW w:w="9356" w:type="dxa"/>
            <w:gridSpan w:val="5"/>
            <w:tcBorders>
              <w:top w:val="single" w:sz="4" w:space="0" w:color="000000"/>
              <w:bottom w:val="single" w:sz="4" w:space="0" w:color="auto"/>
            </w:tcBorders>
            <w:shd w:val="clear" w:color="auto" w:fill="CCFFFF"/>
            <w:vAlign w:val="center"/>
          </w:tcPr>
          <w:p w:rsidR="0063033D" w:rsidRPr="00712F53" w:rsidRDefault="0063033D" w:rsidP="008D1891">
            <w:pPr>
              <w:keepNext/>
              <w:keepLines/>
              <w:tabs>
                <w:tab w:val="left" w:pos="1740"/>
              </w:tabs>
              <w:spacing w:before="120" w:after="120"/>
              <w:ind w:left="1740" w:hanging="1740"/>
              <w:rPr>
                <w:rFonts w:cs="Arial"/>
                <w:b/>
                <w:bCs/>
                <w:sz w:val="16"/>
                <w:szCs w:val="16"/>
                <w:lang w:val="en-AU"/>
              </w:rPr>
            </w:pPr>
            <w:r w:rsidRPr="00774D44">
              <w:rPr>
                <w:rFonts w:cs="Arial"/>
                <w:b/>
                <w:bCs/>
                <w:color w:val="000000"/>
                <w:sz w:val="16"/>
                <w:szCs w:val="16"/>
              </w:rPr>
              <w:t>RESULT</w:t>
            </w:r>
            <w:r w:rsidRPr="002B7DE5">
              <w:rPr>
                <w:rFonts w:cs="Arial"/>
                <w:b/>
                <w:bCs/>
                <w:sz w:val="16"/>
                <w:szCs w:val="16"/>
              </w:rPr>
              <w:t>:</w:t>
            </w:r>
            <w:r w:rsidRPr="002B7DE5">
              <w:rPr>
                <w:rFonts w:cs="Arial"/>
                <w:b/>
                <w:bCs/>
                <w:sz w:val="16"/>
                <w:szCs w:val="16"/>
              </w:rPr>
              <w:tab/>
            </w:r>
            <w:r>
              <w:rPr>
                <w:rFonts w:cs="Arial"/>
                <w:bCs/>
                <w:sz w:val="16"/>
                <w:szCs w:val="16"/>
                <w:lang w:val="en-AU"/>
              </w:rPr>
              <w:t>I.</w:t>
            </w:r>
            <w:r w:rsidRPr="00564035">
              <w:rPr>
                <w:rFonts w:eastAsia="MS Mincho" w:cs="Arial" w:hint="eastAsia"/>
                <w:bCs/>
                <w:sz w:val="16"/>
                <w:szCs w:val="16"/>
                <w:lang w:val="en-AU" w:eastAsia="ja-JP"/>
              </w:rPr>
              <w:t>2</w:t>
            </w:r>
            <w:r>
              <w:rPr>
                <w:rFonts w:cs="Arial"/>
                <w:bCs/>
                <w:sz w:val="16"/>
                <w:szCs w:val="16"/>
                <w:lang w:val="en-AU"/>
              </w:rPr>
              <w:t>.</w:t>
            </w:r>
            <w:r>
              <w:rPr>
                <w:rFonts w:cs="Arial"/>
                <w:bCs/>
                <w:sz w:val="16"/>
                <w:szCs w:val="16"/>
                <w:lang w:val="en-AU"/>
              </w:rPr>
              <w:tab/>
              <w:t>T</w:t>
            </w:r>
            <w:r w:rsidRPr="00B62FC0">
              <w:rPr>
                <w:rFonts w:cs="Arial"/>
                <w:bCs/>
                <w:sz w:val="16"/>
                <w:szCs w:val="16"/>
                <w:lang w:val="en-AU"/>
              </w:rPr>
              <w:t>ailored and balanced IP legislative, regulatory and policy frameworks</w:t>
            </w:r>
          </w:p>
        </w:tc>
      </w:tr>
      <w:tr w:rsidR="0063033D" w:rsidRPr="002B7DE5" w:rsidTr="008D1891">
        <w:trPr>
          <w:cantSplit/>
        </w:trPr>
        <w:tc>
          <w:tcPr>
            <w:tcW w:w="1843" w:type="dxa"/>
            <w:tcBorders>
              <w:top w:val="single" w:sz="4" w:space="0" w:color="auto"/>
              <w:left w:val="single" w:sz="4" w:space="0" w:color="auto"/>
              <w:bottom w:val="nil"/>
            </w:tcBorders>
            <w:vAlign w:val="center"/>
          </w:tcPr>
          <w:p w:rsidR="0063033D" w:rsidRPr="002B7DE5" w:rsidRDefault="0063033D" w:rsidP="008D1891">
            <w:pPr>
              <w:keepNext/>
              <w:keepLines/>
              <w:rPr>
                <w:rFonts w:cs="Arial"/>
                <w:b/>
                <w:bCs/>
                <w:sz w:val="16"/>
                <w:szCs w:val="16"/>
              </w:rPr>
            </w:pPr>
            <w:r w:rsidRPr="002B7DE5">
              <w:rPr>
                <w:rFonts w:cs="Arial"/>
                <w:b/>
                <w:bCs/>
                <w:sz w:val="16"/>
                <w:szCs w:val="16"/>
              </w:rPr>
              <w:t>Activity</w:t>
            </w:r>
          </w:p>
        </w:tc>
        <w:tc>
          <w:tcPr>
            <w:tcW w:w="1134" w:type="dxa"/>
            <w:tcBorders>
              <w:top w:val="single" w:sz="4" w:space="0" w:color="auto"/>
              <w:bottom w:val="nil"/>
            </w:tcBorders>
            <w:shd w:val="clear" w:color="auto" w:fill="auto"/>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Date</w:t>
            </w:r>
          </w:p>
        </w:tc>
        <w:tc>
          <w:tcPr>
            <w:tcW w:w="1985" w:type="dxa"/>
            <w:gridSpan w:val="2"/>
            <w:tcBorders>
              <w:top w:val="single" w:sz="4" w:space="0" w:color="auto"/>
              <w:bottom w:val="nil"/>
            </w:tcBorders>
            <w:shd w:val="clear" w:color="auto" w:fill="auto"/>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auto"/>
              <w:bottom w:val="nil"/>
              <w:right w:val="single" w:sz="4" w:space="0" w:color="auto"/>
            </w:tcBorders>
            <w:shd w:val="clear" w:color="auto" w:fill="FFFFFF"/>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Purpose(s)/Description(s)</w:t>
            </w:r>
          </w:p>
        </w:tc>
      </w:tr>
      <w:tr w:rsidR="0063033D" w:rsidRPr="005B38F2" w:rsidTr="008D1891">
        <w:trPr>
          <w:cantSplit/>
          <w:trHeight w:val="473"/>
        </w:trPr>
        <w:tc>
          <w:tcPr>
            <w:tcW w:w="1843" w:type="dxa"/>
            <w:tcBorders>
              <w:top w:val="nil"/>
              <w:left w:val="single" w:sz="4" w:space="0" w:color="auto"/>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sidRPr="00564035">
              <w:rPr>
                <w:rFonts w:eastAsia="MS Mincho" w:cs="Arial" w:hint="eastAsia"/>
                <w:color w:val="000000"/>
                <w:sz w:val="16"/>
                <w:szCs w:val="16"/>
                <w:lang w:eastAsia="ja-JP"/>
              </w:rPr>
              <w:t xml:space="preserve">Expert Mission on the implementation of the Geneva Act of the Hague Agreement </w:t>
            </w:r>
          </w:p>
        </w:tc>
        <w:tc>
          <w:tcPr>
            <w:tcW w:w="1134" w:type="dxa"/>
            <w:tcBorders>
              <w:top w:val="nil"/>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sidRPr="00564035">
              <w:rPr>
                <w:rFonts w:eastAsia="MS Mincho" w:cs="Arial" w:hint="eastAsia"/>
                <w:color w:val="000000"/>
                <w:sz w:val="16"/>
                <w:szCs w:val="16"/>
                <w:lang w:eastAsia="ja-JP"/>
              </w:rPr>
              <w:t xml:space="preserve">February 12 </w:t>
            </w:r>
            <w:r>
              <w:rPr>
                <w:rFonts w:eastAsia="MS Mincho" w:cs="Arial"/>
                <w:color w:val="000000"/>
                <w:sz w:val="16"/>
                <w:szCs w:val="16"/>
                <w:lang w:eastAsia="ja-JP"/>
              </w:rPr>
              <w:t>to</w:t>
            </w:r>
            <w:r w:rsidRPr="00564035">
              <w:rPr>
                <w:rFonts w:eastAsia="MS Mincho" w:cs="Arial" w:hint="eastAsia"/>
                <w:color w:val="000000"/>
                <w:sz w:val="16"/>
                <w:szCs w:val="16"/>
                <w:lang w:eastAsia="ja-JP"/>
              </w:rPr>
              <w:t xml:space="preserve"> 13, 2014</w:t>
            </w:r>
          </w:p>
        </w:tc>
        <w:tc>
          <w:tcPr>
            <w:tcW w:w="1973" w:type="dxa"/>
            <w:tcBorders>
              <w:top w:val="nil"/>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sidRPr="00564035">
              <w:rPr>
                <w:rFonts w:eastAsia="MS Mincho" w:cs="Arial" w:hint="eastAsia"/>
                <w:color w:val="000000"/>
                <w:sz w:val="16"/>
                <w:szCs w:val="16"/>
                <w:lang w:eastAsia="ja-JP"/>
              </w:rPr>
              <w:t>Indonesia</w:t>
            </w:r>
          </w:p>
        </w:tc>
        <w:tc>
          <w:tcPr>
            <w:tcW w:w="4406" w:type="dxa"/>
            <w:gridSpan w:val="2"/>
            <w:tcBorders>
              <w:top w:val="nil"/>
              <w:bottom w:val="nil"/>
              <w:right w:val="single" w:sz="4" w:space="0" w:color="auto"/>
            </w:tcBorders>
          </w:tcPr>
          <w:p w:rsidR="0063033D" w:rsidRPr="00564035" w:rsidRDefault="0063033D" w:rsidP="008D1891">
            <w:pPr>
              <w:autoSpaceDE w:val="0"/>
              <w:autoSpaceDN w:val="0"/>
              <w:adjustRightInd w:val="0"/>
              <w:spacing w:before="120" w:after="120"/>
              <w:ind w:left="-108"/>
              <w:rPr>
                <w:rFonts w:eastAsia="MS Mincho" w:cs="Arial"/>
                <w:color w:val="000000"/>
                <w:sz w:val="16"/>
                <w:szCs w:val="16"/>
                <w:lang w:eastAsia="ja-JP"/>
              </w:rPr>
            </w:pPr>
            <w:r w:rsidRPr="00564035">
              <w:rPr>
                <w:rFonts w:eastAsia="MS Mincho" w:cs="Arial"/>
                <w:color w:val="000000"/>
                <w:sz w:val="16"/>
                <w:szCs w:val="16"/>
                <w:lang w:eastAsia="ja-JP"/>
              </w:rPr>
              <w:t>T</w:t>
            </w:r>
            <w:r w:rsidRPr="00564035">
              <w:rPr>
                <w:rFonts w:eastAsia="MS Mincho" w:cs="Arial" w:hint="eastAsia"/>
                <w:color w:val="000000"/>
                <w:sz w:val="16"/>
                <w:szCs w:val="16"/>
                <w:lang w:eastAsia="ja-JP"/>
              </w:rPr>
              <w:t>o</w:t>
            </w:r>
            <w:r>
              <w:rPr>
                <w:rFonts w:eastAsia="MS Mincho" w:cs="Arial"/>
                <w:color w:val="000000"/>
                <w:sz w:val="16"/>
                <w:szCs w:val="16"/>
                <w:lang w:eastAsia="ja-JP"/>
              </w:rPr>
              <w:t>: (</w:t>
            </w:r>
            <w:proofErr w:type="spellStart"/>
            <w:r>
              <w:rPr>
                <w:rFonts w:eastAsia="MS Mincho" w:cs="Arial"/>
                <w:color w:val="000000"/>
                <w:sz w:val="16"/>
                <w:szCs w:val="16"/>
                <w:lang w:eastAsia="ja-JP"/>
              </w:rPr>
              <w:t>i</w:t>
            </w:r>
            <w:proofErr w:type="spellEnd"/>
            <w:r>
              <w:rPr>
                <w:rFonts w:eastAsia="MS Mincho" w:cs="Arial"/>
                <w:color w:val="000000"/>
                <w:sz w:val="16"/>
                <w:szCs w:val="16"/>
                <w:lang w:eastAsia="ja-JP"/>
              </w:rPr>
              <w:t>)</w:t>
            </w:r>
            <w:r w:rsidRPr="00564035">
              <w:rPr>
                <w:rFonts w:eastAsia="MS Mincho" w:cs="Arial" w:hint="eastAsia"/>
                <w:color w:val="000000"/>
                <w:sz w:val="16"/>
                <w:szCs w:val="16"/>
                <w:lang w:eastAsia="ja-JP"/>
              </w:rPr>
              <w:t xml:space="preserve"> foster preparatory work for accession of the ASEAN Member States (AMS) to the Hague Agreement through further </w:t>
            </w:r>
            <w:r w:rsidRPr="00564035">
              <w:rPr>
                <w:rFonts w:eastAsia="MS Mincho" w:cs="Arial"/>
                <w:color w:val="000000"/>
                <w:sz w:val="16"/>
                <w:szCs w:val="16"/>
                <w:lang w:eastAsia="ja-JP"/>
              </w:rPr>
              <w:t>sharing</w:t>
            </w:r>
            <w:r>
              <w:rPr>
                <w:rFonts w:eastAsia="MS Mincho" w:cs="Arial"/>
                <w:color w:val="000000"/>
                <w:sz w:val="16"/>
                <w:szCs w:val="16"/>
                <w:lang w:eastAsia="ja-JP"/>
              </w:rPr>
              <w:t xml:space="preserve"> of</w:t>
            </w:r>
            <w:r w:rsidRPr="00564035">
              <w:rPr>
                <w:rFonts w:eastAsia="MS Mincho" w:cs="Arial" w:hint="eastAsia"/>
                <w:color w:val="000000"/>
                <w:sz w:val="16"/>
                <w:szCs w:val="16"/>
                <w:lang w:eastAsia="ja-JP"/>
              </w:rPr>
              <w:t xml:space="preserve"> information, experiences and issues </w:t>
            </w:r>
            <w:r>
              <w:rPr>
                <w:rFonts w:eastAsia="MS Mincho" w:cs="Arial"/>
                <w:color w:val="000000"/>
                <w:sz w:val="16"/>
                <w:szCs w:val="16"/>
                <w:lang w:eastAsia="ja-JP"/>
              </w:rPr>
              <w:t>of</w:t>
            </w:r>
            <w:r w:rsidRPr="00564035">
              <w:rPr>
                <w:rFonts w:eastAsia="MS Mincho" w:cs="Arial" w:hint="eastAsia"/>
                <w:color w:val="000000"/>
                <w:sz w:val="16"/>
                <w:szCs w:val="16"/>
                <w:lang w:eastAsia="ja-JP"/>
              </w:rPr>
              <w:t xml:space="preserve"> each AMS </w:t>
            </w:r>
            <w:r>
              <w:rPr>
                <w:rFonts w:eastAsia="MS Mincho" w:cs="Arial"/>
                <w:color w:val="000000"/>
                <w:sz w:val="16"/>
                <w:szCs w:val="16"/>
                <w:lang w:eastAsia="ja-JP"/>
              </w:rPr>
              <w:t xml:space="preserve">with respect to accession to </w:t>
            </w:r>
            <w:r w:rsidRPr="00564035">
              <w:rPr>
                <w:rFonts w:eastAsia="MS Mincho" w:cs="Arial" w:hint="eastAsia"/>
                <w:color w:val="000000"/>
                <w:sz w:val="16"/>
                <w:szCs w:val="16"/>
                <w:lang w:eastAsia="ja-JP"/>
              </w:rPr>
              <w:t xml:space="preserve"> the Geneva Act</w:t>
            </w:r>
            <w:r>
              <w:rPr>
                <w:rFonts w:eastAsia="MS Mincho" w:cs="Arial"/>
                <w:color w:val="000000"/>
                <w:sz w:val="16"/>
                <w:szCs w:val="16"/>
                <w:lang w:eastAsia="ja-JP"/>
              </w:rPr>
              <w:t xml:space="preserve">; </w:t>
            </w:r>
            <w:r w:rsidRPr="00564035">
              <w:rPr>
                <w:rFonts w:eastAsia="MS Mincho" w:cs="Arial" w:hint="eastAsia"/>
                <w:color w:val="000000"/>
                <w:sz w:val="16"/>
                <w:szCs w:val="16"/>
                <w:lang w:eastAsia="ja-JP"/>
              </w:rPr>
              <w:t xml:space="preserve"> and</w:t>
            </w:r>
            <w:r>
              <w:rPr>
                <w:rFonts w:eastAsia="MS Mincho" w:cs="Arial"/>
                <w:color w:val="000000"/>
                <w:sz w:val="16"/>
                <w:szCs w:val="16"/>
                <w:lang w:eastAsia="ja-JP"/>
              </w:rPr>
              <w:t xml:space="preserve"> (ii)</w:t>
            </w:r>
            <w:r w:rsidRPr="00564035">
              <w:rPr>
                <w:rFonts w:eastAsia="MS Mincho" w:cs="Arial" w:hint="eastAsia"/>
                <w:color w:val="000000"/>
                <w:sz w:val="16"/>
                <w:szCs w:val="16"/>
                <w:lang w:eastAsia="ja-JP"/>
              </w:rPr>
              <w:t xml:space="preserve"> discuss the possible solutions and best practices among AMS and the International Bureau of WIPO.</w:t>
            </w:r>
          </w:p>
        </w:tc>
      </w:tr>
      <w:tr w:rsidR="0063033D" w:rsidRPr="005B38F2" w:rsidTr="008D1891">
        <w:trPr>
          <w:cantSplit/>
          <w:trHeight w:val="473"/>
        </w:trPr>
        <w:tc>
          <w:tcPr>
            <w:tcW w:w="1843" w:type="dxa"/>
            <w:tcBorders>
              <w:top w:val="nil"/>
              <w:left w:val="single" w:sz="4" w:space="0" w:color="auto"/>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sidRPr="00564035">
              <w:rPr>
                <w:rFonts w:eastAsia="MS Mincho" w:cs="Arial" w:hint="eastAsia"/>
                <w:color w:val="000000"/>
                <w:sz w:val="16"/>
                <w:szCs w:val="16"/>
                <w:lang w:eastAsia="ja-JP"/>
              </w:rPr>
              <w:t>WIPO National Workshop on Mediation in Intellectual Property Disputes</w:t>
            </w:r>
          </w:p>
        </w:tc>
        <w:tc>
          <w:tcPr>
            <w:tcW w:w="1134" w:type="dxa"/>
            <w:tcBorders>
              <w:top w:val="nil"/>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sidRPr="00564035">
              <w:rPr>
                <w:rFonts w:eastAsia="MS Mincho" w:cs="Arial" w:hint="eastAsia"/>
                <w:color w:val="000000"/>
                <w:sz w:val="16"/>
                <w:szCs w:val="16"/>
                <w:lang w:eastAsia="ja-JP"/>
              </w:rPr>
              <w:t xml:space="preserve">March 11 </w:t>
            </w:r>
            <w:r>
              <w:rPr>
                <w:rFonts w:eastAsia="MS Mincho" w:cs="Arial"/>
                <w:color w:val="000000"/>
                <w:sz w:val="16"/>
                <w:szCs w:val="16"/>
                <w:lang w:eastAsia="ja-JP"/>
              </w:rPr>
              <w:br/>
              <w:t>to</w:t>
            </w:r>
            <w:r w:rsidRPr="00564035">
              <w:rPr>
                <w:rFonts w:eastAsia="MS Mincho" w:cs="Arial" w:hint="eastAsia"/>
                <w:color w:val="000000"/>
                <w:sz w:val="16"/>
                <w:szCs w:val="16"/>
                <w:lang w:eastAsia="ja-JP"/>
              </w:rPr>
              <w:t xml:space="preserve"> 12, 2014</w:t>
            </w:r>
          </w:p>
        </w:tc>
        <w:tc>
          <w:tcPr>
            <w:tcW w:w="1973" w:type="dxa"/>
            <w:tcBorders>
              <w:top w:val="nil"/>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sidRPr="00564035">
              <w:rPr>
                <w:rFonts w:eastAsia="MS Mincho" w:cs="Arial" w:hint="eastAsia"/>
                <w:color w:val="000000"/>
                <w:sz w:val="16"/>
                <w:szCs w:val="16"/>
                <w:lang w:eastAsia="ja-JP"/>
              </w:rPr>
              <w:t>Indonesia</w:t>
            </w:r>
          </w:p>
        </w:tc>
        <w:tc>
          <w:tcPr>
            <w:tcW w:w="4406" w:type="dxa"/>
            <w:gridSpan w:val="2"/>
            <w:tcBorders>
              <w:top w:val="nil"/>
              <w:bottom w:val="nil"/>
              <w:right w:val="single" w:sz="4" w:space="0" w:color="auto"/>
            </w:tcBorders>
          </w:tcPr>
          <w:p w:rsidR="0063033D" w:rsidRPr="00564035" w:rsidRDefault="0063033D" w:rsidP="008D1891">
            <w:pPr>
              <w:autoSpaceDE w:val="0"/>
              <w:autoSpaceDN w:val="0"/>
              <w:adjustRightInd w:val="0"/>
              <w:spacing w:before="120" w:after="120"/>
              <w:ind w:left="-96"/>
              <w:rPr>
                <w:rFonts w:eastAsia="MS Mincho" w:cs="Arial"/>
                <w:color w:val="000000"/>
                <w:sz w:val="16"/>
                <w:szCs w:val="16"/>
                <w:lang w:eastAsia="ja-JP"/>
              </w:rPr>
            </w:pPr>
            <w:r w:rsidRPr="00FA5162">
              <w:rPr>
                <w:rFonts w:eastAsia="MS Mincho" w:cs="Arial"/>
                <w:color w:val="000000"/>
                <w:sz w:val="16"/>
                <w:szCs w:val="16"/>
                <w:lang w:eastAsia="ja-JP"/>
              </w:rPr>
              <w:t>To provide a better understanding of</w:t>
            </w:r>
            <w:r>
              <w:rPr>
                <w:rFonts w:eastAsia="MS Mincho" w:cs="Arial"/>
                <w:color w:val="000000"/>
                <w:sz w:val="16"/>
                <w:szCs w:val="16"/>
                <w:lang w:eastAsia="ja-JP"/>
              </w:rPr>
              <w:t>:</w:t>
            </w:r>
            <w:r w:rsidRPr="00FA5162">
              <w:rPr>
                <w:rFonts w:eastAsia="MS Mincho" w:cs="Arial"/>
                <w:color w:val="000000"/>
                <w:sz w:val="16"/>
                <w:szCs w:val="16"/>
                <w:lang w:eastAsia="ja-JP"/>
              </w:rPr>
              <w:t xml:space="preserve"> (</w:t>
            </w:r>
            <w:proofErr w:type="spellStart"/>
            <w:r>
              <w:rPr>
                <w:rFonts w:eastAsia="MS Mincho" w:cs="Arial"/>
                <w:color w:val="000000"/>
                <w:sz w:val="16"/>
                <w:szCs w:val="16"/>
                <w:lang w:eastAsia="ja-JP"/>
              </w:rPr>
              <w:t>i</w:t>
            </w:r>
            <w:proofErr w:type="spellEnd"/>
            <w:r w:rsidRPr="00FA5162">
              <w:rPr>
                <w:rFonts w:eastAsia="MS Mincho" w:cs="Arial"/>
                <w:color w:val="000000"/>
                <w:sz w:val="16"/>
                <w:szCs w:val="16"/>
                <w:lang w:eastAsia="ja-JP"/>
              </w:rPr>
              <w:t>) the process of mediation in IP disputes; and (</w:t>
            </w:r>
            <w:r>
              <w:rPr>
                <w:rFonts w:eastAsia="MS Mincho" w:cs="Arial"/>
                <w:color w:val="000000"/>
                <w:sz w:val="16"/>
                <w:szCs w:val="16"/>
                <w:lang w:eastAsia="ja-JP"/>
              </w:rPr>
              <w:t>ii</w:t>
            </w:r>
            <w:r w:rsidRPr="00FA5162">
              <w:rPr>
                <w:rFonts w:eastAsia="MS Mincho" w:cs="Arial"/>
                <w:color w:val="000000"/>
                <w:sz w:val="16"/>
                <w:szCs w:val="16"/>
                <w:lang w:eastAsia="ja-JP"/>
              </w:rPr>
              <w:t xml:space="preserve">) benefits </w:t>
            </w:r>
            <w:r>
              <w:rPr>
                <w:rFonts w:eastAsia="MS Mincho" w:cs="Arial"/>
                <w:color w:val="000000"/>
                <w:sz w:val="16"/>
                <w:szCs w:val="16"/>
                <w:lang w:eastAsia="ja-JP"/>
              </w:rPr>
              <w:t xml:space="preserve">of </w:t>
            </w:r>
            <w:r w:rsidRPr="00FA5162">
              <w:rPr>
                <w:rFonts w:eastAsia="MS Mincho" w:cs="Arial"/>
                <w:color w:val="000000"/>
                <w:sz w:val="16"/>
                <w:szCs w:val="16"/>
                <w:lang w:eastAsia="ja-JP"/>
              </w:rPr>
              <w:t>mediation to lawyers and in-house counsels who assist their clients or organizations in IP filings with the concerned IP Offices or who advise or represent their clients or organizations in IP disputes before that Office.</w:t>
            </w:r>
          </w:p>
        </w:tc>
      </w:tr>
      <w:tr w:rsidR="0063033D" w:rsidRPr="005B38F2" w:rsidTr="008D1891">
        <w:trPr>
          <w:cantSplit/>
          <w:trHeight w:val="365"/>
        </w:trPr>
        <w:tc>
          <w:tcPr>
            <w:tcW w:w="1843" w:type="dxa"/>
            <w:tcBorders>
              <w:top w:val="nil"/>
              <w:left w:val="single" w:sz="4" w:space="0" w:color="auto"/>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sidRPr="00564035">
              <w:rPr>
                <w:rFonts w:eastAsia="MS Mincho" w:cs="Arial" w:hint="eastAsia"/>
                <w:color w:val="000000"/>
                <w:sz w:val="16"/>
                <w:szCs w:val="16"/>
                <w:lang w:eastAsia="ja-JP"/>
              </w:rPr>
              <w:t xml:space="preserve">Project on Integration of Intellectual </w:t>
            </w:r>
            <w:r w:rsidRPr="00564035">
              <w:rPr>
                <w:rFonts w:eastAsia="MS Mincho" w:cs="Arial"/>
                <w:color w:val="000000"/>
                <w:sz w:val="16"/>
                <w:szCs w:val="16"/>
                <w:lang w:eastAsia="ja-JP"/>
              </w:rPr>
              <w:t>Property</w:t>
            </w:r>
            <w:r w:rsidRPr="00564035">
              <w:rPr>
                <w:rFonts w:eastAsia="MS Mincho" w:cs="Arial" w:hint="eastAsia"/>
                <w:color w:val="000000"/>
                <w:sz w:val="16"/>
                <w:szCs w:val="16"/>
                <w:lang w:eastAsia="ja-JP"/>
              </w:rPr>
              <w:t xml:space="preserve"> into National Innovation Policy Formulation</w:t>
            </w:r>
          </w:p>
        </w:tc>
        <w:tc>
          <w:tcPr>
            <w:tcW w:w="1134" w:type="dxa"/>
            <w:tcBorders>
              <w:top w:val="nil"/>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sidRPr="00564035">
              <w:rPr>
                <w:rFonts w:eastAsia="MS Mincho" w:cs="Arial" w:hint="eastAsia"/>
                <w:color w:val="000000"/>
                <w:sz w:val="16"/>
                <w:szCs w:val="16"/>
                <w:lang w:eastAsia="ja-JP"/>
              </w:rPr>
              <w:t xml:space="preserve">April </w:t>
            </w:r>
            <w:r>
              <w:rPr>
                <w:rFonts w:eastAsia="MS Mincho" w:cs="Arial"/>
                <w:color w:val="000000"/>
                <w:sz w:val="16"/>
                <w:szCs w:val="16"/>
                <w:lang w:eastAsia="ja-JP"/>
              </w:rPr>
              <w:t>t</w:t>
            </w:r>
            <w:r w:rsidRPr="00564035">
              <w:rPr>
                <w:rFonts w:eastAsia="MS Mincho" w:cs="Arial" w:hint="eastAsia"/>
                <w:color w:val="000000"/>
                <w:sz w:val="16"/>
                <w:szCs w:val="16"/>
                <w:lang w:eastAsia="ja-JP"/>
              </w:rPr>
              <w:t xml:space="preserve">o November 2014 </w:t>
            </w:r>
          </w:p>
        </w:tc>
        <w:tc>
          <w:tcPr>
            <w:tcW w:w="1973" w:type="dxa"/>
            <w:tcBorders>
              <w:top w:val="nil"/>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sidRPr="00564035">
              <w:rPr>
                <w:rFonts w:eastAsia="MS Mincho" w:cs="Arial" w:hint="eastAsia"/>
                <w:color w:val="000000"/>
                <w:sz w:val="16"/>
                <w:szCs w:val="16"/>
                <w:lang w:eastAsia="ja-JP"/>
              </w:rPr>
              <w:t>Sri Lanka</w:t>
            </w:r>
          </w:p>
        </w:tc>
        <w:tc>
          <w:tcPr>
            <w:tcW w:w="4406" w:type="dxa"/>
            <w:gridSpan w:val="2"/>
            <w:tcBorders>
              <w:top w:val="nil"/>
              <w:bottom w:val="nil"/>
              <w:right w:val="single" w:sz="4" w:space="0" w:color="auto"/>
            </w:tcBorders>
          </w:tcPr>
          <w:p w:rsidR="0063033D" w:rsidRPr="00EB1F22" w:rsidRDefault="0063033D" w:rsidP="008D1891">
            <w:pPr>
              <w:autoSpaceDE w:val="0"/>
              <w:autoSpaceDN w:val="0"/>
              <w:adjustRightInd w:val="0"/>
              <w:spacing w:before="120" w:after="120"/>
              <w:ind w:left="-96"/>
              <w:rPr>
                <w:rFonts w:cs="Arial"/>
                <w:color w:val="000000"/>
                <w:sz w:val="16"/>
                <w:szCs w:val="16"/>
              </w:rPr>
            </w:pPr>
            <w:r w:rsidRPr="00564035">
              <w:rPr>
                <w:rFonts w:eastAsia="MS Mincho" w:cs="Arial" w:hint="eastAsia"/>
                <w:color w:val="000000"/>
                <w:sz w:val="16"/>
                <w:szCs w:val="16"/>
                <w:lang w:eastAsia="ja-JP"/>
              </w:rPr>
              <w:t>T</w:t>
            </w:r>
            <w:r w:rsidRPr="00EF104F">
              <w:rPr>
                <w:rFonts w:cs="Arial"/>
                <w:color w:val="000000"/>
                <w:sz w:val="16"/>
                <w:szCs w:val="16"/>
              </w:rPr>
              <w:t>o</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w:t>
            </w:r>
            <w:r w:rsidRPr="00EF104F">
              <w:rPr>
                <w:rFonts w:cs="Arial"/>
                <w:color w:val="000000"/>
                <w:sz w:val="16"/>
                <w:szCs w:val="16"/>
              </w:rPr>
              <w:t xml:space="preserve"> assess the efforts that have gone into innovation policy making in the country</w:t>
            </w:r>
            <w:r>
              <w:rPr>
                <w:rFonts w:cs="Arial"/>
                <w:color w:val="000000"/>
                <w:sz w:val="16"/>
                <w:szCs w:val="16"/>
              </w:rPr>
              <w:t xml:space="preserve"> and </w:t>
            </w:r>
            <w:r w:rsidRPr="00EF104F">
              <w:rPr>
                <w:rFonts w:cs="Arial"/>
                <w:color w:val="000000"/>
                <w:sz w:val="16"/>
                <w:szCs w:val="16"/>
              </w:rPr>
              <w:t>the impact of those efforts on the ground</w:t>
            </w:r>
            <w:r>
              <w:rPr>
                <w:rFonts w:cs="Arial"/>
                <w:color w:val="000000"/>
                <w:sz w:val="16"/>
                <w:szCs w:val="16"/>
              </w:rPr>
              <w:t>; (ii)</w:t>
            </w:r>
            <w:r w:rsidRPr="00EF104F">
              <w:rPr>
                <w:rFonts w:cs="Arial"/>
                <w:color w:val="000000"/>
                <w:sz w:val="16"/>
                <w:szCs w:val="16"/>
              </w:rPr>
              <w:t xml:space="preserve"> identify gaps and needs, if any</w:t>
            </w:r>
            <w:r>
              <w:rPr>
                <w:rFonts w:cs="Arial"/>
                <w:color w:val="000000"/>
                <w:sz w:val="16"/>
                <w:szCs w:val="16"/>
              </w:rPr>
              <w:t xml:space="preserve">; </w:t>
            </w:r>
            <w:r w:rsidRPr="00EF104F">
              <w:rPr>
                <w:rFonts w:cs="Arial"/>
                <w:color w:val="000000"/>
                <w:sz w:val="16"/>
                <w:szCs w:val="16"/>
              </w:rPr>
              <w:t xml:space="preserve"> and</w:t>
            </w:r>
            <w:r>
              <w:rPr>
                <w:rFonts w:cs="Arial"/>
                <w:color w:val="000000"/>
                <w:sz w:val="16"/>
                <w:szCs w:val="16"/>
              </w:rPr>
              <w:t xml:space="preserve"> (iii)</w:t>
            </w:r>
            <w:r w:rsidRPr="00EF104F">
              <w:rPr>
                <w:rFonts w:cs="Arial"/>
                <w:color w:val="000000"/>
                <w:sz w:val="16"/>
                <w:szCs w:val="16"/>
              </w:rPr>
              <w:t xml:space="preserve"> make recommendations as to the support that can be provided towards integrating the IP actors and the IP system into the innovation system.</w:t>
            </w:r>
          </w:p>
        </w:tc>
      </w:tr>
      <w:tr w:rsidR="0063033D" w:rsidRPr="005B38F2" w:rsidTr="008D1891">
        <w:trPr>
          <w:cantSplit/>
          <w:trHeight w:val="473"/>
        </w:trPr>
        <w:tc>
          <w:tcPr>
            <w:tcW w:w="1843" w:type="dxa"/>
            <w:tcBorders>
              <w:top w:val="nil"/>
              <w:left w:val="single" w:sz="4" w:space="0" w:color="auto"/>
              <w:bottom w:val="nil"/>
            </w:tcBorders>
          </w:tcPr>
          <w:p w:rsidR="0063033D" w:rsidRPr="00EB1F22" w:rsidRDefault="0063033D" w:rsidP="008D1891">
            <w:pPr>
              <w:autoSpaceDE w:val="0"/>
              <w:autoSpaceDN w:val="0"/>
              <w:adjustRightInd w:val="0"/>
              <w:spacing w:before="120" w:after="120"/>
              <w:rPr>
                <w:rFonts w:cs="Arial"/>
                <w:color w:val="000000"/>
                <w:sz w:val="16"/>
                <w:szCs w:val="16"/>
              </w:rPr>
            </w:pPr>
            <w:r w:rsidRPr="00EF104F">
              <w:rPr>
                <w:rFonts w:cs="Arial"/>
                <w:color w:val="000000"/>
                <w:sz w:val="16"/>
                <w:szCs w:val="16"/>
              </w:rPr>
              <w:t>WIPO Sub-regional Workshop on the Hague System for the International Registration of</w:t>
            </w:r>
            <w:r w:rsidRPr="00564035">
              <w:rPr>
                <w:rFonts w:eastAsia="MS Mincho" w:cs="Arial" w:hint="eastAsia"/>
                <w:color w:val="000000"/>
                <w:sz w:val="16"/>
                <w:szCs w:val="16"/>
                <w:lang w:eastAsia="ja-JP"/>
              </w:rPr>
              <w:t xml:space="preserve"> </w:t>
            </w:r>
            <w:r w:rsidRPr="00EF104F">
              <w:rPr>
                <w:rFonts w:cs="Arial"/>
                <w:color w:val="000000"/>
                <w:sz w:val="16"/>
                <w:szCs w:val="16"/>
              </w:rPr>
              <w:t>Industrial Designs</w:t>
            </w:r>
          </w:p>
        </w:tc>
        <w:tc>
          <w:tcPr>
            <w:tcW w:w="1134" w:type="dxa"/>
            <w:tcBorders>
              <w:top w:val="nil"/>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sidRPr="00564035">
              <w:rPr>
                <w:rFonts w:eastAsia="MS Mincho" w:cs="Arial" w:hint="eastAsia"/>
                <w:color w:val="000000"/>
                <w:sz w:val="16"/>
                <w:szCs w:val="16"/>
                <w:lang w:eastAsia="ja-JP"/>
              </w:rPr>
              <w:t xml:space="preserve">September 18 </w:t>
            </w:r>
            <w:r>
              <w:rPr>
                <w:rFonts w:eastAsia="MS Mincho" w:cs="Arial"/>
                <w:color w:val="000000"/>
                <w:sz w:val="16"/>
                <w:szCs w:val="16"/>
                <w:lang w:eastAsia="ja-JP"/>
              </w:rPr>
              <w:t>to</w:t>
            </w:r>
            <w:r w:rsidRPr="00564035">
              <w:rPr>
                <w:rFonts w:eastAsia="MS Mincho" w:cs="Arial" w:hint="eastAsia"/>
                <w:color w:val="000000"/>
                <w:sz w:val="16"/>
                <w:szCs w:val="16"/>
                <w:lang w:eastAsia="ja-JP"/>
              </w:rPr>
              <w:t xml:space="preserve"> 19, 2014</w:t>
            </w:r>
          </w:p>
        </w:tc>
        <w:tc>
          <w:tcPr>
            <w:tcW w:w="1973" w:type="dxa"/>
            <w:tcBorders>
              <w:top w:val="nil"/>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sidRPr="00564035">
              <w:rPr>
                <w:rFonts w:eastAsia="MS Mincho" w:cs="Arial" w:hint="eastAsia"/>
                <w:color w:val="000000"/>
                <w:sz w:val="16"/>
                <w:szCs w:val="16"/>
                <w:lang w:eastAsia="ja-JP"/>
              </w:rPr>
              <w:t>Singapore/</w:t>
            </w:r>
            <w:r>
              <w:rPr>
                <w:rFonts w:eastAsia="MS Mincho" w:cs="Arial"/>
                <w:color w:val="000000"/>
                <w:sz w:val="16"/>
                <w:szCs w:val="16"/>
                <w:lang w:eastAsia="ja-JP"/>
              </w:rPr>
              <w:t xml:space="preserve"> </w:t>
            </w:r>
            <w:r w:rsidRPr="00564035">
              <w:rPr>
                <w:rFonts w:eastAsia="MS Mincho" w:cs="Arial" w:hint="eastAsia"/>
                <w:color w:val="000000"/>
                <w:sz w:val="16"/>
                <w:szCs w:val="16"/>
                <w:lang w:eastAsia="ja-JP"/>
              </w:rPr>
              <w:t xml:space="preserve">Brunei </w:t>
            </w:r>
            <w:r w:rsidRPr="00564035">
              <w:rPr>
                <w:rFonts w:eastAsia="MS Mincho" w:cs="Arial"/>
                <w:color w:val="000000"/>
                <w:sz w:val="16"/>
                <w:szCs w:val="16"/>
                <w:lang w:eastAsia="ja-JP"/>
              </w:rPr>
              <w:t>Darussalam</w:t>
            </w:r>
            <w:r w:rsidRPr="00564035">
              <w:rPr>
                <w:rFonts w:eastAsia="MS Mincho" w:cs="Arial" w:hint="eastAsia"/>
                <w:color w:val="000000"/>
                <w:sz w:val="16"/>
                <w:szCs w:val="16"/>
                <w:lang w:eastAsia="ja-JP"/>
              </w:rPr>
              <w:t>, Cambodia, Indonesia, Lao People</w:t>
            </w:r>
            <w:r w:rsidRPr="00564035">
              <w:rPr>
                <w:rFonts w:eastAsia="MS Mincho" w:cs="Arial"/>
                <w:color w:val="000000"/>
                <w:sz w:val="16"/>
                <w:szCs w:val="16"/>
                <w:lang w:eastAsia="ja-JP"/>
              </w:rPr>
              <w:t>’</w:t>
            </w:r>
            <w:r w:rsidRPr="00564035">
              <w:rPr>
                <w:rFonts w:eastAsia="MS Mincho" w:cs="Arial" w:hint="eastAsia"/>
                <w:color w:val="000000"/>
                <w:sz w:val="16"/>
                <w:szCs w:val="16"/>
                <w:lang w:eastAsia="ja-JP"/>
              </w:rPr>
              <w:t xml:space="preserve">s Democratic Republic, </w:t>
            </w:r>
            <w:r>
              <w:rPr>
                <w:rFonts w:eastAsia="MS Mincho" w:cs="Arial" w:hint="eastAsia"/>
                <w:color w:val="000000"/>
                <w:sz w:val="16"/>
                <w:szCs w:val="16"/>
                <w:lang w:eastAsia="ja-JP"/>
              </w:rPr>
              <w:t>Malaysia, Myanmar, Philippines</w:t>
            </w:r>
            <w:r>
              <w:rPr>
                <w:rFonts w:eastAsia="MS Mincho" w:cs="Arial"/>
                <w:color w:val="000000"/>
                <w:sz w:val="16"/>
                <w:szCs w:val="16"/>
                <w:lang w:eastAsia="ja-JP"/>
              </w:rPr>
              <w:t xml:space="preserve">, </w:t>
            </w:r>
            <w:r w:rsidRPr="00564035">
              <w:rPr>
                <w:rFonts w:eastAsia="MS Mincho" w:cs="Arial" w:hint="eastAsia"/>
                <w:color w:val="000000"/>
                <w:sz w:val="16"/>
                <w:szCs w:val="16"/>
                <w:lang w:eastAsia="ja-JP"/>
              </w:rPr>
              <w:t xml:space="preserve">Thailand and Viet Nam  </w:t>
            </w:r>
          </w:p>
        </w:tc>
        <w:tc>
          <w:tcPr>
            <w:tcW w:w="4406" w:type="dxa"/>
            <w:gridSpan w:val="2"/>
            <w:tcBorders>
              <w:top w:val="nil"/>
              <w:bottom w:val="nil"/>
              <w:right w:val="single" w:sz="4" w:space="0" w:color="auto"/>
            </w:tcBorders>
          </w:tcPr>
          <w:p w:rsidR="0063033D" w:rsidRPr="00EB1F22" w:rsidRDefault="0063033D" w:rsidP="008D1891">
            <w:pPr>
              <w:autoSpaceDE w:val="0"/>
              <w:autoSpaceDN w:val="0"/>
              <w:adjustRightInd w:val="0"/>
              <w:spacing w:before="120" w:after="120"/>
              <w:ind w:left="-96"/>
              <w:rPr>
                <w:rFonts w:cs="Arial"/>
                <w:color w:val="000000"/>
                <w:sz w:val="16"/>
                <w:szCs w:val="16"/>
              </w:rPr>
            </w:pPr>
            <w:r w:rsidRPr="00564035">
              <w:rPr>
                <w:rFonts w:eastAsia="MS Mincho" w:cs="Arial" w:hint="eastAsia"/>
                <w:color w:val="000000"/>
                <w:sz w:val="16"/>
                <w:szCs w:val="16"/>
                <w:lang w:eastAsia="ja-JP"/>
              </w:rPr>
              <w:t>T</w:t>
            </w:r>
            <w:r w:rsidRPr="00EB74A9">
              <w:rPr>
                <w:rFonts w:cs="Arial"/>
                <w:color w:val="000000"/>
                <w:sz w:val="16"/>
                <w:szCs w:val="16"/>
              </w:rPr>
              <w:t>o enhance understanding of the issue</w:t>
            </w:r>
            <w:r>
              <w:rPr>
                <w:rFonts w:cs="Arial"/>
                <w:color w:val="000000"/>
                <w:sz w:val="16"/>
                <w:szCs w:val="16"/>
              </w:rPr>
              <w:t>s</w:t>
            </w:r>
            <w:r w:rsidRPr="00EB74A9">
              <w:rPr>
                <w:rFonts w:cs="Arial"/>
                <w:color w:val="000000"/>
                <w:sz w:val="16"/>
                <w:szCs w:val="16"/>
              </w:rPr>
              <w:t xml:space="preserve"> involved in accession to</w:t>
            </w:r>
            <w:r w:rsidRPr="00564035">
              <w:rPr>
                <w:rFonts w:eastAsia="MS Mincho" w:cs="Arial" w:hint="eastAsia"/>
                <w:color w:val="000000"/>
                <w:sz w:val="16"/>
                <w:szCs w:val="16"/>
                <w:lang w:eastAsia="ja-JP"/>
              </w:rPr>
              <w:t xml:space="preserve"> </w:t>
            </w:r>
            <w:r w:rsidRPr="00EB74A9">
              <w:rPr>
                <w:rFonts w:cs="Arial"/>
                <w:color w:val="000000"/>
                <w:sz w:val="16"/>
                <w:szCs w:val="16"/>
              </w:rPr>
              <w:t>the Hague Agreement.</w:t>
            </w:r>
          </w:p>
        </w:tc>
      </w:tr>
      <w:tr w:rsidR="0063033D" w:rsidRPr="005B38F2" w:rsidTr="008D1891">
        <w:trPr>
          <w:cantSplit/>
          <w:trHeight w:val="473"/>
        </w:trPr>
        <w:tc>
          <w:tcPr>
            <w:tcW w:w="1843" w:type="dxa"/>
            <w:tcBorders>
              <w:top w:val="nil"/>
              <w:left w:val="single" w:sz="4" w:space="0" w:color="auto"/>
              <w:bottom w:val="nil"/>
            </w:tcBorders>
          </w:tcPr>
          <w:p w:rsidR="0063033D" w:rsidRPr="005B38F2" w:rsidRDefault="0063033D" w:rsidP="008D1891">
            <w:pPr>
              <w:autoSpaceDE w:val="0"/>
              <w:autoSpaceDN w:val="0"/>
              <w:adjustRightInd w:val="0"/>
              <w:spacing w:before="120" w:after="120"/>
              <w:rPr>
                <w:rFonts w:cs="Arial"/>
                <w:color w:val="000000"/>
                <w:sz w:val="16"/>
                <w:szCs w:val="16"/>
              </w:rPr>
            </w:pPr>
            <w:r w:rsidRPr="00EB1F22">
              <w:rPr>
                <w:rFonts w:cs="Arial"/>
                <w:color w:val="000000"/>
                <w:sz w:val="16"/>
                <w:szCs w:val="16"/>
              </w:rPr>
              <w:t>WIPO Regional Seminar on Building Respect for IP for Members of the Judiciary</w:t>
            </w:r>
          </w:p>
        </w:tc>
        <w:tc>
          <w:tcPr>
            <w:tcW w:w="1134" w:type="dxa"/>
            <w:tcBorders>
              <w:top w:val="nil"/>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sidRPr="00564035">
              <w:rPr>
                <w:rFonts w:eastAsia="MS Mincho" w:cs="Arial" w:hint="eastAsia"/>
                <w:color w:val="000000"/>
                <w:sz w:val="16"/>
                <w:szCs w:val="16"/>
                <w:lang w:eastAsia="ja-JP"/>
              </w:rPr>
              <w:t>November 24 and 25, 201</w:t>
            </w:r>
            <w:r>
              <w:rPr>
                <w:rFonts w:eastAsia="MS Mincho" w:cs="Arial"/>
                <w:color w:val="000000"/>
                <w:sz w:val="16"/>
                <w:szCs w:val="16"/>
                <w:lang w:eastAsia="ja-JP"/>
              </w:rPr>
              <w:t>4</w:t>
            </w:r>
          </w:p>
        </w:tc>
        <w:tc>
          <w:tcPr>
            <w:tcW w:w="1973" w:type="dxa"/>
            <w:tcBorders>
              <w:top w:val="nil"/>
              <w:bottom w:val="nil"/>
            </w:tcBorders>
          </w:tcPr>
          <w:p w:rsidR="0063033D" w:rsidRPr="008F7B65" w:rsidRDefault="0063033D" w:rsidP="008D1891">
            <w:pPr>
              <w:autoSpaceDE w:val="0"/>
              <w:autoSpaceDN w:val="0"/>
              <w:adjustRightInd w:val="0"/>
              <w:spacing w:before="120" w:after="120"/>
              <w:rPr>
                <w:rFonts w:eastAsia="MS Mincho" w:cs="Arial"/>
                <w:color w:val="000000"/>
                <w:sz w:val="16"/>
                <w:szCs w:val="16"/>
                <w:lang w:val="es-ES" w:eastAsia="ja-JP"/>
              </w:rPr>
            </w:pPr>
            <w:r w:rsidRPr="008F7B65">
              <w:rPr>
                <w:rFonts w:eastAsia="MS Mincho" w:cs="Arial" w:hint="eastAsia"/>
                <w:color w:val="000000"/>
                <w:sz w:val="16"/>
                <w:szCs w:val="16"/>
                <w:lang w:val="es-ES" w:eastAsia="ja-JP"/>
              </w:rPr>
              <w:t xml:space="preserve">Sri Lanka/Bangladesh, </w:t>
            </w:r>
            <w:proofErr w:type="spellStart"/>
            <w:r w:rsidRPr="008F7B65">
              <w:rPr>
                <w:rFonts w:eastAsia="MS Mincho" w:cs="Arial" w:hint="eastAsia"/>
                <w:color w:val="000000"/>
                <w:sz w:val="16"/>
                <w:szCs w:val="16"/>
                <w:lang w:val="es-ES" w:eastAsia="ja-JP"/>
              </w:rPr>
              <w:t>Bhutan</w:t>
            </w:r>
            <w:proofErr w:type="spellEnd"/>
            <w:r w:rsidRPr="008F7B65">
              <w:rPr>
                <w:rFonts w:eastAsia="MS Mincho" w:cs="Arial" w:hint="eastAsia"/>
                <w:color w:val="000000"/>
                <w:sz w:val="16"/>
                <w:szCs w:val="16"/>
                <w:lang w:val="es-ES" w:eastAsia="ja-JP"/>
              </w:rPr>
              <w:t xml:space="preserve">, India, Myanmar, Nepal, </w:t>
            </w:r>
            <w:proofErr w:type="spellStart"/>
            <w:r w:rsidRPr="008F7B65">
              <w:rPr>
                <w:rFonts w:eastAsia="MS Mincho" w:cs="Arial" w:hint="eastAsia"/>
                <w:color w:val="000000"/>
                <w:sz w:val="16"/>
                <w:szCs w:val="16"/>
                <w:lang w:val="es-ES" w:eastAsia="ja-JP"/>
              </w:rPr>
              <w:t>Pakistan</w:t>
            </w:r>
            <w:proofErr w:type="spellEnd"/>
            <w:r w:rsidRPr="008F7B65">
              <w:rPr>
                <w:rFonts w:eastAsia="MS Mincho" w:cs="Arial" w:hint="eastAsia"/>
                <w:color w:val="000000"/>
                <w:sz w:val="16"/>
                <w:szCs w:val="16"/>
                <w:lang w:val="es-ES" w:eastAsia="ja-JP"/>
              </w:rPr>
              <w:t xml:space="preserve"> </w:t>
            </w:r>
          </w:p>
        </w:tc>
        <w:tc>
          <w:tcPr>
            <w:tcW w:w="4406" w:type="dxa"/>
            <w:gridSpan w:val="2"/>
            <w:tcBorders>
              <w:top w:val="nil"/>
              <w:bottom w:val="nil"/>
              <w:right w:val="single" w:sz="4" w:space="0" w:color="auto"/>
            </w:tcBorders>
          </w:tcPr>
          <w:p w:rsidR="0063033D" w:rsidRPr="000514BA" w:rsidRDefault="0063033D" w:rsidP="008D1891">
            <w:pPr>
              <w:autoSpaceDE w:val="0"/>
              <w:autoSpaceDN w:val="0"/>
              <w:adjustRightInd w:val="0"/>
              <w:spacing w:before="120" w:after="120"/>
              <w:ind w:left="-96"/>
              <w:rPr>
                <w:rFonts w:cs="Arial"/>
                <w:color w:val="000000"/>
                <w:sz w:val="16"/>
                <w:szCs w:val="16"/>
              </w:rPr>
            </w:pPr>
            <w:r w:rsidRPr="00564035">
              <w:rPr>
                <w:rFonts w:eastAsia="MS Mincho" w:cs="Arial" w:hint="eastAsia"/>
                <w:color w:val="000000"/>
                <w:sz w:val="16"/>
                <w:szCs w:val="16"/>
                <w:lang w:eastAsia="ja-JP"/>
              </w:rPr>
              <w:t>T</w:t>
            </w:r>
            <w:r w:rsidRPr="00EB1F22">
              <w:rPr>
                <w:rFonts w:cs="Arial"/>
                <w:color w:val="000000"/>
                <w:sz w:val="16"/>
                <w:szCs w:val="16"/>
              </w:rPr>
              <w:t>o: (</w:t>
            </w:r>
            <w:proofErr w:type="spellStart"/>
            <w:r w:rsidRPr="00EB1F22">
              <w:rPr>
                <w:rFonts w:cs="Arial"/>
                <w:color w:val="000000"/>
                <w:sz w:val="16"/>
                <w:szCs w:val="16"/>
              </w:rPr>
              <w:t>i</w:t>
            </w:r>
            <w:proofErr w:type="spellEnd"/>
            <w:r w:rsidRPr="00EB1F22">
              <w:rPr>
                <w:rFonts w:cs="Arial"/>
                <w:color w:val="000000"/>
                <w:sz w:val="16"/>
                <w:szCs w:val="16"/>
              </w:rPr>
              <w:t>) discuss the scope and impact of counterfeiting and piracy in</w:t>
            </w:r>
            <w:r w:rsidRPr="00564035">
              <w:rPr>
                <w:rFonts w:eastAsia="MS Mincho" w:cs="Arial" w:hint="eastAsia"/>
                <w:color w:val="000000"/>
                <w:sz w:val="16"/>
                <w:szCs w:val="16"/>
                <w:lang w:eastAsia="ja-JP"/>
              </w:rPr>
              <w:t xml:space="preserve"> </w:t>
            </w:r>
            <w:r w:rsidRPr="00EB1F22">
              <w:rPr>
                <w:rFonts w:cs="Arial"/>
                <w:color w:val="000000"/>
                <w:sz w:val="16"/>
                <w:szCs w:val="16"/>
              </w:rPr>
              <w:t>the region, including the need for public awareness;</w:t>
            </w:r>
            <w:r>
              <w:rPr>
                <w:rFonts w:cs="Arial"/>
                <w:color w:val="000000"/>
                <w:sz w:val="16"/>
                <w:szCs w:val="16"/>
              </w:rPr>
              <w:t xml:space="preserve"> </w:t>
            </w:r>
            <w:r w:rsidRPr="00EB1F22">
              <w:rPr>
                <w:rFonts w:cs="Arial"/>
                <w:color w:val="000000"/>
                <w:sz w:val="16"/>
                <w:szCs w:val="16"/>
              </w:rPr>
              <w:t>(ii) examine evidentiary and procedural</w:t>
            </w:r>
            <w:r w:rsidRPr="00564035">
              <w:rPr>
                <w:rFonts w:eastAsia="MS Mincho" w:cs="Arial" w:hint="eastAsia"/>
                <w:color w:val="000000"/>
                <w:sz w:val="16"/>
                <w:szCs w:val="16"/>
                <w:lang w:eastAsia="ja-JP"/>
              </w:rPr>
              <w:t xml:space="preserve"> </w:t>
            </w:r>
            <w:r w:rsidRPr="00EB1F22">
              <w:rPr>
                <w:rFonts w:cs="Arial"/>
                <w:color w:val="000000"/>
                <w:sz w:val="16"/>
                <w:szCs w:val="16"/>
              </w:rPr>
              <w:t>requirements in criminal</w:t>
            </w:r>
            <w:r>
              <w:rPr>
                <w:rFonts w:cs="Arial"/>
                <w:color w:val="000000"/>
                <w:sz w:val="16"/>
                <w:szCs w:val="16"/>
              </w:rPr>
              <w:t xml:space="preserve"> and</w:t>
            </w:r>
            <w:r w:rsidRPr="00EB1F22">
              <w:rPr>
                <w:rFonts w:cs="Arial"/>
                <w:color w:val="000000"/>
                <w:sz w:val="16"/>
                <w:szCs w:val="16"/>
              </w:rPr>
              <w:t xml:space="preserve"> civil proceedings</w:t>
            </w:r>
            <w:r>
              <w:rPr>
                <w:rFonts w:cs="Arial"/>
                <w:color w:val="000000"/>
                <w:sz w:val="16"/>
                <w:szCs w:val="16"/>
              </w:rPr>
              <w:t>,</w:t>
            </w:r>
            <w:r w:rsidRPr="00EB1F22">
              <w:rPr>
                <w:rFonts w:cs="Arial"/>
                <w:color w:val="000000"/>
                <w:sz w:val="16"/>
                <w:szCs w:val="16"/>
              </w:rPr>
              <w:t xml:space="preserve"> interim measures and orders</w:t>
            </w:r>
            <w:r>
              <w:rPr>
                <w:rFonts w:cs="Arial"/>
                <w:color w:val="000000"/>
                <w:sz w:val="16"/>
                <w:szCs w:val="16"/>
              </w:rPr>
              <w:t xml:space="preserve">, </w:t>
            </w:r>
            <w:r w:rsidRPr="00EB1F22">
              <w:rPr>
                <w:rFonts w:cs="Arial"/>
                <w:color w:val="000000"/>
                <w:sz w:val="16"/>
                <w:szCs w:val="16"/>
              </w:rPr>
              <w:t>corrective</w:t>
            </w:r>
            <w:r w:rsidRPr="00564035">
              <w:rPr>
                <w:rFonts w:eastAsia="MS Mincho" w:cs="Arial" w:hint="eastAsia"/>
                <w:color w:val="000000"/>
                <w:sz w:val="16"/>
                <w:szCs w:val="16"/>
                <w:lang w:eastAsia="ja-JP"/>
              </w:rPr>
              <w:t xml:space="preserve"> </w:t>
            </w:r>
            <w:r w:rsidRPr="00EB1F22">
              <w:rPr>
                <w:rFonts w:cs="Arial"/>
                <w:color w:val="000000"/>
                <w:sz w:val="16"/>
                <w:szCs w:val="16"/>
              </w:rPr>
              <w:t>measures, as well as sentencing options; (iii) review topical issues</w:t>
            </w:r>
            <w:r>
              <w:rPr>
                <w:rFonts w:cs="Arial"/>
                <w:color w:val="000000"/>
                <w:sz w:val="16"/>
                <w:szCs w:val="16"/>
              </w:rPr>
              <w:t xml:space="preserve">, </w:t>
            </w:r>
            <w:r w:rsidRPr="00EB1F22">
              <w:rPr>
                <w:rFonts w:cs="Arial"/>
                <w:color w:val="000000"/>
                <w:sz w:val="16"/>
                <w:szCs w:val="16"/>
              </w:rPr>
              <w:t>case-law developments,</w:t>
            </w:r>
            <w:r w:rsidRPr="00564035">
              <w:rPr>
                <w:rFonts w:eastAsia="MS Mincho" w:cs="Arial" w:hint="eastAsia"/>
                <w:color w:val="000000"/>
                <w:sz w:val="16"/>
                <w:szCs w:val="16"/>
                <w:lang w:eastAsia="ja-JP"/>
              </w:rPr>
              <w:t xml:space="preserve"> </w:t>
            </w:r>
            <w:r w:rsidRPr="00EB1F22">
              <w:rPr>
                <w:rFonts w:cs="Arial"/>
                <w:color w:val="000000"/>
                <w:sz w:val="16"/>
                <w:szCs w:val="16"/>
              </w:rPr>
              <w:t xml:space="preserve">including online IP infringements; </w:t>
            </w:r>
            <w:r>
              <w:rPr>
                <w:rFonts w:cs="Arial"/>
                <w:color w:val="000000"/>
                <w:sz w:val="16"/>
                <w:szCs w:val="16"/>
              </w:rPr>
              <w:t xml:space="preserve"> </w:t>
            </w:r>
            <w:r w:rsidRPr="00EB1F22">
              <w:rPr>
                <w:rFonts w:cs="Arial"/>
                <w:color w:val="000000"/>
                <w:sz w:val="16"/>
                <w:szCs w:val="16"/>
              </w:rPr>
              <w:t xml:space="preserve">and </w:t>
            </w:r>
            <w:r>
              <w:rPr>
                <w:rFonts w:cs="Arial"/>
                <w:color w:val="000000"/>
                <w:sz w:val="16"/>
                <w:szCs w:val="16"/>
              </w:rPr>
              <w:t xml:space="preserve">(iv) </w:t>
            </w:r>
            <w:r w:rsidRPr="00EB1F22">
              <w:rPr>
                <w:rFonts w:cs="Arial"/>
                <w:color w:val="000000"/>
                <w:sz w:val="16"/>
                <w:szCs w:val="16"/>
              </w:rPr>
              <w:t>exchange experiences and information.</w:t>
            </w:r>
          </w:p>
        </w:tc>
      </w:tr>
      <w:tr w:rsidR="0063033D" w:rsidRPr="005B38F2" w:rsidTr="008D1891">
        <w:trPr>
          <w:cantSplit/>
          <w:trHeight w:val="473"/>
        </w:trPr>
        <w:tc>
          <w:tcPr>
            <w:tcW w:w="1843" w:type="dxa"/>
            <w:tcBorders>
              <w:top w:val="nil"/>
              <w:left w:val="single" w:sz="4" w:space="0" w:color="auto"/>
              <w:bottom w:val="single" w:sz="4" w:space="0" w:color="auto"/>
            </w:tcBorders>
          </w:tcPr>
          <w:p w:rsidR="0063033D" w:rsidRPr="00564035" w:rsidRDefault="0063033D" w:rsidP="008D1891">
            <w:pPr>
              <w:autoSpaceDE w:val="0"/>
              <w:autoSpaceDN w:val="0"/>
              <w:adjustRightInd w:val="0"/>
              <w:spacing w:before="120" w:after="120"/>
              <w:rPr>
                <w:rFonts w:eastAsia="MS Mincho" w:cs="Arial"/>
                <w:sz w:val="16"/>
                <w:szCs w:val="16"/>
                <w:lang w:eastAsia="ja-JP"/>
              </w:rPr>
            </w:pPr>
            <w:r w:rsidRPr="00564035">
              <w:rPr>
                <w:rFonts w:eastAsia="MS Mincho" w:cs="Arial" w:hint="eastAsia"/>
                <w:sz w:val="16"/>
                <w:szCs w:val="16"/>
                <w:lang w:eastAsia="ja-JP"/>
              </w:rPr>
              <w:t xml:space="preserve">Translation of </w:t>
            </w:r>
            <w:r>
              <w:rPr>
                <w:rFonts w:eastAsia="MS Mincho" w:cs="Arial"/>
                <w:sz w:val="16"/>
                <w:szCs w:val="16"/>
                <w:lang w:eastAsia="ja-JP"/>
              </w:rPr>
              <w:t>National Legislation</w:t>
            </w:r>
          </w:p>
        </w:tc>
        <w:tc>
          <w:tcPr>
            <w:tcW w:w="1134" w:type="dxa"/>
            <w:tcBorders>
              <w:top w:val="nil"/>
              <w:bottom w:val="single" w:sz="4" w:space="0" w:color="auto"/>
            </w:tcBorders>
          </w:tcPr>
          <w:p w:rsidR="0063033D" w:rsidRDefault="0063033D" w:rsidP="008D1891">
            <w:pPr>
              <w:spacing w:before="120" w:after="120"/>
              <w:rPr>
                <w:rFonts w:eastAsia="MS Mincho" w:cs="Arial"/>
                <w:sz w:val="16"/>
                <w:szCs w:val="16"/>
                <w:lang w:eastAsia="ja-JP"/>
              </w:rPr>
            </w:pPr>
            <w:r>
              <w:rPr>
                <w:rFonts w:eastAsia="MS Mincho" w:cs="Arial" w:hint="eastAsia"/>
                <w:sz w:val="16"/>
                <w:szCs w:val="16"/>
                <w:lang w:eastAsia="ja-JP"/>
              </w:rPr>
              <w:t>2014 (Initiated)</w:t>
            </w:r>
          </w:p>
        </w:tc>
        <w:tc>
          <w:tcPr>
            <w:tcW w:w="1973" w:type="dxa"/>
            <w:tcBorders>
              <w:top w:val="nil"/>
              <w:bottom w:val="single" w:sz="4" w:space="0" w:color="auto"/>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sidRPr="00564035">
              <w:rPr>
                <w:rFonts w:eastAsia="MS Mincho" w:cs="Arial" w:hint="eastAsia"/>
                <w:color w:val="000000"/>
                <w:sz w:val="16"/>
                <w:szCs w:val="16"/>
                <w:lang w:eastAsia="ja-JP"/>
              </w:rPr>
              <w:t>Bhutan</w:t>
            </w:r>
          </w:p>
        </w:tc>
        <w:tc>
          <w:tcPr>
            <w:tcW w:w="4406" w:type="dxa"/>
            <w:gridSpan w:val="2"/>
            <w:tcBorders>
              <w:top w:val="nil"/>
              <w:bottom w:val="single" w:sz="4" w:space="0" w:color="auto"/>
              <w:right w:val="single" w:sz="4" w:space="0" w:color="auto"/>
            </w:tcBorders>
          </w:tcPr>
          <w:p w:rsidR="0063033D" w:rsidRPr="00564035" w:rsidRDefault="0063033D" w:rsidP="008D1891">
            <w:pPr>
              <w:autoSpaceDE w:val="0"/>
              <w:autoSpaceDN w:val="0"/>
              <w:adjustRightInd w:val="0"/>
              <w:spacing w:before="120" w:after="120"/>
              <w:ind w:left="-108"/>
              <w:rPr>
                <w:rFonts w:eastAsia="MS Mincho" w:cs="Arial"/>
                <w:sz w:val="16"/>
                <w:szCs w:val="16"/>
                <w:lang w:eastAsia="ja-JP"/>
              </w:rPr>
            </w:pPr>
            <w:r w:rsidRPr="00564035">
              <w:rPr>
                <w:rFonts w:eastAsia="MS Mincho" w:cs="Arial"/>
                <w:sz w:val="16"/>
                <w:szCs w:val="16"/>
                <w:lang w:eastAsia="ja-JP"/>
              </w:rPr>
              <w:t>T</w:t>
            </w:r>
            <w:r w:rsidRPr="00564035">
              <w:rPr>
                <w:rFonts w:eastAsia="MS Mincho" w:cs="Arial" w:hint="eastAsia"/>
                <w:sz w:val="16"/>
                <w:szCs w:val="16"/>
                <w:lang w:eastAsia="ja-JP"/>
              </w:rPr>
              <w:t xml:space="preserve">he national legislations on Industrial Property and </w:t>
            </w:r>
            <w:r w:rsidRPr="00564035">
              <w:rPr>
                <w:rFonts w:eastAsia="MS Mincho" w:cs="Arial"/>
                <w:sz w:val="16"/>
                <w:szCs w:val="16"/>
                <w:lang w:eastAsia="ja-JP"/>
              </w:rPr>
              <w:t>Copyright</w:t>
            </w:r>
            <w:r w:rsidRPr="00564035">
              <w:rPr>
                <w:rFonts w:eastAsia="MS Mincho" w:cs="Arial" w:hint="eastAsia"/>
                <w:sz w:val="16"/>
                <w:szCs w:val="16"/>
                <w:lang w:eastAsia="ja-JP"/>
              </w:rPr>
              <w:t xml:space="preserve"> are undergoing translation into Dzongkha.</w:t>
            </w:r>
          </w:p>
        </w:tc>
      </w:tr>
      <w:tr w:rsidR="0063033D" w:rsidRPr="00774D44" w:rsidTr="008D1891">
        <w:trPr>
          <w:cantSplit/>
          <w:trHeight w:val="315"/>
        </w:trPr>
        <w:tc>
          <w:tcPr>
            <w:tcW w:w="9356" w:type="dxa"/>
            <w:gridSpan w:val="5"/>
            <w:tcBorders>
              <w:top w:val="single" w:sz="4" w:space="0" w:color="auto"/>
              <w:bottom w:val="single" w:sz="4" w:space="0" w:color="auto"/>
            </w:tcBorders>
            <w:shd w:val="clear" w:color="auto" w:fill="CCFFFF"/>
          </w:tcPr>
          <w:p w:rsidR="0063033D" w:rsidRPr="00774D44" w:rsidRDefault="0063033D" w:rsidP="008D1891">
            <w:pPr>
              <w:keepNext/>
              <w:keepLines/>
              <w:tabs>
                <w:tab w:val="left" w:pos="1740"/>
              </w:tabs>
              <w:spacing w:before="120" w:after="120"/>
              <w:ind w:left="1740" w:hanging="1740"/>
              <w:rPr>
                <w:rFonts w:cs="Arial"/>
                <w:color w:val="000000"/>
                <w:sz w:val="16"/>
                <w:szCs w:val="16"/>
              </w:rPr>
            </w:pPr>
            <w:r w:rsidRPr="00712F53">
              <w:rPr>
                <w:rFonts w:cs="Arial"/>
                <w:b/>
                <w:bCs/>
                <w:color w:val="000000"/>
                <w:sz w:val="16"/>
                <w:szCs w:val="16"/>
              </w:rPr>
              <w:lastRenderedPageBreak/>
              <w:t>RESULT</w:t>
            </w:r>
            <w:r w:rsidRPr="00712F53">
              <w:rPr>
                <w:rFonts w:cs="Arial"/>
                <w:bCs/>
                <w:sz w:val="16"/>
                <w:szCs w:val="16"/>
                <w:lang w:val="en-AU"/>
              </w:rPr>
              <w:t>:</w:t>
            </w:r>
            <w:r w:rsidRPr="00712F53">
              <w:rPr>
                <w:rFonts w:cs="Arial"/>
                <w:bCs/>
                <w:sz w:val="16"/>
                <w:szCs w:val="16"/>
                <w:lang w:val="en-AU"/>
              </w:rPr>
              <w:tab/>
            </w:r>
            <w:r w:rsidRPr="009F377C">
              <w:rPr>
                <w:rFonts w:cs="Arial"/>
                <w:bCs/>
                <w:sz w:val="16"/>
                <w:szCs w:val="16"/>
                <w:lang w:val="en-AU"/>
              </w:rPr>
              <w:t>III.2. Enhanced human resource capacities able to deal with the broad range of requirements for the effective use of IP for development in developing countries, LDCs and countries with economies in transition</w:t>
            </w:r>
          </w:p>
        </w:tc>
      </w:tr>
      <w:tr w:rsidR="0063033D" w:rsidRPr="00774D44" w:rsidTr="008D1891">
        <w:trPr>
          <w:cantSplit/>
          <w:trHeight w:val="402"/>
        </w:trPr>
        <w:tc>
          <w:tcPr>
            <w:tcW w:w="1843" w:type="dxa"/>
            <w:tcBorders>
              <w:top w:val="single" w:sz="4" w:space="0" w:color="auto"/>
              <w:left w:val="single" w:sz="4" w:space="0" w:color="auto"/>
              <w:bottom w:val="nil"/>
            </w:tcBorders>
            <w:vAlign w:val="center"/>
          </w:tcPr>
          <w:p w:rsidR="0063033D" w:rsidRPr="002B7DE5" w:rsidRDefault="0063033D" w:rsidP="008D1891">
            <w:pPr>
              <w:keepNext/>
              <w:keepLines/>
              <w:spacing w:before="120"/>
              <w:rPr>
                <w:rFonts w:cs="Arial"/>
                <w:b/>
                <w:bCs/>
                <w:sz w:val="16"/>
                <w:szCs w:val="16"/>
              </w:rPr>
            </w:pPr>
            <w:r w:rsidRPr="002B7DE5">
              <w:rPr>
                <w:rFonts w:cs="Arial"/>
                <w:b/>
                <w:bCs/>
                <w:sz w:val="16"/>
                <w:szCs w:val="16"/>
              </w:rPr>
              <w:t>Activity</w:t>
            </w:r>
          </w:p>
        </w:tc>
        <w:tc>
          <w:tcPr>
            <w:tcW w:w="1134" w:type="dxa"/>
            <w:tcBorders>
              <w:top w:val="single" w:sz="4" w:space="0" w:color="auto"/>
              <w:bottom w:val="nil"/>
            </w:tcBorders>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Date</w:t>
            </w:r>
          </w:p>
        </w:tc>
        <w:tc>
          <w:tcPr>
            <w:tcW w:w="1985" w:type="dxa"/>
            <w:gridSpan w:val="2"/>
            <w:tcBorders>
              <w:top w:val="single" w:sz="4" w:space="0" w:color="auto"/>
              <w:bottom w:val="nil"/>
            </w:tcBorders>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auto"/>
              <w:bottom w:val="nil"/>
              <w:right w:val="single" w:sz="4" w:space="0" w:color="auto"/>
            </w:tcBorders>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Purpose(s)/Description(s)</w:t>
            </w:r>
          </w:p>
        </w:tc>
      </w:tr>
      <w:tr w:rsidR="0063033D" w:rsidRPr="00774D44" w:rsidTr="00592948">
        <w:trPr>
          <w:cantSplit/>
          <w:trHeight w:val="315"/>
        </w:trPr>
        <w:tc>
          <w:tcPr>
            <w:tcW w:w="1843" w:type="dxa"/>
            <w:tcBorders>
              <w:top w:val="nil"/>
              <w:left w:val="single" w:sz="4" w:space="0" w:color="auto"/>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sidRPr="003B2563">
              <w:rPr>
                <w:rFonts w:eastAsia="MS Mincho" w:cs="Arial" w:hint="eastAsia"/>
                <w:color w:val="000000"/>
                <w:sz w:val="16"/>
                <w:szCs w:val="16"/>
                <w:lang w:eastAsia="ja-JP"/>
              </w:rPr>
              <w:t>Expert Mission on</w:t>
            </w:r>
            <w:r>
              <w:rPr>
                <w:rFonts w:eastAsia="MS Mincho" w:cs="Arial" w:hint="eastAsia"/>
                <w:color w:val="000000"/>
                <w:sz w:val="16"/>
                <w:szCs w:val="16"/>
                <w:lang w:eastAsia="ja-JP"/>
              </w:rPr>
              <w:t xml:space="preserve"> Patent Search and Examination </w:t>
            </w:r>
          </w:p>
        </w:tc>
        <w:tc>
          <w:tcPr>
            <w:tcW w:w="1134" w:type="dxa"/>
            <w:tcBorders>
              <w:top w:val="nil"/>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sidRPr="00564035">
              <w:rPr>
                <w:rFonts w:eastAsia="MS Mincho" w:cs="Arial" w:hint="eastAsia"/>
                <w:color w:val="000000"/>
                <w:sz w:val="16"/>
                <w:szCs w:val="16"/>
                <w:lang w:eastAsia="ja-JP"/>
              </w:rPr>
              <w:t xml:space="preserve">March 10 </w:t>
            </w:r>
            <w:r>
              <w:rPr>
                <w:rFonts w:eastAsia="MS Mincho" w:cs="Arial"/>
                <w:color w:val="000000"/>
                <w:sz w:val="16"/>
                <w:szCs w:val="16"/>
                <w:lang w:eastAsia="ja-JP"/>
              </w:rPr>
              <w:br/>
            </w:r>
            <w:r w:rsidRPr="00564035">
              <w:rPr>
                <w:rFonts w:eastAsia="MS Mincho" w:cs="Arial" w:hint="eastAsia"/>
                <w:color w:val="000000"/>
                <w:sz w:val="16"/>
                <w:szCs w:val="16"/>
                <w:lang w:eastAsia="ja-JP"/>
              </w:rPr>
              <w:t>to 14, 2014</w:t>
            </w:r>
          </w:p>
        </w:tc>
        <w:tc>
          <w:tcPr>
            <w:tcW w:w="1985" w:type="dxa"/>
            <w:gridSpan w:val="2"/>
            <w:tcBorders>
              <w:top w:val="nil"/>
              <w:bottom w:val="nil"/>
            </w:tcBorders>
          </w:tcPr>
          <w:p w:rsidR="0063033D" w:rsidRPr="009D6EB3" w:rsidRDefault="0063033D" w:rsidP="008D1891">
            <w:pPr>
              <w:autoSpaceDE w:val="0"/>
              <w:autoSpaceDN w:val="0"/>
              <w:adjustRightInd w:val="0"/>
              <w:spacing w:before="120" w:after="120"/>
              <w:rPr>
                <w:rFonts w:eastAsia="MS Mincho" w:cs="Arial"/>
                <w:sz w:val="16"/>
                <w:szCs w:val="16"/>
                <w:lang w:eastAsia="ja-JP"/>
              </w:rPr>
            </w:pPr>
            <w:r w:rsidRPr="009D6EB3">
              <w:rPr>
                <w:rFonts w:eastAsia="MS Mincho" w:cs="Arial" w:hint="eastAsia"/>
                <w:sz w:val="16"/>
                <w:szCs w:val="16"/>
                <w:lang w:eastAsia="ja-JP"/>
              </w:rPr>
              <w:t>Philippines</w:t>
            </w:r>
          </w:p>
        </w:tc>
        <w:tc>
          <w:tcPr>
            <w:tcW w:w="4394" w:type="dxa"/>
            <w:tcBorders>
              <w:top w:val="nil"/>
              <w:bottom w:val="nil"/>
              <w:right w:val="single" w:sz="4" w:space="0" w:color="auto"/>
            </w:tcBorders>
          </w:tcPr>
          <w:p w:rsidR="0063033D" w:rsidRPr="009D6EB3" w:rsidRDefault="0063033D" w:rsidP="008D1891">
            <w:pPr>
              <w:autoSpaceDE w:val="0"/>
              <w:autoSpaceDN w:val="0"/>
              <w:adjustRightInd w:val="0"/>
              <w:spacing w:before="120" w:after="120"/>
              <w:ind w:left="-108"/>
              <w:rPr>
                <w:rFonts w:eastAsia="MS Mincho" w:cs="Arial"/>
                <w:sz w:val="16"/>
                <w:szCs w:val="16"/>
                <w:lang w:eastAsia="ja-JP"/>
              </w:rPr>
            </w:pPr>
            <w:r w:rsidRPr="009D6EB3">
              <w:rPr>
                <w:rFonts w:eastAsia="MS Mincho" w:cs="Arial"/>
                <w:sz w:val="16"/>
                <w:szCs w:val="16"/>
                <w:lang w:eastAsia="ja-JP"/>
              </w:rPr>
              <w:t>T</w:t>
            </w:r>
            <w:r w:rsidRPr="009D6EB3">
              <w:rPr>
                <w:rFonts w:eastAsia="MS Mincho" w:cs="Arial" w:hint="eastAsia"/>
                <w:sz w:val="16"/>
                <w:szCs w:val="16"/>
                <w:lang w:eastAsia="ja-JP"/>
              </w:rPr>
              <w:t>o: (</w:t>
            </w:r>
            <w:proofErr w:type="spellStart"/>
            <w:r w:rsidRPr="009D6EB3">
              <w:rPr>
                <w:rFonts w:eastAsia="MS Mincho" w:cs="Arial" w:hint="eastAsia"/>
                <w:sz w:val="16"/>
                <w:szCs w:val="16"/>
                <w:lang w:eastAsia="ja-JP"/>
              </w:rPr>
              <w:t>i</w:t>
            </w:r>
            <w:proofErr w:type="spellEnd"/>
            <w:r w:rsidRPr="009D6EB3">
              <w:rPr>
                <w:rFonts w:eastAsia="MS Mincho" w:cs="Arial" w:hint="eastAsia"/>
                <w:sz w:val="16"/>
                <w:szCs w:val="16"/>
                <w:lang w:eastAsia="ja-JP"/>
              </w:rPr>
              <w:t xml:space="preserve">) </w:t>
            </w:r>
            <w:r>
              <w:rPr>
                <w:rFonts w:eastAsia="MS Mincho" w:cs="Arial"/>
                <w:sz w:val="16"/>
                <w:szCs w:val="16"/>
                <w:lang w:eastAsia="ja-JP"/>
              </w:rPr>
              <w:t xml:space="preserve">provide training </w:t>
            </w:r>
            <w:r w:rsidRPr="009D6EB3">
              <w:rPr>
                <w:rFonts w:eastAsia="MS Mincho" w:cs="Arial"/>
                <w:sz w:val="16"/>
                <w:szCs w:val="16"/>
                <w:lang w:eastAsia="ja-JP"/>
              </w:rPr>
              <w:t>on patent information, publication practices, utility of patent information, and patent databases</w:t>
            </w:r>
            <w:r w:rsidRPr="009D6EB3">
              <w:rPr>
                <w:rFonts w:eastAsia="MS Mincho" w:cs="Arial" w:hint="eastAsia"/>
                <w:sz w:val="16"/>
                <w:szCs w:val="16"/>
                <w:lang w:eastAsia="ja-JP"/>
              </w:rPr>
              <w:t xml:space="preserve">; </w:t>
            </w:r>
            <w:r w:rsidRPr="009D6EB3">
              <w:rPr>
                <w:rFonts w:eastAsia="MS Mincho" w:cs="Arial"/>
                <w:sz w:val="16"/>
                <w:szCs w:val="16"/>
                <w:lang w:eastAsia="ja-JP"/>
              </w:rPr>
              <w:t xml:space="preserve"> </w:t>
            </w:r>
            <w:r w:rsidRPr="009D6EB3">
              <w:rPr>
                <w:rFonts w:eastAsia="MS Mincho" w:cs="Arial" w:hint="eastAsia"/>
                <w:sz w:val="16"/>
                <w:szCs w:val="16"/>
                <w:lang w:eastAsia="ja-JP"/>
              </w:rPr>
              <w:t xml:space="preserve">and (ii) train </w:t>
            </w:r>
            <w:r w:rsidRPr="009D6EB3">
              <w:rPr>
                <w:rFonts w:eastAsia="MS Mincho" w:cs="Arial"/>
                <w:sz w:val="16"/>
                <w:szCs w:val="16"/>
                <w:lang w:eastAsia="ja-JP"/>
              </w:rPr>
              <w:t>on patent search strategies, I</w:t>
            </w:r>
            <w:r>
              <w:rPr>
                <w:rFonts w:eastAsia="MS Mincho" w:cs="Arial"/>
                <w:sz w:val="16"/>
                <w:szCs w:val="16"/>
                <w:lang w:eastAsia="ja-JP"/>
              </w:rPr>
              <w:t xml:space="preserve">ntellectual </w:t>
            </w:r>
            <w:r w:rsidRPr="009D6EB3">
              <w:rPr>
                <w:rFonts w:eastAsia="MS Mincho" w:cs="Arial"/>
                <w:sz w:val="16"/>
                <w:szCs w:val="16"/>
                <w:lang w:eastAsia="ja-JP"/>
              </w:rPr>
              <w:t>P</w:t>
            </w:r>
            <w:r>
              <w:rPr>
                <w:rFonts w:eastAsia="MS Mincho" w:cs="Arial"/>
                <w:sz w:val="16"/>
                <w:szCs w:val="16"/>
                <w:lang w:eastAsia="ja-JP"/>
              </w:rPr>
              <w:t xml:space="preserve">atent </w:t>
            </w:r>
            <w:r w:rsidRPr="009D6EB3">
              <w:rPr>
                <w:rFonts w:eastAsia="MS Mincho" w:cs="Arial"/>
                <w:sz w:val="16"/>
                <w:szCs w:val="16"/>
                <w:lang w:eastAsia="ja-JP"/>
              </w:rPr>
              <w:t>C</w:t>
            </w:r>
            <w:r>
              <w:rPr>
                <w:rFonts w:eastAsia="MS Mincho" w:cs="Arial"/>
                <w:sz w:val="16"/>
                <w:szCs w:val="16"/>
                <w:lang w:eastAsia="ja-JP"/>
              </w:rPr>
              <w:t>lassification (IPT)</w:t>
            </w:r>
            <w:r w:rsidRPr="009D6EB3">
              <w:rPr>
                <w:rFonts w:eastAsia="MS Mincho" w:cs="Arial"/>
                <w:sz w:val="16"/>
                <w:szCs w:val="16"/>
                <w:lang w:eastAsia="ja-JP"/>
              </w:rPr>
              <w:t>, I</w:t>
            </w:r>
            <w:r>
              <w:rPr>
                <w:rFonts w:eastAsia="MS Mincho" w:cs="Arial"/>
                <w:sz w:val="16"/>
                <w:szCs w:val="16"/>
                <w:lang w:eastAsia="ja-JP"/>
              </w:rPr>
              <w:t xml:space="preserve">nternational </w:t>
            </w:r>
            <w:r w:rsidRPr="009D6EB3">
              <w:rPr>
                <w:rFonts w:eastAsia="MS Mincho" w:cs="Arial"/>
                <w:sz w:val="16"/>
                <w:szCs w:val="16"/>
                <w:lang w:eastAsia="ja-JP"/>
              </w:rPr>
              <w:t>S</w:t>
            </w:r>
            <w:r>
              <w:rPr>
                <w:rFonts w:eastAsia="MS Mincho" w:cs="Arial"/>
                <w:sz w:val="16"/>
                <w:szCs w:val="16"/>
                <w:lang w:eastAsia="ja-JP"/>
              </w:rPr>
              <w:t xml:space="preserve">earch </w:t>
            </w:r>
            <w:r w:rsidRPr="009D6EB3">
              <w:rPr>
                <w:rFonts w:eastAsia="MS Mincho" w:cs="Arial"/>
                <w:sz w:val="16"/>
                <w:szCs w:val="16"/>
                <w:lang w:eastAsia="ja-JP"/>
              </w:rPr>
              <w:t>R</w:t>
            </w:r>
            <w:r>
              <w:rPr>
                <w:rFonts w:eastAsia="MS Mincho" w:cs="Arial"/>
                <w:sz w:val="16"/>
                <w:szCs w:val="16"/>
                <w:lang w:eastAsia="ja-JP"/>
              </w:rPr>
              <w:t>eport (ISR)</w:t>
            </w:r>
            <w:r w:rsidRPr="009D6EB3">
              <w:rPr>
                <w:rFonts w:eastAsia="MS Mincho" w:cs="Arial"/>
                <w:sz w:val="16"/>
                <w:szCs w:val="16"/>
                <w:lang w:eastAsia="ja-JP"/>
              </w:rPr>
              <w:t xml:space="preserve"> and I</w:t>
            </w:r>
            <w:r>
              <w:rPr>
                <w:rFonts w:eastAsia="MS Mincho" w:cs="Arial"/>
                <w:sz w:val="16"/>
                <w:szCs w:val="16"/>
                <w:lang w:eastAsia="ja-JP"/>
              </w:rPr>
              <w:t xml:space="preserve">nternational </w:t>
            </w:r>
            <w:r w:rsidRPr="009D6EB3">
              <w:rPr>
                <w:rFonts w:eastAsia="MS Mincho" w:cs="Arial"/>
                <w:sz w:val="16"/>
                <w:szCs w:val="16"/>
                <w:lang w:eastAsia="ja-JP"/>
              </w:rPr>
              <w:t>P</w:t>
            </w:r>
            <w:r>
              <w:rPr>
                <w:rFonts w:eastAsia="MS Mincho" w:cs="Arial"/>
                <w:sz w:val="16"/>
                <w:szCs w:val="16"/>
                <w:lang w:eastAsia="ja-JP"/>
              </w:rPr>
              <w:t xml:space="preserve">reliminary </w:t>
            </w:r>
            <w:r w:rsidRPr="009D6EB3">
              <w:rPr>
                <w:rFonts w:eastAsia="MS Mincho" w:cs="Arial"/>
                <w:sz w:val="16"/>
                <w:szCs w:val="16"/>
                <w:lang w:eastAsia="ja-JP"/>
              </w:rPr>
              <w:t>E</w:t>
            </w:r>
            <w:r>
              <w:rPr>
                <w:rFonts w:eastAsia="MS Mincho" w:cs="Arial"/>
                <w:sz w:val="16"/>
                <w:szCs w:val="16"/>
                <w:lang w:eastAsia="ja-JP"/>
              </w:rPr>
              <w:t xml:space="preserve">xamination </w:t>
            </w:r>
            <w:r w:rsidRPr="009D6EB3">
              <w:rPr>
                <w:rFonts w:eastAsia="MS Mincho" w:cs="Arial"/>
                <w:sz w:val="16"/>
                <w:szCs w:val="16"/>
                <w:lang w:eastAsia="ja-JP"/>
              </w:rPr>
              <w:t>R</w:t>
            </w:r>
            <w:r>
              <w:rPr>
                <w:rFonts w:eastAsia="MS Mincho" w:cs="Arial"/>
                <w:sz w:val="16"/>
                <w:szCs w:val="16"/>
                <w:lang w:eastAsia="ja-JP"/>
              </w:rPr>
              <w:t>eport (IPER)</w:t>
            </w:r>
            <w:r w:rsidRPr="009D6EB3">
              <w:rPr>
                <w:rFonts w:eastAsia="MS Mincho" w:cs="Arial" w:hint="eastAsia"/>
                <w:sz w:val="16"/>
                <w:szCs w:val="16"/>
                <w:lang w:eastAsia="ja-JP"/>
              </w:rPr>
              <w:t>.</w:t>
            </w:r>
          </w:p>
        </w:tc>
      </w:tr>
      <w:tr w:rsidR="0063033D" w:rsidRPr="00774D44" w:rsidTr="00592948">
        <w:trPr>
          <w:cantSplit/>
          <w:trHeight w:val="315"/>
        </w:trPr>
        <w:tc>
          <w:tcPr>
            <w:tcW w:w="1843" w:type="dxa"/>
            <w:tcBorders>
              <w:top w:val="nil"/>
              <w:left w:val="single" w:sz="4" w:space="0" w:color="auto"/>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sidRPr="003B2563">
              <w:rPr>
                <w:rFonts w:eastAsia="MS Mincho" w:cs="Arial" w:hint="eastAsia"/>
                <w:color w:val="000000"/>
                <w:sz w:val="16"/>
                <w:szCs w:val="16"/>
                <w:lang w:eastAsia="ja-JP"/>
              </w:rPr>
              <w:t>Expert Mission on</w:t>
            </w:r>
            <w:r>
              <w:rPr>
                <w:rFonts w:eastAsia="MS Mincho" w:cs="Arial" w:hint="eastAsia"/>
                <w:color w:val="000000"/>
                <w:sz w:val="16"/>
                <w:szCs w:val="16"/>
                <w:lang w:eastAsia="ja-JP"/>
              </w:rPr>
              <w:t xml:space="preserve"> Trademark Examination and Related Administration </w:t>
            </w:r>
          </w:p>
        </w:tc>
        <w:tc>
          <w:tcPr>
            <w:tcW w:w="1134" w:type="dxa"/>
            <w:tcBorders>
              <w:top w:val="nil"/>
              <w:bottom w:val="nil"/>
            </w:tcBorders>
          </w:tcPr>
          <w:p w:rsidR="0063033D" w:rsidRPr="00564035" w:rsidRDefault="0063033D" w:rsidP="008D1891">
            <w:pPr>
              <w:spacing w:before="120" w:after="120"/>
              <w:rPr>
                <w:rFonts w:eastAsia="MS Mincho" w:cs="Arial"/>
                <w:color w:val="000000"/>
                <w:sz w:val="16"/>
                <w:szCs w:val="16"/>
                <w:lang w:eastAsia="ja-JP"/>
              </w:rPr>
            </w:pPr>
            <w:r w:rsidRPr="00564035">
              <w:rPr>
                <w:rFonts w:eastAsia="MS Mincho" w:cs="Arial" w:hint="eastAsia"/>
                <w:color w:val="000000"/>
                <w:sz w:val="16"/>
                <w:szCs w:val="16"/>
                <w:lang w:eastAsia="ja-JP"/>
              </w:rPr>
              <w:t xml:space="preserve">March 24 </w:t>
            </w:r>
            <w:r>
              <w:rPr>
                <w:rFonts w:eastAsia="MS Mincho" w:cs="Arial"/>
                <w:color w:val="000000"/>
                <w:sz w:val="16"/>
                <w:szCs w:val="16"/>
                <w:lang w:eastAsia="ja-JP"/>
              </w:rPr>
              <w:br/>
            </w:r>
            <w:r w:rsidRPr="00564035">
              <w:rPr>
                <w:rFonts w:eastAsia="MS Mincho" w:cs="Arial" w:hint="eastAsia"/>
                <w:color w:val="000000"/>
                <w:sz w:val="16"/>
                <w:szCs w:val="16"/>
                <w:lang w:eastAsia="ja-JP"/>
              </w:rPr>
              <w:t>to 28, 2014</w:t>
            </w:r>
          </w:p>
        </w:tc>
        <w:tc>
          <w:tcPr>
            <w:tcW w:w="1985" w:type="dxa"/>
            <w:gridSpan w:val="2"/>
            <w:tcBorders>
              <w:top w:val="nil"/>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sidRPr="00564035">
              <w:rPr>
                <w:rFonts w:eastAsia="MS Mincho" w:cs="Arial" w:hint="eastAsia"/>
                <w:color w:val="000000"/>
                <w:sz w:val="16"/>
                <w:szCs w:val="16"/>
                <w:lang w:eastAsia="ja-JP"/>
              </w:rPr>
              <w:t>Myanmar</w:t>
            </w:r>
          </w:p>
        </w:tc>
        <w:tc>
          <w:tcPr>
            <w:tcW w:w="4394" w:type="dxa"/>
            <w:tcBorders>
              <w:top w:val="nil"/>
              <w:bottom w:val="nil"/>
              <w:right w:val="single" w:sz="4" w:space="0" w:color="auto"/>
            </w:tcBorders>
          </w:tcPr>
          <w:p w:rsidR="0063033D" w:rsidRPr="00774D44" w:rsidRDefault="0063033D" w:rsidP="008D1891">
            <w:pPr>
              <w:autoSpaceDE w:val="0"/>
              <w:autoSpaceDN w:val="0"/>
              <w:adjustRightInd w:val="0"/>
              <w:spacing w:before="120" w:after="120"/>
              <w:ind w:left="-108"/>
              <w:rPr>
                <w:rFonts w:cs="Arial"/>
                <w:color w:val="000000"/>
                <w:sz w:val="16"/>
                <w:szCs w:val="16"/>
              </w:rPr>
            </w:pPr>
            <w:r w:rsidRPr="003B2563">
              <w:rPr>
                <w:rFonts w:eastAsia="MS Mincho" w:cs="Arial"/>
                <w:color w:val="000000"/>
                <w:sz w:val="16"/>
                <w:szCs w:val="16"/>
                <w:lang w:eastAsia="ja-JP"/>
              </w:rPr>
              <w:t>T</w:t>
            </w:r>
            <w:r w:rsidRPr="003B2563">
              <w:rPr>
                <w:rFonts w:eastAsia="MS Mincho" w:cs="Arial" w:hint="eastAsia"/>
                <w:color w:val="000000"/>
                <w:sz w:val="16"/>
                <w:szCs w:val="16"/>
                <w:lang w:eastAsia="ja-JP"/>
              </w:rPr>
              <w:t xml:space="preserve">o </w:t>
            </w:r>
            <w:r w:rsidRPr="003B2563">
              <w:rPr>
                <w:rFonts w:cs="Arial"/>
                <w:color w:val="000000"/>
                <w:sz w:val="16"/>
                <w:szCs w:val="16"/>
              </w:rPr>
              <w:t xml:space="preserve">focus on </w:t>
            </w:r>
            <w:r>
              <w:rPr>
                <w:rFonts w:cs="Arial"/>
                <w:color w:val="000000"/>
                <w:sz w:val="16"/>
                <w:szCs w:val="16"/>
              </w:rPr>
              <w:t xml:space="preserve">the </w:t>
            </w:r>
            <w:r w:rsidRPr="003B2563">
              <w:rPr>
                <w:rFonts w:cs="Arial"/>
                <w:color w:val="000000"/>
                <w:sz w:val="16"/>
                <w:szCs w:val="16"/>
              </w:rPr>
              <w:t>basics of trademark examination (formality as well as substantive examination), trademark search, and opposition procedures</w:t>
            </w:r>
            <w:r w:rsidRPr="003B2563">
              <w:rPr>
                <w:rFonts w:eastAsia="MS Mincho" w:cs="Arial" w:hint="eastAsia"/>
                <w:color w:val="000000"/>
                <w:sz w:val="16"/>
                <w:szCs w:val="16"/>
                <w:lang w:eastAsia="ja-JP"/>
              </w:rPr>
              <w:t>.</w:t>
            </w:r>
          </w:p>
        </w:tc>
      </w:tr>
      <w:tr w:rsidR="0063033D" w:rsidRPr="00774D44" w:rsidTr="00592948">
        <w:trPr>
          <w:cantSplit/>
          <w:trHeight w:val="315"/>
        </w:trPr>
        <w:tc>
          <w:tcPr>
            <w:tcW w:w="1843" w:type="dxa"/>
            <w:tcBorders>
              <w:top w:val="nil"/>
              <w:left w:val="single" w:sz="4" w:space="0" w:color="auto"/>
              <w:bottom w:val="nil"/>
            </w:tcBorders>
          </w:tcPr>
          <w:p w:rsidR="0063033D" w:rsidRPr="00B357EF" w:rsidRDefault="0063033D" w:rsidP="008D1891">
            <w:pPr>
              <w:autoSpaceDE w:val="0"/>
              <w:autoSpaceDN w:val="0"/>
              <w:adjustRightInd w:val="0"/>
              <w:spacing w:before="120" w:after="120"/>
              <w:rPr>
                <w:rFonts w:cs="Arial"/>
                <w:sz w:val="16"/>
                <w:szCs w:val="16"/>
              </w:rPr>
            </w:pPr>
            <w:r w:rsidRPr="003B2563">
              <w:rPr>
                <w:rFonts w:cs="Arial"/>
                <w:sz w:val="16"/>
                <w:szCs w:val="16"/>
              </w:rPr>
              <w:t>WIPO Regional Seminar on IP, Technology Transfer and Commercialization</w:t>
            </w:r>
          </w:p>
        </w:tc>
        <w:tc>
          <w:tcPr>
            <w:tcW w:w="1134" w:type="dxa"/>
            <w:tcBorders>
              <w:top w:val="nil"/>
              <w:bottom w:val="nil"/>
            </w:tcBorders>
          </w:tcPr>
          <w:p w:rsidR="0063033D" w:rsidRPr="00564035" w:rsidRDefault="0063033D" w:rsidP="008D1891">
            <w:pPr>
              <w:spacing w:before="120" w:after="120"/>
              <w:rPr>
                <w:rFonts w:eastAsia="MS Mincho" w:cs="Arial"/>
                <w:sz w:val="16"/>
                <w:szCs w:val="16"/>
                <w:lang w:eastAsia="ja-JP"/>
              </w:rPr>
            </w:pPr>
            <w:r w:rsidRPr="00564035">
              <w:rPr>
                <w:rFonts w:eastAsia="MS Mincho" w:cs="Arial" w:hint="eastAsia"/>
                <w:sz w:val="16"/>
                <w:szCs w:val="16"/>
                <w:lang w:eastAsia="ja-JP"/>
              </w:rPr>
              <w:t xml:space="preserve">August 27 </w:t>
            </w:r>
            <w:r>
              <w:rPr>
                <w:rFonts w:eastAsia="MS Mincho" w:cs="Arial"/>
                <w:sz w:val="16"/>
                <w:szCs w:val="16"/>
                <w:lang w:eastAsia="ja-JP"/>
              </w:rPr>
              <w:br/>
            </w:r>
            <w:r w:rsidRPr="00564035">
              <w:rPr>
                <w:rFonts w:eastAsia="MS Mincho" w:cs="Arial" w:hint="eastAsia"/>
                <w:sz w:val="16"/>
                <w:szCs w:val="16"/>
                <w:lang w:eastAsia="ja-JP"/>
              </w:rPr>
              <w:t>and 28, 2014</w:t>
            </w:r>
          </w:p>
        </w:tc>
        <w:tc>
          <w:tcPr>
            <w:tcW w:w="1985" w:type="dxa"/>
            <w:gridSpan w:val="2"/>
            <w:tcBorders>
              <w:top w:val="nil"/>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sidRPr="00564035">
              <w:rPr>
                <w:rFonts w:eastAsia="MS Mincho" w:cs="Arial" w:hint="eastAsia"/>
                <w:color w:val="000000"/>
                <w:sz w:val="16"/>
                <w:szCs w:val="16"/>
                <w:lang w:eastAsia="ja-JP"/>
              </w:rPr>
              <w:t>Singapore/</w:t>
            </w:r>
            <w:r>
              <w:rPr>
                <w:rFonts w:eastAsia="MS Mincho" w:cs="Arial"/>
                <w:color w:val="000000"/>
                <w:sz w:val="16"/>
                <w:szCs w:val="16"/>
                <w:lang w:eastAsia="ja-JP"/>
              </w:rPr>
              <w:t xml:space="preserve"> Bangladesh</w:t>
            </w:r>
            <w:r>
              <w:rPr>
                <w:rFonts w:eastAsia="MS Mincho" w:cs="Arial" w:hint="eastAsia"/>
                <w:color w:val="000000"/>
                <w:sz w:val="16"/>
                <w:szCs w:val="16"/>
                <w:lang w:eastAsia="ja-JP"/>
              </w:rPr>
              <w:t>,</w:t>
            </w:r>
            <w:r>
              <w:rPr>
                <w:rFonts w:eastAsia="MS Mincho" w:cs="Arial"/>
                <w:color w:val="000000"/>
                <w:sz w:val="16"/>
                <w:szCs w:val="16"/>
                <w:lang w:eastAsia="ja-JP"/>
              </w:rPr>
              <w:t xml:space="preserve"> </w:t>
            </w:r>
            <w:r w:rsidRPr="003B2563">
              <w:rPr>
                <w:rFonts w:eastAsia="MS Mincho" w:cs="Arial"/>
                <w:color w:val="000000"/>
                <w:sz w:val="16"/>
                <w:szCs w:val="16"/>
                <w:lang w:eastAsia="ja-JP"/>
              </w:rPr>
              <w:t>Brunei Darussala</w:t>
            </w:r>
            <w:r>
              <w:rPr>
                <w:rFonts w:eastAsia="MS Mincho" w:cs="Arial"/>
                <w:color w:val="000000"/>
                <w:sz w:val="16"/>
                <w:szCs w:val="16"/>
                <w:lang w:eastAsia="ja-JP"/>
              </w:rPr>
              <w:t>m, Cambodia, India, Indonesia, Lao</w:t>
            </w:r>
            <w:r>
              <w:rPr>
                <w:rFonts w:eastAsia="MS Mincho" w:cs="Arial" w:hint="eastAsia"/>
                <w:color w:val="000000"/>
                <w:sz w:val="16"/>
                <w:szCs w:val="16"/>
                <w:lang w:eastAsia="ja-JP"/>
              </w:rPr>
              <w:t xml:space="preserve"> People</w:t>
            </w:r>
            <w:r>
              <w:rPr>
                <w:rFonts w:eastAsia="MS Mincho" w:cs="Arial"/>
                <w:color w:val="000000"/>
                <w:sz w:val="16"/>
                <w:szCs w:val="16"/>
                <w:lang w:eastAsia="ja-JP"/>
              </w:rPr>
              <w:t>’</w:t>
            </w:r>
            <w:r>
              <w:rPr>
                <w:rFonts w:eastAsia="MS Mincho" w:cs="Arial" w:hint="eastAsia"/>
                <w:color w:val="000000"/>
                <w:sz w:val="16"/>
                <w:szCs w:val="16"/>
                <w:lang w:eastAsia="ja-JP"/>
              </w:rPr>
              <w:t>s Democratic Republic</w:t>
            </w:r>
            <w:r>
              <w:rPr>
                <w:rFonts w:eastAsia="MS Mincho" w:cs="Arial"/>
                <w:color w:val="000000"/>
                <w:sz w:val="16"/>
                <w:szCs w:val="16"/>
                <w:lang w:eastAsia="ja-JP"/>
              </w:rPr>
              <w:t>, Malaysia</w:t>
            </w:r>
            <w:r w:rsidRPr="003B2563">
              <w:rPr>
                <w:rFonts w:eastAsia="MS Mincho" w:cs="Arial"/>
                <w:color w:val="000000"/>
                <w:sz w:val="16"/>
                <w:szCs w:val="16"/>
                <w:lang w:eastAsia="ja-JP"/>
              </w:rPr>
              <w:t xml:space="preserve">, Myanmar, Pakistan, Sri Lanka, Thailand and Viet Nam </w:t>
            </w:r>
          </w:p>
        </w:tc>
        <w:tc>
          <w:tcPr>
            <w:tcW w:w="4394" w:type="dxa"/>
            <w:tcBorders>
              <w:top w:val="nil"/>
              <w:bottom w:val="nil"/>
              <w:right w:val="single" w:sz="4" w:space="0" w:color="auto"/>
            </w:tcBorders>
          </w:tcPr>
          <w:p w:rsidR="0063033D" w:rsidRPr="00D566BF" w:rsidRDefault="0063033D" w:rsidP="008D1891">
            <w:pPr>
              <w:autoSpaceDE w:val="0"/>
              <w:autoSpaceDN w:val="0"/>
              <w:adjustRightInd w:val="0"/>
              <w:spacing w:before="120" w:after="120"/>
              <w:ind w:left="-108"/>
              <w:rPr>
                <w:rFonts w:cs="Arial"/>
                <w:sz w:val="16"/>
                <w:szCs w:val="16"/>
              </w:rPr>
            </w:pPr>
            <w:r w:rsidRPr="00564035">
              <w:rPr>
                <w:rFonts w:eastAsia="MS Mincho" w:cs="Arial" w:hint="eastAsia"/>
                <w:sz w:val="16"/>
                <w:szCs w:val="16"/>
                <w:lang w:eastAsia="ja-JP"/>
              </w:rPr>
              <w:t>T</w:t>
            </w:r>
            <w:r w:rsidRPr="003B2563">
              <w:rPr>
                <w:rFonts w:cs="Arial"/>
                <w:sz w:val="16"/>
                <w:szCs w:val="16"/>
              </w:rPr>
              <w:t>o strengthen the capacity of IP Offices and research institutes to address IP issues involved in technology transfer and commercialization of inventions.</w:t>
            </w:r>
          </w:p>
        </w:tc>
      </w:tr>
      <w:tr w:rsidR="0063033D" w:rsidRPr="00774D44" w:rsidTr="008D1891">
        <w:trPr>
          <w:cantSplit/>
          <w:trHeight w:val="315"/>
        </w:trPr>
        <w:tc>
          <w:tcPr>
            <w:tcW w:w="1843" w:type="dxa"/>
            <w:tcBorders>
              <w:top w:val="nil"/>
              <w:left w:val="single" w:sz="4" w:space="0" w:color="auto"/>
              <w:bottom w:val="nil"/>
            </w:tcBorders>
          </w:tcPr>
          <w:p w:rsidR="0063033D" w:rsidRPr="00B357EF" w:rsidRDefault="0063033D" w:rsidP="008D1891">
            <w:pPr>
              <w:autoSpaceDE w:val="0"/>
              <w:autoSpaceDN w:val="0"/>
              <w:adjustRightInd w:val="0"/>
              <w:spacing w:before="120" w:after="120"/>
              <w:rPr>
                <w:rFonts w:cs="Arial"/>
                <w:sz w:val="16"/>
                <w:szCs w:val="16"/>
              </w:rPr>
            </w:pPr>
            <w:r w:rsidRPr="003B2563">
              <w:rPr>
                <w:rFonts w:cs="Arial"/>
                <w:sz w:val="16"/>
                <w:szCs w:val="16"/>
              </w:rPr>
              <w:t>WIPO Sub-regional Seminar on Effective Utilization of the Trademark Classification</w:t>
            </w:r>
            <w:r w:rsidRPr="00564035">
              <w:rPr>
                <w:rFonts w:eastAsia="MS Mincho" w:cs="Arial" w:hint="eastAsia"/>
                <w:sz w:val="16"/>
                <w:szCs w:val="16"/>
                <w:lang w:eastAsia="ja-JP"/>
              </w:rPr>
              <w:t xml:space="preserve"> </w:t>
            </w:r>
            <w:r w:rsidRPr="003B2563">
              <w:rPr>
                <w:rFonts w:cs="Arial"/>
                <w:sz w:val="16"/>
                <w:szCs w:val="16"/>
              </w:rPr>
              <w:t>Systems</w:t>
            </w:r>
          </w:p>
        </w:tc>
        <w:tc>
          <w:tcPr>
            <w:tcW w:w="1134" w:type="dxa"/>
            <w:tcBorders>
              <w:top w:val="nil"/>
              <w:bottom w:val="nil"/>
            </w:tcBorders>
          </w:tcPr>
          <w:p w:rsidR="0063033D" w:rsidRPr="00564035" w:rsidRDefault="0063033D" w:rsidP="008D1891">
            <w:pPr>
              <w:spacing w:before="120" w:after="120"/>
              <w:rPr>
                <w:rFonts w:eastAsia="MS Mincho" w:cs="Arial"/>
                <w:sz w:val="16"/>
                <w:szCs w:val="16"/>
                <w:lang w:eastAsia="ja-JP"/>
              </w:rPr>
            </w:pPr>
            <w:r w:rsidRPr="00564035">
              <w:rPr>
                <w:rFonts w:eastAsia="MS Mincho" w:cs="Arial" w:hint="eastAsia"/>
                <w:sz w:val="16"/>
                <w:szCs w:val="16"/>
                <w:lang w:eastAsia="ja-JP"/>
              </w:rPr>
              <w:t>October 27 and 28, 2014</w:t>
            </w:r>
          </w:p>
        </w:tc>
        <w:tc>
          <w:tcPr>
            <w:tcW w:w="1985" w:type="dxa"/>
            <w:gridSpan w:val="2"/>
            <w:tcBorders>
              <w:top w:val="nil"/>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sidRPr="00564035">
              <w:rPr>
                <w:rFonts w:eastAsia="MS Mincho" w:cs="Arial" w:hint="eastAsia"/>
                <w:color w:val="000000"/>
                <w:sz w:val="16"/>
                <w:szCs w:val="16"/>
                <w:lang w:eastAsia="ja-JP"/>
              </w:rPr>
              <w:t xml:space="preserve">Brunei Darussalam/ </w:t>
            </w:r>
            <w:r w:rsidRPr="003B2563">
              <w:rPr>
                <w:rFonts w:eastAsia="MS Mincho" w:cs="Arial" w:hint="eastAsia"/>
                <w:color w:val="000000"/>
                <w:sz w:val="16"/>
                <w:szCs w:val="16"/>
                <w:lang w:eastAsia="ja-JP"/>
              </w:rPr>
              <w:t>Cambodia, Indonesia, Lao People</w:t>
            </w:r>
            <w:r w:rsidRPr="003B2563">
              <w:rPr>
                <w:rFonts w:eastAsia="MS Mincho" w:cs="Arial"/>
                <w:color w:val="000000"/>
                <w:sz w:val="16"/>
                <w:szCs w:val="16"/>
                <w:lang w:eastAsia="ja-JP"/>
              </w:rPr>
              <w:t>’</w:t>
            </w:r>
            <w:r w:rsidRPr="003B2563">
              <w:rPr>
                <w:rFonts w:eastAsia="MS Mincho" w:cs="Arial" w:hint="eastAsia"/>
                <w:color w:val="000000"/>
                <w:sz w:val="16"/>
                <w:szCs w:val="16"/>
                <w:lang w:eastAsia="ja-JP"/>
              </w:rPr>
              <w:t xml:space="preserve">s Democratic Republic, Malaysia, Philippines, Thailand and Viet Nam  </w:t>
            </w:r>
          </w:p>
        </w:tc>
        <w:tc>
          <w:tcPr>
            <w:tcW w:w="4394" w:type="dxa"/>
            <w:tcBorders>
              <w:top w:val="nil"/>
              <w:bottom w:val="nil"/>
              <w:right w:val="single" w:sz="4" w:space="0" w:color="auto"/>
            </w:tcBorders>
          </w:tcPr>
          <w:p w:rsidR="0063033D" w:rsidRPr="00D566BF" w:rsidRDefault="0063033D" w:rsidP="008D1891">
            <w:pPr>
              <w:autoSpaceDE w:val="0"/>
              <w:autoSpaceDN w:val="0"/>
              <w:adjustRightInd w:val="0"/>
              <w:spacing w:before="120" w:after="120"/>
              <w:ind w:left="-108"/>
              <w:rPr>
                <w:rFonts w:cs="Arial"/>
                <w:sz w:val="16"/>
                <w:szCs w:val="16"/>
              </w:rPr>
            </w:pPr>
            <w:r w:rsidRPr="00564035">
              <w:rPr>
                <w:rFonts w:eastAsia="MS Mincho" w:cs="Arial" w:hint="eastAsia"/>
                <w:sz w:val="16"/>
                <w:szCs w:val="16"/>
                <w:lang w:eastAsia="ja-JP"/>
              </w:rPr>
              <w:t>T</w:t>
            </w:r>
            <w:r w:rsidRPr="003B2563">
              <w:rPr>
                <w:rFonts w:cs="Arial"/>
                <w:sz w:val="16"/>
                <w:szCs w:val="16"/>
              </w:rPr>
              <w:t>o provide the participants with an opportunity to learn about trademark classification systems, including the Nice, Vienna and other useful classifications systems.</w:t>
            </w:r>
          </w:p>
        </w:tc>
      </w:tr>
      <w:tr w:rsidR="0063033D" w:rsidRPr="00774D44" w:rsidTr="008D1891">
        <w:trPr>
          <w:cantSplit/>
          <w:trHeight w:val="315"/>
        </w:trPr>
        <w:tc>
          <w:tcPr>
            <w:tcW w:w="1843" w:type="dxa"/>
            <w:tcBorders>
              <w:top w:val="nil"/>
              <w:left w:val="single" w:sz="4" w:space="0" w:color="auto"/>
              <w:bottom w:val="nil"/>
            </w:tcBorders>
          </w:tcPr>
          <w:p w:rsidR="0063033D" w:rsidRPr="00564035" w:rsidRDefault="0063033D" w:rsidP="008D1891">
            <w:pPr>
              <w:autoSpaceDE w:val="0"/>
              <w:autoSpaceDN w:val="0"/>
              <w:adjustRightInd w:val="0"/>
              <w:spacing w:before="120" w:after="120"/>
              <w:rPr>
                <w:rFonts w:eastAsia="MS Mincho" w:cs="Arial"/>
                <w:sz w:val="16"/>
                <w:szCs w:val="16"/>
                <w:lang w:eastAsia="ja-JP"/>
              </w:rPr>
            </w:pPr>
            <w:r w:rsidRPr="00AE37DA">
              <w:rPr>
                <w:rFonts w:eastAsia="MS Mincho" w:cs="Arial"/>
                <w:sz w:val="16"/>
                <w:szCs w:val="16"/>
                <w:lang w:eastAsia="ja-JP"/>
              </w:rPr>
              <w:t>Development of a Case Study on Green Technology Needs and Opportunities</w:t>
            </w:r>
          </w:p>
        </w:tc>
        <w:tc>
          <w:tcPr>
            <w:tcW w:w="1134" w:type="dxa"/>
            <w:tcBorders>
              <w:top w:val="nil"/>
              <w:bottom w:val="nil"/>
            </w:tcBorders>
          </w:tcPr>
          <w:p w:rsidR="0063033D" w:rsidRPr="00564035" w:rsidRDefault="0063033D" w:rsidP="008D1891">
            <w:pPr>
              <w:spacing w:before="120" w:after="120"/>
              <w:rPr>
                <w:rFonts w:eastAsia="MS Mincho" w:cs="Arial"/>
                <w:sz w:val="16"/>
                <w:szCs w:val="16"/>
                <w:lang w:eastAsia="ja-JP"/>
              </w:rPr>
            </w:pPr>
            <w:r>
              <w:rPr>
                <w:rFonts w:eastAsia="MS Mincho" w:cs="Arial" w:hint="eastAsia"/>
                <w:sz w:val="16"/>
                <w:szCs w:val="16"/>
                <w:lang w:eastAsia="ja-JP"/>
              </w:rPr>
              <w:t>April</w:t>
            </w:r>
            <w:r>
              <w:rPr>
                <w:rFonts w:eastAsia="MS Mincho" w:cs="Arial"/>
                <w:sz w:val="16"/>
                <w:szCs w:val="16"/>
                <w:lang w:eastAsia="ja-JP"/>
              </w:rPr>
              <w:t xml:space="preserve"> </w:t>
            </w:r>
            <w:r>
              <w:rPr>
                <w:rFonts w:eastAsia="MS Mincho" w:cs="Arial" w:hint="eastAsia"/>
                <w:sz w:val="16"/>
                <w:szCs w:val="16"/>
                <w:lang w:eastAsia="ja-JP"/>
              </w:rPr>
              <w:t>2014 (</w:t>
            </w:r>
            <w:r>
              <w:rPr>
                <w:rFonts w:eastAsia="MS Mincho" w:cs="Arial"/>
                <w:sz w:val="16"/>
                <w:szCs w:val="16"/>
                <w:lang w:eastAsia="ja-JP"/>
              </w:rPr>
              <w:t>Initia</w:t>
            </w:r>
            <w:r>
              <w:rPr>
                <w:rFonts w:eastAsia="MS Mincho" w:cs="Arial" w:hint="eastAsia"/>
                <w:sz w:val="16"/>
                <w:szCs w:val="16"/>
                <w:lang w:eastAsia="ja-JP"/>
              </w:rPr>
              <w:t>t</w:t>
            </w:r>
            <w:r>
              <w:rPr>
                <w:rFonts w:eastAsia="MS Mincho" w:cs="Arial"/>
                <w:sz w:val="16"/>
                <w:szCs w:val="16"/>
                <w:lang w:eastAsia="ja-JP"/>
              </w:rPr>
              <w:t>ed</w:t>
            </w:r>
            <w:r>
              <w:rPr>
                <w:rFonts w:eastAsia="MS Mincho" w:cs="Arial" w:hint="eastAsia"/>
                <w:sz w:val="16"/>
                <w:szCs w:val="16"/>
                <w:lang w:eastAsia="ja-JP"/>
              </w:rPr>
              <w:t>)</w:t>
            </w:r>
          </w:p>
        </w:tc>
        <w:tc>
          <w:tcPr>
            <w:tcW w:w="1985" w:type="dxa"/>
            <w:gridSpan w:val="2"/>
            <w:tcBorders>
              <w:top w:val="nil"/>
              <w:bottom w:val="nil"/>
            </w:tcBorders>
          </w:tcPr>
          <w:p w:rsidR="0063033D" w:rsidRPr="003B2563" w:rsidRDefault="0063033D" w:rsidP="008D1891">
            <w:pPr>
              <w:autoSpaceDE w:val="0"/>
              <w:autoSpaceDN w:val="0"/>
              <w:adjustRightInd w:val="0"/>
              <w:spacing w:before="120" w:after="120"/>
              <w:rPr>
                <w:rFonts w:eastAsia="MS Mincho" w:cs="Arial"/>
                <w:color w:val="000000"/>
                <w:sz w:val="16"/>
                <w:szCs w:val="16"/>
                <w:lang w:eastAsia="ja-JP"/>
              </w:rPr>
            </w:pPr>
            <w:r>
              <w:rPr>
                <w:rFonts w:eastAsia="MS Mincho" w:cs="Arial" w:hint="eastAsia"/>
                <w:color w:val="000000"/>
                <w:sz w:val="16"/>
                <w:szCs w:val="16"/>
                <w:lang w:eastAsia="ja-JP"/>
              </w:rPr>
              <w:t>Indonesia, Philippines and Viet Nam</w:t>
            </w:r>
          </w:p>
        </w:tc>
        <w:tc>
          <w:tcPr>
            <w:tcW w:w="4394" w:type="dxa"/>
            <w:tcBorders>
              <w:top w:val="nil"/>
              <w:bottom w:val="nil"/>
              <w:right w:val="single" w:sz="4" w:space="0" w:color="auto"/>
            </w:tcBorders>
          </w:tcPr>
          <w:p w:rsidR="0063033D" w:rsidRPr="00564035" w:rsidRDefault="0063033D" w:rsidP="008D1891">
            <w:pPr>
              <w:autoSpaceDE w:val="0"/>
              <w:autoSpaceDN w:val="0"/>
              <w:adjustRightInd w:val="0"/>
              <w:spacing w:before="120" w:after="120"/>
              <w:ind w:left="-108"/>
              <w:rPr>
                <w:rFonts w:eastAsia="MS Mincho" w:cs="Arial"/>
                <w:sz w:val="16"/>
                <w:szCs w:val="16"/>
                <w:lang w:eastAsia="ja-JP"/>
              </w:rPr>
            </w:pPr>
            <w:r>
              <w:rPr>
                <w:rFonts w:eastAsia="MS Mincho" w:cs="Arial" w:hint="eastAsia"/>
                <w:sz w:val="16"/>
                <w:szCs w:val="16"/>
                <w:lang w:eastAsia="ja-JP"/>
              </w:rPr>
              <w:t>T</w:t>
            </w:r>
            <w:r w:rsidRPr="00AE37DA">
              <w:rPr>
                <w:rFonts w:eastAsia="MS Mincho" w:cs="Arial"/>
                <w:sz w:val="16"/>
                <w:szCs w:val="16"/>
                <w:lang w:eastAsia="ja-JP"/>
              </w:rPr>
              <w:t xml:space="preserve">o: </w:t>
            </w:r>
            <w:r>
              <w:rPr>
                <w:rFonts w:eastAsia="MS Mincho" w:cs="Arial"/>
                <w:sz w:val="16"/>
                <w:szCs w:val="16"/>
                <w:lang w:eastAsia="ja-JP"/>
              </w:rPr>
              <w:t xml:space="preserve"> </w:t>
            </w:r>
            <w:r w:rsidRPr="00AE37DA">
              <w:rPr>
                <w:rFonts w:eastAsia="MS Mincho" w:cs="Arial"/>
                <w:sz w:val="16"/>
                <w:szCs w:val="16"/>
                <w:lang w:eastAsia="ja-JP"/>
              </w:rPr>
              <w:t>(</w:t>
            </w:r>
            <w:proofErr w:type="spellStart"/>
            <w:r w:rsidRPr="00AE37DA">
              <w:rPr>
                <w:rFonts w:eastAsia="MS Mincho" w:cs="Arial"/>
                <w:sz w:val="16"/>
                <w:szCs w:val="16"/>
                <w:lang w:eastAsia="ja-JP"/>
              </w:rPr>
              <w:t>i</w:t>
            </w:r>
            <w:proofErr w:type="spellEnd"/>
            <w:r w:rsidRPr="00AE37DA">
              <w:rPr>
                <w:rFonts w:eastAsia="MS Mincho" w:cs="Arial"/>
                <w:sz w:val="16"/>
                <w:szCs w:val="16"/>
                <w:lang w:eastAsia="ja-JP"/>
              </w:rPr>
              <w:t>) identify the specific needs of two countries (to be selected) on</w:t>
            </w:r>
            <w:r>
              <w:rPr>
                <w:rFonts w:eastAsia="MS Mincho" w:cs="Arial" w:hint="eastAsia"/>
                <w:sz w:val="16"/>
                <w:szCs w:val="16"/>
                <w:lang w:eastAsia="ja-JP"/>
              </w:rPr>
              <w:t xml:space="preserve"> </w:t>
            </w:r>
            <w:r w:rsidRPr="00AE37DA">
              <w:rPr>
                <w:rFonts w:eastAsia="MS Mincho" w:cs="Arial"/>
                <w:sz w:val="16"/>
                <w:szCs w:val="16"/>
                <w:lang w:eastAsia="ja-JP"/>
              </w:rPr>
              <w:t>green technology;</w:t>
            </w:r>
            <w:r>
              <w:rPr>
                <w:rFonts w:eastAsia="MS Mincho" w:cs="Arial"/>
                <w:sz w:val="16"/>
                <w:szCs w:val="16"/>
                <w:lang w:eastAsia="ja-JP"/>
              </w:rPr>
              <w:t xml:space="preserve"> </w:t>
            </w:r>
            <w:r w:rsidRPr="00AE37DA">
              <w:rPr>
                <w:rFonts w:eastAsia="MS Mincho" w:cs="Arial"/>
                <w:sz w:val="16"/>
                <w:szCs w:val="16"/>
                <w:lang w:eastAsia="ja-JP"/>
              </w:rPr>
              <w:t xml:space="preserve"> (ii) describe and formulate the needs for uploading into the WIPO GREEN database; (iii) identify collaboration opportunities around the identified needs with particular emphasis on national capacity and SME contributions, and facilitate the development of a technology transfer agreement;</w:t>
            </w:r>
            <w:r>
              <w:rPr>
                <w:rFonts w:eastAsia="MS Mincho" w:cs="Arial"/>
                <w:sz w:val="16"/>
                <w:szCs w:val="16"/>
                <w:lang w:eastAsia="ja-JP"/>
              </w:rPr>
              <w:t xml:space="preserve"> </w:t>
            </w:r>
            <w:r w:rsidRPr="00AE37DA">
              <w:rPr>
                <w:rFonts w:eastAsia="MS Mincho" w:cs="Arial"/>
                <w:sz w:val="16"/>
                <w:szCs w:val="16"/>
                <w:lang w:eastAsia="ja-JP"/>
              </w:rPr>
              <w:t xml:space="preserve"> (iv) develop a case study based on the findings and the</w:t>
            </w:r>
            <w:r>
              <w:rPr>
                <w:rFonts w:eastAsia="MS Mincho" w:cs="Arial" w:hint="eastAsia"/>
                <w:sz w:val="16"/>
                <w:szCs w:val="16"/>
                <w:lang w:eastAsia="ja-JP"/>
              </w:rPr>
              <w:t xml:space="preserve"> </w:t>
            </w:r>
            <w:r w:rsidRPr="00AE37DA">
              <w:rPr>
                <w:rFonts w:eastAsia="MS Mincho" w:cs="Arial"/>
                <w:sz w:val="16"/>
                <w:szCs w:val="16"/>
                <w:lang w:eastAsia="ja-JP"/>
              </w:rPr>
              <w:t>evidence on the technology transfer landscape, which will also include a part on WIPO GREEN’s contribution to overcoming the challenges;</w:t>
            </w:r>
            <w:r>
              <w:rPr>
                <w:rFonts w:eastAsia="MS Mincho" w:cs="Arial"/>
                <w:sz w:val="16"/>
                <w:szCs w:val="16"/>
                <w:lang w:eastAsia="ja-JP"/>
              </w:rPr>
              <w:t xml:space="preserve"> </w:t>
            </w:r>
            <w:r w:rsidRPr="00AE37DA">
              <w:rPr>
                <w:rFonts w:eastAsia="MS Mincho" w:cs="Arial"/>
                <w:sz w:val="16"/>
                <w:szCs w:val="16"/>
                <w:lang w:eastAsia="ja-JP"/>
              </w:rPr>
              <w:t>(v) showcase WIPO GREEN as an effective marketplace tool for finding and displaying needs and technological solutions</w:t>
            </w:r>
            <w:r>
              <w:rPr>
                <w:rFonts w:eastAsia="MS Mincho" w:cs="Arial"/>
                <w:sz w:val="16"/>
                <w:szCs w:val="16"/>
                <w:lang w:eastAsia="ja-JP"/>
              </w:rPr>
              <w:t xml:space="preserve">; </w:t>
            </w:r>
            <w:r w:rsidRPr="00AE37DA">
              <w:rPr>
                <w:rFonts w:eastAsia="MS Mincho" w:cs="Arial"/>
                <w:sz w:val="16"/>
                <w:szCs w:val="16"/>
                <w:lang w:eastAsia="ja-JP"/>
              </w:rPr>
              <w:t>and</w:t>
            </w:r>
            <w:r>
              <w:rPr>
                <w:rFonts w:eastAsia="MS Mincho" w:cs="Arial" w:hint="eastAsia"/>
                <w:sz w:val="16"/>
                <w:szCs w:val="16"/>
                <w:lang w:eastAsia="ja-JP"/>
              </w:rPr>
              <w:t xml:space="preserve"> </w:t>
            </w:r>
            <w:r w:rsidRPr="00AE37DA">
              <w:rPr>
                <w:rFonts w:eastAsia="MS Mincho" w:cs="Arial"/>
                <w:sz w:val="16"/>
                <w:szCs w:val="16"/>
                <w:lang w:eastAsia="ja-JP"/>
              </w:rPr>
              <w:t>(vi) build capacity on IP issues related to technology transfer and for using IP as a tool for</w:t>
            </w:r>
            <w:r>
              <w:rPr>
                <w:rFonts w:eastAsia="MS Mincho" w:cs="Arial" w:hint="eastAsia"/>
                <w:sz w:val="16"/>
                <w:szCs w:val="16"/>
                <w:lang w:eastAsia="ja-JP"/>
              </w:rPr>
              <w:t xml:space="preserve"> </w:t>
            </w:r>
            <w:r w:rsidRPr="00AE37DA">
              <w:rPr>
                <w:rFonts w:eastAsia="MS Mincho" w:cs="Arial"/>
                <w:sz w:val="16"/>
                <w:szCs w:val="16"/>
                <w:lang w:eastAsia="ja-JP"/>
              </w:rPr>
              <w:t>development (commercialization, licensing and IP management).</w:t>
            </w:r>
          </w:p>
        </w:tc>
      </w:tr>
      <w:tr w:rsidR="0063033D" w:rsidRPr="00774D44" w:rsidTr="008D1891">
        <w:trPr>
          <w:cantSplit/>
          <w:trHeight w:val="315"/>
        </w:trPr>
        <w:tc>
          <w:tcPr>
            <w:tcW w:w="1843" w:type="dxa"/>
            <w:tcBorders>
              <w:top w:val="nil"/>
              <w:left w:val="single" w:sz="4" w:space="0" w:color="auto"/>
              <w:bottom w:val="nil"/>
            </w:tcBorders>
          </w:tcPr>
          <w:p w:rsidR="0063033D" w:rsidRPr="00564035" w:rsidRDefault="0063033D" w:rsidP="008D1891">
            <w:pPr>
              <w:autoSpaceDE w:val="0"/>
              <w:autoSpaceDN w:val="0"/>
              <w:adjustRightInd w:val="0"/>
              <w:spacing w:before="120" w:after="120"/>
              <w:rPr>
                <w:rFonts w:eastAsia="MS Mincho" w:cs="Arial"/>
                <w:sz w:val="16"/>
                <w:szCs w:val="16"/>
                <w:lang w:eastAsia="ja-JP"/>
              </w:rPr>
            </w:pPr>
            <w:r>
              <w:rPr>
                <w:rFonts w:eastAsia="MS Mincho" w:cs="Arial"/>
                <w:sz w:val="16"/>
                <w:szCs w:val="16"/>
                <w:lang w:eastAsia="ja-JP"/>
              </w:rPr>
              <w:t xml:space="preserve">Development of a </w:t>
            </w:r>
            <w:r w:rsidRPr="00AE37DA">
              <w:rPr>
                <w:rFonts w:eastAsia="MS Mincho" w:cs="Arial"/>
                <w:sz w:val="16"/>
                <w:szCs w:val="16"/>
                <w:lang w:eastAsia="ja-JP"/>
              </w:rPr>
              <w:t>WIPO IP Statistics Manual</w:t>
            </w:r>
          </w:p>
        </w:tc>
        <w:tc>
          <w:tcPr>
            <w:tcW w:w="1134" w:type="dxa"/>
            <w:tcBorders>
              <w:top w:val="nil"/>
              <w:bottom w:val="nil"/>
            </w:tcBorders>
          </w:tcPr>
          <w:p w:rsidR="0063033D" w:rsidRPr="00564035" w:rsidRDefault="0063033D" w:rsidP="008D1891">
            <w:pPr>
              <w:spacing w:before="120" w:after="120"/>
              <w:rPr>
                <w:rFonts w:eastAsia="MS Mincho" w:cs="Arial"/>
                <w:sz w:val="16"/>
                <w:szCs w:val="16"/>
                <w:lang w:eastAsia="ja-JP"/>
              </w:rPr>
            </w:pPr>
            <w:r>
              <w:rPr>
                <w:rFonts w:eastAsia="MS Mincho" w:cs="Arial" w:hint="eastAsia"/>
                <w:sz w:val="16"/>
                <w:szCs w:val="16"/>
                <w:lang w:eastAsia="ja-JP"/>
              </w:rPr>
              <w:t xml:space="preserve">April 2014 (Initiated) </w:t>
            </w:r>
          </w:p>
        </w:tc>
        <w:tc>
          <w:tcPr>
            <w:tcW w:w="1985" w:type="dxa"/>
            <w:gridSpan w:val="2"/>
            <w:tcBorders>
              <w:top w:val="nil"/>
              <w:bottom w:val="nil"/>
            </w:tcBorders>
          </w:tcPr>
          <w:p w:rsidR="0063033D" w:rsidRPr="003B2563" w:rsidRDefault="0063033D" w:rsidP="008D1891">
            <w:pPr>
              <w:autoSpaceDE w:val="0"/>
              <w:autoSpaceDN w:val="0"/>
              <w:adjustRightInd w:val="0"/>
              <w:spacing w:before="120" w:after="120"/>
              <w:rPr>
                <w:rFonts w:eastAsia="MS Mincho" w:cs="Arial"/>
                <w:color w:val="000000"/>
                <w:sz w:val="16"/>
                <w:szCs w:val="16"/>
                <w:lang w:eastAsia="ja-JP"/>
              </w:rPr>
            </w:pPr>
            <w:r>
              <w:rPr>
                <w:rFonts w:eastAsia="MS Mincho" w:cs="Arial" w:hint="eastAsia"/>
                <w:color w:val="000000"/>
                <w:sz w:val="16"/>
                <w:szCs w:val="16"/>
                <w:lang w:eastAsia="ja-JP"/>
              </w:rPr>
              <w:t xml:space="preserve">All WIPO </w:t>
            </w:r>
            <w:r>
              <w:rPr>
                <w:rFonts w:eastAsia="MS Mincho" w:cs="Arial"/>
                <w:color w:val="000000"/>
                <w:sz w:val="16"/>
                <w:szCs w:val="16"/>
                <w:lang w:eastAsia="ja-JP"/>
              </w:rPr>
              <w:t>M</w:t>
            </w:r>
            <w:r>
              <w:rPr>
                <w:rFonts w:eastAsia="MS Mincho" w:cs="Arial" w:hint="eastAsia"/>
                <w:color w:val="000000"/>
                <w:sz w:val="16"/>
                <w:szCs w:val="16"/>
                <w:lang w:eastAsia="ja-JP"/>
              </w:rPr>
              <w:t xml:space="preserve">ember </w:t>
            </w:r>
            <w:r>
              <w:rPr>
                <w:rFonts w:eastAsia="MS Mincho" w:cs="Arial"/>
                <w:color w:val="000000"/>
                <w:sz w:val="16"/>
                <w:szCs w:val="16"/>
                <w:lang w:eastAsia="ja-JP"/>
              </w:rPr>
              <w:t>S</w:t>
            </w:r>
            <w:r>
              <w:rPr>
                <w:rFonts w:eastAsia="MS Mincho" w:cs="Arial" w:hint="eastAsia"/>
                <w:color w:val="000000"/>
                <w:sz w:val="16"/>
                <w:szCs w:val="16"/>
                <w:lang w:eastAsia="ja-JP"/>
              </w:rPr>
              <w:t>tates</w:t>
            </w:r>
          </w:p>
        </w:tc>
        <w:tc>
          <w:tcPr>
            <w:tcW w:w="4394" w:type="dxa"/>
            <w:tcBorders>
              <w:top w:val="nil"/>
              <w:bottom w:val="nil"/>
              <w:right w:val="single" w:sz="4" w:space="0" w:color="auto"/>
            </w:tcBorders>
          </w:tcPr>
          <w:p w:rsidR="0063033D" w:rsidRPr="00564035" w:rsidRDefault="0063033D" w:rsidP="008D1891">
            <w:pPr>
              <w:autoSpaceDE w:val="0"/>
              <w:autoSpaceDN w:val="0"/>
              <w:adjustRightInd w:val="0"/>
              <w:spacing w:before="120" w:after="120"/>
              <w:ind w:left="-108"/>
              <w:rPr>
                <w:rFonts w:eastAsia="MS Mincho" w:cs="Arial"/>
                <w:sz w:val="16"/>
                <w:szCs w:val="16"/>
                <w:lang w:eastAsia="ja-JP"/>
              </w:rPr>
            </w:pPr>
            <w:r>
              <w:rPr>
                <w:rFonts w:eastAsia="MS Mincho" w:cs="Arial" w:hint="eastAsia"/>
                <w:sz w:val="16"/>
                <w:szCs w:val="16"/>
                <w:lang w:eastAsia="ja-JP"/>
              </w:rPr>
              <w:t>T</w:t>
            </w:r>
            <w:r w:rsidRPr="00AE37DA">
              <w:rPr>
                <w:rFonts w:eastAsia="MS Mincho" w:cs="Arial"/>
                <w:sz w:val="16"/>
                <w:szCs w:val="16"/>
                <w:lang w:eastAsia="ja-JP"/>
              </w:rPr>
              <w:t>o</w:t>
            </w:r>
            <w:r>
              <w:rPr>
                <w:rFonts w:eastAsia="MS Mincho" w:cs="Arial"/>
                <w:sz w:val="16"/>
                <w:szCs w:val="16"/>
                <w:lang w:eastAsia="ja-JP"/>
              </w:rPr>
              <w:t xml:space="preserve">: </w:t>
            </w:r>
            <w:r w:rsidRPr="00AE37DA">
              <w:rPr>
                <w:rFonts w:eastAsia="MS Mincho" w:cs="Arial"/>
                <w:sz w:val="16"/>
                <w:szCs w:val="16"/>
                <w:lang w:eastAsia="ja-JP"/>
              </w:rPr>
              <w:t xml:space="preserve"> (</w:t>
            </w:r>
            <w:proofErr w:type="spellStart"/>
            <w:r w:rsidRPr="00AE37DA">
              <w:rPr>
                <w:rFonts w:eastAsia="MS Mincho" w:cs="Arial"/>
                <w:sz w:val="16"/>
                <w:szCs w:val="16"/>
                <w:lang w:eastAsia="ja-JP"/>
              </w:rPr>
              <w:t>i</w:t>
            </w:r>
            <w:proofErr w:type="spellEnd"/>
            <w:r w:rsidRPr="00AE37DA">
              <w:rPr>
                <w:rFonts w:eastAsia="MS Mincho" w:cs="Arial"/>
                <w:sz w:val="16"/>
                <w:szCs w:val="16"/>
                <w:lang w:eastAsia="ja-JP"/>
              </w:rPr>
              <w:t xml:space="preserve">) disseminate best practices in the compilation and reporting of IP statistics; </w:t>
            </w:r>
            <w:r>
              <w:rPr>
                <w:rFonts w:eastAsia="MS Mincho" w:cs="Arial"/>
                <w:sz w:val="16"/>
                <w:szCs w:val="16"/>
                <w:lang w:eastAsia="ja-JP"/>
              </w:rPr>
              <w:t xml:space="preserve"> </w:t>
            </w:r>
            <w:r w:rsidRPr="00AE37DA">
              <w:rPr>
                <w:rFonts w:eastAsia="MS Mincho" w:cs="Arial"/>
                <w:sz w:val="16"/>
                <w:szCs w:val="16"/>
                <w:lang w:eastAsia="ja-JP"/>
              </w:rPr>
              <w:t xml:space="preserve">(ii) establish statistical definitions that promote the harmonized reporting of IP statistics, including IP statistics reported to WIPO; </w:t>
            </w:r>
            <w:r>
              <w:rPr>
                <w:rFonts w:eastAsia="MS Mincho" w:cs="Arial"/>
                <w:sz w:val="16"/>
                <w:szCs w:val="16"/>
                <w:lang w:eastAsia="ja-JP"/>
              </w:rPr>
              <w:t xml:space="preserve"> </w:t>
            </w:r>
            <w:r w:rsidRPr="00AE37DA">
              <w:rPr>
                <w:rFonts w:eastAsia="MS Mincho" w:cs="Arial"/>
                <w:sz w:val="16"/>
                <w:szCs w:val="16"/>
                <w:lang w:eastAsia="ja-JP"/>
              </w:rPr>
              <w:t>and (iii) guide users of IP statistics on statistical definitions and classifications, as well as possible analytical uses of IP statistics.</w:t>
            </w:r>
          </w:p>
        </w:tc>
      </w:tr>
      <w:tr w:rsidR="0063033D" w:rsidRPr="00774D44" w:rsidTr="008D1891">
        <w:trPr>
          <w:cantSplit/>
          <w:trHeight w:val="315"/>
        </w:trPr>
        <w:tc>
          <w:tcPr>
            <w:tcW w:w="1843" w:type="dxa"/>
            <w:tcBorders>
              <w:top w:val="nil"/>
              <w:left w:val="single" w:sz="4" w:space="0" w:color="auto"/>
              <w:bottom w:val="single" w:sz="4" w:space="0" w:color="auto"/>
            </w:tcBorders>
          </w:tcPr>
          <w:p w:rsidR="0063033D" w:rsidRPr="00564035" w:rsidRDefault="0063033D" w:rsidP="008D1891">
            <w:pPr>
              <w:autoSpaceDE w:val="0"/>
              <w:autoSpaceDN w:val="0"/>
              <w:adjustRightInd w:val="0"/>
              <w:spacing w:before="120" w:after="120"/>
              <w:rPr>
                <w:rFonts w:eastAsia="MS Mincho" w:cs="Arial"/>
                <w:sz w:val="16"/>
                <w:szCs w:val="16"/>
                <w:lang w:eastAsia="ja-JP"/>
              </w:rPr>
            </w:pPr>
            <w:r w:rsidRPr="00564035">
              <w:rPr>
                <w:rFonts w:eastAsia="MS Mincho" w:cs="Arial" w:hint="eastAsia"/>
                <w:sz w:val="16"/>
                <w:szCs w:val="16"/>
                <w:lang w:eastAsia="ja-JP"/>
              </w:rPr>
              <w:t xml:space="preserve">Training Course on the Examination Practices of Industrial Property </w:t>
            </w:r>
            <w:r>
              <w:rPr>
                <w:rFonts w:eastAsia="MS Mincho" w:cs="Arial"/>
                <w:sz w:val="16"/>
                <w:szCs w:val="16"/>
                <w:lang w:eastAsia="ja-JP"/>
              </w:rPr>
              <w:t>(</w:t>
            </w:r>
            <w:r w:rsidRPr="00564035">
              <w:rPr>
                <w:rFonts w:eastAsia="MS Mincho" w:cs="Arial" w:hint="eastAsia"/>
                <w:sz w:val="16"/>
                <w:szCs w:val="16"/>
                <w:lang w:eastAsia="ja-JP"/>
              </w:rPr>
              <w:t>Basic Program</w:t>
            </w:r>
            <w:r>
              <w:rPr>
                <w:rFonts w:eastAsia="MS Mincho" w:cs="Arial"/>
                <w:sz w:val="16"/>
                <w:szCs w:val="16"/>
                <w:lang w:eastAsia="ja-JP"/>
              </w:rPr>
              <w:t>)</w:t>
            </w:r>
            <w:r w:rsidRPr="00564035">
              <w:rPr>
                <w:rFonts w:eastAsia="MS Mincho" w:cs="Arial" w:hint="eastAsia"/>
                <w:sz w:val="16"/>
                <w:szCs w:val="16"/>
                <w:lang w:eastAsia="ja-JP"/>
              </w:rPr>
              <w:t xml:space="preserve"> </w:t>
            </w:r>
          </w:p>
        </w:tc>
        <w:tc>
          <w:tcPr>
            <w:tcW w:w="1134" w:type="dxa"/>
            <w:tcBorders>
              <w:top w:val="nil"/>
              <w:bottom w:val="single" w:sz="4" w:space="0" w:color="auto"/>
            </w:tcBorders>
          </w:tcPr>
          <w:p w:rsidR="0063033D" w:rsidRPr="00564035" w:rsidRDefault="0063033D" w:rsidP="008D1891">
            <w:pPr>
              <w:spacing w:before="120" w:after="120"/>
              <w:rPr>
                <w:rFonts w:eastAsia="MS Mincho" w:cs="Arial"/>
                <w:sz w:val="16"/>
                <w:szCs w:val="16"/>
                <w:lang w:eastAsia="ja-JP"/>
              </w:rPr>
            </w:pPr>
            <w:r w:rsidRPr="00564035">
              <w:rPr>
                <w:rFonts w:eastAsia="MS Mincho" w:cs="Arial" w:hint="eastAsia"/>
                <w:sz w:val="16"/>
                <w:szCs w:val="16"/>
                <w:lang w:eastAsia="ja-JP"/>
              </w:rPr>
              <w:t xml:space="preserve">January 20 </w:t>
            </w:r>
            <w:r>
              <w:rPr>
                <w:rFonts w:eastAsia="MS Mincho" w:cs="Arial"/>
                <w:sz w:val="16"/>
                <w:szCs w:val="16"/>
                <w:lang w:eastAsia="ja-JP"/>
              </w:rPr>
              <w:br/>
            </w:r>
            <w:r w:rsidRPr="00564035">
              <w:rPr>
                <w:rFonts w:eastAsia="MS Mincho" w:cs="Arial" w:hint="eastAsia"/>
                <w:sz w:val="16"/>
                <w:szCs w:val="16"/>
                <w:lang w:eastAsia="ja-JP"/>
              </w:rPr>
              <w:t>to 31, 2014</w:t>
            </w:r>
          </w:p>
        </w:tc>
        <w:tc>
          <w:tcPr>
            <w:tcW w:w="1985" w:type="dxa"/>
            <w:gridSpan w:val="2"/>
            <w:tcBorders>
              <w:top w:val="nil"/>
              <w:bottom w:val="single" w:sz="4" w:space="0" w:color="auto"/>
            </w:tcBorders>
          </w:tcPr>
          <w:p w:rsidR="0063033D" w:rsidRPr="003B2563" w:rsidRDefault="0063033D" w:rsidP="008D1891">
            <w:pPr>
              <w:autoSpaceDE w:val="0"/>
              <w:autoSpaceDN w:val="0"/>
              <w:adjustRightInd w:val="0"/>
              <w:spacing w:before="120" w:after="120"/>
              <w:rPr>
                <w:rFonts w:eastAsia="MS Mincho" w:cs="Arial"/>
                <w:color w:val="000000"/>
                <w:sz w:val="16"/>
                <w:szCs w:val="16"/>
                <w:lang w:eastAsia="ja-JP"/>
              </w:rPr>
            </w:pPr>
            <w:r>
              <w:rPr>
                <w:rFonts w:eastAsia="MS Mincho" w:cs="Arial"/>
                <w:color w:val="000000"/>
                <w:sz w:val="16"/>
                <w:szCs w:val="16"/>
                <w:lang w:eastAsia="ja-JP"/>
              </w:rPr>
              <w:t xml:space="preserve">Japan/ </w:t>
            </w:r>
            <w:r w:rsidRPr="003B2563">
              <w:rPr>
                <w:rFonts w:eastAsia="MS Mincho" w:cs="Arial"/>
                <w:color w:val="000000"/>
                <w:sz w:val="16"/>
                <w:szCs w:val="16"/>
                <w:lang w:eastAsia="ja-JP"/>
              </w:rPr>
              <w:t>Cambodia, Indonesia,</w:t>
            </w:r>
            <w:r>
              <w:rPr>
                <w:rFonts w:eastAsia="MS Mincho" w:cs="Arial" w:hint="eastAsia"/>
                <w:color w:val="000000"/>
                <w:sz w:val="16"/>
                <w:szCs w:val="16"/>
                <w:lang w:eastAsia="ja-JP"/>
              </w:rPr>
              <w:t xml:space="preserve"> </w:t>
            </w:r>
            <w:r w:rsidRPr="003B2563">
              <w:rPr>
                <w:rFonts w:eastAsia="MS Mincho" w:cs="Arial"/>
                <w:color w:val="000000"/>
                <w:sz w:val="16"/>
                <w:szCs w:val="16"/>
                <w:lang w:eastAsia="ja-JP"/>
              </w:rPr>
              <w:t>Lao People’s</w:t>
            </w:r>
            <w:r>
              <w:rPr>
                <w:rFonts w:eastAsia="MS Mincho" w:cs="Arial" w:hint="eastAsia"/>
                <w:color w:val="000000"/>
                <w:sz w:val="16"/>
                <w:szCs w:val="16"/>
                <w:lang w:eastAsia="ja-JP"/>
              </w:rPr>
              <w:t xml:space="preserve"> </w:t>
            </w:r>
            <w:r w:rsidRPr="003B2563">
              <w:rPr>
                <w:rFonts w:eastAsia="MS Mincho" w:cs="Arial"/>
                <w:color w:val="000000"/>
                <w:sz w:val="16"/>
                <w:szCs w:val="16"/>
                <w:lang w:eastAsia="ja-JP"/>
              </w:rPr>
              <w:t>Democratic Republic, Malaysia,</w:t>
            </w:r>
            <w:r>
              <w:rPr>
                <w:rFonts w:eastAsia="MS Mincho" w:cs="Arial" w:hint="eastAsia"/>
                <w:color w:val="000000"/>
                <w:sz w:val="16"/>
                <w:szCs w:val="16"/>
                <w:lang w:eastAsia="ja-JP"/>
              </w:rPr>
              <w:t xml:space="preserve"> </w:t>
            </w:r>
            <w:r w:rsidRPr="003B2563">
              <w:rPr>
                <w:rFonts w:eastAsia="MS Mincho" w:cs="Arial"/>
                <w:color w:val="000000"/>
                <w:sz w:val="16"/>
                <w:szCs w:val="16"/>
                <w:lang w:eastAsia="ja-JP"/>
              </w:rPr>
              <w:t>Mongolia, Myanmar</w:t>
            </w:r>
            <w:r>
              <w:rPr>
                <w:rFonts w:eastAsia="MS Mincho" w:cs="Arial" w:hint="eastAsia"/>
                <w:color w:val="000000"/>
                <w:sz w:val="16"/>
                <w:szCs w:val="16"/>
                <w:lang w:eastAsia="ja-JP"/>
              </w:rPr>
              <w:t xml:space="preserve">, </w:t>
            </w:r>
            <w:r w:rsidRPr="003B2563">
              <w:rPr>
                <w:rFonts w:eastAsia="MS Mincho" w:cs="Arial"/>
                <w:color w:val="000000"/>
                <w:sz w:val="16"/>
                <w:szCs w:val="16"/>
                <w:lang w:eastAsia="ja-JP"/>
              </w:rPr>
              <w:t>Pakistan</w:t>
            </w:r>
            <w:r>
              <w:rPr>
                <w:rFonts w:eastAsia="MS Mincho" w:cs="Arial" w:hint="eastAsia"/>
                <w:color w:val="000000"/>
                <w:sz w:val="16"/>
                <w:szCs w:val="16"/>
                <w:lang w:eastAsia="ja-JP"/>
              </w:rPr>
              <w:t xml:space="preserve">, </w:t>
            </w:r>
            <w:r w:rsidRPr="003B2563">
              <w:rPr>
                <w:rFonts w:eastAsia="MS Mincho" w:cs="Arial"/>
                <w:color w:val="000000"/>
                <w:sz w:val="16"/>
                <w:szCs w:val="16"/>
                <w:lang w:eastAsia="ja-JP"/>
              </w:rPr>
              <w:t>Papua New Guinea, Peru, Singapore,</w:t>
            </w:r>
            <w:r>
              <w:rPr>
                <w:rFonts w:eastAsia="MS Mincho" w:cs="Arial" w:hint="eastAsia"/>
                <w:color w:val="000000"/>
                <w:sz w:val="16"/>
                <w:szCs w:val="16"/>
                <w:lang w:eastAsia="ja-JP"/>
              </w:rPr>
              <w:t xml:space="preserve"> </w:t>
            </w:r>
            <w:r>
              <w:rPr>
                <w:rFonts w:eastAsia="MS Mincho" w:cs="Arial"/>
                <w:color w:val="000000"/>
                <w:sz w:val="16"/>
                <w:szCs w:val="16"/>
                <w:lang w:eastAsia="ja-JP"/>
              </w:rPr>
              <w:br/>
            </w:r>
            <w:r w:rsidRPr="003B2563">
              <w:rPr>
                <w:rFonts w:eastAsia="MS Mincho" w:cs="Arial"/>
                <w:color w:val="000000"/>
                <w:sz w:val="16"/>
                <w:szCs w:val="16"/>
                <w:lang w:eastAsia="ja-JP"/>
              </w:rPr>
              <w:t>Tajikistan and Viet Nam</w:t>
            </w:r>
          </w:p>
        </w:tc>
        <w:tc>
          <w:tcPr>
            <w:tcW w:w="4394" w:type="dxa"/>
            <w:tcBorders>
              <w:top w:val="nil"/>
              <w:bottom w:val="single" w:sz="4" w:space="0" w:color="auto"/>
              <w:right w:val="single" w:sz="4" w:space="0" w:color="auto"/>
            </w:tcBorders>
          </w:tcPr>
          <w:p w:rsidR="0063033D" w:rsidRPr="00564035" w:rsidRDefault="0063033D" w:rsidP="008D1891">
            <w:pPr>
              <w:autoSpaceDE w:val="0"/>
              <w:autoSpaceDN w:val="0"/>
              <w:adjustRightInd w:val="0"/>
              <w:spacing w:before="120" w:after="120"/>
              <w:ind w:left="-108"/>
              <w:rPr>
                <w:rFonts w:eastAsia="MS Mincho" w:cs="Arial"/>
                <w:sz w:val="16"/>
                <w:szCs w:val="16"/>
                <w:lang w:eastAsia="ja-JP"/>
              </w:rPr>
            </w:pPr>
            <w:r w:rsidRPr="00564035">
              <w:rPr>
                <w:rFonts w:eastAsia="MS Mincho" w:cs="Arial" w:hint="eastAsia"/>
                <w:sz w:val="16"/>
                <w:szCs w:val="16"/>
                <w:lang w:eastAsia="ja-JP"/>
              </w:rPr>
              <w:t xml:space="preserve">To enhance important basic knowledge of the laws and substantive examination </w:t>
            </w:r>
            <w:r w:rsidRPr="00564035">
              <w:rPr>
                <w:rFonts w:eastAsia="MS Mincho" w:cs="Arial"/>
                <w:sz w:val="16"/>
                <w:szCs w:val="16"/>
                <w:lang w:eastAsia="ja-JP"/>
              </w:rPr>
              <w:t>procures</w:t>
            </w:r>
            <w:r w:rsidRPr="00564035">
              <w:rPr>
                <w:rFonts w:eastAsia="MS Mincho" w:cs="Arial" w:hint="eastAsia"/>
                <w:sz w:val="16"/>
                <w:szCs w:val="16"/>
                <w:lang w:eastAsia="ja-JP"/>
              </w:rPr>
              <w:t xml:space="preserve"> in the field of examination of industrial property rights. </w:t>
            </w:r>
          </w:p>
        </w:tc>
      </w:tr>
      <w:tr w:rsidR="0063033D" w:rsidRPr="00774D44" w:rsidTr="008D1891">
        <w:trPr>
          <w:cantSplit/>
          <w:trHeight w:val="315"/>
        </w:trPr>
        <w:tc>
          <w:tcPr>
            <w:tcW w:w="1843" w:type="dxa"/>
            <w:tcBorders>
              <w:top w:val="single" w:sz="4" w:space="0" w:color="auto"/>
              <w:left w:val="single" w:sz="4" w:space="0" w:color="auto"/>
              <w:bottom w:val="nil"/>
            </w:tcBorders>
            <w:vAlign w:val="center"/>
          </w:tcPr>
          <w:p w:rsidR="0063033D" w:rsidRPr="002B7DE5" w:rsidRDefault="0063033D" w:rsidP="008D1891">
            <w:pPr>
              <w:keepNext/>
              <w:keepLines/>
              <w:spacing w:before="120"/>
              <w:rPr>
                <w:rFonts w:cs="Arial"/>
                <w:b/>
                <w:bCs/>
                <w:sz w:val="16"/>
                <w:szCs w:val="16"/>
              </w:rPr>
            </w:pPr>
            <w:r w:rsidRPr="002B7DE5">
              <w:rPr>
                <w:rFonts w:cs="Arial"/>
                <w:b/>
                <w:bCs/>
                <w:sz w:val="16"/>
                <w:szCs w:val="16"/>
              </w:rPr>
              <w:lastRenderedPageBreak/>
              <w:t>Activity</w:t>
            </w:r>
          </w:p>
        </w:tc>
        <w:tc>
          <w:tcPr>
            <w:tcW w:w="1134" w:type="dxa"/>
            <w:tcBorders>
              <w:top w:val="single" w:sz="4" w:space="0" w:color="auto"/>
              <w:bottom w:val="nil"/>
            </w:tcBorders>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Date</w:t>
            </w:r>
          </w:p>
        </w:tc>
        <w:tc>
          <w:tcPr>
            <w:tcW w:w="1985" w:type="dxa"/>
            <w:gridSpan w:val="2"/>
            <w:tcBorders>
              <w:top w:val="single" w:sz="4" w:space="0" w:color="auto"/>
              <w:bottom w:val="nil"/>
            </w:tcBorders>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auto"/>
              <w:bottom w:val="nil"/>
              <w:right w:val="single" w:sz="4" w:space="0" w:color="auto"/>
            </w:tcBorders>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Purpose(s)/Description(s)</w:t>
            </w:r>
          </w:p>
        </w:tc>
      </w:tr>
      <w:tr w:rsidR="0063033D" w:rsidRPr="00774D44" w:rsidTr="008D1891">
        <w:trPr>
          <w:cantSplit/>
          <w:trHeight w:val="315"/>
        </w:trPr>
        <w:tc>
          <w:tcPr>
            <w:tcW w:w="1843" w:type="dxa"/>
            <w:tcBorders>
              <w:top w:val="nil"/>
              <w:left w:val="single" w:sz="4" w:space="0" w:color="auto"/>
              <w:bottom w:val="nil"/>
            </w:tcBorders>
          </w:tcPr>
          <w:p w:rsidR="0063033D" w:rsidRPr="00564035" w:rsidRDefault="0063033D" w:rsidP="008D1891">
            <w:pPr>
              <w:autoSpaceDE w:val="0"/>
              <w:autoSpaceDN w:val="0"/>
              <w:adjustRightInd w:val="0"/>
              <w:spacing w:before="120" w:after="120"/>
              <w:rPr>
                <w:rFonts w:eastAsia="MS Mincho" w:cs="Arial"/>
                <w:sz w:val="16"/>
                <w:szCs w:val="16"/>
                <w:lang w:eastAsia="ja-JP"/>
              </w:rPr>
            </w:pPr>
            <w:r w:rsidRPr="00564035">
              <w:rPr>
                <w:rFonts w:eastAsia="MS Mincho" w:cs="Arial" w:hint="eastAsia"/>
                <w:sz w:val="16"/>
                <w:szCs w:val="16"/>
                <w:lang w:eastAsia="ja-JP"/>
              </w:rPr>
              <w:t>Training Course on IP Mana</w:t>
            </w:r>
            <w:r>
              <w:rPr>
                <w:rFonts w:eastAsia="MS Mincho" w:cs="Arial" w:hint="eastAsia"/>
                <w:sz w:val="16"/>
                <w:szCs w:val="16"/>
                <w:lang w:eastAsia="ja-JP"/>
              </w:rPr>
              <w:t xml:space="preserve">gement and the Formulation and </w:t>
            </w:r>
            <w:r>
              <w:rPr>
                <w:rFonts w:eastAsia="MS Mincho" w:cs="Arial"/>
                <w:sz w:val="16"/>
                <w:szCs w:val="16"/>
                <w:lang w:eastAsia="ja-JP"/>
              </w:rPr>
              <w:t>I</w:t>
            </w:r>
            <w:r w:rsidRPr="00564035">
              <w:rPr>
                <w:rFonts w:eastAsia="MS Mincho" w:cs="Arial" w:hint="eastAsia"/>
                <w:sz w:val="16"/>
                <w:szCs w:val="16"/>
                <w:lang w:eastAsia="ja-JP"/>
              </w:rPr>
              <w:t xml:space="preserve">mplementation of Results-Based IP Office Plans </w:t>
            </w:r>
          </w:p>
        </w:tc>
        <w:tc>
          <w:tcPr>
            <w:tcW w:w="1134" w:type="dxa"/>
            <w:tcBorders>
              <w:top w:val="nil"/>
              <w:bottom w:val="nil"/>
            </w:tcBorders>
          </w:tcPr>
          <w:p w:rsidR="0063033D" w:rsidRPr="00564035" w:rsidRDefault="0063033D" w:rsidP="008D1891">
            <w:pPr>
              <w:spacing w:before="120" w:after="120"/>
              <w:rPr>
                <w:rFonts w:eastAsia="MS Mincho" w:cs="Arial"/>
                <w:sz w:val="16"/>
                <w:szCs w:val="16"/>
                <w:lang w:eastAsia="ja-JP"/>
              </w:rPr>
            </w:pPr>
            <w:r w:rsidRPr="003B2563">
              <w:rPr>
                <w:rFonts w:eastAsia="MS Mincho" w:cs="Arial" w:hint="eastAsia"/>
                <w:sz w:val="16"/>
                <w:szCs w:val="16"/>
                <w:lang w:eastAsia="ja-JP"/>
              </w:rPr>
              <w:t xml:space="preserve">January 29 </w:t>
            </w:r>
            <w:r>
              <w:rPr>
                <w:rFonts w:eastAsia="MS Mincho" w:cs="Arial"/>
                <w:sz w:val="16"/>
                <w:szCs w:val="16"/>
                <w:lang w:eastAsia="ja-JP"/>
              </w:rPr>
              <w:br/>
            </w:r>
            <w:r w:rsidRPr="003B2563">
              <w:rPr>
                <w:rFonts w:eastAsia="MS Mincho" w:cs="Arial" w:hint="eastAsia"/>
                <w:sz w:val="16"/>
                <w:szCs w:val="16"/>
                <w:lang w:eastAsia="ja-JP"/>
              </w:rPr>
              <w:t>to February 5, 2014</w:t>
            </w:r>
          </w:p>
        </w:tc>
        <w:tc>
          <w:tcPr>
            <w:tcW w:w="1985" w:type="dxa"/>
            <w:gridSpan w:val="2"/>
            <w:tcBorders>
              <w:top w:val="nil"/>
              <w:bottom w:val="nil"/>
            </w:tcBorders>
          </w:tcPr>
          <w:p w:rsidR="0063033D" w:rsidRPr="003B2563" w:rsidRDefault="0063033D" w:rsidP="008D1891">
            <w:pPr>
              <w:autoSpaceDE w:val="0"/>
              <w:autoSpaceDN w:val="0"/>
              <w:adjustRightInd w:val="0"/>
              <w:spacing w:before="120" w:after="120"/>
              <w:rPr>
                <w:rFonts w:eastAsia="MS Mincho" w:cs="Arial"/>
                <w:color w:val="000000"/>
                <w:sz w:val="16"/>
                <w:szCs w:val="16"/>
                <w:lang w:eastAsia="ja-JP"/>
              </w:rPr>
            </w:pPr>
            <w:r>
              <w:rPr>
                <w:rFonts w:eastAsia="MS Mincho" w:cs="Arial"/>
                <w:color w:val="000000"/>
                <w:sz w:val="16"/>
                <w:szCs w:val="16"/>
                <w:lang w:eastAsia="ja-JP"/>
              </w:rPr>
              <w:t xml:space="preserve">Japan/ </w:t>
            </w:r>
            <w:r w:rsidRPr="003B2563">
              <w:rPr>
                <w:rFonts w:eastAsia="MS Mincho" w:cs="Arial"/>
                <w:color w:val="000000"/>
                <w:sz w:val="16"/>
                <w:szCs w:val="16"/>
                <w:lang w:eastAsia="ja-JP"/>
              </w:rPr>
              <w:t>Bangladesh, India, Indonesia, Malaysia, Myanmar, Pakistan, Philippines, Sri Lanka</w:t>
            </w:r>
            <w:r>
              <w:rPr>
                <w:rFonts w:eastAsia="MS Mincho" w:cs="Arial" w:hint="eastAsia"/>
                <w:color w:val="000000"/>
                <w:sz w:val="16"/>
                <w:szCs w:val="16"/>
                <w:lang w:eastAsia="ja-JP"/>
              </w:rPr>
              <w:t xml:space="preserve">, </w:t>
            </w:r>
            <w:r>
              <w:rPr>
                <w:rFonts w:eastAsia="MS Mincho" w:cs="Arial"/>
                <w:color w:val="000000"/>
                <w:sz w:val="16"/>
                <w:szCs w:val="16"/>
                <w:lang w:eastAsia="ja-JP"/>
              </w:rPr>
              <w:t xml:space="preserve"> Thailand </w:t>
            </w:r>
            <w:r w:rsidRPr="003B2563">
              <w:rPr>
                <w:rFonts w:eastAsia="MS Mincho" w:cs="Arial"/>
                <w:color w:val="000000"/>
                <w:sz w:val="16"/>
                <w:szCs w:val="16"/>
                <w:lang w:eastAsia="ja-JP"/>
              </w:rPr>
              <w:t>and Viet Nam</w:t>
            </w:r>
          </w:p>
        </w:tc>
        <w:tc>
          <w:tcPr>
            <w:tcW w:w="4394" w:type="dxa"/>
            <w:tcBorders>
              <w:top w:val="nil"/>
              <w:bottom w:val="nil"/>
              <w:right w:val="single" w:sz="4" w:space="0" w:color="auto"/>
            </w:tcBorders>
          </w:tcPr>
          <w:p w:rsidR="0063033D" w:rsidRPr="00564035" w:rsidRDefault="0063033D" w:rsidP="008D1891">
            <w:pPr>
              <w:autoSpaceDE w:val="0"/>
              <w:autoSpaceDN w:val="0"/>
              <w:adjustRightInd w:val="0"/>
              <w:spacing w:before="120" w:after="120"/>
              <w:ind w:left="-108"/>
              <w:rPr>
                <w:rFonts w:eastAsia="MS Mincho" w:cs="Arial"/>
                <w:sz w:val="16"/>
                <w:szCs w:val="16"/>
                <w:lang w:eastAsia="ja-JP"/>
              </w:rPr>
            </w:pPr>
            <w:r>
              <w:rPr>
                <w:rFonts w:eastAsia="MS Mincho" w:cs="Arial" w:hint="eastAsia"/>
                <w:sz w:val="16"/>
                <w:szCs w:val="16"/>
                <w:lang w:eastAsia="ja-JP"/>
              </w:rPr>
              <w:t>T</w:t>
            </w:r>
            <w:r w:rsidRPr="003B2563">
              <w:rPr>
                <w:rFonts w:eastAsia="MS Mincho" w:cs="Arial"/>
                <w:sz w:val="16"/>
                <w:szCs w:val="16"/>
                <w:lang w:eastAsia="ja-JP"/>
              </w:rPr>
              <w:t xml:space="preserve">o: </w:t>
            </w:r>
            <w:r>
              <w:rPr>
                <w:rFonts w:eastAsia="MS Mincho" w:cs="Arial"/>
                <w:sz w:val="16"/>
                <w:szCs w:val="16"/>
                <w:lang w:eastAsia="ja-JP"/>
              </w:rPr>
              <w:t xml:space="preserve"> </w:t>
            </w:r>
            <w:r w:rsidRPr="003B2563">
              <w:rPr>
                <w:rFonts w:eastAsia="MS Mincho" w:cs="Arial"/>
                <w:sz w:val="16"/>
                <w:szCs w:val="16"/>
                <w:lang w:eastAsia="ja-JP"/>
              </w:rPr>
              <w:t>(</w:t>
            </w:r>
            <w:proofErr w:type="spellStart"/>
            <w:r w:rsidRPr="003B2563">
              <w:rPr>
                <w:rFonts w:eastAsia="MS Mincho" w:cs="Arial"/>
                <w:sz w:val="16"/>
                <w:szCs w:val="16"/>
                <w:lang w:eastAsia="ja-JP"/>
              </w:rPr>
              <w:t>i</w:t>
            </w:r>
            <w:proofErr w:type="spellEnd"/>
            <w:r w:rsidRPr="003B2563">
              <w:rPr>
                <w:rFonts w:eastAsia="MS Mincho" w:cs="Arial"/>
                <w:sz w:val="16"/>
                <w:szCs w:val="16"/>
                <w:lang w:eastAsia="ja-JP"/>
              </w:rPr>
              <w:t xml:space="preserve">) increase the knowledge of participants of modern IP management practices; </w:t>
            </w:r>
            <w:r>
              <w:rPr>
                <w:rFonts w:eastAsia="MS Mincho" w:cs="Arial"/>
                <w:sz w:val="16"/>
                <w:szCs w:val="16"/>
                <w:lang w:eastAsia="ja-JP"/>
              </w:rPr>
              <w:t xml:space="preserve"> </w:t>
            </w:r>
            <w:r w:rsidRPr="003B2563">
              <w:rPr>
                <w:rFonts w:eastAsia="MS Mincho" w:cs="Arial"/>
                <w:sz w:val="16"/>
                <w:szCs w:val="16"/>
                <w:lang w:eastAsia="ja-JP"/>
              </w:rPr>
              <w:t>and (ii) enhance the capacity of participants to formulate, implement and evaluate IP Office plans that are time-bound, result</w:t>
            </w:r>
            <w:r>
              <w:rPr>
                <w:rFonts w:eastAsia="MS Mincho" w:cs="Arial"/>
                <w:sz w:val="16"/>
                <w:szCs w:val="16"/>
                <w:lang w:eastAsia="ja-JP"/>
              </w:rPr>
              <w:t>s</w:t>
            </w:r>
            <w:r w:rsidRPr="003B2563">
              <w:rPr>
                <w:rFonts w:eastAsia="MS Mincho" w:cs="Arial"/>
                <w:sz w:val="16"/>
                <w:szCs w:val="16"/>
                <w:lang w:eastAsia="ja-JP"/>
              </w:rPr>
              <w:t>-oriented, and have a measurable impact.</w:t>
            </w:r>
          </w:p>
        </w:tc>
      </w:tr>
      <w:tr w:rsidR="0063033D" w:rsidRPr="00774D44" w:rsidTr="008D1891">
        <w:trPr>
          <w:cantSplit/>
          <w:trHeight w:val="315"/>
        </w:trPr>
        <w:tc>
          <w:tcPr>
            <w:tcW w:w="1843" w:type="dxa"/>
            <w:tcBorders>
              <w:top w:val="nil"/>
              <w:left w:val="single" w:sz="4" w:space="0" w:color="auto"/>
              <w:bottom w:val="nil"/>
            </w:tcBorders>
          </w:tcPr>
          <w:p w:rsidR="0063033D" w:rsidRPr="003B2563" w:rsidRDefault="0063033D" w:rsidP="008D1891">
            <w:pPr>
              <w:autoSpaceDE w:val="0"/>
              <w:autoSpaceDN w:val="0"/>
              <w:adjustRightInd w:val="0"/>
              <w:spacing w:before="120" w:after="120"/>
              <w:rPr>
                <w:rFonts w:eastAsia="MS Mincho" w:cs="Arial"/>
                <w:sz w:val="16"/>
                <w:szCs w:val="16"/>
                <w:lang w:eastAsia="ja-JP"/>
              </w:rPr>
            </w:pPr>
            <w:r w:rsidRPr="003B2563">
              <w:rPr>
                <w:rFonts w:eastAsia="MS Mincho" w:cs="Arial" w:hint="eastAsia"/>
                <w:sz w:val="16"/>
                <w:szCs w:val="16"/>
                <w:lang w:eastAsia="ja-JP"/>
              </w:rPr>
              <w:t xml:space="preserve">Training Course for Patent </w:t>
            </w:r>
            <w:r w:rsidRPr="003B2563">
              <w:rPr>
                <w:rFonts w:eastAsia="MS Mincho" w:cs="Arial"/>
                <w:sz w:val="16"/>
                <w:szCs w:val="16"/>
                <w:lang w:eastAsia="ja-JP"/>
              </w:rPr>
              <w:t>Examiners</w:t>
            </w:r>
            <w:r w:rsidRPr="003B2563">
              <w:rPr>
                <w:rFonts w:eastAsia="MS Mincho" w:cs="Arial" w:hint="eastAsia"/>
                <w:sz w:val="16"/>
                <w:szCs w:val="16"/>
                <w:lang w:eastAsia="ja-JP"/>
              </w:rPr>
              <w:t xml:space="preserve"> on Specified Technology (Biotechnology)</w:t>
            </w:r>
          </w:p>
        </w:tc>
        <w:tc>
          <w:tcPr>
            <w:tcW w:w="1134" w:type="dxa"/>
            <w:tcBorders>
              <w:top w:val="nil"/>
              <w:bottom w:val="nil"/>
            </w:tcBorders>
          </w:tcPr>
          <w:p w:rsidR="0063033D" w:rsidRPr="003B2563" w:rsidRDefault="0063033D" w:rsidP="008D1891">
            <w:pPr>
              <w:spacing w:before="120" w:after="120"/>
              <w:rPr>
                <w:rFonts w:eastAsia="MS Mincho" w:cs="Arial"/>
                <w:sz w:val="16"/>
                <w:szCs w:val="16"/>
                <w:lang w:eastAsia="ja-JP"/>
              </w:rPr>
            </w:pPr>
            <w:r>
              <w:rPr>
                <w:rFonts w:eastAsia="MS Mincho" w:cs="Arial" w:hint="eastAsia"/>
                <w:sz w:val="16"/>
                <w:szCs w:val="16"/>
                <w:lang w:eastAsia="ja-JP"/>
              </w:rPr>
              <w:t xml:space="preserve">February 12 </w:t>
            </w:r>
            <w:r>
              <w:rPr>
                <w:rFonts w:eastAsia="MS Mincho" w:cs="Arial"/>
                <w:sz w:val="16"/>
                <w:szCs w:val="16"/>
                <w:lang w:eastAsia="ja-JP"/>
              </w:rPr>
              <w:br/>
            </w:r>
            <w:r>
              <w:rPr>
                <w:rFonts w:eastAsia="MS Mincho" w:cs="Arial" w:hint="eastAsia"/>
                <w:sz w:val="16"/>
                <w:szCs w:val="16"/>
                <w:lang w:eastAsia="ja-JP"/>
              </w:rPr>
              <w:t>to 19, 2014</w:t>
            </w:r>
          </w:p>
        </w:tc>
        <w:tc>
          <w:tcPr>
            <w:tcW w:w="1985" w:type="dxa"/>
            <w:gridSpan w:val="2"/>
            <w:tcBorders>
              <w:top w:val="nil"/>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Pr>
                <w:rFonts w:eastAsia="MS Mincho" w:cs="Arial"/>
                <w:color w:val="000000"/>
                <w:sz w:val="16"/>
                <w:szCs w:val="16"/>
                <w:lang w:eastAsia="ja-JP"/>
              </w:rPr>
              <w:t>Japan/</w:t>
            </w:r>
            <w:r w:rsidRPr="003B2563">
              <w:rPr>
                <w:rFonts w:eastAsia="MS Mincho" w:cs="Arial"/>
                <w:color w:val="000000"/>
                <w:sz w:val="16"/>
                <w:szCs w:val="16"/>
                <w:lang w:eastAsia="ja-JP"/>
              </w:rPr>
              <w:t xml:space="preserve"> India, Indonesia, Philippines, Thailand and Viet Nam</w:t>
            </w:r>
          </w:p>
        </w:tc>
        <w:tc>
          <w:tcPr>
            <w:tcW w:w="4394" w:type="dxa"/>
            <w:tcBorders>
              <w:top w:val="nil"/>
              <w:bottom w:val="nil"/>
              <w:right w:val="single" w:sz="4" w:space="0" w:color="auto"/>
            </w:tcBorders>
          </w:tcPr>
          <w:p w:rsidR="0063033D" w:rsidRPr="00564035" w:rsidRDefault="0063033D" w:rsidP="008D1891">
            <w:pPr>
              <w:autoSpaceDE w:val="0"/>
              <w:autoSpaceDN w:val="0"/>
              <w:adjustRightInd w:val="0"/>
              <w:spacing w:before="120" w:after="120"/>
              <w:ind w:left="-108"/>
              <w:rPr>
                <w:rFonts w:eastAsia="MS Mincho" w:cs="Arial"/>
                <w:sz w:val="16"/>
                <w:szCs w:val="16"/>
                <w:lang w:eastAsia="ja-JP"/>
              </w:rPr>
            </w:pPr>
            <w:r>
              <w:rPr>
                <w:rFonts w:eastAsia="MS Mincho" w:cs="Arial" w:hint="eastAsia"/>
                <w:sz w:val="16"/>
                <w:szCs w:val="16"/>
                <w:lang w:eastAsia="ja-JP"/>
              </w:rPr>
              <w:t>T</w:t>
            </w:r>
            <w:r w:rsidRPr="003B2563">
              <w:rPr>
                <w:rFonts w:eastAsia="MS Mincho" w:cs="Arial"/>
                <w:sz w:val="16"/>
                <w:szCs w:val="16"/>
                <w:lang w:eastAsia="ja-JP"/>
              </w:rPr>
              <w:t>o: (</w:t>
            </w:r>
            <w:proofErr w:type="spellStart"/>
            <w:r w:rsidRPr="003B2563">
              <w:rPr>
                <w:rFonts w:eastAsia="MS Mincho" w:cs="Arial"/>
                <w:sz w:val="16"/>
                <w:szCs w:val="16"/>
                <w:lang w:eastAsia="ja-JP"/>
              </w:rPr>
              <w:t>i</w:t>
            </w:r>
            <w:proofErr w:type="spellEnd"/>
            <w:r w:rsidRPr="003B2563">
              <w:rPr>
                <w:rFonts w:eastAsia="MS Mincho" w:cs="Arial"/>
                <w:sz w:val="16"/>
                <w:szCs w:val="16"/>
                <w:lang w:eastAsia="ja-JP"/>
              </w:rPr>
              <w:t>) acquaint the participants with current trends and modern practices in the examination of patents related to Biotechnology; (ii) impart practical knowledge and insights on patent examination methodologies;</w:t>
            </w:r>
            <w:r>
              <w:rPr>
                <w:rFonts w:eastAsia="MS Mincho" w:cs="Arial"/>
                <w:sz w:val="16"/>
                <w:szCs w:val="16"/>
                <w:lang w:eastAsia="ja-JP"/>
              </w:rPr>
              <w:t xml:space="preserve"> </w:t>
            </w:r>
            <w:r>
              <w:rPr>
                <w:rFonts w:eastAsia="MS Mincho" w:cs="Arial"/>
                <w:sz w:val="16"/>
                <w:szCs w:val="16"/>
                <w:lang w:eastAsia="ja-JP"/>
              </w:rPr>
              <w:br/>
            </w:r>
            <w:r w:rsidRPr="003B2563">
              <w:rPr>
                <w:rFonts w:eastAsia="MS Mincho" w:cs="Arial"/>
                <w:sz w:val="16"/>
                <w:szCs w:val="16"/>
                <w:lang w:eastAsia="ja-JP"/>
              </w:rPr>
              <w:t>(iii) offer an opportunity to share experiences and views among participants on patent examination issues;  and (iv) enhance participants’ professional capabilities for examination of Biotechnology patents</w:t>
            </w:r>
            <w:r>
              <w:rPr>
                <w:rFonts w:eastAsia="MS Mincho" w:cs="Arial" w:hint="eastAsia"/>
                <w:sz w:val="16"/>
                <w:szCs w:val="16"/>
                <w:lang w:eastAsia="ja-JP"/>
              </w:rPr>
              <w:t>.</w:t>
            </w:r>
          </w:p>
        </w:tc>
      </w:tr>
      <w:tr w:rsidR="0063033D" w:rsidRPr="00774D44" w:rsidTr="008D1891">
        <w:trPr>
          <w:cantSplit/>
          <w:trHeight w:val="315"/>
        </w:trPr>
        <w:tc>
          <w:tcPr>
            <w:tcW w:w="1843" w:type="dxa"/>
            <w:tcBorders>
              <w:top w:val="nil"/>
              <w:left w:val="single" w:sz="4" w:space="0" w:color="auto"/>
              <w:bottom w:val="nil"/>
            </w:tcBorders>
          </w:tcPr>
          <w:p w:rsidR="0063033D" w:rsidRPr="00564035" w:rsidRDefault="0063033D" w:rsidP="008D1891">
            <w:pPr>
              <w:autoSpaceDE w:val="0"/>
              <w:autoSpaceDN w:val="0"/>
              <w:adjustRightInd w:val="0"/>
              <w:spacing w:before="120" w:after="120"/>
              <w:rPr>
                <w:rFonts w:eastAsia="MS Mincho" w:cs="Arial"/>
                <w:sz w:val="16"/>
                <w:szCs w:val="16"/>
                <w:lang w:eastAsia="ja-JP"/>
              </w:rPr>
            </w:pPr>
            <w:r w:rsidRPr="003B2563">
              <w:rPr>
                <w:rFonts w:eastAsia="MS Mincho" w:cs="Arial" w:hint="eastAsia"/>
                <w:sz w:val="16"/>
                <w:szCs w:val="16"/>
                <w:lang w:eastAsia="ja-JP"/>
              </w:rPr>
              <w:t xml:space="preserve">Training Course for Patent </w:t>
            </w:r>
            <w:r w:rsidRPr="003B2563">
              <w:rPr>
                <w:rFonts w:eastAsia="MS Mincho" w:cs="Arial"/>
                <w:sz w:val="16"/>
                <w:szCs w:val="16"/>
                <w:lang w:eastAsia="ja-JP"/>
              </w:rPr>
              <w:t>Examiners</w:t>
            </w:r>
            <w:r w:rsidRPr="003B2563">
              <w:rPr>
                <w:rFonts w:eastAsia="MS Mincho" w:cs="Arial" w:hint="eastAsia"/>
                <w:sz w:val="16"/>
                <w:szCs w:val="16"/>
                <w:lang w:eastAsia="ja-JP"/>
              </w:rPr>
              <w:t xml:space="preserve"> on Specified Technology</w:t>
            </w:r>
            <w:r>
              <w:rPr>
                <w:rFonts w:eastAsia="MS Mincho" w:cs="Arial" w:hint="eastAsia"/>
                <w:sz w:val="16"/>
                <w:szCs w:val="16"/>
                <w:lang w:eastAsia="ja-JP"/>
              </w:rPr>
              <w:t xml:space="preserve"> (Optical </w:t>
            </w:r>
            <w:r>
              <w:rPr>
                <w:rFonts w:eastAsia="MS Mincho" w:cs="Arial"/>
                <w:sz w:val="16"/>
                <w:szCs w:val="16"/>
                <w:lang w:eastAsia="ja-JP"/>
              </w:rPr>
              <w:t>A</w:t>
            </w:r>
            <w:r>
              <w:rPr>
                <w:rFonts w:eastAsia="MS Mincho" w:cs="Arial" w:hint="eastAsia"/>
                <w:sz w:val="16"/>
                <w:szCs w:val="16"/>
                <w:lang w:eastAsia="ja-JP"/>
              </w:rPr>
              <w:t>pparatus)</w:t>
            </w:r>
          </w:p>
        </w:tc>
        <w:tc>
          <w:tcPr>
            <w:tcW w:w="1134" w:type="dxa"/>
            <w:tcBorders>
              <w:top w:val="nil"/>
              <w:bottom w:val="nil"/>
            </w:tcBorders>
          </w:tcPr>
          <w:p w:rsidR="0063033D" w:rsidRPr="003B2563" w:rsidRDefault="0063033D" w:rsidP="008D1891">
            <w:pPr>
              <w:spacing w:before="120" w:after="120"/>
              <w:rPr>
                <w:rFonts w:eastAsia="MS Mincho" w:cs="Arial"/>
                <w:sz w:val="16"/>
                <w:szCs w:val="16"/>
                <w:lang w:eastAsia="ja-JP"/>
              </w:rPr>
            </w:pPr>
            <w:r>
              <w:rPr>
                <w:rFonts w:eastAsia="MS Mincho" w:cs="Arial" w:hint="eastAsia"/>
                <w:sz w:val="16"/>
                <w:szCs w:val="16"/>
                <w:lang w:eastAsia="ja-JP"/>
              </w:rPr>
              <w:t xml:space="preserve">February 20 </w:t>
            </w:r>
            <w:r>
              <w:rPr>
                <w:rFonts w:eastAsia="MS Mincho" w:cs="Arial"/>
                <w:sz w:val="16"/>
                <w:szCs w:val="16"/>
                <w:lang w:eastAsia="ja-JP"/>
              </w:rPr>
              <w:br/>
            </w:r>
            <w:r>
              <w:rPr>
                <w:rFonts w:eastAsia="MS Mincho" w:cs="Arial" w:hint="eastAsia"/>
                <w:sz w:val="16"/>
                <w:szCs w:val="16"/>
                <w:lang w:eastAsia="ja-JP"/>
              </w:rPr>
              <w:t>to 27, 2014</w:t>
            </w:r>
          </w:p>
        </w:tc>
        <w:tc>
          <w:tcPr>
            <w:tcW w:w="1985" w:type="dxa"/>
            <w:gridSpan w:val="2"/>
            <w:tcBorders>
              <w:top w:val="nil"/>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Pr>
                <w:rFonts w:eastAsia="MS Mincho" w:cs="Arial"/>
                <w:color w:val="000000"/>
                <w:sz w:val="16"/>
                <w:szCs w:val="16"/>
                <w:lang w:eastAsia="ja-JP"/>
              </w:rPr>
              <w:t>Japan/</w:t>
            </w:r>
            <w:r w:rsidRPr="003B2563">
              <w:rPr>
                <w:rFonts w:eastAsia="MS Mincho" w:cs="Arial"/>
                <w:color w:val="000000"/>
                <w:sz w:val="16"/>
                <w:szCs w:val="16"/>
                <w:lang w:eastAsia="ja-JP"/>
              </w:rPr>
              <w:t xml:space="preserve"> Indonesia, Malaysia, Mexico, </w:t>
            </w:r>
            <w:r>
              <w:rPr>
                <w:rFonts w:eastAsia="MS Mincho" w:cs="Arial"/>
                <w:color w:val="000000"/>
                <w:sz w:val="16"/>
                <w:szCs w:val="16"/>
                <w:lang w:eastAsia="ja-JP"/>
              </w:rPr>
              <w:t xml:space="preserve">Philippines, Thailand </w:t>
            </w:r>
            <w:r w:rsidRPr="003B2563">
              <w:rPr>
                <w:rFonts w:eastAsia="MS Mincho" w:cs="Arial"/>
                <w:color w:val="000000"/>
                <w:sz w:val="16"/>
                <w:szCs w:val="16"/>
                <w:lang w:eastAsia="ja-JP"/>
              </w:rPr>
              <w:t>and Viet Nam</w:t>
            </w:r>
          </w:p>
        </w:tc>
        <w:tc>
          <w:tcPr>
            <w:tcW w:w="4394" w:type="dxa"/>
            <w:tcBorders>
              <w:top w:val="nil"/>
              <w:bottom w:val="nil"/>
              <w:right w:val="single" w:sz="4" w:space="0" w:color="auto"/>
            </w:tcBorders>
          </w:tcPr>
          <w:p w:rsidR="0063033D" w:rsidRPr="00564035" w:rsidRDefault="0063033D" w:rsidP="008D1891">
            <w:pPr>
              <w:autoSpaceDE w:val="0"/>
              <w:autoSpaceDN w:val="0"/>
              <w:adjustRightInd w:val="0"/>
              <w:spacing w:before="120" w:after="120"/>
              <w:ind w:left="-108"/>
              <w:rPr>
                <w:rFonts w:eastAsia="MS Mincho" w:cs="Arial"/>
                <w:sz w:val="16"/>
                <w:szCs w:val="16"/>
                <w:lang w:eastAsia="ja-JP"/>
              </w:rPr>
            </w:pPr>
            <w:r>
              <w:rPr>
                <w:rFonts w:eastAsia="MS Mincho" w:cs="Arial" w:hint="eastAsia"/>
                <w:sz w:val="16"/>
                <w:szCs w:val="16"/>
                <w:lang w:eastAsia="ja-JP"/>
              </w:rPr>
              <w:t>T</w:t>
            </w:r>
            <w:r w:rsidRPr="003B2563">
              <w:rPr>
                <w:rFonts w:eastAsia="MS Mincho" w:cs="Arial"/>
                <w:sz w:val="16"/>
                <w:szCs w:val="16"/>
                <w:lang w:eastAsia="ja-JP"/>
              </w:rPr>
              <w:t xml:space="preserve">o: </w:t>
            </w:r>
            <w:r>
              <w:rPr>
                <w:rFonts w:eastAsia="MS Mincho" w:cs="Arial"/>
                <w:sz w:val="16"/>
                <w:szCs w:val="16"/>
                <w:lang w:eastAsia="ja-JP"/>
              </w:rPr>
              <w:t xml:space="preserve"> </w:t>
            </w:r>
            <w:r w:rsidRPr="003B2563">
              <w:rPr>
                <w:rFonts w:eastAsia="MS Mincho" w:cs="Arial"/>
                <w:sz w:val="16"/>
                <w:szCs w:val="16"/>
                <w:lang w:eastAsia="ja-JP"/>
              </w:rPr>
              <w:t>(</w:t>
            </w:r>
            <w:proofErr w:type="spellStart"/>
            <w:r w:rsidRPr="003B2563">
              <w:rPr>
                <w:rFonts w:eastAsia="MS Mincho" w:cs="Arial"/>
                <w:sz w:val="16"/>
                <w:szCs w:val="16"/>
                <w:lang w:eastAsia="ja-JP"/>
              </w:rPr>
              <w:t>i</w:t>
            </w:r>
            <w:proofErr w:type="spellEnd"/>
            <w:r w:rsidRPr="003B2563">
              <w:rPr>
                <w:rFonts w:eastAsia="MS Mincho" w:cs="Arial"/>
                <w:sz w:val="16"/>
                <w:szCs w:val="16"/>
                <w:lang w:eastAsia="ja-JP"/>
              </w:rPr>
              <w:t xml:space="preserve">) acquaint the participants with current trends and modern practices in the examination of patents related to Optical Apparatus;  (ii) impart practical knowledge and insights on patent examination methodologies;  </w:t>
            </w:r>
            <w:r>
              <w:rPr>
                <w:rFonts w:eastAsia="MS Mincho" w:cs="Arial"/>
                <w:sz w:val="16"/>
                <w:szCs w:val="16"/>
                <w:lang w:eastAsia="ja-JP"/>
              </w:rPr>
              <w:br/>
            </w:r>
            <w:r w:rsidRPr="003B2563">
              <w:rPr>
                <w:rFonts w:eastAsia="MS Mincho" w:cs="Arial"/>
                <w:sz w:val="16"/>
                <w:szCs w:val="16"/>
                <w:lang w:eastAsia="ja-JP"/>
              </w:rPr>
              <w:t>(iii) offer an opportunity to share experiences and views among participants on patent examination issues;  and (iv) enhance participants’ professional capabilities for examination of Optical Apparatus patents.</w:t>
            </w:r>
          </w:p>
        </w:tc>
      </w:tr>
      <w:tr w:rsidR="0063033D" w:rsidRPr="00774D44" w:rsidTr="008D1891">
        <w:trPr>
          <w:cantSplit/>
          <w:trHeight w:val="315"/>
        </w:trPr>
        <w:tc>
          <w:tcPr>
            <w:tcW w:w="1843" w:type="dxa"/>
            <w:tcBorders>
              <w:top w:val="nil"/>
              <w:left w:val="single" w:sz="4" w:space="0" w:color="auto"/>
              <w:bottom w:val="nil"/>
            </w:tcBorders>
          </w:tcPr>
          <w:p w:rsidR="0063033D" w:rsidRPr="00564035" w:rsidRDefault="0063033D" w:rsidP="008D1891">
            <w:pPr>
              <w:autoSpaceDE w:val="0"/>
              <w:autoSpaceDN w:val="0"/>
              <w:adjustRightInd w:val="0"/>
              <w:spacing w:before="120" w:after="120"/>
              <w:rPr>
                <w:rFonts w:eastAsia="MS Mincho" w:cs="Arial"/>
                <w:sz w:val="16"/>
                <w:szCs w:val="16"/>
                <w:lang w:eastAsia="ja-JP"/>
              </w:rPr>
            </w:pPr>
            <w:r w:rsidRPr="00564035">
              <w:rPr>
                <w:rFonts w:eastAsia="MS Mincho" w:cs="Arial" w:hint="eastAsia"/>
                <w:sz w:val="16"/>
                <w:szCs w:val="16"/>
                <w:lang w:eastAsia="ja-JP"/>
              </w:rPr>
              <w:t xml:space="preserve">Training Course on the Use of Information Technology in Industrial Property Administration </w:t>
            </w:r>
          </w:p>
        </w:tc>
        <w:tc>
          <w:tcPr>
            <w:tcW w:w="1134" w:type="dxa"/>
            <w:tcBorders>
              <w:top w:val="nil"/>
              <w:bottom w:val="nil"/>
            </w:tcBorders>
          </w:tcPr>
          <w:p w:rsidR="0063033D" w:rsidRPr="003B2563" w:rsidRDefault="0063033D" w:rsidP="008D1891">
            <w:pPr>
              <w:spacing w:before="120" w:after="120"/>
              <w:rPr>
                <w:rFonts w:eastAsia="MS Mincho" w:cs="Arial"/>
                <w:sz w:val="16"/>
                <w:szCs w:val="16"/>
                <w:lang w:eastAsia="ja-JP"/>
              </w:rPr>
            </w:pPr>
            <w:r>
              <w:rPr>
                <w:rFonts w:eastAsia="MS Mincho" w:cs="Arial" w:hint="eastAsia"/>
                <w:sz w:val="16"/>
                <w:szCs w:val="16"/>
                <w:lang w:eastAsia="ja-JP"/>
              </w:rPr>
              <w:t>October 27 to November 7, 2014</w:t>
            </w:r>
          </w:p>
        </w:tc>
        <w:tc>
          <w:tcPr>
            <w:tcW w:w="1985" w:type="dxa"/>
            <w:gridSpan w:val="2"/>
            <w:tcBorders>
              <w:top w:val="nil"/>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Pr>
                <w:rFonts w:eastAsia="MS Mincho" w:cs="Arial" w:hint="eastAsia"/>
                <w:color w:val="000000"/>
                <w:sz w:val="16"/>
                <w:szCs w:val="16"/>
                <w:lang w:eastAsia="ja-JP"/>
              </w:rPr>
              <w:t>Japan/</w:t>
            </w:r>
            <w:r w:rsidRPr="003B2563">
              <w:rPr>
                <w:rFonts w:eastAsia="MS Mincho" w:cs="Arial"/>
                <w:color w:val="000000"/>
                <w:sz w:val="16"/>
                <w:szCs w:val="16"/>
                <w:lang w:eastAsia="ja-JP"/>
              </w:rPr>
              <w:t>Bangladesh, Brazil, Brunei</w:t>
            </w:r>
            <w:r>
              <w:rPr>
                <w:rFonts w:eastAsia="MS Mincho" w:cs="Arial"/>
                <w:color w:val="000000"/>
                <w:sz w:val="16"/>
                <w:szCs w:val="16"/>
                <w:lang w:eastAsia="ja-JP"/>
              </w:rPr>
              <w:t xml:space="preserve"> Darussalam</w:t>
            </w:r>
            <w:r w:rsidRPr="003B2563">
              <w:rPr>
                <w:rFonts w:eastAsia="MS Mincho" w:cs="Arial"/>
                <w:color w:val="000000"/>
                <w:sz w:val="16"/>
                <w:szCs w:val="16"/>
                <w:lang w:eastAsia="ja-JP"/>
              </w:rPr>
              <w:t>, Cambodia, Chile, India, Indonesia, Lao People’s Democratic Republic, Malaysia, Mexico, Mongolia, Myanmar, Pakistan, Papua New G</w:t>
            </w:r>
            <w:r>
              <w:rPr>
                <w:rFonts w:eastAsia="MS Mincho" w:cs="Arial"/>
                <w:color w:val="000000"/>
                <w:sz w:val="16"/>
                <w:szCs w:val="16"/>
                <w:lang w:eastAsia="ja-JP"/>
              </w:rPr>
              <w:t xml:space="preserve">uinea, Philippines, Thailand  and </w:t>
            </w:r>
            <w:r w:rsidRPr="003B2563">
              <w:rPr>
                <w:rFonts w:eastAsia="MS Mincho" w:cs="Arial"/>
                <w:color w:val="000000"/>
                <w:sz w:val="16"/>
                <w:szCs w:val="16"/>
                <w:lang w:eastAsia="ja-JP"/>
              </w:rPr>
              <w:t xml:space="preserve">Viet Nam </w:t>
            </w:r>
          </w:p>
        </w:tc>
        <w:tc>
          <w:tcPr>
            <w:tcW w:w="4394" w:type="dxa"/>
            <w:tcBorders>
              <w:top w:val="nil"/>
              <w:bottom w:val="nil"/>
              <w:right w:val="single" w:sz="4" w:space="0" w:color="auto"/>
            </w:tcBorders>
          </w:tcPr>
          <w:p w:rsidR="0063033D" w:rsidRPr="00564035" w:rsidRDefault="0063033D" w:rsidP="008D1891">
            <w:pPr>
              <w:autoSpaceDE w:val="0"/>
              <w:autoSpaceDN w:val="0"/>
              <w:adjustRightInd w:val="0"/>
              <w:spacing w:before="120" w:after="120"/>
              <w:ind w:left="-108"/>
              <w:rPr>
                <w:rFonts w:eastAsia="MS Mincho" w:cs="Arial"/>
                <w:sz w:val="16"/>
                <w:szCs w:val="16"/>
                <w:lang w:eastAsia="ja-JP"/>
              </w:rPr>
            </w:pPr>
            <w:r>
              <w:rPr>
                <w:rFonts w:eastAsia="MS Mincho" w:cs="Arial" w:hint="eastAsia"/>
                <w:sz w:val="16"/>
                <w:szCs w:val="16"/>
                <w:lang w:eastAsia="ja-JP"/>
              </w:rPr>
              <w:t>T</w:t>
            </w:r>
            <w:r w:rsidRPr="003B2563">
              <w:rPr>
                <w:rFonts w:eastAsia="MS Mincho" w:cs="Arial"/>
                <w:sz w:val="16"/>
                <w:szCs w:val="16"/>
                <w:lang w:eastAsia="ja-JP"/>
              </w:rPr>
              <w:t>o</w:t>
            </w:r>
            <w:r>
              <w:rPr>
                <w:rFonts w:eastAsia="MS Mincho" w:cs="Arial"/>
                <w:sz w:val="16"/>
                <w:szCs w:val="16"/>
                <w:lang w:eastAsia="ja-JP"/>
              </w:rPr>
              <w:t>:  (</w:t>
            </w:r>
            <w:proofErr w:type="spellStart"/>
            <w:r>
              <w:rPr>
                <w:rFonts w:eastAsia="MS Mincho" w:cs="Arial"/>
                <w:sz w:val="16"/>
                <w:szCs w:val="16"/>
                <w:lang w:eastAsia="ja-JP"/>
              </w:rPr>
              <w:t>i</w:t>
            </w:r>
            <w:proofErr w:type="spellEnd"/>
            <w:r>
              <w:rPr>
                <w:rFonts w:eastAsia="MS Mincho" w:cs="Arial"/>
                <w:sz w:val="16"/>
                <w:szCs w:val="16"/>
                <w:lang w:eastAsia="ja-JP"/>
              </w:rPr>
              <w:t>)</w:t>
            </w:r>
            <w:r w:rsidRPr="003B2563">
              <w:rPr>
                <w:rFonts w:eastAsia="MS Mincho" w:cs="Arial"/>
                <w:sz w:val="16"/>
                <w:szCs w:val="16"/>
                <w:lang w:eastAsia="ja-JP"/>
              </w:rPr>
              <w:t xml:space="preserve"> familiarize the participants with recent developments in information technology in relation to industrial property administration, dissemination of industrial property information, and provision of online services;  </w:t>
            </w:r>
            <w:r>
              <w:rPr>
                <w:rFonts w:eastAsia="MS Mincho" w:cs="Arial"/>
                <w:sz w:val="16"/>
                <w:szCs w:val="16"/>
                <w:lang w:eastAsia="ja-JP"/>
              </w:rPr>
              <w:t xml:space="preserve">(ii) </w:t>
            </w:r>
            <w:r w:rsidRPr="003B2563">
              <w:rPr>
                <w:rFonts w:eastAsia="MS Mincho" w:cs="Arial"/>
                <w:sz w:val="16"/>
                <w:szCs w:val="16"/>
                <w:lang w:eastAsia="ja-JP"/>
              </w:rPr>
              <w:t xml:space="preserve">impart practical knowledge of latest tools and technologies via interactive sessions, as well as through visits to relevant private entities;  </w:t>
            </w:r>
            <w:r>
              <w:rPr>
                <w:rFonts w:eastAsia="MS Mincho" w:cs="Arial"/>
                <w:sz w:val="16"/>
                <w:szCs w:val="16"/>
                <w:lang w:eastAsia="ja-JP"/>
              </w:rPr>
              <w:t xml:space="preserve">and (iii) </w:t>
            </w:r>
            <w:r w:rsidRPr="003B2563">
              <w:rPr>
                <w:rFonts w:eastAsia="MS Mincho" w:cs="Arial"/>
                <w:sz w:val="16"/>
                <w:szCs w:val="16"/>
                <w:lang w:eastAsia="ja-JP"/>
              </w:rPr>
              <w:t>provide an opportunity to exchange views and concerns among participants on topical related issues, and thereby enhance the participants’ professional capacities in planning and managing the use of information technology in industrial property administration.</w:t>
            </w:r>
          </w:p>
        </w:tc>
      </w:tr>
      <w:tr w:rsidR="0063033D" w:rsidRPr="00774D44" w:rsidTr="008D1891">
        <w:trPr>
          <w:cantSplit/>
          <w:trHeight w:val="315"/>
        </w:trPr>
        <w:tc>
          <w:tcPr>
            <w:tcW w:w="1843" w:type="dxa"/>
            <w:tcBorders>
              <w:top w:val="nil"/>
              <w:left w:val="single" w:sz="4" w:space="0" w:color="auto"/>
              <w:bottom w:val="nil"/>
            </w:tcBorders>
          </w:tcPr>
          <w:p w:rsidR="0063033D" w:rsidRPr="00564035" w:rsidRDefault="0063033D" w:rsidP="008D1891">
            <w:pPr>
              <w:autoSpaceDE w:val="0"/>
              <w:autoSpaceDN w:val="0"/>
              <w:adjustRightInd w:val="0"/>
              <w:spacing w:before="120" w:after="120"/>
              <w:rPr>
                <w:rFonts w:eastAsia="MS Mincho" w:cs="Arial"/>
                <w:sz w:val="16"/>
                <w:szCs w:val="16"/>
                <w:lang w:eastAsia="ja-JP"/>
              </w:rPr>
            </w:pPr>
            <w:r w:rsidRPr="00564035">
              <w:rPr>
                <w:rFonts w:eastAsia="MS Mincho" w:cs="Arial" w:hint="eastAsia"/>
                <w:sz w:val="16"/>
                <w:szCs w:val="16"/>
                <w:lang w:eastAsia="ja-JP"/>
              </w:rPr>
              <w:t xml:space="preserve">Training Course on the Examination Practice of Industrial Property </w:t>
            </w:r>
            <w:r>
              <w:rPr>
                <w:rFonts w:eastAsia="MS Mincho" w:cs="Arial"/>
                <w:sz w:val="16"/>
                <w:szCs w:val="16"/>
                <w:lang w:eastAsia="ja-JP"/>
              </w:rPr>
              <w:t xml:space="preserve">(Intermediate/ </w:t>
            </w:r>
            <w:r w:rsidRPr="00564035">
              <w:rPr>
                <w:rFonts w:eastAsia="MS Mincho" w:cs="Arial" w:hint="eastAsia"/>
                <w:sz w:val="16"/>
                <w:szCs w:val="16"/>
                <w:lang w:eastAsia="ja-JP"/>
              </w:rPr>
              <w:t>Advanced Program</w:t>
            </w:r>
            <w:r>
              <w:rPr>
                <w:rFonts w:eastAsia="MS Mincho" w:cs="Arial"/>
                <w:sz w:val="16"/>
                <w:szCs w:val="16"/>
                <w:lang w:eastAsia="ja-JP"/>
              </w:rPr>
              <w:t>)</w:t>
            </w:r>
          </w:p>
        </w:tc>
        <w:tc>
          <w:tcPr>
            <w:tcW w:w="1134" w:type="dxa"/>
            <w:tcBorders>
              <w:top w:val="nil"/>
              <w:bottom w:val="nil"/>
            </w:tcBorders>
          </w:tcPr>
          <w:p w:rsidR="0063033D" w:rsidRDefault="0063033D" w:rsidP="008D1891">
            <w:pPr>
              <w:spacing w:before="120" w:after="120"/>
              <w:rPr>
                <w:rFonts w:eastAsia="MS Mincho" w:cs="Arial"/>
                <w:sz w:val="16"/>
                <w:szCs w:val="16"/>
                <w:lang w:eastAsia="ja-JP"/>
              </w:rPr>
            </w:pPr>
            <w:r>
              <w:rPr>
                <w:rFonts w:eastAsia="MS Mincho" w:cs="Arial" w:hint="eastAsia"/>
                <w:sz w:val="16"/>
                <w:szCs w:val="16"/>
                <w:lang w:eastAsia="ja-JP"/>
              </w:rPr>
              <w:t>November 10 to 21, 2014</w:t>
            </w:r>
          </w:p>
        </w:tc>
        <w:tc>
          <w:tcPr>
            <w:tcW w:w="1985" w:type="dxa"/>
            <w:gridSpan w:val="2"/>
            <w:tcBorders>
              <w:top w:val="nil"/>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Pr>
                <w:rFonts w:eastAsia="MS Mincho" w:cs="Arial"/>
                <w:color w:val="000000"/>
                <w:sz w:val="16"/>
                <w:szCs w:val="16"/>
                <w:lang w:eastAsia="ja-JP"/>
              </w:rPr>
              <w:t>Japan/</w:t>
            </w:r>
            <w:r w:rsidRPr="003B2563">
              <w:rPr>
                <w:rFonts w:eastAsia="MS Mincho" w:cs="Arial"/>
                <w:color w:val="000000"/>
                <w:sz w:val="16"/>
                <w:szCs w:val="16"/>
                <w:lang w:eastAsia="ja-JP"/>
              </w:rPr>
              <w:t>Brazil, Chile, China, India, Indonesia, Malaysia, Mexico, Pakistan, Philippines, Thailand, Turkey and Viet Nam</w:t>
            </w:r>
          </w:p>
        </w:tc>
        <w:tc>
          <w:tcPr>
            <w:tcW w:w="4394" w:type="dxa"/>
            <w:tcBorders>
              <w:top w:val="nil"/>
              <w:bottom w:val="nil"/>
              <w:right w:val="single" w:sz="4" w:space="0" w:color="auto"/>
            </w:tcBorders>
          </w:tcPr>
          <w:p w:rsidR="0063033D" w:rsidRPr="00564035" w:rsidRDefault="0063033D" w:rsidP="008D1891">
            <w:pPr>
              <w:autoSpaceDE w:val="0"/>
              <w:autoSpaceDN w:val="0"/>
              <w:adjustRightInd w:val="0"/>
              <w:spacing w:before="120" w:after="120"/>
              <w:ind w:left="-108"/>
              <w:rPr>
                <w:rFonts w:eastAsia="MS Mincho" w:cs="Arial"/>
                <w:sz w:val="16"/>
                <w:szCs w:val="16"/>
                <w:lang w:eastAsia="ja-JP"/>
              </w:rPr>
            </w:pPr>
            <w:r>
              <w:rPr>
                <w:rFonts w:eastAsia="MS Mincho" w:cs="Arial" w:hint="eastAsia"/>
                <w:sz w:val="16"/>
                <w:szCs w:val="16"/>
                <w:lang w:eastAsia="ja-JP"/>
              </w:rPr>
              <w:t>T</w:t>
            </w:r>
            <w:r w:rsidRPr="003B2563">
              <w:rPr>
                <w:rFonts w:eastAsia="MS Mincho" w:cs="Arial"/>
                <w:sz w:val="16"/>
                <w:szCs w:val="16"/>
                <w:lang w:eastAsia="ja-JP"/>
              </w:rPr>
              <w:t>o</w:t>
            </w:r>
            <w:r>
              <w:rPr>
                <w:rFonts w:eastAsia="MS Mincho" w:cs="Arial"/>
                <w:sz w:val="16"/>
                <w:szCs w:val="16"/>
                <w:lang w:eastAsia="ja-JP"/>
              </w:rPr>
              <w:t>: (</w:t>
            </w:r>
            <w:proofErr w:type="spellStart"/>
            <w:r>
              <w:rPr>
                <w:rFonts w:eastAsia="MS Mincho" w:cs="Arial"/>
                <w:sz w:val="16"/>
                <w:szCs w:val="16"/>
                <w:lang w:eastAsia="ja-JP"/>
              </w:rPr>
              <w:t>i</w:t>
            </w:r>
            <w:proofErr w:type="spellEnd"/>
            <w:r>
              <w:rPr>
                <w:rFonts w:eastAsia="MS Mincho" w:cs="Arial"/>
                <w:sz w:val="16"/>
                <w:szCs w:val="16"/>
                <w:lang w:eastAsia="ja-JP"/>
              </w:rPr>
              <w:t>)</w:t>
            </w:r>
            <w:r w:rsidRPr="003B2563">
              <w:rPr>
                <w:rFonts w:eastAsia="MS Mincho" w:cs="Arial"/>
                <w:sz w:val="16"/>
                <w:szCs w:val="16"/>
                <w:lang w:eastAsia="ja-JP"/>
              </w:rPr>
              <w:t xml:space="preserve"> provide </w:t>
            </w:r>
            <w:r>
              <w:rPr>
                <w:rFonts w:eastAsia="MS Mincho" w:cs="Arial"/>
                <w:sz w:val="16"/>
                <w:szCs w:val="16"/>
                <w:lang w:eastAsia="ja-JP"/>
              </w:rPr>
              <w:t xml:space="preserve">the </w:t>
            </w:r>
            <w:r w:rsidRPr="003B2563">
              <w:rPr>
                <w:rFonts w:eastAsia="MS Mincho" w:cs="Arial"/>
                <w:sz w:val="16"/>
                <w:szCs w:val="16"/>
                <w:lang w:eastAsia="ja-JP"/>
              </w:rPr>
              <w:t xml:space="preserve">participants with a basic knowledge of laws and procedures in the field of examination of </w:t>
            </w:r>
            <w:r>
              <w:rPr>
                <w:rFonts w:eastAsia="MS Mincho" w:cs="Arial"/>
                <w:sz w:val="16"/>
                <w:szCs w:val="16"/>
                <w:lang w:eastAsia="ja-JP"/>
              </w:rPr>
              <w:t>IPRs</w:t>
            </w:r>
            <w:proofErr w:type="gramStart"/>
            <w:r>
              <w:rPr>
                <w:rFonts w:eastAsia="MS Mincho" w:cs="Arial"/>
                <w:sz w:val="16"/>
                <w:szCs w:val="16"/>
                <w:lang w:eastAsia="ja-JP"/>
              </w:rPr>
              <w:t>;  (</w:t>
            </w:r>
            <w:proofErr w:type="gramEnd"/>
            <w:r>
              <w:rPr>
                <w:rFonts w:eastAsia="MS Mincho" w:cs="Arial"/>
                <w:sz w:val="16"/>
                <w:szCs w:val="16"/>
                <w:lang w:eastAsia="ja-JP"/>
              </w:rPr>
              <w:t>ii) showcase</w:t>
            </w:r>
            <w:r w:rsidRPr="003B2563">
              <w:rPr>
                <w:rFonts w:eastAsia="MS Mincho" w:cs="Arial"/>
                <w:sz w:val="16"/>
                <w:szCs w:val="16"/>
                <w:lang w:eastAsia="ja-JP"/>
              </w:rPr>
              <w:t xml:space="preserve"> emphasis on dialogue with JPO examiners on relevant issues through interactive sessions</w:t>
            </w:r>
            <w:r>
              <w:rPr>
                <w:rFonts w:eastAsia="MS Mincho" w:cs="Arial"/>
                <w:sz w:val="16"/>
                <w:szCs w:val="16"/>
                <w:lang w:eastAsia="ja-JP"/>
              </w:rPr>
              <w:t xml:space="preserve">; (iii) enhance </w:t>
            </w:r>
            <w:r w:rsidRPr="003B2563">
              <w:rPr>
                <w:rFonts w:eastAsia="MS Mincho" w:cs="Arial"/>
                <w:sz w:val="16"/>
                <w:szCs w:val="16"/>
                <w:lang w:eastAsia="ja-JP"/>
              </w:rPr>
              <w:t>JPO examiners</w:t>
            </w:r>
            <w:r>
              <w:rPr>
                <w:rFonts w:eastAsia="MS Mincho" w:cs="Arial"/>
                <w:sz w:val="16"/>
                <w:szCs w:val="16"/>
                <w:lang w:eastAsia="ja-JP"/>
              </w:rPr>
              <w:t>’</w:t>
            </w:r>
            <w:r w:rsidRPr="003B2563">
              <w:rPr>
                <w:rFonts w:eastAsia="MS Mincho" w:cs="Arial"/>
                <w:sz w:val="16"/>
                <w:szCs w:val="16"/>
                <w:lang w:eastAsia="ja-JP"/>
              </w:rPr>
              <w:t xml:space="preserve"> </w:t>
            </w:r>
            <w:r>
              <w:rPr>
                <w:rFonts w:eastAsia="MS Mincho" w:cs="Arial"/>
                <w:sz w:val="16"/>
                <w:szCs w:val="16"/>
                <w:lang w:eastAsia="ja-JP"/>
              </w:rPr>
              <w:t xml:space="preserve">professional skills through  their active participation in the </w:t>
            </w:r>
            <w:r w:rsidRPr="003B2563">
              <w:rPr>
                <w:rFonts w:eastAsia="MS Mincho" w:cs="Arial"/>
                <w:sz w:val="16"/>
                <w:szCs w:val="16"/>
                <w:lang w:eastAsia="ja-JP"/>
              </w:rPr>
              <w:t>on-the-job training</w:t>
            </w:r>
            <w:r>
              <w:rPr>
                <w:rFonts w:eastAsia="MS Mincho" w:cs="Arial"/>
                <w:sz w:val="16"/>
                <w:szCs w:val="16"/>
                <w:lang w:eastAsia="ja-JP"/>
              </w:rPr>
              <w:t xml:space="preserve">; and (iv) </w:t>
            </w:r>
            <w:r w:rsidRPr="003B2563">
              <w:rPr>
                <w:rFonts w:eastAsia="MS Mincho" w:cs="Arial"/>
                <w:sz w:val="16"/>
                <w:szCs w:val="16"/>
                <w:lang w:eastAsia="ja-JP"/>
              </w:rPr>
              <w:t>provide the participants with an opportunity to exchange views on topical issues in the field of industrial property.</w:t>
            </w:r>
          </w:p>
        </w:tc>
      </w:tr>
      <w:tr w:rsidR="0063033D" w:rsidRPr="00774D44" w:rsidTr="008D1891">
        <w:trPr>
          <w:cantSplit/>
          <w:trHeight w:val="315"/>
        </w:trPr>
        <w:tc>
          <w:tcPr>
            <w:tcW w:w="1843" w:type="dxa"/>
            <w:tcBorders>
              <w:top w:val="nil"/>
              <w:left w:val="single" w:sz="4" w:space="0" w:color="auto"/>
              <w:bottom w:val="nil"/>
            </w:tcBorders>
          </w:tcPr>
          <w:p w:rsidR="0063033D" w:rsidRPr="00564035" w:rsidRDefault="0063033D" w:rsidP="008D1891">
            <w:pPr>
              <w:autoSpaceDE w:val="0"/>
              <w:autoSpaceDN w:val="0"/>
              <w:adjustRightInd w:val="0"/>
              <w:spacing w:before="120" w:after="120"/>
              <w:rPr>
                <w:rFonts w:eastAsia="MS Mincho" w:cs="Arial"/>
                <w:sz w:val="16"/>
                <w:szCs w:val="16"/>
                <w:lang w:eastAsia="ja-JP"/>
              </w:rPr>
            </w:pPr>
            <w:r w:rsidRPr="00564035">
              <w:rPr>
                <w:rFonts w:eastAsia="MS Mincho" w:cs="Arial" w:hint="eastAsia"/>
                <w:sz w:val="16"/>
                <w:szCs w:val="16"/>
                <w:lang w:eastAsia="ja-JP"/>
              </w:rPr>
              <w:t>Training Course on Enforcement of Intellectual Property Rights</w:t>
            </w:r>
          </w:p>
        </w:tc>
        <w:tc>
          <w:tcPr>
            <w:tcW w:w="1134" w:type="dxa"/>
            <w:tcBorders>
              <w:top w:val="nil"/>
              <w:bottom w:val="nil"/>
            </w:tcBorders>
          </w:tcPr>
          <w:p w:rsidR="0063033D" w:rsidRPr="003B2563" w:rsidRDefault="0063033D" w:rsidP="008D1891">
            <w:pPr>
              <w:spacing w:before="120" w:after="120"/>
              <w:rPr>
                <w:rFonts w:eastAsia="MS Mincho" w:cs="Arial"/>
                <w:sz w:val="16"/>
                <w:szCs w:val="16"/>
                <w:lang w:eastAsia="ja-JP"/>
              </w:rPr>
            </w:pPr>
            <w:r>
              <w:rPr>
                <w:rFonts w:eastAsia="MS Mincho" w:cs="Arial" w:hint="eastAsia"/>
                <w:sz w:val="16"/>
                <w:szCs w:val="16"/>
                <w:lang w:eastAsia="ja-JP"/>
              </w:rPr>
              <w:t xml:space="preserve">December 1 </w:t>
            </w:r>
            <w:r>
              <w:rPr>
                <w:rFonts w:eastAsia="MS Mincho" w:cs="Arial"/>
                <w:sz w:val="16"/>
                <w:szCs w:val="16"/>
                <w:lang w:eastAsia="ja-JP"/>
              </w:rPr>
              <w:br/>
            </w:r>
            <w:r>
              <w:rPr>
                <w:rFonts w:eastAsia="MS Mincho" w:cs="Arial" w:hint="eastAsia"/>
                <w:sz w:val="16"/>
                <w:szCs w:val="16"/>
                <w:lang w:eastAsia="ja-JP"/>
              </w:rPr>
              <w:t>to 12, 2014</w:t>
            </w:r>
          </w:p>
        </w:tc>
        <w:tc>
          <w:tcPr>
            <w:tcW w:w="1985" w:type="dxa"/>
            <w:gridSpan w:val="2"/>
            <w:tcBorders>
              <w:top w:val="nil"/>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Pr>
                <w:rFonts w:eastAsia="MS Mincho" w:cs="Arial"/>
                <w:color w:val="000000"/>
                <w:sz w:val="16"/>
                <w:szCs w:val="16"/>
                <w:lang w:eastAsia="ja-JP"/>
              </w:rPr>
              <w:t>Japan/</w:t>
            </w:r>
            <w:r w:rsidRPr="003B2563">
              <w:rPr>
                <w:rFonts w:eastAsia="MS Mincho" w:cs="Arial"/>
                <w:color w:val="000000"/>
                <w:sz w:val="16"/>
                <w:szCs w:val="16"/>
                <w:lang w:eastAsia="ja-JP"/>
              </w:rPr>
              <w:t>Bhutan, Cambodia</w:t>
            </w:r>
            <w:r>
              <w:rPr>
                <w:rFonts w:eastAsia="MS Mincho" w:cs="Arial" w:hint="eastAsia"/>
                <w:color w:val="000000"/>
                <w:sz w:val="16"/>
                <w:szCs w:val="16"/>
                <w:lang w:eastAsia="ja-JP"/>
              </w:rPr>
              <w:t>,</w:t>
            </w:r>
            <w:r>
              <w:rPr>
                <w:rFonts w:eastAsia="MS Mincho" w:cs="Arial"/>
                <w:color w:val="000000"/>
                <w:sz w:val="16"/>
                <w:szCs w:val="16"/>
                <w:lang w:eastAsia="ja-JP"/>
              </w:rPr>
              <w:t xml:space="preserve"> </w:t>
            </w:r>
            <w:r w:rsidRPr="003B2563">
              <w:rPr>
                <w:rFonts w:eastAsia="MS Mincho" w:cs="Arial"/>
                <w:color w:val="000000"/>
                <w:sz w:val="16"/>
                <w:szCs w:val="16"/>
                <w:lang w:eastAsia="ja-JP"/>
              </w:rPr>
              <w:t>China, Indonesia</w:t>
            </w:r>
            <w:r>
              <w:rPr>
                <w:rFonts w:eastAsia="MS Mincho" w:cs="Arial"/>
                <w:color w:val="000000"/>
                <w:sz w:val="16"/>
                <w:szCs w:val="16"/>
                <w:lang w:eastAsia="ja-JP"/>
              </w:rPr>
              <w:t xml:space="preserve">, Lao People’s Democratic </w:t>
            </w:r>
            <w:r w:rsidRPr="003B2563">
              <w:rPr>
                <w:rFonts w:eastAsia="MS Mincho" w:cs="Arial"/>
                <w:color w:val="000000"/>
                <w:sz w:val="16"/>
                <w:szCs w:val="16"/>
                <w:lang w:eastAsia="ja-JP"/>
              </w:rPr>
              <w:t>Republic, Malaysia, Myanmar,</w:t>
            </w:r>
            <w:r>
              <w:rPr>
                <w:rFonts w:eastAsia="MS Mincho" w:cs="Arial" w:hint="eastAsia"/>
                <w:color w:val="000000"/>
                <w:sz w:val="16"/>
                <w:szCs w:val="16"/>
                <w:lang w:eastAsia="ja-JP"/>
              </w:rPr>
              <w:t xml:space="preserve"> </w:t>
            </w:r>
            <w:r>
              <w:rPr>
                <w:rFonts w:eastAsia="MS Mincho" w:cs="Arial"/>
                <w:color w:val="000000"/>
                <w:sz w:val="16"/>
                <w:szCs w:val="16"/>
                <w:lang w:eastAsia="ja-JP"/>
              </w:rPr>
              <w:t>Pakistan, Philippines, Thailand</w:t>
            </w:r>
            <w:r w:rsidRPr="003B2563">
              <w:rPr>
                <w:rFonts w:eastAsia="MS Mincho" w:cs="Arial"/>
                <w:color w:val="000000"/>
                <w:sz w:val="16"/>
                <w:szCs w:val="16"/>
                <w:lang w:eastAsia="ja-JP"/>
              </w:rPr>
              <w:t xml:space="preserve"> and</w:t>
            </w:r>
            <w:r>
              <w:rPr>
                <w:rFonts w:eastAsia="MS Mincho" w:cs="Arial" w:hint="eastAsia"/>
                <w:color w:val="000000"/>
                <w:sz w:val="16"/>
                <w:szCs w:val="16"/>
                <w:lang w:eastAsia="ja-JP"/>
              </w:rPr>
              <w:t xml:space="preserve"> </w:t>
            </w:r>
            <w:r w:rsidRPr="003B2563">
              <w:rPr>
                <w:rFonts w:eastAsia="MS Mincho" w:cs="Arial"/>
                <w:color w:val="000000"/>
                <w:sz w:val="16"/>
                <w:szCs w:val="16"/>
                <w:lang w:eastAsia="ja-JP"/>
              </w:rPr>
              <w:t>Viet Nam</w:t>
            </w:r>
          </w:p>
        </w:tc>
        <w:tc>
          <w:tcPr>
            <w:tcW w:w="4394" w:type="dxa"/>
            <w:tcBorders>
              <w:top w:val="nil"/>
              <w:bottom w:val="nil"/>
              <w:right w:val="single" w:sz="4" w:space="0" w:color="auto"/>
            </w:tcBorders>
          </w:tcPr>
          <w:p w:rsidR="0063033D" w:rsidRPr="00564035" w:rsidRDefault="0063033D" w:rsidP="008D1891">
            <w:pPr>
              <w:autoSpaceDE w:val="0"/>
              <w:autoSpaceDN w:val="0"/>
              <w:adjustRightInd w:val="0"/>
              <w:spacing w:before="120" w:after="120"/>
              <w:ind w:left="-108"/>
              <w:rPr>
                <w:rFonts w:eastAsia="MS Mincho" w:cs="Arial"/>
                <w:sz w:val="16"/>
                <w:szCs w:val="16"/>
                <w:lang w:eastAsia="ja-JP"/>
              </w:rPr>
            </w:pPr>
            <w:r>
              <w:rPr>
                <w:rFonts w:eastAsia="MS Mincho" w:cs="Arial" w:hint="eastAsia"/>
                <w:sz w:val="16"/>
                <w:szCs w:val="16"/>
                <w:lang w:eastAsia="ja-JP"/>
              </w:rPr>
              <w:t>T</w:t>
            </w:r>
            <w:r w:rsidRPr="003B2563">
              <w:rPr>
                <w:rFonts w:eastAsia="MS Mincho" w:cs="Arial"/>
                <w:sz w:val="16"/>
                <w:szCs w:val="16"/>
                <w:lang w:eastAsia="ja-JP"/>
              </w:rPr>
              <w:t>o enhance the judges</w:t>
            </w:r>
            <w:r>
              <w:rPr>
                <w:rFonts w:eastAsia="MS Mincho" w:cs="Arial"/>
                <w:sz w:val="16"/>
                <w:szCs w:val="16"/>
                <w:lang w:eastAsia="ja-JP"/>
              </w:rPr>
              <w:t>’</w:t>
            </w:r>
            <w:r w:rsidRPr="003B2563">
              <w:rPr>
                <w:rFonts w:eastAsia="MS Mincho" w:cs="Arial"/>
                <w:sz w:val="16"/>
                <w:szCs w:val="16"/>
                <w:lang w:eastAsia="ja-JP"/>
              </w:rPr>
              <w:t xml:space="preserve"> and prosecutors’ skills in the area of IP enforcement by</w:t>
            </w:r>
            <w:r>
              <w:rPr>
                <w:rFonts w:eastAsia="MS Mincho" w:cs="Arial"/>
                <w:sz w:val="16"/>
                <w:szCs w:val="16"/>
                <w:lang w:eastAsia="ja-JP"/>
              </w:rPr>
              <w:t>: (</w:t>
            </w:r>
            <w:proofErr w:type="spellStart"/>
            <w:r>
              <w:rPr>
                <w:rFonts w:eastAsia="MS Mincho" w:cs="Arial"/>
                <w:sz w:val="16"/>
                <w:szCs w:val="16"/>
                <w:lang w:eastAsia="ja-JP"/>
              </w:rPr>
              <w:t>i</w:t>
            </w:r>
            <w:proofErr w:type="spellEnd"/>
            <w:r>
              <w:rPr>
                <w:rFonts w:eastAsia="MS Mincho" w:cs="Arial"/>
                <w:sz w:val="16"/>
                <w:szCs w:val="16"/>
                <w:lang w:eastAsia="ja-JP"/>
              </w:rPr>
              <w:t xml:space="preserve">) </w:t>
            </w:r>
            <w:r w:rsidRPr="003B2563">
              <w:rPr>
                <w:rFonts w:eastAsia="MS Mincho" w:cs="Arial"/>
                <w:sz w:val="16"/>
                <w:szCs w:val="16"/>
                <w:lang w:eastAsia="ja-JP"/>
              </w:rPr>
              <w:t>examining the minimum standards and flexibilities contained in Pa</w:t>
            </w:r>
            <w:r>
              <w:rPr>
                <w:rFonts w:eastAsia="MS Mincho" w:cs="Arial"/>
                <w:sz w:val="16"/>
                <w:szCs w:val="16"/>
                <w:lang w:eastAsia="ja-JP"/>
              </w:rPr>
              <w:t xml:space="preserve">rt III of the TRIPS Agreement; (ii) </w:t>
            </w:r>
            <w:r w:rsidRPr="003B2563">
              <w:rPr>
                <w:rFonts w:eastAsia="MS Mincho" w:cs="Arial"/>
                <w:sz w:val="16"/>
                <w:szCs w:val="16"/>
                <w:lang w:eastAsia="ja-JP"/>
              </w:rPr>
              <w:t>considering evidence in judicial proceedings</w:t>
            </w:r>
            <w:r>
              <w:rPr>
                <w:rFonts w:eastAsia="MS Mincho" w:cs="Arial"/>
                <w:sz w:val="16"/>
                <w:szCs w:val="16"/>
                <w:lang w:eastAsia="ja-JP"/>
              </w:rPr>
              <w:t xml:space="preserve">; (iii) </w:t>
            </w:r>
            <w:r w:rsidRPr="003B2563">
              <w:rPr>
                <w:rFonts w:eastAsia="MS Mincho" w:cs="Arial"/>
                <w:sz w:val="16"/>
                <w:szCs w:val="16"/>
                <w:lang w:eastAsia="ja-JP"/>
              </w:rPr>
              <w:t>reflecting on</w:t>
            </w:r>
            <w:r>
              <w:rPr>
                <w:rFonts w:eastAsia="MS Mincho" w:cs="Arial"/>
                <w:sz w:val="16"/>
                <w:szCs w:val="16"/>
                <w:lang w:eastAsia="ja-JP"/>
              </w:rPr>
              <w:t xml:space="preserve"> recent case-law developments; </w:t>
            </w:r>
            <w:r w:rsidRPr="003B2563">
              <w:rPr>
                <w:rFonts w:eastAsia="MS Mincho" w:cs="Arial"/>
                <w:sz w:val="16"/>
                <w:szCs w:val="16"/>
                <w:lang w:eastAsia="ja-JP"/>
              </w:rPr>
              <w:t>and</w:t>
            </w:r>
            <w:r>
              <w:rPr>
                <w:rFonts w:eastAsia="MS Mincho" w:cs="Arial"/>
                <w:sz w:val="16"/>
                <w:szCs w:val="16"/>
                <w:lang w:eastAsia="ja-JP"/>
              </w:rPr>
              <w:t xml:space="preserve"> (iv)</w:t>
            </w:r>
            <w:r w:rsidRPr="003B2563">
              <w:rPr>
                <w:rFonts w:eastAsia="MS Mincho" w:cs="Arial"/>
                <w:sz w:val="16"/>
                <w:szCs w:val="16"/>
                <w:lang w:eastAsia="ja-JP"/>
              </w:rPr>
              <w:t xml:space="preserve"> discussing other related topical issues in the context of the Advisory Committee on Enforcement.</w:t>
            </w:r>
          </w:p>
        </w:tc>
      </w:tr>
      <w:tr w:rsidR="0063033D" w:rsidRPr="00774D44" w:rsidTr="008D1891">
        <w:trPr>
          <w:cantSplit/>
          <w:trHeight w:val="315"/>
        </w:trPr>
        <w:tc>
          <w:tcPr>
            <w:tcW w:w="1843" w:type="dxa"/>
            <w:tcBorders>
              <w:top w:val="nil"/>
              <w:left w:val="single" w:sz="4" w:space="0" w:color="auto"/>
              <w:bottom w:val="nil"/>
            </w:tcBorders>
          </w:tcPr>
          <w:p w:rsidR="0063033D" w:rsidRPr="00564035" w:rsidRDefault="0063033D" w:rsidP="008D1891">
            <w:pPr>
              <w:autoSpaceDE w:val="0"/>
              <w:autoSpaceDN w:val="0"/>
              <w:adjustRightInd w:val="0"/>
              <w:spacing w:before="120" w:after="120"/>
              <w:rPr>
                <w:rFonts w:eastAsia="MS Mincho" w:cs="Arial"/>
                <w:sz w:val="16"/>
                <w:szCs w:val="16"/>
                <w:lang w:eastAsia="ja-JP"/>
              </w:rPr>
            </w:pPr>
            <w:r w:rsidRPr="00564035">
              <w:rPr>
                <w:rFonts w:eastAsia="MS Mincho" w:cs="Arial" w:hint="eastAsia"/>
                <w:sz w:val="16"/>
                <w:szCs w:val="16"/>
                <w:lang w:eastAsia="ja-JP"/>
              </w:rPr>
              <w:t>Long-term Fellowship</w:t>
            </w:r>
          </w:p>
        </w:tc>
        <w:tc>
          <w:tcPr>
            <w:tcW w:w="1134" w:type="dxa"/>
            <w:tcBorders>
              <w:top w:val="nil"/>
              <w:bottom w:val="nil"/>
            </w:tcBorders>
          </w:tcPr>
          <w:p w:rsidR="0063033D" w:rsidRPr="003B2563" w:rsidRDefault="0063033D" w:rsidP="008D1891">
            <w:pPr>
              <w:spacing w:before="120" w:after="120"/>
              <w:rPr>
                <w:rFonts w:eastAsia="MS Mincho" w:cs="Arial"/>
                <w:sz w:val="16"/>
                <w:szCs w:val="16"/>
                <w:lang w:eastAsia="ja-JP"/>
              </w:rPr>
            </w:pPr>
            <w:r>
              <w:rPr>
                <w:rFonts w:eastAsia="MS Mincho" w:cs="Arial" w:hint="eastAsia"/>
                <w:sz w:val="16"/>
                <w:szCs w:val="16"/>
                <w:lang w:eastAsia="ja-JP"/>
              </w:rPr>
              <w:t xml:space="preserve">April to </w:t>
            </w:r>
            <w:r>
              <w:rPr>
                <w:rFonts w:eastAsia="MS Mincho" w:cs="Arial"/>
                <w:sz w:val="16"/>
                <w:szCs w:val="16"/>
                <w:lang w:eastAsia="ja-JP"/>
              </w:rPr>
              <w:t>Octo</w:t>
            </w:r>
            <w:r>
              <w:rPr>
                <w:rFonts w:eastAsia="MS Mincho" w:cs="Arial" w:hint="eastAsia"/>
                <w:sz w:val="16"/>
                <w:szCs w:val="16"/>
                <w:lang w:eastAsia="ja-JP"/>
              </w:rPr>
              <w:t>ber 2014</w:t>
            </w:r>
          </w:p>
        </w:tc>
        <w:tc>
          <w:tcPr>
            <w:tcW w:w="1985" w:type="dxa"/>
            <w:gridSpan w:val="2"/>
            <w:tcBorders>
              <w:top w:val="nil"/>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Pr>
                <w:rFonts w:eastAsia="MS Mincho" w:cs="Arial"/>
                <w:color w:val="000000"/>
                <w:sz w:val="16"/>
                <w:szCs w:val="16"/>
                <w:lang w:eastAsia="ja-JP"/>
              </w:rPr>
              <w:t>Japan/</w:t>
            </w:r>
            <w:r w:rsidRPr="00564035">
              <w:rPr>
                <w:rFonts w:eastAsia="MS Mincho" w:cs="Arial" w:hint="eastAsia"/>
                <w:color w:val="000000"/>
                <w:sz w:val="16"/>
                <w:szCs w:val="16"/>
                <w:lang w:eastAsia="ja-JP"/>
              </w:rPr>
              <w:t xml:space="preserve">Cambodia and Lao </w:t>
            </w:r>
            <w:r w:rsidRPr="00564035">
              <w:rPr>
                <w:rFonts w:eastAsia="MS Mincho" w:cs="Arial"/>
                <w:color w:val="000000"/>
                <w:sz w:val="16"/>
                <w:szCs w:val="16"/>
                <w:lang w:eastAsia="ja-JP"/>
              </w:rPr>
              <w:t>People’s</w:t>
            </w:r>
            <w:r w:rsidRPr="00564035">
              <w:rPr>
                <w:rFonts w:eastAsia="MS Mincho" w:cs="Arial" w:hint="eastAsia"/>
                <w:color w:val="000000"/>
                <w:sz w:val="16"/>
                <w:szCs w:val="16"/>
                <w:lang w:eastAsia="ja-JP"/>
              </w:rPr>
              <w:t xml:space="preserve"> Democratic Republic</w:t>
            </w:r>
          </w:p>
        </w:tc>
        <w:tc>
          <w:tcPr>
            <w:tcW w:w="4394" w:type="dxa"/>
            <w:tcBorders>
              <w:top w:val="nil"/>
              <w:bottom w:val="nil"/>
              <w:right w:val="single" w:sz="4" w:space="0" w:color="auto"/>
            </w:tcBorders>
          </w:tcPr>
          <w:p w:rsidR="0063033D" w:rsidRPr="00564035" w:rsidRDefault="0063033D" w:rsidP="008D1891">
            <w:pPr>
              <w:autoSpaceDE w:val="0"/>
              <w:autoSpaceDN w:val="0"/>
              <w:adjustRightInd w:val="0"/>
              <w:spacing w:before="120" w:after="120"/>
              <w:ind w:left="-108"/>
              <w:rPr>
                <w:rFonts w:eastAsia="MS Mincho" w:cs="Arial"/>
                <w:sz w:val="16"/>
                <w:szCs w:val="16"/>
                <w:lang w:eastAsia="ja-JP"/>
              </w:rPr>
            </w:pPr>
            <w:r w:rsidRPr="00564035">
              <w:rPr>
                <w:rFonts w:eastAsia="MS Mincho" w:cs="Arial"/>
                <w:sz w:val="16"/>
                <w:szCs w:val="16"/>
                <w:lang w:eastAsia="ja-JP"/>
              </w:rPr>
              <w:t>T</w:t>
            </w:r>
            <w:r w:rsidRPr="00564035">
              <w:rPr>
                <w:rFonts w:eastAsia="MS Mincho" w:cs="Arial" w:hint="eastAsia"/>
                <w:sz w:val="16"/>
                <w:szCs w:val="16"/>
                <w:lang w:eastAsia="ja-JP"/>
              </w:rPr>
              <w:t xml:space="preserve">o increase the pool of IP experts in the region who can undertake teaching and </w:t>
            </w:r>
            <w:r w:rsidRPr="00564035">
              <w:rPr>
                <w:rFonts w:eastAsia="MS Mincho" w:cs="Arial"/>
                <w:sz w:val="16"/>
                <w:szCs w:val="16"/>
                <w:lang w:eastAsia="ja-JP"/>
              </w:rPr>
              <w:t>research</w:t>
            </w:r>
            <w:r w:rsidRPr="00564035">
              <w:rPr>
                <w:rFonts w:eastAsia="MS Mincho" w:cs="Arial" w:hint="eastAsia"/>
                <w:sz w:val="16"/>
                <w:szCs w:val="16"/>
                <w:lang w:eastAsia="ja-JP"/>
              </w:rPr>
              <w:t xml:space="preserve"> assignments on IP issues.</w:t>
            </w:r>
          </w:p>
        </w:tc>
      </w:tr>
      <w:tr w:rsidR="0063033D" w:rsidRPr="00774D44" w:rsidTr="008D1891">
        <w:trPr>
          <w:cantSplit/>
          <w:trHeight w:val="315"/>
        </w:trPr>
        <w:tc>
          <w:tcPr>
            <w:tcW w:w="1843" w:type="dxa"/>
            <w:tcBorders>
              <w:top w:val="nil"/>
              <w:left w:val="single" w:sz="4" w:space="0" w:color="auto"/>
              <w:bottom w:val="nil"/>
            </w:tcBorders>
          </w:tcPr>
          <w:p w:rsidR="0063033D" w:rsidRPr="00564035" w:rsidRDefault="0063033D" w:rsidP="008D1891">
            <w:pPr>
              <w:autoSpaceDE w:val="0"/>
              <w:autoSpaceDN w:val="0"/>
              <w:adjustRightInd w:val="0"/>
              <w:spacing w:before="120" w:after="120"/>
              <w:rPr>
                <w:rFonts w:eastAsia="MS Mincho" w:cs="Arial"/>
                <w:sz w:val="16"/>
                <w:szCs w:val="16"/>
                <w:lang w:eastAsia="ja-JP"/>
              </w:rPr>
            </w:pPr>
            <w:r w:rsidRPr="00564035">
              <w:rPr>
                <w:rFonts w:eastAsia="MS Mincho" w:cs="Arial" w:hint="eastAsia"/>
                <w:sz w:val="16"/>
                <w:szCs w:val="16"/>
                <w:lang w:eastAsia="ja-JP"/>
              </w:rPr>
              <w:t>Research by WIPO J</w:t>
            </w:r>
            <w:r>
              <w:rPr>
                <w:rFonts w:eastAsia="MS Mincho" w:cs="Arial" w:hint="eastAsia"/>
                <w:sz w:val="16"/>
                <w:szCs w:val="16"/>
                <w:lang w:eastAsia="ja-JP"/>
              </w:rPr>
              <w:t>apan Office on Successful Cases</w:t>
            </w:r>
            <w:r>
              <w:rPr>
                <w:rFonts w:eastAsia="MS Mincho" w:cs="Arial"/>
                <w:sz w:val="16"/>
                <w:szCs w:val="16"/>
                <w:lang w:eastAsia="ja-JP"/>
              </w:rPr>
              <w:t xml:space="preserve"> L</w:t>
            </w:r>
            <w:r w:rsidRPr="00564035">
              <w:rPr>
                <w:rFonts w:eastAsia="MS Mincho" w:cs="Arial" w:hint="eastAsia"/>
                <w:sz w:val="16"/>
                <w:szCs w:val="16"/>
                <w:lang w:eastAsia="ja-JP"/>
              </w:rPr>
              <w:t>inking Business and IP</w:t>
            </w:r>
          </w:p>
        </w:tc>
        <w:tc>
          <w:tcPr>
            <w:tcW w:w="1134" w:type="dxa"/>
            <w:tcBorders>
              <w:top w:val="nil"/>
              <w:bottom w:val="nil"/>
            </w:tcBorders>
          </w:tcPr>
          <w:p w:rsidR="0063033D" w:rsidRPr="003B2563" w:rsidRDefault="0063033D" w:rsidP="008D1891">
            <w:pPr>
              <w:spacing w:before="120" w:after="120"/>
              <w:rPr>
                <w:rFonts w:eastAsia="MS Mincho" w:cs="Arial"/>
                <w:sz w:val="16"/>
                <w:szCs w:val="16"/>
                <w:lang w:eastAsia="ja-JP"/>
              </w:rPr>
            </w:pPr>
            <w:r>
              <w:rPr>
                <w:rFonts w:eastAsia="MS Mincho" w:cs="Arial" w:hint="eastAsia"/>
                <w:sz w:val="16"/>
                <w:szCs w:val="16"/>
                <w:lang w:eastAsia="ja-JP"/>
              </w:rPr>
              <w:t xml:space="preserve">January </w:t>
            </w:r>
            <w:r>
              <w:rPr>
                <w:rFonts w:eastAsia="MS Mincho" w:cs="Arial"/>
                <w:sz w:val="16"/>
                <w:szCs w:val="16"/>
                <w:lang w:eastAsia="ja-JP"/>
              </w:rPr>
              <w:br/>
            </w:r>
            <w:r>
              <w:rPr>
                <w:rFonts w:eastAsia="MS Mincho" w:cs="Arial" w:hint="eastAsia"/>
                <w:sz w:val="16"/>
                <w:szCs w:val="16"/>
                <w:lang w:eastAsia="ja-JP"/>
              </w:rPr>
              <w:t>to December 2014</w:t>
            </w:r>
          </w:p>
        </w:tc>
        <w:tc>
          <w:tcPr>
            <w:tcW w:w="1985" w:type="dxa"/>
            <w:gridSpan w:val="2"/>
            <w:tcBorders>
              <w:top w:val="nil"/>
              <w:bottom w:val="nil"/>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sidRPr="00564035">
              <w:rPr>
                <w:rFonts w:eastAsia="MS Mincho" w:cs="Arial" w:hint="eastAsia"/>
                <w:color w:val="000000"/>
                <w:sz w:val="16"/>
                <w:szCs w:val="16"/>
                <w:lang w:eastAsia="ja-JP"/>
              </w:rPr>
              <w:t xml:space="preserve">All WIPO </w:t>
            </w:r>
            <w:r>
              <w:rPr>
                <w:rFonts w:eastAsia="MS Mincho" w:cs="Arial"/>
                <w:color w:val="000000"/>
                <w:sz w:val="16"/>
                <w:szCs w:val="16"/>
                <w:lang w:eastAsia="ja-JP"/>
              </w:rPr>
              <w:t>M</w:t>
            </w:r>
            <w:r w:rsidRPr="00564035">
              <w:rPr>
                <w:rFonts w:eastAsia="MS Mincho" w:cs="Arial" w:hint="eastAsia"/>
                <w:color w:val="000000"/>
                <w:sz w:val="16"/>
                <w:szCs w:val="16"/>
                <w:lang w:eastAsia="ja-JP"/>
              </w:rPr>
              <w:t xml:space="preserve">ember </w:t>
            </w:r>
            <w:r>
              <w:rPr>
                <w:rFonts w:eastAsia="MS Mincho" w:cs="Arial"/>
                <w:color w:val="000000"/>
                <w:sz w:val="16"/>
                <w:szCs w:val="16"/>
                <w:lang w:eastAsia="ja-JP"/>
              </w:rPr>
              <w:t>S</w:t>
            </w:r>
            <w:r w:rsidRPr="00564035">
              <w:rPr>
                <w:rFonts w:eastAsia="MS Mincho" w:cs="Arial" w:hint="eastAsia"/>
                <w:color w:val="000000"/>
                <w:sz w:val="16"/>
                <w:szCs w:val="16"/>
                <w:lang w:eastAsia="ja-JP"/>
              </w:rPr>
              <w:t>tates</w:t>
            </w:r>
          </w:p>
        </w:tc>
        <w:tc>
          <w:tcPr>
            <w:tcW w:w="4394" w:type="dxa"/>
            <w:tcBorders>
              <w:top w:val="nil"/>
              <w:bottom w:val="nil"/>
              <w:right w:val="single" w:sz="4" w:space="0" w:color="auto"/>
            </w:tcBorders>
          </w:tcPr>
          <w:p w:rsidR="0063033D" w:rsidRPr="00564035" w:rsidRDefault="0063033D" w:rsidP="008D1891">
            <w:pPr>
              <w:autoSpaceDE w:val="0"/>
              <w:autoSpaceDN w:val="0"/>
              <w:adjustRightInd w:val="0"/>
              <w:spacing w:before="120" w:after="120"/>
              <w:ind w:left="-108"/>
              <w:rPr>
                <w:rFonts w:eastAsia="MS Mincho" w:cs="Arial"/>
                <w:sz w:val="16"/>
                <w:szCs w:val="16"/>
                <w:lang w:eastAsia="ja-JP"/>
              </w:rPr>
            </w:pPr>
            <w:r w:rsidRPr="00564035">
              <w:rPr>
                <w:rFonts w:eastAsia="MS Mincho" w:cs="Arial"/>
                <w:sz w:val="16"/>
                <w:szCs w:val="16"/>
                <w:lang w:eastAsia="ja-JP"/>
              </w:rPr>
              <w:t>T</w:t>
            </w:r>
            <w:r w:rsidRPr="00564035">
              <w:rPr>
                <w:rFonts w:eastAsia="MS Mincho" w:cs="Arial" w:hint="eastAsia"/>
                <w:sz w:val="16"/>
                <w:szCs w:val="16"/>
                <w:lang w:eastAsia="ja-JP"/>
              </w:rPr>
              <w:t>o</w:t>
            </w:r>
            <w:r>
              <w:rPr>
                <w:rFonts w:eastAsia="MS Mincho" w:cs="Arial"/>
                <w:sz w:val="16"/>
                <w:szCs w:val="16"/>
                <w:lang w:eastAsia="ja-JP"/>
              </w:rPr>
              <w:t>: (</w:t>
            </w:r>
            <w:proofErr w:type="spellStart"/>
            <w:r>
              <w:rPr>
                <w:rFonts w:eastAsia="MS Mincho" w:cs="Arial"/>
                <w:sz w:val="16"/>
                <w:szCs w:val="16"/>
                <w:lang w:eastAsia="ja-JP"/>
              </w:rPr>
              <w:t>i</w:t>
            </w:r>
            <w:proofErr w:type="spellEnd"/>
            <w:r>
              <w:rPr>
                <w:rFonts w:eastAsia="MS Mincho" w:cs="Arial"/>
                <w:sz w:val="16"/>
                <w:szCs w:val="16"/>
                <w:lang w:eastAsia="ja-JP"/>
              </w:rPr>
              <w:t>)</w:t>
            </w:r>
            <w:r w:rsidRPr="00564035">
              <w:rPr>
                <w:rFonts w:eastAsia="MS Mincho" w:cs="Arial" w:hint="eastAsia"/>
                <w:sz w:val="16"/>
                <w:szCs w:val="16"/>
                <w:lang w:eastAsia="ja-JP"/>
              </w:rPr>
              <w:t xml:space="preserve"> undertake research and </w:t>
            </w:r>
            <w:r w:rsidRPr="00564035">
              <w:rPr>
                <w:rFonts w:eastAsia="MS Mincho" w:cs="Arial"/>
                <w:sz w:val="16"/>
                <w:szCs w:val="16"/>
                <w:lang w:eastAsia="ja-JP"/>
              </w:rPr>
              <w:t>collection</w:t>
            </w:r>
            <w:r w:rsidRPr="00564035">
              <w:rPr>
                <w:rFonts w:eastAsia="MS Mincho" w:cs="Arial" w:hint="eastAsia"/>
                <w:sz w:val="16"/>
                <w:szCs w:val="16"/>
                <w:lang w:eastAsia="ja-JP"/>
              </w:rPr>
              <w:t xml:space="preserve"> of </w:t>
            </w:r>
            <w:r w:rsidRPr="00564035">
              <w:rPr>
                <w:rFonts w:eastAsia="MS Mincho" w:cs="Arial"/>
                <w:sz w:val="16"/>
                <w:szCs w:val="16"/>
                <w:lang w:eastAsia="ja-JP"/>
              </w:rPr>
              <w:t>successful</w:t>
            </w:r>
            <w:r w:rsidRPr="00564035">
              <w:rPr>
                <w:rFonts w:eastAsia="MS Mincho" w:cs="Arial" w:hint="eastAsia"/>
                <w:sz w:val="16"/>
                <w:szCs w:val="16"/>
                <w:lang w:eastAsia="ja-JP"/>
              </w:rPr>
              <w:t xml:space="preserve"> cases linking </w:t>
            </w:r>
            <w:r w:rsidRPr="00564035">
              <w:rPr>
                <w:rFonts w:eastAsia="MS Mincho" w:cs="Arial"/>
                <w:sz w:val="16"/>
                <w:szCs w:val="16"/>
                <w:lang w:eastAsia="ja-JP"/>
              </w:rPr>
              <w:t>business</w:t>
            </w:r>
            <w:r w:rsidRPr="00564035">
              <w:rPr>
                <w:rFonts w:eastAsia="MS Mincho" w:cs="Arial" w:hint="eastAsia"/>
                <w:sz w:val="16"/>
                <w:szCs w:val="16"/>
                <w:lang w:eastAsia="ja-JP"/>
              </w:rPr>
              <w:t xml:space="preserve"> and IP, by the WIPO Japan Office, with particular emphasis on cases associated with developing </w:t>
            </w:r>
            <w:r w:rsidRPr="00564035">
              <w:rPr>
                <w:rFonts w:eastAsia="MS Mincho" w:cs="Arial"/>
                <w:sz w:val="16"/>
                <w:szCs w:val="16"/>
                <w:lang w:eastAsia="ja-JP"/>
              </w:rPr>
              <w:t>countries</w:t>
            </w:r>
            <w:r>
              <w:rPr>
                <w:rFonts w:eastAsia="MS Mincho" w:cs="Arial"/>
                <w:sz w:val="16"/>
                <w:szCs w:val="16"/>
                <w:lang w:eastAsia="ja-JP"/>
              </w:rPr>
              <w:t>;  and (ii)</w:t>
            </w:r>
            <w:r w:rsidRPr="00564035">
              <w:rPr>
                <w:rFonts w:eastAsia="MS Mincho" w:cs="Arial" w:hint="eastAsia"/>
                <w:sz w:val="16"/>
                <w:szCs w:val="16"/>
                <w:lang w:eastAsia="ja-JP"/>
              </w:rPr>
              <w:t xml:space="preserve"> enrich the IP Advantage Database.  </w:t>
            </w:r>
          </w:p>
        </w:tc>
      </w:tr>
      <w:tr w:rsidR="0063033D" w:rsidRPr="00774D44" w:rsidTr="008D1891">
        <w:trPr>
          <w:cantSplit/>
          <w:trHeight w:val="315"/>
        </w:trPr>
        <w:tc>
          <w:tcPr>
            <w:tcW w:w="1843" w:type="dxa"/>
            <w:tcBorders>
              <w:top w:val="nil"/>
              <w:left w:val="single" w:sz="4" w:space="0" w:color="auto"/>
              <w:bottom w:val="single" w:sz="4" w:space="0" w:color="auto"/>
            </w:tcBorders>
          </w:tcPr>
          <w:p w:rsidR="0063033D" w:rsidRPr="00564035" w:rsidRDefault="0063033D" w:rsidP="008D1891">
            <w:pPr>
              <w:autoSpaceDE w:val="0"/>
              <w:autoSpaceDN w:val="0"/>
              <w:adjustRightInd w:val="0"/>
              <w:spacing w:before="120" w:after="120"/>
              <w:rPr>
                <w:rFonts w:eastAsia="MS Mincho" w:cs="Arial"/>
                <w:sz w:val="16"/>
                <w:szCs w:val="16"/>
                <w:lang w:eastAsia="ja-JP"/>
              </w:rPr>
            </w:pPr>
            <w:r w:rsidRPr="00564035">
              <w:rPr>
                <w:rFonts w:eastAsia="MS Mincho" w:cs="Arial" w:hint="eastAsia"/>
                <w:sz w:val="16"/>
                <w:szCs w:val="16"/>
                <w:lang w:eastAsia="ja-JP"/>
              </w:rPr>
              <w:t xml:space="preserve">Translation of WIPO Publications </w:t>
            </w:r>
          </w:p>
        </w:tc>
        <w:tc>
          <w:tcPr>
            <w:tcW w:w="1134" w:type="dxa"/>
            <w:tcBorders>
              <w:top w:val="nil"/>
              <w:bottom w:val="single" w:sz="4" w:space="0" w:color="auto"/>
            </w:tcBorders>
          </w:tcPr>
          <w:p w:rsidR="0063033D" w:rsidRDefault="0063033D" w:rsidP="008D1891">
            <w:pPr>
              <w:spacing w:before="120" w:after="120"/>
              <w:rPr>
                <w:rFonts w:eastAsia="MS Mincho" w:cs="Arial"/>
                <w:sz w:val="16"/>
                <w:szCs w:val="16"/>
                <w:lang w:eastAsia="ja-JP"/>
              </w:rPr>
            </w:pPr>
            <w:r>
              <w:rPr>
                <w:rFonts w:eastAsia="MS Mincho" w:cs="Arial" w:hint="eastAsia"/>
                <w:sz w:val="16"/>
                <w:szCs w:val="16"/>
                <w:lang w:eastAsia="ja-JP"/>
              </w:rPr>
              <w:t>2014  (Initiated)</w:t>
            </w:r>
          </w:p>
        </w:tc>
        <w:tc>
          <w:tcPr>
            <w:tcW w:w="1985" w:type="dxa"/>
            <w:gridSpan w:val="2"/>
            <w:tcBorders>
              <w:top w:val="nil"/>
              <w:bottom w:val="single" w:sz="4" w:space="0" w:color="auto"/>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sidRPr="00564035">
              <w:rPr>
                <w:rFonts w:eastAsia="MS Mincho" w:cs="Arial" w:hint="eastAsia"/>
                <w:color w:val="000000"/>
                <w:sz w:val="16"/>
                <w:szCs w:val="16"/>
                <w:lang w:eastAsia="ja-JP"/>
              </w:rPr>
              <w:t>Viet Nam</w:t>
            </w:r>
          </w:p>
        </w:tc>
        <w:tc>
          <w:tcPr>
            <w:tcW w:w="4394" w:type="dxa"/>
            <w:tcBorders>
              <w:top w:val="nil"/>
              <w:bottom w:val="single" w:sz="4" w:space="0" w:color="auto"/>
              <w:right w:val="single" w:sz="4" w:space="0" w:color="auto"/>
            </w:tcBorders>
          </w:tcPr>
          <w:p w:rsidR="0063033D" w:rsidRPr="00564035" w:rsidRDefault="0063033D" w:rsidP="008D1891">
            <w:pPr>
              <w:autoSpaceDE w:val="0"/>
              <w:autoSpaceDN w:val="0"/>
              <w:adjustRightInd w:val="0"/>
              <w:spacing w:before="120" w:after="120"/>
              <w:ind w:left="-108"/>
              <w:rPr>
                <w:rFonts w:eastAsia="MS Mincho" w:cs="Arial"/>
                <w:sz w:val="16"/>
                <w:szCs w:val="16"/>
                <w:lang w:eastAsia="ja-JP"/>
              </w:rPr>
            </w:pPr>
            <w:r w:rsidRPr="00564035">
              <w:rPr>
                <w:rFonts w:eastAsia="MS Mincho" w:cs="Arial" w:hint="eastAsia"/>
                <w:sz w:val="16"/>
                <w:szCs w:val="16"/>
                <w:lang w:eastAsia="ja-JP"/>
              </w:rPr>
              <w:t xml:space="preserve">The following WIPO </w:t>
            </w:r>
            <w:r>
              <w:rPr>
                <w:rFonts w:eastAsia="MS Mincho" w:cs="Arial"/>
                <w:sz w:val="16"/>
                <w:szCs w:val="16"/>
                <w:lang w:eastAsia="ja-JP"/>
              </w:rPr>
              <w:t>p</w:t>
            </w:r>
            <w:r w:rsidRPr="00564035">
              <w:rPr>
                <w:rFonts w:eastAsia="MS Mincho" w:cs="Arial" w:hint="eastAsia"/>
                <w:sz w:val="16"/>
                <w:szCs w:val="16"/>
                <w:lang w:eastAsia="ja-JP"/>
              </w:rPr>
              <w:t>ublication</w:t>
            </w:r>
            <w:r>
              <w:rPr>
                <w:rFonts w:eastAsia="MS Mincho" w:cs="Arial"/>
                <w:sz w:val="16"/>
                <w:szCs w:val="16"/>
                <w:lang w:eastAsia="ja-JP"/>
              </w:rPr>
              <w:t>s</w:t>
            </w:r>
            <w:r w:rsidRPr="00564035">
              <w:rPr>
                <w:rFonts w:eastAsia="MS Mincho" w:cs="Arial" w:hint="eastAsia"/>
                <w:sz w:val="16"/>
                <w:szCs w:val="16"/>
                <w:lang w:eastAsia="ja-JP"/>
              </w:rPr>
              <w:t xml:space="preserve"> are undergoing translation into Vietnamese:</w:t>
            </w:r>
            <w:r>
              <w:rPr>
                <w:rFonts w:eastAsia="MS Mincho" w:cs="Arial"/>
                <w:sz w:val="16"/>
                <w:szCs w:val="16"/>
                <w:lang w:eastAsia="ja-JP"/>
              </w:rPr>
              <w:t xml:space="preserve">  </w:t>
            </w:r>
            <w:r w:rsidRPr="00564035">
              <w:rPr>
                <w:rFonts w:eastAsia="MS Mincho" w:cs="Arial" w:hint="eastAsia"/>
                <w:sz w:val="16"/>
                <w:szCs w:val="16"/>
                <w:lang w:eastAsia="ja-JP"/>
              </w:rPr>
              <w:t>Trademarks, Industrial Designs and Geographical Indications (DL-302: WIPO Academy e-learning material) and Patent Information Search (DL-318:</w:t>
            </w:r>
            <w:r>
              <w:rPr>
                <w:rFonts w:eastAsia="MS Mincho" w:cs="Arial"/>
                <w:sz w:val="16"/>
                <w:szCs w:val="16"/>
                <w:lang w:eastAsia="ja-JP"/>
              </w:rPr>
              <w:t xml:space="preserve"> </w:t>
            </w:r>
            <w:r w:rsidRPr="00564035">
              <w:rPr>
                <w:rFonts w:eastAsia="MS Mincho" w:cs="Arial" w:hint="eastAsia"/>
                <w:sz w:val="16"/>
                <w:szCs w:val="16"/>
                <w:lang w:eastAsia="ja-JP"/>
              </w:rPr>
              <w:t>WIPO Academy e-learning material)</w:t>
            </w:r>
            <w:r>
              <w:rPr>
                <w:rFonts w:eastAsia="MS Mincho" w:cs="Arial"/>
                <w:sz w:val="16"/>
                <w:szCs w:val="16"/>
                <w:lang w:eastAsia="ja-JP"/>
              </w:rPr>
              <w:t>.</w:t>
            </w:r>
            <w:r w:rsidRPr="00564035">
              <w:rPr>
                <w:rFonts w:eastAsia="MS Mincho" w:cs="Arial" w:hint="eastAsia"/>
                <w:sz w:val="16"/>
                <w:szCs w:val="16"/>
                <w:lang w:eastAsia="ja-JP"/>
              </w:rPr>
              <w:t xml:space="preserve">  </w:t>
            </w:r>
          </w:p>
        </w:tc>
      </w:tr>
      <w:tr w:rsidR="0063033D" w:rsidRPr="00774D44" w:rsidTr="008D1891">
        <w:trPr>
          <w:cantSplit/>
          <w:trHeight w:val="315"/>
        </w:trPr>
        <w:tc>
          <w:tcPr>
            <w:tcW w:w="1843" w:type="dxa"/>
            <w:tcBorders>
              <w:top w:val="single" w:sz="4" w:space="0" w:color="auto"/>
              <w:left w:val="single" w:sz="4" w:space="0" w:color="auto"/>
              <w:bottom w:val="nil"/>
            </w:tcBorders>
            <w:vAlign w:val="center"/>
          </w:tcPr>
          <w:p w:rsidR="0063033D" w:rsidRPr="002B7DE5" w:rsidRDefault="0063033D" w:rsidP="008D1891">
            <w:pPr>
              <w:keepNext/>
              <w:keepLines/>
              <w:spacing w:before="120"/>
              <w:rPr>
                <w:rFonts w:cs="Arial"/>
                <w:b/>
                <w:bCs/>
                <w:sz w:val="16"/>
                <w:szCs w:val="16"/>
              </w:rPr>
            </w:pPr>
            <w:r w:rsidRPr="002B7DE5">
              <w:rPr>
                <w:rFonts w:cs="Arial"/>
                <w:b/>
                <w:bCs/>
                <w:sz w:val="16"/>
                <w:szCs w:val="16"/>
              </w:rPr>
              <w:lastRenderedPageBreak/>
              <w:t>Activity</w:t>
            </w:r>
          </w:p>
        </w:tc>
        <w:tc>
          <w:tcPr>
            <w:tcW w:w="1134" w:type="dxa"/>
            <w:tcBorders>
              <w:top w:val="single" w:sz="4" w:space="0" w:color="auto"/>
              <w:bottom w:val="nil"/>
            </w:tcBorders>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Date</w:t>
            </w:r>
          </w:p>
        </w:tc>
        <w:tc>
          <w:tcPr>
            <w:tcW w:w="1985" w:type="dxa"/>
            <w:gridSpan w:val="2"/>
            <w:tcBorders>
              <w:top w:val="single" w:sz="4" w:space="0" w:color="auto"/>
              <w:bottom w:val="nil"/>
            </w:tcBorders>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auto"/>
              <w:bottom w:val="nil"/>
              <w:right w:val="single" w:sz="4" w:space="0" w:color="auto"/>
            </w:tcBorders>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Purpose(s)/Description(s)</w:t>
            </w:r>
          </w:p>
        </w:tc>
      </w:tr>
      <w:tr w:rsidR="0063033D" w:rsidRPr="00774D44" w:rsidTr="008D1891">
        <w:trPr>
          <w:cantSplit/>
          <w:trHeight w:val="315"/>
        </w:trPr>
        <w:tc>
          <w:tcPr>
            <w:tcW w:w="1843" w:type="dxa"/>
            <w:tcBorders>
              <w:top w:val="nil"/>
              <w:left w:val="single" w:sz="4" w:space="0" w:color="auto"/>
              <w:bottom w:val="single" w:sz="4" w:space="0" w:color="auto"/>
            </w:tcBorders>
          </w:tcPr>
          <w:p w:rsidR="0063033D" w:rsidRPr="00564035" w:rsidRDefault="0063033D" w:rsidP="008D1891">
            <w:pPr>
              <w:autoSpaceDE w:val="0"/>
              <w:autoSpaceDN w:val="0"/>
              <w:adjustRightInd w:val="0"/>
              <w:spacing w:before="120" w:after="120"/>
              <w:rPr>
                <w:rFonts w:eastAsia="MS Mincho" w:cs="Arial"/>
                <w:sz w:val="16"/>
                <w:szCs w:val="16"/>
                <w:lang w:eastAsia="ja-JP"/>
              </w:rPr>
            </w:pPr>
            <w:r w:rsidRPr="00564035">
              <w:rPr>
                <w:rFonts w:eastAsia="MS Mincho" w:cs="Arial" w:hint="eastAsia"/>
                <w:sz w:val="16"/>
                <w:szCs w:val="16"/>
                <w:lang w:eastAsia="ja-JP"/>
              </w:rPr>
              <w:t>Provision of IP Reference Material</w:t>
            </w:r>
          </w:p>
        </w:tc>
        <w:tc>
          <w:tcPr>
            <w:tcW w:w="1134" w:type="dxa"/>
            <w:tcBorders>
              <w:top w:val="nil"/>
              <w:bottom w:val="single" w:sz="4" w:space="0" w:color="auto"/>
            </w:tcBorders>
          </w:tcPr>
          <w:p w:rsidR="0063033D" w:rsidRPr="001B0AA7" w:rsidRDefault="0063033D" w:rsidP="008D1891">
            <w:pPr>
              <w:spacing w:before="120" w:after="120"/>
              <w:rPr>
                <w:rFonts w:eastAsia="MS Mincho" w:cs="Arial"/>
                <w:sz w:val="16"/>
                <w:szCs w:val="16"/>
                <w:lang w:eastAsia="ja-JP"/>
              </w:rPr>
            </w:pPr>
            <w:r w:rsidRPr="001B0AA7">
              <w:rPr>
                <w:rFonts w:eastAsia="MS Mincho" w:cs="Arial" w:hint="eastAsia"/>
                <w:sz w:val="16"/>
                <w:szCs w:val="16"/>
                <w:lang w:eastAsia="ja-JP"/>
              </w:rPr>
              <w:t>2014</w:t>
            </w:r>
          </w:p>
        </w:tc>
        <w:tc>
          <w:tcPr>
            <w:tcW w:w="1985" w:type="dxa"/>
            <w:gridSpan w:val="2"/>
            <w:tcBorders>
              <w:top w:val="nil"/>
              <w:bottom w:val="single" w:sz="4" w:space="0" w:color="auto"/>
            </w:tcBorders>
          </w:tcPr>
          <w:p w:rsidR="0063033D" w:rsidRPr="00564035" w:rsidRDefault="0063033D" w:rsidP="008D1891">
            <w:pPr>
              <w:autoSpaceDE w:val="0"/>
              <w:autoSpaceDN w:val="0"/>
              <w:adjustRightInd w:val="0"/>
              <w:spacing w:before="120" w:after="120"/>
              <w:rPr>
                <w:rFonts w:eastAsia="MS Mincho" w:cs="Arial"/>
                <w:color w:val="000000"/>
                <w:sz w:val="16"/>
                <w:szCs w:val="16"/>
                <w:lang w:eastAsia="ja-JP"/>
              </w:rPr>
            </w:pPr>
            <w:r w:rsidRPr="00564035">
              <w:rPr>
                <w:rFonts w:eastAsia="MS Mincho" w:cs="Arial" w:hint="eastAsia"/>
                <w:color w:val="000000"/>
                <w:sz w:val="16"/>
                <w:szCs w:val="16"/>
                <w:lang w:eastAsia="ja-JP"/>
              </w:rPr>
              <w:t>India</w:t>
            </w:r>
          </w:p>
        </w:tc>
        <w:tc>
          <w:tcPr>
            <w:tcW w:w="4394" w:type="dxa"/>
            <w:tcBorders>
              <w:top w:val="nil"/>
              <w:bottom w:val="single" w:sz="4" w:space="0" w:color="auto"/>
              <w:right w:val="single" w:sz="4" w:space="0" w:color="auto"/>
            </w:tcBorders>
          </w:tcPr>
          <w:p w:rsidR="0063033D" w:rsidRPr="00564035" w:rsidRDefault="0063033D" w:rsidP="008D1891">
            <w:pPr>
              <w:autoSpaceDE w:val="0"/>
              <w:autoSpaceDN w:val="0"/>
              <w:adjustRightInd w:val="0"/>
              <w:spacing w:before="120" w:after="120"/>
              <w:ind w:left="-108"/>
              <w:rPr>
                <w:rFonts w:eastAsia="MS Mincho" w:cs="Arial"/>
                <w:sz w:val="16"/>
                <w:szCs w:val="16"/>
                <w:lang w:eastAsia="ja-JP"/>
              </w:rPr>
            </w:pPr>
            <w:r w:rsidRPr="00564035">
              <w:rPr>
                <w:rFonts w:eastAsia="MS Mincho" w:cs="Arial"/>
                <w:sz w:val="16"/>
                <w:szCs w:val="16"/>
                <w:lang w:eastAsia="ja-JP"/>
              </w:rPr>
              <w:t xml:space="preserve">One </w:t>
            </w:r>
            <w:r w:rsidRPr="00564035">
              <w:rPr>
                <w:rFonts w:eastAsia="MS Mincho" w:cs="Arial" w:hint="eastAsia"/>
                <w:sz w:val="16"/>
                <w:szCs w:val="16"/>
                <w:lang w:eastAsia="ja-JP"/>
              </w:rPr>
              <w:t xml:space="preserve">set of essential IP publications was provided to the </w:t>
            </w:r>
            <w:r w:rsidRPr="00564035">
              <w:rPr>
                <w:rFonts w:eastAsia="MS Mincho" w:cs="Arial"/>
                <w:sz w:val="16"/>
                <w:szCs w:val="16"/>
                <w:lang w:eastAsia="ja-JP"/>
              </w:rPr>
              <w:t>Department</w:t>
            </w:r>
            <w:r w:rsidRPr="00564035">
              <w:rPr>
                <w:rFonts w:eastAsia="MS Mincho" w:cs="Arial" w:hint="eastAsia"/>
                <w:sz w:val="16"/>
                <w:szCs w:val="16"/>
                <w:lang w:eastAsia="ja-JP"/>
              </w:rPr>
              <w:t xml:space="preserve"> of Industrial Policy and Promotion (DIPP), Ministry of Commerce and Industry</w:t>
            </w:r>
            <w:r>
              <w:rPr>
                <w:rFonts w:eastAsia="MS Mincho" w:cs="Arial"/>
                <w:sz w:val="16"/>
                <w:szCs w:val="16"/>
                <w:lang w:eastAsia="ja-JP"/>
              </w:rPr>
              <w:t xml:space="preserve"> and</w:t>
            </w:r>
            <w:r w:rsidRPr="00564035">
              <w:rPr>
                <w:rFonts w:eastAsia="MS Mincho" w:cs="Arial" w:hint="eastAsia"/>
                <w:sz w:val="16"/>
                <w:szCs w:val="16"/>
                <w:lang w:eastAsia="ja-JP"/>
              </w:rPr>
              <w:t xml:space="preserve"> Government of India</w:t>
            </w:r>
            <w:r>
              <w:rPr>
                <w:rFonts w:eastAsia="MS Mincho" w:cs="Arial"/>
                <w:sz w:val="16"/>
                <w:szCs w:val="16"/>
                <w:lang w:eastAsia="ja-JP"/>
              </w:rPr>
              <w:t>.</w:t>
            </w:r>
          </w:p>
        </w:tc>
      </w:tr>
      <w:tr w:rsidR="0063033D" w:rsidRPr="00774D44" w:rsidTr="008D1891">
        <w:trPr>
          <w:cantSplit/>
          <w:trHeight w:val="315"/>
        </w:trPr>
        <w:tc>
          <w:tcPr>
            <w:tcW w:w="9356" w:type="dxa"/>
            <w:gridSpan w:val="5"/>
            <w:tcBorders>
              <w:top w:val="single" w:sz="4" w:space="0" w:color="auto"/>
              <w:bottom w:val="single" w:sz="4" w:space="0" w:color="000000"/>
            </w:tcBorders>
            <w:shd w:val="clear" w:color="auto" w:fill="CCFFFF"/>
          </w:tcPr>
          <w:p w:rsidR="0063033D" w:rsidRPr="00774D44" w:rsidRDefault="0063033D" w:rsidP="008D1891">
            <w:pPr>
              <w:keepNext/>
              <w:keepLines/>
              <w:tabs>
                <w:tab w:val="left" w:pos="1740"/>
              </w:tabs>
              <w:spacing w:before="120" w:after="120"/>
              <w:ind w:left="1740" w:hanging="1740"/>
              <w:rPr>
                <w:rFonts w:cs="Arial"/>
                <w:color w:val="000000"/>
                <w:sz w:val="16"/>
                <w:szCs w:val="16"/>
              </w:rPr>
            </w:pPr>
            <w:r w:rsidRPr="00712F53">
              <w:rPr>
                <w:rFonts w:cs="Arial"/>
                <w:b/>
                <w:bCs/>
                <w:color w:val="000000"/>
                <w:sz w:val="16"/>
                <w:szCs w:val="16"/>
              </w:rPr>
              <w:t>RESULT</w:t>
            </w:r>
            <w:r w:rsidRPr="00712F53">
              <w:rPr>
                <w:rFonts w:cs="Arial"/>
                <w:bCs/>
                <w:sz w:val="16"/>
                <w:szCs w:val="16"/>
                <w:lang w:val="en-AU"/>
              </w:rPr>
              <w:t>:</w:t>
            </w:r>
            <w:r w:rsidRPr="00712F53">
              <w:rPr>
                <w:rFonts w:cs="Arial"/>
                <w:bCs/>
                <w:sz w:val="16"/>
                <w:szCs w:val="16"/>
                <w:lang w:val="en-AU"/>
              </w:rPr>
              <w:tab/>
            </w:r>
            <w:r w:rsidRPr="00937F04">
              <w:rPr>
                <w:rFonts w:cs="Arial"/>
                <w:bCs/>
                <w:sz w:val="16"/>
                <w:szCs w:val="16"/>
                <w:lang w:val="en-AU"/>
              </w:rPr>
              <w:t>IV.4. Enhanced technical and knowledge infrastructure for IP Offices and other IP institutions leading to better services (cheaper, faster, higher quality) to their stakeholders</w:t>
            </w:r>
          </w:p>
        </w:tc>
      </w:tr>
      <w:tr w:rsidR="0063033D" w:rsidRPr="00774D44" w:rsidTr="008D1891">
        <w:trPr>
          <w:cantSplit/>
          <w:trHeight w:val="429"/>
        </w:trPr>
        <w:tc>
          <w:tcPr>
            <w:tcW w:w="1843" w:type="dxa"/>
            <w:tcBorders>
              <w:top w:val="single" w:sz="4" w:space="0" w:color="000000"/>
            </w:tcBorders>
            <w:vAlign w:val="center"/>
          </w:tcPr>
          <w:p w:rsidR="0063033D" w:rsidRPr="002B7DE5" w:rsidRDefault="0063033D" w:rsidP="008D1891">
            <w:pPr>
              <w:keepNext/>
              <w:keepLines/>
              <w:spacing w:before="120"/>
              <w:rPr>
                <w:rFonts w:cs="Arial"/>
                <w:b/>
                <w:bCs/>
                <w:sz w:val="16"/>
                <w:szCs w:val="16"/>
              </w:rPr>
            </w:pPr>
            <w:r w:rsidRPr="002B7DE5">
              <w:rPr>
                <w:rFonts w:cs="Arial"/>
                <w:b/>
                <w:bCs/>
                <w:sz w:val="16"/>
                <w:szCs w:val="16"/>
              </w:rPr>
              <w:t>Activity</w:t>
            </w:r>
          </w:p>
        </w:tc>
        <w:tc>
          <w:tcPr>
            <w:tcW w:w="1134" w:type="dxa"/>
            <w:tcBorders>
              <w:top w:val="single" w:sz="4" w:space="0" w:color="000000"/>
            </w:tcBorders>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Date</w:t>
            </w:r>
          </w:p>
        </w:tc>
        <w:tc>
          <w:tcPr>
            <w:tcW w:w="1985" w:type="dxa"/>
            <w:gridSpan w:val="2"/>
            <w:tcBorders>
              <w:top w:val="single" w:sz="4" w:space="0" w:color="000000"/>
            </w:tcBorders>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000000"/>
            </w:tcBorders>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Purpose(s)/Description(s)</w:t>
            </w:r>
          </w:p>
        </w:tc>
      </w:tr>
      <w:tr w:rsidR="0063033D" w:rsidRPr="00774D44" w:rsidTr="008D1891">
        <w:trPr>
          <w:cantSplit/>
          <w:trHeight w:val="315"/>
        </w:trPr>
        <w:tc>
          <w:tcPr>
            <w:tcW w:w="1843" w:type="dxa"/>
          </w:tcPr>
          <w:p w:rsidR="0063033D" w:rsidRPr="00B357EF" w:rsidRDefault="0063033D" w:rsidP="008D1891">
            <w:pPr>
              <w:autoSpaceDE w:val="0"/>
              <w:autoSpaceDN w:val="0"/>
              <w:adjustRightInd w:val="0"/>
              <w:spacing w:before="120" w:after="120"/>
              <w:rPr>
                <w:rFonts w:cs="Arial"/>
                <w:sz w:val="16"/>
                <w:szCs w:val="16"/>
              </w:rPr>
            </w:pPr>
            <w:r w:rsidRPr="003B2563">
              <w:rPr>
                <w:rFonts w:eastAsia="MS Mincho" w:cs="Arial" w:hint="eastAsia"/>
                <w:color w:val="000000"/>
                <w:sz w:val="16"/>
                <w:szCs w:val="16"/>
                <w:lang w:eastAsia="ja-JP"/>
              </w:rPr>
              <w:t>Project on Strengthening the Infrastructure of ASEAN IP Offices to Support Regional Cooperation in Patent Work Sharing</w:t>
            </w:r>
          </w:p>
        </w:tc>
        <w:tc>
          <w:tcPr>
            <w:tcW w:w="1134" w:type="dxa"/>
          </w:tcPr>
          <w:p w:rsidR="0063033D" w:rsidRPr="00CC3AFD" w:rsidRDefault="0063033D" w:rsidP="008D1891">
            <w:pPr>
              <w:spacing w:before="120" w:after="120"/>
              <w:rPr>
                <w:rFonts w:eastAsia="MS Mincho" w:cs="Arial"/>
                <w:sz w:val="16"/>
                <w:szCs w:val="16"/>
                <w:lang w:eastAsia="ja-JP"/>
              </w:rPr>
            </w:pPr>
            <w:r w:rsidRPr="00CC3AFD">
              <w:rPr>
                <w:rFonts w:eastAsia="MS Mincho" w:cs="Arial" w:hint="eastAsia"/>
                <w:sz w:val="16"/>
                <w:szCs w:val="16"/>
                <w:lang w:eastAsia="ja-JP"/>
              </w:rPr>
              <w:t>April 2014 (Initiated)</w:t>
            </w:r>
          </w:p>
        </w:tc>
        <w:tc>
          <w:tcPr>
            <w:tcW w:w="1985" w:type="dxa"/>
            <w:gridSpan w:val="2"/>
          </w:tcPr>
          <w:p w:rsidR="0063033D" w:rsidRDefault="0063033D" w:rsidP="008D1891">
            <w:pPr>
              <w:autoSpaceDE w:val="0"/>
              <w:autoSpaceDN w:val="0"/>
              <w:adjustRightInd w:val="0"/>
              <w:spacing w:before="120" w:after="120"/>
              <w:rPr>
                <w:rFonts w:cs="Arial"/>
                <w:color w:val="000000"/>
                <w:sz w:val="16"/>
                <w:szCs w:val="16"/>
              </w:rPr>
            </w:pPr>
            <w:r w:rsidRPr="003B2563">
              <w:rPr>
                <w:rFonts w:eastAsia="MS Mincho" w:cs="Arial" w:hint="eastAsia"/>
                <w:color w:val="000000"/>
                <w:sz w:val="16"/>
                <w:szCs w:val="16"/>
                <w:lang w:eastAsia="ja-JP"/>
              </w:rPr>
              <w:t>ASEAN Member States</w:t>
            </w:r>
          </w:p>
        </w:tc>
        <w:tc>
          <w:tcPr>
            <w:tcW w:w="4394" w:type="dxa"/>
          </w:tcPr>
          <w:p w:rsidR="0063033D" w:rsidRDefault="0063033D" w:rsidP="008D1891">
            <w:pPr>
              <w:autoSpaceDE w:val="0"/>
              <w:autoSpaceDN w:val="0"/>
              <w:adjustRightInd w:val="0"/>
              <w:spacing w:before="120" w:after="120"/>
              <w:ind w:left="-108"/>
              <w:rPr>
                <w:rFonts w:cs="Arial"/>
                <w:sz w:val="16"/>
                <w:szCs w:val="16"/>
              </w:rPr>
            </w:pPr>
            <w:r w:rsidRPr="003B2563">
              <w:rPr>
                <w:rFonts w:eastAsia="MS Mincho" w:cs="Arial" w:hint="eastAsia"/>
                <w:color w:val="000000"/>
                <w:sz w:val="16"/>
                <w:szCs w:val="16"/>
                <w:lang w:eastAsia="ja-JP"/>
              </w:rPr>
              <w:t xml:space="preserve">To </w:t>
            </w:r>
            <w:r w:rsidRPr="003B2563">
              <w:rPr>
                <w:rFonts w:cs="Arial"/>
                <w:color w:val="000000"/>
                <w:sz w:val="16"/>
                <w:szCs w:val="16"/>
              </w:rPr>
              <w:t>consist of the following elements:</w:t>
            </w:r>
            <w:r>
              <w:rPr>
                <w:rFonts w:eastAsia="MS Mincho" w:cs="Arial"/>
                <w:color w:val="000000"/>
                <w:sz w:val="16"/>
                <w:szCs w:val="16"/>
                <w:lang w:eastAsia="ja-JP"/>
              </w:rPr>
              <w:t xml:space="preserve"> </w:t>
            </w:r>
            <w:r w:rsidRPr="003B2563">
              <w:rPr>
                <w:rFonts w:cs="Arial"/>
                <w:color w:val="000000"/>
                <w:sz w:val="16"/>
                <w:szCs w:val="16"/>
              </w:rPr>
              <w:t>(</w:t>
            </w:r>
            <w:proofErr w:type="spellStart"/>
            <w:r w:rsidRPr="003B2563">
              <w:rPr>
                <w:rFonts w:cs="Arial"/>
                <w:color w:val="000000"/>
                <w:sz w:val="16"/>
                <w:szCs w:val="16"/>
              </w:rPr>
              <w:t>i</w:t>
            </w:r>
            <w:proofErr w:type="spellEnd"/>
            <w:r w:rsidRPr="003B2563">
              <w:rPr>
                <w:rFonts w:cs="Arial"/>
                <w:color w:val="000000"/>
                <w:sz w:val="16"/>
                <w:szCs w:val="16"/>
              </w:rPr>
              <w:t xml:space="preserve">) </w:t>
            </w:r>
            <w:r>
              <w:rPr>
                <w:rFonts w:cs="Arial"/>
                <w:color w:val="000000"/>
                <w:sz w:val="16"/>
                <w:szCs w:val="16"/>
              </w:rPr>
              <w:t>d</w:t>
            </w:r>
            <w:r w:rsidRPr="003B2563">
              <w:rPr>
                <w:rFonts w:cs="Arial"/>
                <w:color w:val="000000"/>
                <w:sz w:val="16"/>
                <w:szCs w:val="16"/>
              </w:rPr>
              <w:t>evelopment of a standard server (software platform) that enables ASEAN IP Offices to</w:t>
            </w:r>
            <w:r w:rsidRPr="003B2563">
              <w:rPr>
                <w:rFonts w:eastAsia="MS Mincho" w:cs="Arial" w:hint="eastAsia"/>
                <w:color w:val="000000"/>
                <w:sz w:val="16"/>
                <w:szCs w:val="16"/>
                <w:lang w:eastAsia="ja-JP"/>
              </w:rPr>
              <w:t xml:space="preserve"> </w:t>
            </w:r>
            <w:r w:rsidRPr="003B2563">
              <w:rPr>
                <w:rFonts w:cs="Arial"/>
                <w:color w:val="000000"/>
                <w:sz w:val="16"/>
                <w:szCs w:val="16"/>
              </w:rPr>
              <w:t>securely share their dossier information, including patent search and examination results</w:t>
            </w:r>
            <w:r>
              <w:rPr>
                <w:rFonts w:cs="Arial"/>
                <w:color w:val="000000"/>
                <w:sz w:val="16"/>
                <w:szCs w:val="16"/>
              </w:rPr>
              <w:t>,</w:t>
            </w:r>
            <w:r w:rsidRPr="003B2563">
              <w:rPr>
                <w:rFonts w:eastAsia="MS Mincho" w:cs="Arial" w:hint="eastAsia"/>
                <w:color w:val="000000"/>
                <w:sz w:val="16"/>
                <w:szCs w:val="16"/>
                <w:lang w:eastAsia="ja-JP"/>
              </w:rPr>
              <w:t xml:space="preserve"> </w:t>
            </w:r>
            <w:r w:rsidRPr="003B2563">
              <w:rPr>
                <w:rFonts w:cs="Arial"/>
                <w:color w:val="000000"/>
                <w:sz w:val="16"/>
                <w:szCs w:val="16"/>
              </w:rPr>
              <w:t xml:space="preserve">with other IP offices through </w:t>
            </w:r>
            <w:r>
              <w:rPr>
                <w:rFonts w:cs="Arial"/>
                <w:color w:val="000000"/>
                <w:sz w:val="16"/>
                <w:szCs w:val="16"/>
              </w:rPr>
              <w:t xml:space="preserve">the </w:t>
            </w:r>
            <w:r w:rsidRPr="003B2563">
              <w:rPr>
                <w:rFonts w:cs="Arial"/>
                <w:color w:val="000000"/>
                <w:sz w:val="16"/>
                <w:szCs w:val="16"/>
              </w:rPr>
              <w:t>WIPO CASE network, as well as retrieve documents from</w:t>
            </w:r>
            <w:r w:rsidRPr="003B2563">
              <w:rPr>
                <w:rFonts w:eastAsia="MS Mincho" w:cs="Arial" w:hint="eastAsia"/>
                <w:color w:val="000000"/>
                <w:sz w:val="16"/>
                <w:szCs w:val="16"/>
                <w:lang w:eastAsia="ja-JP"/>
              </w:rPr>
              <w:t xml:space="preserve"> </w:t>
            </w:r>
            <w:r w:rsidRPr="003B2563">
              <w:rPr>
                <w:rFonts w:cs="Arial"/>
                <w:color w:val="000000"/>
                <w:sz w:val="16"/>
                <w:szCs w:val="16"/>
              </w:rPr>
              <w:t>other IP Offices and effective utilization of the software</w:t>
            </w:r>
            <w:r w:rsidRPr="003B2563">
              <w:rPr>
                <w:rFonts w:eastAsia="MS Mincho" w:cs="Arial" w:hint="eastAsia"/>
                <w:color w:val="000000"/>
                <w:sz w:val="16"/>
                <w:szCs w:val="16"/>
                <w:lang w:eastAsia="ja-JP"/>
              </w:rPr>
              <w:t xml:space="preserve"> </w:t>
            </w:r>
            <w:r w:rsidRPr="003B2563">
              <w:rPr>
                <w:rFonts w:cs="Arial"/>
                <w:color w:val="000000"/>
                <w:sz w:val="16"/>
                <w:szCs w:val="16"/>
              </w:rPr>
              <w:t>platform;</w:t>
            </w:r>
            <w:r w:rsidRPr="003B2563">
              <w:rPr>
                <w:rFonts w:eastAsia="MS Mincho" w:cs="Arial" w:hint="eastAsia"/>
                <w:color w:val="000000"/>
                <w:sz w:val="16"/>
                <w:szCs w:val="16"/>
                <w:lang w:eastAsia="ja-JP"/>
              </w:rPr>
              <w:t xml:space="preserve"> </w:t>
            </w:r>
            <w:r w:rsidRPr="003B2563">
              <w:rPr>
                <w:rFonts w:cs="Arial"/>
                <w:color w:val="000000"/>
                <w:sz w:val="16"/>
                <w:szCs w:val="16"/>
              </w:rPr>
              <w:t xml:space="preserve">(ii) </w:t>
            </w:r>
            <w:r>
              <w:rPr>
                <w:rFonts w:cs="Arial"/>
                <w:color w:val="000000"/>
                <w:sz w:val="16"/>
                <w:szCs w:val="16"/>
              </w:rPr>
              <w:t xml:space="preserve">a </w:t>
            </w:r>
            <w:r w:rsidRPr="003B2563">
              <w:rPr>
                <w:rFonts w:cs="Arial"/>
                <w:color w:val="000000"/>
                <w:sz w:val="16"/>
                <w:szCs w:val="16"/>
              </w:rPr>
              <w:t>WIPO Sub-regional Workshop on Knowledge-Sharing and Strategic Planning to Support</w:t>
            </w:r>
            <w:r w:rsidRPr="003B2563">
              <w:rPr>
                <w:rFonts w:eastAsia="MS Mincho" w:cs="Arial" w:hint="eastAsia"/>
                <w:color w:val="000000"/>
                <w:sz w:val="16"/>
                <w:szCs w:val="16"/>
                <w:lang w:eastAsia="ja-JP"/>
              </w:rPr>
              <w:t xml:space="preserve"> </w:t>
            </w:r>
            <w:r w:rsidRPr="003B2563">
              <w:rPr>
                <w:rFonts w:cs="Arial"/>
                <w:color w:val="000000"/>
                <w:sz w:val="16"/>
                <w:szCs w:val="16"/>
              </w:rPr>
              <w:t>Regional Cooperation in Patent Work Sharing;</w:t>
            </w:r>
            <w:r>
              <w:rPr>
                <w:rFonts w:cs="Arial"/>
                <w:color w:val="000000"/>
                <w:sz w:val="16"/>
                <w:szCs w:val="16"/>
              </w:rPr>
              <w:t xml:space="preserve"> </w:t>
            </w:r>
            <w:r w:rsidRPr="003B2563">
              <w:rPr>
                <w:rFonts w:cs="Arial"/>
                <w:color w:val="000000"/>
                <w:sz w:val="16"/>
                <w:szCs w:val="16"/>
              </w:rPr>
              <w:t>and</w:t>
            </w:r>
            <w:r w:rsidRPr="003B2563">
              <w:rPr>
                <w:rFonts w:eastAsia="MS Mincho" w:cs="Arial" w:hint="eastAsia"/>
                <w:color w:val="000000"/>
                <w:sz w:val="16"/>
                <w:szCs w:val="16"/>
                <w:lang w:eastAsia="ja-JP"/>
              </w:rPr>
              <w:t xml:space="preserve"> </w:t>
            </w:r>
            <w:r w:rsidRPr="003B2563">
              <w:rPr>
                <w:rFonts w:cs="Arial"/>
                <w:color w:val="000000"/>
                <w:sz w:val="16"/>
                <w:szCs w:val="16"/>
              </w:rPr>
              <w:t>(iii) WIPO Sub-regional Workshop on Software Platforms for Patent Work Sharing.</w:t>
            </w:r>
          </w:p>
        </w:tc>
      </w:tr>
      <w:tr w:rsidR="0063033D" w:rsidRPr="00774D44" w:rsidTr="008D1891">
        <w:trPr>
          <w:cantSplit/>
          <w:trHeight w:val="315"/>
        </w:trPr>
        <w:tc>
          <w:tcPr>
            <w:tcW w:w="1843" w:type="dxa"/>
          </w:tcPr>
          <w:p w:rsidR="0063033D" w:rsidRPr="003B2563" w:rsidRDefault="0063033D" w:rsidP="008D1891">
            <w:pPr>
              <w:autoSpaceDE w:val="0"/>
              <w:autoSpaceDN w:val="0"/>
              <w:adjustRightInd w:val="0"/>
              <w:spacing w:before="120" w:after="120"/>
              <w:rPr>
                <w:rFonts w:eastAsia="MS Mincho" w:cs="Arial"/>
                <w:color w:val="000000"/>
                <w:sz w:val="16"/>
                <w:szCs w:val="16"/>
                <w:lang w:eastAsia="ja-JP"/>
              </w:rPr>
            </w:pPr>
            <w:r w:rsidRPr="006F4757">
              <w:rPr>
                <w:rFonts w:eastAsia="MS Mincho" w:cs="Arial"/>
                <w:color w:val="000000"/>
                <w:sz w:val="16"/>
                <w:szCs w:val="16"/>
                <w:lang w:eastAsia="ja-JP"/>
              </w:rPr>
              <w:t xml:space="preserve">Manual for Open Source Patent Analytics Tools and Related WIPO </w:t>
            </w:r>
            <w:r>
              <w:rPr>
                <w:rFonts w:eastAsia="MS Mincho" w:cs="Arial"/>
                <w:color w:val="000000"/>
                <w:sz w:val="16"/>
                <w:szCs w:val="16"/>
                <w:lang w:eastAsia="ja-JP"/>
              </w:rPr>
              <w:br/>
            </w:r>
            <w:r w:rsidRPr="006F4757">
              <w:rPr>
                <w:rFonts w:eastAsia="MS Mincho" w:cs="Arial"/>
                <w:color w:val="000000"/>
                <w:sz w:val="16"/>
                <w:szCs w:val="16"/>
                <w:lang w:eastAsia="ja-JP"/>
              </w:rPr>
              <w:t>Sub-regional</w:t>
            </w:r>
            <w:r>
              <w:rPr>
                <w:rFonts w:eastAsia="MS Mincho" w:cs="Arial" w:hint="eastAsia"/>
                <w:color w:val="000000"/>
                <w:sz w:val="16"/>
                <w:szCs w:val="16"/>
                <w:lang w:eastAsia="ja-JP"/>
              </w:rPr>
              <w:t xml:space="preserve"> </w:t>
            </w:r>
            <w:r w:rsidRPr="006F4757">
              <w:rPr>
                <w:rFonts w:eastAsia="MS Mincho" w:cs="Arial"/>
                <w:color w:val="000000"/>
                <w:sz w:val="16"/>
                <w:szCs w:val="16"/>
                <w:lang w:eastAsia="ja-JP"/>
              </w:rPr>
              <w:t>Seminar</w:t>
            </w:r>
          </w:p>
        </w:tc>
        <w:tc>
          <w:tcPr>
            <w:tcW w:w="1134" w:type="dxa"/>
          </w:tcPr>
          <w:p w:rsidR="0063033D" w:rsidRPr="003B2563" w:rsidRDefault="0063033D" w:rsidP="008D1891">
            <w:pPr>
              <w:spacing w:before="120" w:after="120"/>
              <w:rPr>
                <w:rFonts w:eastAsia="MS Mincho" w:cs="Arial"/>
                <w:color w:val="000000"/>
                <w:sz w:val="16"/>
                <w:szCs w:val="16"/>
                <w:lang w:eastAsia="ja-JP"/>
              </w:rPr>
            </w:pPr>
            <w:r>
              <w:rPr>
                <w:rFonts w:eastAsia="MS Mincho" w:cs="Arial" w:hint="eastAsia"/>
                <w:color w:val="000000"/>
                <w:sz w:val="16"/>
                <w:szCs w:val="16"/>
                <w:lang w:eastAsia="ja-JP"/>
              </w:rPr>
              <w:t>April</w:t>
            </w:r>
            <w:r>
              <w:rPr>
                <w:rFonts w:eastAsia="MS Mincho" w:cs="Arial"/>
                <w:color w:val="000000"/>
                <w:sz w:val="16"/>
                <w:szCs w:val="16"/>
                <w:lang w:eastAsia="ja-JP"/>
              </w:rPr>
              <w:t xml:space="preserve"> </w:t>
            </w:r>
            <w:r>
              <w:rPr>
                <w:rFonts w:eastAsia="MS Mincho" w:cs="Arial" w:hint="eastAsia"/>
                <w:color w:val="000000"/>
                <w:sz w:val="16"/>
                <w:szCs w:val="16"/>
                <w:lang w:eastAsia="ja-JP"/>
              </w:rPr>
              <w:t>2014 (Initiated)</w:t>
            </w:r>
          </w:p>
        </w:tc>
        <w:tc>
          <w:tcPr>
            <w:tcW w:w="1985" w:type="dxa"/>
            <w:gridSpan w:val="2"/>
          </w:tcPr>
          <w:p w:rsidR="0063033D" w:rsidRPr="003B2563" w:rsidRDefault="0063033D" w:rsidP="008D1891">
            <w:pPr>
              <w:autoSpaceDE w:val="0"/>
              <w:autoSpaceDN w:val="0"/>
              <w:adjustRightInd w:val="0"/>
              <w:spacing w:before="120" w:after="120"/>
              <w:rPr>
                <w:rFonts w:eastAsia="MS Mincho" w:cs="Arial"/>
                <w:color w:val="000000"/>
                <w:sz w:val="16"/>
                <w:szCs w:val="16"/>
                <w:lang w:eastAsia="ja-JP"/>
              </w:rPr>
            </w:pPr>
            <w:r>
              <w:rPr>
                <w:rFonts w:eastAsia="MS Mincho" w:cs="Arial" w:hint="eastAsia"/>
                <w:color w:val="000000"/>
                <w:sz w:val="16"/>
                <w:szCs w:val="16"/>
                <w:lang w:eastAsia="ja-JP"/>
              </w:rPr>
              <w:t xml:space="preserve">All WIPO </w:t>
            </w:r>
            <w:r>
              <w:rPr>
                <w:rFonts w:eastAsia="MS Mincho" w:cs="Arial"/>
                <w:color w:val="000000"/>
                <w:sz w:val="16"/>
                <w:szCs w:val="16"/>
                <w:lang w:eastAsia="ja-JP"/>
              </w:rPr>
              <w:t>M</w:t>
            </w:r>
            <w:r>
              <w:rPr>
                <w:rFonts w:eastAsia="MS Mincho" w:cs="Arial" w:hint="eastAsia"/>
                <w:color w:val="000000"/>
                <w:sz w:val="16"/>
                <w:szCs w:val="16"/>
                <w:lang w:eastAsia="ja-JP"/>
              </w:rPr>
              <w:t xml:space="preserve">ember </w:t>
            </w:r>
            <w:r>
              <w:rPr>
                <w:rFonts w:eastAsia="MS Mincho" w:cs="Arial"/>
                <w:color w:val="000000"/>
                <w:sz w:val="16"/>
                <w:szCs w:val="16"/>
                <w:lang w:eastAsia="ja-JP"/>
              </w:rPr>
              <w:t>S</w:t>
            </w:r>
            <w:r>
              <w:rPr>
                <w:rFonts w:eastAsia="MS Mincho" w:cs="Arial" w:hint="eastAsia"/>
                <w:color w:val="000000"/>
                <w:sz w:val="16"/>
                <w:szCs w:val="16"/>
                <w:lang w:eastAsia="ja-JP"/>
              </w:rPr>
              <w:t>tates</w:t>
            </w:r>
          </w:p>
        </w:tc>
        <w:tc>
          <w:tcPr>
            <w:tcW w:w="4394" w:type="dxa"/>
          </w:tcPr>
          <w:p w:rsidR="0063033D" w:rsidRPr="003B2563" w:rsidRDefault="0063033D" w:rsidP="008D1891">
            <w:pPr>
              <w:autoSpaceDE w:val="0"/>
              <w:autoSpaceDN w:val="0"/>
              <w:adjustRightInd w:val="0"/>
              <w:spacing w:before="120" w:after="120"/>
              <w:ind w:left="-108"/>
              <w:rPr>
                <w:rFonts w:eastAsia="MS Mincho" w:cs="Arial"/>
                <w:color w:val="000000"/>
                <w:sz w:val="16"/>
                <w:szCs w:val="16"/>
                <w:lang w:eastAsia="ja-JP"/>
              </w:rPr>
            </w:pPr>
            <w:r>
              <w:rPr>
                <w:rFonts w:eastAsia="MS Mincho" w:cs="Arial" w:hint="eastAsia"/>
                <w:color w:val="000000"/>
                <w:sz w:val="16"/>
                <w:szCs w:val="16"/>
                <w:lang w:eastAsia="ja-JP"/>
              </w:rPr>
              <w:t>T</w:t>
            </w:r>
            <w:r w:rsidRPr="006F4757">
              <w:rPr>
                <w:rFonts w:eastAsia="MS Mincho" w:cs="Arial"/>
                <w:color w:val="000000"/>
                <w:sz w:val="16"/>
                <w:szCs w:val="16"/>
                <w:lang w:eastAsia="ja-JP"/>
              </w:rPr>
              <w:t xml:space="preserve">o strengthen the capacities of patent information specialists of </w:t>
            </w:r>
            <w:r>
              <w:rPr>
                <w:rFonts w:eastAsia="MS Mincho" w:cs="Arial"/>
                <w:color w:val="000000"/>
                <w:sz w:val="16"/>
                <w:szCs w:val="16"/>
                <w:lang w:eastAsia="ja-JP"/>
              </w:rPr>
              <w:t>IPOs</w:t>
            </w:r>
            <w:r w:rsidRPr="006F4757">
              <w:rPr>
                <w:rFonts w:eastAsia="MS Mincho" w:cs="Arial"/>
                <w:color w:val="000000"/>
                <w:sz w:val="16"/>
                <w:szCs w:val="16"/>
                <w:lang w:eastAsia="ja-JP"/>
              </w:rPr>
              <w:t xml:space="preserve"> and of other public institutions</w:t>
            </w:r>
            <w:r>
              <w:rPr>
                <w:rFonts w:eastAsia="MS Mincho" w:cs="Arial"/>
                <w:color w:val="000000"/>
                <w:sz w:val="16"/>
                <w:szCs w:val="16"/>
                <w:lang w:eastAsia="ja-JP"/>
              </w:rPr>
              <w:t xml:space="preserve"> in </w:t>
            </w:r>
            <w:r w:rsidRPr="006F4757">
              <w:rPr>
                <w:rFonts w:eastAsia="MS Mincho" w:cs="Arial"/>
                <w:color w:val="000000"/>
                <w:sz w:val="16"/>
                <w:szCs w:val="16"/>
                <w:lang w:eastAsia="ja-JP"/>
              </w:rPr>
              <w:t>preparing patent landscape reports by</w:t>
            </w:r>
            <w:r>
              <w:rPr>
                <w:rFonts w:eastAsia="MS Mincho" w:cs="Arial"/>
                <w:color w:val="000000"/>
                <w:sz w:val="16"/>
                <w:szCs w:val="16"/>
                <w:lang w:eastAsia="ja-JP"/>
              </w:rPr>
              <w:t>:</w:t>
            </w:r>
            <w:r w:rsidRPr="006F4757">
              <w:rPr>
                <w:rFonts w:eastAsia="MS Mincho" w:cs="Arial"/>
                <w:color w:val="000000"/>
                <w:sz w:val="16"/>
                <w:szCs w:val="16"/>
                <w:lang w:eastAsia="ja-JP"/>
              </w:rPr>
              <w:t xml:space="preserve"> (</w:t>
            </w:r>
            <w:proofErr w:type="spellStart"/>
            <w:r w:rsidRPr="006F4757">
              <w:rPr>
                <w:rFonts w:eastAsia="MS Mincho" w:cs="Arial"/>
                <w:color w:val="000000"/>
                <w:sz w:val="16"/>
                <w:szCs w:val="16"/>
                <w:lang w:eastAsia="ja-JP"/>
              </w:rPr>
              <w:t>i</w:t>
            </w:r>
            <w:proofErr w:type="spellEnd"/>
            <w:r w:rsidRPr="006F4757">
              <w:rPr>
                <w:rFonts w:eastAsia="MS Mincho" w:cs="Arial"/>
                <w:color w:val="000000"/>
                <w:sz w:val="16"/>
                <w:szCs w:val="16"/>
                <w:lang w:eastAsia="ja-JP"/>
              </w:rPr>
              <w:t xml:space="preserve">) preparing a manual </w:t>
            </w:r>
            <w:r>
              <w:rPr>
                <w:rFonts w:eastAsia="MS Mincho" w:cs="Arial"/>
                <w:color w:val="000000"/>
                <w:sz w:val="16"/>
                <w:szCs w:val="16"/>
                <w:lang w:eastAsia="ja-JP"/>
              </w:rPr>
              <w:t>on the use of</w:t>
            </w:r>
            <w:r w:rsidRPr="006F4757">
              <w:rPr>
                <w:rFonts w:eastAsia="MS Mincho" w:cs="Arial"/>
                <w:color w:val="000000"/>
                <w:sz w:val="16"/>
                <w:szCs w:val="16"/>
                <w:lang w:eastAsia="ja-JP"/>
              </w:rPr>
              <w:t xml:space="preserve"> open source patent analytics tools</w:t>
            </w:r>
            <w:r>
              <w:rPr>
                <w:rFonts w:eastAsia="MS Mincho" w:cs="Arial"/>
                <w:color w:val="000000"/>
                <w:sz w:val="16"/>
                <w:szCs w:val="16"/>
                <w:lang w:eastAsia="ja-JP"/>
              </w:rPr>
              <w:t>;</w:t>
            </w:r>
            <w:r w:rsidRPr="006F4757">
              <w:rPr>
                <w:rFonts w:eastAsia="MS Mincho" w:cs="Arial"/>
                <w:color w:val="000000"/>
                <w:sz w:val="16"/>
                <w:szCs w:val="16"/>
                <w:lang w:eastAsia="ja-JP"/>
              </w:rPr>
              <w:t xml:space="preserve"> </w:t>
            </w:r>
            <w:r>
              <w:rPr>
                <w:rFonts w:eastAsia="MS Mincho" w:cs="Arial"/>
                <w:color w:val="000000"/>
                <w:sz w:val="16"/>
                <w:szCs w:val="16"/>
                <w:lang w:eastAsia="ja-JP"/>
              </w:rPr>
              <w:t xml:space="preserve">and </w:t>
            </w:r>
            <w:r w:rsidRPr="006F4757">
              <w:rPr>
                <w:rFonts w:eastAsia="MS Mincho" w:cs="Arial"/>
                <w:color w:val="000000"/>
                <w:sz w:val="16"/>
                <w:szCs w:val="16"/>
                <w:lang w:eastAsia="ja-JP"/>
              </w:rPr>
              <w:t>(ii) organizing a sub-regional seminar to present the Manual to potential users and explain how to effectively use it.</w:t>
            </w:r>
          </w:p>
        </w:tc>
      </w:tr>
      <w:tr w:rsidR="0063033D" w:rsidRPr="00774D44" w:rsidTr="008D1891">
        <w:trPr>
          <w:cantSplit/>
          <w:trHeight w:val="315"/>
        </w:trPr>
        <w:tc>
          <w:tcPr>
            <w:tcW w:w="1843" w:type="dxa"/>
          </w:tcPr>
          <w:p w:rsidR="0063033D" w:rsidRPr="006F4757" w:rsidRDefault="0063033D" w:rsidP="008D1891">
            <w:pPr>
              <w:autoSpaceDE w:val="0"/>
              <w:autoSpaceDN w:val="0"/>
              <w:adjustRightInd w:val="0"/>
              <w:spacing w:before="120" w:after="120"/>
              <w:rPr>
                <w:rFonts w:eastAsia="MS Mincho" w:cs="Arial"/>
                <w:color w:val="000000"/>
                <w:sz w:val="16"/>
                <w:szCs w:val="16"/>
                <w:lang w:eastAsia="ja-JP"/>
              </w:rPr>
            </w:pPr>
            <w:r w:rsidRPr="001D2B16">
              <w:rPr>
                <w:rFonts w:eastAsia="MS Mincho" w:cs="Arial"/>
                <w:color w:val="000000"/>
                <w:sz w:val="16"/>
                <w:szCs w:val="16"/>
                <w:lang w:eastAsia="ja-JP"/>
              </w:rPr>
              <w:t>Capacity Building for Effective Innovation Support Services, in particular Access to and use of Technology Database</w:t>
            </w:r>
          </w:p>
        </w:tc>
        <w:tc>
          <w:tcPr>
            <w:tcW w:w="1134" w:type="dxa"/>
          </w:tcPr>
          <w:p w:rsidR="0063033D" w:rsidRDefault="0063033D" w:rsidP="008D1891">
            <w:pPr>
              <w:spacing w:before="120" w:after="120"/>
              <w:rPr>
                <w:rFonts w:eastAsia="MS Mincho" w:cs="Arial"/>
                <w:color w:val="000000"/>
                <w:sz w:val="16"/>
                <w:szCs w:val="16"/>
                <w:lang w:eastAsia="ja-JP"/>
              </w:rPr>
            </w:pPr>
            <w:r w:rsidRPr="001D2B16">
              <w:rPr>
                <w:rFonts w:eastAsia="MS Mincho" w:cs="Arial"/>
                <w:color w:val="000000"/>
                <w:sz w:val="16"/>
                <w:szCs w:val="16"/>
                <w:lang w:eastAsia="ja-JP"/>
              </w:rPr>
              <w:t>April 2014 (Initiated)</w:t>
            </w:r>
          </w:p>
          <w:p w:rsidR="0063033D" w:rsidRDefault="0063033D" w:rsidP="008D1891">
            <w:pPr>
              <w:spacing w:before="120" w:after="120"/>
              <w:rPr>
                <w:rFonts w:eastAsia="MS Mincho" w:cs="Arial"/>
                <w:color w:val="000000"/>
                <w:sz w:val="16"/>
                <w:szCs w:val="16"/>
                <w:lang w:eastAsia="ja-JP"/>
              </w:rPr>
            </w:pPr>
          </w:p>
        </w:tc>
        <w:tc>
          <w:tcPr>
            <w:tcW w:w="1985" w:type="dxa"/>
            <w:gridSpan w:val="2"/>
          </w:tcPr>
          <w:p w:rsidR="0063033D" w:rsidRDefault="0063033D" w:rsidP="008D1891">
            <w:pPr>
              <w:autoSpaceDE w:val="0"/>
              <w:autoSpaceDN w:val="0"/>
              <w:adjustRightInd w:val="0"/>
              <w:spacing w:before="120" w:after="120"/>
              <w:rPr>
                <w:rFonts w:eastAsia="MS Mincho" w:cs="Arial"/>
                <w:color w:val="000000"/>
                <w:sz w:val="16"/>
                <w:szCs w:val="16"/>
                <w:lang w:eastAsia="ja-JP"/>
              </w:rPr>
            </w:pPr>
            <w:r>
              <w:rPr>
                <w:rFonts w:eastAsia="MS Mincho" w:cs="Arial" w:hint="eastAsia"/>
                <w:color w:val="000000"/>
                <w:sz w:val="16"/>
                <w:szCs w:val="16"/>
                <w:lang w:eastAsia="ja-JP"/>
              </w:rPr>
              <w:t>Malaysia, Mongolia, Bangladesh, Cambodia, Viet Nam</w:t>
            </w:r>
          </w:p>
        </w:tc>
        <w:tc>
          <w:tcPr>
            <w:tcW w:w="4394" w:type="dxa"/>
          </w:tcPr>
          <w:p w:rsidR="0063033D" w:rsidRDefault="0063033D" w:rsidP="008D1891">
            <w:pPr>
              <w:autoSpaceDE w:val="0"/>
              <w:autoSpaceDN w:val="0"/>
              <w:adjustRightInd w:val="0"/>
              <w:spacing w:before="120" w:after="120"/>
              <w:ind w:left="-108"/>
              <w:rPr>
                <w:rFonts w:eastAsia="MS Mincho" w:cs="Arial"/>
                <w:color w:val="000000"/>
                <w:sz w:val="16"/>
                <w:szCs w:val="16"/>
                <w:lang w:eastAsia="ja-JP"/>
              </w:rPr>
            </w:pPr>
            <w:r>
              <w:rPr>
                <w:rFonts w:eastAsia="MS Mincho" w:cs="Arial" w:hint="eastAsia"/>
                <w:color w:val="000000"/>
                <w:sz w:val="16"/>
                <w:szCs w:val="16"/>
                <w:lang w:eastAsia="ja-JP"/>
              </w:rPr>
              <w:t>T</w:t>
            </w:r>
            <w:r w:rsidRPr="001D2B16">
              <w:rPr>
                <w:rFonts w:eastAsia="MS Mincho" w:cs="Arial"/>
                <w:color w:val="000000"/>
                <w:sz w:val="16"/>
                <w:szCs w:val="16"/>
                <w:lang w:eastAsia="ja-JP"/>
              </w:rPr>
              <w:t>o contribute to effective innovation support services, in particular the use and exploitation of technology databases by local researchers in the ASPAC region by: (</w:t>
            </w:r>
            <w:proofErr w:type="spellStart"/>
            <w:r w:rsidRPr="001D2B16">
              <w:rPr>
                <w:rFonts w:eastAsia="MS Mincho" w:cs="Arial"/>
                <w:color w:val="000000"/>
                <w:sz w:val="16"/>
                <w:szCs w:val="16"/>
                <w:lang w:eastAsia="ja-JP"/>
              </w:rPr>
              <w:t>i</w:t>
            </w:r>
            <w:proofErr w:type="spellEnd"/>
            <w:r w:rsidRPr="001D2B16">
              <w:rPr>
                <w:rFonts w:eastAsia="MS Mincho" w:cs="Arial"/>
                <w:color w:val="000000"/>
                <w:sz w:val="16"/>
                <w:szCs w:val="16"/>
                <w:lang w:eastAsia="ja-JP"/>
              </w:rPr>
              <w:t>) reinforcing training of staff in national Technology and Innovation Support Centers (TISCs), and (ii) making available translated training/information materials in selected local languages. The project would consist of the following elements:</w:t>
            </w:r>
            <w:r>
              <w:rPr>
                <w:rFonts w:eastAsia="MS Mincho" w:cs="Arial" w:hint="eastAsia"/>
                <w:color w:val="000000"/>
                <w:sz w:val="16"/>
                <w:szCs w:val="16"/>
                <w:lang w:eastAsia="ja-JP"/>
              </w:rPr>
              <w:t xml:space="preserve"> </w:t>
            </w:r>
            <w:r w:rsidRPr="001D2B16">
              <w:rPr>
                <w:rFonts w:eastAsia="MS Mincho" w:cs="Arial"/>
                <w:color w:val="000000"/>
                <w:sz w:val="16"/>
                <w:szCs w:val="16"/>
                <w:lang w:eastAsia="ja-JP"/>
              </w:rPr>
              <w:t>(</w:t>
            </w:r>
            <w:proofErr w:type="spellStart"/>
            <w:r w:rsidRPr="001D2B16">
              <w:rPr>
                <w:rFonts w:eastAsia="MS Mincho" w:cs="Arial"/>
                <w:color w:val="000000"/>
                <w:sz w:val="16"/>
                <w:szCs w:val="16"/>
                <w:lang w:eastAsia="ja-JP"/>
              </w:rPr>
              <w:t>i</w:t>
            </w:r>
            <w:proofErr w:type="spellEnd"/>
            <w:r w:rsidRPr="001D2B16">
              <w:rPr>
                <w:rFonts w:eastAsia="MS Mincho" w:cs="Arial"/>
                <w:color w:val="000000"/>
                <w:sz w:val="16"/>
                <w:szCs w:val="16"/>
                <w:lang w:eastAsia="ja-JP"/>
              </w:rPr>
              <w:t>) A sub-regional seminar to discuss and develop a practical roadmap for the ASEAN countries for implementing innovation support services</w:t>
            </w:r>
            <w:proofErr w:type="gramStart"/>
            <w:r w:rsidRPr="001D2B16">
              <w:rPr>
                <w:rFonts w:eastAsia="MS Mincho" w:cs="Arial"/>
                <w:color w:val="000000"/>
                <w:sz w:val="16"/>
                <w:szCs w:val="16"/>
                <w:lang w:eastAsia="ja-JP"/>
              </w:rPr>
              <w:t>,  held</w:t>
            </w:r>
            <w:proofErr w:type="gramEnd"/>
            <w:r w:rsidRPr="001D2B16">
              <w:rPr>
                <w:rFonts w:eastAsia="MS Mincho" w:cs="Arial"/>
                <w:color w:val="000000"/>
                <w:sz w:val="16"/>
                <w:szCs w:val="16"/>
                <w:lang w:eastAsia="ja-JP"/>
              </w:rPr>
              <w:t xml:space="preserve"> in</w:t>
            </w:r>
            <w:r>
              <w:rPr>
                <w:rFonts w:eastAsia="MS Mincho" w:cs="Arial" w:hint="eastAsia"/>
                <w:color w:val="000000"/>
                <w:sz w:val="16"/>
                <w:szCs w:val="16"/>
                <w:lang w:eastAsia="ja-JP"/>
              </w:rPr>
              <w:t xml:space="preserve"> Malaysia</w:t>
            </w:r>
            <w:r w:rsidRPr="001D2B16">
              <w:rPr>
                <w:rFonts w:eastAsia="MS Mincho" w:cs="Arial"/>
                <w:color w:val="000000"/>
                <w:sz w:val="16"/>
                <w:szCs w:val="16"/>
                <w:lang w:eastAsia="ja-JP"/>
              </w:rPr>
              <w:t>, November 2014;</w:t>
            </w:r>
            <w:r>
              <w:rPr>
                <w:rFonts w:eastAsia="MS Mincho" w:cs="Arial" w:hint="eastAsia"/>
                <w:color w:val="000000"/>
                <w:sz w:val="16"/>
                <w:szCs w:val="16"/>
                <w:lang w:eastAsia="ja-JP"/>
              </w:rPr>
              <w:t xml:space="preserve"> </w:t>
            </w:r>
            <w:r w:rsidRPr="001D2B16">
              <w:rPr>
                <w:rFonts w:eastAsia="MS Mincho" w:cs="Arial"/>
                <w:color w:val="000000"/>
                <w:sz w:val="16"/>
                <w:szCs w:val="16"/>
                <w:lang w:eastAsia="ja-JP"/>
              </w:rPr>
              <w:t xml:space="preserve">(ii) WIPO National TISC Training Seminar to be held in </w:t>
            </w:r>
            <w:r>
              <w:rPr>
                <w:rFonts w:eastAsia="MS Mincho" w:cs="Arial" w:hint="eastAsia"/>
                <w:color w:val="000000"/>
                <w:sz w:val="16"/>
                <w:szCs w:val="16"/>
                <w:lang w:eastAsia="ja-JP"/>
              </w:rPr>
              <w:t>Mongolia</w:t>
            </w:r>
            <w:r w:rsidRPr="001D2B16">
              <w:rPr>
                <w:rFonts w:eastAsia="MS Mincho" w:cs="Arial"/>
                <w:color w:val="000000"/>
                <w:sz w:val="16"/>
                <w:szCs w:val="16"/>
                <w:lang w:eastAsia="ja-JP"/>
              </w:rPr>
              <w:t>,</w:t>
            </w:r>
            <w:r>
              <w:rPr>
                <w:rFonts w:eastAsia="MS Mincho" w:cs="Arial" w:hint="eastAsia"/>
                <w:color w:val="000000"/>
                <w:sz w:val="16"/>
                <w:szCs w:val="16"/>
                <w:lang w:eastAsia="ja-JP"/>
              </w:rPr>
              <w:t xml:space="preserve"> in 2015</w:t>
            </w:r>
            <w:r w:rsidRPr="001D2B16">
              <w:rPr>
                <w:rFonts w:eastAsia="MS Mincho" w:cs="Arial"/>
                <w:color w:val="000000"/>
                <w:sz w:val="16"/>
                <w:szCs w:val="16"/>
                <w:lang w:eastAsia="ja-JP"/>
              </w:rPr>
              <w:t xml:space="preserve"> and</w:t>
            </w:r>
            <w:r>
              <w:rPr>
                <w:rFonts w:eastAsia="MS Mincho" w:cs="Arial" w:hint="eastAsia"/>
                <w:color w:val="000000"/>
                <w:sz w:val="16"/>
                <w:szCs w:val="16"/>
                <w:lang w:eastAsia="ja-JP"/>
              </w:rPr>
              <w:t xml:space="preserve"> </w:t>
            </w:r>
            <w:r w:rsidRPr="001D2B16">
              <w:rPr>
                <w:rFonts w:eastAsia="MS Mincho" w:cs="Arial"/>
                <w:color w:val="000000"/>
                <w:sz w:val="16"/>
                <w:szCs w:val="16"/>
                <w:lang w:eastAsia="ja-JP"/>
              </w:rPr>
              <w:t>(iii) Translation into local languages of WIPO patent information search training materials for</w:t>
            </w:r>
            <w:r>
              <w:rPr>
                <w:rFonts w:eastAsia="MS Mincho" w:cs="Arial" w:hint="eastAsia"/>
                <w:color w:val="000000"/>
                <w:sz w:val="16"/>
                <w:szCs w:val="16"/>
                <w:lang w:eastAsia="ja-JP"/>
              </w:rPr>
              <w:t xml:space="preserve"> </w:t>
            </w:r>
            <w:r w:rsidRPr="001D2B16">
              <w:rPr>
                <w:rFonts w:eastAsia="MS Mincho" w:cs="Arial"/>
                <w:color w:val="000000"/>
                <w:sz w:val="16"/>
                <w:szCs w:val="16"/>
                <w:lang w:eastAsia="ja-JP"/>
              </w:rPr>
              <w:t>Bangladesh (Bengali), Cambodia (Khmer), and Viet Nam (Vietnamese)</w:t>
            </w:r>
            <w:r>
              <w:rPr>
                <w:rFonts w:eastAsia="MS Mincho" w:cs="Arial" w:hint="eastAsia"/>
                <w:color w:val="000000"/>
                <w:sz w:val="16"/>
                <w:szCs w:val="16"/>
                <w:lang w:eastAsia="ja-JP"/>
              </w:rPr>
              <w:t xml:space="preserve"> in 2015</w:t>
            </w:r>
            <w:r w:rsidRPr="001D2B16">
              <w:rPr>
                <w:rFonts w:eastAsia="MS Mincho" w:cs="Arial"/>
                <w:color w:val="000000"/>
                <w:sz w:val="16"/>
                <w:szCs w:val="16"/>
                <w:lang w:eastAsia="ja-JP"/>
              </w:rPr>
              <w:t>.</w:t>
            </w:r>
          </w:p>
        </w:tc>
      </w:tr>
    </w:tbl>
    <w:p w:rsidR="0063033D" w:rsidRDefault="0063033D" w:rsidP="008D1891">
      <w:pPr>
        <w:keepNext/>
        <w:keepLines/>
        <w:rPr>
          <w:rFonts w:cs="Arial"/>
          <w:b/>
          <w:szCs w:val="20"/>
        </w:rPr>
      </w:pPr>
    </w:p>
    <w:p w:rsidR="0063033D" w:rsidRDefault="0063033D" w:rsidP="008D1891">
      <w:pPr>
        <w:keepNext/>
        <w:keepLines/>
        <w:rPr>
          <w:rFonts w:cs="Arial"/>
          <w:b/>
          <w:szCs w:val="20"/>
        </w:rPr>
      </w:pPr>
    </w:p>
    <w:p w:rsidR="0063033D" w:rsidRDefault="0063033D" w:rsidP="008D1891">
      <w:pPr>
        <w:rPr>
          <w:rFonts w:cs="Arial"/>
          <w:b/>
          <w:bCs/>
          <w:sz w:val="18"/>
          <w:szCs w:val="18"/>
        </w:rPr>
      </w:pPr>
      <w:r w:rsidRPr="00B83561">
        <w:rPr>
          <w:rFonts w:cs="Arial"/>
          <w:b/>
          <w:sz w:val="18"/>
          <w:szCs w:val="18"/>
        </w:rPr>
        <w:t xml:space="preserve">JAPAN/ INDUSTRIAL PROPERTY Donor </w:t>
      </w:r>
      <w:r w:rsidRPr="00B83561">
        <w:rPr>
          <w:rFonts w:cs="Arial"/>
          <w:b/>
          <w:bCs/>
          <w:sz w:val="18"/>
          <w:szCs w:val="18"/>
        </w:rPr>
        <w:t>Contributions and Expenditure in 201</w:t>
      </w:r>
      <w:r>
        <w:rPr>
          <w:rFonts w:cs="Arial"/>
          <w:b/>
          <w:bCs/>
          <w:sz w:val="18"/>
          <w:szCs w:val="18"/>
        </w:rPr>
        <w:t>4</w:t>
      </w:r>
    </w:p>
    <w:p w:rsidR="0063033D" w:rsidRDefault="0063033D" w:rsidP="008D1891">
      <w:pPr>
        <w:rPr>
          <w:rFonts w:cs="Arial"/>
          <w:b/>
          <w:bCs/>
          <w:sz w:val="18"/>
          <w:szCs w:val="18"/>
        </w:rPr>
      </w:pPr>
    </w:p>
    <w:p w:rsidR="0063033D" w:rsidRPr="00B83561" w:rsidRDefault="0063033D" w:rsidP="008D1891">
      <w:pPr>
        <w:rPr>
          <w:rFonts w:cs="Arial"/>
          <w:b/>
          <w:sz w:val="18"/>
          <w:szCs w:val="18"/>
        </w:rPr>
      </w:pPr>
    </w:p>
    <w:tbl>
      <w:tblPr>
        <w:tblW w:w="9087" w:type="dxa"/>
        <w:tblInd w:w="93" w:type="dxa"/>
        <w:tblLook w:val="04A0" w:firstRow="1" w:lastRow="0" w:firstColumn="1" w:lastColumn="0" w:noHBand="0" w:noVBand="1"/>
      </w:tblPr>
      <w:tblGrid>
        <w:gridCol w:w="2000"/>
        <w:gridCol w:w="1276"/>
        <w:gridCol w:w="1984"/>
        <w:gridCol w:w="1843"/>
        <w:gridCol w:w="1984"/>
      </w:tblGrid>
      <w:tr w:rsidR="0063033D" w:rsidTr="008D1891">
        <w:trPr>
          <w:trHeight w:val="498"/>
        </w:trPr>
        <w:tc>
          <w:tcPr>
            <w:tcW w:w="200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2013</w:t>
            </w:r>
          </w:p>
        </w:tc>
        <w:tc>
          <w:tcPr>
            <w:tcW w:w="1276"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Income 2014</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Expenditure 2014</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Reimbursements</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2014</w:t>
            </w:r>
          </w:p>
        </w:tc>
      </w:tr>
      <w:tr w:rsidR="0063033D" w:rsidTr="008D1891">
        <w:trPr>
          <w:trHeight w:val="562"/>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4,287,471</w:t>
            </w:r>
          </w:p>
        </w:tc>
        <w:tc>
          <w:tcPr>
            <w:tcW w:w="1276"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4,331,080</w:t>
            </w:r>
          </w:p>
        </w:tc>
        <w:tc>
          <w:tcPr>
            <w:tcW w:w="1984"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3,706,216</w:t>
            </w:r>
          </w:p>
        </w:tc>
        <w:tc>
          <w:tcPr>
            <w:tcW w:w="1843"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 </w:t>
            </w:r>
          </w:p>
        </w:tc>
        <w:tc>
          <w:tcPr>
            <w:tcW w:w="1984"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4,912,335</w:t>
            </w:r>
          </w:p>
        </w:tc>
      </w:tr>
    </w:tbl>
    <w:p w:rsidR="0063033D" w:rsidRDefault="0063033D" w:rsidP="008D1891">
      <w:pPr>
        <w:spacing w:before="120"/>
        <w:rPr>
          <w:rFonts w:cs="Arial"/>
          <w:b/>
          <w:szCs w:val="20"/>
        </w:rPr>
      </w:pPr>
    </w:p>
    <w:p w:rsidR="0063033D" w:rsidRDefault="0063033D" w:rsidP="008D1891">
      <w:pPr>
        <w:spacing w:before="120"/>
        <w:rPr>
          <w:rFonts w:cs="Arial"/>
          <w:b/>
          <w:szCs w:val="20"/>
        </w:rPr>
      </w:pPr>
    </w:p>
    <w:p w:rsidR="0063033D" w:rsidRDefault="0063033D" w:rsidP="0024548C">
      <w:pPr>
        <w:keepNext/>
        <w:keepLines/>
        <w:spacing w:before="120"/>
        <w:rPr>
          <w:rFonts w:cs="Arial"/>
          <w:b/>
          <w:szCs w:val="20"/>
        </w:rPr>
      </w:pPr>
      <w:r w:rsidRPr="00660313">
        <w:rPr>
          <w:rFonts w:cs="Arial"/>
          <w:b/>
          <w:szCs w:val="20"/>
        </w:rPr>
        <w:lastRenderedPageBreak/>
        <w:t>JAPAN</w:t>
      </w:r>
      <w:r>
        <w:rPr>
          <w:rFonts w:cs="Arial"/>
          <w:b/>
          <w:szCs w:val="20"/>
        </w:rPr>
        <w:t>/IP/AFRICA-LDCs</w:t>
      </w:r>
    </w:p>
    <w:p w:rsidR="0063033D" w:rsidRDefault="0063033D" w:rsidP="0024548C">
      <w:pPr>
        <w:keepNext/>
        <w:keepLines/>
        <w:rPr>
          <w:rFonts w:cs="Arial"/>
          <w:b/>
          <w:szCs w:val="20"/>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985"/>
        <w:gridCol w:w="4394"/>
      </w:tblGrid>
      <w:tr w:rsidR="0063033D" w:rsidRPr="00774D44" w:rsidTr="008D1891">
        <w:trPr>
          <w:cantSplit/>
          <w:trHeight w:val="315"/>
        </w:trPr>
        <w:tc>
          <w:tcPr>
            <w:tcW w:w="9356" w:type="dxa"/>
            <w:gridSpan w:val="4"/>
            <w:tcBorders>
              <w:top w:val="single" w:sz="4" w:space="0" w:color="000000"/>
              <w:bottom w:val="single" w:sz="4" w:space="0" w:color="000000"/>
            </w:tcBorders>
            <w:shd w:val="clear" w:color="auto" w:fill="CCFFFF"/>
          </w:tcPr>
          <w:p w:rsidR="0063033D" w:rsidRPr="00774D44" w:rsidRDefault="0063033D" w:rsidP="0024548C">
            <w:pPr>
              <w:keepNext/>
              <w:keepLines/>
              <w:tabs>
                <w:tab w:val="left" w:pos="1740"/>
              </w:tabs>
              <w:spacing w:before="120" w:after="120"/>
              <w:ind w:left="1740" w:hanging="1740"/>
              <w:rPr>
                <w:rFonts w:cs="Arial"/>
                <w:color w:val="000000"/>
                <w:sz w:val="16"/>
                <w:szCs w:val="16"/>
              </w:rPr>
            </w:pPr>
            <w:r w:rsidRPr="00712F53">
              <w:rPr>
                <w:rFonts w:cs="Arial"/>
                <w:b/>
                <w:bCs/>
                <w:color w:val="000000"/>
                <w:sz w:val="16"/>
                <w:szCs w:val="16"/>
              </w:rPr>
              <w:t>RESULT</w:t>
            </w:r>
            <w:r w:rsidRPr="00712F53">
              <w:rPr>
                <w:rFonts w:cs="Arial"/>
                <w:bCs/>
                <w:sz w:val="16"/>
                <w:szCs w:val="16"/>
                <w:lang w:val="en-AU"/>
              </w:rPr>
              <w:t>:</w:t>
            </w:r>
            <w:r w:rsidRPr="00712F53">
              <w:rPr>
                <w:rFonts w:cs="Arial"/>
                <w:bCs/>
                <w:sz w:val="16"/>
                <w:szCs w:val="16"/>
                <w:lang w:val="en-AU"/>
              </w:rPr>
              <w:tab/>
            </w:r>
            <w:r w:rsidRPr="004F4ECB">
              <w:rPr>
                <w:rFonts w:cs="Arial"/>
                <w:bCs/>
                <w:sz w:val="16"/>
                <w:szCs w:val="16"/>
                <w:lang w:val="en-AU"/>
              </w:rPr>
              <w:t>III.1. National innovation and IP strategies and plans consistent with national development objectives</w:t>
            </w:r>
          </w:p>
        </w:tc>
      </w:tr>
      <w:tr w:rsidR="0063033D" w:rsidRPr="00774D44" w:rsidTr="008D1891">
        <w:trPr>
          <w:cantSplit/>
          <w:trHeight w:val="402"/>
        </w:trPr>
        <w:tc>
          <w:tcPr>
            <w:tcW w:w="1843" w:type="dxa"/>
            <w:tcBorders>
              <w:top w:val="single" w:sz="4" w:space="0" w:color="000000"/>
            </w:tcBorders>
            <w:vAlign w:val="center"/>
          </w:tcPr>
          <w:p w:rsidR="0063033D" w:rsidRPr="002B7DE5" w:rsidRDefault="0063033D" w:rsidP="0024548C">
            <w:pPr>
              <w:keepNext/>
              <w:keepLines/>
              <w:spacing w:before="120"/>
              <w:rPr>
                <w:rFonts w:cs="Arial"/>
                <w:b/>
                <w:bCs/>
                <w:sz w:val="16"/>
                <w:szCs w:val="16"/>
              </w:rPr>
            </w:pPr>
            <w:r w:rsidRPr="002B7DE5">
              <w:rPr>
                <w:rFonts w:cs="Arial"/>
                <w:b/>
                <w:bCs/>
                <w:sz w:val="16"/>
                <w:szCs w:val="16"/>
              </w:rPr>
              <w:t>Activity</w:t>
            </w:r>
          </w:p>
        </w:tc>
        <w:tc>
          <w:tcPr>
            <w:tcW w:w="1134" w:type="dxa"/>
            <w:tcBorders>
              <w:top w:val="single" w:sz="4" w:space="0" w:color="000000"/>
            </w:tcBorders>
            <w:vAlign w:val="center"/>
          </w:tcPr>
          <w:p w:rsidR="0063033D" w:rsidRPr="002B7DE5" w:rsidRDefault="0063033D" w:rsidP="0024548C">
            <w:pPr>
              <w:keepNext/>
              <w:keepLines/>
              <w:spacing w:before="120"/>
              <w:rPr>
                <w:rFonts w:cs="Arial"/>
                <w:sz w:val="16"/>
                <w:szCs w:val="16"/>
              </w:rPr>
            </w:pPr>
            <w:r w:rsidRPr="002B7DE5">
              <w:rPr>
                <w:rFonts w:cs="Arial"/>
                <w:b/>
                <w:bCs/>
                <w:sz w:val="16"/>
                <w:szCs w:val="16"/>
              </w:rPr>
              <w:t>Date</w:t>
            </w:r>
          </w:p>
        </w:tc>
        <w:tc>
          <w:tcPr>
            <w:tcW w:w="1985" w:type="dxa"/>
            <w:tcBorders>
              <w:top w:val="single" w:sz="4" w:space="0" w:color="000000"/>
            </w:tcBorders>
            <w:vAlign w:val="center"/>
          </w:tcPr>
          <w:p w:rsidR="0063033D" w:rsidRPr="002B7DE5" w:rsidRDefault="0063033D" w:rsidP="0024548C">
            <w:pPr>
              <w:keepNext/>
              <w:keepLines/>
              <w:spacing w:before="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000000"/>
            </w:tcBorders>
            <w:vAlign w:val="center"/>
          </w:tcPr>
          <w:p w:rsidR="0063033D" w:rsidRPr="002B7DE5" w:rsidRDefault="0063033D" w:rsidP="0024548C">
            <w:pPr>
              <w:keepNext/>
              <w:keepLines/>
              <w:spacing w:before="120"/>
              <w:rPr>
                <w:rFonts w:cs="Arial"/>
                <w:sz w:val="16"/>
                <w:szCs w:val="16"/>
              </w:rPr>
            </w:pPr>
            <w:r w:rsidRPr="002B7DE5">
              <w:rPr>
                <w:rFonts w:cs="Arial"/>
                <w:b/>
                <w:bCs/>
                <w:sz w:val="16"/>
                <w:szCs w:val="16"/>
              </w:rPr>
              <w:t>Purpose(s)/Description(s)</w:t>
            </w:r>
          </w:p>
        </w:tc>
      </w:tr>
      <w:tr w:rsidR="0063033D" w:rsidRPr="00774D44" w:rsidTr="008D1891">
        <w:trPr>
          <w:cantSplit/>
          <w:trHeight w:val="315"/>
        </w:trPr>
        <w:tc>
          <w:tcPr>
            <w:tcW w:w="1843" w:type="dxa"/>
          </w:tcPr>
          <w:p w:rsidR="0063033D" w:rsidRDefault="0063033D" w:rsidP="0024548C">
            <w:pPr>
              <w:keepNext/>
              <w:keepLines/>
              <w:autoSpaceDE w:val="0"/>
              <w:autoSpaceDN w:val="0"/>
              <w:adjustRightInd w:val="0"/>
              <w:spacing w:before="120" w:after="120"/>
              <w:rPr>
                <w:rFonts w:cs="Arial"/>
                <w:color w:val="000000"/>
                <w:sz w:val="16"/>
                <w:szCs w:val="16"/>
              </w:rPr>
            </w:pPr>
            <w:r w:rsidRPr="00A25911">
              <w:rPr>
                <w:rFonts w:cs="Arial"/>
                <w:color w:val="000000"/>
                <w:sz w:val="16"/>
                <w:szCs w:val="16"/>
              </w:rPr>
              <w:t>Project for Integrating IP Innovation Policies in Cameroon</w:t>
            </w:r>
          </w:p>
        </w:tc>
        <w:tc>
          <w:tcPr>
            <w:tcW w:w="1134" w:type="dxa"/>
          </w:tcPr>
          <w:p w:rsidR="0063033D" w:rsidRPr="00A12513" w:rsidRDefault="0063033D" w:rsidP="0024548C">
            <w:pPr>
              <w:keepNext/>
              <w:keepLines/>
              <w:autoSpaceDE w:val="0"/>
              <w:autoSpaceDN w:val="0"/>
              <w:adjustRightInd w:val="0"/>
              <w:spacing w:before="120" w:after="120"/>
              <w:rPr>
                <w:rFonts w:cs="Arial"/>
                <w:color w:val="000000"/>
                <w:sz w:val="16"/>
                <w:szCs w:val="16"/>
              </w:rPr>
            </w:pPr>
            <w:r>
              <w:rPr>
                <w:rFonts w:cs="Arial"/>
                <w:color w:val="000000"/>
                <w:sz w:val="16"/>
                <w:szCs w:val="16"/>
              </w:rPr>
              <w:t>January to June 2014</w:t>
            </w:r>
          </w:p>
        </w:tc>
        <w:tc>
          <w:tcPr>
            <w:tcW w:w="1985" w:type="dxa"/>
          </w:tcPr>
          <w:p w:rsidR="0063033D" w:rsidRDefault="0063033D" w:rsidP="0024548C">
            <w:pPr>
              <w:keepNext/>
              <w:keepLines/>
              <w:autoSpaceDE w:val="0"/>
              <w:autoSpaceDN w:val="0"/>
              <w:adjustRightInd w:val="0"/>
              <w:spacing w:before="120" w:after="120"/>
              <w:rPr>
                <w:rFonts w:cs="Arial"/>
                <w:color w:val="000000"/>
                <w:sz w:val="16"/>
                <w:szCs w:val="16"/>
              </w:rPr>
            </w:pPr>
            <w:r w:rsidRPr="00B96505">
              <w:rPr>
                <w:rFonts w:cs="Arial"/>
                <w:color w:val="000000"/>
                <w:sz w:val="16"/>
                <w:szCs w:val="16"/>
              </w:rPr>
              <w:t>Cameroon</w:t>
            </w:r>
          </w:p>
        </w:tc>
        <w:tc>
          <w:tcPr>
            <w:tcW w:w="4394" w:type="dxa"/>
          </w:tcPr>
          <w:p w:rsidR="0063033D" w:rsidRPr="00A12513" w:rsidRDefault="0063033D" w:rsidP="0024548C">
            <w:pPr>
              <w:keepNext/>
              <w:keepLines/>
              <w:autoSpaceDE w:val="0"/>
              <w:autoSpaceDN w:val="0"/>
              <w:adjustRightInd w:val="0"/>
              <w:spacing w:before="120" w:after="120"/>
              <w:rPr>
                <w:rFonts w:cs="Arial"/>
                <w:color w:val="000000"/>
                <w:sz w:val="16"/>
                <w:szCs w:val="16"/>
              </w:rPr>
            </w:pPr>
            <w:r>
              <w:rPr>
                <w:rFonts w:cs="Arial"/>
                <w:color w:val="000000"/>
                <w:sz w:val="16"/>
                <w:szCs w:val="16"/>
              </w:rPr>
              <w:t>To: (</w:t>
            </w:r>
            <w:proofErr w:type="spellStart"/>
            <w:r>
              <w:rPr>
                <w:rFonts w:cs="Arial"/>
                <w:color w:val="000000"/>
                <w:sz w:val="16"/>
                <w:szCs w:val="16"/>
              </w:rPr>
              <w:t>i</w:t>
            </w:r>
            <w:proofErr w:type="spellEnd"/>
            <w:r>
              <w:rPr>
                <w:rFonts w:cs="Arial"/>
                <w:color w:val="000000"/>
                <w:sz w:val="16"/>
                <w:szCs w:val="16"/>
              </w:rPr>
              <w:t>)</w:t>
            </w:r>
            <w:r w:rsidRPr="00771C41">
              <w:rPr>
                <w:rFonts w:cs="Arial"/>
                <w:color w:val="000000"/>
                <w:sz w:val="16"/>
                <w:szCs w:val="16"/>
              </w:rPr>
              <w:t xml:space="preserve"> understand the efforts that have gone into innovation policy making in Cameroon</w:t>
            </w:r>
            <w:r>
              <w:rPr>
                <w:rFonts w:cs="Arial"/>
                <w:color w:val="000000"/>
                <w:sz w:val="16"/>
                <w:szCs w:val="16"/>
              </w:rPr>
              <w:t xml:space="preserve"> and</w:t>
            </w:r>
            <w:r w:rsidRPr="00771C41">
              <w:rPr>
                <w:rFonts w:cs="Arial"/>
                <w:color w:val="000000"/>
                <w:sz w:val="16"/>
                <w:szCs w:val="16"/>
              </w:rPr>
              <w:t xml:space="preserve"> the impact of those efforts on the ground</w:t>
            </w:r>
            <w:r>
              <w:rPr>
                <w:rFonts w:cs="Arial"/>
                <w:color w:val="000000"/>
                <w:sz w:val="16"/>
                <w:szCs w:val="16"/>
              </w:rPr>
              <w:t>; (ii)</w:t>
            </w:r>
            <w:r w:rsidRPr="00771C41">
              <w:rPr>
                <w:rFonts w:cs="Arial"/>
                <w:color w:val="000000"/>
                <w:sz w:val="16"/>
                <w:szCs w:val="16"/>
              </w:rPr>
              <w:t xml:space="preserve"> identify gaps and needs, if any, from an IP perspective</w:t>
            </w:r>
            <w:r>
              <w:rPr>
                <w:rFonts w:cs="Arial"/>
                <w:color w:val="000000"/>
                <w:sz w:val="16"/>
                <w:szCs w:val="16"/>
              </w:rPr>
              <w:t xml:space="preserve">; </w:t>
            </w:r>
            <w:r w:rsidRPr="00771C41">
              <w:rPr>
                <w:rFonts w:cs="Arial"/>
                <w:color w:val="000000"/>
                <w:sz w:val="16"/>
                <w:szCs w:val="16"/>
              </w:rPr>
              <w:t>and</w:t>
            </w:r>
            <w:r>
              <w:rPr>
                <w:rFonts w:cs="Arial"/>
                <w:color w:val="000000"/>
                <w:sz w:val="16"/>
                <w:szCs w:val="16"/>
              </w:rPr>
              <w:t xml:space="preserve"> (iii)</w:t>
            </w:r>
            <w:r w:rsidRPr="00771C41">
              <w:rPr>
                <w:rFonts w:cs="Arial"/>
                <w:color w:val="000000"/>
                <w:sz w:val="16"/>
                <w:szCs w:val="16"/>
              </w:rPr>
              <w:t xml:space="preserve"> make recommendations on integrating the IP actors and the IP system into the innovation system.</w:t>
            </w:r>
          </w:p>
        </w:tc>
      </w:tr>
      <w:tr w:rsidR="0063033D" w:rsidRPr="00774D44" w:rsidTr="008D1891">
        <w:trPr>
          <w:cantSplit/>
          <w:trHeight w:val="315"/>
        </w:trPr>
        <w:tc>
          <w:tcPr>
            <w:tcW w:w="1843" w:type="dxa"/>
          </w:tcPr>
          <w:p w:rsidR="0063033D" w:rsidRPr="00774D44" w:rsidRDefault="0063033D" w:rsidP="008D1891">
            <w:pPr>
              <w:autoSpaceDE w:val="0"/>
              <w:autoSpaceDN w:val="0"/>
              <w:adjustRightInd w:val="0"/>
              <w:spacing w:before="120" w:after="120"/>
              <w:rPr>
                <w:rFonts w:cs="Arial"/>
                <w:color w:val="000000"/>
                <w:sz w:val="16"/>
                <w:szCs w:val="16"/>
              </w:rPr>
            </w:pPr>
            <w:r w:rsidRPr="00916544">
              <w:rPr>
                <w:rFonts w:cs="Arial"/>
                <w:color w:val="000000"/>
                <w:sz w:val="16"/>
                <w:szCs w:val="16"/>
              </w:rPr>
              <w:t>Project for Integrating IP Innovation Policies in Rwanda</w:t>
            </w:r>
          </w:p>
        </w:tc>
        <w:tc>
          <w:tcPr>
            <w:tcW w:w="1134"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February to December 2014</w:t>
            </w:r>
          </w:p>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(Ongoing)</w:t>
            </w:r>
          </w:p>
        </w:tc>
        <w:tc>
          <w:tcPr>
            <w:tcW w:w="1985" w:type="dxa"/>
          </w:tcPr>
          <w:p w:rsidR="0063033D" w:rsidRPr="00774D44" w:rsidRDefault="0063033D" w:rsidP="008D1891">
            <w:pPr>
              <w:autoSpaceDE w:val="0"/>
              <w:autoSpaceDN w:val="0"/>
              <w:adjustRightInd w:val="0"/>
              <w:spacing w:before="120" w:after="120"/>
              <w:rPr>
                <w:rFonts w:cs="Arial"/>
                <w:color w:val="000000"/>
                <w:sz w:val="16"/>
                <w:szCs w:val="16"/>
              </w:rPr>
            </w:pPr>
            <w:r w:rsidRPr="000019C0">
              <w:rPr>
                <w:rFonts w:cs="Arial"/>
                <w:color w:val="000000"/>
                <w:sz w:val="16"/>
                <w:szCs w:val="16"/>
              </w:rPr>
              <w:t>Rwanda</w:t>
            </w:r>
          </w:p>
        </w:tc>
        <w:tc>
          <w:tcPr>
            <w:tcW w:w="4394" w:type="dxa"/>
          </w:tcPr>
          <w:p w:rsidR="0063033D" w:rsidRPr="00774D44" w:rsidRDefault="0063033D" w:rsidP="008D1891">
            <w:pPr>
              <w:autoSpaceDE w:val="0"/>
              <w:autoSpaceDN w:val="0"/>
              <w:adjustRightInd w:val="0"/>
              <w:spacing w:before="120" w:after="120"/>
              <w:rPr>
                <w:rFonts w:cs="Arial"/>
                <w:color w:val="000000"/>
                <w:sz w:val="16"/>
                <w:szCs w:val="16"/>
              </w:rPr>
            </w:pPr>
            <w:r w:rsidRPr="001339B0">
              <w:rPr>
                <w:rFonts w:cs="Arial"/>
                <w:color w:val="000000"/>
                <w:sz w:val="16"/>
                <w:szCs w:val="16"/>
              </w:rPr>
              <w:t>To understand the efforts that have gone into innovation policy making in Rwanda</w:t>
            </w:r>
            <w:r>
              <w:rPr>
                <w:rFonts w:cs="Arial"/>
                <w:color w:val="000000"/>
                <w:sz w:val="16"/>
                <w:szCs w:val="16"/>
              </w:rPr>
              <w:t xml:space="preserve"> and</w:t>
            </w:r>
            <w:r w:rsidRPr="001339B0">
              <w:rPr>
                <w:rFonts w:cs="Arial"/>
                <w:color w:val="000000"/>
                <w:sz w:val="16"/>
                <w:szCs w:val="16"/>
              </w:rPr>
              <w:t xml:space="preserve"> the impact of those efforts on the ground</w:t>
            </w:r>
            <w:r>
              <w:rPr>
                <w:rFonts w:cs="Arial"/>
                <w:color w:val="000000"/>
                <w:sz w:val="16"/>
                <w:szCs w:val="16"/>
              </w:rPr>
              <w:t>; (ii)</w:t>
            </w:r>
            <w:r w:rsidRPr="001339B0">
              <w:rPr>
                <w:rFonts w:cs="Arial"/>
                <w:color w:val="000000"/>
                <w:sz w:val="16"/>
                <w:szCs w:val="16"/>
              </w:rPr>
              <w:t xml:space="preserve"> identify gaps and needs, if any, from an IP perspective</w:t>
            </w:r>
            <w:r>
              <w:rPr>
                <w:rFonts w:cs="Arial"/>
                <w:color w:val="000000"/>
                <w:sz w:val="16"/>
                <w:szCs w:val="16"/>
              </w:rPr>
              <w:t>;</w:t>
            </w:r>
            <w:r w:rsidRPr="001339B0">
              <w:rPr>
                <w:rFonts w:cs="Arial"/>
                <w:color w:val="000000"/>
                <w:sz w:val="16"/>
                <w:szCs w:val="16"/>
              </w:rPr>
              <w:t xml:space="preserve"> and</w:t>
            </w:r>
            <w:r>
              <w:rPr>
                <w:rFonts w:cs="Arial"/>
                <w:color w:val="000000"/>
                <w:sz w:val="16"/>
                <w:szCs w:val="16"/>
              </w:rPr>
              <w:t xml:space="preserve"> (iii)</w:t>
            </w:r>
            <w:r w:rsidRPr="001339B0">
              <w:rPr>
                <w:rFonts w:cs="Arial"/>
                <w:color w:val="000000"/>
                <w:sz w:val="16"/>
                <w:szCs w:val="16"/>
              </w:rPr>
              <w:t xml:space="preserve"> make recommendations on integrating the IP actors and the IP system into the innovation system.</w:t>
            </w:r>
          </w:p>
        </w:tc>
      </w:tr>
      <w:tr w:rsidR="0063033D" w:rsidRPr="00774D44" w:rsidTr="008D1891">
        <w:trPr>
          <w:cantSplit/>
          <w:trHeight w:val="315"/>
        </w:trPr>
        <w:tc>
          <w:tcPr>
            <w:tcW w:w="1843" w:type="dxa"/>
            <w:vAlign w:val="center"/>
          </w:tcPr>
          <w:p w:rsidR="0063033D" w:rsidRPr="002B7DE5" w:rsidRDefault="0063033D" w:rsidP="008D1891">
            <w:pPr>
              <w:keepNext/>
              <w:keepLines/>
              <w:spacing w:before="120"/>
              <w:rPr>
                <w:rFonts w:cs="Arial"/>
                <w:b/>
                <w:bCs/>
                <w:sz w:val="16"/>
                <w:szCs w:val="16"/>
              </w:rPr>
            </w:pPr>
            <w:r w:rsidRPr="002B7DE5">
              <w:rPr>
                <w:rFonts w:cs="Arial"/>
                <w:b/>
                <w:bCs/>
                <w:sz w:val="16"/>
                <w:szCs w:val="16"/>
              </w:rPr>
              <w:t>Activity</w:t>
            </w:r>
          </w:p>
        </w:tc>
        <w:tc>
          <w:tcPr>
            <w:tcW w:w="1134" w:type="dxa"/>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Date</w:t>
            </w:r>
          </w:p>
        </w:tc>
        <w:tc>
          <w:tcPr>
            <w:tcW w:w="1985" w:type="dxa"/>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Purpose(s)/Description(s)</w:t>
            </w:r>
          </w:p>
        </w:tc>
      </w:tr>
      <w:tr w:rsidR="0063033D" w:rsidRPr="00774D44" w:rsidTr="008D1891">
        <w:trPr>
          <w:cantSplit/>
          <w:trHeight w:val="315"/>
        </w:trPr>
        <w:tc>
          <w:tcPr>
            <w:tcW w:w="1843" w:type="dxa"/>
          </w:tcPr>
          <w:p w:rsidR="0063033D" w:rsidRDefault="0063033D" w:rsidP="008D1891">
            <w:pPr>
              <w:autoSpaceDE w:val="0"/>
              <w:autoSpaceDN w:val="0"/>
              <w:adjustRightInd w:val="0"/>
              <w:spacing w:before="120" w:after="120"/>
              <w:rPr>
                <w:rFonts w:cs="Arial"/>
                <w:color w:val="000000"/>
                <w:sz w:val="16"/>
                <w:szCs w:val="16"/>
              </w:rPr>
            </w:pPr>
            <w:r w:rsidRPr="000233CB">
              <w:rPr>
                <w:rFonts w:cs="Arial"/>
                <w:color w:val="000000"/>
                <w:sz w:val="16"/>
                <w:szCs w:val="16"/>
              </w:rPr>
              <w:t>Regional Policy Dialogue on the Importance of the Elaboration and Implementation of National Policies Relating to Intellectual Property and the Promotion of Research and Innovation for Competitiveness</w:t>
            </w:r>
          </w:p>
        </w:tc>
        <w:tc>
          <w:tcPr>
            <w:tcW w:w="1134" w:type="dxa"/>
          </w:tcPr>
          <w:p w:rsidR="0063033D" w:rsidRPr="00A12513" w:rsidRDefault="0063033D" w:rsidP="008D1891">
            <w:pPr>
              <w:autoSpaceDE w:val="0"/>
              <w:autoSpaceDN w:val="0"/>
              <w:adjustRightInd w:val="0"/>
              <w:spacing w:before="120" w:after="120"/>
              <w:rPr>
                <w:rFonts w:cs="Arial"/>
                <w:color w:val="000000"/>
                <w:sz w:val="16"/>
                <w:szCs w:val="16"/>
              </w:rPr>
            </w:pPr>
            <w:r w:rsidRPr="000233CB">
              <w:rPr>
                <w:rFonts w:cs="Arial"/>
                <w:color w:val="000000"/>
                <w:sz w:val="16"/>
                <w:szCs w:val="16"/>
              </w:rPr>
              <w:t>October 21 to 23, 2014</w:t>
            </w:r>
          </w:p>
        </w:tc>
        <w:tc>
          <w:tcPr>
            <w:tcW w:w="1985"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Morocco/                     </w:t>
            </w:r>
            <w:r w:rsidRPr="000233CB">
              <w:rPr>
                <w:rFonts w:cs="Arial"/>
                <w:color w:val="000000"/>
                <w:sz w:val="16"/>
                <w:szCs w:val="16"/>
              </w:rPr>
              <w:t>37 participants from Burkina Faso, Cameroon, Congo, Egypt, Gabon, Ghana, Kenya, Morocco, Senegal, Tunisia</w:t>
            </w:r>
            <w:r>
              <w:rPr>
                <w:rFonts w:cs="Arial"/>
                <w:color w:val="000000"/>
                <w:sz w:val="16"/>
                <w:szCs w:val="16"/>
              </w:rPr>
              <w:t xml:space="preserve"> and United Republic of </w:t>
            </w:r>
            <w:r w:rsidRPr="000233CB">
              <w:rPr>
                <w:rFonts w:cs="Arial"/>
                <w:color w:val="000000"/>
                <w:sz w:val="16"/>
                <w:szCs w:val="16"/>
              </w:rPr>
              <w:t>Tanzania</w:t>
            </w:r>
          </w:p>
        </w:tc>
        <w:tc>
          <w:tcPr>
            <w:tcW w:w="4394" w:type="dxa"/>
          </w:tcPr>
          <w:p w:rsidR="0063033D" w:rsidRPr="00A12513" w:rsidRDefault="0063033D" w:rsidP="008D1891">
            <w:pPr>
              <w:autoSpaceDE w:val="0"/>
              <w:autoSpaceDN w:val="0"/>
              <w:adjustRightInd w:val="0"/>
              <w:spacing w:before="120" w:after="120"/>
              <w:rPr>
                <w:rFonts w:cs="Arial"/>
                <w:color w:val="000000"/>
                <w:sz w:val="16"/>
                <w:szCs w:val="16"/>
              </w:rPr>
            </w:pPr>
            <w:r w:rsidRPr="003B741B">
              <w:rPr>
                <w:rFonts w:cs="Arial"/>
                <w:color w:val="000000"/>
                <w:sz w:val="16"/>
                <w:szCs w:val="16"/>
              </w:rPr>
              <w:t>To</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w:t>
            </w:r>
            <w:r w:rsidRPr="003B741B">
              <w:rPr>
                <w:rFonts w:cs="Arial"/>
                <w:color w:val="000000"/>
                <w:sz w:val="16"/>
                <w:szCs w:val="16"/>
              </w:rPr>
              <w:t xml:space="preserve"> provide a platform for discussion and exchange of national experiences highlight</w:t>
            </w:r>
            <w:r>
              <w:rPr>
                <w:rFonts w:cs="Arial"/>
                <w:color w:val="000000"/>
                <w:sz w:val="16"/>
                <w:szCs w:val="16"/>
              </w:rPr>
              <w:t>ing</w:t>
            </w:r>
            <w:r w:rsidRPr="003B741B">
              <w:rPr>
                <w:rFonts w:cs="Arial"/>
                <w:color w:val="000000"/>
                <w:sz w:val="16"/>
                <w:szCs w:val="16"/>
              </w:rPr>
              <w:t xml:space="preserve"> the importance of intellectual property for the industrial and commercial sector</w:t>
            </w:r>
            <w:r>
              <w:rPr>
                <w:rFonts w:cs="Arial"/>
                <w:color w:val="000000"/>
                <w:sz w:val="16"/>
                <w:szCs w:val="16"/>
              </w:rPr>
              <w:t>s;</w:t>
            </w:r>
            <w:r w:rsidRPr="003B741B">
              <w:rPr>
                <w:rFonts w:cs="Arial"/>
                <w:color w:val="000000"/>
                <w:sz w:val="16"/>
                <w:szCs w:val="16"/>
              </w:rPr>
              <w:t xml:space="preserve"> and</w:t>
            </w:r>
            <w:r>
              <w:rPr>
                <w:rFonts w:cs="Arial"/>
                <w:color w:val="000000"/>
                <w:sz w:val="16"/>
                <w:szCs w:val="16"/>
              </w:rPr>
              <w:t xml:space="preserve"> (ii)</w:t>
            </w:r>
            <w:r w:rsidRPr="003B741B">
              <w:rPr>
                <w:rFonts w:cs="Arial"/>
                <w:color w:val="000000"/>
                <w:sz w:val="16"/>
                <w:szCs w:val="16"/>
              </w:rPr>
              <w:t xml:space="preserve"> </w:t>
            </w:r>
            <w:r w:rsidRPr="00BD521C">
              <w:rPr>
                <w:rFonts w:cs="Arial"/>
                <w:color w:val="000000"/>
                <w:sz w:val="16"/>
                <w:szCs w:val="16"/>
              </w:rPr>
              <w:t>encourage</w:t>
            </w:r>
            <w:r>
              <w:rPr>
                <w:rFonts w:cs="Arial"/>
                <w:color w:val="000000"/>
                <w:sz w:val="16"/>
                <w:szCs w:val="16"/>
              </w:rPr>
              <w:t xml:space="preserve"> integration of</w:t>
            </w:r>
            <w:r w:rsidRPr="00BD521C">
              <w:rPr>
                <w:rFonts w:cs="Arial"/>
                <w:color w:val="000000"/>
                <w:sz w:val="16"/>
                <w:szCs w:val="16"/>
              </w:rPr>
              <w:t xml:space="preserve"> national </w:t>
            </w:r>
            <w:r>
              <w:rPr>
                <w:rFonts w:cs="Arial"/>
                <w:color w:val="000000"/>
                <w:sz w:val="16"/>
                <w:szCs w:val="16"/>
              </w:rPr>
              <w:t xml:space="preserve">IP </w:t>
            </w:r>
            <w:r w:rsidRPr="00BD521C">
              <w:rPr>
                <w:rFonts w:cs="Arial"/>
                <w:color w:val="000000"/>
                <w:sz w:val="16"/>
                <w:szCs w:val="16"/>
              </w:rPr>
              <w:t xml:space="preserve">policies and strategies </w:t>
            </w:r>
            <w:r>
              <w:rPr>
                <w:rFonts w:cs="Arial"/>
                <w:color w:val="000000"/>
                <w:sz w:val="16"/>
                <w:szCs w:val="16"/>
              </w:rPr>
              <w:t>to</w:t>
            </w:r>
            <w:r w:rsidRPr="00BD521C">
              <w:rPr>
                <w:rFonts w:cs="Arial"/>
                <w:color w:val="000000"/>
                <w:sz w:val="16"/>
                <w:szCs w:val="16"/>
              </w:rPr>
              <w:t xml:space="preserve"> promot</w:t>
            </w:r>
            <w:r>
              <w:rPr>
                <w:rFonts w:cs="Arial"/>
                <w:color w:val="000000"/>
                <w:sz w:val="16"/>
                <w:szCs w:val="16"/>
              </w:rPr>
              <w:t>e</w:t>
            </w:r>
            <w:r w:rsidRPr="00BD521C">
              <w:rPr>
                <w:rFonts w:cs="Arial"/>
                <w:color w:val="000000"/>
                <w:sz w:val="16"/>
                <w:szCs w:val="16"/>
              </w:rPr>
              <w:t xml:space="preserve"> research and innovation for the competitiveness of industries.</w:t>
            </w:r>
          </w:p>
        </w:tc>
      </w:tr>
      <w:tr w:rsidR="0063033D" w:rsidRPr="00774D44" w:rsidTr="008D1891">
        <w:trPr>
          <w:cantSplit/>
          <w:trHeight w:val="315"/>
        </w:trPr>
        <w:tc>
          <w:tcPr>
            <w:tcW w:w="9356" w:type="dxa"/>
            <w:gridSpan w:val="4"/>
            <w:tcBorders>
              <w:top w:val="single" w:sz="4" w:space="0" w:color="000000"/>
              <w:bottom w:val="single" w:sz="4" w:space="0" w:color="auto"/>
            </w:tcBorders>
            <w:shd w:val="clear" w:color="auto" w:fill="CCFFFF"/>
          </w:tcPr>
          <w:p w:rsidR="0063033D" w:rsidRPr="00774D44" w:rsidRDefault="0063033D" w:rsidP="008D1891">
            <w:pPr>
              <w:keepNext/>
              <w:keepLines/>
              <w:tabs>
                <w:tab w:val="left" w:pos="1740"/>
              </w:tabs>
              <w:spacing w:before="120" w:after="120"/>
              <w:ind w:left="1740" w:hanging="1740"/>
              <w:rPr>
                <w:rFonts w:cs="Arial"/>
                <w:color w:val="000000"/>
                <w:sz w:val="16"/>
                <w:szCs w:val="16"/>
              </w:rPr>
            </w:pPr>
            <w:r w:rsidRPr="00712F53">
              <w:rPr>
                <w:rFonts w:cs="Arial"/>
                <w:b/>
                <w:bCs/>
                <w:color w:val="000000"/>
                <w:sz w:val="16"/>
                <w:szCs w:val="16"/>
              </w:rPr>
              <w:t>RESULT</w:t>
            </w:r>
            <w:r w:rsidRPr="00712F53">
              <w:rPr>
                <w:rFonts w:cs="Arial"/>
                <w:bCs/>
                <w:sz w:val="16"/>
                <w:szCs w:val="16"/>
                <w:lang w:val="en-AU"/>
              </w:rPr>
              <w:t>:</w:t>
            </w:r>
            <w:r w:rsidRPr="00712F53">
              <w:rPr>
                <w:rFonts w:cs="Arial"/>
                <w:bCs/>
                <w:sz w:val="16"/>
                <w:szCs w:val="16"/>
                <w:lang w:val="en-AU"/>
              </w:rPr>
              <w:tab/>
            </w:r>
            <w:r w:rsidRPr="009F377C">
              <w:rPr>
                <w:rFonts w:cs="Arial"/>
                <w:bCs/>
                <w:sz w:val="16"/>
                <w:szCs w:val="16"/>
                <w:lang w:val="en-AU"/>
              </w:rPr>
              <w:t>III.2. Enhanced human resource capacities able to deal with the broad range of requirements for the effective use of IP for development in developing countries, LDCs and countries with economies in transition</w:t>
            </w:r>
          </w:p>
        </w:tc>
      </w:tr>
      <w:tr w:rsidR="0063033D" w:rsidRPr="00774D44" w:rsidTr="008D1891">
        <w:trPr>
          <w:cantSplit/>
          <w:trHeight w:val="429"/>
        </w:trPr>
        <w:tc>
          <w:tcPr>
            <w:tcW w:w="1843" w:type="dxa"/>
            <w:tcBorders>
              <w:top w:val="single" w:sz="4" w:space="0" w:color="auto"/>
              <w:left w:val="single" w:sz="4" w:space="0" w:color="auto"/>
              <w:bottom w:val="nil"/>
            </w:tcBorders>
            <w:vAlign w:val="center"/>
          </w:tcPr>
          <w:p w:rsidR="0063033D" w:rsidRPr="002B7DE5" w:rsidRDefault="0063033D" w:rsidP="008D1891">
            <w:pPr>
              <w:keepNext/>
              <w:keepLines/>
              <w:spacing w:before="120"/>
              <w:rPr>
                <w:rFonts w:cs="Arial"/>
                <w:b/>
                <w:bCs/>
                <w:sz w:val="16"/>
                <w:szCs w:val="16"/>
              </w:rPr>
            </w:pPr>
            <w:r w:rsidRPr="002B7DE5">
              <w:rPr>
                <w:rFonts w:cs="Arial"/>
                <w:b/>
                <w:bCs/>
                <w:sz w:val="16"/>
                <w:szCs w:val="16"/>
              </w:rPr>
              <w:t>Activity</w:t>
            </w:r>
          </w:p>
        </w:tc>
        <w:tc>
          <w:tcPr>
            <w:tcW w:w="1134" w:type="dxa"/>
            <w:tcBorders>
              <w:top w:val="single" w:sz="4" w:space="0" w:color="auto"/>
              <w:bottom w:val="nil"/>
            </w:tcBorders>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Date</w:t>
            </w:r>
          </w:p>
        </w:tc>
        <w:tc>
          <w:tcPr>
            <w:tcW w:w="1985" w:type="dxa"/>
            <w:tcBorders>
              <w:top w:val="single" w:sz="4" w:space="0" w:color="auto"/>
              <w:bottom w:val="nil"/>
            </w:tcBorders>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auto"/>
              <w:bottom w:val="nil"/>
              <w:right w:val="single" w:sz="4" w:space="0" w:color="auto"/>
            </w:tcBorders>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Purpose(s)/Description(s)</w:t>
            </w:r>
          </w:p>
        </w:tc>
      </w:tr>
      <w:tr w:rsidR="0063033D" w:rsidRPr="00774D44" w:rsidTr="008D1891">
        <w:trPr>
          <w:cantSplit/>
          <w:trHeight w:val="315"/>
        </w:trPr>
        <w:tc>
          <w:tcPr>
            <w:tcW w:w="1843" w:type="dxa"/>
            <w:tcBorders>
              <w:top w:val="nil"/>
              <w:left w:val="single" w:sz="4" w:space="0" w:color="auto"/>
              <w:bottom w:val="nil"/>
            </w:tcBorders>
          </w:tcPr>
          <w:p w:rsidR="0063033D" w:rsidRDefault="0063033D" w:rsidP="008D1891">
            <w:pPr>
              <w:autoSpaceDE w:val="0"/>
              <w:autoSpaceDN w:val="0"/>
              <w:adjustRightInd w:val="0"/>
              <w:spacing w:before="120" w:after="120"/>
              <w:rPr>
                <w:rFonts w:cs="Arial"/>
                <w:color w:val="000000"/>
                <w:sz w:val="16"/>
                <w:szCs w:val="16"/>
              </w:rPr>
            </w:pPr>
            <w:r w:rsidRPr="0093236B">
              <w:rPr>
                <w:rFonts w:cs="Arial"/>
                <w:color w:val="000000"/>
                <w:sz w:val="16"/>
                <w:szCs w:val="16"/>
              </w:rPr>
              <w:t>IP Examination (Basic) - Patent Training Course on Industrial Property Examination (Basic Program)</w:t>
            </w:r>
          </w:p>
        </w:tc>
        <w:tc>
          <w:tcPr>
            <w:tcW w:w="1134" w:type="dxa"/>
            <w:tcBorders>
              <w:top w:val="nil"/>
              <w:bottom w:val="nil"/>
            </w:tcBorders>
          </w:tcPr>
          <w:p w:rsidR="0063033D" w:rsidRPr="00A12513" w:rsidRDefault="0063033D" w:rsidP="008D1891">
            <w:pPr>
              <w:autoSpaceDE w:val="0"/>
              <w:autoSpaceDN w:val="0"/>
              <w:adjustRightInd w:val="0"/>
              <w:spacing w:before="120" w:after="120"/>
              <w:rPr>
                <w:rFonts w:cs="Arial"/>
                <w:color w:val="000000"/>
                <w:sz w:val="16"/>
                <w:szCs w:val="16"/>
              </w:rPr>
            </w:pPr>
            <w:r w:rsidRPr="004B1AE7">
              <w:rPr>
                <w:rFonts w:cs="Arial"/>
                <w:color w:val="000000"/>
                <w:sz w:val="16"/>
                <w:szCs w:val="16"/>
              </w:rPr>
              <w:t>January 20 to 31, 2014</w:t>
            </w:r>
          </w:p>
        </w:tc>
        <w:tc>
          <w:tcPr>
            <w:tcW w:w="1985" w:type="dxa"/>
            <w:tcBorders>
              <w:top w:val="nil"/>
              <w:bottom w:val="nil"/>
            </w:tcBorders>
          </w:tcPr>
          <w:p w:rsidR="0063033D" w:rsidRDefault="0063033D" w:rsidP="008D1891">
            <w:pPr>
              <w:autoSpaceDE w:val="0"/>
              <w:autoSpaceDN w:val="0"/>
              <w:adjustRightInd w:val="0"/>
              <w:spacing w:before="120" w:after="120"/>
              <w:rPr>
                <w:rFonts w:cs="Arial"/>
                <w:color w:val="000000"/>
                <w:sz w:val="16"/>
                <w:szCs w:val="16"/>
              </w:rPr>
            </w:pPr>
            <w:r w:rsidRPr="00EC6D59">
              <w:rPr>
                <w:rFonts w:cs="Arial"/>
                <w:color w:val="000000"/>
                <w:sz w:val="16"/>
                <w:szCs w:val="16"/>
              </w:rPr>
              <w:t xml:space="preserve">Japan/         </w:t>
            </w:r>
            <w:r>
              <w:rPr>
                <w:rFonts w:cs="Arial"/>
                <w:color w:val="000000"/>
                <w:sz w:val="16"/>
                <w:szCs w:val="16"/>
              </w:rPr>
              <w:t xml:space="preserve">       </w:t>
            </w:r>
            <w:r w:rsidRPr="00EC6D59">
              <w:rPr>
                <w:rFonts w:cs="Arial"/>
                <w:color w:val="000000"/>
                <w:sz w:val="16"/>
                <w:szCs w:val="16"/>
              </w:rPr>
              <w:t>Morocco</w:t>
            </w:r>
          </w:p>
        </w:tc>
        <w:tc>
          <w:tcPr>
            <w:tcW w:w="4394" w:type="dxa"/>
            <w:tcBorders>
              <w:top w:val="nil"/>
              <w:bottom w:val="nil"/>
              <w:right w:val="single" w:sz="4" w:space="0" w:color="auto"/>
            </w:tcBorders>
          </w:tcPr>
          <w:p w:rsidR="0063033D" w:rsidRPr="00A12513" w:rsidRDefault="0063033D" w:rsidP="008D1891">
            <w:pPr>
              <w:autoSpaceDE w:val="0"/>
              <w:autoSpaceDN w:val="0"/>
              <w:adjustRightInd w:val="0"/>
              <w:spacing w:before="120" w:after="120"/>
              <w:rPr>
                <w:rFonts w:cs="Arial"/>
                <w:color w:val="000000"/>
                <w:sz w:val="16"/>
                <w:szCs w:val="16"/>
              </w:rPr>
            </w:pPr>
            <w:r w:rsidRPr="006E3C30">
              <w:rPr>
                <w:rFonts w:cs="Arial"/>
                <w:color w:val="000000"/>
                <w:sz w:val="16"/>
                <w:szCs w:val="16"/>
              </w:rPr>
              <w:t xml:space="preserve">To assist participants </w:t>
            </w:r>
            <w:r>
              <w:rPr>
                <w:rFonts w:cs="Arial"/>
                <w:color w:val="000000"/>
                <w:sz w:val="16"/>
                <w:szCs w:val="16"/>
              </w:rPr>
              <w:t>in</w:t>
            </w:r>
            <w:r w:rsidRPr="006E3C30">
              <w:rPr>
                <w:rFonts w:cs="Arial"/>
                <w:color w:val="000000"/>
                <w:sz w:val="16"/>
                <w:szCs w:val="16"/>
              </w:rPr>
              <w:t xml:space="preserve"> acquir</w:t>
            </w:r>
            <w:r>
              <w:rPr>
                <w:rFonts w:cs="Arial"/>
                <w:color w:val="000000"/>
                <w:sz w:val="16"/>
                <w:szCs w:val="16"/>
              </w:rPr>
              <w:t>ing</w:t>
            </w:r>
            <w:r w:rsidRPr="006E3C30">
              <w:rPr>
                <w:rFonts w:cs="Arial"/>
                <w:color w:val="000000"/>
                <w:sz w:val="16"/>
                <w:szCs w:val="16"/>
              </w:rPr>
              <w:t xml:space="preserve"> a basic knowledge of laws and substantive examination procedures in the field of examination of patent.</w:t>
            </w:r>
          </w:p>
        </w:tc>
      </w:tr>
      <w:tr w:rsidR="0063033D" w:rsidRPr="00774D44" w:rsidTr="008D1891">
        <w:trPr>
          <w:cantSplit/>
          <w:trHeight w:val="315"/>
        </w:trPr>
        <w:tc>
          <w:tcPr>
            <w:tcW w:w="1843" w:type="dxa"/>
            <w:tcBorders>
              <w:top w:val="nil"/>
              <w:left w:val="single" w:sz="4" w:space="0" w:color="auto"/>
              <w:bottom w:val="nil"/>
            </w:tcBorders>
          </w:tcPr>
          <w:p w:rsidR="0063033D" w:rsidRDefault="0063033D" w:rsidP="008D1891">
            <w:pPr>
              <w:autoSpaceDE w:val="0"/>
              <w:autoSpaceDN w:val="0"/>
              <w:adjustRightInd w:val="0"/>
              <w:spacing w:before="120" w:after="120"/>
              <w:rPr>
                <w:rFonts w:cs="Arial"/>
                <w:color w:val="000000"/>
                <w:sz w:val="16"/>
                <w:szCs w:val="16"/>
              </w:rPr>
            </w:pPr>
            <w:r w:rsidRPr="00B02137">
              <w:rPr>
                <w:rFonts w:cs="Arial"/>
                <w:color w:val="000000"/>
                <w:sz w:val="16"/>
                <w:szCs w:val="16"/>
              </w:rPr>
              <w:t>IP Examination (Basic) - Trademark Training Course on Industrial Property Examination (Basic Program)</w:t>
            </w:r>
          </w:p>
        </w:tc>
        <w:tc>
          <w:tcPr>
            <w:tcW w:w="1134" w:type="dxa"/>
            <w:tcBorders>
              <w:top w:val="nil"/>
              <w:bottom w:val="nil"/>
            </w:tcBorders>
          </w:tcPr>
          <w:p w:rsidR="0063033D" w:rsidRPr="00A12513" w:rsidRDefault="0063033D" w:rsidP="008D1891">
            <w:pPr>
              <w:autoSpaceDE w:val="0"/>
              <w:autoSpaceDN w:val="0"/>
              <w:adjustRightInd w:val="0"/>
              <w:spacing w:before="120" w:after="120"/>
              <w:rPr>
                <w:rFonts w:cs="Arial"/>
                <w:color w:val="000000"/>
                <w:sz w:val="16"/>
                <w:szCs w:val="16"/>
              </w:rPr>
            </w:pPr>
            <w:r w:rsidRPr="00634DB1">
              <w:rPr>
                <w:rFonts w:cs="Arial"/>
                <w:color w:val="000000"/>
                <w:sz w:val="16"/>
                <w:szCs w:val="16"/>
              </w:rPr>
              <w:t>January 20 to 31, 2014</w:t>
            </w:r>
          </w:p>
        </w:tc>
        <w:tc>
          <w:tcPr>
            <w:tcW w:w="1985" w:type="dxa"/>
            <w:tcBorders>
              <w:top w:val="nil"/>
              <w:bottom w:val="nil"/>
            </w:tcBorders>
          </w:tcPr>
          <w:p w:rsidR="0063033D" w:rsidRDefault="0063033D" w:rsidP="008D1891">
            <w:pPr>
              <w:autoSpaceDE w:val="0"/>
              <w:autoSpaceDN w:val="0"/>
              <w:adjustRightInd w:val="0"/>
              <w:spacing w:before="120" w:after="120"/>
              <w:rPr>
                <w:rFonts w:cs="Arial"/>
                <w:color w:val="000000"/>
                <w:sz w:val="16"/>
                <w:szCs w:val="16"/>
              </w:rPr>
            </w:pPr>
            <w:r w:rsidRPr="00E710B7">
              <w:rPr>
                <w:rFonts w:cs="Arial"/>
                <w:color w:val="000000"/>
                <w:sz w:val="16"/>
                <w:szCs w:val="16"/>
              </w:rPr>
              <w:t xml:space="preserve">Japan/         </w:t>
            </w:r>
            <w:r>
              <w:rPr>
                <w:rFonts w:cs="Arial"/>
                <w:color w:val="000000"/>
                <w:sz w:val="16"/>
                <w:szCs w:val="16"/>
              </w:rPr>
              <w:t xml:space="preserve">          </w:t>
            </w:r>
            <w:r w:rsidRPr="00E710B7">
              <w:rPr>
                <w:rFonts w:cs="Arial"/>
                <w:color w:val="000000"/>
                <w:sz w:val="16"/>
                <w:szCs w:val="16"/>
              </w:rPr>
              <w:t>Ghana and Nigeria</w:t>
            </w:r>
          </w:p>
        </w:tc>
        <w:tc>
          <w:tcPr>
            <w:tcW w:w="4394" w:type="dxa"/>
            <w:tcBorders>
              <w:top w:val="nil"/>
              <w:bottom w:val="nil"/>
              <w:right w:val="single" w:sz="4" w:space="0" w:color="auto"/>
            </w:tcBorders>
          </w:tcPr>
          <w:p w:rsidR="0063033D" w:rsidRPr="00A12513" w:rsidRDefault="0063033D" w:rsidP="008D1891">
            <w:pPr>
              <w:autoSpaceDE w:val="0"/>
              <w:autoSpaceDN w:val="0"/>
              <w:adjustRightInd w:val="0"/>
              <w:spacing w:before="120" w:after="120"/>
              <w:rPr>
                <w:rFonts w:cs="Arial"/>
                <w:color w:val="000000"/>
                <w:sz w:val="16"/>
                <w:szCs w:val="16"/>
              </w:rPr>
            </w:pPr>
            <w:r w:rsidRPr="009A1451">
              <w:rPr>
                <w:rFonts w:cs="Arial"/>
                <w:color w:val="000000"/>
                <w:sz w:val="16"/>
                <w:szCs w:val="16"/>
              </w:rPr>
              <w:t xml:space="preserve">To assist participants </w:t>
            </w:r>
            <w:r>
              <w:rPr>
                <w:rFonts w:cs="Arial"/>
                <w:color w:val="000000"/>
                <w:sz w:val="16"/>
                <w:szCs w:val="16"/>
              </w:rPr>
              <w:t>in</w:t>
            </w:r>
            <w:r w:rsidRPr="009A1451">
              <w:rPr>
                <w:rFonts w:cs="Arial"/>
                <w:color w:val="000000"/>
                <w:sz w:val="16"/>
                <w:szCs w:val="16"/>
              </w:rPr>
              <w:t xml:space="preserve"> acquir</w:t>
            </w:r>
            <w:r>
              <w:rPr>
                <w:rFonts w:cs="Arial"/>
                <w:color w:val="000000"/>
                <w:sz w:val="16"/>
                <w:szCs w:val="16"/>
              </w:rPr>
              <w:t>ing</w:t>
            </w:r>
            <w:r w:rsidRPr="009A1451">
              <w:rPr>
                <w:rFonts w:cs="Arial"/>
                <w:color w:val="000000"/>
                <w:sz w:val="16"/>
                <w:szCs w:val="16"/>
              </w:rPr>
              <w:t xml:space="preserve"> a basic knowledge of laws and substantive examination procedures in the field of examination of trademark.</w:t>
            </w:r>
          </w:p>
        </w:tc>
      </w:tr>
      <w:tr w:rsidR="0063033D" w:rsidRPr="00774D44" w:rsidTr="008D1891">
        <w:trPr>
          <w:cantSplit/>
          <w:trHeight w:val="315"/>
        </w:trPr>
        <w:tc>
          <w:tcPr>
            <w:tcW w:w="1843" w:type="dxa"/>
            <w:tcBorders>
              <w:top w:val="nil"/>
              <w:left w:val="single" w:sz="4" w:space="0" w:color="auto"/>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sidRPr="007E1222">
              <w:rPr>
                <w:rFonts w:cs="Arial"/>
                <w:color w:val="000000"/>
                <w:sz w:val="16"/>
                <w:szCs w:val="16"/>
              </w:rPr>
              <w:t>Training Course on the IP Management and the Formulation and Implementation of Results-Based Industrial Property Management of IP Offices</w:t>
            </w:r>
          </w:p>
        </w:tc>
        <w:tc>
          <w:tcPr>
            <w:tcW w:w="1134" w:type="dxa"/>
            <w:tcBorders>
              <w:top w:val="nil"/>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sidRPr="00E907A6">
              <w:rPr>
                <w:rFonts w:cs="Arial"/>
                <w:color w:val="000000"/>
                <w:sz w:val="16"/>
                <w:szCs w:val="16"/>
              </w:rPr>
              <w:t>January 29 to February 5, 2014</w:t>
            </w:r>
          </w:p>
        </w:tc>
        <w:tc>
          <w:tcPr>
            <w:tcW w:w="1985" w:type="dxa"/>
            <w:tcBorders>
              <w:top w:val="nil"/>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sidRPr="00DA27B2">
              <w:rPr>
                <w:rFonts w:cs="Arial"/>
                <w:color w:val="000000"/>
                <w:sz w:val="16"/>
                <w:szCs w:val="16"/>
              </w:rPr>
              <w:t xml:space="preserve">Japan/          </w:t>
            </w:r>
            <w:r>
              <w:rPr>
                <w:rFonts w:cs="Arial"/>
                <w:color w:val="000000"/>
                <w:sz w:val="16"/>
                <w:szCs w:val="16"/>
              </w:rPr>
              <w:t xml:space="preserve">          </w:t>
            </w:r>
            <w:r w:rsidRPr="00DA27B2">
              <w:rPr>
                <w:rFonts w:cs="Arial"/>
                <w:color w:val="000000"/>
                <w:sz w:val="16"/>
                <w:szCs w:val="16"/>
              </w:rPr>
              <w:t>Egypt and Kenya</w:t>
            </w:r>
          </w:p>
        </w:tc>
        <w:tc>
          <w:tcPr>
            <w:tcW w:w="4394" w:type="dxa"/>
            <w:tcBorders>
              <w:top w:val="nil"/>
              <w:bottom w:val="nil"/>
              <w:right w:val="single" w:sz="4" w:space="0" w:color="auto"/>
            </w:tcBorders>
          </w:tcPr>
          <w:p w:rsidR="0063033D" w:rsidRPr="00774D44" w:rsidRDefault="0063033D" w:rsidP="008D1891">
            <w:pPr>
              <w:autoSpaceDE w:val="0"/>
              <w:autoSpaceDN w:val="0"/>
              <w:adjustRightInd w:val="0"/>
              <w:spacing w:before="120" w:after="120"/>
              <w:rPr>
                <w:rFonts w:cs="Arial"/>
                <w:color w:val="000000"/>
                <w:sz w:val="16"/>
                <w:szCs w:val="16"/>
              </w:rPr>
            </w:pPr>
            <w:r w:rsidRPr="00D8274E">
              <w:rPr>
                <w:rFonts w:cs="Arial"/>
                <w:color w:val="000000"/>
                <w:sz w:val="16"/>
                <w:szCs w:val="16"/>
              </w:rPr>
              <w:t>To</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w:t>
            </w:r>
            <w:r w:rsidRPr="00D8274E">
              <w:rPr>
                <w:rFonts w:cs="Arial"/>
                <w:color w:val="000000"/>
                <w:sz w:val="16"/>
                <w:szCs w:val="16"/>
              </w:rPr>
              <w:t xml:space="preserve"> increase the knowledge of participants of modern IP management practices; and</w:t>
            </w:r>
            <w:r>
              <w:rPr>
                <w:rFonts w:cs="Arial"/>
                <w:color w:val="000000"/>
                <w:sz w:val="16"/>
                <w:szCs w:val="16"/>
              </w:rPr>
              <w:t xml:space="preserve"> (ii)</w:t>
            </w:r>
            <w:r w:rsidRPr="00D8274E">
              <w:rPr>
                <w:rFonts w:cs="Arial"/>
                <w:color w:val="000000"/>
                <w:sz w:val="16"/>
                <w:szCs w:val="16"/>
              </w:rPr>
              <w:t xml:space="preserve"> enhance the capacity of participants to formulate, implement and evaluate IP Office plans that are time-bound, result</w:t>
            </w:r>
            <w:r>
              <w:rPr>
                <w:rFonts w:cs="Arial"/>
                <w:color w:val="000000"/>
                <w:sz w:val="16"/>
                <w:szCs w:val="16"/>
              </w:rPr>
              <w:t>s</w:t>
            </w:r>
            <w:r w:rsidRPr="00D8274E">
              <w:rPr>
                <w:rFonts w:cs="Arial"/>
                <w:color w:val="000000"/>
                <w:sz w:val="16"/>
                <w:szCs w:val="16"/>
              </w:rPr>
              <w:t>-oriented and have a measurable impact.</w:t>
            </w:r>
          </w:p>
        </w:tc>
      </w:tr>
      <w:tr w:rsidR="0063033D" w:rsidRPr="00774D44" w:rsidTr="009375B7">
        <w:trPr>
          <w:cantSplit/>
          <w:trHeight w:val="315"/>
        </w:trPr>
        <w:tc>
          <w:tcPr>
            <w:tcW w:w="1843" w:type="dxa"/>
            <w:tcBorders>
              <w:top w:val="nil"/>
              <w:left w:val="single" w:sz="4" w:space="0" w:color="auto"/>
              <w:bottom w:val="single" w:sz="4" w:space="0" w:color="auto"/>
            </w:tcBorders>
          </w:tcPr>
          <w:p w:rsidR="0063033D" w:rsidRPr="00774D44" w:rsidRDefault="0063033D" w:rsidP="008D1891">
            <w:pPr>
              <w:autoSpaceDE w:val="0"/>
              <w:autoSpaceDN w:val="0"/>
              <w:adjustRightInd w:val="0"/>
              <w:spacing w:before="120" w:after="120"/>
              <w:rPr>
                <w:rFonts w:cs="Arial"/>
                <w:color w:val="000000"/>
                <w:sz w:val="16"/>
                <w:szCs w:val="16"/>
              </w:rPr>
            </w:pPr>
            <w:r w:rsidRPr="007B5D8C">
              <w:rPr>
                <w:rFonts w:cs="Arial"/>
                <w:color w:val="000000"/>
                <w:sz w:val="16"/>
                <w:szCs w:val="16"/>
              </w:rPr>
              <w:t>Training Course for Patent Examiners on Specified Technology (Biotechnology)</w:t>
            </w:r>
          </w:p>
        </w:tc>
        <w:tc>
          <w:tcPr>
            <w:tcW w:w="1134" w:type="dxa"/>
            <w:tcBorders>
              <w:top w:val="nil"/>
              <w:bottom w:val="single" w:sz="4" w:space="0" w:color="auto"/>
            </w:tcBorders>
          </w:tcPr>
          <w:p w:rsidR="0063033D" w:rsidRPr="00774D44" w:rsidRDefault="0063033D" w:rsidP="008D1891">
            <w:pPr>
              <w:autoSpaceDE w:val="0"/>
              <w:autoSpaceDN w:val="0"/>
              <w:adjustRightInd w:val="0"/>
              <w:spacing w:before="120" w:after="120"/>
              <w:rPr>
                <w:rFonts w:cs="Arial"/>
                <w:color w:val="000000"/>
                <w:sz w:val="16"/>
                <w:szCs w:val="16"/>
              </w:rPr>
            </w:pPr>
            <w:r w:rsidRPr="00EE2356">
              <w:rPr>
                <w:rFonts w:cs="Arial"/>
                <w:color w:val="000000"/>
                <w:sz w:val="16"/>
                <w:szCs w:val="16"/>
              </w:rPr>
              <w:t>February 12 to 19, 2014</w:t>
            </w:r>
          </w:p>
        </w:tc>
        <w:tc>
          <w:tcPr>
            <w:tcW w:w="1985" w:type="dxa"/>
            <w:tcBorders>
              <w:top w:val="nil"/>
              <w:bottom w:val="single" w:sz="4" w:space="0" w:color="auto"/>
            </w:tcBorders>
          </w:tcPr>
          <w:p w:rsidR="0063033D" w:rsidRPr="000D1F96" w:rsidRDefault="0063033D" w:rsidP="008D1891">
            <w:pPr>
              <w:autoSpaceDE w:val="0"/>
              <w:autoSpaceDN w:val="0"/>
              <w:adjustRightInd w:val="0"/>
              <w:spacing w:before="120" w:after="120"/>
              <w:rPr>
                <w:rFonts w:cs="Arial"/>
                <w:color w:val="000000"/>
                <w:sz w:val="16"/>
                <w:szCs w:val="16"/>
                <w:lang w:val="fr-CH"/>
              </w:rPr>
            </w:pPr>
            <w:proofErr w:type="spellStart"/>
            <w:r w:rsidRPr="000D1F96">
              <w:rPr>
                <w:rFonts w:cs="Arial"/>
                <w:color w:val="000000"/>
                <w:sz w:val="16"/>
                <w:szCs w:val="16"/>
                <w:lang w:val="fr-CH"/>
              </w:rPr>
              <w:t>Japan</w:t>
            </w:r>
            <w:proofErr w:type="spellEnd"/>
            <w:r w:rsidRPr="000D1F96">
              <w:rPr>
                <w:rFonts w:cs="Arial"/>
                <w:color w:val="000000"/>
                <w:sz w:val="16"/>
                <w:szCs w:val="16"/>
                <w:lang w:val="fr-CH"/>
              </w:rPr>
              <w:t xml:space="preserve">/                    </w:t>
            </w:r>
            <w:proofErr w:type="spellStart"/>
            <w:r w:rsidRPr="000D1F96">
              <w:rPr>
                <w:rFonts w:cs="Arial"/>
                <w:color w:val="000000"/>
                <w:sz w:val="16"/>
                <w:szCs w:val="16"/>
                <w:lang w:val="fr-CH"/>
              </w:rPr>
              <w:t>African</w:t>
            </w:r>
            <w:proofErr w:type="spellEnd"/>
            <w:r w:rsidRPr="000D1F96">
              <w:rPr>
                <w:rFonts w:cs="Arial"/>
                <w:color w:val="000000"/>
                <w:sz w:val="16"/>
                <w:szCs w:val="16"/>
                <w:lang w:val="fr-CH"/>
              </w:rPr>
              <w:t xml:space="preserve"> </w:t>
            </w:r>
            <w:proofErr w:type="spellStart"/>
            <w:r w:rsidRPr="000D1F96">
              <w:rPr>
                <w:rFonts w:cs="Arial"/>
                <w:color w:val="000000"/>
                <w:sz w:val="16"/>
                <w:szCs w:val="16"/>
                <w:lang w:val="fr-CH"/>
              </w:rPr>
              <w:t>Regional</w:t>
            </w:r>
            <w:proofErr w:type="spellEnd"/>
            <w:r w:rsidRPr="000D1F96">
              <w:rPr>
                <w:rFonts w:cs="Arial"/>
                <w:color w:val="000000"/>
                <w:sz w:val="16"/>
                <w:szCs w:val="16"/>
                <w:lang w:val="fr-CH"/>
              </w:rPr>
              <w:t xml:space="preserve"> </w:t>
            </w:r>
            <w:proofErr w:type="spellStart"/>
            <w:r w:rsidRPr="000D1F96">
              <w:rPr>
                <w:rFonts w:cs="Arial"/>
                <w:color w:val="000000"/>
                <w:sz w:val="16"/>
                <w:szCs w:val="16"/>
                <w:lang w:val="fr-CH"/>
              </w:rPr>
              <w:t>Industrial</w:t>
            </w:r>
            <w:proofErr w:type="spellEnd"/>
            <w:r w:rsidRPr="000D1F96">
              <w:rPr>
                <w:rFonts w:cs="Arial"/>
                <w:color w:val="000000"/>
                <w:sz w:val="16"/>
                <w:szCs w:val="16"/>
                <w:lang w:val="fr-CH"/>
              </w:rPr>
              <w:t xml:space="preserve"> </w:t>
            </w:r>
            <w:proofErr w:type="spellStart"/>
            <w:r w:rsidRPr="000D1F96">
              <w:rPr>
                <w:rFonts w:cs="Arial"/>
                <w:color w:val="000000"/>
                <w:sz w:val="16"/>
                <w:szCs w:val="16"/>
                <w:lang w:val="fr-CH"/>
              </w:rPr>
              <w:t>Property</w:t>
            </w:r>
            <w:proofErr w:type="spellEnd"/>
            <w:r w:rsidRPr="000D1F96">
              <w:rPr>
                <w:rFonts w:cs="Arial"/>
                <w:color w:val="000000"/>
                <w:sz w:val="16"/>
                <w:szCs w:val="16"/>
                <w:lang w:val="fr-CH"/>
              </w:rPr>
              <w:t xml:space="preserve"> </w:t>
            </w:r>
            <w:proofErr w:type="spellStart"/>
            <w:r w:rsidRPr="000D1F96">
              <w:rPr>
                <w:rFonts w:cs="Arial"/>
                <w:color w:val="000000"/>
                <w:sz w:val="16"/>
                <w:szCs w:val="16"/>
                <w:lang w:val="fr-CH"/>
              </w:rPr>
              <w:t>Organization</w:t>
            </w:r>
            <w:proofErr w:type="spellEnd"/>
            <w:r w:rsidRPr="000D1F96">
              <w:rPr>
                <w:rFonts w:cs="Arial"/>
                <w:color w:val="000000"/>
                <w:sz w:val="16"/>
                <w:szCs w:val="16"/>
                <w:lang w:val="fr-CH"/>
              </w:rPr>
              <w:t xml:space="preserve"> (ARIPO),</w:t>
            </w:r>
            <w:r>
              <w:rPr>
                <w:rFonts w:cs="Arial"/>
                <w:color w:val="000000"/>
                <w:sz w:val="16"/>
                <w:szCs w:val="16"/>
                <w:lang w:val="fr-CH"/>
              </w:rPr>
              <w:t xml:space="preserve"> </w:t>
            </w:r>
            <w:proofErr w:type="spellStart"/>
            <w:r w:rsidRPr="000D1F96">
              <w:rPr>
                <w:rFonts w:cs="Arial"/>
                <w:color w:val="000000"/>
                <w:sz w:val="16"/>
                <w:szCs w:val="16"/>
                <w:lang w:val="fr-CH"/>
              </w:rPr>
              <w:t>Egypt</w:t>
            </w:r>
            <w:proofErr w:type="spellEnd"/>
            <w:r>
              <w:rPr>
                <w:rFonts w:cs="Arial"/>
                <w:color w:val="000000"/>
                <w:sz w:val="16"/>
                <w:szCs w:val="16"/>
                <w:lang w:val="fr-CH"/>
              </w:rPr>
              <w:t xml:space="preserve">, and </w:t>
            </w:r>
            <w:r w:rsidRPr="000D1F96">
              <w:rPr>
                <w:rFonts w:cs="Arial"/>
                <w:color w:val="000000"/>
                <w:sz w:val="16"/>
                <w:szCs w:val="16"/>
                <w:lang w:val="fr-CH"/>
              </w:rPr>
              <w:t xml:space="preserve"> </w:t>
            </w:r>
            <w:r w:rsidRPr="000D1F96">
              <w:rPr>
                <w:rFonts w:cs="Arial"/>
                <w:i/>
                <w:color w:val="000000"/>
                <w:sz w:val="16"/>
                <w:szCs w:val="16"/>
                <w:lang w:val="fr-CH"/>
              </w:rPr>
              <w:t>Organisation Africaine de la Propriété Intellectuelle</w:t>
            </w:r>
            <w:r w:rsidRPr="000D1F96" w:rsidDel="0033769D">
              <w:rPr>
                <w:rFonts w:cs="Arial"/>
                <w:color w:val="000000"/>
                <w:sz w:val="16"/>
                <w:szCs w:val="16"/>
                <w:lang w:val="fr-CH"/>
              </w:rPr>
              <w:t xml:space="preserve"> </w:t>
            </w:r>
            <w:r w:rsidRPr="000D1F96">
              <w:rPr>
                <w:rFonts w:cs="Arial"/>
                <w:color w:val="000000"/>
                <w:sz w:val="16"/>
                <w:szCs w:val="16"/>
                <w:lang w:val="fr-CH"/>
              </w:rPr>
              <w:t>(OAPI)</w:t>
            </w:r>
          </w:p>
        </w:tc>
        <w:tc>
          <w:tcPr>
            <w:tcW w:w="4394" w:type="dxa"/>
            <w:tcBorders>
              <w:top w:val="nil"/>
              <w:bottom w:val="single" w:sz="4" w:space="0" w:color="auto"/>
              <w:right w:val="single" w:sz="4" w:space="0" w:color="auto"/>
            </w:tcBorders>
          </w:tcPr>
          <w:p w:rsidR="0063033D" w:rsidRPr="00774D44" w:rsidRDefault="0063033D" w:rsidP="008D1891">
            <w:pPr>
              <w:autoSpaceDE w:val="0"/>
              <w:autoSpaceDN w:val="0"/>
              <w:adjustRightInd w:val="0"/>
              <w:spacing w:before="120" w:after="120"/>
              <w:rPr>
                <w:rFonts w:cs="Arial"/>
                <w:color w:val="000000"/>
                <w:sz w:val="16"/>
                <w:szCs w:val="16"/>
              </w:rPr>
            </w:pPr>
            <w:r w:rsidRPr="00B8131F">
              <w:rPr>
                <w:rFonts w:cs="Arial"/>
                <w:color w:val="000000"/>
                <w:sz w:val="16"/>
                <w:szCs w:val="16"/>
              </w:rPr>
              <w:t>To</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w:t>
            </w:r>
            <w:r w:rsidRPr="00B8131F">
              <w:rPr>
                <w:rFonts w:cs="Arial"/>
                <w:color w:val="000000"/>
                <w:sz w:val="16"/>
                <w:szCs w:val="16"/>
              </w:rPr>
              <w:t xml:space="preserve"> acquaint the participants with current trends and modern practices in the examination of patents related to biotechnology; </w:t>
            </w:r>
            <w:r>
              <w:rPr>
                <w:rFonts w:cs="Arial"/>
                <w:color w:val="000000"/>
                <w:sz w:val="16"/>
                <w:szCs w:val="16"/>
              </w:rPr>
              <w:t>(ii)</w:t>
            </w:r>
            <w:r w:rsidRPr="00B8131F">
              <w:rPr>
                <w:rFonts w:cs="Arial"/>
                <w:color w:val="000000"/>
                <w:sz w:val="16"/>
                <w:szCs w:val="16"/>
              </w:rPr>
              <w:t xml:space="preserve"> impart practical knowledge and insights on relevant patent examination methodologies; </w:t>
            </w:r>
            <w:r>
              <w:rPr>
                <w:rFonts w:cs="Arial"/>
                <w:color w:val="000000"/>
                <w:sz w:val="16"/>
                <w:szCs w:val="16"/>
              </w:rPr>
              <w:t>(iii)</w:t>
            </w:r>
            <w:r w:rsidRPr="00B8131F">
              <w:rPr>
                <w:rFonts w:cs="Arial"/>
                <w:color w:val="000000"/>
                <w:sz w:val="16"/>
                <w:szCs w:val="16"/>
              </w:rPr>
              <w:t xml:space="preserve"> offer an opportunity to share experiences and views among participants on patent examination issues; and </w:t>
            </w:r>
            <w:r>
              <w:rPr>
                <w:rFonts w:cs="Arial"/>
                <w:color w:val="000000"/>
                <w:sz w:val="16"/>
                <w:szCs w:val="16"/>
              </w:rPr>
              <w:t>(iv)</w:t>
            </w:r>
            <w:r w:rsidRPr="00B8131F">
              <w:rPr>
                <w:rFonts w:cs="Arial"/>
                <w:color w:val="000000"/>
                <w:sz w:val="16"/>
                <w:szCs w:val="16"/>
              </w:rPr>
              <w:t xml:space="preserve"> enhance participants’ professional capabilities for examination of biotechnology patents.</w:t>
            </w:r>
          </w:p>
        </w:tc>
      </w:tr>
      <w:tr w:rsidR="009375B7" w:rsidRPr="00774D44" w:rsidTr="009375B7">
        <w:trPr>
          <w:cantSplit/>
          <w:trHeight w:val="315"/>
        </w:trPr>
        <w:tc>
          <w:tcPr>
            <w:tcW w:w="1843" w:type="dxa"/>
            <w:tcBorders>
              <w:top w:val="single" w:sz="4" w:space="0" w:color="auto"/>
              <w:left w:val="single" w:sz="4" w:space="0" w:color="auto"/>
              <w:bottom w:val="nil"/>
            </w:tcBorders>
            <w:vAlign w:val="center"/>
          </w:tcPr>
          <w:p w:rsidR="009375B7" w:rsidRPr="002B7DE5" w:rsidRDefault="009375B7" w:rsidP="008D1891">
            <w:pPr>
              <w:keepNext/>
              <w:keepLines/>
              <w:spacing w:before="120"/>
              <w:rPr>
                <w:rFonts w:cs="Arial"/>
                <w:b/>
                <w:bCs/>
                <w:sz w:val="16"/>
                <w:szCs w:val="16"/>
              </w:rPr>
            </w:pPr>
            <w:r w:rsidRPr="002B7DE5">
              <w:rPr>
                <w:rFonts w:cs="Arial"/>
                <w:b/>
                <w:bCs/>
                <w:sz w:val="16"/>
                <w:szCs w:val="16"/>
              </w:rPr>
              <w:lastRenderedPageBreak/>
              <w:t>Activity</w:t>
            </w:r>
          </w:p>
        </w:tc>
        <w:tc>
          <w:tcPr>
            <w:tcW w:w="1134" w:type="dxa"/>
            <w:tcBorders>
              <w:top w:val="single" w:sz="4" w:space="0" w:color="auto"/>
              <w:bottom w:val="nil"/>
            </w:tcBorders>
            <w:vAlign w:val="center"/>
          </w:tcPr>
          <w:p w:rsidR="009375B7" w:rsidRPr="002B7DE5" w:rsidRDefault="009375B7" w:rsidP="008D1891">
            <w:pPr>
              <w:keepNext/>
              <w:keepLines/>
              <w:spacing w:before="120"/>
              <w:rPr>
                <w:rFonts w:cs="Arial"/>
                <w:sz w:val="16"/>
                <w:szCs w:val="16"/>
              </w:rPr>
            </w:pPr>
            <w:r w:rsidRPr="002B7DE5">
              <w:rPr>
                <w:rFonts w:cs="Arial"/>
                <w:b/>
                <w:bCs/>
                <w:sz w:val="16"/>
                <w:szCs w:val="16"/>
              </w:rPr>
              <w:t>Date</w:t>
            </w:r>
          </w:p>
        </w:tc>
        <w:tc>
          <w:tcPr>
            <w:tcW w:w="1985" w:type="dxa"/>
            <w:tcBorders>
              <w:top w:val="single" w:sz="4" w:space="0" w:color="auto"/>
              <w:bottom w:val="nil"/>
            </w:tcBorders>
            <w:vAlign w:val="center"/>
          </w:tcPr>
          <w:p w:rsidR="009375B7" w:rsidRPr="002B7DE5" w:rsidRDefault="009375B7" w:rsidP="008D1891">
            <w:pPr>
              <w:keepNext/>
              <w:keepLines/>
              <w:spacing w:before="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auto"/>
              <w:bottom w:val="nil"/>
              <w:right w:val="single" w:sz="4" w:space="0" w:color="auto"/>
            </w:tcBorders>
            <w:vAlign w:val="center"/>
          </w:tcPr>
          <w:p w:rsidR="009375B7" w:rsidRPr="002B7DE5" w:rsidRDefault="009375B7" w:rsidP="008D1891">
            <w:pPr>
              <w:keepNext/>
              <w:keepLines/>
              <w:spacing w:before="120"/>
              <w:rPr>
                <w:rFonts w:cs="Arial"/>
                <w:sz w:val="16"/>
                <w:szCs w:val="16"/>
              </w:rPr>
            </w:pPr>
            <w:r w:rsidRPr="002B7DE5">
              <w:rPr>
                <w:rFonts w:cs="Arial"/>
                <w:b/>
                <w:bCs/>
                <w:sz w:val="16"/>
                <w:szCs w:val="16"/>
              </w:rPr>
              <w:t>Purpose(s)/Description(s)</w:t>
            </w:r>
          </w:p>
        </w:tc>
      </w:tr>
      <w:tr w:rsidR="0063033D" w:rsidRPr="00774D44" w:rsidTr="009375B7">
        <w:trPr>
          <w:cantSplit/>
          <w:trHeight w:val="315"/>
        </w:trPr>
        <w:tc>
          <w:tcPr>
            <w:tcW w:w="1843" w:type="dxa"/>
            <w:tcBorders>
              <w:top w:val="nil"/>
              <w:left w:val="single" w:sz="4" w:space="0" w:color="auto"/>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sidRPr="00D97703">
              <w:rPr>
                <w:rFonts w:cs="Arial"/>
                <w:color w:val="000000"/>
                <w:sz w:val="16"/>
                <w:szCs w:val="16"/>
              </w:rPr>
              <w:t>Training Course for Patent Examiners on Specified Technology (Optical Apparatus)</w:t>
            </w:r>
          </w:p>
        </w:tc>
        <w:tc>
          <w:tcPr>
            <w:tcW w:w="1134" w:type="dxa"/>
            <w:tcBorders>
              <w:top w:val="nil"/>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sidRPr="00144159">
              <w:rPr>
                <w:rFonts w:cs="Arial"/>
                <w:color w:val="000000"/>
                <w:sz w:val="16"/>
                <w:szCs w:val="16"/>
              </w:rPr>
              <w:t>February 20 to 27, 2014</w:t>
            </w:r>
          </w:p>
        </w:tc>
        <w:tc>
          <w:tcPr>
            <w:tcW w:w="1985" w:type="dxa"/>
            <w:tcBorders>
              <w:top w:val="nil"/>
              <w:bottom w:val="nil"/>
            </w:tcBorders>
          </w:tcPr>
          <w:p w:rsidR="0063033D" w:rsidRPr="00626AE0" w:rsidRDefault="0063033D" w:rsidP="008D1891">
            <w:pPr>
              <w:autoSpaceDE w:val="0"/>
              <w:autoSpaceDN w:val="0"/>
              <w:adjustRightInd w:val="0"/>
              <w:spacing w:before="120" w:after="120"/>
              <w:rPr>
                <w:rFonts w:cs="Arial"/>
                <w:color w:val="000000"/>
                <w:sz w:val="16"/>
                <w:szCs w:val="16"/>
              </w:rPr>
            </w:pPr>
            <w:r w:rsidRPr="00030641">
              <w:rPr>
                <w:rFonts w:cs="Arial"/>
                <w:color w:val="000000"/>
                <w:sz w:val="16"/>
                <w:szCs w:val="16"/>
              </w:rPr>
              <w:t xml:space="preserve">Japan/          </w:t>
            </w:r>
            <w:r>
              <w:rPr>
                <w:rFonts w:cs="Arial"/>
                <w:color w:val="000000"/>
                <w:sz w:val="16"/>
                <w:szCs w:val="16"/>
              </w:rPr>
              <w:t xml:space="preserve">          </w:t>
            </w:r>
            <w:r w:rsidRPr="00030641">
              <w:rPr>
                <w:rFonts w:cs="Arial"/>
                <w:color w:val="000000"/>
                <w:sz w:val="16"/>
                <w:szCs w:val="16"/>
              </w:rPr>
              <w:t>ARIPO</w:t>
            </w:r>
            <w:r>
              <w:rPr>
                <w:rFonts w:cs="Arial"/>
                <w:color w:val="000000"/>
                <w:sz w:val="16"/>
                <w:szCs w:val="16"/>
              </w:rPr>
              <w:t xml:space="preserve"> and Egypt</w:t>
            </w:r>
          </w:p>
        </w:tc>
        <w:tc>
          <w:tcPr>
            <w:tcW w:w="4394" w:type="dxa"/>
            <w:tcBorders>
              <w:top w:val="nil"/>
              <w:bottom w:val="nil"/>
              <w:right w:val="single" w:sz="4" w:space="0" w:color="auto"/>
            </w:tcBorders>
          </w:tcPr>
          <w:p w:rsidR="0063033D" w:rsidRPr="00774D44" w:rsidRDefault="0063033D" w:rsidP="008D1891">
            <w:pPr>
              <w:autoSpaceDE w:val="0"/>
              <w:autoSpaceDN w:val="0"/>
              <w:adjustRightInd w:val="0"/>
              <w:spacing w:before="120" w:after="120"/>
              <w:rPr>
                <w:rFonts w:cs="Arial"/>
                <w:color w:val="000000"/>
                <w:sz w:val="16"/>
                <w:szCs w:val="16"/>
              </w:rPr>
            </w:pPr>
            <w:r w:rsidRPr="00600A71">
              <w:rPr>
                <w:rFonts w:cs="Arial"/>
                <w:color w:val="000000"/>
                <w:sz w:val="16"/>
                <w:szCs w:val="16"/>
              </w:rPr>
              <w:t>To</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w:t>
            </w:r>
            <w:r w:rsidRPr="00600A71">
              <w:rPr>
                <w:rFonts w:cs="Arial"/>
                <w:color w:val="000000"/>
                <w:sz w:val="16"/>
                <w:szCs w:val="16"/>
              </w:rPr>
              <w:t xml:space="preserve"> acquaint the participants with current trends and modern practices in the examination of patents related to </w:t>
            </w:r>
            <w:r w:rsidRPr="00DD6F7D">
              <w:rPr>
                <w:rFonts w:eastAsia="MS Mincho" w:cs="Arial" w:hint="eastAsia"/>
                <w:color w:val="000000"/>
                <w:sz w:val="16"/>
                <w:szCs w:val="16"/>
                <w:lang w:eastAsia="ja-JP"/>
              </w:rPr>
              <w:t>optical apparatus</w:t>
            </w:r>
            <w:r w:rsidRPr="00600A71">
              <w:rPr>
                <w:rFonts w:cs="Arial"/>
                <w:color w:val="000000"/>
                <w:sz w:val="16"/>
                <w:szCs w:val="16"/>
              </w:rPr>
              <w:t xml:space="preserve">; </w:t>
            </w:r>
            <w:r>
              <w:rPr>
                <w:rFonts w:cs="Arial"/>
                <w:color w:val="000000"/>
                <w:sz w:val="16"/>
                <w:szCs w:val="16"/>
              </w:rPr>
              <w:t>(ii)</w:t>
            </w:r>
            <w:r w:rsidRPr="00600A71">
              <w:rPr>
                <w:rFonts w:cs="Arial"/>
                <w:color w:val="000000"/>
                <w:sz w:val="16"/>
                <w:szCs w:val="16"/>
              </w:rPr>
              <w:t xml:space="preserve"> impart practical knowledge and insights on relevant patent examination methodologies;</w:t>
            </w:r>
            <w:r>
              <w:rPr>
                <w:rFonts w:cs="Arial"/>
                <w:color w:val="000000"/>
                <w:sz w:val="16"/>
                <w:szCs w:val="16"/>
              </w:rPr>
              <w:t xml:space="preserve"> (iii)</w:t>
            </w:r>
            <w:r w:rsidRPr="00600A71">
              <w:rPr>
                <w:rFonts w:cs="Arial"/>
                <w:color w:val="000000"/>
                <w:sz w:val="16"/>
                <w:szCs w:val="16"/>
              </w:rPr>
              <w:t xml:space="preserve"> offer an opportunity to share experiences and views among participants on patent examination issues; and </w:t>
            </w:r>
            <w:r>
              <w:rPr>
                <w:rFonts w:cs="Arial"/>
                <w:color w:val="000000"/>
                <w:sz w:val="16"/>
                <w:szCs w:val="16"/>
              </w:rPr>
              <w:t>(iv)</w:t>
            </w:r>
            <w:r w:rsidRPr="00600A71">
              <w:rPr>
                <w:rFonts w:cs="Arial"/>
                <w:color w:val="000000"/>
                <w:sz w:val="16"/>
                <w:szCs w:val="16"/>
              </w:rPr>
              <w:t xml:space="preserve"> enhance participants’ professional capabilities for examination of optical apparatus patents.</w:t>
            </w:r>
          </w:p>
        </w:tc>
      </w:tr>
      <w:tr w:rsidR="0063033D" w:rsidRPr="00774D44" w:rsidTr="009375B7">
        <w:trPr>
          <w:cantSplit/>
          <w:trHeight w:val="315"/>
        </w:trPr>
        <w:tc>
          <w:tcPr>
            <w:tcW w:w="1843" w:type="dxa"/>
            <w:tcBorders>
              <w:top w:val="nil"/>
              <w:left w:val="single" w:sz="4" w:space="0" w:color="auto"/>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sidRPr="00DF7DDF">
              <w:rPr>
                <w:rFonts w:cs="Arial"/>
                <w:color w:val="000000"/>
                <w:sz w:val="16"/>
                <w:szCs w:val="16"/>
              </w:rPr>
              <w:t xml:space="preserve">Partnership between WIPO/ARIPO and Africa University in </w:t>
            </w:r>
            <w:proofErr w:type="spellStart"/>
            <w:r w:rsidRPr="00DF7DDF">
              <w:rPr>
                <w:rFonts w:cs="Arial"/>
                <w:color w:val="000000"/>
                <w:sz w:val="16"/>
                <w:szCs w:val="16"/>
              </w:rPr>
              <w:t>Mutare</w:t>
            </w:r>
            <w:proofErr w:type="spellEnd"/>
            <w:r w:rsidRPr="00DF7DDF">
              <w:rPr>
                <w:rFonts w:cs="Arial"/>
                <w:color w:val="000000"/>
                <w:sz w:val="16"/>
                <w:szCs w:val="16"/>
              </w:rPr>
              <w:t>, Zimbabwe</w:t>
            </w:r>
          </w:p>
        </w:tc>
        <w:tc>
          <w:tcPr>
            <w:tcW w:w="1134" w:type="dxa"/>
            <w:tcBorders>
              <w:top w:val="nil"/>
              <w:bottom w:val="nil"/>
            </w:tcBorders>
          </w:tcPr>
          <w:p w:rsidR="00A91DB4" w:rsidRDefault="0063033D" w:rsidP="00A91DB4">
            <w:pPr>
              <w:autoSpaceDE w:val="0"/>
              <w:autoSpaceDN w:val="0"/>
              <w:adjustRightInd w:val="0"/>
              <w:spacing w:before="120" w:after="120"/>
              <w:rPr>
                <w:rFonts w:cs="Arial"/>
                <w:color w:val="000000"/>
                <w:sz w:val="16"/>
                <w:szCs w:val="16"/>
              </w:rPr>
            </w:pPr>
            <w:r w:rsidRPr="008F3A5D">
              <w:rPr>
                <w:rFonts w:cs="Arial"/>
                <w:color w:val="000000"/>
                <w:sz w:val="16"/>
                <w:szCs w:val="16"/>
              </w:rPr>
              <w:t xml:space="preserve">May </w:t>
            </w:r>
            <w:r w:rsidR="00A91DB4">
              <w:rPr>
                <w:rFonts w:cs="Arial"/>
                <w:color w:val="000000"/>
                <w:sz w:val="16"/>
                <w:szCs w:val="16"/>
              </w:rPr>
              <w:t>to December</w:t>
            </w:r>
            <w:r w:rsidRPr="008F3A5D">
              <w:rPr>
                <w:rFonts w:cs="Arial"/>
                <w:color w:val="000000"/>
                <w:sz w:val="16"/>
                <w:szCs w:val="16"/>
              </w:rPr>
              <w:t xml:space="preserve"> 2014 </w:t>
            </w:r>
          </w:p>
          <w:p w:rsidR="0063033D" w:rsidRPr="00774D44" w:rsidRDefault="00A91DB4" w:rsidP="00A91DB4">
            <w:pPr>
              <w:autoSpaceDE w:val="0"/>
              <w:autoSpaceDN w:val="0"/>
              <w:adjustRightInd w:val="0"/>
              <w:spacing w:before="120" w:after="120"/>
              <w:rPr>
                <w:rFonts w:cs="Arial"/>
                <w:color w:val="000000"/>
                <w:sz w:val="16"/>
                <w:szCs w:val="16"/>
              </w:rPr>
            </w:pPr>
            <w:r>
              <w:rPr>
                <w:rFonts w:cs="Arial"/>
                <w:color w:val="000000"/>
                <w:sz w:val="16"/>
                <w:szCs w:val="16"/>
              </w:rPr>
              <w:t>(Ongoing)</w:t>
            </w:r>
          </w:p>
        </w:tc>
        <w:tc>
          <w:tcPr>
            <w:tcW w:w="1985" w:type="dxa"/>
            <w:tcBorders>
              <w:top w:val="nil"/>
              <w:bottom w:val="nil"/>
            </w:tcBorders>
          </w:tcPr>
          <w:p w:rsidR="0063033D" w:rsidRPr="00626AE0" w:rsidRDefault="0063033D" w:rsidP="00A91DB4">
            <w:pPr>
              <w:autoSpaceDE w:val="0"/>
              <w:autoSpaceDN w:val="0"/>
              <w:adjustRightInd w:val="0"/>
              <w:spacing w:before="120" w:after="120"/>
              <w:rPr>
                <w:rFonts w:cs="Arial"/>
                <w:color w:val="000000"/>
                <w:sz w:val="16"/>
                <w:szCs w:val="16"/>
              </w:rPr>
            </w:pPr>
            <w:r w:rsidRPr="00194E61">
              <w:rPr>
                <w:rFonts w:cs="Arial"/>
                <w:color w:val="000000"/>
                <w:sz w:val="16"/>
                <w:szCs w:val="16"/>
              </w:rPr>
              <w:t>Zimbabwe/</w:t>
            </w:r>
            <w:r>
              <w:rPr>
                <w:rFonts w:cs="Arial"/>
                <w:color w:val="000000"/>
                <w:sz w:val="16"/>
                <w:szCs w:val="16"/>
              </w:rPr>
              <w:t xml:space="preserve"> </w:t>
            </w:r>
            <w:r w:rsidRPr="00194E61">
              <w:rPr>
                <w:rFonts w:cs="Arial"/>
                <w:color w:val="000000"/>
                <w:sz w:val="16"/>
                <w:szCs w:val="16"/>
              </w:rPr>
              <w:t>8</w:t>
            </w:r>
            <w:r w:rsidR="00A91DB4">
              <w:rPr>
                <w:rFonts w:cs="Arial"/>
                <w:color w:val="000000"/>
                <w:sz w:val="16"/>
                <w:szCs w:val="16"/>
              </w:rPr>
              <w:t> </w:t>
            </w:r>
            <w:r w:rsidRPr="00194E61">
              <w:rPr>
                <w:rFonts w:cs="Arial"/>
                <w:color w:val="000000"/>
                <w:sz w:val="16"/>
                <w:szCs w:val="16"/>
              </w:rPr>
              <w:t>scholarships to selected trainees from Burundi, Kenya, Lesotho, Malawi, Nigeria, Uganda</w:t>
            </w:r>
            <w:r>
              <w:rPr>
                <w:rFonts w:cs="Arial"/>
                <w:color w:val="000000"/>
                <w:sz w:val="16"/>
                <w:szCs w:val="16"/>
              </w:rPr>
              <w:t>,</w:t>
            </w:r>
            <w:r w:rsidRPr="00194E61">
              <w:rPr>
                <w:rFonts w:cs="Arial"/>
                <w:color w:val="000000"/>
                <w:sz w:val="16"/>
                <w:szCs w:val="16"/>
              </w:rPr>
              <w:t xml:space="preserve"> </w:t>
            </w:r>
            <w:r>
              <w:rPr>
                <w:rFonts w:cs="Arial"/>
                <w:color w:val="000000"/>
                <w:sz w:val="16"/>
                <w:szCs w:val="16"/>
              </w:rPr>
              <w:t xml:space="preserve">United Republic of </w:t>
            </w:r>
            <w:r w:rsidRPr="00194E61">
              <w:rPr>
                <w:rFonts w:cs="Arial"/>
                <w:color w:val="000000"/>
                <w:sz w:val="16"/>
                <w:szCs w:val="16"/>
              </w:rPr>
              <w:t>Tanzania</w:t>
            </w:r>
            <w:r>
              <w:rPr>
                <w:rFonts w:cs="Arial"/>
                <w:color w:val="000000"/>
                <w:sz w:val="16"/>
                <w:szCs w:val="16"/>
              </w:rPr>
              <w:t xml:space="preserve"> </w:t>
            </w:r>
            <w:r w:rsidRPr="00194E61">
              <w:rPr>
                <w:rFonts w:cs="Arial"/>
                <w:color w:val="000000"/>
                <w:sz w:val="16"/>
                <w:szCs w:val="16"/>
              </w:rPr>
              <w:t>and Zimbabwe</w:t>
            </w:r>
          </w:p>
        </w:tc>
        <w:tc>
          <w:tcPr>
            <w:tcW w:w="4394" w:type="dxa"/>
            <w:tcBorders>
              <w:top w:val="nil"/>
              <w:bottom w:val="nil"/>
              <w:right w:val="single" w:sz="4" w:space="0" w:color="auto"/>
            </w:tcBorders>
          </w:tcPr>
          <w:p w:rsidR="0063033D" w:rsidRPr="00774D44" w:rsidRDefault="0063033D" w:rsidP="008D1891">
            <w:pPr>
              <w:autoSpaceDE w:val="0"/>
              <w:autoSpaceDN w:val="0"/>
              <w:adjustRightInd w:val="0"/>
              <w:spacing w:before="120" w:after="120"/>
              <w:rPr>
                <w:rFonts w:cs="Arial"/>
                <w:color w:val="000000"/>
                <w:sz w:val="16"/>
                <w:szCs w:val="16"/>
              </w:rPr>
            </w:pPr>
            <w:r w:rsidRPr="00E81CAE">
              <w:rPr>
                <w:rFonts w:cs="Arial"/>
                <w:color w:val="000000"/>
                <w:sz w:val="16"/>
                <w:szCs w:val="16"/>
              </w:rPr>
              <w:t>To</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w:t>
            </w:r>
            <w:r w:rsidRPr="00E81CAE">
              <w:rPr>
                <w:rFonts w:cs="Arial"/>
                <w:color w:val="000000"/>
                <w:sz w:val="16"/>
                <w:szCs w:val="16"/>
              </w:rPr>
              <w:t xml:space="preserve"> provide general and specialized IP training for government officials and IP professionals; and </w:t>
            </w:r>
            <w:r>
              <w:rPr>
                <w:rFonts w:cs="Arial"/>
                <w:color w:val="000000"/>
                <w:sz w:val="16"/>
                <w:szCs w:val="16"/>
              </w:rPr>
              <w:t>(ii)</w:t>
            </w:r>
            <w:r w:rsidRPr="00E81CAE">
              <w:rPr>
                <w:rFonts w:cs="Arial"/>
                <w:color w:val="000000"/>
                <w:sz w:val="16"/>
                <w:szCs w:val="16"/>
              </w:rPr>
              <w:t xml:space="preserve"> provide opportunities for human resource development and capacity building through IP training and teaching for persons engaged in teaching and research on IP at universities and other institutions.</w:t>
            </w:r>
          </w:p>
        </w:tc>
      </w:tr>
      <w:tr w:rsidR="0063033D" w:rsidRPr="00774D44" w:rsidTr="009375B7">
        <w:trPr>
          <w:cantSplit/>
          <w:trHeight w:val="315"/>
        </w:trPr>
        <w:tc>
          <w:tcPr>
            <w:tcW w:w="1843" w:type="dxa"/>
            <w:tcBorders>
              <w:top w:val="nil"/>
              <w:left w:val="single" w:sz="4" w:space="0" w:color="auto"/>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sidRPr="00942CE6">
              <w:rPr>
                <w:rFonts w:cs="Arial"/>
                <w:color w:val="000000"/>
                <w:sz w:val="16"/>
                <w:szCs w:val="16"/>
              </w:rPr>
              <w:t xml:space="preserve">Partnership between WIPO/OAPI (Denis </w:t>
            </w:r>
            <w:proofErr w:type="spellStart"/>
            <w:r w:rsidRPr="00942CE6">
              <w:rPr>
                <w:rFonts w:cs="Arial"/>
                <w:color w:val="000000"/>
                <w:sz w:val="16"/>
                <w:szCs w:val="16"/>
              </w:rPr>
              <w:t>Ekani</w:t>
            </w:r>
            <w:proofErr w:type="spellEnd"/>
            <w:r w:rsidRPr="00942CE6">
              <w:rPr>
                <w:rFonts w:cs="Arial"/>
                <w:color w:val="000000"/>
                <w:sz w:val="16"/>
                <w:szCs w:val="16"/>
              </w:rPr>
              <w:t xml:space="preserve"> Training </w:t>
            </w:r>
            <w:r>
              <w:rPr>
                <w:rFonts w:cs="Arial"/>
                <w:color w:val="000000"/>
                <w:sz w:val="16"/>
                <w:szCs w:val="16"/>
              </w:rPr>
              <w:t>C</w:t>
            </w:r>
            <w:r w:rsidRPr="00942CE6">
              <w:rPr>
                <w:rFonts w:cs="Arial"/>
                <w:color w:val="000000"/>
                <w:sz w:val="16"/>
                <w:szCs w:val="16"/>
              </w:rPr>
              <w:t>enter) and the University of Yaoundé II</w:t>
            </w:r>
          </w:p>
        </w:tc>
        <w:tc>
          <w:tcPr>
            <w:tcW w:w="1134" w:type="dxa"/>
            <w:tcBorders>
              <w:top w:val="nil"/>
              <w:bottom w:val="nil"/>
            </w:tcBorders>
          </w:tcPr>
          <w:p w:rsidR="00A91DB4" w:rsidRDefault="00A91DB4" w:rsidP="00A91DB4">
            <w:pPr>
              <w:autoSpaceDE w:val="0"/>
              <w:autoSpaceDN w:val="0"/>
              <w:adjustRightInd w:val="0"/>
              <w:spacing w:before="120" w:after="120"/>
              <w:rPr>
                <w:rFonts w:cs="Arial"/>
                <w:color w:val="000000"/>
                <w:sz w:val="16"/>
                <w:szCs w:val="16"/>
              </w:rPr>
            </w:pPr>
            <w:r>
              <w:rPr>
                <w:rFonts w:cs="Arial"/>
                <w:color w:val="000000"/>
                <w:sz w:val="16"/>
                <w:szCs w:val="16"/>
              </w:rPr>
              <w:t>January to</w:t>
            </w:r>
            <w:r w:rsidR="0063033D" w:rsidRPr="00942CE6">
              <w:rPr>
                <w:rFonts w:cs="Arial"/>
                <w:color w:val="000000"/>
                <w:sz w:val="16"/>
                <w:szCs w:val="16"/>
              </w:rPr>
              <w:t xml:space="preserve"> June 2014</w:t>
            </w:r>
          </w:p>
          <w:p w:rsidR="0063033D" w:rsidRPr="00774D44" w:rsidRDefault="00A91DB4" w:rsidP="00A91DB4">
            <w:pPr>
              <w:autoSpaceDE w:val="0"/>
              <w:autoSpaceDN w:val="0"/>
              <w:adjustRightInd w:val="0"/>
              <w:spacing w:before="120" w:after="120"/>
              <w:rPr>
                <w:rFonts w:cs="Arial"/>
                <w:color w:val="000000"/>
                <w:sz w:val="16"/>
                <w:szCs w:val="16"/>
              </w:rPr>
            </w:pPr>
            <w:r>
              <w:rPr>
                <w:rFonts w:cs="Arial"/>
                <w:color w:val="000000"/>
                <w:sz w:val="16"/>
                <w:szCs w:val="16"/>
              </w:rPr>
              <w:t>(Ongoing)</w:t>
            </w:r>
          </w:p>
        </w:tc>
        <w:tc>
          <w:tcPr>
            <w:tcW w:w="1985" w:type="dxa"/>
            <w:tcBorders>
              <w:top w:val="nil"/>
              <w:bottom w:val="nil"/>
            </w:tcBorders>
          </w:tcPr>
          <w:p w:rsidR="0063033D" w:rsidRPr="00626AE0" w:rsidRDefault="0063033D" w:rsidP="008D1891">
            <w:pPr>
              <w:autoSpaceDE w:val="0"/>
              <w:autoSpaceDN w:val="0"/>
              <w:adjustRightInd w:val="0"/>
              <w:spacing w:before="120" w:after="120"/>
              <w:rPr>
                <w:rFonts w:cs="Arial"/>
                <w:color w:val="000000"/>
                <w:sz w:val="16"/>
                <w:szCs w:val="16"/>
              </w:rPr>
            </w:pPr>
            <w:r w:rsidRPr="00F578DB">
              <w:rPr>
                <w:rFonts w:cs="Arial"/>
                <w:color w:val="000000"/>
                <w:sz w:val="16"/>
                <w:szCs w:val="16"/>
              </w:rPr>
              <w:t xml:space="preserve">Cameroon/        </w:t>
            </w:r>
            <w:r>
              <w:rPr>
                <w:rFonts w:cs="Arial"/>
                <w:color w:val="000000"/>
                <w:sz w:val="16"/>
                <w:szCs w:val="16"/>
              </w:rPr>
              <w:t xml:space="preserve">          </w:t>
            </w:r>
            <w:r w:rsidRPr="00F578DB">
              <w:rPr>
                <w:rFonts w:cs="Arial"/>
                <w:color w:val="000000"/>
                <w:sz w:val="16"/>
                <w:szCs w:val="16"/>
              </w:rPr>
              <w:t>10 scholarships to selected trainees from Benin, Burkina Faso, Congo, Gabon, Guine</w:t>
            </w:r>
            <w:r>
              <w:rPr>
                <w:rFonts w:cs="Arial"/>
                <w:color w:val="000000"/>
                <w:sz w:val="16"/>
                <w:szCs w:val="16"/>
              </w:rPr>
              <w:t>a</w:t>
            </w:r>
            <w:r w:rsidRPr="00F578DB">
              <w:rPr>
                <w:rFonts w:cs="Arial"/>
                <w:color w:val="000000"/>
                <w:sz w:val="16"/>
                <w:szCs w:val="16"/>
              </w:rPr>
              <w:t>, Niger, Senegal and Togo</w:t>
            </w:r>
          </w:p>
        </w:tc>
        <w:tc>
          <w:tcPr>
            <w:tcW w:w="4394" w:type="dxa"/>
            <w:tcBorders>
              <w:top w:val="nil"/>
              <w:bottom w:val="nil"/>
              <w:right w:val="single" w:sz="4" w:space="0" w:color="auto"/>
            </w:tcBorders>
          </w:tcPr>
          <w:p w:rsidR="0063033D" w:rsidRPr="00774D44" w:rsidRDefault="0063033D" w:rsidP="008D1891">
            <w:pPr>
              <w:autoSpaceDE w:val="0"/>
              <w:autoSpaceDN w:val="0"/>
              <w:adjustRightInd w:val="0"/>
              <w:spacing w:before="120" w:after="120"/>
              <w:rPr>
                <w:rFonts w:cs="Arial"/>
                <w:color w:val="000000"/>
                <w:sz w:val="16"/>
                <w:szCs w:val="16"/>
              </w:rPr>
            </w:pPr>
            <w:r w:rsidRPr="00277D8E">
              <w:rPr>
                <w:rFonts w:cs="Arial"/>
                <w:color w:val="000000"/>
                <w:sz w:val="16"/>
                <w:szCs w:val="16"/>
              </w:rPr>
              <w:t>To</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w:t>
            </w:r>
            <w:r w:rsidRPr="00277D8E">
              <w:rPr>
                <w:rFonts w:cs="Arial"/>
                <w:color w:val="000000"/>
                <w:sz w:val="16"/>
                <w:szCs w:val="16"/>
              </w:rPr>
              <w:t xml:space="preserve"> provide general and specialized IP training for government officials and IP professionals; and </w:t>
            </w:r>
            <w:r>
              <w:rPr>
                <w:rFonts w:cs="Arial"/>
                <w:color w:val="000000"/>
                <w:sz w:val="16"/>
                <w:szCs w:val="16"/>
              </w:rPr>
              <w:t>(ii)</w:t>
            </w:r>
            <w:r w:rsidRPr="00277D8E">
              <w:rPr>
                <w:rFonts w:cs="Arial"/>
                <w:color w:val="000000"/>
                <w:sz w:val="16"/>
                <w:szCs w:val="16"/>
              </w:rPr>
              <w:t xml:space="preserve"> provide opportunities for human resource development and capacity building through IP training and teaching for persons engaged in teaching and research on IP at universities and other institutions.</w:t>
            </w:r>
          </w:p>
        </w:tc>
      </w:tr>
      <w:tr w:rsidR="0063033D" w:rsidRPr="00774D44" w:rsidTr="008D1891">
        <w:trPr>
          <w:cantSplit/>
          <w:trHeight w:val="315"/>
        </w:trPr>
        <w:tc>
          <w:tcPr>
            <w:tcW w:w="1843" w:type="dxa"/>
            <w:tcBorders>
              <w:top w:val="nil"/>
              <w:left w:val="single" w:sz="4" w:space="0" w:color="auto"/>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sidRPr="00154C67">
              <w:rPr>
                <w:rFonts w:cs="Arial"/>
                <w:color w:val="000000"/>
                <w:sz w:val="16"/>
                <w:szCs w:val="16"/>
              </w:rPr>
              <w:t>High-Level Sub-regional Meeting for the parliamentarians of the Member States of the</w:t>
            </w:r>
            <w:r>
              <w:rPr>
                <w:rFonts w:cs="Arial"/>
                <w:color w:val="000000"/>
                <w:sz w:val="16"/>
                <w:szCs w:val="16"/>
              </w:rPr>
              <w:t xml:space="preserve"> </w:t>
            </w:r>
            <w:r w:rsidRPr="00154C67">
              <w:rPr>
                <w:rFonts w:cs="Arial"/>
                <w:color w:val="000000"/>
                <w:sz w:val="16"/>
                <w:szCs w:val="16"/>
              </w:rPr>
              <w:t>OAPI and Burundi, Djibouti and Madagascar</w:t>
            </w:r>
          </w:p>
        </w:tc>
        <w:tc>
          <w:tcPr>
            <w:tcW w:w="1134" w:type="dxa"/>
            <w:tcBorders>
              <w:top w:val="nil"/>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sidRPr="00154C67">
              <w:rPr>
                <w:rFonts w:cs="Arial"/>
                <w:color w:val="000000"/>
                <w:sz w:val="16"/>
                <w:szCs w:val="16"/>
              </w:rPr>
              <w:t xml:space="preserve">June 10 </w:t>
            </w:r>
            <w:r>
              <w:rPr>
                <w:rFonts w:cs="Arial"/>
                <w:color w:val="000000"/>
                <w:sz w:val="16"/>
                <w:szCs w:val="16"/>
              </w:rPr>
              <w:t>to</w:t>
            </w:r>
            <w:r w:rsidRPr="00154C67">
              <w:rPr>
                <w:rFonts w:cs="Arial"/>
                <w:color w:val="000000"/>
                <w:sz w:val="16"/>
                <w:szCs w:val="16"/>
              </w:rPr>
              <w:t xml:space="preserve"> 11, 2014</w:t>
            </w:r>
          </w:p>
        </w:tc>
        <w:tc>
          <w:tcPr>
            <w:tcW w:w="1985" w:type="dxa"/>
            <w:tcBorders>
              <w:top w:val="nil"/>
              <w:bottom w:val="nil"/>
            </w:tcBorders>
          </w:tcPr>
          <w:p w:rsidR="0063033D" w:rsidRPr="00626AE0" w:rsidRDefault="0063033D" w:rsidP="008D1891">
            <w:pPr>
              <w:autoSpaceDE w:val="0"/>
              <w:autoSpaceDN w:val="0"/>
              <w:adjustRightInd w:val="0"/>
              <w:spacing w:before="120" w:after="120"/>
              <w:rPr>
                <w:rFonts w:cs="Arial"/>
                <w:color w:val="000000"/>
                <w:sz w:val="16"/>
                <w:szCs w:val="16"/>
              </w:rPr>
            </w:pPr>
            <w:r w:rsidRPr="00773B90">
              <w:rPr>
                <w:rFonts w:cs="Arial"/>
                <w:color w:val="000000"/>
                <w:sz w:val="16"/>
                <w:szCs w:val="16"/>
              </w:rPr>
              <w:t xml:space="preserve">Togo/                </w:t>
            </w:r>
            <w:r>
              <w:rPr>
                <w:rFonts w:cs="Arial"/>
                <w:color w:val="000000"/>
                <w:sz w:val="16"/>
                <w:szCs w:val="16"/>
              </w:rPr>
              <w:t xml:space="preserve">          </w:t>
            </w:r>
            <w:r w:rsidRPr="00773B90">
              <w:rPr>
                <w:rFonts w:cs="Arial"/>
                <w:color w:val="000000"/>
                <w:sz w:val="16"/>
                <w:szCs w:val="16"/>
              </w:rPr>
              <w:t xml:space="preserve"> 23 participants from Benin, Burundi, Comoros, Congo,</w:t>
            </w:r>
            <w:r>
              <w:rPr>
                <w:rFonts w:cs="Arial"/>
                <w:color w:val="000000"/>
                <w:sz w:val="16"/>
                <w:szCs w:val="16"/>
              </w:rPr>
              <w:t xml:space="preserve"> Equatorial Guinea,</w:t>
            </w:r>
            <w:r w:rsidRPr="00773B90">
              <w:rPr>
                <w:rFonts w:cs="Arial"/>
                <w:color w:val="000000"/>
                <w:sz w:val="16"/>
                <w:szCs w:val="16"/>
              </w:rPr>
              <w:t xml:space="preserve"> Gabon, Guine</w:t>
            </w:r>
            <w:r>
              <w:rPr>
                <w:rFonts w:cs="Arial"/>
                <w:color w:val="000000"/>
                <w:sz w:val="16"/>
                <w:szCs w:val="16"/>
              </w:rPr>
              <w:t>a</w:t>
            </w:r>
            <w:r w:rsidRPr="00773B90">
              <w:rPr>
                <w:rFonts w:cs="Arial"/>
                <w:color w:val="000000"/>
                <w:sz w:val="16"/>
                <w:szCs w:val="16"/>
              </w:rPr>
              <w:t>, Madagascar, Mali, Mauritani</w:t>
            </w:r>
            <w:r>
              <w:rPr>
                <w:rFonts w:cs="Arial"/>
                <w:color w:val="000000"/>
                <w:sz w:val="16"/>
                <w:szCs w:val="16"/>
              </w:rPr>
              <w:t>a</w:t>
            </w:r>
            <w:r w:rsidRPr="00773B90">
              <w:rPr>
                <w:rFonts w:cs="Arial"/>
                <w:color w:val="000000"/>
                <w:sz w:val="16"/>
                <w:szCs w:val="16"/>
              </w:rPr>
              <w:t xml:space="preserve">, Niger, Senegal, </w:t>
            </w:r>
            <w:r>
              <w:rPr>
                <w:rFonts w:cs="Arial"/>
                <w:color w:val="000000"/>
                <w:sz w:val="16"/>
                <w:szCs w:val="16"/>
              </w:rPr>
              <w:t>C</w:t>
            </w:r>
            <w:r w:rsidRPr="00773B90">
              <w:rPr>
                <w:rFonts w:cs="Arial"/>
                <w:color w:val="000000"/>
                <w:sz w:val="16"/>
                <w:szCs w:val="16"/>
              </w:rPr>
              <w:t>had and Togo</w:t>
            </w:r>
          </w:p>
        </w:tc>
        <w:tc>
          <w:tcPr>
            <w:tcW w:w="4394" w:type="dxa"/>
            <w:tcBorders>
              <w:top w:val="nil"/>
              <w:bottom w:val="nil"/>
              <w:right w:val="single" w:sz="4" w:space="0" w:color="auto"/>
            </w:tcBorders>
          </w:tcPr>
          <w:p w:rsidR="0063033D" w:rsidRPr="00774D44" w:rsidRDefault="0063033D" w:rsidP="008D1891">
            <w:pPr>
              <w:autoSpaceDE w:val="0"/>
              <w:autoSpaceDN w:val="0"/>
              <w:adjustRightInd w:val="0"/>
              <w:spacing w:before="120" w:after="120"/>
              <w:rPr>
                <w:rFonts w:cs="Arial"/>
                <w:color w:val="000000"/>
                <w:sz w:val="16"/>
                <w:szCs w:val="16"/>
              </w:rPr>
            </w:pPr>
            <w:r w:rsidRPr="00CF6028">
              <w:rPr>
                <w:rFonts w:cs="Arial"/>
                <w:color w:val="000000"/>
                <w:sz w:val="16"/>
                <w:szCs w:val="16"/>
              </w:rPr>
              <w:t>To</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w:t>
            </w:r>
            <w:r w:rsidRPr="00CF6028">
              <w:rPr>
                <w:rFonts w:cs="Arial"/>
                <w:color w:val="000000"/>
                <w:sz w:val="16"/>
                <w:szCs w:val="16"/>
              </w:rPr>
              <w:t xml:space="preserve"> help participants familiarize themselves with and better understand the functioning of IP, one of the levers of the twenty-first century knowledge-based economy, technological innovation and competitiveness.</w:t>
            </w:r>
          </w:p>
        </w:tc>
      </w:tr>
      <w:tr w:rsidR="0063033D" w:rsidRPr="00774D44" w:rsidTr="008D1891">
        <w:trPr>
          <w:cantSplit/>
          <w:trHeight w:val="315"/>
        </w:trPr>
        <w:tc>
          <w:tcPr>
            <w:tcW w:w="1843" w:type="dxa"/>
            <w:tcBorders>
              <w:top w:val="nil"/>
              <w:left w:val="single" w:sz="4" w:space="0" w:color="auto"/>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sidRPr="002B31BC">
              <w:rPr>
                <w:rFonts w:cs="Arial"/>
                <w:color w:val="000000"/>
                <w:sz w:val="16"/>
                <w:szCs w:val="16"/>
              </w:rPr>
              <w:t>Workshop on Human Resource Development of Patent/Trademark Agents for ARIPO Member States and Observer States</w:t>
            </w:r>
          </w:p>
        </w:tc>
        <w:tc>
          <w:tcPr>
            <w:tcW w:w="1134" w:type="dxa"/>
            <w:tcBorders>
              <w:top w:val="nil"/>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sidRPr="004441D9">
              <w:rPr>
                <w:rFonts w:cs="Arial"/>
                <w:color w:val="000000"/>
                <w:sz w:val="16"/>
                <w:szCs w:val="16"/>
              </w:rPr>
              <w:t xml:space="preserve">October 27 </w:t>
            </w:r>
            <w:r>
              <w:rPr>
                <w:rFonts w:cs="Arial"/>
                <w:color w:val="000000"/>
                <w:sz w:val="16"/>
                <w:szCs w:val="16"/>
              </w:rPr>
              <w:t>to</w:t>
            </w:r>
            <w:r w:rsidRPr="004441D9">
              <w:rPr>
                <w:rFonts w:cs="Arial"/>
                <w:color w:val="000000"/>
                <w:sz w:val="16"/>
                <w:szCs w:val="16"/>
              </w:rPr>
              <w:t xml:space="preserve"> 28, 2014</w:t>
            </w:r>
          </w:p>
        </w:tc>
        <w:tc>
          <w:tcPr>
            <w:tcW w:w="1985" w:type="dxa"/>
            <w:tcBorders>
              <w:top w:val="nil"/>
              <w:bottom w:val="nil"/>
            </w:tcBorders>
          </w:tcPr>
          <w:p w:rsidR="0063033D" w:rsidRPr="00626AE0" w:rsidRDefault="0063033D" w:rsidP="008D1891">
            <w:pPr>
              <w:autoSpaceDE w:val="0"/>
              <w:autoSpaceDN w:val="0"/>
              <w:adjustRightInd w:val="0"/>
              <w:spacing w:before="120" w:after="120"/>
              <w:rPr>
                <w:rFonts w:cs="Arial"/>
                <w:color w:val="000000"/>
                <w:sz w:val="16"/>
                <w:szCs w:val="16"/>
              </w:rPr>
            </w:pPr>
            <w:r w:rsidRPr="00426E3C">
              <w:rPr>
                <w:rFonts w:cs="Arial"/>
                <w:color w:val="000000"/>
                <w:sz w:val="16"/>
                <w:szCs w:val="16"/>
              </w:rPr>
              <w:t xml:space="preserve">Zimbabwe/         </w:t>
            </w:r>
            <w:r>
              <w:rPr>
                <w:rFonts w:cs="Arial"/>
                <w:color w:val="000000"/>
                <w:sz w:val="16"/>
                <w:szCs w:val="16"/>
              </w:rPr>
              <w:t xml:space="preserve">         </w:t>
            </w:r>
            <w:r w:rsidRPr="00426E3C">
              <w:rPr>
                <w:rFonts w:cs="Arial"/>
                <w:color w:val="000000"/>
                <w:sz w:val="16"/>
                <w:szCs w:val="16"/>
              </w:rPr>
              <w:t xml:space="preserve"> 34 participants from Botswana, Gambia, Ghana, Kenya, Lesotho, Malawi, Mozambique, Namibia, Rwanda, Swaziland, Uganda, </w:t>
            </w:r>
            <w:r>
              <w:rPr>
                <w:rFonts w:cs="Arial"/>
                <w:color w:val="000000"/>
                <w:sz w:val="16"/>
                <w:szCs w:val="16"/>
              </w:rPr>
              <w:t xml:space="preserve">United Republic of </w:t>
            </w:r>
            <w:r w:rsidRPr="00426E3C">
              <w:rPr>
                <w:rFonts w:cs="Arial"/>
                <w:color w:val="000000"/>
                <w:sz w:val="16"/>
                <w:szCs w:val="16"/>
              </w:rPr>
              <w:t>Tanzania</w:t>
            </w:r>
            <w:r>
              <w:rPr>
                <w:rFonts w:cs="Arial"/>
                <w:color w:val="000000"/>
                <w:sz w:val="16"/>
                <w:szCs w:val="16"/>
              </w:rPr>
              <w:t xml:space="preserve">, </w:t>
            </w:r>
            <w:r w:rsidRPr="00426E3C">
              <w:rPr>
                <w:rFonts w:cs="Arial"/>
                <w:color w:val="000000"/>
                <w:sz w:val="16"/>
                <w:szCs w:val="16"/>
              </w:rPr>
              <w:t>Zambia and Zimbabwe</w:t>
            </w:r>
          </w:p>
        </w:tc>
        <w:tc>
          <w:tcPr>
            <w:tcW w:w="4394" w:type="dxa"/>
            <w:tcBorders>
              <w:top w:val="nil"/>
              <w:bottom w:val="nil"/>
              <w:right w:val="single" w:sz="4" w:space="0" w:color="auto"/>
            </w:tcBorders>
          </w:tcPr>
          <w:p w:rsidR="0063033D" w:rsidRPr="00774D44" w:rsidRDefault="0063033D" w:rsidP="008D1891">
            <w:pPr>
              <w:autoSpaceDE w:val="0"/>
              <w:autoSpaceDN w:val="0"/>
              <w:adjustRightInd w:val="0"/>
              <w:spacing w:before="120" w:after="120"/>
              <w:rPr>
                <w:rFonts w:cs="Arial"/>
                <w:color w:val="000000"/>
                <w:sz w:val="16"/>
                <w:szCs w:val="16"/>
              </w:rPr>
            </w:pPr>
            <w:r w:rsidRPr="00516FCE">
              <w:rPr>
                <w:rFonts w:cs="Arial"/>
                <w:color w:val="000000"/>
                <w:sz w:val="16"/>
                <w:szCs w:val="16"/>
              </w:rPr>
              <w:t>To</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w:t>
            </w:r>
            <w:r w:rsidRPr="00516FCE">
              <w:rPr>
                <w:rFonts w:cs="Arial"/>
                <w:color w:val="000000"/>
                <w:sz w:val="16"/>
                <w:szCs w:val="16"/>
              </w:rPr>
              <w:t xml:space="preserve"> assist ARIPO </w:t>
            </w:r>
            <w:r>
              <w:rPr>
                <w:rFonts w:cs="Arial"/>
                <w:color w:val="000000"/>
                <w:sz w:val="16"/>
                <w:szCs w:val="16"/>
              </w:rPr>
              <w:t>with</w:t>
            </w:r>
            <w:r w:rsidRPr="00516FCE">
              <w:rPr>
                <w:rFonts w:cs="Arial"/>
                <w:color w:val="000000"/>
                <w:sz w:val="16"/>
                <w:szCs w:val="16"/>
              </w:rPr>
              <w:t xml:space="preserve"> exchanges </w:t>
            </w:r>
            <w:r>
              <w:rPr>
                <w:rFonts w:cs="Arial"/>
                <w:color w:val="000000"/>
                <w:sz w:val="16"/>
                <w:szCs w:val="16"/>
              </w:rPr>
              <w:t>among</w:t>
            </w:r>
            <w:r w:rsidRPr="00516FCE">
              <w:rPr>
                <w:rFonts w:cs="Arial"/>
                <w:color w:val="000000"/>
                <w:sz w:val="16"/>
                <w:szCs w:val="16"/>
              </w:rPr>
              <w:t xml:space="preserve"> practicing patent/trademark agents in order to find the best ways and means to improve the quality of the current business procedures before ARIPO</w:t>
            </w:r>
            <w:r>
              <w:rPr>
                <w:rFonts w:cs="Arial"/>
                <w:color w:val="000000"/>
                <w:sz w:val="16"/>
                <w:szCs w:val="16"/>
              </w:rPr>
              <w:t>;</w:t>
            </w:r>
            <w:r w:rsidRPr="00516FCE">
              <w:rPr>
                <w:rFonts w:cs="Arial"/>
                <w:color w:val="000000"/>
                <w:sz w:val="16"/>
                <w:szCs w:val="16"/>
              </w:rPr>
              <w:t xml:space="preserve"> and</w:t>
            </w:r>
            <w:r>
              <w:rPr>
                <w:rFonts w:cs="Arial"/>
                <w:color w:val="000000"/>
                <w:sz w:val="16"/>
                <w:szCs w:val="16"/>
              </w:rPr>
              <w:t xml:space="preserve"> (ii)</w:t>
            </w:r>
            <w:r w:rsidRPr="00516FCE">
              <w:rPr>
                <w:rFonts w:cs="Arial"/>
                <w:color w:val="000000"/>
                <w:sz w:val="16"/>
                <w:szCs w:val="16"/>
              </w:rPr>
              <w:t xml:space="preserve"> discuss initiatives that can be implemented to improve the quality of their services to meet the needs of IP system users.</w:t>
            </w:r>
          </w:p>
        </w:tc>
      </w:tr>
      <w:tr w:rsidR="0063033D" w:rsidRPr="00774D44" w:rsidTr="009375B7">
        <w:trPr>
          <w:cantSplit/>
          <w:trHeight w:val="315"/>
        </w:trPr>
        <w:tc>
          <w:tcPr>
            <w:tcW w:w="1843" w:type="dxa"/>
            <w:tcBorders>
              <w:top w:val="nil"/>
              <w:left w:val="single" w:sz="4" w:space="0" w:color="auto"/>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sidRPr="00157B01">
              <w:rPr>
                <w:rFonts w:cs="Arial"/>
                <w:color w:val="000000"/>
                <w:sz w:val="16"/>
                <w:szCs w:val="16"/>
              </w:rPr>
              <w:t>Training Course on the Use of Information Technology in Industrial Property Administration</w:t>
            </w:r>
          </w:p>
        </w:tc>
        <w:tc>
          <w:tcPr>
            <w:tcW w:w="1134" w:type="dxa"/>
            <w:tcBorders>
              <w:top w:val="nil"/>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sidRPr="000A2576">
              <w:rPr>
                <w:rFonts w:cs="Arial"/>
                <w:color w:val="000000"/>
                <w:sz w:val="16"/>
                <w:szCs w:val="16"/>
              </w:rPr>
              <w:t>October 27 to November 7, 2014</w:t>
            </w:r>
          </w:p>
        </w:tc>
        <w:tc>
          <w:tcPr>
            <w:tcW w:w="1985" w:type="dxa"/>
            <w:tcBorders>
              <w:top w:val="nil"/>
              <w:bottom w:val="nil"/>
            </w:tcBorders>
          </w:tcPr>
          <w:p w:rsidR="0063033D" w:rsidRPr="00626AE0" w:rsidRDefault="0063033D" w:rsidP="008D1891">
            <w:pPr>
              <w:autoSpaceDE w:val="0"/>
              <w:autoSpaceDN w:val="0"/>
              <w:adjustRightInd w:val="0"/>
              <w:spacing w:before="120" w:after="120"/>
              <w:rPr>
                <w:rFonts w:cs="Arial"/>
                <w:color w:val="000000"/>
                <w:sz w:val="16"/>
                <w:szCs w:val="16"/>
              </w:rPr>
            </w:pPr>
            <w:r w:rsidRPr="00CF19D4">
              <w:rPr>
                <w:rFonts w:cs="Arial"/>
                <w:color w:val="000000"/>
                <w:sz w:val="16"/>
                <w:szCs w:val="16"/>
              </w:rPr>
              <w:t>Japan/</w:t>
            </w:r>
            <w:r>
              <w:rPr>
                <w:rFonts w:cs="Arial"/>
                <w:color w:val="000000"/>
                <w:sz w:val="16"/>
                <w:szCs w:val="16"/>
              </w:rPr>
              <w:t xml:space="preserve"> </w:t>
            </w:r>
            <w:r w:rsidRPr="00CF19D4">
              <w:rPr>
                <w:rFonts w:cs="Arial"/>
                <w:color w:val="000000"/>
                <w:sz w:val="16"/>
                <w:szCs w:val="16"/>
              </w:rPr>
              <w:t>ARIPO</w:t>
            </w:r>
            <w:r>
              <w:rPr>
                <w:rFonts w:cs="Arial"/>
                <w:color w:val="000000"/>
                <w:sz w:val="16"/>
                <w:szCs w:val="16"/>
              </w:rPr>
              <w:t xml:space="preserve">, </w:t>
            </w:r>
            <w:r w:rsidRPr="00CF19D4">
              <w:rPr>
                <w:rFonts w:cs="Arial"/>
                <w:color w:val="000000"/>
                <w:sz w:val="16"/>
                <w:szCs w:val="16"/>
              </w:rPr>
              <w:t>Botswana, Egypt, Kenya, and OAPI</w:t>
            </w:r>
          </w:p>
        </w:tc>
        <w:tc>
          <w:tcPr>
            <w:tcW w:w="4394" w:type="dxa"/>
            <w:tcBorders>
              <w:top w:val="nil"/>
              <w:bottom w:val="nil"/>
              <w:right w:val="single" w:sz="4" w:space="0" w:color="auto"/>
            </w:tcBorders>
          </w:tcPr>
          <w:p w:rsidR="0063033D" w:rsidRPr="00774D44" w:rsidRDefault="0063033D" w:rsidP="008D1891">
            <w:pPr>
              <w:autoSpaceDE w:val="0"/>
              <w:autoSpaceDN w:val="0"/>
              <w:adjustRightInd w:val="0"/>
              <w:spacing w:before="120" w:after="120"/>
              <w:rPr>
                <w:rFonts w:cs="Arial"/>
                <w:color w:val="000000"/>
                <w:sz w:val="16"/>
                <w:szCs w:val="16"/>
              </w:rPr>
            </w:pPr>
            <w:r w:rsidRPr="005C4F6A">
              <w:rPr>
                <w:rFonts w:cs="Arial"/>
                <w:color w:val="000000"/>
                <w:sz w:val="16"/>
                <w:szCs w:val="16"/>
              </w:rPr>
              <w:t>To</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w:t>
            </w:r>
            <w:r w:rsidRPr="005C4F6A">
              <w:rPr>
                <w:rFonts w:cs="Arial"/>
                <w:color w:val="000000"/>
                <w:sz w:val="16"/>
                <w:szCs w:val="16"/>
              </w:rPr>
              <w:t xml:space="preserve"> familiarize participants with recent developments in information technology in relation to industrial property administration, dissemination of industrial property information, and provision of online services; </w:t>
            </w:r>
            <w:r>
              <w:rPr>
                <w:rFonts w:cs="Arial"/>
                <w:color w:val="000000"/>
                <w:sz w:val="16"/>
                <w:szCs w:val="16"/>
              </w:rPr>
              <w:t>(ii)</w:t>
            </w:r>
            <w:r w:rsidRPr="005C4F6A">
              <w:rPr>
                <w:rFonts w:cs="Arial"/>
                <w:color w:val="000000"/>
                <w:sz w:val="16"/>
                <w:szCs w:val="16"/>
              </w:rPr>
              <w:t xml:space="preserve"> impart practical knowledge of latest tools and technologies via interactive sessions, as well as through visits to relevant private entities; and </w:t>
            </w:r>
            <w:r>
              <w:rPr>
                <w:rFonts w:cs="Arial"/>
                <w:color w:val="000000"/>
                <w:sz w:val="16"/>
                <w:szCs w:val="16"/>
              </w:rPr>
              <w:t>(iii)</w:t>
            </w:r>
            <w:r w:rsidRPr="005C4F6A">
              <w:rPr>
                <w:rFonts w:cs="Arial"/>
                <w:color w:val="000000"/>
                <w:sz w:val="16"/>
                <w:szCs w:val="16"/>
              </w:rPr>
              <w:t xml:space="preserve"> provide an opportunity to exchange views and concerns among participants on topical related issues, and thereby enhance the participants’ professional capacities in planning and managing the use of information technology in industrial property administration.</w:t>
            </w:r>
          </w:p>
        </w:tc>
      </w:tr>
      <w:tr w:rsidR="0063033D" w:rsidRPr="00774D44" w:rsidTr="009375B7">
        <w:trPr>
          <w:cantSplit/>
          <w:trHeight w:val="315"/>
        </w:trPr>
        <w:tc>
          <w:tcPr>
            <w:tcW w:w="1843" w:type="dxa"/>
            <w:tcBorders>
              <w:top w:val="nil"/>
              <w:left w:val="single" w:sz="4" w:space="0" w:color="auto"/>
              <w:bottom w:val="single" w:sz="4" w:space="0" w:color="auto"/>
            </w:tcBorders>
          </w:tcPr>
          <w:p w:rsidR="0063033D" w:rsidRPr="00774D44" w:rsidRDefault="0063033D" w:rsidP="008D1891">
            <w:pPr>
              <w:autoSpaceDE w:val="0"/>
              <w:autoSpaceDN w:val="0"/>
              <w:adjustRightInd w:val="0"/>
              <w:spacing w:before="120" w:after="120"/>
              <w:rPr>
                <w:rFonts w:cs="Arial"/>
                <w:color w:val="000000"/>
                <w:sz w:val="16"/>
                <w:szCs w:val="16"/>
              </w:rPr>
            </w:pPr>
            <w:r w:rsidRPr="00037288">
              <w:rPr>
                <w:rFonts w:cs="Arial"/>
                <w:color w:val="000000"/>
                <w:sz w:val="16"/>
                <w:szCs w:val="16"/>
              </w:rPr>
              <w:t>IP Examination (Advanced) - Patent Training Course on Industrial Property Examination (Advanced Program)</w:t>
            </w:r>
          </w:p>
        </w:tc>
        <w:tc>
          <w:tcPr>
            <w:tcW w:w="1134" w:type="dxa"/>
            <w:tcBorders>
              <w:top w:val="nil"/>
              <w:bottom w:val="single" w:sz="4" w:space="0" w:color="auto"/>
            </w:tcBorders>
          </w:tcPr>
          <w:p w:rsidR="0063033D" w:rsidRPr="00774D44" w:rsidRDefault="0063033D" w:rsidP="008D1891">
            <w:pPr>
              <w:autoSpaceDE w:val="0"/>
              <w:autoSpaceDN w:val="0"/>
              <w:adjustRightInd w:val="0"/>
              <w:spacing w:before="120" w:after="120"/>
              <w:rPr>
                <w:rFonts w:cs="Arial"/>
                <w:color w:val="000000"/>
                <w:sz w:val="16"/>
                <w:szCs w:val="16"/>
              </w:rPr>
            </w:pPr>
            <w:r w:rsidRPr="00646B09">
              <w:rPr>
                <w:rFonts w:cs="Arial"/>
                <w:color w:val="000000"/>
                <w:sz w:val="16"/>
                <w:szCs w:val="16"/>
              </w:rPr>
              <w:t>November 10 to 21, 2014</w:t>
            </w:r>
          </w:p>
        </w:tc>
        <w:tc>
          <w:tcPr>
            <w:tcW w:w="1985" w:type="dxa"/>
            <w:tcBorders>
              <w:top w:val="nil"/>
              <w:bottom w:val="single" w:sz="4" w:space="0" w:color="auto"/>
            </w:tcBorders>
          </w:tcPr>
          <w:p w:rsidR="0063033D" w:rsidRPr="00626AE0" w:rsidRDefault="0063033D" w:rsidP="008D1891">
            <w:pPr>
              <w:autoSpaceDE w:val="0"/>
              <w:autoSpaceDN w:val="0"/>
              <w:adjustRightInd w:val="0"/>
              <w:spacing w:before="120" w:after="120"/>
              <w:rPr>
                <w:rFonts w:cs="Arial"/>
                <w:color w:val="000000"/>
                <w:sz w:val="16"/>
                <w:szCs w:val="16"/>
              </w:rPr>
            </w:pPr>
            <w:r w:rsidRPr="00375F44">
              <w:rPr>
                <w:rFonts w:cs="Arial"/>
                <w:color w:val="000000"/>
                <w:sz w:val="16"/>
                <w:szCs w:val="16"/>
              </w:rPr>
              <w:t xml:space="preserve">Japan/          </w:t>
            </w:r>
            <w:r>
              <w:rPr>
                <w:rFonts w:cs="Arial"/>
                <w:color w:val="000000"/>
                <w:sz w:val="16"/>
                <w:szCs w:val="16"/>
              </w:rPr>
              <w:t xml:space="preserve">          </w:t>
            </w:r>
            <w:r w:rsidRPr="00375F44">
              <w:rPr>
                <w:rFonts w:cs="Arial"/>
                <w:color w:val="000000"/>
                <w:sz w:val="16"/>
                <w:szCs w:val="16"/>
              </w:rPr>
              <w:t>Egypt</w:t>
            </w:r>
          </w:p>
        </w:tc>
        <w:tc>
          <w:tcPr>
            <w:tcW w:w="4394" w:type="dxa"/>
            <w:tcBorders>
              <w:top w:val="nil"/>
              <w:bottom w:val="single" w:sz="4" w:space="0" w:color="auto"/>
              <w:right w:val="single" w:sz="4" w:space="0" w:color="auto"/>
            </w:tcBorders>
          </w:tcPr>
          <w:p w:rsidR="0063033D" w:rsidRPr="00774D44" w:rsidRDefault="0063033D" w:rsidP="008D1891">
            <w:pPr>
              <w:autoSpaceDE w:val="0"/>
              <w:autoSpaceDN w:val="0"/>
              <w:adjustRightInd w:val="0"/>
              <w:spacing w:before="120" w:after="120"/>
              <w:rPr>
                <w:rFonts w:cs="Arial"/>
                <w:color w:val="000000"/>
                <w:sz w:val="16"/>
                <w:szCs w:val="16"/>
              </w:rPr>
            </w:pPr>
            <w:r w:rsidRPr="00DC4B12">
              <w:rPr>
                <w:rFonts w:cs="Arial"/>
                <w:color w:val="000000"/>
                <w:sz w:val="16"/>
                <w:szCs w:val="16"/>
              </w:rPr>
              <w:t>To</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w:t>
            </w:r>
            <w:r w:rsidRPr="00DC4B12">
              <w:rPr>
                <w:rFonts w:cs="Arial"/>
                <w:color w:val="000000"/>
                <w:sz w:val="16"/>
                <w:szCs w:val="16"/>
              </w:rPr>
              <w:t xml:space="preserve"> provide participants with a basic knowledge of laws and procedures in the field of examination of industrial property rights;</w:t>
            </w:r>
            <w:r>
              <w:rPr>
                <w:rFonts w:cs="Arial"/>
                <w:color w:val="000000"/>
                <w:sz w:val="16"/>
                <w:szCs w:val="16"/>
              </w:rPr>
              <w:t xml:space="preserve"> </w:t>
            </w:r>
            <w:r w:rsidRPr="00DC4B12">
              <w:rPr>
                <w:rFonts w:cs="Arial"/>
                <w:color w:val="000000"/>
                <w:sz w:val="16"/>
                <w:szCs w:val="16"/>
              </w:rPr>
              <w:t xml:space="preserve">and </w:t>
            </w:r>
            <w:r>
              <w:rPr>
                <w:rFonts w:cs="Arial"/>
                <w:color w:val="000000"/>
                <w:sz w:val="16"/>
                <w:szCs w:val="16"/>
              </w:rPr>
              <w:t>(ii)</w:t>
            </w:r>
            <w:r w:rsidRPr="00DC4B12">
              <w:rPr>
                <w:rFonts w:cs="Arial"/>
                <w:color w:val="000000"/>
                <w:sz w:val="16"/>
                <w:szCs w:val="16"/>
              </w:rPr>
              <w:t xml:space="preserve"> provide on-the-job training to enhance their professional skills.</w:t>
            </w:r>
          </w:p>
        </w:tc>
      </w:tr>
      <w:tr w:rsidR="009375B7" w:rsidRPr="00774D44" w:rsidTr="009375B7">
        <w:trPr>
          <w:cantSplit/>
          <w:trHeight w:val="315"/>
        </w:trPr>
        <w:tc>
          <w:tcPr>
            <w:tcW w:w="1843" w:type="dxa"/>
            <w:tcBorders>
              <w:top w:val="single" w:sz="4" w:space="0" w:color="auto"/>
              <w:left w:val="single" w:sz="4" w:space="0" w:color="auto"/>
              <w:bottom w:val="nil"/>
            </w:tcBorders>
            <w:vAlign w:val="center"/>
          </w:tcPr>
          <w:p w:rsidR="009375B7" w:rsidRPr="002B7DE5" w:rsidRDefault="009375B7" w:rsidP="008D1891">
            <w:pPr>
              <w:keepNext/>
              <w:keepLines/>
              <w:spacing w:before="120"/>
              <w:rPr>
                <w:rFonts w:cs="Arial"/>
                <w:b/>
                <w:bCs/>
                <w:sz w:val="16"/>
                <w:szCs w:val="16"/>
              </w:rPr>
            </w:pPr>
            <w:r w:rsidRPr="002B7DE5">
              <w:rPr>
                <w:rFonts w:cs="Arial"/>
                <w:b/>
                <w:bCs/>
                <w:sz w:val="16"/>
                <w:szCs w:val="16"/>
              </w:rPr>
              <w:lastRenderedPageBreak/>
              <w:t>Activity</w:t>
            </w:r>
          </w:p>
        </w:tc>
        <w:tc>
          <w:tcPr>
            <w:tcW w:w="1134" w:type="dxa"/>
            <w:tcBorders>
              <w:top w:val="single" w:sz="4" w:space="0" w:color="auto"/>
              <w:bottom w:val="nil"/>
            </w:tcBorders>
            <w:vAlign w:val="center"/>
          </w:tcPr>
          <w:p w:rsidR="009375B7" w:rsidRPr="002B7DE5" w:rsidRDefault="009375B7" w:rsidP="008D1891">
            <w:pPr>
              <w:keepNext/>
              <w:keepLines/>
              <w:spacing w:before="120"/>
              <w:rPr>
                <w:rFonts w:cs="Arial"/>
                <w:sz w:val="16"/>
                <w:szCs w:val="16"/>
              </w:rPr>
            </w:pPr>
            <w:r w:rsidRPr="002B7DE5">
              <w:rPr>
                <w:rFonts w:cs="Arial"/>
                <w:b/>
                <w:bCs/>
                <w:sz w:val="16"/>
                <w:szCs w:val="16"/>
              </w:rPr>
              <w:t>Date</w:t>
            </w:r>
          </w:p>
        </w:tc>
        <w:tc>
          <w:tcPr>
            <w:tcW w:w="1985" w:type="dxa"/>
            <w:tcBorders>
              <w:top w:val="single" w:sz="4" w:space="0" w:color="auto"/>
              <w:bottom w:val="nil"/>
            </w:tcBorders>
            <w:vAlign w:val="center"/>
          </w:tcPr>
          <w:p w:rsidR="009375B7" w:rsidRPr="002B7DE5" w:rsidRDefault="009375B7" w:rsidP="008D1891">
            <w:pPr>
              <w:keepNext/>
              <w:keepLines/>
              <w:spacing w:before="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auto"/>
              <w:bottom w:val="nil"/>
              <w:right w:val="single" w:sz="4" w:space="0" w:color="auto"/>
            </w:tcBorders>
            <w:vAlign w:val="center"/>
          </w:tcPr>
          <w:p w:rsidR="009375B7" w:rsidRPr="002B7DE5" w:rsidRDefault="009375B7" w:rsidP="008D1891">
            <w:pPr>
              <w:keepNext/>
              <w:keepLines/>
              <w:spacing w:before="120"/>
              <w:rPr>
                <w:rFonts w:cs="Arial"/>
                <w:sz w:val="16"/>
                <w:szCs w:val="16"/>
              </w:rPr>
            </w:pPr>
            <w:r w:rsidRPr="002B7DE5">
              <w:rPr>
                <w:rFonts w:cs="Arial"/>
                <w:b/>
                <w:bCs/>
                <w:sz w:val="16"/>
                <w:szCs w:val="16"/>
              </w:rPr>
              <w:t>Purpose(s)/Description(s)</w:t>
            </w:r>
          </w:p>
        </w:tc>
      </w:tr>
      <w:tr w:rsidR="009375B7" w:rsidRPr="00774D44" w:rsidTr="009375B7">
        <w:trPr>
          <w:cantSplit/>
          <w:trHeight w:val="315"/>
        </w:trPr>
        <w:tc>
          <w:tcPr>
            <w:tcW w:w="1843" w:type="dxa"/>
            <w:tcBorders>
              <w:top w:val="nil"/>
              <w:left w:val="single" w:sz="4" w:space="0" w:color="auto"/>
              <w:bottom w:val="nil"/>
            </w:tcBorders>
          </w:tcPr>
          <w:p w:rsidR="009375B7" w:rsidRPr="00774D44" w:rsidRDefault="009375B7" w:rsidP="008D1891">
            <w:pPr>
              <w:autoSpaceDE w:val="0"/>
              <w:autoSpaceDN w:val="0"/>
              <w:adjustRightInd w:val="0"/>
              <w:spacing w:before="120" w:after="120"/>
              <w:rPr>
                <w:rFonts w:cs="Arial"/>
                <w:color w:val="000000"/>
                <w:sz w:val="16"/>
                <w:szCs w:val="16"/>
              </w:rPr>
            </w:pPr>
            <w:r w:rsidRPr="00A630C2">
              <w:rPr>
                <w:rFonts w:cs="Arial"/>
                <w:color w:val="000000"/>
                <w:sz w:val="16"/>
                <w:szCs w:val="16"/>
              </w:rPr>
              <w:t>WIPO-South Africa Advanced Summer School on Intellectual Property (IP) and Transfer of Technology (TOT)</w:t>
            </w:r>
          </w:p>
        </w:tc>
        <w:tc>
          <w:tcPr>
            <w:tcW w:w="1134" w:type="dxa"/>
            <w:tcBorders>
              <w:top w:val="nil"/>
              <w:bottom w:val="nil"/>
            </w:tcBorders>
          </w:tcPr>
          <w:p w:rsidR="009375B7" w:rsidRPr="00774D44" w:rsidRDefault="009375B7" w:rsidP="008D1891">
            <w:pPr>
              <w:autoSpaceDE w:val="0"/>
              <w:autoSpaceDN w:val="0"/>
              <w:adjustRightInd w:val="0"/>
              <w:spacing w:before="120" w:after="120"/>
              <w:rPr>
                <w:rFonts w:cs="Arial"/>
                <w:color w:val="000000"/>
                <w:sz w:val="16"/>
                <w:szCs w:val="16"/>
              </w:rPr>
            </w:pPr>
            <w:r w:rsidRPr="00A630C2">
              <w:rPr>
                <w:rFonts w:cs="Arial"/>
                <w:color w:val="000000"/>
                <w:sz w:val="16"/>
                <w:szCs w:val="16"/>
              </w:rPr>
              <w:t>November 24 to December 5, 2014</w:t>
            </w:r>
          </w:p>
        </w:tc>
        <w:tc>
          <w:tcPr>
            <w:tcW w:w="1985" w:type="dxa"/>
            <w:tcBorders>
              <w:top w:val="nil"/>
              <w:bottom w:val="nil"/>
            </w:tcBorders>
          </w:tcPr>
          <w:p w:rsidR="009375B7" w:rsidRPr="00626AE0" w:rsidRDefault="009375B7" w:rsidP="008D1891">
            <w:pPr>
              <w:autoSpaceDE w:val="0"/>
              <w:autoSpaceDN w:val="0"/>
              <w:adjustRightInd w:val="0"/>
              <w:spacing w:before="120" w:after="120"/>
              <w:rPr>
                <w:rFonts w:cs="Arial"/>
                <w:color w:val="000000"/>
                <w:sz w:val="16"/>
                <w:szCs w:val="16"/>
              </w:rPr>
            </w:pPr>
            <w:r w:rsidRPr="00455463">
              <w:rPr>
                <w:rFonts w:cs="Arial"/>
                <w:color w:val="000000"/>
                <w:sz w:val="16"/>
                <w:szCs w:val="16"/>
              </w:rPr>
              <w:t xml:space="preserve">South Africa/      </w:t>
            </w:r>
            <w:r>
              <w:rPr>
                <w:rFonts w:cs="Arial"/>
                <w:color w:val="000000"/>
                <w:sz w:val="16"/>
                <w:szCs w:val="16"/>
              </w:rPr>
              <w:t xml:space="preserve">         </w:t>
            </w:r>
            <w:r w:rsidRPr="00455463">
              <w:rPr>
                <w:rFonts w:cs="Arial"/>
                <w:color w:val="000000"/>
                <w:sz w:val="16"/>
                <w:szCs w:val="16"/>
              </w:rPr>
              <w:t xml:space="preserve"> 10 scholarships to selected trainees from Botswana, Cameroon, Ethiopia, Ghana, Kenya, Nigeria,  Uganda</w:t>
            </w:r>
            <w:r>
              <w:rPr>
                <w:rFonts w:cs="Arial"/>
                <w:color w:val="000000"/>
                <w:sz w:val="16"/>
                <w:szCs w:val="16"/>
              </w:rPr>
              <w:t>,</w:t>
            </w:r>
            <w:r w:rsidRPr="00455463">
              <w:rPr>
                <w:rFonts w:cs="Arial"/>
                <w:color w:val="000000"/>
                <w:sz w:val="16"/>
                <w:szCs w:val="16"/>
              </w:rPr>
              <w:t xml:space="preserve"> </w:t>
            </w:r>
            <w:r>
              <w:rPr>
                <w:rFonts w:cs="Arial"/>
                <w:color w:val="000000"/>
                <w:sz w:val="16"/>
                <w:szCs w:val="16"/>
              </w:rPr>
              <w:t xml:space="preserve">United Republic of </w:t>
            </w:r>
            <w:r w:rsidRPr="00455463">
              <w:rPr>
                <w:rFonts w:cs="Arial"/>
                <w:color w:val="000000"/>
                <w:sz w:val="16"/>
                <w:szCs w:val="16"/>
              </w:rPr>
              <w:t>Tanzania and Zimbabwe</w:t>
            </w:r>
          </w:p>
        </w:tc>
        <w:tc>
          <w:tcPr>
            <w:tcW w:w="4394" w:type="dxa"/>
            <w:tcBorders>
              <w:top w:val="nil"/>
              <w:bottom w:val="nil"/>
              <w:right w:val="single" w:sz="4" w:space="0" w:color="auto"/>
            </w:tcBorders>
          </w:tcPr>
          <w:p w:rsidR="009375B7" w:rsidRPr="00774D44" w:rsidRDefault="009375B7" w:rsidP="008D1891">
            <w:pPr>
              <w:autoSpaceDE w:val="0"/>
              <w:autoSpaceDN w:val="0"/>
              <w:adjustRightInd w:val="0"/>
              <w:spacing w:before="120" w:after="120"/>
              <w:rPr>
                <w:rFonts w:cs="Arial"/>
                <w:color w:val="000000"/>
                <w:sz w:val="16"/>
                <w:szCs w:val="16"/>
              </w:rPr>
            </w:pPr>
            <w:r w:rsidRPr="00981723">
              <w:rPr>
                <w:rFonts w:cs="Arial"/>
                <w:color w:val="000000"/>
                <w:sz w:val="16"/>
                <w:szCs w:val="16"/>
              </w:rPr>
              <w:t>To provide an opportunity for graduate and post-graduate students</w:t>
            </w:r>
            <w:r>
              <w:rPr>
                <w:rFonts w:cs="Arial"/>
                <w:color w:val="000000"/>
                <w:sz w:val="16"/>
                <w:szCs w:val="16"/>
              </w:rPr>
              <w:t>,</w:t>
            </w:r>
            <w:r w:rsidRPr="00981723">
              <w:rPr>
                <w:rFonts w:cs="Arial"/>
                <w:color w:val="000000"/>
                <w:sz w:val="16"/>
                <w:szCs w:val="16"/>
              </w:rPr>
              <w:t xml:space="preserve"> and young professionals to acquire deeper knowledge on intellectual property and transfer of technology.</w:t>
            </w:r>
          </w:p>
        </w:tc>
      </w:tr>
      <w:tr w:rsidR="009375B7" w:rsidRPr="00774D44" w:rsidTr="008D1891">
        <w:trPr>
          <w:cantSplit/>
          <w:trHeight w:val="315"/>
        </w:trPr>
        <w:tc>
          <w:tcPr>
            <w:tcW w:w="1843" w:type="dxa"/>
            <w:tcBorders>
              <w:top w:val="nil"/>
              <w:left w:val="single" w:sz="4" w:space="0" w:color="auto"/>
              <w:bottom w:val="single" w:sz="4" w:space="0" w:color="auto"/>
            </w:tcBorders>
          </w:tcPr>
          <w:p w:rsidR="009375B7" w:rsidRPr="00774D44" w:rsidRDefault="009375B7" w:rsidP="008D1891">
            <w:pPr>
              <w:autoSpaceDE w:val="0"/>
              <w:autoSpaceDN w:val="0"/>
              <w:adjustRightInd w:val="0"/>
              <w:spacing w:before="120" w:after="120"/>
              <w:rPr>
                <w:rFonts w:cs="Arial"/>
                <w:color w:val="000000"/>
                <w:sz w:val="16"/>
                <w:szCs w:val="16"/>
              </w:rPr>
            </w:pPr>
            <w:r w:rsidRPr="007B26B3">
              <w:rPr>
                <w:rFonts w:cs="Arial"/>
                <w:color w:val="000000"/>
                <w:sz w:val="16"/>
                <w:szCs w:val="16"/>
              </w:rPr>
              <w:t>Enforcement of Intellectual Property Rights</w:t>
            </w:r>
          </w:p>
        </w:tc>
        <w:tc>
          <w:tcPr>
            <w:tcW w:w="1134" w:type="dxa"/>
            <w:tcBorders>
              <w:top w:val="nil"/>
              <w:bottom w:val="single" w:sz="4" w:space="0" w:color="auto"/>
            </w:tcBorders>
          </w:tcPr>
          <w:p w:rsidR="009375B7" w:rsidRPr="00774D44" w:rsidRDefault="009375B7" w:rsidP="008D1891">
            <w:pPr>
              <w:autoSpaceDE w:val="0"/>
              <w:autoSpaceDN w:val="0"/>
              <w:adjustRightInd w:val="0"/>
              <w:spacing w:before="120" w:after="120"/>
              <w:rPr>
                <w:rFonts w:cs="Arial"/>
                <w:color w:val="000000"/>
                <w:sz w:val="16"/>
                <w:szCs w:val="16"/>
              </w:rPr>
            </w:pPr>
            <w:r w:rsidRPr="00ED0F9A">
              <w:rPr>
                <w:rFonts w:cs="Arial"/>
                <w:color w:val="000000"/>
                <w:sz w:val="16"/>
                <w:szCs w:val="16"/>
              </w:rPr>
              <w:t>December 1 to 12, 2014</w:t>
            </w:r>
          </w:p>
        </w:tc>
        <w:tc>
          <w:tcPr>
            <w:tcW w:w="1985" w:type="dxa"/>
            <w:tcBorders>
              <w:top w:val="nil"/>
              <w:bottom w:val="single" w:sz="4" w:space="0" w:color="auto"/>
            </w:tcBorders>
          </w:tcPr>
          <w:p w:rsidR="009375B7" w:rsidRPr="00626AE0" w:rsidRDefault="009375B7" w:rsidP="008D1891">
            <w:pPr>
              <w:autoSpaceDE w:val="0"/>
              <w:autoSpaceDN w:val="0"/>
              <w:adjustRightInd w:val="0"/>
              <w:spacing w:before="120" w:after="120"/>
              <w:rPr>
                <w:rFonts w:cs="Arial"/>
                <w:color w:val="000000"/>
                <w:sz w:val="16"/>
                <w:szCs w:val="16"/>
              </w:rPr>
            </w:pPr>
            <w:r w:rsidRPr="00311A8A">
              <w:rPr>
                <w:rFonts w:cs="Arial"/>
                <w:color w:val="000000"/>
                <w:sz w:val="16"/>
                <w:szCs w:val="16"/>
              </w:rPr>
              <w:t xml:space="preserve">Japan/         </w:t>
            </w:r>
            <w:r>
              <w:rPr>
                <w:rFonts w:cs="Arial"/>
                <w:color w:val="000000"/>
                <w:sz w:val="16"/>
                <w:szCs w:val="16"/>
              </w:rPr>
              <w:t xml:space="preserve">        </w:t>
            </w:r>
            <w:r w:rsidRPr="00311A8A">
              <w:rPr>
                <w:rFonts w:cs="Arial"/>
                <w:color w:val="000000"/>
                <w:sz w:val="16"/>
                <w:szCs w:val="16"/>
              </w:rPr>
              <w:t xml:space="preserve"> Nigeria</w:t>
            </w:r>
          </w:p>
        </w:tc>
        <w:tc>
          <w:tcPr>
            <w:tcW w:w="4394" w:type="dxa"/>
            <w:tcBorders>
              <w:top w:val="nil"/>
              <w:bottom w:val="single" w:sz="4" w:space="0" w:color="auto"/>
              <w:right w:val="single" w:sz="4" w:space="0" w:color="auto"/>
            </w:tcBorders>
          </w:tcPr>
          <w:p w:rsidR="009375B7" w:rsidRPr="00774D44" w:rsidRDefault="009375B7" w:rsidP="008D1891">
            <w:pPr>
              <w:autoSpaceDE w:val="0"/>
              <w:autoSpaceDN w:val="0"/>
              <w:adjustRightInd w:val="0"/>
              <w:spacing w:before="120" w:after="120"/>
              <w:rPr>
                <w:rFonts w:cs="Arial"/>
                <w:color w:val="000000"/>
                <w:sz w:val="16"/>
                <w:szCs w:val="16"/>
              </w:rPr>
            </w:pPr>
            <w:r w:rsidRPr="00F54DEC">
              <w:rPr>
                <w:rFonts w:cs="Arial"/>
                <w:color w:val="000000"/>
                <w:sz w:val="16"/>
                <w:szCs w:val="16"/>
              </w:rPr>
              <w:t>To promote respect for IP through a review and discussion of the minimum standards and flexibilities in IP enforcement contained in Part III of the T</w:t>
            </w:r>
            <w:r>
              <w:rPr>
                <w:rFonts w:cs="Arial"/>
                <w:color w:val="000000"/>
                <w:sz w:val="16"/>
                <w:szCs w:val="16"/>
              </w:rPr>
              <w:t>rade-Related Aspects of Intellectual Property Rights (T</w:t>
            </w:r>
            <w:r w:rsidRPr="00F54DEC">
              <w:rPr>
                <w:rFonts w:cs="Arial"/>
                <w:color w:val="000000"/>
                <w:sz w:val="16"/>
                <w:szCs w:val="16"/>
              </w:rPr>
              <w:t>RIPS</w:t>
            </w:r>
            <w:r>
              <w:rPr>
                <w:rFonts w:cs="Arial"/>
                <w:color w:val="000000"/>
                <w:sz w:val="16"/>
                <w:szCs w:val="16"/>
              </w:rPr>
              <w:t>)</w:t>
            </w:r>
            <w:r w:rsidRPr="00F54DEC">
              <w:rPr>
                <w:rFonts w:cs="Arial"/>
                <w:color w:val="000000"/>
                <w:sz w:val="16"/>
                <w:szCs w:val="16"/>
              </w:rPr>
              <w:t xml:space="preserve"> Agreement.</w:t>
            </w:r>
          </w:p>
        </w:tc>
      </w:tr>
      <w:tr w:rsidR="009375B7" w:rsidRPr="00774D44" w:rsidTr="008D1891">
        <w:trPr>
          <w:cantSplit/>
          <w:trHeight w:val="315"/>
        </w:trPr>
        <w:tc>
          <w:tcPr>
            <w:tcW w:w="9356" w:type="dxa"/>
            <w:gridSpan w:val="4"/>
            <w:tcBorders>
              <w:top w:val="single" w:sz="4" w:space="0" w:color="auto"/>
              <w:bottom w:val="single" w:sz="4" w:space="0" w:color="auto"/>
            </w:tcBorders>
            <w:shd w:val="clear" w:color="auto" w:fill="CCFFFF"/>
          </w:tcPr>
          <w:p w:rsidR="009375B7" w:rsidRPr="00A52F48" w:rsidRDefault="009375B7" w:rsidP="008D1891">
            <w:pPr>
              <w:keepNext/>
              <w:keepLines/>
              <w:tabs>
                <w:tab w:val="left" w:pos="1740"/>
              </w:tabs>
              <w:spacing w:before="120" w:after="120"/>
              <w:ind w:left="1740" w:hanging="1740"/>
              <w:rPr>
                <w:rFonts w:cs="Arial"/>
                <w:sz w:val="16"/>
                <w:szCs w:val="16"/>
              </w:rPr>
            </w:pPr>
            <w:r w:rsidRPr="00C62606">
              <w:rPr>
                <w:rFonts w:cs="Arial"/>
                <w:b/>
                <w:bCs/>
                <w:color w:val="000000"/>
                <w:sz w:val="16"/>
                <w:szCs w:val="16"/>
              </w:rPr>
              <w:t>RESULT:</w:t>
            </w:r>
            <w:r w:rsidRPr="00C62606">
              <w:rPr>
                <w:rFonts w:cs="Arial"/>
                <w:b/>
                <w:bCs/>
                <w:color w:val="000000"/>
                <w:sz w:val="16"/>
                <w:szCs w:val="16"/>
              </w:rPr>
              <w:tab/>
            </w:r>
            <w:r w:rsidRPr="007B2FE5">
              <w:rPr>
                <w:rFonts w:cs="Arial"/>
                <w:bCs/>
                <w:sz w:val="16"/>
                <w:szCs w:val="16"/>
                <w:lang w:val="en-AU"/>
              </w:rPr>
              <w:t>III.6. Increased capacity of SMEs to successfully use IP to support innovation</w:t>
            </w:r>
          </w:p>
        </w:tc>
      </w:tr>
      <w:tr w:rsidR="009375B7" w:rsidRPr="00774D44" w:rsidTr="008D1891">
        <w:trPr>
          <w:cantSplit/>
          <w:trHeight w:val="315"/>
        </w:trPr>
        <w:tc>
          <w:tcPr>
            <w:tcW w:w="1843" w:type="dxa"/>
            <w:tcBorders>
              <w:top w:val="single" w:sz="4" w:space="0" w:color="auto"/>
            </w:tcBorders>
            <w:vAlign w:val="center"/>
          </w:tcPr>
          <w:p w:rsidR="009375B7" w:rsidRPr="002B7DE5" w:rsidRDefault="009375B7" w:rsidP="008D1891">
            <w:pPr>
              <w:keepNext/>
              <w:keepLines/>
              <w:spacing w:before="120"/>
              <w:rPr>
                <w:rFonts w:cs="Arial"/>
                <w:b/>
                <w:bCs/>
                <w:sz w:val="16"/>
                <w:szCs w:val="16"/>
              </w:rPr>
            </w:pPr>
            <w:r w:rsidRPr="002B7DE5">
              <w:rPr>
                <w:rFonts w:cs="Arial"/>
                <w:b/>
                <w:bCs/>
                <w:sz w:val="16"/>
                <w:szCs w:val="16"/>
              </w:rPr>
              <w:t>Activity</w:t>
            </w:r>
          </w:p>
        </w:tc>
        <w:tc>
          <w:tcPr>
            <w:tcW w:w="1134" w:type="dxa"/>
            <w:tcBorders>
              <w:top w:val="single" w:sz="4" w:space="0" w:color="auto"/>
            </w:tcBorders>
            <w:vAlign w:val="center"/>
          </w:tcPr>
          <w:p w:rsidR="009375B7" w:rsidRPr="002B7DE5" w:rsidRDefault="009375B7" w:rsidP="008D1891">
            <w:pPr>
              <w:keepNext/>
              <w:keepLines/>
              <w:spacing w:before="120"/>
              <w:rPr>
                <w:rFonts w:cs="Arial"/>
                <w:sz w:val="16"/>
                <w:szCs w:val="16"/>
              </w:rPr>
            </w:pPr>
            <w:r w:rsidRPr="002B7DE5">
              <w:rPr>
                <w:rFonts w:cs="Arial"/>
                <w:b/>
                <w:bCs/>
                <w:sz w:val="16"/>
                <w:szCs w:val="16"/>
              </w:rPr>
              <w:t>Date</w:t>
            </w:r>
          </w:p>
        </w:tc>
        <w:tc>
          <w:tcPr>
            <w:tcW w:w="1985" w:type="dxa"/>
            <w:tcBorders>
              <w:top w:val="single" w:sz="4" w:space="0" w:color="auto"/>
            </w:tcBorders>
            <w:vAlign w:val="center"/>
          </w:tcPr>
          <w:p w:rsidR="009375B7" w:rsidRPr="002B7DE5" w:rsidRDefault="009375B7" w:rsidP="008D1891">
            <w:pPr>
              <w:keepNext/>
              <w:keepLines/>
              <w:spacing w:before="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auto"/>
            </w:tcBorders>
            <w:vAlign w:val="center"/>
          </w:tcPr>
          <w:p w:rsidR="009375B7" w:rsidRPr="002B7DE5" w:rsidRDefault="009375B7" w:rsidP="008D1891">
            <w:pPr>
              <w:keepNext/>
              <w:keepLines/>
              <w:spacing w:before="120"/>
              <w:rPr>
                <w:rFonts w:cs="Arial"/>
                <w:sz w:val="16"/>
                <w:szCs w:val="16"/>
              </w:rPr>
            </w:pPr>
            <w:r w:rsidRPr="002B7DE5">
              <w:rPr>
                <w:rFonts w:cs="Arial"/>
                <w:b/>
                <w:bCs/>
                <w:sz w:val="16"/>
                <w:szCs w:val="16"/>
              </w:rPr>
              <w:t>Purpose(s)/Description(s)</w:t>
            </w:r>
          </w:p>
        </w:tc>
      </w:tr>
      <w:tr w:rsidR="009375B7" w:rsidRPr="00774D44" w:rsidTr="008D1891">
        <w:trPr>
          <w:cantSplit/>
          <w:trHeight w:val="315"/>
        </w:trPr>
        <w:tc>
          <w:tcPr>
            <w:tcW w:w="1843" w:type="dxa"/>
          </w:tcPr>
          <w:p w:rsidR="009375B7" w:rsidRDefault="009375B7" w:rsidP="008D1891">
            <w:pPr>
              <w:autoSpaceDE w:val="0"/>
              <w:autoSpaceDN w:val="0"/>
              <w:adjustRightInd w:val="0"/>
              <w:spacing w:before="120" w:after="120"/>
              <w:rPr>
                <w:rFonts w:cs="Arial"/>
                <w:color w:val="000000"/>
                <w:sz w:val="16"/>
                <w:szCs w:val="16"/>
              </w:rPr>
            </w:pPr>
            <w:r w:rsidRPr="00591570">
              <w:rPr>
                <w:rFonts w:cs="Arial"/>
                <w:color w:val="000000"/>
                <w:sz w:val="16"/>
                <w:szCs w:val="16"/>
              </w:rPr>
              <w:t>Training of Trainers Program on Effective Intellectual Property Asset Management by Small and Medium Sized Enterprises (SMEs) in Portuguese-Speaking African Countries (PALOP)</w:t>
            </w:r>
          </w:p>
        </w:tc>
        <w:tc>
          <w:tcPr>
            <w:tcW w:w="1134" w:type="dxa"/>
          </w:tcPr>
          <w:p w:rsidR="009375B7" w:rsidRPr="00A12513" w:rsidRDefault="009375B7" w:rsidP="008D1891">
            <w:pPr>
              <w:autoSpaceDE w:val="0"/>
              <w:autoSpaceDN w:val="0"/>
              <w:adjustRightInd w:val="0"/>
              <w:spacing w:before="120" w:after="120"/>
              <w:rPr>
                <w:rFonts w:cs="Arial"/>
                <w:color w:val="000000"/>
                <w:sz w:val="16"/>
                <w:szCs w:val="16"/>
              </w:rPr>
            </w:pPr>
            <w:r w:rsidRPr="000A0F66">
              <w:rPr>
                <w:rFonts w:cs="Arial"/>
                <w:color w:val="000000"/>
                <w:sz w:val="16"/>
                <w:szCs w:val="16"/>
              </w:rPr>
              <w:t>April 9 to 11, 2014</w:t>
            </w:r>
          </w:p>
        </w:tc>
        <w:tc>
          <w:tcPr>
            <w:tcW w:w="1985" w:type="dxa"/>
          </w:tcPr>
          <w:p w:rsidR="009375B7" w:rsidRDefault="009375B7" w:rsidP="008D1891">
            <w:pPr>
              <w:autoSpaceDE w:val="0"/>
              <w:autoSpaceDN w:val="0"/>
              <w:adjustRightInd w:val="0"/>
              <w:spacing w:before="120" w:after="120"/>
              <w:rPr>
                <w:rFonts w:cs="Arial"/>
                <w:color w:val="000000"/>
                <w:sz w:val="16"/>
                <w:szCs w:val="16"/>
              </w:rPr>
            </w:pPr>
            <w:r w:rsidRPr="00F61F33">
              <w:rPr>
                <w:rFonts w:cs="Arial"/>
                <w:color w:val="000000"/>
                <w:sz w:val="16"/>
                <w:szCs w:val="16"/>
              </w:rPr>
              <w:t xml:space="preserve">Portugal/             </w:t>
            </w:r>
            <w:r>
              <w:rPr>
                <w:rFonts w:cs="Arial"/>
                <w:color w:val="000000"/>
                <w:sz w:val="16"/>
                <w:szCs w:val="16"/>
              </w:rPr>
              <w:t xml:space="preserve">           </w:t>
            </w:r>
            <w:r w:rsidRPr="00F61F33">
              <w:rPr>
                <w:rFonts w:cs="Arial"/>
                <w:color w:val="000000"/>
                <w:sz w:val="16"/>
                <w:szCs w:val="16"/>
              </w:rPr>
              <w:t>6 participants from Angola, Cape Verde, Mozambique and Sao Tome and Princip</w:t>
            </w:r>
            <w:r>
              <w:rPr>
                <w:rFonts w:cs="Arial"/>
                <w:color w:val="000000"/>
                <w:sz w:val="16"/>
                <w:szCs w:val="16"/>
              </w:rPr>
              <w:t>e</w:t>
            </w:r>
          </w:p>
        </w:tc>
        <w:tc>
          <w:tcPr>
            <w:tcW w:w="4394" w:type="dxa"/>
          </w:tcPr>
          <w:p w:rsidR="009375B7" w:rsidRPr="00A12513" w:rsidRDefault="009375B7" w:rsidP="008D1891">
            <w:pPr>
              <w:autoSpaceDE w:val="0"/>
              <w:autoSpaceDN w:val="0"/>
              <w:adjustRightInd w:val="0"/>
              <w:spacing w:before="120" w:after="120"/>
              <w:rPr>
                <w:rFonts w:cs="Arial"/>
                <w:color w:val="000000"/>
                <w:sz w:val="16"/>
                <w:szCs w:val="16"/>
              </w:rPr>
            </w:pPr>
            <w:r w:rsidRPr="00D11664">
              <w:rPr>
                <w:rFonts w:cs="Arial"/>
                <w:color w:val="000000"/>
                <w:sz w:val="16"/>
                <w:szCs w:val="16"/>
              </w:rPr>
              <w:t>To</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w:t>
            </w:r>
            <w:r w:rsidRPr="00D11664">
              <w:rPr>
                <w:rFonts w:cs="Arial"/>
                <w:color w:val="000000"/>
                <w:sz w:val="16"/>
                <w:szCs w:val="16"/>
              </w:rPr>
              <w:t xml:space="preserve"> enhance understanding of the use of the IP system by SMEs;</w:t>
            </w:r>
            <w:r>
              <w:rPr>
                <w:rFonts w:cs="Arial"/>
                <w:color w:val="000000"/>
                <w:sz w:val="16"/>
                <w:szCs w:val="16"/>
              </w:rPr>
              <w:t xml:space="preserve"> (ii)</w:t>
            </w:r>
            <w:r w:rsidRPr="00D11664">
              <w:rPr>
                <w:rFonts w:cs="Arial"/>
                <w:color w:val="000000"/>
                <w:sz w:val="16"/>
                <w:szCs w:val="16"/>
              </w:rPr>
              <w:t xml:space="preserve"> create a critical mass of trainers within the region who have the basic knowledge, skills and experience to provide preliminary IP assistance to SMEs on effective IP asset management;</w:t>
            </w:r>
            <w:r>
              <w:rPr>
                <w:rFonts w:cs="Arial"/>
                <w:color w:val="000000"/>
                <w:sz w:val="16"/>
                <w:szCs w:val="16"/>
              </w:rPr>
              <w:t xml:space="preserve"> (iii) </w:t>
            </w:r>
            <w:r w:rsidRPr="00D11664">
              <w:rPr>
                <w:rFonts w:cs="Arial"/>
                <w:color w:val="000000"/>
                <w:sz w:val="16"/>
                <w:szCs w:val="16"/>
              </w:rPr>
              <w:t>discuss the obstacles and challenges facing SMEs</w:t>
            </w:r>
            <w:r>
              <w:rPr>
                <w:rFonts w:cs="Arial"/>
                <w:color w:val="000000"/>
                <w:sz w:val="16"/>
                <w:szCs w:val="16"/>
              </w:rPr>
              <w:t>,</w:t>
            </w:r>
            <w:r w:rsidRPr="00D11664">
              <w:rPr>
                <w:rFonts w:cs="Arial"/>
                <w:color w:val="000000"/>
                <w:sz w:val="16"/>
                <w:szCs w:val="16"/>
              </w:rPr>
              <w:t xml:space="preserve"> which prevents them from taking advantage of the IP system</w:t>
            </w:r>
            <w:r>
              <w:rPr>
                <w:rFonts w:cs="Arial"/>
                <w:color w:val="000000"/>
                <w:sz w:val="16"/>
                <w:szCs w:val="16"/>
              </w:rPr>
              <w:t xml:space="preserve">; and (iv) </w:t>
            </w:r>
            <w:r w:rsidRPr="00D11664">
              <w:rPr>
                <w:rFonts w:cs="Arial"/>
                <w:color w:val="000000"/>
                <w:sz w:val="16"/>
                <w:szCs w:val="16"/>
              </w:rPr>
              <w:t>propose a road map to overcome the challenges and obstacles.</w:t>
            </w:r>
          </w:p>
        </w:tc>
      </w:tr>
      <w:tr w:rsidR="009375B7" w:rsidRPr="00774D44" w:rsidTr="008D1891">
        <w:trPr>
          <w:cantSplit/>
          <w:trHeight w:val="315"/>
        </w:trPr>
        <w:tc>
          <w:tcPr>
            <w:tcW w:w="9356" w:type="dxa"/>
            <w:gridSpan w:val="4"/>
            <w:tcBorders>
              <w:top w:val="single" w:sz="4" w:space="0" w:color="auto"/>
              <w:left w:val="single" w:sz="4" w:space="0" w:color="auto"/>
              <w:bottom w:val="single" w:sz="4" w:space="0" w:color="auto"/>
              <w:right w:val="single" w:sz="4" w:space="0" w:color="auto"/>
            </w:tcBorders>
            <w:shd w:val="clear" w:color="auto" w:fill="CCFFFF"/>
          </w:tcPr>
          <w:p w:rsidR="009375B7" w:rsidRPr="00542CBD" w:rsidRDefault="009375B7" w:rsidP="008D1891">
            <w:pPr>
              <w:keepNext/>
              <w:keepLines/>
              <w:tabs>
                <w:tab w:val="left" w:pos="1740"/>
              </w:tabs>
              <w:spacing w:before="120" w:after="120"/>
              <w:ind w:left="1740" w:hanging="1740"/>
              <w:rPr>
                <w:rFonts w:cs="Arial"/>
                <w:b/>
                <w:bCs/>
                <w:color w:val="000000"/>
                <w:sz w:val="16"/>
                <w:szCs w:val="16"/>
              </w:rPr>
            </w:pPr>
            <w:r w:rsidRPr="00542CBD">
              <w:rPr>
                <w:rFonts w:cs="Arial"/>
                <w:b/>
                <w:bCs/>
                <w:color w:val="000000"/>
                <w:sz w:val="16"/>
                <w:szCs w:val="16"/>
              </w:rPr>
              <w:t>RESULT:</w:t>
            </w:r>
            <w:r w:rsidRPr="00542CBD">
              <w:rPr>
                <w:rFonts w:cs="Arial"/>
                <w:b/>
                <w:bCs/>
                <w:color w:val="000000"/>
                <w:sz w:val="16"/>
                <w:szCs w:val="16"/>
              </w:rPr>
              <w:tab/>
            </w:r>
            <w:r w:rsidRPr="00542CBD">
              <w:rPr>
                <w:rFonts w:cs="Arial"/>
                <w:bCs/>
                <w:color w:val="000000"/>
                <w:sz w:val="16"/>
                <w:szCs w:val="16"/>
              </w:rPr>
              <w:t>IV.2. Enhanced access to, and use of, IP information by IP institutions and the public to promote innovation and creativity</w:t>
            </w:r>
          </w:p>
        </w:tc>
      </w:tr>
      <w:tr w:rsidR="009375B7" w:rsidRPr="00774D44" w:rsidTr="008D1891">
        <w:trPr>
          <w:cantSplit/>
          <w:trHeight w:val="315"/>
        </w:trPr>
        <w:tc>
          <w:tcPr>
            <w:tcW w:w="1843" w:type="dxa"/>
            <w:tcBorders>
              <w:top w:val="single" w:sz="4" w:space="0" w:color="auto"/>
              <w:left w:val="single" w:sz="4" w:space="0" w:color="auto"/>
              <w:bottom w:val="nil"/>
            </w:tcBorders>
            <w:vAlign w:val="center"/>
          </w:tcPr>
          <w:p w:rsidR="009375B7" w:rsidRPr="002B7DE5" w:rsidRDefault="009375B7" w:rsidP="008D1891">
            <w:pPr>
              <w:keepNext/>
              <w:keepLines/>
              <w:spacing w:before="120"/>
              <w:rPr>
                <w:rFonts w:cs="Arial"/>
                <w:b/>
                <w:bCs/>
                <w:sz w:val="16"/>
                <w:szCs w:val="16"/>
              </w:rPr>
            </w:pPr>
            <w:r w:rsidRPr="002B7DE5">
              <w:rPr>
                <w:rFonts w:cs="Arial"/>
                <w:b/>
                <w:bCs/>
                <w:sz w:val="16"/>
                <w:szCs w:val="16"/>
              </w:rPr>
              <w:t>Activity</w:t>
            </w:r>
          </w:p>
        </w:tc>
        <w:tc>
          <w:tcPr>
            <w:tcW w:w="1134" w:type="dxa"/>
            <w:tcBorders>
              <w:top w:val="single" w:sz="4" w:space="0" w:color="auto"/>
              <w:bottom w:val="nil"/>
            </w:tcBorders>
            <w:vAlign w:val="center"/>
          </w:tcPr>
          <w:p w:rsidR="009375B7" w:rsidRPr="002B7DE5" w:rsidRDefault="009375B7" w:rsidP="008D1891">
            <w:pPr>
              <w:keepNext/>
              <w:keepLines/>
              <w:spacing w:before="120"/>
              <w:rPr>
                <w:rFonts w:cs="Arial"/>
                <w:sz w:val="16"/>
                <w:szCs w:val="16"/>
              </w:rPr>
            </w:pPr>
            <w:r w:rsidRPr="002B7DE5">
              <w:rPr>
                <w:rFonts w:cs="Arial"/>
                <w:b/>
                <w:bCs/>
                <w:sz w:val="16"/>
                <w:szCs w:val="16"/>
              </w:rPr>
              <w:t>Date</w:t>
            </w:r>
          </w:p>
        </w:tc>
        <w:tc>
          <w:tcPr>
            <w:tcW w:w="1985" w:type="dxa"/>
            <w:tcBorders>
              <w:top w:val="single" w:sz="4" w:space="0" w:color="auto"/>
              <w:bottom w:val="nil"/>
            </w:tcBorders>
            <w:vAlign w:val="center"/>
          </w:tcPr>
          <w:p w:rsidR="009375B7" w:rsidRPr="002B7DE5" w:rsidRDefault="009375B7" w:rsidP="008D1891">
            <w:pPr>
              <w:keepNext/>
              <w:keepLines/>
              <w:spacing w:before="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auto"/>
              <w:bottom w:val="nil"/>
              <w:right w:val="single" w:sz="4" w:space="0" w:color="auto"/>
            </w:tcBorders>
            <w:vAlign w:val="center"/>
          </w:tcPr>
          <w:p w:rsidR="009375B7" w:rsidRPr="002B7DE5" w:rsidRDefault="009375B7" w:rsidP="008D1891">
            <w:pPr>
              <w:keepNext/>
              <w:keepLines/>
              <w:spacing w:before="120"/>
              <w:rPr>
                <w:rFonts w:cs="Arial"/>
                <w:sz w:val="16"/>
                <w:szCs w:val="16"/>
              </w:rPr>
            </w:pPr>
            <w:r w:rsidRPr="002B7DE5">
              <w:rPr>
                <w:rFonts w:cs="Arial"/>
                <w:b/>
                <w:bCs/>
                <w:sz w:val="16"/>
                <w:szCs w:val="16"/>
              </w:rPr>
              <w:t>Purpose(s)/Description(s)</w:t>
            </w:r>
          </w:p>
        </w:tc>
      </w:tr>
      <w:tr w:rsidR="009375B7" w:rsidRPr="00774D44" w:rsidTr="008D1891">
        <w:trPr>
          <w:cantSplit/>
          <w:trHeight w:val="315"/>
        </w:trPr>
        <w:tc>
          <w:tcPr>
            <w:tcW w:w="1843" w:type="dxa"/>
            <w:tcBorders>
              <w:top w:val="nil"/>
              <w:left w:val="single" w:sz="4" w:space="0" w:color="auto"/>
              <w:bottom w:val="nil"/>
            </w:tcBorders>
          </w:tcPr>
          <w:p w:rsidR="009375B7" w:rsidRPr="00774D44" w:rsidRDefault="009375B7" w:rsidP="008D1891">
            <w:pPr>
              <w:keepNext/>
              <w:keepLines/>
              <w:spacing w:before="120"/>
              <w:rPr>
                <w:rFonts w:cs="Arial"/>
                <w:color w:val="000000"/>
                <w:sz w:val="16"/>
                <w:szCs w:val="16"/>
              </w:rPr>
            </w:pPr>
            <w:r w:rsidRPr="00202A3A">
              <w:rPr>
                <w:rFonts w:cs="Arial"/>
                <w:color w:val="000000"/>
                <w:sz w:val="16"/>
                <w:szCs w:val="16"/>
              </w:rPr>
              <w:t>TISC Seminar on the Effective Use of Technology Information and Training of Trainers</w:t>
            </w:r>
          </w:p>
        </w:tc>
        <w:tc>
          <w:tcPr>
            <w:tcW w:w="1134" w:type="dxa"/>
            <w:tcBorders>
              <w:top w:val="nil"/>
              <w:bottom w:val="nil"/>
            </w:tcBorders>
          </w:tcPr>
          <w:p w:rsidR="009375B7" w:rsidRPr="00774D44" w:rsidRDefault="009375B7" w:rsidP="008D1891">
            <w:pPr>
              <w:keepNext/>
              <w:keepLines/>
              <w:spacing w:before="120"/>
              <w:rPr>
                <w:rFonts w:cs="Arial"/>
                <w:color w:val="000000"/>
                <w:sz w:val="16"/>
                <w:szCs w:val="16"/>
              </w:rPr>
            </w:pPr>
            <w:r w:rsidRPr="005521B8">
              <w:rPr>
                <w:rFonts w:cs="Arial"/>
                <w:color w:val="000000"/>
                <w:sz w:val="16"/>
                <w:szCs w:val="16"/>
              </w:rPr>
              <w:t>May 19 and 21, 2014</w:t>
            </w:r>
          </w:p>
        </w:tc>
        <w:tc>
          <w:tcPr>
            <w:tcW w:w="1985" w:type="dxa"/>
            <w:tcBorders>
              <w:top w:val="nil"/>
              <w:bottom w:val="nil"/>
            </w:tcBorders>
          </w:tcPr>
          <w:p w:rsidR="009375B7" w:rsidRPr="00774D44" w:rsidRDefault="009375B7" w:rsidP="008D1891">
            <w:pPr>
              <w:keepNext/>
              <w:keepLines/>
              <w:spacing w:before="120"/>
              <w:rPr>
                <w:rFonts w:cs="Arial"/>
                <w:color w:val="000000"/>
                <w:sz w:val="16"/>
                <w:szCs w:val="16"/>
              </w:rPr>
            </w:pPr>
            <w:r w:rsidRPr="00370D01">
              <w:rPr>
                <w:rFonts w:cs="Arial"/>
                <w:color w:val="000000"/>
                <w:sz w:val="16"/>
                <w:szCs w:val="16"/>
              </w:rPr>
              <w:t>Sao Tome and Principe/    approx</w:t>
            </w:r>
            <w:r>
              <w:rPr>
                <w:rFonts w:cs="Arial"/>
                <w:color w:val="000000"/>
                <w:sz w:val="16"/>
                <w:szCs w:val="16"/>
              </w:rPr>
              <w:t>imately</w:t>
            </w:r>
            <w:r w:rsidRPr="00370D01">
              <w:rPr>
                <w:rFonts w:cs="Arial"/>
                <w:color w:val="000000"/>
                <w:sz w:val="16"/>
                <w:szCs w:val="16"/>
              </w:rPr>
              <w:t xml:space="preserve"> 40 local participants</w:t>
            </w:r>
          </w:p>
        </w:tc>
        <w:tc>
          <w:tcPr>
            <w:tcW w:w="4394" w:type="dxa"/>
            <w:tcBorders>
              <w:top w:val="nil"/>
              <w:bottom w:val="nil"/>
              <w:right w:val="single" w:sz="4" w:space="0" w:color="auto"/>
            </w:tcBorders>
          </w:tcPr>
          <w:p w:rsidR="009375B7" w:rsidRPr="00774D44" w:rsidRDefault="009375B7" w:rsidP="008D1891">
            <w:pPr>
              <w:keepNext/>
              <w:keepLines/>
              <w:spacing w:before="120"/>
              <w:rPr>
                <w:rFonts w:cs="Arial"/>
                <w:color w:val="000000"/>
                <w:sz w:val="16"/>
                <w:szCs w:val="16"/>
              </w:rPr>
            </w:pPr>
            <w:r w:rsidRPr="00744C8B">
              <w:rPr>
                <w:rFonts w:cs="Arial"/>
                <w:color w:val="000000"/>
                <w:sz w:val="16"/>
                <w:szCs w:val="16"/>
              </w:rPr>
              <w:t>To</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w:t>
            </w:r>
            <w:r w:rsidRPr="00744C8B">
              <w:rPr>
                <w:rFonts w:cs="Arial"/>
                <w:color w:val="000000"/>
                <w:sz w:val="16"/>
                <w:szCs w:val="16"/>
              </w:rPr>
              <w:t xml:space="preserve"> provide training to T</w:t>
            </w:r>
            <w:r>
              <w:rPr>
                <w:rFonts w:cs="Arial"/>
                <w:color w:val="000000"/>
                <w:sz w:val="16"/>
                <w:szCs w:val="16"/>
              </w:rPr>
              <w:t xml:space="preserve">echnology and </w:t>
            </w:r>
            <w:r w:rsidRPr="00744C8B">
              <w:rPr>
                <w:rFonts w:cs="Arial"/>
                <w:color w:val="000000"/>
                <w:sz w:val="16"/>
                <w:szCs w:val="16"/>
              </w:rPr>
              <w:t>I</w:t>
            </w:r>
            <w:r>
              <w:rPr>
                <w:rFonts w:cs="Arial"/>
                <w:color w:val="000000"/>
                <w:sz w:val="16"/>
                <w:szCs w:val="16"/>
              </w:rPr>
              <w:t xml:space="preserve">nnovation </w:t>
            </w:r>
            <w:r w:rsidRPr="00744C8B">
              <w:rPr>
                <w:rFonts w:cs="Arial"/>
                <w:color w:val="000000"/>
                <w:sz w:val="16"/>
                <w:szCs w:val="16"/>
              </w:rPr>
              <w:t>S</w:t>
            </w:r>
            <w:r>
              <w:rPr>
                <w:rFonts w:cs="Arial"/>
                <w:color w:val="000000"/>
                <w:sz w:val="16"/>
                <w:szCs w:val="16"/>
              </w:rPr>
              <w:t xml:space="preserve">upport </w:t>
            </w:r>
            <w:r w:rsidRPr="00744C8B">
              <w:rPr>
                <w:rFonts w:cs="Arial"/>
                <w:color w:val="000000"/>
                <w:sz w:val="16"/>
                <w:szCs w:val="16"/>
              </w:rPr>
              <w:t>C</w:t>
            </w:r>
            <w:r>
              <w:rPr>
                <w:rFonts w:cs="Arial"/>
                <w:color w:val="000000"/>
                <w:sz w:val="16"/>
                <w:szCs w:val="16"/>
              </w:rPr>
              <w:t>enter (TISC)</w:t>
            </w:r>
            <w:r w:rsidRPr="00744C8B">
              <w:rPr>
                <w:rFonts w:cs="Arial"/>
                <w:color w:val="000000"/>
                <w:sz w:val="16"/>
                <w:szCs w:val="16"/>
              </w:rPr>
              <w:t xml:space="preserve"> staff members and participants</w:t>
            </w:r>
            <w:r>
              <w:rPr>
                <w:rFonts w:cs="Arial"/>
                <w:color w:val="000000"/>
                <w:sz w:val="16"/>
                <w:szCs w:val="16"/>
              </w:rPr>
              <w:t>;</w:t>
            </w:r>
            <w:r w:rsidRPr="00744C8B">
              <w:rPr>
                <w:rFonts w:cs="Arial"/>
                <w:color w:val="000000"/>
                <w:sz w:val="16"/>
                <w:szCs w:val="16"/>
              </w:rPr>
              <w:t xml:space="preserve"> and </w:t>
            </w:r>
            <w:r>
              <w:rPr>
                <w:rFonts w:cs="Arial"/>
                <w:color w:val="000000"/>
                <w:sz w:val="16"/>
                <w:szCs w:val="16"/>
              </w:rPr>
              <w:t>(ii)</w:t>
            </w:r>
            <w:r w:rsidRPr="00744C8B">
              <w:rPr>
                <w:rFonts w:cs="Arial"/>
                <w:color w:val="000000"/>
                <w:sz w:val="16"/>
                <w:szCs w:val="16"/>
              </w:rPr>
              <w:t xml:space="preserve"> raise awareness on the TISC project.</w:t>
            </w:r>
          </w:p>
        </w:tc>
      </w:tr>
      <w:tr w:rsidR="009375B7" w:rsidRPr="00774D44" w:rsidTr="008D1891">
        <w:trPr>
          <w:cantSplit/>
          <w:trHeight w:val="315"/>
        </w:trPr>
        <w:tc>
          <w:tcPr>
            <w:tcW w:w="1843" w:type="dxa"/>
            <w:tcBorders>
              <w:top w:val="nil"/>
              <w:left w:val="single" w:sz="4" w:space="0" w:color="auto"/>
              <w:bottom w:val="nil"/>
            </w:tcBorders>
          </w:tcPr>
          <w:p w:rsidR="009375B7" w:rsidRPr="00774D44" w:rsidRDefault="009375B7" w:rsidP="008D1891">
            <w:pPr>
              <w:autoSpaceDE w:val="0"/>
              <w:autoSpaceDN w:val="0"/>
              <w:adjustRightInd w:val="0"/>
              <w:spacing w:before="120" w:after="120"/>
              <w:rPr>
                <w:rFonts w:cs="Arial"/>
                <w:color w:val="000000"/>
                <w:sz w:val="16"/>
                <w:szCs w:val="16"/>
              </w:rPr>
            </w:pPr>
            <w:r w:rsidRPr="00A71FBD">
              <w:rPr>
                <w:rFonts w:cs="Arial"/>
                <w:color w:val="000000"/>
                <w:sz w:val="16"/>
                <w:szCs w:val="16"/>
              </w:rPr>
              <w:t>TISC Seminar on the effective use of technical and scientific information, strengthening of training of trainers and official TISC Launch</w:t>
            </w:r>
          </w:p>
        </w:tc>
        <w:tc>
          <w:tcPr>
            <w:tcW w:w="1134" w:type="dxa"/>
            <w:tcBorders>
              <w:top w:val="nil"/>
              <w:bottom w:val="nil"/>
            </w:tcBorders>
          </w:tcPr>
          <w:p w:rsidR="009375B7" w:rsidRPr="00774D44" w:rsidRDefault="009375B7" w:rsidP="008D1891">
            <w:pPr>
              <w:spacing w:before="120" w:after="120"/>
              <w:rPr>
                <w:rFonts w:cs="Arial"/>
                <w:color w:val="000000"/>
                <w:sz w:val="16"/>
                <w:szCs w:val="16"/>
              </w:rPr>
            </w:pPr>
            <w:r w:rsidRPr="00CD39E8">
              <w:rPr>
                <w:rFonts w:cs="Arial"/>
                <w:color w:val="000000"/>
                <w:sz w:val="16"/>
                <w:szCs w:val="16"/>
              </w:rPr>
              <w:t>June 10 to 14, 2014</w:t>
            </w:r>
          </w:p>
        </w:tc>
        <w:tc>
          <w:tcPr>
            <w:tcW w:w="1985" w:type="dxa"/>
            <w:tcBorders>
              <w:top w:val="nil"/>
              <w:bottom w:val="nil"/>
            </w:tcBorders>
          </w:tcPr>
          <w:p w:rsidR="009375B7" w:rsidRPr="00774D44" w:rsidRDefault="009375B7" w:rsidP="008D1891">
            <w:pPr>
              <w:autoSpaceDE w:val="0"/>
              <w:autoSpaceDN w:val="0"/>
              <w:adjustRightInd w:val="0"/>
              <w:spacing w:before="120" w:after="120"/>
              <w:rPr>
                <w:rFonts w:cs="Arial"/>
                <w:color w:val="000000"/>
                <w:sz w:val="16"/>
                <w:szCs w:val="16"/>
              </w:rPr>
            </w:pPr>
            <w:r w:rsidRPr="00026AB5">
              <w:rPr>
                <w:rFonts w:cs="Arial"/>
                <w:color w:val="000000"/>
                <w:sz w:val="16"/>
                <w:szCs w:val="16"/>
              </w:rPr>
              <w:t xml:space="preserve">Senegal/    </w:t>
            </w:r>
            <w:r>
              <w:rPr>
                <w:rFonts w:cs="Arial"/>
                <w:color w:val="000000"/>
                <w:sz w:val="16"/>
                <w:szCs w:val="16"/>
              </w:rPr>
              <w:t xml:space="preserve">          </w:t>
            </w:r>
            <w:r w:rsidRPr="00026AB5">
              <w:rPr>
                <w:rFonts w:cs="Arial"/>
                <w:color w:val="000000"/>
                <w:sz w:val="16"/>
                <w:szCs w:val="16"/>
              </w:rPr>
              <w:t>approx</w:t>
            </w:r>
            <w:r>
              <w:rPr>
                <w:rFonts w:cs="Arial"/>
                <w:color w:val="000000"/>
                <w:sz w:val="16"/>
                <w:szCs w:val="16"/>
              </w:rPr>
              <w:t>imately</w:t>
            </w:r>
            <w:r w:rsidRPr="00026AB5">
              <w:rPr>
                <w:rFonts w:cs="Arial"/>
                <w:color w:val="000000"/>
                <w:sz w:val="16"/>
                <w:szCs w:val="16"/>
              </w:rPr>
              <w:t xml:space="preserve"> 40 local participants</w:t>
            </w:r>
          </w:p>
        </w:tc>
        <w:tc>
          <w:tcPr>
            <w:tcW w:w="4394" w:type="dxa"/>
            <w:tcBorders>
              <w:top w:val="nil"/>
              <w:bottom w:val="nil"/>
              <w:right w:val="single" w:sz="4" w:space="0" w:color="auto"/>
            </w:tcBorders>
          </w:tcPr>
          <w:p w:rsidR="009375B7" w:rsidRPr="00774D44" w:rsidRDefault="009375B7" w:rsidP="008D1891">
            <w:pPr>
              <w:autoSpaceDE w:val="0"/>
              <w:autoSpaceDN w:val="0"/>
              <w:adjustRightInd w:val="0"/>
              <w:spacing w:before="120" w:after="120"/>
              <w:rPr>
                <w:rFonts w:cs="Arial"/>
                <w:color w:val="000000"/>
                <w:sz w:val="16"/>
                <w:szCs w:val="16"/>
              </w:rPr>
            </w:pPr>
            <w:r w:rsidRPr="005E5658">
              <w:rPr>
                <w:rFonts w:cs="Arial"/>
                <w:color w:val="000000"/>
                <w:sz w:val="16"/>
                <w:szCs w:val="16"/>
              </w:rPr>
              <w:t>To</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w:t>
            </w:r>
            <w:r w:rsidRPr="005E5658">
              <w:rPr>
                <w:rFonts w:cs="Arial"/>
                <w:color w:val="000000"/>
                <w:sz w:val="16"/>
                <w:szCs w:val="16"/>
              </w:rPr>
              <w:t xml:space="preserve"> strengthen capacities of participants on searching and exploiting technologies and scientific information to develop their respective activities</w:t>
            </w:r>
            <w:r>
              <w:rPr>
                <w:rFonts w:cs="Arial"/>
                <w:color w:val="000000"/>
                <w:sz w:val="16"/>
                <w:szCs w:val="16"/>
              </w:rPr>
              <w:t>;</w:t>
            </w:r>
            <w:r w:rsidRPr="005E5658">
              <w:rPr>
                <w:rFonts w:cs="Arial"/>
                <w:color w:val="000000"/>
                <w:sz w:val="16"/>
                <w:szCs w:val="16"/>
              </w:rPr>
              <w:t xml:space="preserve"> and </w:t>
            </w:r>
            <w:r>
              <w:rPr>
                <w:rFonts w:cs="Arial"/>
                <w:color w:val="000000"/>
                <w:sz w:val="16"/>
                <w:szCs w:val="16"/>
              </w:rPr>
              <w:t>(ii)</w:t>
            </w:r>
            <w:r w:rsidRPr="005E5658">
              <w:rPr>
                <w:rFonts w:cs="Arial"/>
                <w:color w:val="000000"/>
                <w:sz w:val="16"/>
                <w:szCs w:val="16"/>
              </w:rPr>
              <w:t xml:space="preserve"> officially launch two new TISCs.</w:t>
            </w:r>
          </w:p>
        </w:tc>
      </w:tr>
      <w:tr w:rsidR="009375B7" w:rsidRPr="00774D44" w:rsidTr="009375B7">
        <w:trPr>
          <w:cantSplit/>
          <w:trHeight w:val="315"/>
        </w:trPr>
        <w:tc>
          <w:tcPr>
            <w:tcW w:w="1843" w:type="dxa"/>
            <w:tcBorders>
              <w:top w:val="nil"/>
              <w:left w:val="single" w:sz="4" w:space="0" w:color="auto"/>
              <w:bottom w:val="nil"/>
            </w:tcBorders>
          </w:tcPr>
          <w:p w:rsidR="009375B7" w:rsidRPr="00B357EF" w:rsidRDefault="009375B7" w:rsidP="008D1891">
            <w:pPr>
              <w:autoSpaceDE w:val="0"/>
              <w:autoSpaceDN w:val="0"/>
              <w:adjustRightInd w:val="0"/>
              <w:spacing w:before="120" w:after="120"/>
              <w:rPr>
                <w:rFonts w:cs="Arial"/>
                <w:sz w:val="16"/>
                <w:szCs w:val="16"/>
              </w:rPr>
            </w:pPr>
            <w:r w:rsidRPr="00E30EEE">
              <w:rPr>
                <w:rFonts w:cs="Arial"/>
                <w:sz w:val="16"/>
                <w:szCs w:val="16"/>
              </w:rPr>
              <w:t>Meeting on Developing the TISC Project: Innovation Support Seminar, Training of Trainers Workshop and TISC Project Planning Meeting</w:t>
            </w:r>
          </w:p>
        </w:tc>
        <w:tc>
          <w:tcPr>
            <w:tcW w:w="1134" w:type="dxa"/>
            <w:tcBorders>
              <w:top w:val="nil"/>
              <w:bottom w:val="nil"/>
            </w:tcBorders>
          </w:tcPr>
          <w:p w:rsidR="009375B7" w:rsidRPr="00B357EF" w:rsidRDefault="009375B7" w:rsidP="008D1891">
            <w:pPr>
              <w:spacing w:before="120" w:after="120"/>
              <w:rPr>
                <w:rFonts w:cs="Arial"/>
                <w:sz w:val="16"/>
                <w:szCs w:val="16"/>
              </w:rPr>
            </w:pPr>
            <w:r w:rsidRPr="00847F7F">
              <w:rPr>
                <w:rFonts w:cs="Arial"/>
                <w:sz w:val="16"/>
                <w:szCs w:val="16"/>
              </w:rPr>
              <w:t>June 16 to 18, 2014</w:t>
            </w:r>
          </w:p>
        </w:tc>
        <w:tc>
          <w:tcPr>
            <w:tcW w:w="1985" w:type="dxa"/>
            <w:tcBorders>
              <w:top w:val="nil"/>
              <w:bottom w:val="nil"/>
            </w:tcBorders>
          </w:tcPr>
          <w:p w:rsidR="009375B7" w:rsidRDefault="009375B7" w:rsidP="008D1891">
            <w:pPr>
              <w:autoSpaceDE w:val="0"/>
              <w:autoSpaceDN w:val="0"/>
              <w:adjustRightInd w:val="0"/>
              <w:spacing w:before="120" w:after="120"/>
              <w:rPr>
                <w:rFonts w:cs="Arial"/>
                <w:color w:val="000000"/>
                <w:sz w:val="16"/>
                <w:szCs w:val="16"/>
              </w:rPr>
            </w:pPr>
            <w:r w:rsidRPr="003E0C8F">
              <w:rPr>
                <w:rFonts w:cs="Arial"/>
                <w:color w:val="000000"/>
                <w:sz w:val="16"/>
                <w:szCs w:val="16"/>
              </w:rPr>
              <w:t xml:space="preserve">Zambia/     </w:t>
            </w:r>
            <w:r>
              <w:rPr>
                <w:rFonts w:cs="Arial"/>
                <w:color w:val="000000"/>
                <w:sz w:val="16"/>
                <w:szCs w:val="16"/>
              </w:rPr>
              <w:t xml:space="preserve">          </w:t>
            </w:r>
            <w:r w:rsidRPr="003E0C8F">
              <w:rPr>
                <w:rFonts w:cs="Arial"/>
                <w:color w:val="000000"/>
                <w:sz w:val="16"/>
                <w:szCs w:val="16"/>
              </w:rPr>
              <w:t>approx</w:t>
            </w:r>
            <w:r>
              <w:rPr>
                <w:rFonts w:cs="Arial"/>
                <w:color w:val="000000"/>
                <w:sz w:val="16"/>
                <w:szCs w:val="16"/>
              </w:rPr>
              <w:t>imately</w:t>
            </w:r>
            <w:r w:rsidRPr="003E0C8F">
              <w:rPr>
                <w:rFonts w:cs="Arial"/>
                <w:color w:val="000000"/>
                <w:sz w:val="16"/>
                <w:szCs w:val="16"/>
              </w:rPr>
              <w:t xml:space="preserve"> 25 local participants</w:t>
            </w:r>
          </w:p>
        </w:tc>
        <w:tc>
          <w:tcPr>
            <w:tcW w:w="4394" w:type="dxa"/>
            <w:tcBorders>
              <w:top w:val="nil"/>
              <w:bottom w:val="nil"/>
              <w:right w:val="single" w:sz="4" w:space="0" w:color="auto"/>
            </w:tcBorders>
          </w:tcPr>
          <w:p w:rsidR="009375B7" w:rsidRPr="00D566BF" w:rsidRDefault="009375B7" w:rsidP="008D1891">
            <w:pPr>
              <w:autoSpaceDE w:val="0"/>
              <w:autoSpaceDN w:val="0"/>
              <w:adjustRightInd w:val="0"/>
              <w:spacing w:before="120" w:after="120"/>
              <w:rPr>
                <w:rFonts w:cs="Arial"/>
                <w:sz w:val="16"/>
                <w:szCs w:val="16"/>
              </w:rPr>
            </w:pPr>
            <w:r w:rsidRPr="00B93951">
              <w:rPr>
                <w:rFonts w:cs="Arial"/>
                <w:sz w:val="16"/>
                <w:szCs w:val="16"/>
              </w:rPr>
              <w:t>To bring major stakeholders together</w:t>
            </w:r>
            <w:r>
              <w:rPr>
                <w:rFonts w:cs="Arial"/>
                <w:sz w:val="16"/>
                <w:szCs w:val="16"/>
              </w:rPr>
              <w:t xml:space="preserve"> in order</w:t>
            </w:r>
            <w:r w:rsidRPr="00B93951">
              <w:rPr>
                <w:rFonts w:cs="Arial"/>
                <w:sz w:val="16"/>
                <w:szCs w:val="16"/>
              </w:rPr>
              <w:t xml:space="preserve"> to discuss </w:t>
            </w:r>
            <w:r>
              <w:rPr>
                <w:rFonts w:cs="Arial"/>
                <w:sz w:val="16"/>
                <w:szCs w:val="16"/>
              </w:rPr>
              <w:t xml:space="preserve">the </w:t>
            </w:r>
            <w:r w:rsidRPr="00B93951">
              <w:rPr>
                <w:rFonts w:cs="Arial"/>
                <w:sz w:val="16"/>
                <w:szCs w:val="16"/>
              </w:rPr>
              <w:t>establish</w:t>
            </w:r>
            <w:r>
              <w:rPr>
                <w:rFonts w:cs="Arial"/>
                <w:sz w:val="16"/>
                <w:szCs w:val="16"/>
              </w:rPr>
              <w:t>ment of</w:t>
            </w:r>
            <w:r w:rsidRPr="00B93951">
              <w:rPr>
                <w:rFonts w:cs="Arial"/>
                <w:sz w:val="16"/>
                <w:szCs w:val="16"/>
              </w:rPr>
              <w:t xml:space="preserve"> a national TISC network.</w:t>
            </w:r>
          </w:p>
        </w:tc>
      </w:tr>
      <w:tr w:rsidR="009375B7" w:rsidRPr="00774D44" w:rsidTr="009375B7">
        <w:trPr>
          <w:cantSplit/>
          <w:trHeight w:val="315"/>
        </w:trPr>
        <w:tc>
          <w:tcPr>
            <w:tcW w:w="1843" w:type="dxa"/>
            <w:tcBorders>
              <w:top w:val="nil"/>
              <w:left w:val="single" w:sz="4" w:space="0" w:color="auto"/>
              <w:bottom w:val="single" w:sz="4" w:space="0" w:color="auto"/>
            </w:tcBorders>
          </w:tcPr>
          <w:p w:rsidR="009375B7" w:rsidRPr="00B357EF" w:rsidRDefault="009375B7" w:rsidP="008D1891">
            <w:pPr>
              <w:autoSpaceDE w:val="0"/>
              <w:autoSpaceDN w:val="0"/>
              <w:adjustRightInd w:val="0"/>
              <w:spacing w:before="120" w:after="120"/>
              <w:rPr>
                <w:rFonts w:cs="Arial"/>
                <w:sz w:val="16"/>
                <w:szCs w:val="16"/>
              </w:rPr>
            </w:pPr>
            <w:r w:rsidRPr="000959EE">
              <w:rPr>
                <w:rFonts w:cs="Arial"/>
                <w:sz w:val="16"/>
                <w:szCs w:val="16"/>
              </w:rPr>
              <w:t>TISC Second Workshops on the Effective Use of Technical and Scientific Information</w:t>
            </w:r>
          </w:p>
        </w:tc>
        <w:tc>
          <w:tcPr>
            <w:tcW w:w="1134" w:type="dxa"/>
            <w:tcBorders>
              <w:top w:val="nil"/>
              <w:bottom w:val="single" w:sz="4" w:space="0" w:color="auto"/>
            </w:tcBorders>
          </w:tcPr>
          <w:p w:rsidR="009375B7" w:rsidRPr="00B357EF" w:rsidRDefault="009375B7" w:rsidP="008D1891">
            <w:pPr>
              <w:autoSpaceDE w:val="0"/>
              <w:autoSpaceDN w:val="0"/>
              <w:adjustRightInd w:val="0"/>
              <w:spacing w:before="120" w:after="120"/>
              <w:rPr>
                <w:rFonts w:cs="Arial"/>
                <w:sz w:val="16"/>
                <w:szCs w:val="16"/>
              </w:rPr>
            </w:pPr>
            <w:r w:rsidRPr="007F4DD0">
              <w:rPr>
                <w:rFonts w:cs="Arial"/>
                <w:sz w:val="16"/>
                <w:szCs w:val="16"/>
              </w:rPr>
              <w:t xml:space="preserve">September 4 </w:t>
            </w:r>
            <w:r>
              <w:rPr>
                <w:rFonts w:cs="Arial"/>
                <w:sz w:val="16"/>
                <w:szCs w:val="16"/>
              </w:rPr>
              <w:t>to</w:t>
            </w:r>
            <w:r w:rsidR="00A91DB4">
              <w:rPr>
                <w:rFonts w:cs="Arial"/>
                <w:sz w:val="16"/>
                <w:szCs w:val="16"/>
              </w:rPr>
              <w:t xml:space="preserve"> </w:t>
            </w:r>
            <w:r w:rsidRPr="007F4DD0">
              <w:rPr>
                <w:rFonts w:cs="Arial"/>
                <w:sz w:val="16"/>
                <w:szCs w:val="16"/>
              </w:rPr>
              <w:t>5</w:t>
            </w:r>
            <w:r>
              <w:rPr>
                <w:rFonts w:cs="Arial"/>
                <w:sz w:val="16"/>
                <w:szCs w:val="16"/>
              </w:rPr>
              <w:t xml:space="preserve"> and</w:t>
            </w:r>
            <w:r w:rsidRPr="007F4DD0">
              <w:rPr>
                <w:rFonts w:cs="Arial"/>
                <w:sz w:val="16"/>
                <w:szCs w:val="16"/>
              </w:rPr>
              <w:t xml:space="preserve"> 8 </w:t>
            </w:r>
            <w:r>
              <w:rPr>
                <w:rFonts w:cs="Arial"/>
                <w:sz w:val="16"/>
                <w:szCs w:val="16"/>
              </w:rPr>
              <w:t>to</w:t>
            </w:r>
            <w:r w:rsidRPr="007F4DD0">
              <w:rPr>
                <w:rFonts w:cs="Arial"/>
                <w:sz w:val="16"/>
                <w:szCs w:val="16"/>
              </w:rPr>
              <w:t xml:space="preserve"> 9, 2014</w:t>
            </w:r>
          </w:p>
        </w:tc>
        <w:tc>
          <w:tcPr>
            <w:tcW w:w="1985" w:type="dxa"/>
            <w:tcBorders>
              <w:top w:val="nil"/>
              <w:bottom w:val="single" w:sz="4" w:space="0" w:color="auto"/>
            </w:tcBorders>
          </w:tcPr>
          <w:p w:rsidR="009375B7" w:rsidRDefault="009375B7" w:rsidP="008D1891">
            <w:pPr>
              <w:autoSpaceDE w:val="0"/>
              <w:autoSpaceDN w:val="0"/>
              <w:adjustRightInd w:val="0"/>
              <w:spacing w:before="120" w:after="120"/>
              <w:rPr>
                <w:rFonts w:cs="Arial"/>
                <w:color w:val="000000"/>
                <w:sz w:val="16"/>
                <w:szCs w:val="16"/>
              </w:rPr>
            </w:pPr>
            <w:r>
              <w:rPr>
                <w:rFonts w:cs="Arial"/>
                <w:color w:val="000000"/>
                <w:sz w:val="16"/>
                <w:szCs w:val="16"/>
              </w:rPr>
              <w:t xml:space="preserve">United Republic of </w:t>
            </w:r>
            <w:r w:rsidRPr="000D2045">
              <w:rPr>
                <w:rFonts w:cs="Arial"/>
                <w:color w:val="000000"/>
                <w:sz w:val="16"/>
                <w:szCs w:val="16"/>
              </w:rPr>
              <w:t xml:space="preserve">Tanzania/     </w:t>
            </w:r>
            <w:r>
              <w:rPr>
                <w:rFonts w:cs="Arial"/>
                <w:color w:val="000000"/>
                <w:sz w:val="16"/>
                <w:szCs w:val="16"/>
              </w:rPr>
              <w:t xml:space="preserve">       </w:t>
            </w:r>
            <w:r w:rsidRPr="000D2045">
              <w:rPr>
                <w:rFonts w:cs="Arial"/>
                <w:color w:val="000000"/>
                <w:sz w:val="16"/>
                <w:szCs w:val="16"/>
              </w:rPr>
              <w:t>approx</w:t>
            </w:r>
            <w:r>
              <w:rPr>
                <w:rFonts w:cs="Arial"/>
                <w:color w:val="000000"/>
                <w:sz w:val="16"/>
                <w:szCs w:val="16"/>
              </w:rPr>
              <w:t>imately</w:t>
            </w:r>
            <w:r w:rsidRPr="000D2045">
              <w:rPr>
                <w:rFonts w:cs="Arial"/>
                <w:color w:val="000000"/>
                <w:sz w:val="16"/>
                <w:szCs w:val="16"/>
              </w:rPr>
              <w:t xml:space="preserve"> 50 local participants in Dar </w:t>
            </w:r>
            <w:proofErr w:type="spellStart"/>
            <w:r w:rsidRPr="000D2045">
              <w:rPr>
                <w:rFonts w:cs="Arial"/>
                <w:color w:val="000000"/>
                <w:sz w:val="16"/>
                <w:szCs w:val="16"/>
              </w:rPr>
              <w:t>es</w:t>
            </w:r>
            <w:proofErr w:type="spellEnd"/>
            <w:r w:rsidRPr="000D2045">
              <w:rPr>
                <w:rFonts w:cs="Arial"/>
                <w:color w:val="000000"/>
                <w:sz w:val="16"/>
                <w:szCs w:val="16"/>
              </w:rPr>
              <w:t xml:space="preserve"> Salaam</w:t>
            </w:r>
            <w:r>
              <w:rPr>
                <w:rFonts w:cs="Arial"/>
                <w:color w:val="000000"/>
                <w:sz w:val="16"/>
                <w:szCs w:val="16"/>
              </w:rPr>
              <w:t>;</w:t>
            </w:r>
            <w:r w:rsidRPr="000D2045">
              <w:rPr>
                <w:rFonts w:cs="Arial"/>
                <w:color w:val="000000"/>
                <w:sz w:val="16"/>
                <w:szCs w:val="16"/>
              </w:rPr>
              <w:t xml:space="preserve"> approx</w:t>
            </w:r>
            <w:r>
              <w:rPr>
                <w:rFonts w:cs="Arial"/>
                <w:color w:val="000000"/>
                <w:sz w:val="16"/>
                <w:szCs w:val="16"/>
              </w:rPr>
              <w:t>imately</w:t>
            </w:r>
            <w:r w:rsidRPr="000D2045">
              <w:rPr>
                <w:rFonts w:cs="Arial"/>
                <w:color w:val="000000"/>
                <w:sz w:val="16"/>
                <w:szCs w:val="16"/>
              </w:rPr>
              <w:t xml:space="preserve"> 30 local participants in Zanzibar</w:t>
            </w:r>
          </w:p>
        </w:tc>
        <w:tc>
          <w:tcPr>
            <w:tcW w:w="4394" w:type="dxa"/>
            <w:tcBorders>
              <w:top w:val="nil"/>
              <w:bottom w:val="single" w:sz="4" w:space="0" w:color="auto"/>
              <w:right w:val="single" w:sz="4" w:space="0" w:color="auto"/>
            </w:tcBorders>
          </w:tcPr>
          <w:p w:rsidR="009375B7" w:rsidRPr="00D566BF" w:rsidRDefault="009375B7" w:rsidP="008D1891">
            <w:pPr>
              <w:autoSpaceDE w:val="0"/>
              <w:autoSpaceDN w:val="0"/>
              <w:adjustRightInd w:val="0"/>
              <w:spacing w:before="120" w:after="120"/>
              <w:rPr>
                <w:rFonts w:cs="Arial"/>
                <w:sz w:val="16"/>
                <w:szCs w:val="16"/>
              </w:rPr>
            </w:pPr>
            <w:r w:rsidRPr="000F79B9">
              <w:rPr>
                <w:rFonts w:cs="Arial"/>
                <w:sz w:val="16"/>
                <w:szCs w:val="16"/>
              </w:rPr>
              <w:t>To strengthen capacities of participants on searching and exploiting technologies and scientific information to develop their respective activities.</w:t>
            </w:r>
          </w:p>
        </w:tc>
      </w:tr>
      <w:tr w:rsidR="009375B7" w:rsidRPr="00774D44" w:rsidTr="009375B7">
        <w:trPr>
          <w:cantSplit/>
          <w:trHeight w:val="315"/>
        </w:trPr>
        <w:tc>
          <w:tcPr>
            <w:tcW w:w="1843" w:type="dxa"/>
            <w:tcBorders>
              <w:top w:val="single" w:sz="4" w:space="0" w:color="auto"/>
              <w:left w:val="single" w:sz="4" w:space="0" w:color="auto"/>
              <w:bottom w:val="nil"/>
            </w:tcBorders>
            <w:vAlign w:val="center"/>
          </w:tcPr>
          <w:p w:rsidR="009375B7" w:rsidRPr="002B7DE5" w:rsidRDefault="009375B7" w:rsidP="008D1891">
            <w:pPr>
              <w:keepNext/>
              <w:keepLines/>
              <w:spacing w:before="120"/>
              <w:rPr>
                <w:rFonts w:cs="Arial"/>
                <w:b/>
                <w:bCs/>
                <w:sz w:val="16"/>
                <w:szCs w:val="16"/>
              </w:rPr>
            </w:pPr>
            <w:r w:rsidRPr="002B7DE5">
              <w:rPr>
                <w:rFonts w:cs="Arial"/>
                <w:b/>
                <w:bCs/>
                <w:sz w:val="16"/>
                <w:szCs w:val="16"/>
              </w:rPr>
              <w:lastRenderedPageBreak/>
              <w:t>Activity</w:t>
            </w:r>
          </w:p>
        </w:tc>
        <w:tc>
          <w:tcPr>
            <w:tcW w:w="1134" w:type="dxa"/>
            <w:tcBorders>
              <w:top w:val="single" w:sz="4" w:space="0" w:color="auto"/>
              <w:bottom w:val="nil"/>
            </w:tcBorders>
            <w:vAlign w:val="center"/>
          </w:tcPr>
          <w:p w:rsidR="009375B7" w:rsidRPr="002B7DE5" w:rsidRDefault="009375B7" w:rsidP="008D1891">
            <w:pPr>
              <w:keepNext/>
              <w:keepLines/>
              <w:spacing w:before="120"/>
              <w:rPr>
                <w:rFonts w:cs="Arial"/>
                <w:sz w:val="16"/>
                <w:szCs w:val="16"/>
              </w:rPr>
            </w:pPr>
            <w:r w:rsidRPr="002B7DE5">
              <w:rPr>
                <w:rFonts w:cs="Arial"/>
                <w:b/>
                <w:bCs/>
                <w:sz w:val="16"/>
                <w:szCs w:val="16"/>
              </w:rPr>
              <w:t>Date</w:t>
            </w:r>
          </w:p>
        </w:tc>
        <w:tc>
          <w:tcPr>
            <w:tcW w:w="1985" w:type="dxa"/>
            <w:tcBorders>
              <w:top w:val="single" w:sz="4" w:space="0" w:color="auto"/>
              <w:bottom w:val="nil"/>
            </w:tcBorders>
            <w:vAlign w:val="center"/>
          </w:tcPr>
          <w:p w:rsidR="009375B7" w:rsidRPr="002B7DE5" w:rsidRDefault="009375B7" w:rsidP="008D1891">
            <w:pPr>
              <w:keepNext/>
              <w:keepLines/>
              <w:spacing w:before="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auto"/>
              <w:bottom w:val="nil"/>
              <w:right w:val="single" w:sz="4" w:space="0" w:color="auto"/>
            </w:tcBorders>
            <w:vAlign w:val="center"/>
          </w:tcPr>
          <w:p w:rsidR="009375B7" w:rsidRPr="002B7DE5" w:rsidRDefault="009375B7" w:rsidP="008D1891">
            <w:pPr>
              <w:keepNext/>
              <w:keepLines/>
              <w:spacing w:before="120"/>
              <w:rPr>
                <w:rFonts w:cs="Arial"/>
                <w:sz w:val="16"/>
                <w:szCs w:val="16"/>
              </w:rPr>
            </w:pPr>
            <w:r w:rsidRPr="002B7DE5">
              <w:rPr>
                <w:rFonts w:cs="Arial"/>
                <w:b/>
                <w:bCs/>
                <w:sz w:val="16"/>
                <w:szCs w:val="16"/>
              </w:rPr>
              <w:t>Purpose(s)/Description(s)</w:t>
            </w:r>
          </w:p>
        </w:tc>
      </w:tr>
      <w:tr w:rsidR="009375B7" w:rsidRPr="00774D44" w:rsidTr="009375B7">
        <w:trPr>
          <w:cantSplit/>
          <w:trHeight w:val="315"/>
        </w:trPr>
        <w:tc>
          <w:tcPr>
            <w:tcW w:w="1843" w:type="dxa"/>
            <w:tcBorders>
              <w:top w:val="nil"/>
              <w:left w:val="single" w:sz="4" w:space="0" w:color="auto"/>
              <w:bottom w:val="nil"/>
            </w:tcBorders>
          </w:tcPr>
          <w:p w:rsidR="009375B7" w:rsidRPr="00774D44" w:rsidRDefault="009375B7" w:rsidP="008D1891">
            <w:pPr>
              <w:autoSpaceDE w:val="0"/>
              <w:autoSpaceDN w:val="0"/>
              <w:adjustRightInd w:val="0"/>
              <w:spacing w:before="120" w:after="120"/>
              <w:rPr>
                <w:rFonts w:cs="Arial"/>
                <w:color w:val="000000"/>
                <w:sz w:val="16"/>
                <w:szCs w:val="16"/>
              </w:rPr>
            </w:pPr>
            <w:r w:rsidRPr="00DA06A2">
              <w:rPr>
                <w:rFonts w:cs="Arial"/>
                <w:color w:val="000000"/>
                <w:sz w:val="16"/>
                <w:szCs w:val="16"/>
              </w:rPr>
              <w:t>Access to scientific and technical information for technological capacity building and product branding for goods of export interest for English speaking LDCs</w:t>
            </w:r>
          </w:p>
        </w:tc>
        <w:tc>
          <w:tcPr>
            <w:tcW w:w="1134" w:type="dxa"/>
            <w:tcBorders>
              <w:top w:val="nil"/>
              <w:bottom w:val="nil"/>
            </w:tcBorders>
          </w:tcPr>
          <w:p w:rsidR="009375B7" w:rsidRPr="00774D44" w:rsidRDefault="009375B7" w:rsidP="008D1891">
            <w:pPr>
              <w:autoSpaceDE w:val="0"/>
              <w:autoSpaceDN w:val="0"/>
              <w:adjustRightInd w:val="0"/>
              <w:spacing w:before="120" w:after="120"/>
              <w:rPr>
                <w:rFonts w:cs="Arial"/>
                <w:color w:val="000000"/>
                <w:sz w:val="16"/>
                <w:szCs w:val="16"/>
              </w:rPr>
            </w:pPr>
            <w:r w:rsidRPr="00DA06A2">
              <w:rPr>
                <w:rFonts w:cs="Arial"/>
                <w:color w:val="000000"/>
                <w:sz w:val="16"/>
                <w:szCs w:val="16"/>
              </w:rPr>
              <w:t>October 21 to 24, 2014</w:t>
            </w:r>
          </w:p>
        </w:tc>
        <w:tc>
          <w:tcPr>
            <w:tcW w:w="1985" w:type="dxa"/>
            <w:tcBorders>
              <w:top w:val="nil"/>
              <w:bottom w:val="nil"/>
            </w:tcBorders>
          </w:tcPr>
          <w:p w:rsidR="009375B7" w:rsidRDefault="009375B7" w:rsidP="008D1891">
            <w:pPr>
              <w:autoSpaceDE w:val="0"/>
              <w:autoSpaceDN w:val="0"/>
              <w:adjustRightInd w:val="0"/>
              <w:spacing w:before="120" w:after="120"/>
              <w:rPr>
                <w:rFonts w:cs="Arial"/>
                <w:color w:val="000000"/>
                <w:sz w:val="16"/>
                <w:szCs w:val="16"/>
              </w:rPr>
            </w:pPr>
            <w:r w:rsidRPr="006A1E5D">
              <w:rPr>
                <w:rFonts w:cs="Arial"/>
                <w:color w:val="000000"/>
                <w:sz w:val="16"/>
                <w:szCs w:val="16"/>
              </w:rPr>
              <w:t xml:space="preserve">Zimbabwe/        </w:t>
            </w:r>
            <w:r>
              <w:rPr>
                <w:rFonts w:cs="Arial"/>
                <w:color w:val="000000"/>
                <w:sz w:val="16"/>
                <w:szCs w:val="16"/>
              </w:rPr>
              <w:t xml:space="preserve">           </w:t>
            </w:r>
            <w:r w:rsidRPr="006A1E5D">
              <w:rPr>
                <w:rFonts w:cs="Arial"/>
                <w:color w:val="000000"/>
                <w:sz w:val="16"/>
                <w:szCs w:val="16"/>
              </w:rPr>
              <w:t>11 participants from Ethiopia, Rwanda</w:t>
            </w:r>
            <w:r>
              <w:rPr>
                <w:rFonts w:cs="Arial"/>
                <w:color w:val="000000"/>
                <w:sz w:val="16"/>
                <w:szCs w:val="16"/>
              </w:rPr>
              <w:t xml:space="preserve">, </w:t>
            </w:r>
            <w:r w:rsidRPr="006A1E5D">
              <w:rPr>
                <w:rFonts w:cs="Arial"/>
                <w:color w:val="000000"/>
                <w:sz w:val="16"/>
                <w:szCs w:val="16"/>
              </w:rPr>
              <w:t xml:space="preserve"> Uganda</w:t>
            </w:r>
            <w:r>
              <w:rPr>
                <w:rFonts w:cs="Arial"/>
                <w:color w:val="000000"/>
                <w:sz w:val="16"/>
                <w:szCs w:val="16"/>
              </w:rPr>
              <w:t>,</w:t>
            </w:r>
            <w:r w:rsidRPr="006A1E5D">
              <w:rPr>
                <w:rFonts w:cs="Arial"/>
                <w:color w:val="000000"/>
                <w:sz w:val="16"/>
                <w:szCs w:val="16"/>
              </w:rPr>
              <w:t xml:space="preserve"> </w:t>
            </w:r>
            <w:r>
              <w:rPr>
                <w:rFonts w:cs="Arial"/>
                <w:color w:val="000000"/>
                <w:sz w:val="16"/>
                <w:szCs w:val="16"/>
              </w:rPr>
              <w:t>United Republic of Tanzania</w:t>
            </w:r>
            <w:r w:rsidRPr="006A1E5D">
              <w:rPr>
                <w:rFonts w:cs="Arial"/>
                <w:color w:val="000000"/>
                <w:sz w:val="16"/>
                <w:szCs w:val="16"/>
              </w:rPr>
              <w:t xml:space="preserve"> and Zambia</w:t>
            </w:r>
          </w:p>
          <w:p w:rsidR="009375B7" w:rsidRDefault="009375B7" w:rsidP="008D1891">
            <w:pPr>
              <w:rPr>
                <w:rFonts w:cs="Arial"/>
                <w:sz w:val="16"/>
                <w:szCs w:val="16"/>
              </w:rPr>
            </w:pPr>
          </w:p>
          <w:p w:rsidR="009375B7" w:rsidRPr="00A872A4" w:rsidRDefault="009375B7" w:rsidP="008D1891">
            <w:pPr>
              <w:autoSpaceDE w:val="0"/>
              <w:autoSpaceDN w:val="0"/>
              <w:adjustRightInd w:val="0"/>
              <w:spacing w:before="120" w:after="120"/>
              <w:rPr>
                <w:rFonts w:cs="Arial"/>
                <w:color w:val="000000"/>
                <w:sz w:val="16"/>
                <w:szCs w:val="16"/>
              </w:rPr>
            </w:pPr>
          </w:p>
        </w:tc>
        <w:tc>
          <w:tcPr>
            <w:tcW w:w="4394" w:type="dxa"/>
            <w:tcBorders>
              <w:top w:val="nil"/>
              <w:bottom w:val="nil"/>
              <w:right w:val="single" w:sz="4" w:space="0" w:color="auto"/>
            </w:tcBorders>
          </w:tcPr>
          <w:p w:rsidR="009375B7" w:rsidRPr="00774D44" w:rsidRDefault="009375B7" w:rsidP="008D1891">
            <w:pPr>
              <w:autoSpaceDE w:val="0"/>
              <w:autoSpaceDN w:val="0"/>
              <w:adjustRightInd w:val="0"/>
              <w:spacing w:before="120" w:after="120"/>
              <w:rPr>
                <w:rFonts w:cs="Arial"/>
                <w:color w:val="000000"/>
                <w:sz w:val="16"/>
                <w:szCs w:val="16"/>
              </w:rPr>
            </w:pPr>
            <w:r w:rsidRPr="000649DE">
              <w:rPr>
                <w:rFonts w:cs="Arial"/>
                <w:color w:val="000000"/>
                <w:sz w:val="16"/>
                <w:szCs w:val="16"/>
              </w:rPr>
              <w:t xml:space="preserve">To provide a platform for the participants to share country experiences and learn how to: </w:t>
            </w:r>
            <w:r>
              <w:rPr>
                <w:rFonts w:cs="Arial"/>
                <w:color w:val="000000"/>
                <w:sz w:val="16"/>
                <w:szCs w:val="16"/>
              </w:rPr>
              <w:t>(</w:t>
            </w:r>
            <w:proofErr w:type="spellStart"/>
            <w:r>
              <w:rPr>
                <w:rFonts w:cs="Arial"/>
                <w:color w:val="000000"/>
                <w:sz w:val="16"/>
                <w:szCs w:val="16"/>
              </w:rPr>
              <w:t>i</w:t>
            </w:r>
            <w:proofErr w:type="spellEnd"/>
            <w:r>
              <w:rPr>
                <w:rFonts w:cs="Arial"/>
                <w:color w:val="000000"/>
                <w:sz w:val="16"/>
                <w:szCs w:val="16"/>
              </w:rPr>
              <w:t>)</w:t>
            </w:r>
            <w:r w:rsidRPr="000649DE">
              <w:rPr>
                <w:rFonts w:cs="Arial"/>
                <w:color w:val="000000"/>
                <w:sz w:val="16"/>
                <w:szCs w:val="16"/>
              </w:rPr>
              <w:t xml:space="preserve"> access technological information and the acquisition of foreign technology using state-of-the-art searches and training on search and search methods for patent information on databases and on the Internet as well as the use of scientific journals</w:t>
            </w:r>
            <w:r>
              <w:rPr>
                <w:rFonts w:cs="Arial"/>
                <w:color w:val="000000"/>
                <w:sz w:val="16"/>
                <w:szCs w:val="16"/>
              </w:rPr>
              <w:t>;</w:t>
            </w:r>
            <w:r w:rsidRPr="000649DE">
              <w:rPr>
                <w:rFonts w:cs="Arial"/>
                <w:color w:val="000000"/>
                <w:sz w:val="16"/>
                <w:szCs w:val="16"/>
              </w:rPr>
              <w:t xml:space="preserve"> </w:t>
            </w:r>
            <w:r>
              <w:rPr>
                <w:rFonts w:cs="Arial"/>
                <w:color w:val="000000"/>
                <w:sz w:val="16"/>
                <w:szCs w:val="16"/>
              </w:rPr>
              <w:t>(ii)</w:t>
            </w:r>
            <w:r w:rsidRPr="000649DE">
              <w:rPr>
                <w:rFonts w:cs="Arial"/>
                <w:color w:val="000000"/>
                <w:sz w:val="16"/>
                <w:szCs w:val="16"/>
              </w:rPr>
              <w:t xml:space="preserve"> build capacity to enable LDCs to effectively utilize the industrial property system to increase their trading opportunity (increasing productive capacity, diversification of products, efficient and competitive business process);</w:t>
            </w:r>
            <w:r>
              <w:rPr>
                <w:rFonts w:cs="Arial"/>
                <w:color w:val="000000"/>
                <w:sz w:val="16"/>
                <w:szCs w:val="16"/>
              </w:rPr>
              <w:t xml:space="preserve"> and</w:t>
            </w:r>
            <w:r w:rsidRPr="000649DE">
              <w:rPr>
                <w:rFonts w:cs="Arial"/>
                <w:color w:val="000000"/>
                <w:sz w:val="16"/>
                <w:szCs w:val="16"/>
              </w:rPr>
              <w:t xml:space="preserve"> </w:t>
            </w:r>
            <w:r>
              <w:rPr>
                <w:rFonts w:cs="Arial"/>
                <w:color w:val="000000"/>
                <w:sz w:val="16"/>
                <w:szCs w:val="16"/>
              </w:rPr>
              <w:t>(iii)</w:t>
            </w:r>
            <w:r w:rsidRPr="000649DE">
              <w:rPr>
                <w:rFonts w:cs="Arial"/>
                <w:color w:val="000000"/>
                <w:sz w:val="16"/>
                <w:szCs w:val="16"/>
              </w:rPr>
              <w:t xml:space="preserve"> harness the private-public partnerships in LDCs for targeted initiatives in the field of the industrial property system to generate increased economic gains.</w:t>
            </w:r>
          </w:p>
        </w:tc>
      </w:tr>
      <w:tr w:rsidR="009375B7" w:rsidRPr="00774D44" w:rsidTr="009375B7">
        <w:trPr>
          <w:cantSplit/>
          <w:trHeight w:val="315"/>
        </w:trPr>
        <w:tc>
          <w:tcPr>
            <w:tcW w:w="9356" w:type="dxa"/>
            <w:gridSpan w:val="4"/>
            <w:tcBorders>
              <w:top w:val="nil"/>
              <w:left w:val="single" w:sz="4" w:space="0" w:color="auto"/>
              <w:bottom w:val="single" w:sz="4" w:space="0" w:color="auto"/>
              <w:right w:val="single" w:sz="4" w:space="0" w:color="auto"/>
            </w:tcBorders>
            <w:shd w:val="clear" w:color="auto" w:fill="CCFFFF"/>
          </w:tcPr>
          <w:p w:rsidR="009375B7" w:rsidRPr="00291453" w:rsidRDefault="009375B7" w:rsidP="008D1891">
            <w:pPr>
              <w:keepNext/>
              <w:keepLines/>
              <w:tabs>
                <w:tab w:val="left" w:pos="1740"/>
              </w:tabs>
              <w:spacing w:before="120" w:after="120"/>
              <w:ind w:left="1740" w:hanging="1740"/>
              <w:rPr>
                <w:rFonts w:cs="Arial"/>
                <w:b/>
                <w:bCs/>
                <w:color w:val="000000"/>
                <w:sz w:val="16"/>
                <w:szCs w:val="16"/>
              </w:rPr>
            </w:pPr>
            <w:r w:rsidRPr="00C62606">
              <w:rPr>
                <w:rFonts w:cs="Arial"/>
                <w:b/>
                <w:bCs/>
                <w:color w:val="000000"/>
                <w:sz w:val="16"/>
                <w:szCs w:val="16"/>
              </w:rPr>
              <w:t>RESULT:</w:t>
            </w:r>
            <w:r w:rsidRPr="00C62606">
              <w:rPr>
                <w:rFonts w:cs="Arial"/>
                <w:b/>
                <w:bCs/>
                <w:color w:val="000000"/>
                <w:sz w:val="16"/>
                <w:szCs w:val="16"/>
              </w:rPr>
              <w:tab/>
            </w:r>
            <w:r w:rsidRPr="00291453">
              <w:rPr>
                <w:rFonts w:cs="Arial"/>
                <w:bCs/>
                <w:color w:val="000000"/>
                <w:sz w:val="16"/>
                <w:szCs w:val="16"/>
              </w:rPr>
              <w:t>IV.4. Enhanced technical and knowledge infrastructure for IP Offices and other IP institutions leading to better services (cheaper, faster, higher quality) to their stakeholders</w:t>
            </w:r>
          </w:p>
        </w:tc>
      </w:tr>
      <w:tr w:rsidR="009375B7" w:rsidRPr="00774D44" w:rsidTr="008D1891">
        <w:trPr>
          <w:cantSplit/>
          <w:trHeight w:val="315"/>
        </w:trPr>
        <w:tc>
          <w:tcPr>
            <w:tcW w:w="1843" w:type="dxa"/>
            <w:tcBorders>
              <w:top w:val="single" w:sz="4" w:space="0" w:color="auto"/>
              <w:bottom w:val="nil"/>
            </w:tcBorders>
            <w:vAlign w:val="center"/>
          </w:tcPr>
          <w:p w:rsidR="009375B7" w:rsidRPr="002B7DE5" w:rsidRDefault="009375B7" w:rsidP="008D1891">
            <w:pPr>
              <w:keepNext/>
              <w:keepLines/>
              <w:spacing w:before="120"/>
              <w:rPr>
                <w:rFonts w:cs="Arial"/>
                <w:b/>
                <w:bCs/>
                <w:sz w:val="16"/>
                <w:szCs w:val="16"/>
              </w:rPr>
            </w:pPr>
            <w:r w:rsidRPr="002B7DE5">
              <w:rPr>
                <w:rFonts w:cs="Arial"/>
                <w:b/>
                <w:bCs/>
                <w:sz w:val="16"/>
                <w:szCs w:val="16"/>
              </w:rPr>
              <w:t>Activity</w:t>
            </w:r>
          </w:p>
        </w:tc>
        <w:tc>
          <w:tcPr>
            <w:tcW w:w="1134" w:type="dxa"/>
            <w:tcBorders>
              <w:top w:val="single" w:sz="4" w:space="0" w:color="auto"/>
              <w:bottom w:val="nil"/>
            </w:tcBorders>
            <w:vAlign w:val="center"/>
          </w:tcPr>
          <w:p w:rsidR="009375B7" w:rsidRPr="002B7DE5" w:rsidRDefault="009375B7" w:rsidP="008D1891">
            <w:pPr>
              <w:keepNext/>
              <w:keepLines/>
              <w:spacing w:before="120" w:after="120"/>
              <w:rPr>
                <w:rFonts w:cs="Arial"/>
                <w:sz w:val="16"/>
                <w:szCs w:val="16"/>
              </w:rPr>
            </w:pPr>
            <w:r w:rsidRPr="002B7DE5">
              <w:rPr>
                <w:rFonts w:cs="Arial"/>
                <w:b/>
                <w:bCs/>
                <w:sz w:val="16"/>
                <w:szCs w:val="16"/>
              </w:rPr>
              <w:t>Date</w:t>
            </w:r>
          </w:p>
        </w:tc>
        <w:tc>
          <w:tcPr>
            <w:tcW w:w="1985" w:type="dxa"/>
            <w:tcBorders>
              <w:top w:val="single" w:sz="4" w:space="0" w:color="auto"/>
              <w:bottom w:val="nil"/>
            </w:tcBorders>
            <w:vAlign w:val="center"/>
          </w:tcPr>
          <w:p w:rsidR="009375B7" w:rsidRPr="002B7DE5" w:rsidRDefault="009375B7" w:rsidP="008D1891">
            <w:pPr>
              <w:keepNext/>
              <w:keepLines/>
              <w:spacing w:before="120" w:after="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auto"/>
              <w:bottom w:val="nil"/>
            </w:tcBorders>
            <w:vAlign w:val="center"/>
          </w:tcPr>
          <w:p w:rsidR="009375B7" w:rsidRPr="002B7DE5" w:rsidRDefault="009375B7" w:rsidP="008D1891">
            <w:pPr>
              <w:keepNext/>
              <w:keepLines/>
              <w:spacing w:before="120" w:after="120"/>
              <w:rPr>
                <w:rFonts w:cs="Arial"/>
                <w:sz w:val="16"/>
                <w:szCs w:val="16"/>
              </w:rPr>
            </w:pPr>
            <w:r w:rsidRPr="002B7DE5">
              <w:rPr>
                <w:rFonts w:cs="Arial"/>
                <w:b/>
                <w:bCs/>
                <w:sz w:val="16"/>
                <w:szCs w:val="16"/>
              </w:rPr>
              <w:t>Purpose(s)/Description(s)</w:t>
            </w:r>
          </w:p>
        </w:tc>
      </w:tr>
      <w:tr w:rsidR="009375B7" w:rsidRPr="00774D44" w:rsidTr="008D1891">
        <w:trPr>
          <w:cantSplit/>
          <w:trHeight w:val="315"/>
        </w:trPr>
        <w:tc>
          <w:tcPr>
            <w:tcW w:w="1843" w:type="dxa"/>
            <w:tcBorders>
              <w:top w:val="nil"/>
              <w:bottom w:val="nil"/>
            </w:tcBorders>
          </w:tcPr>
          <w:p w:rsidR="009375B7" w:rsidRPr="00B357EF" w:rsidRDefault="009375B7" w:rsidP="008D1891">
            <w:pPr>
              <w:autoSpaceDE w:val="0"/>
              <w:autoSpaceDN w:val="0"/>
              <w:adjustRightInd w:val="0"/>
              <w:spacing w:before="120" w:after="120"/>
              <w:rPr>
                <w:rFonts w:cs="Arial"/>
                <w:sz w:val="16"/>
                <w:szCs w:val="16"/>
              </w:rPr>
            </w:pPr>
            <w:r w:rsidRPr="005B19E3">
              <w:rPr>
                <w:rFonts w:cs="Arial"/>
                <w:sz w:val="16"/>
                <w:szCs w:val="16"/>
              </w:rPr>
              <w:t>Data capture project at the Nigerian Register of Trademarks, Patents and Designs</w:t>
            </w:r>
          </w:p>
        </w:tc>
        <w:tc>
          <w:tcPr>
            <w:tcW w:w="1134" w:type="dxa"/>
            <w:tcBorders>
              <w:top w:val="nil"/>
              <w:bottom w:val="nil"/>
            </w:tcBorders>
          </w:tcPr>
          <w:p w:rsidR="009375B7" w:rsidRDefault="00A91DB4" w:rsidP="008D1891">
            <w:pPr>
              <w:spacing w:before="120" w:after="120"/>
              <w:rPr>
                <w:rFonts w:cs="Arial"/>
                <w:sz w:val="16"/>
                <w:szCs w:val="16"/>
              </w:rPr>
            </w:pPr>
            <w:r>
              <w:rPr>
                <w:rFonts w:cs="Arial"/>
                <w:sz w:val="16"/>
                <w:szCs w:val="16"/>
              </w:rPr>
              <w:t xml:space="preserve">April </w:t>
            </w:r>
            <w:r w:rsidR="009375B7">
              <w:rPr>
                <w:rFonts w:cs="Arial"/>
                <w:sz w:val="16"/>
                <w:szCs w:val="16"/>
              </w:rPr>
              <w:t>to December 2014</w:t>
            </w:r>
          </w:p>
          <w:p w:rsidR="009375B7" w:rsidRPr="00B357EF" w:rsidRDefault="009375B7" w:rsidP="008D1891">
            <w:pPr>
              <w:spacing w:before="120" w:after="120"/>
              <w:rPr>
                <w:rFonts w:cs="Arial"/>
                <w:sz w:val="16"/>
                <w:szCs w:val="16"/>
              </w:rPr>
            </w:pPr>
            <w:r>
              <w:rPr>
                <w:rFonts w:cs="Arial"/>
                <w:sz w:val="16"/>
                <w:szCs w:val="16"/>
              </w:rPr>
              <w:t>(Ongoing)</w:t>
            </w:r>
          </w:p>
        </w:tc>
        <w:tc>
          <w:tcPr>
            <w:tcW w:w="1985" w:type="dxa"/>
            <w:tcBorders>
              <w:top w:val="nil"/>
              <w:bottom w:val="nil"/>
            </w:tcBorders>
          </w:tcPr>
          <w:p w:rsidR="009375B7" w:rsidRDefault="009375B7" w:rsidP="008D1891">
            <w:pPr>
              <w:autoSpaceDE w:val="0"/>
              <w:autoSpaceDN w:val="0"/>
              <w:adjustRightInd w:val="0"/>
              <w:spacing w:before="120" w:after="120"/>
              <w:rPr>
                <w:rFonts w:cs="Arial"/>
                <w:color w:val="000000"/>
                <w:sz w:val="16"/>
                <w:szCs w:val="16"/>
              </w:rPr>
            </w:pPr>
            <w:r w:rsidRPr="00344189">
              <w:rPr>
                <w:rFonts w:cs="Arial"/>
                <w:color w:val="000000"/>
                <w:sz w:val="16"/>
                <w:szCs w:val="16"/>
              </w:rPr>
              <w:t>Nigeria</w:t>
            </w:r>
          </w:p>
        </w:tc>
        <w:tc>
          <w:tcPr>
            <w:tcW w:w="4394" w:type="dxa"/>
            <w:tcBorders>
              <w:top w:val="nil"/>
              <w:bottom w:val="nil"/>
            </w:tcBorders>
          </w:tcPr>
          <w:p w:rsidR="009375B7" w:rsidRDefault="009375B7" w:rsidP="00A91DB4">
            <w:pPr>
              <w:autoSpaceDE w:val="0"/>
              <w:autoSpaceDN w:val="0"/>
              <w:adjustRightInd w:val="0"/>
              <w:spacing w:before="120" w:after="120"/>
              <w:rPr>
                <w:rFonts w:cs="Arial"/>
                <w:sz w:val="16"/>
                <w:szCs w:val="16"/>
              </w:rPr>
            </w:pPr>
            <w:r w:rsidRPr="009B732D">
              <w:rPr>
                <w:rFonts w:cs="Arial"/>
                <w:sz w:val="16"/>
                <w:szCs w:val="16"/>
              </w:rPr>
              <w:t>To assist the office with the capture of its bibliographic data corresponding to registered/active trademarks, patents and design files from</w:t>
            </w:r>
            <w:r>
              <w:rPr>
                <w:rFonts w:cs="Arial"/>
                <w:sz w:val="16"/>
                <w:szCs w:val="16"/>
              </w:rPr>
              <w:t xml:space="preserve"> a</w:t>
            </w:r>
            <w:r w:rsidRPr="009B732D">
              <w:rPr>
                <w:rFonts w:cs="Arial"/>
                <w:sz w:val="16"/>
                <w:szCs w:val="16"/>
              </w:rPr>
              <w:t xml:space="preserve"> paper into </w:t>
            </w:r>
            <w:r>
              <w:rPr>
                <w:rFonts w:cs="Arial"/>
                <w:sz w:val="16"/>
                <w:szCs w:val="16"/>
              </w:rPr>
              <w:t xml:space="preserve">a </w:t>
            </w:r>
            <w:r w:rsidRPr="009B732D">
              <w:rPr>
                <w:rFonts w:cs="Arial"/>
                <w:sz w:val="16"/>
                <w:szCs w:val="16"/>
              </w:rPr>
              <w:t>digital format with the assistance of a specialized provider.</w:t>
            </w:r>
          </w:p>
          <w:p w:rsidR="00A91DB4" w:rsidRPr="00D566BF" w:rsidRDefault="00A91DB4" w:rsidP="00A91DB4">
            <w:pPr>
              <w:autoSpaceDE w:val="0"/>
              <w:autoSpaceDN w:val="0"/>
              <w:adjustRightInd w:val="0"/>
              <w:spacing w:before="120" w:after="120"/>
              <w:rPr>
                <w:rFonts w:cs="Arial"/>
                <w:sz w:val="16"/>
                <w:szCs w:val="16"/>
              </w:rPr>
            </w:pPr>
            <w:r>
              <w:rPr>
                <w:rFonts w:cs="Arial"/>
                <w:sz w:val="16"/>
                <w:szCs w:val="16"/>
              </w:rPr>
              <w:t>The call for tender was launched in April 2014.</w:t>
            </w:r>
          </w:p>
        </w:tc>
      </w:tr>
      <w:tr w:rsidR="009375B7" w:rsidRPr="00774D44" w:rsidTr="008D1891">
        <w:trPr>
          <w:cantSplit/>
          <w:trHeight w:val="315"/>
        </w:trPr>
        <w:tc>
          <w:tcPr>
            <w:tcW w:w="1843" w:type="dxa"/>
            <w:tcBorders>
              <w:top w:val="nil"/>
              <w:bottom w:val="nil"/>
            </w:tcBorders>
          </w:tcPr>
          <w:p w:rsidR="009375B7" w:rsidRPr="00B357EF" w:rsidRDefault="009375B7" w:rsidP="008D1891">
            <w:pPr>
              <w:autoSpaceDE w:val="0"/>
              <w:autoSpaceDN w:val="0"/>
              <w:adjustRightInd w:val="0"/>
              <w:spacing w:before="120" w:after="120"/>
              <w:rPr>
                <w:rFonts w:cs="Arial"/>
                <w:sz w:val="16"/>
                <w:szCs w:val="16"/>
              </w:rPr>
            </w:pPr>
            <w:r w:rsidRPr="00523BC7">
              <w:rPr>
                <w:rFonts w:cs="Arial"/>
                <w:sz w:val="16"/>
                <w:szCs w:val="16"/>
              </w:rPr>
              <w:t>Digitization project for the Intellectual Property Office (IPO) in Ethiopia</w:t>
            </w:r>
          </w:p>
        </w:tc>
        <w:tc>
          <w:tcPr>
            <w:tcW w:w="1134" w:type="dxa"/>
            <w:tcBorders>
              <w:top w:val="nil"/>
              <w:bottom w:val="nil"/>
            </w:tcBorders>
          </w:tcPr>
          <w:p w:rsidR="009375B7" w:rsidRDefault="009375B7" w:rsidP="008D1891">
            <w:pPr>
              <w:spacing w:before="120" w:after="120"/>
              <w:rPr>
                <w:rFonts w:cs="Arial"/>
                <w:sz w:val="16"/>
                <w:szCs w:val="16"/>
              </w:rPr>
            </w:pPr>
            <w:r>
              <w:rPr>
                <w:rFonts w:cs="Arial"/>
                <w:sz w:val="16"/>
                <w:szCs w:val="16"/>
              </w:rPr>
              <w:t>June to December 2014</w:t>
            </w:r>
          </w:p>
          <w:p w:rsidR="009375B7" w:rsidRPr="00B357EF" w:rsidRDefault="009375B7" w:rsidP="008D1891">
            <w:pPr>
              <w:spacing w:before="120" w:after="120"/>
              <w:rPr>
                <w:rFonts w:cs="Arial"/>
                <w:sz w:val="16"/>
                <w:szCs w:val="16"/>
              </w:rPr>
            </w:pPr>
            <w:r>
              <w:rPr>
                <w:rFonts w:cs="Arial"/>
                <w:sz w:val="16"/>
                <w:szCs w:val="16"/>
              </w:rPr>
              <w:t>(Ongoing)</w:t>
            </w:r>
          </w:p>
        </w:tc>
        <w:tc>
          <w:tcPr>
            <w:tcW w:w="1985" w:type="dxa"/>
            <w:tcBorders>
              <w:top w:val="nil"/>
              <w:bottom w:val="nil"/>
            </w:tcBorders>
          </w:tcPr>
          <w:p w:rsidR="009375B7" w:rsidRDefault="009375B7" w:rsidP="008D1891">
            <w:pPr>
              <w:autoSpaceDE w:val="0"/>
              <w:autoSpaceDN w:val="0"/>
              <w:adjustRightInd w:val="0"/>
              <w:spacing w:before="120" w:after="120"/>
              <w:rPr>
                <w:rFonts w:cs="Arial"/>
                <w:color w:val="000000"/>
                <w:sz w:val="16"/>
                <w:szCs w:val="16"/>
              </w:rPr>
            </w:pPr>
            <w:r w:rsidRPr="002E3F37">
              <w:rPr>
                <w:rFonts w:cs="Arial"/>
                <w:color w:val="000000"/>
                <w:sz w:val="16"/>
                <w:szCs w:val="16"/>
              </w:rPr>
              <w:t>Ethiopia</w:t>
            </w:r>
          </w:p>
        </w:tc>
        <w:tc>
          <w:tcPr>
            <w:tcW w:w="4394" w:type="dxa"/>
            <w:tcBorders>
              <w:top w:val="nil"/>
              <w:bottom w:val="nil"/>
            </w:tcBorders>
          </w:tcPr>
          <w:p w:rsidR="009375B7" w:rsidRPr="00D566BF" w:rsidRDefault="009375B7" w:rsidP="008D1891">
            <w:pPr>
              <w:autoSpaceDE w:val="0"/>
              <w:autoSpaceDN w:val="0"/>
              <w:adjustRightInd w:val="0"/>
              <w:spacing w:before="120" w:after="120"/>
              <w:rPr>
                <w:rFonts w:cs="Arial"/>
                <w:sz w:val="16"/>
                <w:szCs w:val="16"/>
              </w:rPr>
            </w:pPr>
            <w:r w:rsidRPr="00E36FD8">
              <w:rPr>
                <w:rFonts w:cs="Arial"/>
                <w:sz w:val="16"/>
                <w:szCs w:val="16"/>
              </w:rPr>
              <w:t>To assist the national IP Office in increasing the efficiency of procedures for the grant of industrial property rights, and streamlining IP administration through rationalization of administrative procedures, utilization of technology and office automation.</w:t>
            </w:r>
          </w:p>
        </w:tc>
      </w:tr>
      <w:tr w:rsidR="009375B7" w:rsidRPr="00774D44" w:rsidTr="008D1891">
        <w:trPr>
          <w:cantSplit/>
          <w:trHeight w:val="315"/>
        </w:trPr>
        <w:tc>
          <w:tcPr>
            <w:tcW w:w="1843" w:type="dxa"/>
            <w:tcBorders>
              <w:top w:val="nil"/>
              <w:left w:val="single" w:sz="4" w:space="0" w:color="auto"/>
              <w:bottom w:val="nil"/>
            </w:tcBorders>
          </w:tcPr>
          <w:p w:rsidR="009375B7" w:rsidRPr="000D1F96" w:rsidRDefault="009375B7" w:rsidP="008D1891">
            <w:pPr>
              <w:autoSpaceDE w:val="0"/>
              <w:autoSpaceDN w:val="0"/>
              <w:adjustRightInd w:val="0"/>
              <w:spacing w:before="120" w:after="120"/>
              <w:rPr>
                <w:rFonts w:cs="Arial"/>
                <w:sz w:val="16"/>
                <w:szCs w:val="16"/>
              </w:rPr>
            </w:pPr>
            <w:r w:rsidRPr="000D1F96">
              <w:rPr>
                <w:rFonts w:cs="Arial"/>
                <w:sz w:val="16"/>
                <w:szCs w:val="16"/>
              </w:rPr>
              <w:t>Digitization of IP Files at the OAPI</w:t>
            </w:r>
          </w:p>
        </w:tc>
        <w:tc>
          <w:tcPr>
            <w:tcW w:w="1134" w:type="dxa"/>
            <w:tcBorders>
              <w:top w:val="nil"/>
              <w:bottom w:val="nil"/>
            </w:tcBorders>
          </w:tcPr>
          <w:p w:rsidR="009375B7" w:rsidRDefault="00A91DB4" w:rsidP="008D1891">
            <w:pPr>
              <w:spacing w:before="120" w:after="120"/>
              <w:rPr>
                <w:rFonts w:cs="Arial"/>
                <w:sz w:val="16"/>
                <w:szCs w:val="16"/>
              </w:rPr>
            </w:pPr>
            <w:r>
              <w:rPr>
                <w:rFonts w:cs="Arial"/>
                <w:sz w:val="16"/>
                <w:szCs w:val="16"/>
              </w:rPr>
              <w:t xml:space="preserve">April </w:t>
            </w:r>
            <w:r w:rsidR="009375B7">
              <w:rPr>
                <w:rFonts w:cs="Arial"/>
                <w:sz w:val="16"/>
                <w:szCs w:val="16"/>
              </w:rPr>
              <w:t>to December 2014</w:t>
            </w:r>
          </w:p>
          <w:p w:rsidR="009375B7" w:rsidRPr="00783577" w:rsidRDefault="009375B7" w:rsidP="008D1891">
            <w:pPr>
              <w:spacing w:before="120" w:after="120"/>
              <w:rPr>
                <w:rFonts w:cs="Arial"/>
                <w:sz w:val="16"/>
                <w:szCs w:val="16"/>
                <w:lang w:val="fr-CH"/>
              </w:rPr>
            </w:pPr>
            <w:r>
              <w:rPr>
                <w:rFonts w:cs="Arial"/>
                <w:sz w:val="16"/>
                <w:szCs w:val="16"/>
              </w:rPr>
              <w:t>(Ongoing)</w:t>
            </w:r>
          </w:p>
        </w:tc>
        <w:tc>
          <w:tcPr>
            <w:tcW w:w="1985" w:type="dxa"/>
            <w:tcBorders>
              <w:top w:val="nil"/>
              <w:bottom w:val="nil"/>
            </w:tcBorders>
          </w:tcPr>
          <w:p w:rsidR="009375B7" w:rsidRPr="00783577" w:rsidRDefault="009375B7" w:rsidP="008D1891">
            <w:pPr>
              <w:autoSpaceDE w:val="0"/>
              <w:autoSpaceDN w:val="0"/>
              <w:adjustRightInd w:val="0"/>
              <w:spacing w:before="120" w:after="120"/>
              <w:rPr>
                <w:rFonts w:cs="Arial"/>
                <w:color w:val="000000"/>
                <w:sz w:val="16"/>
                <w:szCs w:val="16"/>
                <w:lang w:val="fr-CH"/>
              </w:rPr>
            </w:pPr>
            <w:r w:rsidRPr="001032E8">
              <w:rPr>
                <w:rFonts w:cs="Arial"/>
                <w:color w:val="000000"/>
                <w:sz w:val="16"/>
                <w:szCs w:val="16"/>
                <w:lang w:val="fr-CH"/>
              </w:rPr>
              <w:t>OAPI</w:t>
            </w:r>
          </w:p>
        </w:tc>
        <w:tc>
          <w:tcPr>
            <w:tcW w:w="4394" w:type="dxa"/>
            <w:tcBorders>
              <w:top w:val="nil"/>
              <w:bottom w:val="nil"/>
              <w:right w:val="single" w:sz="4" w:space="0" w:color="auto"/>
            </w:tcBorders>
          </w:tcPr>
          <w:p w:rsidR="009375B7" w:rsidRDefault="009375B7" w:rsidP="008D1891">
            <w:pPr>
              <w:autoSpaceDE w:val="0"/>
              <w:autoSpaceDN w:val="0"/>
              <w:adjustRightInd w:val="0"/>
              <w:spacing w:before="120" w:after="120"/>
              <w:rPr>
                <w:rFonts w:cs="Arial"/>
                <w:sz w:val="16"/>
                <w:szCs w:val="16"/>
              </w:rPr>
            </w:pPr>
            <w:r w:rsidRPr="00D054D4">
              <w:rPr>
                <w:rFonts w:cs="Arial"/>
                <w:sz w:val="16"/>
                <w:szCs w:val="16"/>
              </w:rPr>
              <w:t>To</w:t>
            </w:r>
            <w:r>
              <w:rPr>
                <w:rFonts w:cs="Arial"/>
                <w:sz w:val="16"/>
                <w:szCs w:val="16"/>
              </w:rPr>
              <w:t>: (</w:t>
            </w:r>
            <w:proofErr w:type="spellStart"/>
            <w:r>
              <w:rPr>
                <w:rFonts w:cs="Arial"/>
                <w:sz w:val="16"/>
                <w:szCs w:val="16"/>
              </w:rPr>
              <w:t>i</w:t>
            </w:r>
            <w:proofErr w:type="spellEnd"/>
            <w:r>
              <w:rPr>
                <w:rFonts w:cs="Arial"/>
                <w:sz w:val="16"/>
                <w:szCs w:val="16"/>
              </w:rPr>
              <w:t>)</w:t>
            </w:r>
            <w:r w:rsidRPr="00D054D4">
              <w:rPr>
                <w:rFonts w:cs="Arial"/>
                <w:sz w:val="16"/>
                <w:szCs w:val="16"/>
              </w:rPr>
              <w:t xml:space="preserve"> reduce the burden for, and to optimize performance of, the data entry procedures of IP related documentation;</w:t>
            </w:r>
            <w:r>
              <w:rPr>
                <w:rFonts w:cs="Arial"/>
                <w:sz w:val="16"/>
                <w:szCs w:val="16"/>
              </w:rPr>
              <w:t xml:space="preserve"> (ii)</w:t>
            </w:r>
            <w:r w:rsidRPr="00D054D4">
              <w:rPr>
                <w:rFonts w:cs="Arial"/>
                <w:sz w:val="16"/>
                <w:szCs w:val="16"/>
              </w:rPr>
              <w:t xml:space="preserve"> efficiently and effectively deal with the backlog that should have been digitized; </w:t>
            </w:r>
            <w:r>
              <w:rPr>
                <w:rFonts w:cs="Arial"/>
                <w:sz w:val="16"/>
                <w:szCs w:val="16"/>
              </w:rPr>
              <w:t xml:space="preserve"> and (iii)</w:t>
            </w:r>
            <w:r w:rsidRPr="00D054D4">
              <w:rPr>
                <w:rFonts w:cs="Arial"/>
                <w:sz w:val="16"/>
                <w:szCs w:val="16"/>
              </w:rPr>
              <w:t xml:space="preserve"> accelerate the administrative/examination processes.</w:t>
            </w:r>
          </w:p>
          <w:p w:rsidR="00A91DB4" w:rsidRPr="00D054D4" w:rsidRDefault="00A91DB4" w:rsidP="008D1891">
            <w:pPr>
              <w:autoSpaceDE w:val="0"/>
              <w:autoSpaceDN w:val="0"/>
              <w:adjustRightInd w:val="0"/>
              <w:spacing w:before="120" w:after="120"/>
              <w:rPr>
                <w:rFonts w:cs="Arial"/>
                <w:sz w:val="16"/>
                <w:szCs w:val="16"/>
              </w:rPr>
            </w:pPr>
            <w:r>
              <w:rPr>
                <w:rFonts w:cs="Arial"/>
                <w:sz w:val="16"/>
                <w:szCs w:val="16"/>
              </w:rPr>
              <w:t>The call for tender was launched in April 2014.</w:t>
            </w:r>
          </w:p>
        </w:tc>
      </w:tr>
      <w:tr w:rsidR="009375B7" w:rsidRPr="00774D44" w:rsidTr="008D1891">
        <w:trPr>
          <w:cantSplit/>
          <w:trHeight w:val="315"/>
        </w:trPr>
        <w:tc>
          <w:tcPr>
            <w:tcW w:w="1843" w:type="dxa"/>
            <w:tcBorders>
              <w:top w:val="nil"/>
              <w:left w:val="single" w:sz="4" w:space="0" w:color="auto"/>
              <w:bottom w:val="nil"/>
            </w:tcBorders>
          </w:tcPr>
          <w:p w:rsidR="009375B7" w:rsidRPr="00B357EF" w:rsidRDefault="009375B7" w:rsidP="008D1891">
            <w:pPr>
              <w:autoSpaceDE w:val="0"/>
              <w:autoSpaceDN w:val="0"/>
              <w:adjustRightInd w:val="0"/>
              <w:spacing w:before="120" w:after="120"/>
              <w:rPr>
                <w:rFonts w:cs="Arial"/>
                <w:sz w:val="16"/>
                <w:szCs w:val="16"/>
              </w:rPr>
            </w:pPr>
            <w:r w:rsidRPr="00DB09AD">
              <w:rPr>
                <w:rFonts w:cs="Arial"/>
                <w:sz w:val="16"/>
                <w:szCs w:val="16"/>
              </w:rPr>
              <w:t>Expert Advisory Missions</w:t>
            </w:r>
          </w:p>
        </w:tc>
        <w:tc>
          <w:tcPr>
            <w:tcW w:w="1134" w:type="dxa"/>
            <w:tcBorders>
              <w:top w:val="nil"/>
              <w:bottom w:val="nil"/>
            </w:tcBorders>
          </w:tcPr>
          <w:p w:rsidR="009375B7" w:rsidRPr="00B357EF" w:rsidRDefault="009375B7" w:rsidP="008D1891">
            <w:pPr>
              <w:spacing w:before="120" w:after="120"/>
              <w:rPr>
                <w:rFonts w:cs="Arial"/>
                <w:sz w:val="16"/>
                <w:szCs w:val="16"/>
              </w:rPr>
            </w:pPr>
            <w:r w:rsidRPr="009A4138">
              <w:rPr>
                <w:rFonts w:cs="Arial"/>
                <w:sz w:val="16"/>
                <w:szCs w:val="16"/>
              </w:rPr>
              <w:t>April 28 to May 7,</w:t>
            </w:r>
            <w:r>
              <w:rPr>
                <w:rFonts w:cs="Arial"/>
                <w:sz w:val="16"/>
                <w:szCs w:val="16"/>
              </w:rPr>
              <w:t xml:space="preserve"> </w:t>
            </w:r>
            <w:r w:rsidRPr="009A4138">
              <w:rPr>
                <w:rFonts w:cs="Arial"/>
                <w:sz w:val="16"/>
                <w:szCs w:val="16"/>
              </w:rPr>
              <w:t>2014</w:t>
            </w:r>
          </w:p>
        </w:tc>
        <w:tc>
          <w:tcPr>
            <w:tcW w:w="1985" w:type="dxa"/>
            <w:tcBorders>
              <w:top w:val="nil"/>
              <w:bottom w:val="nil"/>
            </w:tcBorders>
          </w:tcPr>
          <w:p w:rsidR="009375B7" w:rsidRDefault="009375B7" w:rsidP="008D1891">
            <w:pPr>
              <w:autoSpaceDE w:val="0"/>
              <w:autoSpaceDN w:val="0"/>
              <w:adjustRightInd w:val="0"/>
              <w:spacing w:before="120" w:after="120"/>
              <w:rPr>
                <w:rFonts w:cs="Arial"/>
                <w:color w:val="000000"/>
                <w:sz w:val="16"/>
                <w:szCs w:val="16"/>
              </w:rPr>
            </w:pPr>
            <w:r w:rsidRPr="009A4138">
              <w:rPr>
                <w:rFonts w:cs="Arial"/>
                <w:color w:val="000000"/>
                <w:sz w:val="16"/>
                <w:szCs w:val="16"/>
              </w:rPr>
              <w:t>Nigeria</w:t>
            </w:r>
          </w:p>
        </w:tc>
        <w:tc>
          <w:tcPr>
            <w:tcW w:w="4394" w:type="dxa"/>
            <w:tcBorders>
              <w:top w:val="nil"/>
              <w:bottom w:val="nil"/>
              <w:right w:val="single" w:sz="4" w:space="0" w:color="auto"/>
            </w:tcBorders>
          </w:tcPr>
          <w:p w:rsidR="009375B7" w:rsidRDefault="009375B7" w:rsidP="008D1891">
            <w:pPr>
              <w:autoSpaceDE w:val="0"/>
              <w:autoSpaceDN w:val="0"/>
              <w:adjustRightInd w:val="0"/>
              <w:spacing w:before="120" w:after="120"/>
              <w:rPr>
                <w:rFonts w:cs="Arial"/>
                <w:sz w:val="16"/>
                <w:szCs w:val="16"/>
              </w:rPr>
            </w:pPr>
            <w:r w:rsidRPr="009A4138">
              <w:rPr>
                <w:rFonts w:cs="Arial"/>
                <w:sz w:val="16"/>
                <w:szCs w:val="16"/>
              </w:rPr>
              <w:t>To</w:t>
            </w:r>
            <w:r>
              <w:rPr>
                <w:rFonts w:cs="Arial"/>
                <w:sz w:val="16"/>
                <w:szCs w:val="16"/>
              </w:rPr>
              <w:t>: (</w:t>
            </w:r>
            <w:proofErr w:type="spellStart"/>
            <w:r>
              <w:rPr>
                <w:rFonts w:cs="Arial"/>
                <w:sz w:val="16"/>
                <w:szCs w:val="16"/>
              </w:rPr>
              <w:t>i</w:t>
            </w:r>
            <w:proofErr w:type="spellEnd"/>
            <w:r>
              <w:rPr>
                <w:rFonts w:cs="Arial"/>
                <w:sz w:val="16"/>
                <w:szCs w:val="16"/>
              </w:rPr>
              <w:t>)</w:t>
            </w:r>
            <w:r w:rsidRPr="009A4138">
              <w:rPr>
                <w:rFonts w:cs="Arial"/>
                <w:sz w:val="16"/>
                <w:szCs w:val="16"/>
              </w:rPr>
              <w:t xml:space="preserve"> identify the need and requirements with regard to IP operations of the Nigerian registry; </w:t>
            </w:r>
            <w:r>
              <w:rPr>
                <w:rFonts w:cs="Arial"/>
                <w:sz w:val="16"/>
                <w:szCs w:val="16"/>
              </w:rPr>
              <w:t xml:space="preserve"> (ii)</w:t>
            </w:r>
            <w:r w:rsidRPr="009A4138">
              <w:rPr>
                <w:rFonts w:cs="Arial"/>
                <w:sz w:val="16"/>
                <w:szCs w:val="16"/>
              </w:rPr>
              <w:t xml:space="preserve"> undertake an office audit; </w:t>
            </w:r>
            <w:r>
              <w:rPr>
                <w:rFonts w:cs="Arial"/>
                <w:sz w:val="16"/>
                <w:szCs w:val="16"/>
              </w:rPr>
              <w:t>(iii)</w:t>
            </w:r>
            <w:r w:rsidRPr="009A4138">
              <w:rPr>
                <w:rFonts w:cs="Arial"/>
                <w:sz w:val="16"/>
                <w:szCs w:val="16"/>
              </w:rPr>
              <w:t xml:space="preserve"> evaluate structural needs of the IP office bearing in mind modernization factors</w:t>
            </w:r>
            <w:r>
              <w:rPr>
                <w:rFonts w:cs="Arial"/>
                <w:sz w:val="16"/>
                <w:szCs w:val="16"/>
              </w:rPr>
              <w:t>,</w:t>
            </w:r>
            <w:r w:rsidRPr="009A4138">
              <w:rPr>
                <w:rFonts w:cs="Arial"/>
                <w:sz w:val="16"/>
                <w:szCs w:val="16"/>
              </w:rPr>
              <w:t xml:space="preserve"> such as business processes</w:t>
            </w:r>
            <w:r>
              <w:rPr>
                <w:rFonts w:cs="Arial"/>
                <w:sz w:val="16"/>
                <w:szCs w:val="16"/>
              </w:rPr>
              <w:t xml:space="preserve"> and</w:t>
            </w:r>
            <w:r w:rsidRPr="009A4138">
              <w:rPr>
                <w:rFonts w:cs="Arial"/>
                <w:sz w:val="16"/>
                <w:szCs w:val="16"/>
              </w:rPr>
              <w:t xml:space="preserve"> ICT infrastructure; and </w:t>
            </w:r>
            <w:r>
              <w:rPr>
                <w:rFonts w:cs="Arial"/>
                <w:sz w:val="16"/>
                <w:szCs w:val="16"/>
              </w:rPr>
              <w:t>(iv)</w:t>
            </w:r>
            <w:r w:rsidRPr="009A4138">
              <w:rPr>
                <w:rFonts w:cs="Arial"/>
                <w:sz w:val="16"/>
                <w:szCs w:val="16"/>
              </w:rPr>
              <w:t xml:space="preserve"> make proposals and recommendations concerning restructuring of the IP office.</w:t>
            </w:r>
          </w:p>
        </w:tc>
      </w:tr>
      <w:tr w:rsidR="009375B7" w:rsidRPr="00774D44" w:rsidTr="008D1891">
        <w:trPr>
          <w:cantSplit/>
          <w:trHeight w:val="315"/>
        </w:trPr>
        <w:tc>
          <w:tcPr>
            <w:tcW w:w="1843" w:type="dxa"/>
            <w:tcBorders>
              <w:top w:val="nil"/>
              <w:bottom w:val="nil"/>
            </w:tcBorders>
          </w:tcPr>
          <w:p w:rsidR="009375B7" w:rsidRPr="00D054D4" w:rsidRDefault="009375B7" w:rsidP="008D1891">
            <w:pPr>
              <w:autoSpaceDE w:val="0"/>
              <w:autoSpaceDN w:val="0"/>
              <w:adjustRightInd w:val="0"/>
              <w:spacing w:before="120" w:after="120"/>
              <w:rPr>
                <w:rFonts w:cs="Arial"/>
                <w:sz w:val="16"/>
                <w:szCs w:val="16"/>
              </w:rPr>
            </w:pPr>
            <w:r w:rsidRPr="001C401D">
              <w:rPr>
                <w:rFonts w:cs="Arial"/>
                <w:sz w:val="16"/>
                <w:szCs w:val="16"/>
              </w:rPr>
              <w:t>Deployment of the IPAS Electronic Document Management System (EDMS) in Botswana</w:t>
            </w:r>
          </w:p>
        </w:tc>
        <w:tc>
          <w:tcPr>
            <w:tcW w:w="1134" w:type="dxa"/>
            <w:tcBorders>
              <w:top w:val="nil"/>
              <w:bottom w:val="nil"/>
            </w:tcBorders>
          </w:tcPr>
          <w:p w:rsidR="009375B7" w:rsidRPr="00D054D4" w:rsidRDefault="009375B7" w:rsidP="008D1891">
            <w:pPr>
              <w:spacing w:before="120" w:after="120"/>
              <w:rPr>
                <w:rFonts w:cs="Arial"/>
                <w:sz w:val="16"/>
                <w:szCs w:val="16"/>
              </w:rPr>
            </w:pPr>
            <w:r w:rsidRPr="00792B85">
              <w:rPr>
                <w:rFonts w:cs="Arial"/>
                <w:sz w:val="16"/>
                <w:szCs w:val="16"/>
              </w:rPr>
              <w:t>May 5 to 9,</w:t>
            </w:r>
            <w:r>
              <w:rPr>
                <w:rFonts w:cs="Arial"/>
                <w:sz w:val="16"/>
                <w:szCs w:val="16"/>
              </w:rPr>
              <w:t xml:space="preserve"> </w:t>
            </w:r>
            <w:r w:rsidRPr="00792B85">
              <w:rPr>
                <w:rFonts w:cs="Arial"/>
                <w:sz w:val="16"/>
                <w:szCs w:val="16"/>
              </w:rPr>
              <w:t>2014</w:t>
            </w:r>
          </w:p>
        </w:tc>
        <w:tc>
          <w:tcPr>
            <w:tcW w:w="1985" w:type="dxa"/>
            <w:tcBorders>
              <w:top w:val="nil"/>
              <w:bottom w:val="nil"/>
            </w:tcBorders>
          </w:tcPr>
          <w:p w:rsidR="009375B7" w:rsidRPr="00D054D4" w:rsidRDefault="009375B7" w:rsidP="008D1891">
            <w:pPr>
              <w:autoSpaceDE w:val="0"/>
              <w:autoSpaceDN w:val="0"/>
              <w:adjustRightInd w:val="0"/>
              <w:spacing w:before="120" w:after="120"/>
              <w:rPr>
                <w:rFonts w:cs="Arial"/>
                <w:color w:val="000000"/>
                <w:sz w:val="16"/>
                <w:szCs w:val="16"/>
              </w:rPr>
            </w:pPr>
            <w:r w:rsidRPr="00F04E60">
              <w:rPr>
                <w:rFonts w:cs="Arial"/>
                <w:color w:val="000000"/>
                <w:sz w:val="16"/>
                <w:szCs w:val="16"/>
              </w:rPr>
              <w:t>Botswana</w:t>
            </w:r>
          </w:p>
        </w:tc>
        <w:tc>
          <w:tcPr>
            <w:tcW w:w="4394" w:type="dxa"/>
            <w:tcBorders>
              <w:top w:val="nil"/>
              <w:bottom w:val="nil"/>
            </w:tcBorders>
          </w:tcPr>
          <w:p w:rsidR="009375B7" w:rsidRPr="00D054D4" w:rsidRDefault="009375B7" w:rsidP="008D1891">
            <w:pPr>
              <w:autoSpaceDE w:val="0"/>
              <w:autoSpaceDN w:val="0"/>
              <w:adjustRightInd w:val="0"/>
              <w:spacing w:before="120" w:after="120"/>
              <w:rPr>
                <w:rFonts w:cs="Arial"/>
                <w:sz w:val="16"/>
                <w:szCs w:val="16"/>
              </w:rPr>
            </w:pPr>
            <w:r w:rsidRPr="00D92B40">
              <w:rPr>
                <w:rFonts w:cs="Arial"/>
                <w:sz w:val="16"/>
                <w:szCs w:val="16"/>
              </w:rPr>
              <w:t>To</w:t>
            </w:r>
            <w:r>
              <w:rPr>
                <w:rFonts w:cs="Arial"/>
                <w:sz w:val="16"/>
                <w:szCs w:val="16"/>
              </w:rPr>
              <w:t>: (</w:t>
            </w:r>
            <w:proofErr w:type="spellStart"/>
            <w:r>
              <w:rPr>
                <w:rFonts w:cs="Arial"/>
                <w:sz w:val="16"/>
                <w:szCs w:val="16"/>
              </w:rPr>
              <w:t>i</w:t>
            </w:r>
            <w:proofErr w:type="spellEnd"/>
            <w:r>
              <w:rPr>
                <w:rFonts w:cs="Arial"/>
                <w:sz w:val="16"/>
                <w:szCs w:val="16"/>
              </w:rPr>
              <w:t>)</w:t>
            </w:r>
            <w:r w:rsidRPr="00D92B40">
              <w:rPr>
                <w:rFonts w:cs="Arial"/>
                <w:sz w:val="16"/>
                <w:szCs w:val="16"/>
              </w:rPr>
              <w:t xml:space="preserve"> create logical infrastructure for the storage and management of scanned images (e-dossiers); </w:t>
            </w:r>
            <w:r>
              <w:rPr>
                <w:rFonts w:cs="Arial"/>
                <w:sz w:val="16"/>
                <w:szCs w:val="16"/>
              </w:rPr>
              <w:t>(ii)</w:t>
            </w:r>
            <w:r w:rsidRPr="00D92B40">
              <w:rPr>
                <w:rFonts w:cs="Arial"/>
                <w:sz w:val="16"/>
                <w:szCs w:val="16"/>
              </w:rPr>
              <w:t xml:space="preserve"> transfer skills and build capacity for the capture and digitization of front-files; </w:t>
            </w:r>
            <w:r>
              <w:rPr>
                <w:rFonts w:cs="Arial"/>
                <w:sz w:val="16"/>
                <w:szCs w:val="16"/>
              </w:rPr>
              <w:t>and (iii)</w:t>
            </w:r>
            <w:r w:rsidRPr="00D92B40">
              <w:rPr>
                <w:rFonts w:cs="Arial"/>
                <w:sz w:val="16"/>
                <w:szCs w:val="16"/>
              </w:rPr>
              <w:t xml:space="preserve"> open the door for online services for IPO in Botswana.</w:t>
            </w:r>
          </w:p>
        </w:tc>
      </w:tr>
      <w:tr w:rsidR="009375B7" w:rsidRPr="00774D44" w:rsidTr="00A91DB4">
        <w:trPr>
          <w:cantSplit/>
          <w:trHeight w:val="315"/>
        </w:trPr>
        <w:tc>
          <w:tcPr>
            <w:tcW w:w="1843" w:type="dxa"/>
            <w:tcBorders>
              <w:top w:val="nil"/>
              <w:bottom w:val="nil"/>
            </w:tcBorders>
          </w:tcPr>
          <w:p w:rsidR="009375B7" w:rsidRPr="00D054D4" w:rsidRDefault="009375B7" w:rsidP="008D1891">
            <w:pPr>
              <w:autoSpaceDE w:val="0"/>
              <w:autoSpaceDN w:val="0"/>
              <w:adjustRightInd w:val="0"/>
              <w:spacing w:before="120" w:after="120"/>
              <w:rPr>
                <w:rFonts w:cs="Arial"/>
                <w:sz w:val="16"/>
                <w:szCs w:val="16"/>
              </w:rPr>
            </w:pPr>
            <w:r w:rsidRPr="001B76A7">
              <w:rPr>
                <w:rFonts w:cs="Arial"/>
                <w:sz w:val="16"/>
                <w:szCs w:val="16"/>
              </w:rPr>
              <w:t>Deployment of the IPAS Electronic Document Management System (EDMS) in Namibia</w:t>
            </w:r>
          </w:p>
        </w:tc>
        <w:tc>
          <w:tcPr>
            <w:tcW w:w="1134" w:type="dxa"/>
            <w:tcBorders>
              <w:top w:val="nil"/>
              <w:bottom w:val="nil"/>
            </w:tcBorders>
          </w:tcPr>
          <w:p w:rsidR="009375B7" w:rsidRPr="00D054D4" w:rsidRDefault="009375B7" w:rsidP="008D1891">
            <w:pPr>
              <w:spacing w:before="120" w:after="120"/>
              <w:rPr>
                <w:rFonts w:cs="Arial"/>
                <w:sz w:val="16"/>
                <w:szCs w:val="16"/>
              </w:rPr>
            </w:pPr>
            <w:r w:rsidRPr="00D6432C">
              <w:rPr>
                <w:rFonts w:cs="Arial"/>
                <w:sz w:val="16"/>
                <w:szCs w:val="16"/>
              </w:rPr>
              <w:t>May 12 to 16, 2014</w:t>
            </w:r>
          </w:p>
        </w:tc>
        <w:tc>
          <w:tcPr>
            <w:tcW w:w="1985" w:type="dxa"/>
            <w:tcBorders>
              <w:top w:val="nil"/>
              <w:bottom w:val="nil"/>
            </w:tcBorders>
          </w:tcPr>
          <w:p w:rsidR="009375B7" w:rsidRPr="00D054D4" w:rsidRDefault="009375B7" w:rsidP="008D1891">
            <w:pPr>
              <w:autoSpaceDE w:val="0"/>
              <w:autoSpaceDN w:val="0"/>
              <w:adjustRightInd w:val="0"/>
              <w:spacing w:before="120" w:after="120"/>
              <w:rPr>
                <w:rFonts w:cs="Arial"/>
                <w:color w:val="000000"/>
                <w:sz w:val="16"/>
                <w:szCs w:val="16"/>
              </w:rPr>
            </w:pPr>
            <w:r w:rsidRPr="004A076B">
              <w:rPr>
                <w:rFonts w:cs="Arial"/>
                <w:color w:val="000000"/>
                <w:sz w:val="16"/>
                <w:szCs w:val="16"/>
              </w:rPr>
              <w:t>Namibia</w:t>
            </w:r>
          </w:p>
        </w:tc>
        <w:tc>
          <w:tcPr>
            <w:tcW w:w="4394" w:type="dxa"/>
            <w:tcBorders>
              <w:top w:val="nil"/>
              <w:bottom w:val="nil"/>
            </w:tcBorders>
          </w:tcPr>
          <w:p w:rsidR="009375B7" w:rsidRPr="00D054D4" w:rsidRDefault="009375B7" w:rsidP="008D1891">
            <w:pPr>
              <w:autoSpaceDE w:val="0"/>
              <w:autoSpaceDN w:val="0"/>
              <w:adjustRightInd w:val="0"/>
              <w:spacing w:before="120" w:after="120"/>
              <w:rPr>
                <w:rFonts w:cs="Arial"/>
                <w:sz w:val="16"/>
                <w:szCs w:val="16"/>
              </w:rPr>
            </w:pPr>
            <w:r w:rsidRPr="00637A06">
              <w:rPr>
                <w:rFonts w:cs="Arial"/>
                <w:sz w:val="16"/>
                <w:szCs w:val="16"/>
              </w:rPr>
              <w:t>To</w:t>
            </w:r>
            <w:r>
              <w:rPr>
                <w:rFonts w:cs="Arial"/>
                <w:sz w:val="16"/>
                <w:szCs w:val="16"/>
              </w:rPr>
              <w:t>: (</w:t>
            </w:r>
            <w:proofErr w:type="spellStart"/>
            <w:r>
              <w:rPr>
                <w:rFonts w:cs="Arial"/>
                <w:sz w:val="16"/>
                <w:szCs w:val="16"/>
              </w:rPr>
              <w:t>i</w:t>
            </w:r>
            <w:proofErr w:type="spellEnd"/>
            <w:r>
              <w:rPr>
                <w:rFonts w:cs="Arial"/>
                <w:sz w:val="16"/>
                <w:szCs w:val="16"/>
              </w:rPr>
              <w:t>)</w:t>
            </w:r>
            <w:r w:rsidRPr="00637A06">
              <w:rPr>
                <w:rFonts w:cs="Arial"/>
                <w:sz w:val="16"/>
                <w:szCs w:val="16"/>
              </w:rPr>
              <w:t xml:space="preserve"> create logical infrastructure for the storage and management of scanned images (e-dossiers); </w:t>
            </w:r>
            <w:r>
              <w:rPr>
                <w:rFonts w:cs="Arial"/>
                <w:sz w:val="16"/>
                <w:szCs w:val="16"/>
              </w:rPr>
              <w:t>(ii)</w:t>
            </w:r>
            <w:r w:rsidRPr="00637A06">
              <w:rPr>
                <w:rFonts w:cs="Arial"/>
                <w:sz w:val="16"/>
                <w:szCs w:val="16"/>
              </w:rPr>
              <w:t xml:space="preserve"> transfer skills and build capacity for the capture and digitization of front-files; </w:t>
            </w:r>
            <w:r>
              <w:rPr>
                <w:rFonts w:cs="Arial"/>
                <w:sz w:val="16"/>
                <w:szCs w:val="16"/>
              </w:rPr>
              <w:t>and (iii)</w:t>
            </w:r>
            <w:r w:rsidRPr="00637A06">
              <w:rPr>
                <w:rFonts w:cs="Arial"/>
                <w:sz w:val="16"/>
                <w:szCs w:val="16"/>
              </w:rPr>
              <w:t xml:space="preserve"> open the door for online services for IPO in Namibia.</w:t>
            </w:r>
          </w:p>
        </w:tc>
      </w:tr>
      <w:tr w:rsidR="009375B7" w:rsidRPr="00774D44" w:rsidTr="00A91DB4">
        <w:trPr>
          <w:cantSplit/>
          <w:trHeight w:val="315"/>
        </w:trPr>
        <w:tc>
          <w:tcPr>
            <w:tcW w:w="1843" w:type="dxa"/>
            <w:tcBorders>
              <w:top w:val="nil"/>
              <w:left w:val="single" w:sz="4" w:space="0" w:color="auto"/>
              <w:bottom w:val="single" w:sz="4" w:space="0" w:color="auto"/>
            </w:tcBorders>
          </w:tcPr>
          <w:p w:rsidR="009375B7" w:rsidRPr="00D054D4" w:rsidRDefault="009375B7" w:rsidP="008D1891">
            <w:pPr>
              <w:autoSpaceDE w:val="0"/>
              <w:autoSpaceDN w:val="0"/>
              <w:adjustRightInd w:val="0"/>
              <w:spacing w:before="120" w:after="120"/>
              <w:rPr>
                <w:rFonts w:cs="Arial"/>
                <w:sz w:val="16"/>
                <w:szCs w:val="16"/>
              </w:rPr>
            </w:pPr>
            <w:r w:rsidRPr="00FB64DF">
              <w:rPr>
                <w:rFonts w:cs="Arial"/>
                <w:sz w:val="16"/>
                <w:szCs w:val="16"/>
              </w:rPr>
              <w:t>Deployment of the IPAS Electronic Document Management System (EDMS) in Malawi</w:t>
            </w:r>
          </w:p>
        </w:tc>
        <w:tc>
          <w:tcPr>
            <w:tcW w:w="1134" w:type="dxa"/>
            <w:tcBorders>
              <w:top w:val="nil"/>
              <w:bottom w:val="single" w:sz="4" w:space="0" w:color="auto"/>
            </w:tcBorders>
          </w:tcPr>
          <w:p w:rsidR="009375B7" w:rsidRPr="00D054D4" w:rsidRDefault="009375B7" w:rsidP="008D1891">
            <w:pPr>
              <w:spacing w:before="120" w:after="120"/>
              <w:rPr>
                <w:rFonts w:cs="Arial"/>
                <w:sz w:val="16"/>
                <w:szCs w:val="16"/>
              </w:rPr>
            </w:pPr>
            <w:r w:rsidRPr="00986B94">
              <w:rPr>
                <w:rFonts w:cs="Arial"/>
                <w:sz w:val="16"/>
                <w:szCs w:val="16"/>
              </w:rPr>
              <w:t>May 19 to 23, 2014</w:t>
            </w:r>
          </w:p>
        </w:tc>
        <w:tc>
          <w:tcPr>
            <w:tcW w:w="1985" w:type="dxa"/>
            <w:tcBorders>
              <w:top w:val="nil"/>
              <w:bottom w:val="single" w:sz="4" w:space="0" w:color="auto"/>
            </w:tcBorders>
          </w:tcPr>
          <w:p w:rsidR="009375B7" w:rsidRPr="00D054D4" w:rsidRDefault="009375B7" w:rsidP="008D1891">
            <w:pPr>
              <w:autoSpaceDE w:val="0"/>
              <w:autoSpaceDN w:val="0"/>
              <w:adjustRightInd w:val="0"/>
              <w:spacing w:before="120" w:after="120"/>
              <w:rPr>
                <w:rFonts w:cs="Arial"/>
                <w:color w:val="000000"/>
                <w:sz w:val="16"/>
                <w:szCs w:val="16"/>
              </w:rPr>
            </w:pPr>
            <w:r w:rsidRPr="00176883">
              <w:rPr>
                <w:rFonts w:cs="Arial"/>
                <w:color w:val="000000"/>
                <w:sz w:val="16"/>
                <w:szCs w:val="16"/>
              </w:rPr>
              <w:t>Malawi</w:t>
            </w:r>
          </w:p>
        </w:tc>
        <w:tc>
          <w:tcPr>
            <w:tcW w:w="4394" w:type="dxa"/>
            <w:tcBorders>
              <w:top w:val="nil"/>
              <w:bottom w:val="single" w:sz="4" w:space="0" w:color="auto"/>
              <w:right w:val="single" w:sz="4" w:space="0" w:color="auto"/>
            </w:tcBorders>
          </w:tcPr>
          <w:p w:rsidR="009375B7" w:rsidRPr="00D054D4" w:rsidRDefault="009375B7" w:rsidP="008D1891">
            <w:pPr>
              <w:autoSpaceDE w:val="0"/>
              <w:autoSpaceDN w:val="0"/>
              <w:adjustRightInd w:val="0"/>
              <w:spacing w:before="120" w:after="120"/>
              <w:rPr>
                <w:rFonts w:cs="Arial"/>
                <w:sz w:val="16"/>
                <w:szCs w:val="16"/>
              </w:rPr>
            </w:pPr>
            <w:r w:rsidRPr="00D329F9">
              <w:rPr>
                <w:rFonts w:cs="Arial"/>
                <w:sz w:val="16"/>
                <w:szCs w:val="16"/>
              </w:rPr>
              <w:t>To</w:t>
            </w:r>
            <w:r>
              <w:rPr>
                <w:rFonts w:cs="Arial"/>
                <w:sz w:val="16"/>
                <w:szCs w:val="16"/>
              </w:rPr>
              <w:t>: (</w:t>
            </w:r>
            <w:proofErr w:type="spellStart"/>
            <w:r>
              <w:rPr>
                <w:rFonts w:cs="Arial"/>
                <w:sz w:val="16"/>
                <w:szCs w:val="16"/>
              </w:rPr>
              <w:t>i</w:t>
            </w:r>
            <w:proofErr w:type="spellEnd"/>
            <w:r>
              <w:rPr>
                <w:rFonts w:cs="Arial"/>
                <w:sz w:val="16"/>
                <w:szCs w:val="16"/>
              </w:rPr>
              <w:t>)</w:t>
            </w:r>
            <w:r w:rsidRPr="00D329F9">
              <w:rPr>
                <w:rFonts w:cs="Arial"/>
                <w:sz w:val="16"/>
                <w:szCs w:val="16"/>
              </w:rPr>
              <w:t xml:space="preserve"> create logical infrastructure for the storage and management of scanned images (e-dossiers); </w:t>
            </w:r>
            <w:r>
              <w:rPr>
                <w:rFonts w:cs="Arial"/>
                <w:sz w:val="16"/>
                <w:szCs w:val="16"/>
              </w:rPr>
              <w:t>(ii)</w:t>
            </w:r>
            <w:r w:rsidRPr="00D329F9">
              <w:rPr>
                <w:rFonts w:cs="Arial"/>
                <w:sz w:val="16"/>
                <w:szCs w:val="16"/>
              </w:rPr>
              <w:t xml:space="preserve"> transfer skills and build capacity for the capture and digitization of front-files; </w:t>
            </w:r>
            <w:r>
              <w:rPr>
                <w:rFonts w:cs="Arial"/>
                <w:sz w:val="16"/>
                <w:szCs w:val="16"/>
              </w:rPr>
              <w:t>and (iii)</w:t>
            </w:r>
            <w:r w:rsidRPr="00D329F9">
              <w:rPr>
                <w:rFonts w:cs="Arial"/>
                <w:sz w:val="16"/>
                <w:szCs w:val="16"/>
              </w:rPr>
              <w:t xml:space="preserve"> open the door for online services for IPO in Malawi.</w:t>
            </w:r>
          </w:p>
        </w:tc>
      </w:tr>
      <w:tr w:rsidR="009375B7" w:rsidRPr="00774D44" w:rsidTr="00A91DB4">
        <w:trPr>
          <w:cantSplit/>
          <w:trHeight w:val="315"/>
        </w:trPr>
        <w:tc>
          <w:tcPr>
            <w:tcW w:w="1843" w:type="dxa"/>
            <w:tcBorders>
              <w:top w:val="single" w:sz="4" w:space="0" w:color="auto"/>
              <w:left w:val="single" w:sz="4" w:space="0" w:color="auto"/>
              <w:bottom w:val="single" w:sz="4" w:space="0" w:color="auto"/>
            </w:tcBorders>
          </w:tcPr>
          <w:p w:rsidR="009375B7" w:rsidRPr="00D054D4" w:rsidRDefault="009375B7" w:rsidP="008D1891">
            <w:pPr>
              <w:autoSpaceDE w:val="0"/>
              <w:autoSpaceDN w:val="0"/>
              <w:adjustRightInd w:val="0"/>
              <w:spacing w:before="120" w:after="120"/>
              <w:rPr>
                <w:rFonts w:cs="Arial"/>
                <w:sz w:val="16"/>
                <w:szCs w:val="16"/>
              </w:rPr>
            </w:pPr>
            <w:r w:rsidRPr="00077EAB">
              <w:rPr>
                <w:rFonts w:cs="Arial"/>
                <w:sz w:val="16"/>
                <w:szCs w:val="16"/>
              </w:rPr>
              <w:lastRenderedPageBreak/>
              <w:t>Deployment of the IPAS Electronic Document Management System (EDMS) in Kenya</w:t>
            </w:r>
          </w:p>
        </w:tc>
        <w:tc>
          <w:tcPr>
            <w:tcW w:w="1134" w:type="dxa"/>
            <w:tcBorders>
              <w:top w:val="single" w:sz="4" w:space="0" w:color="auto"/>
              <w:bottom w:val="single" w:sz="4" w:space="0" w:color="auto"/>
            </w:tcBorders>
          </w:tcPr>
          <w:p w:rsidR="009375B7" w:rsidRPr="00D054D4" w:rsidRDefault="009375B7" w:rsidP="008D1891">
            <w:pPr>
              <w:spacing w:before="120" w:after="120"/>
              <w:rPr>
                <w:rFonts w:cs="Arial"/>
                <w:sz w:val="16"/>
                <w:szCs w:val="16"/>
              </w:rPr>
            </w:pPr>
            <w:r w:rsidRPr="00F81D83">
              <w:rPr>
                <w:rFonts w:cs="Arial"/>
                <w:sz w:val="16"/>
                <w:szCs w:val="16"/>
              </w:rPr>
              <w:t>June 2 to 6, 2014</w:t>
            </w:r>
          </w:p>
        </w:tc>
        <w:tc>
          <w:tcPr>
            <w:tcW w:w="1985" w:type="dxa"/>
            <w:tcBorders>
              <w:top w:val="single" w:sz="4" w:space="0" w:color="auto"/>
              <w:bottom w:val="single" w:sz="4" w:space="0" w:color="auto"/>
            </w:tcBorders>
          </w:tcPr>
          <w:p w:rsidR="009375B7" w:rsidRPr="00D054D4" w:rsidRDefault="009375B7" w:rsidP="008D1891">
            <w:pPr>
              <w:autoSpaceDE w:val="0"/>
              <w:autoSpaceDN w:val="0"/>
              <w:adjustRightInd w:val="0"/>
              <w:spacing w:before="120" w:after="120"/>
              <w:rPr>
                <w:rFonts w:cs="Arial"/>
                <w:color w:val="000000"/>
                <w:sz w:val="16"/>
                <w:szCs w:val="16"/>
              </w:rPr>
            </w:pPr>
            <w:r w:rsidRPr="007B4B76">
              <w:rPr>
                <w:rFonts w:cs="Arial"/>
                <w:color w:val="000000"/>
                <w:sz w:val="16"/>
                <w:szCs w:val="16"/>
              </w:rPr>
              <w:t>Kenya</w:t>
            </w:r>
          </w:p>
        </w:tc>
        <w:tc>
          <w:tcPr>
            <w:tcW w:w="4394" w:type="dxa"/>
            <w:tcBorders>
              <w:top w:val="single" w:sz="4" w:space="0" w:color="auto"/>
              <w:bottom w:val="single" w:sz="4" w:space="0" w:color="auto"/>
              <w:right w:val="single" w:sz="4" w:space="0" w:color="auto"/>
            </w:tcBorders>
          </w:tcPr>
          <w:p w:rsidR="009375B7" w:rsidRPr="00D054D4" w:rsidRDefault="009375B7" w:rsidP="008D1891">
            <w:pPr>
              <w:autoSpaceDE w:val="0"/>
              <w:autoSpaceDN w:val="0"/>
              <w:adjustRightInd w:val="0"/>
              <w:spacing w:before="120" w:after="120"/>
              <w:rPr>
                <w:rFonts w:cs="Arial"/>
                <w:sz w:val="16"/>
                <w:szCs w:val="16"/>
              </w:rPr>
            </w:pPr>
            <w:r w:rsidRPr="00D471BB">
              <w:rPr>
                <w:rFonts w:cs="Arial"/>
                <w:sz w:val="16"/>
                <w:szCs w:val="16"/>
              </w:rPr>
              <w:t>To</w:t>
            </w:r>
            <w:r>
              <w:rPr>
                <w:rFonts w:cs="Arial"/>
                <w:sz w:val="16"/>
                <w:szCs w:val="16"/>
              </w:rPr>
              <w:t>: (</w:t>
            </w:r>
            <w:proofErr w:type="spellStart"/>
            <w:r>
              <w:rPr>
                <w:rFonts w:cs="Arial"/>
                <w:sz w:val="16"/>
                <w:szCs w:val="16"/>
              </w:rPr>
              <w:t>i</w:t>
            </w:r>
            <w:proofErr w:type="spellEnd"/>
            <w:r>
              <w:rPr>
                <w:rFonts w:cs="Arial"/>
                <w:sz w:val="16"/>
                <w:szCs w:val="16"/>
              </w:rPr>
              <w:t>)</w:t>
            </w:r>
            <w:r w:rsidRPr="00D471BB">
              <w:rPr>
                <w:rFonts w:cs="Arial"/>
                <w:sz w:val="16"/>
                <w:szCs w:val="16"/>
              </w:rPr>
              <w:t xml:space="preserve"> create logical infrastructure for the storage and management of scanned images (e-dossiers); </w:t>
            </w:r>
            <w:r>
              <w:rPr>
                <w:rFonts w:cs="Arial"/>
                <w:sz w:val="16"/>
                <w:szCs w:val="16"/>
              </w:rPr>
              <w:t>(ii)</w:t>
            </w:r>
            <w:r w:rsidRPr="00D471BB">
              <w:rPr>
                <w:rFonts w:cs="Arial"/>
                <w:sz w:val="16"/>
                <w:szCs w:val="16"/>
              </w:rPr>
              <w:t xml:space="preserve"> transfer skills and build capacity for the capture and digitization of front-files; </w:t>
            </w:r>
            <w:r>
              <w:rPr>
                <w:rFonts w:cs="Arial"/>
                <w:sz w:val="16"/>
                <w:szCs w:val="16"/>
              </w:rPr>
              <w:t>and (iii)</w:t>
            </w:r>
            <w:r w:rsidRPr="00D471BB">
              <w:rPr>
                <w:rFonts w:cs="Arial"/>
                <w:sz w:val="16"/>
                <w:szCs w:val="16"/>
              </w:rPr>
              <w:t xml:space="preserve"> open the door for online services for IPO in Kenya.</w:t>
            </w:r>
          </w:p>
        </w:tc>
      </w:tr>
      <w:tr w:rsidR="009375B7" w:rsidRPr="00774D44" w:rsidTr="008D1891">
        <w:trPr>
          <w:cantSplit/>
          <w:trHeight w:val="315"/>
        </w:trPr>
        <w:tc>
          <w:tcPr>
            <w:tcW w:w="9356" w:type="dxa"/>
            <w:gridSpan w:val="4"/>
            <w:tcBorders>
              <w:top w:val="single" w:sz="4" w:space="0" w:color="auto"/>
              <w:left w:val="single" w:sz="4" w:space="0" w:color="auto"/>
              <w:bottom w:val="single" w:sz="4" w:space="0" w:color="auto"/>
              <w:right w:val="single" w:sz="4" w:space="0" w:color="auto"/>
            </w:tcBorders>
            <w:shd w:val="clear" w:color="auto" w:fill="CCFFFF"/>
          </w:tcPr>
          <w:p w:rsidR="009375B7" w:rsidRPr="00C66F54" w:rsidRDefault="009375B7" w:rsidP="008D1891">
            <w:pPr>
              <w:keepNext/>
              <w:keepLines/>
              <w:tabs>
                <w:tab w:val="left" w:pos="1740"/>
              </w:tabs>
              <w:spacing w:before="120" w:after="120"/>
              <w:ind w:left="1740" w:hanging="1740"/>
              <w:rPr>
                <w:rFonts w:cs="Arial"/>
                <w:b/>
                <w:bCs/>
                <w:color w:val="000000"/>
                <w:sz w:val="16"/>
                <w:szCs w:val="16"/>
              </w:rPr>
            </w:pPr>
            <w:r w:rsidRPr="00C62606">
              <w:rPr>
                <w:rFonts w:cs="Arial"/>
                <w:b/>
                <w:bCs/>
                <w:color w:val="000000"/>
                <w:sz w:val="16"/>
                <w:szCs w:val="16"/>
              </w:rPr>
              <w:t>RESULT:</w:t>
            </w:r>
            <w:r w:rsidRPr="00C62606">
              <w:rPr>
                <w:rFonts w:cs="Arial"/>
                <w:b/>
                <w:bCs/>
                <w:color w:val="000000"/>
                <w:sz w:val="16"/>
                <w:szCs w:val="16"/>
              </w:rPr>
              <w:tab/>
            </w:r>
            <w:r w:rsidRPr="00C66F54">
              <w:rPr>
                <w:rFonts w:cs="Arial"/>
                <w:bCs/>
                <w:color w:val="000000"/>
                <w:sz w:val="16"/>
                <w:szCs w:val="16"/>
              </w:rPr>
              <w:t>VI.1. Progress in the international policy dialogue among WIPO Member States on building respect for IP, guided by Recommendation 45 of the WIPO Development Agenda</w:t>
            </w:r>
          </w:p>
        </w:tc>
      </w:tr>
      <w:tr w:rsidR="009375B7" w:rsidRPr="00774D44" w:rsidTr="008D1891">
        <w:trPr>
          <w:cantSplit/>
          <w:trHeight w:val="315"/>
        </w:trPr>
        <w:tc>
          <w:tcPr>
            <w:tcW w:w="1843" w:type="dxa"/>
            <w:tcBorders>
              <w:top w:val="single" w:sz="4" w:space="0" w:color="auto"/>
              <w:bottom w:val="nil"/>
            </w:tcBorders>
            <w:vAlign w:val="center"/>
          </w:tcPr>
          <w:p w:rsidR="009375B7" w:rsidRPr="002B7DE5" w:rsidRDefault="009375B7" w:rsidP="008D1891">
            <w:pPr>
              <w:keepNext/>
              <w:keepLines/>
              <w:spacing w:before="120"/>
              <w:rPr>
                <w:rFonts w:cs="Arial"/>
                <w:b/>
                <w:bCs/>
                <w:sz w:val="16"/>
                <w:szCs w:val="16"/>
              </w:rPr>
            </w:pPr>
            <w:r w:rsidRPr="002B7DE5">
              <w:rPr>
                <w:rFonts w:cs="Arial"/>
                <w:b/>
                <w:bCs/>
                <w:sz w:val="16"/>
                <w:szCs w:val="16"/>
              </w:rPr>
              <w:t>Activity</w:t>
            </w:r>
          </w:p>
        </w:tc>
        <w:tc>
          <w:tcPr>
            <w:tcW w:w="1134" w:type="dxa"/>
            <w:tcBorders>
              <w:top w:val="single" w:sz="4" w:space="0" w:color="auto"/>
              <w:bottom w:val="nil"/>
            </w:tcBorders>
            <w:vAlign w:val="center"/>
          </w:tcPr>
          <w:p w:rsidR="009375B7" w:rsidRPr="002B7DE5" w:rsidRDefault="009375B7" w:rsidP="008D1891">
            <w:pPr>
              <w:keepNext/>
              <w:keepLines/>
              <w:spacing w:before="120"/>
              <w:rPr>
                <w:rFonts w:cs="Arial"/>
                <w:sz w:val="16"/>
                <w:szCs w:val="16"/>
              </w:rPr>
            </w:pPr>
            <w:r w:rsidRPr="002B7DE5">
              <w:rPr>
                <w:rFonts w:cs="Arial"/>
                <w:b/>
                <w:bCs/>
                <w:sz w:val="16"/>
                <w:szCs w:val="16"/>
              </w:rPr>
              <w:t>Date</w:t>
            </w:r>
          </w:p>
        </w:tc>
        <w:tc>
          <w:tcPr>
            <w:tcW w:w="1985" w:type="dxa"/>
            <w:tcBorders>
              <w:top w:val="single" w:sz="4" w:space="0" w:color="auto"/>
              <w:bottom w:val="nil"/>
            </w:tcBorders>
            <w:vAlign w:val="center"/>
          </w:tcPr>
          <w:p w:rsidR="009375B7" w:rsidRPr="002B7DE5" w:rsidRDefault="009375B7" w:rsidP="008D1891">
            <w:pPr>
              <w:keepNext/>
              <w:keepLines/>
              <w:spacing w:before="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auto"/>
              <w:bottom w:val="nil"/>
            </w:tcBorders>
            <w:vAlign w:val="center"/>
          </w:tcPr>
          <w:p w:rsidR="009375B7" w:rsidRPr="002B7DE5" w:rsidRDefault="009375B7" w:rsidP="008D1891">
            <w:pPr>
              <w:keepNext/>
              <w:keepLines/>
              <w:spacing w:before="120"/>
              <w:rPr>
                <w:rFonts w:cs="Arial"/>
                <w:sz w:val="16"/>
                <w:szCs w:val="16"/>
              </w:rPr>
            </w:pPr>
            <w:r w:rsidRPr="002B7DE5">
              <w:rPr>
                <w:rFonts w:cs="Arial"/>
                <w:b/>
                <w:bCs/>
                <w:sz w:val="16"/>
                <w:szCs w:val="16"/>
              </w:rPr>
              <w:t>Purpose(s)/Description(s)</w:t>
            </w:r>
          </w:p>
        </w:tc>
      </w:tr>
      <w:tr w:rsidR="009375B7" w:rsidRPr="00774D44" w:rsidTr="008D1891">
        <w:trPr>
          <w:cantSplit/>
          <w:trHeight w:val="315"/>
        </w:trPr>
        <w:tc>
          <w:tcPr>
            <w:tcW w:w="1843" w:type="dxa"/>
            <w:tcBorders>
              <w:top w:val="nil"/>
              <w:bottom w:val="single" w:sz="4" w:space="0" w:color="auto"/>
            </w:tcBorders>
          </w:tcPr>
          <w:p w:rsidR="009375B7" w:rsidRPr="00B357EF" w:rsidRDefault="009375B7" w:rsidP="008D1891">
            <w:pPr>
              <w:autoSpaceDE w:val="0"/>
              <w:autoSpaceDN w:val="0"/>
              <w:adjustRightInd w:val="0"/>
              <w:spacing w:before="120" w:after="120"/>
              <w:rPr>
                <w:rFonts w:cs="Arial"/>
                <w:sz w:val="16"/>
                <w:szCs w:val="16"/>
              </w:rPr>
            </w:pPr>
            <w:r w:rsidRPr="006E23BE">
              <w:rPr>
                <w:rFonts w:cs="Arial"/>
                <w:sz w:val="16"/>
                <w:szCs w:val="16"/>
              </w:rPr>
              <w:t>Regional Colloquium on Building Respect for IP for Members of the Judiciary of the Common Law Countries of the Southern African Development Community (SADC)</w:t>
            </w:r>
          </w:p>
        </w:tc>
        <w:tc>
          <w:tcPr>
            <w:tcW w:w="1134" w:type="dxa"/>
            <w:tcBorders>
              <w:top w:val="nil"/>
              <w:bottom w:val="single" w:sz="4" w:space="0" w:color="auto"/>
            </w:tcBorders>
          </w:tcPr>
          <w:p w:rsidR="009375B7" w:rsidRPr="00B357EF" w:rsidRDefault="009375B7" w:rsidP="008D1891">
            <w:pPr>
              <w:spacing w:before="120" w:after="120"/>
              <w:rPr>
                <w:rFonts w:cs="Arial"/>
                <w:sz w:val="16"/>
                <w:szCs w:val="16"/>
              </w:rPr>
            </w:pPr>
            <w:r w:rsidRPr="00DD3D1C">
              <w:rPr>
                <w:rFonts w:cs="Arial"/>
                <w:sz w:val="16"/>
                <w:szCs w:val="16"/>
              </w:rPr>
              <w:t xml:space="preserve">October 29 </w:t>
            </w:r>
            <w:r>
              <w:rPr>
                <w:rFonts w:cs="Arial"/>
                <w:sz w:val="16"/>
                <w:szCs w:val="16"/>
              </w:rPr>
              <w:t>to</w:t>
            </w:r>
            <w:r w:rsidRPr="00DD3D1C">
              <w:rPr>
                <w:rFonts w:cs="Arial"/>
                <w:sz w:val="16"/>
                <w:szCs w:val="16"/>
              </w:rPr>
              <w:t xml:space="preserve"> 30, 2014</w:t>
            </w:r>
          </w:p>
        </w:tc>
        <w:tc>
          <w:tcPr>
            <w:tcW w:w="1985" w:type="dxa"/>
            <w:tcBorders>
              <w:top w:val="nil"/>
              <w:bottom w:val="single" w:sz="4" w:space="0" w:color="auto"/>
            </w:tcBorders>
          </w:tcPr>
          <w:p w:rsidR="009375B7" w:rsidRDefault="009375B7" w:rsidP="008D1891">
            <w:pPr>
              <w:autoSpaceDE w:val="0"/>
              <w:autoSpaceDN w:val="0"/>
              <w:adjustRightInd w:val="0"/>
              <w:spacing w:before="120" w:after="120"/>
              <w:rPr>
                <w:rFonts w:cs="Arial"/>
                <w:color w:val="000000"/>
                <w:sz w:val="16"/>
                <w:szCs w:val="16"/>
              </w:rPr>
            </w:pPr>
            <w:r w:rsidRPr="00D47529">
              <w:rPr>
                <w:rFonts w:cs="Arial"/>
                <w:color w:val="000000"/>
                <w:sz w:val="16"/>
                <w:szCs w:val="16"/>
              </w:rPr>
              <w:t xml:space="preserve">South Africa/          </w:t>
            </w:r>
            <w:r>
              <w:rPr>
                <w:rFonts w:cs="Arial"/>
                <w:color w:val="000000"/>
                <w:sz w:val="16"/>
                <w:szCs w:val="16"/>
              </w:rPr>
              <w:t xml:space="preserve">      </w:t>
            </w:r>
            <w:r w:rsidRPr="00D47529">
              <w:rPr>
                <w:rFonts w:cs="Arial"/>
                <w:color w:val="000000"/>
                <w:sz w:val="16"/>
                <w:szCs w:val="16"/>
              </w:rPr>
              <w:t xml:space="preserve">17 participants from Botswana, Lesotho, Malawi, Mauritius, Seychelles, South Africa, Swaziland, </w:t>
            </w:r>
            <w:r>
              <w:rPr>
                <w:rFonts w:cs="Arial"/>
                <w:color w:val="000000"/>
                <w:sz w:val="16"/>
                <w:szCs w:val="16"/>
              </w:rPr>
              <w:t xml:space="preserve">United Republic of </w:t>
            </w:r>
            <w:r w:rsidRPr="00D47529">
              <w:rPr>
                <w:rFonts w:cs="Arial"/>
                <w:color w:val="000000"/>
                <w:sz w:val="16"/>
                <w:szCs w:val="16"/>
              </w:rPr>
              <w:t>Tanzania, Zambia and Zimbabwe</w:t>
            </w:r>
          </w:p>
        </w:tc>
        <w:tc>
          <w:tcPr>
            <w:tcW w:w="4394" w:type="dxa"/>
            <w:tcBorders>
              <w:top w:val="nil"/>
              <w:bottom w:val="single" w:sz="4" w:space="0" w:color="auto"/>
            </w:tcBorders>
          </w:tcPr>
          <w:p w:rsidR="009375B7" w:rsidRDefault="009375B7" w:rsidP="008D1891">
            <w:pPr>
              <w:autoSpaceDE w:val="0"/>
              <w:autoSpaceDN w:val="0"/>
              <w:adjustRightInd w:val="0"/>
              <w:spacing w:before="120" w:after="120"/>
              <w:rPr>
                <w:rFonts w:cs="Arial"/>
                <w:sz w:val="16"/>
                <w:szCs w:val="16"/>
              </w:rPr>
            </w:pPr>
            <w:r w:rsidRPr="001A2DD3">
              <w:rPr>
                <w:rFonts w:cs="Arial"/>
                <w:sz w:val="16"/>
                <w:szCs w:val="16"/>
              </w:rPr>
              <w:t xml:space="preserve">To enhance the understanding of IP enforcement among members of the Judiciary </w:t>
            </w:r>
            <w:r>
              <w:rPr>
                <w:rFonts w:cs="Arial"/>
                <w:sz w:val="16"/>
                <w:szCs w:val="16"/>
              </w:rPr>
              <w:t>to ensure a</w:t>
            </w:r>
            <w:r w:rsidRPr="001A2DD3">
              <w:rPr>
                <w:rFonts w:cs="Arial"/>
                <w:sz w:val="16"/>
                <w:szCs w:val="16"/>
              </w:rPr>
              <w:t xml:space="preserve"> fair and efficient</w:t>
            </w:r>
            <w:r>
              <w:rPr>
                <w:rFonts w:cs="Arial"/>
                <w:sz w:val="16"/>
                <w:szCs w:val="16"/>
              </w:rPr>
              <w:t xml:space="preserve"> provision of</w:t>
            </w:r>
            <w:r w:rsidRPr="001A2DD3">
              <w:rPr>
                <w:rFonts w:cs="Arial"/>
                <w:sz w:val="16"/>
                <w:szCs w:val="16"/>
              </w:rPr>
              <w:t xml:space="preserve"> adjudication of IP cases.</w:t>
            </w:r>
          </w:p>
        </w:tc>
      </w:tr>
      <w:tr w:rsidR="009375B7" w:rsidRPr="00774D44" w:rsidTr="008D1891">
        <w:trPr>
          <w:cantSplit/>
          <w:trHeight w:val="315"/>
        </w:trPr>
        <w:tc>
          <w:tcPr>
            <w:tcW w:w="9356" w:type="dxa"/>
            <w:gridSpan w:val="4"/>
            <w:tcBorders>
              <w:top w:val="single" w:sz="4" w:space="0" w:color="auto"/>
              <w:left w:val="single" w:sz="4" w:space="0" w:color="auto"/>
              <w:bottom w:val="single" w:sz="4" w:space="0" w:color="auto"/>
              <w:right w:val="single" w:sz="4" w:space="0" w:color="auto"/>
            </w:tcBorders>
            <w:shd w:val="clear" w:color="auto" w:fill="CCFFFF"/>
          </w:tcPr>
          <w:p w:rsidR="009375B7" w:rsidRPr="00C66F54" w:rsidRDefault="009375B7" w:rsidP="008D1891">
            <w:pPr>
              <w:keepNext/>
              <w:keepLines/>
              <w:tabs>
                <w:tab w:val="left" w:pos="1740"/>
              </w:tabs>
              <w:spacing w:before="120" w:after="120"/>
              <w:ind w:left="1740" w:hanging="1740"/>
              <w:rPr>
                <w:rFonts w:cs="Arial"/>
                <w:b/>
                <w:bCs/>
                <w:color w:val="000000"/>
                <w:sz w:val="16"/>
                <w:szCs w:val="16"/>
              </w:rPr>
            </w:pPr>
            <w:r w:rsidRPr="00C62606">
              <w:rPr>
                <w:rFonts w:cs="Arial"/>
                <w:b/>
                <w:bCs/>
                <w:color w:val="000000"/>
                <w:sz w:val="16"/>
                <w:szCs w:val="16"/>
              </w:rPr>
              <w:t>RESULT:</w:t>
            </w:r>
            <w:r w:rsidRPr="00C62606">
              <w:rPr>
                <w:rFonts w:cs="Arial"/>
                <w:b/>
                <w:bCs/>
                <w:color w:val="000000"/>
                <w:sz w:val="16"/>
                <w:szCs w:val="16"/>
              </w:rPr>
              <w:tab/>
            </w:r>
            <w:r w:rsidRPr="006A55BE">
              <w:rPr>
                <w:rFonts w:cs="Arial"/>
                <w:bCs/>
                <w:color w:val="000000"/>
                <w:sz w:val="16"/>
                <w:szCs w:val="16"/>
              </w:rPr>
              <w:t>VII.2. IP-based platforms and tools are used for knowledge transfer, technology adaptation and diffusion from developed to developing countries, particularly least developed countries, to address global challenges</w:t>
            </w:r>
          </w:p>
        </w:tc>
      </w:tr>
      <w:tr w:rsidR="009375B7" w:rsidRPr="00774D44" w:rsidTr="008D1891">
        <w:trPr>
          <w:cantSplit/>
          <w:trHeight w:val="315"/>
        </w:trPr>
        <w:tc>
          <w:tcPr>
            <w:tcW w:w="1843" w:type="dxa"/>
            <w:tcBorders>
              <w:top w:val="single" w:sz="4" w:space="0" w:color="auto"/>
              <w:bottom w:val="nil"/>
            </w:tcBorders>
            <w:vAlign w:val="center"/>
          </w:tcPr>
          <w:p w:rsidR="009375B7" w:rsidRPr="002B7DE5" w:rsidRDefault="009375B7" w:rsidP="008D1891">
            <w:pPr>
              <w:keepNext/>
              <w:keepLines/>
              <w:spacing w:before="120"/>
              <w:rPr>
                <w:rFonts w:cs="Arial"/>
                <w:b/>
                <w:bCs/>
                <w:sz w:val="16"/>
                <w:szCs w:val="16"/>
              </w:rPr>
            </w:pPr>
            <w:r w:rsidRPr="002B7DE5">
              <w:rPr>
                <w:rFonts w:cs="Arial"/>
                <w:b/>
                <w:bCs/>
                <w:sz w:val="16"/>
                <w:szCs w:val="16"/>
              </w:rPr>
              <w:t>Activity</w:t>
            </w:r>
          </w:p>
        </w:tc>
        <w:tc>
          <w:tcPr>
            <w:tcW w:w="1134" w:type="dxa"/>
            <w:tcBorders>
              <w:top w:val="single" w:sz="4" w:space="0" w:color="auto"/>
              <w:bottom w:val="nil"/>
            </w:tcBorders>
            <w:vAlign w:val="center"/>
          </w:tcPr>
          <w:p w:rsidR="009375B7" w:rsidRPr="002B7DE5" w:rsidRDefault="009375B7" w:rsidP="008D1891">
            <w:pPr>
              <w:keepNext/>
              <w:keepLines/>
              <w:spacing w:before="120"/>
              <w:rPr>
                <w:rFonts w:cs="Arial"/>
                <w:sz w:val="16"/>
                <w:szCs w:val="16"/>
              </w:rPr>
            </w:pPr>
            <w:r w:rsidRPr="002B7DE5">
              <w:rPr>
                <w:rFonts w:cs="Arial"/>
                <w:b/>
                <w:bCs/>
                <w:sz w:val="16"/>
                <w:szCs w:val="16"/>
              </w:rPr>
              <w:t>Date</w:t>
            </w:r>
          </w:p>
        </w:tc>
        <w:tc>
          <w:tcPr>
            <w:tcW w:w="1985" w:type="dxa"/>
            <w:tcBorders>
              <w:top w:val="single" w:sz="4" w:space="0" w:color="auto"/>
              <w:bottom w:val="nil"/>
            </w:tcBorders>
            <w:vAlign w:val="center"/>
          </w:tcPr>
          <w:p w:rsidR="009375B7" w:rsidRPr="002B7DE5" w:rsidRDefault="009375B7" w:rsidP="008D1891">
            <w:pPr>
              <w:keepNext/>
              <w:keepLines/>
              <w:spacing w:before="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tcBorders>
              <w:top w:val="single" w:sz="4" w:space="0" w:color="auto"/>
              <w:bottom w:val="nil"/>
            </w:tcBorders>
            <w:vAlign w:val="center"/>
          </w:tcPr>
          <w:p w:rsidR="009375B7" w:rsidRPr="002B7DE5" w:rsidRDefault="009375B7" w:rsidP="008D1891">
            <w:pPr>
              <w:keepNext/>
              <w:keepLines/>
              <w:spacing w:before="120"/>
              <w:rPr>
                <w:rFonts w:cs="Arial"/>
                <w:sz w:val="16"/>
                <w:szCs w:val="16"/>
              </w:rPr>
            </w:pPr>
            <w:r w:rsidRPr="002B7DE5">
              <w:rPr>
                <w:rFonts w:cs="Arial"/>
                <w:b/>
                <w:bCs/>
                <w:sz w:val="16"/>
                <w:szCs w:val="16"/>
              </w:rPr>
              <w:t>Purpose(s)/Description(s)</w:t>
            </w:r>
          </w:p>
        </w:tc>
      </w:tr>
      <w:tr w:rsidR="009375B7" w:rsidRPr="00774D44" w:rsidTr="008D1891">
        <w:trPr>
          <w:cantSplit/>
          <w:trHeight w:val="315"/>
        </w:trPr>
        <w:tc>
          <w:tcPr>
            <w:tcW w:w="1843" w:type="dxa"/>
            <w:tcBorders>
              <w:top w:val="nil"/>
              <w:bottom w:val="single" w:sz="4" w:space="0" w:color="auto"/>
            </w:tcBorders>
          </w:tcPr>
          <w:p w:rsidR="009375B7" w:rsidRPr="00B357EF" w:rsidRDefault="009375B7" w:rsidP="000C1151">
            <w:pPr>
              <w:autoSpaceDE w:val="0"/>
              <w:autoSpaceDN w:val="0"/>
              <w:adjustRightInd w:val="0"/>
              <w:spacing w:before="120" w:after="120"/>
              <w:rPr>
                <w:rFonts w:cs="Arial"/>
                <w:sz w:val="16"/>
                <w:szCs w:val="16"/>
              </w:rPr>
            </w:pPr>
            <w:r w:rsidRPr="00A071FC">
              <w:rPr>
                <w:rFonts w:cs="Arial"/>
                <w:sz w:val="16"/>
                <w:szCs w:val="16"/>
              </w:rPr>
              <w:t>WIPO Re: Search– Making of Video to Showcase Success stories</w:t>
            </w:r>
          </w:p>
        </w:tc>
        <w:tc>
          <w:tcPr>
            <w:tcW w:w="1134" w:type="dxa"/>
            <w:tcBorders>
              <w:top w:val="nil"/>
              <w:bottom w:val="single" w:sz="4" w:space="0" w:color="auto"/>
            </w:tcBorders>
          </w:tcPr>
          <w:p w:rsidR="009375B7" w:rsidRPr="00B357EF" w:rsidRDefault="000C1151" w:rsidP="008D1891">
            <w:pPr>
              <w:spacing w:before="120" w:after="120"/>
              <w:rPr>
                <w:rFonts w:cs="Arial"/>
                <w:sz w:val="16"/>
                <w:szCs w:val="16"/>
              </w:rPr>
            </w:pPr>
            <w:r>
              <w:rPr>
                <w:rFonts w:cs="Arial"/>
                <w:sz w:val="16"/>
                <w:szCs w:val="16"/>
              </w:rPr>
              <w:t>April to August 2014</w:t>
            </w:r>
          </w:p>
        </w:tc>
        <w:tc>
          <w:tcPr>
            <w:tcW w:w="1985" w:type="dxa"/>
            <w:tcBorders>
              <w:top w:val="nil"/>
              <w:bottom w:val="single" w:sz="4" w:space="0" w:color="auto"/>
            </w:tcBorders>
          </w:tcPr>
          <w:p w:rsidR="009375B7" w:rsidRDefault="009375B7" w:rsidP="008D1891">
            <w:pPr>
              <w:autoSpaceDE w:val="0"/>
              <w:autoSpaceDN w:val="0"/>
              <w:adjustRightInd w:val="0"/>
              <w:spacing w:before="120" w:after="120"/>
              <w:rPr>
                <w:rFonts w:cs="Arial"/>
                <w:color w:val="000000"/>
                <w:sz w:val="16"/>
                <w:szCs w:val="16"/>
              </w:rPr>
            </w:pPr>
            <w:r w:rsidRPr="00D0080F">
              <w:rPr>
                <w:rFonts w:cs="Arial"/>
                <w:color w:val="000000"/>
                <w:sz w:val="16"/>
                <w:szCs w:val="16"/>
              </w:rPr>
              <w:t>Cameroon</w:t>
            </w:r>
          </w:p>
        </w:tc>
        <w:tc>
          <w:tcPr>
            <w:tcW w:w="4394" w:type="dxa"/>
            <w:tcBorders>
              <w:top w:val="nil"/>
              <w:bottom w:val="single" w:sz="4" w:space="0" w:color="auto"/>
            </w:tcBorders>
          </w:tcPr>
          <w:p w:rsidR="009375B7" w:rsidRDefault="009375B7" w:rsidP="008D1891">
            <w:pPr>
              <w:autoSpaceDE w:val="0"/>
              <w:autoSpaceDN w:val="0"/>
              <w:adjustRightInd w:val="0"/>
              <w:spacing w:before="120" w:after="120"/>
              <w:rPr>
                <w:rFonts w:cs="Arial"/>
                <w:sz w:val="16"/>
                <w:szCs w:val="16"/>
              </w:rPr>
            </w:pPr>
            <w:r w:rsidRPr="00B8277B">
              <w:rPr>
                <w:rFonts w:cs="Arial"/>
                <w:sz w:val="16"/>
                <w:szCs w:val="16"/>
              </w:rPr>
              <w:t xml:space="preserve">To showcase success stories in the research of </w:t>
            </w:r>
            <w:r>
              <w:rPr>
                <w:rFonts w:cs="Arial"/>
                <w:sz w:val="16"/>
                <w:szCs w:val="16"/>
              </w:rPr>
              <w:t>NTDs</w:t>
            </w:r>
            <w:r w:rsidRPr="00B8277B">
              <w:rPr>
                <w:rFonts w:cs="Arial"/>
                <w:sz w:val="16"/>
                <w:szCs w:val="16"/>
              </w:rPr>
              <w:t xml:space="preserve"> in Cameroon.</w:t>
            </w:r>
          </w:p>
        </w:tc>
      </w:tr>
    </w:tbl>
    <w:p w:rsidR="0063033D" w:rsidRDefault="0063033D" w:rsidP="008D1891">
      <w:pPr>
        <w:keepNext/>
        <w:keepLines/>
        <w:rPr>
          <w:rFonts w:cs="Arial"/>
          <w:b/>
          <w:szCs w:val="20"/>
        </w:rPr>
      </w:pPr>
    </w:p>
    <w:p w:rsidR="0063033D" w:rsidRDefault="0063033D" w:rsidP="008D1891">
      <w:pPr>
        <w:rPr>
          <w:rFonts w:cs="Arial"/>
          <w:b/>
          <w:sz w:val="18"/>
          <w:szCs w:val="18"/>
        </w:rPr>
      </w:pPr>
    </w:p>
    <w:p w:rsidR="0063033D" w:rsidRDefault="0063033D" w:rsidP="008D1891">
      <w:pPr>
        <w:rPr>
          <w:rFonts w:cs="Arial"/>
          <w:b/>
          <w:bCs/>
          <w:sz w:val="18"/>
          <w:szCs w:val="18"/>
        </w:rPr>
      </w:pPr>
      <w:r w:rsidRPr="00480632">
        <w:rPr>
          <w:rFonts w:cs="Arial"/>
          <w:b/>
          <w:sz w:val="18"/>
          <w:szCs w:val="18"/>
        </w:rPr>
        <w:t xml:space="preserve">JAPAN/ </w:t>
      </w:r>
      <w:r w:rsidRPr="00480632">
        <w:rPr>
          <w:rFonts w:cs="Arial"/>
          <w:b/>
          <w:szCs w:val="20"/>
        </w:rPr>
        <w:t xml:space="preserve">IP/ AFRICA- LDCs </w:t>
      </w:r>
      <w:r w:rsidRPr="00480632">
        <w:rPr>
          <w:rFonts w:cs="Arial"/>
          <w:b/>
          <w:sz w:val="18"/>
          <w:szCs w:val="18"/>
        </w:rPr>
        <w:t xml:space="preserve">Donor </w:t>
      </w:r>
      <w:r w:rsidRPr="00480632">
        <w:rPr>
          <w:rFonts w:cs="Arial"/>
          <w:b/>
          <w:bCs/>
          <w:sz w:val="18"/>
          <w:szCs w:val="18"/>
        </w:rPr>
        <w:t>Contributions and Expenditure in 201</w:t>
      </w:r>
      <w:r>
        <w:rPr>
          <w:rFonts w:cs="Arial"/>
          <w:b/>
          <w:bCs/>
          <w:sz w:val="18"/>
          <w:szCs w:val="18"/>
        </w:rPr>
        <w:t>4</w:t>
      </w:r>
    </w:p>
    <w:p w:rsidR="0063033D" w:rsidRDefault="0063033D" w:rsidP="008D1891">
      <w:pPr>
        <w:keepNext/>
        <w:keepLines/>
        <w:rPr>
          <w:rFonts w:cs="Arial"/>
          <w:b/>
          <w:szCs w:val="20"/>
        </w:rPr>
      </w:pPr>
    </w:p>
    <w:tbl>
      <w:tblPr>
        <w:tblW w:w="9375" w:type="dxa"/>
        <w:tblInd w:w="93" w:type="dxa"/>
        <w:tblLook w:val="04A0" w:firstRow="1" w:lastRow="0" w:firstColumn="1" w:lastColumn="0" w:noHBand="0" w:noVBand="1"/>
      </w:tblPr>
      <w:tblGrid>
        <w:gridCol w:w="1858"/>
        <w:gridCol w:w="1559"/>
        <w:gridCol w:w="1560"/>
        <w:gridCol w:w="2126"/>
        <w:gridCol w:w="2272"/>
      </w:tblGrid>
      <w:tr w:rsidR="0063033D" w:rsidTr="00845557">
        <w:trPr>
          <w:trHeight w:val="624"/>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2013</w:t>
            </w:r>
          </w:p>
        </w:tc>
        <w:tc>
          <w:tcPr>
            <w:tcW w:w="1559"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Income 2014</w:t>
            </w:r>
          </w:p>
        </w:tc>
        <w:tc>
          <w:tcPr>
            <w:tcW w:w="1560"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Expenditure 2014</w:t>
            </w:r>
          </w:p>
        </w:tc>
        <w:tc>
          <w:tcPr>
            <w:tcW w:w="2126"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Reimbursements</w:t>
            </w:r>
          </w:p>
        </w:tc>
        <w:tc>
          <w:tcPr>
            <w:tcW w:w="2272"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2014</w:t>
            </w:r>
          </w:p>
        </w:tc>
      </w:tr>
      <w:tr w:rsidR="0063033D" w:rsidTr="00845557">
        <w:trPr>
          <w:trHeight w:val="42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1,391,783</w:t>
            </w:r>
          </w:p>
        </w:tc>
        <w:tc>
          <w:tcPr>
            <w:tcW w:w="1559"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1,100,544</w:t>
            </w:r>
          </w:p>
        </w:tc>
        <w:tc>
          <w:tcPr>
            <w:tcW w:w="1560"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1,057,237</w:t>
            </w:r>
          </w:p>
        </w:tc>
        <w:tc>
          <w:tcPr>
            <w:tcW w:w="2126"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w:t>
            </w:r>
          </w:p>
        </w:tc>
        <w:tc>
          <w:tcPr>
            <w:tcW w:w="2272"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1,435,090</w:t>
            </w:r>
          </w:p>
        </w:tc>
      </w:tr>
    </w:tbl>
    <w:p w:rsidR="0063033D" w:rsidRDefault="0063033D" w:rsidP="008D1891">
      <w:pPr>
        <w:rPr>
          <w:rFonts w:cs="Arial"/>
          <w:b/>
          <w:szCs w:val="20"/>
        </w:rPr>
      </w:pPr>
    </w:p>
    <w:p w:rsidR="0063033D" w:rsidRDefault="0063033D" w:rsidP="008D1891">
      <w:pPr>
        <w:rPr>
          <w:rFonts w:cs="Arial"/>
          <w:b/>
          <w:szCs w:val="20"/>
        </w:rPr>
      </w:pPr>
    </w:p>
    <w:p w:rsidR="0063033D" w:rsidRDefault="0063033D" w:rsidP="008D1891">
      <w:pPr>
        <w:keepNext/>
        <w:keepLines/>
        <w:rPr>
          <w:rFonts w:cs="Arial"/>
          <w:b/>
          <w:szCs w:val="20"/>
        </w:rPr>
      </w:pPr>
      <w:r w:rsidRPr="00BF236C">
        <w:rPr>
          <w:rFonts w:cs="Arial"/>
          <w:b/>
          <w:szCs w:val="20"/>
        </w:rPr>
        <w:t>REPUBLIC OF KOREA</w:t>
      </w:r>
      <w:r>
        <w:rPr>
          <w:rFonts w:cs="Arial"/>
          <w:b/>
          <w:szCs w:val="20"/>
        </w:rPr>
        <w:t>/BUILDING RESPECT FOR INTELLECTUAL PROPERTY</w:t>
      </w:r>
    </w:p>
    <w:p w:rsidR="0063033D" w:rsidRPr="001D5785" w:rsidRDefault="0063033D" w:rsidP="008D1891">
      <w:pPr>
        <w:keepNext/>
        <w:keepLines/>
        <w:rPr>
          <w:rFonts w:cs="Arial"/>
          <w:b/>
          <w:sz w:val="16"/>
          <w:szCs w:val="16"/>
        </w:rPr>
      </w:pPr>
    </w:p>
    <w:tbl>
      <w:tblPr>
        <w:tblW w:w="9386"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843"/>
        <w:gridCol w:w="4536"/>
      </w:tblGrid>
      <w:tr w:rsidR="0063033D" w:rsidRPr="00D31A75" w:rsidTr="008D1891">
        <w:tc>
          <w:tcPr>
            <w:tcW w:w="9386" w:type="dxa"/>
            <w:gridSpan w:val="4"/>
            <w:tcBorders>
              <w:top w:val="single" w:sz="4" w:space="0" w:color="000000"/>
              <w:bottom w:val="single" w:sz="4" w:space="0" w:color="000000"/>
            </w:tcBorders>
            <w:shd w:val="clear" w:color="auto" w:fill="CCFFFF"/>
            <w:vAlign w:val="center"/>
          </w:tcPr>
          <w:p w:rsidR="0063033D" w:rsidRPr="003C18E2" w:rsidRDefault="0063033D" w:rsidP="008D1891">
            <w:pPr>
              <w:keepNext/>
              <w:keepLines/>
              <w:spacing w:before="120" w:after="60"/>
              <w:ind w:left="1701" w:hanging="1701"/>
              <w:rPr>
                <w:rFonts w:cs="Arial"/>
                <w:bCs/>
                <w:sz w:val="16"/>
                <w:szCs w:val="16"/>
              </w:rPr>
            </w:pPr>
            <w:r w:rsidRPr="00D31A75">
              <w:rPr>
                <w:rFonts w:cs="Arial"/>
                <w:b/>
                <w:bCs/>
                <w:color w:val="000000"/>
                <w:sz w:val="16"/>
                <w:szCs w:val="16"/>
              </w:rPr>
              <w:t>RESULT</w:t>
            </w:r>
            <w:r w:rsidRPr="00D31A75">
              <w:rPr>
                <w:rFonts w:cs="Arial"/>
                <w:b/>
                <w:bCs/>
                <w:sz w:val="16"/>
                <w:szCs w:val="16"/>
              </w:rPr>
              <w:t>:</w:t>
            </w:r>
            <w:r w:rsidRPr="00D31A75">
              <w:rPr>
                <w:rFonts w:cs="Arial"/>
                <w:b/>
                <w:bCs/>
                <w:sz w:val="16"/>
                <w:szCs w:val="16"/>
              </w:rPr>
              <w:tab/>
            </w:r>
            <w:r w:rsidRPr="008230D2">
              <w:rPr>
                <w:rFonts w:cs="Arial"/>
                <w:bCs/>
                <w:sz w:val="16"/>
                <w:szCs w:val="16"/>
              </w:rPr>
              <w:t>III.2. Enhanced human resource capacities able to deal with the broad range of requirements for the effective use of IP for development in developing countries, LDCs and countries with economies in transition</w:t>
            </w:r>
          </w:p>
        </w:tc>
      </w:tr>
      <w:tr w:rsidR="0063033D" w:rsidRPr="00D31A75" w:rsidTr="008D1891">
        <w:tc>
          <w:tcPr>
            <w:tcW w:w="1873" w:type="dxa"/>
            <w:tcBorders>
              <w:top w:val="single" w:sz="4" w:space="0" w:color="000000"/>
            </w:tcBorders>
            <w:vAlign w:val="center"/>
          </w:tcPr>
          <w:p w:rsidR="0063033D" w:rsidRPr="00D31A75" w:rsidRDefault="0063033D" w:rsidP="008D1891">
            <w:pPr>
              <w:keepNext/>
              <w:keepLines/>
              <w:rPr>
                <w:rFonts w:cs="Arial"/>
                <w:b/>
                <w:bCs/>
                <w:sz w:val="16"/>
                <w:szCs w:val="16"/>
              </w:rPr>
            </w:pPr>
            <w:r w:rsidRPr="00D31A75">
              <w:rPr>
                <w:rFonts w:cs="Arial"/>
                <w:b/>
                <w:bCs/>
                <w:sz w:val="16"/>
                <w:szCs w:val="16"/>
              </w:rPr>
              <w:t>Activity</w:t>
            </w:r>
          </w:p>
        </w:tc>
        <w:tc>
          <w:tcPr>
            <w:tcW w:w="1134" w:type="dxa"/>
            <w:tcBorders>
              <w:top w:val="single" w:sz="4" w:space="0" w:color="000000"/>
            </w:tcBorders>
            <w:shd w:val="clear" w:color="auto" w:fill="auto"/>
            <w:tcMar>
              <w:top w:w="110" w:type="dxa"/>
            </w:tcMar>
            <w:vAlign w:val="center"/>
          </w:tcPr>
          <w:p w:rsidR="0063033D" w:rsidRPr="00AF0610" w:rsidRDefault="0063033D" w:rsidP="008D1891">
            <w:pPr>
              <w:keepNext/>
              <w:keepLines/>
              <w:rPr>
                <w:rFonts w:cs="Arial"/>
                <w:b/>
                <w:bCs/>
                <w:sz w:val="16"/>
                <w:szCs w:val="16"/>
              </w:rPr>
            </w:pPr>
            <w:r w:rsidRPr="00D31A75">
              <w:rPr>
                <w:rFonts w:cs="Arial"/>
                <w:b/>
                <w:bCs/>
                <w:sz w:val="16"/>
                <w:szCs w:val="16"/>
              </w:rPr>
              <w:t>Date</w:t>
            </w:r>
          </w:p>
        </w:tc>
        <w:tc>
          <w:tcPr>
            <w:tcW w:w="1843" w:type="dxa"/>
            <w:tcBorders>
              <w:top w:val="single" w:sz="4" w:space="0" w:color="000000"/>
            </w:tcBorders>
            <w:shd w:val="clear" w:color="auto" w:fill="auto"/>
            <w:tcMar>
              <w:top w:w="110" w:type="dxa"/>
            </w:tcMar>
            <w:vAlign w:val="center"/>
          </w:tcPr>
          <w:p w:rsidR="0063033D" w:rsidRPr="00D31A75" w:rsidRDefault="0063033D" w:rsidP="008D1891">
            <w:pPr>
              <w:keepNext/>
              <w:keepLines/>
              <w:rPr>
                <w:rFonts w:cs="Arial"/>
                <w:sz w:val="16"/>
                <w:szCs w:val="16"/>
              </w:rPr>
            </w:pPr>
            <w:r w:rsidRPr="00D31A75">
              <w:rPr>
                <w:rFonts w:cs="Arial"/>
                <w:b/>
                <w:bCs/>
                <w:sz w:val="16"/>
                <w:szCs w:val="16"/>
              </w:rPr>
              <w:t>Host Country/</w:t>
            </w:r>
            <w:r w:rsidRPr="00D31A75">
              <w:rPr>
                <w:rFonts w:cs="Arial"/>
                <w:b/>
                <w:bCs/>
                <w:sz w:val="16"/>
                <w:szCs w:val="16"/>
              </w:rPr>
              <w:br/>
              <w:t>Recipients</w:t>
            </w:r>
          </w:p>
        </w:tc>
        <w:tc>
          <w:tcPr>
            <w:tcW w:w="4536" w:type="dxa"/>
            <w:tcBorders>
              <w:top w:val="single" w:sz="4" w:space="0" w:color="000000"/>
            </w:tcBorders>
            <w:shd w:val="clear" w:color="auto" w:fill="FFFFFF"/>
            <w:tcMar>
              <w:top w:w="110" w:type="dxa"/>
            </w:tcMar>
            <w:vAlign w:val="center"/>
          </w:tcPr>
          <w:p w:rsidR="0063033D" w:rsidRPr="00D31A75" w:rsidRDefault="0063033D" w:rsidP="008D1891">
            <w:pPr>
              <w:keepNext/>
              <w:keepLines/>
              <w:rPr>
                <w:rFonts w:cs="Arial"/>
                <w:sz w:val="16"/>
                <w:szCs w:val="16"/>
              </w:rPr>
            </w:pPr>
            <w:r w:rsidRPr="00D31A75">
              <w:rPr>
                <w:rFonts w:cs="Arial"/>
                <w:b/>
                <w:bCs/>
                <w:sz w:val="16"/>
                <w:szCs w:val="16"/>
              </w:rPr>
              <w:t>Purpose(s)/Description(s)</w:t>
            </w:r>
          </w:p>
        </w:tc>
      </w:tr>
      <w:tr w:rsidR="0063033D" w:rsidRPr="00D31A75" w:rsidTr="008D1891">
        <w:tc>
          <w:tcPr>
            <w:tcW w:w="1873" w:type="dxa"/>
          </w:tcPr>
          <w:p w:rsidR="0063033D" w:rsidRPr="00E34DC6" w:rsidRDefault="0063033D" w:rsidP="008D1891">
            <w:pPr>
              <w:rPr>
                <w:rFonts w:eastAsia="Batang" w:cs="Arial"/>
                <w:color w:val="000000"/>
                <w:sz w:val="16"/>
                <w:szCs w:val="16"/>
                <w:lang w:eastAsia="ko-KR"/>
              </w:rPr>
            </w:pPr>
            <w:r w:rsidRPr="007E5F06">
              <w:rPr>
                <w:rFonts w:eastAsia="Batang" w:cs="Arial"/>
                <w:color w:val="000000"/>
                <w:sz w:val="16"/>
                <w:szCs w:val="16"/>
                <w:lang w:eastAsia="ko-KR"/>
              </w:rPr>
              <w:t>Interregional Workshop on Copyright Enforcement</w:t>
            </w:r>
          </w:p>
        </w:tc>
        <w:tc>
          <w:tcPr>
            <w:tcW w:w="1134" w:type="dxa"/>
            <w:shd w:val="clear" w:color="auto" w:fill="auto"/>
            <w:tcMar>
              <w:top w:w="110" w:type="dxa"/>
            </w:tcMar>
          </w:tcPr>
          <w:p w:rsidR="0063033D" w:rsidRPr="00914ACC" w:rsidRDefault="0063033D" w:rsidP="008D1891">
            <w:pPr>
              <w:keepNext/>
              <w:keepLines/>
              <w:rPr>
                <w:rFonts w:cs="Arial"/>
                <w:b/>
                <w:bCs/>
                <w:sz w:val="16"/>
                <w:szCs w:val="16"/>
              </w:rPr>
            </w:pPr>
            <w:r w:rsidRPr="00914ACC">
              <w:rPr>
                <w:rFonts w:cs="Arial"/>
                <w:b/>
                <w:bCs/>
                <w:sz w:val="16"/>
                <w:szCs w:val="16"/>
              </w:rPr>
              <w:t xml:space="preserve">October </w:t>
            </w:r>
            <w:r w:rsidRPr="00914ACC">
              <w:rPr>
                <w:rFonts w:cs="Arial"/>
                <w:b/>
                <w:bCs/>
                <w:sz w:val="16"/>
                <w:szCs w:val="16"/>
              </w:rPr>
              <w:br/>
              <w:t>13 to 17, 2014</w:t>
            </w:r>
          </w:p>
        </w:tc>
        <w:tc>
          <w:tcPr>
            <w:tcW w:w="1843" w:type="dxa"/>
            <w:shd w:val="clear" w:color="auto" w:fill="auto"/>
            <w:tcMar>
              <w:top w:w="110" w:type="dxa"/>
            </w:tcMar>
          </w:tcPr>
          <w:p w:rsidR="0063033D" w:rsidRDefault="0063033D" w:rsidP="008D1891">
            <w:pPr>
              <w:rPr>
                <w:rFonts w:cs="Arial"/>
                <w:bCs/>
                <w:kern w:val="36"/>
                <w:sz w:val="16"/>
                <w:szCs w:val="16"/>
                <w:lang w:val="de-DE" w:eastAsia="ko-KR"/>
              </w:rPr>
            </w:pPr>
            <w:r w:rsidRPr="008766B0">
              <w:rPr>
                <w:rFonts w:cs="Arial"/>
                <w:bCs/>
                <w:kern w:val="36"/>
                <w:sz w:val="16"/>
                <w:szCs w:val="16"/>
                <w:lang w:val="de-DE" w:eastAsia="ko-KR"/>
              </w:rPr>
              <w:t xml:space="preserve">Republic of Korea / </w:t>
            </w:r>
          </w:p>
          <w:p w:rsidR="0063033D" w:rsidRPr="00E34DC6" w:rsidRDefault="0063033D" w:rsidP="008D1891">
            <w:pPr>
              <w:rPr>
                <w:rFonts w:cs="Arial"/>
                <w:bCs/>
                <w:kern w:val="36"/>
                <w:sz w:val="16"/>
                <w:szCs w:val="16"/>
                <w:lang w:val="de-DE" w:eastAsia="ko-KR"/>
              </w:rPr>
            </w:pPr>
            <w:r w:rsidRPr="008766B0">
              <w:rPr>
                <w:rFonts w:cs="Arial"/>
                <w:bCs/>
                <w:kern w:val="36"/>
                <w:sz w:val="16"/>
                <w:szCs w:val="16"/>
                <w:lang w:val="de-DE" w:eastAsia="ko-KR"/>
              </w:rPr>
              <w:t>18 foreign participants from 9 countries</w:t>
            </w:r>
          </w:p>
        </w:tc>
        <w:tc>
          <w:tcPr>
            <w:tcW w:w="4536" w:type="dxa"/>
            <w:shd w:val="clear" w:color="auto" w:fill="FFFFFF"/>
            <w:tcMar>
              <w:top w:w="110" w:type="dxa"/>
            </w:tcMar>
          </w:tcPr>
          <w:p w:rsidR="0063033D" w:rsidRPr="008766B0" w:rsidRDefault="0063033D" w:rsidP="008D1891">
            <w:pPr>
              <w:rPr>
                <w:rFonts w:cs="Arial"/>
                <w:sz w:val="16"/>
                <w:szCs w:val="16"/>
                <w:lang w:eastAsia="ko-KR"/>
              </w:rPr>
            </w:pPr>
            <w:r w:rsidRPr="008766B0">
              <w:rPr>
                <w:rFonts w:cs="Arial"/>
                <w:sz w:val="16"/>
                <w:szCs w:val="16"/>
                <w:lang w:eastAsia="ko-KR"/>
              </w:rPr>
              <w:t>Within the framewo</w:t>
            </w:r>
            <w:r>
              <w:rPr>
                <w:rFonts w:cs="Arial"/>
                <w:sz w:val="16"/>
                <w:szCs w:val="16"/>
                <w:lang w:eastAsia="ko-KR"/>
              </w:rPr>
              <w:t>rk of Strategic Goal VI of WIPO:</w:t>
            </w:r>
            <w:r w:rsidRPr="008766B0">
              <w:rPr>
                <w:rFonts w:cs="Arial"/>
                <w:sz w:val="16"/>
                <w:szCs w:val="16"/>
                <w:lang w:eastAsia="ko-KR"/>
              </w:rPr>
              <w:t xml:space="preserve"> </w:t>
            </w:r>
          </w:p>
          <w:p w:rsidR="0063033D" w:rsidRPr="008766B0" w:rsidRDefault="0063033D" w:rsidP="008D1891">
            <w:pPr>
              <w:tabs>
                <w:tab w:val="left" w:pos="317"/>
              </w:tabs>
              <w:ind w:left="317" w:hanging="317"/>
              <w:rPr>
                <w:rFonts w:cs="Arial"/>
                <w:sz w:val="16"/>
                <w:szCs w:val="16"/>
                <w:lang w:eastAsia="ko-KR"/>
              </w:rPr>
            </w:pPr>
            <w:r w:rsidRPr="008766B0">
              <w:rPr>
                <w:rFonts w:cs="Arial"/>
                <w:sz w:val="16"/>
                <w:szCs w:val="16"/>
                <w:lang w:eastAsia="ko-KR"/>
              </w:rPr>
              <w:t>(</w:t>
            </w:r>
            <w:proofErr w:type="spellStart"/>
            <w:r w:rsidRPr="008766B0">
              <w:rPr>
                <w:rFonts w:cs="Arial"/>
                <w:sz w:val="16"/>
                <w:szCs w:val="16"/>
                <w:lang w:eastAsia="ko-KR"/>
              </w:rPr>
              <w:t>i</w:t>
            </w:r>
            <w:proofErr w:type="spellEnd"/>
            <w:r w:rsidRPr="008766B0">
              <w:rPr>
                <w:rFonts w:cs="Arial"/>
                <w:sz w:val="16"/>
                <w:szCs w:val="16"/>
                <w:lang w:eastAsia="ko-KR"/>
              </w:rPr>
              <w:t>)</w:t>
            </w:r>
            <w:r w:rsidRPr="008766B0">
              <w:rPr>
                <w:rFonts w:cs="Arial"/>
                <w:sz w:val="16"/>
                <w:szCs w:val="16"/>
                <w:lang w:eastAsia="ko-KR"/>
              </w:rPr>
              <w:tab/>
              <w:t>to consider the value of copyright and related rights (copyright) protection and enforcement to the social, economic and cultural development of the participating countries;</w:t>
            </w:r>
          </w:p>
          <w:p w:rsidR="0063033D" w:rsidRPr="008766B0" w:rsidRDefault="0063033D" w:rsidP="008D1891">
            <w:pPr>
              <w:tabs>
                <w:tab w:val="left" w:pos="317"/>
              </w:tabs>
              <w:ind w:left="317" w:hanging="317"/>
              <w:rPr>
                <w:rFonts w:cs="Arial"/>
                <w:sz w:val="16"/>
                <w:szCs w:val="16"/>
                <w:lang w:eastAsia="ko-KR"/>
              </w:rPr>
            </w:pPr>
            <w:r w:rsidRPr="008766B0">
              <w:rPr>
                <w:rFonts w:cs="Arial"/>
                <w:sz w:val="16"/>
                <w:szCs w:val="16"/>
                <w:lang w:eastAsia="ko-KR"/>
              </w:rPr>
              <w:t>(ii)</w:t>
            </w:r>
            <w:r w:rsidRPr="008766B0">
              <w:rPr>
                <w:rFonts w:cs="Arial"/>
                <w:sz w:val="16"/>
                <w:szCs w:val="16"/>
                <w:lang w:eastAsia="ko-KR"/>
              </w:rPr>
              <w:tab/>
              <w:t>to provide basic training on remedies and copyright enforcement measures, with a particular focus on the digital environment;</w:t>
            </w:r>
          </w:p>
          <w:p w:rsidR="0063033D" w:rsidRPr="008766B0" w:rsidRDefault="0063033D" w:rsidP="008D1891">
            <w:pPr>
              <w:tabs>
                <w:tab w:val="left" w:pos="317"/>
              </w:tabs>
              <w:ind w:left="317" w:hanging="317"/>
              <w:rPr>
                <w:rFonts w:cs="Arial"/>
                <w:sz w:val="16"/>
                <w:szCs w:val="16"/>
                <w:lang w:eastAsia="ko-KR"/>
              </w:rPr>
            </w:pPr>
            <w:r w:rsidRPr="008766B0">
              <w:rPr>
                <w:rFonts w:cs="Arial"/>
                <w:sz w:val="16"/>
                <w:szCs w:val="16"/>
                <w:lang w:eastAsia="ko-KR"/>
              </w:rPr>
              <w:t>(iii)</w:t>
            </w:r>
            <w:r w:rsidRPr="008766B0">
              <w:rPr>
                <w:rFonts w:cs="Arial"/>
                <w:sz w:val="16"/>
                <w:szCs w:val="16"/>
                <w:lang w:eastAsia="ko-KR"/>
              </w:rPr>
              <w:tab/>
              <w:t>to discuss topical issues in the area of building respect for copyright; and</w:t>
            </w:r>
          </w:p>
          <w:p w:rsidR="0063033D" w:rsidRPr="00E34DC6" w:rsidRDefault="0063033D" w:rsidP="008D1891">
            <w:pPr>
              <w:tabs>
                <w:tab w:val="left" w:pos="317"/>
              </w:tabs>
              <w:ind w:left="317" w:hanging="317"/>
              <w:rPr>
                <w:rFonts w:cs="Arial"/>
                <w:sz w:val="16"/>
                <w:szCs w:val="16"/>
                <w:lang w:eastAsia="ko-KR"/>
              </w:rPr>
            </w:pPr>
            <w:r w:rsidRPr="008766B0">
              <w:rPr>
                <w:rFonts w:cs="Arial"/>
                <w:sz w:val="16"/>
                <w:szCs w:val="16"/>
                <w:lang w:eastAsia="ko-KR"/>
              </w:rPr>
              <w:t>(iv)</w:t>
            </w:r>
            <w:r w:rsidRPr="008766B0">
              <w:rPr>
                <w:rFonts w:cs="Arial"/>
                <w:sz w:val="16"/>
                <w:szCs w:val="16"/>
                <w:lang w:eastAsia="ko-KR"/>
              </w:rPr>
              <w:tab/>
            </w:r>
            <w:proofErr w:type="gramStart"/>
            <w:r w:rsidRPr="008766B0">
              <w:rPr>
                <w:rFonts w:cs="Arial"/>
                <w:sz w:val="16"/>
                <w:szCs w:val="16"/>
                <w:lang w:eastAsia="ko-KR"/>
              </w:rPr>
              <w:t>to</w:t>
            </w:r>
            <w:proofErr w:type="gramEnd"/>
            <w:r w:rsidRPr="008766B0">
              <w:rPr>
                <w:rFonts w:cs="Arial"/>
                <w:sz w:val="16"/>
                <w:szCs w:val="16"/>
                <w:lang w:eastAsia="ko-KR"/>
              </w:rPr>
              <w:t xml:space="preserve"> envisage national and transnational strategies for effective cooperation to build respect for copyright.  </w:t>
            </w:r>
          </w:p>
        </w:tc>
      </w:tr>
    </w:tbl>
    <w:p w:rsidR="0063033D" w:rsidRDefault="0063033D" w:rsidP="008D1891">
      <w:pPr>
        <w:keepNext/>
        <w:keepLines/>
        <w:rPr>
          <w:rFonts w:cs="Arial"/>
          <w:b/>
          <w:sz w:val="18"/>
          <w:szCs w:val="18"/>
        </w:rPr>
      </w:pPr>
    </w:p>
    <w:p w:rsidR="0063033D" w:rsidRDefault="0063033D" w:rsidP="008D1891">
      <w:pPr>
        <w:keepNext/>
        <w:keepLines/>
        <w:rPr>
          <w:rFonts w:cs="Arial"/>
          <w:b/>
          <w:sz w:val="18"/>
          <w:szCs w:val="18"/>
        </w:rPr>
      </w:pPr>
    </w:p>
    <w:p w:rsidR="0063033D" w:rsidRPr="00D50853" w:rsidRDefault="0063033D" w:rsidP="008D1891">
      <w:pPr>
        <w:keepNext/>
        <w:keepLines/>
        <w:rPr>
          <w:rFonts w:cs="Arial"/>
          <w:b/>
          <w:bCs/>
          <w:szCs w:val="18"/>
        </w:rPr>
      </w:pPr>
      <w:r w:rsidRPr="00D50853">
        <w:rPr>
          <w:rFonts w:cs="Arial"/>
          <w:b/>
          <w:szCs w:val="18"/>
        </w:rPr>
        <w:t xml:space="preserve">REPUBLIC OF KOREA/BUILDING RESPECT FOR INTELLECTUAL PROPERTY Donor </w:t>
      </w:r>
      <w:r w:rsidRPr="00D50853">
        <w:rPr>
          <w:rFonts w:cs="Arial"/>
          <w:b/>
          <w:bCs/>
          <w:szCs w:val="18"/>
        </w:rPr>
        <w:t>Contributions and Expenditure in 2014</w:t>
      </w:r>
    </w:p>
    <w:p w:rsidR="0063033D" w:rsidRDefault="0063033D" w:rsidP="008D1891">
      <w:pPr>
        <w:keepNext/>
        <w:keepLines/>
        <w:rPr>
          <w:rFonts w:cs="Arial"/>
          <w:b/>
          <w:szCs w:val="20"/>
        </w:rPr>
      </w:pPr>
    </w:p>
    <w:tbl>
      <w:tblPr>
        <w:tblW w:w="9087" w:type="dxa"/>
        <w:jc w:val="center"/>
        <w:tblInd w:w="93" w:type="dxa"/>
        <w:tblLook w:val="04A0" w:firstRow="1" w:lastRow="0" w:firstColumn="1" w:lastColumn="0" w:noHBand="0" w:noVBand="1"/>
      </w:tblPr>
      <w:tblGrid>
        <w:gridCol w:w="1880"/>
        <w:gridCol w:w="1537"/>
        <w:gridCol w:w="1843"/>
        <w:gridCol w:w="1843"/>
        <w:gridCol w:w="1984"/>
      </w:tblGrid>
      <w:tr w:rsidR="0063033D" w:rsidTr="008D1891">
        <w:trPr>
          <w:trHeight w:val="514"/>
          <w:jc w:val="center"/>
        </w:trPr>
        <w:tc>
          <w:tcPr>
            <w:tcW w:w="188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2013</w:t>
            </w:r>
          </w:p>
        </w:tc>
        <w:tc>
          <w:tcPr>
            <w:tcW w:w="1537"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Income 2014</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Expenditure 2014</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Reimbursements</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2014</w:t>
            </w:r>
          </w:p>
        </w:tc>
      </w:tr>
      <w:tr w:rsidR="0063033D" w:rsidTr="008D1891">
        <w:trPr>
          <w:trHeight w:val="408"/>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w:t>
            </w:r>
          </w:p>
        </w:tc>
        <w:tc>
          <w:tcPr>
            <w:tcW w:w="1537"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131,267</w:t>
            </w:r>
          </w:p>
        </w:tc>
        <w:tc>
          <w:tcPr>
            <w:tcW w:w="1843"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88,957</w:t>
            </w:r>
          </w:p>
        </w:tc>
        <w:tc>
          <w:tcPr>
            <w:tcW w:w="1843"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w:t>
            </w:r>
          </w:p>
        </w:tc>
        <w:tc>
          <w:tcPr>
            <w:tcW w:w="1984"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42,310</w:t>
            </w:r>
          </w:p>
        </w:tc>
      </w:tr>
    </w:tbl>
    <w:p w:rsidR="0063033D" w:rsidRDefault="0063033D" w:rsidP="008D1891">
      <w:pPr>
        <w:rPr>
          <w:rFonts w:cs="Arial"/>
          <w:b/>
          <w:szCs w:val="20"/>
        </w:rPr>
      </w:pPr>
    </w:p>
    <w:p w:rsidR="0063033D" w:rsidRDefault="0063033D" w:rsidP="008D1891">
      <w:pPr>
        <w:rPr>
          <w:rFonts w:cs="Arial"/>
          <w:b/>
          <w:szCs w:val="20"/>
        </w:rPr>
      </w:pPr>
    </w:p>
    <w:p w:rsidR="0063033D" w:rsidRDefault="0063033D" w:rsidP="008D1891">
      <w:pPr>
        <w:keepNext/>
        <w:keepLines/>
        <w:rPr>
          <w:rFonts w:cs="Arial"/>
          <w:b/>
          <w:szCs w:val="20"/>
        </w:rPr>
      </w:pPr>
      <w:r w:rsidRPr="00BF236C">
        <w:rPr>
          <w:rFonts w:cs="Arial"/>
          <w:b/>
          <w:szCs w:val="20"/>
        </w:rPr>
        <w:t>REPUBLIC OF KOREA</w:t>
      </w:r>
      <w:r>
        <w:rPr>
          <w:rFonts w:cs="Arial"/>
          <w:b/>
          <w:szCs w:val="20"/>
        </w:rPr>
        <w:t>/</w:t>
      </w:r>
      <w:r w:rsidRPr="00BF236C">
        <w:rPr>
          <w:rFonts w:cs="Arial"/>
          <w:b/>
          <w:szCs w:val="20"/>
        </w:rPr>
        <w:t>COPYRIGHT</w:t>
      </w:r>
    </w:p>
    <w:p w:rsidR="0063033D" w:rsidRPr="001D5785" w:rsidRDefault="0063033D" w:rsidP="008D1891">
      <w:pPr>
        <w:keepNext/>
        <w:keepLines/>
        <w:rPr>
          <w:rFonts w:cs="Arial"/>
          <w:b/>
          <w:sz w:val="16"/>
          <w:szCs w:val="16"/>
        </w:rPr>
      </w:pPr>
    </w:p>
    <w:tbl>
      <w:tblPr>
        <w:tblW w:w="9386"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843"/>
        <w:gridCol w:w="142"/>
        <w:gridCol w:w="4394"/>
      </w:tblGrid>
      <w:tr w:rsidR="0063033D" w:rsidRPr="00D31A75" w:rsidTr="008D1891">
        <w:tc>
          <w:tcPr>
            <w:tcW w:w="9386" w:type="dxa"/>
            <w:gridSpan w:val="5"/>
            <w:tcBorders>
              <w:top w:val="single" w:sz="4" w:space="0" w:color="000000"/>
              <w:bottom w:val="single" w:sz="4" w:space="0" w:color="000000"/>
            </w:tcBorders>
            <w:shd w:val="clear" w:color="auto" w:fill="CCFFFF"/>
            <w:vAlign w:val="center"/>
          </w:tcPr>
          <w:p w:rsidR="0063033D" w:rsidRPr="003C18E2" w:rsidRDefault="0063033D" w:rsidP="008D1891">
            <w:pPr>
              <w:keepNext/>
              <w:keepLines/>
              <w:spacing w:before="120" w:after="60"/>
              <w:ind w:left="1701" w:hanging="1701"/>
              <w:rPr>
                <w:rFonts w:cs="Arial"/>
                <w:bCs/>
                <w:sz w:val="16"/>
                <w:szCs w:val="16"/>
              </w:rPr>
            </w:pPr>
            <w:r w:rsidRPr="00D31A75">
              <w:rPr>
                <w:rFonts w:cs="Arial"/>
                <w:b/>
                <w:bCs/>
                <w:color w:val="000000"/>
                <w:sz w:val="16"/>
                <w:szCs w:val="16"/>
              </w:rPr>
              <w:t>RESULT</w:t>
            </w:r>
            <w:r w:rsidRPr="00D31A75">
              <w:rPr>
                <w:rFonts w:cs="Arial"/>
                <w:b/>
                <w:bCs/>
                <w:sz w:val="16"/>
                <w:szCs w:val="16"/>
              </w:rPr>
              <w:t>:</w:t>
            </w:r>
            <w:r w:rsidRPr="00D31A75">
              <w:rPr>
                <w:rFonts w:cs="Arial"/>
                <w:b/>
                <w:bCs/>
                <w:sz w:val="16"/>
                <w:szCs w:val="16"/>
              </w:rPr>
              <w:tab/>
            </w:r>
            <w:r w:rsidRPr="008230D2">
              <w:rPr>
                <w:rFonts w:cs="Arial"/>
                <w:bCs/>
                <w:sz w:val="16"/>
                <w:szCs w:val="16"/>
              </w:rPr>
              <w:t>III.2. Enhanced human resource capacities able to deal with the broad range of requirements for the effective use of IP for development in developing countries, LDCs and countries with economies in transition</w:t>
            </w:r>
          </w:p>
        </w:tc>
      </w:tr>
      <w:tr w:rsidR="0063033D" w:rsidRPr="00D31A75" w:rsidTr="00845557">
        <w:tc>
          <w:tcPr>
            <w:tcW w:w="1873" w:type="dxa"/>
            <w:tcBorders>
              <w:top w:val="single" w:sz="4" w:space="0" w:color="000000"/>
            </w:tcBorders>
            <w:vAlign w:val="center"/>
          </w:tcPr>
          <w:p w:rsidR="0063033D" w:rsidRPr="00D31A75" w:rsidRDefault="0063033D" w:rsidP="008D1891">
            <w:pPr>
              <w:keepNext/>
              <w:keepLines/>
              <w:rPr>
                <w:rFonts w:cs="Arial"/>
                <w:b/>
                <w:bCs/>
                <w:sz w:val="16"/>
                <w:szCs w:val="16"/>
              </w:rPr>
            </w:pPr>
            <w:r w:rsidRPr="00D31A75">
              <w:rPr>
                <w:rFonts w:cs="Arial"/>
                <w:b/>
                <w:bCs/>
                <w:sz w:val="16"/>
                <w:szCs w:val="16"/>
              </w:rPr>
              <w:t>Activity</w:t>
            </w:r>
          </w:p>
        </w:tc>
        <w:tc>
          <w:tcPr>
            <w:tcW w:w="1134" w:type="dxa"/>
            <w:tcBorders>
              <w:top w:val="single" w:sz="4" w:space="0" w:color="000000"/>
            </w:tcBorders>
            <w:shd w:val="clear" w:color="auto" w:fill="auto"/>
            <w:tcMar>
              <w:top w:w="110" w:type="dxa"/>
            </w:tcMar>
            <w:vAlign w:val="center"/>
          </w:tcPr>
          <w:p w:rsidR="0063033D" w:rsidRPr="00AF0610" w:rsidRDefault="0063033D" w:rsidP="008D1891">
            <w:pPr>
              <w:keepNext/>
              <w:keepLines/>
              <w:rPr>
                <w:rFonts w:cs="Arial"/>
                <w:b/>
                <w:bCs/>
                <w:sz w:val="16"/>
                <w:szCs w:val="16"/>
              </w:rPr>
            </w:pPr>
            <w:r w:rsidRPr="00D31A75">
              <w:rPr>
                <w:rFonts w:cs="Arial"/>
                <w:b/>
                <w:bCs/>
                <w:sz w:val="16"/>
                <w:szCs w:val="16"/>
              </w:rPr>
              <w:t>Date</w:t>
            </w:r>
          </w:p>
        </w:tc>
        <w:tc>
          <w:tcPr>
            <w:tcW w:w="1985" w:type="dxa"/>
            <w:gridSpan w:val="2"/>
            <w:tcBorders>
              <w:top w:val="single" w:sz="4" w:space="0" w:color="000000"/>
            </w:tcBorders>
            <w:shd w:val="clear" w:color="auto" w:fill="auto"/>
            <w:tcMar>
              <w:top w:w="110" w:type="dxa"/>
            </w:tcMar>
            <w:vAlign w:val="center"/>
          </w:tcPr>
          <w:p w:rsidR="0063033D" w:rsidRPr="00D31A75" w:rsidRDefault="0063033D" w:rsidP="008D1891">
            <w:pPr>
              <w:keepNext/>
              <w:keepLines/>
              <w:rPr>
                <w:rFonts w:cs="Arial"/>
                <w:sz w:val="16"/>
                <w:szCs w:val="16"/>
              </w:rPr>
            </w:pPr>
            <w:r w:rsidRPr="00D31A75">
              <w:rPr>
                <w:rFonts w:cs="Arial"/>
                <w:b/>
                <w:bCs/>
                <w:sz w:val="16"/>
                <w:szCs w:val="16"/>
              </w:rPr>
              <w:t>Host Country/</w:t>
            </w:r>
            <w:r w:rsidRPr="00D31A75">
              <w:rPr>
                <w:rFonts w:cs="Arial"/>
                <w:b/>
                <w:bCs/>
                <w:sz w:val="16"/>
                <w:szCs w:val="16"/>
              </w:rPr>
              <w:br/>
              <w:t>Recipients</w:t>
            </w:r>
          </w:p>
        </w:tc>
        <w:tc>
          <w:tcPr>
            <w:tcW w:w="4394" w:type="dxa"/>
            <w:tcBorders>
              <w:top w:val="single" w:sz="4" w:space="0" w:color="000000"/>
            </w:tcBorders>
            <w:shd w:val="clear" w:color="auto" w:fill="FFFFFF"/>
            <w:tcMar>
              <w:top w:w="110" w:type="dxa"/>
            </w:tcMar>
            <w:vAlign w:val="center"/>
          </w:tcPr>
          <w:p w:rsidR="0063033D" w:rsidRPr="00D31A75" w:rsidRDefault="0063033D" w:rsidP="008D1891">
            <w:pPr>
              <w:keepNext/>
              <w:keepLines/>
              <w:rPr>
                <w:rFonts w:cs="Arial"/>
                <w:sz w:val="16"/>
                <w:szCs w:val="16"/>
              </w:rPr>
            </w:pPr>
            <w:r w:rsidRPr="00D31A75">
              <w:rPr>
                <w:rFonts w:cs="Arial"/>
                <w:b/>
                <w:bCs/>
                <w:sz w:val="16"/>
                <w:szCs w:val="16"/>
              </w:rPr>
              <w:t>Purpose(s)/Description(s)</w:t>
            </w:r>
          </w:p>
        </w:tc>
      </w:tr>
      <w:tr w:rsidR="0063033D" w:rsidRPr="00D31A75" w:rsidTr="00845557">
        <w:tc>
          <w:tcPr>
            <w:tcW w:w="1873" w:type="dxa"/>
          </w:tcPr>
          <w:p w:rsidR="0063033D" w:rsidRPr="00E442ED" w:rsidDel="009E0498" w:rsidRDefault="0063033D" w:rsidP="008D1891">
            <w:pPr>
              <w:autoSpaceDE w:val="0"/>
              <w:autoSpaceDN w:val="0"/>
              <w:adjustRightInd w:val="0"/>
              <w:spacing w:after="120"/>
              <w:rPr>
                <w:rFonts w:cs="Arial"/>
                <w:color w:val="000000"/>
                <w:sz w:val="16"/>
                <w:szCs w:val="16"/>
              </w:rPr>
            </w:pPr>
            <w:r w:rsidRPr="00E442ED">
              <w:rPr>
                <w:rFonts w:cs="Arial"/>
                <w:color w:val="000000"/>
                <w:sz w:val="16"/>
                <w:szCs w:val="16"/>
              </w:rPr>
              <w:t>National Seminar on the Role of Copyright in Promoting Creativity and Cultural Prosperity</w:t>
            </w:r>
          </w:p>
        </w:tc>
        <w:tc>
          <w:tcPr>
            <w:tcW w:w="1134" w:type="dxa"/>
            <w:shd w:val="clear" w:color="auto" w:fill="auto"/>
            <w:tcMar>
              <w:top w:w="110" w:type="dxa"/>
            </w:tcMar>
          </w:tcPr>
          <w:p w:rsidR="0063033D" w:rsidRPr="00E442ED" w:rsidRDefault="0063033D" w:rsidP="008D1891">
            <w:pPr>
              <w:autoSpaceDE w:val="0"/>
              <w:autoSpaceDN w:val="0"/>
              <w:adjustRightInd w:val="0"/>
              <w:spacing w:after="120"/>
              <w:rPr>
                <w:rFonts w:cs="Arial"/>
                <w:color w:val="000000"/>
                <w:sz w:val="16"/>
                <w:szCs w:val="16"/>
              </w:rPr>
            </w:pPr>
            <w:r w:rsidRPr="00E442ED">
              <w:rPr>
                <w:rFonts w:cs="Arial"/>
                <w:color w:val="000000"/>
                <w:sz w:val="16"/>
                <w:szCs w:val="16"/>
              </w:rPr>
              <w:t>March 5</w:t>
            </w:r>
            <w:r>
              <w:rPr>
                <w:rFonts w:cs="Arial"/>
                <w:color w:val="000000"/>
                <w:sz w:val="16"/>
                <w:szCs w:val="16"/>
              </w:rPr>
              <w:t xml:space="preserve"> to </w:t>
            </w:r>
            <w:r w:rsidRPr="00E442ED">
              <w:rPr>
                <w:rFonts w:cs="Arial"/>
                <w:color w:val="000000"/>
                <w:sz w:val="16"/>
                <w:szCs w:val="16"/>
              </w:rPr>
              <w:t>6, 2014</w:t>
            </w:r>
          </w:p>
        </w:tc>
        <w:tc>
          <w:tcPr>
            <w:tcW w:w="1985" w:type="dxa"/>
            <w:gridSpan w:val="2"/>
            <w:shd w:val="clear" w:color="auto" w:fill="auto"/>
            <w:tcMar>
              <w:top w:w="110" w:type="dxa"/>
            </w:tcMar>
          </w:tcPr>
          <w:p w:rsidR="0063033D" w:rsidRPr="00E442ED" w:rsidRDefault="0063033D" w:rsidP="008D1891">
            <w:pPr>
              <w:autoSpaceDE w:val="0"/>
              <w:autoSpaceDN w:val="0"/>
              <w:adjustRightInd w:val="0"/>
              <w:spacing w:after="120"/>
              <w:rPr>
                <w:rFonts w:cs="Arial"/>
                <w:color w:val="000000"/>
                <w:sz w:val="16"/>
                <w:szCs w:val="16"/>
              </w:rPr>
            </w:pPr>
            <w:r w:rsidRPr="00E442ED">
              <w:rPr>
                <w:rFonts w:cs="Arial"/>
                <w:color w:val="000000"/>
                <w:sz w:val="16"/>
                <w:szCs w:val="16"/>
              </w:rPr>
              <w:t>Lao P</w:t>
            </w:r>
            <w:r>
              <w:rPr>
                <w:rFonts w:cs="Arial"/>
                <w:color w:val="000000"/>
                <w:sz w:val="16"/>
                <w:szCs w:val="16"/>
              </w:rPr>
              <w:t xml:space="preserve">eople’s </w:t>
            </w:r>
            <w:r w:rsidRPr="00E442ED">
              <w:rPr>
                <w:rFonts w:cs="Arial"/>
                <w:color w:val="000000"/>
                <w:sz w:val="16"/>
                <w:szCs w:val="16"/>
              </w:rPr>
              <w:t>D</w:t>
            </w:r>
            <w:r>
              <w:rPr>
                <w:rFonts w:cs="Arial"/>
                <w:color w:val="000000"/>
                <w:sz w:val="16"/>
                <w:szCs w:val="16"/>
              </w:rPr>
              <w:t xml:space="preserve">emocratic </w:t>
            </w:r>
            <w:r w:rsidRPr="00E442ED">
              <w:rPr>
                <w:rFonts w:cs="Arial"/>
                <w:color w:val="000000"/>
                <w:sz w:val="16"/>
                <w:szCs w:val="16"/>
              </w:rPr>
              <w:t>R</w:t>
            </w:r>
            <w:r>
              <w:rPr>
                <w:rFonts w:cs="Arial"/>
                <w:color w:val="000000"/>
                <w:sz w:val="16"/>
                <w:szCs w:val="16"/>
              </w:rPr>
              <w:t>epublic</w:t>
            </w:r>
            <w:r w:rsidRPr="00E442ED">
              <w:rPr>
                <w:rFonts w:cs="Arial"/>
                <w:color w:val="000000"/>
                <w:sz w:val="16"/>
                <w:szCs w:val="16"/>
              </w:rPr>
              <w:t>/</w:t>
            </w:r>
            <w:r>
              <w:rPr>
                <w:rFonts w:cs="Arial"/>
                <w:color w:val="000000"/>
                <w:sz w:val="16"/>
                <w:szCs w:val="16"/>
              </w:rPr>
              <w:t xml:space="preserve"> </w:t>
            </w:r>
            <w:r w:rsidRPr="00E442ED">
              <w:rPr>
                <w:rFonts w:cs="Arial"/>
                <w:color w:val="000000"/>
                <w:sz w:val="16"/>
                <w:szCs w:val="16"/>
              </w:rPr>
              <w:t>80 local participants</w:t>
            </w:r>
          </w:p>
        </w:tc>
        <w:tc>
          <w:tcPr>
            <w:tcW w:w="4394" w:type="dxa"/>
            <w:shd w:val="clear" w:color="auto" w:fill="FFFFFF"/>
            <w:tcMar>
              <w:top w:w="110" w:type="dxa"/>
            </w:tcMar>
          </w:tcPr>
          <w:p w:rsidR="0063033D" w:rsidRPr="00E442ED" w:rsidDel="00152E3E" w:rsidRDefault="0063033D" w:rsidP="008D1891">
            <w:pPr>
              <w:autoSpaceDE w:val="0"/>
              <w:autoSpaceDN w:val="0"/>
              <w:adjustRightInd w:val="0"/>
              <w:spacing w:after="120"/>
              <w:rPr>
                <w:rFonts w:cs="Arial"/>
                <w:color w:val="000000"/>
                <w:sz w:val="16"/>
                <w:szCs w:val="16"/>
              </w:rPr>
            </w:pPr>
            <w:r w:rsidRPr="00E442ED">
              <w:rPr>
                <w:rFonts w:cs="Arial"/>
                <w:color w:val="000000"/>
                <w:sz w:val="16"/>
                <w:szCs w:val="16"/>
              </w:rPr>
              <w:t>To</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w:t>
            </w:r>
            <w:r w:rsidRPr="00E442ED">
              <w:rPr>
                <w:rFonts w:cs="Arial"/>
                <w:color w:val="000000"/>
                <w:sz w:val="16"/>
                <w:szCs w:val="16"/>
              </w:rPr>
              <w:t xml:space="preserve"> raise awareness among policy makers and key stakeholders in the field of copyright and related rights on the </w:t>
            </w:r>
            <w:r>
              <w:rPr>
                <w:rFonts w:cs="Arial"/>
                <w:color w:val="000000"/>
                <w:sz w:val="16"/>
                <w:szCs w:val="16"/>
              </w:rPr>
              <w:t xml:space="preserve">relevance and </w:t>
            </w:r>
            <w:r w:rsidRPr="00E442ED">
              <w:rPr>
                <w:rFonts w:cs="Arial"/>
                <w:color w:val="000000"/>
                <w:sz w:val="16"/>
                <w:szCs w:val="16"/>
              </w:rPr>
              <w:t>importance of copyright</w:t>
            </w:r>
            <w:r>
              <w:rPr>
                <w:rFonts w:cs="Arial"/>
                <w:color w:val="000000"/>
                <w:sz w:val="16"/>
                <w:szCs w:val="16"/>
              </w:rPr>
              <w:t xml:space="preserve">; </w:t>
            </w:r>
            <w:r w:rsidRPr="00E442ED">
              <w:rPr>
                <w:rFonts w:cs="Arial"/>
                <w:color w:val="000000"/>
                <w:sz w:val="16"/>
                <w:szCs w:val="16"/>
              </w:rPr>
              <w:t xml:space="preserve">and </w:t>
            </w:r>
            <w:r>
              <w:rPr>
                <w:rFonts w:cs="Arial"/>
                <w:color w:val="000000"/>
                <w:sz w:val="16"/>
                <w:szCs w:val="16"/>
              </w:rPr>
              <w:t>(ii)</w:t>
            </w:r>
            <w:r w:rsidRPr="00E442ED">
              <w:rPr>
                <w:rFonts w:cs="Arial"/>
                <w:color w:val="000000"/>
                <w:sz w:val="16"/>
                <w:szCs w:val="16"/>
              </w:rPr>
              <w:t xml:space="preserve"> provide </w:t>
            </w:r>
            <w:r>
              <w:rPr>
                <w:rFonts w:cs="Arial"/>
                <w:color w:val="000000"/>
                <w:sz w:val="16"/>
                <w:szCs w:val="16"/>
              </w:rPr>
              <w:t xml:space="preserve">them </w:t>
            </w:r>
            <w:r w:rsidRPr="00E442ED">
              <w:rPr>
                <w:rFonts w:cs="Arial"/>
                <w:color w:val="000000"/>
                <w:sz w:val="16"/>
                <w:szCs w:val="16"/>
              </w:rPr>
              <w:t xml:space="preserve">with practical knowledge </w:t>
            </w:r>
            <w:r>
              <w:rPr>
                <w:rFonts w:cs="Arial"/>
                <w:color w:val="000000"/>
                <w:sz w:val="16"/>
                <w:szCs w:val="16"/>
              </w:rPr>
              <w:t>for</w:t>
            </w:r>
            <w:r w:rsidRPr="00E442ED">
              <w:rPr>
                <w:rFonts w:cs="Arial"/>
                <w:color w:val="000000"/>
                <w:sz w:val="16"/>
                <w:szCs w:val="16"/>
              </w:rPr>
              <w:t xml:space="preserve"> develop</w:t>
            </w:r>
            <w:r>
              <w:rPr>
                <w:rFonts w:cs="Arial"/>
                <w:color w:val="000000"/>
                <w:sz w:val="16"/>
                <w:szCs w:val="16"/>
              </w:rPr>
              <w:t xml:space="preserve">ing appropriate </w:t>
            </w:r>
            <w:r w:rsidRPr="00E442ED">
              <w:rPr>
                <w:rFonts w:cs="Arial"/>
                <w:color w:val="000000"/>
                <w:sz w:val="16"/>
                <w:szCs w:val="16"/>
              </w:rPr>
              <w:t>copyright policies and strategies.</w:t>
            </w:r>
          </w:p>
        </w:tc>
      </w:tr>
      <w:tr w:rsidR="0063033D" w:rsidRPr="00D31A75" w:rsidTr="00845557">
        <w:tc>
          <w:tcPr>
            <w:tcW w:w="1873" w:type="dxa"/>
            <w:vAlign w:val="center"/>
          </w:tcPr>
          <w:p w:rsidR="0063033D" w:rsidRPr="002B7DE5" w:rsidRDefault="0063033D" w:rsidP="008D1891">
            <w:pPr>
              <w:keepNext/>
              <w:keepLines/>
              <w:spacing w:before="120"/>
              <w:rPr>
                <w:rFonts w:cs="Arial"/>
                <w:b/>
                <w:bCs/>
                <w:sz w:val="16"/>
                <w:szCs w:val="16"/>
              </w:rPr>
            </w:pPr>
            <w:r w:rsidRPr="002B7DE5">
              <w:rPr>
                <w:rFonts w:cs="Arial"/>
                <w:b/>
                <w:bCs/>
                <w:sz w:val="16"/>
                <w:szCs w:val="16"/>
              </w:rPr>
              <w:t>Activity</w:t>
            </w:r>
          </w:p>
        </w:tc>
        <w:tc>
          <w:tcPr>
            <w:tcW w:w="1134" w:type="dxa"/>
            <w:shd w:val="clear" w:color="auto" w:fill="auto"/>
            <w:tcMar>
              <w:top w:w="110" w:type="dxa"/>
            </w:tcMar>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Date</w:t>
            </w:r>
          </w:p>
        </w:tc>
        <w:tc>
          <w:tcPr>
            <w:tcW w:w="1985" w:type="dxa"/>
            <w:gridSpan w:val="2"/>
            <w:shd w:val="clear" w:color="auto" w:fill="auto"/>
            <w:tcMar>
              <w:top w:w="110" w:type="dxa"/>
            </w:tcMar>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394" w:type="dxa"/>
            <w:shd w:val="clear" w:color="auto" w:fill="FFFFFF"/>
            <w:tcMar>
              <w:top w:w="110" w:type="dxa"/>
            </w:tcMar>
            <w:vAlign w:val="center"/>
          </w:tcPr>
          <w:p w:rsidR="0063033D" w:rsidRPr="002B7DE5" w:rsidRDefault="0063033D" w:rsidP="008D1891">
            <w:pPr>
              <w:keepNext/>
              <w:keepLines/>
              <w:spacing w:before="120"/>
              <w:rPr>
                <w:rFonts w:cs="Arial"/>
                <w:sz w:val="16"/>
                <w:szCs w:val="16"/>
              </w:rPr>
            </w:pPr>
            <w:r w:rsidRPr="002B7DE5">
              <w:rPr>
                <w:rFonts w:cs="Arial"/>
                <w:b/>
                <w:bCs/>
                <w:sz w:val="16"/>
                <w:szCs w:val="16"/>
              </w:rPr>
              <w:t>Purpose(s)/Description(s)</w:t>
            </w:r>
          </w:p>
        </w:tc>
      </w:tr>
      <w:tr w:rsidR="0063033D" w:rsidRPr="00D31A75" w:rsidTr="00845557">
        <w:tc>
          <w:tcPr>
            <w:tcW w:w="1873" w:type="dxa"/>
          </w:tcPr>
          <w:p w:rsidR="0063033D" w:rsidRPr="00E442ED" w:rsidRDefault="0063033D" w:rsidP="008D1891">
            <w:pPr>
              <w:autoSpaceDE w:val="0"/>
              <w:autoSpaceDN w:val="0"/>
              <w:adjustRightInd w:val="0"/>
              <w:spacing w:after="120"/>
              <w:rPr>
                <w:rFonts w:cs="Arial"/>
                <w:color w:val="000000"/>
                <w:sz w:val="16"/>
                <w:szCs w:val="16"/>
              </w:rPr>
            </w:pPr>
            <w:r w:rsidRPr="00E442ED">
              <w:rPr>
                <w:rFonts w:cs="Arial"/>
                <w:color w:val="000000"/>
                <w:sz w:val="16"/>
                <w:szCs w:val="16"/>
              </w:rPr>
              <w:t>Inter-Regional Workshop for Local Experts on Capacity Building in Copyright</w:t>
            </w:r>
          </w:p>
        </w:tc>
        <w:tc>
          <w:tcPr>
            <w:tcW w:w="1134" w:type="dxa"/>
            <w:shd w:val="clear" w:color="auto" w:fill="auto"/>
            <w:tcMar>
              <w:top w:w="110" w:type="dxa"/>
            </w:tcMar>
          </w:tcPr>
          <w:p w:rsidR="0063033D" w:rsidRPr="00E442ED" w:rsidRDefault="0063033D" w:rsidP="008D1891">
            <w:pPr>
              <w:autoSpaceDE w:val="0"/>
              <w:autoSpaceDN w:val="0"/>
              <w:adjustRightInd w:val="0"/>
              <w:spacing w:after="120"/>
              <w:rPr>
                <w:rFonts w:cs="Arial"/>
                <w:color w:val="000000"/>
                <w:sz w:val="16"/>
                <w:szCs w:val="16"/>
              </w:rPr>
            </w:pPr>
            <w:r w:rsidRPr="00E442ED">
              <w:rPr>
                <w:rFonts w:cs="Arial"/>
                <w:color w:val="000000"/>
                <w:sz w:val="16"/>
                <w:szCs w:val="16"/>
              </w:rPr>
              <w:t>April 9</w:t>
            </w:r>
            <w:r>
              <w:rPr>
                <w:rFonts w:cs="Arial"/>
                <w:color w:val="000000"/>
                <w:sz w:val="16"/>
                <w:szCs w:val="16"/>
              </w:rPr>
              <w:t xml:space="preserve"> to</w:t>
            </w:r>
            <w:r w:rsidRPr="00E442ED">
              <w:rPr>
                <w:rFonts w:cs="Arial"/>
                <w:color w:val="000000"/>
                <w:sz w:val="16"/>
                <w:szCs w:val="16"/>
              </w:rPr>
              <w:t>11, 2014</w:t>
            </w:r>
          </w:p>
        </w:tc>
        <w:tc>
          <w:tcPr>
            <w:tcW w:w="1985" w:type="dxa"/>
            <w:gridSpan w:val="2"/>
            <w:shd w:val="clear" w:color="auto" w:fill="auto"/>
            <w:tcMar>
              <w:top w:w="110" w:type="dxa"/>
            </w:tcMar>
          </w:tcPr>
          <w:p w:rsidR="0063033D" w:rsidRPr="00E442ED" w:rsidRDefault="0063033D" w:rsidP="008D1891">
            <w:pPr>
              <w:autoSpaceDE w:val="0"/>
              <w:autoSpaceDN w:val="0"/>
              <w:adjustRightInd w:val="0"/>
              <w:spacing w:after="120"/>
              <w:rPr>
                <w:rFonts w:cs="Arial"/>
                <w:color w:val="000000"/>
                <w:sz w:val="16"/>
                <w:szCs w:val="16"/>
              </w:rPr>
            </w:pPr>
            <w:r w:rsidRPr="00E442ED">
              <w:rPr>
                <w:rFonts w:cs="Arial"/>
                <w:color w:val="000000"/>
                <w:sz w:val="16"/>
                <w:szCs w:val="16"/>
              </w:rPr>
              <w:t>Republic of Korea/</w:t>
            </w:r>
            <w:r>
              <w:rPr>
                <w:rFonts w:cs="Arial"/>
                <w:color w:val="000000"/>
                <w:sz w:val="16"/>
                <w:szCs w:val="16"/>
              </w:rPr>
              <w:t xml:space="preserve"> </w:t>
            </w:r>
            <w:r w:rsidRPr="00E442ED">
              <w:rPr>
                <w:rFonts w:cs="Arial"/>
                <w:color w:val="000000"/>
                <w:sz w:val="16"/>
                <w:szCs w:val="16"/>
              </w:rPr>
              <w:t xml:space="preserve">19 foreign participants </w:t>
            </w:r>
            <w:r>
              <w:rPr>
                <w:rFonts w:cs="Arial"/>
                <w:color w:val="000000"/>
                <w:sz w:val="16"/>
                <w:szCs w:val="16"/>
              </w:rPr>
              <w:t>from</w:t>
            </w:r>
            <w:r w:rsidRPr="00E442ED">
              <w:rPr>
                <w:rFonts w:cs="Arial"/>
                <w:color w:val="000000"/>
                <w:sz w:val="16"/>
                <w:szCs w:val="16"/>
              </w:rPr>
              <w:t xml:space="preserve"> 12 countries (Algeria, China, Jordan, Malawi, Mexico, Mongolia, Namibia, Paraguay, Peru, Philippines, Russian Federation, Thailand)</w:t>
            </w:r>
            <w:r>
              <w:rPr>
                <w:rFonts w:cs="Arial"/>
                <w:color w:val="000000"/>
                <w:sz w:val="16"/>
                <w:szCs w:val="16"/>
              </w:rPr>
              <w:t>,</w:t>
            </w:r>
            <w:r w:rsidRPr="00E442ED">
              <w:rPr>
                <w:rFonts w:cs="Arial"/>
                <w:color w:val="000000"/>
                <w:sz w:val="16"/>
                <w:szCs w:val="16"/>
              </w:rPr>
              <w:t xml:space="preserve"> ARIPO</w:t>
            </w:r>
            <w:r>
              <w:rPr>
                <w:rFonts w:cs="Arial"/>
                <w:color w:val="000000"/>
                <w:sz w:val="16"/>
                <w:szCs w:val="16"/>
              </w:rPr>
              <w:t xml:space="preserve"> and some local participants</w:t>
            </w:r>
          </w:p>
        </w:tc>
        <w:tc>
          <w:tcPr>
            <w:tcW w:w="4394" w:type="dxa"/>
            <w:shd w:val="clear" w:color="auto" w:fill="FFFFFF"/>
            <w:tcMar>
              <w:top w:w="110" w:type="dxa"/>
            </w:tcMar>
          </w:tcPr>
          <w:p w:rsidR="0063033D" w:rsidRPr="00E442ED" w:rsidRDefault="0063033D" w:rsidP="008D1891">
            <w:pPr>
              <w:autoSpaceDE w:val="0"/>
              <w:autoSpaceDN w:val="0"/>
              <w:adjustRightInd w:val="0"/>
              <w:spacing w:after="120"/>
              <w:rPr>
                <w:rFonts w:cs="Arial"/>
                <w:color w:val="000000"/>
                <w:sz w:val="16"/>
                <w:szCs w:val="16"/>
              </w:rPr>
            </w:pPr>
            <w:r>
              <w:rPr>
                <w:rFonts w:cs="Arial"/>
                <w:color w:val="000000"/>
                <w:sz w:val="16"/>
                <w:szCs w:val="16"/>
              </w:rPr>
              <w:t>To: (</w:t>
            </w:r>
            <w:proofErr w:type="spellStart"/>
            <w:r>
              <w:rPr>
                <w:rFonts w:cs="Arial"/>
                <w:color w:val="000000"/>
                <w:sz w:val="16"/>
                <w:szCs w:val="16"/>
              </w:rPr>
              <w:t>i</w:t>
            </w:r>
            <w:proofErr w:type="spellEnd"/>
            <w:r>
              <w:rPr>
                <w:rFonts w:cs="Arial"/>
                <w:color w:val="000000"/>
                <w:sz w:val="16"/>
                <w:szCs w:val="16"/>
              </w:rPr>
              <w:t xml:space="preserve">) provide local/national </w:t>
            </w:r>
            <w:r w:rsidRPr="00E442ED">
              <w:rPr>
                <w:rFonts w:cs="Arial"/>
                <w:color w:val="000000"/>
                <w:sz w:val="16"/>
                <w:szCs w:val="16"/>
              </w:rPr>
              <w:t xml:space="preserve">experts </w:t>
            </w:r>
            <w:r>
              <w:rPr>
                <w:rFonts w:cs="Arial"/>
                <w:color w:val="000000"/>
                <w:sz w:val="16"/>
                <w:szCs w:val="16"/>
              </w:rPr>
              <w:t>with</w:t>
            </w:r>
            <w:r w:rsidRPr="00E442ED">
              <w:rPr>
                <w:rFonts w:cs="Arial"/>
                <w:color w:val="000000"/>
                <w:sz w:val="16"/>
                <w:szCs w:val="16"/>
              </w:rPr>
              <w:t xml:space="preserve"> update</w:t>
            </w:r>
            <w:r>
              <w:rPr>
                <w:rFonts w:cs="Arial"/>
                <w:color w:val="000000"/>
                <w:sz w:val="16"/>
                <w:szCs w:val="16"/>
              </w:rPr>
              <w:t>d information and</w:t>
            </w:r>
            <w:r w:rsidRPr="00E442ED">
              <w:rPr>
                <w:rFonts w:cs="Arial"/>
                <w:color w:val="000000"/>
                <w:sz w:val="16"/>
                <w:szCs w:val="16"/>
              </w:rPr>
              <w:t xml:space="preserve"> knowledge</w:t>
            </w:r>
            <w:r>
              <w:rPr>
                <w:rFonts w:cs="Arial"/>
                <w:color w:val="000000"/>
                <w:sz w:val="16"/>
                <w:szCs w:val="16"/>
              </w:rPr>
              <w:t xml:space="preserve"> on copyright; (ii)</w:t>
            </w:r>
            <w:r w:rsidRPr="00E442ED">
              <w:rPr>
                <w:rFonts w:cs="Arial"/>
                <w:color w:val="000000"/>
                <w:sz w:val="16"/>
                <w:szCs w:val="16"/>
              </w:rPr>
              <w:t xml:space="preserve"> share </w:t>
            </w:r>
            <w:r>
              <w:rPr>
                <w:rFonts w:cs="Arial"/>
                <w:color w:val="000000"/>
                <w:sz w:val="16"/>
                <w:szCs w:val="16"/>
              </w:rPr>
              <w:t xml:space="preserve">experience in </w:t>
            </w:r>
            <w:r w:rsidRPr="00E442ED">
              <w:rPr>
                <w:rFonts w:cs="Arial"/>
                <w:color w:val="000000"/>
                <w:sz w:val="16"/>
                <w:szCs w:val="16"/>
              </w:rPr>
              <w:t>capacity building</w:t>
            </w:r>
            <w:r>
              <w:rPr>
                <w:rFonts w:cs="Arial"/>
                <w:color w:val="000000"/>
                <w:sz w:val="16"/>
                <w:szCs w:val="16"/>
              </w:rPr>
              <w:t>; (iii)</w:t>
            </w:r>
            <w:r w:rsidRPr="00E442ED">
              <w:rPr>
                <w:rFonts w:cs="Arial"/>
                <w:color w:val="000000"/>
                <w:sz w:val="16"/>
                <w:szCs w:val="16"/>
              </w:rPr>
              <w:t xml:space="preserve"> exchange views on</w:t>
            </w:r>
            <w:r>
              <w:rPr>
                <w:rFonts w:cs="Arial"/>
                <w:color w:val="000000"/>
                <w:sz w:val="16"/>
                <w:szCs w:val="16"/>
              </w:rPr>
              <w:t>,</w:t>
            </w:r>
            <w:r w:rsidRPr="00E442ED">
              <w:rPr>
                <w:rFonts w:cs="Arial"/>
                <w:color w:val="000000"/>
                <w:sz w:val="16"/>
                <w:szCs w:val="16"/>
              </w:rPr>
              <w:t xml:space="preserve"> and methodologies of effective capacity building programs</w:t>
            </w:r>
            <w:r>
              <w:rPr>
                <w:rFonts w:cs="Arial"/>
                <w:color w:val="000000"/>
                <w:sz w:val="16"/>
                <w:szCs w:val="16"/>
              </w:rPr>
              <w:t xml:space="preserve">: </w:t>
            </w:r>
            <w:r w:rsidRPr="00E442ED">
              <w:rPr>
                <w:rFonts w:cs="Arial"/>
                <w:color w:val="000000"/>
                <w:sz w:val="16"/>
                <w:szCs w:val="16"/>
              </w:rPr>
              <w:t xml:space="preserve">and </w:t>
            </w:r>
            <w:r>
              <w:rPr>
                <w:rFonts w:cs="Arial"/>
                <w:color w:val="000000"/>
                <w:sz w:val="16"/>
                <w:szCs w:val="16"/>
              </w:rPr>
              <w:t xml:space="preserve">(iv) </w:t>
            </w:r>
            <w:r w:rsidRPr="00E442ED">
              <w:rPr>
                <w:rFonts w:cs="Arial"/>
                <w:color w:val="000000"/>
                <w:sz w:val="16"/>
                <w:szCs w:val="16"/>
              </w:rPr>
              <w:t xml:space="preserve">discuss how to enhance capacity building programs at national, regional and international level.   </w:t>
            </w:r>
          </w:p>
        </w:tc>
      </w:tr>
      <w:tr w:rsidR="0063033D" w:rsidRPr="00D31A75" w:rsidTr="00845557">
        <w:tc>
          <w:tcPr>
            <w:tcW w:w="1873" w:type="dxa"/>
          </w:tcPr>
          <w:p w:rsidR="0063033D" w:rsidRPr="00E442ED" w:rsidRDefault="0063033D" w:rsidP="008D1891">
            <w:pPr>
              <w:autoSpaceDE w:val="0"/>
              <w:autoSpaceDN w:val="0"/>
              <w:adjustRightInd w:val="0"/>
              <w:spacing w:after="120"/>
              <w:rPr>
                <w:rFonts w:cs="Arial"/>
                <w:color w:val="000000"/>
                <w:sz w:val="16"/>
                <w:szCs w:val="16"/>
              </w:rPr>
            </w:pPr>
            <w:r>
              <w:rPr>
                <w:rFonts w:cs="Arial"/>
                <w:color w:val="000000"/>
                <w:sz w:val="16"/>
                <w:szCs w:val="16"/>
              </w:rPr>
              <w:t>Sub-Regional Workshop on Cooperation in Copyright and Related Rights</w:t>
            </w:r>
          </w:p>
        </w:tc>
        <w:tc>
          <w:tcPr>
            <w:tcW w:w="1134" w:type="dxa"/>
            <w:shd w:val="clear" w:color="auto" w:fill="auto"/>
            <w:tcMar>
              <w:top w:w="110" w:type="dxa"/>
            </w:tcMar>
          </w:tcPr>
          <w:p w:rsidR="0063033D" w:rsidRPr="00E442ED" w:rsidRDefault="0063033D" w:rsidP="008D1891">
            <w:pPr>
              <w:autoSpaceDE w:val="0"/>
              <w:autoSpaceDN w:val="0"/>
              <w:adjustRightInd w:val="0"/>
              <w:spacing w:after="120"/>
              <w:rPr>
                <w:rFonts w:cs="Arial"/>
                <w:color w:val="000000"/>
                <w:sz w:val="16"/>
                <w:szCs w:val="16"/>
              </w:rPr>
            </w:pPr>
            <w:r>
              <w:rPr>
                <w:rFonts w:cs="Arial"/>
                <w:color w:val="000000"/>
                <w:sz w:val="16"/>
                <w:szCs w:val="16"/>
              </w:rPr>
              <w:t>April 14 and 15, 2014</w:t>
            </w:r>
          </w:p>
        </w:tc>
        <w:tc>
          <w:tcPr>
            <w:tcW w:w="1985" w:type="dxa"/>
            <w:gridSpan w:val="2"/>
            <w:shd w:val="clear" w:color="auto" w:fill="auto"/>
            <w:tcMar>
              <w:top w:w="110" w:type="dxa"/>
            </w:tcMar>
          </w:tcPr>
          <w:p w:rsidR="0063033D" w:rsidRPr="00E442ED" w:rsidRDefault="0063033D" w:rsidP="008D1891">
            <w:pPr>
              <w:autoSpaceDE w:val="0"/>
              <w:autoSpaceDN w:val="0"/>
              <w:adjustRightInd w:val="0"/>
              <w:spacing w:after="120"/>
              <w:rPr>
                <w:rFonts w:cs="Arial"/>
                <w:color w:val="000000"/>
                <w:sz w:val="16"/>
                <w:szCs w:val="16"/>
              </w:rPr>
            </w:pPr>
            <w:r>
              <w:rPr>
                <w:rFonts w:cs="Arial"/>
                <w:color w:val="000000"/>
                <w:sz w:val="16"/>
                <w:szCs w:val="16"/>
              </w:rPr>
              <w:t xml:space="preserve">Seoul, Republic of Korea/ 16 foreign participants from 4 countries(China, Mongolia, Republic of Korea and Russia Federation), observers from </w:t>
            </w:r>
            <w:r w:rsidRPr="005C026E">
              <w:rPr>
                <w:rFonts w:cs="Arial"/>
                <w:color w:val="000000"/>
                <w:sz w:val="16"/>
                <w:szCs w:val="16"/>
              </w:rPr>
              <w:t>Korea Communications Commission</w:t>
            </w:r>
            <w:r>
              <w:rPr>
                <w:rFonts w:cs="Arial"/>
                <w:color w:val="000000"/>
                <w:sz w:val="16"/>
                <w:szCs w:val="16"/>
              </w:rPr>
              <w:t xml:space="preserve"> (KCC)</w:t>
            </w:r>
          </w:p>
        </w:tc>
        <w:tc>
          <w:tcPr>
            <w:tcW w:w="4394" w:type="dxa"/>
            <w:shd w:val="clear" w:color="auto" w:fill="FFFFFF"/>
            <w:tcMar>
              <w:top w:w="110" w:type="dxa"/>
            </w:tcMar>
          </w:tcPr>
          <w:p w:rsidR="0063033D" w:rsidRPr="00E442ED" w:rsidRDefault="0063033D" w:rsidP="008D1891">
            <w:pPr>
              <w:rPr>
                <w:rFonts w:cs="Arial"/>
                <w:color w:val="000000"/>
                <w:sz w:val="16"/>
                <w:szCs w:val="16"/>
              </w:rPr>
            </w:pPr>
            <w:r>
              <w:rPr>
                <w:rFonts w:cs="Arial"/>
                <w:color w:val="000000"/>
                <w:sz w:val="16"/>
                <w:szCs w:val="16"/>
              </w:rPr>
              <w:t>To:  (</w:t>
            </w:r>
            <w:proofErr w:type="spellStart"/>
            <w:r>
              <w:rPr>
                <w:rFonts w:cs="Arial"/>
                <w:color w:val="000000"/>
                <w:sz w:val="16"/>
                <w:szCs w:val="16"/>
              </w:rPr>
              <w:t>i</w:t>
            </w:r>
            <w:proofErr w:type="spellEnd"/>
            <w:r>
              <w:rPr>
                <w:rFonts w:cs="Arial"/>
                <w:color w:val="000000"/>
                <w:sz w:val="16"/>
                <w:szCs w:val="16"/>
              </w:rPr>
              <w:t>) share information and experience among neighboring countries regarding the development of copyright systems (ii) seek possibilities for enhanced cooperation among the countries to further raise public awareness of copyright and related rights.</w:t>
            </w:r>
          </w:p>
        </w:tc>
      </w:tr>
      <w:tr w:rsidR="0063033D" w:rsidRPr="00D31A75" w:rsidTr="00845557">
        <w:tc>
          <w:tcPr>
            <w:tcW w:w="1873" w:type="dxa"/>
          </w:tcPr>
          <w:p w:rsidR="0063033D" w:rsidRPr="00E442ED" w:rsidDel="009E0498" w:rsidRDefault="0063033D" w:rsidP="008D1891">
            <w:pPr>
              <w:autoSpaceDE w:val="0"/>
              <w:autoSpaceDN w:val="0"/>
              <w:adjustRightInd w:val="0"/>
              <w:spacing w:after="120"/>
              <w:rPr>
                <w:rFonts w:cs="Arial"/>
                <w:color w:val="000000"/>
                <w:sz w:val="16"/>
                <w:szCs w:val="16"/>
              </w:rPr>
            </w:pPr>
            <w:r w:rsidRPr="00E442ED">
              <w:rPr>
                <w:rFonts w:cs="Arial"/>
                <w:color w:val="000000"/>
                <w:sz w:val="16"/>
                <w:szCs w:val="16"/>
              </w:rPr>
              <w:t xml:space="preserve">National Seminar on Financing Culture Through Copyright in the 21st Century  </w:t>
            </w:r>
          </w:p>
        </w:tc>
        <w:tc>
          <w:tcPr>
            <w:tcW w:w="1134" w:type="dxa"/>
            <w:shd w:val="clear" w:color="auto" w:fill="auto"/>
            <w:tcMar>
              <w:top w:w="110" w:type="dxa"/>
            </w:tcMar>
          </w:tcPr>
          <w:p w:rsidR="0063033D" w:rsidRPr="00E442ED" w:rsidRDefault="0063033D" w:rsidP="008D1891">
            <w:pPr>
              <w:autoSpaceDE w:val="0"/>
              <w:autoSpaceDN w:val="0"/>
              <w:adjustRightInd w:val="0"/>
              <w:spacing w:after="120"/>
              <w:rPr>
                <w:rFonts w:cs="Arial"/>
                <w:color w:val="000000"/>
                <w:sz w:val="16"/>
                <w:szCs w:val="16"/>
              </w:rPr>
            </w:pPr>
            <w:r w:rsidRPr="00E442ED">
              <w:rPr>
                <w:rFonts w:cs="Arial"/>
                <w:color w:val="000000"/>
                <w:sz w:val="16"/>
                <w:szCs w:val="16"/>
              </w:rPr>
              <w:t>September 18, 2014</w:t>
            </w:r>
          </w:p>
        </w:tc>
        <w:tc>
          <w:tcPr>
            <w:tcW w:w="1985" w:type="dxa"/>
            <w:gridSpan w:val="2"/>
            <w:shd w:val="clear" w:color="auto" w:fill="auto"/>
            <w:tcMar>
              <w:top w:w="110" w:type="dxa"/>
            </w:tcMar>
          </w:tcPr>
          <w:p w:rsidR="0063033D" w:rsidRPr="00E442ED" w:rsidRDefault="0063033D" w:rsidP="008D1891">
            <w:pPr>
              <w:autoSpaceDE w:val="0"/>
              <w:autoSpaceDN w:val="0"/>
              <w:adjustRightInd w:val="0"/>
              <w:spacing w:after="120"/>
              <w:rPr>
                <w:rFonts w:cs="Arial"/>
                <w:color w:val="000000"/>
                <w:sz w:val="16"/>
                <w:szCs w:val="16"/>
              </w:rPr>
            </w:pPr>
            <w:r w:rsidRPr="00E442ED">
              <w:rPr>
                <w:rFonts w:cs="Arial"/>
                <w:color w:val="000000"/>
                <w:sz w:val="16"/>
                <w:szCs w:val="16"/>
              </w:rPr>
              <w:t>China/</w:t>
            </w:r>
            <w:r>
              <w:rPr>
                <w:rFonts w:cs="Arial"/>
                <w:color w:val="000000"/>
                <w:sz w:val="16"/>
                <w:szCs w:val="16"/>
              </w:rPr>
              <w:t xml:space="preserve">organizer and </w:t>
            </w:r>
            <w:r w:rsidRPr="00E442ED">
              <w:rPr>
                <w:rFonts w:cs="Arial"/>
                <w:color w:val="000000"/>
                <w:sz w:val="16"/>
                <w:szCs w:val="16"/>
              </w:rPr>
              <w:t>participants of the 5th International Copyright Expo</w:t>
            </w:r>
          </w:p>
        </w:tc>
        <w:tc>
          <w:tcPr>
            <w:tcW w:w="4394" w:type="dxa"/>
            <w:shd w:val="clear" w:color="auto" w:fill="FFFFFF"/>
            <w:tcMar>
              <w:top w:w="110" w:type="dxa"/>
            </w:tcMar>
          </w:tcPr>
          <w:p w:rsidR="0063033D" w:rsidRPr="00E442ED" w:rsidDel="00152E3E" w:rsidRDefault="0063033D" w:rsidP="008D1891">
            <w:pPr>
              <w:rPr>
                <w:rFonts w:cs="Arial"/>
                <w:color w:val="000000"/>
                <w:sz w:val="16"/>
                <w:szCs w:val="16"/>
              </w:rPr>
            </w:pPr>
            <w:r w:rsidRPr="00E442ED">
              <w:rPr>
                <w:rFonts w:cs="Arial"/>
                <w:color w:val="000000"/>
                <w:sz w:val="16"/>
                <w:szCs w:val="16"/>
              </w:rPr>
              <w:t>To share information and experience among speakers and participants on the role of copyright in promoting creativity and cultural prosperity for developing countries, in particular</w:t>
            </w:r>
            <w:r>
              <w:rPr>
                <w:rFonts w:cs="Arial"/>
                <w:color w:val="000000"/>
                <w:sz w:val="16"/>
                <w:szCs w:val="16"/>
              </w:rPr>
              <w:t xml:space="preserve"> support and finance cultural creativity</w:t>
            </w:r>
            <w:r w:rsidRPr="00E442ED">
              <w:rPr>
                <w:rFonts w:cs="Arial"/>
                <w:color w:val="000000"/>
                <w:sz w:val="16"/>
                <w:szCs w:val="16"/>
              </w:rPr>
              <w:t xml:space="preserve"> in the changed environment in the 21st century. </w:t>
            </w:r>
          </w:p>
        </w:tc>
      </w:tr>
      <w:tr w:rsidR="0063033D" w:rsidRPr="00D31A75" w:rsidTr="008D1891">
        <w:tc>
          <w:tcPr>
            <w:tcW w:w="9386" w:type="dxa"/>
            <w:gridSpan w:val="5"/>
            <w:tcBorders>
              <w:top w:val="single" w:sz="4" w:space="0" w:color="000000"/>
              <w:bottom w:val="single" w:sz="4" w:space="0" w:color="000000"/>
            </w:tcBorders>
            <w:shd w:val="clear" w:color="auto" w:fill="CCFFFF"/>
            <w:vAlign w:val="center"/>
          </w:tcPr>
          <w:p w:rsidR="0063033D" w:rsidRPr="008230D2" w:rsidRDefault="0063033D" w:rsidP="008D1891">
            <w:pPr>
              <w:keepNext/>
              <w:keepLines/>
              <w:tabs>
                <w:tab w:val="left" w:pos="1740"/>
              </w:tabs>
              <w:spacing w:before="120" w:after="120"/>
              <w:ind w:left="1701" w:hanging="1701"/>
              <w:rPr>
                <w:rFonts w:cs="Arial"/>
                <w:bCs/>
                <w:color w:val="000000"/>
                <w:sz w:val="16"/>
                <w:szCs w:val="16"/>
              </w:rPr>
            </w:pPr>
            <w:r w:rsidRPr="00D31A75">
              <w:rPr>
                <w:rFonts w:cs="Arial"/>
                <w:b/>
                <w:bCs/>
                <w:color w:val="000000"/>
                <w:sz w:val="16"/>
                <w:szCs w:val="16"/>
              </w:rPr>
              <w:t>RESULT</w:t>
            </w:r>
            <w:r w:rsidRPr="00D31A75">
              <w:rPr>
                <w:rFonts w:cs="Arial"/>
                <w:b/>
                <w:bCs/>
                <w:sz w:val="16"/>
                <w:szCs w:val="16"/>
              </w:rPr>
              <w:t>:</w:t>
            </w:r>
            <w:r w:rsidRPr="00D31A75">
              <w:rPr>
                <w:rFonts w:cs="Arial"/>
                <w:b/>
                <w:bCs/>
                <w:sz w:val="16"/>
                <w:szCs w:val="16"/>
              </w:rPr>
              <w:tab/>
            </w:r>
            <w:r w:rsidRPr="008230D2">
              <w:rPr>
                <w:rFonts w:cs="Arial"/>
                <w:bCs/>
                <w:color w:val="000000"/>
                <w:sz w:val="16"/>
                <w:szCs w:val="16"/>
              </w:rPr>
              <w:t>IV.4. Enhanced technical and knowledge infrastructure for IP Offices and other IP institutions leading to better services (cheaper, faster, higher quality) to their stakeholders</w:t>
            </w:r>
          </w:p>
        </w:tc>
      </w:tr>
      <w:tr w:rsidR="0063033D" w:rsidRPr="00D31A75" w:rsidTr="008D1891">
        <w:tc>
          <w:tcPr>
            <w:tcW w:w="1873" w:type="dxa"/>
            <w:tcBorders>
              <w:top w:val="single" w:sz="4" w:space="0" w:color="000000"/>
            </w:tcBorders>
            <w:vAlign w:val="center"/>
          </w:tcPr>
          <w:p w:rsidR="0063033D" w:rsidRPr="00D31A75" w:rsidRDefault="0063033D" w:rsidP="008D1891">
            <w:pPr>
              <w:keepNext/>
              <w:keepLines/>
              <w:rPr>
                <w:rFonts w:cs="Arial"/>
                <w:b/>
                <w:bCs/>
                <w:sz w:val="16"/>
                <w:szCs w:val="16"/>
              </w:rPr>
            </w:pPr>
            <w:r w:rsidRPr="00D31A75">
              <w:rPr>
                <w:rFonts w:cs="Arial"/>
                <w:b/>
                <w:bCs/>
                <w:sz w:val="16"/>
                <w:szCs w:val="16"/>
              </w:rPr>
              <w:t>Activity</w:t>
            </w:r>
          </w:p>
        </w:tc>
        <w:tc>
          <w:tcPr>
            <w:tcW w:w="1134" w:type="dxa"/>
            <w:tcBorders>
              <w:top w:val="single" w:sz="4" w:space="0" w:color="000000"/>
            </w:tcBorders>
            <w:shd w:val="clear" w:color="auto" w:fill="auto"/>
            <w:tcMar>
              <w:top w:w="110" w:type="dxa"/>
            </w:tcMar>
            <w:vAlign w:val="center"/>
          </w:tcPr>
          <w:p w:rsidR="0063033D" w:rsidRPr="00D31A75" w:rsidRDefault="0063033D" w:rsidP="008D1891">
            <w:pPr>
              <w:keepNext/>
              <w:keepLines/>
              <w:rPr>
                <w:rFonts w:cs="Arial"/>
                <w:sz w:val="16"/>
                <w:szCs w:val="16"/>
              </w:rPr>
            </w:pPr>
            <w:r w:rsidRPr="00D31A75">
              <w:rPr>
                <w:rFonts w:cs="Arial"/>
                <w:b/>
                <w:bCs/>
                <w:sz w:val="16"/>
                <w:szCs w:val="16"/>
              </w:rPr>
              <w:t>Date</w:t>
            </w:r>
          </w:p>
        </w:tc>
        <w:tc>
          <w:tcPr>
            <w:tcW w:w="1843" w:type="dxa"/>
            <w:tcBorders>
              <w:top w:val="single" w:sz="4" w:space="0" w:color="000000"/>
            </w:tcBorders>
            <w:shd w:val="clear" w:color="auto" w:fill="auto"/>
            <w:tcMar>
              <w:top w:w="110" w:type="dxa"/>
            </w:tcMar>
            <w:vAlign w:val="center"/>
          </w:tcPr>
          <w:p w:rsidR="0063033D" w:rsidRPr="00D31A75" w:rsidRDefault="0063033D" w:rsidP="008D1891">
            <w:pPr>
              <w:keepNext/>
              <w:keepLines/>
              <w:rPr>
                <w:rFonts w:cs="Arial"/>
                <w:sz w:val="16"/>
                <w:szCs w:val="16"/>
              </w:rPr>
            </w:pPr>
            <w:r w:rsidRPr="00D31A75">
              <w:rPr>
                <w:rFonts w:cs="Arial"/>
                <w:b/>
                <w:bCs/>
                <w:sz w:val="16"/>
                <w:szCs w:val="16"/>
              </w:rPr>
              <w:t>Host Country/</w:t>
            </w:r>
            <w:r w:rsidRPr="00D31A75">
              <w:rPr>
                <w:rFonts w:cs="Arial"/>
                <w:b/>
                <w:bCs/>
                <w:sz w:val="16"/>
                <w:szCs w:val="16"/>
              </w:rPr>
              <w:br/>
              <w:t>Recipients</w:t>
            </w:r>
          </w:p>
        </w:tc>
        <w:tc>
          <w:tcPr>
            <w:tcW w:w="4536" w:type="dxa"/>
            <w:gridSpan w:val="2"/>
            <w:tcBorders>
              <w:top w:val="single" w:sz="4" w:space="0" w:color="000000"/>
            </w:tcBorders>
            <w:shd w:val="clear" w:color="auto" w:fill="FFFFFF"/>
            <w:tcMar>
              <w:top w:w="110" w:type="dxa"/>
            </w:tcMar>
            <w:vAlign w:val="center"/>
          </w:tcPr>
          <w:p w:rsidR="0063033D" w:rsidRPr="00D31A75" w:rsidRDefault="0063033D" w:rsidP="008D1891">
            <w:pPr>
              <w:keepNext/>
              <w:keepLines/>
              <w:rPr>
                <w:rFonts w:cs="Arial"/>
                <w:sz w:val="16"/>
                <w:szCs w:val="16"/>
              </w:rPr>
            </w:pPr>
            <w:r w:rsidRPr="00D31A75">
              <w:rPr>
                <w:rFonts w:cs="Arial"/>
                <w:b/>
                <w:bCs/>
                <w:sz w:val="16"/>
                <w:szCs w:val="16"/>
              </w:rPr>
              <w:t>Purpose(s)/Description(s)</w:t>
            </w:r>
          </w:p>
        </w:tc>
      </w:tr>
      <w:tr w:rsidR="0063033D" w:rsidRPr="00D31A75" w:rsidTr="008D1891">
        <w:tc>
          <w:tcPr>
            <w:tcW w:w="1873" w:type="dxa"/>
          </w:tcPr>
          <w:p w:rsidR="0063033D" w:rsidRPr="00E442ED" w:rsidRDefault="0063033D" w:rsidP="008D1891">
            <w:pPr>
              <w:autoSpaceDE w:val="0"/>
              <w:autoSpaceDN w:val="0"/>
              <w:adjustRightInd w:val="0"/>
              <w:spacing w:before="120" w:after="120"/>
              <w:rPr>
                <w:rFonts w:cs="Arial"/>
                <w:color w:val="000000"/>
                <w:sz w:val="16"/>
                <w:szCs w:val="16"/>
              </w:rPr>
            </w:pPr>
            <w:r w:rsidRPr="00E442ED">
              <w:rPr>
                <w:rFonts w:cs="Arial"/>
                <w:color w:val="000000"/>
                <w:sz w:val="16"/>
                <w:szCs w:val="16"/>
              </w:rPr>
              <w:t>Country Project for Enhancing Awareness of Copyright and Related Rights in Bhutan</w:t>
            </w:r>
          </w:p>
        </w:tc>
        <w:tc>
          <w:tcPr>
            <w:tcW w:w="1134" w:type="dxa"/>
            <w:shd w:val="clear" w:color="auto" w:fill="auto"/>
            <w:tcMar>
              <w:top w:w="110" w:type="dxa"/>
            </w:tcMar>
          </w:tcPr>
          <w:p w:rsidR="0063033D" w:rsidRPr="00E442ED" w:rsidRDefault="0063033D" w:rsidP="008D1891">
            <w:pPr>
              <w:autoSpaceDE w:val="0"/>
              <w:autoSpaceDN w:val="0"/>
              <w:adjustRightInd w:val="0"/>
              <w:spacing w:before="120" w:after="120"/>
              <w:rPr>
                <w:rFonts w:cs="Arial"/>
                <w:color w:val="000000"/>
                <w:sz w:val="16"/>
                <w:szCs w:val="16"/>
              </w:rPr>
            </w:pPr>
            <w:r w:rsidRPr="00E442ED">
              <w:rPr>
                <w:rFonts w:cs="Arial"/>
                <w:color w:val="000000"/>
                <w:sz w:val="16"/>
                <w:szCs w:val="16"/>
              </w:rPr>
              <w:t>April, 2014  (completed)</w:t>
            </w:r>
          </w:p>
        </w:tc>
        <w:tc>
          <w:tcPr>
            <w:tcW w:w="1843" w:type="dxa"/>
            <w:shd w:val="clear" w:color="auto" w:fill="auto"/>
            <w:tcMar>
              <w:top w:w="110" w:type="dxa"/>
            </w:tcMar>
          </w:tcPr>
          <w:p w:rsidR="0063033D" w:rsidRPr="00E442ED" w:rsidRDefault="0063033D" w:rsidP="008D1891">
            <w:pPr>
              <w:autoSpaceDE w:val="0"/>
              <w:autoSpaceDN w:val="0"/>
              <w:adjustRightInd w:val="0"/>
              <w:spacing w:before="120" w:after="120"/>
              <w:rPr>
                <w:rFonts w:cs="Arial"/>
                <w:color w:val="000000"/>
                <w:sz w:val="16"/>
                <w:szCs w:val="16"/>
              </w:rPr>
            </w:pPr>
            <w:r w:rsidRPr="00E442ED">
              <w:rPr>
                <w:rFonts w:cs="Arial"/>
                <w:color w:val="000000"/>
                <w:sz w:val="16"/>
                <w:szCs w:val="16"/>
              </w:rPr>
              <w:t>Bhutan</w:t>
            </w:r>
          </w:p>
        </w:tc>
        <w:tc>
          <w:tcPr>
            <w:tcW w:w="4536" w:type="dxa"/>
            <w:gridSpan w:val="2"/>
            <w:shd w:val="clear" w:color="auto" w:fill="FFFFFF"/>
            <w:tcMar>
              <w:top w:w="110" w:type="dxa"/>
            </w:tcMar>
          </w:tcPr>
          <w:p w:rsidR="0063033D" w:rsidRPr="00E442ED" w:rsidRDefault="0063033D" w:rsidP="008D1891">
            <w:pPr>
              <w:autoSpaceDE w:val="0"/>
              <w:autoSpaceDN w:val="0"/>
              <w:adjustRightInd w:val="0"/>
              <w:spacing w:before="120" w:after="120"/>
              <w:rPr>
                <w:rFonts w:cs="Arial"/>
                <w:color w:val="000000"/>
                <w:sz w:val="16"/>
                <w:szCs w:val="16"/>
              </w:rPr>
            </w:pPr>
            <w:r w:rsidRPr="00E442ED">
              <w:rPr>
                <w:rFonts w:cs="Arial"/>
                <w:color w:val="000000"/>
                <w:sz w:val="16"/>
                <w:szCs w:val="16"/>
              </w:rPr>
              <w:t xml:space="preserve">To enhance </w:t>
            </w:r>
            <w:r>
              <w:rPr>
                <w:rFonts w:cs="Arial"/>
                <w:color w:val="000000"/>
                <w:sz w:val="16"/>
                <w:szCs w:val="16"/>
              </w:rPr>
              <w:t xml:space="preserve">the </w:t>
            </w:r>
            <w:r w:rsidRPr="00E442ED">
              <w:rPr>
                <w:rFonts w:cs="Arial"/>
                <w:color w:val="000000"/>
                <w:sz w:val="16"/>
                <w:szCs w:val="16"/>
              </w:rPr>
              <w:t xml:space="preserve">country’s capacity to undertake systematic </w:t>
            </w:r>
            <w:r>
              <w:rPr>
                <w:rFonts w:cs="Arial"/>
                <w:color w:val="000000"/>
                <w:sz w:val="16"/>
                <w:szCs w:val="16"/>
              </w:rPr>
              <w:t>and sustainable awareness</w:t>
            </w:r>
            <w:r w:rsidRPr="00E442ED">
              <w:rPr>
                <w:rFonts w:cs="Arial"/>
                <w:color w:val="000000"/>
                <w:sz w:val="16"/>
                <w:szCs w:val="16"/>
              </w:rPr>
              <w:t xml:space="preserve"> programs, thereby establishing an environment that is conducive </w:t>
            </w:r>
            <w:r>
              <w:rPr>
                <w:rFonts w:cs="Arial"/>
                <w:color w:val="000000"/>
                <w:sz w:val="16"/>
                <w:szCs w:val="16"/>
              </w:rPr>
              <w:t>to</w:t>
            </w:r>
            <w:r w:rsidRPr="00E442ED">
              <w:rPr>
                <w:rFonts w:cs="Arial"/>
                <w:color w:val="000000"/>
                <w:sz w:val="16"/>
                <w:szCs w:val="16"/>
              </w:rPr>
              <w:t xml:space="preserve"> effective use and protection of copyright and related rights.  </w:t>
            </w:r>
          </w:p>
        </w:tc>
      </w:tr>
      <w:tr w:rsidR="0063033D" w:rsidRPr="00D31A75" w:rsidTr="008D1891">
        <w:tc>
          <w:tcPr>
            <w:tcW w:w="1873" w:type="dxa"/>
          </w:tcPr>
          <w:p w:rsidR="0063033D" w:rsidRPr="00E442ED" w:rsidRDefault="0063033D" w:rsidP="008D1891">
            <w:pPr>
              <w:autoSpaceDE w:val="0"/>
              <w:autoSpaceDN w:val="0"/>
              <w:adjustRightInd w:val="0"/>
              <w:spacing w:before="120" w:after="120"/>
              <w:rPr>
                <w:rFonts w:cs="Arial"/>
                <w:color w:val="000000"/>
                <w:sz w:val="16"/>
                <w:szCs w:val="16"/>
              </w:rPr>
            </w:pPr>
            <w:r w:rsidRPr="005A1AB3">
              <w:rPr>
                <w:rFonts w:cs="Arial"/>
                <w:color w:val="000000"/>
                <w:sz w:val="16"/>
                <w:szCs w:val="16"/>
              </w:rPr>
              <w:t xml:space="preserve">WIPO-ASEAN Sub-Regional Workshop on  </w:t>
            </w:r>
            <w:r w:rsidRPr="005A1AB3">
              <w:rPr>
                <w:rFonts w:cs="Arial"/>
                <w:color w:val="000000"/>
                <w:sz w:val="16"/>
                <w:szCs w:val="16"/>
              </w:rPr>
              <w:lastRenderedPageBreak/>
              <w:t>New Developments and Emerging Issues in the Area of Copyright and Related Rights</w:t>
            </w:r>
          </w:p>
        </w:tc>
        <w:tc>
          <w:tcPr>
            <w:tcW w:w="1134" w:type="dxa"/>
            <w:shd w:val="clear" w:color="auto" w:fill="auto"/>
            <w:tcMar>
              <w:top w:w="110" w:type="dxa"/>
            </w:tcMar>
          </w:tcPr>
          <w:p w:rsidR="0063033D" w:rsidRPr="00E442ED" w:rsidRDefault="0063033D" w:rsidP="008D1891">
            <w:pPr>
              <w:autoSpaceDE w:val="0"/>
              <w:autoSpaceDN w:val="0"/>
              <w:adjustRightInd w:val="0"/>
              <w:spacing w:before="120" w:after="120"/>
              <w:rPr>
                <w:rFonts w:cs="Arial"/>
                <w:color w:val="000000"/>
                <w:sz w:val="16"/>
                <w:szCs w:val="16"/>
              </w:rPr>
            </w:pPr>
            <w:r w:rsidRPr="005A1AB3">
              <w:rPr>
                <w:rFonts w:cs="Arial"/>
                <w:color w:val="000000"/>
                <w:sz w:val="16"/>
                <w:szCs w:val="16"/>
              </w:rPr>
              <w:lastRenderedPageBreak/>
              <w:t>June 25</w:t>
            </w:r>
            <w:r>
              <w:rPr>
                <w:rFonts w:cs="Arial"/>
                <w:color w:val="000000"/>
                <w:sz w:val="16"/>
                <w:szCs w:val="16"/>
              </w:rPr>
              <w:t xml:space="preserve"> to </w:t>
            </w:r>
            <w:r w:rsidRPr="005A1AB3">
              <w:rPr>
                <w:rFonts w:cs="Arial"/>
                <w:color w:val="000000"/>
                <w:sz w:val="16"/>
                <w:szCs w:val="16"/>
              </w:rPr>
              <w:t>26, 2014</w:t>
            </w:r>
          </w:p>
        </w:tc>
        <w:tc>
          <w:tcPr>
            <w:tcW w:w="1843" w:type="dxa"/>
            <w:shd w:val="clear" w:color="auto" w:fill="auto"/>
            <w:tcMar>
              <w:top w:w="110" w:type="dxa"/>
            </w:tcMar>
          </w:tcPr>
          <w:p w:rsidR="0063033D" w:rsidRPr="00E442ED" w:rsidRDefault="0063033D" w:rsidP="008D1891">
            <w:pPr>
              <w:autoSpaceDE w:val="0"/>
              <w:autoSpaceDN w:val="0"/>
              <w:adjustRightInd w:val="0"/>
              <w:spacing w:before="120" w:after="120"/>
              <w:rPr>
                <w:rFonts w:cs="Arial"/>
                <w:color w:val="000000"/>
                <w:sz w:val="16"/>
                <w:szCs w:val="16"/>
              </w:rPr>
            </w:pPr>
            <w:r w:rsidRPr="005A1AB3">
              <w:rPr>
                <w:rFonts w:cs="Arial"/>
                <w:color w:val="000000"/>
                <w:sz w:val="16"/>
                <w:szCs w:val="16"/>
              </w:rPr>
              <w:t>Thailand/</w:t>
            </w:r>
            <w:r>
              <w:rPr>
                <w:rFonts w:cs="Arial"/>
                <w:color w:val="000000"/>
                <w:sz w:val="16"/>
                <w:szCs w:val="16"/>
              </w:rPr>
              <w:t xml:space="preserve"> </w:t>
            </w:r>
            <w:r w:rsidRPr="005A1AB3">
              <w:rPr>
                <w:rFonts w:cs="Arial"/>
                <w:color w:val="000000"/>
                <w:sz w:val="16"/>
                <w:szCs w:val="16"/>
              </w:rPr>
              <w:t xml:space="preserve">over 60 local participants from </w:t>
            </w:r>
            <w:r w:rsidRPr="005A1AB3">
              <w:rPr>
                <w:rFonts w:cs="Arial"/>
                <w:color w:val="000000"/>
                <w:sz w:val="16"/>
                <w:szCs w:val="16"/>
              </w:rPr>
              <w:lastRenderedPageBreak/>
              <w:t>Thailand, and 14 foreign participants representing 8 countries (Cambodia, Indonesia, Lao P</w:t>
            </w:r>
            <w:r>
              <w:rPr>
                <w:rFonts w:cs="Arial"/>
                <w:color w:val="000000"/>
                <w:sz w:val="16"/>
                <w:szCs w:val="16"/>
              </w:rPr>
              <w:t xml:space="preserve">eople’s </w:t>
            </w:r>
            <w:r w:rsidRPr="005A1AB3">
              <w:rPr>
                <w:rFonts w:cs="Arial"/>
                <w:color w:val="000000"/>
                <w:sz w:val="16"/>
                <w:szCs w:val="16"/>
              </w:rPr>
              <w:t>D</w:t>
            </w:r>
            <w:r>
              <w:rPr>
                <w:rFonts w:cs="Arial"/>
                <w:color w:val="000000"/>
                <w:sz w:val="16"/>
                <w:szCs w:val="16"/>
              </w:rPr>
              <w:t xml:space="preserve">emocratic </w:t>
            </w:r>
            <w:r w:rsidRPr="005A1AB3">
              <w:rPr>
                <w:rFonts w:cs="Arial"/>
                <w:color w:val="000000"/>
                <w:sz w:val="16"/>
                <w:szCs w:val="16"/>
              </w:rPr>
              <w:t>R</w:t>
            </w:r>
            <w:r>
              <w:rPr>
                <w:rFonts w:cs="Arial"/>
                <w:color w:val="000000"/>
                <w:sz w:val="16"/>
                <w:szCs w:val="16"/>
              </w:rPr>
              <w:t>epublic</w:t>
            </w:r>
            <w:r w:rsidRPr="005A1AB3">
              <w:rPr>
                <w:rFonts w:cs="Arial"/>
                <w:color w:val="000000"/>
                <w:sz w:val="16"/>
                <w:szCs w:val="16"/>
              </w:rPr>
              <w:t>, Malaysia, Myanmar, Philippines, Singapore and Viet Nam)</w:t>
            </w:r>
          </w:p>
        </w:tc>
        <w:tc>
          <w:tcPr>
            <w:tcW w:w="4536" w:type="dxa"/>
            <w:gridSpan w:val="2"/>
            <w:shd w:val="clear" w:color="auto" w:fill="FFFFFF"/>
            <w:tcMar>
              <w:top w:w="110" w:type="dxa"/>
            </w:tcMar>
          </w:tcPr>
          <w:p w:rsidR="0063033D" w:rsidRPr="00E442ED" w:rsidRDefault="0063033D" w:rsidP="008D1891">
            <w:pPr>
              <w:autoSpaceDE w:val="0"/>
              <w:autoSpaceDN w:val="0"/>
              <w:adjustRightInd w:val="0"/>
              <w:spacing w:before="120" w:after="120"/>
              <w:rPr>
                <w:rFonts w:cs="Arial"/>
                <w:color w:val="000000"/>
                <w:sz w:val="16"/>
                <w:szCs w:val="16"/>
              </w:rPr>
            </w:pPr>
            <w:r w:rsidRPr="0065594A">
              <w:rPr>
                <w:rFonts w:cs="Arial"/>
                <w:color w:val="000000"/>
                <w:sz w:val="16"/>
                <w:szCs w:val="16"/>
              </w:rPr>
              <w:lastRenderedPageBreak/>
              <w:t xml:space="preserve">To provide an opportunity for member states of the Association of Southeast Asian Nations (ASEAN) to better </w:t>
            </w:r>
            <w:r w:rsidRPr="0065594A">
              <w:rPr>
                <w:rFonts w:cs="Arial"/>
                <w:color w:val="000000"/>
                <w:sz w:val="16"/>
                <w:szCs w:val="16"/>
              </w:rPr>
              <w:lastRenderedPageBreak/>
              <w:t>understand and share information on recent developments and emerging issues of copyright and related rights as well as their  implications.</w:t>
            </w:r>
          </w:p>
        </w:tc>
      </w:tr>
      <w:tr w:rsidR="009375B7" w:rsidRPr="00D31A75" w:rsidTr="008D1891">
        <w:tc>
          <w:tcPr>
            <w:tcW w:w="1873" w:type="dxa"/>
            <w:vAlign w:val="center"/>
          </w:tcPr>
          <w:p w:rsidR="009375B7" w:rsidRPr="002B7DE5" w:rsidRDefault="009375B7" w:rsidP="008D1891">
            <w:pPr>
              <w:rPr>
                <w:rFonts w:cs="Arial"/>
                <w:b/>
                <w:bCs/>
                <w:sz w:val="16"/>
                <w:szCs w:val="16"/>
              </w:rPr>
            </w:pPr>
            <w:r w:rsidRPr="002B7DE5">
              <w:rPr>
                <w:rFonts w:cs="Arial"/>
                <w:b/>
                <w:bCs/>
                <w:sz w:val="16"/>
                <w:szCs w:val="16"/>
              </w:rPr>
              <w:lastRenderedPageBreak/>
              <w:t>Activity</w:t>
            </w:r>
          </w:p>
        </w:tc>
        <w:tc>
          <w:tcPr>
            <w:tcW w:w="1134" w:type="dxa"/>
            <w:shd w:val="clear" w:color="auto" w:fill="auto"/>
            <w:tcMar>
              <w:top w:w="110" w:type="dxa"/>
            </w:tcMar>
            <w:vAlign w:val="center"/>
          </w:tcPr>
          <w:p w:rsidR="009375B7" w:rsidRPr="002B7DE5" w:rsidRDefault="009375B7" w:rsidP="008D1891">
            <w:pPr>
              <w:keepNext/>
              <w:keepLines/>
              <w:rPr>
                <w:rFonts w:cs="Arial"/>
                <w:sz w:val="16"/>
                <w:szCs w:val="16"/>
              </w:rPr>
            </w:pPr>
            <w:r w:rsidRPr="002B7DE5">
              <w:rPr>
                <w:rFonts w:cs="Arial"/>
                <w:b/>
                <w:bCs/>
                <w:sz w:val="16"/>
                <w:szCs w:val="16"/>
              </w:rPr>
              <w:t>Date</w:t>
            </w:r>
          </w:p>
        </w:tc>
        <w:tc>
          <w:tcPr>
            <w:tcW w:w="1843" w:type="dxa"/>
            <w:shd w:val="clear" w:color="auto" w:fill="auto"/>
            <w:tcMar>
              <w:top w:w="110" w:type="dxa"/>
            </w:tcMar>
            <w:vAlign w:val="center"/>
          </w:tcPr>
          <w:p w:rsidR="009375B7" w:rsidRPr="002B7DE5" w:rsidRDefault="009375B7" w:rsidP="008D1891">
            <w:pPr>
              <w:keepNext/>
              <w:keepLines/>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536" w:type="dxa"/>
            <w:gridSpan w:val="2"/>
            <w:shd w:val="clear" w:color="auto" w:fill="FFFFFF"/>
            <w:tcMar>
              <w:top w:w="110" w:type="dxa"/>
            </w:tcMar>
            <w:vAlign w:val="center"/>
          </w:tcPr>
          <w:p w:rsidR="009375B7" w:rsidRPr="002B7DE5" w:rsidRDefault="009375B7" w:rsidP="008D1891">
            <w:pPr>
              <w:keepNext/>
              <w:keepLines/>
              <w:rPr>
                <w:rFonts w:cs="Arial"/>
                <w:sz w:val="16"/>
                <w:szCs w:val="16"/>
              </w:rPr>
            </w:pPr>
            <w:r w:rsidRPr="002B7DE5">
              <w:rPr>
                <w:rFonts w:cs="Arial"/>
                <w:b/>
                <w:bCs/>
                <w:sz w:val="16"/>
                <w:szCs w:val="16"/>
              </w:rPr>
              <w:t>Purpose(s)/Description(s)</w:t>
            </w:r>
          </w:p>
        </w:tc>
      </w:tr>
      <w:tr w:rsidR="009375B7" w:rsidRPr="00D31A75" w:rsidTr="008D1891">
        <w:tc>
          <w:tcPr>
            <w:tcW w:w="1873" w:type="dxa"/>
          </w:tcPr>
          <w:p w:rsidR="009375B7" w:rsidRPr="00E442ED" w:rsidRDefault="009375B7" w:rsidP="008D1891">
            <w:pPr>
              <w:autoSpaceDE w:val="0"/>
              <w:autoSpaceDN w:val="0"/>
              <w:adjustRightInd w:val="0"/>
              <w:spacing w:before="120" w:after="120"/>
              <w:rPr>
                <w:rFonts w:cs="Arial"/>
                <w:color w:val="000000"/>
                <w:sz w:val="16"/>
                <w:szCs w:val="16"/>
              </w:rPr>
            </w:pPr>
            <w:r w:rsidRPr="0065594A">
              <w:rPr>
                <w:rFonts w:cs="Arial"/>
                <w:color w:val="000000"/>
                <w:sz w:val="16"/>
                <w:szCs w:val="16"/>
              </w:rPr>
              <w:t>Study Visit to the Korea Copyright Commission</w:t>
            </w:r>
          </w:p>
        </w:tc>
        <w:tc>
          <w:tcPr>
            <w:tcW w:w="1134" w:type="dxa"/>
            <w:shd w:val="clear" w:color="auto" w:fill="auto"/>
            <w:tcMar>
              <w:top w:w="110" w:type="dxa"/>
            </w:tcMar>
          </w:tcPr>
          <w:p w:rsidR="009375B7" w:rsidRPr="00E442ED" w:rsidRDefault="009375B7" w:rsidP="008D1891">
            <w:pPr>
              <w:autoSpaceDE w:val="0"/>
              <w:autoSpaceDN w:val="0"/>
              <w:adjustRightInd w:val="0"/>
              <w:spacing w:before="120" w:after="120"/>
              <w:rPr>
                <w:rFonts w:cs="Arial"/>
                <w:color w:val="000000"/>
                <w:sz w:val="16"/>
                <w:szCs w:val="16"/>
              </w:rPr>
            </w:pPr>
            <w:r w:rsidRPr="0065594A">
              <w:rPr>
                <w:rFonts w:cs="Arial"/>
                <w:color w:val="000000"/>
                <w:sz w:val="16"/>
                <w:szCs w:val="16"/>
              </w:rPr>
              <w:t>November 18</w:t>
            </w:r>
            <w:r>
              <w:rPr>
                <w:rFonts w:cs="Arial"/>
                <w:color w:val="000000"/>
                <w:sz w:val="16"/>
                <w:szCs w:val="16"/>
              </w:rPr>
              <w:t xml:space="preserve"> to </w:t>
            </w:r>
            <w:r w:rsidRPr="0065594A">
              <w:rPr>
                <w:rFonts w:cs="Arial"/>
                <w:color w:val="000000"/>
                <w:sz w:val="16"/>
                <w:szCs w:val="16"/>
              </w:rPr>
              <w:t>21, 2014</w:t>
            </w:r>
          </w:p>
        </w:tc>
        <w:tc>
          <w:tcPr>
            <w:tcW w:w="1843" w:type="dxa"/>
            <w:shd w:val="clear" w:color="auto" w:fill="auto"/>
            <w:tcMar>
              <w:top w:w="110" w:type="dxa"/>
            </w:tcMar>
          </w:tcPr>
          <w:p w:rsidR="009375B7" w:rsidRPr="00E442ED" w:rsidRDefault="009375B7" w:rsidP="008D1891">
            <w:pPr>
              <w:autoSpaceDE w:val="0"/>
              <w:autoSpaceDN w:val="0"/>
              <w:adjustRightInd w:val="0"/>
              <w:spacing w:before="120" w:after="120"/>
              <w:rPr>
                <w:rFonts w:cs="Arial"/>
                <w:color w:val="000000"/>
                <w:sz w:val="16"/>
                <w:szCs w:val="16"/>
              </w:rPr>
            </w:pPr>
            <w:r w:rsidRPr="0065594A">
              <w:rPr>
                <w:rFonts w:cs="Arial"/>
                <w:color w:val="000000"/>
                <w:sz w:val="16"/>
                <w:szCs w:val="16"/>
              </w:rPr>
              <w:t>Republic of Korea/</w:t>
            </w:r>
            <w:r>
              <w:rPr>
                <w:rFonts w:cs="Arial"/>
                <w:color w:val="000000"/>
                <w:sz w:val="16"/>
                <w:szCs w:val="16"/>
              </w:rPr>
              <w:t xml:space="preserve"> </w:t>
            </w:r>
            <w:r w:rsidRPr="0065594A">
              <w:rPr>
                <w:rFonts w:cs="Arial"/>
                <w:color w:val="000000"/>
                <w:sz w:val="16"/>
                <w:szCs w:val="16"/>
              </w:rPr>
              <w:t>11 foreign participants representing 10 countries (Colombia, Egypt, Kazakhstan, Oman, Paraguay, Philippines, Sri Lanka, Thailand, Uzbekistan and Viet Nam)</w:t>
            </w:r>
          </w:p>
        </w:tc>
        <w:tc>
          <w:tcPr>
            <w:tcW w:w="4536" w:type="dxa"/>
            <w:gridSpan w:val="2"/>
            <w:shd w:val="clear" w:color="auto" w:fill="FFFFFF"/>
            <w:tcMar>
              <w:top w:w="110" w:type="dxa"/>
            </w:tcMar>
          </w:tcPr>
          <w:p w:rsidR="009375B7" w:rsidRPr="00E442ED" w:rsidRDefault="009375B7" w:rsidP="008D1891">
            <w:pPr>
              <w:autoSpaceDE w:val="0"/>
              <w:autoSpaceDN w:val="0"/>
              <w:adjustRightInd w:val="0"/>
              <w:spacing w:before="120" w:after="120"/>
              <w:rPr>
                <w:rFonts w:cs="Arial"/>
                <w:color w:val="000000"/>
                <w:sz w:val="16"/>
                <w:szCs w:val="16"/>
              </w:rPr>
            </w:pPr>
            <w:r w:rsidRPr="0065594A">
              <w:rPr>
                <w:rFonts w:cs="Arial"/>
                <w:color w:val="000000"/>
                <w:sz w:val="16"/>
                <w:szCs w:val="16"/>
              </w:rPr>
              <w:t>To</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w:t>
            </w:r>
            <w:r w:rsidRPr="0065594A">
              <w:rPr>
                <w:rFonts w:cs="Arial"/>
                <w:color w:val="000000"/>
                <w:sz w:val="16"/>
                <w:szCs w:val="16"/>
              </w:rPr>
              <w:t xml:space="preserve"> share the Korean experience in the protection and administration of copyright and related rights</w:t>
            </w:r>
            <w:r>
              <w:rPr>
                <w:rFonts w:cs="Arial"/>
                <w:color w:val="000000"/>
                <w:sz w:val="16"/>
                <w:szCs w:val="16"/>
              </w:rPr>
              <w:t>: and (ii)</w:t>
            </w:r>
            <w:r w:rsidRPr="0065594A">
              <w:rPr>
                <w:rFonts w:cs="Arial"/>
                <w:color w:val="000000"/>
                <w:sz w:val="16"/>
                <w:szCs w:val="16"/>
              </w:rPr>
              <w:t xml:space="preserve"> strengthen the participants’ capacity to formulate copyright policies, modernize legislative and administrative frameworks and improve the functioning of copyright offices and other related organizations in their respective countries.  </w:t>
            </w:r>
          </w:p>
        </w:tc>
      </w:tr>
      <w:tr w:rsidR="009375B7" w:rsidRPr="00D31A75" w:rsidTr="008D1891">
        <w:tc>
          <w:tcPr>
            <w:tcW w:w="1873" w:type="dxa"/>
          </w:tcPr>
          <w:p w:rsidR="009375B7" w:rsidRPr="00E442ED" w:rsidRDefault="009375B7" w:rsidP="008D1891">
            <w:pPr>
              <w:autoSpaceDE w:val="0"/>
              <w:autoSpaceDN w:val="0"/>
              <w:adjustRightInd w:val="0"/>
              <w:spacing w:before="120" w:after="120"/>
              <w:rPr>
                <w:rFonts w:cs="Arial"/>
                <w:color w:val="000000"/>
                <w:sz w:val="16"/>
                <w:szCs w:val="16"/>
              </w:rPr>
            </w:pPr>
            <w:r w:rsidRPr="00E442ED">
              <w:rPr>
                <w:rFonts w:cs="Arial"/>
                <w:color w:val="000000"/>
                <w:sz w:val="16"/>
                <w:szCs w:val="16"/>
              </w:rPr>
              <w:t>Compilation of Cases of Copyright and Related Rights in the Field of Music in the Asia-Pacific Region</w:t>
            </w:r>
          </w:p>
        </w:tc>
        <w:tc>
          <w:tcPr>
            <w:tcW w:w="1134" w:type="dxa"/>
            <w:shd w:val="clear" w:color="auto" w:fill="auto"/>
            <w:tcMar>
              <w:top w:w="110" w:type="dxa"/>
            </w:tcMar>
          </w:tcPr>
          <w:p w:rsidR="009375B7" w:rsidRPr="00E442ED" w:rsidRDefault="009375B7" w:rsidP="008D1891">
            <w:pPr>
              <w:autoSpaceDE w:val="0"/>
              <w:autoSpaceDN w:val="0"/>
              <w:adjustRightInd w:val="0"/>
              <w:spacing w:before="120" w:after="120"/>
              <w:rPr>
                <w:rFonts w:cs="Arial"/>
                <w:color w:val="000000"/>
                <w:sz w:val="16"/>
                <w:szCs w:val="16"/>
              </w:rPr>
            </w:pPr>
            <w:r w:rsidRPr="00E442ED">
              <w:rPr>
                <w:rFonts w:cs="Arial"/>
                <w:color w:val="000000"/>
                <w:sz w:val="16"/>
                <w:szCs w:val="16"/>
              </w:rPr>
              <w:t>December, 2014 (completed)</w:t>
            </w:r>
          </w:p>
        </w:tc>
        <w:tc>
          <w:tcPr>
            <w:tcW w:w="1843" w:type="dxa"/>
            <w:shd w:val="clear" w:color="auto" w:fill="auto"/>
            <w:tcMar>
              <w:top w:w="110" w:type="dxa"/>
            </w:tcMar>
          </w:tcPr>
          <w:p w:rsidR="009375B7" w:rsidRPr="00E442ED" w:rsidRDefault="009375B7" w:rsidP="008D1891">
            <w:pPr>
              <w:autoSpaceDE w:val="0"/>
              <w:autoSpaceDN w:val="0"/>
              <w:adjustRightInd w:val="0"/>
              <w:spacing w:before="120" w:after="120"/>
              <w:rPr>
                <w:rFonts w:cs="Arial"/>
                <w:color w:val="000000"/>
                <w:sz w:val="16"/>
                <w:szCs w:val="16"/>
              </w:rPr>
            </w:pPr>
            <w:r w:rsidRPr="00E442ED">
              <w:rPr>
                <w:rFonts w:cs="Arial"/>
                <w:color w:val="000000"/>
                <w:sz w:val="16"/>
                <w:szCs w:val="16"/>
              </w:rPr>
              <w:t>Countries in Asia</w:t>
            </w:r>
            <w:r>
              <w:rPr>
                <w:rFonts w:cs="Arial"/>
                <w:color w:val="000000"/>
                <w:sz w:val="16"/>
                <w:szCs w:val="16"/>
              </w:rPr>
              <w:t xml:space="preserve"> and the </w:t>
            </w:r>
            <w:r w:rsidRPr="00E442ED">
              <w:rPr>
                <w:rFonts w:cs="Arial"/>
                <w:color w:val="000000"/>
                <w:sz w:val="16"/>
                <w:szCs w:val="16"/>
              </w:rPr>
              <w:t>Pacific</w:t>
            </w:r>
          </w:p>
        </w:tc>
        <w:tc>
          <w:tcPr>
            <w:tcW w:w="4536" w:type="dxa"/>
            <w:gridSpan w:val="2"/>
            <w:shd w:val="clear" w:color="auto" w:fill="FFFFFF"/>
            <w:tcMar>
              <w:top w:w="110" w:type="dxa"/>
            </w:tcMar>
          </w:tcPr>
          <w:p w:rsidR="009375B7" w:rsidRPr="00E442ED" w:rsidRDefault="009375B7" w:rsidP="008D1891">
            <w:pPr>
              <w:autoSpaceDE w:val="0"/>
              <w:autoSpaceDN w:val="0"/>
              <w:adjustRightInd w:val="0"/>
              <w:spacing w:before="120" w:after="120"/>
              <w:rPr>
                <w:rFonts w:cs="Arial"/>
                <w:color w:val="000000"/>
                <w:sz w:val="16"/>
                <w:szCs w:val="16"/>
              </w:rPr>
            </w:pPr>
            <w:r w:rsidRPr="00E442ED">
              <w:rPr>
                <w:rFonts w:cs="Arial"/>
                <w:color w:val="000000"/>
                <w:sz w:val="16"/>
                <w:szCs w:val="16"/>
              </w:rPr>
              <w:t>To provide updated information to developing countries in Asia</w:t>
            </w:r>
            <w:r>
              <w:rPr>
                <w:rFonts w:cs="Arial"/>
                <w:color w:val="000000"/>
                <w:sz w:val="16"/>
                <w:szCs w:val="16"/>
              </w:rPr>
              <w:t xml:space="preserve"> and the </w:t>
            </w:r>
            <w:r w:rsidRPr="00E442ED">
              <w:rPr>
                <w:rFonts w:cs="Arial"/>
                <w:color w:val="000000"/>
                <w:sz w:val="16"/>
                <w:szCs w:val="16"/>
              </w:rPr>
              <w:t xml:space="preserve">Pacific on the latest cases regarding copyright and related rights in the music industry.  </w:t>
            </w:r>
          </w:p>
        </w:tc>
      </w:tr>
    </w:tbl>
    <w:p w:rsidR="0063033D" w:rsidRDefault="0063033D" w:rsidP="008D1891">
      <w:pPr>
        <w:keepNext/>
        <w:keepLines/>
        <w:rPr>
          <w:rFonts w:cs="Arial"/>
          <w:b/>
          <w:szCs w:val="20"/>
        </w:rPr>
      </w:pPr>
    </w:p>
    <w:p w:rsidR="0063033D" w:rsidRPr="00825EF0" w:rsidRDefault="0063033D" w:rsidP="008D1891">
      <w:pPr>
        <w:tabs>
          <w:tab w:val="left" w:pos="2325"/>
        </w:tabs>
        <w:rPr>
          <w:szCs w:val="20"/>
        </w:rPr>
      </w:pPr>
      <w:r>
        <w:rPr>
          <w:szCs w:val="20"/>
        </w:rPr>
        <w:tab/>
      </w:r>
    </w:p>
    <w:p w:rsidR="0063033D" w:rsidRPr="00274A9C" w:rsidRDefault="0063033D" w:rsidP="008D1891">
      <w:pPr>
        <w:keepNext/>
        <w:keepLines/>
        <w:rPr>
          <w:rFonts w:cs="Arial"/>
          <w:b/>
          <w:bCs/>
          <w:sz w:val="18"/>
          <w:szCs w:val="18"/>
        </w:rPr>
      </w:pPr>
      <w:r w:rsidRPr="00274A9C">
        <w:rPr>
          <w:rFonts w:cs="Arial"/>
          <w:b/>
          <w:sz w:val="18"/>
          <w:szCs w:val="18"/>
        </w:rPr>
        <w:t xml:space="preserve">REPUBLIC OF KOREA/COPYRIGHT Donor </w:t>
      </w:r>
      <w:r w:rsidRPr="00274A9C">
        <w:rPr>
          <w:rFonts w:cs="Arial"/>
          <w:b/>
          <w:bCs/>
          <w:sz w:val="18"/>
          <w:szCs w:val="18"/>
        </w:rPr>
        <w:t>Contributions and Expenditure in 201</w:t>
      </w:r>
      <w:r>
        <w:rPr>
          <w:rFonts w:cs="Arial"/>
          <w:b/>
          <w:bCs/>
          <w:sz w:val="18"/>
          <w:szCs w:val="18"/>
        </w:rPr>
        <w:t>4</w:t>
      </w:r>
    </w:p>
    <w:p w:rsidR="0063033D" w:rsidRDefault="0063033D" w:rsidP="008D1891">
      <w:pPr>
        <w:keepNext/>
        <w:keepLines/>
        <w:rPr>
          <w:rFonts w:cs="Arial"/>
          <w:b/>
          <w:bCs/>
          <w:sz w:val="18"/>
          <w:szCs w:val="18"/>
        </w:rPr>
      </w:pPr>
    </w:p>
    <w:tbl>
      <w:tblPr>
        <w:tblW w:w="9087" w:type="dxa"/>
        <w:tblInd w:w="93" w:type="dxa"/>
        <w:tblLook w:val="04A0" w:firstRow="1" w:lastRow="0" w:firstColumn="1" w:lastColumn="0" w:noHBand="0" w:noVBand="1"/>
      </w:tblPr>
      <w:tblGrid>
        <w:gridCol w:w="1780"/>
        <w:gridCol w:w="1496"/>
        <w:gridCol w:w="1842"/>
        <w:gridCol w:w="1985"/>
        <w:gridCol w:w="1984"/>
      </w:tblGrid>
      <w:tr w:rsidR="0063033D" w:rsidTr="008D1891">
        <w:trPr>
          <w:trHeight w:val="504"/>
        </w:trPr>
        <w:tc>
          <w:tcPr>
            <w:tcW w:w="178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2013</w:t>
            </w:r>
          </w:p>
        </w:tc>
        <w:tc>
          <w:tcPr>
            <w:tcW w:w="1496"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Income 2014</w:t>
            </w:r>
          </w:p>
        </w:tc>
        <w:tc>
          <w:tcPr>
            <w:tcW w:w="1842"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Expenditure 2014</w:t>
            </w:r>
          </w:p>
        </w:tc>
        <w:tc>
          <w:tcPr>
            <w:tcW w:w="1985"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Reimbursements</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2014</w:t>
            </w:r>
          </w:p>
        </w:tc>
      </w:tr>
      <w:tr w:rsidR="0063033D" w:rsidTr="008D1891">
        <w:trPr>
          <w:trHeight w:val="426"/>
        </w:trPr>
        <w:tc>
          <w:tcPr>
            <w:tcW w:w="1780" w:type="dxa"/>
            <w:tcBorders>
              <w:top w:val="nil"/>
              <w:left w:val="single" w:sz="4" w:space="0" w:color="auto"/>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565,824</w:t>
            </w:r>
          </w:p>
        </w:tc>
        <w:tc>
          <w:tcPr>
            <w:tcW w:w="1496"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350,168</w:t>
            </w:r>
          </w:p>
        </w:tc>
        <w:tc>
          <w:tcPr>
            <w:tcW w:w="1842"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336,212</w:t>
            </w:r>
          </w:p>
        </w:tc>
        <w:tc>
          <w:tcPr>
            <w:tcW w:w="1985"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w:t>
            </w:r>
          </w:p>
        </w:tc>
        <w:tc>
          <w:tcPr>
            <w:tcW w:w="1984"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579,780</w:t>
            </w:r>
          </w:p>
        </w:tc>
      </w:tr>
    </w:tbl>
    <w:p w:rsidR="0063033D" w:rsidRDefault="0063033D" w:rsidP="008D1891">
      <w:pPr>
        <w:rPr>
          <w:rFonts w:cs="Arial"/>
          <w:b/>
          <w:bCs/>
          <w:sz w:val="18"/>
          <w:szCs w:val="18"/>
        </w:rPr>
      </w:pPr>
    </w:p>
    <w:p w:rsidR="0063033D" w:rsidRDefault="0063033D" w:rsidP="008D1891">
      <w:pPr>
        <w:rPr>
          <w:rFonts w:cs="Arial"/>
          <w:b/>
          <w:bCs/>
          <w:sz w:val="18"/>
          <w:szCs w:val="18"/>
        </w:rPr>
      </w:pPr>
    </w:p>
    <w:p w:rsidR="0063033D" w:rsidRDefault="0063033D" w:rsidP="008D1891">
      <w:pPr>
        <w:rPr>
          <w:rFonts w:cs="Arial"/>
          <w:b/>
          <w:szCs w:val="20"/>
        </w:rPr>
      </w:pPr>
      <w:r w:rsidRPr="006E77A3">
        <w:rPr>
          <w:rFonts w:cs="Arial"/>
          <w:b/>
          <w:szCs w:val="20"/>
        </w:rPr>
        <w:t>REPUBLIC OF KOREA (EDUCATION) - Scholarships on IP (Academy)</w:t>
      </w:r>
    </w:p>
    <w:p w:rsidR="0063033D" w:rsidRDefault="0063033D" w:rsidP="008D1891">
      <w:pPr>
        <w:rPr>
          <w:rFonts w:cs="Arial"/>
          <w:b/>
          <w:szCs w:val="20"/>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268"/>
        <w:gridCol w:w="4111"/>
      </w:tblGrid>
      <w:tr w:rsidR="0063033D" w:rsidRPr="002B7DE5" w:rsidTr="008D1891">
        <w:tc>
          <w:tcPr>
            <w:tcW w:w="9356" w:type="dxa"/>
            <w:gridSpan w:val="4"/>
            <w:tcBorders>
              <w:top w:val="single" w:sz="4" w:space="0" w:color="000000"/>
              <w:bottom w:val="single" w:sz="4" w:space="0" w:color="auto"/>
            </w:tcBorders>
            <w:shd w:val="clear" w:color="auto" w:fill="CCFFFF"/>
            <w:vAlign w:val="center"/>
          </w:tcPr>
          <w:p w:rsidR="0063033D" w:rsidRPr="002B7DE5" w:rsidRDefault="0063033D" w:rsidP="008D1891">
            <w:pPr>
              <w:keepNext/>
              <w:keepLines/>
              <w:tabs>
                <w:tab w:val="left" w:pos="1740"/>
              </w:tabs>
              <w:spacing w:before="120" w:after="120"/>
              <w:ind w:left="1740" w:hanging="1740"/>
              <w:rPr>
                <w:rFonts w:cs="Arial"/>
                <w:b/>
                <w:bCs/>
                <w:sz w:val="16"/>
                <w:szCs w:val="16"/>
              </w:rPr>
            </w:pPr>
            <w:r w:rsidRPr="00774D44">
              <w:rPr>
                <w:rFonts w:cs="Arial"/>
                <w:b/>
                <w:bCs/>
                <w:color w:val="000000"/>
                <w:sz w:val="16"/>
                <w:szCs w:val="16"/>
              </w:rPr>
              <w:t>RESULT</w:t>
            </w:r>
            <w:r w:rsidRPr="002B7DE5">
              <w:rPr>
                <w:rFonts w:cs="Arial"/>
                <w:b/>
                <w:bCs/>
                <w:sz w:val="16"/>
                <w:szCs w:val="16"/>
              </w:rPr>
              <w:t>:</w:t>
            </w:r>
            <w:r w:rsidRPr="002B7DE5">
              <w:rPr>
                <w:rFonts w:cs="Arial"/>
                <w:b/>
                <w:bCs/>
                <w:sz w:val="16"/>
                <w:szCs w:val="16"/>
              </w:rPr>
              <w:tab/>
            </w:r>
            <w:r w:rsidRPr="008230D2">
              <w:rPr>
                <w:rFonts w:cs="Arial"/>
                <w:bCs/>
                <w:sz w:val="16"/>
                <w:szCs w:val="16"/>
              </w:rPr>
              <w:t>III.2. Enhanced human resource capacities able to deal with the broad range of requirements for the effective use of IP for development in developing countries, LDCs and countries with economies in transition</w:t>
            </w:r>
          </w:p>
        </w:tc>
      </w:tr>
      <w:tr w:rsidR="0063033D" w:rsidRPr="002B7DE5" w:rsidTr="008D1891">
        <w:tc>
          <w:tcPr>
            <w:tcW w:w="1843" w:type="dxa"/>
            <w:tcBorders>
              <w:top w:val="single" w:sz="4" w:space="0" w:color="auto"/>
              <w:left w:val="single" w:sz="4" w:space="0" w:color="auto"/>
              <w:bottom w:val="nil"/>
            </w:tcBorders>
            <w:vAlign w:val="center"/>
          </w:tcPr>
          <w:p w:rsidR="0063033D" w:rsidRPr="002B7DE5" w:rsidRDefault="0063033D" w:rsidP="009375B7">
            <w:pPr>
              <w:rPr>
                <w:rFonts w:cs="Arial"/>
                <w:b/>
                <w:bCs/>
                <w:sz w:val="16"/>
                <w:szCs w:val="16"/>
              </w:rPr>
            </w:pPr>
            <w:r w:rsidRPr="002B7DE5">
              <w:rPr>
                <w:rFonts w:cs="Arial"/>
                <w:b/>
                <w:bCs/>
                <w:sz w:val="16"/>
                <w:szCs w:val="16"/>
              </w:rPr>
              <w:t>Activity</w:t>
            </w:r>
          </w:p>
        </w:tc>
        <w:tc>
          <w:tcPr>
            <w:tcW w:w="1134" w:type="dxa"/>
            <w:tcBorders>
              <w:top w:val="single" w:sz="4" w:space="0" w:color="auto"/>
              <w:bottom w:val="nil"/>
            </w:tcBorders>
            <w:shd w:val="clear" w:color="auto" w:fill="auto"/>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Date</w:t>
            </w:r>
          </w:p>
        </w:tc>
        <w:tc>
          <w:tcPr>
            <w:tcW w:w="2268" w:type="dxa"/>
            <w:tcBorders>
              <w:top w:val="single" w:sz="4" w:space="0" w:color="auto"/>
              <w:bottom w:val="nil"/>
            </w:tcBorders>
            <w:shd w:val="clear" w:color="auto" w:fill="auto"/>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111" w:type="dxa"/>
            <w:tcBorders>
              <w:top w:val="single" w:sz="4" w:space="0" w:color="auto"/>
              <w:bottom w:val="nil"/>
              <w:right w:val="single" w:sz="4" w:space="0" w:color="auto"/>
            </w:tcBorders>
            <w:shd w:val="clear" w:color="auto" w:fill="FFFFFF"/>
            <w:tcMar>
              <w:top w:w="110" w:type="dxa"/>
            </w:tcMar>
            <w:vAlign w:val="center"/>
          </w:tcPr>
          <w:p w:rsidR="0063033D" w:rsidRPr="002B7DE5" w:rsidRDefault="0063033D" w:rsidP="008D1891">
            <w:pPr>
              <w:keepNext/>
              <w:keepLines/>
              <w:rPr>
                <w:rFonts w:cs="Arial"/>
                <w:sz w:val="16"/>
                <w:szCs w:val="16"/>
              </w:rPr>
            </w:pPr>
            <w:r w:rsidRPr="002B7DE5">
              <w:rPr>
                <w:rFonts w:cs="Arial"/>
                <w:b/>
                <w:bCs/>
                <w:sz w:val="16"/>
                <w:szCs w:val="16"/>
              </w:rPr>
              <w:t>Purpose(s)/Description(s)</w:t>
            </w:r>
          </w:p>
        </w:tc>
      </w:tr>
      <w:tr w:rsidR="0063033D" w:rsidRPr="00774D44" w:rsidTr="008D1891">
        <w:trPr>
          <w:trHeight w:val="495"/>
        </w:trPr>
        <w:tc>
          <w:tcPr>
            <w:tcW w:w="1843" w:type="dxa"/>
            <w:tcBorders>
              <w:top w:val="nil"/>
              <w:left w:val="single" w:sz="4" w:space="0" w:color="auto"/>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Scholarships for the WIPO Academy – Queensland University of Technology (WIPO-QUT) Master of Laws in IP (MIP) Program</w:t>
            </w:r>
          </w:p>
        </w:tc>
        <w:tc>
          <w:tcPr>
            <w:tcW w:w="1134" w:type="dxa"/>
            <w:tcBorders>
              <w:top w:val="nil"/>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February 24 to November 3, 2014</w:t>
            </w:r>
          </w:p>
        </w:tc>
        <w:tc>
          <w:tcPr>
            <w:tcW w:w="2268" w:type="dxa"/>
            <w:tcBorders>
              <w:top w:val="nil"/>
              <w:bottom w:val="nil"/>
            </w:tcBorders>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Australia/ 6 students from Nepal and Republic of Korea (5) </w:t>
            </w:r>
          </w:p>
        </w:tc>
        <w:tc>
          <w:tcPr>
            <w:tcW w:w="4111" w:type="dxa"/>
            <w:tcBorders>
              <w:top w:val="nil"/>
              <w:bottom w:val="nil"/>
              <w:right w:val="single" w:sz="4" w:space="0" w:color="auto"/>
            </w:tcBorders>
          </w:tcPr>
          <w:p w:rsidR="0063033D" w:rsidRPr="00774D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To provide higher education for government officials and other IP experts to enhance their capacity for using IP and administering IP rights.</w:t>
            </w:r>
          </w:p>
        </w:tc>
      </w:tr>
      <w:tr w:rsidR="0063033D" w:rsidRPr="00774D44" w:rsidTr="008D1891">
        <w:trPr>
          <w:trHeight w:val="495"/>
        </w:trPr>
        <w:tc>
          <w:tcPr>
            <w:tcW w:w="1843" w:type="dxa"/>
            <w:tcBorders>
              <w:top w:val="nil"/>
              <w:left w:val="single" w:sz="4" w:space="0" w:color="auto"/>
              <w:bottom w:val="nil"/>
            </w:tcBorders>
          </w:tcPr>
          <w:p w:rsidR="0063033D" w:rsidRPr="00774D44" w:rsidRDefault="0063033D" w:rsidP="008D1891">
            <w:pPr>
              <w:autoSpaceDE w:val="0"/>
              <w:autoSpaceDN w:val="0"/>
              <w:adjustRightInd w:val="0"/>
              <w:spacing w:before="60" w:after="60"/>
              <w:rPr>
                <w:rFonts w:cs="Arial"/>
                <w:color w:val="000000"/>
                <w:sz w:val="16"/>
                <w:szCs w:val="16"/>
              </w:rPr>
            </w:pPr>
            <w:r>
              <w:rPr>
                <w:rFonts w:cs="Arial"/>
                <w:color w:val="000000"/>
                <w:sz w:val="16"/>
                <w:szCs w:val="16"/>
              </w:rPr>
              <w:t>Scholarships for the WIPO Academy-Seoul national university  (WIPO-SNU) MIP Program</w:t>
            </w:r>
          </w:p>
        </w:tc>
        <w:tc>
          <w:tcPr>
            <w:tcW w:w="1134" w:type="dxa"/>
            <w:tcBorders>
              <w:top w:val="nil"/>
              <w:bottom w:val="nil"/>
            </w:tcBorders>
          </w:tcPr>
          <w:p w:rsidR="0063033D" w:rsidRPr="00774D44" w:rsidRDefault="0063033D" w:rsidP="008D1891">
            <w:pPr>
              <w:autoSpaceDE w:val="0"/>
              <w:autoSpaceDN w:val="0"/>
              <w:adjustRightInd w:val="0"/>
              <w:spacing w:before="60" w:after="60"/>
              <w:rPr>
                <w:rFonts w:cs="Arial"/>
                <w:color w:val="000000"/>
                <w:sz w:val="16"/>
                <w:szCs w:val="16"/>
              </w:rPr>
            </w:pPr>
            <w:r>
              <w:rPr>
                <w:rFonts w:cs="Arial"/>
                <w:color w:val="000000"/>
                <w:sz w:val="16"/>
                <w:szCs w:val="16"/>
              </w:rPr>
              <w:t>September 2012 to June 2014</w:t>
            </w:r>
          </w:p>
        </w:tc>
        <w:tc>
          <w:tcPr>
            <w:tcW w:w="2268" w:type="dxa"/>
            <w:tcBorders>
              <w:top w:val="nil"/>
              <w:bottom w:val="nil"/>
            </w:tcBorders>
          </w:tcPr>
          <w:p w:rsidR="0063033D" w:rsidRPr="00774D44" w:rsidRDefault="0063033D" w:rsidP="008D1891">
            <w:pPr>
              <w:autoSpaceDE w:val="0"/>
              <w:autoSpaceDN w:val="0"/>
              <w:adjustRightInd w:val="0"/>
              <w:spacing w:before="60" w:after="60"/>
              <w:rPr>
                <w:rFonts w:cs="Arial"/>
                <w:color w:val="000000"/>
                <w:sz w:val="16"/>
                <w:szCs w:val="16"/>
              </w:rPr>
            </w:pPr>
            <w:r>
              <w:rPr>
                <w:rFonts w:cs="Arial"/>
                <w:color w:val="000000"/>
                <w:sz w:val="16"/>
                <w:szCs w:val="16"/>
              </w:rPr>
              <w:t>Republic of Korea/ 6 students from China (2), Malaysia, Philippines and Uzbekistan (2)</w:t>
            </w:r>
          </w:p>
        </w:tc>
        <w:tc>
          <w:tcPr>
            <w:tcW w:w="4111" w:type="dxa"/>
            <w:tcBorders>
              <w:top w:val="nil"/>
              <w:bottom w:val="nil"/>
              <w:right w:val="single" w:sz="4" w:space="0" w:color="auto"/>
            </w:tcBorders>
          </w:tcPr>
          <w:p w:rsidR="0063033D" w:rsidRPr="00774D44" w:rsidRDefault="0063033D" w:rsidP="008D1891">
            <w:pPr>
              <w:autoSpaceDE w:val="0"/>
              <w:autoSpaceDN w:val="0"/>
              <w:adjustRightInd w:val="0"/>
              <w:spacing w:before="60" w:after="60"/>
              <w:rPr>
                <w:rFonts w:cs="Arial"/>
                <w:color w:val="000000"/>
                <w:sz w:val="16"/>
                <w:szCs w:val="16"/>
              </w:rPr>
            </w:pPr>
            <w:r>
              <w:rPr>
                <w:rFonts w:cs="Arial"/>
                <w:color w:val="000000"/>
                <w:sz w:val="16"/>
                <w:szCs w:val="16"/>
              </w:rPr>
              <w:t>To provide higher education for government officials and other IP experts to enhance their capacity for using IP and administering IP rights.</w:t>
            </w:r>
          </w:p>
        </w:tc>
      </w:tr>
      <w:tr w:rsidR="0063033D" w:rsidRPr="00774D44" w:rsidTr="008D1891">
        <w:trPr>
          <w:trHeight w:val="495"/>
        </w:trPr>
        <w:tc>
          <w:tcPr>
            <w:tcW w:w="1843" w:type="dxa"/>
            <w:tcBorders>
              <w:top w:val="nil"/>
              <w:left w:val="single" w:sz="4" w:space="0" w:color="auto"/>
              <w:bottom w:val="single" w:sz="4" w:space="0" w:color="auto"/>
            </w:tcBorders>
          </w:tcPr>
          <w:p w:rsidR="0063033D" w:rsidRPr="00774D44" w:rsidRDefault="0063033D" w:rsidP="008D1891">
            <w:pPr>
              <w:autoSpaceDE w:val="0"/>
              <w:autoSpaceDN w:val="0"/>
              <w:adjustRightInd w:val="0"/>
              <w:spacing w:before="60" w:after="60"/>
              <w:rPr>
                <w:rFonts w:cs="Arial"/>
                <w:color w:val="000000"/>
                <w:sz w:val="16"/>
                <w:szCs w:val="16"/>
              </w:rPr>
            </w:pPr>
            <w:r>
              <w:rPr>
                <w:rFonts w:cs="Arial"/>
                <w:color w:val="000000"/>
                <w:sz w:val="16"/>
                <w:szCs w:val="16"/>
              </w:rPr>
              <w:t>Scholarships for the WIPO-Korea  Summer School</w:t>
            </w:r>
          </w:p>
        </w:tc>
        <w:tc>
          <w:tcPr>
            <w:tcW w:w="1134" w:type="dxa"/>
            <w:tcBorders>
              <w:top w:val="nil"/>
              <w:bottom w:val="single" w:sz="4" w:space="0" w:color="auto"/>
            </w:tcBorders>
          </w:tcPr>
          <w:p w:rsidR="0063033D" w:rsidRPr="00774D44" w:rsidRDefault="0063033D" w:rsidP="008D1891">
            <w:pPr>
              <w:autoSpaceDE w:val="0"/>
              <w:autoSpaceDN w:val="0"/>
              <w:adjustRightInd w:val="0"/>
              <w:spacing w:before="60" w:after="60"/>
              <w:rPr>
                <w:rFonts w:cs="Arial"/>
                <w:color w:val="000000"/>
                <w:sz w:val="16"/>
                <w:szCs w:val="16"/>
              </w:rPr>
            </w:pPr>
            <w:r>
              <w:rPr>
                <w:rFonts w:cs="Arial"/>
                <w:color w:val="000000"/>
                <w:sz w:val="16"/>
                <w:szCs w:val="16"/>
              </w:rPr>
              <w:t>July 14 to 25, 2014</w:t>
            </w:r>
          </w:p>
        </w:tc>
        <w:tc>
          <w:tcPr>
            <w:tcW w:w="2268" w:type="dxa"/>
            <w:tcBorders>
              <w:top w:val="nil"/>
              <w:bottom w:val="single" w:sz="4" w:space="0" w:color="auto"/>
            </w:tcBorders>
          </w:tcPr>
          <w:p w:rsidR="0063033D" w:rsidRPr="00774D44" w:rsidRDefault="0063033D" w:rsidP="008D1891">
            <w:pPr>
              <w:autoSpaceDE w:val="0"/>
              <w:autoSpaceDN w:val="0"/>
              <w:adjustRightInd w:val="0"/>
              <w:spacing w:before="60" w:after="60"/>
              <w:ind w:right="-108"/>
              <w:rPr>
                <w:rFonts w:cs="Arial"/>
                <w:color w:val="000000"/>
                <w:sz w:val="16"/>
                <w:szCs w:val="16"/>
              </w:rPr>
            </w:pPr>
            <w:r>
              <w:rPr>
                <w:rFonts w:cs="Arial"/>
                <w:color w:val="000000"/>
                <w:sz w:val="16"/>
                <w:szCs w:val="16"/>
              </w:rPr>
              <w:t>Republic of Korea/ 11 participants from Bangladesh, Cameroon, Egypt, Lesotho, Malaysia, Mongolia, Vietnam (2), Zambia (2), and Zimbabwe</w:t>
            </w:r>
          </w:p>
        </w:tc>
        <w:tc>
          <w:tcPr>
            <w:tcW w:w="4111" w:type="dxa"/>
            <w:tcBorders>
              <w:top w:val="nil"/>
              <w:bottom w:val="single" w:sz="4" w:space="0" w:color="auto"/>
              <w:right w:val="single" w:sz="4" w:space="0" w:color="auto"/>
            </w:tcBorders>
          </w:tcPr>
          <w:p w:rsidR="0063033D" w:rsidRPr="00774D44" w:rsidRDefault="0063033D" w:rsidP="008D1891">
            <w:pPr>
              <w:autoSpaceDE w:val="0"/>
              <w:autoSpaceDN w:val="0"/>
              <w:adjustRightInd w:val="0"/>
              <w:spacing w:before="60" w:after="60"/>
              <w:rPr>
                <w:rFonts w:cs="Arial"/>
                <w:color w:val="000000"/>
                <w:sz w:val="16"/>
                <w:szCs w:val="16"/>
              </w:rPr>
            </w:pPr>
            <w:r>
              <w:rPr>
                <w:rFonts w:cs="Arial"/>
                <w:color w:val="000000"/>
                <w:sz w:val="16"/>
                <w:szCs w:val="16"/>
              </w:rPr>
              <w:t>To: (</w:t>
            </w:r>
            <w:proofErr w:type="spellStart"/>
            <w:r>
              <w:rPr>
                <w:rFonts w:cs="Arial"/>
                <w:color w:val="000000"/>
                <w:sz w:val="16"/>
                <w:szCs w:val="16"/>
              </w:rPr>
              <w:t>i</w:t>
            </w:r>
            <w:proofErr w:type="spellEnd"/>
            <w:r>
              <w:rPr>
                <w:rFonts w:cs="Arial"/>
                <w:color w:val="000000"/>
                <w:sz w:val="16"/>
                <w:szCs w:val="16"/>
              </w:rPr>
              <w:t>) build the capacity of senior students and young professionals through deeper knowledge of IP rights-related fields:  and (ii) increase their understanding on the roles and functions of the IP system.</w:t>
            </w:r>
          </w:p>
        </w:tc>
      </w:tr>
    </w:tbl>
    <w:p w:rsidR="0063033D" w:rsidRDefault="0063033D" w:rsidP="008D1891"/>
    <w:p w:rsidR="0063033D" w:rsidRPr="00280DA3" w:rsidRDefault="0063033D" w:rsidP="008D1891">
      <w:pPr>
        <w:keepNext/>
        <w:keepLines/>
        <w:rPr>
          <w:rFonts w:cs="Arial"/>
          <w:b/>
          <w:sz w:val="18"/>
          <w:szCs w:val="18"/>
        </w:rPr>
      </w:pPr>
    </w:p>
    <w:p w:rsidR="0063033D" w:rsidRDefault="0063033D" w:rsidP="008D1891">
      <w:pPr>
        <w:keepNext/>
        <w:keepLines/>
        <w:rPr>
          <w:rFonts w:cs="Arial"/>
          <w:b/>
          <w:bCs/>
          <w:sz w:val="18"/>
          <w:szCs w:val="18"/>
        </w:rPr>
      </w:pPr>
      <w:r w:rsidRPr="00CF66FF">
        <w:rPr>
          <w:rFonts w:cs="Arial"/>
          <w:b/>
          <w:sz w:val="18"/>
          <w:szCs w:val="18"/>
        </w:rPr>
        <w:t>REPUBLIC OF KOREA (EDUCATION) - Scholarships on IP (Academy</w:t>
      </w:r>
      <w:r w:rsidRPr="00CF66FF">
        <w:rPr>
          <w:rFonts w:cs="Arial"/>
          <w:b/>
          <w:szCs w:val="20"/>
        </w:rPr>
        <w:t>)</w:t>
      </w:r>
      <w:r w:rsidRPr="00CF66FF">
        <w:rPr>
          <w:rFonts w:cs="Arial"/>
          <w:b/>
          <w:sz w:val="18"/>
          <w:szCs w:val="18"/>
        </w:rPr>
        <w:t xml:space="preserve"> Donor </w:t>
      </w:r>
      <w:r w:rsidRPr="00CF66FF">
        <w:rPr>
          <w:rFonts w:cs="Arial"/>
          <w:b/>
          <w:bCs/>
          <w:sz w:val="18"/>
          <w:szCs w:val="18"/>
        </w:rPr>
        <w:t>Contributions and Expenditure in 201</w:t>
      </w:r>
      <w:r>
        <w:rPr>
          <w:rFonts w:cs="Arial"/>
          <w:b/>
          <w:bCs/>
          <w:sz w:val="18"/>
          <w:szCs w:val="18"/>
        </w:rPr>
        <w:t>4</w:t>
      </w:r>
    </w:p>
    <w:p w:rsidR="0063033D" w:rsidRDefault="0063033D" w:rsidP="008D1891">
      <w:pPr>
        <w:keepNext/>
        <w:keepLines/>
        <w:rPr>
          <w:rFonts w:cs="Arial"/>
          <w:b/>
          <w:bCs/>
          <w:sz w:val="18"/>
          <w:szCs w:val="18"/>
        </w:rPr>
      </w:pPr>
    </w:p>
    <w:tbl>
      <w:tblPr>
        <w:tblW w:w="9087" w:type="dxa"/>
        <w:tblInd w:w="93" w:type="dxa"/>
        <w:tblLook w:val="04A0" w:firstRow="1" w:lastRow="0" w:firstColumn="1" w:lastColumn="0" w:noHBand="0" w:noVBand="1"/>
      </w:tblPr>
      <w:tblGrid>
        <w:gridCol w:w="1858"/>
        <w:gridCol w:w="1559"/>
        <w:gridCol w:w="1701"/>
        <w:gridCol w:w="1985"/>
        <w:gridCol w:w="1984"/>
      </w:tblGrid>
      <w:tr w:rsidR="0063033D" w:rsidTr="008D1891">
        <w:trPr>
          <w:trHeight w:val="446"/>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2013</w:t>
            </w:r>
          </w:p>
        </w:tc>
        <w:tc>
          <w:tcPr>
            <w:tcW w:w="1559"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Income 2014</w:t>
            </w:r>
          </w:p>
        </w:tc>
        <w:tc>
          <w:tcPr>
            <w:tcW w:w="1701"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Expenditure 2014</w:t>
            </w:r>
          </w:p>
        </w:tc>
        <w:tc>
          <w:tcPr>
            <w:tcW w:w="1985"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Reimbursements</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2014</w:t>
            </w:r>
          </w:p>
        </w:tc>
      </w:tr>
      <w:tr w:rsidR="0063033D" w:rsidTr="008D1891">
        <w:trPr>
          <w:trHeight w:val="478"/>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247,488</w:t>
            </w:r>
          </w:p>
        </w:tc>
        <w:tc>
          <w:tcPr>
            <w:tcW w:w="1559"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174,193</w:t>
            </w:r>
          </w:p>
        </w:tc>
        <w:tc>
          <w:tcPr>
            <w:tcW w:w="1701"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144,955</w:t>
            </w:r>
          </w:p>
        </w:tc>
        <w:tc>
          <w:tcPr>
            <w:tcW w:w="1985"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w:t>
            </w:r>
          </w:p>
        </w:tc>
        <w:tc>
          <w:tcPr>
            <w:tcW w:w="1984"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276,726</w:t>
            </w:r>
          </w:p>
        </w:tc>
      </w:tr>
    </w:tbl>
    <w:p w:rsidR="0063033D" w:rsidRDefault="0063033D" w:rsidP="008D1891">
      <w:pPr>
        <w:rPr>
          <w:rFonts w:cs="Arial"/>
          <w:b/>
          <w:szCs w:val="20"/>
        </w:rPr>
      </w:pPr>
    </w:p>
    <w:p w:rsidR="0063033D" w:rsidRDefault="0063033D" w:rsidP="008D1891">
      <w:pPr>
        <w:rPr>
          <w:rFonts w:cs="Arial"/>
          <w:b/>
          <w:szCs w:val="20"/>
        </w:rPr>
      </w:pPr>
    </w:p>
    <w:p w:rsidR="0063033D" w:rsidRDefault="0063033D" w:rsidP="008D1891">
      <w:pPr>
        <w:keepNext/>
        <w:keepLines/>
        <w:rPr>
          <w:rFonts w:cs="Arial"/>
          <w:b/>
          <w:szCs w:val="20"/>
        </w:rPr>
      </w:pPr>
      <w:r w:rsidRPr="00BF236C">
        <w:rPr>
          <w:rFonts w:cs="Arial"/>
          <w:b/>
          <w:szCs w:val="20"/>
        </w:rPr>
        <w:t>REPUBLIC OF KOREA</w:t>
      </w:r>
      <w:r>
        <w:rPr>
          <w:rFonts w:cs="Arial"/>
          <w:b/>
          <w:szCs w:val="20"/>
        </w:rPr>
        <w:t>/ INTELLECTUAL PROPERTY</w:t>
      </w:r>
    </w:p>
    <w:p w:rsidR="0063033D" w:rsidRDefault="0063033D" w:rsidP="008D1891">
      <w:pPr>
        <w:keepNext/>
        <w:keepLines/>
        <w:rPr>
          <w:rFonts w:cs="Arial"/>
          <w:b/>
          <w:szCs w:val="20"/>
        </w:rPr>
      </w:pPr>
    </w:p>
    <w:tbl>
      <w:tblPr>
        <w:tblW w:w="9386"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843"/>
        <w:gridCol w:w="4536"/>
      </w:tblGrid>
      <w:tr w:rsidR="0063033D" w:rsidRPr="004A7041" w:rsidTr="008D1891">
        <w:tc>
          <w:tcPr>
            <w:tcW w:w="9386" w:type="dxa"/>
            <w:gridSpan w:val="4"/>
            <w:tcBorders>
              <w:top w:val="single" w:sz="4" w:space="0" w:color="000000"/>
              <w:bottom w:val="single" w:sz="4" w:space="0" w:color="000000"/>
            </w:tcBorders>
            <w:shd w:val="clear" w:color="auto" w:fill="CCFFFF"/>
            <w:vAlign w:val="center"/>
          </w:tcPr>
          <w:p w:rsidR="0063033D" w:rsidRPr="004A7041" w:rsidRDefault="0063033D" w:rsidP="008D1891">
            <w:pPr>
              <w:keepNext/>
              <w:keepLines/>
              <w:tabs>
                <w:tab w:val="left" w:pos="1740"/>
              </w:tabs>
              <w:spacing w:before="120" w:after="120"/>
              <w:ind w:left="1740" w:hanging="1740"/>
              <w:rPr>
                <w:rFonts w:cs="Arial"/>
                <w:b/>
                <w:bCs/>
                <w:sz w:val="16"/>
                <w:szCs w:val="16"/>
              </w:rPr>
            </w:pPr>
            <w:r w:rsidRPr="004A7041">
              <w:rPr>
                <w:rFonts w:cs="Arial"/>
                <w:b/>
                <w:bCs/>
                <w:color w:val="000000"/>
                <w:sz w:val="16"/>
                <w:szCs w:val="16"/>
              </w:rPr>
              <w:t>RESULT</w:t>
            </w:r>
            <w:r w:rsidRPr="004A7041">
              <w:rPr>
                <w:rFonts w:cs="Arial"/>
                <w:b/>
                <w:bCs/>
                <w:sz w:val="16"/>
                <w:szCs w:val="16"/>
              </w:rPr>
              <w:t>:</w:t>
            </w:r>
            <w:r w:rsidRPr="004A7041">
              <w:rPr>
                <w:rFonts w:cs="Arial"/>
                <w:b/>
                <w:bCs/>
                <w:sz w:val="16"/>
                <w:szCs w:val="16"/>
              </w:rPr>
              <w:tab/>
            </w:r>
            <w:r w:rsidRPr="008230D2">
              <w:rPr>
                <w:rFonts w:cs="Arial"/>
                <w:bCs/>
                <w:color w:val="000000"/>
                <w:sz w:val="16"/>
                <w:szCs w:val="16"/>
              </w:rPr>
              <w:t>I.2.  Tailored and balanced IP legislative, regulatory and policy frameworks</w:t>
            </w:r>
          </w:p>
        </w:tc>
      </w:tr>
      <w:tr w:rsidR="0063033D" w:rsidRPr="004A7041" w:rsidTr="008D1891">
        <w:tc>
          <w:tcPr>
            <w:tcW w:w="1873" w:type="dxa"/>
            <w:tcBorders>
              <w:top w:val="single" w:sz="4" w:space="0" w:color="000000"/>
            </w:tcBorders>
            <w:vAlign w:val="center"/>
          </w:tcPr>
          <w:p w:rsidR="0063033D" w:rsidRPr="004A7041" w:rsidRDefault="0063033D" w:rsidP="008D1891">
            <w:pPr>
              <w:keepNext/>
              <w:keepLines/>
              <w:rPr>
                <w:rFonts w:cs="Arial"/>
                <w:b/>
                <w:bCs/>
                <w:sz w:val="16"/>
                <w:szCs w:val="16"/>
              </w:rPr>
            </w:pPr>
            <w:r w:rsidRPr="004A7041">
              <w:rPr>
                <w:rFonts w:cs="Arial"/>
                <w:b/>
                <w:bCs/>
                <w:sz w:val="16"/>
                <w:szCs w:val="16"/>
              </w:rPr>
              <w:t>Activity</w:t>
            </w:r>
          </w:p>
        </w:tc>
        <w:tc>
          <w:tcPr>
            <w:tcW w:w="1134" w:type="dxa"/>
            <w:tcBorders>
              <w:top w:val="single" w:sz="4" w:space="0" w:color="000000"/>
            </w:tcBorders>
            <w:shd w:val="clear" w:color="auto" w:fill="auto"/>
            <w:tcMar>
              <w:top w:w="110" w:type="dxa"/>
            </w:tcMar>
            <w:vAlign w:val="center"/>
          </w:tcPr>
          <w:p w:rsidR="0063033D" w:rsidRPr="004A7041" w:rsidRDefault="0063033D" w:rsidP="008D1891">
            <w:pPr>
              <w:keepNext/>
              <w:keepLines/>
              <w:rPr>
                <w:rFonts w:cs="Arial"/>
                <w:sz w:val="16"/>
                <w:szCs w:val="16"/>
              </w:rPr>
            </w:pPr>
            <w:r w:rsidRPr="004A7041">
              <w:rPr>
                <w:rFonts w:cs="Arial"/>
                <w:b/>
                <w:bCs/>
                <w:sz w:val="16"/>
                <w:szCs w:val="16"/>
              </w:rPr>
              <w:t>Date</w:t>
            </w:r>
          </w:p>
        </w:tc>
        <w:tc>
          <w:tcPr>
            <w:tcW w:w="1843" w:type="dxa"/>
            <w:tcBorders>
              <w:top w:val="single" w:sz="4" w:space="0" w:color="000000"/>
            </w:tcBorders>
            <w:shd w:val="clear" w:color="auto" w:fill="auto"/>
            <w:tcMar>
              <w:top w:w="110" w:type="dxa"/>
            </w:tcMar>
            <w:vAlign w:val="center"/>
          </w:tcPr>
          <w:p w:rsidR="0063033D" w:rsidRPr="004A7041" w:rsidRDefault="0063033D" w:rsidP="008D1891">
            <w:pPr>
              <w:keepNext/>
              <w:keepLines/>
              <w:rPr>
                <w:rFonts w:cs="Arial"/>
                <w:sz w:val="16"/>
                <w:szCs w:val="16"/>
              </w:rPr>
            </w:pPr>
            <w:r w:rsidRPr="004A7041">
              <w:rPr>
                <w:rFonts w:cs="Arial"/>
                <w:b/>
                <w:bCs/>
                <w:sz w:val="16"/>
                <w:szCs w:val="16"/>
              </w:rPr>
              <w:t>Host Country/</w:t>
            </w:r>
            <w:r w:rsidRPr="004A7041">
              <w:rPr>
                <w:rFonts w:cs="Arial"/>
                <w:b/>
                <w:bCs/>
                <w:sz w:val="16"/>
                <w:szCs w:val="16"/>
              </w:rPr>
              <w:br/>
              <w:t>Recipients</w:t>
            </w:r>
          </w:p>
        </w:tc>
        <w:tc>
          <w:tcPr>
            <w:tcW w:w="4536" w:type="dxa"/>
            <w:tcBorders>
              <w:top w:val="single" w:sz="4" w:space="0" w:color="000000"/>
            </w:tcBorders>
            <w:shd w:val="clear" w:color="auto" w:fill="FFFFFF"/>
            <w:tcMar>
              <w:top w:w="110" w:type="dxa"/>
            </w:tcMar>
            <w:vAlign w:val="center"/>
          </w:tcPr>
          <w:p w:rsidR="0063033D" w:rsidRPr="004A7041" w:rsidRDefault="0063033D" w:rsidP="008D1891">
            <w:pPr>
              <w:keepNext/>
              <w:keepLines/>
              <w:rPr>
                <w:rFonts w:cs="Arial"/>
                <w:sz w:val="16"/>
                <w:szCs w:val="16"/>
              </w:rPr>
            </w:pPr>
            <w:r w:rsidRPr="004A7041">
              <w:rPr>
                <w:rFonts w:cs="Arial"/>
                <w:b/>
                <w:bCs/>
                <w:sz w:val="16"/>
                <w:szCs w:val="16"/>
              </w:rPr>
              <w:t>Purpose(s)/Description(s)</w:t>
            </w:r>
          </w:p>
        </w:tc>
      </w:tr>
      <w:tr w:rsidR="0063033D" w:rsidRPr="004A7041" w:rsidTr="008D1891">
        <w:tc>
          <w:tcPr>
            <w:tcW w:w="1873" w:type="dxa"/>
          </w:tcPr>
          <w:p w:rsidR="0063033D" w:rsidRPr="004A7041" w:rsidRDefault="0063033D" w:rsidP="008D1891">
            <w:pPr>
              <w:autoSpaceDE w:val="0"/>
              <w:autoSpaceDN w:val="0"/>
              <w:adjustRightInd w:val="0"/>
              <w:spacing w:before="120" w:after="120"/>
              <w:rPr>
                <w:rFonts w:cs="Arial"/>
                <w:color w:val="000000"/>
                <w:sz w:val="16"/>
                <w:szCs w:val="16"/>
              </w:rPr>
            </w:pPr>
            <w:r w:rsidRPr="000C0DD9">
              <w:rPr>
                <w:rFonts w:cs="Arial"/>
                <w:color w:val="000000"/>
                <w:sz w:val="16"/>
                <w:szCs w:val="16"/>
              </w:rPr>
              <w:t xml:space="preserve">Production of a Guide on </w:t>
            </w:r>
            <w:r w:rsidRPr="000C0DD9">
              <w:rPr>
                <w:rFonts w:cs="Arial"/>
                <w:color w:val="000000"/>
                <w:sz w:val="16"/>
                <w:szCs w:val="16"/>
                <w:lang w:eastAsia="ko-KR"/>
              </w:rPr>
              <w:t>Alternative Dispute Resolution (ADR)</w:t>
            </w:r>
            <w:r w:rsidRPr="000C0DD9">
              <w:rPr>
                <w:rFonts w:cs="Arial"/>
                <w:color w:val="000000"/>
                <w:sz w:val="16"/>
                <w:szCs w:val="16"/>
              </w:rPr>
              <w:t xml:space="preserve"> Procedures</w:t>
            </w:r>
          </w:p>
        </w:tc>
        <w:tc>
          <w:tcPr>
            <w:tcW w:w="1134" w:type="dxa"/>
          </w:tcPr>
          <w:p w:rsidR="0063033D" w:rsidRPr="004A7041" w:rsidRDefault="0063033D" w:rsidP="008D1891">
            <w:pPr>
              <w:autoSpaceDE w:val="0"/>
              <w:autoSpaceDN w:val="0"/>
              <w:adjustRightInd w:val="0"/>
              <w:spacing w:before="120" w:after="120"/>
              <w:rPr>
                <w:rFonts w:cs="Arial"/>
                <w:color w:val="000000"/>
                <w:sz w:val="16"/>
                <w:szCs w:val="16"/>
                <w:lang w:eastAsia="ko-KR"/>
              </w:rPr>
            </w:pPr>
            <w:r w:rsidRPr="00B646CF">
              <w:rPr>
                <w:rFonts w:eastAsia="Malgun Gothic" w:cs="Arial" w:hint="eastAsia"/>
                <w:color w:val="000000"/>
                <w:sz w:val="16"/>
                <w:szCs w:val="16"/>
                <w:lang w:eastAsia="ko-KR"/>
              </w:rPr>
              <w:t>October</w:t>
            </w:r>
            <w:r>
              <w:rPr>
                <w:rFonts w:cs="Arial" w:hint="eastAsia"/>
                <w:color w:val="000000"/>
                <w:sz w:val="16"/>
                <w:szCs w:val="16"/>
                <w:lang w:eastAsia="ko-KR"/>
              </w:rPr>
              <w:t xml:space="preserve"> 201</w:t>
            </w:r>
            <w:r w:rsidRPr="00B646CF">
              <w:rPr>
                <w:rFonts w:eastAsia="Malgun Gothic" w:cs="Arial" w:hint="eastAsia"/>
                <w:color w:val="000000"/>
                <w:sz w:val="16"/>
                <w:szCs w:val="16"/>
                <w:lang w:eastAsia="ko-KR"/>
              </w:rPr>
              <w:t>4</w:t>
            </w:r>
            <w:r>
              <w:rPr>
                <w:rFonts w:cs="Arial" w:hint="eastAsia"/>
                <w:color w:val="000000"/>
                <w:sz w:val="16"/>
                <w:szCs w:val="16"/>
                <w:lang w:eastAsia="ko-KR"/>
              </w:rPr>
              <w:t xml:space="preserve"> </w:t>
            </w:r>
            <w:r>
              <w:rPr>
                <w:rFonts w:cs="Arial"/>
                <w:color w:val="000000"/>
                <w:sz w:val="16"/>
                <w:szCs w:val="16"/>
                <w:lang w:eastAsia="ko-KR"/>
              </w:rPr>
              <w:t>(I</w:t>
            </w:r>
            <w:r>
              <w:rPr>
                <w:rFonts w:cs="Arial" w:hint="eastAsia"/>
                <w:color w:val="000000"/>
                <w:sz w:val="16"/>
                <w:szCs w:val="16"/>
                <w:lang w:eastAsia="ko-KR"/>
              </w:rPr>
              <w:t>nitiated</w:t>
            </w:r>
            <w:r>
              <w:rPr>
                <w:rFonts w:cs="Arial"/>
                <w:color w:val="000000"/>
                <w:sz w:val="16"/>
                <w:szCs w:val="16"/>
                <w:lang w:eastAsia="ko-KR"/>
              </w:rPr>
              <w:t>)</w:t>
            </w:r>
          </w:p>
        </w:tc>
        <w:tc>
          <w:tcPr>
            <w:tcW w:w="1843" w:type="dxa"/>
          </w:tcPr>
          <w:p w:rsidR="0063033D" w:rsidRPr="004A7041" w:rsidRDefault="0063033D" w:rsidP="008D1891">
            <w:pPr>
              <w:autoSpaceDE w:val="0"/>
              <w:autoSpaceDN w:val="0"/>
              <w:adjustRightInd w:val="0"/>
              <w:spacing w:before="120" w:after="120"/>
              <w:rPr>
                <w:rFonts w:cs="Arial"/>
                <w:color w:val="000000"/>
                <w:sz w:val="16"/>
                <w:szCs w:val="16"/>
              </w:rPr>
            </w:pPr>
            <w:r w:rsidRPr="0097207F">
              <w:rPr>
                <w:rFonts w:cs="Arial" w:hint="eastAsia"/>
                <w:bCs/>
                <w:sz w:val="16"/>
                <w:szCs w:val="16"/>
                <w:lang w:eastAsia="ko-KR"/>
              </w:rPr>
              <w:t>All WIPO Member States</w:t>
            </w:r>
          </w:p>
        </w:tc>
        <w:tc>
          <w:tcPr>
            <w:tcW w:w="4536" w:type="dxa"/>
          </w:tcPr>
          <w:p w:rsidR="0063033D" w:rsidRPr="004A7041" w:rsidRDefault="0063033D" w:rsidP="008D1891">
            <w:pPr>
              <w:autoSpaceDE w:val="0"/>
              <w:autoSpaceDN w:val="0"/>
              <w:adjustRightInd w:val="0"/>
              <w:spacing w:before="120" w:after="120"/>
              <w:rPr>
                <w:rFonts w:cs="Arial"/>
                <w:color w:val="000000"/>
                <w:sz w:val="16"/>
                <w:szCs w:val="16"/>
                <w:lang w:eastAsia="ko-KR"/>
              </w:rPr>
            </w:pPr>
            <w:r w:rsidRPr="00B646CF">
              <w:rPr>
                <w:rFonts w:eastAsia="Malgun Gothic" w:cs="Arial" w:hint="eastAsia"/>
                <w:color w:val="000000"/>
                <w:sz w:val="16"/>
                <w:szCs w:val="16"/>
                <w:lang w:eastAsia="ko-KR"/>
              </w:rPr>
              <w:t>T</w:t>
            </w:r>
            <w:r w:rsidRPr="000C0DD9">
              <w:rPr>
                <w:rFonts w:cs="Arial"/>
                <w:color w:val="000000"/>
                <w:sz w:val="16"/>
                <w:szCs w:val="16"/>
                <w:lang w:eastAsia="ko-KR"/>
              </w:rPr>
              <w:t>o</w:t>
            </w:r>
            <w:r>
              <w:rPr>
                <w:rFonts w:cs="Arial"/>
                <w:color w:val="000000"/>
                <w:sz w:val="16"/>
                <w:szCs w:val="16"/>
                <w:lang w:eastAsia="ko-KR"/>
              </w:rPr>
              <w:t>: (</w:t>
            </w:r>
            <w:proofErr w:type="spellStart"/>
            <w:r>
              <w:rPr>
                <w:rFonts w:cs="Arial"/>
                <w:color w:val="000000"/>
                <w:sz w:val="16"/>
                <w:szCs w:val="16"/>
                <w:lang w:eastAsia="ko-KR"/>
              </w:rPr>
              <w:t>i</w:t>
            </w:r>
            <w:proofErr w:type="spellEnd"/>
            <w:r>
              <w:rPr>
                <w:rFonts w:cs="Arial"/>
                <w:color w:val="000000"/>
                <w:sz w:val="16"/>
                <w:szCs w:val="16"/>
                <w:lang w:eastAsia="ko-KR"/>
              </w:rPr>
              <w:t>)</w:t>
            </w:r>
            <w:r w:rsidRPr="000C0DD9">
              <w:rPr>
                <w:rFonts w:cs="Arial"/>
                <w:color w:val="000000"/>
                <w:sz w:val="16"/>
                <w:szCs w:val="16"/>
                <w:lang w:eastAsia="ko-KR"/>
              </w:rPr>
              <w:t xml:space="preserve"> provide a better understanding of ADR procedures in IP disputes</w:t>
            </w:r>
            <w:r>
              <w:rPr>
                <w:rFonts w:eastAsia="Malgun Gothic" w:cs="Arial"/>
                <w:color w:val="000000"/>
                <w:sz w:val="16"/>
                <w:szCs w:val="16"/>
                <w:lang w:eastAsia="ko-KR"/>
              </w:rPr>
              <w:t>; (ii)</w:t>
            </w:r>
            <w:r w:rsidRPr="000C0DD9">
              <w:rPr>
                <w:rFonts w:cs="Arial"/>
                <w:color w:val="000000"/>
                <w:sz w:val="16"/>
                <w:szCs w:val="16"/>
                <w:lang w:eastAsia="ko-KR"/>
              </w:rPr>
              <w:t xml:space="preserve"> share the WIPO Center’s experience in ADR with national ADR authorities</w:t>
            </w:r>
            <w:r>
              <w:rPr>
                <w:rFonts w:eastAsia="Malgun Gothic" w:cs="Arial"/>
                <w:color w:val="000000"/>
                <w:sz w:val="16"/>
                <w:szCs w:val="16"/>
                <w:lang w:eastAsia="ko-KR"/>
              </w:rPr>
              <w:t>; (iii)</w:t>
            </w:r>
            <w:r w:rsidRPr="000C0DD9">
              <w:rPr>
                <w:rFonts w:cs="Arial"/>
                <w:color w:val="000000"/>
                <w:sz w:val="16"/>
                <w:szCs w:val="16"/>
                <w:lang w:eastAsia="ko-KR"/>
              </w:rPr>
              <w:t xml:space="preserve"> and encourage the developing countries to develop and implement appropriate ADR procedures</w:t>
            </w:r>
            <w:r>
              <w:rPr>
                <w:rFonts w:cs="Arial"/>
                <w:color w:val="000000"/>
                <w:sz w:val="16"/>
                <w:szCs w:val="16"/>
                <w:lang w:eastAsia="ko-KR"/>
              </w:rPr>
              <w:t>.</w:t>
            </w:r>
          </w:p>
        </w:tc>
      </w:tr>
      <w:tr w:rsidR="0063033D" w:rsidRPr="004A7041" w:rsidTr="008D1891">
        <w:tc>
          <w:tcPr>
            <w:tcW w:w="9386" w:type="dxa"/>
            <w:gridSpan w:val="4"/>
            <w:tcBorders>
              <w:top w:val="single" w:sz="4" w:space="0" w:color="000000"/>
              <w:bottom w:val="single" w:sz="4" w:space="0" w:color="000000"/>
            </w:tcBorders>
            <w:shd w:val="clear" w:color="auto" w:fill="CCFFFF"/>
            <w:vAlign w:val="center"/>
          </w:tcPr>
          <w:p w:rsidR="0063033D" w:rsidRPr="004A7041" w:rsidRDefault="0063033D" w:rsidP="008D1891">
            <w:pPr>
              <w:tabs>
                <w:tab w:val="left" w:pos="1740"/>
              </w:tabs>
              <w:spacing w:before="120" w:after="120"/>
              <w:ind w:left="1740" w:hanging="1740"/>
              <w:rPr>
                <w:rFonts w:cs="Arial"/>
                <w:b/>
                <w:bCs/>
                <w:sz w:val="16"/>
                <w:szCs w:val="16"/>
              </w:rPr>
            </w:pPr>
            <w:r w:rsidRPr="004A7041">
              <w:rPr>
                <w:rFonts w:cs="Arial"/>
                <w:b/>
                <w:bCs/>
                <w:color w:val="000000"/>
                <w:sz w:val="16"/>
                <w:szCs w:val="16"/>
              </w:rPr>
              <w:t>RESULT</w:t>
            </w:r>
            <w:r w:rsidRPr="004A7041">
              <w:rPr>
                <w:rFonts w:cs="Arial"/>
                <w:b/>
                <w:bCs/>
                <w:sz w:val="16"/>
                <w:szCs w:val="16"/>
              </w:rPr>
              <w:t>:</w:t>
            </w:r>
            <w:r w:rsidRPr="004A7041">
              <w:rPr>
                <w:rFonts w:cs="Arial"/>
                <w:b/>
                <w:bCs/>
                <w:sz w:val="16"/>
                <w:szCs w:val="16"/>
              </w:rPr>
              <w:tab/>
            </w:r>
            <w:r w:rsidRPr="008230D2">
              <w:rPr>
                <w:rFonts w:cs="Arial"/>
                <w:bCs/>
                <w:color w:val="000000"/>
                <w:sz w:val="16"/>
                <w:szCs w:val="16"/>
              </w:rPr>
              <w:t>III.1. National innovation and IP strategies and plans consistent with national development</w:t>
            </w:r>
          </w:p>
        </w:tc>
      </w:tr>
      <w:tr w:rsidR="0063033D" w:rsidRPr="004A7041" w:rsidTr="008D1891">
        <w:tc>
          <w:tcPr>
            <w:tcW w:w="1873" w:type="dxa"/>
            <w:tcBorders>
              <w:top w:val="single" w:sz="4" w:space="0" w:color="000000"/>
            </w:tcBorders>
            <w:vAlign w:val="center"/>
          </w:tcPr>
          <w:p w:rsidR="0063033D" w:rsidRPr="004A7041" w:rsidRDefault="0063033D" w:rsidP="008D1891">
            <w:pPr>
              <w:rPr>
                <w:rFonts w:cs="Arial"/>
                <w:b/>
                <w:bCs/>
                <w:sz w:val="16"/>
                <w:szCs w:val="16"/>
              </w:rPr>
            </w:pPr>
            <w:r w:rsidRPr="004A7041">
              <w:rPr>
                <w:rFonts w:cs="Arial"/>
                <w:b/>
                <w:bCs/>
                <w:sz w:val="16"/>
                <w:szCs w:val="16"/>
              </w:rPr>
              <w:t>Activity</w:t>
            </w:r>
          </w:p>
        </w:tc>
        <w:tc>
          <w:tcPr>
            <w:tcW w:w="1134" w:type="dxa"/>
            <w:tcBorders>
              <w:top w:val="single" w:sz="4" w:space="0" w:color="000000"/>
            </w:tcBorders>
            <w:shd w:val="clear" w:color="auto" w:fill="auto"/>
            <w:tcMar>
              <w:top w:w="110" w:type="dxa"/>
            </w:tcMar>
            <w:vAlign w:val="center"/>
          </w:tcPr>
          <w:p w:rsidR="0063033D" w:rsidRPr="004A7041" w:rsidRDefault="0063033D" w:rsidP="008D1891">
            <w:pPr>
              <w:rPr>
                <w:rFonts w:cs="Arial"/>
                <w:sz w:val="16"/>
                <w:szCs w:val="16"/>
              </w:rPr>
            </w:pPr>
            <w:r w:rsidRPr="004A7041">
              <w:rPr>
                <w:rFonts w:cs="Arial"/>
                <w:b/>
                <w:bCs/>
                <w:sz w:val="16"/>
                <w:szCs w:val="16"/>
              </w:rPr>
              <w:t>Date</w:t>
            </w:r>
          </w:p>
        </w:tc>
        <w:tc>
          <w:tcPr>
            <w:tcW w:w="1843" w:type="dxa"/>
            <w:tcBorders>
              <w:top w:val="single" w:sz="4" w:space="0" w:color="000000"/>
            </w:tcBorders>
            <w:shd w:val="clear" w:color="auto" w:fill="auto"/>
            <w:tcMar>
              <w:top w:w="110" w:type="dxa"/>
            </w:tcMar>
            <w:vAlign w:val="center"/>
          </w:tcPr>
          <w:p w:rsidR="0063033D" w:rsidRPr="004A7041" w:rsidRDefault="0063033D" w:rsidP="008D1891">
            <w:pPr>
              <w:rPr>
                <w:rFonts w:cs="Arial"/>
                <w:sz w:val="16"/>
                <w:szCs w:val="16"/>
              </w:rPr>
            </w:pPr>
            <w:r w:rsidRPr="004A7041">
              <w:rPr>
                <w:rFonts w:cs="Arial"/>
                <w:b/>
                <w:bCs/>
                <w:sz w:val="16"/>
                <w:szCs w:val="16"/>
              </w:rPr>
              <w:t>Host Country/</w:t>
            </w:r>
            <w:r w:rsidRPr="004A7041">
              <w:rPr>
                <w:rFonts w:cs="Arial"/>
                <w:b/>
                <w:bCs/>
                <w:sz w:val="16"/>
                <w:szCs w:val="16"/>
              </w:rPr>
              <w:br/>
              <w:t>Recipients</w:t>
            </w:r>
          </w:p>
        </w:tc>
        <w:tc>
          <w:tcPr>
            <w:tcW w:w="4536" w:type="dxa"/>
            <w:tcBorders>
              <w:top w:val="single" w:sz="4" w:space="0" w:color="000000"/>
            </w:tcBorders>
            <w:shd w:val="clear" w:color="auto" w:fill="FFFFFF"/>
            <w:tcMar>
              <w:top w:w="110" w:type="dxa"/>
            </w:tcMar>
            <w:vAlign w:val="center"/>
          </w:tcPr>
          <w:p w:rsidR="0063033D" w:rsidRPr="004A7041" w:rsidRDefault="0063033D" w:rsidP="008D1891">
            <w:pPr>
              <w:rPr>
                <w:rFonts w:cs="Arial"/>
                <w:sz w:val="16"/>
                <w:szCs w:val="16"/>
              </w:rPr>
            </w:pPr>
            <w:r w:rsidRPr="004A7041">
              <w:rPr>
                <w:rFonts w:cs="Arial"/>
                <w:b/>
                <w:bCs/>
                <w:sz w:val="16"/>
                <w:szCs w:val="16"/>
              </w:rPr>
              <w:t>Purpose(s)/Description(s)</w:t>
            </w:r>
          </w:p>
        </w:tc>
      </w:tr>
      <w:tr w:rsidR="0063033D" w:rsidRPr="004A7041" w:rsidTr="008D1891">
        <w:tc>
          <w:tcPr>
            <w:tcW w:w="1873" w:type="dxa"/>
          </w:tcPr>
          <w:p w:rsidR="0063033D" w:rsidRDefault="0063033D" w:rsidP="008D1891">
            <w:pPr>
              <w:spacing w:before="60" w:after="60"/>
              <w:rPr>
                <w:rFonts w:cs="Arial"/>
                <w:color w:val="000000"/>
                <w:sz w:val="16"/>
                <w:szCs w:val="16"/>
                <w:lang w:eastAsia="ko-KR"/>
              </w:rPr>
            </w:pPr>
            <w:r>
              <w:rPr>
                <w:rFonts w:cs="Arial" w:hint="eastAsia"/>
                <w:color w:val="000000"/>
                <w:sz w:val="16"/>
                <w:szCs w:val="16"/>
                <w:lang w:eastAsia="ko-KR"/>
              </w:rPr>
              <w:t>Study Visit</w:t>
            </w:r>
          </w:p>
        </w:tc>
        <w:tc>
          <w:tcPr>
            <w:tcW w:w="1134" w:type="dxa"/>
            <w:shd w:val="clear" w:color="auto" w:fill="auto"/>
            <w:tcMar>
              <w:top w:w="110" w:type="dxa"/>
            </w:tcMar>
          </w:tcPr>
          <w:p w:rsidR="0063033D" w:rsidRPr="00CA614D" w:rsidRDefault="0063033D" w:rsidP="008D1891">
            <w:pPr>
              <w:spacing w:before="60" w:after="60"/>
              <w:rPr>
                <w:rFonts w:cs="Arial"/>
                <w:color w:val="000000"/>
                <w:sz w:val="16"/>
                <w:szCs w:val="16"/>
              </w:rPr>
            </w:pPr>
            <w:r w:rsidRPr="009C7EE8">
              <w:rPr>
                <w:rFonts w:cs="Arial"/>
                <w:color w:val="000000"/>
                <w:sz w:val="16"/>
                <w:szCs w:val="16"/>
              </w:rPr>
              <w:t>December 15 to 18, 2014</w:t>
            </w:r>
          </w:p>
        </w:tc>
        <w:tc>
          <w:tcPr>
            <w:tcW w:w="1843" w:type="dxa"/>
            <w:shd w:val="clear" w:color="auto" w:fill="auto"/>
            <w:tcMar>
              <w:top w:w="110" w:type="dxa"/>
            </w:tcMar>
          </w:tcPr>
          <w:p w:rsidR="0063033D" w:rsidRPr="00B646CF" w:rsidRDefault="0063033D" w:rsidP="008D1891">
            <w:pPr>
              <w:autoSpaceDE w:val="0"/>
              <w:autoSpaceDN w:val="0"/>
              <w:adjustRightInd w:val="0"/>
              <w:spacing w:before="60" w:after="60"/>
              <w:rPr>
                <w:rFonts w:eastAsia="Malgun Gothic" w:cs="Arial"/>
                <w:bCs/>
                <w:sz w:val="16"/>
                <w:szCs w:val="16"/>
                <w:lang w:eastAsia="ko-KR"/>
              </w:rPr>
            </w:pPr>
            <w:r w:rsidRPr="00B646CF">
              <w:rPr>
                <w:rFonts w:eastAsia="Malgun Gothic" w:cs="Arial" w:hint="eastAsia"/>
                <w:bCs/>
                <w:sz w:val="16"/>
                <w:szCs w:val="16"/>
                <w:lang w:eastAsia="ko-KR"/>
              </w:rPr>
              <w:t>Republic of Korea</w:t>
            </w:r>
            <w:r>
              <w:rPr>
                <w:rFonts w:eastAsia="Malgun Gothic" w:cs="Arial"/>
                <w:bCs/>
                <w:sz w:val="16"/>
                <w:szCs w:val="16"/>
                <w:lang w:eastAsia="ko-KR"/>
              </w:rPr>
              <w:t>/ 8</w:t>
            </w:r>
            <w:r w:rsidRPr="00B646CF">
              <w:rPr>
                <w:rFonts w:eastAsia="Malgun Gothic" w:cs="Arial" w:hint="eastAsia"/>
                <w:bCs/>
                <w:sz w:val="16"/>
                <w:szCs w:val="16"/>
                <w:lang w:eastAsia="ko-KR"/>
              </w:rPr>
              <w:t xml:space="preserve"> participants from Pakistan</w:t>
            </w:r>
            <w:r>
              <w:rPr>
                <w:rFonts w:eastAsia="Malgun Gothic" w:cs="Arial"/>
                <w:bCs/>
                <w:sz w:val="16"/>
                <w:szCs w:val="16"/>
                <w:lang w:eastAsia="ko-KR"/>
              </w:rPr>
              <w:t xml:space="preserve"> </w:t>
            </w:r>
          </w:p>
        </w:tc>
        <w:tc>
          <w:tcPr>
            <w:tcW w:w="4536" w:type="dxa"/>
            <w:shd w:val="clear" w:color="auto" w:fill="FFFFFF"/>
            <w:tcMar>
              <w:top w:w="110" w:type="dxa"/>
            </w:tcMar>
          </w:tcPr>
          <w:p w:rsidR="0063033D" w:rsidRDefault="0063033D" w:rsidP="008D1891">
            <w:pPr>
              <w:spacing w:before="60" w:after="60"/>
              <w:rPr>
                <w:rFonts w:cs="Arial"/>
                <w:color w:val="000000"/>
                <w:sz w:val="16"/>
                <w:szCs w:val="16"/>
              </w:rPr>
            </w:pPr>
            <w:r w:rsidRPr="009C7EE8">
              <w:rPr>
                <w:rFonts w:cs="Arial"/>
                <w:color w:val="000000"/>
                <w:sz w:val="16"/>
                <w:szCs w:val="16"/>
              </w:rPr>
              <w:t>T</w:t>
            </w:r>
            <w:r w:rsidRPr="00B646CF">
              <w:rPr>
                <w:rFonts w:eastAsia="Malgun Gothic" w:cs="Arial" w:hint="eastAsia"/>
                <w:color w:val="000000"/>
                <w:sz w:val="16"/>
                <w:szCs w:val="16"/>
                <w:lang w:eastAsia="ko-KR"/>
              </w:rPr>
              <w:t>o</w:t>
            </w:r>
            <w:r>
              <w:rPr>
                <w:rFonts w:eastAsia="Malgun Gothic" w:cs="Arial"/>
                <w:color w:val="000000"/>
                <w:sz w:val="16"/>
                <w:szCs w:val="16"/>
                <w:lang w:eastAsia="ko-KR"/>
              </w:rPr>
              <w:t>: (</w:t>
            </w:r>
            <w:proofErr w:type="spellStart"/>
            <w:r>
              <w:rPr>
                <w:rFonts w:eastAsia="Malgun Gothic" w:cs="Arial"/>
                <w:color w:val="000000"/>
                <w:sz w:val="16"/>
                <w:szCs w:val="16"/>
                <w:lang w:eastAsia="ko-KR"/>
              </w:rPr>
              <w:t>i</w:t>
            </w:r>
            <w:proofErr w:type="spellEnd"/>
            <w:r>
              <w:rPr>
                <w:rFonts w:eastAsia="Malgun Gothic" w:cs="Arial"/>
                <w:color w:val="000000"/>
                <w:sz w:val="16"/>
                <w:szCs w:val="16"/>
                <w:lang w:eastAsia="ko-KR"/>
              </w:rPr>
              <w:t>)</w:t>
            </w:r>
            <w:r w:rsidRPr="009C7EE8">
              <w:rPr>
                <w:rFonts w:cs="Arial"/>
                <w:color w:val="000000"/>
                <w:sz w:val="16"/>
                <w:szCs w:val="16"/>
              </w:rPr>
              <w:t xml:space="preserve"> increase the understanding of IP mechanisms for promoting linkages between research institutions and industry; </w:t>
            </w:r>
            <w:r w:rsidRPr="00B646CF">
              <w:rPr>
                <w:rFonts w:eastAsia="Malgun Gothic" w:cs="Arial" w:hint="eastAsia"/>
                <w:color w:val="000000"/>
                <w:sz w:val="16"/>
                <w:szCs w:val="16"/>
                <w:lang w:eastAsia="ko-KR"/>
              </w:rPr>
              <w:t>and</w:t>
            </w:r>
            <w:r w:rsidRPr="009C7EE8">
              <w:rPr>
                <w:rFonts w:cs="Arial"/>
                <w:color w:val="000000"/>
                <w:sz w:val="16"/>
                <w:szCs w:val="16"/>
              </w:rPr>
              <w:t xml:space="preserve"> </w:t>
            </w:r>
            <w:r>
              <w:rPr>
                <w:rFonts w:cs="Arial"/>
                <w:color w:val="000000"/>
                <w:sz w:val="16"/>
                <w:szCs w:val="16"/>
              </w:rPr>
              <w:t xml:space="preserve">(ii) </w:t>
            </w:r>
            <w:r w:rsidRPr="009C7EE8">
              <w:rPr>
                <w:rFonts w:cs="Arial"/>
                <w:color w:val="000000"/>
                <w:sz w:val="16"/>
                <w:szCs w:val="16"/>
              </w:rPr>
              <w:t>strengthen the capacity to foster university-industry collaboration especially through better matching of the supply and demand</w:t>
            </w:r>
            <w:r>
              <w:rPr>
                <w:rFonts w:cs="Arial"/>
                <w:color w:val="000000"/>
                <w:sz w:val="16"/>
                <w:szCs w:val="16"/>
              </w:rPr>
              <w:t>.</w:t>
            </w:r>
            <w:r w:rsidRPr="009C7EE8">
              <w:rPr>
                <w:rFonts w:cs="Arial"/>
                <w:color w:val="000000"/>
                <w:sz w:val="16"/>
                <w:szCs w:val="16"/>
              </w:rPr>
              <w:t xml:space="preserve"> </w:t>
            </w:r>
          </w:p>
          <w:p w:rsidR="0063033D" w:rsidRPr="00B646CF" w:rsidRDefault="0063033D" w:rsidP="008D1891">
            <w:pPr>
              <w:spacing w:before="60" w:after="60"/>
              <w:rPr>
                <w:rFonts w:eastAsia="Malgun Gothic" w:cs="Arial"/>
                <w:color w:val="000000"/>
                <w:sz w:val="16"/>
                <w:szCs w:val="16"/>
                <w:lang w:eastAsia="ko-KR"/>
              </w:rPr>
            </w:pPr>
            <w:r>
              <w:rPr>
                <w:rFonts w:eastAsia="Malgun Gothic" w:cs="Arial" w:hint="eastAsia"/>
                <w:color w:val="000000"/>
                <w:sz w:val="16"/>
                <w:szCs w:val="16"/>
                <w:lang w:eastAsia="ko-KR"/>
              </w:rPr>
              <w:t xml:space="preserve">Pakistan </w:t>
            </w:r>
            <w:r w:rsidRPr="009C7EE8">
              <w:rPr>
                <w:rFonts w:eastAsia="Malgun Gothic" w:cs="Arial"/>
                <w:color w:val="000000"/>
                <w:sz w:val="16"/>
                <w:szCs w:val="16"/>
                <w:lang w:eastAsia="ko-KR"/>
              </w:rPr>
              <w:t>delegation</w:t>
            </w:r>
            <w:r>
              <w:rPr>
                <w:rFonts w:eastAsia="Malgun Gothic" w:cs="Arial" w:hint="eastAsia"/>
                <w:color w:val="000000"/>
                <w:sz w:val="16"/>
                <w:szCs w:val="16"/>
                <w:lang w:eastAsia="ko-KR"/>
              </w:rPr>
              <w:t>, comprising</w:t>
            </w:r>
            <w:r w:rsidRPr="009C7EE8">
              <w:rPr>
                <w:rFonts w:eastAsia="Malgun Gothic" w:cs="Arial"/>
                <w:color w:val="000000"/>
                <w:sz w:val="16"/>
                <w:szCs w:val="16"/>
                <w:lang w:eastAsia="ko-KR"/>
              </w:rPr>
              <w:t xml:space="preserve"> two </w:t>
            </w:r>
            <w:r>
              <w:rPr>
                <w:rFonts w:eastAsia="Malgun Gothic" w:cs="Arial" w:hint="eastAsia"/>
                <w:color w:val="000000"/>
                <w:sz w:val="16"/>
                <w:szCs w:val="16"/>
                <w:lang w:eastAsia="ko-KR"/>
              </w:rPr>
              <w:t xml:space="preserve">government </w:t>
            </w:r>
            <w:r w:rsidRPr="009C7EE8">
              <w:rPr>
                <w:rFonts w:eastAsia="Malgun Gothic" w:cs="Arial"/>
                <w:color w:val="000000"/>
                <w:sz w:val="16"/>
                <w:szCs w:val="16"/>
                <w:lang w:eastAsia="ko-KR"/>
              </w:rPr>
              <w:t>officials, four from the Office of Research, Innovation and Commercialization</w:t>
            </w:r>
            <w:r>
              <w:rPr>
                <w:rFonts w:eastAsia="Malgun Gothic" w:cs="Arial"/>
                <w:color w:val="000000"/>
                <w:sz w:val="16"/>
                <w:szCs w:val="16"/>
                <w:lang w:eastAsia="ko-KR"/>
              </w:rPr>
              <w:t xml:space="preserve"> </w:t>
            </w:r>
            <w:r w:rsidRPr="009C7EE8">
              <w:rPr>
                <w:rFonts w:eastAsia="Malgun Gothic" w:cs="Arial"/>
                <w:color w:val="000000"/>
                <w:sz w:val="16"/>
                <w:szCs w:val="16"/>
                <w:lang w:eastAsia="ko-KR"/>
              </w:rPr>
              <w:t>of universities and two from industry</w:t>
            </w:r>
            <w:r>
              <w:rPr>
                <w:rFonts w:eastAsia="Malgun Gothic" w:cs="Arial" w:hint="eastAsia"/>
                <w:color w:val="000000"/>
                <w:sz w:val="16"/>
                <w:szCs w:val="16"/>
                <w:lang w:eastAsia="ko-KR"/>
              </w:rPr>
              <w:t xml:space="preserve">, </w:t>
            </w:r>
            <w:r w:rsidRPr="009C7EE8">
              <w:rPr>
                <w:rFonts w:eastAsia="Malgun Gothic" w:cs="Arial"/>
                <w:color w:val="000000"/>
                <w:sz w:val="16"/>
                <w:szCs w:val="16"/>
                <w:lang w:eastAsia="ko-KR"/>
              </w:rPr>
              <w:t>visited Daejeon and Seoul, Republic of Korea</w:t>
            </w:r>
            <w:r>
              <w:rPr>
                <w:rFonts w:eastAsia="Malgun Gothic" w:cs="Arial"/>
                <w:color w:val="000000"/>
                <w:sz w:val="16"/>
                <w:szCs w:val="16"/>
                <w:lang w:eastAsia="ko-KR"/>
              </w:rPr>
              <w:t>.</w:t>
            </w:r>
          </w:p>
        </w:tc>
      </w:tr>
      <w:tr w:rsidR="0063033D" w:rsidRPr="004A7041" w:rsidTr="008D1891">
        <w:tc>
          <w:tcPr>
            <w:tcW w:w="1873" w:type="dxa"/>
          </w:tcPr>
          <w:p w:rsidR="0063033D" w:rsidRDefault="0063033D" w:rsidP="008D1891">
            <w:pPr>
              <w:spacing w:before="60" w:after="60"/>
              <w:rPr>
                <w:rFonts w:cs="Arial"/>
                <w:color w:val="000000"/>
                <w:sz w:val="16"/>
                <w:szCs w:val="16"/>
                <w:lang w:eastAsia="ko-KR"/>
              </w:rPr>
            </w:pPr>
            <w:r w:rsidRPr="008905AD">
              <w:rPr>
                <w:rFonts w:cs="Arial"/>
                <w:color w:val="000000"/>
                <w:sz w:val="16"/>
                <w:szCs w:val="16"/>
                <w:lang w:eastAsia="ko-KR"/>
              </w:rPr>
              <w:t>Expert Mission</w:t>
            </w:r>
          </w:p>
        </w:tc>
        <w:tc>
          <w:tcPr>
            <w:tcW w:w="1134" w:type="dxa"/>
            <w:shd w:val="clear" w:color="auto" w:fill="auto"/>
            <w:tcMar>
              <w:top w:w="110" w:type="dxa"/>
            </w:tcMar>
          </w:tcPr>
          <w:p w:rsidR="0063033D" w:rsidRPr="009C7EE8" w:rsidRDefault="0063033D" w:rsidP="008D1891">
            <w:pPr>
              <w:spacing w:before="60" w:after="60"/>
              <w:rPr>
                <w:rFonts w:cs="Arial"/>
                <w:color w:val="000000"/>
                <w:sz w:val="16"/>
                <w:szCs w:val="16"/>
              </w:rPr>
            </w:pPr>
            <w:r w:rsidRPr="00D64B11">
              <w:rPr>
                <w:rFonts w:eastAsia="Malgun Gothic" w:cs="Arial" w:hint="eastAsia"/>
                <w:color w:val="000000"/>
                <w:sz w:val="16"/>
                <w:szCs w:val="16"/>
                <w:lang w:eastAsia="ko-KR"/>
              </w:rPr>
              <w:t>March</w:t>
            </w:r>
            <w:r>
              <w:rPr>
                <w:rFonts w:cs="Arial" w:hint="eastAsia"/>
                <w:color w:val="000000"/>
                <w:sz w:val="16"/>
                <w:szCs w:val="16"/>
                <w:lang w:eastAsia="ko-KR"/>
              </w:rPr>
              <w:t xml:space="preserve"> </w:t>
            </w:r>
            <w:r w:rsidRPr="00D64B11">
              <w:rPr>
                <w:rFonts w:eastAsia="Malgun Gothic" w:cs="Arial" w:hint="eastAsia"/>
                <w:color w:val="000000"/>
                <w:sz w:val="16"/>
                <w:szCs w:val="16"/>
                <w:lang w:eastAsia="ko-KR"/>
              </w:rPr>
              <w:t>3</w:t>
            </w:r>
            <w:r>
              <w:rPr>
                <w:rFonts w:cs="Arial" w:hint="eastAsia"/>
                <w:color w:val="000000"/>
                <w:sz w:val="16"/>
                <w:szCs w:val="16"/>
                <w:lang w:eastAsia="ko-KR"/>
              </w:rPr>
              <w:t xml:space="preserve"> to </w:t>
            </w:r>
            <w:r w:rsidRPr="00D64B11">
              <w:rPr>
                <w:rFonts w:eastAsia="Malgun Gothic" w:cs="Arial" w:hint="eastAsia"/>
                <w:color w:val="000000"/>
                <w:sz w:val="16"/>
                <w:szCs w:val="16"/>
                <w:lang w:eastAsia="ko-KR"/>
              </w:rPr>
              <w:t>6</w:t>
            </w:r>
            <w:r w:rsidRPr="004A7041">
              <w:rPr>
                <w:rFonts w:cs="Arial"/>
                <w:color w:val="000000"/>
                <w:sz w:val="16"/>
                <w:szCs w:val="16"/>
              </w:rPr>
              <w:t xml:space="preserve">, </w:t>
            </w:r>
            <w:r>
              <w:rPr>
                <w:rFonts w:cs="Arial"/>
                <w:color w:val="000000"/>
                <w:sz w:val="16"/>
                <w:szCs w:val="16"/>
              </w:rPr>
              <w:t>201</w:t>
            </w:r>
            <w:r w:rsidRPr="00D64B11">
              <w:rPr>
                <w:rFonts w:eastAsia="Malgun Gothic" w:cs="Arial" w:hint="eastAsia"/>
                <w:color w:val="000000"/>
                <w:sz w:val="16"/>
                <w:szCs w:val="16"/>
                <w:lang w:eastAsia="ko-KR"/>
              </w:rPr>
              <w:t>4</w:t>
            </w:r>
          </w:p>
        </w:tc>
        <w:tc>
          <w:tcPr>
            <w:tcW w:w="1843" w:type="dxa"/>
            <w:shd w:val="clear" w:color="auto" w:fill="auto"/>
            <w:tcMar>
              <w:top w:w="110" w:type="dxa"/>
            </w:tcMar>
          </w:tcPr>
          <w:p w:rsidR="0063033D" w:rsidRPr="00B646CF" w:rsidRDefault="0063033D" w:rsidP="008D1891">
            <w:pPr>
              <w:autoSpaceDE w:val="0"/>
              <w:autoSpaceDN w:val="0"/>
              <w:adjustRightInd w:val="0"/>
              <w:spacing w:before="60" w:after="60"/>
              <w:rPr>
                <w:rFonts w:eastAsia="Malgun Gothic" w:cs="Arial"/>
                <w:bCs/>
                <w:sz w:val="16"/>
                <w:szCs w:val="16"/>
                <w:lang w:eastAsia="ko-KR"/>
              </w:rPr>
            </w:pPr>
            <w:r w:rsidRPr="00D64B11">
              <w:rPr>
                <w:rFonts w:eastAsia="Malgun Gothic" w:cs="Arial" w:hint="eastAsia"/>
                <w:color w:val="000000"/>
                <w:sz w:val="16"/>
                <w:szCs w:val="16"/>
                <w:lang w:eastAsia="ko-KR"/>
              </w:rPr>
              <w:t>Brunei</w:t>
            </w:r>
            <w:r>
              <w:rPr>
                <w:rFonts w:eastAsia="Malgun Gothic" w:cs="Arial"/>
                <w:color w:val="000000"/>
                <w:sz w:val="16"/>
                <w:szCs w:val="16"/>
                <w:lang w:eastAsia="ko-KR"/>
              </w:rPr>
              <w:t xml:space="preserve"> Darussalam</w:t>
            </w:r>
          </w:p>
        </w:tc>
        <w:tc>
          <w:tcPr>
            <w:tcW w:w="4536" w:type="dxa"/>
            <w:shd w:val="clear" w:color="auto" w:fill="FFFFFF"/>
            <w:tcMar>
              <w:top w:w="110" w:type="dxa"/>
            </w:tcMar>
          </w:tcPr>
          <w:p w:rsidR="0063033D" w:rsidRPr="00B646CF" w:rsidRDefault="0063033D" w:rsidP="008D1891">
            <w:pPr>
              <w:spacing w:before="60" w:after="60"/>
              <w:rPr>
                <w:rFonts w:eastAsia="Malgun Gothic" w:cs="Arial"/>
                <w:color w:val="000000"/>
                <w:sz w:val="16"/>
                <w:szCs w:val="16"/>
              </w:rPr>
            </w:pPr>
            <w:r>
              <w:rPr>
                <w:rFonts w:cs="Arial" w:hint="eastAsia"/>
                <w:color w:val="000000"/>
                <w:sz w:val="16"/>
                <w:szCs w:val="16"/>
                <w:lang w:eastAsia="ko-KR"/>
              </w:rPr>
              <w:t>To</w:t>
            </w:r>
            <w:r w:rsidRPr="00344878">
              <w:rPr>
                <w:rFonts w:cs="Arial"/>
                <w:color w:val="000000"/>
                <w:sz w:val="16"/>
                <w:szCs w:val="16"/>
                <w:lang w:eastAsia="ko-KR"/>
              </w:rPr>
              <w:t xml:space="preserve"> enhance the operations of the Trademark Registry</w:t>
            </w:r>
            <w:r w:rsidRPr="00B646CF">
              <w:rPr>
                <w:rFonts w:eastAsia="Malgun Gothic" w:cs="Arial" w:hint="eastAsia"/>
                <w:color w:val="000000"/>
                <w:sz w:val="16"/>
                <w:szCs w:val="16"/>
                <w:lang w:eastAsia="ko-KR"/>
              </w:rPr>
              <w:t xml:space="preserve"> and </w:t>
            </w:r>
            <w:r w:rsidRPr="00344878">
              <w:rPr>
                <w:rFonts w:cs="Arial"/>
                <w:color w:val="000000"/>
                <w:sz w:val="16"/>
                <w:szCs w:val="16"/>
                <w:lang w:eastAsia="ko-KR"/>
              </w:rPr>
              <w:t>train newly recruited trademark examiners</w:t>
            </w:r>
            <w:r>
              <w:rPr>
                <w:rFonts w:cs="Arial"/>
                <w:color w:val="000000"/>
                <w:sz w:val="16"/>
                <w:szCs w:val="16"/>
                <w:lang w:eastAsia="ko-KR"/>
              </w:rPr>
              <w:t>.</w:t>
            </w:r>
          </w:p>
        </w:tc>
      </w:tr>
      <w:tr w:rsidR="0063033D" w:rsidRPr="004A7041" w:rsidTr="008D1891">
        <w:tc>
          <w:tcPr>
            <w:tcW w:w="9386" w:type="dxa"/>
            <w:gridSpan w:val="4"/>
            <w:tcBorders>
              <w:top w:val="single" w:sz="4" w:space="0" w:color="000000"/>
              <w:bottom w:val="single" w:sz="4" w:space="0" w:color="000000"/>
            </w:tcBorders>
            <w:shd w:val="clear" w:color="auto" w:fill="CCFFFF"/>
            <w:vAlign w:val="center"/>
          </w:tcPr>
          <w:p w:rsidR="0063033D" w:rsidRPr="004A7041" w:rsidRDefault="0063033D" w:rsidP="008D1891">
            <w:pPr>
              <w:keepNext/>
              <w:tabs>
                <w:tab w:val="left" w:pos="1740"/>
              </w:tabs>
              <w:spacing w:before="120" w:after="120"/>
              <w:ind w:left="1740" w:hanging="1740"/>
              <w:rPr>
                <w:rFonts w:cs="Arial"/>
                <w:b/>
                <w:bCs/>
                <w:sz w:val="16"/>
                <w:szCs w:val="16"/>
              </w:rPr>
            </w:pPr>
            <w:r w:rsidRPr="004A7041">
              <w:rPr>
                <w:rFonts w:cs="Arial"/>
                <w:b/>
                <w:bCs/>
                <w:color w:val="000000"/>
                <w:sz w:val="16"/>
                <w:szCs w:val="16"/>
              </w:rPr>
              <w:t>RESULT</w:t>
            </w:r>
            <w:r w:rsidRPr="004A7041">
              <w:rPr>
                <w:rFonts w:cs="Arial"/>
                <w:b/>
                <w:bCs/>
                <w:sz w:val="16"/>
                <w:szCs w:val="16"/>
              </w:rPr>
              <w:t>:</w:t>
            </w:r>
            <w:r w:rsidRPr="004A7041">
              <w:rPr>
                <w:rFonts w:cs="Arial"/>
                <w:b/>
                <w:bCs/>
                <w:sz w:val="16"/>
                <w:szCs w:val="16"/>
              </w:rPr>
              <w:tab/>
            </w:r>
            <w:r w:rsidRPr="008230D2">
              <w:rPr>
                <w:rFonts w:cs="Arial"/>
                <w:bCs/>
                <w:color w:val="000000"/>
                <w:sz w:val="16"/>
                <w:szCs w:val="16"/>
              </w:rPr>
              <w:t>III.2. Enhanced human resource capacities able to deal with the broad range of requirements for the effective use of IP for development in developing countries, LDCs and countries with economies in transition</w:t>
            </w:r>
          </w:p>
        </w:tc>
      </w:tr>
      <w:tr w:rsidR="0063033D" w:rsidRPr="004A7041" w:rsidTr="008D1891">
        <w:tc>
          <w:tcPr>
            <w:tcW w:w="1873" w:type="dxa"/>
            <w:tcBorders>
              <w:top w:val="single" w:sz="4" w:space="0" w:color="000000"/>
            </w:tcBorders>
            <w:vAlign w:val="center"/>
          </w:tcPr>
          <w:p w:rsidR="0063033D" w:rsidRPr="004A7041" w:rsidRDefault="0063033D" w:rsidP="008D1891">
            <w:pPr>
              <w:rPr>
                <w:rFonts w:cs="Arial"/>
                <w:b/>
                <w:bCs/>
                <w:sz w:val="16"/>
                <w:szCs w:val="16"/>
              </w:rPr>
            </w:pPr>
            <w:r w:rsidRPr="004A7041">
              <w:rPr>
                <w:rFonts w:cs="Arial"/>
                <w:b/>
                <w:bCs/>
                <w:sz w:val="16"/>
                <w:szCs w:val="16"/>
              </w:rPr>
              <w:t>Activity</w:t>
            </w:r>
          </w:p>
        </w:tc>
        <w:tc>
          <w:tcPr>
            <w:tcW w:w="1134" w:type="dxa"/>
            <w:tcBorders>
              <w:top w:val="single" w:sz="4" w:space="0" w:color="000000"/>
            </w:tcBorders>
            <w:shd w:val="clear" w:color="auto" w:fill="auto"/>
            <w:tcMar>
              <w:top w:w="110" w:type="dxa"/>
            </w:tcMar>
            <w:vAlign w:val="center"/>
          </w:tcPr>
          <w:p w:rsidR="0063033D" w:rsidRPr="004A7041" w:rsidRDefault="0063033D" w:rsidP="008D1891">
            <w:pPr>
              <w:keepNext/>
              <w:rPr>
                <w:rFonts w:cs="Arial"/>
                <w:sz w:val="16"/>
                <w:szCs w:val="16"/>
              </w:rPr>
            </w:pPr>
            <w:r w:rsidRPr="004A7041">
              <w:rPr>
                <w:rFonts w:cs="Arial"/>
                <w:b/>
                <w:bCs/>
                <w:sz w:val="16"/>
                <w:szCs w:val="16"/>
              </w:rPr>
              <w:t>Date</w:t>
            </w:r>
          </w:p>
        </w:tc>
        <w:tc>
          <w:tcPr>
            <w:tcW w:w="1843" w:type="dxa"/>
            <w:tcBorders>
              <w:top w:val="single" w:sz="4" w:space="0" w:color="000000"/>
            </w:tcBorders>
            <w:shd w:val="clear" w:color="auto" w:fill="auto"/>
            <w:tcMar>
              <w:top w:w="110" w:type="dxa"/>
            </w:tcMar>
            <w:vAlign w:val="center"/>
          </w:tcPr>
          <w:p w:rsidR="0063033D" w:rsidRPr="004A7041" w:rsidRDefault="0063033D" w:rsidP="008D1891">
            <w:pPr>
              <w:keepNext/>
              <w:rPr>
                <w:rFonts w:cs="Arial"/>
                <w:sz w:val="16"/>
                <w:szCs w:val="16"/>
              </w:rPr>
            </w:pPr>
            <w:r w:rsidRPr="004A7041">
              <w:rPr>
                <w:rFonts w:cs="Arial"/>
                <w:b/>
                <w:bCs/>
                <w:sz w:val="16"/>
                <w:szCs w:val="16"/>
              </w:rPr>
              <w:t>Host Country/</w:t>
            </w:r>
            <w:r w:rsidRPr="004A7041">
              <w:rPr>
                <w:rFonts w:cs="Arial"/>
                <w:b/>
                <w:bCs/>
                <w:sz w:val="16"/>
                <w:szCs w:val="16"/>
              </w:rPr>
              <w:br/>
              <w:t>Recipients</w:t>
            </w:r>
          </w:p>
        </w:tc>
        <w:tc>
          <w:tcPr>
            <w:tcW w:w="4536" w:type="dxa"/>
            <w:tcBorders>
              <w:top w:val="single" w:sz="4" w:space="0" w:color="000000"/>
            </w:tcBorders>
            <w:shd w:val="clear" w:color="auto" w:fill="FFFFFF"/>
            <w:tcMar>
              <w:top w:w="110" w:type="dxa"/>
            </w:tcMar>
            <w:vAlign w:val="center"/>
          </w:tcPr>
          <w:p w:rsidR="0063033D" w:rsidRPr="004A7041" w:rsidRDefault="0063033D" w:rsidP="008D1891">
            <w:pPr>
              <w:keepNext/>
              <w:rPr>
                <w:rFonts w:cs="Arial"/>
                <w:sz w:val="16"/>
                <w:szCs w:val="16"/>
              </w:rPr>
            </w:pPr>
            <w:r w:rsidRPr="004A7041">
              <w:rPr>
                <w:rFonts w:cs="Arial"/>
                <w:b/>
                <w:bCs/>
                <w:sz w:val="16"/>
                <w:szCs w:val="16"/>
              </w:rPr>
              <w:t>Purpose(s)/Description(s)</w:t>
            </w:r>
          </w:p>
        </w:tc>
      </w:tr>
      <w:tr w:rsidR="0063033D" w:rsidRPr="004A7041" w:rsidTr="008D1891">
        <w:tc>
          <w:tcPr>
            <w:tcW w:w="1873" w:type="dxa"/>
            <w:tcBorders>
              <w:bottom w:val="nil"/>
            </w:tcBorders>
          </w:tcPr>
          <w:p w:rsidR="0063033D" w:rsidRPr="004A7041"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Workshop</w:t>
            </w:r>
            <w:r>
              <w:rPr>
                <w:rFonts w:cs="Arial" w:hint="eastAsia"/>
                <w:color w:val="000000"/>
                <w:sz w:val="16"/>
                <w:szCs w:val="16"/>
                <w:lang w:eastAsia="ko-KR"/>
              </w:rPr>
              <w:t xml:space="preserve"> </w:t>
            </w:r>
            <w:r w:rsidRPr="004A7041">
              <w:rPr>
                <w:rFonts w:cs="Arial"/>
                <w:color w:val="000000"/>
                <w:sz w:val="16"/>
                <w:szCs w:val="16"/>
              </w:rPr>
              <w:t xml:space="preserve">on Patent Law and Examination </w:t>
            </w:r>
          </w:p>
        </w:tc>
        <w:tc>
          <w:tcPr>
            <w:tcW w:w="1134" w:type="dxa"/>
            <w:tcBorders>
              <w:bottom w:val="nil"/>
            </w:tcBorders>
          </w:tcPr>
          <w:p w:rsidR="0063033D" w:rsidRPr="00B646CF" w:rsidRDefault="0063033D" w:rsidP="008D1891">
            <w:pPr>
              <w:keepNext/>
              <w:keepLines/>
              <w:autoSpaceDE w:val="0"/>
              <w:autoSpaceDN w:val="0"/>
              <w:adjustRightInd w:val="0"/>
              <w:spacing w:before="120" w:after="120"/>
              <w:rPr>
                <w:rFonts w:eastAsia="Malgun Gothic" w:cs="Arial"/>
                <w:color w:val="000000"/>
                <w:sz w:val="16"/>
                <w:szCs w:val="16"/>
                <w:lang w:eastAsia="ko-KR"/>
              </w:rPr>
            </w:pPr>
            <w:r w:rsidRPr="008775ED">
              <w:rPr>
                <w:rFonts w:cs="Arial"/>
                <w:color w:val="000000"/>
                <w:sz w:val="16"/>
                <w:szCs w:val="16"/>
                <w:lang w:eastAsia="ko-KR"/>
              </w:rPr>
              <w:t xml:space="preserve">March </w:t>
            </w:r>
            <w:r w:rsidRPr="00B646CF">
              <w:rPr>
                <w:rFonts w:eastAsia="Malgun Gothic" w:cs="Arial" w:hint="eastAsia"/>
                <w:color w:val="000000"/>
                <w:sz w:val="16"/>
                <w:szCs w:val="16"/>
                <w:lang w:eastAsia="ko-KR"/>
              </w:rPr>
              <w:t>4</w:t>
            </w:r>
            <w:r w:rsidRPr="008775ED">
              <w:rPr>
                <w:rFonts w:cs="Arial"/>
                <w:color w:val="000000"/>
                <w:sz w:val="16"/>
                <w:szCs w:val="16"/>
                <w:lang w:eastAsia="ko-KR"/>
              </w:rPr>
              <w:t xml:space="preserve"> to 1</w:t>
            </w:r>
            <w:r w:rsidRPr="00B646CF">
              <w:rPr>
                <w:rFonts w:eastAsia="Malgun Gothic" w:cs="Arial" w:hint="eastAsia"/>
                <w:color w:val="000000"/>
                <w:sz w:val="16"/>
                <w:szCs w:val="16"/>
                <w:lang w:eastAsia="ko-KR"/>
              </w:rPr>
              <w:t>3</w:t>
            </w:r>
            <w:r w:rsidRPr="008775ED">
              <w:rPr>
                <w:rFonts w:cs="Arial"/>
                <w:color w:val="000000"/>
                <w:sz w:val="16"/>
                <w:szCs w:val="16"/>
                <w:lang w:eastAsia="ko-KR"/>
              </w:rPr>
              <w:t>, 201</w:t>
            </w:r>
            <w:r w:rsidRPr="00B646CF">
              <w:rPr>
                <w:rFonts w:eastAsia="Malgun Gothic" w:cs="Arial" w:hint="eastAsia"/>
                <w:color w:val="000000"/>
                <w:sz w:val="16"/>
                <w:szCs w:val="16"/>
                <w:lang w:eastAsia="ko-KR"/>
              </w:rPr>
              <w:t>4</w:t>
            </w:r>
          </w:p>
        </w:tc>
        <w:tc>
          <w:tcPr>
            <w:tcW w:w="1843" w:type="dxa"/>
            <w:tcBorders>
              <w:bottom w:val="nil"/>
            </w:tcBorders>
          </w:tcPr>
          <w:p w:rsidR="0063033D" w:rsidRPr="00B646CF" w:rsidRDefault="0063033D" w:rsidP="008D1891">
            <w:pPr>
              <w:keepNext/>
              <w:keepLines/>
              <w:autoSpaceDE w:val="0"/>
              <w:autoSpaceDN w:val="0"/>
              <w:adjustRightInd w:val="0"/>
              <w:spacing w:before="120" w:after="120"/>
              <w:rPr>
                <w:rFonts w:eastAsia="Malgun Gothic" w:cs="Arial"/>
                <w:color w:val="000000"/>
                <w:sz w:val="16"/>
                <w:szCs w:val="16"/>
                <w:lang w:eastAsia="ko-KR"/>
              </w:rPr>
            </w:pPr>
            <w:r w:rsidRPr="004A7041">
              <w:rPr>
                <w:rFonts w:cs="Arial"/>
                <w:color w:val="000000"/>
                <w:sz w:val="16"/>
                <w:szCs w:val="16"/>
              </w:rPr>
              <w:t>Republic of Korea</w:t>
            </w:r>
            <w:r>
              <w:rPr>
                <w:rFonts w:cs="Arial"/>
                <w:color w:val="000000"/>
                <w:sz w:val="16"/>
                <w:szCs w:val="16"/>
              </w:rPr>
              <w:t>/</w:t>
            </w:r>
            <w:r w:rsidRPr="004A7041">
              <w:rPr>
                <w:rFonts w:cs="Arial"/>
                <w:color w:val="000000"/>
                <w:sz w:val="16"/>
                <w:szCs w:val="16"/>
              </w:rPr>
              <w:t>1</w:t>
            </w:r>
            <w:r w:rsidRPr="00B646CF">
              <w:rPr>
                <w:rFonts w:eastAsia="Malgun Gothic" w:cs="Arial" w:hint="eastAsia"/>
                <w:color w:val="000000"/>
                <w:sz w:val="16"/>
                <w:szCs w:val="16"/>
                <w:lang w:eastAsia="ko-KR"/>
              </w:rPr>
              <w:t>6</w:t>
            </w:r>
            <w:r w:rsidRPr="004A7041">
              <w:rPr>
                <w:rFonts w:cs="Arial"/>
                <w:color w:val="000000"/>
                <w:sz w:val="16"/>
                <w:szCs w:val="16"/>
              </w:rPr>
              <w:t xml:space="preserve"> patent examiners from </w:t>
            </w:r>
            <w:r>
              <w:rPr>
                <w:rFonts w:cs="Arial" w:hint="eastAsia"/>
                <w:color w:val="000000"/>
                <w:sz w:val="16"/>
                <w:szCs w:val="16"/>
                <w:lang w:eastAsia="ko-KR"/>
              </w:rPr>
              <w:t>1</w:t>
            </w:r>
            <w:r w:rsidRPr="00B646CF">
              <w:rPr>
                <w:rFonts w:eastAsia="Malgun Gothic" w:cs="Arial" w:hint="eastAsia"/>
                <w:color w:val="000000"/>
                <w:sz w:val="16"/>
                <w:szCs w:val="16"/>
                <w:lang w:eastAsia="ko-KR"/>
              </w:rPr>
              <w:t>6</w:t>
            </w:r>
            <w:r w:rsidRPr="004A7041">
              <w:rPr>
                <w:rFonts w:cs="Arial"/>
                <w:color w:val="000000"/>
                <w:sz w:val="16"/>
                <w:szCs w:val="16"/>
              </w:rPr>
              <w:t xml:space="preserve"> countries</w:t>
            </w:r>
          </w:p>
        </w:tc>
        <w:tc>
          <w:tcPr>
            <w:tcW w:w="4536" w:type="dxa"/>
            <w:tcBorders>
              <w:bottom w:val="nil"/>
            </w:tcBorders>
          </w:tcPr>
          <w:p w:rsidR="0063033D" w:rsidRPr="004A7041" w:rsidRDefault="0063033D" w:rsidP="008D1891">
            <w:pPr>
              <w:keepNext/>
              <w:keepLines/>
              <w:autoSpaceDE w:val="0"/>
              <w:autoSpaceDN w:val="0"/>
              <w:adjustRightInd w:val="0"/>
              <w:spacing w:before="120" w:after="120"/>
              <w:rPr>
                <w:rFonts w:cs="Arial"/>
                <w:color w:val="000000"/>
                <w:sz w:val="16"/>
                <w:szCs w:val="16"/>
                <w:lang w:eastAsia="ko-KR"/>
              </w:rPr>
            </w:pPr>
            <w:r w:rsidRPr="004A7041">
              <w:rPr>
                <w:rFonts w:cs="Arial"/>
                <w:color w:val="000000"/>
                <w:sz w:val="16"/>
                <w:szCs w:val="16"/>
              </w:rPr>
              <w:t>To provide an overview and expl</w:t>
            </w:r>
            <w:r>
              <w:rPr>
                <w:rFonts w:cs="Arial"/>
                <w:color w:val="000000"/>
                <w:sz w:val="16"/>
                <w:szCs w:val="16"/>
              </w:rPr>
              <w:t>anation of the global patent system</w:t>
            </w:r>
            <w:r w:rsidRPr="004A7041">
              <w:rPr>
                <w:rFonts w:cs="Arial"/>
                <w:color w:val="000000"/>
                <w:sz w:val="16"/>
                <w:szCs w:val="16"/>
              </w:rPr>
              <w:t>, principles of patent law and examination procedures</w:t>
            </w:r>
            <w:r>
              <w:rPr>
                <w:rFonts w:cs="Arial"/>
                <w:color w:val="000000"/>
                <w:sz w:val="16"/>
                <w:szCs w:val="16"/>
              </w:rPr>
              <w:t>.</w:t>
            </w:r>
          </w:p>
        </w:tc>
      </w:tr>
      <w:tr w:rsidR="0063033D" w:rsidRPr="004A7041" w:rsidTr="008D1891">
        <w:tc>
          <w:tcPr>
            <w:tcW w:w="1873" w:type="dxa"/>
            <w:tcBorders>
              <w:bottom w:val="nil"/>
            </w:tcBorders>
          </w:tcPr>
          <w:p w:rsidR="0063033D" w:rsidRPr="004A7041"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Workshop</w:t>
            </w:r>
            <w:r>
              <w:rPr>
                <w:rFonts w:cs="Arial" w:hint="eastAsia"/>
                <w:color w:val="000000"/>
                <w:sz w:val="16"/>
                <w:szCs w:val="16"/>
                <w:lang w:eastAsia="ko-KR"/>
              </w:rPr>
              <w:t xml:space="preserve"> </w:t>
            </w:r>
            <w:r w:rsidRPr="004A7041">
              <w:rPr>
                <w:rFonts w:cs="Arial"/>
                <w:color w:val="000000"/>
                <w:sz w:val="16"/>
                <w:szCs w:val="16"/>
              </w:rPr>
              <w:t xml:space="preserve">on </w:t>
            </w:r>
            <w:r w:rsidRPr="004A7041">
              <w:rPr>
                <w:rFonts w:cs="Arial" w:hint="eastAsia"/>
                <w:color w:val="000000"/>
                <w:sz w:val="16"/>
                <w:szCs w:val="16"/>
                <w:lang w:eastAsia="ko-KR"/>
              </w:rPr>
              <w:t>Trademark</w:t>
            </w:r>
            <w:r w:rsidRPr="004A7041">
              <w:rPr>
                <w:rFonts w:cs="Arial"/>
                <w:color w:val="000000"/>
                <w:sz w:val="16"/>
                <w:szCs w:val="16"/>
              </w:rPr>
              <w:t xml:space="preserve"> Law and Examination</w:t>
            </w:r>
          </w:p>
        </w:tc>
        <w:tc>
          <w:tcPr>
            <w:tcW w:w="1134" w:type="dxa"/>
            <w:tcBorders>
              <w:bottom w:val="nil"/>
            </w:tcBorders>
          </w:tcPr>
          <w:p w:rsidR="0063033D" w:rsidRPr="00B646CF" w:rsidRDefault="0063033D" w:rsidP="008D1891">
            <w:pPr>
              <w:keepNext/>
              <w:keepLines/>
              <w:autoSpaceDE w:val="0"/>
              <w:autoSpaceDN w:val="0"/>
              <w:adjustRightInd w:val="0"/>
              <w:spacing w:before="120" w:after="120"/>
              <w:rPr>
                <w:rFonts w:eastAsia="Malgun Gothic" w:cs="Arial"/>
                <w:color w:val="000000"/>
                <w:sz w:val="16"/>
                <w:szCs w:val="16"/>
                <w:lang w:eastAsia="ko-KR"/>
              </w:rPr>
            </w:pPr>
            <w:r w:rsidRPr="002A61F9">
              <w:rPr>
                <w:rFonts w:cs="Arial"/>
                <w:color w:val="000000"/>
                <w:sz w:val="16"/>
                <w:szCs w:val="16"/>
                <w:lang w:eastAsia="ko-KR"/>
              </w:rPr>
              <w:t xml:space="preserve">April </w:t>
            </w:r>
            <w:r w:rsidRPr="00B646CF">
              <w:rPr>
                <w:rFonts w:eastAsia="Malgun Gothic" w:cs="Arial" w:hint="eastAsia"/>
                <w:color w:val="000000"/>
                <w:sz w:val="16"/>
                <w:szCs w:val="16"/>
                <w:lang w:eastAsia="ko-KR"/>
              </w:rPr>
              <w:t>23</w:t>
            </w:r>
            <w:r w:rsidRPr="002A61F9">
              <w:rPr>
                <w:rFonts w:cs="Arial"/>
                <w:color w:val="000000"/>
                <w:sz w:val="16"/>
                <w:szCs w:val="16"/>
                <w:lang w:eastAsia="ko-KR"/>
              </w:rPr>
              <w:t xml:space="preserve"> to </w:t>
            </w:r>
            <w:r w:rsidRPr="00B646CF">
              <w:rPr>
                <w:rFonts w:eastAsia="Malgun Gothic" w:cs="Arial" w:hint="eastAsia"/>
                <w:color w:val="000000"/>
                <w:sz w:val="16"/>
                <w:szCs w:val="16"/>
                <w:lang w:eastAsia="ko-KR"/>
              </w:rPr>
              <w:t>30</w:t>
            </w:r>
            <w:r w:rsidRPr="002A61F9">
              <w:rPr>
                <w:rFonts w:cs="Arial"/>
                <w:color w:val="000000"/>
                <w:sz w:val="16"/>
                <w:szCs w:val="16"/>
                <w:lang w:eastAsia="ko-KR"/>
              </w:rPr>
              <w:t>, 201</w:t>
            </w:r>
            <w:r w:rsidRPr="00B646CF">
              <w:rPr>
                <w:rFonts w:eastAsia="Malgun Gothic" w:cs="Arial" w:hint="eastAsia"/>
                <w:color w:val="000000"/>
                <w:sz w:val="16"/>
                <w:szCs w:val="16"/>
                <w:lang w:eastAsia="ko-KR"/>
              </w:rPr>
              <w:t>4</w:t>
            </w:r>
          </w:p>
        </w:tc>
        <w:tc>
          <w:tcPr>
            <w:tcW w:w="1843" w:type="dxa"/>
            <w:tcBorders>
              <w:bottom w:val="nil"/>
            </w:tcBorders>
          </w:tcPr>
          <w:p w:rsidR="0063033D" w:rsidRPr="00B646CF" w:rsidRDefault="0063033D" w:rsidP="008D1891">
            <w:pPr>
              <w:keepNext/>
              <w:keepLines/>
              <w:autoSpaceDE w:val="0"/>
              <w:autoSpaceDN w:val="0"/>
              <w:adjustRightInd w:val="0"/>
              <w:spacing w:before="120" w:after="120"/>
              <w:rPr>
                <w:rFonts w:eastAsia="Malgun Gothic" w:cs="Arial"/>
                <w:color w:val="000000"/>
                <w:sz w:val="16"/>
                <w:szCs w:val="16"/>
                <w:lang w:eastAsia="ko-KR"/>
              </w:rPr>
            </w:pPr>
            <w:r w:rsidRPr="004A7041">
              <w:rPr>
                <w:rFonts w:cs="Arial"/>
                <w:color w:val="000000"/>
                <w:sz w:val="16"/>
                <w:szCs w:val="16"/>
              </w:rPr>
              <w:t>Republic of Korea</w:t>
            </w:r>
            <w:r>
              <w:rPr>
                <w:rFonts w:cs="Arial"/>
                <w:color w:val="000000"/>
                <w:sz w:val="16"/>
                <w:szCs w:val="16"/>
                <w:lang w:eastAsia="ko-KR"/>
              </w:rPr>
              <w:t>/</w:t>
            </w:r>
            <w:r>
              <w:rPr>
                <w:rFonts w:cs="Arial" w:hint="eastAsia"/>
                <w:color w:val="000000"/>
                <w:sz w:val="16"/>
                <w:szCs w:val="16"/>
                <w:lang w:eastAsia="ko-KR"/>
              </w:rPr>
              <w:t>1</w:t>
            </w:r>
            <w:r w:rsidRPr="00B646CF">
              <w:rPr>
                <w:rFonts w:eastAsia="Malgun Gothic" w:cs="Arial" w:hint="eastAsia"/>
                <w:color w:val="000000"/>
                <w:sz w:val="16"/>
                <w:szCs w:val="16"/>
                <w:lang w:eastAsia="ko-KR"/>
              </w:rPr>
              <w:t>9</w:t>
            </w:r>
            <w:r w:rsidRPr="004A7041">
              <w:rPr>
                <w:rFonts w:cs="Arial"/>
                <w:color w:val="000000"/>
                <w:sz w:val="16"/>
                <w:szCs w:val="16"/>
              </w:rPr>
              <w:t xml:space="preserve"> </w:t>
            </w:r>
            <w:r w:rsidRPr="004A7041">
              <w:rPr>
                <w:rFonts w:cs="Arial" w:hint="eastAsia"/>
                <w:color w:val="000000"/>
                <w:sz w:val="16"/>
                <w:szCs w:val="16"/>
                <w:lang w:eastAsia="ko-KR"/>
              </w:rPr>
              <w:t>trademark</w:t>
            </w:r>
            <w:r w:rsidRPr="004A7041">
              <w:rPr>
                <w:rFonts w:cs="Arial"/>
                <w:color w:val="000000"/>
                <w:sz w:val="16"/>
                <w:szCs w:val="16"/>
              </w:rPr>
              <w:t xml:space="preserve"> examiners from </w:t>
            </w:r>
            <w:r w:rsidRPr="004A7041">
              <w:rPr>
                <w:rFonts w:cs="Arial" w:hint="eastAsia"/>
                <w:color w:val="000000"/>
                <w:sz w:val="16"/>
                <w:szCs w:val="16"/>
                <w:lang w:eastAsia="ko-KR"/>
              </w:rPr>
              <w:t>1</w:t>
            </w:r>
            <w:r w:rsidRPr="00B646CF">
              <w:rPr>
                <w:rFonts w:eastAsia="Malgun Gothic" w:cs="Arial" w:hint="eastAsia"/>
                <w:color w:val="000000"/>
                <w:sz w:val="16"/>
                <w:szCs w:val="16"/>
                <w:lang w:eastAsia="ko-KR"/>
              </w:rPr>
              <w:t>9</w:t>
            </w:r>
            <w:r w:rsidRPr="004A7041">
              <w:rPr>
                <w:rFonts w:cs="Arial"/>
                <w:color w:val="000000"/>
                <w:sz w:val="16"/>
                <w:szCs w:val="16"/>
              </w:rPr>
              <w:t xml:space="preserve"> countries</w:t>
            </w:r>
          </w:p>
        </w:tc>
        <w:tc>
          <w:tcPr>
            <w:tcW w:w="4536" w:type="dxa"/>
            <w:tcBorders>
              <w:bottom w:val="nil"/>
            </w:tcBorders>
          </w:tcPr>
          <w:p w:rsidR="0063033D" w:rsidRPr="00B646CF" w:rsidRDefault="0063033D" w:rsidP="008D1891">
            <w:pPr>
              <w:keepNext/>
              <w:keepLines/>
              <w:autoSpaceDE w:val="0"/>
              <w:autoSpaceDN w:val="0"/>
              <w:adjustRightInd w:val="0"/>
              <w:spacing w:before="120" w:after="120"/>
              <w:rPr>
                <w:rFonts w:eastAsia="Malgun Gothic" w:cs="Arial"/>
                <w:color w:val="000000"/>
                <w:sz w:val="16"/>
                <w:szCs w:val="16"/>
                <w:lang w:eastAsia="ko-KR"/>
              </w:rPr>
            </w:pPr>
            <w:r w:rsidRPr="004A7041">
              <w:rPr>
                <w:rFonts w:cs="Arial"/>
                <w:color w:val="000000"/>
                <w:sz w:val="16"/>
                <w:szCs w:val="16"/>
              </w:rPr>
              <w:t xml:space="preserve">To provide an overview and explanation of principles of </w:t>
            </w:r>
            <w:r w:rsidRPr="004A7041">
              <w:rPr>
                <w:rFonts w:cs="Arial" w:hint="eastAsia"/>
                <w:color w:val="000000"/>
                <w:sz w:val="16"/>
                <w:szCs w:val="16"/>
                <w:lang w:eastAsia="ko-KR"/>
              </w:rPr>
              <w:t>trademark</w:t>
            </w:r>
            <w:r w:rsidRPr="004A7041">
              <w:rPr>
                <w:rFonts w:cs="Arial"/>
                <w:color w:val="000000"/>
                <w:sz w:val="16"/>
                <w:szCs w:val="16"/>
              </w:rPr>
              <w:t xml:space="preserve"> law and examination procedures</w:t>
            </w:r>
            <w:r w:rsidRPr="004A7041">
              <w:rPr>
                <w:rFonts w:cs="Arial" w:hint="eastAsia"/>
                <w:color w:val="000000"/>
                <w:sz w:val="16"/>
                <w:szCs w:val="16"/>
                <w:lang w:eastAsia="ko-KR"/>
              </w:rPr>
              <w:t xml:space="preserve">, </w:t>
            </w:r>
            <w:r>
              <w:rPr>
                <w:rFonts w:cs="Arial" w:hint="eastAsia"/>
                <w:color w:val="000000"/>
                <w:sz w:val="16"/>
                <w:szCs w:val="16"/>
                <w:lang w:eastAsia="ko-KR"/>
              </w:rPr>
              <w:t xml:space="preserve">as well as </w:t>
            </w:r>
            <w:r w:rsidRPr="004A7041">
              <w:rPr>
                <w:rFonts w:cs="Arial"/>
                <w:color w:val="000000"/>
                <w:sz w:val="16"/>
                <w:szCs w:val="16"/>
                <w:lang w:eastAsia="ko-KR"/>
              </w:rPr>
              <w:t>the Madrid System</w:t>
            </w:r>
            <w:r>
              <w:rPr>
                <w:rFonts w:cs="Arial"/>
                <w:color w:val="000000"/>
                <w:sz w:val="16"/>
                <w:szCs w:val="16"/>
                <w:lang w:eastAsia="ko-KR"/>
              </w:rPr>
              <w:t>.</w:t>
            </w:r>
          </w:p>
        </w:tc>
      </w:tr>
      <w:tr w:rsidR="0063033D" w:rsidRPr="004A7041" w:rsidTr="008D1891">
        <w:tc>
          <w:tcPr>
            <w:tcW w:w="1873" w:type="dxa"/>
            <w:tcBorders>
              <w:bottom w:val="nil"/>
            </w:tcBorders>
          </w:tcPr>
          <w:p w:rsidR="0063033D" w:rsidRPr="00B646CF" w:rsidRDefault="0063033D" w:rsidP="008D1891">
            <w:pPr>
              <w:autoSpaceDE w:val="0"/>
              <w:autoSpaceDN w:val="0"/>
              <w:adjustRightInd w:val="0"/>
              <w:spacing w:before="120" w:after="120"/>
              <w:rPr>
                <w:rFonts w:eastAsia="Malgun Gothic" w:cs="Arial"/>
                <w:color w:val="000000"/>
                <w:sz w:val="16"/>
                <w:szCs w:val="16"/>
                <w:lang w:eastAsia="ko-KR"/>
              </w:rPr>
            </w:pPr>
            <w:r w:rsidRPr="00B646CF">
              <w:rPr>
                <w:rFonts w:eastAsia="Malgun Gothic" w:cs="Arial" w:hint="eastAsia"/>
                <w:color w:val="000000"/>
                <w:sz w:val="16"/>
                <w:szCs w:val="16"/>
                <w:lang w:eastAsia="ko-KR"/>
              </w:rPr>
              <w:t xml:space="preserve">Workshop on the Nice and Vienna </w:t>
            </w:r>
            <w:r w:rsidRPr="00B646CF">
              <w:rPr>
                <w:rFonts w:eastAsia="Malgun Gothic" w:cs="Arial"/>
                <w:color w:val="000000"/>
                <w:sz w:val="16"/>
                <w:szCs w:val="16"/>
                <w:lang w:eastAsia="ko-KR"/>
              </w:rPr>
              <w:t>Classifications</w:t>
            </w:r>
          </w:p>
        </w:tc>
        <w:tc>
          <w:tcPr>
            <w:tcW w:w="1134" w:type="dxa"/>
            <w:tcBorders>
              <w:bottom w:val="nil"/>
            </w:tcBorders>
          </w:tcPr>
          <w:p w:rsidR="0063033D" w:rsidRPr="00B646CF" w:rsidRDefault="0063033D" w:rsidP="008D1891">
            <w:pPr>
              <w:keepNext/>
              <w:keepLines/>
              <w:autoSpaceDE w:val="0"/>
              <w:autoSpaceDN w:val="0"/>
              <w:adjustRightInd w:val="0"/>
              <w:spacing w:before="120" w:after="120"/>
              <w:rPr>
                <w:rFonts w:eastAsia="Malgun Gothic" w:cs="Arial"/>
                <w:color w:val="000000"/>
                <w:sz w:val="16"/>
                <w:szCs w:val="16"/>
                <w:lang w:eastAsia="ko-KR"/>
              </w:rPr>
            </w:pPr>
            <w:r w:rsidRPr="00B646CF">
              <w:rPr>
                <w:rFonts w:eastAsia="Malgun Gothic" w:cs="Arial"/>
                <w:color w:val="000000"/>
                <w:sz w:val="16"/>
                <w:szCs w:val="16"/>
                <w:lang w:eastAsia="ko-KR"/>
              </w:rPr>
              <w:t>August</w:t>
            </w:r>
            <w:r w:rsidRPr="00B646CF">
              <w:rPr>
                <w:rFonts w:eastAsia="Malgun Gothic" w:cs="Arial" w:hint="eastAsia"/>
                <w:color w:val="000000"/>
                <w:sz w:val="16"/>
                <w:szCs w:val="16"/>
                <w:lang w:eastAsia="ko-KR"/>
              </w:rPr>
              <w:t xml:space="preserve"> 25 to 29, 2014</w:t>
            </w:r>
          </w:p>
        </w:tc>
        <w:tc>
          <w:tcPr>
            <w:tcW w:w="1843" w:type="dxa"/>
            <w:tcBorders>
              <w:bottom w:val="nil"/>
            </w:tcBorders>
          </w:tcPr>
          <w:p w:rsidR="0063033D" w:rsidRPr="00B646CF" w:rsidRDefault="0063033D" w:rsidP="008D1891">
            <w:pPr>
              <w:keepNext/>
              <w:keepLines/>
              <w:autoSpaceDE w:val="0"/>
              <w:autoSpaceDN w:val="0"/>
              <w:adjustRightInd w:val="0"/>
              <w:spacing w:before="120" w:after="120"/>
              <w:rPr>
                <w:rFonts w:eastAsia="Malgun Gothic" w:cs="Arial"/>
                <w:color w:val="000000"/>
                <w:sz w:val="16"/>
                <w:szCs w:val="16"/>
                <w:lang w:eastAsia="ko-KR"/>
              </w:rPr>
            </w:pPr>
            <w:r w:rsidRPr="00B646CF">
              <w:rPr>
                <w:rFonts w:eastAsia="Malgun Gothic" w:cs="Arial" w:hint="eastAsia"/>
                <w:color w:val="000000"/>
                <w:sz w:val="16"/>
                <w:szCs w:val="16"/>
                <w:lang w:eastAsia="ko-KR"/>
              </w:rPr>
              <w:t>Indonesia</w:t>
            </w:r>
            <w:r>
              <w:rPr>
                <w:rFonts w:eastAsia="Malgun Gothic" w:cs="Arial"/>
                <w:color w:val="000000"/>
                <w:sz w:val="16"/>
                <w:szCs w:val="16"/>
                <w:lang w:eastAsia="ko-KR"/>
              </w:rPr>
              <w:t>/</w:t>
            </w:r>
            <w:r w:rsidRPr="00D12DAD">
              <w:rPr>
                <w:rFonts w:eastAsia="Malgun Gothic" w:cs="Arial" w:hint="eastAsia"/>
                <w:color w:val="000000"/>
                <w:sz w:val="16"/>
                <w:szCs w:val="16"/>
                <w:lang w:eastAsia="ko-KR"/>
              </w:rPr>
              <w:t xml:space="preserve">26 participants </w:t>
            </w:r>
          </w:p>
        </w:tc>
        <w:tc>
          <w:tcPr>
            <w:tcW w:w="4536" w:type="dxa"/>
            <w:tcBorders>
              <w:bottom w:val="nil"/>
            </w:tcBorders>
          </w:tcPr>
          <w:p w:rsidR="0063033D" w:rsidRPr="00B646CF" w:rsidRDefault="0063033D" w:rsidP="008D1891">
            <w:pPr>
              <w:keepNext/>
              <w:keepLines/>
              <w:autoSpaceDE w:val="0"/>
              <w:autoSpaceDN w:val="0"/>
              <w:adjustRightInd w:val="0"/>
              <w:spacing w:before="120" w:after="120"/>
              <w:rPr>
                <w:rFonts w:eastAsia="Malgun Gothic" w:cs="Arial"/>
                <w:color w:val="000000"/>
                <w:sz w:val="16"/>
                <w:szCs w:val="16"/>
                <w:lang w:eastAsia="ko-KR"/>
              </w:rPr>
            </w:pPr>
            <w:r w:rsidRPr="00B646CF">
              <w:rPr>
                <w:rFonts w:eastAsia="Malgun Gothic" w:cs="Arial" w:hint="eastAsia"/>
                <w:color w:val="000000"/>
                <w:sz w:val="16"/>
                <w:szCs w:val="16"/>
                <w:lang w:eastAsia="ko-KR"/>
              </w:rPr>
              <w:t xml:space="preserve">To enhance the knowledge and capacity of Directorate General of IPR, Indonesia, in using the </w:t>
            </w:r>
            <w:r w:rsidRPr="00344878">
              <w:rPr>
                <w:rFonts w:eastAsia="Malgun Gothic" w:cs="Arial"/>
                <w:color w:val="000000"/>
                <w:sz w:val="16"/>
                <w:szCs w:val="16"/>
                <w:lang w:eastAsia="ko-KR"/>
              </w:rPr>
              <w:t xml:space="preserve">Nice and Vienna </w:t>
            </w:r>
            <w:r>
              <w:rPr>
                <w:rFonts w:eastAsia="Malgun Gothic" w:cs="Arial" w:hint="eastAsia"/>
                <w:color w:val="000000"/>
                <w:sz w:val="16"/>
                <w:szCs w:val="16"/>
                <w:lang w:eastAsia="ko-KR"/>
              </w:rPr>
              <w:t>c</w:t>
            </w:r>
            <w:r w:rsidRPr="00344878">
              <w:rPr>
                <w:rFonts w:eastAsia="Malgun Gothic" w:cs="Arial"/>
                <w:color w:val="000000"/>
                <w:sz w:val="16"/>
                <w:szCs w:val="16"/>
                <w:lang w:eastAsia="ko-KR"/>
              </w:rPr>
              <w:t>lassification</w:t>
            </w:r>
            <w:r>
              <w:rPr>
                <w:rFonts w:eastAsia="Malgun Gothic" w:cs="Arial" w:hint="eastAsia"/>
                <w:color w:val="000000"/>
                <w:sz w:val="16"/>
                <w:szCs w:val="16"/>
                <w:lang w:eastAsia="ko-KR"/>
              </w:rPr>
              <w:t xml:space="preserve"> systems.</w:t>
            </w:r>
          </w:p>
        </w:tc>
      </w:tr>
      <w:tr w:rsidR="0063033D" w:rsidRPr="004A7041" w:rsidTr="008D1891">
        <w:tc>
          <w:tcPr>
            <w:tcW w:w="1873" w:type="dxa"/>
            <w:tcBorders>
              <w:bottom w:val="nil"/>
            </w:tcBorders>
          </w:tcPr>
          <w:p w:rsidR="0063033D" w:rsidRPr="00B646CF" w:rsidRDefault="0063033D" w:rsidP="008D1891">
            <w:pPr>
              <w:autoSpaceDE w:val="0"/>
              <w:autoSpaceDN w:val="0"/>
              <w:adjustRightInd w:val="0"/>
              <w:spacing w:before="120" w:after="120"/>
              <w:rPr>
                <w:rFonts w:eastAsia="Malgun Gothic" w:cs="Arial"/>
                <w:color w:val="000000"/>
                <w:sz w:val="16"/>
                <w:szCs w:val="16"/>
                <w:lang w:eastAsia="ko-KR"/>
              </w:rPr>
            </w:pPr>
            <w:r w:rsidRPr="00B646CF">
              <w:rPr>
                <w:rFonts w:eastAsia="Malgun Gothic" w:cs="Arial" w:hint="eastAsia"/>
                <w:color w:val="000000"/>
                <w:sz w:val="16"/>
                <w:szCs w:val="16"/>
                <w:lang w:eastAsia="ko-KR"/>
              </w:rPr>
              <w:t>Workshop on Non-Traditional Marks</w:t>
            </w:r>
          </w:p>
        </w:tc>
        <w:tc>
          <w:tcPr>
            <w:tcW w:w="1134" w:type="dxa"/>
            <w:tcBorders>
              <w:bottom w:val="nil"/>
            </w:tcBorders>
          </w:tcPr>
          <w:p w:rsidR="0063033D" w:rsidRPr="00B646CF" w:rsidRDefault="0063033D" w:rsidP="008D1891">
            <w:pPr>
              <w:keepNext/>
              <w:keepLines/>
              <w:autoSpaceDE w:val="0"/>
              <w:autoSpaceDN w:val="0"/>
              <w:adjustRightInd w:val="0"/>
              <w:spacing w:before="120" w:after="120"/>
              <w:rPr>
                <w:rFonts w:eastAsia="Malgun Gothic" w:cs="Arial"/>
                <w:color w:val="000000"/>
                <w:sz w:val="16"/>
                <w:szCs w:val="16"/>
                <w:lang w:eastAsia="ko-KR"/>
              </w:rPr>
            </w:pPr>
            <w:r w:rsidRPr="00B646CF">
              <w:rPr>
                <w:rFonts w:eastAsia="Malgun Gothic" w:cs="Arial" w:hint="eastAsia"/>
                <w:color w:val="000000"/>
                <w:sz w:val="16"/>
                <w:szCs w:val="16"/>
                <w:lang w:eastAsia="ko-KR"/>
              </w:rPr>
              <w:t>April 28 to 30, 2014</w:t>
            </w:r>
          </w:p>
        </w:tc>
        <w:tc>
          <w:tcPr>
            <w:tcW w:w="1843" w:type="dxa"/>
            <w:tcBorders>
              <w:bottom w:val="nil"/>
            </w:tcBorders>
          </w:tcPr>
          <w:p w:rsidR="0063033D" w:rsidRPr="00D12DAD" w:rsidRDefault="0063033D" w:rsidP="008D1891">
            <w:pPr>
              <w:keepNext/>
              <w:keepLines/>
              <w:autoSpaceDE w:val="0"/>
              <w:autoSpaceDN w:val="0"/>
              <w:adjustRightInd w:val="0"/>
              <w:spacing w:before="120" w:after="120"/>
              <w:rPr>
                <w:rFonts w:eastAsia="Malgun Gothic" w:cs="Arial"/>
                <w:color w:val="000000"/>
                <w:sz w:val="16"/>
                <w:szCs w:val="16"/>
                <w:lang w:eastAsia="ko-KR"/>
              </w:rPr>
            </w:pPr>
            <w:r>
              <w:rPr>
                <w:rFonts w:eastAsia="Malgun Gothic" w:cs="Arial" w:hint="eastAsia"/>
                <w:color w:val="000000"/>
                <w:sz w:val="16"/>
                <w:szCs w:val="16"/>
                <w:lang w:eastAsia="ko-KR"/>
              </w:rPr>
              <w:t>The Philippines</w:t>
            </w:r>
            <w:r>
              <w:rPr>
                <w:rFonts w:eastAsia="Malgun Gothic" w:cs="Arial"/>
                <w:color w:val="000000"/>
                <w:sz w:val="16"/>
                <w:szCs w:val="16"/>
                <w:lang w:eastAsia="ko-KR"/>
              </w:rPr>
              <w:t>/</w:t>
            </w:r>
            <w:r>
              <w:rPr>
                <w:rFonts w:eastAsia="Malgun Gothic" w:cs="Arial" w:hint="eastAsia"/>
                <w:color w:val="000000"/>
                <w:sz w:val="16"/>
                <w:szCs w:val="16"/>
                <w:lang w:eastAsia="ko-KR"/>
              </w:rPr>
              <w:t>40 participants</w:t>
            </w:r>
          </w:p>
        </w:tc>
        <w:tc>
          <w:tcPr>
            <w:tcW w:w="4536" w:type="dxa"/>
            <w:tcBorders>
              <w:bottom w:val="nil"/>
            </w:tcBorders>
          </w:tcPr>
          <w:p w:rsidR="0063033D" w:rsidRPr="00B646CF" w:rsidRDefault="0063033D" w:rsidP="008D1891">
            <w:pPr>
              <w:keepNext/>
              <w:keepLines/>
              <w:autoSpaceDE w:val="0"/>
              <w:autoSpaceDN w:val="0"/>
              <w:adjustRightInd w:val="0"/>
              <w:spacing w:before="120" w:after="120"/>
              <w:rPr>
                <w:rFonts w:eastAsia="Malgun Gothic" w:cs="Arial"/>
                <w:color w:val="000000"/>
                <w:sz w:val="16"/>
                <w:szCs w:val="16"/>
                <w:lang w:eastAsia="ko-KR"/>
              </w:rPr>
            </w:pPr>
            <w:r w:rsidRPr="00B646CF">
              <w:rPr>
                <w:rFonts w:eastAsia="Malgun Gothic" w:cs="Arial" w:hint="eastAsia"/>
                <w:color w:val="000000"/>
                <w:sz w:val="16"/>
                <w:szCs w:val="16"/>
                <w:lang w:eastAsia="ko-KR"/>
              </w:rPr>
              <w:t>To train examiners of non-traditional trademarks and explore the possibility to promote the introduction of non-traditional trademarks in the Trademark Law of the Philippines.</w:t>
            </w:r>
          </w:p>
        </w:tc>
      </w:tr>
      <w:tr w:rsidR="0063033D" w:rsidRPr="004A7041" w:rsidTr="008D1891">
        <w:tc>
          <w:tcPr>
            <w:tcW w:w="1873" w:type="dxa"/>
            <w:tcBorders>
              <w:bottom w:val="nil"/>
            </w:tcBorders>
          </w:tcPr>
          <w:p w:rsidR="0063033D" w:rsidRPr="00B646CF" w:rsidRDefault="0063033D" w:rsidP="008D1891">
            <w:pPr>
              <w:autoSpaceDE w:val="0"/>
              <w:autoSpaceDN w:val="0"/>
              <w:adjustRightInd w:val="0"/>
              <w:spacing w:before="120" w:after="120"/>
              <w:rPr>
                <w:rFonts w:eastAsia="Malgun Gothic" w:cs="Arial"/>
                <w:color w:val="000000"/>
                <w:sz w:val="16"/>
                <w:szCs w:val="16"/>
                <w:lang w:eastAsia="ko-KR"/>
              </w:rPr>
            </w:pPr>
            <w:r w:rsidRPr="0018074C">
              <w:rPr>
                <w:rFonts w:eastAsia="Malgun Gothic" w:cs="Arial" w:hint="eastAsia"/>
                <w:color w:val="000000"/>
                <w:sz w:val="16"/>
                <w:szCs w:val="16"/>
                <w:lang w:eastAsia="ko-KR"/>
              </w:rPr>
              <w:t>Workshop on</w:t>
            </w:r>
            <w:r>
              <w:rPr>
                <w:rFonts w:eastAsia="Malgun Gothic" w:cs="Arial" w:hint="eastAsia"/>
                <w:color w:val="000000"/>
                <w:sz w:val="16"/>
                <w:szCs w:val="16"/>
                <w:lang w:eastAsia="ko-KR"/>
              </w:rPr>
              <w:t xml:space="preserve"> Patent Search </w:t>
            </w:r>
            <w:r>
              <w:rPr>
                <w:rFonts w:eastAsia="Malgun Gothic" w:cs="Arial"/>
                <w:color w:val="000000"/>
                <w:sz w:val="16"/>
                <w:szCs w:val="16"/>
                <w:lang w:eastAsia="ko-KR"/>
              </w:rPr>
              <w:t>and</w:t>
            </w:r>
            <w:r>
              <w:rPr>
                <w:rFonts w:eastAsia="Malgun Gothic" w:cs="Arial" w:hint="eastAsia"/>
                <w:color w:val="000000"/>
                <w:sz w:val="16"/>
                <w:szCs w:val="16"/>
                <w:lang w:eastAsia="ko-KR"/>
              </w:rPr>
              <w:t xml:space="preserve"> Examination</w:t>
            </w:r>
          </w:p>
        </w:tc>
        <w:tc>
          <w:tcPr>
            <w:tcW w:w="1134" w:type="dxa"/>
            <w:tcBorders>
              <w:bottom w:val="nil"/>
            </w:tcBorders>
          </w:tcPr>
          <w:p w:rsidR="0063033D" w:rsidRPr="00B646CF" w:rsidRDefault="0063033D" w:rsidP="008D1891">
            <w:pPr>
              <w:keepNext/>
              <w:keepLines/>
              <w:autoSpaceDE w:val="0"/>
              <w:autoSpaceDN w:val="0"/>
              <w:adjustRightInd w:val="0"/>
              <w:spacing w:before="120" w:after="120"/>
              <w:rPr>
                <w:rFonts w:eastAsia="Malgun Gothic" w:cs="Arial"/>
                <w:color w:val="000000"/>
                <w:sz w:val="16"/>
                <w:szCs w:val="16"/>
                <w:lang w:eastAsia="ko-KR"/>
              </w:rPr>
            </w:pPr>
            <w:r w:rsidRPr="00B646CF">
              <w:rPr>
                <w:rFonts w:eastAsia="Malgun Gothic" w:cs="Arial" w:hint="eastAsia"/>
                <w:color w:val="000000"/>
                <w:sz w:val="16"/>
                <w:szCs w:val="16"/>
                <w:lang w:eastAsia="ko-KR"/>
              </w:rPr>
              <w:t>May 19 to 23, 2014</w:t>
            </w:r>
          </w:p>
        </w:tc>
        <w:tc>
          <w:tcPr>
            <w:tcW w:w="1843" w:type="dxa"/>
            <w:tcBorders>
              <w:bottom w:val="nil"/>
            </w:tcBorders>
          </w:tcPr>
          <w:p w:rsidR="0063033D" w:rsidRDefault="0063033D" w:rsidP="008D1891">
            <w:pPr>
              <w:keepNext/>
              <w:keepLines/>
              <w:autoSpaceDE w:val="0"/>
              <w:autoSpaceDN w:val="0"/>
              <w:adjustRightInd w:val="0"/>
              <w:spacing w:before="120" w:after="120"/>
              <w:rPr>
                <w:rFonts w:eastAsia="Malgun Gothic" w:cs="Arial"/>
                <w:color w:val="000000"/>
                <w:sz w:val="16"/>
                <w:szCs w:val="16"/>
                <w:lang w:eastAsia="ko-KR"/>
              </w:rPr>
            </w:pPr>
            <w:r>
              <w:rPr>
                <w:rFonts w:eastAsia="Malgun Gothic" w:cs="Arial" w:hint="eastAsia"/>
                <w:color w:val="000000"/>
                <w:sz w:val="16"/>
                <w:szCs w:val="16"/>
                <w:lang w:eastAsia="ko-KR"/>
              </w:rPr>
              <w:t>Thailand</w:t>
            </w:r>
            <w:r>
              <w:rPr>
                <w:rFonts w:eastAsia="Malgun Gothic" w:cs="Arial"/>
                <w:color w:val="000000"/>
                <w:sz w:val="16"/>
                <w:szCs w:val="16"/>
                <w:lang w:eastAsia="ko-KR"/>
              </w:rPr>
              <w:t>/</w:t>
            </w:r>
            <w:r>
              <w:rPr>
                <w:rFonts w:eastAsia="Malgun Gothic" w:cs="Arial" w:hint="eastAsia"/>
                <w:color w:val="000000"/>
                <w:sz w:val="16"/>
                <w:szCs w:val="16"/>
                <w:lang w:eastAsia="ko-KR"/>
              </w:rPr>
              <w:t>35 participants</w:t>
            </w:r>
          </w:p>
        </w:tc>
        <w:tc>
          <w:tcPr>
            <w:tcW w:w="4536" w:type="dxa"/>
            <w:tcBorders>
              <w:bottom w:val="nil"/>
            </w:tcBorders>
          </w:tcPr>
          <w:p w:rsidR="0063033D" w:rsidRPr="00B646CF" w:rsidRDefault="0063033D" w:rsidP="008D1891">
            <w:pPr>
              <w:keepNext/>
              <w:keepLines/>
              <w:autoSpaceDE w:val="0"/>
              <w:autoSpaceDN w:val="0"/>
              <w:adjustRightInd w:val="0"/>
              <w:spacing w:before="120" w:after="120"/>
              <w:rPr>
                <w:rFonts w:eastAsia="Malgun Gothic" w:cs="Arial"/>
                <w:color w:val="000000"/>
                <w:sz w:val="16"/>
                <w:szCs w:val="16"/>
                <w:lang w:eastAsia="ko-KR"/>
              </w:rPr>
            </w:pPr>
            <w:r w:rsidRPr="00B646CF">
              <w:rPr>
                <w:rFonts w:eastAsia="Malgun Gothic" w:cs="Arial" w:hint="eastAsia"/>
                <w:color w:val="000000"/>
                <w:sz w:val="16"/>
                <w:szCs w:val="16"/>
                <w:lang w:eastAsia="ko-KR"/>
              </w:rPr>
              <w:t>To</w:t>
            </w:r>
            <w:r>
              <w:rPr>
                <w:rFonts w:eastAsia="Malgun Gothic" w:cs="Arial"/>
                <w:color w:val="000000"/>
                <w:sz w:val="16"/>
                <w:szCs w:val="16"/>
                <w:lang w:eastAsia="ko-KR"/>
              </w:rPr>
              <w:t>: (</w:t>
            </w:r>
            <w:proofErr w:type="spellStart"/>
            <w:r>
              <w:rPr>
                <w:rFonts w:eastAsia="Malgun Gothic" w:cs="Arial"/>
                <w:color w:val="000000"/>
                <w:sz w:val="16"/>
                <w:szCs w:val="16"/>
                <w:lang w:eastAsia="ko-KR"/>
              </w:rPr>
              <w:t>i</w:t>
            </w:r>
            <w:proofErr w:type="spellEnd"/>
            <w:r>
              <w:rPr>
                <w:rFonts w:eastAsia="Malgun Gothic" w:cs="Arial"/>
                <w:color w:val="000000"/>
                <w:sz w:val="16"/>
                <w:szCs w:val="16"/>
                <w:lang w:eastAsia="ko-KR"/>
              </w:rPr>
              <w:t>)</w:t>
            </w:r>
            <w:r w:rsidRPr="00B646CF">
              <w:rPr>
                <w:rFonts w:eastAsia="Malgun Gothic" w:cs="Arial" w:hint="eastAsia"/>
                <w:color w:val="000000"/>
                <w:sz w:val="16"/>
                <w:szCs w:val="16"/>
                <w:lang w:eastAsia="ko-KR"/>
              </w:rPr>
              <w:t xml:space="preserve"> raise the ability to search the prior art and the patent family</w:t>
            </w:r>
            <w:r>
              <w:rPr>
                <w:rFonts w:eastAsia="Malgun Gothic" w:cs="Arial"/>
                <w:color w:val="000000"/>
                <w:sz w:val="16"/>
                <w:szCs w:val="16"/>
                <w:lang w:eastAsia="ko-KR"/>
              </w:rPr>
              <w:t>; and (ii)</w:t>
            </w:r>
            <w:r w:rsidRPr="00B646CF">
              <w:rPr>
                <w:rFonts w:eastAsia="Malgun Gothic" w:cs="Arial" w:hint="eastAsia"/>
                <w:color w:val="000000"/>
                <w:sz w:val="16"/>
                <w:szCs w:val="16"/>
                <w:lang w:eastAsia="ko-KR"/>
              </w:rPr>
              <w:t xml:space="preserve"> enhance the knowledge and skills on patent examination</w:t>
            </w:r>
            <w:r>
              <w:rPr>
                <w:rFonts w:eastAsia="Malgun Gothic" w:cs="Arial"/>
                <w:color w:val="000000"/>
                <w:sz w:val="16"/>
                <w:szCs w:val="16"/>
                <w:lang w:eastAsia="ko-KR"/>
              </w:rPr>
              <w:t>.</w:t>
            </w:r>
          </w:p>
        </w:tc>
      </w:tr>
      <w:tr w:rsidR="0063033D" w:rsidRPr="004A7041" w:rsidTr="009375B7">
        <w:tc>
          <w:tcPr>
            <w:tcW w:w="1873" w:type="dxa"/>
            <w:tcBorders>
              <w:bottom w:val="nil"/>
            </w:tcBorders>
          </w:tcPr>
          <w:p w:rsidR="0063033D" w:rsidRPr="004A7041" w:rsidRDefault="0063033D" w:rsidP="008D1891">
            <w:pPr>
              <w:autoSpaceDE w:val="0"/>
              <w:autoSpaceDN w:val="0"/>
              <w:adjustRightInd w:val="0"/>
              <w:spacing w:before="120" w:after="120"/>
              <w:rPr>
                <w:rFonts w:cs="Arial"/>
                <w:color w:val="000000"/>
                <w:sz w:val="16"/>
                <w:szCs w:val="16"/>
              </w:rPr>
            </w:pPr>
            <w:r w:rsidRPr="008968AA">
              <w:rPr>
                <w:rFonts w:cs="Arial"/>
                <w:color w:val="000000"/>
                <w:sz w:val="16"/>
                <w:szCs w:val="16"/>
              </w:rPr>
              <w:t xml:space="preserve">Production of Intellectual Property </w:t>
            </w:r>
            <w:r w:rsidRPr="008968AA">
              <w:rPr>
                <w:rFonts w:cs="Arial"/>
                <w:color w:val="000000"/>
                <w:sz w:val="16"/>
                <w:szCs w:val="16"/>
              </w:rPr>
              <w:lastRenderedPageBreak/>
              <w:t>Educational Material</w:t>
            </w:r>
          </w:p>
        </w:tc>
        <w:tc>
          <w:tcPr>
            <w:tcW w:w="1134" w:type="dxa"/>
            <w:tcBorders>
              <w:bottom w:val="nil"/>
            </w:tcBorders>
          </w:tcPr>
          <w:p w:rsidR="0063033D" w:rsidRPr="00B646CF" w:rsidRDefault="0063033D" w:rsidP="008D1891">
            <w:pPr>
              <w:autoSpaceDE w:val="0"/>
              <w:autoSpaceDN w:val="0"/>
              <w:adjustRightInd w:val="0"/>
              <w:spacing w:before="120" w:after="120"/>
              <w:rPr>
                <w:rFonts w:eastAsia="Malgun Gothic" w:cs="Arial"/>
                <w:color w:val="000000"/>
                <w:sz w:val="16"/>
                <w:szCs w:val="16"/>
                <w:lang w:eastAsia="ko-KR"/>
              </w:rPr>
            </w:pPr>
            <w:r>
              <w:rPr>
                <w:rFonts w:eastAsia="Malgun Gothic" w:cs="Arial" w:hint="eastAsia"/>
                <w:color w:val="000000"/>
                <w:sz w:val="16"/>
                <w:szCs w:val="16"/>
                <w:lang w:eastAsia="ko-KR"/>
              </w:rPr>
              <w:lastRenderedPageBreak/>
              <w:t>December</w:t>
            </w:r>
            <w:r w:rsidRPr="00B646CF">
              <w:rPr>
                <w:rFonts w:eastAsia="Malgun Gothic" w:cs="Arial" w:hint="eastAsia"/>
                <w:color w:val="000000"/>
                <w:sz w:val="16"/>
                <w:szCs w:val="16"/>
                <w:lang w:eastAsia="ko-KR"/>
              </w:rPr>
              <w:t xml:space="preserve"> 2014</w:t>
            </w:r>
          </w:p>
        </w:tc>
        <w:tc>
          <w:tcPr>
            <w:tcW w:w="1843" w:type="dxa"/>
            <w:tcBorders>
              <w:bottom w:val="nil"/>
            </w:tcBorders>
          </w:tcPr>
          <w:p w:rsidR="0063033D" w:rsidRPr="004A7041" w:rsidRDefault="0063033D" w:rsidP="008D1891">
            <w:pPr>
              <w:autoSpaceDE w:val="0"/>
              <w:autoSpaceDN w:val="0"/>
              <w:adjustRightInd w:val="0"/>
              <w:spacing w:before="120" w:after="120"/>
              <w:rPr>
                <w:rFonts w:cs="Arial"/>
                <w:color w:val="000000"/>
                <w:sz w:val="16"/>
                <w:szCs w:val="16"/>
              </w:rPr>
            </w:pPr>
            <w:r w:rsidRPr="0097207F">
              <w:rPr>
                <w:rFonts w:cs="Arial" w:hint="eastAsia"/>
                <w:bCs/>
                <w:sz w:val="16"/>
                <w:szCs w:val="16"/>
                <w:lang w:eastAsia="ko-KR"/>
              </w:rPr>
              <w:t>All WIPO Member</w:t>
            </w:r>
            <w:r>
              <w:rPr>
                <w:rFonts w:cs="Arial" w:hint="eastAsia"/>
                <w:bCs/>
                <w:sz w:val="16"/>
                <w:szCs w:val="16"/>
                <w:lang w:eastAsia="ko-KR"/>
              </w:rPr>
              <w:t xml:space="preserve"> </w:t>
            </w:r>
            <w:r w:rsidRPr="0097207F">
              <w:rPr>
                <w:rFonts w:cs="Arial" w:hint="eastAsia"/>
                <w:bCs/>
                <w:sz w:val="16"/>
                <w:szCs w:val="16"/>
                <w:lang w:eastAsia="ko-KR"/>
              </w:rPr>
              <w:t>States</w:t>
            </w:r>
          </w:p>
        </w:tc>
        <w:tc>
          <w:tcPr>
            <w:tcW w:w="4536" w:type="dxa"/>
            <w:tcBorders>
              <w:bottom w:val="nil"/>
            </w:tcBorders>
          </w:tcPr>
          <w:p w:rsidR="0063033D" w:rsidRPr="004A7041" w:rsidRDefault="0063033D" w:rsidP="008D1891">
            <w:pPr>
              <w:autoSpaceDE w:val="0"/>
              <w:autoSpaceDN w:val="0"/>
              <w:adjustRightInd w:val="0"/>
              <w:spacing w:before="120" w:after="120"/>
              <w:rPr>
                <w:rFonts w:cs="Arial"/>
                <w:color w:val="000000"/>
                <w:sz w:val="16"/>
                <w:szCs w:val="16"/>
                <w:lang w:eastAsia="ko-KR"/>
              </w:rPr>
            </w:pPr>
            <w:r w:rsidRPr="000C7495">
              <w:rPr>
                <w:rFonts w:cs="Arial"/>
                <w:color w:val="000000"/>
                <w:sz w:val="16"/>
                <w:szCs w:val="16"/>
                <w:lang w:eastAsia="ko-KR"/>
              </w:rPr>
              <w:t>The Material include</w:t>
            </w:r>
            <w:r w:rsidRPr="00B646CF">
              <w:rPr>
                <w:rFonts w:eastAsia="Malgun Gothic" w:cs="Arial" w:hint="eastAsia"/>
                <w:color w:val="000000"/>
                <w:sz w:val="16"/>
                <w:szCs w:val="16"/>
                <w:lang w:eastAsia="ko-KR"/>
              </w:rPr>
              <w:t>s</w:t>
            </w:r>
            <w:r w:rsidRPr="000C7495">
              <w:rPr>
                <w:rFonts w:cs="Arial"/>
                <w:color w:val="000000"/>
                <w:sz w:val="16"/>
                <w:szCs w:val="16"/>
                <w:lang w:eastAsia="ko-KR"/>
              </w:rPr>
              <w:t xml:space="preserve"> activities and exercises which secondary</w:t>
            </w:r>
            <w:r>
              <w:rPr>
                <w:rFonts w:cs="Arial" w:hint="eastAsia"/>
                <w:color w:val="000000"/>
                <w:sz w:val="16"/>
                <w:szCs w:val="16"/>
                <w:lang w:eastAsia="ko-KR"/>
              </w:rPr>
              <w:t xml:space="preserve"> school</w:t>
            </w:r>
            <w:r w:rsidRPr="000C7495">
              <w:rPr>
                <w:rFonts w:cs="Arial"/>
                <w:color w:val="000000"/>
                <w:sz w:val="16"/>
                <w:szCs w:val="16"/>
                <w:lang w:eastAsia="ko-KR"/>
              </w:rPr>
              <w:t xml:space="preserve"> students may be encouraged to undertake in order to better grasp </w:t>
            </w:r>
            <w:r>
              <w:rPr>
                <w:rFonts w:cs="Arial" w:hint="eastAsia"/>
                <w:color w:val="000000"/>
                <w:sz w:val="16"/>
                <w:szCs w:val="16"/>
                <w:lang w:eastAsia="ko-KR"/>
              </w:rPr>
              <w:t>basic</w:t>
            </w:r>
            <w:r w:rsidRPr="000C7495">
              <w:rPr>
                <w:rFonts w:cs="Arial"/>
                <w:color w:val="000000"/>
                <w:sz w:val="16"/>
                <w:szCs w:val="16"/>
                <w:lang w:eastAsia="ko-KR"/>
              </w:rPr>
              <w:t xml:space="preserve"> concepts pertaining to </w:t>
            </w:r>
            <w:r w:rsidRPr="000C7495">
              <w:rPr>
                <w:rFonts w:cs="Arial"/>
                <w:color w:val="000000"/>
                <w:sz w:val="16"/>
                <w:szCs w:val="16"/>
                <w:lang w:eastAsia="ko-KR"/>
              </w:rPr>
              <w:lastRenderedPageBreak/>
              <w:t>creativity, inventiveness and IP</w:t>
            </w:r>
            <w:r>
              <w:rPr>
                <w:rFonts w:cs="Arial"/>
                <w:color w:val="000000"/>
                <w:sz w:val="16"/>
                <w:szCs w:val="16"/>
                <w:lang w:eastAsia="ko-KR"/>
              </w:rPr>
              <w:t>.</w:t>
            </w:r>
          </w:p>
        </w:tc>
      </w:tr>
      <w:tr w:rsidR="0063033D" w:rsidRPr="004A7041" w:rsidTr="009375B7">
        <w:tc>
          <w:tcPr>
            <w:tcW w:w="1873" w:type="dxa"/>
            <w:tcBorders>
              <w:top w:val="nil"/>
              <w:left w:val="single" w:sz="4" w:space="0" w:color="auto"/>
              <w:bottom w:val="single" w:sz="4" w:space="0" w:color="auto"/>
            </w:tcBorders>
          </w:tcPr>
          <w:p w:rsidR="0063033D" w:rsidRPr="0005341A" w:rsidRDefault="0063033D" w:rsidP="008D1891">
            <w:pPr>
              <w:autoSpaceDE w:val="0"/>
              <w:autoSpaceDN w:val="0"/>
              <w:adjustRightInd w:val="0"/>
              <w:spacing w:before="120" w:after="120"/>
              <w:rPr>
                <w:rFonts w:cs="Arial"/>
                <w:color w:val="000000"/>
                <w:sz w:val="16"/>
                <w:szCs w:val="16"/>
                <w:lang w:eastAsia="ko-KR"/>
              </w:rPr>
            </w:pPr>
            <w:r w:rsidRPr="0010105A">
              <w:rPr>
                <w:rFonts w:cs="Arial"/>
                <w:color w:val="000000"/>
                <w:sz w:val="16"/>
                <w:szCs w:val="16"/>
                <w:lang w:eastAsia="ko-KR"/>
              </w:rPr>
              <w:lastRenderedPageBreak/>
              <w:t xml:space="preserve">Production of Dubbed Versions of </w:t>
            </w:r>
            <w:proofErr w:type="spellStart"/>
            <w:r w:rsidRPr="0010105A">
              <w:rPr>
                <w:rFonts w:cs="Arial"/>
                <w:color w:val="000000"/>
                <w:sz w:val="16"/>
                <w:szCs w:val="16"/>
                <w:lang w:eastAsia="ko-KR"/>
              </w:rPr>
              <w:t>Pororo</w:t>
            </w:r>
            <w:proofErr w:type="spellEnd"/>
            <w:r w:rsidRPr="0010105A">
              <w:rPr>
                <w:rFonts w:cs="Arial"/>
                <w:color w:val="000000"/>
                <w:sz w:val="16"/>
                <w:szCs w:val="16"/>
                <w:lang w:eastAsia="ko-KR"/>
              </w:rPr>
              <w:t xml:space="preserve"> </w:t>
            </w:r>
            <w:r w:rsidRPr="00B646CF">
              <w:rPr>
                <w:rFonts w:eastAsia="Malgun Gothic" w:cs="Arial" w:hint="eastAsia"/>
                <w:color w:val="000000"/>
                <w:sz w:val="16"/>
                <w:szCs w:val="16"/>
                <w:lang w:eastAsia="ko-KR"/>
              </w:rPr>
              <w:t>A</w:t>
            </w:r>
            <w:r w:rsidRPr="0010105A">
              <w:rPr>
                <w:rFonts w:cs="Arial"/>
                <w:color w:val="000000"/>
                <w:sz w:val="16"/>
                <w:szCs w:val="16"/>
                <w:lang w:eastAsia="ko-KR"/>
              </w:rPr>
              <w:t>nimation</w:t>
            </w:r>
          </w:p>
        </w:tc>
        <w:tc>
          <w:tcPr>
            <w:tcW w:w="1134" w:type="dxa"/>
            <w:tcBorders>
              <w:top w:val="nil"/>
              <w:bottom w:val="single" w:sz="4" w:space="0" w:color="auto"/>
            </w:tcBorders>
          </w:tcPr>
          <w:p w:rsidR="0063033D" w:rsidRPr="00B646CF" w:rsidRDefault="0063033D" w:rsidP="008D1891">
            <w:pPr>
              <w:autoSpaceDE w:val="0"/>
              <w:autoSpaceDN w:val="0"/>
              <w:adjustRightInd w:val="0"/>
              <w:spacing w:before="120" w:after="120"/>
              <w:rPr>
                <w:rFonts w:eastAsia="Malgun Gothic" w:cs="Arial"/>
                <w:color w:val="000000"/>
                <w:sz w:val="16"/>
                <w:szCs w:val="16"/>
                <w:lang w:eastAsia="ko-KR"/>
              </w:rPr>
            </w:pPr>
            <w:r w:rsidRPr="0010105A">
              <w:rPr>
                <w:rFonts w:eastAsia="Malgun Gothic" w:cs="Arial" w:hint="eastAsia"/>
                <w:color w:val="000000"/>
                <w:sz w:val="16"/>
                <w:szCs w:val="16"/>
                <w:lang w:eastAsia="ko-KR"/>
              </w:rPr>
              <w:t>August, 2014</w:t>
            </w:r>
          </w:p>
        </w:tc>
        <w:tc>
          <w:tcPr>
            <w:tcW w:w="1843" w:type="dxa"/>
            <w:tcBorders>
              <w:top w:val="nil"/>
              <w:bottom w:val="single" w:sz="4" w:space="0" w:color="auto"/>
            </w:tcBorders>
          </w:tcPr>
          <w:p w:rsidR="0063033D" w:rsidRPr="0097207F" w:rsidRDefault="0063033D" w:rsidP="008D1891">
            <w:pPr>
              <w:autoSpaceDE w:val="0"/>
              <w:autoSpaceDN w:val="0"/>
              <w:adjustRightInd w:val="0"/>
              <w:spacing w:before="120" w:after="120"/>
              <w:rPr>
                <w:rFonts w:cs="Arial"/>
                <w:bCs/>
                <w:sz w:val="16"/>
                <w:szCs w:val="16"/>
                <w:lang w:eastAsia="ko-KR"/>
              </w:rPr>
            </w:pPr>
            <w:r w:rsidRPr="0097207F">
              <w:rPr>
                <w:rFonts w:cs="Arial" w:hint="eastAsia"/>
                <w:bCs/>
                <w:sz w:val="16"/>
                <w:szCs w:val="16"/>
                <w:lang w:eastAsia="ko-KR"/>
              </w:rPr>
              <w:t>All WIPO Member States</w:t>
            </w:r>
          </w:p>
        </w:tc>
        <w:tc>
          <w:tcPr>
            <w:tcW w:w="4536" w:type="dxa"/>
            <w:tcBorders>
              <w:top w:val="nil"/>
              <w:bottom w:val="single" w:sz="4" w:space="0" w:color="auto"/>
              <w:right w:val="single" w:sz="4" w:space="0" w:color="auto"/>
            </w:tcBorders>
          </w:tcPr>
          <w:p w:rsidR="0063033D" w:rsidRDefault="0063033D" w:rsidP="008D1891">
            <w:pPr>
              <w:autoSpaceDE w:val="0"/>
              <w:autoSpaceDN w:val="0"/>
              <w:adjustRightInd w:val="0"/>
              <w:spacing w:before="120" w:after="120"/>
              <w:rPr>
                <w:rFonts w:cs="Arial"/>
                <w:color w:val="000000"/>
                <w:sz w:val="16"/>
                <w:szCs w:val="16"/>
                <w:lang w:eastAsia="ko-KR"/>
              </w:rPr>
            </w:pPr>
            <w:r w:rsidRPr="00B646CF">
              <w:rPr>
                <w:rFonts w:eastAsia="Malgun Gothic" w:cs="Arial" w:hint="eastAsia"/>
                <w:color w:val="000000"/>
                <w:sz w:val="16"/>
                <w:szCs w:val="16"/>
                <w:lang w:eastAsia="ko-KR"/>
              </w:rPr>
              <w:t>To</w:t>
            </w:r>
            <w:r>
              <w:rPr>
                <w:rFonts w:eastAsia="Malgun Gothic" w:cs="Arial"/>
                <w:color w:val="000000"/>
                <w:sz w:val="16"/>
                <w:szCs w:val="16"/>
                <w:lang w:eastAsia="ko-KR"/>
              </w:rPr>
              <w:t>: (</w:t>
            </w:r>
            <w:proofErr w:type="spellStart"/>
            <w:r>
              <w:rPr>
                <w:rFonts w:eastAsia="Malgun Gothic" w:cs="Arial"/>
                <w:color w:val="000000"/>
                <w:sz w:val="16"/>
                <w:szCs w:val="16"/>
                <w:lang w:eastAsia="ko-KR"/>
              </w:rPr>
              <w:t>i</w:t>
            </w:r>
            <w:proofErr w:type="spellEnd"/>
            <w:r>
              <w:rPr>
                <w:rFonts w:eastAsia="Malgun Gothic" w:cs="Arial"/>
                <w:color w:val="000000"/>
                <w:sz w:val="16"/>
                <w:szCs w:val="16"/>
                <w:lang w:eastAsia="ko-KR"/>
              </w:rPr>
              <w:t>)</w:t>
            </w:r>
            <w:r w:rsidRPr="0010105A">
              <w:rPr>
                <w:rFonts w:cs="Arial"/>
                <w:color w:val="000000"/>
                <w:sz w:val="16"/>
                <w:szCs w:val="16"/>
                <w:lang w:eastAsia="ko-KR"/>
              </w:rPr>
              <w:t xml:space="preserve"> help children easily understand concepts of creativity and IP through </w:t>
            </w:r>
            <w:proofErr w:type="spellStart"/>
            <w:r w:rsidRPr="0010105A">
              <w:rPr>
                <w:rFonts w:cs="Arial"/>
                <w:color w:val="000000"/>
                <w:sz w:val="16"/>
                <w:szCs w:val="16"/>
                <w:lang w:eastAsia="ko-KR"/>
              </w:rPr>
              <w:t>Pororo</w:t>
            </w:r>
            <w:proofErr w:type="spellEnd"/>
            <w:r w:rsidRPr="0010105A">
              <w:rPr>
                <w:rFonts w:cs="Arial"/>
                <w:color w:val="000000"/>
                <w:sz w:val="16"/>
                <w:szCs w:val="16"/>
                <w:lang w:eastAsia="ko-KR"/>
              </w:rPr>
              <w:t xml:space="preserve"> animation</w:t>
            </w:r>
            <w:r w:rsidRPr="00B646CF">
              <w:rPr>
                <w:rFonts w:eastAsia="Malgun Gothic" w:cs="Arial" w:hint="eastAsia"/>
                <w:color w:val="000000"/>
                <w:sz w:val="16"/>
                <w:szCs w:val="16"/>
                <w:lang w:eastAsia="ko-KR"/>
              </w:rPr>
              <w:t>;</w:t>
            </w:r>
            <w:r w:rsidRPr="0010105A">
              <w:rPr>
                <w:rFonts w:cs="Arial"/>
                <w:color w:val="000000"/>
                <w:sz w:val="16"/>
                <w:szCs w:val="16"/>
                <w:lang w:eastAsia="ko-KR"/>
              </w:rPr>
              <w:t xml:space="preserve"> and </w:t>
            </w:r>
            <w:r>
              <w:rPr>
                <w:rFonts w:cs="Arial"/>
                <w:color w:val="000000"/>
                <w:sz w:val="16"/>
                <w:szCs w:val="16"/>
                <w:lang w:eastAsia="ko-KR"/>
              </w:rPr>
              <w:t xml:space="preserve">(ii) </w:t>
            </w:r>
            <w:r w:rsidRPr="0010105A">
              <w:rPr>
                <w:rFonts w:cs="Arial"/>
                <w:color w:val="000000"/>
                <w:sz w:val="16"/>
                <w:szCs w:val="16"/>
                <w:lang w:eastAsia="ko-KR"/>
              </w:rPr>
              <w:t xml:space="preserve">enhance the utilization of </w:t>
            </w:r>
            <w:proofErr w:type="spellStart"/>
            <w:r w:rsidRPr="0010105A">
              <w:rPr>
                <w:rFonts w:cs="Arial"/>
                <w:color w:val="000000"/>
                <w:sz w:val="16"/>
                <w:szCs w:val="16"/>
                <w:lang w:eastAsia="ko-KR"/>
              </w:rPr>
              <w:t>Pororo</w:t>
            </w:r>
            <w:proofErr w:type="spellEnd"/>
            <w:r w:rsidRPr="0010105A">
              <w:rPr>
                <w:rFonts w:cs="Arial"/>
                <w:color w:val="000000"/>
                <w:sz w:val="16"/>
                <w:szCs w:val="16"/>
                <w:lang w:eastAsia="ko-KR"/>
              </w:rPr>
              <w:t xml:space="preserve"> animation produced by WIPO</w:t>
            </w:r>
            <w:r>
              <w:rPr>
                <w:rFonts w:cs="Arial"/>
                <w:color w:val="000000"/>
                <w:sz w:val="16"/>
                <w:szCs w:val="16"/>
                <w:lang w:eastAsia="ko-KR"/>
              </w:rPr>
              <w:t>.</w:t>
            </w:r>
          </w:p>
          <w:p w:rsidR="0063033D" w:rsidRPr="00B64297" w:rsidRDefault="0063033D" w:rsidP="008D1891">
            <w:pPr>
              <w:autoSpaceDE w:val="0"/>
              <w:autoSpaceDN w:val="0"/>
              <w:adjustRightInd w:val="0"/>
              <w:spacing w:before="120" w:after="120"/>
              <w:rPr>
                <w:rFonts w:eastAsia="Malgun Gothic" w:cs="Arial"/>
                <w:color w:val="000000"/>
                <w:sz w:val="16"/>
                <w:szCs w:val="16"/>
                <w:lang w:eastAsia="ko-KR"/>
              </w:rPr>
            </w:pPr>
            <w:r>
              <w:rPr>
                <w:rFonts w:eastAsia="Malgun Gothic" w:cs="Arial" w:hint="eastAsia"/>
                <w:color w:val="000000"/>
                <w:sz w:val="16"/>
                <w:szCs w:val="16"/>
                <w:lang w:eastAsia="ko-KR"/>
              </w:rPr>
              <w:t>D</w:t>
            </w:r>
            <w:r w:rsidRPr="00B64297">
              <w:rPr>
                <w:rFonts w:eastAsia="Malgun Gothic" w:cs="Arial"/>
                <w:color w:val="000000"/>
                <w:sz w:val="16"/>
                <w:szCs w:val="16"/>
                <w:lang w:eastAsia="ko-KR"/>
              </w:rPr>
              <w:t xml:space="preserve">ubbed versions of </w:t>
            </w:r>
            <w:r>
              <w:rPr>
                <w:rFonts w:eastAsia="Malgun Gothic" w:cs="Arial"/>
                <w:color w:val="000000"/>
                <w:sz w:val="16"/>
                <w:szCs w:val="16"/>
                <w:lang w:eastAsia="ko-KR"/>
              </w:rPr>
              <w:t xml:space="preserve">the </w:t>
            </w:r>
            <w:proofErr w:type="spellStart"/>
            <w:r w:rsidRPr="00B64297">
              <w:rPr>
                <w:rFonts w:eastAsia="Malgun Gothic" w:cs="Arial"/>
                <w:color w:val="000000"/>
                <w:sz w:val="16"/>
                <w:szCs w:val="16"/>
                <w:lang w:eastAsia="ko-KR"/>
              </w:rPr>
              <w:t>Pororo</w:t>
            </w:r>
            <w:proofErr w:type="spellEnd"/>
            <w:r w:rsidRPr="00B64297">
              <w:rPr>
                <w:rFonts w:eastAsia="Malgun Gothic" w:cs="Arial"/>
                <w:color w:val="000000"/>
                <w:sz w:val="16"/>
                <w:szCs w:val="16"/>
                <w:lang w:eastAsia="ko-KR"/>
              </w:rPr>
              <w:t xml:space="preserve"> animation </w:t>
            </w:r>
            <w:r>
              <w:rPr>
                <w:rFonts w:eastAsia="Malgun Gothic" w:cs="Arial" w:hint="eastAsia"/>
                <w:color w:val="000000"/>
                <w:sz w:val="16"/>
                <w:szCs w:val="16"/>
                <w:lang w:eastAsia="ko-KR"/>
              </w:rPr>
              <w:t xml:space="preserve">were produced </w:t>
            </w:r>
            <w:r w:rsidRPr="00B64297">
              <w:rPr>
                <w:rFonts w:eastAsia="Malgun Gothic" w:cs="Arial"/>
                <w:color w:val="000000"/>
                <w:sz w:val="16"/>
                <w:szCs w:val="16"/>
                <w:lang w:eastAsia="ko-KR"/>
              </w:rPr>
              <w:t>in two</w:t>
            </w:r>
            <w:r>
              <w:rPr>
                <w:rFonts w:eastAsia="Malgun Gothic" w:cs="Arial"/>
                <w:color w:val="000000"/>
                <w:sz w:val="16"/>
                <w:szCs w:val="16"/>
                <w:lang w:eastAsia="ko-KR"/>
              </w:rPr>
              <w:t xml:space="preserve"> additional</w:t>
            </w:r>
            <w:r w:rsidRPr="00B64297">
              <w:rPr>
                <w:rFonts w:eastAsia="Malgun Gothic" w:cs="Arial"/>
                <w:color w:val="000000"/>
                <w:sz w:val="16"/>
                <w:szCs w:val="16"/>
                <w:lang w:eastAsia="ko-KR"/>
              </w:rPr>
              <w:t xml:space="preserve"> languages, French and Spanish, </w:t>
            </w:r>
            <w:r>
              <w:rPr>
                <w:rFonts w:eastAsia="Malgun Gothic" w:cs="Arial"/>
                <w:color w:val="000000"/>
                <w:sz w:val="16"/>
                <w:szCs w:val="16"/>
                <w:lang w:eastAsia="ko-KR"/>
              </w:rPr>
              <w:t xml:space="preserve">based on </w:t>
            </w:r>
            <w:r>
              <w:rPr>
                <w:rFonts w:eastAsia="Malgun Gothic" w:cs="Arial" w:hint="eastAsia"/>
                <w:color w:val="000000"/>
                <w:sz w:val="16"/>
                <w:szCs w:val="16"/>
                <w:lang w:eastAsia="ko-KR"/>
              </w:rPr>
              <w:t>the</w:t>
            </w:r>
            <w:r>
              <w:rPr>
                <w:rFonts w:eastAsia="Malgun Gothic" w:cs="Arial"/>
                <w:color w:val="000000"/>
                <w:sz w:val="16"/>
                <w:szCs w:val="16"/>
                <w:lang w:eastAsia="ko-KR"/>
              </w:rPr>
              <w:t xml:space="preserve"> original</w:t>
            </w:r>
            <w:r>
              <w:rPr>
                <w:rFonts w:eastAsia="Malgun Gothic" w:cs="Arial" w:hint="eastAsia"/>
                <w:color w:val="000000"/>
                <w:sz w:val="16"/>
                <w:szCs w:val="16"/>
                <w:lang w:eastAsia="ko-KR"/>
              </w:rPr>
              <w:t xml:space="preserve"> English version</w:t>
            </w:r>
            <w:r>
              <w:rPr>
                <w:rFonts w:eastAsia="Malgun Gothic" w:cs="Arial"/>
                <w:color w:val="000000"/>
                <w:sz w:val="16"/>
                <w:szCs w:val="16"/>
                <w:lang w:eastAsia="ko-KR"/>
              </w:rPr>
              <w:t>.</w:t>
            </w:r>
          </w:p>
        </w:tc>
      </w:tr>
    </w:tbl>
    <w:p w:rsidR="009375B7" w:rsidRDefault="009375B7">
      <w:r>
        <w:br w:type="page"/>
      </w:r>
    </w:p>
    <w:tbl>
      <w:tblPr>
        <w:tblW w:w="9386"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843"/>
        <w:gridCol w:w="4536"/>
      </w:tblGrid>
      <w:tr w:rsidR="009375B7" w:rsidRPr="004A7041" w:rsidTr="009375B7">
        <w:tc>
          <w:tcPr>
            <w:tcW w:w="1873" w:type="dxa"/>
            <w:tcBorders>
              <w:top w:val="single" w:sz="4" w:space="0" w:color="auto"/>
              <w:left w:val="single" w:sz="4" w:space="0" w:color="auto"/>
              <w:bottom w:val="nil"/>
            </w:tcBorders>
            <w:vAlign w:val="center"/>
          </w:tcPr>
          <w:p w:rsidR="009375B7" w:rsidRPr="002B7DE5" w:rsidRDefault="009375B7" w:rsidP="008D1891">
            <w:pPr>
              <w:rPr>
                <w:rFonts w:cs="Arial"/>
                <w:b/>
                <w:bCs/>
                <w:sz w:val="16"/>
                <w:szCs w:val="16"/>
              </w:rPr>
            </w:pPr>
            <w:r w:rsidRPr="002B7DE5">
              <w:rPr>
                <w:rFonts w:cs="Arial"/>
                <w:b/>
                <w:bCs/>
                <w:sz w:val="16"/>
                <w:szCs w:val="16"/>
              </w:rPr>
              <w:lastRenderedPageBreak/>
              <w:t>Activity</w:t>
            </w:r>
          </w:p>
        </w:tc>
        <w:tc>
          <w:tcPr>
            <w:tcW w:w="1134" w:type="dxa"/>
            <w:tcBorders>
              <w:top w:val="single" w:sz="4" w:space="0" w:color="auto"/>
              <w:bottom w:val="nil"/>
            </w:tcBorders>
            <w:vAlign w:val="center"/>
          </w:tcPr>
          <w:p w:rsidR="009375B7" w:rsidRPr="002B7DE5" w:rsidRDefault="009375B7" w:rsidP="008D1891">
            <w:pPr>
              <w:keepNext/>
              <w:keepLines/>
              <w:rPr>
                <w:rFonts w:cs="Arial"/>
                <w:sz w:val="16"/>
                <w:szCs w:val="16"/>
              </w:rPr>
            </w:pPr>
            <w:r w:rsidRPr="002B7DE5">
              <w:rPr>
                <w:rFonts w:cs="Arial"/>
                <w:b/>
                <w:bCs/>
                <w:sz w:val="16"/>
                <w:szCs w:val="16"/>
              </w:rPr>
              <w:t>Date</w:t>
            </w:r>
          </w:p>
        </w:tc>
        <w:tc>
          <w:tcPr>
            <w:tcW w:w="1843" w:type="dxa"/>
            <w:tcBorders>
              <w:top w:val="single" w:sz="4" w:space="0" w:color="auto"/>
              <w:bottom w:val="nil"/>
            </w:tcBorders>
            <w:vAlign w:val="center"/>
          </w:tcPr>
          <w:p w:rsidR="009375B7" w:rsidRPr="002B7DE5" w:rsidRDefault="009375B7" w:rsidP="008D1891">
            <w:pPr>
              <w:keepNext/>
              <w:keepLines/>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536" w:type="dxa"/>
            <w:tcBorders>
              <w:top w:val="single" w:sz="4" w:space="0" w:color="auto"/>
              <w:bottom w:val="nil"/>
              <w:right w:val="single" w:sz="4" w:space="0" w:color="auto"/>
            </w:tcBorders>
            <w:vAlign w:val="center"/>
          </w:tcPr>
          <w:p w:rsidR="009375B7" w:rsidRPr="002B7DE5" w:rsidRDefault="009375B7" w:rsidP="008D1891">
            <w:pPr>
              <w:keepNext/>
              <w:keepLines/>
              <w:rPr>
                <w:rFonts w:cs="Arial"/>
                <w:sz w:val="16"/>
                <w:szCs w:val="16"/>
              </w:rPr>
            </w:pPr>
            <w:r w:rsidRPr="002B7DE5">
              <w:rPr>
                <w:rFonts w:cs="Arial"/>
                <w:b/>
                <w:bCs/>
                <w:sz w:val="16"/>
                <w:szCs w:val="16"/>
              </w:rPr>
              <w:t>Purpose(s)/Description(s)</w:t>
            </w:r>
          </w:p>
        </w:tc>
      </w:tr>
      <w:tr w:rsidR="0063033D" w:rsidRPr="004A7041" w:rsidTr="008D1891">
        <w:tc>
          <w:tcPr>
            <w:tcW w:w="1873" w:type="dxa"/>
            <w:tcBorders>
              <w:top w:val="nil"/>
              <w:left w:val="single" w:sz="4" w:space="0" w:color="auto"/>
              <w:bottom w:val="nil"/>
            </w:tcBorders>
          </w:tcPr>
          <w:p w:rsidR="0063033D" w:rsidRPr="004A7041" w:rsidRDefault="0063033D" w:rsidP="008D1891">
            <w:pPr>
              <w:autoSpaceDE w:val="0"/>
              <w:autoSpaceDN w:val="0"/>
              <w:adjustRightInd w:val="0"/>
              <w:spacing w:before="120" w:after="120"/>
              <w:rPr>
                <w:rFonts w:cs="Arial"/>
                <w:color w:val="000000"/>
                <w:sz w:val="16"/>
                <w:szCs w:val="16"/>
                <w:lang w:eastAsia="ko-KR"/>
              </w:rPr>
            </w:pPr>
            <w:r w:rsidRPr="0005341A">
              <w:rPr>
                <w:rFonts w:cs="Arial"/>
                <w:color w:val="000000"/>
                <w:sz w:val="16"/>
                <w:szCs w:val="16"/>
                <w:lang w:eastAsia="ko-KR"/>
              </w:rPr>
              <w:t>Production of Intellectual Property Educational Guide</w:t>
            </w:r>
          </w:p>
        </w:tc>
        <w:tc>
          <w:tcPr>
            <w:tcW w:w="1134" w:type="dxa"/>
            <w:tcBorders>
              <w:top w:val="nil"/>
              <w:bottom w:val="nil"/>
            </w:tcBorders>
          </w:tcPr>
          <w:p w:rsidR="0063033D" w:rsidRPr="00B646CF" w:rsidRDefault="0063033D" w:rsidP="008D1891">
            <w:pPr>
              <w:autoSpaceDE w:val="0"/>
              <w:autoSpaceDN w:val="0"/>
              <w:adjustRightInd w:val="0"/>
              <w:spacing w:before="120" w:after="120"/>
              <w:rPr>
                <w:rFonts w:eastAsia="Malgun Gothic" w:cs="Arial"/>
                <w:color w:val="000000"/>
                <w:sz w:val="16"/>
                <w:szCs w:val="16"/>
                <w:lang w:eastAsia="ko-KR"/>
              </w:rPr>
            </w:pPr>
            <w:r w:rsidRPr="00B646CF">
              <w:rPr>
                <w:rFonts w:eastAsia="Malgun Gothic" w:cs="Arial" w:hint="eastAsia"/>
                <w:color w:val="000000"/>
                <w:sz w:val="16"/>
                <w:szCs w:val="16"/>
                <w:lang w:eastAsia="ko-KR"/>
              </w:rPr>
              <w:t>August, 2014</w:t>
            </w:r>
          </w:p>
        </w:tc>
        <w:tc>
          <w:tcPr>
            <w:tcW w:w="1843" w:type="dxa"/>
            <w:tcBorders>
              <w:top w:val="nil"/>
              <w:bottom w:val="nil"/>
            </w:tcBorders>
          </w:tcPr>
          <w:p w:rsidR="0063033D" w:rsidRPr="004A7041" w:rsidRDefault="0063033D" w:rsidP="008D1891">
            <w:pPr>
              <w:autoSpaceDE w:val="0"/>
              <w:autoSpaceDN w:val="0"/>
              <w:adjustRightInd w:val="0"/>
              <w:spacing w:before="120" w:after="120"/>
              <w:rPr>
                <w:rFonts w:cs="Arial"/>
                <w:color w:val="000000"/>
                <w:sz w:val="16"/>
                <w:szCs w:val="16"/>
              </w:rPr>
            </w:pPr>
            <w:r w:rsidRPr="0097207F">
              <w:rPr>
                <w:rFonts w:cs="Arial" w:hint="eastAsia"/>
                <w:bCs/>
                <w:sz w:val="16"/>
                <w:szCs w:val="16"/>
                <w:lang w:eastAsia="ko-KR"/>
              </w:rPr>
              <w:t>All WIPO Member States</w:t>
            </w:r>
          </w:p>
        </w:tc>
        <w:tc>
          <w:tcPr>
            <w:tcW w:w="4536" w:type="dxa"/>
            <w:tcBorders>
              <w:top w:val="nil"/>
              <w:bottom w:val="nil"/>
              <w:right w:val="single" w:sz="4" w:space="0" w:color="auto"/>
            </w:tcBorders>
          </w:tcPr>
          <w:p w:rsidR="0063033D" w:rsidRPr="00B646CF" w:rsidRDefault="0063033D" w:rsidP="008D1891">
            <w:pPr>
              <w:autoSpaceDE w:val="0"/>
              <w:autoSpaceDN w:val="0"/>
              <w:adjustRightInd w:val="0"/>
              <w:spacing w:before="120" w:after="120"/>
              <w:rPr>
                <w:rFonts w:eastAsia="Malgun Gothic" w:cs="Arial"/>
                <w:color w:val="000000"/>
                <w:sz w:val="16"/>
                <w:szCs w:val="16"/>
                <w:lang w:eastAsia="ko-KR"/>
              </w:rPr>
            </w:pPr>
            <w:r>
              <w:rPr>
                <w:rFonts w:cs="Arial" w:hint="eastAsia"/>
                <w:color w:val="000000"/>
                <w:sz w:val="16"/>
                <w:szCs w:val="16"/>
                <w:lang w:eastAsia="ko-KR"/>
              </w:rPr>
              <w:t>T</w:t>
            </w:r>
            <w:r w:rsidRPr="00D444D0">
              <w:rPr>
                <w:rFonts w:cs="Arial"/>
                <w:color w:val="000000"/>
                <w:sz w:val="16"/>
                <w:szCs w:val="16"/>
                <w:lang w:eastAsia="ko-KR"/>
              </w:rPr>
              <w:t>o</w:t>
            </w:r>
            <w:r>
              <w:rPr>
                <w:rFonts w:cs="Arial"/>
                <w:color w:val="000000"/>
                <w:sz w:val="16"/>
                <w:szCs w:val="16"/>
                <w:lang w:eastAsia="ko-KR"/>
              </w:rPr>
              <w:t>: (</w:t>
            </w:r>
            <w:proofErr w:type="spellStart"/>
            <w:r>
              <w:rPr>
                <w:rFonts w:cs="Arial"/>
                <w:color w:val="000000"/>
                <w:sz w:val="16"/>
                <w:szCs w:val="16"/>
                <w:lang w:eastAsia="ko-KR"/>
              </w:rPr>
              <w:t>i</w:t>
            </w:r>
            <w:proofErr w:type="spellEnd"/>
            <w:r>
              <w:rPr>
                <w:rFonts w:cs="Arial"/>
                <w:color w:val="000000"/>
                <w:sz w:val="16"/>
                <w:szCs w:val="16"/>
                <w:lang w:eastAsia="ko-KR"/>
              </w:rPr>
              <w:t>)</w:t>
            </w:r>
            <w:r w:rsidRPr="00D444D0">
              <w:rPr>
                <w:rFonts w:cs="Arial"/>
                <w:color w:val="000000"/>
                <w:sz w:val="16"/>
                <w:szCs w:val="16"/>
                <w:lang w:eastAsia="ko-KR"/>
              </w:rPr>
              <w:t xml:space="preserve"> </w:t>
            </w:r>
            <w:r>
              <w:rPr>
                <w:rFonts w:cs="Arial" w:hint="eastAsia"/>
                <w:color w:val="000000"/>
                <w:sz w:val="16"/>
                <w:szCs w:val="16"/>
                <w:lang w:eastAsia="ko-KR"/>
              </w:rPr>
              <w:t>support</w:t>
            </w:r>
            <w:r w:rsidRPr="00D444D0">
              <w:rPr>
                <w:rFonts w:cs="Arial"/>
                <w:color w:val="000000"/>
                <w:sz w:val="16"/>
                <w:szCs w:val="16"/>
                <w:lang w:eastAsia="ko-KR"/>
              </w:rPr>
              <w:t xml:space="preserve"> teachers to educate children on basic concepts of IP, the relationship of IP to creativity, and the benefits to be derived from the use of IP. </w:t>
            </w:r>
          </w:p>
          <w:p w:rsidR="0063033D" w:rsidRPr="00AE125D" w:rsidRDefault="0063033D" w:rsidP="008D1891">
            <w:pPr>
              <w:autoSpaceDE w:val="0"/>
              <w:autoSpaceDN w:val="0"/>
              <w:adjustRightInd w:val="0"/>
              <w:spacing w:before="120" w:after="120"/>
              <w:rPr>
                <w:rFonts w:eastAsia="Malgun Gothic" w:cs="Arial"/>
                <w:color w:val="000000"/>
                <w:sz w:val="16"/>
                <w:szCs w:val="16"/>
                <w:lang w:eastAsia="ko-KR"/>
              </w:rPr>
            </w:pPr>
            <w:r w:rsidRPr="00AE125D">
              <w:rPr>
                <w:rFonts w:eastAsia="Malgun Gothic" w:cs="Arial"/>
                <w:color w:val="000000"/>
                <w:sz w:val="16"/>
                <w:szCs w:val="16"/>
                <w:lang w:eastAsia="ko-KR"/>
              </w:rPr>
              <w:t>Three workbooks and one guidebook were produced with the intention</w:t>
            </w:r>
            <w:r>
              <w:rPr>
                <w:rFonts w:eastAsia="Malgun Gothic" w:cs="Arial" w:hint="eastAsia"/>
                <w:color w:val="000000"/>
                <w:sz w:val="16"/>
                <w:szCs w:val="16"/>
                <w:lang w:eastAsia="ko-KR"/>
              </w:rPr>
              <w:t xml:space="preserve"> </w:t>
            </w:r>
            <w:r w:rsidRPr="00AE125D">
              <w:rPr>
                <w:rFonts w:eastAsia="Malgun Gothic" w:cs="Arial"/>
                <w:color w:val="000000"/>
                <w:sz w:val="16"/>
                <w:szCs w:val="16"/>
                <w:lang w:eastAsia="ko-KR"/>
              </w:rPr>
              <w:t>of helping students, teachers, and parents better understand basic IP</w:t>
            </w:r>
            <w:r>
              <w:rPr>
                <w:rFonts w:eastAsia="Malgun Gothic" w:cs="Arial" w:hint="eastAsia"/>
                <w:color w:val="000000"/>
                <w:sz w:val="16"/>
                <w:szCs w:val="16"/>
                <w:lang w:eastAsia="ko-KR"/>
              </w:rPr>
              <w:t xml:space="preserve"> </w:t>
            </w:r>
            <w:r w:rsidRPr="00AE125D">
              <w:rPr>
                <w:rFonts w:eastAsia="Malgun Gothic" w:cs="Arial"/>
                <w:color w:val="000000"/>
                <w:sz w:val="16"/>
                <w:szCs w:val="16"/>
                <w:lang w:eastAsia="ko-KR"/>
              </w:rPr>
              <w:t>concepts.</w:t>
            </w:r>
          </w:p>
        </w:tc>
      </w:tr>
      <w:tr w:rsidR="0063033D" w:rsidRPr="004A7041" w:rsidTr="008D1891">
        <w:tc>
          <w:tcPr>
            <w:tcW w:w="9386" w:type="dxa"/>
            <w:gridSpan w:val="4"/>
            <w:tcBorders>
              <w:top w:val="single" w:sz="4" w:space="0" w:color="000000"/>
              <w:bottom w:val="single" w:sz="4" w:space="0" w:color="000000"/>
            </w:tcBorders>
            <w:shd w:val="clear" w:color="auto" w:fill="CCFFFF"/>
            <w:vAlign w:val="center"/>
          </w:tcPr>
          <w:p w:rsidR="0063033D" w:rsidRPr="004A7041" w:rsidRDefault="0063033D" w:rsidP="008D1891">
            <w:pPr>
              <w:keepNext/>
              <w:keepLines/>
              <w:tabs>
                <w:tab w:val="left" w:pos="1740"/>
              </w:tabs>
              <w:spacing w:before="120" w:after="120"/>
              <w:ind w:left="1740" w:hanging="1740"/>
              <w:rPr>
                <w:rFonts w:cs="Arial"/>
                <w:b/>
                <w:bCs/>
                <w:sz w:val="16"/>
                <w:szCs w:val="16"/>
              </w:rPr>
            </w:pPr>
            <w:r w:rsidRPr="004A7041">
              <w:rPr>
                <w:rFonts w:cs="Arial"/>
                <w:b/>
                <w:bCs/>
                <w:color w:val="000000"/>
                <w:sz w:val="16"/>
                <w:szCs w:val="16"/>
              </w:rPr>
              <w:t>RESULT</w:t>
            </w:r>
            <w:r w:rsidRPr="004A7041">
              <w:rPr>
                <w:rFonts w:cs="Arial"/>
                <w:b/>
                <w:bCs/>
                <w:sz w:val="16"/>
                <w:szCs w:val="16"/>
              </w:rPr>
              <w:t>:</w:t>
            </w:r>
            <w:r w:rsidRPr="004A7041">
              <w:rPr>
                <w:rFonts w:cs="Arial"/>
                <w:b/>
                <w:bCs/>
                <w:sz w:val="16"/>
                <w:szCs w:val="16"/>
              </w:rPr>
              <w:tab/>
            </w:r>
            <w:r w:rsidRPr="008230D2">
              <w:rPr>
                <w:rFonts w:cs="Arial"/>
                <w:bCs/>
                <w:color w:val="000000"/>
                <w:sz w:val="16"/>
                <w:szCs w:val="16"/>
              </w:rPr>
              <w:t>IV.2. Enhanced access to, and use of, IP information by IP institutions and the public to promote innovation and creativity</w:t>
            </w:r>
          </w:p>
        </w:tc>
      </w:tr>
      <w:tr w:rsidR="0063033D" w:rsidRPr="004A7041" w:rsidTr="008D1891">
        <w:tc>
          <w:tcPr>
            <w:tcW w:w="1873" w:type="dxa"/>
            <w:tcBorders>
              <w:top w:val="single" w:sz="4" w:space="0" w:color="000000"/>
            </w:tcBorders>
            <w:vAlign w:val="center"/>
          </w:tcPr>
          <w:p w:rsidR="0063033D" w:rsidRPr="00B24893" w:rsidRDefault="0063033D" w:rsidP="008D1891">
            <w:pPr>
              <w:autoSpaceDE w:val="0"/>
              <w:autoSpaceDN w:val="0"/>
              <w:adjustRightInd w:val="0"/>
              <w:spacing w:before="60" w:after="60"/>
              <w:rPr>
                <w:rFonts w:cs="Arial"/>
                <w:b/>
                <w:color w:val="000000"/>
                <w:sz w:val="16"/>
                <w:szCs w:val="16"/>
              </w:rPr>
            </w:pPr>
            <w:r w:rsidRPr="00B24893">
              <w:rPr>
                <w:rFonts w:cs="Arial"/>
                <w:b/>
                <w:color w:val="000000"/>
                <w:sz w:val="16"/>
                <w:szCs w:val="16"/>
              </w:rPr>
              <w:t>Activity</w:t>
            </w:r>
          </w:p>
        </w:tc>
        <w:tc>
          <w:tcPr>
            <w:tcW w:w="1134" w:type="dxa"/>
            <w:tcBorders>
              <w:top w:val="single" w:sz="4" w:space="0" w:color="000000"/>
            </w:tcBorders>
            <w:shd w:val="clear" w:color="auto" w:fill="auto"/>
            <w:tcMar>
              <w:top w:w="110" w:type="dxa"/>
            </w:tcMar>
            <w:vAlign w:val="center"/>
          </w:tcPr>
          <w:p w:rsidR="0063033D" w:rsidRPr="00B24893" w:rsidRDefault="0063033D" w:rsidP="008D1891">
            <w:pPr>
              <w:keepNext/>
              <w:keepLines/>
              <w:rPr>
                <w:rFonts w:cs="Arial"/>
                <w:b/>
                <w:color w:val="000000"/>
                <w:sz w:val="16"/>
                <w:szCs w:val="16"/>
              </w:rPr>
            </w:pPr>
            <w:r w:rsidRPr="00B24893">
              <w:rPr>
                <w:rFonts w:cs="Arial"/>
                <w:b/>
                <w:color w:val="000000"/>
                <w:sz w:val="16"/>
                <w:szCs w:val="16"/>
              </w:rPr>
              <w:t>Date</w:t>
            </w:r>
          </w:p>
        </w:tc>
        <w:tc>
          <w:tcPr>
            <w:tcW w:w="1843" w:type="dxa"/>
            <w:tcBorders>
              <w:top w:val="single" w:sz="4" w:space="0" w:color="000000"/>
            </w:tcBorders>
            <w:shd w:val="clear" w:color="auto" w:fill="auto"/>
            <w:tcMar>
              <w:top w:w="110" w:type="dxa"/>
            </w:tcMar>
            <w:vAlign w:val="center"/>
          </w:tcPr>
          <w:p w:rsidR="0063033D" w:rsidRPr="00B24893" w:rsidRDefault="0063033D" w:rsidP="008D1891">
            <w:pPr>
              <w:keepNext/>
              <w:keepLines/>
              <w:rPr>
                <w:rFonts w:cs="Arial"/>
                <w:b/>
                <w:color w:val="000000"/>
                <w:sz w:val="16"/>
                <w:szCs w:val="16"/>
              </w:rPr>
            </w:pPr>
            <w:r w:rsidRPr="00B24893">
              <w:rPr>
                <w:rFonts w:cs="Arial"/>
                <w:b/>
                <w:color w:val="000000"/>
                <w:sz w:val="16"/>
                <w:szCs w:val="16"/>
              </w:rPr>
              <w:t>Host Country/</w:t>
            </w:r>
            <w:r w:rsidRPr="00B24893">
              <w:rPr>
                <w:rFonts w:cs="Arial"/>
                <w:b/>
                <w:color w:val="000000"/>
                <w:sz w:val="16"/>
                <w:szCs w:val="16"/>
              </w:rPr>
              <w:br/>
              <w:t>Recipients</w:t>
            </w:r>
          </w:p>
        </w:tc>
        <w:tc>
          <w:tcPr>
            <w:tcW w:w="4536" w:type="dxa"/>
            <w:tcBorders>
              <w:top w:val="single" w:sz="4" w:space="0" w:color="000000"/>
            </w:tcBorders>
            <w:shd w:val="clear" w:color="auto" w:fill="FFFFFF"/>
            <w:tcMar>
              <w:top w:w="110" w:type="dxa"/>
            </w:tcMar>
            <w:vAlign w:val="center"/>
          </w:tcPr>
          <w:p w:rsidR="0063033D" w:rsidRPr="00B24893" w:rsidRDefault="0063033D" w:rsidP="008D1891">
            <w:pPr>
              <w:keepNext/>
              <w:keepLines/>
              <w:rPr>
                <w:rFonts w:cs="Arial"/>
                <w:b/>
                <w:color w:val="000000"/>
                <w:sz w:val="16"/>
                <w:szCs w:val="16"/>
              </w:rPr>
            </w:pPr>
            <w:r w:rsidRPr="00B24893">
              <w:rPr>
                <w:rFonts w:cs="Arial"/>
                <w:b/>
                <w:color w:val="000000"/>
                <w:sz w:val="16"/>
                <w:szCs w:val="16"/>
              </w:rPr>
              <w:t>Purpose(s)/Description(s)</w:t>
            </w:r>
          </w:p>
        </w:tc>
      </w:tr>
      <w:tr w:rsidR="0063033D" w:rsidRPr="004A7041" w:rsidTr="008D1891">
        <w:tc>
          <w:tcPr>
            <w:tcW w:w="1873" w:type="dxa"/>
          </w:tcPr>
          <w:p w:rsidR="0063033D" w:rsidRPr="004A7041" w:rsidRDefault="0063033D" w:rsidP="008D1891">
            <w:pPr>
              <w:autoSpaceDE w:val="0"/>
              <w:autoSpaceDN w:val="0"/>
              <w:adjustRightInd w:val="0"/>
              <w:spacing w:before="120" w:after="120"/>
              <w:rPr>
                <w:rFonts w:cs="Arial"/>
                <w:color w:val="000000"/>
                <w:sz w:val="16"/>
                <w:szCs w:val="16"/>
              </w:rPr>
            </w:pPr>
            <w:r w:rsidRPr="004A7041">
              <w:rPr>
                <w:rFonts w:cs="Arial"/>
                <w:color w:val="000000"/>
                <w:sz w:val="16"/>
                <w:szCs w:val="16"/>
              </w:rPr>
              <w:t>Appropriate Technology  Competition</w:t>
            </w:r>
          </w:p>
        </w:tc>
        <w:tc>
          <w:tcPr>
            <w:tcW w:w="1134" w:type="dxa"/>
          </w:tcPr>
          <w:p w:rsidR="0063033D" w:rsidRPr="00B646CF" w:rsidRDefault="0063033D" w:rsidP="008D1891">
            <w:pPr>
              <w:autoSpaceDE w:val="0"/>
              <w:autoSpaceDN w:val="0"/>
              <w:adjustRightInd w:val="0"/>
              <w:spacing w:before="120" w:after="120"/>
              <w:rPr>
                <w:rFonts w:eastAsia="Malgun Gothic" w:cs="Arial"/>
                <w:color w:val="000000"/>
                <w:sz w:val="16"/>
                <w:szCs w:val="16"/>
                <w:lang w:eastAsia="ko-KR"/>
              </w:rPr>
            </w:pPr>
            <w:r w:rsidRPr="00B646CF">
              <w:rPr>
                <w:rFonts w:eastAsia="Malgun Gothic" w:cs="Arial" w:hint="eastAsia"/>
                <w:color w:val="000000"/>
                <w:sz w:val="16"/>
                <w:szCs w:val="16"/>
                <w:lang w:eastAsia="ko-KR"/>
              </w:rPr>
              <w:t>July 15</w:t>
            </w:r>
            <w:r w:rsidRPr="004A7041">
              <w:rPr>
                <w:rFonts w:cs="Arial"/>
                <w:color w:val="000000"/>
                <w:sz w:val="16"/>
                <w:szCs w:val="16"/>
              </w:rPr>
              <w:t xml:space="preserve"> to</w:t>
            </w:r>
            <w:r w:rsidRPr="004A7041">
              <w:rPr>
                <w:rFonts w:cs="Arial" w:hint="eastAsia"/>
                <w:color w:val="000000"/>
                <w:sz w:val="16"/>
                <w:szCs w:val="16"/>
                <w:lang w:eastAsia="ko-KR"/>
              </w:rPr>
              <w:t xml:space="preserve"> </w:t>
            </w:r>
            <w:r>
              <w:rPr>
                <w:rFonts w:cs="Arial"/>
                <w:color w:val="000000"/>
                <w:sz w:val="16"/>
                <w:szCs w:val="16"/>
                <w:lang w:eastAsia="ko-KR"/>
              </w:rPr>
              <w:t>November</w:t>
            </w:r>
            <w:r w:rsidRPr="004A7041">
              <w:rPr>
                <w:rFonts w:cs="Arial"/>
                <w:color w:val="000000"/>
                <w:sz w:val="16"/>
                <w:szCs w:val="16"/>
              </w:rPr>
              <w:t xml:space="preserve"> </w:t>
            </w:r>
            <w:r w:rsidRPr="00B646CF">
              <w:rPr>
                <w:rFonts w:eastAsia="Malgun Gothic" w:cs="Arial" w:hint="eastAsia"/>
                <w:color w:val="000000"/>
                <w:sz w:val="16"/>
                <w:szCs w:val="16"/>
                <w:lang w:eastAsia="ko-KR"/>
              </w:rPr>
              <w:t xml:space="preserve">22, </w:t>
            </w:r>
            <w:r>
              <w:rPr>
                <w:rFonts w:cs="Arial"/>
                <w:color w:val="000000"/>
                <w:sz w:val="16"/>
                <w:szCs w:val="16"/>
              </w:rPr>
              <w:t>201</w:t>
            </w:r>
            <w:r w:rsidRPr="00B646CF">
              <w:rPr>
                <w:rFonts w:eastAsia="Malgun Gothic" w:cs="Arial" w:hint="eastAsia"/>
                <w:color w:val="000000"/>
                <w:sz w:val="16"/>
                <w:szCs w:val="16"/>
                <w:lang w:eastAsia="ko-KR"/>
              </w:rPr>
              <w:t>4</w:t>
            </w:r>
          </w:p>
        </w:tc>
        <w:tc>
          <w:tcPr>
            <w:tcW w:w="1843" w:type="dxa"/>
          </w:tcPr>
          <w:p w:rsidR="0063033D" w:rsidRPr="004A7041" w:rsidRDefault="0063033D" w:rsidP="008D1891">
            <w:pPr>
              <w:autoSpaceDE w:val="0"/>
              <w:autoSpaceDN w:val="0"/>
              <w:adjustRightInd w:val="0"/>
              <w:spacing w:before="120" w:after="120"/>
              <w:rPr>
                <w:rFonts w:cs="Arial"/>
                <w:color w:val="000000"/>
                <w:sz w:val="16"/>
                <w:szCs w:val="16"/>
              </w:rPr>
            </w:pPr>
            <w:r>
              <w:rPr>
                <w:rFonts w:cs="Arial" w:hint="eastAsia"/>
                <w:color w:val="000000"/>
                <w:sz w:val="16"/>
                <w:szCs w:val="16"/>
                <w:lang w:eastAsia="ko-KR"/>
              </w:rPr>
              <w:t>Viet Nam</w:t>
            </w:r>
            <w:r>
              <w:rPr>
                <w:rFonts w:eastAsia="Malgun Gothic" w:cs="Arial"/>
                <w:color w:val="000000"/>
                <w:sz w:val="16"/>
                <w:szCs w:val="16"/>
                <w:lang w:eastAsia="ko-KR"/>
              </w:rPr>
              <w:t>/</w:t>
            </w:r>
            <w:r w:rsidRPr="00B646CF">
              <w:rPr>
                <w:rFonts w:eastAsia="Malgun Gothic" w:cs="Arial" w:hint="eastAsia"/>
                <w:color w:val="000000"/>
                <w:sz w:val="16"/>
                <w:szCs w:val="16"/>
                <w:lang w:eastAsia="ko-KR"/>
              </w:rPr>
              <w:t>4</w:t>
            </w:r>
            <w:r>
              <w:rPr>
                <w:rFonts w:cs="Arial" w:hint="eastAsia"/>
                <w:color w:val="000000"/>
                <w:sz w:val="16"/>
                <w:szCs w:val="16"/>
                <w:lang w:eastAsia="ko-KR"/>
              </w:rPr>
              <w:t>00</w:t>
            </w:r>
            <w:r w:rsidRPr="004A7041">
              <w:rPr>
                <w:rFonts w:cs="Arial"/>
                <w:color w:val="000000"/>
                <w:sz w:val="16"/>
                <w:szCs w:val="16"/>
              </w:rPr>
              <w:t xml:space="preserve"> participants</w:t>
            </w:r>
          </w:p>
        </w:tc>
        <w:tc>
          <w:tcPr>
            <w:tcW w:w="4536" w:type="dxa"/>
          </w:tcPr>
          <w:p w:rsidR="0063033D" w:rsidRPr="004A7041" w:rsidRDefault="0063033D" w:rsidP="008D1891">
            <w:pPr>
              <w:autoSpaceDE w:val="0"/>
              <w:autoSpaceDN w:val="0"/>
              <w:adjustRightInd w:val="0"/>
              <w:spacing w:after="120"/>
              <w:rPr>
                <w:rFonts w:cs="Arial"/>
                <w:color w:val="000000"/>
                <w:sz w:val="16"/>
                <w:szCs w:val="16"/>
              </w:rPr>
            </w:pPr>
            <w:r w:rsidRPr="004A7041">
              <w:rPr>
                <w:rFonts w:cs="Arial"/>
                <w:color w:val="000000"/>
                <w:sz w:val="12"/>
                <w:szCs w:val="12"/>
              </w:rPr>
              <w:br/>
            </w:r>
            <w:r w:rsidRPr="004A7041">
              <w:rPr>
                <w:rFonts w:cs="Arial"/>
                <w:color w:val="000000"/>
                <w:sz w:val="16"/>
                <w:szCs w:val="16"/>
              </w:rPr>
              <w:t xml:space="preserve">To encourage and reward excellence in innovative solutions to frequently </w:t>
            </w:r>
            <w:r>
              <w:rPr>
                <w:rFonts w:cs="Arial"/>
                <w:color w:val="000000"/>
                <w:sz w:val="16"/>
                <w:szCs w:val="16"/>
                <w:lang w:eastAsia="ko-KR"/>
              </w:rPr>
              <w:t>o</w:t>
            </w:r>
            <w:r w:rsidRPr="004A7041">
              <w:rPr>
                <w:rFonts w:cs="Arial"/>
                <w:color w:val="000000"/>
                <w:sz w:val="16"/>
                <w:szCs w:val="16"/>
              </w:rPr>
              <w:t xml:space="preserve">ccurring problems, especially solutions that utilize technologies appropriate to local conditions. </w:t>
            </w:r>
            <w:r>
              <w:rPr>
                <w:rFonts w:cs="Arial"/>
                <w:color w:val="000000"/>
                <w:sz w:val="16"/>
                <w:szCs w:val="16"/>
              </w:rPr>
              <w:t xml:space="preserve"> </w:t>
            </w:r>
            <w:r w:rsidRPr="004A7041">
              <w:rPr>
                <w:rFonts w:cs="Arial"/>
                <w:color w:val="000000"/>
                <w:sz w:val="16"/>
                <w:szCs w:val="16"/>
              </w:rPr>
              <w:t>The utilization of patent information for devising solutions was a key element of the competition</w:t>
            </w:r>
            <w:r>
              <w:rPr>
                <w:rFonts w:cs="Arial"/>
                <w:color w:val="000000"/>
                <w:sz w:val="16"/>
                <w:szCs w:val="16"/>
              </w:rPr>
              <w:t>.</w:t>
            </w:r>
          </w:p>
          <w:p w:rsidR="0063033D" w:rsidRPr="004A7041" w:rsidRDefault="0063033D" w:rsidP="008D1891">
            <w:pPr>
              <w:autoSpaceDE w:val="0"/>
              <w:autoSpaceDN w:val="0"/>
              <w:adjustRightInd w:val="0"/>
              <w:spacing w:after="120"/>
              <w:rPr>
                <w:rFonts w:cs="Arial"/>
                <w:color w:val="000000"/>
                <w:sz w:val="16"/>
                <w:szCs w:val="16"/>
                <w:lang w:eastAsia="ko-KR"/>
              </w:rPr>
            </w:pPr>
            <w:r w:rsidRPr="004A7041">
              <w:rPr>
                <w:rFonts w:cs="Arial"/>
                <w:color w:val="000000"/>
                <w:sz w:val="16"/>
                <w:szCs w:val="16"/>
              </w:rPr>
              <w:t>The competition comprised an orientation workshop (</w:t>
            </w:r>
            <w:r w:rsidRPr="00B646CF">
              <w:rPr>
                <w:rFonts w:eastAsia="Malgun Gothic" w:cs="Arial" w:hint="eastAsia"/>
                <w:color w:val="000000"/>
                <w:sz w:val="16"/>
                <w:szCs w:val="16"/>
                <w:lang w:eastAsia="ko-KR"/>
              </w:rPr>
              <w:t>August 25, 27</w:t>
            </w:r>
            <w:r w:rsidRPr="00F40F25">
              <w:rPr>
                <w:rFonts w:cs="Arial"/>
                <w:color w:val="000000"/>
                <w:sz w:val="16"/>
                <w:szCs w:val="16"/>
                <w:lang w:eastAsia="ko-KR"/>
              </w:rPr>
              <w:t xml:space="preserve"> and </w:t>
            </w:r>
            <w:r w:rsidRPr="00B646CF">
              <w:rPr>
                <w:rFonts w:eastAsia="Malgun Gothic" w:cs="Arial" w:hint="eastAsia"/>
                <w:color w:val="000000"/>
                <w:sz w:val="16"/>
                <w:szCs w:val="16"/>
                <w:lang w:eastAsia="ko-KR"/>
              </w:rPr>
              <w:t>29</w:t>
            </w:r>
            <w:r w:rsidRPr="00F40F25">
              <w:rPr>
                <w:rFonts w:cs="Arial"/>
                <w:color w:val="000000"/>
                <w:sz w:val="16"/>
                <w:szCs w:val="16"/>
                <w:lang w:eastAsia="ko-KR"/>
              </w:rPr>
              <w:t>, 201</w:t>
            </w:r>
            <w:r w:rsidRPr="00B646CF">
              <w:rPr>
                <w:rFonts w:eastAsia="Malgun Gothic" w:cs="Arial" w:hint="eastAsia"/>
                <w:color w:val="000000"/>
                <w:sz w:val="16"/>
                <w:szCs w:val="16"/>
                <w:lang w:eastAsia="ko-KR"/>
              </w:rPr>
              <w:t>4</w:t>
            </w:r>
            <w:r w:rsidRPr="004A7041">
              <w:rPr>
                <w:rFonts w:cs="Arial"/>
                <w:color w:val="000000"/>
                <w:sz w:val="16"/>
                <w:szCs w:val="16"/>
              </w:rPr>
              <w:t>), evaluation and short-listing of submitted entries (</w:t>
            </w:r>
            <w:r>
              <w:rPr>
                <w:rFonts w:cs="Arial" w:hint="eastAsia"/>
                <w:color w:val="000000"/>
                <w:sz w:val="16"/>
                <w:szCs w:val="16"/>
                <w:lang w:eastAsia="ko-KR"/>
              </w:rPr>
              <w:t>1</w:t>
            </w:r>
            <w:r w:rsidRPr="00B646CF">
              <w:rPr>
                <w:rFonts w:eastAsia="Malgun Gothic" w:cs="Arial" w:hint="eastAsia"/>
                <w:color w:val="000000"/>
                <w:sz w:val="16"/>
                <w:szCs w:val="16"/>
                <w:lang w:eastAsia="ko-KR"/>
              </w:rPr>
              <w:t>7</w:t>
            </w:r>
            <w:r>
              <w:rPr>
                <w:rFonts w:cs="Arial" w:hint="eastAsia"/>
                <w:color w:val="000000"/>
                <w:sz w:val="16"/>
                <w:szCs w:val="16"/>
                <w:lang w:eastAsia="ko-KR"/>
              </w:rPr>
              <w:t>6 submissions</w:t>
            </w:r>
            <w:r w:rsidRPr="004A7041">
              <w:rPr>
                <w:rFonts w:cs="Arial"/>
                <w:color w:val="000000"/>
                <w:sz w:val="16"/>
                <w:szCs w:val="16"/>
              </w:rPr>
              <w:t>), presentations by shortlisted candidates and a</w:t>
            </w:r>
            <w:r>
              <w:rPr>
                <w:rFonts w:cs="Arial" w:hint="eastAsia"/>
                <w:color w:val="000000"/>
                <w:sz w:val="16"/>
                <w:szCs w:val="16"/>
                <w:lang w:eastAsia="ko-KR"/>
              </w:rPr>
              <w:t>n</w:t>
            </w:r>
            <w:r w:rsidRPr="004A7041">
              <w:rPr>
                <w:rFonts w:cs="Arial"/>
                <w:color w:val="000000"/>
                <w:sz w:val="16"/>
                <w:szCs w:val="16"/>
              </w:rPr>
              <w:t xml:space="preserve"> </w:t>
            </w:r>
            <w:r>
              <w:rPr>
                <w:rFonts w:cs="Arial" w:hint="eastAsia"/>
                <w:color w:val="000000"/>
                <w:sz w:val="16"/>
                <w:szCs w:val="16"/>
                <w:lang w:eastAsia="ko-KR"/>
              </w:rPr>
              <w:t>award ceremony</w:t>
            </w:r>
            <w:r w:rsidRPr="004A7041">
              <w:rPr>
                <w:rFonts w:cs="Arial"/>
                <w:color w:val="000000"/>
                <w:sz w:val="16"/>
                <w:szCs w:val="16"/>
              </w:rPr>
              <w:t xml:space="preserve"> (</w:t>
            </w:r>
            <w:r>
              <w:rPr>
                <w:rFonts w:cs="Arial"/>
                <w:color w:val="000000"/>
                <w:sz w:val="16"/>
                <w:szCs w:val="16"/>
                <w:lang w:eastAsia="ko-KR"/>
              </w:rPr>
              <w:t>November</w:t>
            </w:r>
            <w:r w:rsidRPr="00F40F25">
              <w:rPr>
                <w:rFonts w:cs="Arial"/>
                <w:color w:val="000000"/>
                <w:sz w:val="16"/>
                <w:szCs w:val="16"/>
                <w:lang w:eastAsia="ko-KR"/>
              </w:rPr>
              <w:t xml:space="preserve"> 201</w:t>
            </w:r>
            <w:r w:rsidRPr="00B646CF">
              <w:rPr>
                <w:rFonts w:eastAsia="Malgun Gothic" w:cs="Arial" w:hint="eastAsia"/>
                <w:color w:val="000000"/>
                <w:sz w:val="16"/>
                <w:szCs w:val="16"/>
                <w:lang w:eastAsia="ko-KR"/>
              </w:rPr>
              <w:t>4</w:t>
            </w:r>
            <w:r w:rsidRPr="004A7041">
              <w:rPr>
                <w:rFonts w:cs="Arial"/>
                <w:color w:val="000000"/>
                <w:sz w:val="16"/>
                <w:szCs w:val="16"/>
              </w:rPr>
              <w:t>)</w:t>
            </w:r>
            <w:r>
              <w:rPr>
                <w:rFonts w:cs="Arial"/>
                <w:color w:val="000000"/>
                <w:sz w:val="16"/>
                <w:szCs w:val="16"/>
              </w:rPr>
              <w:t>.</w:t>
            </w:r>
          </w:p>
        </w:tc>
      </w:tr>
      <w:tr w:rsidR="0063033D" w:rsidRPr="004A7041" w:rsidTr="008D1891">
        <w:tc>
          <w:tcPr>
            <w:tcW w:w="1873" w:type="dxa"/>
          </w:tcPr>
          <w:p w:rsidR="0063033D" w:rsidRPr="004A7041" w:rsidRDefault="0063033D" w:rsidP="008D1891">
            <w:pPr>
              <w:autoSpaceDE w:val="0"/>
              <w:autoSpaceDN w:val="0"/>
              <w:adjustRightInd w:val="0"/>
              <w:spacing w:before="120" w:after="120"/>
              <w:rPr>
                <w:rFonts w:cs="Arial"/>
                <w:color w:val="000000"/>
                <w:sz w:val="16"/>
                <w:szCs w:val="16"/>
              </w:rPr>
            </w:pPr>
            <w:r w:rsidRPr="004A7041">
              <w:rPr>
                <w:rFonts w:cs="Arial"/>
                <w:color w:val="000000"/>
                <w:sz w:val="16"/>
                <w:szCs w:val="16"/>
              </w:rPr>
              <w:t>Appropriate Technology  Competition</w:t>
            </w:r>
          </w:p>
        </w:tc>
        <w:tc>
          <w:tcPr>
            <w:tcW w:w="1134" w:type="dxa"/>
          </w:tcPr>
          <w:p w:rsidR="0063033D" w:rsidRPr="004A7041" w:rsidRDefault="0063033D" w:rsidP="008D1891">
            <w:pPr>
              <w:autoSpaceDE w:val="0"/>
              <w:autoSpaceDN w:val="0"/>
              <w:adjustRightInd w:val="0"/>
              <w:spacing w:before="120" w:after="120"/>
              <w:rPr>
                <w:rFonts w:cs="Arial"/>
                <w:color w:val="000000"/>
                <w:sz w:val="16"/>
                <w:szCs w:val="16"/>
                <w:lang w:eastAsia="ko-KR"/>
              </w:rPr>
            </w:pPr>
            <w:r w:rsidRPr="00B646CF">
              <w:rPr>
                <w:rFonts w:eastAsia="Malgun Gothic" w:cs="Arial" w:hint="eastAsia"/>
                <w:color w:val="000000"/>
                <w:sz w:val="16"/>
                <w:szCs w:val="16"/>
                <w:lang w:eastAsia="ko-KR"/>
              </w:rPr>
              <w:t>April 1</w:t>
            </w:r>
            <w:r w:rsidRPr="004A7041">
              <w:rPr>
                <w:rFonts w:cs="Arial"/>
                <w:color w:val="000000"/>
                <w:sz w:val="16"/>
                <w:szCs w:val="16"/>
              </w:rPr>
              <w:t xml:space="preserve"> to</w:t>
            </w:r>
            <w:r w:rsidRPr="004A7041">
              <w:rPr>
                <w:rFonts w:cs="Arial" w:hint="eastAsia"/>
                <w:color w:val="000000"/>
                <w:sz w:val="16"/>
                <w:szCs w:val="16"/>
                <w:lang w:eastAsia="ko-KR"/>
              </w:rPr>
              <w:t xml:space="preserve"> </w:t>
            </w:r>
            <w:r w:rsidRPr="00B646CF">
              <w:rPr>
                <w:rFonts w:eastAsia="Malgun Gothic" w:cs="Arial"/>
                <w:color w:val="000000"/>
                <w:sz w:val="16"/>
                <w:szCs w:val="16"/>
                <w:lang w:eastAsia="ko-KR"/>
              </w:rPr>
              <w:t>November</w:t>
            </w:r>
            <w:r w:rsidRPr="00B646CF">
              <w:rPr>
                <w:rFonts w:eastAsia="Malgun Gothic" w:cs="Arial" w:hint="eastAsia"/>
                <w:color w:val="000000"/>
                <w:sz w:val="16"/>
                <w:szCs w:val="16"/>
                <w:lang w:eastAsia="ko-KR"/>
              </w:rPr>
              <w:t xml:space="preserve"> 7</w:t>
            </w:r>
            <w:r>
              <w:rPr>
                <w:rFonts w:eastAsia="Malgun Gothic" w:cs="Arial"/>
                <w:color w:val="000000"/>
                <w:sz w:val="16"/>
                <w:szCs w:val="16"/>
                <w:lang w:eastAsia="ko-KR"/>
              </w:rPr>
              <w:t>,</w:t>
            </w:r>
            <w:r>
              <w:rPr>
                <w:rFonts w:cs="Arial" w:hint="eastAsia"/>
                <w:color w:val="000000"/>
                <w:sz w:val="16"/>
                <w:szCs w:val="16"/>
                <w:lang w:eastAsia="ko-KR"/>
              </w:rPr>
              <w:t xml:space="preserve"> </w:t>
            </w:r>
            <w:r>
              <w:rPr>
                <w:rFonts w:cs="Arial"/>
                <w:color w:val="000000"/>
                <w:sz w:val="16"/>
                <w:szCs w:val="16"/>
              </w:rPr>
              <w:t>201</w:t>
            </w:r>
            <w:r>
              <w:rPr>
                <w:rFonts w:cs="Arial" w:hint="eastAsia"/>
                <w:color w:val="000000"/>
                <w:sz w:val="16"/>
                <w:szCs w:val="16"/>
                <w:lang w:eastAsia="ko-KR"/>
              </w:rPr>
              <w:t>4</w:t>
            </w:r>
          </w:p>
        </w:tc>
        <w:tc>
          <w:tcPr>
            <w:tcW w:w="1843" w:type="dxa"/>
          </w:tcPr>
          <w:p w:rsidR="0063033D" w:rsidRPr="004A7041" w:rsidRDefault="0063033D" w:rsidP="008D1891">
            <w:pPr>
              <w:autoSpaceDE w:val="0"/>
              <w:autoSpaceDN w:val="0"/>
              <w:adjustRightInd w:val="0"/>
              <w:spacing w:before="120" w:after="120"/>
              <w:rPr>
                <w:rFonts w:cs="Arial"/>
                <w:color w:val="000000"/>
                <w:sz w:val="16"/>
                <w:szCs w:val="16"/>
              </w:rPr>
            </w:pPr>
            <w:r w:rsidRPr="00B646CF">
              <w:rPr>
                <w:rFonts w:eastAsia="Malgun Gothic" w:cs="Arial" w:hint="eastAsia"/>
                <w:color w:val="000000"/>
                <w:sz w:val="16"/>
                <w:szCs w:val="16"/>
                <w:lang w:eastAsia="ko-KR"/>
              </w:rPr>
              <w:t>Mongolia</w:t>
            </w:r>
            <w:r>
              <w:rPr>
                <w:rFonts w:eastAsia="Malgun Gothic" w:cs="Arial"/>
                <w:color w:val="000000"/>
                <w:sz w:val="16"/>
                <w:szCs w:val="16"/>
                <w:lang w:eastAsia="ko-KR"/>
              </w:rPr>
              <w:t>/</w:t>
            </w:r>
            <w:r w:rsidRPr="00B646CF">
              <w:rPr>
                <w:rFonts w:eastAsia="Malgun Gothic" w:cs="Arial" w:hint="eastAsia"/>
                <w:color w:val="000000"/>
                <w:sz w:val="16"/>
                <w:szCs w:val="16"/>
                <w:lang w:eastAsia="ko-KR"/>
              </w:rPr>
              <w:t>200</w:t>
            </w:r>
            <w:r w:rsidRPr="004A7041">
              <w:rPr>
                <w:rFonts w:cs="Arial"/>
                <w:color w:val="000000"/>
                <w:sz w:val="16"/>
                <w:szCs w:val="16"/>
              </w:rPr>
              <w:t xml:space="preserve"> participants</w:t>
            </w:r>
          </w:p>
        </w:tc>
        <w:tc>
          <w:tcPr>
            <w:tcW w:w="4536" w:type="dxa"/>
            <w:vAlign w:val="center"/>
          </w:tcPr>
          <w:p w:rsidR="0063033D" w:rsidRPr="004E51A7" w:rsidRDefault="0063033D" w:rsidP="008D1891">
            <w:pPr>
              <w:autoSpaceDE w:val="0"/>
              <w:autoSpaceDN w:val="0"/>
              <w:adjustRightInd w:val="0"/>
              <w:spacing w:after="120"/>
              <w:rPr>
                <w:rFonts w:cs="Arial"/>
                <w:color w:val="000000"/>
                <w:sz w:val="16"/>
                <w:szCs w:val="16"/>
                <w:lang w:eastAsia="ko-KR"/>
              </w:rPr>
            </w:pPr>
            <w:r w:rsidRPr="004A7041">
              <w:rPr>
                <w:rFonts w:cs="Arial"/>
                <w:color w:val="000000"/>
                <w:sz w:val="16"/>
                <w:szCs w:val="16"/>
              </w:rPr>
              <w:t>The competition comprised an orientation workshop (</w:t>
            </w:r>
            <w:r w:rsidRPr="009C3503">
              <w:rPr>
                <w:rFonts w:cs="Arial"/>
                <w:color w:val="000000"/>
                <w:sz w:val="16"/>
                <w:szCs w:val="16"/>
                <w:lang w:eastAsia="ko-KR"/>
              </w:rPr>
              <w:t xml:space="preserve">May </w:t>
            </w:r>
            <w:r w:rsidRPr="00B646CF">
              <w:rPr>
                <w:rFonts w:eastAsia="Malgun Gothic" w:cs="Arial" w:hint="eastAsia"/>
                <w:color w:val="000000"/>
                <w:sz w:val="16"/>
                <w:szCs w:val="16"/>
                <w:lang w:eastAsia="ko-KR"/>
              </w:rPr>
              <w:t>15</w:t>
            </w:r>
            <w:r w:rsidRPr="009C3503">
              <w:rPr>
                <w:rFonts w:cs="Arial"/>
                <w:color w:val="000000"/>
                <w:sz w:val="16"/>
                <w:szCs w:val="16"/>
                <w:lang w:eastAsia="ko-KR"/>
              </w:rPr>
              <w:t>, 201</w:t>
            </w:r>
            <w:r w:rsidRPr="00B646CF">
              <w:rPr>
                <w:rFonts w:eastAsia="Malgun Gothic" w:cs="Arial" w:hint="eastAsia"/>
                <w:color w:val="000000"/>
                <w:sz w:val="16"/>
                <w:szCs w:val="16"/>
                <w:lang w:eastAsia="ko-KR"/>
              </w:rPr>
              <w:t>4</w:t>
            </w:r>
            <w:r w:rsidRPr="004A7041">
              <w:rPr>
                <w:rFonts w:cs="Arial"/>
                <w:color w:val="000000"/>
                <w:sz w:val="16"/>
                <w:szCs w:val="16"/>
              </w:rPr>
              <w:t>), evaluation and short-listing of submitted entries (</w:t>
            </w:r>
            <w:r>
              <w:rPr>
                <w:rFonts w:cs="Arial" w:hint="eastAsia"/>
                <w:color w:val="000000"/>
                <w:sz w:val="16"/>
                <w:szCs w:val="16"/>
                <w:lang w:eastAsia="ko-KR"/>
              </w:rPr>
              <w:t>2</w:t>
            </w:r>
            <w:r w:rsidRPr="00B646CF">
              <w:rPr>
                <w:rFonts w:eastAsia="Malgun Gothic" w:cs="Arial" w:hint="eastAsia"/>
                <w:color w:val="000000"/>
                <w:sz w:val="16"/>
                <w:szCs w:val="16"/>
                <w:lang w:eastAsia="ko-KR"/>
              </w:rPr>
              <w:t>7</w:t>
            </w:r>
            <w:r>
              <w:rPr>
                <w:rFonts w:cs="Arial" w:hint="eastAsia"/>
                <w:color w:val="000000"/>
                <w:sz w:val="16"/>
                <w:szCs w:val="16"/>
                <w:lang w:eastAsia="ko-KR"/>
              </w:rPr>
              <w:t xml:space="preserve"> submissions</w:t>
            </w:r>
            <w:r w:rsidRPr="004A7041">
              <w:rPr>
                <w:rFonts w:cs="Arial"/>
                <w:color w:val="000000"/>
                <w:sz w:val="16"/>
                <w:szCs w:val="16"/>
              </w:rPr>
              <w:t>), presenta</w:t>
            </w:r>
            <w:r>
              <w:rPr>
                <w:rFonts w:cs="Arial"/>
                <w:color w:val="000000"/>
                <w:sz w:val="16"/>
                <w:szCs w:val="16"/>
              </w:rPr>
              <w:t>tions by shortlisted candidates</w:t>
            </w:r>
            <w:r>
              <w:rPr>
                <w:rFonts w:cs="Arial" w:hint="eastAsia"/>
                <w:color w:val="000000"/>
                <w:sz w:val="16"/>
                <w:szCs w:val="16"/>
                <w:lang w:eastAsia="ko-KR"/>
              </w:rPr>
              <w:t xml:space="preserve">, an award ceremony </w:t>
            </w:r>
            <w:r w:rsidRPr="004A7041">
              <w:rPr>
                <w:rFonts w:cs="Arial"/>
                <w:color w:val="000000"/>
                <w:sz w:val="16"/>
                <w:szCs w:val="16"/>
              </w:rPr>
              <w:t>and a workshop on commercialization (</w:t>
            </w:r>
            <w:r w:rsidRPr="00B646CF">
              <w:rPr>
                <w:rFonts w:eastAsia="Malgun Gothic" w:cs="Arial"/>
                <w:color w:val="000000"/>
                <w:sz w:val="16"/>
                <w:szCs w:val="16"/>
                <w:lang w:eastAsia="ko-KR"/>
              </w:rPr>
              <w:t>November</w:t>
            </w:r>
            <w:r w:rsidRPr="00B646CF">
              <w:rPr>
                <w:rFonts w:eastAsia="Malgun Gothic" w:cs="Arial" w:hint="eastAsia"/>
                <w:color w:val="000000"/>
                <w:sz w:val="16"/>
                <w:szCs w:val="16"/>
                <w:lang w:eastAsia="ko-KR"/>
              </w:rPr>
              <w:t xml:space="preserve"> 5</w:t>
            </w:r>
            <w:r w:rsidRPr="004A7041">
              <w:rPr>
                <w:rFonts w:cs="Arial"/>
                <w:color w:val="000000"/>
                <w:sz w:val="16"/>
                <w:szCs w:val="16"/>
              </w:rPr>
              <w:t xml:space="preserve"> </w:t>
            </w:r>
            <w:r>
              <w:rPr>
                <w:rFonts w:cs="Arial" w:hint="eastAsia"/>
                <w:color w:val="000000"/>
                <w:sz w:val="16"/>
                <w:szCs w:val="16"/>
                <w:lang w:eastAsia="ko-KR"/>
              </w:rPr>
              <w:t>to</w:t>
            </w:r>
            <w:r w:rsidRPr="004A7041">
              <w:rPr>
                <w:rFonts w:cs="Arial"/>
                <w:color w:val="000000"/>
                <w:sz w:val="16"/>
                <w:szCs w:val="16"/>
              </w:rPr>
              <w:t xml:space="preserve"> </w:t>
            </w:r>
            <w:r w:rsidRPr="00B646CF">
              <w:rPr>
                <w:rFonts w:eastAsia="Malgun Gothic" w:cs="Arial" w:hint="eastAsia"/>
                <w:color w:val="000000"/>
                <w:sz w:val="16"/>
                <w:szCs w:val="16"/>
                <w:lang w:eastAsia="ko-KR"/>
              </w:rPr>
              <w:t>7</w:t>
            </w:r>
            <w:r w:rsidRPr="004A7041">
              <w:rPr>
                <w:rFonts w:cs="Arial"/>
                <w:color w:val="000000"/>
                <w:sz w:val="16"/>
                <w:szCs w:val="16"/>
              </w:rPr>
              <w:t xml:space="preserve">, </w:t>
            </w:r>
            <w:r>
              <w:rPr>
                <w:rFonts w:cs="Arial"/>
                <w:color w:val="000000"/>
                <w:sz w:val="16"/>
                <w:szCs w:val="16"/>
              </w:rPr>
              <w:t>201</w:t>
            </w:r>
            <w:r>
              <w:rPr>
                <w:rFonts w:cs="Arial" w:hint="eastAsia"/>
                <w:color w:val="000000"/>
                <w:sz w:val="16"/>
                <w:szCs w:val="16"/>
                <w:lang w:eastAsia="ko-KR"/>
              </w:rPr>
              <w:t>4</w:t>
            </w:r>
            <w:r w:rsidRPr="004A7041">
              <w:rPr>
                <w:rFonts w:cs="Arial"/>
                <w:color w:val="000000"/>
                <w:sz w:val="16"/>
                <w:szCs w:val="16"/>
              </w:rPr>
              <w:t>)</w:t>
            </w:r>
            <w:r>
              <w:rPr>
                <w:rFonts w:cs="Arial"/>
                <w:color w:val="000000"/>
                <w:sz w:val="16"/>
                <w:szCs w:val="16"/>
              </w:rPr>
              <w:t>.</w:t>
            </w:r>
          </w:p>
        </w:tc>
      </w:tr>
      <w:tr w:rsidR="0063033D" w:rsidRPr="004A7041" w:rsidTr="008D1891">
        <w:tc>
          <w:tcPr>
            <w:tcW w:w="1873" w:type="dxa"/>
          </w:tcPr>
          <w:p w:rsidR="0063033D" w:rsidRPr="004A7041" w:rsidRDefault="0063033D" w:rsidP="008D1891">
            <w:pPr>
              <w:keepNext/>
              <w:keepLines/>
              <w:autoSpaceDE w:val="0"/>
              <w:autoSpaceDN w:val="0"/>
              <w:adjustRightInd w:val="0"/>
              <w:spacing w:before="120" w:after="120"/>
              <w:rPr>
                <w:rFonts w:cs="Arial"/>
                <w:color w:val="000000"/>
                <w:sz w:val="16"/>
                <w:szCs w:val="16"/>
                <w:lang w:eastAsia="ko-KR"/>
              </w:rPr>
            </w:pPr>
            <w:r w:rsidRPr="00745AFE">
              <w:rPr>
                <w:rFonts w:cs="Arial"/>
                <w:color w:val="000000"/>
                <w:sz w:val="16"/>
                <w:szCs w:val="16"/>
              </w:rPr>
              <w:t xml:space="preserve">Regional Seminar on Utilization of </w:t>
            </w:r>
            <w:r w:rsidRPr="00B646CF">
              <w:rPr>
                <w:rFonts w:eastAsia="Malgun Gothic" w:cs="Arial" w:hint="eastAsia"/>
                <w:color w:val="000000"/>
                <w:sz w:val="16"/>
                <w:szCs w:val="16"/>
                <w:lang w:eastAsia="ko-KR"/>
              </w:rPr>
              <w:t>IP</w:t>
            </w:r>
            <w:r w:rsidRPr="00745AFE">
              <w:rPr>
                <w:rFonts w:cs="Arial"/>
                <w:color w:val="000000"/>
                <w:sz w:val="16"/>
                <w:szCs w:val="16"/>
              </w:rPr>
              <w:t xml:space="preserve"> to Develop and Disseminate Appropriate Technology</w:t>
            </w:r>
            <w:r>
              <w:rPr>
                <w:rFonts w:cs="Arial"/>
                <w:color w:val="000000"/>
                <w:sz w:val="16"/>
                <w:szCs w:val="16"/>
              </w:rPr>
              <w:t xml:space="preserve"> (AT)</w:t>
            </w:r>
          </w:p>
        </w:tc>
        <w:tc>
          <w:tcPr>
            <w:tcW w:w="1134" w:type="dxa"/>
          </w:tcPr>
          <w:p w:rsidR="0063033D" w:rsidRPr="00B646CF" w:rsidRDefault="0063033D" w:rsidP="008D1891">
            <w:pPr>
              <w:keepNext/>
              <w:keepLines/>
              <w:autoSpaceDE w:val="0"/>
              <w:autoSpaceDN w:val="0"/>
              <w:adjustRightInd w:val="0"/>
              <w:spacing w:before="120" w:after="120"/>
              <w:rPr>
                <w:rFonts w:eastAsia="Malgun Gothic" w:cs="Arial"/>
                <w:color w:val="000000"/>
                <w:sz w:val="16"/>
                <w:szCs w:val="16"/>
                <w:lang w:eastAsia="ko-KR"/>
              </w:rPr>
            </w:pPr>
            <w:r w:rsidRPr="00B646CF">
              <w:rPr>
                <w:rFonts w:eastAsia="Malgun Gothic" w:cs="Arial" w:hint="eastAsia"/>
                <w:color w:val="000000"/>
                <w:sz w:val="16"/>
                <w:szCs w:val="16"/>
                <w:lang w:eastAsia="ko-KR"/>
              </w:rPr>
              <w:t>July</w:t>
            </w:r>
            <w:r w:rsidRPr="008905AD">
              <w:rPr>
                <w:rFonts w:cs="Arial"/>
                <w:color w:val="000000"/>
                <w:sz w:val="16"/>
                <w:szCs w:val="16"/>
                <w:lang w:eastAsia="ko-KR"/>
              </w:rPr>
              <w:t xml:space="preserve"> </w:t>
            </w:r>
            <w:r>
              <w:rPr>
                <w:rFonts w:cs="Arial" w:hint="eastAsia"/>
                <w:color w:val="000000"/>
                <w:sz w:val="16"/>
                <w:szCs w:val="16"/>
                <w:lang w:eastAsia="ko-KR"/>
              </w:rPr>
              <w:t>2</w:t>
            </w:r>
            <w:r w:rsidRPr="00B646CF">
              <w:rPr>
                <w:rFonts w:eastAsia="Malgun Gothic" w:cs="Arial" w:hint="eastAsia"/>
                <w:color w:val="000000"/>
                <w:sz w:val="16"/>
                <w:szCs w:val="16"/>
                <w:lang w:eastAsia="ko-KR"/>
              </w:rPr>
              <w:t xml:space="preserve"> to 4</w:t>
            </w:r>
            <w:r w:rsidRPr="008905AD">
              <w:rPr>
                <w:rFonts w:cs="Arial"/>
                <w:color w:val="000000"/>
                <w:sz w:val="16"/>
                <w:szCs w:val="16"/>
                <w:lang w:eastAsia="ko-KR"/>
              </w:rPr>
              <w:t>, 201</w:t>
            </w:r>
            <w:r w:rsidRPr="00B646CF">
              <w:rPr>
                <w:rFonts w:eastAsia="Malgun Gothic" w:cs="Arial" w:hint="eastAsia"/>
                <w:color w:val="000000"/>
                <w:sz w:val="16"/>
                <w:szCs w:val="16"/>
                <w:lang w:eastAsia="ko-KR"/>
              </w:rPr>
              <w:t>4</w:t>
            </w:r>
          </w:p>
        </w:tc>
        <w:tc>
          <w:tcPr>
            <w:tcW w:w="1843" w:type="dxa"/>
          </w:tcPr>
          <w:p w:rsidR="0063033D" w:rsidRDefault="0063033D" w:rsidP="008D1891">
            <w:pPr>
              <w:keepNext/>
              <w:keepLines/>
              <w:autoSpaceDE w:val="0"/>
              <w:autoSpaceDN w:val="0"/>
              <w:adjustRightInd w:val="0"/>
              <w:spacing w:before="120" w:after="120"/>
              <w:rPr>
                <w:rFonts w:cs="Arial"/>
                <w:color w:val="000000"/>
                <w:sz w:val="16"/>
                <w:szCs w:val="16"/>
                <w:lang w:eastAsia="ko-KR"/>
              </w:rPr>
            </w:pPr>
            <w:r w:rsidRPr="004A7041">
              <w:rPr>
                <w:rFonts w:cs="Arial"/>
                <w:color w:val="000000"/>
                <w:sz w:val="16"/>
                <w:szCs w:val="16"/>
              </w:rPr>
              <w:t>Republic of Korea</w:t>
            </w:r>
            <w:r>
              <w:rPr>
                <w:rFonts w:cs="Arial"/>
                <w:color w:val="000000"/>
                <w:sz w:val="16"/>
                <w:szCs w:val="16"/>
              </w:rPr>
              <w:t>/</w:t>
            </w:r>
            <w:r w:rsidRPr="004A7041">
              <w:rPr>
                <w:rFonts w:cs="Arial"/>
                <w:color w:val="000000"/>
                <w:sz w:val="16"/>
                <w:szCs w:val="16"/>
              </w:rPr>
              <w:t>1</w:t>
            </w:r>
            <w:r w:rsidRPr="00B646CF">
              <w:rPr>
                <w:rFonts w:eastAsia="Malgun Gothic" w:cs="Arial" w:hint="eastAsia"/>
                <w:color w:val="000000"/>
                <w:sz w:val="16"/>
                <w:szCs w:val="16"/>
                <w:lang w:eastAsia="ko-KR"/>
              </w:rPr>
              <w:t>5</w:t>
            </w:r>
            <w:r w:rsidRPr="004A7041">
              <w:rPr>
                <w:rFonts w:cs="Arial"/>
                <w:color w:val="000000"/>
                <w:sz w:val="16"/>
                <w:szCs w:val="16"/>
              </w:rPr>
              <w:t xml:space="preserve"> </w:t>
            </w:r>
            <w:r w:rsidRPr="00B646CF">
              <w:rPr>
                <w:rFonts w:eastAsia="Malgun Gothic" w:cs="Arial"/>
                <w:color w:val="000000"/>
                <w:sz w:val="16"/>
                <w:szCs w:val="16"/>
                <w:lang w:eastAsia="ko-KR"/>
              </w:rPr>
              <w:t>government</w:t>
            </w:r>
            <w:r w:rsidRPr="00B646CF">
              <w:rPr>
                <w:rFonts w:eastAsia="Malgun Gothic" w:cs="Arial" w:hint="eastAsia"/>
                <w:color w:val="000000"/>
                <w:sz w:val="16"/>
                <w:szCs w:val="16"/>
                <w:lang w:eastAsia="ko-KR"/>
              </w:rPr>
              <w:t xml:space="preserve"> officials</w:t>
            </w:r>
            <w:r w:rsidRPr="004A7041">
              <w:rPr>
                <w:rFonts w:cs="Arial"/>
                <w:color w:val="000000"/>
                <w:sz w:val="16"/>
                <w:szCs w:val="16"/>
              </w:rPr>
              <w:t xml:space="preserve"> from </w:t>
            </w:r>
            <w:r>
              <w:rPr>
                <w:rFonts w:cs="Arial" w:hint="eastAsia"/>
                <w:color w:val="000000"/>
                <w:sz w:val="16"/>
                <w:szCs w:val="16"/>
                <w:lang w:eastAsia="ko-KR"/>
              </w:rPr>
              <w:t>1</w:t>
            </w:r>
            <w:r w:rsidRPr="00B646CF">
              <w:rPr>
                <w:rFonts w:eastAsia="Malgun Gothic" w:cs="Arial" w:hint="eastAsia"/>
                <w:color w:val="000000"/>
                <w:sz w:val="16"/>
                <w:szCs w:val="16"/>
                <w:lang w:eastAsia="ko-KR"/>
              </w:rPr>
              <w:t>3</w:t>
            </w:r>
            <w:r w:rsidRPr="004A7041">
              <w:rPr>
                <w:rFonts w:cs="Arial"/>
                <w:color w:val="000000"/>
                <w:sz w:val="16"/>
                <w:szCs w:val="16"/>
              </w:rPr>
              <w:t xml:space="preserve"> countries</w:t>
            </w:r>
          </w:p>
        </w:tc>
        <w:tc>
          <w:tcPr>
            <w:tcW w:w="4536" w:type="dxa"/>
            <w:vAlign w:val="center"/>
          </w:tcPr>
          <w:p w:rsidR="0063033D" w:rsidRPr="004A7041" w:rsidRDefault="0063033D" w:rsidP="008D1891">
            <w:pPr>
              <w:keepNext/>
              <w:keepLines/>
              <w:autoSpaceDE w:val="0"/>
              <w:autoSpaceDN w:val="0"/>
              <w:adjustRightInd w:val="0"/>
              <w:spacing w:after="120"/>
              <w:rPr>
                <w:rFonts w:cs="Arial"/>
                <w:color w:val="000000"/>
                <w:sz w:val="16"/>
                <w:szCs w:val="16"/>
                <w:lang w:eastAsia="ko-KR"/>
              </w:rPr>
            </w:pPr>
            <w:r w:rsidRPr="00B646CF">
              <w:rPr>
                <w:rFonts w:eastAsia="Malgun Gothic" w:cs="Arial" w:hint="eastAsia"/>
                <w:color w:val="000000"/>
                <w:sz w:val="16"/>
                <w:szCs w:val="16"/>
                <w:lang w:eastAsia="ko-KR"/>
              </w:rPr>
              <w:t>T</w:t>
            </w:r>
            <w:r w:rsidRPr="00745AFE">
              <w:rPr>
                <w:rFonts w:cs="Arial"/>
                <w:color w:val="000000"/>
                <w:sz w:val="16"/>
                <w:szCs w:val="16"/>
                <w:lang w:eastAsia="ko-KR"/>
              </w:rPr>
              <w:t>o</w:t>
            </w:r>
            <w:r>
              <w:rPr>
                <w:rFonts w:cs="Arial"/>
                <w:color w:val="000000"/>
                <w:sz w:val="16"/>
                <w:szCs w:val="16"/>
                <w:lang w:eastAsia="ko-KR"/>
              </w:rPr>
              <w:t>: (</w:t>
            </w:r>
            <w:proofErr w:type="spellStart"/>
            <w:r>
              <w:rPr>
                <w:rFonts w:cs="Arial"/>
                <w:color w:val="000000"/>
                <w:sz w:val="16"/>
                <w:szCs w:val="16"/>
                <w:lang w:eastAsia="ko-KR"/>
              </w:rPr>
              <w:t>i</w:t>
            </w:r>
            <w:proofErr w:type="spellEnd"/>
            <w:r>
              <w:rPr>
                <w:rFonts w:cs="Arial"/>
                <w:color w:val="000000"/>
                <w:sz w:val="16"/>
                <w:szCs w:val="16"/>
                <w:lang w:eastAsia="ko-KR"/>
              </w:rPr>
              <w:t>)</w:t>
            </w:r>
            <w:r w:rsidRPr="00745AFE">
              <w:rPr>
                <w:rFonts w:cs="Arial"/>
                <w:color w:val="000000"/>
                <w:sz w:val="16"/>
                <w:szCs w:val="16"/>
                <w:lang w:eastAsia="ko-KR"/>
              </w:rPr>
              <w:t xml:space="preserve"> exchange views on IP issues related to development of </w:t>
            </w:r>
            <w:r>
              <w:rPr>
                <w:rFonts w:cs="Arial"/>
                <w:color w:val="000000"/>
                <w:sz w:val="16"/>
                <w:szCs w:val="16"/>
                <w:lang w:eastAsia="ko-KR"/>
              </w:rPr>
              <w:t>AT</w:t>
            </w:r>
            <w:r w:rsidRPr="00745AFE">
              <w:rPr>
                <w:rFonts w:cs="Arial"/>
                <w:color w:val="000000"/>
                <w:sz w:val="16"/>
                <w:szCs w:val="16"/>
                <w:lang w:eastAsia="ko-KR"/>
              </w:rPr>
              <w:t>;</w:t>
            </w:r>
            <w:r>
              <w:rPr>
                <w:rFonts w:cs="Arial"/>
                <w:color w:val="000000"/>
                <w:sz w:val="16"/>
                <w:szCs w:val="16"/>
                <w:lang w:eastAsia="ko-KR"/>
              </w:rPr>
              <w:t xml:space="preserve"> (ii) </w:t>
            </w:r>
            <w:r w:rsidRPr="00745AFE">
              <w:rPr>
                <w:rFonts w:cs="Arial"/>
                <w:color w:val="000000"/>
                <w:sz w:val="16"/>
                <w:szCs w:val="16"/>
                <w:lang w:eastAsia="ko-KR"/>
              </w:rPr>
              <w:t>share national experiences on utilizing ATs for com</w:t>
            </w:r>
            <w:r>
              <w:rPr>
                <w:rFonts w:cs="Arial"/>
                <w:color w:val="000000"/>
                <w:sz w:val="16"/>
                <w:szCs w:val="16"/>
                <w:lang w:eastAsia="ko-KR"/>
              </w:rPr>
              <w:t xml:space="preserve">munity-based development; (iii) </w:t>
            </w:r>
            <w:r w:rsidRPr="00745AFE">
              <w:rPr>
                <w:rFonts w:cs="Arial"/>
                <w:color w:val="000000"/>
                <w:sz w:val="16"/>
                <w:szCs w:val="16"/>
                <w:lang w:eastAsia="ko-KR"/>
              </w:rPr>
              <w:t>define the role of IP Offices in promoting ATs; and</w:t>
            </w:r>
            <w:r>
              <w:rPr>
                <w:rFonts w:cs="Arial"/>
                <w:color w:val="000000"/>
                <w:sz w:val="16"/>
                <w:szCs w:val="16"/>
                <w:lang w:eastAsia="ko-KR"/>
              </w:rPr>
              <w:t xml:space="preserve"> (iv)</w:t>
            </w:r>
            <w:r w:rsidRPr="00745AFE">
              <w:rPr>
                <w:rFonts w:cs="Arial"/>
                <w:color w:val="000000"/>
                <w:sz w:val="16"/>
                <w:szCs w:val="16"/>
                <w:lang w:eastAsia="ko-KR"/>
              </w:rPr>
              <w:t xml:space="preserve"> identify ways to overcome challenges in dissemination and commercialization of ATs</w:t>
            </w:r>
            <w:r>
              <w:rPr>
                <w:rFonts w:cs="Arial"/>
                <w:color w:val="000000"/>
                <w:sz w:val="16"/>
                <w:szCs w:val="16"/>
                <w:lang w:eastAsia="ko-KR"/>
              </w:rPr>
              <w:t>.</w:t>
            </w:r>
          </w:p>
        </w:tc>
      </w:tr>
    </w:tbl>
    <w:p w:rsidR="0063033D" w:rsidRDefault="0063033D" w:rsidP="008D1891">
      <w:pPr>
        <w:keepNext/>
        <w:keepLines/>
        <w:rPr>
          <w:rFonts w:cs="Arial"/>
          <w:b/>
          <w:szCs w:val="20"/>
        </w:rPr>
      </w:pPr>
    </w:p>
    <w:p w:rsidR="0063033D" w:rsidRDefault="0063033D" w:rsidP="008D1891">
      <w:pPr>
        <w:keepNext/>
        <w:keepLines/>
        <w:rPr>
          <w:rFonts w:cs="Arial"/>
          <w:b/>
          <w:sz w:val="18"/>
          <w:szCs w:val="18"/>
        </w:rPr>
      </w:pPr>
    </w:p>
    <w:p w:rsidR="0063033D" w:rsidRDefault="0063033D" w:rsidP="008D1891">
      <w:pPr>
        <w:keepNext/>
        <w:keepLines/>
        <w:rPr>
          <w:rFonts w:cs="Arial"/>
          <w:b/>
          <w:bCs/>
          <w:sz w:val="18"/>
          <w:szCs w:val="18"/>
        </w:rPr>
      </w:pPr>
      <w:r w:rsidRPr="00FB2C0F">
        <w:rPr>
          <w:rFonts w:cs="Arial"/>
          <w:b/>
          <w:sz w:val="18"/>
          <w:szCs w:val="18"/>
        </w:rPr>
        <w:t xml:space="preserve">REPUBLIC OF KOREA/ INTELLECTUAL PROPERTY Donor </w:t>
      </w:r>
      <w:r w:rsidRPr="00FB2C0F">
        <w:rPr>
          <w:rFonts w:cs="Arial"/>
          <w:b/>
          <w:bCs/>
          <w:sz w:val="18"/>
          <w:szCs w:val="18"/>
        </w:rPr>
        <w:t>Contributions and Expenditure in 201</w:t>
      </w:r>
      <w:r>
        <w:rPr>
          <w:rFonts w:cs="Arial"/>
          <w:b/>
          <w:bCs/>
          <w:sz w:val="18"/>
          <w:szCs w:val="18"/>
        </w:rPr>
        <w:t>4</w:t>
      </w:r>
    </w:p>
    <w:p w:rsidR="0063033D" w:rsidRDefault="0063033D" w:rsidP="008D1891">
      <w:pPr>
        <w:keepNext/>
        <w:keepLines/>
        <w:rPr>
          <w:rFonts w:cs="Arial"/>
          <w:b/>
          <w:bCs/>
          <w:sz w:val="18"/>
          <w:szCs w:val="18"/>
        </w:rPr>
      </w:pPr>
    </w:p>
    <w:tbl>
      <w:tblPr>
        <w:tblW w:w="9087" w:type="dxa"/>
        <w:tblInd w:w="93" w:type="dxa"/>
        <w:tblLook w:val="04A0" w:firstRow="1" w:lastRow="0" w:firstColumn="1" w:lastColumn="0" w:noHBand="0" w:noVBand="1"/>
      </w:tblPr>
      <w:tblGrid>
        <w:gridCol w:w="1858"/>
        <w:gridCol w:w="1559"/>
        <w:gridCol w:w="1843"/>
        <w:gridCol w:w="1843"/>
        <w:gridCol w:w="1984"/>
      </w:tblGrid>
      <w:tr w:rsidR="0063033D" w:rsidTr="008D1891">
        <w:trPr>
          <w:trHeight w:val="396"/>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2013</w:t>
            </w:r>
          </w:p>
        </w:tc>
        <w:tc>
          <w:tcPr>
            <w:tcW w:w="1559"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Income 2014</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Expenditure 2014</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Reimbursements</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2014</w:t>
            </w:r>
          </w:p>
        </w:tc>
      </w:tr>
      <w:tr w:rsidR="0063033D" w:rsidTr="008D1891">
        <w:trPr>
          <w:trHeight w:val="416"/>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1,272,754</w:t>
            </w:r>
          </w:p>
        </w:tc>
        <w:tc>
          <w:tcPr>
            <w:tcW w:w="1559"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696,899</w:t>
            </w:r>
          </w:p>
        </w:tc>
        <w:tc>
          <w:tcPr>
            <w:tcW w:w="1843"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788,879</w:t>
            </w:r>
          </w:p>
        </w:tc>
        <w:tc>
          <w:tcPr>
            <w:tcW w:w="1843"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 </w:t>
            </w:r>
          </w:p>
        </w:tc>
        <w:tc>
          <w:tcPr>
            <w:tcW w:w="1984"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1,180,774</w:t>
            </w:r>
          </w:p>
        </w:tc>
      </w:tr>
    </w:tbl>
    <w:p w:rsidR="0063033D" w:rsidRDefault="0063033D" w:rsidP="008D1891">
      <w:pPr>
        <w:rPr>
          <w:rFonts w:cs="Arial"/>
          <w:b/>
          <w:bCs/>
          <w:sz w:val="18"/>
          <w:szCs w:val="18"/>
        </w:rPr>
      </w:pPr>
    </w:p>
    <w:p w:rsidR="0063033D" w:rsidRPr="00FB2C0F" w:rsidRDefault="0063033D" w:rsidP="008D1891">
      <w:pPr>
        <w:rPr>
          <w:rFonts w:cs="Arial"/>
          <w:b/>
          <w:sz w:val="18"/>
          <w:szCs w:val="18"/>
        </w:rPr>
      </w:pPr>
    </w:p>
    <w:p w:rsidR="0063033D" w:rsidRDefault="0063033D" w:rsidP="008D1891">
      <w:pPr>
        <w:rPr>
          <w:rFonts w:cs="Arial"/>
          <w:b/>
          <w:szCs w:val="20"/>
        </w:rPr>
      </w:pPr>
      <w:r w:rsidRPr="00CB548E">
        <w:rPr>
          <w:rFonts w:cs="Arial"/>
          <w:b/>
          <w:szCs w:val="20"/>
        </w:rPr>
        <w:t>SPAIN</w:t>
      </w:r>
    </w:p>
    <w:p w:rsidR="0063033D" w:rsidRDefault="0063033D" w:rsidP="008D1891">
      <w:pPr>
        <w:spacing w:before="120"/>
        <w:rPr>
          <w:rFonts w:cs="Arial"/>
          <w:b/>
          <w:szCs w:val="20"/>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1"/>
        <w:gridCol w:w="1260"/>
        <w:gridCol w:w="1862"/>
        <w:gridCol w:w="4253"/>
      </w:tblGrid>
      <w:tr w:rsidR="0063033D" w:rsidRPr="00CB548E" w:rsidTr="008D1891">
        <w:trPr>
          <w:cantSplit/>
        </w:trPr>
        <w:tc>
          <w:tcPr>
            <w:tcW w:w="9356" w:type="dxa"/>
            <w:gridSpan w:val="4"/>
            <w:tcBorders>
              <w:top w:val="single" w:sz="4" w:space="0" w:color="auto"/>
              <w:bottom w:val="single" w:sz="4" w:space="0" w:color="auto"/>
            </w:tcBorders>
            <w:shd w:val="clear" w:color="auto" w:fill="CCFFFF"/>
            <w:vAlign w:val="center"/>
          </w:tcPr>
          <w:p w:rsidR="0063033D" w:rsidRPr="00CB548E" w:rsidRDefault="0063033D" w:rsidP="008D1891">
            <w:pPr>
              <w:tabs>
                <w:tab w:val="left" w:pos="1740"/>
              </w:tabs>
              <w:spacing w:before="120" w:after="120"/>
              <w:ind w:left="1740" w:hanging="1740"/>
              <w:rPr>
                <w:rFonts w:cs="Arial"/>
                <w:b/>
                <w:bCs/>
                <w:sz w:val="16"/>
                <w:szCs w:val="16"/>
              </w:rPr>
            </w:pPr>
            <w:r w:rsidRPr="00CB548E">
              <w:rPr>
                <w:rFonts w:cs="Arial"/>
                <w:b/>
                <w:bCs/>
                <w:color w:val="000000"/>
                <w:sz w:val="16"/>
                <w:szCs w:val="16"/>
              </w:rPr>
              <w:t>RESULT</w:t>
            </w:r>
            <w:r w:rsidRPr="00CB548E">
              <w:rPr>
                <w:rFonts w:cs="Arial"/>
                <w:b/>
                <w:bCs/>
                <w:sz w:val="16"/>
                <w:szCs w:val="16"/>
              </w:rPr>
              <w:t>:</w:t>
            </w:r>
            <w:r w:rsidRPr="00CB548E">
              <w:rPr>
                <w:rFonts w:cs="Arial"/>
                <w:b/>
                <w:bCs/>
                <w:sz w:val="16"/>
                <w:szCs w:val="16"/>
              </w:rPr>
              <w:tab/>
            </w:r>
            <w:r w:rsidRPr="008230D2">
              <w:rPr>
                <w:rFonts w:cs="Arial"/>
                <w:bCs/>
                <w:color w:val="000000"/>
                <w:sz w:val="16"/>
                <w:szCs w:val="16"/>
              </w:rPr>
              <w:t>III.2. Enhanced human resource capacities able to deal with the broad range of requirements for the effective use of IP for development in developing countries, LDCs and countries with economies in transition</w:t>
            </w:r>
          </w:p>
        </w:tc>
      </w:tr>
      <w:tr w:rsidR="0063033D" w:rsidRPr="00CB548E" w:rsidTr="008D1891">
        <w:trPr>
          <w:cantSplit/>
          <w:trHeight w:val="196"/>
        </w:trPr>
        <w:tc>
          <w:tcPr>
            <w:tcW w:w="1981" w:type="dxa"/>
            <w:tcBorders>
              <w:top w:val="single" w:sz="4" w:space="0" w:color="auto"/>
            </w:tcBorders>
          </w:tcPr>
          <w:p w:rsidR="0063033D" w:rsidRPr="00033FB3" w:rsidRDefault="0063033D" w:rsidP="008D1891">
            <w:pPr>
              <w:autoSpaceDE w:val="0"/>
              <w:autoSpaceDN w:val="0"/>
              <w:adjustRightInd w:val="0"/>
              <w:spacing w:before="60" w:after="60"/>
              <w:rPr>
                <w:rFonts w:cs="Arial"/>
                <w:b/>
                <w:color w:val="000000"/>
                <w:sz w:val="16"/>
                <w:szCs w:val="16"/>
              </w:rPr>
            </w:pPr>
            <w:r w:rsidRPr="00033FB3">
              <w:rPr>
                <w:rFonts w:cs="Arial"/>
                <w:b/>
                <w:color w:val="000000"/>
                <w:sz w:val="16"/>
                <w:szCs w:val="16"/>
              </w:rPr>
              <w:t>Activity</w:t>
            </w:r>
          </w:p>
        </w:tc>
        <w:tc>
          <w:tcPr>
            <w:tcW w:w="1260" w:type="dxa"/>
            <w:tcBorders>
              <w:top w:val="single" w:sz="4" w:space="0" w:color="auto"/>
            </w:tcBorders>
            <w:shd w:val="clear" w:color="auto" w:fill="auto"/>
            <w:tcMar>
              <w:top w:w="110" w:type="dxa"/>
            </w:tcMar>
          </w:tcPr>
          <w:p w:rsidR="0063033D" w:rsidRDefault="0063033D" w:rsidP="008D1891">
            <w:pPr>
              <w:autoSpaceDE w:val="0"/>
              <w:autoSpaceDN w:val="0"/>
              <w:adjustRightInd w:val="0"/>
              <w:spacing w:before="60" w:after="60"/>
              <w:rPr>
                <w:rFonts w:cs="Arial"/>
                <w:b/>
                <w:color w:val="000000"/>
                <w:sz w:val="16"/>
                <w:szCs w:val="16"/>
              </w:rPr>
            </w:pPr>
            <w:r>
              <w:rPr>
                <w:rFonts w:cs="Arial"/>
                <w:b/>
                <w:color w:val="000000"/>
                <w:sz w:val="16"/>
                <w:szCs w:val="16"/>
              </w:rPr>
              <w:t>Date</w:t>
            </w:r>
          </w:p>
        </w:tc>
        <w:tc>
          <w:tcPr>
            <w:tcW w:w="1862" w:type="dxa"/>
            <w:tcBorders>
              <w:top w:val="single" w:sz="4" w:space="0" w:color="auto"/>
            </w:tcBorders>
            <w:shd w:val="clear" w:color="auto" w:fill="auto"/>
            <w:tcMar>
              <w:top w:w="110" w:type="dxa"/>
            </w:tcMar>
            <w:vAlign w:val="center"/>
          </w:tcPr>
          <w:p w:rsidR="0063033D" w:rsidRPr="00B24893" w:rsidRDefault="0063033D" w:rsidP="008D1891">
            <w:pPr>
              <w:keepNext/>
              <w:keepLines/>
              <w:rPr>
                <w:rFonts w:cs="Arial"/>
                <w:b/>
                <w:color w:val="000000"/>
                <w:sz w:val="16"/>
                <w:szCs w:val="16"/>
              </w:rPr>
            </w:pPr>
            <w:r w:rsidRPr="00B24893">
              <w:rPr>
                <w:rFonts w:cs="Arial"/>
                <w:b/>
                <w:color w:val="000000"/>
                <w:sz w:val="16"/>
                <w:szCs w:val="16"/>
              </w:rPr>
              <w:t>Host Country/</w:t>
            </w:r>
            <w:r w:rsidRPr="00B24893">
              <w:rPr>
                <w:rFonts w:cs="Arial"/>
                <w:b/>
                <w:color w:val="000000"/>
                <w:sz w:val="16"/>
                <w:szCs w:val="16"/>
              </w:rPr>
              <w:br/>
              <w:t>Recipients</w:t>
            </w:r>
          </w:p>
        </w:tc>
        <w:tc>
          <w:tcPr>
            <w:tcW w:w="4253" w:type="dxa"/>
            <w:tcBorders>
              <w:top w:val="single" w:sz="4" w:space="0" w:color="auto"/>
            </w:tcBorders>
            <w:shd w:val="clear" w:color="auto" w:fill="FFFFFF"/>
            <w:tcMar>
              <w:top w:w="110" w:type="dxa"/>
            </w:tcMar>
          </w:tcPr>
          <w:p w:rsidR="0063033D" w:rsidRPr="00033FB3" w:rsidRDefault="0063033D" w:rsidP="008D1891">
            <w:pPr>
              <w:autoSpaceDE w:val="0"/>
              <w:autoSpaceDN w:val="0"/>
              <w:adjustRightInd w:val="0"/>
              <w:spacing w:before="60" w:after="60"/>
              <w:rPr>
                <w:rFonts w:cs="Arial"/>
                <w:b/>
                <w:color w:val="000000"/>
                <w:sz w:val="16"/>
                <w:szCs w:val="16"/>
              </w:rPr>
            </w:pPr>
            <w:r w:rsidRPr="00033FB3">
              <w:rPr>
                <w:rFonts w:cs="Arial"/>
                <w:b/>
                <w:color w:val="000000"/>
                <w:sz w:val="16"/>
                <w:szCs w:val="16"/>
              </w:rPr>
              <w:t>Purpose</w:t>
            </w:r>
            <w:r>
              <w:rPr>
                <w:rFonts w:cs="Arial"/>
                <w:b/>
                <w:color w:val="000000"/>
                <w:sz w:val="16"/>
                <w:szCs w:val="16"/>
              </w:rPr>
              <w:t>(s)</w:t>
            </w:r>
            <w:r w:rsidRPr="00033FB3">
              <w:rPr>
                <w:rFonts w:cs="Arial"/>
                <w:b/>
                <w:color w:val="000000"/>
                <w:sz w:val="16"/>
                <w:szCs w:val="16"/>
              </w:rPr>
              <w:t>/</w:t>
            </w:r>
            <w:r>
              <w:rPr>
                <w:rFonts w:cs="Arial"/>
                <w:b/>
                <w:color w:val="000000"/>
                <w:sz w:val="16"/>
                <w:szCs w:val="16"/>
              </w:rPr>
              <w:t>D</w:t>
            </w:r>
            <w:r w:rsidRPr="00033FB3">
              <w:rPr>
                <w:rFonts w:cs="Arial"/>
                <w:b/>
                <w:color w:val="000000"/>
                <w:sz w:val="16"/>
                <w:szCs w:val="16"/>
              </w:rPr>
              <w:t>escription</w:t>
            </w:r>
          </w:p>
        </w:tc>
      </w:tr>
      <w:tr w:rsidR="0063033D" w:rsidRPr="00CB548E" w:rsidTr="008D1891">
        <w:trPr>
          <w:cantSplit/>
        </w:trPr>
        <w:tc>
          <w:tcPr>
            <w:tcW w:w="1981" w:type="dxa"/>
          </w:tcPr>
          <w:p w:rsidR="0063033D" w:rsidRPr="00B058EA" w:rsidRDefault="0063033D" w:rsidP="008D1891">
            <w:pPr>
              <w:autoSpaceDE w:val="0"/>
              <w:autoSpaceDN w:val="0"/>
              <w:adjustRightInd w:val="0"/>
              <w:spacing w:after="120"/>
              <w:rPr>
                <w:rFonts w:cs="Arial"/>
                <w:color w:val="000000"/>
                <w:sz w:val="16"/>
                <w:szCs w:val="16"/>
              </w:rPr>
            </w:pPr>
            <w:r w:rsidRPr="00A552F6">
              <w:rPr>
                <w:rFonts w:cs="Arial"/>
                <w:color w:val="000000"/>
                <w:sz w:val="16"/>
                <w:szCs w:val="16"/>
              </w:rPr>
              <w:t xml:space="preserve">Participation of Spanish Experts in the </w:t>
            </w:r>
            <w:r>
              <w:rPr>
                <w:rFonts w:cs="Arial"/>
                <w:color w:val="000000"/>
                <w:sz w:val="16"/>
                <w:szCs w:val="16"/>
              </w:rPr>
              <w:t>International Symposium on Industrial Design</w:t>
            </w:r>
            <w:r w:rsidRPr="00A552F6">
              <w:rPr>
                <w:rFonts w:cs="Arial"/>
                <w:color w:val="000000"/>
                <w:sz w:val="16"/>
                <w:szCs w:val="16"/>
              </w:rPr>
              <w:t xml:space="preserve"> </w:t>
            </w:r>
          </w:p>
        </w:tc>
        <w:tc>
          <w:tcPr>
            <w:tcW w:w="1260" w:type="dxa"/>
            <w:shd w:val="clear" w:color="auto" w:fill="auto"/>
            <w:tcMar>
              <w:top w:w="110" w:type="dxa"/>
            </w:tcMar>
          </w:tcPr>
          <w:p w:rsidR="0063033D" w:rsidRPr="00B058EA" w:rsidRDefault="0063033D" w:rsidP="008D1891">
            <w:pPr>
              <w:autoSpaceDE w:val="0"/>
              <w:autoSpaceDN w:val="0"/>
              <w:adjustRightInd w:val="0"/>
              <w:spacing w:after="120"/>
              <w:rPr>
                <w:rFonts w:cs="Arial"/>
                <w:color w:val="000000"/>
                <w:sz w:val="16"/>
                <w:szCs w:val="16"/>
              </w:rPr>
            </w:pPr>
            <w:r>
              <w:rPr>
                <w:rFonts w:cs="Arial"/>
                <w:color w:val="000000"/>
                <w:sz w:val="16"/>
                <w:szCs w:val="16"/>
              </w:rPr>
              <w:t>September 3 to 4, 2014</w:t>
            </w:r>
          </w:p>
        </w:tc>
        <w:tc>
          <w:tcPr>
            <w:tcW w:w="1862" w:type="dxa"/>
            <w:shd w:val="clear" w:color="auto" w:fill="auto"/>
            <w:tcMar>
              <w:top w:w="110" w:type="dxa"/>
            </w:tcMar>
          </w:tcPr>
          <w:p w:rsidR="0063033D" w:rsidRPr="00CB548E" w:rsidRDefault="0063033D" w:rsidP="008D1891">
            <w:pPr>
              <w:autoSpaceDE w:val="0"/>
              <w:autoSpaceDN w:val="0"/>
              <w:adjustRightInd w:val="0"/>
              <w:spacing w:after="120"/>
              <w:rPr>
                <w:rFonts w:cs="Arial"/>
                <w:color w:val="000000"/>
                <w:sz w:val="16"/>
                <w:szCs w:val="16"/>
              </w:rPr>
            </w:pPr>
            <w:r>
              <w:rPr>
                <w:rFonts w:cs="Arial"/>
                <w:color w:val="000000"/>
                <w:sz w:val="16"/>
                <w:szCs w:val="16"/>
              </w:rPr>
              <w:t>Argentina/International</w:t>
            </w:r>
          </w:p>
        </w:tc>
        <w:tc>
          <w:tcPr>
            <w:tcW w:w="4253" w:type="dxa"/>
            <w:shd w:val="clear" w:color="auto" w:fill="FFFFFF"/>
            <w:tcMar>
              <w:top w:w="110" w:type="dxa"/>
            </w:tcMar>
          </w:tcPr>
          <w:p w:rsidR="0063033D" w:rsidRPr="00CB548E" w:rsidRDefault="0063033D" w:rsidP="008D1891">
            <w:pPr>
              <w:autoSpaceDE w:val="0"/>
              <w:autoSpaceDN w:val="0"/>
              <w:adjustRightInd w:val="0"/>
              <w:spacing w:after="120"/>
              <w:rPr>
                <w:rFonts w:cs="Arial"/>
                <w:color w:val="000000"/>
                <w:sz w:val="16"/>
                <w:szCs w:val="16"/>
              </w:rPr>
            </w:pPr>
            <w:r w:rsidRPr="00F66192">
              <w:rPr>
                <w:rFonts w:cs="Arial"/>
                <w:color w:val="000000"/>
                <w:sz w:val="16"/>
                <w:szCs w:val="16"/>
              </w:rPr>
              <w:t>To</w:t>
            </w:r>
            <w:r>
              <w:rPr>
                <w:rFonts w:cs="Arial"/>
                <w:color w:val="000000"/>
                <w:sz w:val="16"/>
                <w:szCs w:val="16"/>
              </w:rPr>
              <w:t xml:space="preserve"> </w:t>
            </w:r>
            <w:r w:rsidRPr="00AF4BD5">
              <w:rPr>
                <w:rFonts w:cs="Arial"/>
                <w:color w:val="000000"/>
                <w:sz w:val="16"/>
                <w:szCs w:val="16"/>
              </w:rPr>
              <w:t>share experience</w:t>
            </w:r>
            <w:r w:rsidRPr="00F66192">
              <w:rPr>
                <w:rFonts w:cs="Arial"/>
                <w:color w:val="000000"/>
                <w:sz w:val="16"/>
                <w:szCs w:val="16"/>
              </w:rPr>
              <w:t xml:space="preserve">s </w:t>
            </w:r>
            <w:r w:rsidRPr="00AF4BD5">
              <w:rPr>
                <w:rFonts w:cs="Arial"/>
                <w:color w:val="000000"/>
                <w:sz w:val="16"/>
                <w:szCs w:val="16"/>
              </w:rPr>
              <w:t xml:space="preserve">and knowledge between specialists and </w:t>
            </w:r>
            <w:r>
              <w:rPr>
                <w:rFonts w:cs="Arial"/>
                <w:color w:val="000000"/>
                <w:sz w:val="16"/>
                <w:szCs w:val="16"/>
              </w:rPr>
              <w:t>officials in</w:t>
            </w:r>
            <w:r w:rsidRPr="00AF4BD5">
              <w:rPr>
                <w:rFonts w:cs="Arial"/>
                <w:color w:val="000000"/>
                <w:sz w:val="16"/>
                <w:szCs w:val="16"/>
              </w:rPr>
              <w:t xml:space="preserve"> both business and academic sectors, and the competent authorities in the field of Industrial Design, with a </w:t>
            </w:r>
            <w:r w:rsidRPr="009B0636">
              <w:rPr>
                <w:rFonts w:cs="Arial"/>
                <w:color w:val="000000"/>
                <w:sz w:val="16"/>
                <w:szCs w:val="16"/>
              </w:rPr>
              <w:t>special emphasis on analyzing</w:t>
            </w:r>
            <w:r w:rsidRPr="002013D8">
              <w:rPr>
                <w:rFonts w:cs="Arial"/>
                <w:color w:val="000000"/>
                <w:sz w:val="16"/>
                <w:szCs w:val="16"/>
              </w:rPr>
              <w:t xml:space="preserve"> the current challenges, as well as</w:t>
            </w:r>
            <w:r w:rsidRPr="00547893">
              <w:rPr>
                <w:rFonts w:cs="Arial"/>
                <w:color w:val="000000"/>
                <w:sz w:val="16"/>
                <w:szCs w:val="16"/>
              </w:rPr>
              <w:t xml:space="preserve"> on effective use of industrial design facing future opportunities in this area.</w:t>
            </w:r>
          </w:p>
        </w:tc>
      </w:tr>
      <w:tr w:rsidR="0063033D" w:rsidRPr="00CB548E" w:rsidTr="008D1891">
        <w:trPr>
          <w:cantSplit/>
        </w:trPr>
        <w:tc>
          <w:tcPr>
            <w:tcW w:w="1981" w:type="dxa"/>
          </w:tcPr>
          <w:p w:rsidR="0063033D" w:rsidRPr="00033FB3" w:rsidRDefault="0063033D" w:rsidP="008D1891">
            <w:pPr>
              <w:keepNext/>
              <w:keepLines/>
              <w:autoSpaceDE w:val="0"/>
              <w:autoSpaceDN w:val="0"/>
              <w:adjustRightInd w:val="0"/>
              <w:spacing w:before="60" w:after="60"/>
              <w:rPr>
                <w:rFonts w:cs="Arial"/>
                <w:b/>
                <w:color w:val="000000"/>
                <w:sz w:val="16"/>
                <w:szCs w:val="16"/>
              </w:rPr>
            </w:pPr>
            <w:r w:rsidRPr="00033FB3">
              <w:rPr>
                <w:rFonts w:cs="Arial"/>
                <w:b/>
                <w:color w:val="000000"/>
                <w:sz w:val="16"/>
                <w:szCs w:val="16"/>
              </w:rPr>
              <w:lastRenderedPageBreak/>
              <w:t>Activity</w:t>
            </w:r>
          </w:p>
        </w:tc>
        <w:tc>
          <w:tcPr>
            <w:tcW w:w="1260" w:type="dxa"/>
            <w:shd w:val="clear" w:color="auto" w:fill="auto"/>
            <w:tcMar>
              <w:top w:w="110" w:type="dxa"/>
            </w:tcMar>
          </w:tcPr>
          <w:p w:rsidR="0063033D" w:rsidRDefault="0063033D" w:rsidP="008D1891">
            <w:pPr>
              <w:keepNext/>
              <w:keepLines/>
              <w:autoSpaceDE w:val="0"/>
              <w:autoSpaceDN w:val="0"/>
              <w:adjustRightInd w:val="0"/>
              <w:spacing w:before="60" w:after="60"/>
              <w:rPr>
                <w:rFonts w:cs="Arial"/>
                <w:b/>
                <w:color w:val="000000"/>
                <w:sz w:val="16"/>
                <w:szCs w:val="16"/>
              </w:rPr>
            </w:pPr>
            <w:r>
              <w:rPr>
                <w:rFonts w:cs="Arial"/>
                <w:b/>
                <w:color w:val="000000"/>
                <w:sz w:val="16"/>
                <w:szCs w:val="16"/>
              </w:rPr>
              <w:t>Date</w:t>
            </w:r>
          </w:p>
        </w:tc>
        <w:tc>
          <w:tcPr>
            <w:tcW w:w="1862" w:type="dxa"/>
            <w:shd w:val="clear" w:color="auto" w:fill="auto"/>
            <w:tcMar>
              <w:top w:w="110" w:type="dxa"/>
            </w:tcMar>
            <w:vAlign w:val="center"/>
          </w:tcPr>
          <w:p w:rsidR="0063033D" w:rsidRPr="00B24893" w:rsidRDefault="0063033D" w:rsidP="008D1891">
            <w:pPr>
              <w:keepNext/>
              <w:keepLines/>
              <w:rPr>
                <w:rFonts w:cs="Arial"/>
                <w:b/>
                <w:color w:val="000000"/>
                <w:sz w:val="16"/>
                <w:szCs w:val="16"/>
              </w:rPr>
            </w:pPr>
            <w:r w:rsidRPr="00B24893">
              <w:rPr>
                <w:rFonts w:cs="Arial"/>
                <w:b/>
                <w:color w:val="000000"/>
                <w:sz w:val="16"/>
                <w:szCs w:val="16"/>
              </w:rPr>
              <w:t>Host Country/</w:t>
            </w:r>
            <w:r w:rsidRPr="00B24893">
              <w:rPr>
                <w:rFonts w:cs="Arial"/>
                <w:b/>
                <w:color w:val="000000"/>
                <w:sz w:val="16"/>
                <w:szCs w:val="16"/>
              </w:rPr>
              <w:br/>
              <w:t>Recipients</w:t>
            </w:r>
          </w:p>
        </w:tc>
        <w:tc>
          <w:tcPr>
            <w:tcW w:w="4253" w:type="dxa"/>
            <w:shd w:val="clear" w:color="auto" w:fill="FFFFFF"/>
            <w:tcMar>
              <w:top w:w="110" w:type="dxa"/>
            </w:tcMar>
          </w:tcPr>
          <w:p w:rsidR="0063033D" w:rsidRPr="00033FB3" w:rsidRDefault="0063033D" w:rsidP="008D1891">
            <w:pPr>
              <w:keepNext/>
              <w:keepLines/>
              <w:autoSpaceDE w:val="0"/>
              <w:autoSpaceDN w:val="0"/>
              <w:adjustRightInd w:val="0"/>
              <w:spacing w:before="60" w:after="60"/>
              <w:rPr>
                <w:rFonts w:cs="Arial"/>
                <w:b/>
                <w:color w:val="000000"/>
                <w:sz w:val="16"/>
                <w:szCs w:val="16"/>
              </w:rPr>
            </w:pPr>
            <w:r w:rsidRPr="00033FB3">
              <w:rPr>
                <w:rFonts w:cs="Arial"/>
                <w:b/>
                <w:color w:val="000000"/>
                <w:sz w:val="16"/>
                <w:szCs w:val="16"/>
              </w:rPr>
              <w:t>Purpose</w:t>
            </w:r>
            <w:r>
              <w:rPr>
                <w:rFonts w:cs="Arial"/>
                <w:b/>
                <w:color w:val="000000"/>
                <w:sz w:val="16"/>
                <w:szCs w:val="16"/>
              </w:rPr>
              <w:t>(s)</w:t>
            </w:r>
            <w:r w:rsidRPr="00033FB3">
              <w:rPr>
                <w:rFonts w:cs="Arial"/>
                <w:b/>
                <w:color w:val="000000"/>
                <w:sz w:val="16"/>
                <w:szCs w:val="16"/>
              </w:rPr>
              <w:t>/</w:t>
            </w:r>
            <w:r>
              <w:rPr>
                <w:rFonts w:cs="Arial"/>
                <w:b/>
                <w:color w:val="000000"/>
                <w:sz w:val="16"/>
                <w:szCs w:val="16"/>
              </w:rPr>
              <w:t>D</w:t>
            </w:r>
            <w:r w:rsidRPr="00033FB3">
              <w:rPr>
                <w:rFonts w:cs="Arial"/>
                <w:b/>
                <w:color w:val="000000"/>
                <w:sz w:val="16"/>
                <w:szCs w:val="16"/>
              </w:rPr>
              <w:t>escription</w:t>
            </w:r>
          </w:p>
        </w:tc>
      </w:tr>
      <w:tr w:rsidR="0063033D" w:rsidRPr="00CB548E" w:rsidTr="008D1891">
        <w:trPr>
          <w:cantSplit/>
        </w:trPr>
        <w:tc>
          <w:tcPr>
            <w:tcW w:w="1981" w:type="dxa"/>
          </w:tcPr>
          <w:p w:rsidR="0063033D" w:rsidRPr="00A552F6" w:rsidRDefault="0063033D" w:rsidP="008D1891">
            <w:pPr>
              <w:keepNext/>
              <w:keepLines/>
              <w:autoSpaceDE w:val="0"/>
              <w:autoSpaceDN w:val="0"/>
              <w:adjustRightInd w:val="0"/>
              <w:spacing w:after="120"/>
              <w:rPr>
                <w:rFonts w:cs="Arial"/>
                <w:color w:val="000000"/>
                <w:sz w:val="16"/>
                <w:szCs w:val="16"/>
              </w:rPr>
            </w:pPr>
            <w:r w:rsidRPr="00E14CB0">
              <w:rPr>
                <w:rFonts w:cs="Arial"/>
                <w:color w:val="000000"/>
                <w:sz w:val="16"/>
                <w:szCs w:val="16"/>
              </w:rPr>
              <w:t>II Regional Seminar OMPI/OEPM/AECID on Trademarks &amp; Industrial Design as innovation factor: Innovating through arts craft</w:t>
            </w:r>
          </w:p>
        </w:tc>
        <w:tc>
          <w:tcPr>
            <w:tcW w:w="1260" w:type="dxa"/>
            <w:shd w:val="clear" w:color="auto" w:fill="auto"/>
            <w:tcMar>
              <w:top w:w="110" w:type="dxa"/>
            </w:tcMar>
          </w:tcPr>
          <w:p w:rsidR="0063033D" w:rsidRDefault="0063033D" w:rsidP="008D1891">
            <w:pPr>
              <w:keepNext/>
              <w:keepLines/>
              <w:autoSpaceDE w:val="0"/>
              <w:autoSpaceDN w:val="0"/>
              <w:adjustRightInd w:val="0"/>
              <w:spacing w:after="120"/>
              <w:rPr>
                <w:rFonts w:cs="Arial"/>
                <w:color w:val="000000"/>
                <w:sz w:val="16"/>
                <w:szCs w:val="16"/>
              </w:rPr>
            </w:pPr>
            <w:r>
              <w:rPr>
                <w:rFonts w:cs="Arial"/>
                <w:color w:val="000000"/>
                <w:sz w:val="16"/>
                <w:szCs w:val="16"/>
              </w:rPr>
              <w:t xml:space="preserve">October 27 to 31, </w:t>
            </w:r>
            <w:r w:rsidRPr="00E14CB0">
              <w:rPr>
                <w:rFonts w:cs="Arial"/>
                <w:color w:val="000000"/>
                <w:sz w:val="16"/>
                <w:szCs w:val="16"/>
              </w:rPr>
              <w:t xml:space="preserve"> 2014</w:t>
            </w:r>
          </w:p>
        </w:tc>
        <w:tc>
          <w:tcPr>
            <w:tcW w:w="1862" w:type="dxa"/>
            <w:shd w:val="clear" w:color="auto" w:fill="auto"/>
            <w:tcMar>
              <w:top w:w="110" w:type="dxa"/>
            </w:tcMar>
          </w:tcPr>
          <w:p w:rsidR="0063033D" w:rsidRDefault="0063033D" w:rsidP="008D1891">
            <w:pPr>
              <w:keepNext/>
              <w:keepLines/>
              <w:autoSpaceDE w:val="0"/>
              <w:autoSpaceDN w:val="0"/>
              <w:adjustRightInd w:val="0"/>
              <w:spacing w:after="120"/>
              <w:rPr>
                <w:rFonts w:cs="Arial"/>
                <w:color w:val="000000"/>
                <w:sz w:val="16"/>
                <w:szCs w:val="16"/>
              </w:rPr>
            </w:pPr>
            <w:r>
              <w:rPr>
                <w:rFonts w:cs="Arial"/>
                <w:color w:val="000000"/>
                <w:sz w:val="16"/>
                <w:szCs w:val="16"/>
              </w:rPr>
              <w:t xml:space="preserve">Colombia/ </w:t>
            </w:r>
            <w:r w:rsidRPr="00E14CB0">
              <w:rPr>
                <w:rFonts w:cs="Arial"/>
                <w:color w:val="000000"/>
                <w:sz w:val="16"/>
                <w:szCs w:val="16"/>
              </w:rPr>
              <w:t>All Latin-American countries</w:t>
            </w:r>
          </w:p>
        </w:tc>
        <w:tc>
          <w:tcPr>
            <w:tcW w:w="4253" w:type="dxa"/>
            <w:shd w:val="clear" w:color="auto" w:fill="FFFFFF"/>
            <w:tcMar>
              <w:top w:w="110" w:type="dxa"/>
            </w:tcMar>
          </w:tcPr>
          <w:p w:rsidR="0063033D" w:rsidRDefault="0063033D" w:rsidP="008D1891">
            <w:pPr>
              <w:keepNext/>
              <w:keepLines/>
              <w:autoSpaceDE w:val="0"/>
              <w:autoSpaceDN w:val="0"/>
              <w:adjustRightInd w:val="0"/>
              <w:spacing w:after="120"/>
              <w:rPr>
                <w:rFonts w:cs="Arial"/>
                <w:color w:val="000000"/>
                <w:sz w:val="16"/>
                <w:szCs w:val="16"/>
              </w:rPr>
            </w:pPr>
            <w:r>
              <w:rPr>
                <w:rFonts w:cs="Arial"/>
                <w:color w:val="000000"/>
                <w:sz w:val="16"/>
                <w:szCs w:val="16"/>
              </w:rPr>
              <w:t>To: (</w:t>
            </w:r>
            <w:proofErr w:type="spellStart"/>
            <w:r>
              <w:rPr>
                <w:rFonts w:cs="Arial"/>
                <w:color w:val="000000"/>
                <w:sz w:val="16"/>
                <w:szCs w:val="16"/>
              </w:rPr>
              <w:t>i</w:t>
            </w:r>
            <w:proofErr w:type="spellEnd"/>
            <w:r>
              <w:rPr>
                <w:rFonts w:cs="Arial"/>
                <w:color w:val="000000"/>
                <w:sz w:val="16"/>
                <w:szCs w:val="16"/>
              </w:rPr>
              <w:t>)</w:t>
            </w:r>
            <w:r w:rsidRPr="00E14CB0">
              <w:rPr>
                <w:rFonts w:cs="Arial"/>
                <w:color w:val="000000"/>
                <w:sz w:val="16"/>
                <w:szCs w:val="16"/>
              </w:rPr>
              <w:t xml:space="preserve"> provide participants with updated information, practical training and useful tools in the field of the strategic use of trademarks and industrial design for business</w:t>
            </w:r>
            <w:r>
              <w:rPr>
                <w:rFonts w:cs="Arial"/>
                <w:color w:val="000000"/>
                <w:sz w:val="16"/>
                <w:szCs w:val="16"/>
              </w:rPr>
              <w:t>; (ii) promote</w:t>
            </w:r>
            <w:r w:rsidRPr="00E14CB0">
              <w:rPr>
                <w:rFonts w:cs="Arial"/>
                <w:color w:val="000000"/>
                <w:sz w:val="16"/>
                <w:szCs w:val="16"/>
              </w:rPr>
              <w:t xml:space="preserve"> and exchange experiences among them</w:t>
            </w:r>
            <w:r>
              <w:rPr>
                <w:rFonts w:cs="Arial"/>
                <w:color w:val="000000"/>
                <w:sz w:val="16"/>
                <w:szCs w:val="16"/>
              </w:rPr>
              <w:t>; and (iii)</w:t>
            </w:r>
            <w:r w:rsidRPr="00E14CB0">
              <w:rPr>
                <w:rFonts w:cs="Arial"/>
                <w:color w:val="000000"/>
                <w:sz w:val="16"/>
                <w:szCs w:val="16"/>
              </w:rPr>
              <w:t xml:space="preserve"> </w:t>
            </w:r>
            <w:r>
              <w:rPr>
                <w:rFonts w:cs="Arial"/>
                <w:color w:val="000000"/>
                <w:sz w:val="16"/>
                <w:szCs w:val="16"/>
              </w:rPr>
              <w:t>present</w:t>
            </w:r>
            <w:r w:rsidRPr="00E14CB0">
              <w:rPr>
                <w:rFonts w:cs="Arial"/>
                <w:color w:val="000000"/>
                <w:sz w:val="16"/>
                <w:szCs w:val="16"/>
              </w:rPr>
              <w:t xml:space="preserve"> best practices in order to identify successful mechanisms for making IP rights more accessible and relevant to </w:t>
            </w:r>
            <w:r>
              <w:rPr>
                <w:rFonts w:cs="Arial"/>
                <w:color w:val="000000"/>
                <w:sz w:val="16"/>
                <w:szCs w:val="16"/>
              </w:rPr>
              <w:t>the</w:t>
            </w:r>
            <w:r w:rsidRPr="00E14CB0">
              <w:rPr>
                <w:rFonts w:cs="Arial"/>
                <w:color w:val="000000"/>
                <w:sz w:val="16"/>
                <w:szCs w:val="16"/>
              </w:rPr>
              <w:t xml:space="preserve"> entrepreneurial sector</w:t>
            </w:r>
            <w:r>
              <w:rPr>
                <w:rFonts w:cs="Arial"/>
                <w:color w:val="000000"/>
                <w:sz w:val="16"/>
                <w:szCs w:val="16"/>
              </w:rPr>
              <w:t xml:space="preserve"> in Latin America</w:t>
            </w:r>
            <w:r w:rsidRPr="00E14CB0">
              <w:rPr>
                <w:rFonts w:cs="Arial"/>
                <w:color w:val="000000"/>
                <w:sz w:val="16"/>
                <w:szCs w:val="16"/>
              </w:rPr>
              <w:t>.</w:t>
            </w:r>
          </w:p>
        </w:tc>
      </w:tr>
      <w:tr w:rsidR="0063033D" w:rsidRPr="00CB548E" w:rsidTr="008D1891">
        <w:trPr>
          <w:cantSplit/>
        </w:trPr>
        <w:tc>
          <w:tcPr>
            <w:tcW w:w="9356" w:type="dxa"/>
            <w:gridSpan w:val="4"/>
            <w:tcBorders>
              <w:top w:val="single" w:sz="4" w:space="0" w:color="auto"/>
              <w:bottom w:val="single" w:sz="4" w:space="0" w:color="auto"/>
            </w:tcBorders>
            <w:shd w:val="clear" w:color="auto" w:fill="CCFFFF"/>
            <w:vAlign w:val="center"/>
          </w:tcPr>
          <w:p w:rsidR="0063033D" w:rsidRPr="00CB548E" w:rsidRDefault="0063033D" w:rsidP="008D1891">
            <w:pPr>
              <w:keepNext/>
              <w:keepLines/>
              <w:tabs>
                <w:tab w:val="left" w:pos="1740"/>
              </w:tabs>
              <w:spacing w:before="120" w:after="120"/>
              <w:ind w:left="1740" w:hanging="1740"/>
              <w:rPr>
                <w:rFonts w:cs="Arial"/>
                <w:b/>
                <w:bCs/>
                <w:sz w:val="16"/>
                <w:szCs w:val="16"/>
              </w:rPr>
            </w:pPr>
            <w:r w:rsidRPr="00CB548E">
              <w:rPr>
                <w:rFonts w:cs="Arial"/>
                <w:b/>
                <w:bCs/>
                <w:color w:val="000000"/>
                <w:sz w:val="16"/>
                <w:szCs w:val="16"/>
              </w:rPr>
              <w:t>RESULT</w:t>
            </w:r>
            <w:r w:rsidRPr="00CB548E">
              <w:rPr>
                <w:rFonts w:cs="Arial"/>
                <w:b/>
                <w:bCs/>
                <w:sz w:val="16"/>
                <w:szCs w:val="16"/>
              </w:rPr>
              <w:t>:</w:t>
            </w:r>
            <w:r w:rsidRPr="00CB548E">
              <w:rPr>
                <w:rFonts w:cs="Arial"/>
                <w:b/>
                <w:bCs/>
                <w:sz w:val="16"/>
                <w:szCs w:val="16"/>
              </w:rPr>
              <w:tab/>
            </w:r>
            <w:r w:rsidRPr="008230D2">
              <w:rPr>
                <w:rFonts w:cs="Arial"/>
                <w:bCs/>
                <w:color w:val="000000"/>
                <w:sz w:val="16"/>
                <w:szCs w:val="16"/>
              </w:rPr>
              <w:t>III.4. Strengthened cooperation mechanisms and programs tailored to the needs of developing countries and LDCs</w:t>
            </w:r>
          </w:p>
        </w:tc>
      </w:tr>
      <w:tr w:rsidR="0063033D" w:rsidRPr="00CB548E" w:rsidTr="008D1891">
        <w:trPr>
          <w:cantSplit/>
        </w:trPr>
        <w:tc>
          <w:tcPr>
            <w:tcW w:w="1981" w:type="dxa"/>
            <w:tcBorders>
              <w:top w:val="single" w:sz="4" w:space="0" w:color="auto"/>
              <w:left w:val="single" w:sz="4" w:space="0" w:color="auto"/>
              <w:bottom w:val="nil"/>
            </w:tcBorders>
            <w:vAlign w:val="center"/>
          </w:tcPr>
          <w:p w:rsidR="0063033D" w:rsidRPr="00CB548E" w:rsidRDefault="0063033D" w:rsidP="008D1891">
            <w:pPr>
              <w:keepNext/>
              <w:keepLines/>
              <w:rPr>
                <w:rFonts w:cs="Arial"/>
                <w:b/>
                <w:bCs/>
                <w:sz w:val="16"/>
                <w:szCs w:val="16"/>
              </w:rPr>
            </w:pPr>
            <w:r w:rsidRPr="00CB548E">
              <w:rPr>
                <w:rFonts w:cs="Arial"/>
                <w:b/>
                <w:bCs/>
                <w:sz w:val="16"/>
                <w:szCs w:val="16"/>
              </w:rPr>
              <w:t>Activity</w:t>
            </w:r>
          </w:p>
        </w:tc>
        <w:tc>
          <w:tcPr>
            <w:tcW w:w="1260" w:type="dxa"/>
            <w:tcBorders>
              <w:top w:val="single" w:sz="4" w:space="0" w:color="auto"/>
              <w:bottom w:val="nil"/>
            </w:tcBorders>
            <w:shd w:val="clear" w:color="auto" w:fill="auto"/>
            <w:tcMar>
              <w:top w:w="110" w:type="dxa"/>
            </w:tcMar>
            <w:vAlign w:val="center"/>
          </w:tcPr>
          <w:p w:rsidR="0063033D" w:rsidRPr="00CB548E" w:rsidRDefault="0063033D" w:rsidP="008D1891">
            <w:pPr>
              <w:keepNext/>
              <w:keepLines/>
              <w:rPr>
                <w:rFonts w:cs="Arial"/>
                <w:sz w:val="16"/>
                <w:szCs w:val="16"/>
              </w:rPr>
            </w:pPr>
            <w:r w:rsidRPr="00CB548E">
              <w:rPr>
                <w:rFonts w:cs="Arial"/>
                <w:b/>
                <w:bCs/>
                <w:sz w:val="16"/>
                <w:szCs w:val="16"/>
              </w:rPr>
              <w:t>Date</w:t>
            </w:r>
          </w:p>
        </w:tc>
        <w:tc>
          <w:tcPr>
            <w:tcW w:w="1862" w:type="dxa"/>
            <w:tcBorders>
              <w:top w:val="single" w:sz="4" w:space="0" w:color="auto"/>
              <w:bottom w:val="nil"/>
            </w:tcBorders>
            <w:shd w:val="clear" w:color="auto" w:fill="auto"/>
            <w:tcMar>
              <w:top w:w="110" w:type="dxa"/>
            </w:tcMar>
            <w:vAlign w:val="center"/>
          </w:tcPr>
          <w:p w:rsidR="0063033D" w:rsidRPr="00CB548E" w:rsidRDefault="0063033D" w:rsidP="008D1891">
            <w:pPr>
              <w:keepNext/>
              <w:keepLines/>
              <w:rPr>
                <w:rFonts w:cs="Arial"/>
                <w:sz w:val="16"/>
                <w:szCs w:val="16"/>
              </w:rPr>
            </w:pPr>
            <w:r w:rsidRPr="00CB548E">
              <w:rPr>
                <w:rFonts w:cs="Arial"/>
                <w:b/>
                <w:bCs/>
                <w:sz w:val="16"/>
                <w:szCs w:val="16"/>
              </w:rPr>
              <w:t>Host Country/</w:t>
            </w:r>
            <w:r w:rsidRPr="00CB548E">
              <w:rPr>
                <w:rFonts w:cs="Arial"/>
                <w:b/>
                <w:bCs/>
                <w:sz w:val="16"/>
                <w:szCs w:val="16"/>
              </w:rPr>
              <w:br/>
              <w:t>Recipients</w:t>
            </w:r>
          </w:p>
        </w:tc>
        <w:tc>
          <w:tcPr>
            <w:tcW w:w="4253" w:type="dxa"/>
            <w:tcBorders>
              <w:top w:val="single" w:sz="4" w:space="0" w:color="auto"/>
              <w:bottom w:val="nil"/>
              <w:right w:val="single" w:sz="4" w:space="0" w:color="auto"/>
            </w:tcBorders>
            <w:shd w:val="clear" w:color="auto" w:fill="FFFFFF"/>
            <w:tcMar>
              <w:top w:w="110" w:type="dxa"/>
            </w:tcMar>
            <w:vAlign w:val="center"/>
          </w:tcPr>
          <w:p w:rsidR="0063033D" w:rsidRPr="00CB548E" w:rsidRDefault="0063033D" w:rsidP="008D1891">
            <w:pPr>
              <w:keepNext/>
              <w:keepLines/>
              <w:rPr>
                <w:rFonts w:cs="Arial"/>
                <w:sz w:val="16"/>
                <w:szCs w:val="16"/>
              </w:rPr>
            </w:pPr>
            <w:r w:rsidRPr="00CB548E">
              <w:rPr>
                <w:rFonts w:cs="Arial"/>
                <w:b/>
                <w:bCs/>
                <w:sz w:val="16"/>
                <w:szCs w:val="16"/>
              </w:rPr>
              <w:t>Purpose(s)/Description(s)</w:t>
            </w:r>
          </w:p>
        </w:tc>
      </w:tr>
      <w:tr w:rsidR="0063033D" w:rsidRPr="00CB548E" w:rsidTr="00592948">
        <w:trPr>
          <w:cantSplit/>
        </w:trPr>
        <w:tc>
          <w:tcPr>
            <w:tcW w:w="1981" w:type="dxa"/>
            <w:tcBorders>
              <w:top w:val="nil"/>
              <w:left w:val="single" w:sz="4" w:space="0" w:color="auto"/>
              <w:bottom w:val="nil"/>
            </w:tcBorders>
          </w:tcPr>
          <w:p w:rsidR="0063033D" w:rsidRPr="00033FB3" w:rsidRDefault="0063033D" w:rsidP="008D1891">
            <w:pPr>
              <w:keepNext/>
              <w:keepLines/>
              <w:autoSpaceDE w:val="0"/>
              <w:autoSpaceDN w:val="0"/>
              <w:adjustRightInd w:val="0"/>
              <w:spacing w:before="120" w:after="120"/>
              <w:rPr>
                <w:rFonts w:cs="Arial"/>
                <w:color w:val="000000"/>
                <w:sz w:val="16"/>
                <w:szCs w:val="16"/>
              </w:rPr>
            </w:pPr>
            <w:r w:rsidRPr="0043341D">
              <w:rPr>
                <w:rFonts w:cs="Arial"/>
                <w:color w:val="000000"/>
                <w:sz w:val="16"/>
                <w:szCs w:val="16"/>
              </w:rPr>
              <w:t>XI</w:t>
            </w:r>
            <w:r>
              <w:rPr>
                <w:rFonts w:cs="Arial"/>
                <w:color w:val="000000"/>
                <w:sz w:val="16"/>
                <w:szCs w:val="16"/>
              </w:rPr>
              <w:t>II</w:t>
            </w:r>
            <w:r w:rsidRPr="0043341D">
              <w:rPr>
                <w:rFonts w:cs="Arial"/>
                <w:color w:val="000000"/>
                <w:sz w:val="16"/>
                <w:szCs w:val="16"/>
              </w:rPr>
              <w:t xml:space="preserve"> WIPO/OEPM</w:t>
            </w:r>
            <w:r>
              <w:rPr>
                <w:rFonts w:cs="Arial"/>
                <w:color w:val="000000"/>
                <w:sz w:val="16"/>
                <w:szCs w:val="16"/>
              </w:rPr>
              <w:t>/AECID</w:t>
            </w:r>
            <w:r w:rsidRPr="0043341D">
              <w:rPr>
                <w:rFonts w:cs="Arial"/>
                <w:color w:val="000000"/>
                <w:sz w:val="16"/>
                <w:szCs w:val="16"/>
              </w:rPr>
              <w:t xml:space="preserve"> Regional Seminar on Intellectual Property for Judges and Prosecutors from Latin American countries</w:t>
            </w:r>
            <w:r>
              <w:rPr>
                <w:rFonts w:cs="Arial"/>
                <w:color w:val="000000"/>
                <w:sz w:val="16"/>
                <w:szCs w:val="16"/>
              </w:rPr>
              <w:t>.</w:t>
            </w:r>
          </w:p>
        </w:tc>
        <w:tc>
          <w:tcPr>
            <w:tcW w:w="1260" w:type="dxa"/>
            <w:tcBorders>
              <w:top w:val="nil"/>
              <w:bottom w:val="nil"/>
            </w:tcBorders>
          </w:tcPr>
          <w:p w:rsidR="0063033D" w:rsidRDefault="0063033D" w:rsidP="008D1891">
            <w:pPr>
              <w:keepNext/>
              <w:keepLines/>
              <w:autoSpaceDE w:val="0"/>
              <w:autoSpaceDN w:val="0"/>
              <w:adjustRightInd w:val="0"/>
              <w:spacing w:before="120" w:after="120"/>
              <w:rPr>
                <w:rFonts w:cs="Arial"/>
                <w:color w:val="000000"/>
                <w:sz w:val="16"/>
                <w:szCs w:val="16"/>
              </w:rPr>
            </w:pPr>
            <w:r>
              <w:rPr>
                <w:rFonts w:cs="Arial"/>
                <w:color w:val="000000"/>
                <w:sz w:val="16"/>
                <w:szCs w:val="16"/>
              </w:rPr>
              <w:t>March 17 to 20, 2014</w:t>
            </w:r>
          </w:p>
          <w:p w:rsidR="0063033D" w:rsidRPr="00033FB3" w:rsidRDefault="0063033D" w:rsidP="008D1891">
            <w:pPr>
              <w:autoSpaceDE w:val="0"/>
              <w:autoSpaceDN w:val="0"/>
              <w:adjustRightInd w:val="0"/>
              <w:spacing w:before="120" w:after="120"/>
              <w:rPr>
                <w:rFonts w:cs="Arial"/>
                <w:color w:val="000000"/>
                <w:sz w:val="16"/>
                <w:szCs w:val="16"/>
              </w:rPr>
            </w:pPr>
          </w:p>
        </w:tc>
        <w:tc>
          <w:tcPr>
            <w:tcW w:w="1862" w:type="dxa"/>
            <w:tcBorders>
              <w:top w:val="nil"/>
              <w:bottom w:val="nil"/>
            </w:tcBorders>
          </w:tcPr>
          <w:p w:rsidR="0063033D" w:rsidRDefault="0063033D" w:rsidP="008D1891">
            <w:pPr>
              <w:keepNext/>
              <w:keepLines/>
              <w:autoSpaceDE w:val="0"/>
              <w:autoSpaceDN w:val="0"/>
              <w:adjustRightInd w:val="0"/>
              <w:spacing w:before="120" w:after="120"/>
              <w:rPr>
                <w:rFonts w:cs="Arial"/>
                <w:color w:val="000000"/>
                <w:sz w:val="16"/>
                <w:szCs w:val="16"/>
              </w:rPr>
            </w:pPr>
            <w:r>
              <w:rPr>
                <w:rFonts w:cs="Arial"/>
                <w:color w:val="000000"/>
                <w:sz w:val="16"/>
                <w:szCs w:val="16"/>
              </w:rPr>
              <w:t>Guatemala/All Latin American countries</w:t>
            </w:r>
            <w:r>
              <w:t xml:space="preserve"> </w:t>
            </w:r>
            <w:r w:rsidRPr="002A4960">
              <w:rPr>
                <w:rFonts w:cs="Arial"/>
                <w:color w:val="000000"/>
                <w:sz w:val="16"/>
                <w:szCs w:val="16"/>
              </w:rPr>
              <w:t>and Tribunal of Andean Community</w:t>
            </w:r>
          </w:p>
          <w:p w:rsidR="0063033D" w:rsidRPr="00033FB3" w:rsidRDefault="0063033D" w:rsidP="008D1891">
            <w:pPr>
              <w:autoSpaceDE w:val="0"/>
              <w:autoSpaceDN w:val="0"/>
              <w:adjustRightInd w:val="0"/>
              <w:spacing w:before="120" w:after="120"/>
              <w:rPr>
                <w:rFonts w:cs="Arial"/>
                <w:color w:val="000000"/>
                <w:sz w:val="16"/>
                <w:szCs w:val="16"/>
              </w:rPr>
            </w:pPr>
          </w:p>
        </w:tc>
        <w:tc>
          <w:tcPr>
            <w:tcW w:w="4253" w:type="dxa"/>
            <w:tcBorders>
              <w:top w:val="nil"/>
              <w:bottom w:val="nil"/>
              <w:right w:val="single" w:sz="4" w:space="0" w:color="auto"/>
            </w:tcBorders>
          </w:tcPr>
          <w:p w:rsidR="0063033D" w:rsidRPr="00033FB3" w:rsidRDefault="0063033D" w:rsidP="008D1891">
            <w:pPr>
              <w:keepNext/>
              <w:keepLines/>
              <w:autoSpaceDE w:val="0"/>
              <w:autoSpaceDN w:val="0"/>
              <w:adjustRightInd w:val="0"/>
              <w:spacing w:before="120" w:after="120"/>
              <w:rPr>
                <w:rFonts w:cs="Arial"/>
                <w:color w:val="000000"/>
                <w:sz w:val="16"/>
                <w:szCs w:val="16"/>
              </w:rPr>
            </w:pPr>
            <w:r>
              <w:rPr>
                <w:rFonts w:cs="Arial"/>
                <w:color w:val="000000"/>
                <w:sz w:val="16"/>
                <w:szCs w:val="16"/>
              </w:rPr>
              <w:t>To: (</w:t>
            </w:r>
            <w:proofErr w:type="spellStart"/>
            <w:r>
              <w:rPr>
                <w:rFonts w:cs="Arial"/>
                <w:color w:val="000000"/>
                <w:sz w:val="16"/>
                <w:szCs w:val="16"/>
              </w:rPr>
              <w:t>i</w:t>
            </w:r>
            <w:proofErr w:type="spellEnd"/>
            <w:r>
              <w:rPr>
                <w:rFonts w:cs="Arial"/>
                <w:color w:val="000000"/>
                <w:sz w:val="16"/>
                <w:szCs w:val="16"/>
              </w:rPr>
              <w:t xml:space="preserve">) </w:t>
            </w:r>
            <w:r w:rsidRPr="00923817">
              <w:rPr>
                <w:rFonts w:cs="Arial"/>
                <w:color w:val="000000"/>
                <w:sz w:val="16"/>
                <w:szCs w:val="16"/>
              </w:rPr>
              <w:t xml:space="preserve">provide judges and public prosecutors responsible for IP from Latin American countries </w:t>
            </w:r>
            <w:r>
              <w:rPr>
                <w:rFonts w:cs="Arial"/>
                <w:color w:val="000000"/>
                <w:sz w:val="16"/>
                <w:szCs w:val="16"/>
              </w:rPr>
              <w:t xml:space="preserve">with </w:t>
            </w:r>
            <w:r w:rsidRPr="0043341D">
              <w:rPr>
                <w:rFonts w:cs="Arial"/>
                <w:color w:val="000000"/>
                <w:sz w:val="16"/>
                <w:szCs w:val="16"/>
              </w:rPr>
              <w:t xml:space="preserve">training on IP matters </w:t>
            </w:r>
            <w:r>
              <w:rPr>
                <w:rFonts w:cs="Arial"/>
                <w:color w:val="000000"/>
                <w:sz w:val="16"/>
                <w:szCs w:val="16"/>
              </w:rPr>
              <w:t>to improve the</w:t>
            </w:r>
            <w:r w:rsidRPr="0043341D">
              <w:rPr>
                <w:rFonts w:cs="Arial"/>
                <w:color w:val="000000"/>
                <w:sz w:val="16"/>
                <w:szCs w:val="16"/>
              </w:rPr>
              <w:t xml:space="preserve"> decision</w:t>
            </w:r>
            <w:r>
              <w:rPr>
                <w:rFonts w:cs="Arial"/>
                <w:color w:val="000000"/>
                <w:sz w:val="16"/>
                <w:szCs w:val="16"/>
              </w:rPr>
              <w:t>-making process</w:t>
            </w:r>
            <w:r w:rsidRPr="0043341D">
              <w:rPr>
                <w:rFonts w:cs="Arial"/>
                <w:color w:val="000000"/>
                <w:sz w:val="16"/>
                <w:szCs w:val="16"/>
              </w:rPr>
              <w:t xml:space="preserve"> o</w:t>
            </w:r>
            <w:r>
              <w:rPr>
                <w:rFonts w:cs="Arial"/>
                <w:color w:val="000000"/>
                <w:sz w:val="16"/>
                <w:szCs w:val="16"/>
              </w:rPr>
              <w:t>n</w:t>
            </w:r>
            <w:r w:rsidRPr="0043341D">
              <w:rPr>
                <w:rFonts w:cs="Arial"/>
                <w:color w:val="000000"/>
                <w:sz w:val="16"/>
                <w:szCs w:val="16"/>
              </w:rPr>
              <w:t xml:space="preserve"> litigation cases</w:t>
            </w:r>
            <w:r>
              <w:rPr>
                <w:rFonts w:cs="Arial"/>
                <w:color w:val="000000"/>
                <w:sz w:val="16"/>
                <w:szCs w:val="16"/>
              </w:rPr>
              <w:t>; and (ii)</w:t>
            </w:r>
            <w:r w:rsidRPr="0043341D">
              <w:rPr>
                <w:rFonts w:cs="Arial"/>
                <w:color w:val="000000"/>
                <w:sz w:val="16"/>
                <w:szCs w:val="16"/>
              </w:rPr>
              <w:t xml:space="preserve"> provide participants with updated information and practical training in the field of patents, trademarks, copyright and enforcement cases.</w:t>
            </w:r>
          </w:p>
        </w:tc>
      </w:tr>
      <w:tr w:rsidR="0063033D" w:rsidRPr="00CB548E" w:rsidTr="00592948">
        <w:trPr>
          <w:cantSplit/>
        </w:trPr>
        <w:tc>
          <w:tcPr>
            <w:tcW w:w="1981" w:type="dxa"/>
            <w:tcBorders>
              <w:top w:val="nil"/>
              <w:left w:val="single" w:sz="4" w:space="0" w:color="auto"/>
              <w:bottom w:val="nil"/>
            </w:tcBorders>
          </w:tcPr>
          <w:p w:rsidR="0063033D" w:rsidRPr="00B058EA" w:rsidRDefault="0063033D" w:rsidP="008D1891">
            <w:pPr>
              <w:autoSpaceDE w:val="0"/>
              <w:autoSpaceDN w:val="0"/>
              <w:adjustRightInd w:val="0"/>
              <w:spacing w:before="120" w:after="120"/>
              <w:rPr>
                <w:rFonts w:cs="Arial"/>
                <w:color w:val="000000"/>
                <w:sz w:val="16"/>
                <w:szCs w:val="16"/>
              </w:rPr>
            </w:pPr>
            <w:r w:rsidRPr="00B058EA">
              <w:rPr>
                <w:rFonts w:cs="Arial"/>
                <w:color w:val="000000"/>
                <w:sz w:val="16"/>
                <w:szCs w:val="16"/>
              </w:rPr>
              <w:t xml:space="preserve">Platform in Spanish on industrial property services and contents to the </w:t>
            </w:r>
            <w:proofErr w:type="spellStart"/>
            <w:r w:rsidRPr="00B058EA">
              <w:rPr>
                <w:rFonts w:cs="Arial"/>
                <w:color w:val="000000"/>
                <w:sz w:val="16"/>
                <w:szCs w:val="16"/>
              </w:rPr>
              <w:t>Ibero</w:t>
            </w:r>
            <w:proofErr w:type="spellEnd"/>
            <w:r>
              <w:rPr>
                <w:rFonts w:cs="Arial"/>
                <w:color w:val="000000"/>
                <w:sz w:val="16"/>
                <w:szCs w:val="16"/>
              </w:rPr>
              <w:t>-A</w:t>
            </w:r>
            <w:r w:rsidRPr="00B058EA">
              <w:rPr>
                <w:rFonts w:cs="Arial"/>
                <w:color w:val="000000"/>
                <w:sz w:val="16"/>
                <w:szCs w:val="16"/>
              </w:rPr>
              <w:t>merican entrepreneurial sector with special focus on SMEs (CIBEPYME)</w:t>
            </w:r>
          </w:p>
        </w:tc>
        <w:tc>
          <w:tcPr>
            <w:tcW w:w="1260" w:type="dxa"/>
            <w:tcBorders>
              <w:top w:val="nil"/>
              <w:bottom w:val="nil"/>
            </w:tcBorders>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January to December 2014</w:t>
            </w:r>
          </w:p>
          <w:p w:rsidR="0063033D" w:rsidRPr="00E14CB0"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(Project ongoing since 2010)</w:t>
            </w:r>
          </w:p>
        </w:tc>
        <w:tc>
          <w:tcPr>
            <w:tcW w:w="1862" w:type="dxa"/>
            <w:tcBorders>
              <w:top w:val="nil"/>
              <w:bottom w:val="nil"/>
            </w:tcBorders>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All </w:t>
            </w:r>
            <w:proofErr w:type="spellStart"/>
            <w:r>
              <w:rPr>
                <w:rFonts w:cs="Arial"/>
                <w:color w:val="000000"/>
                <w:sz w:val="16"/>
                <w:szCs w:val="16"/>
              </w:rPr>
              <w:t>Ibero</w:t>
            </w:r>
            <w:proofErr w:type="spellEnd"/>
            <w:r>
              <w:rPr>
                <w:rFonts w:cs="Arial"/>
                <w:color w:val="000000"/>
                <w:sz w:val="16"/>
                <w:szCs w:val="16"/>
              </w:rPr>
              <w:t>-American countries</w:t>
            </w:r>
          </w:p>
        </w:tc>
        <w:tc>
          <w:tcPr>
            <w:tcW w:w="4253" w:type="dxa"/>
            <w:tcBorders>
              <w:top w:val="nil"/>
              <w:bottom w:val="nil"/>
              <w:right w:val="single" w:sz="4" w:space="0" w:color="auto"/>
            </w:tcBorders>
          </w:tcPr>
          <w:p w:rsidR="0063033D" w:rsidRDefault="0063033D" w:rsidP="008D1891">
            <w:pPr>
              <w:autoSpaceDE w:val="0"/>
              <w:autoSpaceDN w:val="0"/>
              <w:adjustRightInd w:val="0"/>
              <w:spacing w:before="120" w:after="120"/>
              <w:rPr>
                <w:rFonts w:cs="Arial"/>
                <w:color w:val="000000"/>
                <w:sz w:val="16"/>
                <w:szCs w:val="16"/>
              </w:rPr>
            </w:pPr>
            <w:r w:rsidRPr="00923817">
              <w:rPr>
                <w:rFonts w:cs="Arial"/>
                <w:color w:val="000000"/>
                <w:sz w:val="16"/>
                <w:szCs w:val="16"/>
              </w:rPr>
              <w:t>To continue to design and create one Platform addressed to the private sector in order to: (</w:t>
            </w:r>
            <w:proofErr w:type="spellStart"/>
            <w:r w:rsidRPr="00923817">
              <w:rPr>
                <w:rFonts w:cs="Arial"/>
                <w:color w:val="000000"/>
                <w:sz w:val="16"/>
                <w:szCs w:val="16"/>
              </w:rPr>
              <w:t>i</w:t>
            </w:r>
            <w:proofErr w:type="spellEnd"/>
            <w:r w:rsidRPr="00923817">
              <w:rPr>
                <w:rFonts w:cs="Arial"/>
                <w:color w:val="000000"/>
                <w:sz w:val="16"/>
                <w:szCs w:val="16"/>
              </w:rPr>
              <w:t>) provide assistance and services in their use of IP; (ii) to increase the value of their business; and (iii) provide a private sector forum for the exchange of ideas and experiences</w:t>
            </w:r>
          </w:p>
        </w:tc>
      </w:tr>
      <w:tr w:rsidR="0063033D" w:rsidRPr="00CB548E" w:rsidTr="00592948">
        <w:trPr>
          <w:cantSplit/>
        </w:trPr>
        <w:tc>
          <w:tcPr>
            <w:tcW w:w="1981" w:type="dxa"/>
            <w:tcBorders>
              <w:top w:val="nil"/>
              <w:left w:val="single" w:sz="4" w:space="0" w:color="auto"/>
              <w:bottom w:val="nil"/>
            </w:tcBorders>
          </w:tcPr>
          <w:p w:rsidR="0063033D" w:rsidRPr="00B058EA" w:rsidRDefault="0063033D" w:rsidP="008D1891">
            <w:pPr>
              <w:autoSpaceDE w:val="0"/>
              <w:autoSpaceDN w:val="0"/>
              <w:adjustRightInd w:val="0"/>
              <w:spacing w:before="120" w:after="120"/>
              <w:rPr>
                <w:rFonts w:cs="Arial"/>
                <w:color w:val="000000"/>
                <w:sz w:val="16"/>
                <w:szCs w:val="16"/>
              </w:rPr>
            </w:pPr>
            <w:r w:rsidRPr="005E25CC">
              <w:rPr>
                <w:rFonts w:cs="Arial"/>
                <w:color w:val="000000"/>
                <w:sz w:val="16"/>
                <w:szCs w:val="16"/>
              </w:rPr>
              <w:t>Regional Automation Project for translation</w:t>
            </w:r>
            <w:r>
              <w:rPr>
                <w:rFonts w:cs="Arial"/>
                <w:color w:val="000000"/>
                <w:sz w:val="16"/>
                <w:szCs w:val="16"/>
              </w:rPr>
              <w:t xml:space="preserve"> of</w:t>
            </w:r>
            <w:r w:rsidRPr="005E25CC">
              <w:rPr>
                <w:rFonts w:cs="Arial"/>
                <w:color w:val="000000"/>
                <w:sz w:val="16"/>
                <w:szCs w:val="16"/>
              </w:rPr>
              <w:t xml:space="preserve"> </w:t>
            </w:r>
            <w:r>
              <w:rPr>
                <w:rFonts w:cs="Arial"/>
                <w:color w:val="000000"/>
                <w:sz w:val="16"/>
                <w:szCs w:val="16"/>
              </w:rPr>
              <w:t xml:space="preserve"> </w:t>
            </w:r>
            <w:r w:rsidRPr="005E25CC">
              <w:rPr>
                <w:rFonts w:cs="Arial"/>
                <w:color w:val="000000"/>
                <w:sz w:val="16"/>
                <w:szCs w:val="16"/>
              </w:rPr>
              <w:t xml:space="preserve">the advanced level of the International Patent Classification (IPC) into Spanish  </w:t>
            </w:r>
          </w:p>
        </w:tc>
        <w:tc>
          <w:tcPr>
            <w:tcW w:w="1260" w:type="dxa"/>
            <w:tcBorders>
              <w:top w:val="nil"/>
              <w:bottom w:val="nil"/>
            </w:tcBorders>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January to December 2015</w:t>
            </w:r>
          </w:p>
          <w:p w:rsidR="0063033D" w:rsidRPr="00E14CB0"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(Project ongoing since 2010)</w:t>
            </w:r>
          </w:p>
        </w:tc>
        <w:tc>
          <w:tcPr>
            <w:tcW w:w="1862" w:type="dxa"/>
            <w:tcBorders>
              <w:top w:val="nil"/>
              <w:bottom w:val="nil"/>
            </w:tcBorders>
          </w:tcPr>
          <w:p w:rsidR="0063033D" w:rsidRDefault="0063033D" w:rsidP="008D1891">
            <w:pPr>
              <w:autoSpaceDE w:val="0"/>
              <w:autoSpaceDN w:val="0"/>
              <w:adjustRightInd w:val="0"/>
              <w:spacing w:before="120" w:after="120"/>
              <w:rPr>
                <w:rFonts w:cs="Arial"/>
                <w:color w:val="000000"/>
                <w:sz w:val="16"/>
                <w:szCs w:val="16"/>
              </w:rPr>
            </w:pPr>
            <w:r w:rsidRPr="00B25BBB">
              <w:rPr>
                <w:rFonts w:cs="Arial"/>
                <w:color w:val="000000"/>
                <w:sz w:val="16"/>
                <w:szCs w:val="16"/>
              </w:rPr>
              <w:t xml:space="preserve">All </w:t>
            </w:r>
            <w:proofErr w:type="spellStart"/>
            <w:r w:rsidRPr="00B25BBB">
              <w:rPr>
                <w:rFonts w:cs="Arial"/>
                <w:color w:val="000000"/>
                <w:sz w:val="16"/>
                <w:szCs w:val="16"/>
              </w:rPr>
              <w:t>Ibero</w:t>
            </w:r>
            <w:proofErr w:type="spellEnd"/>
            <w:r>
              <w:rPr>
                <w:rFonts w:cs="Arial"/>
                <w:color w:val="000000"/>
                <w:sz w:val="16"/>
                <w:szCs w:val="16"/>
              </w:rPr>
              <w:t>-A</w:t>
            </w:r>
            <w:r w:rsidRPr="00B25BBB">
              <w:rPr>
                <w:rFonts w:cs="Arial"/>
                <w:color w:val="000000"/>
                <w:sz w:val="16"/>
                <w:szCs w:val="16"/>
              </w:rPr>
              <w:t>merican countries</w:t>
            </w:r>
          </w:p>
        </w:tc>
        <w:tc>
          <w:tcPr>
            <w:tcW w:w="4253" w:type="dxa"/>
            <w:tcBorders>
              <w:top w:val="nil"/>
              <w:bottom w:val="nil"/>
              <w:right w:val="single" w:sz="4" w:space="0" w:color="auto"/>
            </w:tcBorders>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To: (</w:t>
            </w:r>
            <w:proofErr w:type="spellStart"/>
            <w:r>
              <w:rPr>
                <w:rFonts w:cs="Arial"/>
                <w:color w:val="000000"/>
                <w:sz w:val="16"/>
                <w:szCs w:val="16"/>
              </w:rPr>
              <w:t>i</w:t>
            </w:r>
            <w:proofErr w:type="spellEnd"/>
            <w:r>
              <w:rPr>
                <w:rFonts w:cs="Arial"/>
                <w:color w:val="000000"/>
                <w:sz w:val="16"/>
                <w:szCs w:val="16"/>
              </w:rPr>
              <w:t>)</w:t>
            </w:r>
            <w:r w:rsidRPr="005E25CC">
              <w:rPr>
                <w:rFonts w:cs="Arial"/>
                <w:color w:val="000000"/>
                <w:sz w:val="16"/>
                <w:szCs w:val="16"/>
              </w:rPr>
              <w:t xml:space="preserve"> implement automation for Spanish translation of the advanced level of the </w:t>
            </w:r>
            <w:r>
              <w:rPr>
                <w:rFonts w:cs="Arial"/>
                <w:color w:val="000000"/>
                <w:sz w:val="16"/>
                <w:szCs w:val="16"/>
              </w:rPr>
              <w:t>IPC, as it was originally commissioned in English and French only; and (ii) make it available to the service of</w:t>
            </w:r>
            <w:r w:rsidRPr="005E25CC">
              <w:rPr>
                <w:rFonts w:cs="Arial"/>
                <w:color w:val="000000"/>
                <w:sz w:val="16"/>
                <w:szCs w:val="16"/>
              </w:rPr>
              <w:t xml:space="preserve"> industrial property offices in L</w:t>
            </w:r>
            <w:r>
              <w:rPr>
                <w:rFonts w:cs="Arial"/>
                <w:color w:val="000000"/>
                <w:sz w:val="16"/>
                <w:szCs w:val="16"/>
              </w:rPr>
              <w:t xml:space="preserve">atin </w:t>
            </w:r>
            <w:r w:rsidRPr="005E25CC">
              <w:rPr>
                <w:rFonts w:cs="Arial"/>
                <w:color w:val="000000"/>
                <w:sz w:val="16"/>
                <w:szCs w:val="16"/>
              </w:rPr>
              <w:t>A</w:t>
            </w:r>
            <w:r>
              <w:rPr>
                <w:rFonts w:cs="Arial"/>
                <w:color w:val="000000"/>
                <w:sz w:val="16"/>
                <w:szCs w:val="16"/>
              </w:rPr>
              <w:t>merican</w:t>
            </w:r>
            <w:r w:rsidRPr="005E25CC">
              <w:rPr>
                <w:rFonts w:cs="Arial"/>
                <w:color w:val="000000"/>
                <w:sz w:val="16"/>
                <w:szCs w:val="16"/>
              </w:rPr>
              <w:t xml:space="preserve"> countries.</w:t>
            </w:r>
          </w:p>
        </w:tc>
      </w:tr>
      <w:tr w:rsidR="0063033D" w:rsidRPr="00CB548E" w:rsidTr="008D1891">
        <w:trPr>
          <w:cantSplit/>
        </w:trPr>
        <w:tc>
          <w:tcPr>
            <w:tcW w:w="1981" w:type="dxa"/>
            <w:tcBorders>
              <w:top w:val="nil"/>
              <w:left w:val="single" w:sz="4" w:space="0" w:color="auto"/>
              <w:bottom w:val="nil"/>
            </w:tcBorders>
          </w:tcPr>
          <w:p w:rsidR="0063033D" w:rsidRPr="005E25CC" w:rsidRDefault="0063033D" w:rsidP="008D1891">
            <w:pPr>
              <w:autoSpaceDE w:val="0"/>
              <w:autoSpaceDN w:val="0"/>
              <w:adjustRightInd w:val="0"/>
              <w:spacing w:before="120" w:after="120"/>
              <w:rPr>
                <w:rFonts w:cs="Arial"/>
                <w:color w:val="000000"/>
                <w:sz w:val="16"/>
                <w:szCs w:val="16"/>
              </w:rPr>
            </w:pPr>
            <w:r w:rsidRPr="003050A9">
              <w:rPr>
                <w:rFonts w:cs="Arial"/>
                <w:color w:val="000000"/>
                <w:sz w:val="16"/>
                <w:szCs w:val="16"/>
              </w:rPr>
              <w:t xml:space="preserve">Sub-Regional Meeting on </w:t>
            </w:r>
            <w:r>
              <w:rPr>
                <w:rFonts w:cs="Arial"/>
                <w:color w:val="000000"/>
                <w:sz w:val="16"/>
                <w:szCs w:val="16"/>
              </w:rPr>
              <w:t>Patents</w:t>
            </w:r>
            <w:r w:rsidRPr="003050A9">
              <w:rPr>
                <w:rFonts w:cs="Arial"/>
                <w:color w:val="000000"/>
                <w:sz w:val="16"/>
                <w:szCs w:val="16"/>
              </w:rPr>
              <w:t xml:space="preserve"> from Central American Countries, Panama and  the Dominican Republic for the Review and Approval of a Manual on the Examination of </w:t>
            </w:r>
            <w:r>
              <w:rPr>
                <w:rFonts w:cs="Arial"/>
                <w:color w:val="000000"/>
                <w:sz w:val="16"/>
                <w:szCs w:val="16"/>
              </w:rPr>
              <w:t>Patents</w:t>
            </w:r>
            <w:r w:rsidRPr="003050A9">
              <w:rPr>
                <w:rFonts w:cs="Arial"/>
                <w:color w:val="000000"/>
                <w:sz w:val="16"/>
                <w:szCs w:val="16"/>
              </w:rPr>
              <w:t xml:space="preserve"> Applications, </w:t>
            </w:r>
            <w:r>
              <w:rPr>
                <w:rFonts w:cs="Arial"/>
                <w:color w:val="000000"/>
                <w:sz w:val="16"/>
                <w:szCs w:val="16"/>
              </w:rPr>
              <w:t xml:space="preserve">and </w:t>
            </w:r>
            <w:r w:rsidRPr="005A31B0">
              <w:rPr>
                <w:rFonts w:cs="Arial"/>
                <w:color w:val="000000"/>
                <w:sz w:val="16"/>
                <w:szCs w:val="16"/>
              </w:rPr>
              <w:t>Strengthened cooperation mechanisms</w:t>
            </w:r>
          </w:p>
        </w:tc>
        <w:tc>
          <w:tcPr>
            <w:tcW w:w="1260" w:type="dxa"/>
            <w:tcBorders>
              <w:top w:val="nil"/>
              <w:bottom w:val="nil"/>
            </w:tcBorders>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January 22 to 24, 2014</w:t>
            </w:r>
          </w:p>
          <w:p w:rsidR="0063033D" w:rsidRDefault="0063033D" w:rsidP="008D1891">
            <w:pPr>
              <w:autoSpaceDE w:val="0"/>
              <w:autoSpaceDN w:val="0"/>
              <w:adjustRightInd w:val="0"/>
              <w:spacing w:before="120" w:after="120"/>
              <w:rPr>
                <w:rFonts w:cs="Arial"/>
                <w:color w:val="000000"/>
                <w:sz w:val="16"/>
                <w:szCs w:val="16"/>
              </w:rPr>
            </w:pPr>
          </w:p>
        </w:tc>
        <w:tc>
          <w:tcPr>
            <w:tcW w:w="1862" w:type="dxa"/>
            <w:tcBorders>
              <w:top w:val="nil"/>
              <w:bottom w:val="nil"/>
            </w:tcBorders>
          </w:tcPr>
          <w:p w:rsidR="0063033D" w:rsidRPr="003050A9"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Dominican Republic/ Dominican Republic and Central American countries </w:t>
            </w:r>
          </w:p>
          <w:p w:rsidR="0063033D" w:rsidRPr="00B25BBB" w:rsidRDefault="0063033D" w:rsidP="008D1891">
            <w:pPr>
              <w:autoSpaceDE w:val="0"/>
              <w:autoSpaceDN w:val="0"/>
              <w:adjustRightInd w:val="0"/>
              <w:spacing w:before="120" w:after="120"/>
              <w:rPr>
                <w:rFonts w:cs="Arial"/>
                <w:color w:val="000000"/>
                <w:sz w:val="16"/>
                <w:szCs w:val="16"/>
              </w:rPr>
            </w:pPr>
          </w:p>
        </w:tc>
        <w:tc>
          <w:tcPr>
            <w:tcW w:w="4253" w:type="dxa"/>
            <w:tcBorders>
              <w:top w:val="nil"/>
              <w:bottom w:val="nil"/>
              <w:right w:val="single" w:sz="4" w:space="0" w:color="auto"/>
            </w:tcBorders>
          </w:tcPr>
          <w:p w:rsidR="0063033D" w:rsidRPr="003050A9"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To: (</w:t>
            </w:r>
            <w:proofErr w:type="spellStart"/>
            <w:r>
              <w:rPr>
                <w:rFonts w:cs="Arial"/>
                <w:color w:val="000000"/>
                <w:sz w:val="16"/>
                <w:szCs w:val="16"/>
              </w:rPr>
              <w:t>i</w:t>
            </w:r>
            <w:proofErr w:type="spellEnd"/>
            <w:r>
              <w:rPr>
                <w:rFonts w:cs="Arial"/>
                <w:color w:val="000000"/>
                <w:sz w:val="16"/>
                <w:szCs w:val="16"/>
              </w:rPr>
              <w:t xml:space="preserve">) provide an opportunity for an update </w:t>
            </w:r>
            <w:r w:rsidRPr="003050A9">
              <w:rPr>
                <w:rFonts w:cs="Arial"/>
                <w:color w:val="000000"/>
                <w:sz w:val="16"/>
                <w:szCs w:val="16"/>
              </w:rPr>
              <w:t xml:space="preserve">of the Manual on </w:t>
            </w:r>
            <w:r>
              <w:rPr>
                <w:rFonts w:cs="Arial"/>
                <w:color w:val="000000"/>
                <w:sz w:val="16"/>
                <w:szCs w:val="16"/>
              </w:rPr>
              <w:t>Patents</w:t>
            </w:r>
            <w:r w:rsidRPr="003050A9">
              <w:rPr>
                <w:rFonts w:cs="Arial"/>
                <w:color w:val="000000"/>
                <w:sz w:val="16"/>
                <w:szCs w:val="16"/>
              </w:rPr>
              <w:t xml:space="preserve"> Examination for Central American Countries, Panama and the Dominican Republic</w:t>
            </w:r>
            <w:r>
              <w:rPr>
                <w:rFonts w:cs="Arial"/>
                <w:color w:val="000000"/>
                <w:sz w:val="16"/>
                <w:szCs w:val="16"/>
              </w:rPr>
              <w:t>; (ii)</w:t>
            </w:r>
            <w:r w:rsidRPr="003050A9">
              <w:rPr>
                <w:rFonts w:cs="Arial"/>
                <w:color w:val="000000"/>
                <w:sz w:val="16"/>
                <w:szCs w:val="16"/>
              </w:rPr>
              <w:t xml:space="preserve"> propose measures conduc</w:t>
            </w:r>
            <w:r>
              <w:rPr>
                <w:rFonts w:cs="Arial"/>
                <w:color w:val="000000"/>
                <w:sz w:val="16"/>
                <w:szCs w:val="16"/>
              </w:rPr>
              <w:t>ive</w:t>
            </w:r>
            <w:r w:rsidRPr="003050A9">
              <w:rPr>
                <w:rFonts w:cs="Arial"/>
                <w:color w:val="000000"/>
                <w:sz w:val="16"/>
                <w:szCs w:val="16"/>
              </w:rPr>
              <w:t xml:space="preserve"> to future use of the Manual in examination processes</w:t>
            </w:r>
            <w:r>
              <w:rPr>
                <w:rFonts w:cs="Arial"/>
                <w:color w:val="000000"/>
                <w:sz w:val="16"/>
                <w:szCs w:val="16"/>
              </w:rPr>
              <w:t>: and (iii)</w:t>
            </w:r>
            <w:r w:rsidRPr="003050A9">
              <w:rPr>
                <w:rFonts w:cs="Arial"/>
                <w:color w:val="000000"/>
                <w:sz w:val="16"/>
                <w:szCs w:val="16"/>
              </w:rPr>
              <w:t xml:space="preserve"> establish measures to </w:t>
            </w:r>
            <w:r>
              <w:rPr>
                <w:rFonts w:cs="Arial"/>
                <w:color w:val="000000"/>
                <w:sz w:val="16"/>
                <w:szCs w:val="16"/>
              </w:rPr>
              <w:t>strengthen</w:t>
            </w:r>
            <w:r w:rsidRPr="003050A9">
              <w:rPr>
                <w:rFonts w:cs="Arial"/>
                <w:color w:val="000000"/>
                <w:sz w:val="16"/>
                <w:szCs w:val="16"/>
              </w:rPr>
              <w:t xml:space="preserve"> </w:t>
            </w:r>
            <w:r>
              <w:rPr>
                <w:rFonts w:cs="Arial"/>
                <w:color w:val="000000"/>
                <w:sz w:val="16"/>
                <w:szCs w:val="16"/>
              </w:rPr>
              <w:t xml:space="preserve">cooperation </w:t>
            </w:r>
            <w:r w:rsidRPr="003050A9">
              <w:rPr>
                <w:rFonts w:cs="Arial"/>
                <w:color w:val="000000"/>
                <w:sz w:val="16"/>
                <w:szCs w:val="16"/>
              </w:rPr>
              <w:t xml:space="preserve">mechanisms </w:t>
            </w:r>
            <w:r>
              <w:rPr>
                <w:rFonts w:cs="Arial"/>
                <w:color w:val="000000"/>
                <w:sz w:val="16"/>
                <w:szCs w:val="16"/>
              </w:rPr>
              <w:t>with a view to achieving consensus in order to</w:t>
            </w:r>
            <w:r w:rsidRPr="003050A9">
              <w:rPr>
                <w:rFonts w:cs="Arial"/>
                <w:color w:val="000000"/>
                <w:sz w:val="16"/>
                <w:szCs w:val="16"/>
              </w:rPr>
              <w:t xml:space="preserve"> maintain the relevance of </w:t>
            </w:r>
            <w:proofErr w:type="gramStart"/>
            <w:r w:rsidRPr="003050A9">
              <w:rPr>
                <w:rFonts w:cs="Arial"/>
                <w:color w:val="000000"/>
                <w:sz w:val="16"/>
                <w:szCs w:val="16"/>
              </w:rPr>
              <w:t>the</w:t>
            </w:r>
            <w:r>
              <w:rPr>
                <w:rFonts w:cs="Arial"/>
                <w:color w:val="000000"/>
                <w:sz w:val="16"/>
                <w:szCs w:val="16"/>
              </w:rPr>
              <w:t xml:space="preserve"> </w:t>
            </w:r>
            <w:r w:rsidRPr="003050A9">
              <w:rPr>
                <w:rFonts w:cs="Arial"/>
                <w:color w:val="000000"/>
                <w:sz w:val="16"/>
                <w:szCs w:val="16"/>
              </w:rPr>
              <w:t xml:space="preserve"> Manual</w:t>
            </w:r>
            <w:proofErr w:type="gramEnd"/>
            <w:r>
              <w:rPr>
                <w:rFonts w:cs="Arial"/>
                <w:color w:val="000000"/>
                <w:sz w:val="16"/>
                <w:szCs w:val="16"/>
              </w:rPr>
              <w:t xml:space="preserve"> moving forward.</w:t>
            </w:r>
          </w:p>
          <w:p w:rsidR="0063033D" w:rsidRDefault="0063033D" w:rsidP="008D1891">
            <w:pPr>
              <w:autoSpaceDE w:val="0"/>
              <w:autoSpaceDN w:val="0"/>
              <w:adjustRightInd w:val="0"/>
              <w:spacing w:before="120" w:after="120"/>
              <w:rPr>
                <w:rFonts w:cs="Arial"/>
                <w:color w:val="000000"/>
                <w:sz w:val="16"/>
                <w:szCs w:val="16"/>
              </w:rPr>
            </w:pPr>
          </w:p>
        </w:tc>
      </w:tr>
      <w:tr w:rsidR="0063033D" w:rsidRPr="00CB548E" w:rsidTr="009375B7">
        <w:trPr>
          <w:cantSplit/>
        </w:trPr>
        <w:tc>
          <w:tcPr>
            <w:tcW w:w="1981" w:type="dxa"/>
            <w:tcBorders>
              <w:top w:val="nil"/>
              <w:left w:val="single" w:sz="4" w:space="0" w:color="auto"/>
              <w:bottom w:val="nil"/>
            </w:tcBorders>
          </w:tcPr>
          <w:p w:rsidR="0063033D" w:rsidRPr="003050A9" w:rsidRDefault="0063033D" w:rsidP="008D1891">
            <w:pPr>
              <w:autoSpaceDE w:val="0"/>
              <w:autoSpaceDN w:val="0"/>
              <w:adjustRightInd w:val="0"/>
              <w:spacing w:before="120" w:after="120"/>
              <w:rPr>
                <w:rFonts w:cs="Arial"/>
                <w:color w:val="000000"/>
                <w:sz w:val="16"/>
                <w:szCs w:val="16"/>
              </w:rPr>
            </w:pPr>
            <w:r w:rsidRPr="009B0636">
              <w:rPr>
                <w:rFonts w:cs="Arial"/>
                <w:color w:val="000000"/>
                <w:sz w:val="16"/>
                <w:szCs w:val="16"/>
              </w:rPr>
              <w:t>Consultation Meeting of the Working Group on the Jurisprudence Database</w:t>
            </w:r>
          </w:p>
        </w:tc>
        <w:tc>
          <w:tcPr>
            <w:tcW w:w="1260" w:type="dxa"/>
            <w:tcBorders>
              <w:top w:val="nil"/>
              <w:bottom w:val="nil"/>
            </w:tcBorders>
          </w:tcPr>
          <w:p w:rsidR="0063033D" w:rsidRPr="003050A9"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November 27 to 28,</w:t>
            </w:r>
            <w:r w:rsidRPr="00DF6DC0">
              <w:rPr>
                <w:rFonts w:cs="Arial"/>
                <w:color w:val="000000"/>
                <w:sz w:val="16"/>
                <w:szCs w:val="16"/>
              </w:rPr>
              <w:t xml:space="preserve"> 2014</w:t>
            </w:r>
          </w:p>
        </w:tc>
        <w:tc>
          <w:tcPr>
            <w:tcW w:w="1862" w:type="dxa"/>
            <w:tcBorders>
              <w:top w:val="nil"/>
              <w:bottom w:val="nil"/>
            </w:tcBorders>
          </w:tcPr>
          <w:p w:rsidR="0063033D" w:rsidRPr="003050A9"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Mexico City/</w:t>
            </w:r>
            <w:r w:rsidRPr="00DF6DC0">
              <w:rPr>
                <w:rFonts w:cs="Arial"/>
                <w:color w:val="000000"/>
                <w:sz w:val="16"/>
                <w:szCs w:val="16"/>
              </w:rPr>
              <w:t xml:space="preserve">All </w:t>
            </w:r>
            <w:proofErr w:type="spellStart"/>
            <w:r w:rsidRPr="00DF6DC0">
              <w:rPr>
                <w:rFonts w:cs="Arial"/>
                <w:color w:val="000000"/>
                <w:sz w:val="16"/>
                <w:szCs w:val="16"/>
              </w:rPr>
              <w:t>Ibero</w:t>
            </w:r>
            <w:proofErr w:type="spellEnd"/>
            <w:r w:rsidRPr="00DF6DC0">
              <w:rPr>
                <w:rFonts w:cs="Arial"/>
                <w:color w:val="000000"/>
                <w:sz w:val="16"/>
                <w:szCs w:val="16"/>
              </w:rPr>
              <w:t>- American countries</w:t>
            </w:r>
          </w:p>
        </w:tc>
        <w:tc>
          <w:tcPr>
            <w:tcW w:w="4253" w:type="dxa"/>
            <w:tcBorders>
              <w:top w:val="nil"/>
              <w:bottom w:val="nil"/>
              <w:right w:val="single" w:sz="4" w:space="0" w:color="auto"/>
            </w:tcBorders>
          </w:tcPr>
          <w:p w:rsidR="0063033D" w:rsidRPr="003050A9"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w:t>
            </w:r>
            <w:r w:rsidRPr="009B0636">
              <w:rPr>
                <w:rFonts w:cs="Arial"/>
                <w:color w:val="000000"/>
                <w:sz w:val="16"/>
                <w:szCs w:val="16"/>
              </w:rPr>
              <w:t>o</w:t>
            </w:r>
            <w:r>
              <w:rPr>
                <w:rFonts w:cs="Arial"/>
                <w:color w:val="000000"/>
                <w:sz w:val="16"/>
                <w:szCs w:val="16"/>
              </w:rPr>
              <w:t>: (</w:t>
            </w:r>
            <w:proofErr w:type="spellStart"/>
            <w:r>
              <w:rPr>
                <w:rFonts w:cs="Arial"/>
                <w:color w:val="000000"/>
                <w:sz w:val="16"/>
                <w:szCs w:val="16"/>
              </w:rPr>
              <w:t>i</w:t>
            </w:r>
            <w:proofErr w:type="spellEnd"/>
            <w:r>
              <w:rPr>
                <w:rFonts w:cs="Arial"/>
                <w:color w:val="000000"/>
                <w:sz w:val="16"/>
                <w:szCs w:val="16"/>
              </w:rPr>
              <w:t xml:space="preserve">) </w:t>
            </w:r>
            <w:r w:rsidRPr="00BE794A">
              <w:rPr>
                <w:rFonts w:cs="Arial"/>
                <w:color w:val="000000"/>
                <w:sz w:val="16"/>
                <w:szCs w:val="16"/>
              </w:rPr>
              <w:t xml:space="preserve">discuss the legal aspects to be taken into consideration in the design of the new database, including the criteria for selecting decisions from administrative authorities and the judiciary in order to assure the quality, accessibility and usefulness of such database, </w:t>
            </w:r>
            <w:r w:rsidRPr="009B0636">
              <w:rPr>
                <w:rFonts w:cs="Arial"/>
                <w:color w:val="000000"/>
                <w:sz w:val="16"/>
                <w:szCs w:val="16"/>
              </w:rPr>
              <w:t>among other issues</w:t>
            </w:r>
            <w:r>
              <w:rPr>
                <w:rFonts w:cs="Arial"/>
                <w:color w:val="000000"/>
                <w:sz w:val="16"/>
                <w:szCs w:val="16"/>
              </w:rPr>
              <w:t>; (ii) preparation of a situation analysis and proposal for the functional design for the new system, forming the basis for the terms of reference</w:t>
            </w:r>
            <w:r w:rsidRPr="00BE22B3">
              <w:rPr>
                <w:rFonts w:cs="Arial"/>
                <w:color w:val="000000"/>
                <w:sz w:val="16"/>
                <w:szCs w:val="16"/>
              </w:rPr>
              <w:t xml:space="preserve"> (TOR) </w:t>
            </w:r>
            <w:r>
              <w:rPr>
                <w:rFonts w:cs="Arial"/>
                <w:color w:val="000000"/>
                <w:sz w:val="16"/>
                <w:szCs w:val="16"/>
              </w:rPr>
              <w:t>for an external consultant.</w:t>
            </w:r>
          </w:p>
        </w:tc>
      </w:tr>
      <w:tr w:rsidR="0063033D" w:rsidRPr="00CB548E" w:rsidTr="009375B7">
        <w:trPr>
          <w:cantSplit/>
        </w:trPr>
        <w:tc>
          <w:tcPr>
            <w:tcW w:w="1981" w:type="dxa"/>
            <w:tcBorders>
              <w:top w:val="nil"/>
              <w:left w:val="single" w:sz="4" w:space="0" w:color="auto"/>
              <w:bottom w:val="single" w:sz="4" w:space="0" w:color="auto"/>
            </w:tcBorders>
          </w:tcPr>
          <w:p w:rsidR="0063033D" w:rsidRDefault="0063033D" w:rsidP="008D1891">
            <w:pPr>
              <w:autoSpaceDE w:val="0"/>
              <w:autoSpaceDN w:val="0"/>
              <w:adjustRightInd w:val="0"/>
              <w:spacing w:before="120" w:after="120"/>
              <w:rPr>
                <w:rFonts w:cs="Arial"/>
                <w:color w:val="000000"/>
                <w:sz w:val="16"/>
                <w:szCs w:val="16"/>
              </w:rPr>
            </w:pPr>
            <w:proofErr w:type="spellStart"/>
            <w:r>
              <w:rPr>
                <w:rFonts w:cs="Arial"/>
                <w:color w:val="000000"/>
                <w:sz w:val="16"/>
                <w:szCs w:val="16"/>
              </w:rPr>
              <w:t>Ibero</w:t>
            </w:r>
            <w:proofErr w:type="spellEnd"/>
            <w:r>
              <w:rPr>
                <w:rFonts w:cs="Arial"/>
                <w:color w:val="000000"/>
                <w:sz w:val="16"/>
                <w:szCs w:val="16"/>
              </w:rPr>
              <w:t>-American IP Program (IBEPI)</w:t>
            </w:r>
          </w:p>
        </w:tc>
        <w:tc>
          <w:tcPr>
            <w:tcW w:w="1260" w:type="dxa"/>
            <w:tcBorders>
              <w:top w:val="nil"/>
              <w:bottom w:val="single" w:sz="4" w:space="0" w:color="auto"/>
            </w:tcBorders>
          </w:tcPr>
          <w:p w:rsidR="0063033D" w:rsidRPr="00DF6DC0"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Ongoing</w:t>
            </w:r>
          </w:p>
        </w:tc>
        <w:tc>
          <w:tcPr>
            <w:tcW w:w="1862" w:type="dxa"/>
            <w:tcBorders>
              <w:top w:val="nil"/>
              <w:bottom w:val="single" w:sz="4" w:space="0" w:color="auto"/>
            </w:tcBorders>
          </w:tcPr>
          <w:p w:rsidR="0063033D" w:rsidRPr="00DF6DC0" w:rsidRDefault="0063033D" w:rsidP="008D1891">
            <w:pPr>
              <w:autoSpaceDE w:val="0"/>
              <w:autoSpaceDN w:val="0"/>
              <w:adjustRightInd w:val="0"/>
              <w:spacing w:before="120" w:after="120"/>
              <w:rPr>
                <w:rFonts w:cs="Arial"/>
                <w:color w:val="000000"/>
                <w:sz w:val="16"/>
                <w:szCs w:val="16"/>
              </w:rPr>
            </w:pPr>
            <w:r w:rsidRPr="003050A9">
              <w:rPr>
                <w:rFonts w:cs="Arial"/>
                <w:color w:val="000000"/>
                <w:sz w:val="16"/>
                <w:szCs w:val="16"/>
              </w:rPr>
              <w:t xml:space="preserve">All </w:t>
            </w:r>
            <w:proofErr w:type="spellStart"/>
            <w:r w:rsidRPr="003050A9">
              <w:rPr>
                <w:rFonts w:cs="Arial"/>
                <w:color w:val="000000"/>
                <w:sz w:val="16"/>
                <w:szCs w:val="16"/>
              </w:rPr>
              <w:t>Ibero</w:t>
            </w:r>
            <w:proofErr w:type="spellEnd"/>
            <w:r w:rsidRPr="003050A9">
              <w:rPr>
                <w:rFonts w:cs="Arial"/>
                <w:color w:val="000000"/>
                <w:sz w:val="16"/>
                <w:szCs w:val="16"/>
              </w:rPr>
              <w:t>- American countries</w:t>
            </w:r>
          </w:p>
        </w:tc>
        <w:tc>
          <w:tcPr>
            <w:tcW w:w="4253" w:type="dxa"/>
            <w:tcBorders>
              <w:top w:val="nil"/>
              <w:bottom w:val="single" w:sz="4" w:space="0" w:color="auto"/>
              <w:right w:val="single" w:sz="4" w:space="0" w:color="auto"/>
            </w:tcBorders>
          </w:tcPr>
          <w:p w:rsidR="0063033D" w:rsidRPr="00BE22B3"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To </w:t>
            </w:r>
            <w:r w:rsidRPr="003050A9">
              <w:rPr>
                <w:rFonts w:cs="Arial"/>
                <w:color w:val="000000"/>
                <w:sz w:val="16"/>
                <w:szCs w:val="16"/>
              </w:rPr>
              <w:t xml:space="preserve">promote the social and economic development in the region in the framework of the Summit of Heads of States and Governments from </w:t>
            </w:r>
            <w:proofErr w:type="spellStart"/>
            <w:r w:rsidRPr="003050A9">
              <w:rPr>
                <w:rFonts w:cs="Arial"/>
                <w:color w:val="000000"/>
                <w:sz w:val="16"/>
                <w:szCs w:val="16"/>
              </w:rPr>
              <w:t>Ibero</w:t>
            </w:r>
            <w:proofErr w:type="spellEnd"/>
            <w:r>
              <w:rPr>
                <w:rFonts w:cs="Arial"/>
                <w:color w:val="000000"/>
                <w:sz w:val="16"/>
                <w:szCs w:val="16"/>
              </w:rPr>
              <w:t>-A</w:t>
            </w:r>
            <w:r w:rsidRPr="003050A9">
              <w:rPr>
                <w:rFonts w:cs="Arial"/>
                <w:color w:val="000000"/>
                <w:sz w:val="16"/>
                <w:szCs w:val="16"/>
              </w:rPr>
              <w:t>merican countries.</w:t>
            </w:r>
          </w:p>
        </w:tc>
      </w:tr>
    </w:tbl>
    <w:p w:rsidR="009375B7" w:rsidRDefault="009375B7">
      <w:r>
        <w:br w:type="page"/>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1"/>
        <w:gridCol w:w="1260"/>
        <w:gridCol w:w="1862"/>
        <w:gridCol w:w="4253"/>
      </w:tblGrid>
      <w:tr w:rsidR="009375B7" w:rsidRPr="00CB548E" w:rsidTr="009375B7">
        <w:trPr>
          <w:cantSplit/>
        </w:trPr>
        <w:tc>
          <w:tcPr>
            <w:tcW w:w="1981" w:type="dxa"/>
            <w:tcBorders>
              <w:top w:val="single" w:sz="4" w:space="0" w:color="auto"/>
              <w:left w:val="single" w:sz="4" w:space="0" w:color="auto"/>
              <w:bottom w:val="nil"/>
            </w:tcBorders>
            <w:vAlign w:val="center"/>
          </w:tcPr>
          <w:p w:rsidR="009375B7" w:rsidRPr="002B7DE5" w:rsidRDefault="009375B7" w:rsidP="008D1891">
            <w:pPr>
              <w:rPr>
                <w:rFonts w:cs="Arial"/>
                <w:b/>
                <w:bCs/>
                <w:sz w:val="16"/>
                <w:szCs w:val="16"/>
              </w:rPr>
            </w:pPr>
            <w:r w:rsidRPr="002B7DE5">
              <w:rPr>
                <w:rFonts w:cs="Arial"/>
                <w:b/>
                <w:bCs/>
                <w:sz w:val="16"/>
                <w:szCs w:val="16"/>
              </w:rPr>
              <w:lastRenderedPageBreak/>
              <w:t>Activity</w:t>
            </w:r>
          </w:p>
        </w:tc>
        <w:tc>
          <w:tcPr>
            <w:tcW w:w="1260" w:type="dxa"/>
            <w:tcBorders>
              <w:top w:val="single" w:sz="4" w:space="0" w:color="auto"/>
              <w:bottom w:val="nil"/>
            </w:tcBorders>
            <w:vAlign w:val="center"/>
          </w:tcPr>
          <w:p w:rsidR="009375B7" w:rsidRPr="002B7DE5" w:rsidRDefault="009375B7" w:rsidP="008D1891">
            <w:pPr>
              <w:keepNext/>
              <w:keepLines/>
              <w:rPr>
                <w:rFonts w:cs="Arial"/>
                <w:sz w:val="16"/>
                <w:szCs w:val="16"/>
              </w:rPr>
            </w:pPr>
            <w:r w:rsidRPr="002B7DE5">
              <w:rPr>
                <w:rFonts w:cs="Arial"/>
                <w:b/>
                <w:bCs/>
                <w:sz w:val="16"/>
                <w:szCs w:val="16"/>
              </w:rPr>
              <w:t>Date</w:t>
            </w:r>
          </w:p>
        </w:tc>
        <w:tc>
          <w:tcPr>
            <w:tcW w:w="1862" w:type="dxa"/>
            <w:tcBorders>
              <w:top w:val="single" w:sz="4" w:space="0" w:color="auto"/>
              <w:bottom w:val="nil"/>
            </w:tcBorders>
            <w:vAlign w:val="center"/>
          </w:tcPr>
          <w:p w:rsidR="009375B7" w:rsidRPr="002B7DE5" w:rsidRDefault="009375B7" w:rsidP="008D1891">
            <w:pPr>
              <w:keepNext/>
              <w:keepLines/>
              <w:rPr>
                <w:rFonts w:cs="Arial"/>
                <w:sz w:val="16"/>
                <w:szCs w:val="16"/>
              </w:rPr>
            </w:pPr>
            <w:r w:rsidRPr="002B7DE5">
              <w:rPr>
                <w:rFonts w:cs="Arial"/>
                <w:b/>
                <w:bCs/>
                <w:sz w:val="16"/>
                <w:szCs w:val="16"/>
              </w:rPr>
              <w:t>Host Country/</w:t>
            </w:r>
            <w:r w:rsidRPr="002B7DE5">
              <w:rPr>
                <w:rFonts w:cs="Arial"/>
                <w:b/>
                <w:bCs/>
                <w:sz w:val="16"/>
                <w:szCs w:val="16"/>
              </w:rPr>
              <w:br/>
              <w:t>Recipients</w:t>
            </w:r>
          </w:p>
        </w:tc>
        <w:tc>
          <w:tcPr>
            <w:tcW w:w="4253" w:type="dxa"/>
            <w:tcBorders>
              <w:top w:val="single" w:sz="4" w:space="0" w:color="auto"/>
              <w:bottom w:val="nil"/>
              <w:right w:val="single" w:sz="4" w:space="0" w:color="auto"/>
            </w:tcBorders>
            <w:vAlign w:val="center"/>
          </w:tcPr>
          <w:p w:rsidR="009375B7" w:rsidRPr="002B7DE5" w:rsidRDefault="009375B7" w:rsidP="008D1891">
            <w:pPr>
              <w:keepNext/>
              <w:keepLines/>
              <w:rPr>
                <w:rFonts w:cs="Arial"/>
                <w:sz w:val="16"/>
                <w:szCs w:val="16"/>
              </w:rPr>
            </w:pPr>
            <w:r w:rsidRPr="002B7DE5">
              <w:rPr>
                <w:rFonts w:cs="Arial"/>
                <w:b/>
                <w:bCs/>
                <w:sz w:val="16"/>
                <w:szCs w:val="16"/>
              </w:rPr>
              <w:t>Purpose(s)/Description(s)</w:t>
            </w:r>
          </w:p>
        </w:tc>
      </w:tr>
      <w:tr w:rsidR="0063033D" w:rsidRPr="00CB548E" w:rsidTr="008D1891">
        <w:trPr>
          <w:cantSplit/>
        </w:trPr>
        <w:tc>
          <w:tcPr>
            <w:tcW w:w="1981" w:type="dxa"/>
            <w:tcBorders>
              <w:top w:val="nil"/>
              <w:left w:val="single" w:sz="4" w:space="0" w:color="auto"/>
              <w:bottom w:val="nil"/>
            </w:tcBorders>
          </w:tcPr>
          <w:p w:rsidR="0063033D" w:rsidRDefault="0063033D" w:rsidP="008D1891">
            <w:pPr>
              <w:keepNext/>
              <w:keepLines/>
              <w:autoSpaceDE w:val="0"/>
              <w:autoSpaceDN w:val="0"/>
              <w:adjustRightInd w:val="0"/>
              <w:spacing w:before="120" w:after="120"/>
              <w:rPr>
                <w:rFonts w:cs="Arial"/>
                <w:color w:val="000000"/>
                <w:sz w:val="16"/>
                <w:szCs w:val="16"/>
              </w:rPr>
            </w:pPr>
            <w:r w:rsidRPr="003050A9">
              <w:rPr>
                <w:rFonts w:cs="Arial"/>
                <w:color w:val="000000"/>
                <w:sz w:val="16"/>
                <w:szCs w:val="16"/>
              </w:rPr>
              <w:t>Regional Meeting</w:t>
            </w:r>
            <w:r>
              <w:rPr>
                <w:rFonts w:cs="Arial"/>
                <w:color w:val="000000"/>
                <w:sz w:val="16"/>
                <w:szCs w:val="16"/>
              </w:rPr>
              <w:t>s</w:t>
            </w:r>
            <w:r w:rsidRPr="003050A9">
              <w:rPr>
                <w:rFonts w:cs="Arial"/>
                <w:color w:val="000000"/>
                <w:sz w:val="16"/>
                <w:szCs w:val="16"/>
              </w:rPr>
              <w:t xml:space="preserve"> of </w:t>
            </w:r>
            <w:r>
              <w:rPr>
                <w:rFonts w:cs="Arial"/>
                <w:color w:val="000000"/>
                <w:sz w:val="16"/>
                <w:szCs w:val="16"/>
              </w:rPr>
              <w:t>IBEPI Program</w:t>
            </w:r>
          </w:p>
          <w:p w:rsidR="0063033D" w:rsidRPr="003050A9" w:rsidRDefault="0063033D" w:rsidP="008D1891">
            <w:pPr>
              <w:keepNext/>
              <w:keepLines/>
              <w:autoSpaceDE w:val="0"/>
              <w:autoSpaceDN w:val="0"/>
              <w:adjustRightInd w:val="0"/>
              <w:spacing w:before="120" w:after="120"/>
              <w:rPr>
                <w:rFonts w:cs="Arial"/>
                <w:b/>
                <w:color w:val="000000"/>
                <w:sz w:val="16"/>
                <w:szCs w:val="16"/>
              </w:rPr>
            </w:pPr>
          </w:p>
        </w:tc>
        <w:tc>
          <w:tcPr>
            <w:tcW w:w="1260" w:type="dxa"/>
            <w:tcBorders>
              <w:top w:val="nil"/>
              <w:bottom w:val="nil"/>
            </w:tcBorders>
          </w:tcPr>
          <w:p w:rsidR="0063033D" w:rsidRDefault="0063033D" w:rsidP="008D1891">
            <w:pPr>
              <w:keepNext/>
              <w:keepLines/>
              <w:autoSpaceDE w:val="0"/>
              <w:autoSpaceDN w:val="0"/>
              <w:adjustRightInd w:val="0"/>
              <w:spacing w:before="120" w:after="120"/>
              <w:rPr>
                <w:rFonts w:cs="Arial"/>
                <w:color w:val="000000"/>
                <w:sz w:val="16"/>
                <w:szCs w:val="16"/>
              </w:rPr>
            </w:pPr>
            <w:r>
              <w:rPr>
                <w:rFonts w:cs="Arial"/>
                <w:color w:val="000000"/>
                <w:sz w:val="16"/>
                <w:szCs w:val="16"/>
              </w:rPr>
              <w:t>July 2014</w:t>
            </w:r>
          </w:p>
          <w:p w:rsidR="0063033D" w:rsidRDefault="0063033D" w:rsidP="008D1891">
            <w:pPr>
              <w:keepNext/>
              <w:keepLines/>
              <w:autoSpaceDE w:val="0"/>
              <w:autoSpaceDN w:val="0"/>
              <w:adjustRightInd w:val="0"/>
              <w:spacing w:before="120" w:after="120"/>
              <w:rPr>
                <w:rFonts w:cs="Arial"/>
                <w:color w:val="000000"/>
                <w:sz w:val="16"/>
                <w:szCs w:val="16"/>
              </w:rPr>
            </w:pPr>
          </w:p>
        </w:tc>
        <w:tc>
          <w:tcPr>
            <w:tcW w:w="1862" w:type="dxa"/>
            <w:tcBorders>
              <w:top w:val="nil"/>
              <w:bottom w:val="nil"/>
            </w:tcBorders>
          </w:tcPr>
          <w:p w:rsidR="0063033D" w:rsidRDefault="0063033D" w:rsidP="008D1891">
            <w:pPr>
              <w:keepNext/>
              <w:keepLines/>
              <w:autoSpaceDE w:val="0"/>
              <w:autoSpaceDN w:val="0"/>
              <w:adjustRightInd w:val="0"/>
              <w:spacing w:before="120" w:after="120"/>
              <w:rPr>
                <w:rFonts w:cs="Arial"/>
                <w:color w:val="000000"/>
                <w:sz w:val="16"/>
                <w:szCs w:val="16"/>
              </w:rPr>
            </w:pPr>
            <w:r>
              <w:rPr>
                <w:rFonts w:cs="Arial"/>
                <w:color w:val="000000"/>
                <w:sz w:val="16"/>
                <w:szCs w:val="16"/>
              </w:rPr>
              <w:t>Ecuador/</w:t>
            </w:r>
            <w:r w:rsidRPr="003050A9">
              <w:rPr>
                <w:rFonts w:cs="Arial"/>
                <w:color w:val="000000"/>
                <w:sz w:val="16"/>
                <w:szCs w:val="16"/>
              </w:rPr>
              <w:t xml:space="preserve">All </w:t>
            </w:r>
            <w:proofErr w:type="spellStart"/>
            <w:r w:rsidRPr="003050A9">
              <w:rPr>
                <w:rFonts w:cs="Arial"/>
                <w:color w:val="000000"/>
                <w:sz w:val="16"/>
                <w:szCs w:val="16"/>
              </w:rPr>
              <w:t>Ibero</w:t>
            </w:r>
            <w:proofErr w:type="spellEnd"/>
            <w:r w:rsidRPr="003050A9">
              <w:rPr>
                <w:rFonts w:cs="Arial"/>
                <w:color w:val="000000"/>
                <w:sz w:val="16"/>
                <w:szCs w:val="16"/>
              </w:rPr>
              <w:t>- American countries</w:t>
            </w:r>
          </w:p>
          <w:p w:rsidR="0063033D" w:rsidRPr="003050A9" w:rsidRDefault="0063033D" w:rsidP="008D1891">
            <w:pPr>
              <w:keepNext/>
              <w:keepLines/>
              <w:autoSpaceDE w:val="0"/>
              <w:autoSpaceDN w:val="0"/>
              <w:adjustRightInd w:val="0"/>
              <w:spacing w:before="120" w:after="120"/>
              <w:rPr>
                <w:rFonts w:cs="Arial"/>
                <w:color w:val="000000"/>
                <w:sz w:val="16"/>
                <w:szCs w:val="16"/>
              </w:rPr>
            </w:pPr>
          </w:p>
        </w:tc>
        <w:tc>
          <w:tcPr>
            <w:tcW w:w="4253" w:type="dxa"/>
            <w:tcBorders>
              <w:top w:val="nil"/>
              <w:bottom w:val="nil"/>
              <w:right w:val="single" w:sz="4" w:space="0" w:color="auto"/>
            </w:tcBorders>
          </w:tcPr>
          <w:p w:rsidR="0063033D" w:rsidRDefault="0063033D" w:rsidP="008D1891">
            <w:pPr>
              <w:keepNext/>
              <w:keepLines/>
              <w:autoSpaceDE w:val="0"/>
              <w:autoSpaceDN w:val="0"/>
              <w:adjustRightInd w:val="0"/>
              <w:spacing w:before="120" w:after="120"/>
              <w:rPr>
                <w:rFonts w:cs="Arial"/>
                <w:color w:val="000000"/>
                <w:sz w:val="16"/>
                <w:szCs w:val="16"/>
              </w:rPr>
            </w:pPr>
            <w:r>
              <w:rPr>
                <w:rFonts w:cs="Arial"/>
                <w:color w:val="000000"/>
                <w:sz w:val="16"/>
                <w:szCs w:val="16"/>
              </w:rPr>
              <w:t>To: (</w:t>
            </w:r>
            <w:proofErr w:type="spellStart"/>
            <w:r>
              <w:rPr>
                <w:rFonts w:cs="Arial"/>
                <w:color w:val="000000"/>
                <w:sz w:val="16"/>
                <w:szCs w:val="16"/>
              </w:rPr>
              <w:t>i</w:t>
            </w:r>
            <w:proofErr w:type="spellEnd"/>
            <w:r>
              <w:rPr>
                <w:rFonts w:cs="Arial"/>
                <w:color w:val="000000"/>
                <w:sz w:val="16"/>
                <w:szCs w:val="16"/>
              </w:rPr>
              <w:t>)</w:t>
            </w:r>
            <w:r w:rsidRPr="00BE22B3">
              <w:rPr>
                <w:rFonts w:cs="Arial"/>
                <w:color w:val="000000"/>
                <w:sz w:val="16"/>
                <w:szCs w:val="16"/>
              </w:rPr>
              <w:t xml:space="preserve"> conduct a </w:t>
            </w:r>
            <w:r>
              <w:rPr>
                <w:rFonts w:cs="Arial"/>
                <w:color w:val="000000"/>
                <w:sz w:val="16"/>
                <w:szCs w:val="16"/>
              </w:rPr>
              <w:t xml:space="preserve">meeting of the </w:t>
            </w:r>
            <w:r w:rsidRPr="00BE22B3">
              <w:rPr>
                <w:rFonts w:cs="Arial"/>
                <w:color w:val="000000"/>
                <w:sz w:val="16"/>
                <w:szCs w:val="16"/>
              </w:rPr>
              <w:t xml:space="preserve">Information Technology Committee with the purpose </w:t>
            </w:r>
            <w:r>
              <w:rPr>
                <w:rFonts w:cs="Arial"/>
                <w:color w:val="000000"/>
                <w:sz w:val="16"/>
                <w:szCs w:val="16"/>
              </w:rPr>
              <w:t>of</w:t>
            </w:r>
            <w:r w:rsidRPr="00BE22B3">
              <w:rPr>
                <w:rFonts w:cs="Arial"/>
                <w:color w:val="000000"/>
                <w:sz w:val="16"/>
                <w:szCs w:val="16"/>
              </w:rPr>
              <w:t xml:space="preserve"> advanc</w:t>
            </w:r>
            <w:r>
              <w:rPr>
                <w:rFonts w:cs="Arial"/>
                <w:color w:val="000000"/>
                <w:sz w:val="16"/>
                <w:szCs w:val="16"/>
              </w:rPr>
              <w:t>ing</w:t>
            </w:r>
            <w:r w:rsidRPr="00BE22B3">
              <w:rPr>
                <w:rFonts w:cs="Arial"/>
                <w:color w:val="000000"/>
                <w:sz w:val="16"/>
                <w:szCs w:val="16"/>
              </w:rPr>
              <w:t xml:space="preserve"> consult</w:t>
            </w:r>
            <w:r>
              <w:rPr>
                <w:rFonts w:cs="Arial"/>
                <w:color w:val="000000"/>
                <w:sz w:val="16"/>
                <w:szCs w:val="16"/>
              </w:rPr>
              <w:t xml:space="preserve">ation process </w:t>
            </w:r>
            <w:r w:rsidRPr="00BE22B3">
              <w:rPr>
                <w:rFonts w:cs="Arial"/>
                <w:color w:val="000000"/>
                <w:sz w:val="16"/>
                <w:szCs w:val="16"/>
              </w:rPr>
              <w:t>o</w:t>
            </w:r>
            <w:r>
              <w:rPr>
                <w:rFonts w:cs="Arial"/>
                <w:color w:val="000000"/>
                <w:sz w:val="16"/>
                <w:szCs w:val="16"/>
              </w:rPr>
              <w:t>n</w:t>
            </w:r>
            <w:r w:rsidRPr="00BE22B3">
              <w:rPr>
                <w:rFonts w:cs="Arial"/>
                <w:color w:val="000000"/>
                <w:sz w:val="16"/>
                <w:szCs w:val="16"/>
              </w:rPr>
              <w:t xml:space="preserve"> the </w:t>
            </w:r>
            <w:r>
              <w:rPr>
                <w:rFonts w:cs="Arial"/>
                <w:color w:val="000000"/>
                <w:sz w:val="16"/>
                <w:szCs w:val="16"/>
              </w:rPr>
              <w:t>IBEPI</w:t>
            </w:r>
            <w:r w:rsidRPr="00BE22B3">
              <w:rPr>
                <w:rFonts w:cs="Arial"/>
                <w:color w:val="000000"/>
                <w:sz w:val="16"/>
                <w:szCs w:val="16"/>
              </w:rPr>
              <w:t xml:space="preserve"> Program,</w:t>
            </w:r>
            <w:r>
              <w:rPr>
                <w:rFonts w:cs="Arial"/>
                <w:color w:val="000000"/>
                <w:sz w:val="16"/>
                <w:szCs w:val="16"/>
              </w:rPr>
              <w:t xml:space="preserve"> Component Number 2,</w:t>
            </w:r>
            <w:r w:rsidRPr="00BE22B3">
              <w:rPr>
                <w:rFonts w:cs="Arial"/>
                <w:color w:val="000000"/>
                <w:sz w:val="16"/>
                <w:szCs w:val="16"/>
              </w:rPr>
              <w:t xml:space="preserve"> i</w:t>
            </w:r>
            <w:r>
              <w:rPr>
                <w:rFonts w:cs="Arial"/>
                <w:color w:val="000000"/>
                <w:sz w:val="16"/>
                <w:szCs w:val="16"/>
              </w:rPr>
              <w:t>.</w:t>
            </w:r>
            <w:r w:rsidRPr="00BE22B3">
              <w:rPr>
                <w:rFonts w:cs="Arial"/>
                <w:color w:val="000000"/>
                <w:sz w:val="16"/>
                <w:szCs w:val="16"/>
              </w:rPr>
              <w:t>e</w:t>
            </w:r>
            <w:r>
              <w:rPr>
                <w:rFonts w:cs="Arial"/>
                <w:color w:val="000000"/>
                <w:sz w:val="16"/>
                <w:szCs w:val="16"/>
              </w:rPr>
              <w:t>.</w:t>
            </w:r>
            <w:r w:rsidRPr="00BE22B3">
              <w:rPr>
                <w:rFonts w:cs="Arial"/>
                <w:color w:val="000000"/>
                <w:sz w:val="16"/>
                <w:szCs w:val="16"/>
              </w:rPr>
              <w:t xml:space="preserve"> the design of a technological cooperation system</w:t>
            </w:r>
            <w:r>
              <w:rPr>
                <w:rFonts w:cs="Arial"/>
                <w:color w:val="000000"/>
                <w:sz w:val="16"/>
                <w:szCs w:val="16"/>
              </w:rPr>
              <w:t>;  and (ii)</w:t>
            </w:r>
            <w:r w:rsidRPr="00BE22B3">
              <w:rPr>
                <w:rFonts w:cs="Arial"/>
                <w:color w:val="000000"/>
                <w:sz w:val="16"/>
                <w:szCs w:val="16"/>
              </w:rPr>
              <w:t xml:space="preserve"> analyze the situation of </w:t>
            </w:r>
            <w:r>
              <w:rPr>
                <w:rFonts w:cs="Arial"/>
                <w:color w:val="000000"/>
                <w:sz w:val="16"/>
                <w:szCs w:val="16"/>
              </w:rPr>
              <w:t>IPOs</w:t>
            </w:r>
            <w:r w:rsidRPr="00BE22B3">
              <w:rPr>
                <w:rFonts w:cs="Arial"/>
                <w:color w:val="000000"/>
                <w:sz w:val="16"/>
                <w:szCs w:val="16"/>
              </w:rPr>
              <w:t xml:space="preserve"> </w:t>
            </w:r>
            <w:r>
              <w:rPr>
                <w:rFonts w:cs="Arial"/>
                <w:color w:val="000000"/>
                <w:sz w:val="16"/>
                <w:szCs w:val="16"/>
              </w:rPr>
              <w:t>in order to</w:t>
            </w:r>
            <w:r w:rsidRPr="00BE22B3">
              <w:rPr>
                <w:rFonts w:cs="Arial"/>
                <w:color w:val="000000"/>
                <w:sz w:val="16"/>
                <w:szCs w:val="16"/>
              </w:rPr>
              <w:t xml:space="preserve"> propose actions to reduce asymmetries related to quality management in information technology </w:t>
            </w:r>
            <w:r>
              <w:rPr>
                <w:rFonts w:cs="Arial"/>
                <w:color w:val="000000"/>
                <w:sz w:val="16"/>
                <w:szCs w:val="16"/>
              </w:rPr>
              <w:t>a</w:t>
            </w:r>
            <w:r w:rsidRPr="00BE22B3">
              <w:rPr>
                <w:rFonts w:cs="Arial"/>
                <w:color w:val="000000"/>
                <w:sz w:val="16"/>
                <w:szCs w:val="16"/>
              </w:rPr>
              <w:t>mong IPOs.</w:t>
            </w:r>
          </w:p>
        </w:tc>
      </w:tr>
      <w:tr w:rsidR="0063033D" w:rsidRPr="00CB548E" w:rsidTr="008D1891">
        <w:trPr>
          <w:cantSplit/>
        </w:trPr>
        <w:tc>
          <w:tcPr>
            <w:tcW w:w="1981" w:type="dxa"/>
            <w:tcBorders>
              <w:top w:val="nil"/>
              <w:left w:val="single" w:sz="4" w:space="0" w:color="auto"/>
              <w:bottom w:val="single" w:sz="4" w:space="0" w:color="auto"/>
            </w:tcBorders>
          </w:tcPr>
          <w:p w:rsidR="0063033D" w:rsidRPr="003050A9" w:rsidRDefault="0063033D" w:rsidP="008D1891">
            <w:pPr>
              <w:autoSpaceDE w:val="0"/>
              <w:autoSpaceDN w:val="0"/>
              <w:adjustRightInd w:val="0"/>
              <w:spacing w:before="120" w:after="120"/>
              <w:rPr>
                <w:rFonts w:cs="Arial"/>
                <w:color w:val="000000"/>
                <w:sz w:val="16"/>
                <w:szCs w:val="16"/>
              </w:rPr>
            </w:pPr>
            <w:r w:rsidRPr="003050A9">
              <w:rPr>
                <w:rFonts w:cs="Arial"/>
                <w:color w:val="000000"/>
                <w:sz w:val="16"/>
                <w:szCs w:val="16"/>
              </w:rPr>
              <w:t>Meeting of</w:t>
            </w:r>
            <w:r>
              <w:rPr>
                <w:rFonts w:cs="Arial"/>
                <w:color w:val="000000"/>
                <w:sz w:val="16"/>
                <w:szCs w:val="16"/>
              </w:rPr>
              <w:t xml:space="preserve"> </w:t>
            </w:r>
            <w:proofErr w:type="spellStart"/>
            <w:r>
              <w:rPr>
                <w:rFonts w:cs="Arial"/>
                <w:color w:val="000000"/>
                <w:sz w:val="16"/>
                <w:szCs w:val="16"/>
              </w:rPr>
              <w:t>Ibero</w:t>
            </w:r>
            <w:proofErr w:type="spellEnd"/>
            <w:r>
              <w:rPr>
                <w:rFonts w:cs="Arial"/>
                <w:color w:val="000000"/>
                <w:sz w:val="16"/>
                <w:szCs w:val="16"/>
              </w:rPr>
              <w:t>-American countries during the WIPO Assemblies 2014 to review the work of the</w:t>
            </w:r>
            <w:r w:rsidRPr="003050A9">
              <w:rPr>
                <w:rFonts w:cs="Arial"/>
                <w:color w:val="000000"/>
                <w:sz w:val="16"/>
                <w:szCs w:val="16"/>
              </w:rPr>
              <w:t xml:space="preserve"> </w:t>
            </w:r>
            <w:r>
              <w:rPr>
                <w:rFonts w:cs="Arial"/>
                <w:color w:val="000000"/>
                <w:sz w:val="16"/>
                <w:szCs w:val="16"/>
              </w:rPr>
              <w:t>IBEPI Program</w:t>
            </w:r>
          </w:p>
        </w:tc>
        <w:tc>
          <w:tcPr>
            <w:tcW w:w="1260" w:type="dxa"/>
            <w:tcBorders>
              <w:top w:val="nil"/>
              <w:bottom w:val="single" w:sz="4" w:space="0" w:color="auto"/>
            </w:tcBorders>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September 2014</w:t>
            </w:r>
          </w:p>
        </w:tc>
        <w:tc>
          <w:tcPr>
            <w:tcW w:w="1862" w:type="dxa"/>
            <w:tcBorders>
              <w:top w:val="nil"/>
              <w:bottom w:val="single" w:sz="4" w:space="0" w:color="auto"/>
            </w:tcBorders>
          </w:tcPr>
          <w:p w:rsidR="0063033D" w:rsidRPr="003050A9"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Switzerland/All </w:t>
            </w:r>
            <w:proofErr w:type="spellStart"/>
            <w:r>
              <w:rPr>
                <w:rFonts w:cs="Arial"/>
                <w:color w:val="000000"/>
                <w:sz w:val="16"/>
                <w:szCs w:val="16"/>
              </w:rPr>
              <w:t>Ibero</w:t>
            </w:r>
            <w:proofErr w:type="spellEnd"/>
            <w:r>
              <w:rPr>
                <w:rFonts w:cs="Arial"/>
                <w:color w:val="000000"/>
                <w:sz w:val="16"/>
                <w:szCs w:val="16"/>
              </w:rPr>
              <w:t>- American countries</w:t>
            </w:r>
          </w:p>
        </w:tc>
        <w:tc>
          <w:tcPr>
            <w:tcW w:w="4253" w:type="dxa"/>
            <w:tcBorders>
              <w:top w:val="nil"/>
              <w:bottom w:val="single" w:sz="4" w:space="0" w:color="auto"/>
              <w:right w:val="single" w:sz="4" w:space="0" w:color="auto"/>
            </w:tcBorders>
          </w:tcPr>
          <w:p w:rsidR="0063033D" w:rsidRPr="00BE22B3"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To</w:t>
            </w:r>
            <w:r w:rsidRPr="00BE22B3">
              <w:rPr>
                <w:rFonts w:cs="Arial"/>
                <w:color w:val="000000"/>
                <w:sz w:val="16"/>
                <w:szCs w:val="16"/>
              </w:rPr>
              <w:t xml:space="preserve"> follow-up</w:t>
            </w:r>
            <w:r>
              <w:rPr>
                <w:rFonts w:cs="Arial"/>
                <w:color w:val="000000"/>
                <w:sz w:val="16"/>
                <w:szCs w:val="16"/>
              </w:rPr>
              <w:t xml:space="preserve"> on</w:t>
            </w:r>
            <w:r w:rsidRPr="00BE22B3">
              <w:rPr>
                <w:rFonts w:cs="Arial"/>
                <w:color w:val="000000"/>
                <w:sz w:val="16"/>
                <w:szCs w:val="16"/>
              </w:rPr>
              <w:t xml:space="preserve"> the </w:t>
            </w:r>
            <w:r>
              <w:rPr>
                <w:rFonts w:cs="Arial"/>
                <w:color w:val="000000"/>
                <w:sz w:val="16"/>
                <w:szCs w:val="16"/>
              </w:rPr>
              <w:t>IBEPI</w:t>
            </w:r>
            <w:r w:rsidRPr="00BE22B3">
              <w:rPr>
                <w:rFonts w:cs="Arial"/>
                <w:color w:val="000000"/>
                <w:sz w:val="16"/>
                <w:szCs w:val="16"/>
              </w:rPr>
              <w:t xml:space="preserve"> Program</w:t>
            </w:r>
            <w:r>
              <w:rPr>
                <w:rFonts w:cs="Arial"/>
                <w:color w:val="000000"/>
                <w:sz w:val="16"/>
                <w:szCs w:val="16"/>
              </w:rPr>
              <w:t xml:space="preserve"> with a view to ensuring </w:t>
            </w:r>
            <w:proofErr w:type="gramStart"/>
            <w:r>
              <w:rPr>
                <w:rFonts w:cs="Arial"/>
                <w:color w:val="000000"/>
                <w:sz w:val="16"/>
                <w:szCs w:val="16"/>
              </w:rPr>
              <w:t>its</w:t>
            </w:r>
            <w:proofErr w:type="gramEnd"/>
            <w:r>
              <w:rPr>
                <w:rFonts w:cs="Arial"/>
                <w:color w:val="000000"/>
                <w:sz w:val="16"/>
                <w:szCs w:val="16"/>
              </w:rPr>
              <w:t xml:space="preserve"> effective and efficient implementation</w:t>
            </w:r>
            <w:r w:rsidRPr="00BE22B3">
              <w:rPr>
                <w:rFonts w:cs="Arial"/>
                <w:color w:val="000000"/>
                <w:sz w:val="16"/>
                <w:szCs w:val="16"/>
              </w:rPr>
              <w:t>.</w:t>
            </w:r>
          </w:p>
        </w:tc>
      </w:tr>
      <w:tr w:rsidR="0063033D" w:rsidRPr="00CB548E" w:rsidTr="008D1891">
        <w:trPr>
          <w:cantSplit/>
        </w:trPr>
        <w:tc>
          <w:tcPr>
            <w:tcW w:w="9356" w:type="dxa"/>
            <w:gridSpan w:val="4"/>
            <w:tcBorders>
              <w:top w:val="single" w:sz="4" w:space="0" w:color="auto"/>
              <w:bottom w:val="single" w:sz="4" w:space="0" w:color="auto"/>
            </w:tcBorders>
            <w:shd w:val="clear" w:color="auto" w:fill="CCFFFF"/>
            <w:vAlign w:val="center"/>
          </w:tcPr>
          <w:p w:rsidR="0063033D" w:rsidRPr="00CB548E" w:rsidRDefault="0063033D" w:rsidP="008D1891">
            <w:pPr>
              <w:keepNext/>
              <w:keepLines/>
              <w:tabs>
                <w:tab w:val="left" w:pos="1740"/>
              </w:tabs>
              <w:spacing w:before="120" w:after="120"/>
              <w:ind w:left="1740" w:hanging="1740"/>
              <w:rPr>
                <w:rFonts w:cs="Arial"/>
                <w:b/>
                <w:bCs/>
                <w:sz w:val="16"/>
                <w:szCs w:val="16"/>
              </w:rPr>
            </w:pPr>
            <w:r w:rsidRPr="00CB548E">
              <w:rPr>
                <w:rFonts w:cs="Arial"/>
                <w:b/>
                <w:bCs/>
                <w:color w:val="000000"/>
                <w:sz w:val="16"/>
                <w:szCs w:val="16"/>
              </w:rPr>
              <w:t>RESULT</w:t>
            </w:r>
            <w:r w:rsidRPr="00CB548E">
              <w:rPr>
                <w:rFonts w:cs="Arial"/>
                <w:b/>
                <w:bCs/>
                <w:sz w:val="16"/>
                <w:szCs w:val="16"/>
              </w:rPr>
              <w:t>:</w:t>
            </w:r>
            <w:r w:rsidRPr="00CB548E">
              <w:rPr>
                <w:rFonts w:cs="Arial"/>
                <w:b/>
                <w:bCs/>
                <w:sz w:val="16"/>
                <w:szCs w:val="16"/>
              </w:rPr>
              <w:tab/>
            </w:r>
            <w:r w:rsidRPr="008230D2">
              <w:rPr>
                <w:rFonts w:cs="Arial"/>
                <w:bCs/>
                <w:color w:val="000000"/>
                <w:sz w:val="16"/>
                <w:szCs w:val="16"/>
              </w:rPr>
              <w:t>IV.4. Enhanced technical and knowledge infrastructure for IP Offices and other IP institutions leading to better services (cheaper, faster, higher quality) to their stakeholders</w:t>
            </w:r>
          </w:p>
        </w:tc>
      </w:tr>
      <w:tr w:rsidR="0063033D" w:rsidRPr="00CB548E" w:rsidTr="008D1891">
        <w:trPr>
          <w:cantSplit/>
        </w:trPr>
        <w:tc>
          <w:tcPr>
            <w:tcW w:w="1981" w:type="dxa"/>
            <w:tcBorders>
              <w:top w:val="single" w:sz="4" w:space="0" w:color="auto"/>
            </w:tcBorders>
            <w:vAlign w:val="center"/>
          </w:tcPr>
          <w:p w:rsidR="0063033D" w:rsidRPr="00CB548E" w:rsidRDefault="0063033D" w:rsidP="008D1891">
            <w:pPr>
              <w:keepNext/>
              <w:keepLines/>
              <w:rPr>
                <w:rFonts w:cs="Arial"/>
                <w:b/>
                <w:bCs/>
                <w:sz w:val="16"/>
                <w:szCs w:val="16"/>
              </w:rPr>
            </w:pPr>
            <w:r w:rsidRPr="00CB548E">
              <w:rPr>
                <w:rFonts w:cs="Arial"/>
                <w:b/>
                <w:bCs/>
                <w:sz w:val="16"/>
                <w:szCs w:val="16"/>
              </w:rPr>
              <w:t>Activity</w:t>
            </w:r>
          </w:p>
        </w:tc>
        <w:tc>
          <w:tcPr>
            <w:tcW w:w="1260" w:type="dxa"/>
            <w:tcBorders>
              <w:top w:val="single" w:sz="4" w:space="0" w:color="auto"/>
            </w:tcBorders>
            <w:shd w:val="clear" w:color="auto" w:fill="auto"/>
            <w:tcMar>
              <w:top w:w="110" w:type="dxa"/>
            </w:tcMar>
            <w:vAlign w:val="center"/>
          </w:tcPr>
          <w:p w:rsidR="0063033D" w:rsidRPr="00CB548E" w:rsidRDefault="0063033D" w:rsidP="008D1891">
            <w:pPr>
              <w:keepNext/>
              <w:keepLines/>
              <w:rPr>
                <w:rFonts w:cs="Arial"/>
                <w:sz w:val="16"/>
                <w:szCs w:val="16"/>
              </w:rPr>
            </w:pPr>
            <w:r w:rsidRPr="00CB548E">
              <w:rPr>
                <w:rFonts w:cs="Arial"/>
                <w:b/>
                <w:bCs/>
                <w:sz w:val="16"/>
                <w:szCs w:val="16"/>
              </w:rPr>
              <w:t>Date</w:t>
            </w:r>
          </w:p>
        </w:tc>
        <w:tc>
          <w:tcPr>
            <w:tcW w:w="1862" w:type="dxa"/>
            <w:tcBorders>
              <w:top w:val="single" w:sz="4" w:space="0" w:color="auto"/>
            </w:tcBorders>
            <w:shd w:val="clear" w:color="auto" w:fill="auto"/>
            <w:tcMar>
              <w:top w:w="110" w:type="dxa"/>
            </w:tcMar>
            <w:vAlign w:val="center"/>
          </w:tcPr>
          <w:p w:rsidR="0063033D" w:rsidRPr="00CB548E" w:rsidRDefault="0063033D" w:rsidP="008D1891">
            <w:pPr>
              <w:keepNext/>
              <w:keepLines/>
              <w:rPr>
                <w:rFonts w:cs="Arial"/>
                <w:sz w:val="16"/>
                <w:szCs w:val="16"/>
              </w:rPr>
            </w:pPr>
            <w:r w:rsidRPr="00CB548E">
              <w:rPr>
                <w:rFonts w:cs="Arial"/>
                <w:b/>
                <w:bCs/>
                <w:sz w:val="16"/>
                <w:szCs w:val="16"/>
              </w:rPr>
              <w:t>Host Country/</w:t>
            </w:r>
            <w:r w:rsidRPr="00CB548E">
              <w:rPr>
                <w:rFonts w:cs="Arial"/>
                <w:b/>
                <w:bCs/>
                <w:sz w:val="16"/>
                <w:szCs w:val="16"/>
              </w:rPr>
              <w:br/>
              <w:t>Recipients</w:t>
            </w:r>
          </w:p>
        </w:tc>
        <w:tc>
          <w:tcPr>
            <w:tcW w:w="4253" w:type="dxa"/>
            <w:tcBorders>
              <w:top w:val="single" w:sz="4" w:space="0" w:color="auto"/>
            </w:tcBorders>
            <w:shd w:val="clear" w:color="auto" w:fill="FFFFFF"/>
            <w:tcMar>
              <w:top w:w="110" w:type="dxa"/>
            </w:tcMar>
            <w:vAlign w:val="center"/>
          </w:tcPr>
          <w:p w:rsidR="0063033D" w:rsidRPr="00CB548E" w:rsidRDefault="0063033D" w:rsidP="008D1891">
            <w:pPr>
              <w:keepNext/>
              <w:keepLines/>
              <w:rPr>
                <w:rFonts w:cs="Arial"/>
                <w:sz w:val="16"/>
                <w:szCs w:val="16"/>
              </w:rPr>
            </w:pPr>
            <w:r w:rsidRPr="00CB548E">
              <w:rPr>
                <w:rFonts w:cs="Arial"/>
                <w:b/>
                <w:bCs/>
                <w:sz w:val="16"/>
                <w:szCs w:val="16"/>
              </w:rPr>
              <w:t>Purpose(s)/Description(s)</w:t>
            </w:r>
          </w:p>
        </w:tc>
      </w:tr>
      <w:tr w:rsidR="0063033D" w:rsidRPr="00CB548E" w:rsidTr="008D1891">
        <w:trPr>
          <w:cantSplit/>
        </w:trPr>
        <w:tc>
          <w:tcPr>
            <w:tcW w:w="1981" w:type="dxa"/>
          </w:tcPr>
          <w:p w:rsidR="0063033D" w:rsidRPr="00996844"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V</w:t>
            </w:r>
            <w:r w:rsidRPr="00996844">
              <w:rPr>
                <w:rFonts w:cs="Arial"/>
                <w:color w:val="000000"/>
                <w:sz w:val="16"/>
                <w:szCs w:val="16"/>
              </w:rPr>
              <w:t xml:space="preserve"> Regional Seminar on Strategic Planning and Management for Industrial Property (IP) Offices from Latin American Countries</w:t>
            </w:r>
          </w:p>
          <w:p w:rsidR="0063033D" w:rsidRPr="003050A9" w:rsidRDefault="0063033D" w:rsidP="008D1891">
            <w:pPr>
              <w:autoSpaceDE w:val="0"/>
              <w:autoSpaceDN w:val="0"/>
              <w:adjustRightInd w:val="0"/>
              <w:spacing w:before="120" w:after="120"/>
              <w:rPr>
                <w:rFonts w:cs="Arial"/>
                <w:color w:val="000000"/>
                <w:sz w:val="16"/>
                <w:szCs w:val="16"/>
              </w:rPr>
            </w:pPr>
          </w:p>
        </w:tc>
        <w:tc>
          <w:tcPr>
            <w:tcW w:w="1260"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February 24 to 27, </w:t>
            </w:r>
            <w:r w:rsidRPr="00996844">
              <w:rPr>
                <w:rFonts w:cs="Arial"/>
                <w:color w:val="000000"/>
                <w:sz w:val="16"/>
                <w:szCs w:val="16"/>
              </w:rPr>
              <w:t xml:space="preserve"> 201</w:t>
            </w:r>
            <w:r>
              <w:rPr>
                <w:rFonts w:cs="Arial"/>
                <w:color w:val="000000"/>
                <w:sz w:val="16"/>
                <w:szCs w:val="16"/>
              </w:rPr>
              <w:t>4</w:t>
            </w:r>
          </w:p>
          <w:p w:rsidR="0063033D" w:rsidRPr="003050A9" w:rsidRDefault="0063033D" w:rsidP="008D1891">
            <w:pPr>
              <w:autoSpaceDE w:val="0"/>
              <w:autoSpaceDN w:val="0"/>
              <w:adjustRightInd w:val="0"/>
              <w:spacing w:before="120" w:after="120"/>
              <w:rPr>
                <w:rFonts w:cs="Arial"/>
                <w:color w:val="000000"/>
                <w:sz w:val="16"/>
                <w:szCs w:val="16"/>
              </w:rPr>
            </w:pPr>
          </w:p>
        </w:tc>
        <w:tc>
          <w:tcPr>
            <w:tcW w:w="1862"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Colombia/All Latin-American countries</w:t>
            </w:r>
          </w:p>
          <w:p w:rsidR="0063033D" w:rsidRPr="003050A9" w:rsidDel="00E54910" w:rsidRDefault="0063033D" w:rsidP="008D1891">
            <w:pPr>
              <w:autoSpaceDE w:val="0"/>
              <w:autoSpaceDN w:val="0"/>
              <w:adjustRightInd w:val="0"/>
              <w:spacing w:before="120" w:after="120"/>
              <w:rPr>
                <w:rFonts w:cs="Arial"/>
                <w:color w:val="000000"/>
                <w:sz w:val="16"/>
                <w:szCs w:val="16"/>
              </w:rPr>
            </w:pPr>
          </w:p>
        </w:tc>
        <w:tc>
          <w:tcPr>
            <w:tcW w:w="4253" w:type="dxa"/>
          </w:tcPr>
          <w:p w:rsidR="0063033D" w:rsidRPr="003050A9"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To: (</w:t>
            </w:r>
            <w:proofErr w:type="spellStart"/>
            <w:r>
              <w:rPr>
                <w:rFonts w:cs="Arial"/>
                <w:color w:val="000000"/>
                <w:sz w:val="16"/>
                <w:szCs w:val="16"/>
              </w:rPr>
              <w:t>i</w:t>
            </w:r>
            <w:proofErr w:type="spellEnd"/>
            <w:r>
              <w:rPr>
                <w:rFonts w:cs="Arial"/>
                <w:color w:val="000000"/>
                <w:sz w:val="16"/>
                <w:szCs w:val="16"/>
              </w:rPr>
              <w:t>) p</w:t>
            </w:r>
            <w:r w:rsidRPr="00996844">
              <w:rPr>
                <w:rFonts w:cs="Arial"/>
                <w:color w:val="000000"/>
                <w:sz w:val="16"/>
                <w:szCs w:val="16"/>
              </w:rPr>
              <w:t>rovide participants with updated information, practical training and useful tools in the field of strategic planning, human resources policies and management of quality</w:t>
            </w:r>
            <w:r>
              <w:rPr>
                <w:rFonts w:cs="Arial"/>
                <w:color w:val="000000"/>
                <w:sz w:val="16"/>
                <w:szCs w:val="16"/>
              </w:rPr>
              <w:t xml:space="preserve">; (ii) </w:t>
            </w:r>
            <w:r w:rsidRPr="00996844">
              <w:rPr>
                <w:rFonts w:cs="Arial"/>
                <w:color w:val="000000"/>
                <w:sz w:val="16"/>
                <w:szCs w:val="16"/>
              </w:rPr>
              <w:t>provide a good opportunity to modernize IP administrations</w:t>
            </w:r>
            <w:r>
              <w:rPr>
                <w:rFonts w:cs="Arial"/>
                <w:color w:val="000000"/>
                <w:sz w:val="16"/>
                <w:szCs w:val="16"/>
              </w:rPr>
              <w:t>;</w:t>
            </w:r>
            <w:r w:rsidRPr="00996844">
              <w:rPr>
                <w:rFonts w:cs="Arial"/>
                <w:color w:val="000000"/>
                <w:sz w:val="16"/>
                <w:szCs w:val="16"/>
              </w:rPr>
              <w:t xml:space="preserve"> and </w:t>
            </w:r>
            <w:r>
              <w:rPr>
                <w:rFonts w:cs="Arial"/>
                <w:color w:val="000000"/>
                <w:sz w:val="16"/>
                <w:szCs w:val="16"/>
              </w:rPr>
              <w:t xml:space="preserve">(iii) </w:t>
            </w:r>
            <w:r w:rsidRPr="00996844">
              <w:rPr>
                <w:rFonts w:cs="Arial"/>
                <w:color w:val="000000"/>
                <w:sz w:val="16"/>
                <w:szCs w:val="16"/>
              </w:rPr>
              <w:t xml:space="preserve">to develop an important sense of service-oriented management among  </w:t>
            </w:r>
            <w:r>
              <w:rPr>
                <w:rFonts w:cs="Arial"/>
                <w:color w:val="000000"/>
                <w:sz w:val="16"/>
                <w:szCs w:val="16"/>
              </w:rPr>
              <w:t>administrators</w:t>
            </w:r>
            <w:r w:rsidRPr="00996844">
              <w:rPr>
                <w:rFonts w:cs="Arial"/>
                <w:color w:val="000000"/>
                <w:sz w:val="16"/>
                <w:szCs w:val="16"/>
              </w:rPr>
              <w:t xml:space="preserve"> in IP Offices</w:t>
            </w:r>
            <w:r>
              <w:rPr>
                <w:rFonts w:cs="Arial"/>
                <w:color w:val="000000"/>
                <w:sz w:val="16"/>
                <w:szCs w:val="16"/>
              </w:rPr>
              <w:t xml:space="preserve"> </w:t>
            </w:r>
            <w:r w:rsidRPr="00996844">
              <w:rPr>
                <w:rFonts w:cs="Arial"/>
                <w:color w:val="000000"/>
                <w:sz w:val="16"/>
                <w:szCs w:val="16"/>
              </w:rPr>
              <w:t>from Latin American</w:t>
            </w:r>
            <w:r>
              <w:rPr>
                <w:rFonts w:cs="Arial"/>
                <w:color w:val="000000"/>
                <w:sz w:val="16"/>
                <w:szCs w:val="16"/>
              </w:rPr>
              <w:t xml:space="preserve"> </w:t>
            </w:r>
            <w:r w:rsidRPr="00996844">
              <w:rPr>
                <w:rFonts w:cs="Arial"/>
                <w:color w:val="000000"/>
                <w:sz w:val="16"/>
                <w:szCs w:val="16"/>
              </w:rPr>
              <w:t>countries</w:t>
            </w:r>
            <w:r>
              <w:t>.</w:t>
            </w:r>
          </w:p>
        </w:tc>
      </w:tr>
      <w:tr w:rsidR="0063033D" w:rsidRPr="00CB548E" w:rsidTr="008D1891">
        <w:trPr>
          <w:cantSplit/>
        </w:trPr>
        <w:tc>
          <w:tcPr>
            <w:tcW w:w="1981" w:type="dxa"/>
            <w:vAlign w:val="center"/>
          </w:tcPr>
          <w:p w:rsidR="0063033D" w:rsidRPr="00CB548E" w:rsidRDefault="0063033D" w:rsidP="008D1891">
            <w:pPr>
              <w:keepNext/>
              <w:keepLines/>
              <w:rPr>
                <w:rFonts w:cs="Arial"/>
                <w:b/>
                <w:bCs/>
                <w:sz w:val="16"/>
                <w:szCs w:val="16"/>
              </w:rPr>
            </w:pPr>
            <w:r w:rsidRPr="00CB548E">
              <w:rPr>
                <w:rFonts w:cs="Arial"/>
                <w:b/>
                <w:bCs/>
                <w:sz w:val="16"/>
                <w:szCs w:val="16"/>
              </w:rPr>
              <w:t>Activity</w:t>
            </w:r>
          </w:p>
        </w:tc>
        <w:tc>
          <w:tcPr>
            <w:tcW w:w="1260" w:type="dxa"/>
            <w:vAlign w:val="center"/>
          </w:tcPr>
          <w:p w:rsidR="0063033D" w:rsidRPr="00CB548E" w:rsidRDefault="0063033D" w:rsidP="008D1891">
            <w:pPr>
              <w:keepNext/>
              <w:keepLines/>
              <w:rPr>
                <w:rFonts w:cs="Arial"/>
                <w:sz w:val="16"/>
                <w:szCs w:val="16"/>
              </w:rPr>
            </w:pPr>
            <w:r w:rsidRPr="00CB548E">
              <w:rPr>
                <w:rFonts w:cs="Arial"/>
                <w:b/>
                <w:bCs/>
                <w:sz w:val="16"/>
                <w:szCs w:val="16"/>
              </w:rPr>
              <w:t>Date</w:t>
            </w:r>
          </w:p>
        </w:tc>
        <w:tc>
          <w:tcPr>
            <w:tcW w:w="1862" w:type="dxa"/>
            <w:vAlign w:val="center"/>
          </w:tcPr>
          <w:p w:rsidR="0063033D" w:rsidRPr="00CB548E" w:rsidRDefault="0063033D" w:rsidP="008D1891">
            <w:pPr>
              <w:keepNext/>
              <w:keepLines/>
              <w:rPr>
                <w:rFonts w:cs="Arial"/>
                <w:sz w:val="16"/>
                <w:szCs w:val="16"/>
              </w:rPr>
            </w:pPr>
            <w:r w:rsidRPr="00CB548E">
              <w:rPr>
                <w:rFonts w:cs="Arial"/>
                <w:b/>
                <w:bCs/>
                <w:sz w:val="16"/>
                <w:szCs w:val="16"/>
              </w:rPr>
              <w:t>Host Country/</w:t>
            </w:r>
            <w:r w:rsidRPr="00CB548E">
              <w:rPr>
                <w:rFonts w:cs="Arial"/>
                <w:b/>
                <w:bCs/>
                <w:sz w:val="16"/>
                <w:szCs w:val="16"/>
              </w:rPr>
              <w:br/>
              <w:t>Recipients</w:t>
            </w:r>
          </w:p>
        </w:tc>
        <w:tc>
          <w:tcPr>
            <w:tcW w:w="4253" w:type="dxa"/>
            <w:vAlign w:val="center"/>
          </w:tcPr>
          <w:p w:rsidR="0063033D" w:rsidRPr="00CB548E" w:rsidRDefault="0063033D" w:rsidP="008D1891">
            <w:pPr>
              <w:keepNext/>
              <w:keepLines/>
              <w:rPr>
                <w:rFonts w:cs="Arial"/>
                <w:sz w:val="16"/>
                <w:szCs w:val="16"/>
              </w:rPr>
            </w:pPr>
            <w:r w:rsidRPr="00CB548E">
              <w:rPr>
                <w:rFonts w:cs="Arial"/>
                <w:b/>
                <w:bCs/>
                <w:sz w:val="16"/>
                <w:szCs w:val="16"/>
              </w:rPr>
              <w:t>Purpose(s)/Description(s)</w:t>
            </w:r>
          </w:p>
        </w:tc>
      </w:tr>
      <w:tr w:rsidR="0063033D" w:rsidRPr="00CB548E" w:rsidTr="008D1891">
        <w:trPr>
          <w:cantSplit/>
        </w:trPr>
        <w:tc>
          <w:tcPr>
            <w:tcW w:w="1981" w:type="dxa"/>
          </w:tcPr>
          <w:p w:rsidR="0063033D" w:rsidRDefault="0063033D" w:rsidP="008D1891">
            <w:pPr>
              <w:keepNext/>
              <w:keepLines/>
              <w:autoSpaceDE w:val="0"/>
              <w:autoSpaceDN w:val="0"/>
              <w:adjustRightInd w:val="0"/>
              <w:spacing w:before="120" w:after="120"/>
              <w:rPr>
                <w:rFonts w:cs="Arial"/>
                <w:color w:val="000000"/>
                <w:sz w:val="16"/>
                <w:szCs w:val="16"/>
              </w:rPr>
            </w:pPr>
            <w:r w:rsidRPr="00432993">
              <w:rPr>
                <w:rFonts w:cs="Arial"/>
                <w:color w:val="000000"/>
                <w:sz w:val="16"/>
                <w:szCs w:val="16"/>
              </w:rPr>
              <w:t xml:space="preserve">LATIPAT PROJECT                       </w:t>
            </w:r>
            <w:r>
              <w:rPr>
                <w:rFonts w:cs="Arial"/>
                <w:color w:val="000000"/>
                <w:sz w:val="16"/>
                <w:szCs w:val="16"/>
              </w:rPr>
              <w:t>X</w:t>
            </w:r>
            <w:r w:rsidRPr="00432993">
              <w:rPr>
                <w:rFonts w:cs="Arial"/>
                <w:color w:val="000000"/>
                <w:sz w:val="16"/>
                <w:szCs w:val="16"/>
              </w:rPr>
              <w:t xml:space="preserve"> Regional Meeting WIPO/OEPM/EPO of IT Specialist and Management of Patent Information of Industrial Property Offices in Latin America </w:t>
            </w:r>
          </w:p>
          <w:p w:rsidR="0063033D" w:rsidRPr="003050A9" w:rsidRDefault="0063033D" w:rsidP="008D1891">
            <w:pPr>
              <w:keepNext/>
              <w:keepLines/>
              <w:autoSpaceDE w:val="0"/>
              <w:autoSpaceDN w:val="0"/>
              <w:adjustRightInd w:val="0"/>
              <w:spacing w:before="120" w:after="120"/>
              <w:rPr>
                <w:rFonts w:cs="Arial"/>
                <w:color w:val="000000"/>
                <w:sz w:val="16"/>
                <w:szCs w:val="16"/>
              </w:rPr>
            </w:pPr>
          </w:p>
        </w:tc>
        <w:tc>
          <w:tcPr>
            <w:tcW w:w="1260" w:type="dxa"/>
          </w:tcPr>
          <w:p w:rsidR="0063033D" w:rsidRDefault="0063033D" w:rsidP="008D1891">
            <w:pPr>
              <w:keepNext/>
              <w:keepLines/>
              <w:autoSpaceDE w:val="0"/>
              <w:autoSpaceDN w:val="0"/>
              <w:adjustRightInd w:val="0"/>
              <w:spacing w:before="120" w:after="120"/>
              <w:rPr>
                <w:rFonts w:cs="Arial"/>
                <w:color w:val="000000"/>
                <w:sz w:val="16"/>
                <w:szCs w:val="16"/>
                <w:lang w:eastAsia="ja-JP"/>
              </w:rPr>
            </w:pPr>
            <w:r>
              <w:rPr>
                <w:rFonts w:cs="Arial"/>
                <w:color w:val="000000"/>
                <w:sz w:val="16"/>
                <w:szCs w:val="16"/>
                <w:lang w:eastAsia="ja-JP"/>
              </w:rPr>
              <w:t>November 24 to 26, 2014</w:t>
            </w:r>
          </w:p>
          <w:p w:rsidR="0063033D" w:rsidRPr="003050A9" w:rsidRDefault="0063033D" w:rsidP="008D1891">
            <w:pPr>
              <w:autoSpaceDE w:val="0"/>
              <w:autoSpaceDN w:val="0"/>
              <w:adjustRightInd w:val="0"/>
              <w:spacing w:before="120" w:after="120"/>
              <w:rPr>
                <w:rFonts w:cs="Arial"/>
                <w:color w:val="000000"/>
                <w:sz w:val="16"/>
                <w:szCs w:val="16"/>
              </w:rPr>
            </w:pPr>
          </w:p>
        </w:tc>
        <w:tc>
          <w:tcPr>
            <w:tcW w:w="1862" w:type="dxa"/>
          </w:tcPr>
          <w:p w:rsidR="0063033D" w:rsidRDefault="0063033D" w:rsidP="008D1891">
            <w:pPr>
              <w:keepNext/>
              <w:keepLines/>
              <w:autoSpaceDE w:val="0"/>
              <w:autoSpaceDN w:val="0"/>
              <w:adjustRightInd w:val="0"/>
              <w:spacing w:before="120" w:after="120"/>
              <w:rPr>
                <w:rFonts w:cs="Arial"/>
                <w:color w:val="000000"/>
                <w:sz w:val="16"/>
                <w:szCs w:val="16"/>
                <w:lang w:eastAsia="ja-JP"/>
              </w:rPr>
            </w:pPr>
            <w:r>
              <w:rPr>
                <w:rFonts w:cs="Arial"/>
                <w:color w:val="000000"/>
                <w:sz w:val="16"/>
                <w:szCs w:val="16"/>
                <w:lang w:eastAsia="ja-JP"/>
              </w:rPr>
              <w:t>Peru/ All Latin American countries</w:t>
            </w:r>
          </w:p>
          <w:p w:rsidR="0063033D" w:rsidRPr="003050A9" w:rsidRDefault="0063033D" w:rsidP="008D1891">
            <w:pPr>
              <w:autoSpaceDE w:val="0"/>
              <w:autoSpaceDN w:val="0"/>
              <w:adjustRightInd w:val="0"/>
              <w:spacing w:before="120" w:after="120"/>
              <w:rPr>
                <w:rFonts w:cs="Arial"/>
                <w:color w:val="000000"/>
                <w:sz w:val="16"/>
                <w:szCs w:val="16"/>
              </w:rPr>
            </w:pPr>
          </w:p>
        </w:tc>
        <w:tc>
          <w:tcPr>
            <w:tcW w:w="4253" w:type="dxa"/>
          </w:tcPr>
          <w:p w:rsidR="0063033D" w:rsidRPr="003050A9" w:rsidRDefault="0063033D" w:rsidP="008D1891">
            <w:pPr>
              <w:autoSpaceDE w:val="0"/>
              <w:autoSpaceDN w:val="0"/>
              <w:adjustRightInd w:val="0"/>
              <w:spacing w:before="120" w:after="120"/>
              <w:rPr>
                <w:rFonts w:cs="Arial"/>
                <w:color w:val="000000"/>
                <w:sz w:val="16"/>
                <w:szCs w:val="16"/>
              </w:rPr>
            </w:pPr>
            <w:r w:rsidRPr="00BB3696">
              <w:rPr>
                <w:rFonts w:cs="Arial"/>
                <w:color w:val="000000"/>
                <w:sz w:val="16"/>
                <w:szCs w:val="16"/>
                <w:lang w:eastAsia="ja-JP"/>
              </w:rPr>
              <w:t>The LATIPAT Project was created to develop and provide a database with patent information from all Latin American countries. Currently, the LATIPAT Project is an example, not only for the Latin American countries, but also for th</w:t>
            </w:r>
            <w:r>
              <w:rPr>
                <w:rFonts w:cs="Arial"/>
                <w:color w:val="000000"/>
                <w:sz w:val="16"/>
                <w:szCs w:val="16"/>
                <w:lang w:eastAsia="ja-JP"/>
              </w:rPr>
              <w:t>e different international fora</w:t>
            </w:r>
            <w:r w:rsidRPr="00BB3696">
              <w:rPr>
                <w:rFonts w:cs="Arial"/>
                <w:color w:val="000000"/>
                <w:sz w:val="16"/>
                <w:szCs w:val="16"/>
                <w:lang w:eastAsia="ja-JP"/>
              </w:rPr>
              <w:t xml:space="preserve"> related to patent information, commitment, perseverance and teamwork.  Over a period of </w:t>
            </w:r>
            <w:r w:rsidRPr="00BE794A">
              <w:rPr>
                <w:rFonts w:cs="Arial"/>
                <w:color w:val="000000"/>
                <w:sz w:val="16"/>
                <w:szCs w:val="16"/>
                <w:lang w:eastAsia="ja-JP"/>
              </w:rPr>
              <w:t>14 years</w:t>
            </w:r>
            <w:r>
              <w:rPr>
                <w:rFonts w:cs="Arial"/>
                <w:color w:val="000000"/>
                <w:sz w:val="16"/>
                <w:szCs w:val="16"/>
                <w:lang w:eastAsia="ja-JP"/>
              </w:rPr>
              <w:t>,</w:t>
            </w:r>
            <w:r w:rsidRPr="00BB3696">
              <w:rPr>
                <w:rFonts w:cs="Arial"/>
                <w:color w:val="000000"/>
                <w:sz w:val="16"/>
                <w:szCs w:val="16"/>
                <w:lang w:eastAsia="ja-JP"/>
              </w:rPr>
              <w:t xml:space="preserve"> the database has amassed more than 2 million documents and receives an average of 14,000 hits per month.</w:t>
            </w:r>
          </w:p>
        </w:tc>
      </w:tr>
    </w:tbl>
    <w:p w:rsidR="0063033D" w:rsidRDefault="0063033D" w:rsidP="008D1891">
      <w:pPr>
        <w:keepNext/>
        <w:keepLines/>
        <w:rPr>
          <w:rFonts w:cs="Arial"/>
          <w:b/>
          <w:szCs w:val="20"/>
        </w:rPr>
      </w:pPr>
    </w:p>
    <w:p w:rsidR="0063033D" w:rsidRDefault="0063033D" w:rsidP="008D1891">
      <w:pPr>
        <w:keepNext/>
        <w:keepLines/>
        <w:rPr>
          <w:rFonts w:cs="Arial"/>
          <w:b/>
          <w:szCs w:val="20"/>
        </w:rPr>
      </w:pPr>
    </w:p>
    <w:p w:rsidR="0063033D" w:rsidRPr="00FC1821" w:rsidRDefault="0063033D" w:rsidP="008D1891">
      <w:pPr>
        <w:keepNext/>
        <w:keepLines/>
        <w:rPr>
          <w:rFonts w:ascii="Arial Bold" w:hAnsi="Arial Bold" w:cs="Arial Bold"/>
          <w:b/>
          <w:bCs/>
          <w:sz w:val="18"/>
          <w:szCs w:val="18"/>
          <w:vertAlign w:val="superscript"/>
        </w:rPr>
      </w:pPr>
      <w:r w:rsidRPr="00FC1821">
        <w:rPr>
          <w:rFonts w:cs="Arial"/>
          <w:b/>
          <w:sz w:val="18"/>
          <w:szCs w:val="18"/>
        </w:rPr>
        <w:t xml:space="preserve">SPAIN Donor </w:t>
      </w:r>
      <w:r w:rsidRPr="00FC1821">
        <w:rPr>
          <w:rFonts w:cs="Arial"/>
          <w:b/>
          <w:bCs/>
          <w:sz w:val="18"/>
          <w:szCs w:val="18"/>
        </w:rPr>
        <w:t>Contributions and Expenditure in 201</w:t>
      </w:r>
      <w:r>
        <w:rPr>
          <w:rFonts w:cs="Arial"/>
          <w:b/>
          <w:bCs/>
          <w:sz w:val="18"/>
          <w:szCs w:val="18"/>
        </w:rPr>
        <w:t>4</w:t>
      </w:r>
    </w:p>
    <w:p w:rsidR="0063033D" w:rsidRDefault="0063033D" w:rsidP="008D1891">
      <w:pPr>
        <w:keepNext/>
        <w:keepLines/>
        <w:rPr>
          <w:rFonts w:cs="Arial"/>
          <w:b/>
          <w:szCs w:val="20"/>
        </w:rPr>
      </w:pPr>
    </w:p>
    <w:tbl>
      <w:tblPr>
        <w:tblW w:w="9087" w:type="dxa"/>
        <w:tblInd w:w="93" w:type="dxa"/>
        <w:tblLook w:val="04A0" w:firstRow="1" w:lastRow="0" w:firstColumn="1" w:lastColumn="0" w:noHBand="0" w:noVBand="1"/>
      </w:tblPr>
      <w:tblGrid>
        <w:gridCol w:w="1858"/>
        <w:gridCol w:w="1559"/>
        <w:gridCol w:w="1843"/>
        <w:gridCol w:w="1843"/>
        <w:gridCol w:w="1984"/>
      </w:tblGrid>
      <w:tr w:rsidR="0063033D" w:rsidTr="008D1891">
        <w:trPr>
          <w:trHeight w:val="478"/>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2013</w:t>
            </w:r>
          </w:p>
        </w:tc>
        <w:tc>
          <w:tcPr>
            <w:tcW w:w="1559"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Income 2014</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Expenditure 2014</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Reimbursements</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2014</w:t>
            </w:r>
          </w:p>
        </w:tc>
      </w:tr>
      <w:tr w:rsidR="0063033D" w:rsidTr="008D1891">
        <w:trPr>
          <w:trHeight w:val="49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165,592</w:t>
            </w:r>
          </w:p>
        </w:tc>
        <w:tc>
          <w:tcPr>
            <w:tcW w:w="1559"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158,519</w:t>
            </w:r>
          </w:p>
        </w:tc>
        <w:tc>
          <w:tcPr>
            <w:tcW w:w="1843"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203,958</w:t>
            </w:r>
          </w:p>
        </w:tc>
        <w:tc>
          <w:tcPr>
            <w:tcW w:w="1843"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w:t>
            </w:r>
          </w:p>
        </w:tc>
        <w:tc>
          <w:tcPr>
            <w:tcW w:w="1984"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120,153</w:t>
            </w:r>
          </w:p>
        </w:tc>
      </w:tr>
    </w:tbl>
    <w:p w:rsidR="0063033D" w:rsidRDefault="0063033D" w:rsidP="008D1891">
      <w:pPr>
        <w:rPr>
          <w:rFonts w:cs="Arial"/>
          <w:b/>
          <w:szCs w:val="20"/>
        </w:rPr>
      </w:pPr>
    </w:p>
    <w:p w:rsidR="0063033D" w:rsidRDefault="0063033D" w:rsidP="008D1891">
      <w:pPr>
        <w:rPr>
          <w:rFonts w:cs="Arial"/>
          <w:b/>
          <w:szCs w:val="20"/>
        </w:rPr>
      </w:pPr>
    </w:p>
    <w:p w:rsidR="0063033D" w:rsidRDefault="0063033D" w:rsidP="009375B7">
      <w:pPr>
        <w:keepNext/>
        <w:keepLines/>
        <w:rPr>
          <w:rFonts w:cs="Arial"/>
          <w:b/>
          <w:szCs w:val="20"/>
        </w:rPr>
      </w:pPr>
      <w:r>
        <w:rPr>
          <w:rFonts w:cs="Arial"/>
          <w:b/>
          <w:szCs w:val="20"/>
        </w:rPr>
        <w:lastRenderedPageBreak/>
        <w:t>URUGUAY</w:t>
      </w:r>
    </w:p>
    <w:p w:rsidR="0063033D" w:rsidRDefault="0063033D" w:rsidP="009375B7">
      <w:pPr>
        <w:keepNext/>
        <w:keepLines/>
        <w:rPr>
          <w:rFonts w:cs="Arial"/>
          <w:b/>
          <w:szCs w:val="20"/>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1"/>
        <w:gridCol w:w="1260"/>
        <w:gridCol w:w="1862"/>
        <w:gridCol w:w="4253"/>
      </w:tblGrid>
      <w:tr w:rsidR="0063033D" w:rsidRPr="00CB548E" w:rsidTr="008D1891">
        <w:trPr>
          <w:cantSplit/>
        </w:trPr>
        <w:tc>
          <w:tcPr>
            <w:tcW w:w="9356" w:type="dxa"/>
            <w:gridSpan w:val="4"/>
            <w:tcBorders>
              <w:top w:val="single" w:sz="4" w:space="0" w:color="auto"/>
              <w:bottom w:val="single" w:sz="4" w:space="0" w:color="auto"/>
            </w:tcBorders>
            <w:shd w:val="clear" w:color="auto" w:fill="CCFFFF"/>
            <w:vAlign w:val="center"/>
          </w:tcPr>
          <w:p w:rsidR="0063033D" w:rsidRPr="00CB548E" w:rsidRDefault="0063033D" w:rsidP="009375B7">
            <w:pPr>
              <w:keepNext/>
              <w:keepLines/>
              <w:tabs>
                <w:tab w:val="left" w:pos="1740"/>
              </w:tabs>
              <w:spacing w:before="120" w:after="120"/>
              <w:ind w:left="1740" w:hanging="1740"/>
              <w:rPr>
                <w:rFonts w:cs="Arial"/>
                <w:b/>
                <w:bCs/>
                <w:sz w:val="16"/>
                <w:szCs w:val="16"/>
              </w:rPr>
            </w:pPr>
            <w:r w:rsidRPr="00CB548E">
              <w:rPr>
                <w:rFonts w:cs="Arial"/>
                <w:b/>
                <w:bCs/>
                <w:color w:val="000000"/>
                <w:sz w:val="16"/>
                <w:szCs w:val="16"/>
              </w:rPr>
              <w:t>RESULT</w:t>
            </w:r>
            <w:r w:rsidRPr="00CB548E">
              <w:rPr>
                <w:rFonts w:cs="Arial"/>
                <w:b/>
                <w:bCs/>
                <w:sz w:val="16"/>
                <w:szCs w:val="16"/>
              </w:rPr>
              <w:t>:</w:t>
            </w:r>
            <w:r w:rsidRPr="00CB548E">
              <w:rPr>
                <w:rFonts w:cs="Arial"/>
                <w:b/>
                <w:bCs/>
                <w:sz w:val="16"/>
                <w:szCs w:val="16"/>
              </w:rPr>
              <w:tab/>
            </w:r>
            <w:r w:rsidRPr="008230D2">
              <w:rPr>
                <w:rFonts w:cs="Arial"/>
                <w:bCs/>
                <w:color w:val="000000"/>
                <w:sz w:val="16"/>
                <w:szCs w:val="16"/>
              </w:rPr>
              <w:t>III.2. Enhanced human resource capacities able to deal with the broad range of requirements for the effective use of IP for development in developing countries, LDCs and countries with economies in transition</w:t>
            </w:r>
          </w:p>
        </w:tc>
      </w:tr>
      <w:tr w:rsidR="0063033D" w:rsidRPr="00CB548E" w:rsidTr="008D1891">
        <w:trPr>
          <w:cantSplit/>
        </w:trPr>
        <w:tc>
          <w:tcPr>
            <w:tcW w:w="1981" w:type="dxa"/>
            <w:tcBorders>
              <w:top w:val="single" w:sz="4" w:space="0" w:color="auto"/>
            </w:tcBorders>
          </w:tcPr>
          <w:p w:rsidR="0063033D" w:rsidRPr="00033FB3" w:rsidRDefault="0063033D" w:rsidP="009375B7">
            <w:pPr>
              <w:keepNext/>
              <w:keepLines/>
              <w:autoSpaceDE w:val="0"/>
              <w:autoSpaceDN w:val="0"/>
              <w:adjustRightInd w:val="0"/>
              <w:spacing w:before="120"/>
              <w:rPr>
                <w:rFonts w:cs="Arial"/>
                <w:b/>
                <w:color w:val="000000"/>
                <w:sz w:val="16"/>
                <w:szCs w:val="16"/>
              </w:rPr>
            </w:pPr>
            <w:r w:rsidRPr="00033FB3">
              <w:rPr>
                <w:rFonts w:cs="Arial"/>
                <w:b/>
                <w:color w:val="000000"/>
                <w:sz w:val="16"/>
                <w:szCs w:val="16"/>
              </w:rPr>
              <w:t>Activity</w:t>
            </w:r>
          </w:p>
        </w:tc>
        <w:tc>
          <w:tcPr>
            <w:tcW w:w="1260" w:type="dxa"/>
            <w:tcBorders>
              <w:top w:val="single" w:sz="4" w:space="0" w:color="auto"/>
            </w:tcBorders>
            <w:shd w:val="clear" w:color="auto" w:fill="auto"/>
            <w:tcMar>
              <w:top w:w="110" w:type="dxa"/>
            </w:tcMar>
          </w:tcPr>
          <w:p w:rsidR="0063033D" w:rsidRDefault="0063033D" w:rsidP="009375B7">
            <w:pPr>
              <w:keepNext/>
              <w:keepLines/>
              <w:autoSpaceDE w:val="0"/>
              <w:autoSpaceDN w:val="0"/>
              <w:adjustRightInd w:val="0"/>
              <w:spacing w:before="120"/>
              <w:rPr>
                <w:rFonts w:cs="Arial"/>
                <w:b/>
                <w:color w:val="000000"/>
                <w:sz w:val="16"/>
                <w:szCs w:val="16"/>
              </w:rPr>
            </w:pPr>
            <w:r>
              <w:rPr>
                <w:rFonts w:cs="Arial"/>
                <w:b/>
                <w:color w:val="000000"/>
                <w:sz w:val="16"/>
                <w:szCs w:val="16"/>
              </w:rPr>
              <w:t>Date</w:t>
            </w:r>
          </w:p>
        </w:tc>
        <w:tc>
          <w:tcPr>
            <w:tcW w:w="1862" w:type="dxa"/>
            <w:tcBorders>
              <w:top w:val="single" w:sz="4" w:space="0" w:color="auto"/>
            </w:tcBorders>
            <w:shd w:val="clear" w:color="auto" w:fill="auto"/>
            <w:tcMar>
              <w:top w:w="110" w:type="dxa"/>
            </w:tcMar>
          </w:tcPr>
          <w:p w:rsidR="0063033D" w:rsidRPr="00033FB3" w:rsidRDefault="0063033D" w:rsidP="009375B7">
            <w:pPr>
              <w:keepNext/>
              <w:keepLines/>
              <w:autoSpaceDE w:val="0"/>
              <w:autoSpaceDN w:val="0"/>
              <w:adjustRightInd w:val="0"/>
              <w:spacing w:before="120"/>
              <w:rPr>
                <w:rFonts w:cs="Arial"/>
                <w:b/>
                <w:color w:val="000000"/>
                <w:sz w:val="16"/>
                <w:szCs w:val="16"/>
              </w:rPr>
            </w:pPr>
            <w:r>
              <w:rPr>
                <w:rFonts w:cs="Arial"/>
                <w:b/>
                <w:color w:val="000000"/>
                <w:sz w:val="16"/>
                <w:szCs w:val="16"/>
              </w:rPr>
              <w:t xml:space="preserve">Host </w:t>
            </w:r>
            <w:r w:rsidRPr="00033FB3">
              <w:rPr>
                <w:rFonts w:cs="Arial"/>
                <w:b/>
                <w:color w:val="000000"/>
                <w:sz w:val="16"/>
                <w:szCs w:val="16"/>
              </w:rPr>
              <w:t>Country/</w:t>
            </w:r>
            <w:r>
              <w:rPr>
                <w:rFonts w:cs="Arial"/>
                <w:b/>
                <w:color w:val="000000"/>
                <w:sz w:val="16"/>
                <w:szCs w:val="16"/>
              </w:rPr>
              <w:br/>
            </w:r>
            <w:r w:rsidRPr="00033FB3">
              <w:rPr>
                <w:rFonts w:cs="Arial"/>
                <w:b/>
                <w:color w:val="000000"/>
                <w:sz w:val="16"/>
                <w:szCs w:val="16"/>
              </w:rPr>
              <w:t>Recipients</w:t>
            </w:r>
          </w:p>
        </w:tc>
        <w:tc>
          <w:tcPr>
            <w:tcW w:w="4253" w:type="dxa"/>
            <w:tcBorders>
              <w:top w:val="single" w:sz="4" w:space="0" w:color="auto"/>
            </w:tcBorders>
            <w:shd w:val="clear" w:color="auto" w:fill="FFFFFF"/>
            <w:tcMar>
              <w:top w:w="110" w:type="dxa"/>
            </w:tcMar>
          </w:tcPr>
          <w:p w:rsidR="0063033D" w:rsidRPr="00033FB3" w:rsidRDefault="0063033D" w:rsidP="009375B7">
            <w:pPr>
              <w:keepNext/>
              <w:keepLines/>
              <w:autoSpaceDE w:val="0"/>
              <w:autoSpaceDN w:val="0"/>
              <w:adjustRightInd w:val="0"/>
              <w:spacing w:before="120"/>
              <w:rPr>
                <w:rFonts w:cs="Arial"/>
                <w:b/>
                <w:color w:val="000000"/>
                <w:sz w:val="16"/>
                <w:szCs w:val="16"/>
              </w:rPr>
            </w:pPr>
            <w:r w:rsidRPr="00033FB3">
              <w:rPr>
                <w:rFonts w:cs="Arial"/>
                <w:b/>
                <w:color w:val="000000"/>
                <w:sz w:val="16"/>
                <w:szCs w:val="16"/>
              </w:rPr>
              <w:t>Purpose</w:t>
            </w:r>
            <w:r>
              <w:rPr>
                <w:rFonts w:cs="Arial"/>
                <w:b/>
                <w:color w:val="000000"/>
                <w:sz w:val="16"/>
                <w:szCs w:val="16"/>
              </w:rPr>
              <w:t>(s)</w:t>
            </w:r>
            <w:r w:rsidRPr="00033FB3">
              <w:rPr>
                <w:rFonts w:cs="Arial"/>
                <w:b/>
                <w:color w:val="000000"/>
                <w:sz w:val="16"/>
                <w:szCs w:val="16"/>
              </w:rPr>
              <w:t>/</w:t>
            </w:r>
            <w:r>
              <w:rPr>
                <w:rFonts w:cs="Arial"/>
                <w:b/>
                <w:color w:val="000000"/>
                <w:sz w:val="16"/>
                <w:szCs w:val="16"/>
              </w:rPr>
              <w:t>D</w:t>
            </w:r>
            <w:r w:rsidRPr="00033FB3">
              <w:rPr>
                <w:rFonts w:cs="Arial"/>
                <w:b/>
                <w:color w:val="000000"/>
                <w:sz w:val="16"/>
                <w:szCs w:val="16"/>
              </w:rPr>
              <w:t>escription</w:t>
            </w:r>
          </w:p>
        </w:tc>
      </w:tr>
      <w:tr w:rsidR="0063033D" w:rsidRPr="00CB548E" w:rsidTr="008D1891">
        <w:trPr>
          <w:cantSplit/>
        </w:trPr>
        <w:tc>
          <w:tcPr>
            <w:tcW w:w="1981" w:type="dxa"/>
          </w:tcPr>
          <w:p w:rsidR="0063033D" w:rsidRPr="00B058EA" w:rsidRDefault="0063033D" w:rsidP="009375B7">
            <w:pPr>
              <w:keepNext/>
              <w:keepLines/>
              <w:autoSpaceDE w:val="0"/>
              <w:autoSpaceDN w:val="0"/>
              <w:adjustRightInd w:val="0"/>
              <w:spacing w:after="120"/>
              <w:rPr>
                <w:rFonts w:cs="Arial"/>
                <w:color w:val="000000"/>
                <w:sz w:val="16"/>
                <w:szCs w:val="16"/>
              </w:rPr>
            </w:pPr>
            <w:r>
              <w:rPr>
                <w:rFonts w:cs="Arial"/>
                <w:color w:val="000000"/>
                <w:sz w:val="16"/>
                <w:szCs w:val="16"/>
              </w:rPr>
              <w:t xml:space="preserve">Provision of funding for an IP professional for a Master Program in Strategic Management in Information Technology (MSMIT), within the framework of </w:t>
            </w:r>
            <w:r w:rsidRPr="00262A74">
              <w:rPr>
                <w:rFonts w:cs="Arial"/>
                <w:color w:val="000000"/>
                <w:sz w:val="16"/>
                <w:szCs w:val="16"/>
              </w:rPr>
              <w:t xml:space="preserve">the </w:t>
            </w:r>
            <w:proofErr w:type="spellStart"/>
            <w:r>
              <w:rPr>
                <w:rFonts w:cs="Arial"/>
                <w:color w:val="000000"/>
                <w:sz w:val="16"/>
                <w:szCs w:val="16"/>
              </w:rPr>
              <w:t>Ibero</w:t>
            </w:r>
            <w:proofErr w:type="spellEnd"/>
            <w:r>
              <w:rPr>
                <w:rFonts w:cs="Arial"/>
                <w:color w:val="000000"/>
                <w:sz w:val="16"/>
                <w:szCs w:val="16"/>
              </w:rPr>
              <w:t>-American University Foundation</w:t>
            </w:r>
            <w:r w:rsidRPr="00262A74">
              <w:rPr>
                <w:rFonts w:cs="Arial"/>
                <w:color w:val="000000"/>
                <w:sz w:val="16"/>
                <w:szCs w:val="16"/>
              </w:rPr>
              <w:t xml:space="preserve"> (FUNIBER</w:t>
            </w:r>
            <w:r>
              <w:rPr>
                <w:rFonts w:cs="Arial"/>
                <w:color w:val="000000"/>
                <w:sz w:val="16"/>
                <w:szCs w:val="16"/>
              </w:rPr>
              <w:t>)</w:t>
            </w:r>
          </w:p>
        </w:tc>
        <w:tc>
          <w:tcPr>
            <w:tcW w:w="1260" w:type="dxa"/>
            <w:shd w:val="clear" w:color="auto" w:fill="auto"/>
            <w:tcMar>
              <w:top w:w="110" w:type="dxa"/>
            </w:tcMar>
          </w:tcPr>
          <w:p w:rsidR="0063033D" w:rsidRDefault="0063033D" w:rsidP="009375B7">
            <w:pPr>
              <w:keepNext/>
              <w:keepLines/>
              <w:autoSpaceDE w:val="0"/>
              <w:autoSpaceDN w:val="0"/>
              <w:adjustRightInd w:val="0"/>
              <w:spacing w:after="120"/>
              <w:rPr>
                <w:rFonts w:cs="Arial"/>
                <w:color w:val="000000"/>
                <w:sz w:val="16"/>
                <w:szCs w:val="16"/>
              </w:rPr>
            </w:pPr>
            <w:r>
              <w:rPr>
                <w:rFonts w:cs="Arial"/>
                <w:color w:val="000000"/>
                <w:sz w:val="16"/>
                <w:szCs w:val="16"/>
              </w:rPr>
              <w:t>May 2014-December 2014</w:t>
            </w:r>
          </w:p>
          <w:p w:rsidR="0063033D" w:rsidRDefault="0063033D" w:rsidP="009375B7">
            <w:pPr>
              <w:keepNext/>
              <w:keepLines/>
              <w:autoSpaceDE w:val="0"/>
              <w:autoSpaceDN w:val="0"/>
              <w:adjustRightInd w:val="0"/>
              <w:spacing w:after="120"/>
              <w:rPr>
                <w:rFonts w:cs="Arial"/>
                <w:color w:val="000000"/>
                <w:sz w:val="16"/>
                <w:szCs w:val="16"/>
              </w:rPr>
            </w:pPr>
            <w:r>
              <w:rPr>
                <w:rFonts w:cs="Arial"/>
                <w:color w:val="000000"/>
                <w:sz w:val="16"/>
                <w:szCs w:val="16"/>
              </w:rPr>
              <w:t>(ongoing)</w:t>
            </w:r>
            <w:r>
              <w:rPr>
                <w:rStyle w:val="FootnoteReference"/>
                <w:rFonts w:cs="Arial"/>
                <w:color w:val="000000"/>
                <w:sz w:val="16"/>
                <w:szCs w:val="16"/>
              </w:rPr>
              <w:footnoteReference w:id="70"/>
            </w:r>
          </w:p>
          <w:p w:rsidR="0063033D" w:rsidRPr="00B058EA" w:rsidRDefault="0063033D" w:rsidP="009375B7">
            <w:pPr>
              <w:keepNext/>
              <w:keepLines/>
              <w:autoSpaceDE w:val="0"/>
              <w:autoSpaceDN w:val="0"/>
              <w:adjustRightInd w:val="0"/>
              <w:spacing w:after="120"/>
              <w:rPr>
                <w:rFonts w:cs="Arial"/>
                <w:color w:val="000000"/>
                <w:sz w:val="16"/>
                <w:szCs w:val="16"/>
              </w:rPr>
            </w:pPr>
          </w:p>
        </w:tc>
        <w:tc>
          <w:tcPr>
            <w:tcW w:w="1862" w:type="dxa"/>
            <w:shd w:val="clear" w:color="auto" w:fill="auto"/>
            <w:tcMar>
              <w:top w:w="110" w:type="dxa"/>
            </w:tcMar>
          </w:tcPr>
          <w:p w:rsidR="0063033D" w:rsidRDefault="0063033D" w:rsidP="009375B7">
            <w:pPr>
              <w:keepNext/>
              <w:keepLines/>
              <w:autoSpaceDE w:val="0"/>
              <w:autoSpaceDN w:val="0"/>
              <w:adjustRightInd w:val="0"/>
              <w:spacing w:after="120"/>
              <w:rPr>
                <w:rFonts w:cs="Arial"/>
                <w:color w:val="000000"/>
                <w:sz w:val="16"/>
                <w:szCs w:val="16"/>
              </w:rPr>
            </w:pPr>
            <w:r>
              <w:rPr>
                <w:rFonts w:cs="Arial"/>
                <w:color w:val="000000"/>
                <w:sz w:val="16"/>
                <w:szCs w:val="16"/>
              </w:rPr>
              <w:t>Uruguay</w:t>
            </w:r>
          </w:p>
          <w:p w:rsidR="0063033D" w:rsidRPr="00D5665A" w:rsidRDefault="0063033D" w:rsidP="009375B7">
            <w:pPr>
              <w:keepNext/>
              <w:keepLines/>
              <w:autoSpaceDE w:val="0"/>
              <w:autoSpaceDN w:val="0"/>
              <w:adjustRightInd w:val="0"/>
              <w:spacing w:after="120"/>
              <w:rPr>
                <w:rFonts w:cs="Arial"/>
                <w:color w:val="000000"/>
                <w:sz w:val="16"/>
                <w:szCs w:val="16"/>
                <w:lang w:val="es-ES_tradnl"/>
              </w:rPr>
            </w:pPr>
            <w:r w:rsidRPr="00D5665A">
              <w:rPr>
                <w:rFonts w:cs="Arial"/>
                <w:color w:val="000000"/>
                <w:sz w:val="16"/>
                <w:szCs w:val="16"/>
                <w:lang w:val="es-ES_tradnl"/>
              </w:rPr>
              <w:tab/>
            </w:r>
            <w:r w:rsidRPr="00D5665A">
              <w:rPr>
                <w:rFonts w:cs="Arial"/>
                <w:color w:val="000000"/>
                <w:sz w:val="16"/>
                <w:szCs w:val="16"/>
                <w:lang w:val="es-ES_tradnl"/>
              </w:rPr>
              <w:tab/>
            </w:r>
            <w:r w:rsidRPr="00D5665A">
              <w:rPr>
                <w:rFonts w:cs="Arial"/>
                <w:color w:val="000000"/>
                <w:sz w:val="16"/>
                <w:szCs w:val="16"/>
                <w:lang w:val="es-ES_tradnl"/>
              </w:rPr>
              <w:tab/>
            </w:r>
          </w:p>
        </w:tc>
        <w:tc>
          <w:tcPr>
            <w:tcW w:w="4253" w:type="dxa"/>
            <w:shd w:val="clear" w:color="auto" w:fill="FFFFFF"/>
            <w:tcMar>
              <w:top w:w="110" w:type="dxa"/>
            </w:tcMar>
          </w:tcPr>
          <w:p w:rsidR="0063033D" w:rsidRDefault="0063033D" w:rsidP="009375B7">
            <w:pPr>
              <w:keepNext/>
              <w:keepLines/>
              <w:autoSpaceDE w:val="0"/>
              <w:autoSpaceDN w:val="0"/>
              <w:adjustRightInd w:val="0"/>
              <w:spacing w:after="120"/>
              <w:rPr>
                <w:rFonts w:cs="Arial"/>
                <w:color w:val="000000"/>
                <w:sz w:val="16"/>
                <w:szCs w:val="16"/>
              </w:rPr>
            </w:pPr>
            <w:r>
              <w:rPr>
                <w:rFonts w:cs="Arial"/>
                <w:color w:val="000000"/>
                <w:sz w:val="16"/>
                <w:szCs w:val="16"/>
              </w:rPr>
              <w:t>To enhance the capacity of an IP professional with a focus on the role of information technology in the strategic management of business processes.</w:t>
            </w:r>
          </w:p>
          <w:p w:rsidR="0063033D" w:rsidRPr="00262A74" w:rsidRDefault="0063033D" w:rsidP="009375B7">
            <w:pPr>
              <w:keepNext/>
              <w:keepLines/>
              <w:autoSpaceDE w:val="0"/>
              <w:autoSpaceDN w:val="0"/>
              <w:adjustRightInd w:val="0"/>
              <w:spacing w:after="120"/>
              <w:rPr>
                <w:rFonts w:cs="Arial"/>
                <w:color w:val="000000"/>
                <w:sz w:val="16"/>
                <w:szCs w:val="16"/>
              </w:rPr>
            </w:pPr>
          </w:p>
          <w:p w:rsidR="0063033D" w:rsidRPr="00262A74" w:rsidRDefault="0063033D" w:rsidP="009375B7">
            <w:pPr>
              <w:keepNext/>
              <w:keepLines/>
              <w:autoSpaceDE w:val="0"/>
              <w:autoSpaceDN w:val="0"/>
              <w:adjustRightInd w:val="0"/>
              <w:spacing w:after="120"/>
              <w:rPr>
                <w:rFonts w:cs="Arial"/>
                <w:color w:val="000000"/>
                <w:sz w:val="16"/>
                <w:szCs w:val="16"/>
              </w:rPr>
            </w:pPr>
          </w:p>
        </w:tc>
      </w:tr>
      <w:tr w:rsidR="0063033D" w:rsidRPr="00CB548E" w:rsidTr="008D1891">
        <w:trPr>
          <w:cantSplit/>
        </w:trPr>
        <w:tc>
          <w:tcPr>
            <w:tcW w:w="9356" w:type="dxa"/>
            <w:gridSpan w:val="4"/>
            <w:tcBorders>
              <w:top w:val="single" w:sz="4" w:space="0" w:color="auto"/>
              <w:bottom w:val="single" w:sz="4" w:space="0" w:color="auto"/>
            </w:tcBorders>
            <w:shd w:val="clear" w:color="auto" w:fill="CCFFFF"/>
            <w:vAlign w:val="center"/>
          </w:tcPr>
          <w:p w:rsidR="0063033D" w:rsidRPr="00CB548E" w:rsidRDefault="0063033D" w:rsidP="008D1891">
            <w:pPr>
              <w:keepNext/>
              <w:keepLines/>
              <w:tabs>
                <w:tab w:val="left" w:pos="1740"/>
              </w:tabs>
              <w:spacing w:before="120" w:after="120"/>
              <w:ind w:left="1740" w:hanging="1740"/>
              <w:rPr>
                <w:rFonts w:cs="Arial"/>
                <w:b/>
                <w:bCs/>
                <w:sz w:val="16"/>
                <w:szCs w:val="16"/>
              </w:rPr>
            </w:pPr>
            <w:r w:rsidRPr="00CB548E">
              <w:rPr>
                <w:rFonts w:cs="Arial"/>
                <w:b/>
                <w:bCs/>
                <w:color w:val="000000"/>
                <w:sz w:val="16"/>
                <w:szCs w:val="16"/>
              </w:rPr>
              <w:t>RESULT</w:t>
            </w:r>
            <w:r w:rsidRPr="00CB548E">
              <w:rPr>
                <w:rFonts w:cs="Arial"/>
                <w:b/>
                <w:bCs/>
                <w:sz w:val="16"/>
                <w:szCs w:val="16"/>
              </w:rPr>
              <w:t>:</w:t>
            </w:r>
            <w:r w:rsidRPr="00CB548E">
              <w:rPr>
                <w:rFonts w:cs="Arial"/>
                <w:b/>
                <w:bCs/>
                <w:sz w:val="16"/>
                <w:szCs w:val="16"/>
              </w:rPr>
              <w:tab/>
            </w:r>
            <w:r w:rsidRPr="008230D2">
              <w:rPr>
                <w:rFonts w:cs="Arial"/>
                <w:bCs/>
                <w:color w:val="000000"/>
                <w:sz w:val="16"/>
                <w:szCs w:val="16"/>
              </w:rPr>
              <w:t>III.4. Strengthened cooperation mechanisms and programs tailored to the needs of developing countries and LDCs</w:t>
            </w:r>
          </w:p>
        </w:tc>
      </w:tr>
      <w:tr w:rsidR="0063033D" w:rsidRPr="00CB548E" w:rsidTr="008D1891">
        <w:trPr>
          <w:cantSplit/>
        </w:trPr>
        <w:tc>
          <w:tcPr>
            <w:tcW w:w="1981" w:type="dxa"/>
            <w:tcBorders>
              <w:top w:val="single" w:sz="4" w:space="0" w:color="auto"/>
            </w:tcBorders>
            <w:vAlign w:val="center"/>
          </w:tcPr>
          <w:p w:rsidR="0063033D" w:rsidRPr="00CB548E" w:rsidRDefault="0063033D" w:rsidP="008D1891">
            <w:pPr>
              <w:keepNext/>
              <w:keepLines/>
              <w:rPr>
                <w:rFonts w:cs="Arial"/>
                <w:b/>
                <w:bCs/>
                <w:sz w:val="16"/>
                <w:szCs w:val="16"/>
              </w:rPr>
            </w:pPr>
            <w:r w:rsidRPr="00CB548E">
              <w:rPr>
                <w:rFonts w:cs="Arial"/>
                <w:b/>
                <w:bCs/>
                <w:sz w:val="16"/>
                <w:szCs w:val="16"/>
              </w:rPr>
              <w:t>Activity</w:t>
            </w:r>
          </w:p>
        </w:tc>
        <w:tc>
          <w:tcPr>
            <w:tcW w:w="1260" w:type="dxa"/>
            <w:tcBorders>
              <w:top w:val="single" w:sz="4" w:space="0" w:color="auto"/>
            </w:tcBorders>
            <w:shd w:val="clear" w:color="auto" w:fill="auto"/>
            <w:tcMar>
              <w:top w:w="110" w:type="dxa"/>
            </w:tcMar>
            <w:vAlign w:val="center"/>
          </w:tcPr>
          <w:p w:rsidR="0063033D" w:rsidRPr="00CB548E" w:rsidRDefault="0063033D" w:rsidP="008D1891">
            <w:pPr>
              <w:keepNext/>
              <w:keepLines/>
              <w:rPr>
                <w:rFonts w:cs="Arial"/>
                <w:sz w:val="16"/>
                <w:szCs w:val="16"/>
              </w:rPr>
            </w:pPr>
            <w:r w:rsidRPr="00CB548E">
              <w:rPr>
                <w:rFonts w:cs="Arial"/>
                <w:b/>
                <w:bCs/>
                <w:sz w:val="16"/>
                <w:szCs w:val="16"/>
              </w:rPr>
              <w:t>Date</w:t>
            </w:r>
          </w:p>
        </w:tc>
        <w:tc>
          <w:tcPr>
            <w:tcW w:w="1862" w:type="dxa"/>
            <w:tcBorders>
              <w:top w:val="single" w:sz="4" w:space="0" w:color="auto"/>
            </w:tcBorders>
            <w:shd w:val="clear" w:color="auto" w:fill="auto"/>
            <w:tcMar>
              <w:top w:w="110" w:type="dxa"/>
            </w:tcMar>
            <w:vAlign w:val="center"/>
          </w:tcPr>
          <w:p w:rsidR="0063033D" w:rsidRPr="00CB548E" w:rsidRDefault="0063033D" w:rsidP="008D1891">
            <w:pPr>
              <w:keepNext/>
              <w:keepLines/>
              <w:rPr>
                <w:rFonts w:cs="Arial"/>
                <w:sz w:val="16"/>
                <w:szCs w:val="16"/>
              </w:rPr>
            </w:pPr>
            <w:r w:rsidRPr="00CB548E">
              <w:rPr>
                <w:rFonts w:cs="Arial"/>
                <w:b/>
                <w:bCs/>
                <w:sz w:val="16"/>
                <w:szCs w:val="16"/>
              </w:rPr>
              <w:t>Host Country/</w:t>
            </w:r>
            <w:r w:rsidRPr="00CB548E">
              <w:rPr>
                <w:rFonts w:cs="Arial"/>
                <w:b/>
                <w:bCs/>
                <w:sz w:val="16"/>
                <w:szCs w:val="16"/>
              </w:rPr>
              <w:br/>
              <w:t>Recipients</w:t>
            </w:r>
          </w:p>
        </w:tc>
        <w:tc>
          <w:tcPr>
            <w:tcW w:w="4253" w:type="dxa"/>
            <w:tcBorders>
              <w:top w:val="single" w:sz="4" w:space="0" w:color="auto"/>
            </w:tcBorders>
            <w:shd w:val="clear" w:color="auto" w:fill="FFFFFF"/>
            <w:tcMar>
              <w:top w:w="110" w:type="dxa"/>
            </w:tcMar>
            <w:vAlign w:val="center"/>
          </w:tcPr>
          <w:p w:rsidR="0063033D" w:rsidRPr="00CB548E" w:rsidRDefault="0063033D" w:rsidP="008D1891">
            <w:pPr>
              <w:keepNext/>
              <w:keepLines/>
              <w:rPr>
                <w:rFonts w:cs="Arial"/>
                <w:sz w:val="16"/>
                <w:szCs w:val="16"/>
              </w:rPr>
            </w:pPr>
            <w:r w:rsidRPr="00CB548E">
              <w:rPr>
                <w:rFonts w:cs="Arial"/>
                <w:b/>
                <w:bCs/>
                <w:sz w:val="16"/>
                <w:szCs w:val="16"/>
              </w:rPr>
              <w:t>Purpose(s)/Description(s)</w:t>
            </w:r>
          </w:p>
        </w:tc>
      </w:tr>
      <w:tr w:rsidR="0063033D" w:rsidRPr="00CB548E" w:rsidTr="008D1891">
        <w:trPr>
          <w:cantSplit/>
        </w:trPr>
        <w:tc>
          <w:tcPr>
            <w:tcW w:w="1981" w:type="dxa"/>
          </w:tcPr>
          <w:p w:rsidR="0063033D" w:rsidRPr="00033FB3"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Participation of government officials in the WIPO Assemblies</w:t>
            </w:r>
          </w:p>
        </w:tc>
        <w:tc>
          <w:tcPr>
            <w:tcW w:w="1260" w:type="dxa"/>
          </w:tcPr>
          <w:p w:rsidR="0063033D" w:rsidRPr="00033FB3"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January to December 2014</w:t>
            </w:r>
          </w:p>
        </w:tc>
        <w:tc>
          <w:tcPr>
            <w:tcW w:w="1862" w:type="dxa"/>
          </w:tcPr>
          <w:p w:rsidR="0063033D" w:rsidRPr="00033FB3"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Switzerland/ Uruguay</w:t>
            </w:r>
            <w:r w:rsidRPr="00B20217">
              <w:rPr>
                <w:rFonts w:cs="Arial"/>
                <w:color w:val="000000"/>
                <w:sz w:val="16"/>
                <w:szCs w:val="16"/>
              </w:rPr>
              <w:tab/>
            </w:r>
            <w:r w:rsidRPr="00B20217">
              <w:rPr>
                <w:rFonts w:cs="Arial"/>
                <w:color w:val="000000"/>
                <w:sz w:val="16"/>
                <w:szCs w:val="16"/>
              </w:rPr>
              <w:tab/>
            </w:r>
            <w:r w:rsidRPr="00B20217">
              <w:rPr>
                <w:rFonts w:cs="Arial"/>
                <w:color w:val="000000"/>
                <w:sz w:val="16"/>
                <w:szCs w:val="16"/>
              </w:rPr>
              <w:tab/>
            </w:r>
            <w:r w:rsidRPr="00B20217">
              <w:rPr>
                <w:rFonts w:cs="Arial"/>
                <w:color w:val="000000"/>
                <w:sz w:val="16"/>
                <w:szCs w:val="16"/>
              </w:rPr>
              <w:tab/>
            </w:r>
          </w:p>
        </w:tc>
        <w:tc>
          <w:tcPr>
            <w:tcW w:w="4253" w:type="dxa"/>
          </w:tcPr>
          <w:p w:rsidR="0063033D" w:rsidRPr="00033FB3"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To </w:t>
            </w:r>
            <w:r w:rsidRPr="00A11618">
              <w:rPr>
                <w:rFonts w:cs="Arial"/>
                <w:color w:val="000000"/>
                <w:sz w:val="16"/>
                <w:szCs w:val="16"/>
              </w:rPr>
              <w:t>represent the government in different for</w:t>
            </w:r>
            <w:r>
              <w:rPr>
                <w:rFonts w:cs="Arial"/>
                <w:color w:val="000000"/>
                <w:sz w:val="16"/>
                <w:szCs w:val="16"/>
              </w:rPr>
              <w:t>a</w:t>
            </w:r>
            <w:r w:rsidRPr="00A11618">
              <w:rPr>
                <w:rFonts w:cs="Arial"/>
                <w:color w:val="000000"/>
                <w:sz w:val="16"/>
                <w:szCs w:val="16"/>
              </w:rPr>
              <w:t xml:space="preserve"> where</w:t>
            </w:r>
            <w:r>
              <w:rPr>
                <w:rFonts w:cs="Arial"/>
                <w:color w:val="000000"/>
                <w:sz w:val="16"/>
                <w:szCs w:val="16"/>
              </w:rPr>
              <w:t xml:space="preserve"> different</w:t>
            </w:r>
            <w:r w:rsidRPr="00A11618">
              <w:rPr>
                <w:rFonts w:cs="Arial"/>
                <w:color w:val="000000"/>
                <w:sz w:val="16"/>
                <w:szCs w:val="16"/>
              </w:rPr>
              <w:t xml:space="preserve"> issues </w:t>
            </w:r>
            <w:r>
              <w:rPr>
                <w:rFonts w:cs="Arial"/>
                <w:color w:val="000000"/>
                <w:sz w:val="16"/>
                <w:szCs w:val="16"/>
              </w:rPr>
              <w:t xml:space="preserve">and programs on IP </w:t>
            </w:r>
            <w:r w:rsidRPr="00A11618">
              <w:rPr>
                <w:rFonts w:cs="Arial"/>
                <w:color w:val="000000"/>
                <w:sz w:val="16"/>
                <w:szCs w:val="16"/>
              </w:rPr>
              <w:t>are being analyzed</w:t>
            </w:r>
            <w:r>
              <w:rPr>
                <w:rFonts w:cs="Arial"/>
                <w:color w:val="000000"/>
                <w:sz w:val="16"/>
                <w:szCs w:val="16"/>
              </w:rPr>
              <w:t>.</w:t>
            </w:r>
            <w:r w:rsidRPr="00A11618">
              <w:rPr>
                <w:rFonts w:cs="Arial"/>
                <w:color w:val="000000"/>
                <w:sz w:val="16"/>
                <w:szCs w:val="16"/>
              </w:rPr>
              <w:t xml:space="preserve"> </w:t>
            </w:r>
          </w:p>
        </w:tc>
      </w:tr>
      <w:tr w:rsidR="0063033D" w:rsidRPr="00CB548E" w:rsidTr="008D1891">
        <w:trPr>
          <w:cantSplit/>
        </w:trPr>
        <w:tc>
          <w:tcPr>
            <w:tcW w:w="9356" w:type="dxa"/>
            <w:gridSpan w:val="4"/>
            <w:tcBorders>
              <w:top w:val="single" w:sz="4" w:space="0" w:color="auto"/>
              <w:bottom w:val="single" w:sz="4" w:space="0" w:color="auto"/>
            </w:tcBorders>
            <w:shd w:val="clear" w:color="auto" w:fill="CCFFFF"/>
            <w:vAlign w:val="center"/>
          </w:tcPr>
          <w:p w:rsidR="0063033D" w:rsidRPr="00CB548E" w:rsidRDefault="0063033D" w:rsidP="008D1891">
            <w:pPr>
              <w:keepNext/>
              <w:keepLines/>
              <w:tabs>
                <w:tab w:val="left" w:pos="1740"/>
              </w:tabs>
              <w:spacing w:before="120" w:after="120"/>
              <w:ind w:left="1740" w:hanging="1740"/>
              <w:rPr>
                <w:rFonts w:cs="Arial"/>
                <w:b/>
                <w:bCs/>
                <w:sz w:val="16"/>
                <w:szCs w:val="16"/>
              </w:rPr>
            </w:pPr>
            <w:r w:rsidRPr="00CB548E">
              <w:rPr>
                <w:rFonts w:cs="Arial"/>
                <w:b/>
                <w:bCs/>
                <w:color w:val="000000"/>
                <w:sz w:val="16"/>
                <w:szCs w:val="16"/>
              </w:rPr>
              <w:t>RESULT</w:t>
            </w:r>
            <w:r w:rsidRPr="00CB548E">
              <w:rPr>
                <w:rFonts w:cs="Arial"/>
                <w:b/>
                <w:bCs/>
                <w:sz w:val="16"/>
                <w:szCs w:val="16"/>
              </w:rPr>
              <w:t>:</w:t>
            </w:r>
            <w:r w:rsidRPr="00CB548E">
              <w:rPr>
                <w:rFonts w:cs="Arial"/>
                <w:b/>
                <w:bCs/>
                <w:sz w:val="16"/>
                <w:szCs w:val="16"/>
              </w:rPr>
              <w:tab/>
            </w:r>
            <w:r w:rsidRPr="008230D2">
              <w:rPr>
                <w:rFonts w:cs="Arial"/>
                <w:bCs/>
                <w:color w:val="000000"/>
                <w:sz w:val="16"/>
                <w:szCs w:val="16"/>
              </w:rPr>
              <w:t>IV.4. Enhanced technical and knowledge infrastructure for IP Offices and other IP institutions leading to better services (cheaper, faster, higher quality) to their stakeholders</w:t>
            </w:r>
          </w:p>
        </w:tc>
      </w:tr>
      <w:tr w:rsidR="0063033D" w:rsidRPr="00CB548E" w:rsidTr="008D1891">
        <w:trPr>
          <w:cantSplit/>
        </w:trPr>
        <w:tc>
          <w:tcPr>
            <w:tcW w:w="1981" w:type="dxa"/>
            <w:tcBorders>
              <w:top w:val="single" w:sz="4" w:space="0" w:color="auto"/>
            </w:tcBorders>
            <w:vAlign w:val="center"/>
          </w:tcPr>
          <w:p w:rsidR="0063033D" w:rsidRPr="00CB548E" w:rsidRDefault="0063033D" w:rsidP="008D1891">
            <w:pPr>
              <w:keepNext/>
              <w:keepLines/>
              <w:rPr>
                <w:rFonts w:cs="Arial"/>
                <w:b/>
                <w:bCs/>
                <w:sz w:val="16"/>
                <w:szCs w:val="16"/>
              </w:rPr>
            </w:pPr>
            <w:r w:rsidRPr="00CB548E">
              <w:rPr>
                <w:rFonts w:cs="Arial"/>
                <w:b/>
                <w:bCs/>
                <w:sz w:val="16"/>
                <w:szCs w:val="16"/>
              </w:rPr>
              <w:t>Activity</w:t>
            </w:r>
          </w:p>
        </w:tc>
        <w:tc>
          <w:tcPr>
            <w:tcW w:w="1260" w:type="dxa"/>
            <w:tcBorders>
              <w:top w:val="single" w:sz="4" w:space="0" w:color="auto"/>
            </w:tcBorders>
            <w:shd w:val="clear" w:color="auto" w:fill="auto"/>
            <w:tcMar>
              <w:top w:w="110" w:type="dxa"/>
            </w:tcMar>
            <w:vAlign w:val="center"/>
          </w:tcPr>
          <w:p w:rsidR="0063033D" w:rsidRPr="00CB548E" w:rsidRDefault="0063033D" w:rsidP="008D1891">
            <w:pPr>
              <w:keepNext/>
              <w:keepLines/>
              <w:rPr>
                <w:rFonts w:cs="Arial"/>
                <w:sz w:val="16"/>
                <w:szCs w:val="16"/>
              </w:rPr>
            </w:pPr>
            <w:r w:rsidRPr="00CB548E">
              <w:rPr>
                <w:rFonts w:cs="Arial"/>
                <w:b/>
                <w:bCs/>
                <w:sz w:val="16"/>
                <w:szCs w:val="16"/>
              </w:rPr>
              <w:t>Date</w:t>
            </w:r>
          </w:p>
        </w:tc>
        <w:tc>
          <w:tcPr>
            <w:tcW w:w="1862" w:type="dxa"/>
            <w:tcBorders>
              <w:top w:val="single" w:sz="4" w:space="0" w:color="auto"/>
            </w:tcBorders>
            <w:shd w:val="clear" w:color="auto" w:fill="auto"/>
            <w:tcMar>
              <w:top w:w="110" w:type="dxa"/>
            </w:tcMar>
            <w:vAlign w:val="center"/>
          </w:tcPr>
          <w:p w:rsidR="0063033D" w:rsidRPr="00CB548E" w:rsidRDefault="0063033D" w:rsidP="008D1891">
            <w:pPr>
              <w:keepNext/>
              <w:keepLines/>
              <w:rPr>
                <w:rFonts w:cs="Arial"/>
                <w:sz w:val="16"/>
                <w:szCs w:val="16"/>
              </w:rPr>
            </w:pPr>
            <w:r w:rsidRPr="00CB548E">
              <w:rPr>
                <w:rFonts w:cs="Arial"/>
                <w:b/>
                <w:bCs/>
                <w:sz w:val="16"/>
                <w:szCs w:val="16"/>
              </w:rPr>
              <w:t>Host Country/</w:t>
            </w:r>
            <w:r w:rsidRPr="00CB548E">
              <w:rPr>
                <w:rFonts w:cs="Arial"/>
                <w:b/>
                <w:bCs/>
                <w:sz w:val="16"/>
                <w:szCs w:val="16"/>
              </w:rPr>
              <w:br/>
              <w:t>Recipients</w:t>
            </w:r>
          </w:p>
        </w:tc>
        <w:tc>
          <w:tcPr>
            <w:tcW w:w="4253" w:type="dxa"/>
            <w:tcBorders>
              <w:top w:val="single" w:sz="4" w:space="0" w:color="auto"/>
            </w:tcBorders>
            <w:shd w:val="clear" w:color="auto" w:fill="FFFFFF"/>
            <w:tcMar>
              <w:top w:w="110" w:type="dxa"/>
            </w:tcMar>
            <w:vAlign w:val="center"/>
          </w:tcPr>
          <w:p w:rsidR="0063033D" w:rsidRPr="00CB548E" w:rsidRDefault="0063033D" w:rsidP="008D1891">
            <w:pPr>
              <w:keepNext/>
              <w:keepLines/>
              <w:rPr>
                <w:rFonts w:cs="Arial"/>
                <w:sz w:val="16"/>
                <w:szCs w:val="16"/>
              </w:rPr>
            </w:pPr>
            <w:r w:rsidRPr="00CB548E">
              <w:rPr>
                <w:rFonts w:cs="Arial"/>
                <w:b/>
                <w:bCs/>
                <w:sz w:val="16"/>
                <w:szCs w:val="16"/>
              </w:rPr>
              <w:t>Purpose(s)/Description(s)</w:t>
            </w:r>
          </w:p>
        </w:tc>
      </w:tr>
      <w:tr w:rsidR="0063033D" w:rsidRPr="00CB548E" w:rsidTr="008D1891">
        <w:trPr>
          <w:cantSplit/>
        </w:trPr>
        <w:tc>
          <w:tcPr>
            <w:tcW w:w="1981" w:type="dxa"/>
          </w:tcPr>
          <w:p w:rsidR="0063033D" w:rsidRPr="00C97BF9" w:rsidRDefault="0063033D" w:rsidP="008D1891">
            <w:pPr>
              <w:autoSpaceDE w:val="0"/>
              <w:autoSpaceDN w:val="0"/>
              <w:adjustRightInd w:val="0"/>
              <w:spacing w:before="120" w:after="120"/>
              <w:rPr>
                <w:rFonts w:cs="Arial"/>
                <w:color w:val="000000"/>
                <w:sz w:val="16"/>
                <w:szCs w:val="16"/>
              </w:rPr>
            </w:pPr>
            <w:r w:rsidRPr="00C97BF9">
              <w:rPr>
                <w:rFonts w:cs="Arial"/>
                <w:color w:val="000000"/>
                <w:sz w:val="16"/>
                <w:szCs w:val="16"/>
              </w:rPr>
              <w:t xml:space="preserve">Training Workshop on Intellectual Property Automation System (IPAS)  </w:t>
            </w:r>
          </w:p>
        </w:tc>
        <w:tc>
          <w:tcPr>
            <w:tcW w:w="1260" w:type="dxa"/>
          </w:tcPr>
          <w:p w:rsidR="0063033D" w:rsidRPr="00C97BF9"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September 8 to 12, 2014</w:t>
            </w:r>
          </w:p>
        </w:tc>
        <w:tc>
          <w:tcPr>
            <w:tcW w:w="1862" w:type="dxa"/>
          </w:tcPr>
          <w:p w:rsidR="0063033D" w:rsidRPr="00845557" w:rsidRDefault="0063033D" w:rsidP="008D1891">
            <w:pPr>
              <w:autoSpaceDE w:val="0"/>
              <w:autoSpaceDN w:val="0"/>
              <w:adjustRightInd w:val="0"/>
              <w:spacing w:before="120" w:after="120"/>
              <w:rPr>
                <w:rFonts w:cs="Arial"/>
                <w:color w:val="000000"/>
                <w:sz w:val="16"/>
                <w:szCs w:val="16"/>
                <w:lang w:val="pt-BR"/>
              </w:rPr>
            </w:pPr>
            <w:r w:rsidRPr="00845557">
              <w:rPr>
                <w:rFonts w:cs="Arial"/>
                <w:color w:val="000000"/>
                <w:sz w:val="16"/>
                <w:szCs w:val="16"/>
                <w:lang w:val="pt-BR"/>
              </w:rPr>
              <w:t>Costa Rica/ 1 participant from Uruguay</w:t>
            </w:r>
          </w:p>
        </w:tc>
        <w:tc>
          <w:tcPr>
            <w:tcW w:w="4253" w:type="dxa"/>
          </w:tcPr>
          <w:p w:rsidR="0063033D" w:rsidRPr="00C97BF9"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To improve efficiency in the National Directorate for Industrial Property (DNPI) internal processes.</w:t>
            </w:r>
          </w:p>
        </w:tc>
      </w:tr>
      <w:tr w:rsidR="0063033D" w:rsidRPr="00CB548E" w:rsidTr="008D1891">
        <w:trPr>
          <w:cantSplit/>
        </w:trPr>
        <w:tc>
          <w:tcPr>
            <w:tcW w:w="1981" w:type="dxa"/>
          </w:tcPr>
          <w:p w:rsidR="0063033D" w:rsidRPr="00C97BF9"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Launch of the Global Patent Information EPO database</w:t>
            </w:r>
          </w:p>
        </w:tc>
        <w:tc>
          <w:tcPr>
            <w:tcW w:w="1260"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January to December 2014</w:t>
            </w:r>
          </w:p>
          <w:p w:rsidR="0063033D" w:rsidRPr="00C97BF9"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(ongoing)</w:t>
            </w:r>
          </w:p>
        </w:tc>
        <w:tc>
          <w:tcPr>
            <w:tcW w:w="1862" w:type="dxa"/>
          </w:tcPr>
          <w:p w:rsidR="0063033D" w:rsidRDefault="0063033D" w:rsidP="008D1891">
            <w:pPr>
              <w:autoSpaceDE w:val="0"/>
              <w:autoSpaceDN w:val="0"/>
              <w:adjustRightInd w:val="0"/>
              <w:spacing w:before="120" w:after="120"/>
              <w:rPr>
                <w:rFonts w:cs="Arial"/>
                <w:color w:val="000000"/>
                <w:sz w:val="16"/>
                <w:szCs w:val="16"/>
                <w:lang w:val="es-ES_tradnl"/>
              </w:rPr>
            </w:pPr>
            <w:r w:rsidRPr="00C54410">
              <w:rPr>
                <w:rFonts w:cs="Arial"/>
                <w:color w:val="000000"/>
                <w:sz w:val="16"/>
                <w:szCs w:val="16"/>
              </w:rPr>
              <w:t>All</w:t>
            </w:r>
            <w:r>
              <w:rPr>
                <w:rFonts w:cs="Arial"/>
                <w:color w:val="000000"/>
                <w:sz w:val="16"/>
                <w:szCs w:val="16"/>
                <w:lang w:val="es-ES_tradnl"/>
              </w:rPr>
              <w:t xml:space="preserve"> </w:t>
            </w:r>
            <w:r w:rsidRPr="00C54410">
              <w:rPr>
                <w:rFonts w:cs="Arial"/>
                <w:color w:val="000000"/>
                <w:sz w:val="16"/>
                <w:szCs w:val="16"/>
              </w:rPr>
              <w:t>Latin</w:t>
            </w:r>
            <w:r>
              <w:rPr>
                <w:rFonts w:cs="Arial"/>
                <w:color w:val="000000"/>
                <w:sz w:val="16"/>
                <w:szCs w:val="16"/>
                <w:lang w:val="es-ES_tradnl"/>
              </w:rPr>
              <w:t xml:space="preserve"> American </w:t>
            </w:r>
            <w:r w:rsidRPr="00287C2E">
              <w:rPr>
                <w:rFonts w:cs="Arial"/>
                <w:color w:val="000000"/>
                <w:sz w:val="16"/>
                <w:szCs w:val="16"/>
              </w:rPr>
              <w:t>countries</w:t>
            </w:r>
          </w:p>
          <w:p w:rsidR="0063033D" w:rsidRPr="008D1891" w:rsidRDefault="0063033D" w:rsidP="008D1891">
            <w:pPr>
              <w:autoSpaceDE w:val="0"/>
              <w:autoSpaceDN w:val="0"/>
              <w:adjustRightInd w:val="0"/>
              <w:spacing w:before="120" w:after="120"/>
              <w:rPr>
                <w:rFonts w:cs="Arial"/>
                <w:color w:val="000000"/>
                <w:sz w:val="16"/>
                <w:szCs w:val="16"/>
              </w:rPr>
            </w:pPr>
          </w:p>
        </w:tc>
        <w:tc>
          <w:tcPr>
            <w:tcW w:w="4253"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 xml:space="preserve">To </w:t>
            </w:r>
            <w:r w:rsidRPr="007C5B5A">
              <w:rPr>
                <w:rFonts w:cs="Arial"/>
                <w:color w:val="000000"/>
                <w:sz w:val="16"/>
                <w:szCs w:val="16"/>
              </w:rPr>
              <w:t>increase the coverage range and quality of information contained in the databases of the DNPI.</w:t>
            </w:r>
          </w:p>
          <w:p w:rsidR="0063033D" w:rsidRPr="00C97BF9" w:rsidRDefault="0063033D" w:rsidP="008D1891">
            <w:pPr>
              <w:autoSpaceDE w:val="0"/>
              <w:autoSpaceDN w:val="0"/>
              <w:adjustRightInd w:val="0"/>
              <w:spacing w:before="120" w:after="120"/>
              <w:rPr>
                <w:rFonts w:cs="Arial"/>
                <w:color w:val="000000"/>
                <w:sz w:val="16"/>
                <w:szCs w:val="16"/>
              </w:rPr>
            </w:pPr>
          </w:p>
        </w:tc>
      </w:tr>
      <w:tr w:rsidR="0063033D" w:rsidRPr="00CB548E" w:rsidTr="008D1891">
        <w:trPr>
          <w:cantSplit/>
        </w:trPr>
        <w:tc>
          <w:tcPr>
            <w:tcW w:w="1981" w:type="dxa"/>
          </w:tcPr>
          <w:p w:rsidR="0063033D" w:rsidRPr="00C97BF9"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Renewal of the Thomson-Reuters IP database</w:t>
            </w:r>
          </w:p>
        </w:tc>
        <w:tc>
          <w:tcPr>
            <w:tcW w:w="1260" w:type="dxa"/>
          </w:tcPr>
          <w:p w:rsidR="0063033D"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January 1 to October 31, 2014</w:t>
            </w:r>
          </w:p>
          <w:p w:rsidR="0063033D" w:rsidRPr="00C97BF9"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(ongoing since 2013)</w:t>
            </w:r>
          </w:p>
        </w:tc>
        <w:tc>
          <w:tcPr>
            <w:tcW w:w="1862" w:type="dxa"/>
          </w:tcPr>
          <w:p w:rsidR="0063033D" w:rsidRPr="008D1891" w:rsidRDefault="0063033D" w:rsidP="008D1891">
            <w:pPr>
              <w:autoSpaceDE w:val="0"/>
              <w:autoSpaceDN w:val="0"/>
              <w:adjustRightInd w:val="0"/>
              <w:spacing w:before="120" w:after="120"/>
              <w:rPr>
                <w:rFonts w:cs="Arial"/>
                <w:color w:val="000000"/>
                <w:sz w:val="16"/>
                <w:szCs w:val="16"/>
              </w:rPr>
            </w:pPr>
            <w:r w:rsidRPr="008D1891">
              <w:rPr>
                <w:rFonts w:cs="Arial"/>
                <w:color w:val="000000"/>
                <w:sz w:val="16"/>
                <w:szCs w:val="16"/>
              </w:rPr>
              <w:t>All Latin American countries</w:t>
            </w:r>
          </w:p>
          <w:p w:rsidR="0063033D" w:rsidRPr="008D1891" w:rsidRDefault="0063033D" w:rsidP="008D1891">
            <w:pPr>
              <w:autoSpaceDE w:val="0"/>
              <w:autoSpaceDN w:val="0"/>
              <w:adjustRightInd w:val="0"/>
              <w:spacing w:before="120" w:after="120"/>
              <w:rPr>
                <w:rFonts w:cs="Arial"/>
                <w:color w:val="000000"/>
                <w:sz w:val="16"/>
                <w:szCs w:val="16"/>
              </w:rPr>
            </w:pPr>
          </w:p>
        </w:tc>
        <w:tc>
          <w:tcPr>
            <w:tcW w:w="4253" w:type="dxa"/>
          </w:tcPr>
          <w:p w:rsidR="0063033D" w:rsidRPr="00C54410"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To</w:t>
            </w:r>
            <w:r w:rsidRPr="007C5B5A">
              <w:rPr>
                <w:rFonts w:cs="Arial"/>
                <w:color w:val="000000"/>
                <w:sz w:val="16"/>
                <w:szCs w:val="16"/>
              </w:rPr>
              <w:t xml:space="preserve"> increase the coverage range and quality of information contained in the databases of the DNPI</w:t>
            </w:r>
          </w:p>
        </w:tc>
      </w:tr>
    </w:tbl>
    <w:p w:rsidR="0063033D" w:rsidRDefault="0063033D" w:rsidP="008D1891">
      <w:pPr>
        <w:keepNext/>
        <w:keepLines/>
        <w:rPr>
          <w:rFonts w:cs="Arial"/>
          <w:b/>
          <w:szCs w:val="20"/>
        </w:rPr>
      </w:pPr>
    </w:p>
    <w:p w:rsidR="0063033D" w:rsidRPr="00F635F1" w:rsidRDefault="0063033D" w:rsidP="008D1891">
      <w:pPr>
        <w:rPr>
          <w:rFonts w:cs="Arial"/>
          <w:b/>
          <w:szCs w:val="20"/>
        </w:rPr>
      </w:pPr>
    </w:p>
    <w:p w:rsidR="0063033D" w:rsidRDefault="0063033D" w:rsidP="008D1891">
      <w:pPr>
        <w:keepNext/>
        <w:keepLines/>
        <w:rPr>
          <w:rFonts w:cs="Arial"/>
          <w:b/>
          <w:bCs/>
          <w:sz w:val="18"/>
          <w:szCs w:val="18"/>
        </w:rPr>
      </w:pPr>
      <w:r>
        <w:rPr>
          <w:rFonts w:cs="Arial"/>
          <w:b/>
          <w:sz w:val="18"/>
          <w:szCs w:val="18"/>
        </w:rPr>
        <w:t>URUGUAY</w:t>
      </w:r>
      <w:r w:rsidRPr="00F635F1">
        <w:rPr>
          <w:rFonts w:cs="Arial"/>
          <w:b/>
          <w:sz w:val="18"/>
          <w:szCs w:val="18"/>
        </w:rPr>
        <w:t xml:space="preserve"> Donor </w:t>
      </w:r>
      <w:r w:rsidRPr="00F635F1">
        <w:rPr>
          <w:rFonts w:cs="Arial"/>
          <w:b/>
          <w:bCs/>
          <w:sz w:val="18"/>
          <w:szCs w:val="18"/>
        </w:rPr>
        <w:t>Contributions and Expenditure in 201</w:t>
      </w:r>
      <w:r>
        <w:rPr>
          <w:rFonts w:cs="Arial"/>
          <w:b/>
          <w:bCs/>
          <w:sz w:val="18"/>
          <w:szCs w:val="18"/>
        </w:rPr>
        <w:t>4</w:t>
      </w:r>
    </w:p>
    <w:p w:rsidR="0063033D" w:rsidRPr="00F635F1" w:rsidRDefault="0063033D" w:rsidP="008D1891">
      <w:pPr>
        <w:keepNext/>
        <w:keepLines/>
        <w:rPr>
          <w:rFonts w:cs="Arial"/>
          <w:b/>
          <w:sz w:val="18"/>
          <w:szCs w:val="18"/>
        </w:rPr>
      </w:pPr>
    </w:p>
    <w:tbl>
      <w:tblPr>
        <w:tblW w:w="9087" w:type="dxa"/>
        <w:jc w:val="center"/>
        <w:tblInd w:w="93" w:type="dxa"/>
        <w:tblLook w:val="04A0" w:firstRow="1" w:lastRow="0" w:firstColumn="1" w:lastColumn="0" w:noHBand="0" w:noVBand="1"/>
      </w:tblPr>
      <w:tblGrid>
        <w:gridCol w:w="1760"/>
        <w:gridCol w:w="1480"/>
        <w:gridCol w:w="1840"/>
        <w:gridCol w:w="2080"/>
        <w:gridCol w:w="1927"/>
      </w:tblGrid>
      <w:tr w:rsidR="0063033D" w:rsidTr="008D1891">
        <w:trPr>
          <w:trHeight w:val="414"/>
          <w:jc w:val="center"/>
        </w:trPr>
        <w:tc>
          <w:tcPr>
            <w:tcW w:w="176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2013</w:t>
            </w:r>
          </w:p>
        </w:tc>
        <w:tc>
          <w:tcPr>
            <w:tcW w:w="1480"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Income 2014</w:t>
            </w:r>
          </w:p>
        </w:tc>
        <w:tc>
          <w:tcPr>
            <w:tcW w:w="1840"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Expenditure 2014</w:t>
            </w:r>
          </w:p>
        </w:tc>
        <w:tc>
          <w:tcPr>
            <w:tcW w:w="2080"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Reimbursements</w:t>
            </w:r>
          </w:p>
        </w:tc>
        <w:tc>
          <w:tcPr>
            <w:tcW w:w="1927"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2014</w:t>
            </w:r>
          </w:p>
        </w:tc>
      </w:tr>
      <w:tr w:rsidR="0063033D" w:rsidTr="008D1891">
        <w:trPr>
          <w:trHeight w:val="548"/>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102,336</w:t>
            </w:r>
          </w:p>
        </w:tc>
        <w:tc>
          <w:tcPr>
            <w:tcW w:w="1480"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68,683</w:t>
            </w:r>
          </w:p>
        </w:tc>
        <w:tc>
          <w:tcPr>
            <w:tcW w:w="1840"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13,087</w:t>
            </w:r>
          </w:p>
        </w:tc>
        <w:tc>
          <w:tcPr>
            <w:tcW w:w="2080"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w:t>
            </w:r>
          </w:p>
        </w:tc>
        <w:tc>
          <w:tcPr>
            <w:tcW w:w="1927" w:type="dxa"/>
            <w:tcBorders>
              <w:top w:val="nil"/>
              <w:left w:val="nil"/>
              <w:bottom w:val="single" w:sz="4" w:space="0" w:color="auto"/>
              <w:right w:val="single" w:sz="4" w:space="0" w:color="auto"/>
            </w:tcBorders>
            <w:shd w:val="clear" w:color="auto" w:fill="auto"/>
            <w:vAlign w:val="center"/>
            <w:hideMark/>
          </w:tcPr>
          <w:p w:rsidR="0063033D" w:rsidRDefault="0063033D">
            <w:pPr>
              <w:jc w:val="center"/>
              <w:rPr>
                <w:rFonts w:cs="Arial"/>
                <w:sz w:val="16"/>
                <w:szCs w:val="16"/>
              </w:rPr>
            </w:pPr>
            <w:r>
              <w:rPr>
                <w:rFonts w:cs="Arial"/>
                <w:sz w:val="16"/>
                <w:szCs w:val="16"/>
              </w:rPr>
              <w:t>157,932</w:t>
            </w:r>
          </w:p>
        </w:tc>
      </w:tr>
    </w:tbl>
    <w:p w:rsidR="0063033D" w:rsidRDefault="0063033D" w:rsidP="008D1891">
      <w:pPr>
        <w:rPr>
          <w:rFonts w:cs="Arial"/>
          <w:b/>
          <w:szCs w:val="20"/>
        </w:rPr>
      </w:pPr>
    </w:p>
    <w:p w:rsidR="0063033D" w:rsidRDefault="0063033D" w:rsidP="008D1891">
      <w:pPr>
        <w:rPr>
          <w:rFonts w:cs="Arial"/>
          <w:b/>
          <w:szCs w:val="20"/>
        </w:rPr>
      </w:pPr>
    </w:p>
    <w:p w:rsidR="0063033D" w:rsidRDefault="0063033D" w:rsidP="008D1891">
      <w:pPr>
        <w:keepNext/>
        <w:keepLines/>
        <w:rPr>
          <w:rFonts w:cs="Arial"/>
          <w:b/>
          <w:szCs w:val="20"/>
        </w:rPr>
      </w:pPr>
      <w:r w:rsidRPr="003B7958">
        <w:rPr>
          <w:rFonts w:cs="Arial"/>
          <w:b/>
          <w:szCs w:val="20"/>
        </w:rPr>
        <w:lastRenderedPageBreak/>
        <w:t xml:space="preserve">UNITED STATES OF AMERICA/ </w:t>
      </w:r>
      <w:r>
        <w:rPr>
          <w:rFonts w:cs="Arial"/>
          <w:b/>
          <w:szCs w:val="20"/>
        </w:rPr>
        <w:t>COPYRIGHT</w:t>
      </w:r>
    </w:p>
    <w:p w:rsidR="0063033D" w:rsidRDefault="0063033D" w:rsidP="008D1891">
      <w:pPr>
        <w:keepNext/>
        <w:keepLines/>
        <w:rPr>
          <w:rFonts w:cs="Arial"/>
          <w:b/>
          <w:szCs w:val="20"/>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78"/>
        <w:gridCol w:w="1275"/>
        <w:gridCol w:w="1560"/>
        <w:gridCol w:w="3685"/>
      </w:tblGrid>
      <w:tr w:rsidR="0063033D" w:rsidRPr="00CB548E" w:rsidTr="008D1891">
        <w:trPr>
          <w:cantSplit/>
        </w:trPr>
        <w:tc>
          <w:tcPr>
            <w:tcW w:w="9498" w:type="dxa"/>
            <w:gridSpan w:val="4"/>
            <w:tcBorders>
              <w:top w:val="single" w:sz="4" w:space="0" w:color="auto"/>
              <w:bottom w:val="single" w:sz="4" w:space="0" w:color="auto"/>
            </w:tcBorders>
            <w:shd w:val="clear" w:color="auto" w:fill="CCFFFF"/>
            <w:vAlign w:val="center"/>
          </w:tcPr>
          <w:p w:rsidR="0063033D" w:rsidRPr="00CB548E" w:rsidRDefault="0063033D" w:rsidP="008D1891">
            <w:pPr>
              <w:keepNext/>
              <w:keepLines/>
              <w:tabs>
                <w:tab w:val="left" w:pos="1740"/>
              </w:tabs>
              <w:spacing w:before="120" w:after="120"/>
              <w:ind w:left="1740" w:hanging="1740"/>
              <w:rPr>
                <w:rFonts w:cs="Arial"/>
                <w:b/>
                <w:bCs/>
                <w:sz w:val="16"/>
                <w:szCs w:val="16"/>
              </w:rPr>
            </w:pPr>
            <w:r w:rsidRPr="00CB548E">
              <w:rPr>
                <w:rFonts w:cs="Arial"/>
                <w:b/>
                <w:bCs/>
                <w:color w:val="000000"/>
                <w:sz w:val="16"/>
                <w:szCs w:val="16"/>
              </w:rPr>
              <w:t>RESULT</w:t>
            </w:r>
            <w:r w:rsidRPr="00CB548E">
              <w:rPr>
                <w:rFonts w:cs="Arial"/>
                <w:b/>
                <w:bCs/>
                <w:sz w:val="16"/>
                <w:szCs w:val="16"/>
              </w:rPr>
              <w:t>:</w:t>
            </w:r>
            <w:r w:rsidRPr="00CB548E">
              <w:rPr>
                <w:rFonts w:cs="Arial"/>
                <w:b/>
                <w:bCs/>
                <w:sz w:val="16"/>
                <w:szCs w:val="16"/>
              </w:rPr>
              <w:tab/>
            </w:r>
            <w:r w:rsidRPr="005F5D00">
              <w:rPr>
                <w:rFonts w:cs="Arial"/>
                <w:bCs/>
                <w:color w:val="000000"/>
                <w:sz w:val="16"/>
                <w:szCs w:val="16"/>
              </w:rPr>
              <w:t>V.2 Wider and better use of WIPO economic analysis in policy formulation</w:t>
            </w:r>
          </w:p>
        </w:tc>
      </w:tr>
      <w:tr w:rsidR="0063033D" w:rsidRPr="00CB548E" w:rsidTr="008D1891">
        <w:trPr>
          <w:cantSplit/>
        </w:trPr>
        <w:tc>
          <w:tcPr>
            <w:tcW w:w="2978" w:type="dxa"/>
            <w:tcBorders>
              <w:top w:val="single" w:sz="4" w:space="0" w:color="auto"/>
            </w:tcBorders>
            <w:vAlign w:val="center"/>
          </w:tcPr>
          <w:p w:rsidR="0063033D" w:rsidRPr="00CB548E" w:rsidRDefault="0063033D" w:rsidP="008D1891">
            <w:pPr>
              <w:keepNext/>
              <w:keepLines/>
              <w:rPr>
                <w:rFonts w:cs="Arial"/>
                <w:b/>
                <w:bCs/>
                <w:sz w:val="16"/>
                <w:szCs w:val="16"/>
              </w:rPr>
            </w:pPr>
            <w:r w:rsidRPr="00CB548E">
              <w:rPr>
                <w:rFonts w:cs="Arial"/>
                <w:b/>
                <w:bCs/>
                <w:sz w:val="16"/>
                <w:szCs w:val="16"/>
              </w:rPr>
              <w:t>Activity</w:t>
            </w:r>
          </w:p>
        </w:tc>
        <w:tc>
          <w:tcPr>
            <w:tcW w:w="1275" w:type="dxa"/>
            <w:tcBorders>
              <w:top w:val="single" w:sz="4" w:space="0" w:color="auto"/>
            </w:tcBorders>
            <w:shd w:val="clear" w:color="auto" w:fill="auto"/>
            <w:tcMar>
              <w:top w:w="110" w:type="dxa"/>
            </w:tcMar>
            <w:vAlign w:val="center"/>
          </w:tcPr>
          <w:p w:rsidR="0063033D" w:rsidRPr="00CB548E" w:rsidRDefault="0063033D" w:rsidP="008D1891">
            <w:pPr>
              <w:keepNext/>
              <w:keepLines/>
              <w:rPr>
                <w:rFonts w:cs="Arial"/>
                <w:sz w:val="16"/>
                <w:szCs w:val="16"/>
              </w:rPr>
            </w:pPr>
            <w:r w:rsidRPr="00CB548E">
              <w:rPr>
                <w:rFonts w:cs="Arial"/>
                <w:b/>
                <w:bCs/>
                <w:sz w:val="16"/>
                <w:szCs w:val="16"/>
              </w:rPr>
              <w:t>Date</w:t>
            </w:r>
          </w:p>
        </w:tc>
        <w:tc>
          <w:tcPr>
            <w:tcW w:w="1560" w:type="dxa"/>
            <w:tcBorders>
              <w:top w:val="single" w:sz="4" w:space="0" w:color="auto"/>
            </w:tcBorders>
            <w:shd w:val="clear" w:color="auto" w:fill="auto"/>
            <w:tcMar>
              <w:top w:w="110" w:type="dxa"/>
            </w:tcMar>
            <w:vAlign w:val="center"/>
          </w:tcPr>
          <w:p w:rsidR="0063033D" w:rsidRPr="00CB548E" w:rsidRDefault="0063033D" w:rsidP="008D1891">
            <w:pPr>
              <w:keepNext/>
              <w:keepLines/>
              <w:rPr>
                <w:rFonts w:cs="Arial"/>
                <w:sz w:val="16"/>
                <w:szCs w:val="16"/>
              </w:rPr>
            </w:pPr>
            <w:r w:rsidRPr="00CB548E">
              <w:rPr>
                <w:rFonts w:cs="Arial"/>
                <w:b/>
                <w:bCs/>
                <w:sz w:val="16"/>
                <w:szCs w:val="16"/>
              </w:rPr>
              <w:t>Host Country/</w:t>
            </w:r>
            <w:r w:rsidRPr="00CB548E">
              <w:rPr>
                <w:rFonts w:cs="Arial"/>
                <w:b/>
                <w:bCs/>
                <w:sz w:val="16"/>
                <w:szCs w:val="16"/>
              </w:rPr>
              <w:br/>
              <w:t>Recipients</w:t>
            </w:r>
          </w:p>
        </w:tc>
        <w:tc>
          <w:tcPr>
            <w:tcW w:w="3685" w:type="dxa"/>
            <w:tcBorders>
              <w:top w:val="single" w:sz="4" w:space="0" w:color="auto"/>
            </w:tcBorders>
            <w:shd w:val="clear" w:color="auto" w:fill="FFFFFF"/>
            <w:tcMar>
              <w:top w:w="110" w:type="dxa"/>
            </w:tcMar>
            <w:vAlign w:val="center"/>
          </w:tcPr>
          <w:p w:rsidR="0063033D" w:rsidRPr="00CB548E" w:rsidRDefault="0063033D" w:rsidP="008D1891">
            <w:pPr>
              <w:keepNext/>
              <w:keepLines/>
              <w:rPr>
                <w:rFonts w:cs="Arial"/>
                <w:sz w:val="16"/>
                <w:szCs w:val="16"/>
              </w:rPr>
            </w:pPr>
            <w:r w:rsidRPr="00CB548E">
              <w:rPr>
                <w:rFonts w:cs="Arial"/>
                <w:b/>
                <w:bCs/>
                <w:sz w:val="16"/>
                <w:szCs w:val="16"/>
              </w:rPr>
              <w:t>Purpose(s)/Description(s)</w:t>
            </w:r>
          </w:p>
        </w:tc>
      </w:tr>
      <w:tr w:rsidR="0063033D" w:rsidRPr="00CB548E" w:rsidTr="008D1891">
        <w:trPr>
          <w:cantSplit/>
        </w:trPr>
        <w:tc>
          <w:tcPr>
            <w:tcW w:w="2978" w:type="dxa"/>
          </w:tcPr>
          <w:p w:rsidR="0063033D" w:rsidRPr="00033FB3"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Publication of National Studies on the Economic Contribution of the Copyright Industries</w:t>
            </w:r>
          </w:p>
        </w:tc>
        <w:tc>
          <w:tcPr>
            <w:tcW w:w="1275" w:type="dxa"/>
          </w:tcPr>
          <w:p w:rsidR="0063033D" w:rsidRPr="00033FB3"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November 2014</w:t>
            </w:r>
          </w:p>
        </w:tc>
        <w:tc>
          <w:tcPr>
            <w:tcW w:w="1560" w:type="dxa"/>
          </w:tcPr>
          <w:p w:rsidR="0063033D" w:rsidRPr="00033FB3"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Argentina, Indonesia, Organization of Eastern Caribbean States (OECS), Serbia, Turkey</w:t>
            </w:r>
          </w:p>
        </w:tc>
        <w:tc>
          <w:tcPr>
            <w:tcW w:w="3685" w:type="dxa"/>
          </w:tcPr>
          <w:p w:rsidR="0063033D" w:rsidRPr="00033FB3" w:rsidRDefault="0063033D" w:rsidP="008D1891">
            <w:pPr>
              <w:autoSpaceDE w:val="0"/>
              <w:autoSpaceDN w:val="0"/>
              <w:adjustRightInd w:val="0"/>
              <w:spacing w:before="120" w:after="120"/>
              <w:rPr>
                <w:rFonts w:cs="Arial"/>
                <w:color w:val="000000"/>
                <w:sz w:val="16"/>
                <w:szCs w:val="16"/>
              </w:rPr>
            </w:pPr>
            <w:r>
              <w:rPr>
                <w:rFonts w:cs="Arial"/>
                <w:color w:val="000000"/>
                <w:sz w:val="16"/>
                <w:szCs w:val="16"/>
              </w:rPr>
              <w:t>To ensure wider dissemination of the results of WIPO studies on the economic contribution of copyright</w:t>
            </w:r>
          </w:p>
        </w:tc>
      </w:tr>
    </w:tbl>
    <w:p w:rsidR="0063033D" w:rsidRDefault="0063033D" w:rsidP="008D1891">
      <w:pPr>
        <w:keepNext/>
        <w:keepLines/>
        <w:rPr>
          <w:rFonts w:cs="Arial"/>
          <w:b/>
          <w:szCs w:val="20"/>
        </w:rPr>
      </w:pPr>
    </w:p>
    <w:p w:rsidR="0063033D" w:rsidRPr="00F635F1" w:rsidRDefault="0063033D" w:rsidP="008D1891">
      <w:pPr>
        <w:rPr>
          <w:rFonts w:cs="Arial"/>
          <w:b/>
          <w:szCs w:val="20"/>
        </w:rPr>
      </w:pPr>
    </w:p>
    <w:p w:rsidR="0063033D" w:rsidRPr="00F635F1" w:rsidRDefault="0063033D" w:rsidP="008D1891">
      <w:pPr>
        <w:keepNext/>
        <w:keepLines/>
        <w:rPr>
          <w:rFonts w:cs="Arial"/>
          <w:b/>
          <w:sz w:val="18"/>
          <w:szCs w:val="18"/>
        </w:rPr>
      </w:pPr>
      <w:r>
        <w:rPr>
          <w:rFonts w:cs="Arial"/>
          <w:b/>
          <w:sz w:val="18"/>
          <w:szCs w:val="18"/>
        </w:rPr>
        <w:t xml:space="preserve">UNITED STATES OF AMERICA/ </w:t>
      </w:r>
      <w:r w:rsidRPr="00F635F1">
        <w:rPr>
          <w:rFonts w:cs="Arial"/>
          <w:b/>
          <w:sz w:val="18"/>
          <w:szCs w:val="18"/>
        </w:rPr>
        <w:t xml:space="preserve">COPYRIGHT Donor </w:t>
      </w:r>
      <w:r w:rsidRPr="00F635F1">
        <w:rPr>
          <w:rFonts w:cs="Arial"/>
          <w:b/>
          <w:bCs/>
          <w:sz w:val="18"/>
          <w:szCs w:val="18"/>
        </w:rPr>
        <w:t>Contributions and Expenditure in 201</w:t>
      </w:r>
      <w:r>
        <w:rPr>
          <w:rFonts w:cs="Arial"/>
          <w:b/>
          <w:bCs/>
          <w:sz w:val="18"/>
          <w:szCs w:val="18"/>
        </w:rPr>
        <w:t>4</w:t>
      </w:r>
    </w:p>
    <w:p w:rsidR="0063033D" w:rsidRDefault="0063033D" w:rsidP="008D1891">
      <w:pPr>
        <w:keepNext/>
        <w:keepLines/>
        <w:rPr>
          <w:rFonts w:cs="Arial"/>
          <w:b/>
          <w:szCs w:val="20"/>
        </w:rPr>
      </w:pPr>
    </w:p>
    <w:tbl>
      <w:tblPr>
        <w:tblW w:w="9087" w:type="dxa"/>
        <w:jc w:val="center"/>
        <w:tblInd w:w="93" w:type="dxa"/>
        <w:tblLook w:val="04A0" w:firstRow="1" w:lastRow="0" w:firstColumn="1" w:lastColumn="0" w:noHBand="0" w:noVBand="1"/>
      </w:tblPr>
      <w:tblGrid>
        <w:gridCol w:w="1880"/>
        <w:gridCol w:w="1700"/>
        <w:gridCol w:w="1840"/>
        <w:gridCol w:w="1700"/>
        <w:gridCol w:w="1967"/>
      </w:tblGrid>
      <w:tr w:rsidR="0063033D" w:rsidTr="008D1891">
        <w:trPr>
          <w:trHeight w:val="522"/>
          <w:jc w:val="center"/>
        </w:trPr>
        <w:tc>
          <w:tcPr>
            <w:tcW w:w="188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2013</w:t>
            </w:r>
          </w:p>
        </w:tc>
        <w:tc>
          <w:tcPr>
            <w:tcW w:w="1700"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Income 2014</w:t>
            </w:r>
          </w:p>
        </w:tc>
        <w:tc>
          <w:tcPr>
            <w:tcW w:w="1840"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Expenditure 2014</w:t>
            </w:r>
          </w:p>
        </w:tc>
        <w:tc>
          <w:tcPr>
            <w:tcW w:w="1700"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Reimbursements</w:t>
            </w:r>
          </w:p>
        </w:tc>
        <w:tc>
          <w:tcPr>
            <w:tcW w:w="1967"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pPr>
              <w:jc w:val="center"/>
              <w:rPr>
                <w:rFonts w:cs="Arial"/>
                <w:b/>
                <w:bCs/>
                <w:color w:val="000000"/>
                <w:sz w:val="16"/>
                <w:szCs w:val="16"/>
              </w:rPr>
            </w:pPr>
            <w:r>
              <w:rPr>
                <w:rFonts w:cs="Arial"/>
                <w:b/>
                <w:bCs/>
                <w:color w:val="000000"/>
                <w:sz w:val="16"/>
                <w:szCs w:val="16"/>
              </w:rPr>
              <w:t>Balance as of December 31, 2014</w:t>
            </w:r>
          </w:p>
        </w:tc>
      </w:tr>
      <w:tr w:rsidR="0063033D" w:rsidTr="008D1891">
        <w:trPr>
          <w:trHeight w:val="402"/>
          <w:jc w:val="center"/>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rsidR="0063033D" w:rsidRDefault="0063033D">
            <w:pPr>
              <w:jc w:val="center"/>
              <w:rPr>
                <w:rFonts w:cs="Arial"/>
                <w:color w:val="000000"/>
                <w:sz w:val="16"/>
                <w:szCs w:val="16"/>
              </w:rPr>
            </w:pPr>
            <w:r>
              <w:rPr>
                <w:rFonts w:cs="Arial"/>
                <w:color w:val="000000"/>
                <w:sz w:val="16"/>
                <w:szCs w:val="16"/>
              </w:rPr>
              <w:t>2,708</w:t>
            </w:r>
          </w:p>
        </w:tc>
        <w:tc>
          <w:tcPr>
            <w:tcW w:w="1700" w:type="dxa"/>
            <w:tcBorders>
              <w:top w:val="nil"/>
              <w:left w:val="nil"/>
              <w:bottom w:val="single" w:sz="4" w:space="0" w:color="auto"/>
              <w:right w:val="single" w:sz="4" w:space="0" w:color="auto"/>
            </w:tcBorders>
            <w:shd w:val="clear" w:color="auto" w:fill="auto"/>
            <w:noWrap/>
            <w:vAlign w:val="center"/>
            <w:hideMark/>
          </w:tcPr>
          <w:p w:rsidR="0063033D" w:rsidRDefault="0063033D">
            <w:pPr>
              <w:jc w:val="center"/>
              <w:rPr>
                <w:rFonts w:cs="Arial"/>
                <w:color w:val="000000"/>
                <w:sz w:val="16"/>
                <w:szCs w:val="16"/>
              </w:rPr>
            </w:pPr>
            <w:r>
              <w:rPr>
                <w:rFonts w:cs="Arial"/>
                <w:color w:val="000000"/>
                <w:sz w:val="16"/>
                <w:szCs w:val="16"/>
              </w:rPr>
              <w:t>5,041</w:t>
            </w:r>
          </w:p>
        </w:tc>
        <w:tc>
          <w:tcPr>
            <w:tcW w:w="1840" w:type="dxa"/>
            <w:tcBorders>
              <w:top w:val="nil"/>
              <w:left w:val="nil"/>
              <w:bottom w:val="single" w:sz="4" w:space="0" w:color="auto"/>
              <w:right w:val="single" w:sz="4" w:space="0" w:color="auto"/>
            </w:tcBorders>
            <w:shd w:val="clear" w:color="auto" w:fill="auto"/>
            <w:noWrap/>
            <w:vAlign w:val="center"/>
            <w:hideMark/>
          </w:tcPr>
          <w:p w:rsidR="0063033D" w:rsidRDefault="0063033D">
            <w:pPr>
              <w:jc w:val="center"/>
              <w:rPr>
                <w:rFonts w:cs="Arial"/>
                <w:color w:val="000000"/>
                <w:sz w:val="16"/>
                <w:szCs w:val="16"/>
              </w:rPr>
            </w:pPr>
            <w:r>
              <w:rPr>
                <w:rFonts w:cs="Arial"/>
                <w:color w:val="000000"/>
                <w:sz w:val="16"/>
                <w:szCs w:val="16"/>
              </w:rPr>
              <w:t>27,101</w:t>
            </w:r>
          </w:p>
        </w:tc>
        <w:tc>
          <w:tcPr>
            <w:tcW w:w="1700" w:type="dxa"/>
            <w:tcBorders>
              <w:top w:val="nil"/>
              <w:left w:val="nil"/>
              <w:bottom w:val="single" w:sz="4" w:space="0" w:color="auto"/>
              <w:right w:val="single" w:sz="4" w:space="0" w:color="auto"/>
            </w:tcBorders>
            <w:shd w:val="clear" w:color="auto" w:fill="auto"/>
            <w:noWrap/>
            <w:vAlign w:val="center"/>
            <w:hideMark/>
          </w:tcPr>
          <w:p w:rsidR="0063033D" w:rsidRDefault="0063033D">
            <w:pPr>
              <w:jc w:val="center"/>
              <w:rPr>
                <w:rFonts w:cs="Arial"/>
                <w:color w:val="000000"/>
                <w:sz w:val="16"/>
                <w:szCs w:val="16"/>
              </w:rPr>
            </w:pPr>
            <w:r>
              <w:rPr>
                <w:rFonts w:cs="Arial"/>
                <w:color w:val="000000"/>
                <w:sz w:val="16"/>
                <w:szCs w:val="16"/>
              </w:rPr>
              <w:t>1,583</w:t>
            </w:r>
          </w:p>
        </w:tc>
        <w:tc>
          <w:tcPr>
            <w:tcW w:w="1967" w:type="dxa"/>
            <w:tcBorders>
              <w:top w:val="nil"/>
              <w:left w:val="nil"/>
              <w:bottom w:val="single" w:sz="4" w:space="0" w:color="auto"/>
              <w:right w:val="single" w:sz="4" w:space="0" w:color="auto"/>
            </w:tcBorders>
            <w:shd w:val="clear" w:color="auto" w:fill="auto"/>
            <w:noWrap/>
            <w:vAlign w:val="center"/>
            <w:hideMark/>
          </w:tcPr>
          <w:p w:rsidR="0063033D" w:rsidRDefault="0063033D">
            <w:pPr>
              <w:jc w:val="center"/>
              <w:rPr>
                <w:rFonts w:cs="Arial"/>
                <w:color w:val="000000"/>
                <w:sz w:val="16"/>
                <w:szCs w:val="16"/>
              </w:rPr>
            </w:pPr>
            <w:r>
              <w:rPr>
                <w:rFonts w:cs="Arial"/>
                <w:color w:val="000000"/>
                <w:sz w:val="16"/>
                <w:szCs w:val="16"/>
              </w:rPr>
              <w:t>0</w:t>
            </w:r>
            <w:r>
              <w:rPr>
                <w:rStyle w:val="FootnoteReference"/>
                <w:rFonts w:cs="Arial"/>
                <w:color w:val="000000"/>
                <w:sz w:val="16"/>
                <w:szCs w:val="16"/>
              </w:rPr>
              <w:footnoteReference w:id="71"/>
            </w:r>
          </w:p>
        </w:tc>
      </w:tr>
    </w:tbl>
    <w:p w:rsidR="0063033D" w:rsidRDefault="0063033D" w:rsidP="008D1891">
      <w:pPr>
        <w:rPr>
          <w:rFonts w:cs="Arial"/>
          <w:b/>
          <w:szCs w:val="20"/>
        </w:rPr>
      </w:pPr>
    </w:p>
    <w:p w:rsidR="0063033D" w:rsidRDefault="0063033D" w:rsidP="008D1891">
      <w:pPr>
        <w:rPr>
          <w:rFonts w:cs="Arial"/>
          <w:b/>
          <w:szCs w:val="20"/>
        </w:rPr>
      </w:pPr>
    </w:p>
    <w:p w:rsidR="0063033D" w:rsidRDefault="0063033D" w:rsidP="008D1891">
      <w:pPr>
        <w:keepNext/>
        <w:keepLines/>
        <w:rPr>
          <w:rFonts w:cs="Arial"/>
          <w:b/>
          <w:szCs w:val="20"/>
        </w:rPr>
      </w:pPr>
      <w:r w:rsidRPr="003B7958">
        <w:rPr>
          <w:rFonts w:cs="Arial"/>
          <w:b/>
          <w:szCs w:val="20"/>
        </w:rPr>
        <w:t xml:space="preserve">UNITED STATES OF AMERICA/ </w:t>
      </w:r>
      <w:r>
        <w:rPr>
          <w:rFonts w:cs="Arial"/>
          <w:b/>
          <w:szCs w:val="20"/>
        </w:rPr>
        <w:t>SMALL AND MEDIUM SIZED ENTERPRISES</w:t>
      </w:r>
    </w:p>
    <w:p w:rsidR="0063033D" w:rsidRDefault="0063033D" w:rsidP="008D1891">
      <w:pPr>
        <w:keepNext/>
        <w:keepLines/>
        <w:rPr>
          <w:rFonts w:cs="Arial"/>
          <w:b/>
          <w:szCs w:val="20"/>
        </w:rPr>
      </w:pPr>
    </w:p>
    <w:tbl>
      <w:tblPr>
        <w:tblW w:w="9503" w:type="dxa"/>
        <w:tblInd w:w="10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983"/>
        <w:gridCol w:w="1275"/>
        <w:gridCol w:w="1560"/>
        <w:gridCol w:w="3685"/>
      </w:tblGrid>
      <w:tr w:rsidR="0063033D" w:rsidTr="008D1891">
        <w:tc>
          <w:tcPr>
            <w:tcW w:w="9503" w:type="dxa"/>
            <w:gridSpan w:val="4"/>
            <w:tcBorders>
              <w:top w:val="single" w:sz="4" w:space="0" w:color="000000"/>
              <w:bottom w:val="single" w:sz="4" w:space="0" w:color="000000"/>
            </w:tcBorders>
            <w:shd w:val="clear" w:color="auto" w:fill="CCFFFF"/>
            <w:vAlign w:val="center"/>
          </w:tcPr>
          <w:p w:rsidR="0063033D" w:rsidRPr="00A95449" w:rsidRDefault="0063033D" w:rsidP="008D1891">
            <w:pPr>
              <w:keepNext/>
              <w:keepLines/>
              <w:tabs>
                <w:tab w:val="left" w:pos="890"/>
              </w:tabs>
              <w:spacing w:before="120" w:after="120"/>
              <w:ind w:left="890" w:hanging="890"/>
              <w:rPr>
                <w:rFonts w:cs="Arial"/>
                <w:b/>
                <w:bCs/>
                <w:sz w:val="16"/>
                <w:szCs w:val="16"/>
              </w:rPr>
            </w:pPr>
            <w:r w:rsidRPr="00774D44">
              <w:rPr>
                <w:rFonts w:cs="Arial"/>
                <w:b/>
                <w:bCs/>
                <w:color w:val="000000"/>
                <w:sz w:val="16"/>
                <w:szCs w:val="16"/>
              </w:rPr>
              <w:t>RESULT</w:t>
            </w:r>
            <w:r w:rsidRPr="002B7DE5">
              <w:rPr>
                <w:rFonts w:cs="Arial"/>
                <w:b/>
                <w:bCs/>
                <w:sz w:val="16"/>
                <w:szCs w:val="16"/>
              </w:rPr>
              <w:t>:</w:t>
            </w:r>
            <w:r w:rsidRPr="00A95449">
              <w:rPr>
                <w:rFonts w:cs="Arial"/>
                <w:b/>
                <w:bCs/>
                <w:sz w:val="16"/>
                <w:szCs w:val="16"/>
              </w:rPr>
              <w:tab/>
            </w:r>
            <w:r>
              <w:rPr>
                <w:rFonts w:cs="Arial"/>
                <w:b/>
                <w:bCs/>
                <w:sz w:val="16"/>
                <w:szCs w:val="16"/>
              </w:rPr>
              <w:tab/>
            </w:r>
            <w:r>
              <w:rPr>
                <w:rFonts w:cs="Arial"/>
                <w:b/>
                <w:bCs/>
                <w:sz w:val="16"/>
                <w:szCs w:val="16"/>
              </w:rPr>
              <w:tab/>
            </w:r>
            <w:r w:rsidRPr="00C81CEB">
              <w:rPr>
                <w:rFonts w:eastAsia="MS Mincho" w:cs="Arial"/>
                <w:bCs/>
                <w:color w:val="000000"/>
                <w:sz w:val="16"/>
                <w:szCs w:val="16"/>
                <w:lang w:eastAsia="ja-JP" w:bidi="th-TH"/>
              </w:rPr>
              <w:t>III.6. Increased capacity of SMEs to successfully use IP to support innovation</w:t>
            </w:r>
          </w:p>
        </w:tc>
      </w:tr>
      <w:tr w:rsidR="0063033D" w:rsidTr="008D1891">
        <w:tc>
          <w:tcPr>
            <w:tcW w:w="2983" w:type="dxa"/>
            <w:tcBorders>
              <w:top w:val="single" w:sz="4" w:space="0" w:color="000000"/>
            </w:tcBorders>
            <w:vAlign w:val="center"/>
          </w:tcPr>
          <w:p w:rsidR="0063033D" w:rsidRDefault="0063033D" w:rsidP="008D1891">
            <w:pPr>
              <w:keepNext/>
              <w:keepLines/>
              <w:rPr>
                <w:rFonts w:cs="Arial"/>
                <w:b/>
                <w:bCs/>
                <w:sz w:val="16"/>
                <w:szCs w:val="16"/>
              </w:rPr>
            </w:pPr>
            <w:r>
              <w:rPr>
                <w:rFonts w:cs="Arial"/>
                <w:b/>
                <w:bCs/>
                <w:sz w:val="16"/>
                <w:szCs w:val="16"/>
              </w:rPr>
              <w:t>Activity</w:t>
            </w:r>
          </w:p>
        </w:tc>
        <w:tc>
          <w:tcPr>
            <w:tcW w:w="1275" w:type="dxa"/>
            <w:tcBorders>
              <w:top w:val="single" w:sz="4" w:space="0" w:color="000000"/>
            </w:tcBorders>
            <w:shd w:val="clear" w:color="auto" w:fill="auto"/>
            <w:tcMar>
              <w:top w:w="110" w:type="dxa"/>
            </w:tcMar>
            <w:vAlign w:val="center"/>
          </w:tcPr>
          <w:p w:rsidR="0063033D" w:rsidRDefault="0063033D" w:rsidP="008D1891">
            <w:pPr>
              <w:keepNext/>
              <w:keepLines/>
              <w:rPr>
                <w:rFonts w:cs="Arial"/>
                <w:sz w:val="16"/>
                <w:szCs w:val="16"/>
              </w:rPr>
            </w:pPr>
            <w:r>
              <w:rPr>
                <w:rFonts w:cs="Arial"/>
                <w:b/>
                <w:bCs/>
                <w:sz w:val="16"/>
                <w:szCs w:val="16"/>
              </w:rPr>
              <w:t>Date</w:t>
            </w:r>
          </w:p>
        </w:tc>
        <w:tc>
          <w:tcPr>
            <w:tcW w:w="1560" w:type="dxa"/>
            <w:tcBorders>
              <w:top w:val="single" w:sz="4" w:space="0" w:color="000000"/>
            </w:tcBorders>
            <w:shd w:val="clear" w:color="auto" w:fill="auto"/>
            <w:tcMar>
              <w:top w:w="110" w:type="dxa"/>
            </w:tcMar>
            <w:vAlign w:val="center"/>
          </w:tcPr>
          <w:p w:rsidR="0063033D" w:rsidRDefault="0063033D" w:rsidP="008D1891">
            <w:pPr>
              <w:keepNext/>
              <w:keepLines/>
              <w:rPr>
                <w:rFonts w:cs="Arial"/>
                <w:sz w:val="16"/>
                <w:szCs w:val="16"/>
              </w:rPr>
            </w:pPr>
            <w:r>
              <w:rPr>
                <w:rFonts w:cs="Arial"/>
                <w:b/>
                <w:bCs/>
                <w:sz w:val="16"/>
                <w:szCs w:val="16"/>
              </w:rPr>
              <w:t>Host Country/</w:t>
            </w:r>
            <w:r>
              <w:rPr>
                <w:rFonts w:cs="Arial"/>
                <w:b/>
                <w:bCs/>
                <w:sz w:val="16"/>
                <w:szCs w:val="16"/>
              </w:rPr>
              <w:br/>
              <w:t>Recipients</w:t>
            </w:r>
          </w:p>
        </w:tc>
        <w:tc>
          <w:tcPr>
            <w:tcW w:w="3685" w:type="dxa"/>
            <w:tcBorders>
              <w:top w:val="single" w:sz="4" w:space="0" w:color="000000"/>
            </w:tcBorders>
            <w:shd w:val="clear" w:color="auto" w:fill="FFFFFF"/>
            <w:tcMar>
              <w:top w:w="110" w:type="dxa"/>
            </w:tcMar>
            <w:vAlign w:val="center"/>
          </w:tcPr>
          <w:p w:rsidR="0063033D" w:rsidRDefault="0063033D" w:rsidP="008D1891">
            <w:pPr>
              <w:keepNext/>
              <w:keepLines/>
              <w:rPr>
                <w:rFonts w:cs="Arial"/>
                <w:sz w:val="16"/>
                <w:szCs w:val="16"/>
              </w:rPr>
            </w:pPr>
            <w:r>
              <w:rPr>
                <w:rFonts w:cs="Arial"/>
                <w:b/>
                <w:bCs/>
                <w:sz w:val="16"/>
                <w:szCs w:val="16"/>
              </w:rPr>
              <w:t>Purpose(s)/Description(s)</w:t>
            </w:r>
          </w:p>
        </w:tc>
      </w:tr>
      <w:tr w:rsidR="0063033D" w:rsidRPr="00F77251" w:rsidTr="008D1891">
        <w:tc>
          <w:tcPr>
            <w:tcW w:w="2983" w:type="dxa"/>
          </w:tcPr>
          <w:p w:rsidR="0063033D" w:rsidRPr="00D14B75" w:rsidRDefault="0063033D" w:rsidP="008D1891">
            <w:pPr>
              <w:keepNext/>
              <w:keepLines/>
              <w:autoSpaceDE w:val="0"/>
              <w:autoSpaceDN w:val="0"/>
              <w:adjustRightInd w:val="0"/>
              <w:spacing w:before="120" w:after="120"/>
              <w:rPr>
                <w:rFonts w:eastAsia="MS Mincho" w:cs="Arial"/>
                <w:color w:val="000000"/>
                <w:sz w:val="16"/>
                <w:szCs w:val="16"/>
                <w:lang w:eastAsia="ja-JP" w:bidi="th-TH"/>
              </w:rPr>
            </w:pPr>
            <w:r w:rsidRPr="00D14B75">
              <w:rPr>
                <w:rFonts w:cs="Arial"/>
                <w:sz w:val="16"/>
                <w:szCs w:val="16"/>
              </w:rPr>
              <w:t>In Good Company - Managing Intellectual Property Issues in Franchising (WIPO publication No. 1035): translations and graphic design.</w:t>
            </w:r>
          </w:p>
        </w:tc>
        <w:tc>
          <w:tcPr>
            <w:tcW w:w="1275" w:type="dxa"/>
          </w:tcPr>
          <w:p w:rsidR="0063033D" w:rsidRPr="00D14B75" w:rsidRDefault="0063033D" w:rsidP="008D1891">
            <w:pPr>
              <w:keepNext/>
              <w:keepLines/>
              <w:autoSpaceDE w:val="0"/>
              <w:autoSpaceDN w:val="0"/>
              <w:adjustRightInd w:val="0"/>
              <w:spacing w:before="120" w:after="120"/>
              <w:rPr>
                <w:rFonts w:eastAsia="MS Mincho" w:cs="Arial"/>
                <w:color w:val="000000"/>
                <w:sz w:val="16"/>
                <w:szCs w:val="16"/>
                <w:lang w:eastAsia="ja-JP" w:bidi="th-TH"/>
              </w:rPr>
            </w:pPr>
            <w:r w:rsidRPr="00D14B75">
              <w:rPr>
                <w:rFonts w:eastAsia="MS Mincho" w:cs="Arial"/>
                <w:color w:val="000000"/>
                <w:sz w:val="16"/>
                <w:szCs w:val="16"/>
                <w:lang w:eastAsia="ja-JP" w:bidi="th-TH"/>
              </w:rPr>
              <w:t>March</w:t>
            </w:r>
            <w:r>
              <w:rPr>
                <w:rFonts w:eastAsia="MS Mincho" w:cs="Arial"/>
                <w:color w:val="000000"/>
                <w:sz w:val="16"/>
                <w:szCs w:val="16"/>
                <w:lang w:eastAsia="ja-JP" w:bidi="th-TH"/>
              </w:rPr>
              <w:t xml:space="preserve"> to </w:t>
            </w:r>
            <w:r w:rsidRPr="00D14B75">
              <w:rPr>
                <w:rFonts w:eastAsia="MS Mincho" w:cs="Arial"/>
                <w:color w:val="000000"/>
                <w:sz w:val="16"/>
                <w:szCs w:val="16"/>
                <w:lang w:eastAsia="ja-JP" w:bidi="th-TH"/>
              </w:rPr>
              <w:t>December 2014</w:t>
            </w:r>
          </w:p>
        </w:tc>
        <w:tc>
          <w:tcPr>
            <w:tcW w:w="1560" w:type="dxa"/>
          </w:tcPr>
          <w:p w:rsidR="0063033D" w:rsidRPr="00D14B75" w:rsidRDefault="0063033D" w:rsidP="008D1891">
            <w:pPr>
              <w:keepNext/>
              <w:keepLines/>
              <w:autoSpaceDE w:val="0"/>
              <w:autoSpaceDN w:val="0"/>
              <w:adjustRightInd w:val="0"/>
              <w:spacing w:before="120" w:after="120"/>
              <w:rPr>
                <w:rFonts w:cs="Arial"/>
                <w:color w:val="000000"/>
                <w:sz w:val="16"/>
                <w:szCs w:val="16"/>
              </w:rPr>
            </w:pPr>
            <w:r w:rsidRPr="00D14B75">
              <w:rPr>
                <w:rFonts w:cs="Arial"/>
                <w:color w:val="000000"/>
                <w:sz w:val="16"/>
                <w:szCs w:val="16"/>
              </w:rPr>
              <w:t>All</w:t>
            </w:r>
          </w:p>
        </w:tc>
        <w:tc>
          <w:tcPr>
            <w:tcW w:w="3685" w:type="dxa"/>
          </w:tcPr>
          <w:p w:rsidR="0063033D" w:rsidRPr="00D14B75" w:rsidRDefault="0063033D" w:rsidP="008D1891">
            <w:pPr>
              <w:keepNext/>
              <w:keepLines/>
              <w:autoSpaceDE w:val="0"/>
              <w:autoSpaceDN w:val="0"/>
              <w:adjustRightInd w:val="0"/>
              <w:spacing w:before="120" w:after="120"/>
              <w:rPr>
                <w:rFonts w:eastAsia="MS Mincho" w:cs="Arial"/>
                <w:color w:val="000000"/>
                <w:sz w:val="16"/>
                <w:szCs w:val="16"/>
                <w:lang w:eastAsia="ja-JP" w:bidi="th-TH"/>
              </w:rPr>
            </w:pPr>
            <w:r w:rsidRPr="00D14B75">
              <w:rPr>
                <w:rFonts w:eastAsia="MS Mincho" w:cs="Arial"/>
                <w:color w:val="000000"/>
                <w:sz w:val="16"/>
                <w:szCs w:val="16"/>
                <w:lang w:eastAsia="ja-JP" w:bidi="th-TH"/>
              </w:rPr>
              <w:t>To upgrade knowledge and capacity of SMEs to manage their IP through franchising agreements.</w:t>
            </w:r>
          </w:p>
        </w:tc>
      </w:tr>
      <w:tr w:rsidR="0063033D" w:rsidRPr="00F77251" w:rsidTr="008D1891">
        <w:tc>
          <w:tcPr>
            <w:tcW w:w="2983" w:type="dxa"/>
          </w:tcPr>
          <w:p w:rsidR="0063033D" w:rsidRPr="00D14B75" w:rsidRDefault="0063033D" w:rsidP="008D1891">
            <w:pPr>
              <w:autoSpaceDE w:val="0"/>
              <w:autoSpaceDN w:val="0"/>
              <w:adjustRightInd w:val="0"/>
              <w:spacing w:before="120" w:after="120"/>
              <w:rPr>
                <w:rFonts w:eastAsia="MS Mincho" w:cs="Arial"/>
                <w:color w:val="000000"/>
                <w:sz w:val="16"/>
                <w:szCs w:val="16"/>
                <w:lang w:eastAsia="ja-JP" w:bidi="th-TH"/>
              </w:rPr>
            </w:pPr>
            <w:r w:rsidRPr="00D14B75">
              <w:rPr>
                <w:rFonts w:cs="Arial"/>
                <w:sz w:val="16"/>
                <w:szCs w:val="16"/>
              </w:rPr>
              <w:t>In Confidence - An Introduction to Trade Secrets for Small and Medium-sized Enterprises (WIPO publication No. 929): editing, translations and graphic design.</w:t>
            </w:r>
          </w:p>
        </w:tc>
        <w:tc>
          <w:tcPr>
            <w:tcW w:w="1275" w:type="dxa"/>
          </w:tcPr>
          <w:p w:rsidR="0063033D" w:rsidRPr="00D14B75" w:rsidRDefault="0063033D" w:rsidP="008D1891">
            <w:pPr>
              <w:autoSpaceDE w:val="0"/>
              <w:autoSpaceDN w:val="0"/>
              <w:adjustRightInd w:val="0"/>
              <w:spacing w:before="120" w:after="120"/>
              <w:rPr>
                <w:rFonts w:eastAsia="MS Mincho" w:cs="Arial"/>
                <w:color w:val="000000"/>
                <w:sz w:val="16"/>
                <w:szCs w:val="16"/>
                <w:lang w:eastAsia="ja-JP" w:bidi="th-TH"/>
              </w:rPr>
            </w:pPr>
            <w:r>
              <w:rPr>
                <w:rFonts w:eastAsia="MS Mincho" w:cs="Arial"/>
                <w:color w:val="000000"/>
                <w:sz w:val="16"/>
                <w:szCs w:val="16"/>
                <w:lang w:eastAsia="ja-JP" w:bidi="th-TH"/>
              </w:rPr>
              <w:t>January to June</w:t>
            </w:r>
            <w:r w:rsidRPr="00D14B75">
              <w:rPr>
                <w:rFonts w:eastAsia="MS Mincho" w:cs="Arial"/>
                <w:color w:val="000000"/>
                <w:sz w:val="16"/>
                <w:szCs w:val="16"/>
                <w:lang w:eastAsia="ja-JP" w:bidi="th-TH"/>
              </w:rPr>
              <w:t xml:space="preserve"> 2014</w:t>
            </w:r>
          </w:p>
        </w:tc>
        <w:tc>
          <w:tcPr>
            <w:tcW w:w="1560" w:type="dxa"/>
          </w:tcPr>
          <w:p w:rsidR="0063033D" w:rsidRPr="00D14B75" w:rsidRDefault="0063033D" w:rsidP="008D1891">
            <w:pPr>
              <w:autoSpaceDE w:val="0"/>
              <w:autoSpaceDN w:val="0"/>
              <w:adjustRightInd w:val="0"/>
              <w:spacing w:before="120" w:after="120"/>
              <w:rPr>
                <w:rFonts w:cs="Arial"/>
                <w:color w:val="000000"/>
                <w:sz w:val="16"/>
                <w:szCs w:val="16"/>
              </w:rPr>
            </w:pPr>
            <w:r w:rsidRPr="00D14B75">
              <w:rPr>
                <w:rFonts w:cs="Arial"/>
                <w:color w:val="000000"/>
                <w:sz w:val="16"/>
                <w:szCs w:val="16"/>
              </w:rPr>
              <w:t>All</w:t>
            </w:r>
          </w:p>
        </w:tc>
        <w:tc>
          <w:tcPr>
            <w:tcW w:w="3685" w:type="dxa"/>
          </w:tcPr>
          <w:p w:rsidR="0063033D" w:rsidRPr="00D14B75" w:rsidRDefault="0063033D" w:rsidP="008D1891">
            <w:pPr>
              <w:autoSpaceDE w:val="0"/>
              <w:autoSpaceDN w:val="0"/>
              <w:adjustRightInd w:val="0"/>
              <w:spacing w:before="120" w:after="120"/>
              <w:rPr>
                <w:rFonts w:eastAsia="MS Mincho" w:cs="Arial"/>
                <w:color w:val="000000"/>
                <w:sz w:val="16"/>
                <w:szCs w:val="16"/>
                <w:lang w:eastAsia="ja-JP" w:bidi="th-TH"/>
              </w:rPr>
            </w:pPr>
            <w:r w:rsidRPr="00D14B75">
              <w:rPr>
                <w:rFonts w:eastAsia="MS Mincho" w:cs="Arial"/>
                <w:color w:val="000000"/>
                <w:sz w:val="16"/>
                <w:szCs w:val="16"/>
                <w:lang w:eastAsia="ja-JP" w:bidi="th-TH"/>
              </w:rPr>
              <w:t>To enhance the use of trade secrets as an IP business tool for SMEs.</w:t>
            </w:r>
          </w:p>
        </w:tc>
      </w:tr>
      <w:tr w:rsidR="0063033D" w:rsidRPr="00F77251" w:rsidTr="008D1891">
        <w:tc>
          <w:tcPr>
            <w:tcW w:w="2983" w:type="dxa"/>
          </w:tcPr>
          <w:p w:rsidR="0063033D" w:rsidRPr="00D14B75" w:rsidRDefault="0063033D" w:rsidP="008D1891">
            <w:pPr>
              <w:rPr>
                <w:rFonts w:eastAsia="MS Mincho" w:cs="Arial"/>
                <w:color w:val="000000"/>
                <w:sz w:val="16"/>
                <w:szCs w:val="16"/>
                <w:lang w:eastAsia="ja-JP" w:bidi="th-TH"/>
              </w:rPr>
            </w:pPr>
            <w:r w:rsidRPr="00D14B75">
              <w:rPr>
                <w:rFonts w:eastAsia="Calibri" w:cs="Arial"/>
                <w:sz w:val="16"/>
                <w:szCs w:val="16"/>
              </w:rPr>
              <w:t xml:space="preserve">Intellectual Capital Readiness: The Use of Intangibles to Access Capital Markets – An Introduction for Business and Investors: revisions, new chapters and prepublication process.  </w:t>
            </w:r>
          </w:p>
        </w:tc>
        <w:tc>
          <w:tcPr>
            <w:tcW w:w="1275" w:type="dxa"/>
          </w:tcPr>
          <w:p w:rsidR="0063033D" w:rsidRDefault="0063033D" w:rsidP="008D1891">
            <w:pPr>
              <w:autoSpaceDE w:val="0"/>
              <w:autoSpaceDN w:val="0"/>
              <w:adjustRightInd w:val="0"/>
              <w:spacing w:before="120" w:after="120"/>
              <w:rPr>
                <w:rFonts w:eastAsia="Calibri" w:cs="Arial"/>
                <w:sz w:val="16"/>
                <w:szCs w:val="16"/>
              </w:rPr>
            </w:pPr>
            <w:r w:rsidRPr="00D14B75">
              <w:rPr>
                <w:rFonts w:eastAsia="Calibri" w:cs="Arial"/>
                <w:sz w:val="16"/>
                <w:szCs w:val="16"/>
              </w:rPr>
              <w:t>June</w:t>
            </w:r>
            <w:r>
              <w:rPr>
                <w:rFonts w:eastAsia="Calibri" w:cs="Arial"/>
                <w:sz w:val="16"/>
                <w:szCs w:val="16"/>
              </w:rPr>
              <w:t xml:space="preserve"> to</w:t>
            </w:r>
            <w:r w:rsidRPr="00944059">
              <w:rPr>
                <w:rFonts w:eastAsia="Calibri" w:cs="Arial"/>
                <w:sz w:val="16"/>
                <w:szCs w:val="16"/>
              </w:rPr>
              <w:t xml:space="preserve"> December</w:t>
            </w:r>
            <w:r>
              <w:rPr>
                <w:rFonts w:eastAsia="Calibri" w:cs="Arial"/>
                <w:sz w:val="16"/>
                <w:szCs w:val="16"/>
              </w:rPr>
              <w:t xml:space="preserve"> </w:t>
            </w:r>
            <w:r w:rsidRPr="00D14B75">
              <w:rPr>
                <w:rFonts w:eastAsia="Calibri" w:cs="Arial"/>
                <w:sz w:val="16"/>
                <w:szCs w:val="16"/>
              </w:rPr>
              <w:t xml:space="preserve"> 2014</w:t>
            </w:r>
          </w:p>
          <w:p w:rsidR="0063033D" w:rsidRPr="00D14B75" w:rsidRDefault="0063033D" w:rsidP="008D1891">
            <w:pPr>
              <w:autoSpaceDE w:val="0"/>
              <w:autoSpaceDN w:val="0"/>
              <w:adjustRightInd w:val="0"/>
              <w:spacing w:before="120" w:after="120"/>
              <w:rPr>
                <w:rFonts w:eastAsia="Calibri" w:cs="Arial"/>
                <w:sz w:val="16"/>
                <w:szCs w:val="16"/>
              </w:rPr>
            </w:pPr>
            <w:r>
              <w:rPr>
                <w:rFonts w:eastAsia="Calibri" w:cs="Arial"/>
                <w:sz w:val="16"/>
                <w:szCs w:val="16"/>
              </w:rPr>
              <w:t xml:space="preserve">Expected date of publication is </w:t>
            </w:r>
            <w:r w:rsidRPr="00D14B75">
              <w:rPr>
                <w:rFonts w:eastAsia="Calibri" w:cs="Arial"/>
                <w:sz w:val="16"/>
                <w:szCs w:val="16"/>
              </w:rPr>
              <w:t>January 2015)</w:t>
            </w:r>
          </w:p>
        </w:tc>
        <w:tc>
          <w:tcPr>
            <w:tcW w:w="1560" w:type="dxa"/>
          </w:tcPr>
          <w:p w:rsidR="0063033D" w:rsidRPr="00D14B75" w:rsidRDefault="0063033D" w:rsidP="008D1891">
            <w:pPr>
              <w:autoSpaceDE w:val="0"/>
              <w:autoSpaceDN w:val="0"/>
              <w:adjustRightInd w:val="0"/>
              <w:spacing w:before="120" w:after="120"/>
              <w:rPr>
                <w:rFonts w:cs="Arial"/>
                <w:color w:val="000000"/>
                <w:sz w:val="16"/>
                <w:szCs w:val="16"/>
              </w:rPr>
            </w:pPr>
            <w:r w:rsidRPr="00D14B75">
              <w:rPr>
                <w:rFonts w:cs="Arial"/>
                <w:color w:val="000000"/>
                <w:sz w:val="16"/>
                <w:szCs w:val="16"/>
              </w:rPr>
              <w:t>All</w:t>
            </w:r>
          </w:p>
        </w:tc>
        <w:tc>
          <w:tcPr>
            <w:tcW w:w="3685" w:type="dxa"/>
          </w:tcPr>
          <w:p w:rsidR="0063033D" w:rsidRPr="00D14B75" w:rsidRDefault="0063033D" w:rsidP="008D1891">
            <w:pPr>
              <w:autoSpaceDE w:val="0"/>
              <w:autoSpaceDN w:val="0"/>
              <w:adjustRightInd w:val="0"/>
              <w:spacing w:before="120" w:after="120"/>
              <w:rPr>
                <w:rFonts w:eastAsia="MS Mincho" w:cs="Arial"/>
                <w:color w:val="000000"/>
                <w:sz w:val="16"/>
                <w:szCs w:val="16"/>
                <w:lang w:eastAsia="ja-JP" w:bidi="th-TH"/>
              </w:rPr>
            </w:pPr>
            <w:r w:rsidRPr="00D14B75">
              <w:rPr>
                <w:rFonts w:eastAsia="MS Mincho" w:cs="Arial"/>
                <w:color w:val="000000"/>
                <w:sz w:val="16"/>
                <w:szCs w:val="16"/>
                <w:lang w:eastAsia="ja-JP" w:bidi="th-TH"/>
              </w:rPr>
              <w:t xml:space="preserve">To support </w:t>
            </w:r>
            <w:r>
              <w:rPr>
                <w:rFonts w:eastAsia="MS Mincho" w:cs="Arial"/>
                <w:color w:val="000000"/>
                <w:sz w:val="16"/>
                <w:szCs w:val="16"/>
                <w:lang w:eastAsia="ja-JP" w:bidi="th-TH"/>
              </w:rPr>
              <w:t xml:space="preserve">the </w:t>
            </w:r>
            <w:r w:rsidRPr="00D14B75">
              <w:rPr>
                <w:rFonts w:eastAsia="MS Mincho" w:cs="Arial"/>
                <w:color w:val="000000"/>
                <w:sz w:val="16"/>
                <w:szCs w:val="16"/>
                <w:lang w:eastAsia="ja-JP" w:bidi="th-TH"/>
              </w:rPr>
              <w:t>use of IP by SMEs as collateral in fund</w:t>
            </w:r>
            <w:r>
              <w:rPr>
                <w:rFonts w:eastAsia="MS Mincho" w:cs="Arial"/>
                <w:color w:val="000000"/>
                <w:sz w:val="16"/>
                <w:szCs w:val="16"/>
                <w:lang w:eastAsia="ja-JP" w:bidi="th-TH"/>
              </w:rPr>
              <w:t>-</w:t>
            </w:r>
            <w:r w:rsidRPr="00D14B75">
              <w:rPr>
                <w:rFonts w:eastAsia="MS Mincho" w:cs="Arial"/>
                <w:color w:val="000000"/>
                <w:sz w:val="16"/>
                <w:szCs w:val="16"/>
                <w:lang w:eastAsia="ja-JP" w:bidi="th-TH"/>
              </w:rPr>
              <w:t xml:space="preserve"> raising and venture capital investment for business, including IP valuation and taxation.</w:t>
            </w:r>
          </w:p>
        </w:tc>
      </w:tr>
      <w:tr w:rsidR="0063033D" w:rsidRPr="00F77251" w:rsidTr="008D1891">
        <w:trPr>
          <w:trHeight w:val="603"/>
        </w:trPr>
        <w:tc>
          <w:tcPr>
            <w:tcW w:w="2983" w:type="dxa"/>
          </w:tcPr>
          <w:p w:rsidR="0063033D" w:rsidRPr="00D14B75" w:rsidRDefault="0063033D" w:rsidP="008D1891">
            <w:pPr>
              <w:rPr>
                <w:rFonts w:eastAsia="MS Mincho" w:cs="Arial"/>
                <w:color w:val="000000"/>
                <w:sz w:val="16"/>
                <w:szCs w:val="16"/>
                <w:lang w:eastAsia="ja-JP" w:bidi="th-TH"/>
              </w:rPr>
            </w:pPr>
            <w:r w:rsidRPr="00D14B75">
              <w:rPr>
                <w:rFonts w:eastAsia="Calibri" w:cs="Arial"/>
                <w:sz w:val="16"/>
                <w:szCs w:val="16"/>
              </w:rPr>
              <w:t>Leveraging Intellectual Property as a Strategic Business Asset (Strategic IP Management)</w:t>
            </w:r>
          </w:p>
        </w:tc>
        <w:tc>
          <w:tcPr>
            <w:tcW w:w="1275" w:type="dxa"/>
          </w:tcPr>
          <w:p w:rsidR="0063033D" w:rsidRPr="00D14B75" w:rsidRDefault="0063033D" w:rsidP="008D1891">
            <w:pPr>
              <w:autoSpaceDE w:val="0"/>
              <w:autoSpaceDN w:val="0"/>
              <w:adjustRightInd w:val="0"/>
              <w:spacing w:before="120" w:after="120"/>
              <w:rPr>
                <w:rFonts w:eastAsia="MS Mincho" w:cs="Arial"/>
                <w:color w:val="000000"/>
                <w:sz w:val="16"/>
                <w:szCs w:val="16"/>
                <w:lang w:eastAsia="ja-JP" w:bidi="th-TH"/>
              </w:rPr>
            </w:pPr>
            <w:r>
              <w:rPr>
                <w:rFonts w:eastAsia="MS Mincho" w:cs="Arial"/>
                <w:color w:val="000000"/>
                <w:sz w:val="16"/>
                <w:szCs w:val="16"/>
                <w:lang w:eastAsia="ja-JP" w:bidi="th-TH"/>
              </w:rPr>
              <w:t>Ongoing</w:t>
            </w:r>
          </w:p>
        </w:tc>
        <w:tc>
          <w:tcPr>
            <w:tcW w:w="1560" w:type="dxa"/>
          </w:tcPr>
          <w:p w:rsidR="0063033D" w:rsidRPr="00D14B75" w:rsidRDefault="0063033D" w:rsidP="008D1891">
            <w:pPr>
              <w:autoSpaceDE w:val="0"/>
              <w:autoSpaceDN w:val="0"/>
              <w:adjustRightInd w:val="0"/>
              <w:spacing w:before="120" w:after="120"/>
              <w:rPr>
                <w:rFonts w:cs="Arial"/>
                <w:color w:val="000000"/>
                <w:sz w:val="16"/>
                <w:szCs w:val="16"/>
              </w:rPr>
            </w:pPr>
            <w:r w:rsidRPr="00D14B75">
              <w:rPr>
                <w:rFonts w:cs="Arial"/>
                <w:color w:val="000000"/>
                <w:sz w:val="16"/>
                <w:szCs w:val="16"/>
              </w:rPr>
              <w:t>All</w:t>
            </w:r>
          </w:p>
        </w:tc>
        <w:tc>
          <w:tcPr>
            <w:tcW w:w="3685" w:type="dxa"/>
          </w:tcPr>
          <w:p w:rsidR="0063033D" w:rsidRPr="00D14B75" w:rsidRDefault="0063033D" w:rsidP="008D1891">
            <w:pPr>
              <w:autoSpaceDE w:val="0"/>
              <w:autoSpaceDN w:val="0"/>
              <w:adjustRightInd w:val="0"/>
              <w:spacing w:before="120" w:after="120"/>
              <w:rPr>
                <w:rFonts w:eastAsia="MS Mincho" w:cs="Arial"/>
                <w:color w:val="000000"/>
                <w:sz w:val="16"/>
                <w:szCs w:val="16"/>
                <w:lang w:eastAsia="ja-JP" w:bidi="th-TH"/>
              </w:rPr>
            </w:pPr>
            <w:r w:rsidRPr="00D14B75">
              <w:rPr>
                <w:rFonts w:eastAsia="MS Mincho" w:cs="Arial"/>
                <w:color w:val="000000"/>
                <w:sz w:val="16"/>
                <w:szCs w:val="16"/>
                <w:lang w:eastAsia="ja-JP" w:bidi="th-TH"/>
              </w:rPr>
              <w:t xml:space="preserve">To empower SMEs to leverage IP through strategic </w:t>
            </w:r>
            <w:r>
              <w:rPr>
                <w:rFonts w:eastAsia="MS Mincho" w:cs="Arial"/>
                <w:color w:val="000000"/>
                <w:sz w:val="16"/>
                <w:szCs w:val="16"/>
                <w:lang w:eastAsia="ja-JP" w:bidi="th-TH"/>
              </w:rPr>
              <w:t>IPR</w:t>
            </w:r>
            <w:r w:rsidRPr="00D14B75">
              <w:rPr>
                <w:rFonts w:eastAsia="MS Mincho" w:cs="Arial"/>
                <w:color w:val="000000"/>
                <w:sz w:val="16"/>
                <w:szCs w:val="16"/>
                <w:lang w:eastAsia="ja-JP" w:bidi="th-TH"/>
              </w:rPr>
              <w:t xml:space="preserve"> management of intangible assets.</w:t>
            </w:r>
          </w:p>
        </w:tc>
      </w:tr>
    </w:tbl>
    <w:p w:rsidR="0063033D" w:rsidRDefault="0063033D" w:rsidP="008D1891">
      <w:pPr>
        <w:rPr>
          <w:rFonts w:cs="Arial"/>
          <w:b/>
          <w:szCs w:val="20"/>
        </w:rPr>
      </w:pPr>
    </w:p>
    <w:p w:rsidR="0063033D" w:rsidRPr="00C80D56" w:rsidRDefault="0063033D" w:rsidP="008D1891">
      <w:pPr>
        <w:keepNext/>
        <w:keepLines/>
        <w:rPr>
          <w:rFonts w:cs="Arial"/>
          <w:b/>
          <w:sz w:val="18"/>
          <w:szCs w:val="18"/>
        </w:rPr>
      </w:pPr>
      <w:r w:rsidRPr="00C80D56">
        <w:rPr>
          <w:rFonts w:cs="Arial"/>
          <w:b/>
          <w:sz w:val="18"/>
          <w:szCs w:val="18"/>
        </w:rPr>
        <w:t>UNITED STATES OF AMERICA/ SMALL AND MEDIUM SIZED ENTERPRISES</w:t>
      </w:r>
      <w:r w:rsidRPr="00252D81">
        <w:rPr>
          <w:rFonts w:cs="Arial"/>
          <w:b/>
          <w:sz w:val="18"/>
          <w:szCs w:val="18"/>
        </w:rPr>
        <w:t xml:space="preserve"> Donor</w:t>
      </w:r>
      <w:r w:rsidRPr="004C0533">
        <w:rPr>
          <w:rFonts w:cs="Arial"/>
          <w:b/>
          <w:sz w:val="18"/>
          <w:szCs w:val="18"/>
        </w:rPr>
        <w:t xml:space="preserve"> </w:t>
      </w:r>
      <w:r w:rsidRPr="005E5C04">
        <w:rPr>
          <w:rFonts w:cs="Arial"/>
          <w:b/>
          <w:bCs/>
          <w:sz w:val="18"/>
          <w:szCs w:val="18"/>
        </w:rPr>
        <w:t>Contributions and Expenditure in 2014</w:t>
      </w:r>
    </w:p>
    <w:p w:rsidR="0063033D" w:rsidRDefault="0063033D" w:rsidP="008D1891">
      <w:pPr>
        <w:keepNext/>
        <w:keepLines/>
        <w:rPr>
          <w:rFonts w:cs="Arial"/>
          <w:b/>
          <w:szCs w:val="20"/>
        </w:rPr>
      </w:pPr>
    </w:p>
    <w:tbl>
      <w:tblPr>
        <w:tblW w:w="9087" w:type="dxa"/>
        <w:jc w:val="center"/>
        <w:tblInd w:w="93" w:type="dxa"/>
        <w:tblLook w:val="04A0" w:firstRow="1" w:lastRow="0" w:firstColumn="1" w:lastColumn="0" w:noHBand="0" w:noVBand="1"/>
      </w:tblPr>
      <w:tblGrid>
        <w:gridCol w:w="1780"/>
        <w:gridCol w:w="1779"/>
        <w:gridCol w:w="1701"/>
        <w:gridCol w:w="1843"/>
        <w:gridCol w:w="1984"/>
      </w:tblGrid>
      <w:tr w:rsidR="0063033D" w:rsidTr="008D1891">
        <w:trPr>
          <w:trHeight w:val="482"/>
          <w:jc w:val="center"/>
        </w:trPr>
        <w:tc>
          <w:tcPr>
            <w:tcW w:w="178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3033D" w:rsidRDefault="0063033D" w:rsidP="008D1891">
            <w:pPr>
              <w:keepNext/>
              <w:keepLines/>
              <w:jc w:val="center"/>
              <w:rPr>
                <w:rFonts w:cs="Arial"/>
                <w:b/>
                <w:bCs/>
                <w:color w:val="000000"/>
                <w:sz w:val="16"/>
                <w:szCs w:val="16"/>
              </w:rPr>
            </w:pPr>
            <w:r>
              <w:rPr>
                <w:rFonts w:cs="Arial"/>
                <w:b/>
                <w:bCs/>
                <w:color w:val="000000"/>
                <w:sz w:val="16"/>
                <w:szCs w:val="16"/>
              </w:rPr>
              <w:t>Balance as of December 31, 2013</w:t>
            </w:r>
          </w:p>
        </w:tc>
        <w:tc>
          <w:tcPr>
            <w:tcW w:w="1779"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rsidP="008D1891">
            <w:pPr>
              <w:keepNext/>
              <w:keepLines/>
              <w:jc w:val="center"/>
              <w:rPr>
                <w:rFonts w:cs="Arial"/>
                <w:b/>
                <w:bCs/>
                <w:color w:val="000000"/>
                <w:sz w:val="16"/>
                <w:szCs w:val="16"/>
              </w:rPr>
            </w:pPr>
            <w:r>
              <w:rPr>
                <w:rFonts w:cs="Arial"/>
                <w:b/>
                <w:bCs/>
                <w:color w:val="000000"/>
                <w:sz w:val="16"/>
                <w:szCs w:val="16"/>
              </w:rPr>
              <w:t>Income 2014</w:t>
            </w:r>
          </w:p>
        </w:tc>
        <w:tc>
          <w:tcPr>
            <w:tcW w:w="1701"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rsidP="008D1891">
            <w:pPr>
              <w:keepNext/>
              <w:keepLines/>
              <w:jc w:val="center"/>
              <w:rPr>
                <w:rFonts w:cs="Arial"/>
                <w:b/>
                <w:bCs/>
                <w:color w:val="000000"/>
                <w:sz w:val="16"/>
                <w:szCs w:val="16"/>
              </w:rPr>
            </w:pPr>
            <w:r>
              <w:rPr>
                <w:rFonts w:cs="Arial"/>
                <w:b/>
                <w:bCs/>
                <w:color w:val="000000"/>
                <w:sz w:val="16"/>
                <w:szCs w:val="16"/>
              </w:rPr>
              <w:t>Expenditure 2014</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rsidP="008D1891">
            <w:pPr>
              <w:keepNext/>
              <w:keepLines/>
              <w:jc w:val="center"/>
              <w:rPr>
                <w:rFonts w:cs="Arial"/>
                <w:b/>
                <w:bCs/>
                <w:color w:val="000000"/>
                <w:sz w:val="16"/>
                <w:szCs w:val="16"/>
              </w:rPr>
            </w:pPr>
            <w:r>
              <w:rPr>
                <w:rFonts w:cs="Arial"/>
                <w:b/>
                <w:bCs/>
                <w:color w:val="000000"/>
                <w:sz w:val="16"/>
                <w:szCs w:val="16"/>
              </w:rPr>
              <w:t>Reimbursements</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63033D" w:rsidRDefault="0063033D" w:rsidP="008D1891">
            <w:pPr>
              <w:keepNext/>
              <w:keepLines/>
              <w:jc w:val="center"/>
              <w:rPr>
                <w:rFonts w:cs="Arial"/>
                <w:b/>
                <w:bCs/>
                <w:color w:val="000000"/>
                <w:sz w:val="16"/>
                <w:szCs w:val="16"/>
              </w:rPr>
            </w:pPr>
            <w:r>
              <w:rPr>
                <w:rFonts w:cs="Arial"/>
                <w:b/>
                <w:bCs/>
                <w:color w:val="000000"/>
                <w:sz w:val="16"/>
                <w:szCs w:val="16"/>
              </w:rPr>
              <w:t>Balance as of December 31, 2014</w:t>
            </w:r>
          </w:p>
        </w:tc>
      </w:tr>
      <w:tr w:rsidR="0063033D" w:rsidTr="008D1891">
        <w:trPr>
          <w:trHeight w:val="560"/>
          <w:jc w:val="center"/>
        </w:trPr>
        <w:tc>
          <w:tcPr>
            <w:tcW w:w="1780" w:type="dxa"/>
            <w:tcBorders>
              <w:top w:val="nil"/>
              <w:left w:val="single" w:sz="4" w:space="0" w:color="auto"/>
              <w:bottom w:val="single" w:sz="4" w:space="0" w:color="auto"/>
              <w:right w:val="single" w:sz="4" w:space="0" w:color="auto"/>
            </w:tcBorders>
            <w:shd w:val="clear" w:color="auto" w:fill="auto"/>
            <w:vAlign w:val="center"/>
            <w:hideMark/>
          </w:tcPr>
          <w:p w:rsidR="0063033D" w:rsidRDefault="0063033D" w:rsidP="008D1891">
            <w:pPr>
              <w:keepNext/>
              <w:keepLines/>
              <w:jc w:val="center"/>
              <w:rPr>
                <w:rFonts w:cs="Arial"/>
                <w:sz w:val="16"/>
                <w:szCs w:val="16"/>
              </w:rPr>
            </w:pPr>
            <w:r>
              <w:rPr>
                <w:rFonts w:cs="Arial"/>
                <w:sz w:val="16"/>
                <w:szCs w:val="16"/>
              </w:rPr>
              <w:t>92,731</w:t>
            </w:r>
          </w:p>
        </w:tc>
        <w:tc>
          <w:tcPr>
            <w:tcW w:w="1779" w:type="dxa"/>
            <w:tcBorders>
              <w:top w:val="nil"/>
              <w:left w:val="nil"/>
              <w:bottom w:val="single" w:sz="4" w:space="0" w:color="auto"/>
              <w:right w:val="single" w:sz="4" w:space="0" w:color="auto"/>
            </w:tcBorders>
            <w:shd w:val="clear" w:color="auto" w:fill="auto"/>
            <w:vAlign w:val="center"/>
            <w:hideMark/>
          </w:tcPr>
          <w:p w:rsidR="0063033D" w:rsidRDefault="0063033D" w:rsidP="008D1891">
            <w:pPr>
              <w:keepNext/>
              <w:keepLines/>
              <w:jc w:val="center"/>
              <w:rPr>
                <w:rFonts w:cs="Arial"/>
                <w:sz w:val="16"/>
                <w:szCs w:val="16"/>
              </w:rPr>
            </w:pPr>
            <w:r>
              <w:rPr>
                <w:rFonts w:cs="Arial"/>
                <w:sz w:val="16"/>
                <w:szCs w:val="16"/>
              </w:rPr>
              <w:t>8,588</w:t>
            </w:r>
          </w:p>
        </w:tc>
        <w:tc>
          <w:tcPr>
            <w:tcW w:w="1701" w:type="dxa"/>
            <w:tcBorders>
              <w:top w:val="nil"/>
              <w:left w:val="nil"/>
              <w:bottom w:val="single" w:sz="4" w:space="0" w:color="auto"/>
              <w:right w:val="single" w:sz="4" w:space="0" w:color="auto"/>
            </w:tcBorders>
            <w:shd w:val="clear" w:color="auto" w:fill="auto"/>
            <w:vAlign w:val="center"/>
            <w:hideMark/>
          </w:tcPr>
          <w:p w:rsidR="0063033D" w:rsidRDefault="0063033D" w:rsidP="008D1891">
            <w:pPr>
              <w:keepNext/>
              <w:keepLines/>
              <w:jc w:val="center"/>
              <w:rPr>
                <w:rFonts w:cs="Arial"/>
                <w:sz w:val="16"/>
                <w:szCs w:val="16"/>
              </w:rPr>
            </w:pPr>
            <w:r>
              <w:rPr>
                <w:rFonts w:cs="Arial"/>
                <w:sz w:val="16"/>
                <w:szCs w:val="16"/>
              </w:rPr>
              <w:t>3,515</w:t>
            </w:r>
          </w:p>
        </w:tc>
        <w:tc>
          <w:tcPr>
            <w:tcW w:w="1843" w:type="dxa"/>
            <w:tcBorders>
              <w:top w:val="nil"/>
              <w:left w:val="nil"/>
              <w:bottom w:val="single" w:sz="4" w:space="0" w:color="auto"/>
              <w:right w:val="single" w:sz="4" w:space="0" w:color="auto"/>
            </w:tcBorders>
            <w:shd w:val="clear" w:color="auto" w:fill="auto"/>
            <w:vAlign w:val="center"/>
            <w:hideMark/>
          </w:tcPr>
          <w:p w:rsidR="0063033D" w:rsidRDefault="0063033D" w:rsidP="008D1891">
            <w:pPr>
              <w:keepNext/>
              <w:keepLines/>
              <w:jc w:val="center"/>
              <w:rPr>
                <w:rFonts w:cs="Arial"/>
                <w:sz w:val="16"/>
                <w:szCs w:val="16"/>
              </w:rPr>
            </w:pPr>
            <w:r>
              <w:rPr>
                <w:rFonts w:cs="Arial"/>
                <w:sz w:val="16"/>
                <w:szCs w:val="16"/>
              </w:rPr>
              <w:t>-</w:t>
            </w:r>
          </w:p>
        </w:tc>
        <w:tc>
          <w:tcPr>
            <w:tcW w:w="1984" w:type="dxa"/>
            <w:tcBorders>
              <w:top w:val="nil"/>
              <w:left w:val="nil"/>
              <w:bottom w:val="single" w:sz="4" w:space="0" w:color="auto"/>
              <w:right w:val="single" w:sz="4" w:space="0" w:color="auto"/>
            </w:tcBorders>
            <w:shd w:val="clear" w:color="auto" w:fill="auto"/>
            <w:vAlign w:val="center"/>
            <w:hideMark/>
          </w:tcPr>
          <w:p w:rsidR="0063033D" w:rsidRDefault="0063033D" w:rsidP="008D1891">
            <w:pPr>
              <w:keepNext/>
              <w:keepLines/>
              <w:jc w:val="center"/>
              <w:rPr>
                <w:rFonts w:cs="Arial"/>
                <w:sz w:val="16"/>
                <w:szCs w:val="16"/>
              </w:rPr>
            </w:pPr>
            <w:r>
              <w:rPr>
                <w:rFonts w:cs="Arial"/>
                <w:sz w:val="16"/>
                <w:szCs w:val="16"/>
              </w:rPr>
              <w:t>97,804</w:t>
            </w:r>
          </w:p>
        </w:tc>
      </w:tr>
    </w:tbl>
    <w:p w:rsidR="0063033D" w:rsidRDefault="0063033D" w:rsidP="008D1891">
      <w:pPr>
        <w:rPr>
          <w:rFonts w:cs="Arial"/>
          <w:b/>
          <w:color w:val="000000"/>
          <w:szCs w:val="20"/>
        </w:rPr>
      </w:pPr>
    </w:p>
    <w:p w:rsidR="008D1891" w:rsidRDefault="008D1891" w:rsidP="00CB573E">
      <w:pPr>
        <w:autoSpaceDE w:val="0"/>
        <w:autoSpaceDN w:val="0"/>
        <w:jc w:val="both"/>
      </w:pPr>
      <w:r>
        <w:tab/>
      </w:r>
      <w:r>
        <w:tab/>
      </w:r>
      <w:r>
        <w:tab/>
      </w:r>
      <w:r>
        <w:tab/>
      </w:r>
      <w:r>
        <w:tab/>
      </w:r>
      <w:r>
        <w:tab/>
      </w:r>
      <w:r>
        <w:tab/>
      </w:r>
      <w:r>
        <w:tab/>
      </w:r>
      <w:r>
        <w:tab/>
      </w:r>
      <w:r>
        <w:tab/>
        <w:t xml:space="preserve">  [Appendix III follows]</w:t>
      </w:r>
      <w:r>
        <w:br w:type="page"/>
      </w:r>
    </w:p>
    <w:p w:rsidR="00FA2144" w:rsidRDefault="008D1891" w:rsidP="00C06C6E">
      <w:pPr>
        <w:pStyle w:val="Heading2"/>
        <w:tabs>
          <w:tab w:val="clear" w:pos="567"/>
          <w:tab w:val="left" w:pos="2268"/>
        </w:tabs>
        <w:ind w:left="0" w:firstLine="0"/>
        <w:rPr>
          <w:b w:val="0"/>
          <w:bCs w:val="0"/>
          <w:szCs w:val="20"/>
        </w:rPr>
      </w:pPr>
      <w:bookmarkStart w:id="104" w:name="_Toc422210522"/>
      <w:r w:rsidRPr="00845557">
        <w:lastRenderedPageBreak/>
        <w:t>APPENDIX III</w:t>
      </w:r>
      <w:r w:rsidR="00815ABB" w:rsidRPr="00845557">
        <w:t xml:space="preserve"> </w:t>
      </w:r>
      <w:r w:rsidR="006C404A" w:rsidRPr="00845557">
        <w:t xml:space="preserve">  </w:t>
      </w:r>
      <w:r w:rsidR="00815ABB" w:rsidRPr="00845557">
        <w:br/>
      </w:r>
      <w:r w:rsidR="00815ABB" w:rsidRPr="00C06C6E">
        <w:br/>
      </w:r>
      <w:r w:rsidR="0001444E" w:rsidRPr="00C06C6E">
        <w:t>CAPITAL</w:t>
      </w:r>
      <w:r w:rsidR="0001444E">
        <w:t> </w:t>
      </w:r>
      <w:r w:rsidR="0001444E" w:rsidRPr="00C06C6E">
        <w:t xml:space="preserve">MASTER PLAN (CMP) </w:t>
      </w:r>
      <w:r w:rsidR="00E92481">
        <w:t xml:space="preserve">PROGRESS REPORT </w:t>
      </w:r>
      <w:r w:rsidR="0001444E" w:rsidRPr="00C06C6E">
        <w:t>2014</w:t>
      </w:r>
      <w:bookmarkEnd w:id="104"/>
    </w:p>
    <w:p w:rsidR="008D1891" w:rsidRPr="008D1891" w:rsidRDefault="008D1891" w:rsidP="008D1891">
      <w:pPr>
        <w:autoSpaceDE w:val="0"/>
        <w:autoSpaceDN w:val="0"/>
        <w:jc w:val="both"/>
        <w:rPr>
          <w:bCs/>
          <w:szCs w:val="20"/>
        </w:rPr>
      </w:pPr>
    </w:p>
    <w:p w:rsidR="008D1891" w:rsidRPr="008D1891" w:rsidRDefault="008D1891" w:rsidP="008D1891">
      <w:pPr>
        <w:autoSpaceDE w:val="0"/>
        <w:autoSpaceDN w:val="0"/>
        <w:jc w:val="both"/>
        <w:rPr>
          <w:bCs/>
          <w:szCs w:val="20"/>
        </w:rPr>
      </w:pPr>
    </w:p>
    <w:p w:rsidR="00C06C6E" w:rsidRPr="00990531" w:rsidRDefault="00C06C6E" w:rsidP="00C06C6E">
      <w:pPr>
        <w:rPr>
          <w:b/>
          <w:bCs/>
        </w:rPr>
      </w:pPr>
      <w:r>
        <w:rPr>
          <w:b/>
          <w:bCs/>
        </w:rPr>
        <w:t>I.</w:t>
      </w:r>
      <w:r>
        <w:rPr>
          <w:b/>
          <w:bCs/>
        </w:rPr>
        <w:tab/>
      </w:r>
      <w:r w:rsidRPr="00990531">
        <w:rPr>
          <w:b/>
          <w:bCs/>
        </w:rPr>
        <w:t>INTRODUCTION</w:t>
      </w:r>
    </w:p>
    <w:p w:rsidR="00C06C6E" w:rsidRDefault="00C06C6E" w:rsidP="00C06C6E">
      <w:pPr>
        <w:pStyle w:val="ONUME"/>
      </w:pPr>
    </w:p>
    <w:p w:rsidR="00C06C6E" w:rsidRDefault="00C06C6E" w:rsidP="00C06C6E">
      <w:pPr>
        <w:pStyle w:val="ONUME"/>
        <w:numPr>
          <w:ilvl w:val="0"/>
          <w:numId w:val="127"/>
        </w:numPr>
        <w:tabs>
          <w:tab w:val="left" w:pos="567"/>
        </w:tabs>
        <w:ind w:left="0" w:firstLine="0"/>
        <w:jc w:val="both"/>
      </w:pPr>
      <w:r>
        <w:t xml:space="preserve">The fifty-first session of the Assemblies of the Member States of WIPO in September 2013 endorsed </w:t>
      </w:r>
      <w:r w:rsidRPr="00937899">
        <w:t xml:space="preserve">the principles under which projects are included in the Organization’s </w:t>
      </w:r>
      <w:r>
        <w:t>Capital Master Plan (CMP)</w:t>
      </w:r>
      <w:r w:rsidRPr="00937899">
        <w:t>, and approved funding for a total estimated amount of 11.2 million Swiss francs from available reserves for seven projects</w:t>
      </w:r>
      <w:r>
        <w:t xml:space="preserve"> (</w:t>
      </w:r>
      <w:r w:rsidRPr="00792B2D">
        <w:t>document A/51/1</w:t>
      </w:r>
      <w:r>
        <w:t>6</w:t>
      </w:r>
      <w:r>
        <w:rPr>
          <w:rStyle w:val="FootnoteReference"/>
        </w:rPr>
        <w:footnoteReference w:id="72"/>
      </w:r>
      <w:r>
        <w:t>).</w:t>
      </w:r>
    </w:p>
    <w:p w:rsidR="00C06C6E" w:rsidRDefault="00C06C6E" w:rsidP="00994B87">
      <w:pPr>
        <w:pStyle w:val="ONUME"/>
        <w:numPr>
          <w:ilvl w:val="0"/>
          <w:numId w:val="127"/>
        </w:numPr>
        <w:tabs>
          <w:tab w:val="left" w:pos="567"/>
        </w:tabs>
        <w:ind w:left="0" w:firstLine="0"/>
        <w:jc w:val="both"/>
      </w:pPr>
      <w:r>
        <w:t xml:space="preserve">As part of efforts to streamline reporting across the Organization, the </w:t>
      </w:r>
      <w:r w:rsidRPr="00792B2D">
        <w:t xml:space="preserve">Capital Master Plan (CMP) </w:t>
      </w:r>
      <w:r>
        <w:t xml:space="preserve">Progress Report </w:t>
      </w:r>
      <w:r w:rsidRPr="00792B2D">
        <w:t>2014 is being included as an annex to the PPR 2014.</w:t>
      </w:r>
      <w:r>
        <w:t xml:space="preserve">  This report is the second progress report submitted</w:t>
      </w:r>
      <w:r w:rsidRPr="003319CD">
        <w:t xml:space="preserve"> </w:t>
      </w:r>
      <w:r>
        <w:t>to the PBC and provides Member States with an overview of progress, milestones reached and resource utilization during the period January to December 2014 under the following projects:</w:t>
      </w:r>
    </w:p>
    <w:p w:rsidR="00C06C6E" w:rsidRPr="00D82A98" w:rsidRDefault="00C06C6E" w:rsidP="00994B87">
      <w:pPr>
        <w:pStyle w:val="ONUME"/>
        <w:numPr>
          <w:ilvl w:val="1"/>
          <w:numId w:val="108"/>
        </w:numPr>
        <w:rPr>
          <w:u w:val="single"/>
        </w:rPr>
      </w:pPr>
      <w:r w:rsidRPr="00D82A98">
        <w:rPr>
          <w:u w:val="single"/>
        </w:rPr>
        <w:t>ICT-Related Projects</w:t>
      </w:r>
    </w:p>
    <w:p w:rsidR="00C06C6E" w:rsidRDefault="00C06C6E" w:rsidP="00994B87">
      <w:pPr>
        <w:pStyle w:val="ONUME"/>
        <w:numPr>
          <w:ilvl w:val="2"/>
          <w:numId w:val="108"/>
        </w:numPr>
      </w:pPr>
      <w:r w:rsidRPr="007E7B4E">
        <w:t>Securit</w:t>
      </w:r>
      <w:r>
        <w:t>y Enhancement: Data Encryption a</w:t>
      </w:r>
      <w:r w:rsidRPr="007E7B4E">
        <w:t>nd User Management</w:t>
      </w:r>
      <w:r>
        <w:t xml:space="preserve"> (CMP 1)</w:t>
      </w:r>
    </w:p>
    <w:p w:rsidR="00C06C6E" w:rsidRDefault="00C06C6E" w:rsidP="00994B87">
      <w:pPr>
        <w:pStyle w:val="ONUME"/>
        <w:numPr>
          <w:ilvl w:val="2"/>
          <w:numId w:val="108"/>
        </w:numPr>
        <w:rPr>
          <w:lang w:val="fr-CH"/>
        </w:rPr>
      </w:pPr>
      <w:r w:rsidRPr="007E7B4E">
        <w:rPr>
          <w:lang w:val="fr-CH"/>
        </w:rPr>
        <w:t xml:space="preserve">Enterprise Content Management (ECM) </w:t>
      </w:r>
      <w:proofErr w:type="spellStart"/>
      <w:r w:rsidRPr="00D40C92">
        <w:rPr>
          <w:lang w:val="fr-CH"/>
        </w:rPr>
        <w:t>Implementation</w:t>
      </w:r>
      <w:proofErr w:type="spellEnd"/>
      <w:r>
        <w:rPr>
          <w:lang w:val="fr-CH"/>
        </w:rPr>
        <w:t xml:space="preserve"> </w:t>
      </w:r>
      <w:r w:rsidRPr="007E7B4E">
        <w:rPr>
          <w:lang w:val="fr-CH"/>
        </w:rPr>
        <w:t xml:space="preserve">(CMP </w:t>
      </w:r>
      <w:r>
        <w:rPr>
          <w:lang w:val="fr-CH"/>
        </w:rPr>
        <w:t>2</w:t>
      </w:r>
      <w:r w:rsidRPr="007E7B4E">
        <w:rPr>
          <w:lang w:val="fr-CH"/>
        </w:rPr>
        <w:t>)</w:t>
      </w:r>
    </w:p>
    <w:p w:rsidR="00C06C6E" w:rsidRPr="00D82A98" w:rsidRDefault="00C06C6E" w:rsidP="00994B87">
      <w:pPr>
        <w:pStyle w:val="ONUME"/>
        <w:numPr>
          <w:ilvl w:val="1"/>
          <w:numId w:val="108"/>
        </w:numPr>
        <w:rPr>
          <w:u w:val="single"/>
          <w:lang w:val="fr-CH"/>
        </w:rPr>
      </w:pPr>
      <w:r w:rsidRPr="00D82A98">
        <w:rPr>
          <w:u w:val="single"/>
          <w:lang w:val="fr-CH"/>
        </w:rPr>
        <w:t>Buildings-</w:t>
      </w:r>
      <w:r w:rsidRPr="00D82A98">
        <w:rPr>
          <w:u w:val="single"/>
        </w:rPr>
        <w:t>Related</w:t>
      </w:r>
      <w:r w:rsidRPr="00D82A98">
        <w:rPr>
          <w:u w:val="single"/>
          <w:lang w:val="fr-CH"/>
        </w:rPr>
        <w:t xml:space="preserve"> </w:t>
      </w:r>
      <w:r w:rsidRPr="00D82A98">
        <w:rPr>
          <w:u w:val="single"/>
        </w:rPr>
        <w:t>Projects</w:t>
      </w:r>
    </w:p>
    <w:p w:rsidR="00C06C6E" w:rsidRDefault="00C06C6E" w:rsidP="00994B87">
      <w:pPr>
        <w:pStyle w:val="ONUME"/>
        <w:numPr>
          <w:ilvl w:val="2"/>
          <w:numId w:val="114"/>
        </w:numPr>
        <w:ind w:left="1710" w:hanging="576"/>
      </w:pPr>
      <w:r w:rsidRPr="002941E5">
        <w:t xml:space="preserve">Renovation of the facades and cooling/heating installation of the PCT </w:t>
      </w:r>
      <w:r>
        <w:t>B</w:t>
      </w:r>
      <w:r w:rsidRPr="002941E5">
        <w:t>uilding</w:t>
      </w:r>
      <w:r>
        <w:t xml:space="preserve"> (CMP</w:t>
      </w:r>
      <w:r w:rsidR="00994B87">
        <w:t> </w:t>
      </w:r>
      <w:r>
        <w:t>3)</w:t>
      </w:r>
    </w:p>
    <w:p w:rsidR="00C06C6E" w:rsidRDefault="00C06C6E" w:rsidP="00994B87">
      <w:pPr>
        <w:pStyle w:val="ONUME"/>
        <w:numPr>
          <w:ilvl w:val="2"/>
          <w:numId w:val="108"/>
        </w:numPr>
        <w:ind w:left="1710" w:hanging="576"/>
      </w:pPr>
      <w:r w:rsidRPr="001A1227">
        <w:t>Deployment of Geneva Lake</w:t>
      </w:r>
      <w:r>
        <w:t xml:space="preserve"> </w:t>
      </w:r>
      <w:r w:rsidRPr="001A1227">
        <w:t>water ("GLN") cooling system to AB and PCT Buildings</w:t>
      </w:r>
      <w:r>
        <w:t xml:space="preserve"> (CMP 4)</w:t>
      </w:r>
    </w:p>
    <w:p w:rsidR="00C06C6E" w:rsidRPr="00121956" w:rsidRDefault="00C06C6E" w:rsidP="00994B87">
      <w:pPr>
        <w:pStyle w:val="ONUME"/>
        <w:numPr>
          <w:ilvl w:val="2"/>
          <w:numId w:val="108"/>
        </w:numPr>
      </w:pPr>
      <w:r w:rsidRPr="00121956">
        <w:t xml:space="preserve">Arpad </w:t>
      </w:r>
      <w:proofErr w:type="spellStart"/>
      <w:r w:rsidRPr="00121956">
        <w:t>Bogsch</w:t>
      </w:r>
      <w:proofErr w:type="spellEnd"/>
      <w:r w:rsidRPr="00121956">
        <w:t xml:space="preserve"> Building – phase 1 of basement renovation (resizing of data center and renovation of the </w:t>
      </w:r>
      <w:proofErr w:type="spellStart"/>
      <w:r w:rsidRPr="00121956">
        <w:t>printshop</w:t>
      </w:r>
      <w:proofErr w:type="spellEnd"/>
      <w:r w:rsidRPr="00121956">
        <w:t xml:space="preserve">) </w:t>
      </w:r>
      <w:r>
        <w:t>(CMP 5)</w:t>
      </w:r>
    </w:p>
    <w:p w:rsidR="00C06C6E" w:rsidRDefault="00C06C6E" w:rsidP="00994B87">
      <w:pPr>
        <w:pStyle w:val="ONUME"/>
        <w:numPr>
          <w:ilvl w:val="2"/>
          <w:numId w:val="108"/>
        </w:numPr>
      </w:pPr>
      <w:r w:rsidRPr="00F80245">
        <w:t xml:space="preserve">Arpad </w:t>
      </w:r>
      <w:proofErr w:type="spellStart"/>
      <w:r w:rsidRPr="00F80245">
        <w:t>Bogsch</w:t>
      </w:r>
      <w:proofErr w:type="spellEnd"/>
      <w:r w:rsidRPr="00F80245">
        <w:t xml:space="preserve"> Building – replacement of certain windows</w:t>
      </w:r>
      <w:r>
        <w:t xml:space="preserve"> (CMP 6)</w:t>
      </w:r>
    </w:p>
    <w:p w:rsidR="00C06C6E" w:rsidRPr="00D82A98" w:rsidRDefault="00C06C6E" w:rsidP="00994B87">
      <w:pPr>
        <w:pStyle w:val="ONUME"/>
        <w:numPr>
          <w:ilvl w:val="1"/>
          <w:numId w:val="108"/>
        </w:numPr>
        <w:rPr>
          <w:u w:val="single"/>
        </w:rPr>
      </w:pPr>
      <w:r w:rsidRPr="00D82A98">
        <w:rPr>
          <w:u w:val="single"/>
        </w:rPr>
        <w:t>Safety/Security-Related Projects</w:t>
      </w:r>
    </w:p>
    <w:p w:rsidR="00C06C6E" w:rsidRDefault="00C06C6E" w:rsidP="00994B87">
      <w:pPr>
        <w:pStyle w:val="ONUME"/>
        <w:numPr>
          <w:ilvl w:val="2"/>
          <w:numId w:val="115"/>
        </w:numPr>
      </w:pPr>
      <w:r>
        <w:t>Safety and Fire P</w:t>
      </w:r>
      <w:r w:rsidRPr="0015728D">
        <w:t xml:space="preserve">rotection </w:t>
      </w:r>
      <w:r>
        <w:t>M</w:t>
      </w:r>
      <w:r w:rsidRPr="0015728D">
        <w:t>easures</w:t>
      </w:r>
      <w:r>
        <w:t xml:space="preserve"> (CMP 7)</w:t>
      </w:r>
    </w:p>
    <w:p w:rsidR="00C06C6E" w:rsidRDefault="00C06C6E" w:rsidP="00C06C6E">
      <w:pPr>
        <w:rPr>
          <w:b/>
          <w:bCs/>
        </w:rPr>
      </w:pPr>
    </w:p>
    <w:p w:rsidR="00C06C6E" w:rsidRPr="006E4320" w:rsidRDefault="00C06C6E" w:rsidP="00C06C6E">
      <w:pPr>
        <w:rPr>
          <w:b/>
          <w:bCs/>
        </w:rPr>
      </w:pPr>
      <w:r>
        <w:rPr>
          <w:b/>
          <w:bCs/>
        </w:rPr>
        <w:t>II.</w:t>
      </w:r>
      <w:r>
        <w:rPr>
          <w:b/>
          <w:bCs/>
        </w:rPr>
        <w:tab/>
        <w:t xml:space="preserve">APPROVED </w:t>
      </w:r>
      <w:r w:rsidRPr="006E4320">
        <w:rPr>
          <w:b/>
          <w:bCs/>
        </w:rPr>
        <w:t>GOVERNANCE STRUCTURE</w:t>
      </w:r>
    </w:p>
    <w:p w:rsidR="00C06C6E" w:rsidRPr="00A952B3" w:rsidRDefault="00C06C6E" w:rsidP="00C06C6E"/>
    <w:p w:rsidR="00C06C6E" w:rsidRDefault="00C06C6E" w:rsidP="00C06C6E">
      <w:pPr>
        <w:pStyle w:val="ONUME"/>
        <w:numPr>
          <w:ilvl w:val="0"/>
          <w:numId w:val="127"/>
        </w:numPr>
        <w:tabs>
          <w:tab w:val="left" w:pos="567"/>
        </w:tabs>
        <w:ind w:left="0" w:firstLine="0"/>
        <w:jc w:val="both"/>
      </w:pPr>
      <w:r>
        <w:t>In line with industry best practice for project management, a governance framework for the CMP was implemented in 2014 to: (</w:t>
      </w:r>
      <w:proofErr w:type="spellStart"/>
      <w:r>
        <w:t>i</w:t>
      </w:r>
      <w:proofErr w:type="spellEnd"/>
      <w:r>
        <w:t>) define the structures and processes for the management and monitoring of the activities of the projects towards the achievement of objectives, and (ii) ensure that responsibility and accountability are clearly delineated and communicated.</w:t>
      </w:r>
    </w:p>
    <w:p w:rsidR="00C06C6E" w:rsidRDefault="00C06C6E" w:rsidP="00C06C6E">
      <w:pPr>
        <w:pStyle w:val="ONUME"/>
        <w:numPr>
          <w:ilvl w:val="0"/>
          <w:numId w:val="127"/>
        </w:numPr>
        <w:tabs>
          <w:tab w:val="left" w:pos="567"/>
        </w:tabs>
        <w:ind w:left="0" w:firstLine="0"/>
        <w:jc w:val="both"/>
      </w:pPr>
      <w:r>
        <w:t>The PBC, at the twenty-second session in September 2014, took note of the governance structure set up to manage, oversee and report on the implementation of the portfolio of CMP projects (document WO/PBC/22/21</w:t>
      </w:r>
      <w:r>
        <w:rPr>
          <w:rStyle w:val="FootnoteReference"/>
        </w:rPr>
        <w:footnoteReference w:id="73"/>
      </w:r>
      <w:r>
        <w:t>).</w:t>
      </w:r>
    </w:p>
    <w:p w:rsidR="00C06C6E" w:rsidRDefault="00C06C6E" w:rsidP="00C06C6E">
      <w:pPr>
        <w:autoSpaceDE w:val="0"/>
        <w:autoSpaceDN w:val="0"/>
        <w:adjustRightInd w:val="0"/>
      </w:pPr>
    </w:p>
    <w:p w:rsidR="00C06C6E" w:rsidRDefault="00C06C6E" w:rsidP="00C06C6E">
      <w:pPr>
        <w:jc w:val="right"/>
      </w:pPr>
      <w:r w:rsidRPr="00C842DA">
        <w:t xml:space="preserve"> </w:t>
      </w:r>
    </w:p>
    <w:p w:rsidR="00C06C6E" w:rsidRPr="00994B87" w:rsidRDefault="00C06C6E" w:rsidP="00C06C6E">
      <w:pPr>
        <w:rPr>
          <w:b/>
          <w:sz w:val="22"/>
        </w:rPr>
      </w:pPr>
      <w:r>
        <w:br w:type="page"/>
      </w:r>
      <w:r w:rsidRPr="00994B87">
        <w:rPr>
          <w:b/>
          <w:sz w:val="22"/>
        </w:rPr>
        <w:lastRenderedPageBreak/>
        <w:t>ICT-RELATED PROJECTS</w:t>
      </w:r>
    </w:p>
    <w:p w:rsidR="00C06C6E" w:rsidRPr="00456D61" w:rsidRDefault="001E4922" w:rsidP="001E4922">
      <w:pPr>
        <w:pStyle w:val="StyleHeading3BoldNounderline"/>
        <w:rPr>
          <w:b/>
          <w:sz w:val="20"/>
        </w:rPr>
      </w:pPr>
      <w:bookmarkStart w:id="105" w:name="_Toc422210523"/>
      <w:r w:rsidRPr="00456D61">
        <w:rPr>
          <w:b/>
          <w:sz w:val="20"/>
        </w:rPr>
        <w:t xml:space="preserve">PROJECT:  </w:t>
      </w:r>
      <w:r w:rsidR="00C06C6E" w:rsidRPr="00456D61">
        <w:rPr>
          <w:b/>
          <w:sz w:val="20"/>
        </w:rPr>
        <w:t xml:space="preserve">SECURITY ENHANCEMENT: </w:t>
      </w:r>
      <w:r w:rsidR="0085196E" w:rsidRPr="00456D61">
        <w:rPr>
          <w:b/>
          <w:sz w:val="20"/>
        </w:rPr>
        <w:t xml:space="preserve"> </w:t>
      </w:r>
      <w:r w:rsidR="00C06C6E" w:rsidRPr="00456D61">
        <w:rPr>
          <w:b/>
          <w:sz w:val="20"/>
        </w:rPr>
        <w:t xml:space="preserve">DATA ENCRYPTION AND USER </w:t>
      </w:r>
      <w:r w:rsidRPr="00456D61">
        <w:rPr>
          <w:b/>
          <w:sz w:val="20"/>
        </w:rPr>
        <w:t>MANAGEMENT</w:t>
      </w:r>
      <w:bookmarkEnd w:id="105"/>
      <w:r w:rsidR="00592948">
        <w:rPr>
          <w:b/>
          <w:sz w:val="20"/>
        </w:rPr>
        <w:t xml:space="preserve"> (CMP 1)</w:t>
      </w:r>
    </w:p>
    <w:p w:rsidR="00C06C6E" w:rsidRPr="00BD2266" w:rsidRDefault="00C06C6E" w:rsidP="00C06C6E">
      <w:pPr>
        <w:rPr>
          <w:szCs w:val="20"/>
        </w:rPr>
      </w:pPr>
    </w:p>
    <w:p w:rsidR="00C06C6E" w:rsidRPr="00BD2266" w:rsidRDefault="00C06C6E" w:rsidP="00C06C6E">
      <w:pPr>
        <w:rPr>
          <w:b/>
          <w:szCs w:val="20"/>
        </w:rPr>
      </w:pPr>
      <w:r w:rsidRPr="00BD2266">
        <w:rPr>
          <w:b/>
          <w:szCs w:val="20"/>
        </w:rPr>
        <w:t>Project Manager</w:t>
      </w:r>
      <w:r w:rsidRPr="00BD2266">
        <w:rPr>
          <w:b/>
          <w:szCs w:val="20"/>
        </w:rPr>
        <w:tab/>
      </w:r>
      <w:r>
        <w:rPr>
          <w:b/>
          <w:szCs w:val="20"/>
        </w:rPr>
        <w:tab/>
      </w:r>
      <w:r w:rsidRPr="00BD2266">
        <w:rPr>
          <w:b/>
          <w:szCs w:val="20"/>
        </w:rPr>
        <w:t>Mr. R. LANE</w:t>
      </w:r>
    </w:p>
    <w:p w:rsidR="00C06C6E" w:rsidRPr="00BD2266" w:rsidRDefault="00C06C6E" w:rsidP="00C06C6E">
      <w:pPr>
        <w:rPr>
          <w:szCs w:val="20"/>
        </w:rPr>
      </w:pPr>
    </w:p>
    <w:p w:rsidR="00C06C6E" w:rsidRPr="00BD2266" w:rsidRDefault="00C06C6E" w:rsidP="00C06C6E">
      <w:pPr>
        <w:rPr>
          <w:bCs/>
          <w:szCs w:val="20"/>
        </w:rPr>
      </w:pPr>
    </w:p>
    <w:p w:rsidR="00C06C6E" w:rsidRPr="00BD2266" w:rsidRDefault="00C06C6E" w:rsidP="00C06C6E">
      <w:pPr>
        <w:rPr>
          <w:bCs/>
          <w:szCs w:val="20"/>
        </w:rPr>
      </w:pPr>
      <w:r w:rsidRPr="00BD2266">
        <w:rPr>
          <w:bCs/>
          <w:szCs w:val="20"/>
        </w:rPr>
        <w:t>EXPECTED RESULT</w:t>
      </w:r>
    </w:p>
    <w:p w:rsidR="00C06C6E" w:rsidRPr="00BD2266" w:rsidRDefault="00C06C6E" w:rsidP="00C06C6E">
      <w:pPr>
        <w:rPr>
          <w:bCs/>
          <w:szCs w:val="20"/>
        </w:rPr>
      </w:pPr>
    </w:p>
    <w:p w:rsidR="00C06C6E" w:rsidRPr="00BD2266" w:rsidRDefault="00C06C6E" w:rsidP="00C06C6E">
      <w:pPr>
        <w:jc w:val="both"/>
        <w:rPr>
          <w:i/>
          <w:iCs/>
          <w:szCs w:val="20"/>
        </w:rPr>
      </w:pPr>
      <w:proofErr w:type="gramStart"/>
      <w:r w:rsidRPr="00BD2266">
        <w:rPr>
          <w:i/>
          <w:iCs/>
          <w:szCs w:val="20"/>
        </w:rPr>
        <w:t>IX.1  Effective</w:t>
      </w:r>
      <w:proofErr w:type="gramEnd"/>
      <w:r w:rsidRPr="00BD2266">
        <w:rPr>
          <w:i/>
          <w:iCs/>
          <w:szCs w:val="20"/>
        </w:rPr>
        <w:t>, efficient, quality and customer-oriented support services both to internal clients and to external stakeholders</w:t>
      </w:r>
    </w:p>
    <w:p w:rsidR="00C06C6E" w:rsidRPr="00BD2266" w:rsidRDefault="00C06C6E" w:rsidP="00C06C6E">
      <w:pPr>
        <w:jc w:val="both"/>
        <w:rPr>
          <w:i/>
          <w:iCs/>
          <w:szCs w:val="20"/>
        </w:rPr>
      </w:pPr>
    </w:p>
    <w:p w:rsidR="00C06C6E" w:rsidRPr="00A05F92" w:rsidRDefault="00C06C6E" w:rsidP="00C06C6E">
      <w:pPr>
        <w:pStyle w:val="ONUME"/>
        <w:numPr>
          <w:ilvl w:val="0"/>
          <w:numId w:val="128"/>
        </w:numPr>
        <w:tabs>
          <w:tab w:val="left" w:pos="567"/>
        </w:tabs>
        <w:ind w:left="0" w:firstLine="0"/>
        <w:jc w:val="both"/>
        <w:rPr>
          <w:iCs/>
        </w:rPr>
      </w:pPr>
      <w:r w:rsidRPr="00BD2266">
        <w:rPr>
          <w:iCs/>
        </w:rPr>
        <w:t>Implementing data encryption and user management would enhance WIPO's ability to respond to increasing information security threats, while allowing more cost-effective sourcing options to be considered and increasing number of user access rights to be comprehensively managed.</w:t>
      </w:r>
    </w:p>
    <w:p w:rsidR="00C06C6E" w:rsidRPr="00BD2266" w:rsidRDefault="00C06C6E" w:rsidP="00C06C6E">
      <w:pPr>
        <w:rPr>
          <w:bCs/>
          <w:szCs w:val="20"/>
        </w:rPr>
      </w:pPr>
      <w:r w:rsidRPr="00BD2266">
        <w:rPr>
          <w:bCs/>
          <w:szCs w:val="20"/>
        </w:rPr>
        <w:t>OBJECTIVES, SCOPE AND APPROACH- BACKGROUND</w:t>
      </w:r>
    </w:p>
    <w:p w:rsidR="00C06C6E" w:rsidRPr="00BD2266" w:rsidRDefault="00C06C6E" w:rsidP="00C06C6E">
      <w:pPr>
        <w:rPr>
          <w:bCs/>
          <w:szCs w:val="20"/>
        </w:rPr>
      </w:pPr>
    </w:p>
    <w:p w:rsidR="00C06C6E" w:rsidRPr="00BD2266" w:rsidRDefault="00C06C6E" w:rsidP="00C06C6E">
      <w:pPr>
        <w:pStyle w:val="ONUME"/>
        <w:numPr>
          <w:ilvl w:val="0"/>
          <w:numId w:val="128"/>
        </w:numPr>
        <w:tabs>
          <w:tab w:val="left" w:pos="567"/>
        </w:tabs>
        <w:ind w:left="0" w:firstLine="0"/>
        <w:jc w:val="both"/>
      </w:pPr>
      <w:r w:rsidRPr="00C06C6E">
        <w:rPr>
          <w:iCs/>
        </w:rPr>
        <w:t>This</w:t>
      </w:r>
      <w:r w:rsidRPr="00BD2266">
        <w:rPr>
          <w:bCs/>
        </w:rPr>
        <w:t xml:space="preserve"> project serves three primary objectives – protecting the essential data, enabling more cost-effective sourcing options, and holistically managing user access rights.</w:t>
      </w:r>
    </w:p>
    <w:p w:rsidR="00C06C6E" w:rsidRPr="00BD2266" w:rsidRDefault="00C06C6E" w:rsidP="00C06C6E">
      <w:pPr>
        <w:pStyle w:val="ONUME"/>
        <w:numPr>
          <w:ilvl w:val="0"/>
          <w:numId w:val="128"/>
        </w:numPr>
        <w:tabs>
          <w:tab w:val="left" w:pos="567"/>
        </w:tabs>
        <w:ind w:left="0" w:firstLine="0"/>
        <w:jc w:val="both"/>
      </w:pPr>
      <w:r w:rsidRPr="00BD2266">
        <w:rPr>
          <w:bCs/>
        </w:rPr>
        <w:t>WIPO has already taken multifaceted approaches in protecting confidential information.  These approaches include traditional perimeter defense mechanisms, security information and event management system, intrusion detection and prevention etc.  However, in response to increasingly sophisticated security threats, information security best practices have now also put emphasis on protecting the source directly.</w:t>
      </w:r>
    </w:p>
    <w:p w:rsidR="00C06C6E" w:rsidRPr="00BD2266" w:rsidRDefault="00C06C6E" w:rsidP="00C06C6E">
      <w:pPr>
        <w:pStyle w:val="ONUME"/>
        <w:numPr>
          <w:ilvl w:val="0"/>
          <w:numId w:val="128"/>
        </w:numPr>
        <w:tabs>
          <w:tab w:val="left" w:pos="567"/>
        </w:tabs>
        <w:ind w:left="0" w:firstLine="0"/>
        <w:jc w:val="both"/>
      </w:pPr>
      <w:r w:rsidRPr="00C06C6E">
        <w:rPr>
          <w:iCs/>
        </w:rPr>
        <w:t>In</w:t>
      </w:r>
      <w:r w:rsidRPr="00BD2266">
        <w:rPr>
          <w:bCs/>
        </w:rPr>
        <w:t xml:space="preserve"> addition, having cost-effective sourcing options available is a necessity in today's world of information technology management, which expects diversified and rapidly changing competencies on the one hand and the ability to quickly mobilize the workforce in respon</w:t>
      </w:r>
      <w:r>
        <w:rPr>
          <w:bCs/>
        </w:rPr>
        <w:t>se</w:t>
      </w:r>
      <w:r w:rsidRPr="00BD2266">
        <w:rPr>
          <w:bCs/>
        </w:rPr>
        <w:t xml:space="preserve"> to changing business priorities on the other. However, the increase of sourcing options also brings the increase of information security exposures.</w:t>
      </w:r>
    </w:p>
    <w:p w:rsidR="00C06C6E" w:rsidRPr="00BD2266" w:rsidRDefault="00C06C6E" w:rsidP="00C06C6E">
      <w:pPr>
        <w:pStyle w:val="ONUME"/>
        <w:numPr>
          <w:ilvl w:val="0"/>
          <w:numId w:val="128"/>
        </w:numPr>
        <w:tabs>
          <w:tab w:val="left" w:pos="567"/>
        </w:tabs>
        <w:ind w:left="0" w:firstLine="0"/>
        <w:jc w:val="both"/>
        <w:rPr>
          <w:bCs/>
        </w:rPr>
      </w:pPr>
      <w:r w:rsidRPr="00BD2266">
        <w:rPr>
          <w:bCs/>
        </w:rPr>
        <w:t>Enterprise data encryption technologies can provide effective solutions in response to these two challenges. Such solutions complement other information security measures by encrypting the data source.  They also allow more flexibility in choosing cost-effective service providers by keeping the encryption under tight control while enabling the service providers to perform their support functions.</w:t>
      </w:r>
    </w:p>
    <w:p w:rsidR="00C06C6E" w:rsidRPr="00BD2266" w:rsidRDefault="00C06C6E" w:rsidP="00C06C6E">
      <w:pPr>
        <w:pStyle w:val="ONUME"/>
        <w:numPr>
          <w:ilvl w:val="0"/>
          <w:numId w:val="128"/>
        </w:numPr>
        <w:tabs>
          <w:tab w:val="left" w:pos="567"/>
        </w:tabs>
        <w:ind w:left="0" w:firstLine="0"/>
        <w:jc w:val="both"/>
        <w:rPr>
          <w:bCs/>
        </w:rPr>
      </w:pPr>
      <w:r w:rsidRPr="00BD2266">
        <w:rPr>
          <w:bCs/>
        </w:rPr>
        <w:t xml:space="preserve">Effective access rights management further compliments the investments in enterprise data encryption solutions.  Traditionally, access rights management is focused on systems.  That is, given a system, it should be clear who has access to what.  This mechanism can be effective when number of users and software applications are relatively small. </w:t>
      </w:r>
    </w:p>
    <w:p w:rsidR="00C06C6E" w:rsidRPr="00C06C6E" w:rsidRDefault="00C06C6E" w:rsidP="00C06C6E">
      <w:pPr>
        <w:pStyle w:val="ONUME"/>
        <w:numPr>
          <w:ilvl w:val="0"/>
          <w:numId w:val="128"/>
        </w:numPr>
        <w:tabs>
          <w:tab w:val="left" w:pos="567"/>
        </w:tabs>
        <w:ind w:left="0" w:firstLine="0"/>
        <w:jc w:val="both"/>
        <w:rPr>
          <w:iCs/>
        </w:rPr>
      </w:pPr>
      <w:r w:rsidRPr="00C06C6E">
        <w:rPr>
          <w:iCs/>
        </w:rPr>
        <w:t>However, it is expected that, as WIPO continues to enhance its online services, the number of users will steadily increase in the coming years.  Investments are needed for solutions that focus the access rights management on users.  That is, given a user, it should be clear what access rights the user has across the entire spectrum of the systems.</w:t>
      </w:r>
    </w:p>
    <w:p w:rsidR="00C06C6E" w:rsidRPr="00A05F92" w:rsidRDefault="00C06C6E" w:rsidP="00C06C6E">
      <w:pPr>
        <w:pStyle w:val="ONUME"/>
        <w:numPr>
          <w:ilvl w:val="0"/>
          <w:numId w:val="128"/>
        </w:numPr>
        <w:tabs>
          <w:tab w:val="left" w:pos="567"/>
        </w:tabs>
        <w:ind w:left="0" w:firstLine="0"/>
        <w:jc w:val="both"/>
        <w:rPr>
          <w:iCs/>
        </w:rPr>
      </w:pPr>
      <w:r w:rsidRPr="00C06C6E">
        <w:rPr>
          <w:iCs/>
        </w:rPr>
        <w:t>In the future, technologies may become even more mature to manage access rights according to users’ roles within and across complex systems, such as ERP.  At present, it is difficult to forecast where and how such technologies will evolve. Therefore this has not been included as part of the scope of this project.</w:t>
      </w:r>
    </w:p>
    <w:p w:rsidR="00C06C6E" w:rsidRPr="00BD2266" w:rsidRDefault="00C06C6E" w:rsidP="00C06C6E">
      <w:pPr>
        <w:rPr>
          <w:bCs/>
          <w:szCs w:val="20"/>
        </w:rPr>
      </w:pPr>
      <w:r w:rsidRPr="00BD2266">
        <w:rPr>
          <w:bCs/>
          <w:szCs w:val="20"/>
        </w:rPr>
        <w:t>OVERVIEW OF PROGRESS IN 2014 (KEY MILESTONES)</w:t>
      </w:r>
    </w:p>
    <w:p w:rsidR="00C06C6E" w:rsidRPr="00BD2266" w:rsidRDefault="00C06C6E" w:rsidP="00C06C6E">
      <w:pPr>
        <w:rPr>
          <w:bCs/>
          <w:szCs w:val="20"/>
          <w:highlight w:val="yellow"/>
        </w:rPr>
      </w:pPr>
    </w:p>
    <w:p w:rsidR="00C06C6E" w:rsidRPr="00BD2266" w:rsidRDefault="00C06C6E" w:rsidP="00C06C6E">
      <w:pPr>
        <w:pStyle w:val="ONUME"/>
        <w:numPr>
          <w:ilvl w:val="0"/>
          <w:numId w:val="128"/>
        </w:numPr>
        <w:tabs>
          <w:tab w:val="left" w:pos="567"/>
        </w:tabs>
        <w:ind w:left="0" w:firstLine="0"/>
        <w:jc w:val="both"/>
        <w:rPr>
          <w:bCs/>
        </w:rPr>
      </w:pPr>
      <w:r w:rsidRPr="00C06C6E">
        <w:rPr>
          <w:iCs/>
        </w:rPr>
        <w:t>This</w:t>
      </w:r>
      <w:r w:rsidRPr="00BD2266">
        <w:rPr>
          <w:bCs/>
        </w:rPr>
        <w:t xml:space="preserve"> project was put on hold during 2014 due to the launch of the IT Platform Segregation and Resilience (ITSR) project, which has significant impact on the business requirements for, and the selection/implementation of the required solutions for, both Enterprise Encryption and User Management. </w:t>
      </w:r>
      <w:r>
        <w:rPr>
          <w:bCs/>
        </w:rPr>
        <w:t xml:space="preserve"> </w:t>
      </w:r>
    </w:p>
    <w:p w:rsidR="00C06C6E" w:rsidRPr="00BD2266" w:rsidRDefault="00C06C6E" w:rsidP="00C06C6E">
      <w:pPr>
        <w:jc w:val="both"/>
        <w:rPr>
          <w:bCs/>
          <w:szCs w:val="20"/>
        </w:rPr>
      </w:pPr>
    </w:p>
    <w:p w:rsidR="00C06C6E" w:rsidRPr="00BD2266" w:rsidRDefault="00C06C6E" w:rsidP="00A05F92">
      <w:pPr>
        <w:keepNext/>
        <w:keepLines/>
        <w:rPr>
          <w:rFonts w:cs="Arial"/>
          <w:color w:val="000000"/>
          <w:szCs w:val="20"/>
        </w:rPr>
      </w:pPr>
      <w:r w:rsidRPr="00A05F92">
        <w:rPr>
          <w:rFonts w:cs="Arial"/>
          <w:color w:val="000000"/>
          <w:szCs w:val="20"/>
        </w:rPr>
        <w:lastRenderedPageBreak/>
        <w:t>RESOURCE UTILIZATION</w:t>
      </w:r>
      <w:r w:rsidRPr="00BD2266">
        <w:rPr>
          <w:rFonts w:cs="Arial"/>
          <w:color w:val="000000"/>
          <w:szCs w:val="20"/>
        </w:rPr>
        <w:tab/>
      </w:r>
    </w:p>
    <w:p w:rsidR="00C06C6E" w:rsidRPr="00BD2266" w:rsidRDefault="00C06C6E" w:rsidP="00A05F92">
      <w:pPr>
        <w:keepNext/>
        <w:keepLines/>
        <w:rPr>
          <w:rFonts w:cs="Arial"/>
          <w:color w:val="000000"/>
          <w:szCs w:val="20"/>
        </w:rPr>
      </w:pPr>
    </w:p>
    <w:p w:rsidR="00C06C6E" w:rsidRPr="001162BB" w:rsidRDefault="00C06C6E" w:rsidP="00A05F92">
      <w:pPr>
        <w:keepNext/>
        <w:keepLines/>
        <w:tabs>
          <w:tab w:val="left" w:pos="3261"/>
        </w:tabs>
        <w:autoSpaceDE w:val="0"/>
        <w:autoSpaceDN w:val="0"/>
        <w:adjustRightInd w:val="0"/>
        <w:jc w:val="center"/>
        <w:rPr>
          <w:b/>
          <w:szCs w:val="22"/>
        </w:rPr>
      </w:pPr>
      <w:r>
        <w:rPr>
          <w:b/>
          <w:szCs w:val="22"/>
        </w:rPr>
        <w:t>Project</w:t>
      </w:r>
      <w:r w:rsidRPr="001162BB">
        <w:rPr>
          <w:b/>
          <w:szCs w:val="22"/>
        </w:rPr>
        <w:t xml:space="preserve"> </w:t>
      </w:r>
      <w:r>
        <w:rPr>
          <w:b/>
          <w:szCs w:val="22"/>
        </w:rPr>
        <w:t xml:space="preserve">Budget Utilization </w:t>
      </w:r>
    </w:p>
    <w:p w:rsidR="00C06C6E" w:rsidRPr="00620FAE" w:rsidRDefault="00C06C6E" w:rsidP="00A05F92">
      <w:pPr>
        <w:keepNext/>
        <w:keepLines/>
        <w:tabs>
          <w:tab w:val="left" w:pos="3261"/>
        </w:tabs>
        <w:autoSpaceDE w:val="0"/>
        <w:autoSpaceDN w:val="0"/>
        <w:adjustRightInd w:val="0"/>
        <w:jc w:val="center"/>
        <w:rPr>
          <w:i/>
          <w:iCs/>
          <w:sz w:val="18"/>
          <w:szCs w:val="18"/>
        </w:rPr>
      </w:pPr>
      <w:r w:rsidRPr="00865819">
        <w:rPr>
          <w:i/>
          <w:iCs/>
          <w:sz w:val="18"/>
          <w:szCs w:val="18"/>
        </w:rPr>
        <w:t xml:space="preserve">(In Swiss francs, as at </w:t>
      </w:r>
      <w:r>
        <w:rPr>
          <w:i/>
          <w:iCs/>
          <w:sz w:val="18"/>
          <w:szCs w:val="18"/>
        </w:rPr>
        <w:t>December</w:t>
      </w:r>
      <w:r w:rsidRPr="00865819">
        <w:rPr>
          <w:i/>
          <w:iCs/>
          <w:sz w:val="18"/>
          <w:szCs w:val="18"/>
        </w:rPr>
        <w:t xml:space="preserve"> 31, 201</w:t>
      </w:r>
      <w:r>
        <w:rPr>
          <w:i/>
          <w:iCs/>
          <w:sz w:val="18"/>
          <w:szCs w:val="18"/>
        </w:rPr>
        <w:t>4</w:t>
      </w:r>
      <w:r w:rsidRPr="00865819">
        <w:rPr>
          <w:i/>
          <w:iCs/>
          <w:sz w:val="18"/>
          <w:szCs w:val="18"/>
        </w:rPr>
        <w:t>)</w:t>
      </w:r>
    </w:p>
    <w:p w:rsidR="00C06C6E" w:rsidRPr="00D35690" w:rsidRDefault="00C06C6E" w:rsidP="00A05F92">
      <w:pPr>
        <w:keepNext/>
        <w:keepLines/>
        <w:rPr>
          <w:rFonts w:cs="Arial"/>
          <w:color w:val="000000"/>
          <w:sz w:val="22"/>
          <w:szCs w:val="22"/>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C06C6E" w:rsidTr="00C06C6E">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630FBE" w:rsidRDefault="00C06C6E" w:rsidP="00A05F92">
            <w:pPr>
              <w:keepNext/>
              <w:keepLines/>
              <w:autoSpaceDE w:val="0"/>
              <w:autoSpaceDN w:val="0"/>
              <w:adjustRightInd w:val="0"/>
              <w:spacing w:before="40" w:after="40"/>
              <w:ind w:left="-74" w:right="-60"/>
              <w:jc w:val="center"/>
              <w:rPr>
                <w:b/>
                <w:bCs/>
                <w:sz w:val="16"/>
                <w:szCs w:val="16"/>
              </w:rPr>
            </w:pPr>
            <w:r>
              <w:rPr>
                <w:b/>
                <w:bCs/>
                <w:sz w:val="16"/>
                <w:szCs w:val="16"/>
              </w:rPr>
              <w:t>Project Name</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630FBE" w:rsidRDefault="00C06C6E" w:rsidP="00A05F92">
            <w:pPr>
              <w:keepNext/>
              <w:keepLines/>
              <w:autoSpaceDE w:val="0"/>
              <w:autoSpaceDN w:val="0"/>
              <w:adjustRightInd w:val="0"/>
              <w:spacing w:before="40" w:after="40"/>
              <w:ind w:left="-107" w:right="-108"/>
              <w:jc w:val="center"/>
              <w:rPr>
                <w:b/>
                <w:bCs/>
                <w:sz w:val="16"/>
                <w:szCs w:val="16"/>
              </w:rPr>
            </w:pPr>
            <w:r w:rsidRPr="00630FBE">
              <w:rPr>
                <w:b/>
                <w:bCs/>
                <w:sz w:val="16"/>
                <w:szCs w:val="16"/>
              </w:rPr>
              <w:t>Project Budget</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630FBE" w:rsidRDefault="00C06C6E" w:rsidP="00A05F92">
            <w:pPr>
              <w:keepNext/>
              <w:keepLines/>
              <w:autoSpaceDE w:val="0"/>
              <w:autoSpaceDN w:val="0"/>
              <w:adjustRightInd w:val="0"/>
              <w:spacing w:before="40" w:after="40"/>
              <w:ind w:left="-108" w:right="-106"/>
              <w:jc w:val="center"/>
              <w:rPr>
                <w:b/>
                <w:bCs/>
                <w:sz w:val="16"/>
                <w:szCs w:val="16"/>
              </w:rPr>
            </w:pPr>
            <w:r w:rsidRPr="00630FBE">
              <w:rPr>
                <w:b/>
                <w:bCs/>
                <w:sz w:val="16"/>
                <w:szCs w:val="16"/>
              </w:rPr>
              <w:t>Actual</w:t>
            </w:r>
            <w:r>
              <w:rPr>
                <w:b/>
                <w:bCs/>
                <w:sz w:val="16"/>
                <w:szCs w:val="16"/>
              </w:rPr>
              <w:t xml:space="preserve"> Expenditure to Date</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630FBE" w:rsidRDefault="00C06C6E" w:rsidP="00A05F92">
            <w:pPr>
              <w:keepNext/>
              <w:keepLines/>
              <w:autoSpaceDE w:val="0"/>
              <w:autoSpaceDN w:val="0"/>
              <w:adjustRightInd w:val="0"/>
              <w:spacing w:before="40" w:after="40"/>
              <w:ind w:left="-109" w:right="-108"/>
              <w:jc w:val="center"/>
              <w:rPr>
                <w:b/>
                <w:bCs/>
                <w:sz w:val="16"/>
                <w:szCs w:val="16"/>
              </w:rPr>
            </w:pPr>
            <w:r w:rsidRPr="00630FBE">
              <w:rPr>
                <w:b/>
                <w:bCs/>
                <w:sz w:val="16"/>
                <w:szCs w:val="16"/>
              </w:rPr>
              <w:t xml:space="preserve">Actual </w:t>
            </w:r>
            <w:r>
              <w:rPr>
                <w:b/>
                <w:bCs/>
                <w:sz w:val="16"/>
                <w:szCs w:val="16"/>
              </w:rPr>
              <w:t xml:space="preserve">Budget </w:t>
            </w:r>
            <w:r w:rsidRPr="00630FBE">
              <w:rPr>
                <w:b/>
                <w:bCs/>
                <w:sz w:val="16"/>
                <w:szCs w:val="16"/>
              </w:rPr>
              <w:t>Utilization</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630FBE" w:rsidRDefault="00C06C6E" w:rsidP="00A05F92">
            <w:pPr>
              <w:keepNext/>
              <w:keepLines/>
              <w:autoSpaceDE w:val="0"/>
              <w:autoSpaceDN w:val="0"/>
              <w:adjustRightInd w:val="0"/>
              <w:spacing w:before="40" w:after="40"/>
              <w:ind w:left="-109" w:right="-73" w:firstLine="1"/>
              <w:jc w:val="center"/>
              <w:rPr>
                <w:b/>
                <w:bCs/>
                <w:sz w:val="16"/>
                <w:szCs w:val="16"/>
              </w:rPr>
            </w:pPr>
            <w:r w:rsidRPr="00F06C77">
              <w:rPr>
                <w:b/>
                <w:bCs/>
                <w:sz w:val="16"/>
                <w:szCs w:val="16"/>
              </w:rPr>
              <w:t>Implementation Progress Rate of the Project</w:t>
            </w:r>
          </w:p>
        </w:tc>
      </w:tr>
      <w:tr w:rsidR="00C06C6E" w:rsidTr="00C06C6E">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C06C6E" w:rsidRPr="00630FBE" w:rsidRDefault="00C06C6E" w:rsidP="00A05F92">
            <w:pPr>
              <w:keepNext/>
              <w:keepLines/>
              <w:autoSpaceDE w:val="0"/>
              <w:autoSpaceDN w:val="0"/>
              <w:adjustRightInd w:val="0"/>
              <w:spacing w:before="40" w:after="40" w:line="260" w:lineRule="exact"/>
              <w:rPr>
                <w:sz w:val="16"/>
                <w:szCs w:val="16"/>
              </w:rPr>
            </w:pPr>
            <w:r w:rsidRPr="00000258">
              <w:rPr>
                <w:sz w:val="16"/>
                <w:szCs w:val="16"/>
              </w:rPr>
              <w:t>Security enhancement: data encryption and user management</w:t>
            </w:r>
          </w:p>
        </w:tc>
        <w:tc>
          <w:tcPr>
            <w:tcW w:w="850" w:type="pct"/>
            <w:tcBorders>
              <w:top w:val="single" w:sz="4" w:space="0" w:color="auto"/>
              <w:left w:val="single" w:sz="4" w:space="0" w:color="auto"/>
              <w:bottom w:val="single" w:sz="4" w:space="0" w:color="auto"/>
              <w:right w:val="single" w:sz="4" w:space="0" w:color="auto"/>
            </w:tcBorders>
            <w:vAlign w:val="center"/>
          </w:tcPr>
          <w:p w:rsidR="00C06C6E" w:rsidRPr="00630FBE" w:rsidRDefault="00C06C6E" w:rsidP="00A05F92">
            <w:pPr>
              <w:keepNext/>
              <w:keepLines/>
              <w:autoSpaceDE w:val="0"/>
              <w:autoSpaceDN w:val="0"/>
              <w:adjustRightInd w:val="0"/>
              <w:spacing w:before="40" w:after="40" w:line="260" w:lineRule="exact"/>
              <w:jc w:val="center"/>
              <w:rPr>
                <w:sz w:val="16"/>
                <w:szCs w:val="16"/>
              </w:rPr>
            </w:pPr>
            <w:r>
              <w:rPr>
                <w:sz w:val="16"/>
                <w:szCs w:val="16"/>
              </w:rPr>
              <w:t>700,000</w:t>
            </w:r>
          </w:p>
        </w:tc>
        <w:tc>
          <w:tcPr>
            <w:tcW w:w="851" w:type="pct"/>
            <w:tcBorders>
              <w:top w:val="single" w:sz="4" w:space="0" w:color="auto"/>
              <w:left w:val="single" w:sz="4" w:space="0" w:color="auto"/>
              <w:bottom w:val="single" w:sz="4" w:space="0" w:color="auto"/>
              <w:right w:val="single" w:sz="4" w:space="0" w:color="auto"/>
            </w:tcBorders>
            <w:vAlign w:val="center"/>
          </w:tcPr>
          <w:p w:rsidR="00C06C6E" w:rsidRPr="00630FBE" w:rsidRDefault="00C06C6E" w:rsidP="00A05F92">
            <w:pPr>
              <w:keepNext/>
              <w:keepLines/>
              <w:autoSpaceDE w:val="0"/>
              <w:autoSpaceDN w:val="0"/>
              <w:adjustRightInd w:val="0"/>
              <w:spacing w:before="40" w:after="40" w:line="260" w:lineRule="exact"/>
              <w:jc w:val="center"/>
              <w:rPr>
                <w:sz w:val="16"/>
                <w:szCs w:val="16"/>
              </w:rPr>
            </w:pPr>
            <w:r>
              <w:rPr>
                <w:sz w:val="16"/>
                <w:szCs w:val="16"/>
              </w:rPr>
              <w:t>0</w:t>
            </w:r>
          </w:p>
        </w:tc>
        <w:tc>
          <w:tcPr>
            <w:tcW w:w="851" w:type="pct"/>
            <w:tcBorders>
              <w:top w:val="single" w:sz="4" w:space="0" w:color="auto"/>
              <w:left w:val="single" w:sz="4" w:space="0" w:color="auto"/>
              <w:bottom w:val="single" w:sz="4" w:space="0" w:color="auto"/>
              <w:right w:val="single" w:sz="4" w:space="0" w:color="auto"/>
            </w:tcBorders>
            <w:vAlign w:val="center"/>
          </w:tcPr>
          <w:p w:rsidR="00C06C6E" w:rsidRPr="00630FBE" w:rsidRDefault="00C06C6E" w:rsidP="00A05F92">
            <w:pPr>
              <w:keepNext/>
              <w:keepLines/>
              <w:autoSpaceDE w:val="0"/>
              <w:autoSpaceDN w:val="0"/>
              <w:adjustRightInd w:val="0"/>
              <w:spacing w:before="40" w:after="40" w:line="260" w:lineRule="exact"/>
              <w:jc w:val="center"/>
              <w:rPr>
                <w:sz w:val="16"/>
                <w:szCs w:val="16"/>
              </w:rPr>
            </w:pPr>
            <w:r>
              <w:rPr>
                <w:sz w:val="16"/>
                <w:szCs w:val="16"/>
              </w:rPr>
              <w:t>0%</w:t>
            </w:r>
          </w:p>
        </w:tc>
        <w:tc>
          <w:tcPr>
            <w:tcW w:w="850" w:type="pct"/>
            <w:tcBorders>
              <w:top w:val="single" w:sz="4" w:space="0" w:color="auto"/>
              <w:left w:val="single" w:sz="4" w:space="0" w:color="auto"/>
              <w:bottom w:val="single" w:sz="4" w:space="0" w:color="auto"/>
              <w:right w:val="single" w:sz="4" w:space="0" w:color="auto"/>
            </w:tcBorders>
            <w:vAlign w:val="center"/>
          </w:tcPr>
          <w:p w:rsidR="00C06C6E" w:rsidRPr="00630FBE" w:rsidRDefault="00C06C6E" w:rsidP="00A05F92">
            <w:pPr>
              <w:keepNext/>
              <w:keepLines/>
              <w:autoSpaceDE w:val="0"/>
              <w:autoSpaceDN w:val="0"/>
              <w:adjustRightInd w:val="0"/>
              <w:spacing w:before="40" w:after="40" w:line="260" w:lineRule="exact"/>
              <w:jc w:val="center"/>
              <w:rPr>
                <w:sz w:val="16"/>
                <w:szCs w:val="16"/>
              </w:rPr>
            </w:pPr>
            <w:r>
              <w:rPr>
                <w:sz w:val="16"/>
                <w:szCs w:val="16"/>
              </w:rPr>
              <w:t>-</w:t>
            </w:r>
          </w:p>
        </w:tc>
      </w:tr>
    </w:tbl>
    <w:p w:rsidR="00C06C6E" w:rsidRPr="004312A2" w:rsidRDefault="00C06C6E" w:rsidP="00C06C6E">
      <w:pPr>
        <w:keepNext/>
        <w:autoSpaceDE w:val="0"/>
        <w:autoSpaceDN w:val="0"/>
        <w:rPr>
          <w:sz w:val="16"/>
          <w:szCs w:val="16"/>
        </w:rPr>
      </w:pPr>
    </w:p>
    <w:p w:rsidR="00C06C6E" w:rsidRDefault="00C06C6E" w:rsidP="00C06C6E">
      <w:pPr>
        <w:keepNext/>
        <w:keepLines/>
        <w:tabs>
          <w:tab w:val="left" w:pos="3261"/>
        </w:tabs>
        <w:autoSpaceDE w:val="0"/>
        <w:autoSpaceDN w:val="0"/>
        <w:adjustRightInd w:val="0"/>
        <w:jc w:val="center"/>
        <w:rPr>
          <w:b/>
          <w:szCs w:val="22"/>
        </w:rPr>
      </w:pPr>
    </w:p>
    <w:p w:rsidR="00C06C6E" w:rsidRDefault="00C06C6E" w:rsidP="00C06C6E">
      <w:pPr>
        <w:keepNext/>
        <w:keepLines/>
        <w:tabs>
          <w:tab w:val="left" w:pos="3261"/>
        </w:tabs>
        <w:autoSpaceDE w:val="0"/>
        <w:autoSpaceDN w:val="0"/>
        <w:adjustRightInd w:val="0"/>
        <w:jc w:val="center"/>
        <w:rPr>
          <w:b/>
          <w:szCs w:val="22"/>
        </w:rPr>
      </w:pPr>
    </w:p>
    <w:p w:rsidR="00C06C6E" w:rsidRDefault="00C06C6E">
      <w:r>
        <w:br w:type="page"/>
      </w:r>
    </w:p>
    <w:p w:rsidR="00C06C6E" w:rsidRPr="00994B87" w:rsidRDefault="00C06C6E" w:rsidP="00C06C6E">
      <w:pPr>
        <w:rPr>
          <w:b/>
          <w:sz w:val="22"/>
        </w:rPr>
      </w:pPr>
      <w:r w:rsidRPr="00994B87">
        <w:rPr>
          <w:b/>
          <w:sz w:val="22"/>
        </w:rPr>
        <w:lastRenderedPageBreak/>
        <w:t>ICT-RELATED PROJECTS</w:t>
      </w:r>
    </w:p>
    <w:p w:rsidR="00C06C6E" w:rsidRPr="00456D61" w:rsidRDefault="001E4922" w:rsidP="001E4922">
      <w:pPr>
        <w:pStyle w:val="StyleHeading3BoldNounderline"/>
        <w:rPr>
          <w:b/>
          <w:sz w:val="20"/>
          <w:lang w:val="fr-FR"/>
        </w:rPr>
      </w:pPr>
      <w:bookmarkStart w:id="106" w:name="_Toc422210524"/>
      <w:r w:rsidRPr="00456D61">
        <w:rPr>
          <w:b/>
          <w:sz w:val="20"/>
          <w:lang w:val="fr-FR"/>
        </w:rPr>
        <w:t>PROJECT</w:t>
      </w:r>
      <w:proofErr w:type="gramStart"/>
      <w:r w:rsidRPr="00456D61">
        <w:rPr>
          <w:b/>
          <w:sz w:val="20"/>
          <w:lang w:val="fr-FR"/>
        </w:rPr>
        <w:t xml:space="preserve">:  </w:t>
      </w:r>
      <w:r w:rsidR="00C06C6E" w:rsidRPr="00456D61">
        <w:rPr>
          <w:b/>
          <w:sz w:val="20"/>
          <w:lang w:val="fr-FR"/>
        </w:rPr>
        <w:t>ENTERPRISE</w:t>
      </w:r>
      <w:proofErr w:type="gramEnd"/>
      <w:r w:rsidR="00C06C6E" w:rsidRPr="00456D61">
        <w:rPr>
          <w:b/>
          <w:sz w:val="20"/>
          <w:lang w:val="fr-FR"/>
        </w:rPr>
        <w:t xml:space="preserve"> CONTENT </w:t>
      </w:r>
      <w:r w:rsidRPr="00456D61">
        <w:rPr>
          <w:b/>
          <w:sz w:val="20"/>
          <w:lang w:val="fr-FR"/>
        </w:rPr>
        <w:t xml:space="preserve">MANAGEMENT (ECM) IMPLEMENTATION </w:t>
      </w:r>
      <w:r w:rsidR="00C06C6E" w:rsidRPr="00456D61">
        <w:rPr>
          <w:b/>
          <w:sz w:val="20"/>
          <w:lang w:val="fr-FR"/>
        </w:rPr>
        <w:t>(CMP 2)</w:t>
      </w:r>
      <w:bookmarkEnd w:id="106"/>
    </w:p>
    <w:p w:rsidR="00C06C6E" w:rsidRPr="00456D61" w:rsidRDefault="00C06C6E" w:rsidP="00C06C6E">
      <w:pPr>
        <w:rPr>
          <w:b/>
          <w:sz w:val="18"/>
          <w:szCs w:val="20"/>
          <w:lang w:val="fr-CH"/>
        </w:rPr>
      </w:pPr>
    </w:p>
    <w:p w:rsidR="00C06C6E" w:rsidRDefault="00C06C6E" w:rsidP="00C06C6E">
      <w:pPr>
        <w:rPr>
          <w:b/>
          <w:sz w:val="22"/>
          <w:szCs w:val="22"/>
        </w:rPr>
      </w:pPr>
      <w:r>
        <w:rPr>
          <w:b/>
          <w:sz w:val="22"/>
          <w:szCs w:val="22"/>
        </w:rPr>
        <w:t>Project Manager</w:t>
      </w:r>
      <w:r>
        <w:rPr>
          <w:b/>
          <w:sz w:val="22"/>
          <w:szCs w:val="22"/>
        </w:rPr>
        <w:tab/>
        <w:t>TBD</w:t>
      </w:r>
    </w:p>
    <w:p w:rsidR="00C06C6E" w:rsidRDefault="00C06C6E" w:rsidP="00C06C6E">
      <w:pPr>
        <w:rPr>
          <w:b/>
          <w:sz w:val="22"/>
          <w:szCs w:val="22"/>
        </w:rPr>
      </w:pPr>
    </w:p>
    <w:p w:rsidR="00C06C6E" w:rsidRPr="009266AF" w:rsidRDefault="00C06C6E" w:rsidP="00C06C6E">
      <w:pPr>
        <w:rPr>
          <w:bCs/>
          <w:szCs w:val="20"/>
        </w:rPr>
      </w:pPr>
      <w:r w:rsidRPr="009266AF">
        <w:rPr>
          <w:bCs/>
          <w:szCs w:val="20"/>
        </w:rPr>
        <w:t>EXPECTED RESULT</w:t>
      </w:r>
    </w:p>
    <w:p w:rsidR="00C06C6E" w:rsidRPr="009266AF" w:rsidRDefault="00C06C6E" w:rsidP="00C06C6E">
      <w:pPr>
        <w:rPr>
          <w:bCs/>
          <w:szCs w:val="20"/>
        </w:rPr>
      </w:pPr>
    </w:p>
    <w:p w:rsidR="00C06C6E" w:rsidRPr="009266AF" w:rsidRDefault="00C06C6E" w:rsidP="00C06C6E">
      <w:pPr>
        <w:rPr>
          <w:bCs/>
          <w:szCs w:val="20"/>
        </w:rPr>
      </w:pPr>
      <w:r w:rsidRPr="009266AF">
        <w:rPr>
          <w:i/>
          <w:iCs/>
          <w:szCs w:val="20"/>
        </w:rPr>
        <w:t xml:space="preserve">IX.2 An agile and smooth functioning Secretariat with a </w:t>
      </w:r>
      <w:proofErr w:type="spellStart"/>
      <w:r w:rsidRPr="009266AF">
        <w:rPr>
          <w:i/>
          <w:iCs/>
          <w:szCs w:val="20"/>
        </w:rPr>
        <w:t>well managed</w:t>
      </w:r>
      <w:proofErr w:type="spellEnd"/>
      <w:r w:rsidRPr="009266AF">
        <w:rPr>
          <w:i/>
          <w:iCs/>
          <w:szCs w:val="20"/>
        </w:rPr>
        <w:t xml:space="preserve"> and appropriately skilled workforce which is effectively delivering results</w:t>
      </w:r>
    </w:p>
    <w:p w:rsidR="00C06C6E" w:rsidRPr="009266AF" w:rsidRDefault="00C06C6E" w:rsidP="00C06C6E">
      <w:pPr>
        <w:rPr>
          <w:bCs/>
          <w:szCs w:val="20"/>
        </w:rPr>
      </w:pPr>
    </w:p>
    <w:p w:rsidR="00C06C6E" w:rsidRPr="009266AF" w:rsidRDefault="00C06C6E" w:rsidP="00C06C6E">
      <w:pPr>
        <w:rPr>
          <w:bCs/>
          <w:szCs w:val="20"/>
        </w:rPr>
      </w:pPr>
    </w:p>
    <w:p w:rsidR="00C06C6E" w:rsidRPr="009266AF" w:rsidRDefault="00C06C6E" w:rsidP="00C06C6E">
      <w:pPr>
        <w:rPr>
          <w:bCs/>
          <w:szCs w:val="20"/>
        </w:rPr>
      </w:pPr>
      <w:r w:rsidRPr="009266AF">
        <w:rPr>
          <w:bCs/>
          <w:szCs w:val="20"/>
        </w:rPr>
        <w:t>OBJECTIVES, SCOPE AND APPROACH- BACKGROUND</w:t>
      </w:r>
    </w:p>
    <w:p w:rsidR="00C06C6E" w:rsidRPr="009266AF" w:rsidRDefault="00C06C6E" w:rsidP="00C06C6E">
      <w:pPr>
        <w:rPr>
          <w:bCs/>
          <w:szCs w:val="20"/>
        </w:rPr>
      </w:pPr>
    </w:p>
    <w:p w:rsidR="00C06C6E" w:rsidRPr="00C06C6E" w:rsidRDefault="00C06C6E" w:rsidP="00C06C6E">
      <w:pPr>
        <w:pStyle w:val="ONUME"/>
        <w:numPr>
          <w:ilvl w:val="0"/>
          <w:numId w:val="129"/>
        </w:numPr>
        <w:tabs>
          <w:tab w:val="left" w:pos="567"/>
        </w:tabs>
        <w:ind w:left="0" w:firstLine="0"/>
        <w:jc w:val="both"/>
        <w:rPr>
          <w:iCs/>
        </w:rPr>
      </w:pPr>
      <w:r w:rsidRPr="00C06C6E">
        <w:rPr>
          <w:iCs/>
        </w:rPr>
        <w:t xml:space="preserve">The project is to introduce a central enterprise repository to store documents. This will enable users to work together (collaborate) on document creation, to search and access information more easily, and will allow documents to be linked to transactions in the ERP system. </w:t>
      </w:r>
    </w:p>
    <w:p w:rsidR="00C06C6E" w:rsidRPr="00C06C6E" w:rsidRDefault="00C06C6E" w:rsidP="00C06C6E">
      <w:pPr>
        <w:pStyle w:val="ONUME"/>
        <w:numPr>
          <w:ilvl w:val="0"/>
          <w:numId w:val="129"/>
        </w:numPr>
        <w:tabs>
          <w:tab w:val="left" w:pos="567"/>
        </w:tabs>
        <w:ind w:left="0" w:firstLine="0"/>
        <w:jc w:val="both"/>
        <w:rPr>
          <w:iCs/>
        </w:rPr>
      </w:pPr>
      <w:r w:rsidRPr="00C06C6E">
        <w:rPr>
          <w:iCs/>
        </w:rPr>
        <w:t>During the planning phase of the implementation of the ECM project, changes to the approach and scope were proposed whilst maintaining the original objectives.  These changes to approach and scope serve to further increase the probability of successful delivery of both the organizational changes and technical implementation elements of ECM.  The revised approach is based upon a phased implementation with a number of ‘early wins’ (detailed below), where business benefits will be realized by specific business sectors, through the automation of a number of their document- centric processes, prior to the corporate level deployment of ECM.</w:t>
      </w:r>
    </w:p>
    <w:p w:rsidR="00C06C6E" w:rsidRPr="00C06C6E" w:rsidRDefault="00C06C6E" w:rsidP="00C06C6E">
      <w:pPr>
        <w:pStyle w:val="ONUME"/>
        <w:numPr>
          <w:ilvl w:val="0"/>
          <w:numId w:val="129"/>
        </w:numPr>
        <w:tabs>
          <w:tab w:val="left" w:pos="567"/>
        </w:tabs>
        <w:ind w:left="0" w:firstLine="0"/>
        <w:jc w:val="both"/>
        <w:rPr>
          <w:iCs/>
        </w:rPr>
      </w:pPr>
      <w:r w:rsidRPr="00C06C6E">
        <w:rPr>
          <w:iCs/>
        </w:rPr>
        <w:t>The objectives of the ECM project are:</w:t>
      </w:r>
    </w:p>
    <w:p w:rsidR="00C06C6E" w:rsidRPr="009266AF" w:rsidRDefault="00C06C6E" w:rsidP="00C06C6E">
      <w:pPr>
        <w:pStyle w:val="ListParagraph"/>
        <w:numPr>
          <w:ilvl w:val="0"/>
          <w:numId w:val="118"/>
        </w:numPr>
        <w:spacing w:after="120"/>
        <w:ind w:left="1134" w:hanging="567"/>
        <w:jc w:val="both"/>
      </w:pPr>
      <w:r w:rsidRPr="009266AF">
        <w:t>The implementation of an organizational wide system for the storage, retrieval and management of WIPO documents, records and archives (the ECM application);</w:t>
      </w:r>
    </w:p>
    <w:p w:rsidR="00C06C6E" w:rsidRPr="009266AF" w:rsidRDefault="00C06C6E" w:rsidP="00C06C6E">
      <w:pPr>
        <w:pStyle w:val="ListParagraph"/>
        <w:numPr>
          <w:ilvl w:val="0"/>
          <w:numId w:val="118"/>
        </w:numPr>
        <w:spacing w:after="120"/>
        <w:ind w:left="1134" w:hanging="567"/>
        <w:jc w:val="both"/>
      </w:pPr>
      <w:r w:rsidRPr="009266AF">
        <w:t>The implementation of process-specific configurations of the ECM Processes within the ECM Application to support content rich business processes.  These processes may be sector specific or organizational wide;</w:t>
      </w:r>
    </w:p>
    <w:p w:rsidR="00C06C6E" w:rsidRPr="009266AF" w:rsidRDefault="00C06C6E" w:rsidP="00C06C6E">
      <w:pPr>
        <w:pStyle w:val="ListParagraph"/>
        <w:numPr>
          <w:ilvl w:val="0"/>
          <w:numId w:val="118"/>
        </w:numPr>
        <w:spacing w:after="120"/>
        <w:ind w:left="1134" w:hanging="567"/>
        <w:jc w:val="both"/>
      </w:pPr>
      <w:r w:rsidRPr="009266AF">
        <w:t>Integration where required, with the sub components of the ERP, to allow the linkage of supporting content (held in ECM) to transactional records (held in ERP) where the business processes implemented in ERP require;</w:t>
      </w:r>
    </w:p>
    <w:p w:rsidR="00C06C6E" w:rsidRPr="009266AF" w:rsidRDefault="00C06C6E" w:rsidP="00C06C6E">
      <w:pPr>
        <w:pStyle w:val="ListParagraph"/>
        <w:numPr>
          <w:ilvl w:val="0"/>
          <w:numId w:val="118"/>
        </w:numPr>
        <w:spacing w:after="120"/>
        <w:ind w:left="1134" w:hanging="567"/>
        <w:jc w:val="both"/>
      </w:pPr>
      <w:r w:rsidRPr="009266AF">
        <w:t>The ECM application and supporting infrastructure will be hosted and managed in a manner to meet the service availability and security objectives of such a system based upon its business criticality;</w:t>
      </w:r>
    </w:p>
    <w:p w:rsidR="00C06C6E" w:rsidRPr="009266AF" w:rsidRDefault="00C06C6E" w:rsidP="00C06C6E">
      <w:pPr>
        <w:pStyle w:val="ListParagraph"/>
        <w:numPr>
          <w:ilvl w:val="0"/>
          <w:numId w:val="118"/>
        </w:numPr>
        <w:spacing w:after="120"/>
        <w:ind w:left="1134" w:hanging="567"/>
        <w:jc w:val="both"/>
      </w:pPr>
      <w:r w:rsidRPr="009266AF">
        <w:t>The implementation of the records and archives components of the ECM application and supporting processes will be compliant with the WIPO Records Management and Archiving Policy (OI 15/2013);</w:t>
      </w:r>
    </w:p>
    <w:p w:rsidR="00C06C6E" w:rsidRPr="009266AF" w:rsidRDefault="00C06C6E" w:rsidP="00C06C6E">
      <w:pPr>
        <w:pStyle w:val="ListParagraph"/>
        <w:numPr>
          <w:ilvl w:val="0"/>
          <w:numId w:val="118"/>
        </w:numPr>
        <w:spacing w:after="120"/>
        <w:ind w:left="1134" w:hanging="567"/>
        <w:jc w:val="both"/>
      </w:pPr>
      <w:r w:rsidRPr="009266AF">
        <w:t>End users will be trained in the use of the system, as well as the processes and procedures to ensure ongoing operational compliance with WIPO OI 15/2013 (ECM processes);</w:t>
      </w:r>
    </w:p>
    <w:p w:rsidR="00C06C6E" w:rsidRPr="009266AF" w:rsidRDefault="00C06C6E" w:rsidP="00C06C6E">
      <w:pPr>
        <w:pStyle w:val="ListParagraph"/>
        <w:numPr>
          <w:ilvl w:val="0"/>
          <w:numId w:val="118"/>
        </w:numPr>
        <w:spacing w:after="120"/>
        <w:ind w:left="1134" w:hanging="567"/>
        <w:jc w:val="both"/>
      </w:pPr>
      <w:r w:rsidRPr="009266AF">
        <w:t>The system will implement sufficient security controls to maintain compliance with the WIPO Security policies;</w:t>
      </w:r>
    </w:p>
    <w:p w:rsidR="00C06C6E" w:rsidRPr="009266AF" w:rsidRDefault="00C06C6E" w:rsidP="00C06C6E">
      <w:pPr>
        <w:pStyle w:val="ListParagraph"/>
        <w:numPr>
          <w:ilvl w:val="0"/>
          <w:numId w:val="118"/>
        </w:numPr>
        <w:ind w:left="1134" w:hanging="567"/>
        <w:contextualSpacing/>
        <w:jc w:val="both"/>
      </w:pPr>
      <w:r w:rsidRPr="009266AF">
        <w:t>The ECM Application design, license procurement, implementation, base configuration, individual ‘early win’ project specific configurations, full organizational wide base ECM capability, user training and transition top live operation will be delivered within the budget allocated to the project under the Capital Master Plan (see WO/PBC/21/18, July 31,2013).</w:t>
      </w:r>
    </w:p>
    <w:p w:rsidR="00C06C6E" w:rsidRPr="009266AF" w:rsidRDefault="00C06C6E" w:rsidP="00C06C6E">
      <w:pPr>
        <w:contextualSpacing/>
        <w:jc w:val="both"/>
        <w:rPr>
          <w:szCs w:val="20"/>
        </w:rPr>
      </w:pPr>
    </w:p>
    <w:p w:rsidR="00C06C6E" w:rsidRPr="009266AF" w:rsidRDefault="00C06C6E" w:rsidP="00C06C6E">
      <w:pPr>
        <w:pStyle w:val="ONUME"/>
        <w:numPr>
          <w:ilvl w:val="0"/>
          <w:numId w:val="129"/>
        </w:numPr>
        <w:tabs>
          <w:tab w:val="left" w:pos="567"/>
        </w:tabs>
        <w:ind w:left="0" w:firstLine="0"/>
        <w:jc w:val="both"/>
      </w:pPr>
      <w:r w:rsidRPr="009266AF">
        <w:t>The project will be broken down into a number of phases /sub -projects, each delivering a set of business benefits to one or more business areas.  Each sub-project will include:</w:t>
      </w:r>
    </w:p>
    <w:p w:rsidR="00C06C6E" w:rsidRPr="009266AF" w:rsidRDefault="00C06C6E" w:rsidP="00C06C6E">
      <w:pPr>
        <w:pStyle w:val="ListParagraph"/>
        <w:numPr>
          <w:ilvl w:val="0"/>
          <w:numId w:val="118"/>
        </w:numPr>
        <w:ind w:left="1134" w:hanging="567"/>
        <w:contextualSpacing/>
        <w:jc w:val="both"/>
      </w:pPr>
      <w:r w:rsidRPr="009266AF">
        <w:t>business analysis required to specify the business process which the ECM solution will support;</w:t>
      </w:r>
    </w:p>
    <w:p w:rsidR="00C06C6E" w:rsidRPr="009266AF" w:rsidRDefault="00C06C6E" w:rsidP="00C06C6E">
      <w:pPr>
        <w:pStyle w:val="ListParagraph"/>
        <w:numPr>
          <w:ilvl w:val="0"/>
          <w:numId w:val="118"/>
        </w:numPr>
        <w:ind w:left="1134" w:hanging="567"/>
        <w:contextualSpacing/>
        <w:jc w:val="both"/>
      </w:pPr>
      <w:r w:rsidRPr="009266AF">
        <w:lastRenderedPageBreak/>
        <w:t>the identification and documentation of the interfaces to existing systems, including the ERP system where required;</w:t>
      </w:r>
    </w:p>
    <w:p w:rsidR="00C06C6E" w:rsidRPr="009266AF" w:rsidRDefault="00C06C6E" w:rsidP="00C06C6E">
      <w:pPr>
        <w:pStyle w:val="ListParagraph"/>
        <w:numPr>
          <w:ilvl w:val="0"/>
          <w:numId w:val="118"/>
        </w:numPr>
        <w:ind w:left="1134" w:hanging="567"/>
        <w:contextualSpacing/>
        <w:jc w:val="both"/>
      </w:pPr>
      <w:r w:rsidRPr="009266AF">
        <w:t>the design of the ECM configuration based upon the business process;</w:t>
      </w:r>
    </w:p>
    <w:p w:rsidR="00C06C6E" w:rsidRPr="009266AF" w:rsidRDefault="00C06C6E" w:rsidP="00C06C6E">
      <w:pPr>
        <w:pStyle w:val="ListParagraph"/>
        <w:numPr>
          <w:ilvl w:val="0"/>
          <w:numId w:val="118"/>
        </w:numPr>
        <w:ind w:left="1134" w:hanging="567"/>
        <w:contextualSpacing/>
        <w:jc w:val="both"/>
      </w:pPr>
      <w:r w:rsidRPr="009266AF">
        <w:t>the implementation of the ECM system configuration to support the business process;</w:t>
      </w:r>
    </w:p>
    <w:p w:rsidR="00C06C6E" w:rsidRPr="009266AF" w:rsidRDefault="00C06C6E" w:rsidP="00C06C6E">
      <w:pPr>
        <w:pStyle w:val="ListParagraph"/>
        <w:numPr>
          <w:ilvl w:val="0"/>
          <w:numId w:val="118"/>
        </w:numPr>
        <w:ind w:left="1134" w:hanging="567"/>
        <w:contextualSpacing/>
        <w:jc w:val="both"/>
      </w:pPr>
      <w:r w:rsidRPr="009266AF">
        <w:t>the system testing and user acceptance testing of the ECM system configuration to support the business process; and</w:t>
      </w:r>
    </w:p>
    <w:p w:rsidR="00C06C6E" w:rsidRPr="009266AF" w:rsidRDefault="00C06C6E" w:rsidP="004F1DE0">
      <w:pPr>
        <w:pStyle w:val="ListParagraph"/>
        <w:numPr>
          <w:ilvl w:val="0"/>
          <w:numId w:val="119"/>
        </w:numPr>
        <w:ind w:left="567" w:firstLine="0"/>
        <w:contextualSpacing/>
        <w:jc w:val="both"/>
      </w:pPr>
      <w:proofErr w:type="gramStart"/>
      <w:r w:rsidRPr="009266AF">
        <w:t>the</w:t>
      </w:r>
      <w:proofErr w:type="gramEnd"/>
      <w:r w:rsidRPr="009266AF">
        <w:t xml:space="preserve"> training for the end-users on the business process specific ECM configuration.</w:t>
      </w:r>
    </w:p>
    <w:p w:rsidR="00C06C6E" w:rsidRPr="009266AF" w:rsidRDefault="00C06C6E" w:rsidP="00C06C6E">
      <w:pPr>
        <w:contextualSpacing/>
        <w:jc w:val="both"/>
        <w:rPr>
          <w:szCs w:val="20"/>
        </w:rPr>
      </w:pPr>
    </w:p>
    <w:p w:rsidR="00C06C6E" w:rsidRPr="009266AF" w:rsidRDefault="00C06C6E" w:rsidP="00C06C6E">
      <w:pPr>
        <w:pStyle w:val="ONUME"/>
        <w:numPr>
          <w:ilvl w:val="0"/>
          <w:numId w:val="129"/>
        </w:numPr>
        <w:tabs>
          <w:tab w:val="left" w:pos="567"/>
        </w:tabs>
        <w:ind w:left="0" w:firstLine="0"/>
        <w:jc w:val="both"/>
      </w:pPr>
      <w:r w:rsidRPr="009266AF">
        <w:t>The currently identified sub-projects are:</w:t>
      </w:r>
    </w:p>
    <w:p w:rsidR="00C06C6E" w:rsidRPr="009266AF" w:rsidRDefault="00C06C6E" w:rsidP="00C06C6E">
      <w:pPr>
        <w:contextualSpacing/>
        <w:jc w:val="both"/>
        <w:rPr>
          <w:szCs w:val="20"/>
        </w:rPr>
      </w:pPr>
      <w:r w:rsidRPr="009266AF">
        <w:rPr>
          <w:b/>
          <w:szCs w:val="20"/>
        </w:rPr>
        <w:t>Corporate Records and Archives</w:t>
      </w:r>
      <w:r w:rsidR="00A05F92">
        <w:rPr>
          <w:b/>
          <w:szCs w:val="20"/>
        </w:rPr>
        <w:t xml:space="preserve"> </w:t>
      </w:r>
      <w:r>
        <w:rPr>
          <w:szCs w:val="20"/>
        </w:rPr>
        <w:t>-</w:t>
      </w:r>
      <w:r w:rsidRPr="009266AF">
        <w:rPr>
          <w:szCs w:val="20"/>
        </w:rPr>
        <w:t xml:space="preserve"> a sub-project to increase the functionality of the Records and Archive service, including the enhancement / replacement of their document scanning processes, as well as the implementation of an incoming mail scanning and tracking process (scan and workflow), and the implementation of section level archiving based upon the WIPO records management policy (records &amp; archive management). </w:t>
      </w:r>
    </w:p>
    <w:p w:rsidR="00C06C6E" w:rsidRPr="009266AF" w:rsidRDefault="00C06C6E" w:rsidP="00C06C6E">
      <w:pPr>
        <w:contextualSpacing/>
        <w:jc w:val="both"/>
        <w:rPr>
          <w:szCs w:val="20"/>
        </w:rPr>
      </w:pPr>
    </w:p>
    <w:p w:rsidR="00C06C6E" w:rsidRPr="009266AF" w:rsidRDefault="00C06C6E" w:rsidP="00C06C6E">
      <w:pPr>
        <w:contextualSpacing/>
        <w:jc w:val="both"/>
        <w:rPr>
          <w:szCs w:val="20"/>
        </w:rPr>
      </w:pPr>
      <w:r w:rsidRPr="009266AF">
        <w:rPr>
          <w:b/>
          <w:szCs w:val="20"/>
        </w:rPr>
        <w:t>Vendor &amp; Contract Management System</w:t>
      </w:r>
      <w:r w:rsidR="00A05F92">
        <w:rPr>
          <w:b/>
          <w:szCs w:val="20"/>
        </w:rPr>
        <w:t xml:space="preserve"> </w:t>
      </w:r>
      <w:r>
        <w:rPr>
          <w:szCs w:val="20"/>
        </w:rPr>
        <w:t>-</w:t>
      </w:r>
      <w:r w:rsidRPr="009266AF">
        <w:rPr>
          <w:szCs w:val="20"/>
        </w:rPr>
        <w:t xml:space="preserve"> an ‘early win sub-project’ to implement a solution/processes to manage contract information, allowing for creation of contract documents (document management), the storage of documents related to a contract (case management), the reporting and alerting of events during the contract lifecycle (workflow and case management), and the searching against the contracts (search). </w:t>
      </w:r>
    </w:p>
    <w:p w:rsidR="00C06C6E" w:rsidRPr="009266AF" w:rsidRDefault="00C06C6E" w:rsidP="00C06C6E">
      <w:pPr>
        <w:contextualSpacing/>
        <w:jc w:val="both"/>
        <w:rPr>
          <w:szCs w:val="20"/>
        </w:rPr>
      </w:pPr>
    </w:p>
    <w:p w:rsidR="00C06C6E" w:rsidRPr="009266AF" w:rsidRDefault="00C06C6E" w:rsidP="00C06C6E">
      <w:pPr>
        <w:contextualSpacing/>
        <w:jc w:val="both"/>
        <w:rPr>
          <w:szCs w:val="20"/>
        </w:rPr>
      </w:pPr>
      <w:r w:rsidRPr="009266AF">
        <w:rPr>
          <w:b/>
          <w:szCs w:val="20"/>
        </w:rPr>
        <w:t>ODG Incoming Mail</w:t>
      </w:r>
      <w:r w:rsidR="00A05F92">
        <w:rPr>
          <w:b/>
          <w:szCs w:val="20"/>
        </w:rPr>
        <w:t xml:space="preserve"> </w:t>
      </w:r>
      <w:r>
        <w:rPr>
          <w:szCs w:val="20"/>
        </w:rPr>
        <w:t>-</w:t>
      </w:r>
      <w:r w:rsidRPr="009266AF">
        <w:rPr>
          <w:szCs w:val="20"/>
        </w:rPr>
        <w:t xml:space="preserve"> the scanning and document workflow of Incoming Mail for the Office of the Director General, with the links to the resulting response, with monitoring of progress to ensure that the response is completed and sent within the appropriate time frames.</w:t>
      </w:r>
    </w:p>
    <w:p w:rsidR="00C06C6E" w:rsidRPr="009266AF" w:rsidRDefault="00C06C6E" w:rsidP="00C06C6E">
      <w:pPr>
        <w:contextualSpacing/>
        <w:jc w:val="both"/>
        <w:rPr>
          <w:szCs w:val="20"/>
        </w:rPr>
      </w:pPr>
    </w:p>
    <w:p w:rsidR="00C06C6E" w:rsidRPr="009266AF" w:rsidRDefault="00C06C6E" w:rsidP="00C06C6E">
      <w:pPr>
        <w:contextualSpacing/>
        <w:jc w:val="both"/>
        <w:rPr>
          <w:szCs w:val="20"/>
        </w:rPr>
      </w:pPr>
      <w:r w:rsidRPr="009266AF">
        <w:rPr>
          <w:b/>
          <w:szCs w:val="20"/>
        </w:rPr>
        <w:t>Mission Reports</w:t>
      </w:r>
      <w:r w:rsidR="00A05F92">
        <w:rPr>
          <w:b/>
          <w:szCs w:val="20"/>
        </w:rPr>
        <w:t xml:space="preserve"> </w:t>
      </w:r>
      <w:r>
        <w:rPr>
          <w:szCs w:val="20"/>
        </w:rPr>
        <w:t>-</w:t>
      </w:r>
      <w:r w:rsidRPr="009266AF">
        <w:rPr>
          <w:szCs w:val="20"/>
        </w:rPr>
        <w:t xml:space="preserve"> the management of the creation of mission reports (document management), the processes of review and publication of the mission report (work flow), and the searching of previous mission reports (search) based upon categorization (locations, personnel, topic and organizations visited).</w:t>
      </w:r>
    </w:p>
    <w:p w:rsidR="00C06C6E" w:rsidRPr="009266AF" w:rsidRDefault="00C06C6E" w:rsidP="00C06C6E">
      <w:pPr>
        <w:contextualSpacing/>
        <w:jc w:val="both"/>
        <w:rPr>
          <w:szCs w:val="20"/>
        </w:rPr>
      </w:pPr>
    </w:p>
    <w:p w:rsidR="00C06C6E" w:rsidRPr="009266AF" w:rsidRDefault="00C06C6E" w:rsidP="00C06C6E">
      <w:pPr>
        <w:contextualSpacing/>
        <w:jc w:val="both"/>
        <w:rPr>
          <w:szCs w:val="20"/>
        </w:rPr>
      </w:pPr>
      <w:r w:rsidRPr="009266AF">
        <w:rPr>
          <w:b/>
          <w:szCs w:val="20"/>
        </w:rPr>
        <w:t xml:space="preserve">Human Resources (Staff </w:t>
      </w:r>
      <w:proofErr w:type="spellStart"/>
      <w:proofErr w:type="gramStart"/>
      <w:r w:rsidRPr="009266AF">
        <w:rPr>
          <w:b/>
          <w:szCs w:val="20"/>
        </w:rPr>
        <w:t>eFile</w:t>
      </w:r>
      <w:proofErr w:type="spellEnd"/>
      <w:r w:rsidR="00A05F92">
        <w:rPr>
          <w:b/>
          <w:szCs w:val="20"/>
        </w:rPr>
        <w:t xml:space="preserve"> </w:t>
      </w:r>
      <w:r w:rsidRPr="009266AF">
        <w:rPr>
          <w:b/>
          <w:szCs w:val="20"/>
        </w:rPr>
        <w:t>)</w:t>
      </w:r>
      <w:r>
        <w:rPr>
          <w:szCs w:val="20"/>
        </w:rPr>
        <w:t>-</w:t>
      </w:r>
      <w:proofErr w:type="gramEnd"/>
      <w:r w:rsidRPr="009266AF">
        <w:rPr>
          <w:szCs w:val="20"/>
        </w:rPr>
        <w:t xml:space="preserve"> the creation of secure HR folders (cases) for each employee, to contain the electronic documents and records for that employee, with the inclusion of electronic scans of the existing paper records (imaging &amp; scanning).  HRMD staff will have the ability to search across the </w:t>
      </w:r>
      <w:proofErr w:type="spellStart"/>
      <w:r w:rsidRPr="009266AF">
        <w:rPr>
          <w:szCs w:val="20"/>
        </w:rPr>
        <w:t>eFiles</w:t>
      </w:r>
      <w:proofErr w:type="spellEnd"/>
      <w:r w:rsidRPr="009266AF">
        <w:rPr>
          <w:szCs w:val="20"/>
        </w:rPr>
        <w:t xml:space="preserve"> to identify and retrieve any required files (search).</w:t>
      </w:r>
    </w:p>
    <w:p w:rsidR="00C06C6E" w:rsidRPr="009266AF" w:rsidRDefault="00C06C6E" w:rsidP="00C06C6E">
      <w:pPr>
        <w:contextualSpacing/>
        <w:jc w:val="both"/>
        <w:rPr>
          <w:szCs w:val="20"/>
        </w:rPr>
      </w:pPr>
    </w:p>
    <w:p w:rsidR="00C06C6E" w:rsidRPr="009266AF" w:rsidRDefault="00C06C6E" w:rsidP="00C06C6E">
      <w:pPr>
        <w:contextualSpacing/>
        <w:jc w:val="both"/>
        <w:rPr>
          <w:szCs w:val="20"/>
        </w:rPr>
      </w:pPr>
      <w:r w:rsidRPr="009266AF">
        <w:rPr>
          <w:b/>
          <w:szCs w:val="20"/>
        </w:rPr>
        <w:t>Translation request</w:t>
      </w:r>
      <w:r w:rsidR="00A05F92">
        <w:rPr>
          <w:b/>
          <w:szCs w:val="20"/>
        </w:rPr>
        <w:t xml:space="preserve"> </w:t>
      </w:r>
      <w:r>
        <w:rPr>
          <w:szCs w:val="20"/>
        </w:rPr>
        <w:t>-</w:t>
      </w:r>
      <w:r w:rsidRPr="009266AF">
        <w:rPr>
          <w:szCs w:val="20"/>
        </w:rPr>
        <w:t xml:space="preserve"> the automation of a document based workflow with tracking and reporting, for the allocation of documents to be translated by the Languages Division. </w:t>
      </w:r>
    </w:p>
    <w:p w:rsidR="00C06C6E" w:rsidRPr="009266AF" w:rsidRDefault="00C06C6E" w:rsidP="00C06C6E">
      <w:pPr>
        <w:contextualSpacing/>
        <w:jc w:val="both"/>
        <w:rPr>
          <w:szCs w:val="20"/>
        </w:rPr>
      </w:pPr>
    </w:p>
    <w:p w:rsidR="00C06C6E" w:rsidRPr="009266AF" w:rsidRDefault="00C06C6E" w:rsidP="00C06C6E">
      <w:pPr>
        <w:contextualSpacing/>
        <w:jc w:val="both"/>
        <w:rPr>
          <w:szCs w:val="20"/>
        </w:rPr>
      </w:pPr>
      <w:r w:rsidRPr="009266AF">
        <w:rPr>
          <w:b/>
          <w:szCs w:val="20"/>
        </w:rPr>
        <w:t>Organizational wide ECM Capability</w:t>
      </w:r>
      <w:r w:rsidR="00A05F92">
        <w:rPr>
          <w:b/>
          <w:szCs w:val="20"/>
        </w:rPr>
        <w:t xml:space="preserve"> </w:t>
      </w:r>
      <w:r>
        <w:rPr>
          <w:szCs w:val="20"/>
        </w:rPr>
        <w:t>-</w:t>
      </w:r>
      <w:r w:rsidRPr="009266AF">
        <w:rPr>
          <w:szCs w:val="20"/>
        </w:rPr>
        <w:t xml:space="preserve"> the integration of ECM into the standard WIPO Corporate Desktop so allowing all WIPO users to perform Document Management (storage, categorization, search &amp; retrieval, and version control) on user, unit and organizational created content.  The content will include user desktop created content such as word processing files (e.g. Microsoft Word and PDF documents),  Spreadsheets (e.g. Microsoft Excel), presentations (e.g. Microsoft PowerPoint), diagrams (e.g. Microsoft </w:t>
      </w:r>
      <w:proofErr w:type="spellStart"/>
      <w:r w:rsidRPr="009266AF">
        <w:rPr>
          <w:szCs w:val="20"/>
        </w:rPr>
        <w:t>visio</w:t>
      </w:r>
      <w:proofErr w:type="spellEnd"/>
      <w:r w:rsidRPr="009266AF">
        <w:rPr>
          <w:szCs w:val="20"/>
        </w:rPr>
        <w:t>), project plans (e.g. Microsoft Project) emails.</w:t>
      </w:r>
    </w:p>
    <w:p w:rsidR="00C06C6E" w:rsidRPr="009266AF" w:rsidRDefault="00C06C6E" w:rsidP="00C06C6E">
      <w:pPr>
        <w:rPr>
          <w:bCs/>
          <w:szCs w:val="20"/>
        </w:rPr>
      </w:pPr>
    </w:p>
    <w:p w:rsidR="00C06C6E" w:rsidRDefault="00C06C6E" w:rsidP="00C06C6E">
      <w:pPr>
        <w:rPr>
          <w:bCs/>
          <w:szCs w:val="20"/>
        </w:rPr>
      </w:pPr>
    </w:p>
    <w:p w:rsidR="00C06C6E" w:rsidRPr="009266AF" w:rsidRDefault="00C06C6E" w:rsidP="00C06C6E">
      <w:pPr>
        <w:rPr>
          <w:bCs/>
          <w:szCs w:val="20"/>
        </w:rPr>
      </w:pPr>
      <w:r w:rsidRPr="009266AF">
        <w:rPr>
          <w:bCs/>
          <w:szCs w:val="20"/>
        </w:rPr>
        <w:t>OVERVIEW OF PROGRESS IN 2014 (KEY MILESTONES)</w:t>
      </w:r>
    </w:p>
    <w:p w:rsidR="00C06C6E" w:rsidRPr="009266AF" w:rsidRDefault="00C06C6E" w:rsidP="00C06C6E">
      <w:pPr>
        <w:rPr>
          <w:bCs/>
          <w:szCs w:val="20"/>
        </w:rPr>
      </w:pPr>
    </w:p>
    <w:p w:rsidR="00C06C6E" w:rsidRDefault="00C06C6E" w:rsidP="004F1DE0">
      <w:pPr>
        <w:pStyle w:val="ONUME"/>
        <w:numPr>
          <w:ilvl w:val="0"/>
          <w:numId w:val="129"/>
        </w:numPr>
        <w:tabs>
          <w:tab w:val="left" w:pos="567"/>
        </w:tabs>
        <w:ind w:left="0" w:firstLine="0"/>
        <w:jc w:val="both"/>
        <w:rPr>
          <w:bCs/>
        </w:rPr>
      </w:pPr>
      <w:r w:rsidRPr="009266AF">
        <w:rPr>
          <w:bCs/>
        </w:rPr>
        <w:t>In 2014, a study was undertaken by an external consultant to:  (</w:t>
      </w:r>
      <w:proofErr w:type="spellStart"/>
      <w:r w:rsidRPr="009266AF">
        <w:rPr>
          <w:bCs/>
        </w:rPr>
        <w:t>i</w:t>
      </w:r>
      <w:proofErr w:type="spellEnd"/>
      <w:r w:rsidRPr="009266AF">
        <w:rPr>
          <w:bCs/>
        </w:rPr>
        <w:t xml:space="preserve">) validate the project approach to be aligned with best practices;  (ii) capture comprehensive business requirements through Organizational stakeholder engagement;  (iii) prioritize “early wins” following discussions with stakeholders;  and (iv)   recommend a technology solution.    The study was completed at the end of 2014, and the findings will be reviewed and considered in 2105, with an anticipated start date of project implementation in 2016. </w:t>
      </w:r>
    </w:p>
    <w:p w:rsidR="00C06C6E" w:rsidRPr="009266AF" w:rsidRDefault="00C06C6E" w:rsidP="00C06C6E">
      <w:pPr>
        <w:rPr>
          <w:bCs/>
          <w:szCs w:val="20"/>
        </w:rPr>
      </w:pPr>
    </w:p>
    <w:p w:rsidR="00C06C6E" w:rsidRDefault="00C06C6E" w:rsidP="00C06C6E">
      <w:pPr>
        <w:rPr>
          <w:bCs/>
          <w:sz w:val="22"/>
          <w:szCs w:val="22"/>
        </w:rPr>
      </w:pPr>
    </w:p>
    <w:p w:rsidR="004F1DE0" w:rsidRDefault="004F1DE0">
      <w:pPr>
        <w:rPr>
          <w:bCs/>
          <w:sz w:val="22"/>
          <w:szCs w:val="22"/>
        </w:rPr>
      </w:pPr>
      <w:r>
        <w:rPr>
          <w:bCs/>
          <w:sz w:val="22"/>
          <w:szCs w:val="22"/>
        </w:rPr>
        <w:br w:type="page"/>
      </w:r>
    </w:p>
    <w:p w:rsidR="00C06C6E" w:rsidRPr="005E6AFC" w:rsidRDefault="00C06C6E" w:rsidP="00C06C6E">
      <w:pPr>
        <w:rPr>
          <w:bCs/>
          <w:sz w:val="22"/>
          <w:szCs w:val="22"/>
        </w:rPr>
      </w:pPr>
      <w:r>
        <w:rPr>
          <w:bCs/>
          <w:sz w:val="22"/>
          <w:szCs w:val="22"/>
        </w:rPr>
        <w:lastRenderedPageBreak/>
        <w:t>BENEFITS REALIZATION</w:t>
      </w:r>
    </w:p>
    <w:p w:rsidR="00C06C6E" w:rsidRDefault="00C06C6E" w:rsidP="00C06C6E">
      <w:pPr>
        <w:rPr>
          <w:szCs w:val="20"/>
        </w:rPr>
      </w:pPr>
    </w:p>
    <w:p w:rsidR="00C06C6E" w:rsidRDefault="00C06C6E" w:rsidP="004F1DE0">
      <w:pPr>
        <w:pStyle w:val="ONUME"/>
        <w:numPr>
          <w:ilvl w:val="0"/>
          <w:numId w:val="129"/>
        </w:numPr>
        <w:tabs>
          <w:tab w:val="left" w:pos="567"/>
        </w:tabs>
        <w:ind w:left="0" w:firstLine="0"/>
        <w:jc w:val="both"/>
      </w:pPr>
      <w:r>
        <w:t xml:space="preserve">The benefits for the initial phases of the ECM Project will be realized on a sector-by-sector basis through the implementation of particular ECM configurations to support knowledge-centric business processes.  </w:t>
      </w:r>
    </w:p>
    <w:tbl>
      <w:tblPr>
        <w:tblW w:w="4431" w:type="pct"/>
        <w:jc w:val="center"/>
        <w:tblInd w:w="-1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1"/>
        <w:gridCol w:w="4241"/>
      </w:tblGrid>
      <w:tr w:rsidR="00C06C6E" w:rsidRPr="0063640E" w:rsidTr="005158E3">
        <w:trPr>
          <w:trHeight w:val="535"/>
          <w:tblHeader/>
          <w:jc w:val="center"/>
        </w:trPr>
        <w:tc>
          <w:tcPr>
            <w:tcW w:w="2500" w:type="pct"/>
            <w:shd w:val="clear" w:color="auto" w:fill="C6D9F1" w:themeFill="text2" w:themeFillTint="33"/>
            <w:vAlign w:val="center"/>
          </w:tcPr>
          <w:p w:rsidR="00C06C6E" w:rsidRPr="0063640E" w:rsidRDefault="00C06C6E" w:rsidP="00C06C6E">
            <w:pPr>
              <w:jc w:val="center"/>
              <w:rPr>
                <w:b/>
                <w:bCs/>
                <w:sz w:val="16"/>
                <w:szCs w:val="16"/>
              </w:rPr>
            </w:pPr>
            <w:r w:rsidRPr="0063640E">
              <w:rPr>
                <w:b/>
                <w:bCs/>
                <w:sz w:val="16"/>
                <w:szCs w:val="16"/>
              </w:rPr>
              <w:t>Expected Benefits 2016</w:t>
            </w:r>
          </w:p>
        </w:tc>
        <w:tc>
          <w:tcPr>
            <w:tcW w:w="2500" w:type="pct"/>
            <w:shd w:val="clear" w:color="auto" w:fill="C6D9F1" w:themeFill="text2" w:themeFillTint="33"/>
            <w:vAlign w:val="center"/>
          </w:tcPr>
          <w:p w:rsidR="00C06C6E" w:rsidRPr="0063640E" w:rsidRDefault="00C06C6E" w:rsidP="00C06C6E">
            <w:pPr>
              <w:jc w:val="center"/>
              <w:rPr>
                <w:b/>
                <w:bCs/>
                <w:sz w:val="16"/>
                <w:szCs w:val="16"/>
              </w:rPr>
            </w:pPr>
            <w:r>
              <w:rPr>
                <w:b/>
                <w:bCs/>
                <w:sz w:val="16"/>
                <w:szCs w:val="16"/>
              </w:rPr>
              <w:t>Expected Benefits 2017</w:t>
            </w:r>
          </w:p>
        </w:tc>
      </w:tr>
      <w:tr w:rsidR="00C06C6E" w:rsidRPr="00FA5701" w:rsidTr="00A05F92">
        <w:trPr>
          <w:trHeight w:val="564"/>
          <w:jc w:val="center"/>
        </w:trPr>
        <w:tc>
          <w:tcPr>
            <w:tcW w:w="2500" w:type="pct"/>
            <w:shd w:val="clear" w:color="auto" w:fill="auto"/>
          </w:tcPr>
          <w:p w:rsidR="00C06C6E" w:rsidRDefault="00C06C6E" w:rsidP="00C06C6E">
            <w:pPr>
              <w:rPr>
                <w:b/>
                <w:bCs/>
                <w:i/>
                <w:iCs/>
                <w:sz w:val="16"/>
                <w:szCs w:val="16"/>
              </w:rPr>
            </w:pPr>
            <w:r>
              <w:rPr>
                <w:b/>
                <w:bCs/>
                <w:i/>
                <w:iCs/>
                <w:sz w:val="16"/>
                <w:szCs w:val="16"/>
              </w:rPr>
              <w:t>Following the operational deployment  of the Contract &amp; vendor management ECM system configuration:</w:t>
            </w:r>
          </w:p>
          <w:p w:rsidR="00C06C6E" w:rsidRPr="00E83ABC" w:rsidRDefault="00C06C6E" w:rsidP="00C06C6E">
            <w:pPr>
              <w:contextualSpacing/>
              <w:jc w:val="both"/>
              <w:rPr>
                <w:sz w:val="16"/>
              </w:rPr>
            </w:pPr>
            <w:r w:rsidRPr="00E83ABC">
              <w:rPr>
                <w:sz w:val="16"/>
              </w:rPr>
              <w:t>The Procurement Section will have a single searchable source of information relating to ongoing and concluded procurement tenders, this will result in:</w:t>
            </w:r>
          </w:p>
          <w:p w:rsidR="00C06C6E" w:rsidRPr="00E83ABC" w:rsidRDefault="00C06C6E" w:rsidP="00C06C6E">
            <w:pPr>
              <w:pStyle w:val="ListParagraph"/>
              <w:numPr>
                <w:ilvl w:val="0"/>
                <w:numId w:val="117"/>
              </w:numPr>
              <w:ind w:left="318" w:hanging="283"/>
              <w:contextualSpacing/>
              <w:jc w:val="both"/>
              <w:rPr>
                <w:sz w:val="16"/>
              </w:rPr>
            </w:pPr>
            <w:r w:rsidRPr="00E83ABC">
              <w:rPr>
                <w:sz w:val="16"/>
              </w:rPr>
              <w:t>The reduction in the time taken to identify and retrieve current information;</w:t>
            </w:r>
          </w:p>
          <w:p w:rsidR="00C06C6E" w:rsidRPr="00E83ABC" w:rsidRDefault="00C06C6E" w:rsidP="00C06C6E">
            <w:pPr>
              <w:pStyle w:val="ListParagraph"/>
              <w:numPr>
                <w:ilvl w:val="0"/>
                <w:numId w:val="117"/>
              </w:numPr>
              <w:ind w:left="318" w:hanging="283"/>
              <w:contextualSpacing/>
              <w:jc w:val="both"/>
              <w:rPr>
                <w:sz w:val="16"/>
              </w:rPr>
            </w:pPr>
            <w:r w:rsidRPr="00E83ABC">
              <w:rPr>
                <w:sz w:val="16"/>
              </w:rPr>
              <w:t>The reduction in error and re-work through ensuring that the latest version of each document can be clearly identified, so reducing errors and re-work.</w:t>
            </w:r>
          </w:p>
          <w:p w:rsidR="00C06C6E" w:rsidRPr="00E83ABC" w:rsidRDefault="00C06C6E" w:rsidP="00C06C6E">
            <w:pPr>
              <w:contextualSpacing/>
              <w:jc w:val="both"/>
              <w:rPr>
                <w:sz w:val="16"/>
              </w:rPr>
            </w:pPr>
            <w:r w:rsidRPr="00E83ABC">
              <w:rPr>
                <w:sz w:val="16"/>
              </w:rPr>
              <w:t>The Procurement Section will have a single dashboard showing the progress of active tenders as well as information of when existing contracts will need to be re-tendered, this will result in:</w:t>
            </w:r>
          </w:p>
          <w:p w:rsidR="00C06C6E" w:rsidRPr="00E83ABC" w:rsidRDefault="00C06C6E" w:rsidP="00C06C6E">
            <w:pPr>
              <w:pStyle w:val="ListParagraph"/>
              <w:numPr>
                <w:ilvl w:val="0"/>
                <w:numId w:val="117"/>
              </w:numPr>
              <w:ind w:left="318" w:hanging="318"/>
              <w:contextualSpacing/>
              <w:jc w:val="both"/>
              <w:rPr>
                <w:sz w:val="16"/>
                <w:szCs w:val="24"/>
              </w:rPr>
            </w:pPr>
            <w:r w:rsidRPr="00E83ABC">
              <w:rPr>
                <w:sz w:val="16"/>
              </w:rPr>
              <w:t xml:space="preserve">Greater staff utilization of productive task through better forward planning of procurement activities. </w:t>
            </w:r>
          </w:p>
        </w:tc>
        <w:tc>
          <w:tcPr>
            <w:tcW w:w="2500" w:type="pct"/>
            <w:shd w:val="clear" w:color="auto" w:fill="auto"/>
          </w:tcPr>
          <w:p w:rsidR="00C06C6E" w:rsidRDefault="00C06C6E" w:rsidP="00C06C6E">
            <w:pPr>
              <w:rPr>
                <w:b/>
                <w:bCs/>
                <w:i/>
                <w:iCs/>
                <w:sz w:val="16"/>
                <w:szCs w:val="16"/>
              </w:rPr>
            </w:pPr>
            <w:r>
              <w:rPr>
                <w:b/>
                <w:bCs/>
                <w:i/>
                <w:iCs/>
                <w:sz w:val="16"/>
                <w:szCs w:val="16"/>
              </w:rPr>
              <w:t>Following the operational deployment of the electronic HR staff record ECM system configuration:</w:t>
            </w:r>
          </w:p>
          <w:p w:rsidR="00C06C6E" w:rsidRPr="00410A88" w:rsidRDefault="00C06C6E" w:rsidP="00C06C6E">
            <w:pPr>
              <w:pStyle w:val="ListParagraph"/>
              <w:ind w:left="35"/>
              <w:contextualSpacing/>
              <w:jc w:val="both"/>
              <w:rPr>
                <w:sz w:val="16"/>
              </w:rPr>
            </w:pPr>
            <w:r w:rsidRPr="00410A88">
              <w:rPr>
                <w:sz w:val="16"/>
              </w:rPr>
              <w:t>The HR Management Department will have a single repository for the storage of documents relating to staff, covering both historical documents, which will be scanned, as well the capture of newly created documents.  This will result in:</w:t>
            </w:r>
          </w:p>
          <w:p w:rsidR="00C06C6E" w:rsidRPr="00410A88" w:rsidRDefault="00C06C6E" w:rsidP="00C06C6E">
            <w:pPr>
              <w:pStyle w:val="ListParagraph"/>
              <w:numPr>
                <w:ilvl w:val="0"/>
                <w:numId w:val="117"/>
              </w:numPr>
              <w:ind w:left="318" w:hanging="283"/>
              <w:contextualSpacing/>
              <w:jc w:val="both"/>
              <w:rPr>
                <w:sz w:val="16"/>
              </w:rPr>
            </w:pPr>
            <w:r w:rsidRPr="00410A88">
              <w:rPr>
                <w:sz w:val="16"/>
              </w:rPr>
              <w:t>The continued capture, management and preservation of key HR files and delated documents.  The single repository of information will reduce the time and HR staff effort required to identify and extract relevant documents in support of key organizational processes;</w:t>
            </w:r>
          </w:p>
          <w:p w:rsidR="00C06C6E" w:rsidRPr="00FA6F92" w:rsidRDefault="00C06C6E" w:rsidP="00C06C6E">
            <w:pPr>
              <w:pStyle w:val="ListParagraph"/>
              <w:numPr>
                <w:ilvl w:val="0"/>
                <w:numId w:val="117"/>
              </w:numPr>
              <w:ind w:left="335" w:hanging="283"/>
              <w:contextualSpacing/>
              <w:jc w:val="both"/>
              <w:rPr>
                <w:sz w:val="16"/>
              </w:rPr>
            </w:pPr>
            <w:r w:rsidRPr="00410A88">
              <w:rPr>
                <w:sz w:val="16"/>
              </w:rPr>
              <w:t>The latest version of each HR document relating to WIPO staff will be clearly identifiable so reducing the time and effort required in identifying the latest version of documents, and reducing the level of re-work.</w:t>
            </w:r>
            <w:r w:rsidRPr="00FA6F92">
              <w:rPr>
                <w:sz w:val="16"/>
              </w:rPr>
              <w:t xml:space="preserve"> </w:t>
            </w:r>
          </w:p>
          <w:p w:rsidR="00C06C6E" w:rsidRPr="00FA6F92" w:rsidRDefault="00C06C6E" w:rsidP="00C06C6E">
            <w:pPr>
              <w:rPr>
                <w:bCs/>
                <w:iCs/>
                <w:sz w:val="16"/>
                <w:szCs w:val="16"/>
              </w:rPr>
            </w:pPr>
          </w:p>
          <w:p w:rsidR="00C06C6E" w:rsidRPr="00FA6F92" w:rsidRDefault="00C06C6E" w:rsidP="00C06C6E">
            <w:pPr>
              <w:rPr>
                <w:b/>
                <w:bCs/>
                <w:i/>
                <w:iCs/>
                <w:sz w:val="16"/>
                <w:szCs w:val="16"/>
              </w:rPr>
            </w:pPr>
            <w:r w:rsidRPr="00FA6F92">
              <w:rPr>
                <w:b/>
                <w:bCs/>
                <w:i/>
                <w:iCs/>
                <w:sz w:val="16"/>
                <w:szCs w:val="16"/>
              </w:rPr>
              <w:t xml:space="preserve"> </w:t>
            </w:r>
          </w:p>
        </w:tc>
      </w:tr>
      <w:tr w:rsidR="00C06C6E" w:rsidRPr="00FA5701" w:rsidTr="00A05F92">
        <w:trPr>
          <w:trHeight w:val="564"/>
          <w:jc w:val="center"/>
        </w:trPr>
        <w:tc>
          <w:tcPr>
            <w:tcW w:w="2500" w:type="pct"/>
            <w:shd w:val="clear" w:color="auto" w:fill="auto"/>
          </w:tcPr>
          <w:p w:rsidR="00C06C6E" w:rsidRDefault="00C06C6E" w:rsidP="00C06C6E">
            <w:pPr>
              <w:rPr>
                <w:b/>
                <w:bCs/>
                <w:i/>
                <w:iCs/>
                <w:sz w:val="16"/>
                <w:szCs w:val="16"/>
              </w:rPr>
            </w:pPr>
            <w:r>
              <w:rPr>
                <w:b/>
                <w:bCs/>
                <w:i/>
                <w:iCs/>
                <w:sz w:val="16"/>
                <w:szCs w:val="16"/>
              </w:rPr>
              <w:t xml:space="preserve">Following operational deployment of the </w:t>
            </w:r>
            <w:proofErr w:type="spellStart"/>
            <w:r>
              <w:rPr>
                <w:b/>
                <w:bCs/>
                <w:i/>
                <w:iCs/>
                <w:sz w:val="16"/>
                <w:szCs w:val="16"/>
              </w:rPr>
              <w:t>eCourier</w:t>
            </w:r>
            <w:proofErr w:type="spellEnd"/>
            <w:r>
              <w:rPr>
                <w:b/>
                <w:bCs/>
                <w:i/>
                <w:iCs/>
                <w:sz w:val="16"/>
                <w:szCs w:val="16"/>
              </w:rPr>
              <w:t xml:space="preserve"> ECM system configuration:</w:t>
            </w:r>
          </w:p>
          <w:p w:rsidR="00C06C6E" w:rsidRPr="00E83ABC" w:rsidRDefault="00C06C6E" w:rsidP="00C06C6E">
            <w:pPr>
              <w:contextualSpacing/>
              <w:jc w:val="both"/>
              <w:rPr>
                <w:sz w:val="16"/>
              </w:rPr>
            </w:pPr>
            <w:r w:rsidRPr="00E83ABC">
              <w:rPr>
                <w:sz w:val="16"/>
              </w:rPr>
              <w:t>The OGD and the Senior Management Team will have a single system for the distribution and tracking of the creation of responses to external correspondences, this will result in</w:t>
            </w:r>
            <w:r>
              <w:rPr>
                <w:sz w:val="16"/>
              </w:rPr>
              <w:t>:</w:t>
            </w:r>
          </w:p>
          <w:p w:rsidR="00C06C6E" w:rsidRPr="00E83ABC" w:rsidRDefault="00C06C6E" w:rsidP="00C06C6E">
            <w:pPr>
              <w:pStyle w:val="ListParagraph"/>
              <w:numPr>
                <w:ilvl w:val="0"/>
                <w:numId w:val="117"/>
              </w:numPr>
              <w:ind w:left="318" w:hanging="318"/>
              <w:contextualSpacing/>
              <w:jc w:val="both"/>
              <w:rPr>
                <w:sz w:val="16"/>
              </w:rPr>
            </w:pPr>
            <w:r w:rsidRPr="00E83ABC">
              <w:rPr>
                <w:sz w:val="16"/>
              </w:rPr>
              <w:t>The time taken to complete responses to external correspondence will be reduced as the correspondences and responses will not need to be physically distributed around the WIPO campus, so assisting in the achievement of the response time objectives;</w:t>
            </w:r>
          </w:p>
          <w:p w:rsidR="00C06C6E" w:rsidRPr="00E83ABC" w:rsidRDefault="00C06C6E" w:rsidP="00C06C6E">
            <w:pPr>
              <w:pStyle w:val="ListParagraph"/>
              <w:numPr>
                <w:ilvl w:val="0"/>
                <w:numId w:val="117"/>
              </w:numPr>
              <w:ind w:left="318" w:hanging="283"/>
              <w:contextualSpacing/>
              <w:jc w:val="both"/>
              <w:rPr>
                <w:sz w:val="16"/>
              </w:rPr>
            </w:pPr>
            <w:r w:rsidRPr="00E83ABC">
              <w:rPr>
                <w:sz w:val="16"/>
              </w:rPr>
              <w:t xml:space="preserve">The status and progress of each response to an external correspondence will be known via a management dashboard, so reducing the staff effort required in tracking the status of responses to ensure compliance with objectives, this will release administrative staff to focus </w:t>
            </w:r>
            <w:r>
              <w:rPr>
                <w:sz w:val="16"/>
              </w:rPr>
              <w:t xml:space="preserve">on </w:t>
            </w:r>
            <w:r w:rsidRPr="00E83ABC">
              <w:rPr>
                <w:sz w:val="16"/>
              </w:rPr>
              <w:t>other activities.</w:t>
            </w:r>
          </w:p>
        </w:tc>
        <w:tc>
          <w:tcPr>
            <w:tcW w:w="2500" w:type="pct"/>
            <w:shd w:val="clear" w:color="auto" w:fill="auto"/>
          </w:tcPr>
          <w:p w:rsidR="00C06C6E" w:rsidRPr="00FA6F92" w:rsidRDefault="00C06C6E" w:rsidP="00C06C6E">
            <w:pPr>
              <w:rPr>
                <w:b/>
                <w:bCs/>
                <w:i/>
                <w:iCs/>
                <w:sz w:val="16"/>
                <w:szCs w:val="16"/>
              </w:rPr>
            </w:pPr>
            <w:r w:rsidRPr="00FA6F92">
              <w:rPr>
                <w:b/>
                <w:bCs/>
                <w:i/>
                <w:iCs/>
                <w:sz w:val="16"/>
                <w:szCs w:val="16"/>
              </w:rPr>
              <w:t>Following the operational deployment of the Translation workflow and status ECM configuration:</w:t>
            </w:r>
          </w:p>
          <w:p w:rsidR="00C06C6E" w:rsidRPr="00FA6F92" w:rsidRDefault="00C06C6E" w:rsidP="00C06C6E">
            <w:pPr>
              <w:contextualSpacing/>
              <w:jc w:val="both"/>
              <w:rPr>
                <w:sz w:val="16"/>
              </w:rPr>
            </w:pPr>
            <w:r w:rsidRPr="00FA6F92">
              <w:rPr>
                <w:sz w:val="16"/>
              </w:rPr>
              <w:t>The creation of Document translation work flow and status tracking system for the Language Division will result in:</w:t>
            </w:r>
          </w:p>
          <w:p w:rsidR="00C06C6E" w:rsidRPr="00FA6F92" w:rsidRDefault="00C06C6E" w:rsidP="00C06C6E">
            <w:pPr>
              <w:pStyle w:val="ListParagraph"/>
              <w:numPr>
                <w:ilvl w:val="0"/>
                <w:numId w:val="117"/>
              </w:numPr>
              <w:ind w:left="335" w:hanging="283"/>
              <w:contextualSpacing/>
              <w:jc w:val="both"/>
              <w:rPr>
                <w:sz w:val="16"/>
              </w:rPr>
            </w:pPr>
            <w:r w:rsidRPr="00FA6F92">
              <w:rPr>
                <w:sz w:val="16"/>
              </w:rPr>
              <w:t>a reduction in the staff effort required to report on the status of the translation requests, as the system will produce automated reporting;</w:t>
            </w:r>
          </w:p>
          <w:p w:rsidR="00C06C6E" w:rsidRPr="00FA6F92" w:rsidRDefault="00C06C6E" w:rsidP="00C06C6E">
            <w:pPr>
              <w:pStyle w:val="ListParagraph"/>
              <w:numPr>
                <w:ilvl w:val="0"/>
                <w:numId w:val="117"/>
              </w:numPr>
              <w:ind w:left="335" w:hanging="283"/>
              <w:contextualSpacing/>
              <w:jc w:val="both"/>
              <w:rPr>
                <w:b/>
                <w:bCs/>
                <w:i/>
                <w:iCs/>
                <w:sz w:val="16"/>
                <w:szCs w:val="16"/>
              </w:rPr>
            </w:pPr>
            <w:proofErr w:type="gramStart"/>
            <w:r w:rsidRPr="00FA6F92">
              <w:rPr>
                <w:sz w:val="16"/>
              </w:rPr>
              <w:t>the</w:t>
            </w:r>
            <w:proofErr w:type="gramEnd"/>
            <w:r w:rsidRPr="00FA6F92">
              <w:rPr>
                <w:sz w:val="16"/>
              </w:rPr>
              <w:t xml:space="preserve"> ability to ensure the translation service levels are achieved through active monitoring and reporting of the status of each translation request</w:t>
            </w:r>
            <w:r>
              <w:rPr>
                <w:sz w:val="16"/>
              </w:rPr>
              <w:t>.</w:t>
            </w:r>
          </w:p>
        </w:tc>
      </w:tr>
      <w:tr w:rsidR="00C06C6E" w:rsidRPr="00FA5701" w:rsidTr="00A05F92">
        <w:trPr>
          <w:trHeight w:val="564"/>
          <w:jc w:val="center"/>
        </w:trPr>
        <w:tc>
          <w:tcPr>
            <w:tcW w:w="2500" w:type="pct"/>
            <w:shd w:val="clear" w:color="auto" w:fill="auto"/>
          </w:tcPr>
          <w:p w:rsidR="00C06C6E" w:rsidRDefault="00C06C6E" w:rsidP="00C06C6E">
            <w:pPr>
              <w:rPr>
                <w:b/>
                <w:bCs/>
                <w:i/>
                <w:iCs/>
                <w:sz w:val="16"/>
                <w:szCs w:val="16"/>
              </w:rPr>
            </w:pPr>
            <w:r>
              <w:rPr>
                <w:b/>
                <w:bCs/>
                <w:i/>
                <w:iCs/>
                <w:sz w:val="16"/>
                <w:szCs w:val="16"/>
              </w:rPr>
              <w:t>Following the operation deployment of the Mission Reports ECM system configuration:</w:t>
            </w:r>
          </w:p>
          <w:p w:rsidR="00C06C6E" w:rsidRPr="00E83ABC" w:rsidRDefault="00C06C6E" w:rsidP="00C06C6E">
            <w:pPr>
              <w:contextualSpacing/>
              <w:jc w:val="both"/>
              <w:rPr>
                <w:sz w:val="16"/>
              </w:rPr>
            </w:pPr>
            <w:r w:rsidRPr="00E83ABC">
              <w:rPr>
                <w:sz w:val="16"/>
              </w:rPr>
              <w:t>The contents of Mission reports, as well as information relating to planned missions will be searchable across the organization.  This will result in</w:t>
            </w:r>
            <w:r>
              <w:rPr>
                <w:sz w:val="16"/>
              </w:rPr>
              <w:t>:</w:t>
            </w:r>
          </w:p>
          <w:p w:rsidR="00C06C6E" w:rsidRPr="0007723A" w:rsidRDefault="00C06C6E" w:rsidP="00C06C6E">
            <w:pPr>
              <w:pStyle w:val="ListParagraph"/>
              <w:numPr>
                <w:ilvl w:val="0"/>
                <w:numId w:val="117"/>
              </w:numPr>
              <w:ind w:left="318" w:hanging="318"/>
              <w:contextualSpacing/>
              <w:jc w:val="both"/>
              <w:rPr>
                <w:sz w:val="16"/>
              </w:rPr>
            </w:pPr>
            <w:r w:rsidRPr="0007723A">
              <w:rPr>
                <w:sz w:val="16"/>
              </w:rPr>
              <w:t>The number of missions could be reduced if overlapping trips and agenda items are identified, so reducing costs;</w:t>
            </w:r>
          </w:p>
          <w:p w:rsidR="00C06C6E" w:rsidRPr="00FA5701" w:rsidRDefault="00C06C6E" w:rsidP="00C06C6E">
            <w:pPr>
              <w:pStyle w:val="ListParagraph"/>
              <w:numPr>
                <w:ilvl w:val="0"/>
                <w:numId w:val="117"/>
              </w:numPr>
              <w:ind w:left="318" w:hanging="283"/>
              <w:contextualSpacing/>
              <w:jc w:val="both"/>
              <w:rPr>
                <w:b/>
                <w:bCs/>
                <w:i/>
                <w:iCs/>
                <w:sz w:val="16"/>
                <w:szCs w:val="16"/>
              </w:rPr>
            </w:pPr>
            <w:r w:rsidRPr="00E83ABC">
              <w:rPr>
                <w:sz w:val="16"/>
              </w:rPr>
              <w:t>Missions will become more productive as the WIPO staff will have access to greater amounts of information relating to previous missions to a particular country or organization, and be able be prepared to respond to outstanding questions which may have been asked at a previous mission.</w:t>
            </w:r>
            <w:r>
              <w:rPr>
                <w:b/>
                <w:bCs/>
                <w:i/>
                <w:iCs/>
                <w:sz w:val="16"/>
                <w:szCs w:val="16"/>
              </w:rPr>
              <w:t xml:space="preserve">  </w:t>
            </w:r>
          </w:p>
        </w:tc>
        <w:tc>
          <w:tcPr>
            <w:tcW w:w="2500" w:type="pct"/>
            <w:shd w:val="clear" w:color="auto" w:fill="auto"/>
          </w:tcPr>
          <w:p w:rsidR="00C06C6E" w:rsidRPr="00FA6F92" w:rsidRDefault="00C06C6E" w:rsidP="00C06C6E">
            <w:pPr>
              <w:rPr>
                <w:b/>
                <w:bCs/>
                <w:i/>
                <w:iCs/>
                <w:sz w:val="16"/>
                <w:szCs w:val="16"/>
              </w:rPr>
            </w:pPr>
            <w:r w:rsidRPr="00FA6F92">
              <w:rPr>
                <w:b/>
                <w:bCs/>
                <w:i/>
                <w:iCs/>
                <w:sz w:val="16"/>
                <w:szCs w:val="16"/>
              </w:rPr>
              <w:t>Following the operational deployment of the Organizational wide ECM configuration:</w:t>
            </w:r>
          </w:p>
          <w:p w:rsidR="00C06C6E" w:rsidRPr="00FA6F92" w:rsidRDefault="00C06C6E" w:rsidP="00C06C6E">
            <w:pPr>
              <w:contextualSpacing/>
              <w:jc w:val="both"/>
              <w:rPr>
                <w:sz w:val="16"/>
                <w:szCs w:val="16"/>
              </w:rPr>
            </w:pPr>
            <w:r w:rsidRPr="00FA6F92">
              <w:rPr>
                <w:sz w:val="16"/>
                <w:szCs w:val="16"/>
              </w:rPr>
              <w:t>The implementation of Enterprise Content Management to the wider WIPO organization when in support of the knowledge sharing and information management culture changes within WIPO, in addition to the ‘early win’ sub-project will result in:</w:t>
            </w:r>
          </w:p>
          <w:p w:rsidR="00C06C6E" w:rsidRPr="00FA6F92" w:rsidRDefault="00C06C6E" w:rsidP="00C06C6E">
            <w:pPr>
              <w:pStyle w:val="ListParagraph"/>
              <w:numPr>
                <w:ilvl w:val="0"/>
                <w:numId w:val="117"/>
              </w:numPr>
              <w:ind w:left="335" w:hanging="283"/>
              <w:contextualSpacing/>
              <w:jc w:val="both"/>
              <w:rPr>
                <w:sz w:val="16"/>
                <w:szCs w:val="16"/>
              </w:rPr>
            </w:pPr>
            <w:r w:rsidRPr="00FA6F92">
              <w:rPr>
                <w:sz w:val="16"/>
                <w:szCs w:val="16"/>
              </w:rPr>
              <w:t>The ability to search across the complete WIPO knowledge base, reducing the amount of duplicate knowledge creation and recording through information sharing;</w:t>
            </w:r>
          </w:p>
          <w:p w:rsidR="00C06C6E" w:rsidRPr="00FA6F92" w:rsidRDefault="00C06C6E" w:rsidP="00C06C6E">
            <w:pPr>
              <w:pStyle w:val="ListParagraph"/>
              <w:numPr>
                <w:ilvl w:val="0"/>
                <w:numId w:val="117"/>
              </w:numPr>
              <w:ind w:left="335" w:hanging="283"/>
              <w:contextualSpacing/>
              <w:jc w:val="both"/>
              <w:rPr>
                <w:sz w:val="16"/>
                <w:szCs w:val="16"/>
              </w:rPr>
            </w:pPr>
            <w:r w:rsidRPr="00FA6F92">
              <w:rPr>
                <w:sz w:val="16"/>
                <w:szCs w:val="16"/>
              </w:rPr>
              <w:t>The ability to expand the compliance with the Records and Archives policy to a wider number of business units;</w:t>
            </w:r>
          </w:p>
          <w:p w:rsidR="00C06C6E" w:rsidRPr="00FA6F92" w:rsidRDefault="00C06C6E" w:rsidP="00C06C6E">
            <w:pPr>
              <w:pStyle w:val="ListParagraph"/>
              <w:numPr>
                <w:ilvl w:val="0"/>
                <w:numId w:val="117"/>
              </w:numPr>
              <w:ind w:left="335" w:hanging="283"/>
              <w:contextualSpacing/>
              <w:jc w:val="both"/>
              <w:rPr>
                <w:sz w:val="16"/>
                <w:szCs w:val="16"/>
              </w:rPr>
            </w:pPr>
            <w:r w:rsidRPr="00FA6F92">
              <w:rPr>
                <w:sz w:val="16"/>
                <w:szCs w:val="16"/>
              </w:rPr>
              <w:t>An ability to reduce the ongoing cost for physical archiving of documents as these documents become electronic;</w:t>
            </w:r>
          </w:p>
          <w:p w:rsidR="00C06C6E" w:rsidRPr="00FA6F92" w:rsidRDefault="00C06C6E" w:rsidP="00C06C6E">
            <w:pPr>
              <w:pStyle w:val="ListParagraph"/>
              <w:numPr>
                <w:ilvl w:val="0"/>
                <w:numId w:val="117"/>
              </w:numPr>
              <w:ind w:left="335" w:hanging="283"/>
              <w:contextualSpacing/>
              <w:jc w:val="both"/>
              <w:rPr>
                <w:sz w:val="16"/>
                <w:szCs w:val="16"/>
              </w:rPr>
            </w:pPr>
            <w:r w:rsidRPr="00FA6F92">
              <w:rPr>
                <w:sz w:val="16"/>
                <w:szCs w:val="16"/>
              </w:rPr>
              <w:t>An ability to reduce the cost of electronic storage of documents, as the ability to search across the complete Organizational knowledge base should reduce the level of rework and duplication of the recording of knowledge.</w:t>
            </w:r>
          </w:p>
          <w:p w:rsidR="00C06C6E" w:rsidRPr="00FA6F92" w:rsidRDefault="00C06C6E" w:rsidP="00C06C6E">
            <w:pPr>
              <w:rPr>
                <w:b/>
                <w:bCs/>
                <w:i/>
                <w:iCs/>
                <w:sz w:val="16"/>
                <w:szCs w:val="16"/>
              </w:rPr>
            </w:pPr>
          </w:p>
        </w:tc>
      </w:tr>
    </w:tbl>
    <w:p w:rsidR="00C06C6E" w:rsidRPr="00383D2D" w:rsidRDefault="00C06C6E" w:rsidP="00C06C6E">
      <w:pPr>
        <w:jc w:val="both"/>
        <w:rPr>
          <w:rFonts w:cs="Arial"/>
          <w:szCs w:val="20"/>
        </w:rPr>
      </w:pPr>
    </w:p>
    <w:p w:rsidR="00C06C6E" w:rsidRDefault="00C06C6E" w:rsidP="00C06C6E">
      <w:pPr>
        <w:rPr>
          <w:szCs w:val="20"/>
        </w:rPr>
      </w:pPr>
    </w:p>
    <w:p w:rsidR="00C06C6E" w:rsidRDefault="00C06C6E" w:rsidP="00456D61">
      <w:pPr>
        <w:keepNext/>
        <w:keepLines/>
        <w:rPr>
          <w:rFonts w:cs="Arial"/>
          <w:color w:val="000000"/>
          <w:sz w:val="22"/>
          <w:szCs w:val="22"/>
        </w:rPr>
      </w:pPr>
      <w:r>
        <w:rPr>
          <w:rFonts w:cs="Arial"/>
          <w:color w:val="000000"/>
          <w:sz w:val="22"/>
          <w:szCs w:val="22"/>
        </w:rPr>
        <w:lastRenderedPageBreak/>
        <w:t>RESOURCE UTILIZATION</w:t>
      </w:r>
      <w:r>
        <w:rPr>
          <w:rFonts w:cs="Arial"/>
          <w:color w:val="000000"/>
          <w:sz w:val="22"/>
          <w:szCs w:val="22"/>
        </w:rPr>
        <w:tab/>
      </w:r>
    </w:p>
    <w:p w:rsidR="00C06C6E" w:rsidRDefault="00C06C6E" w:rsidP="00456D61">
      <w:pPr>
        <w:keepNext/>
        <w:keepLines/>
        <w:rPr>
          <w:rFonts w:cs="Arial"/>
          <w:color w:val="000000"/>
          <w:sz w:val="22"/>
          <w:szCs w:val="22"/>
        </w:rPr>
      </w:pPr>
    </w:p>
    <w:p w:rsidR="00C06C6E" w:rsidRPr="001162BB" w:rsidRDefault="00C06C6E" w:rsidP="00456D61">
      <w:pPr>
        <w:keepNext/>
        <w:keepLines/>
        <w:tabs>
          <w:tab w:val="left" w:pos="3261"/>
        </w:tabs>
        <w:autoSpaceDE w:val="0"/>
        <w:autoSpaceDN w:val="0"/>
        <w:adjustRightInd w:val="0"/>
        <w:jc w:val="center"/>
        <w:rPr>
          <w:b/>
          <w:szCs w:val="22"/>
        </w:rPr>
      </w:pPr>
      <w:r>
        <w:rPr>
          <w:b/>
          <w:szCs w:val="22"/>
        </w:rPr>
        <w:t>Project</w:t>
      </w:r>
      <w:r w:rsidRPr="001162BB">
        <w:rPr>
          <w:b/>
          <w:szCs w:val="22"/>
        </w:rPr>
        <w:t xml:space="preserve"> </w:t>
      </w:r>
      <w:r>
        <w:rPr>
          <w:b/>
          <w:szCs w:val="22"/>
        </w:rPr>
        <w:t xml:space="preserve">Budget Utilization </w:t>
      </w:r>
    </w:p>
    <w:p w:rsidR="00C06C6E" w:rsidRPr="00620FAE" w:rsidRDefault="00C06C6E" w:rsidP="00456D61">
      <w:pPr>
        <w:keepNext/>
        <w:keepLines/>
        <w:tabs>
          <w:tab w:val="left" w:pos="3261"/>
        </w:tabs>
        <w:autoSpaceDE w:val="0"/>
        <w:autoSpaceDN w:val="0"/>
        <w:adjustRightInd w:val="0"/>
        <w:jc w:val="center"/>
        <w:rPr>
          <w:i/>
          <w:iCs/>
          <w:sz w:val="18"/>
          <w:szCs w:val="18"/>
        </w:rPr>
      </w:pPr>
      <w:r w:rsidRPr="00865819">
        <w:rPr>
          <w:i/>
          <w:iCs/>
          <w:sz w:val="18"/>
          <w:szCs w:val="18"/>
        </w:rPr>
        <w:t xml:space="preserve">(In Swiss francs, as at </w:t>
      </w:r>
      <w:r>
        <w:rPr>
          <w:i/>
          <w:iCs/>
          <w:sz w:val="18"/>
          <w:szCs w:val="18"/>
        </w:rPr>
        <w:t>December</w:t>
      </w:r>
      <w:r w:rsidRPr="00865819">
        <w:rPr>
          <w:i/>
          <w:iCs/>
          <w:sz w:val="18"/>
          <w:szCs w:val="18"/>
        </w:rPr>
        <w:t xml:space="preserve"> 31, 201</w:t>
      </w:r>
      <w:r>
        <w:rPr>
          <w:i/>
          <w:iCs/>
          <w:sz w:val="18"/>
          <w:szCs w:val="18"/>
        </w:rPr>
        <w:t>4</w:t>
      </w:r>
      <w:r w:rsidRPr="00865819">
        <w:rPr>
          <w:i/>
          <w:iCs/>
          <w:sz w:val="18"/>
          <w:szCs w:val="18"/>
        </w:rPr>
        <w:t>)</w:t>
      </w:r>
    </w:p>
    <w:p w:rsidR="00C06C6E" w:rsidRPr="00D35690" w:rsidRDefault="00C06C6E" w:rsidP="00456D61">
      <w:pPr>
        <w:keepNext/>
        <w:keepLines/>
        <w:rPr>
          <w:rFonts w:cs="Arial"/>
          <w:color w:val="000000"/>
          <w:sz w:val="22"/>
          <w:szCs w:val="22"/>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C06C6E" w:rsidTr="00C06C6E">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630FBE" w:rsidRDefault="00C06C6E" w:rsidP="00456D61">
            <w:pPr>
              <w:keepNext/>
              <w:keepLines/>
              <w:autoSpaceDE w:val="0"/>
              <w:autoSpaceDN w:val="0"/>
              <w:adjustRightInd w:val="0"/>
              <w:spacing w:before="40" w:after="40"/>
              <w:ind w:left="-74" w:right="-60"/>
              <w:jc w:val="center"/>
              <w:rPr>
                <w:b/>
                <w:bCs/>
                <w:sz w:val="16"/>
                <w:szCs w:val="16"/>
              </w:rPr>
            </w:pPr>
            <w:r>
              <w:rPr>
                <w:b/>
                <w:bCs/>
                <w:sz w:val="16"/>
                <w:szCs w:val="16"/>
              </w:rPr>
              <w:t>Project Name</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630FBE" w:rsidRDefault="00C06C6E" w:rsidP="00456D61">
            <w:pPr>
              <w:keepNext/>
              <w:keepLines/>
              <w:autoSpaceDE w:val="0"/>
              <w:autoSpaceDN w:val="0"/>
              <w:adjustRightInd w:val="0"/>
              <w:spacing w:before="40" w:after="40"/>
              <w:ind w:left="-107" w:right="-108"/>
              <w:jc w:val="center"/>
              <w:rPr>
                <w:b/>
                <w:bCs/>
                <w:sz w:val="16"/>
                <w:szCs w:val="16"/>
              </w:rPr>
            </w:pPr>
            <w:r w:rsidRPr="00630FBE">
              <w:rPr>
                <w:b/>
                <w:bCs/>
                <w:sz w:val="16"/>
                <w:szCs w:val="16"/>
              </w:rPr>
              <w:t>Project Budget</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630FBE" w:rsidRDefault="00C06C6E" w:rsidP="00456D61">
            <w:pPr>
              <w:keepNext/>
              <w:keepLines/>
              <w:autoSpaceDE w:val="0"/>
              <w:autoSpaceDN w:val="0"/>
              <w:adjustRightInd w:val="0"/>
              <w:spacing w:before="40" w:after="40"/>
              <w:ind w:left="-108" w:right="-106"/>
              <w:jc w:val="center"/>
              <w:rPr>
                <w:b/>
                <w:bCs/>
                <w:sz w:val="16"/>
                <w:szCs w:val="16"/>
              </w:rPr>
            </w:pPr>
            <w:r w:rsidRPr="00630FBE">
              <w:rPr>
                <w:b/>
                <w:bCs/>
                <w:sz w:val="16"/>
                <w:szCs w:val="16"/>
              </w:rPr>
              <w:t>Actual</w:t>
            </w:r>
            <w:r>
              <w:rPr>
                <w:b/>
                <w:bCs/>
                <w:sz w:val="16"/>
                <w:szCs w:val="16"/>
              </w:rPr>
              <w:t xml:space="preserve"> Expenditure to Date</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630FBE" w:rsidRDefault="00C06C6E" w:rsidP="00456D61">
            <w:pPr>
              <w:keepNext/>
              <w:keepLines/>
              <w:autoSpaceDE w:val="0"/>
              <w:autoSpaceDN w:val="0"/>
              <w:adjustRightInd w:val="0"/>
              <w:spacing w:before="40" w:after="40"/>
              <w:ind w:left="-109" w:right="-108"/>
              <w:jc w:val="center"/>
              <w:rPr>
                <w:b/>
                <w:bCs/>
                <w:sz w:val="16"/>
                <w:szCs w:val="16"/>
              </w:rPr>
            </w:pPr>
            <w:r w:rsidRPr="00630FBE">
              <w:rPr>
                <w:b/>
                <w:bCs/>
                <w:sz w:val="16"/>
                <w:szCs w:val="16"/>
              </w:rPr>
              <w:t xml:space="preserve">Actual </w:t>
            </w:r>
            <w:r>
              <w:rPr>
                <w:b/>
                <w:bCs/>
                <w:sz w:val="16"/>
                <w:szCs w:val="16"/>
              </w:rPr>
              <w:t xml:space="preserve">Budget </w:t>
            </w:r>
            <w:r w:rsidRPr="00630FBE">
              <w:rPr>
                <w:b/>
                <w:bCs/>
                <w:sz w:val="16"/>
                <w:szCs w:val="16"/>
              </w:rPr>
              <w:t>Utilization</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630FBE" w:rsidRDefault="00C06C6E" w:rsidP="00456D61">
            <w:pPr>
              <w:keepNext/>
              <w:keepLines/>
              <w:autoSpaceDE w:val="0"/>
              <w:autoSpaceDN w:val="0"/>
              <w:adjustRightInd w:val="0"/>
              <w:spacing w:before="40" w:after="40"/>
              <w:ind w:left="-109" w:right="-73" w:firstLine="1"/>
              <w:jc w:val="center"/>
              <w:rPr>
                <w:b/>
                <w:bCs/>
                <w:sz w:val="16"/>
                <w:szCs w:val="16"/>
              </w:rPr>
            </w:pPr>
            <w:r w:rsidRPr="00F06C77">
              <w:rPr>
                <w:b/>
                <w:bCs/>
                <w:sz w:val="16"/>
                <w:szCs w:val="16"/>
              </w:rPr>
              <w:t>Implementation Progress Rate of the Project</w:t>
            </w:r>
          </w:p>
        </w:tc>
      </w:tr>
      <w:tr w:rsidR="00C06C6E" w:rsidTr="00C06C6E">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C06C6E" w:rsidRPr="00630FBE" w:rsidRDefault="00C06C6E" w:rsidP="00C06C6E">
            <w:pPr>
              <w:keepNext/>
              <w:keepLines/>
              <w:autoSpaceDE w:val="0"/>
              <w:autoSpaceDN w:val="0"/>
              <w:adjustRightInd w:val="0"/>
              <w:spacing w:before="40" w:after="40" w:line="260" w:lineRule="exact"/>
              <w:rPr>
                <w:sz w:val="16"/>
                <w:szCs w:val="16"/>
              </w:rPr>
            </w:pPr>
            <w:r>
              <w:rPr>
                <w:sz w:val="16"/>
                <w:szCs w:val="16"/>
              </w:rPr>
              <w:t>ECM Implementation Project</w:t>
            </w:r>
          </w:p>
        </w:tc>
        <w:tc>
          <w:tcPr>
            <w:tcW w:w="850" w:type="pct"/>
            <w:tcBorders>
              <w:top w:val="single" w:sz="4" w:space="0" w:color="auto"/>
              <w:left w:val="single" w:sz="4" w:space="0" w:color="auto"/>
              <w:bottom w:val="single" w:sz="4" w:space="0" w:color="auto"/>
              <w:right w:val="single" w:sz="4" w:space="0" w:color="auto"/>
            </w:tcBorders>
            <w:vAlign w:val="center"/>
          </w:tcPr>
          <w:p w:rsidR="00C06C6E" w:rsidRPr="00630FBE" w:rsidRDefault="00C06C6E" w:rsidP="00C06C6E">
            <w:pPr>
              <w:keepNext/>
              <w:keepLines/>
              <w:autoSpaceDE w:val="0"/>
              <w:autoSpaceDN w:val="0"/>
              <w:adjustRightInd w:val="0"/>
              <w:spacing w:before="40" w:after="40" w:line="260" w:lineRule="exact"/>
              <w:jc w:val="center"/>
              <w:rPr>
                <w:sz w:val="16"/>
                <w:szCs w:val="16"/>
              </w:rPr>
            </w:pPr>
            <w:r>
              <w:rPr>
                <w:sz w:val="16"/>
                <w:szCs w:val="16"/>
              </w:rPr>
              <w:t>2,068,000</w:t>
            </w:r>
          </w:p>
        </w:tc>
        <w:tc>
          <w:tcPr>
            <w:tcW w:w="851" w:type="pct"/>
            <w:tcBorders>
              <w:top w:val="single" w:sz="4" w:space="0" w:color="auto"/>
              <w:left w:val="single" w:sz="4" w:space="0" w:color="auto"/>
              <w:bottom w:val="single" w:sz="4" w:space="0" w:color="auto"/>
              <w:right w:val="single" w:sz="4" w:space="0" w:color="auto"/>
            </w:tcBorders>
            <w:vAlign w:val="center"/>
          </w:tcPr>
          <w:p w:rsidR="00C06C6E" w:rsidRPr="00630FBE" w:rsidRDefault="00C06C6E" w:rsidP="00C06C6E">
            <w:pPr>
              <w:keepNext/>
              <w:keepLines/>
              <w:autoSpaceDE w:val="0"/>
              <w:autoSpaceDN w:val="0"/>
              <w:adjustRightInd w:val="0"/>
              <w:spacing w:before="40" w:after="40" w:line="260" w:lineRule="exact"/>
              <w:jc w:val="center"/>
              <w:rPr>
                <w:sz w:val="16"/>
                <w:szCs w:val="16"/>
              </w:rPr>
            </w:pPr>
            <w:r>
              <w:rPr>
                <w:sz w:val="16"/>
                <w:szCs w:val="16"/>
              </w:rPr>
              <w:t>35,170</w:t>
            </w:r>
          </w:p>
        </w:tc>
        <w:tc>
          <w:tcPr>
            <w:tcW w:w="851" w:type="pct"/>
            <w:tcBorders>
              <w:top w:val="single" w:sz="4" w:space="0" w:color="auto"/>
              <w:left w:val="single" w:sz="4" w:space="0" w:color="auto"/>
              <w:bottom w:val="single" w:sz="4" w:space="0" w:color="auto"/>
              <w:right w:val="single" w:sz="4" w:space="0" w:color="auto"/>
            </w:tcBorders>
            <w:vAlign w:val="center"/>
          </w:tcPr>
          <w:p w:rsidR="00C06C6E" w:rsidRPr="00630FBE" w:rsidRDefault="00C06C6E" w:rsidP="00C06C6E">
            <w:pPr>
              <w:keepNext/>
              <w:keepLines/>
              <w:autoSpaceDE w:val="0"/>
              <w:autoSpaceDN w:val="0"/>
              <w:adjustRightInd w:val="0"/>
              <w:spacing w:before="40" w:after="40" w:line="260" w:lineRule="exact"/>
              <w:jc w:val="center"/>
              <w:rPr>
                <w:sz w:val="16"/>
                <w:szCs w:val="16"/>
              </w:rPr>
            </w:pPr>
            <w:r>
              <w:rPr>
                <w:sz w:val="16"/>
                <w:szCs w:val="16"/>
              </w:rPr>
              <w:t>1.7%</w:t>
            </w:r>
          </w:p>
        </w:tc>
        <w:tc>
          <w:tcPr>
            <w:tcW w:w="850" w:type="pct"/>
            <w:tcBorders>
              <w:top w:val="single" w:sz="4" w:space="0" w:color="auto"/>
              <w:left w:val="single" w:sz="4" w:space="0" w:color="auto"/>
              <w:bottom w:val="single" w:sz="4" w:space="0" w:color="auto"/>
              <w:right w:val="single" w:sz="4" w:space="0" w:color="auto"/>
            </w:tcBorders>
            <w:vAlign w:val="center"/>
          </w:tcPr>
          <w:p w:rsidR="00C06C6E" w:rsidRPr="00630FBE" w:rsidRDefault="00C06C6E" w:rsidP="00C06C6E">
            <w:pPr>
              <w:keepNext/>
              <w:keepLines/>
              <w:autoSpaceDE w:val="0"/>
              <w:autoSpaceDN w:val="0"/>
              <w:adjustRightInd w:val="0"/>
              <w:spacing w:before="40" w:after="40" w:line="260" w:lineRule="exact"/>
              <w:jc w:val="center"/>
              <w:rPr>
                <w:sz w:val="16"/>
                <w:szCs w:val="16"/>
              </w:rPr>
            </w:pPr>
            <w:r>
              <w:rPr>
                <w:sz w:val="16"/>
                <w:szCs w:val="16"/>
              </w:rPr>
              <w:t>-</w:t>
            </w:r>
          </w:p>
        </w:tc>
      </w:tr>
    </w:tbl>
    <w:p w:rsidR="00C06C6E" w:rsidRDefault="00C06C6E" w:rsidP="00C06C6E">
      <w:pPr>
        <w:keepNext/>
        <w:keepLines/>
        <w:tabs>
          <w:tab w:val="left" w:pos="3261"/>
        </w:tabs>
        <w:autoSpaceDE w:val="0"/>
        <w:autoSpaceDN w:val="0"/>
        <w:adjustRightInd w:val="0"/>
        <w:rPr>
          <w:b/>
          <w:szCs w:val="22"/>
        </w:rPr>
      </w:pPr>
    </w:p>
    <w:p w:rsidR="004F1DE0" w:rsidRDefault="004F1DE0">
      <w:pPr>
        <w:rPr>
          <w:rFonts w:cs="Arial"/>
          <w:color w:val="000000"/>
          <w:sz w:val="22"/>
          <w:szCs w:val="22"/>
        </w:rPr>
      </w:pPr>
    </w:p>
    <w:p w:rsidR="00C06C6E" w:rsidRDefault="00C06C6E" w:rsidP="00C06C6E">
      <w:pPr>
        <w:rPr>
          <w:rFonts w:cs="Arial"/>
          <w:color w:val="000000"/>
          <w:sz w:val="22"/>
          <w:szCs w:val="22"/>
        </w:rPr>
      </w:pPr>
      <w:r>
        <w:rPr>
          <w:rFonts w:cs="Arial"/>
          <w:color w:val="000000"/>
          <w:sz w:val="22"/>
          <w:szCs w:val="22"/>
        </w:rPr>
        <w:t>PROJECT TIMELINE BY MILESTONE</w:t>
      </w:r>
    </w:p>
    <w:p w:rsidR="00C06C6E" w:rsidRDefault="00C06C6E" w:rsidP="00C06C6E">
      <w:pPr>
        <w:autoSpaceDE w:val="0"/>
        <w:autoSpaceDN w:val="0"/>
        <w:jc w:val="both"/>
      </w:pPr>
    </w:p>
    <w:tbl>
      <w:tblPr>
        <w:tblW w:w="9520" w:type="dxa"/>
        <w:jc w:val="center"/>
        <w:tblInd w:w="93" w:type="dxa"/>
        <w:tblLook w:val="04A0" w:firstRow="1" w:lastRow="0" w:firstColumn="1" w:lastColumn="0" w:noHBand="0" w:noVBand="1"/>
      </w:tblPr>
      <w:tblGrid>
        <w:gridCol w:w="1840"/>
        <w:gridCol w:w="480"/>
        <w:gridCol w:w="480"/>
        <w:gridCol w:w="480"/>
        <w:gridCol w:w="480"/>
        <w:gridCol w:w="480"/>
        <w:gridCol w:w="480"/>
        <w:gridCol w:w="480"/>
        <w:gridCol w:w="480"/>
        <w:gridCol w:w="480"/>
        <w:gridCol w:w="480"/>
        <w:gridCol w:w="480"/>
        <w:gridCol w:w="480"/>
        <w:gridCol w:w="480"/>
        <w:gridCol w:w="480"/>
        <w:gridCol w:w="480"/>
        <w:gridCol w:w="480"/>
      </w:tblGrid>
      <w:tr w:rsidR="00C06C6E" w:rsidRPr="00656CC0" w:rsidTr="00C06C6E">
        <w:trPr>
          <w:trHeight w:val="270"/>
          <w:jc w:val="center"/>
        </w:trPr>
        <w:tc>
          <w:tcPr>
            <w:tcW w:w="1840" w:type="dxa"/>
            <w:tcBorders>
              <w:top w:val="nil"/>
              <w:left w:val="nil"/>
              <w:bottom w:val="nil"/>
              <w:right w:val="nil"/>
            </w:tcBorders>
            <w:shd w:val="clear" w:color="auto" w:fill="auto"/>
            <w:noWrap/>
            <w:vAlign w:val="bottom"/>
            <w:hideMark/>
          </w:tcPr>
          <w:p w:rsidR="00C06C6E" w:rsidRPr="00656CC0" w:rsidRDefault="00C06C6E" w:rsidP="00C06C6E">
            <w:pPr>
              <w:rPr>
                <w:rFonts w:cs="Arial"/>
                <w:color w:val="000000"/>
                <w:sz w:val="16"/>
                <w:szCs w:val="16"/>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C06C6E" w:rsidRPr="00656CC0" w:rsidRDefault="00C06C6E" w:rsidP="00C06C6E">
            <w:pPr>
              <w:jc w:val="center"/>
              <w:rPr>
                <w:rFonts w:cs="Arial"/>
                <w:b/>
                <w:bCs/>
                <w:color w:val="000000"/>
                <w:sz w:val="16"/>
                <w:szCs w:val="16"/>
              </w:rPr>
            </w:pPr>
            <w:r w:rsidRPr="00656CC0">
              <w:rPr>
                <w:rFonts w:cs="Arial"/>
                <w:b/>
                <w:bCs/>
                <w:color w:val="000000"/>
                <w:sz w:val="16"/>
                <w:szCs w:val="16"/>
              </w:rPr>
              <w:t>2014</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06C6E" w:rsidRPr="00656CC0" w:rsidRDefault="00C06C6E" w:rsidP="00C06C6E">
            <w:pPr>
              <w:jc w:val="center"/>
              <w:rPr>
                <w:rFonts w:cs="Arial"/>
                <w:b/>
                <w:bCs/>
                <w:color w:val="000000"/>
                <w:sz w:val="16"/>
                <w:szCs w:val="16"/>
              </w:rPr>
            </w:pPr>
            <w:r w:rsidRPr="00656CC0">
              <w:rPr>
                <w:rFonts w:cs="Arial"/>
                <w:b/>
                <w:bCs/>
                <w:color w:val="000000"/>
                <w:sz w:val="16"/>
                <w:szCs w:val="16"/>
              </w:rPr>
              <w:t>2015</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06C6E" w:rsidRPr="00656CC0" w:rsidRDefault="00C06C6E" w:rsidP="00C06C6E">
            <w:pPr>
              <w:jc w:val="center"/>
              <w:rPr>
                <w:rFonts w:cs="Arial"/>
                <w:b/>
                <w:bCs/>
                <w:color w:val="000000"/>
                <w:sz w:val="16"/>
                <w:szCs w:val="16"/>
              </w:rPr>
            </w:pPr>
            <w:r w:rsidRPr="00656CC0">
              <w:rPr>
                <w:rFonts w:cs="Arial"/>
                <w:b/>
                <w:bCs/>
                <w:color w:val="000000"/>
                <w:sz w:val="16"/>
                <w:szCs w:val="16"/>
              </w:rPr>
              <w:t>2016</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06C6E" w:rsidRPr="00656CC0" w:rsidRDefault="00C06C6E" w:rsidP="00C06C6E">
            <w:pPr>
              <w:jc w:val="center"/>
              <w:rPr>
                <w:rFonts w:cs="Arial"/>
                <w:b/>
                <w:bCs/>
                <w:color w:val="000000"/>
                <w:sz w:val="16"/>
                <w:szCs w:val="16"/>
              </w:rPr>
            </w:pPr>
            <w:r w:rsidRPr="00656CC0">
              <w:rPr>
                <w:rFonts w:cs="Arial"/>
                <w:b/>
                <w:bCs/>
                <w:color w:val="000000"/>
                <w:sz w:val="16"/>
                <w:szCs w:val="16"/>
              </w:rPr>
              <w:t>2017</w:t>
            </w:r>
          </w:p>
        </w:tc>
      </w:tr>
      <w:tr w:rsidR="00C06C6E" w:rsidRPr="00656CC0" w:rsidTr="00C06C6E">
        <w:trPr>
          <w:trHeight w:val="375"/>
          <w:jc w:val="center"/>
        </w:trPr>
        <w:tc>
          <w:tcPr>
            <w:tcW w:w="1840"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C06C6E" w:rsidRPr="00656CC0" w:rsidRDefault="00C06C6E" w:rsidP="00C06C6E">
            <w:pPr>
              <w:rPr>
                <w:rFonts w:cs="Arial"/>
                <w:b/>
                <w:bCs/>
                <w:color w:val="000000"/>
                <w:sz w:val="16"/>
                <w:szCs w:val="16"/>
              </w:rPr>
            </w:pPr>
            <w:r>
              <w:rPr>
                <w:rFonts w:cs="Arial"/>
                <w:b/>
                <w:bCs/>
                <w:color w:val="000000"/>
                <w:sz w:val="16"/>
                <w:szCs w:val="16"/>
              </w:rPr>
              <w:t>Key Milestone</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656CC0" w:rsidRDefault="00C06C6E" w:rsidP="00C06C6E">
            <w:pPr>
              <w:rPr>
                <w:rFonts w:cs="Arial"/>
                <w:b/>
                <w:bCs/>
                <w:color w:val="000000"/>
                <w:sz w:val="16"/>
                <w:szCs w:val="16"/>
              </w:rPr>
            </w:pPr>
            <w:r w:rsidRPr="00656CC0">
              <w:rPr>
                <w:rFonts w:cs="Arial"/>
                <w:b/>
                <w:bCs/>
                <w:color w:val="000000"/>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656CC0" w:rsidRDefault="00C06C6E" w:rsidP="00C06C6E">
            <w:pPr>
              <w:rPr>
                <w:rFonts w:cs="Arial"/>
                <w:b/>
                <w:bCs/>
                <w:color w:val="000000"/>
                <w:sz w:val="16"/>
                <w:szCs w:val="16"/>
              </w:rPr>
            </w:pPr>
            <w:r w:rsidRPr="00656CC0">
              <w:rPr>
                <w:rFonts w:cs="Arial"/>
                <w:b/>
                <w:bCs/>
                <w:color w:val="000000"/>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656CC0" w:rsidRDefault="00C06C6E" w:rsidP="00C06C6E">
            <w:pPr>
              <w:rPr>
                <w:rFonts w:cs="Arial"/>
                <w:b/>
                <w:bCs/>
                <w:color w:val="000000"/>
                <w:sz w:val="16"/>
                <w:szCs w:val="16"/>
              </w:rPr>
            </w:pPr>
            <w:r w:rsidRPr="00656CC0">
              <w:rPr>
                <w:rFonts w:cs="Arial"/>
                <w:b/>
                <w:bCs/>
                <w:color w:val="000000"/>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06C6E" w:rsidRPr="00656CC0" w:rsidRDefault="00C06C6E" w:rsidP="00C06C6E">
            <w:pPr>
              <w:rPr>
                <w:rFonts w:cs="Arial"/>
                <w:b/>
                <w:bCs/>
                <w:color w:val="000000"/>
                <w:sz w:val="16"/>
                <w:szCs w:val="16"/>
              </w:rPr>
            </w:pPr>
            <w:r w:rsidRPr="00656CC0">
              <w:rPr>
                <w:rFonts w:cs="Arial"/>
                <w:b/>
                <w:bCs/>
                <w:color w:val="000000"/>
                <w:sz w:val="16"/>
                <w:szCs w:val="16"/>
              </w:rPr>
              <w:t>Q4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656CC0" w:rsidRDefault="00C06C6E" w:rsidP="00C06C6E">
            <w:pPr>
              <w:rPr>
                <w:rFonts w:cs="Arial"/>
                <w:b/>
                <w:bCs/>
                <w:color w:val="000000"/>
                <w:sz w:val="16"/>
                <w:szCs w:val="16"/>
              </w:rPr>
            </w:pPr>
            <w:r w:rsidRPr="00656CC0">
              <w:rPr>
                <w:rFonts w:cs="Arial"/>
                <w:b/>
                <w:bCs/>
                <w:color w:val="000000"/>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656CC0" w:rsidRDefault="00C06C6E" w:rsidP="00C06C6E">
            <w:pPr>
              <w:rPr>
                <w:rFonts w:cs="Arial"/>
                <w:b/>
                <w:bCs/>
                <w:color w:val="000000"/>
                <w:sz w:val="16"/>
                <w:szCs w:val="16"/>
              </w:rPr>
            </w:pPr>
            <w:r w:rsidRPr="00656CC0">
              <w:rPr>
                <w:rFonts w:cs="Arial"/>
                <w:b/>
                <w:bCs/>
                <w:color w:val="000000"/>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656CC0" w:rsidRDefault="00C06C6E" w:rsidP="00C06C6E">
            <w:pPr>
              <w:rPr>
                <w:rFonts w:cs="Arial"/>
                <w:b/>
                <w:bCs/>
                <w:color w:val="000000"/>
                <w:sz w:val="16"/>
                <w:szCs w:val="16"/>
              </w:rPr>
            </w:pPr>
            <w:r w:rsidRPr="00656CC0">
              <w:rPr>
                <w:rFonts w:cs="Arial"/>
                <w:b/>
                <w:bCs/>
                <w:color w:val="000000"/>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06C6E" w:rsidRPr="00656CC0" w:rsidRDefault="00C06C6E" w:rsidP="00C06C6E">
            <w:pPr>
              <w:rPr>
                <w:rFonts w:cs="Arial"/>
                <w:b/>
                <w:bCs/>
                <w:color w:val="000000"/>
                <w:sz w:val="16"/>
                <w:szCs w:val="16"/>
              </w:rPr>
            </w:pPr>
            <w:r w:rsidRPr="00656CC0">
              <w:rPr>
                <w:rFonts w:cs="Arial"/>
                <w:b/>
                <w:bCs/>
                <w:color w:val="000000"/>
                <w:sz w:val="16"/>
                <w:szCs w:val="16"/>
              </w:rPr>
              <w:t>Q4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656CC0" w:rsidRDefault="00C06C6E" w:rsidP="00C06C6E">
            <w:pPr>
              <w:rPr>
                <w:rFonts w:cs="Arial"/>
                <w:b/>
                <w:bCs/>
                <w:color w:val="000000"/>
                <w:sz w:val="16"/>
                <w:szCs w:val="16"/>
              </w:rPr>
            </w:pPr>
            <w:r w:rsidRPr="00656CC0">
              <w:rPr>
                <w:rFonts w:cs="Arial"/>
                <w:b/>
                <w:bCs/>
                <w:color w:val="000000"/>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656CC0" w:rsidRDefault="00C06C6E" w:rsidP="00C06C6E">
            <w:pPr>
              <w:rPr>
                <w:rFonts w:cs="Arial"/>
                <w:b/>
                <w:bCs/>
                <w:color w:val="000000"/>
                <w:sz w:val="16"/>
                <w:szCs w:val="16"/>
              </w:rPr>
            </w:pPr>
            <w:r w:rsidRPr="00656CC0">
              <w:rPr>
                <w:rFonts w:cs="Arial"/>
                <w:b/>
                <w:bCs/>
                <w:color w:val="000000"/>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656CC0" w:rsidRDefault="00C06C6E" w:rsidP="00C06C6E">
            <w:pPr>
              <w:rPr>
                <w:rFonts w:cs="Arial"/>
                <w:b/>
                <w:bCs/>
                <w:color w:val="000000"/>
                <w:sz w:val="16"/>
                <w:szCs w:val="16"/>
              </w:rPr>
            </w:pPr>
            <w:r w:rsidRPr="00656CC0">
              <w:rPr>
                <w:rFonts w:cs="Arial"/>
                <w:b/>
                <w:bCs/>
                <w:color w:val="000000"/>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06C6E" w:rsidRPr="00656CC0" w:rsidRDefault="00C06C6E" w:rsidP="00C06C6E">
            <w:pPr>
              <w:rPr>
                <w:rFonts w:cs="Arial"/>
                <w:b/>
                <w:bCs/>
                <w:color w:val="000000"/>
                <w:sz w:val="16"/>
                <w:szCs w:val="16"/>
              </w:rPr>
            </w:pPr>
            <w:r w:rsidRPr="00656CC0">
              <w:rPr>
                <w:rFonts w:cs="Arial"/>
                <w:b/>
                <w:bCs/>
                <w:color w:val="000000"/>
                <w:sz w:val="16"/>
                <w:szCs w:val="16"/>
              </w:rPr>
              <w:t>Q4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656CC0" w:rsidRDefault="00C06C6E" w:rsidP="00C06C6E">
            <w:pPr>
              <w:rPr>
                <w:rFonts w:cs="Arial"/>
                <w:b/>
                <w:bCs/>
                <w:color w:val="000000"/>
                <w:sz w:val="16"/>
                <w:szCs w:val="16"/>
              </w:rPr>
            </w:pPr>
            <w:r w:rsidRPr="00656CC0">
              <w:rPr>
                <w:rFonts w:cs="Arial"/>
                <w:b/>
                <w:bCs/>
                <w:color w:val="000000"/>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656CC0" w:rsidRDefault="00C06C6E" w:rsidP="00C06C6E">
            <w:pPr>
              <w:rPr>
                <w:rFonts w:cs="Arial"/>
                <w:b/>
                <w:bCs/>
                <w:color w:val="000000"/>
                <w:sz w:val="16"/>
                <w:szCs w:val="16"/>
              </w:rPr>
            </w:pPr>
            <w:r w:rsidRPr="00656CC0">
              <w:rPr>
                <w:rFonts w:cs="Arial"/>
                <w:b/>
                <w:bCs/>
                <w:color w:val="000000"/>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656CC0" w:rsidRDefault="00C06C6E" w:rsidP="00C06C6E">
            <w:pPr>
              <w:rPr>
                <w:rFonts w:cs="Arial"/>
                <w:b/>
                <w:bCs/>
                <w:color w:val="000000"/>
                <w:sz w:val="16"/>
                <w:szCs w:val="16"/>
              </w:rPr>
            </w:pPr>
            <w:r w:rsidRPr="00656CC0">
              <w:rPr>
                <w:rFonts w:cs="Arial"/>
                <w:b/>
                <w:bCs/>
                <w:color w:val="000000"/>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06C6E" w:rsidRPr="00656CC0" w:rsidRDefault="00C06C6E" w:rsidP="00C06C6E">
            <w:pPr>
              <w:rPr>
                <w:rFonts w:cs="Arial"/>
                <w:b/>
                <w:bCs/>
                <w:color w:val="000000"/>
                <w:sz w:val="16"/>
                <w:szCs w:val="16"/>
              </w:rPr>
            </w:pPr>
            <w:r w:rsidRPr="00656CC0">
              <w:rPr>
                <w:rFonts w:cs="Arial"/>
                <w:b/>
                <w:bCs/>
                <w:color w:val="000000"/>
                <w:sz w:val="16"/>
                <w:szCs w:val="16"/>
              </w:rPr>
              <w:t>Q4</w:t>
            </w:r>
          </w:p>
        </w:tc>
      </w:tr>
      <w:tr w:rsidR="00C06C6E" w:rsidRPr="00656CC0" w:rsidTr="00C06C6E">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r w:rsidRPr="007F4916">
              <w:rPr>
                <w:rFonts w:cs="Arial"/>
                <w:color w:val="000000"/>
                <w:sz w:val="16"/>
                <w:szCs w:val="16"/>
              </w:rPr>
              <w:t>Study</w:t>
            </w:r>
          </w:p>
        </w:tc>
        <w:tc>
          <w:tcPr>
            <w:tcW w:w="480" w:type="dxa"/>
            <w:tcBorders>
              <w:top w:val="nil"/>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r w:rsidRPr="007F4916">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r>
      <w:tr w:rsidR="00C06C6E" w:rsidRPr="00656CC0" w:rsidTr="00C06C6E">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ECM Technology selected</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X</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r>
      <w:tr w:rsidR="00C06C6E" w:rsidRPr="00656CC0" w:rsidTr="00C06C6E">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Implementation partner tender completed</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X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r>
      <w:tr w:rsidR="00C06C6E" w:rsidRPr="00656CC0" w:rsidTr="00C06C6E">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Base ECM Configuration accepted</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7F4916" w:rsidRDefault="00C06C6E" w:rsidP="00C06C6E">
            <w:pPr>
              <w:jc w:val="center"/>
              <w:rPr>
                <w:rFonts w:cs="Arial"/>
                <w:color w:val="000000"/>
                <w:sz w:val="16"/>
                <w:szCs w:val="16"/>
              </w:rPr>
            </w:pPr>
            <w:r w:rsidRPr="007F4916">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r>
      <w:tr w:rsidR="00C06C6E" w:rsidRPr="00656CC0" w:rsidTr="00C06C6E">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Records &amp; Archives configuration accepted</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r>
      <w:tr w:rsidR="00C06C6E" w:rsidRPr="00656CC0" w:rsidTr="00C06C6E">
        <w:trPr>
          <w:trHeight w:val="615"/>
          <w:jc w:val="center"/>
        </w:trPr>
        <w:tc>
          <w:tcPr>
            <w:tcW w:w="184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Vendor &amp; Contract management ECM configuration operational</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single" w:sz="4" w:space="0" w:color="auto"/>
              <w:left w:val="nil"/>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single" w:sz="4" w:space="0" w:color="auto"/>
              <w:left w:val="nil"/>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X</w:t>
            </w:r>
          </w:p>
        </w:tc>
        <w:tc>
          <w:tcPr>
            <w:tcW w:w="480" w:type="dxa"/>
            <w:tcBorders>
              <w:top w:val="single" w:sz="4" w:space="0" w:color="auto"/>
              <w:left w:val="nil"/>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c>
          <w:tcPr>
            <w:tcW w:w="480" w:type="dxa"/>
            <w:tcBorders>
              <w:top w:val="single" w:sz="4" w:space="0" w:color="auto"/>
              <w:left w:val="nil"/>
              <w:bottom w:val="single" w:sz="4" w:space="0" w:color="auto"/>
              <w:right w:val="single" w:sz="8" w:space="0" w:color="auto"/>
            </w:tcBorders>
            <w:shd w:val="clear" w:color="auto" w:fill="auto"/>
            <w:noWrap/>
            <w:vAlign w:val="bottom"/>
            <w:hideMark/>
          </w:tcPr>
          <w:p w:rsidR="00C06C6E" w:rsidRPr="007F4916" w:rsidRDefault="00C06C6E" w:rsidP="00C06C6E">
            <w:pPr>
              <w:rPr>
                <w:rFonts w:cs="Arial"/>
                <w:color w:val="000000"/>
                <w:sz w:val="16"/>
                <w:szCs w:val="16"/>
              </w:rPr>
            </w:pPr>
            <w:r w:rsidRPr="007F4916">
              <w:rPr>
                <w:rFonts w:cs="Arial"/>
                <w:color w:val="000000"/>
                <w:sz w:val="16"/>
                <w:szCs w:val="16"/>
              </w:rPr>
              <w:t> </w:t>
            </w:r>
          </w:p>
        </w:tc>
      </w:tr>
      <w:tr w:rsidR="00C06C6E" w:rsidRPr="00656CC0" w:rsidTr="00C06C6E">
        <w:trPr>
          <w:trHeight w:val="615"/>
          <w:jc w:val="center"/>
        </w:trPr>
        <w:tc>
          <w:tcPr>
            <w:tcW w:w="1840" w:type="dxa"/>
            <w:tcBorders>
              <w:top w:val="single" w:sz="4" w:space="0" w:color="auto"/>
              <w:left w:val="single" w:sz="8" w:space="0" w:color="auto"/>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r w:rsidRPr="007F4916">
              <w:rPr>
                <w:rFonts w:cs="Arial"/>
                <w:color w:val="000000"/>
                <w:sz w:val="16"/>
                <w:szCs w:val="16"/>
              </w:rPr>
              <w:t>OGD Incoming Mail ECM configuration operational</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r w:rsidRPr="007F4916">
              <w:rPr>
                <w:rFonts w:cs="Arial"/>
                <w:color w:val="000000"/>
                <w:sz w:val="16"/>
                <w:szCs w:val="16"/>
              </w:rPr>
              <w:t>X</w:t>
            </w: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r>
      <w:tr w:rsidR="00C06C6E" w:rsidRPr="00656CC0" w:rsidTr="00C06C6E">
        <w:trPr>
          <w:trHeight w:val="615"/>
          <w:jc w:val="center"/>
        </w:trPr>
        <w:tc>
          <w:tcPr>
            <w:tcW w:w="1840" w:type="dxa"/>
            <w:tcBorders>
              <w:top w:val="single" w:sz="4" w:space="0" w:color="auto"/>
              <w:left w:val="single" w:sz="8" w:space="0" w:color="auto"/>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r w:rsidRPr="007F4916">
              <w:rPr>
                <w:rFonts w:cs="Arial"/>
                <w:color w:val="000000"/>
                <w:sz w:val="16"/>
                <w:szCs w:val="16"/>
              </w:rPr>
              <w:t>Mission Reports ECM configuration operational</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r w:rsidRPr="007F4916">
              <w:rPr>
                <w:rFonts w:cs="Arial"/>
                <w:color w:val="000000"/>
                <w:sz w:val="16"/>
                <w:szCs w:val="16"/>
              </w:rPr>
              <w:t>X</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r>
      <w:tr w:rsidR="00C06C6E" w:rsidRPr="00656CC0" w:rsidTr="00C06C6E">
        <w:trPr>
          <w:trHeight w:val="615"/>
          <w:jc w:val="center"/>
        </w:trPr>
        <w:tc>
          <w:tcPr>
            <w:tcW w:w="1840" w:type="dxa"/>
            <w:tcBorders>
              <w:top w:val="single" w:sz="4" w:space="0" w:color="auto"/>
              <w:left w:val="single" w:sz="8" w:space="0" w:color="auto"/>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r w:rsidRPr="007F4916">
              <w:rPr>
                <w:rFonts w:cs="Arial"/>
                <w:color w:val="000000"/>
                <w:sz w:val="16"/>
                <w:szCs w:val="16"/>
              </w:rPr>
              <w:t xml:space="preserve">HR Staff </w:t>
            </w:r>
            <w:proofErr w:type="spellStart"/>
            <w:r w:rsidRPr="007F4916">
              <w:rPr>
                <w:rFonts w:cs="Arial"/>
                <w:color w:val="000000"/>
                <w:sz w:val="16"/>
                <w:szCs w:val="16"/>
              </w:rPr>
              <w:t>eFile</w:t>
            </w:r>
            <w:proofErr w:type="spellEnd"/>
            <w:r w:rsidRPr="007F4916">
              <w:rPr>
                <w:rFonts w:cs="Arial"/>
                <w:color w:val="000000"/>
                <w:sz w:val="16"/>
                <w:szCs w:val="16"/>
              </w:rPr>
              <w:t xml:space="preserve"> ECM configuration operational</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r w:rsidRPr="007F4916">
              <w:rPr>
                <w:rFonts w:cs="Arial"/>
                <w:color w:val="000000"/>
                <w:sz w:val="16"/>
                <w:szCs w:val="16"/>
              </w:rPr>
              <w:t>X</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r>
      <w:tr w:rsidR="00C06C6E" w:rsidRPr="00656CC0" w:rsidTr="00C06C6E">
        <w:trPr>
          <w:trHeight w:val="615"/>
          <w:jc w:val="center"/>
        </w:trPr>
        <w:tc>
          <w:tcPr>
            <w:tcW w:w="1840" w:type="dxa"/>
            <w:tcBorders>
              <w:top w:val="single" w:sz="4" w:space="0" w:color="auto"/>
              <w:left w:val="single" w:sz="8" w:space="0" w:color="auto"/>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r w:rsidRPr="007F4916">
              <w:rPr>
                <w:rFonts w:cs="Arial"/>
                <w:color w:val="000000"/>
                <w:sz w:val="16"/>
                <w:szCs w:val="16"/>
              </w:rPr>
              <w:t>Translation workflow and status tracking ECM configuration operational</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r w:rsidRPr="007F4916">
              <w:rPr>
                <w:rFonts w:cs="Arial"/>
                <w:color w:val="000000"/>
                <w:sz w:val="16"/>
                <w:szCs w:val="16"/>
              </w:rPr>
              <w:t>X</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r>
      <w:tr w:rsidR="00C06C6E" w:rsidRPr="00656CC0" w:rsidTr="00C06C6E">
        <w:trPr>
          <w:trHeight w:val="615"/>
          <w:jc w:val="center"/>
        </w:trPr>
        <w:tc>
          <w:tcPr>
            <w:tcW w:w="1840" w:type="dxa"/>
            <w:tcBorders>
              <w:top w:val="single" w:sz="4" w:space="0" w:color="auto"/>
              <w:left w:val="single" w:sz="8" w:space="0" w:color="auto"/>
              <w:bottom w:val="single" w:sz="8"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r w:rsidRPr="007F4916">
              <w:rPr>
                <w:rFonts w:cs="Arial"/>
                <w:color w:val="000000"/>
                <w:sz w:val="16"/>
                <w:szCs w:val="16"/>
              </w:rPr>
              <w:t>Organizational wide ECM Capability configuration operational</w:t>
            </w: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8"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8"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8"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C06C6E" w:rsidRPr="007F4916" w:rsidRDefault="00C06C6E" w:rsidP="00C06C6E">
            <w:pPr>
              <w:rPr>
                <w:rFonts w:cs="Arial"/>
                <w:color w:val="000000"/>
                <w:sz w:val="16"/>
                <w:szCs w:val="16"/>
              </w:rPr>
            </w:pPr>
            <w:r>
              <w:rPr>
                <w:rFonts w:cs="Arial"/>
                <w:color w:val="000000"/>
                <w:sz w:val="16"/>
                <w:szCs w:val="16"/>
              </w:rPr>
              <w:t>X</w:t>
            </w:r>
          </w:p>
        </w:tc>
        <w:tc>
          <w:tcPr>
            <w:tcW w:w="480" w:type="dxa"/>
            <w:tcBorders>
              <w:top w:val="single" w:sz="4" w:space="0" w:color="auto"/>
              <w:left w:val="nil"/>
              <w:bottom w:val="single" w:sz="8" w:space="0" w:color="auto"/>
              <w:right w:val="single" w:sz="8" w:space="0" w:color="auto"/>
            </w:tcBorders>
            <w:shd w:val="clear" w:color="auto" w:fill="auto"/>
            <w:noWrap/>
            <w:vAlign w:val="bottom"/>
          </w:tcPr>
          <w:p w:rsidR="00C06C6E" w:rsidRPr="007F4916" w:rsidRDefault="00C06C6E" w:rsidP="00C06C6E">
            <w:pPr>
              <w:rPr>
                <w:rFonts w:cs="Arial"/>
                <w:color w:val="000000"/>
                <w:sz w:val="16"/>
                <w:szCs w:val="16"/>
              </w:rPr>
            </w:pPr>
          </w:p>
        </w:tc>
      </w:tr>
    </w:tbl>
    <w:p w:rsidR="00C06C6E" w:rsidRPr="00D55DB3" w:rsidRDefault="00C06C6E" w:rsidP="00C06C6E">
      <w:pPr>
        <w:rPr>
          <w:b/>
          <w:sz w:val="22"/>
          <w:szCs w:val="22"/>
        </w:rPr>
      </w:pPr>
    </w:p>
    <w:p w:rsidR="00C06C6E" w:rsidRPr="00994B87" w:rsidRDefault="00C06C6E" w:rsidP="004F1DE0">
      <w:pPr>
        <w:rPr>
          <w:b/>
          <w:sz w:val="22"/>
        </w:rPr>
      </w:pPr>
      <w:r>
        <w:br w:type="page"/>
      </w:r>
      <w:r w:rsidRPr="00994B87">
        <w:rPr>
          <w:b/>
          <w:sz w:val="22"/>
        </w:rPr>
        <w:lastRenderedPageBreak/>
        <w:t>BUILDINGS-RELATED PROJECTS</w:t>
      </w:r>
    </w:p>
    <w:p w:rsidR="00C06C6E" w:rsidRPr="00456D61" w:rsidRDefault="00C06C6E" w:rsidP="001E4922">
      <w:pPr>
        <w:pStyle w:val="StyleHeading3BoldNounderline"/>
        <w:rPr>
          <w:b/>
          <w:sz w:val="20"/>
        </w:rPr>
      </w:pPr>
      <w:bookmarkStart w:id="107" w:name="_Toc422210525"/>
      <w:r w:rsidRPr="00456D61">
        <w:rPr>
          <w:b/>
          <w:sz w:val="20"/>
        </w:rPr>
        <w:t>PROJECT</w:t>
      </w:r>
      <w:r w:rsidR="001E4922" w:rsidRPr="00456D61">
        <w:rPr>
          <w:b/>
          <w:sz w:val="20"/>
        </w:rPr>
        <w:t xml:space="preserve">:  </w:t>
      </w:r>
      <w:r w:rsidRPr="00456D61">
        <w:rPr>
          <w:b/>
          <w:sz w:val="20"/>
        </w:rPr>
        <w:t>RENOVATION OF THE FACADES AND COOLING/HEATING INSTALLATION IN PCT</w:t>
      </w:r>
      <w:r w:rsidR="0085196E" w:rsidRPr="00456D61">
        <w:rPr>
          <w:b/>
          <w:sz w:val="20"/>
        </w:rPr>
        <w:t> </w:t>
      </w:r>
      <w:r w:rsidRPr="00456D61">
        <w:rPr>
          <w:b/>
          <w:sz w:val="20"/>
        </w:rPr>
        <w:t>BUILDING</w:t>
      </w:r>
      <w:r w:rsidR="0085196E" w:rsidRPr="00456D61">
        <w:rPr>
          <w:b/>
          <w:sz w:val="20"/>
        </w:rPr>
        <w:t xml:space="preserve"> </w:t>
      </w:r>
      <w:r w:rsidRPr="00456D61">
        <w:rPr>
          <w:b/>
          <w:sz w:val="20"/>
        </w:rPr>
        <w:t>(CMP 3)</w:t>
      </w:r>
      <w:bookmarkEnd w:id="107"/>
    </w:p>
    <w:p w:rsidR="00C06C6E" w:rsidRPr="004F1DE0" w:rsidRDefault="00C06C6E" w:rsidP="004F1DE0">
      <w:pPr>
        <w:rPr>
          <w:b/>
        </w:rPr>
      </w:pPr>
    </w:p>
    <w:p w:rsidR="00C06C6E" w:rsidRPr="004F1DE0" w:rsidRDefault="00C06C6E" w:rsidP="004F1DE0">
      <w:pPr>
        <w:rPr>
          <w:b/>
        </w:rPr>
      </w:pPr>
      <w:r w:rsidRPr="004F1DE0">
        <w:rPr>
          <w:b/>
        </w:rPr>
        <w:t xml:space="preserve">Project Manager </w:t>
      </w:r>
      <w:r w:rsidRPr="004F1DE0">
        <w:rPr>
          <w:b/>
        </w:rPr>
        <w:tab/>
        <w:t>Mr. A. FAVERO</w:t>
      </w:r>
    </w:p>
    <w:p w:rsidR="00C06C6E" w:rsidRPr="004F1DE0" w:rsidRDefault="00C06C6E" w:rsidP="004F1DE0">
      <w:pPr>
        <w:rPr>
          <w:b/>
        </w:rPr>
      </w:pPr>
    </w:p>
    <w:p w:rsidR="00C06C6E" w:rsidRPr="00F47045" w:rsidRDefault="00C06C6E" w:rsidP="00C06C6E">
      <w:pPr>
        <w:rPr>
          <w:bCs/>
          <w:szCs w:val="20"/>
        </w:rPr>
      </w:pPr>
    </w:p>
    <w:p w:rsidR="00C06C6E" w:rsidRPr="00F47045" w:rsidRDefault="00C06C6E" w:rsidP="00C06C6E">
      <w:pPr>
        <w:rPr>
          <w:bCs/>
          <w:szCs w:val="20"/>
        </w:rPr>
      </w:pPr>
      <w:r w:rsidRPr="00F47045">
        <w:rPr>
          <w:bCs/>
          <w:szCs w:val="20"/>
        </w:rPr>
        <w:t>EXPECTED RESULT</w:t>
      </w:r>
    </w:p>
    <w:p w:rsidR="00C06C6E" w:rsidRPr="00F47045" w:rsidRDefault="00C06C6E" w:rsidP="00C06C6E">
      <w:pPr>
        <w:rPr>
          <w:bCs/>
          <w:szCs w:val="20"/>
        </w:rPr>
      </w:pPr>
    </w:p>
    <w:p w:rsidR="00C06C6E" w:rsidRPr="00F47045" w:rsidRDefault="00C06C6E" w:rsidP="00C06C6E">
      <w:pPr>
        <w:rPr>
          <w:i/>
          <w:iCs/>
          <w:szCs w:val="20"/>
        </w:rPr>
      </w:pPr>
      <w:proofErr w:type="gramStart"/>
      <w:r w:rsidRPr="000C1DF7">
        <w:rPr>
          <w:i/>
          <w:iCs/>
          <w:szCs w:val="20"/>
        </w:rPr>
        <w:t xml:space="preserve">IX.1 </w:t>
      </w:r>
      <w:r w:rsidRPr="00F47045">
        <w:rPr>
          <w:i/>
          <w:iCs/>
          <w:szCs w:val="20"/>
        </w:rPr>
        <w:t xml:space="preserve"> Effective</w:t>
      </w:r>
      <w:proofErr w:type="gramEnd"/>
      <w:r w:rsidRPr="00F47045">
        <w:rPr>
          <w:i/>
          <w:iCs/>
          <w:szCs w:val="20"/>
        </w:rPr>
        <w:t>, efficient, quality and customer-oriented support services both to internal clients and to external stakeholders</w:t>
      </w:r>
    </w:p>
    <w:p w:rsidR="00C06C6E" w:rsidRPr="00F47045" w:rsidRDefault="00C06C6E" w:rsidP="00C06C6E">
      <w:pPr>
        <w:rPr>
          <w:bCs/>
          <w:color w:val="000000"/>
          <w:szCs w:val="20"/>
        </w:rPr>
      </w:pPr>
    </w:p>
    <w:p w:rsidR="00C06C6E" w:rsidRPr="00F47045" w:rsidRDefault="00C06C6E" w:rsidP="00C06C6E">
      <w:pPr>
        <w:rPr>
          <w:bCs/>
          <w:color w:val="000000"/>
          <w:szCs w:val="20"/>
        </w:rPr>
      </w:pPr>
    </w:p>
    <w:p w:rsidR="00C06C6E" w:rsidRPr="00F47045" w:rsidRDefault="00C06C6E" w:rsidP="00C06C6E">
      <w:pPr>
        <w:rPr>
          <w:bCs/>
          <w:szCs w:val="20"/>
        </w:rPr>
      </w:pPr>
      <w:r w:rsidRPr="00F47045">
        <w:rPr>
          <w:bCs/>
          <w:color w:val="000000"/>
          <w:szCs w:val="20"/>
        </w:rPr>
        <w:t>OBJECTIVES, SCOPE AND APPROACH- BACKGROUND</w:t>
      </w:r>
    </w:p>
    <w:p w:rsidR="00C06C6E" w:rsidRPr="00F47045" w:rsidRDefault="00C06C6E" w:rsidP="00C06C6E">
      <w:pPr>
        <w:rPr>
          <w:bCs/>
          <w:szCs w:val="20"/>
        </w:rPr>
      </w:pPr>
    </w:p>
    <w:p w:rsidR="00C06C6E" w:rsidRPr="00F47045" w:rsidRDefault="00C06C6E" w:rsidP="001E15AA">
      <w:pPr>
        <w:pStyle w:val="ONUME"/>
        <w:numPr>
          <w:ilvl w:val="0"/>
          <w:numId w:val="130"/>
        </w:numPr>
        <w:tabs>
          <w:tab w:val="left" w:pos="567"/>
        </w:tabs>
        <w:ind w:left="0" w:firstLine="0"/>
        <w:jc w:val="both"/>
      </w:pPr>
      <w:r w:rsidRPr="000C1DF7">
        <w:t>The project objectives are twofold:  (</w:t>
      </w:r>
      <w:proofErr w:type="spellStart"/>
      <w:r w:rsidRPr="000C1DF7">
        <w:t>i</w:t>
      </w:r>
      <w:proofErr w:type="spellEnd"/>
      <w:r w:rsidRPr="000C1DF7">
        <w:t>) </w:t>
      </w:r>
      <w:r>
        <w:t xml:space="preserve"> </w:t>
      </w:r>
      <w:r w:rsidRPr="000C1DF7">
        <w:t xml:space="preserve">a complete replacement of the false ceiling </w:t>
      </w:r>
      <w:r w:rsidRPr="00F47045">
        <w:t>installation for the cooling and heating system in the upper floors of the PCT Building, and (ii) a major renovation of structural elements of all the facades of that Building (in other words, the windows per se are generally not at stake).  It has been determined in recent years that the minor low-scale reactive repairs – in case of breakdowns and un-controllable excessively high or low temperature inside the offices – which have been ongoing for about 10 years, were no longer sustainable.  Furthermore, a number of components of the current cooling/heating installation are no longer available on the market and spare parts can no longer be purchased, which would in the short-term put at risk the viability of the whole cooling and heating installation in the Building.  The wasted energy consumption caused by the defective systems and installations and by the defective structural elements of the facades is significant and will only continue to increase year after year.  A technical audit of the cooling and heating installatio</w:t>
      </w:r>
      <w:r>
        <w:t>n had been carried out in 2011;</w:t>
      </w:r>
      <w:r w:rsidRPr="00F47045">
        <w:t xml:space="preserve"> a technical audit of the facades was carried out during the first semester of 2013.</w:t>
      </w:r>
    </w:p>
    <w:p w:rsidR="00C06C6E" w:rsidRPr="00F47045" w:rsidRDefault="00C06C6E" w:rsidP="001E15AA">
      <w:pPr>
        <w:pStyle w:val="ONUME"/>
        <w:numPr>
          <w:ilvl w:val="0"/>
          <w:numId w:val="130"/>
        </w:numPr>
        <w:tabs>
          <w:tab w:val="left" w:pos="567"/>
        </w:tabs>
        <w:ind w:left="0" w:firstLine="0"/>
        <w:jc w:val="both"/>
      </w:pPr>
      <w:r w:rsidRPr="00F47045">
        <w:t xml:space="preserve">The expected results of the renovation are fully operational and reliable cooling and heating installation and facades, and significant energy consumption reduction by eliminating the current wastes.  </w:t>
      </w:r>
    </w:p>
    <w:p w:rsidR="00C06C6E" w:rsidRPr="00F47045" w:rsidRDefault="00C06C6E" w:rsidP="001E15AA">
      <w:pPr>
        <w:pStyle w:val="ONUME"/>
        <w:numPr>
          <w:ilvl w:val="0"/>
          <w:numId w:val="130"/>
        </w:numPr>
        <w:tabs>
          <w:tab w:val="left" w:pos="567"/>
        </w:tabs>
        <w:ind w:left="0" w:firstLine="0"/>
        <w:jc w:val="both"/>
        <w:rPr>
          <w:bCs/>
        </w:rPr>
      </w:pPr>
      <w:r w:rsidRPr="001E15AA">
        <w:t>The objectives of the project are to:  (</w:t>
      </w:r>
      <w:proofErr w:type="spellStart"/>
      <w:r w:rsidRPr="001E15AA">
        <w:t>i</w:t>
      </w:r>
      <w:proofErr w:type="spellEnd"/>
      <w:r w:rsidRPr="001E15AA">
        <w:t>) reduce energy loss (facades); (ii) reduce energy consumption (thermal false ceilings and facades)</w:t>
      </w:r>
      <w:proofErr w:type="gramStart"/>
      <w:r w:rsidRPr="001E15AA">
        <w:t>;  (</w:t>
      </w:r>
      <w:proofErr w:type="gramEnd"/>
      <w:r w:rsidRPr="001E15AA">
        <w:t>iii) improve technical facilities to reduce the need for maintenance (thermal false ceilings and facades);  (iv) improve the comfort of occupants;  (v) use new, more environmentally</w:t>
      </w:r>
      <w:r w:rsidRPr="00F47045">
        <w:rPr>
          <w:bCs/>
          <w:color w:val="000000"/>
        </w:rPr>
        <w:t xml:space="preserve">-friendly technology; </w:t>
      </w:r>
      <w:r>
        <w:rPr>
          <w:bCs/>
          <w:color w:val="000000"/>
        </w:rPr>
        <w:t xml:space="preserve"> and </w:t>
      </w:r>
      <w:r w:rsidRPr="00F47045">
        <w:rPr>
          <w:bCs/>
          <w:color w:val="000000"/>
        </w:rPr>
        <w:t xml:space="preserve">(vi) modernize for longer life-cycles (thermal </w:t>
      </w:r>
      <w:r>
        <w:rPr>
          <w:bCs/>
          <w:color w:val="000000"/>
        </w:rPr>
        <w:t xml:space="preserve">false </w:t>
      </w:r>
      <w:r w:rsidRPr="00F47045">
        <w:rPr>
          <w:bCs/>
          <w:color w:val="000000"/>
        </w:rPr>
        <w:t>ceilings).</w:t>
      </w:r>
      <w:r>
        <w:rPr>
          <w:bCs/>
          <w:color w:val="000000"/>
        </w:rPr>
        <w:t xml:space="preserve"> </w:t>
      </w:r>
    </w:p>
    <w:p w:rsidR="00C06C6E" w:rsidRPr="00F47045" w:rsidRDefault="00C06C6E" w:rsidP="00C06C6E">
      <w:pPr>
        <w:rPr>
          <w:bCs/>
          <w:szCs w:val="20"/>
        </w:rPr>
      </w:pPr>
      <w:r w:rsidRPr="00F47045">
        <w:rPr>
          <w:bCs/>
          <w:color w:val="000000"/>
          <w:szCs w:val="20"/>
        </w:rPr>
        <w:t>OVERVIEW OF PROGRESS IN 2014 (KEY MILESTONES)</w:t>
      </w:r>
    </w:p>
    <w:p w:rsidR="00C06C6E" w:rsidRPr="00F47045" w:rsidRDefault="00C06C6E" w:rsidP="00C06C6E">
      <w:pPr>
        <w:rPr>
          <w:bCs/>
          <w:szCs w:val="20"/>
        </w:rPr>
      </w:pPr>
    </w:p>
    <w:p w:rsidR="00C06C6E" w:rsidRPr="00F47045" w:rsidRDefault="00C06C6E" w:rsidP="001E15AA">
      <w:pPr>
        <w:pStyle w:val="ONUME"/>
        <w:numPr>
          <w:ilvl w:val="0"/>
          <w:numId w:val="130"/>
        </w:numPr>
        <w:tabs>
          <w:tab w:val="left" w:pos="567"/>
        </w:tabs>
        <w:ind w:left="0" w:firstLine="0"/>
        <w:jc w:val="both"/>
        <w:rPr>
          <w:bCs/>
        </w:rPr>
      </w:pPr>
      <w:r w:rsidRPr="00F47045">
        <w:rPr>
          <w:bCs/>
        </w:rPr>
        <w:t>In 2014, the following progress was made:</w:t>
      </w:r>
    </w:p>
    <w:p w:rsidR="00C06C6E" w:rsidRPr="00F557A1" w:rsidRDefault="00C06C6E" w:rsidP="001E15AA">
      <w:pPr>
        <w:pStyle w:val="ListParagraph"/>
        <w:numPr>
          <w:ilvl w:val="0"/>
          <w:numId w:val="120"/>
        </w:numPr>
        <w:spacing w:after="120"/>
        <w:ind w:left="992" w:hanging="425"/>
        <w:rPr>
          <w:bCs/>
        </w:rPr>
      </w:pPr>
      <w:r w:rsidRPr="00F47045">
        <w:rPr>
          <w:bCs/>
          <w:color w:val="000000"/>
        </w:rPr>
        <w:t xml:space="preserve">drafting and launch of the </w:t>
      </w:r>
      <w:r w:rsidRPr="003962D0">
        <w:rPr>
          <w:bCs/>
          <w:color w:val="000000"/>
        </w:rPr>
        <w:t>call for expressions of interest</w:t>
      </w:r>
      <w:r w:rsidRPr="0054509D">
        <w:rPr>
          <w:bCs/>
          <w:color w:val="000000"/>
        </w:rPr>
        <w:t xml:space="preserve"> for the pilot/</w:t>
      </w:r>
      <w:r w:rsidRPr="00F557A1">
        <w:rPr>
          <w:bCs/>
          <w:color w:val="000000"/>
        </w:rPr>
        <w:t>architect;</w:t>
      </w:r>
    </w:p>
    <w:p w:rsidR="00C06C6E" w:rsidRPr="00F47045" w:rsidRDefault="00C06C6E" w:rsidP="001E15AA">
      <w:pPr>
        <w:pStyle w:val="ListParagraph"/>
        <w:numPr>
          <w:ilvl w:val="0"/>
          <w:numId w:val="120"/>
        </w:numPr>
        <w:shd w:val="clear" w:color="auto" w:fill="FFFFFF" w:themeFill="background1"/>
        <w:spacing w:after="120"/>
        <w:ind w:left="992" w:hanging="425"/>
        <w:rPr>
          <w:bCs/>
        </w:rPr>
      </w:pPr>
      <w:r w:rsidRPr="00E30119">
        <w:rPr>
          <w:bCs/>
          <w:color w:val="000000"/>
        </w:rPr>
        <w:t xml:space="preserve">completion of the short-listing and  evaluation of the </w:t>
      </w:r>
      <w:r w:rsidRPr="003962D0">
        <w:rPr>
          <w:bCs/>
          <w:color w:val="000000"/>
        </w:rPr>
        <w:t>call for expressions of interest</w:t>
      </w:r>
      <w:r w:rsidRPr="00F47045">
        <w:rPr>
          <w:bCs/>
          <w:color w:val="000000"/>
        </w:rPr>
        <w:t xml:space="preserve"> for the </w:t>
      </w:r>
      <w:r>
        <w:rPr>
          <w:bCs/>
          <w:color w:val="000000"/>
        </w:rPr>
        <w:t>p</w:t>
      </w:r>
      <w:r w:rsidRPr="00F47045">
        <w:rPr>
          <w:bCs/>
          <w:color w:val="000000"/>
        </w:rPr>
        <w:t>ilot/</w:t>
      </w:r>
      <w:r>
        <w:rPr>
          <w:bCs/>
          <w:color w:val="000000"/>
        </w:rPr>
        <w:t>a</w:t>
      </w:r>
      <w:r w:rsidRPr="00F47045">
        <w:rPr>
          <w:bCs/>
          <w:color w:val="000000"/>
        </w:rPr>
        <w:t xml:space="preserve">rchitect </w:t>
      </w:r>
      <w:r w:rsidRPr="00F47045">
        <w:rPr>
          <w:bCs/>
        </w:rPr>
        <w:t>mandate;</w:t>
      </w:r>
      <w:r>
        <w:rPr>
          <w:bCs/>
        </w:rPr>
        <w:t xml:space="preserve"> and</w:t>
      </w:r>
    </w:p>
    <w:p w:rsidR="00C06C6E" w:rsidRPr="009266AF" w:rsidRDefault="00C06C6E" w:rsidP="001E15AA">
      <w:pPr>
        <w:pStyle w:val="ListParagraph"/>
        <w:numPr>
          <w:ilvl w:val="0"/>
          <w:numId w:val="120"/>
        </w:numPr>
        <w:shd w:val="clear" w:color="auto" w:fill="FFFFFF" w:themeFill="background1"/>
        <w:ind w:left="993" w:hanging="426"/>
        <w:rPr>
          <w:bCs/>
        </w:rPr>
      </w:pPr>
      <w:proofErr w:type="gramStart"/>
      <w:r w:rsidRPr="00DA618E">
        <w:rPr>
          <w:bCs/>
          <w:color w:val="000000"/>
        </w:rPr>
        <w:t>drafting</w:t>
      </w:r>
      <w:proofErr w:type="gramEnd"/>
      <w:r w:rsidRPr="00DA618E">
        <w:rPr>
          <w:bCs/>
          <w:color w:val="000000"/>
        </w:rPr>
        <w:t xml:space="preserve"> of the technical specifications for the </w:t>
      </w:r>
      <w:r w:rsidRPr="009266AF">
        <w:rPr>
          <w:bCs/>
          <w:color w:val="000000"/>
        </w:rPr>
        <w:t>call for tenders for the</w:t>
      </w:r>
      <w:r w:rsidRPr="00DA618E">
        <w:rPr>
          <w:bCs/>
          <w:color w:val="000000"/>
        </w:rPr>
        <w:t xml:space="preserve"> pilot/architect. </w:t>
      </w:r>
    </w:p>
    <w:p w:rsidR="00C06C6E" w:rsidRPr="00DA618E" w:rsidRDefault="00C06C6E" w:rsidP="00C06C6E">
      <w:pPr>
        <w:pStyle w:val="ListParagraph"/>
        <w:shd w:val="clear" w:color="auto" w:fill="FFFFFF" w:themeFill="background1"/>
        <w:rPr>
          <w:bCs/>
          <w:color w:val="000000"/>
        </w:rPr>
      </w:pPr>
    </w:p>
    <w:p w:rsidR="00C06C6E" w:rsidRPr="00F47045" w:rsidRDefault="00C06C6E" w:rsidP="001E15AA">
      <w:pPr>
        <w:pStyle w:val="ONUME"/>
        <w:numPr>
          <w:ilvl w:val="0"/>
          <w:numId w:val="130"/>
        </w:numPr>
        <w:tabs>
          <w:tab w:val="left" w:pos="567"/>
        </w:tabs>
        <w:ind w:left="0" w:firstLine="0"/>
        <w:jc w:val="both"/>
        <w:rPr>
          <w:bCs/>
          <w:color w:val="000000"/>
        </w:rPr>
      </w:pPr>
      <w:r w:rsidRPr="00F47045">
        <w:rPr>
          <w:bCs/>
          <w:color w:val="000000"/>
        </w:rPr>
        <w:t xml:space="preserve">Due to the </w:t>
      </w:r>
      <w:r>
        <w:rPr>
          <w:bCs/>
          <w:color w:val="000000"/>
        </w:rPr>
        <w:t xml:space="preserve">delayed completion (from beginning 2014 to September 2014) </w:t>
      </w:r>
      <w:r w:rsidRPr="00F47045">
        <w:rPr>
          <w:bCs/>
          <w:color w:val="000000"/>
        </w:rPr>
        <w:t xml:space="preserve">of the </w:t>
      </w:r>
      <w:r>
        <w:rPr>
          <w:bCs/>
          <w:color w:val="000000"/>
        </w:rPr>
        <w:t xml:space="preserve">new </w:t>
      </w:r>
      <w:r w:rsidRPr="00F47045">
        <w:rPr>
          <w:bCs/>
          <w:color w:val="000000"/>
        </w:rPr>
        <w:t xml:space="preserve">WIPO Conference Hall, the start of the project was delayed by nine months relative to the original plan.  The timeline for the project has been extended to 2018, </w:t>
      </w:r>
      <w:r>
        <w:rPr>
          <w:bCs/>
          <w:color w:val="000000"/>
        </w:rPr>
        <w:t>as reflected</w:t>
      </w:r>
      <w:r w:rsidRPr="00F47045">
        <w:rPr>
          <w:bCs/>
          <w:color w:val="000000"/>
        </w:rPr>
        <w:t xml:space="preserve"> in the table</w:t>
      </w:r>
      <w:r>
        <w:rPr>
          <w:bCs/>
          <w:color w:val="000000"/>
        </w:rPr>
        <w:t>s</w:t>
      </w:r>
      <w:r w:rsidRPr="00F47045">
        <w:rPr>
          <w:bCs/>
          <w:color w:val="000000"/>
        </w:rPr>
        <w:t xml:space="preserve"> below. </w:t>
      </w:r>
    </w:p>
    <w:p w:rsidR="00C06C6E" w:rsidRPr="009266AF" w:rsidRDefault="00C06C6E" w:rsidP="00994B87">
      <w:pPr>
        <w:keepNext/>
        <w:keepLines/>
        <w:shd w:val="clear" w:color="auto" w:fill="FFFFFF" w:themeFill="background1"/>
        <w:rPr>
          <w:bCs/>
          <w:sz w:val="22"/>
          <w:szCs w:val="22"/>
        </w:rPr>
      </w:pPr>
    </w:p>
    <w:p w:rsidR="00C06C6E" w:rsidRPr="00970583" w:rsidRDefault="00C06C6E" w:rsidP="00994B87">
      <w:pPr>
        <w:keepNext/>
        <w:keepLines/>
        <w:rPr>
          <w:bCs/>
          <w:sz w:val="22"/>
          <w:szCs w:val="22"/>
        </w:rPr>
      </w:pPr>
      <w:r w:rsidRPr="00970583">
        <w:rPr>
          <w:bCs/>
          <w:sz w:val="22"/>
          <w:szCs w:val="22"/>
        </w:rPr>
        <w:t>BENEFITS REALIZATION</w:t>
      </w:r>
    </w:p>
    <w:p w:rsidR="00C06C6E" w:rsidRPr="00970583" w:rsidRDefault="00C06C6E" w:rsidP="00994B87">
      <w:pPr>
        <w:keepNext/>
        <w:keepLines/>
        <w:rPr>
          <w:szCs w:val="20"/>
        </w:rPr>
      </w:pPr>
    </w:p>
    <w:tbl>
      <w:tblPr>
        <w:tblW w:w="44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97"/>
        <w:gridCol w:w="4252"/>
      </w:tblGrid>
      <w:tr w:rsidR="00C06C6E" w:rsidRPr="00970583" w:rsidTr="005158E3">
        <w:trPr>
          <w:trHeight w:val="469"/>
          <w:tblHeader/>
          <w:jc w:val="center"/>
        </w:trPr>
        <w:tc>
          <w:tcPr>
            <w:tcW w:w="2484" w:type="pct"/>
            <w:shd w:val="clear" w:color="auto" w:fill="C6D9F1" w:themeFill="text2" w:themeFillTint="33"/>
            <w:vAlign w:val="center"/>
          </w:tcPr>
          <w:p w:rsidR="00C06C6E" w:rsidRPr="00DA618E" w:rsidRDefault="00C06C6E" w:rsidP="00994B87">
            <w:pPr>
              <w:keepNext/>
              <w:keepLines/>
              <w:jc w:val="center"/>
              <w:rPr>
                <w:b/>
                <w:bCs/>
                <w:sz w:val="16"/>
                <w:szCs w:val="16"/>
              </w:rPr>
            </w:pPr>
            <w:r w:rsidRPr="00DA618E">
              <w:rPr>
                <w:b/>
                <w:bCs/>
                <w:color w:val="000000"/>
                <w:sz w:val="16"/>
                <w:szCs w:val="16"/>
              </w:rPr>
              <w:t>Expected Benefits 2017</w:t>
            </w:r>
          </w:p>
        </w:tc>
        <w:tc>
          <w:tcPr>
            <w:tcW w:w="2516" w:type="pct"/>
            <w:shd w:val="clear" w:color="auto" w:fill="C6D9F1" w:themeFill="text2" w:themeFillTint="33"/>
          </w:tcPr>
          <w:p w:rsidR="00C06C6E" w:rsidRPr="009266AF" w:rsidRDefault="00C06C6E" w:rsidP="00994B87">
            <w:pPr>
              <w:keepNext/>
              <w:keepLines/>
              <w:jc w:val="center"/>
              <w:rPr>
                <w:b/>
                <w:bCs/>
                <w:sz w:val="16"/>
                <w:szCs w:val="16"/>
              </w:rPr>
            </w:pPr>
            <w:r w:rsidRPr="00DA618E">
              <w:rPr>
                <w:b/>
                <w:bCs/>
                <w:color w:val="000000"/>
                <w:sz w:val="16"/>
                <w:szCs w:val="16"/>
              </w:rPr>
              <w:t>Expected Benefits 2018</w:t>
            </w:r>
          </w:p>
        </w:tc>
      </w:tr>
      <w:tr w:rsidR="00C06C6E" w:rsidRPr="00970583" w:rsidTr="005158E3">
        <w:trPr>
          <w:trHeight w:val="564"/>
          <w:jc w:val="center"/>
        </w:trPr>
        <w:tc>
          <w:tcPr>
            <w:tcW w:w="2484" w:type="pct"/>
            <w:shd w:val="clear" w:color="auto" w:fill="auto"/>
            <w:vAlign w:val="center"/>
          </w:tcPr>
          <w:p w:rsidR="00C06C6E" w:rsidRPr="009266AF" w:rsidRDefault="00C06C6E" w:rsidP="00592948">
            <w:pPr>
              <w:keepNext/>
              <w:keepLines/>
              <w:rPr>
                <w:bCs/>
                <w:iCs/>
                <w:sz w:val="16"/>
                <w:szCs w:val="16"/>
              </w:rPr>
            </w:pPr>
            <w:r w:rsidRPr="00DA618E">
              <w:rPr>
                <w:bCs/>
                <w:iCs/>
                <w:color w:val="000000"/>
                <w:sz w:val="16"/>
                <w:szCs w:val="16"/>
              </w:rPr>
              <w:t>Partial improvements in technical facilities</w:t>
            </w:r>
          </w:p>
        </w:tc>
        <w:tc>
          <w:tcPr>
            <w:tcW w:w="2516" w:type="pct"/>
            <w:shd w:val="clear" w:color="auto" w:fill="auto"/>
            <w:vAlign w:val="center"/>
          </w:tcPr>
          <w:p w:rsidR="00C06C6E" w:rsidRPr="009266AF" w:rsidRDefault="00C06C6E" w:rsidP="00592948">
            <w:pPr>
              <w:keepNext/>
              <w:keepLines/>
              <w:rPr>
                <w:bCs/>
                <w:iCs/>
                <w:sz w:val="16"/>
                <w:szCs w:val="16"/>
              </w:rPr>
            </w:pPr>
            <w:r w:rsidRPr="009266AF">
              <w:rPr>
                <w:bCs/>
                <w:iCs/>
                <w:color w:val="000000"/>
                <w:sz w:val="16"/>
                <w:szCs w:val="16"/>
              </w:rPr>
              <w:t>Full improvement in technical facilities</w:t>
            </w:r>
          </w:p>
        </w:tc>
      </w:tr>
      <w:tr w:rsidR="00C06C6E" w:rsidRPr="00970583" w:rsidTr="005158E3">
        <w:trPr>
          <w:trHeight w:val="564"/>
          <w:jc w:val="center"/>
        </w:trPr>
        <w:tc>
          <w:tcPr>
            <w:tcW w:w="2484" w:type="pct"/>
            <w:shd w:val="clear" w:color="auto" w:fill="auto"/>
            <w:vAlign w:val="center"/>
          </w:tcPr>
          <w:p w:rsidR="00C06C6E" w:rsidRPr="00DA618E" w:rsidRDefault="00C06C6E" w:rsidP="00592948">
            <w:pPr>
              <w:keepNext/>
              <w:keepLines/>
              <w:rPr>
                <w:bCs/>
                <w:iCs/>
                <w:sz w:val="16"/>
                <w:szCs w:val="16"/>
              </w:rPr>
            </w:pPr>
            <w:r w:rsidRPr="00DA618E">
              <w:rPr>
                <w:bCs/>
                <w:iCs/>
                <w:color w:val="000000"/>
                <w:sz w:val="16"/>
                <w:szCs w:val="16"/>
              </w:rPr>
              <w:t xml:space="preserve">Partial improvement in the comfort of </w:t>
            </w:r>
            <w:r w:rsidRPr="00DA618E">
              <w:rPr>
                <w:bCs/>
                <w:iCs/>
                <w:sz w:val="16"/>
                <w:szCs w:val="16"/>
              </w:rPr>
              <w:t>occupants</w:t>
            </w:r>
          </w:p>
        </w:tc>
        <w:tc>
          <w:tcPr>
            <w:tcW w:w="2516" w:type="pct"/>
            <w:shd w:val="clear" w:color="auto" w:fill="auto"/>
            <w:vAlign w:val="center"/>
          </w:tcPr>
          <w:p w:rsidR="00C06C6E" w:rsidRPr="009266AF" w:rsidRDefault="00C06C6E" w:rsidP="00592948">
            <w:pPr>
              <w:keepNext/>
              <w:keepLines/>
              <w:rPr>
                <w:bCs/>
                <w:iCs/>
                <w:sz w:val="16"/>
                <w:szCs w:val="16"/>
              </w:rPr>
            </w:pPr>
            <w:r w:rsidRPr="009266AF">
              <w:rPr>
                <w:bCs/>
                <w:iCs/>
                <w:color w:val="000000"/>
                <w:sz w:val="16"/>
                <w:szCs w:val="16"/>
              </w:rPr>
              <w:t xml:space="preserve">Full improvement in the comfort of </w:t>
            </w:r>
            <w:r w:rsidRPr="009266AF">
              <w:rPr>
                <w:bCs/>
                <w:iCs/>
                <w:sz w:val="16"/>
                <w:szCs w:val="16"/>
              </w:rPr>
              <w:t>occupants</w:t>
            </w:r>
          </w:p>
        </w:tc>
      </w:tr>
      <w:tr w:rsidR="00C06C6E" w:rsidRPr="00970583" w:rsidTr="005158E3">
        <w:trPr>
          <w:trHeight w:val="564"/>
          <w:jc w:val="center"/>
        </w:trPr>
        <w:tc>
          <w:tcPr>
            <w:tcW w:w="2484" w:type="pct"/>
            <w:shd w:val="clear" w:color="auto" w:fill="auto"/>
            <w:vAlign w:val="center"/>
          </w:tcPr>
          <w:p w:rsidR="00C06C6E" w:rsidRPr="00DA618E" w:rsidRDefault="00C06C6E" w:rsidP="00592948">
            <w:pPr>
              <w:rPr>
                <w:bCs/>
                <w:iCs/>
                <w:sz w:val="16"/>
                <w:szCs w:val="16"/>
              </w:rPr>
            </w:pPr>
          </w:p>
        </w:tc>
        <w:tc>
          <w:tcPr>
            <w:tcW w:w="2516" w:type="pct"/>
            <w:shd w:val="clear" w:color="auto" w:fill="auto"/>
            <w:vAlign w:val="center"/>
          </w:tcPr>
          <w:p w:rsidR="00C06C6E" w:rsidRPr="009266AF" w:rsidRDefault="00C06C6E" w:rsidP="00592948">
            <w:pPr>
              <w:rPr>
                <w:bCs/>
                <w:iCs/>
                <w:sz w:val="16"/>
                <w:szCs w:val="16"/>
              </w:rPr>
            </w:pPr>
            <w:r w:rsidRPr="00DA618E">
              <w:rPr>
                <w:bCs/>
                <w:iCs/>
                <w:color w:val="000000"/>
                <w:sz w:val="16"/>
                <w:szCs w:val="16"/>
              </w:rPr>
              <w:t xml:space="preserve">Partial reduction in energy loss thanks to </w:t>
            </w:r>
            <w:r w:rsidRPr="009266AF">
              <w:rPr>
                <w:bCs/>
                <w:iCs/>
                <w:color w:val="000000"/>
                <w:sz w:val="16"/>
                <w:szCs w:val="16"/>
              </w:rPr>
              <w:t>improved facades</w:t>
            </w:r>
          </w:p>
        </w:tc>
      </w:tr>
      <w:tr w:rsidR="00C06C6E" w:rsidRPr="00970583" w:rsidTr="005158E3">
        <w:trPr>
          <w:trHeight w:val="564"/>
          <w:jc w:val="center"/>
        </w:trPr>
        <w:tc>
          <w:tcPr>
            <w:tcW w:w="2484" w:type="pct"/>
            <w:shd w:val="clear" w:color="auto" w:fill="auto"/>
            <w:vAlign w:val="center"/>
          </w:tcPr>
          <w:p w:rsidR="00C06C6E" w:rsidRPr="00DA618E" w:rsidRDefault="00C06C6E" w:rsidP="00592948">
            <w:pPr>
              <w:rPr>
                <w:bCs/>
                <w:iCs/>
                <w:sz w:val="16"/>
                <w:szCs w:val="16"/>
              </w:rPr>
            </w:pPr>
          </w:p>
        </w:tc>
        <w:tc>
          <w:tcPr>
            <w:tcW w:w="2516" w:type="pct"/>
            <w:shd w:val="clear" w:color="auto" w:fill="auto"/>
            <w:vAlign w:val="center"/>
          </w:tcPr>
          <w:p w:rsidR="00C06C6E" w:rsidRPr="009266AF" w:rsidRDefault="00C06C6E" w:rsidP="00592948">
            <w:pPr>
              <w:rPr>
                <w:bCs/>
                <w:iCs/>
                <w:sz w:val="16"/>
                <w:szCs w:val="16"/>
              </w:rPr>
            </w:pPr>
            <w:r w:rsidRPr="00DA618E">
              <w:rPr>
                <w:bCs/>
                <w:iCs/>
                <w:color w:val="000000"/>
                <w:sz w:val="16"/>
                <w:szCs w:val="16"/>
              </w:rPr>
              <w:t xml:space="preserve">Partial reduction in energy  consumption due to new thermal </w:t>
            </w:r>
            <w:r w:rsidRPr="009266AF">
              <w:rPr>
                <w:bCs/>
                <w:iCs/>
                <w:color w:val="000000"/>
                <w:sz w:val="16"/>
                <w:szCs w:val="16"/>
              </w:rPr>
              <w:t>false ceilings</w:t>
            </w:r>
            <w:r w:rsidRPr="009266AF">
              <w:rPr>
                <w:bCs/>
                <w:iCs/>
                <w:sz w:val="16"/>
                <w:szCs w:val="16"/>
              </w:rPr>
              <w:t xml:space="preserve"> </w:t>
            </w:r>
          </w:p>
        </w:tc>
      </w:tr>
      <w:tr w:rsidR="00C06C6E" w:rsidRPr="00970583" w:rsidTr="005158E3">
        <w:trPr>
          <w:trHeight w:val="564"/>
          <w:jc w:val="center"/>
        </w:trPr>
        <w:tc>
          <w:tcPr>
            <w:tcW w:w="2484" w:type="pct"/>
            <w:shd w:val="clear" w:color="auto" w:fill="auto"/>
            <w:vAlign w:val="center"/>
          </w:tcPr>
          <w:p w:rsidR="00C06C6E" w:rsidRPr="00DA618E" w:rsidRDefault="00C06C6E" w:rsidP="00592948">
            <w:pPr>
              <w:rPr>
                <w:b/>
                <w:bCs/>
                <w:i/>
                <w:iCs/>
                <w:sz w:val="16"/>
                <w:szCs w:val="16"/>
              </w:rPr>
            </w:pPr>
          </w:p>
        </w:tc>
        <w:tc>
          <w:tcPr>
            <w:tcW w:w="2516" w:type="pct"/>
            <w:shd w:val="clear" w:color="auto" w:fill="auto"/>
            <w:vAlign w:val="center"/>
          </w:tcPr>
          <w:p w:rsidR="00C06C6E" w:rsidRPr="009266AF" w:rsidRDefault="00C06C6E" w:rsidP="00592948">
            <w:pPr>
              <w:rPr>
                <w:bCs/>
                <w:iCs/>
                <w:sz w:val="16"/>
                <w:szCs w:val="16"/>
              </w:rPr>
            </w:pPr>
            <w:r w:rsidRPr="00DA618E">
              <w:rPr>
                <w:bCs/>
                <w:iCs/>
                <w:color w:val="000000"/>
                <w:sz w:val="16"/>
                <w:szCs w:val="16"/>
              </w:rPr>
              <w:t xml:space="preserve">Increased life-cycle of new thermal </w:t>
            </w:r>
            <w:r w:rsidRPr="009266AF">
              <w:rPr>
                <w:bCs/>
                <w:iCs/>
                <w:color w:val="000000"/>
                <w:sz w:val="16"/>
                <w:szCs w:val="16"/>
              </w:rPr>
              <w:t>false ceilings</w:t>
            </w:r>
          </w:p>
        </w:tc>
      </w:tr>
      <w:tr w:rsidR="00C06C6E" w:rsidRPr="00970583" w:rsidTr="005158E3">
        <w:trPr>
          <w:trHeight w:val="564"/>
          <w:jc w:val="center"/>
        </w:trPr>
        <w:tc>
          <w:tcPr>
            <w:tcW w:w="2484" w:type="pct"/>
            <w:shd w:val="clear" w:color="auto" w:fill="auto"/>
            <w:vAlign w:val="center"/>
          </w:tcPr>
          <w:p w:rsidR="00C06C6E" w:rsidRPr="00DA618E" w:rsidRDefault="00C06C6E" w:rsidP="00592948">
            <w:pPr>
              <w:rPr>
                <w:b/>
                <w:bCs/>
                <w:i/>
                <w:iCs/>
                <w:sz w:val="16"/>
                <w:szCs w:val="16"/>
              </w:rPr>
            </w:pPr>
          </w:p>
        </w:tc>
        <w:tc>
          <w:tcPr>
            <w:tcW w:w="2516" w:type="pct"/>
            <w:shd w:val="clear" w:color="auto" w:fill="auto"/>
            <w:vAlign w:val="center"/>
          </w:tcPr>
          <w:p w:rsidR="00C06C6E" w:rsidRPr="009266AF" w:rsidRDefault="00C06C6E" w:rsidP="00592948">
            <w:pPr>
              <w:rPr>
                <w:bCs/>
                <w:iCs/>
                <w:sz w:val="16"/>
                <w:szCs w:val="16"/>
              </w:rPr>
            </w:pPr>
            <w:r w:rsidRPr="00DA618E">
              <w:rPr>
                <w:bCs/>
                <w:iCs/>
                <w:color w:val="000000"/>
                <w:sz w:val="16"/>
                <w:szCs w:val="16"/>
              </w:rPr>
              <w:t>Reduced cost in corrective ma</w:t>
            </w:r>
            <w:r w:rsidRPr="009266AF">
              <w:rPr>
                <w:bCs/>
                <w:iCs/>
                <w:color w:val="000000"/>
                <w:sz w:val="16"/>
                <w:szCs w:val="16"/>
              </w:rPr>
              <w:t>intenance  due to new thermal false ceilings</w:t>
            </w:r>
          </w:p>
        </w:tc>
      </w:tr>
    </w:tbl>
    <w:p w:rsidR="00C06C6E" w:rsidRPr="00970583" w:rsidRDefault="00C06C6E" w:rsidP="00C06C6E">
      <w:pPr>
        <w:rPr>
          <w:b/>
          <w:szCs w:val="20"/>
        </w:rPr>
      </w:pPr>
    </w:p>
    <w:p w:rsidR="001E15AA" w:rsidRDefault="001E15AA" w:rsidP="00C06C6E">
      <w:pPr>
        <w:rPr>
          <w:rFonts w:cs="Arial"/>
          <w:color w:val="000000"/>
          <w:sz w:val="22"/>
          <w:szCs w:val="22"/>
        </w:rPr>
      </w:pPr>
    </w:p>
    <w:p w:rsidR="00C06C6E" w:rsidRPr="00970583" w:rsidRDefault="00C06C6E" w:rsidP="00C06C6E">
      <w:pPr>
        <w:rPr>
          <w:rFonts w:cs="Arial"/>
          <w:color w:val="000000"/>
          <w:sz w:val="22"/>
          <w:szCs w:val="22"/>
        </w:rPr>
      </w:pPr>
      <w:r>
        <w:rPr>
          <w:rFonts w:cs="Arial"/>
          <w:color w:val="000000"/>
          <w:sz w:val="22"/>
          <w:szCs w:val="22"/>
        </w:rPr>
        <w:t>RESOURCE</w:t>
      </w:r>
      <w:r w:rsidRPr="00970583">
        <w:rPr>
          <w:rFonts w:cs="Arial"/>
          <w:color w:val="000000"/>
          <w:sz w:val="22"/>
          <w:szCs w:val="22"/>
        </w:rPr>
        <w:t xml:space="preserve"> UTILIZATION</w:t>
      </w:r>
      <w:r w:rsidRPr="00970583">
        <w:rPr>
          <w:rFonts w:cs="Arial"/>
          <w:color w:val="000000"/>
          <w:sz w:val="22"/>
          <w:szCs w:val="22"/>
        </w:rPr>
        <w:tab/>
      </w:r>
    </w:p>
    <w:p w:rsidR="00C06C6E" w:rsidRPr="00970583" w:rsidRDefault="00C06C6E" w:rsidP="00C06C6E">
      <w:pPr>
        <w:rPr>
          <w:rFonts w:cs="Arial"/>
          <w:color w:val="000000"/>
          <w:sz w:val="22"/>
          <w:szCs w:val="22"/>
        </w:rPr>
      </w:pPr>
    </w:p>
    <w:p w:rsidR="00C06C6E" w:rsidRPr="00970583" w:rsidRDefault="00C06C6E" w:rsidP="00C06C6E">
      <w:pPr>
        <w:keepNext/>
        <w:keepLines/>
        <w:tabs>
          <w:tab w:val="left" w:pos="3261"/>
        </w:tabs>
        <w:autoSpaceDE w:val="0"/>
        <w:autoSpaceDN w:val="0"/>
        <w:adjustRightInd w:val="0"/>
        <w:jc w:val="center"/>
        <w:rPr>
          <w:b/>
          <w:szCs w:val="22"/>
        </w:rPr>
      </w:pPr>
      <w:r w:rsidRPr="00970583">
        <w:rPr>
          <w:b/>
          <w:color w:val="000000"/>
          <w:szCs w:val="22"/>
        </w:rPr>
        <w:t>Project Budget Utilization</w:t>
      </w:r>
      <w:r w:rsidRPr="00970583">
        <w:rPr>
          <w:b/>
          <w:szCs w:val="22"/>
        </w:rPr>
        <w:t xml:space="preserve"> </w:t>
      </w:r>
    </w:p>
    <w:p w:rsidR="00C06C6E" w:rsidRPr="00970583" w:rsidRDefault="00C06C6E" w:rsidP="00C06C6E">
      <w:pPr>
        <w:keepNext/>
        <w:keepLines/>
        <w:tabs>
          <w:tab w:val="left" w:pos="3261"/>
        </w:tabs>
        <w:autoSpaceDE w:val="0"/>
        <w:autoSpaceDN w:val="0"/>
        <w:adjustRightInd w:val="0"/>
        <w:jc w:val="center"/>
        <w:rPr>
          <w:i/>
          <w:iCs/>
          <w:sz w:val="18"/>
          <w:szCs w:val="18"/>
        </w:rPr>
      </w:pPr>
      <w:r w:rsidRPr="00970583">
        <w:rPr>
          <w:i/>
          <w:iCs/>
          <w:color w:val="000000"/>
          <w:sz w:val="18"/>
          <w:szCs w:val="18"/>
        </w:rPr>
        <w:t>(In Swiss francs, as at December 31, 2014)</w:t>
      </w:r>
    </w:p>
    <w:p w:rsidR="00C06C6E" w:rsidRPr="001E15AA" w:rsidRDefault="00C06C6E" w:rsidP="00C06C6E">
      <w:pPr>
        <w:rPr>
          <w:rFonts w:cs="Arial"/>
          <w:color w:val="000000"/>
          <w:sz w:val="18"/>
          <w:szCs w:val="22"/>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C06C6E" w:rsidRPr="00970583" w:rsidTr="00C06C6E">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970583" w:rsidRDefault="00C06C6E" w:rsidP="00C06C6E">
            <w:pPr>
              <w:keepNext/>
              <w:keepLines/>
              <w:autoSpaceDE w:val="0"/>
              <w:autoSpaceDN w:val="0"/>
              <w:adjustRightInd w:val="0"/>
              <w:spacing w:before="40" w:after="40"/>
              <w:ind w:left="-74" w:right="-60"/>
              <w:jc w:val="center"/>
              <w:rPr>
                <w:b/>
                <w:bCs/>
                <w:sz w:val="16"/>
                <w:szCs w:val="16"/>
              </w:rPr>
            </w:pPr>
            <w:r w:rsidRPr="00970583">
              <w:rPr>
                <w:b/>
                <w:bCs/>
                <w:sz w:val="16"/>
                <w:szCs w:val="16"/>
              </w:rPr>
              <w:t>Project Name</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970583" w:rsidRDefault="00C06C6E" w:rsidP="00C06C6E">
            <w:pPr>
              <w:keepNext/>
              <w:keepLines/>
              <w:autoSpaceDE w:val="0"/>
              <w:autoSpaceDN w:val="0"/>
              <w:adjustRightInd w:val="0"/>
              <w:spacing w:before="40" w:after="40"/>
              <w:ind w:left="-107" w:right="-108"/>
              <w:jc w:val="center"/>
              <w:rPr>
                <w:b/>
                <w:bCs/>
                <w:sz w:val="16"/>
                <w:szCs w:val="16"/>
              </w:rPr>
            </w:pPr>
            <w:r w:rsidRPr="00970583">
              <w:rPr>
                <w:b/>
                <w:bCs/>
                <w:color w:val="000000"/>
                <w:sz w:val="16"/>
                <w:szCs w:val="16"/>
              </w:rPr>
              <w:t>Project Budget</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970583" w:rsidRDefault="00C06C6E" w:rsidP="00C06C6E">
            <w:pPr>
              <w:keepNext/>
              <w:keepLines/>
              <w:autoSpaceDE w:val="0"/>
              <w:autoSpaceDN w:val="0"/>
              <w:adjustRightInd w:val="0"/>
              <w:spacing w:before="40" w:after="40"/>
              <w:ind w:left="-108" w:right="-106"/>
              <w:jc w:val="center"/>
              <w:rPr>
                <w:b/>
                <w:bCs/>
                <w:sz w:val="16"/>
                <w:szCs w:val="16"/>
              </w:rPr>
            </w:pPr>
            <w:r w:rsidRPr="00970583">
              <w:rPr>
                <w:b/>
                <w:bCs/>
                <w:color w:val="000000"/>
                <w:sz w:val="16"/>
                <w:szCs w:val="16"/>
              </w:rPr>
              <w:t>Actual Expenditure to Date</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970583" w:rsidRDefault="00C06C6E" w:rsidP="00C06C6E">
            <w:pPr>
              <w:keepNext/>
              <w:keepLines/>
              <w:autoSpaceDE w:val="0"/>
              <w:autoSpaceDN w:val="0"/>
              <w:adjustRightInd w:val="0"/>
              <w:spacing w:before="40" w:after="40"/>
              <w:ind w:left="-109" w:right="-108"/>
              <w:jc w:val="center"/>
              <w:rPr>
                <w:b/>
                <w:bCs/>
                <w:sz w:val="16"/>
                <w:szCs w:val="16"/>
              </w:rPr>
            </w:pPr>
            <w:r w:rsidRPr="00970583">
              <w:rPr>
                <w:b/>
                <w:bCs/>
                <w:sz w:val="16"/>
                <w:szCs w:val="16"/>
              </w:rPr>
              <w:t>Actual Budget Utilization</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970583" w:rsidRDefault="00C06C6E" w:rsidP="00C06C6E">
            <w:pPr>
              <w:keepNext/>
              <w:keepLines/>
              <w:autoSpaceDE w:val="0"/>
              <w:autoSpaceDN w:val="0"/>
              <w:adjustRightInd w:val="0"/>
              <w:spacing w:before="40" w:after="40"/>
              <w:ind w:left="-109" w:right="-73" w:firstLine="1"/>
              <w:jc w:val="center"/>
              <w:rPr>
                <w:b/>
                <w:bCs/>
                <w:sz w:val="16"/>
                <w:szCs w:val="16"/>
              </w:rPr>
            </w:pPr>
            <w:r w:rsidRPr="00970583">
              <w:rPr>
                <w:b/>
                <w:bCs/>
                <w:color w:val="000000"/>
                <w:sz w:val="16"/>
                <w:szCs w:val="16"/>
              </w:rPr>
              <w:t>Implementation Progress Rate of the Project</w:t>
            </w:r>
          </w:p>
        </w:tc>
      </w:tr>
      <w:tr w:rsidR="00C06C6E" w:rsidRPr="00970583" w:rsidTr="00C06C6E">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C06C6E" w:rsidRPr="00B90F7D" w:rsidRDefault="00C06C6E" w:rsidP="00C06C6E">
            <w:pPr>
              <w:keepNext/>
              <w:keepLines/>
              <w:autoSpaceDE w:val="0"/>
              <w:autoSpaceDN w:val="0"/>
              <w:adjustRightInd w:val="0"/>
              <w:spacing w:before="40" w:after="40"/>
              <w:rPr>
                <w:sz w:val="16"/>
                <w:szCs w:val="16"/>
              </w:rPr>
            </w:pPr>
            <w:r w:rsidRPr="00B90F7D">
              <w:rPr>
                <w:sz w:val="16"/>
                <w:szCs w:val="16"/>
              </w:rPr>
              <w:t xml:space="preserve">Renovation of the facades and cooling/heating installation of the </w:t>
            </w:r>
          </w:p>
          <w:p w:rsidR="00C06C6E" w:rsidRPr="00970583" w:rsidRDefault="00C06C6E" w:rsidP="00C06C6E">
            <w:pPr>
              <w:keepNext/>
              <w:keepLines/>
              <w:autoSpaceDE w:val="0"/>
              <w:autoSpaceDN w:val="0"/>
              <w:adjustRightInd w:val="0"/>
              <w:spacing w:before="40" w:after="40"/>
              <w:rPr>
                <w:sz w:val="16"/>
                <w:szCs w:val="16"/>
              </w:rPr>
            </w:pPr>
            <w:r w:rsidRPr="00B90F7D">
              <w:rPr>
                <w:sz w:val="16"/>
                <w:szCs w:val="16"/>
              </w:rPr>
              <w:t>PCT Building</w:t>
            </w:r>
            <w:r>
              <w:rPr>
                <w:sz w:val="16"/>
                <w:szCs w:val="16"/>
              </w:rPr>
              <w:t xml:space="preserve"> (CMP3)</w:t>
            </w:r>
          </w:p>
        </w:tc>
        <w:tc>
          <w:tcPr>
            <w:tcW w:w="850"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jc w:val="center"/>
              <w:rPr>
                <w:sz w:val="16"/>
                <w:szCs w:val="16"/>
              </w:rPr>
            </w:pPr>
            <w:r w:rsidRPr="00970583">
              <w:rPr>
                <w:sz w:val="16"/>
                <w:szCs w:val="16"/>
              </w:rPr>
              <w:t>6</w:t>
            </w:r>
            <w:r>
              <w:rPr>
                <w:sz w:val="16"/>
                <w:szCs w:val="16"/>
              </w:rPr>
              <w:t>,</w:t>
            </w:r>
            <w:r w:rsidRPr="00970583">
              <w:rPr>
                <w:sz w:val="16"/>
                <w:szCs w:val="16"/>
              </w:rPr>
              <w:t>000</w:t>
            </w:r>
            <w:r>
              <w:rPr>
                <w:sz w:val="16"/>
                <w:szCs w:val="16"/>
              </w:rPr>
              <w:t>,</w:t>
            </w:r>
            <w:r w:rsidRPr="00970583">
              <w:rPr>
                <w:sz w:val="16"/>
                <w:szCs w:val="16"/>
              </w:rPr>
              <w:t>000</w:t>
            </w:r>
          </w:p>
        </w:tc>
        <w:tc>
          <w:tcPr>
            <w:tcW w:w="851"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jc w:val="center"/>
              <w:rPr>
                <w:sz w:val="16"/>
                <w:szCs w:val="16"/>
              </w:rPr>
            </w:pPr>
            <w:r>
              <w:rPr>
                <w:color w:val="000000"/>
                <w:sz w:val="16"/>
                <w:szCs w:val="16"/>
              </w:rPr>
              <w:t>0</w:t>
            </w:r>
          </w:p>
        </w:tc>
        <w:tc>
          <w:tcPr>
            <w:tcW w:w="851"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jc w:val="center"/>
              <w:rPr>
                <w:sz w:val="16"/>
                <w:szCs w:val="16"/>
              </w:rPr>
            </w:pPr>
            <w:r w:rsidRPr="00970583">
              <w:rPr>
                <w:sz w:val="16"/>
                <w:szCs w:val="16"/>
              </w:rPr>
              <w:t>0%</w:t>
            </w:r>
          </w:p>
        </w:tc>
        <w:tc>
          <w:tcPr>
            <w:tcW w:w="850"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jc w:val="center"/>
              <w:rPr>
                <w:sz w:val="16"/>
                <w:szCs w:val="16"/>
              </w:rPr>
            </w:pPr>
            <w:r w:rsidRPr="00970583">
              <w:rPr>
                <w:sz w:val="16"/>
                <w:szCs w:val="16"/>
              </w:rPr>
              <w:t>2%</w:t>
            </w:r>
          </w:p>
        </w:tc>
      </w:tr>
    </w:tbl>
    <w:p w:rsidR="00C06C6E" w:rsidRDefault="00C06C6E" w:rsidP="00C06C6E">
      <w:pPr>
        <w:rPr>
          <w:b/>
          <w:szCs w:val="22"/>
        </w:rPr>
      </w:pPr>
    </w:p>
    <w:p w:rsidR="00C06C6E" w:rsidRPr="00CA171A" w:rsidRDefault="00C06C6E" w:rsidP="00C06C6E">
      <w:pPr>
        <w:rPr>
          <w:szCs w:val="22"/>
        </w:rPr>
      </w:pPr>
    </w:p>
    <w:p w:rsidR="00C06C6E" w:rsidRPr="00970583" w:rsidRDefault="00C06C6E" w:rsidP="00C06C6E">
      <w:pPr>
        <w:keepNext/>
        <w:keepLines/>
        <w:tabs>
          <w:tab w:val="left" w:pos="3261"/>
        </w:tabs>
        <w:autoSpaceDE w:val="0"/>
        <w:autoSpaceDN w:val="0"/>
        <w:adjustRightInd w:val="0"/>
        <w:jc w:val="center"/>
        <w:rPr>
          <w:b/>
          <w:szCs w:val="22"/>
        </w:rPr>
      </w:pPr>
      <w:r w:rsidRPr="00970583">
        <w:rPr>
          <w:b/>
          <w:color w:val="000000"/>
          <w:szCs w:val="22"/>
        </w:rPr>
        <w:t>Project Budget Utilization (by Milestone)</w:t>
      </w:r>
    </w:p>
    <w:p w:rsidR="00C06C6E" w:rsidRPr="00970583" w:rsidRDefault="00C06C6E" w:rsidP="00C06C6E">
      <w:pPr>
        <w:keepNext/>
        <w:keepLines/>
        <w:tabs>
          <w:tab w:val="left" w:pos="3261"/>
        </w:tabs>
        <w:autoSpaceDE w:val="0"/>
        <w:autoSpaceDN w:val="0"/>
        <w:adjustRightInd w:val="0"/>
        <w:jc w:val="center"/>
        <w:rPr>
          <w:i/>
          <w:iCs/>
          <w:sz w:val="18"/>
          <w:szCs w:val="18"/>
        </w:rPr>
      </w:pPr>
      <w:r w:rsidRPr="00970583">
        <w:rPr>
          <w:i/>
          <w:iCs/>
          <w:sz w:val="18"/>
          <w:szCs w:val="18"/>
        </w:rPr>
        <w:t>(In Swiss francs, as at December 31, 2014)</w:t>
      </w:r>
    </w:p>
    <w:p w:rsidR="00C06C6E" w:rsidRPr="00970583" w:rsidRDefault="00C06C6E" w:rsidP="00C06C6E">
      <w:pPr>
        <w:keepNext/>
        <w:autoSpaceDE w:val="0"/>
        <w:autoSpaceDN w:val="0"/>
        <w:rPr>
          <w:sz w:val="16"/>
          <w:szCs w:val="16"/>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8"/>
        <w:gridCol w:w="1575"/>
        <w:gridCol w:w="1575"/>
        <w:gridCol w:w="1575"/>
        <w:gridCol w:w="1575"/>
      </w:tblGrid>
      <w:tr w:rsidR="00C06C6E" w:rsidRPr="00970583" w:rsidTr="00C06C6E">
        <w:trPr>
          <w:trHeight w:val="410"/>
        </w:trPr>
        <w:tc>
          <w:tcPr>
            <w:tcW w:w="157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970583" w:rsidRDefault="00C06C6E" w:rsidP="00C06C6E">
            <w:pPr>
              <w:keepNext/>
              <w:keepLines/>
              <w:autoSpaceDE w:val="0"/>
              <w:autoSpaceDN w:val="0"/>
              <w:adjustRightInd w:val="0"/>
              <w:spacing w:before="40" w:after="40"/>
              <w:ind w:left="-74" w:right="-60"/>
              <w:jc w:val="center"/>
              <w:rPr>
                <w:b/>
                <w:bCs/>
                <w:sz w:val="16"/>
                <w:szCs w:val="16"/>
              </w:rPr>
            </w:pPr>
            <w:r w:rsidRPr="00970583">
              <w:rPr>
                <w:b/>
                <w:bCs/>
                <w:sz w:val="16"/>
                <w:szCs w:val="16"/>
              </w:rPr>
              <w:t>Key Milestone</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970583" w:rsidRDefault="00C06C6E" w:rsidP="00C06C6E">
            <w:pPr>
              <w:keepNext/>
              <w:keepLines/>
              <w:autoSpaceDE w:val="0"/>
              <w:autoSpaceDN w:val="0"/>
              <w:adjustRightInd w:val="0"/>
              <w:spacing w:before="40" w:after="40"/>
              <w:ind w:left="-107" w:right="-108"/>
              <w:jc w:val="center"/>
              <w:rPr>
                <w:b/>
                <w:bCs/>
                <w:sz w:val="16"/>
                <w:szCs w:val="16"/>
              </w:rPr>
            </w:pPr>
            <w:r w:rsidRPr="00970583">
              <w:rPr>
                <w:b/>
                <w:bCs/>
                <w:sz w:val="16"/>
                <w:szCs w:val="16"/>
              </w:rPr>
              <w:t>Project Budget</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970583" w:rsidRDefault="00C06C6E" w:rsidP="00C06C6E">
            <w:pPr>
              <w:keepNext/>
              <w:keepLines/>
              <w:autoSpaceDE w:val="0"/>
              <w:autoSpaceDN w:val="0"/>
              <w:adjustRightInd w:val="0"/>
              <w:spacing w:before="40" w:after="40"/>
              <w:ind w:left="-108" w:right="-106"/>
              <w:jc w:val="center"/>
              <w:rPr>
                <w:b/>
                <w:bCs/>
                <w:sz w:val="16"/>
                <w:szCs w:val="16"/>
              </w:rPr>
            </w:pPr>
            <w:r w:rsidRPr="00970583">
              <w:rPr>
                <w:b/>
                <w:bCs/>
                <w:sz w:val="16"/>
                <w:szCs w:val="16"/>
              </w:rPr>
              <w:t>Actual Expenditure to Date</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970583" w:rsidRDefault="00C06C6E" w:rsidP="00C06C6E">
            <w:pPr>
              <w:keepNext/>
              <w:keepLines/>
              <w:autoSpaceDE w:val="0"/>
              <w:autoSpaceDN w:val="0"/>
              <w:adjustRightInd w:val="0"/>
              <w:spacing w:before="40" w:after="40"/>
              <w:ind w:left="-109" w:right="-108"/>
              <w:jc w:val="center"/>
              <w:rPr>
                <w:b/>
                <w:bCs/>
                <w:sz w:val="16"/>
                <w:szCs w:val="16"/>
              </w:rPr>
            </w:pPr>
            <w:r w:rsidRPr="00970583">
              <w:rPr>
                <w:b/>
                <w:bCs/>
                <w:sz w:val="16"/>
                <w:szCs w:val="16"/>
              </w:rPr>
              <w:t>Actual Budget Utilization</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970583" w:rsidRDefault="00C06C6E" w:rsidP="00C06C6E">
            <w:pPr>
              <w:keepNext/>
              <w:keepLines/>
              <w:autoSpaceDE w:val="0"/>
              <w:autoSpaceDN w:val="0"/>
              <w:adjustRightInd w:val="0"/>
              <w:spacing w:before="40" w:after="40"/>
              <w:ind w:left="-109" w:right="-73" w:firstLine="1"/>
              <w:jc w:val="center"/>
              <w:rPr>
                <w:b/>
                <w:bCs/>
                <w:sz w:val="16"/>
                <w:szCs w:val="16"/>
              </w:rPr>
            </w:pPr>
            <w:r w:rsidRPr="00970583">
              <w:rPr>
                <w:b/>
                <w:bCs/>
                <w:sz w:val="16"/>
                <w:szCs w:val="16"/>
              </w:rPr>
              <w:t>Implementation Progress Rate by Milestone</w:t>
            </w:r>
          </w:p>
        </w:tc>
      </w:tr>
      <w:tr w:rsidR="00C06C6E" w:rsidRPr="00970583" w:rsidTr="00C06C6E">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rPr>
                <w:sz w:val="16"/>
                <w:szCs w:val="16"/>
              </w:rPr>
            </w:pPr>
            <w:r>
              <w:rPr>
                <w:color w:val="000000"/>
                <w:sz w:val="16"/>
                <w:szCs w:val="16"/>
              </w:rPr>
              <w:t>Award of contract to the p</w:t>
            </w:r>
            <w:r w:rsidRPr="00970583">
              <w:rPr>
                <w:color w:val="000000"/>
                <w:sz w:val="16"/>
                <w:szCs w:val="16"/>
              </w:rPr>
              <w:t>ilot/</w:t>
            </w:r>
            <w:r>
              <w:rPr>
                <w:color w:val="000000"/>
                <w:sz w:val="16"/>
                <w:szCs w:val="16"/>
              </w:rPr>
              <w:t>a</w:t>
            </w:r>
            <w:r w:rsidRPr="00970583">
              <w:rPr>
                <w:color w:val="000000"/>
                <w:sz w:val="16"/>
                <w:szCs w:val="16"/>
              </w:rPr>
              <w:t>rchitect</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jc w:val="center"/>
              <w:rPr>
                <w:sz w:val="16"/>
                <w:szCs w:val="16"/>
              </w:rPr>
            </w:pPr>
            <w:r w:rsidRPr="00970583">
              <w:rPr>
                <w:sz w:val="16"/>
                <w:szCs w:val="16"/>
              </w:rPr>
              <w:t>124</w:t>
            </w:r>
            <w:r>
              <w:rPr>
                <w:sz w:val="16"/>
                <w:szCs w:val="16"/>
              </w:rPr>
              <w:t>,</w:t>
            </w:r>
            <w:r w:rsidRPr="00970583">
              <w:rPr>
                <w:sz w:val="16"/>
                <w:szCs w:val="16"/>
              </w:rPr>
              <w:t>000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jc w:val="center"/>
              <w:rPr>
                <w:sz w:val="16"/>
                <w:szCs w:val="16"/>
              </w:rPr>
            </w:pPr>
            <w:r>
              <w:rPr>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jc w:val="center"/>
              <w:rPr>
                <w:sz w:val="16"/>
                <w:szCs w:val="16"/>
              </w:rPr>
            </w:pPr>
            <w:r w:rsidRPr="00970583">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jc w:val="center"/>
              <w:rPr>
                <w:sz w:val="16"/>
                <w:szCs w:val="16"/>
              </w:rPr>
            </w:pPr>
            <w:r w:rsidRPr="00970583">
              <w:rPr>
                <w:sz w:val="16"/>
                <w:szCs w:val="16"/>
              </w:rPr>
              <w:t>30%</w:t>
            </w:r>
          </w:p>
        </w:tc>
      </w:tr>
      <w:tr w:rsidR="00C06C6E" w:rsidRPr="00970583" w:rsidTr="00C06C6E">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rPr>
                <w:sz w:val="16"/>
                <w:szCs w:val="16"/>
              </w:rPr>
            </w:pPr>
            <w:r>
              <w:rPr>
                <w:color w:val="000000"/>
                <w:sz w:val="16"/>
                <w:szCs w:val="16"/>
              </w:rPr>
              <w:t>Award of contracts to agents</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jc w:val="center"/>
              <w:rPr>
                <w:sz w:val="16"/>
                <w:szCs w:val="16"/>
              </w:rPr>
            </w:pPr>
            <w:r w:rsidRPr="00970583">
              <w:rPr>
                <w:sz w:val="16"/>
                <w:szCs w:val="16"/>
              </w:rPr>
              <w:t>900</w:t>
            </w:r>
            <w:r>
              <w:rPr>
                <w:sz w:val="16"/>
                <w:szCs w:val="16"/>
              </w:rPr>
              <w:t>,</w:t>
            </w:r>
            <w:r w:rsidRPr="00970583">
              <w:rPr>
                <w:sz w:val="16"/>
                <w:szCs w:val="16"/>
              </w:rPr>
              <w:t>000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jc w:val="center"/>
              <w:rPr>
                <w:sz w:val="16"/>
                <w:szCs w:val="16"/>
              </w:rPr>
            </w:pPr>
            <w:r>
              <w:rPr>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jc w:val="center"/>
              <w:rPr>
                <w:sz w:val="16"/>
                <w:szCs w:val="16"/>
              </w:rPr>
            </w:pPr>
            <w:r w:rsidRPr="00970583">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jc w:val="center"/>
              <w:rPr>
                <w:sz w:val="16"/>
                <w:szCs w:val="16"/>
              </w:rPr>
            </w:pPr>
            <w:r w:rsidRPr="00970583">
              <w:rPr>
                <w:sz w:val="16"/>
                <w:szCs w:val="16"/>
              </w:rPr>
              <w:t>10%</w:t>
            </w:r>
          </w:p>
        </w:tc>
      </w:tr>
      <w:tr w:rsidR="00C06C6E" w:rsidRPr="00970583" w:rsidTr="00C06C6E">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rPr>
                <w:sz w:val="16"/>
                <w:szCs w:val="16"/>
              </w:rPr>
            </w:pPr>
            <w:r w:rsidRPr="00970583">
              <w:rPr>
                <w:color w:val="000000"/>
                <w:sz w:val="16"/>
                <w:szCs w:val="16"/>
              </w:rPr>
              <w:t xml:space="preserve">Internal and external resource </w:t>
            </w:r>
            <w:r>
              <w:rPr>
                <w:color w:val="000000"/>
                <w:sz w:val="16"/>
                <w:szCs w:val="16"/>
              </w:rPr>
              <w:t>commitment</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jc w:val="center"/>
              <w:rPr>
                <w:sz w:val="16"/>
                <w:szCs w:val="16"/>
              </w:rPr>
            </w:pPr>
            <w:r w:rsidRPr="00970583">
              <w:rPr>
                <w:sz w:val="16"/>
                <w:szCs w:val="16"/>
              </w:rPr>
              <w:t>867</w:t>
            </w:r>
            <w:r>
              <w:rPr>
                <w:sz w:val="16"/>
                <w:szCs w:val="16"/>
              </w:rPr>
              <w:t>,</w:t>
            </w:r>
            <w:r w:rsidRPr="00970583">
              <w:rPr>
                <w:sz w:val="16"/>
                <w:szCs w:val="16"/>
              </w:rPr>
              <w:t>000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jc w:val="center"/>
              <w:rPr>
                <w:sz w:val="16"/>
                <w:szCs w:val="16"/>
              </w:rPr>
            </w:pPr>
            <w:r>
              <w:rPr>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jc w:val="center"/>
              <w:rPr>
                <w:sz w:val="16"/>
                <w:szCs w:val="16"/>
              </w:rPr>
            </w:pPr>
            <w:r w:rsidRPr="00970583">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jc w:val="center"/>
              <w:rPr>
                <w:sz w:val="16"/>
                <w:szCs w:val="16"/>
              </w:rPr>
            </w:pPr>
            <w:r>
              <w:rPr>
                <w:sz w:val="16"/>
                <w:szCs w:val="16"/>
              </w:rPr>
              <w:t>-</w:t>
            </w:r>
          </w:p>
        </w:tc>
      </w:tr>
      <w:tr w:rsidR="00C06C6E" w:rsidRPr="00970583" w:rsidTr="00C06C6E">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rPr>
                <w:sz w:val="16"/>
                <w:szCs w:val="16"/>
              </w:rPr>
            </w:pPr>
            <w:r w:rsidRPr="00970583">
              <w:rPr>
                <w:color w:val="000000"/>
                <w:sz w:val="16"/>
                <w:szCs w:val="16"/>
              </w:rPr>
              <w:t xml:space="preserve">Work and </w:t>
            </w:r>
            <w:r>
              <w:rPr>
                <w:color w:val="000000"/>
                <w:sz w:val="16"/>
                <w:szCs w:val="16"/>
              </w:rPr>
              <w:t>commissioning</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jc w:val="center"/>
              <w:rPr>
                <w:sz w:val="16"/>
                <w:szCs w:val="16"/>
              </w:rPr>
            </w:pPr>
            <w:r w:rsidRPr="00970583">
              <w:rPr>
                <w:sz w:val="16"/>
                <w:szCs w:val="16"/>
              </w:rPr>
              <w:t>4</w:t>
            </w:r>
            <w:r>
              <w:rPr>
                <w:sz w:val="16"/>
                <w:szCs w:val="16"/>
              </w:rPr>
              <w:t>,</w:t>
            </w:r>
            <w:r w:rsidRPr="00970583">
              <w:rPr>
                <w:sz w:val="16"/>
                <w:szCs w:val="16"/>
              </w:rPr>
              <w:t>109</w:t>
            </w:r>
            <w:r>
              <w:rPr>
                <w:sz w:val="16"/>
                <w:szCs w:val="16"/>
              </w:rPr>
              <w:t>,</w:t>
            </w:r>
            <w:r w:rsidRPr="00970583">
              <w:rPr>
                <w:sz w:val="16"/>
                <w:szCs w:val="16"/>
              </w:rPr>
              <w:t>000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jc w:val="center"/>
              <w:rPr>
                <w:sz w:val="16"/>
                <w:szCs w:val="16"/>
              </w:rPr>
            </w:pPr>
            <w:r>
              <w:rPr>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jc w:val="center"/>
              <w:rPr>
                <w:sz w:val="16"/>
                <w:szCs w:val="16"/>
              </w:rPr>
            </w:pPr>
            <w:r w:rsidRPr="00970583">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keepNext/>
              <w:keepLines/>
              <w:autoSpaceDE w:val="0"/>
              <w:autoSpaceDN w:val="0"/>
              <w:adjustRightInd w:val="0"/>
              <w:spacing w:before="40" w:after="40" w:line="260" w:lineRule="exact"/>
              <w:jc w:val="center"/>
              <w:rPr>
                <w:sz w:val="16"/>
                <w:szCs w:val="16"/>
              </w:rPr>
            </w:pPr>
            <w:r>
              <w:rPr>
                <w:sz w:val="16"/>
                <w:szCs w:val="16"/>
              </w:rPr>
              <w:t>-</w:t>
            </w:r>
          </w:p>
        </w:tc>
      </w:tr>
      <w:tr w:rsidR="00C06C6E" w:rsidRPr="00970583" w:rsidTr="00C06C6E">
        <w:trPr>
          <w:trHeight w:val="389"/>
        </w:trPr>
        <w:tc>
          <w:tcPr>
            <w:tcW w:w="157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970583" w:rsidRDefault="00C06C6E" w:rsidP="00C06C6E">
            <w:pPr>
              <w:keepNext/>
              <w:keepLines/>
              <w:autoSpaceDE w:val="0"/>
              <w:autoSpaceDN w:val="0"/>
              <w:adjustRightInd w:val="0"/>
              <w:spacing w:before="40" w:after="40" w:line="260" w:lineRule="exact"/>
              <w:rPr>
                <w:b/>
                <w:sz w:val="16"/>
                <w:szCs w:val="16"/>
              </w:rPr>
            </w:pPr>
            <w:r w:rsidRPr="00970583">
              <w:rPr>
                <w:b/>
                <w:sz w:val="16"/>
                <w:szCs w:val="16"/>
              </w:rPr>
              <w:t>Total</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970583" w:rsidRDefault="00C06C6E" w:rsidP="00C06C6E">
            <w:pPr>
              <w:keepNext/>
              <w:keepLines/>
              <w:autoSpaceDE w:val="0"/>
              <w:autoSpaceDN w:val="0"/>
              <w:adjustRightInd w:val="0"/>
              <w:spacing w:before="40" w:after="40" w:line="260" w:lineRule="exact"/>
              <w:jc w:val="center"/>
              <w:rPr>
                <w:b/>
                <w:sz w:val="16"/>
                <w:szCs w:val="16"/>
              </w:rPr>
            </w:pPr>
            <w:r w:rsidRPr="00970583">
              <w:rPr>
                <w:b/>
                <w:sz w:val="16"/>
                <w:szCs w:val="16"/>
              </w:rPr>
              <w:t>6</w:t>
            </w:r>
            <w:r>
              <w:rPr>
                <w:b/>
                <w:sz w:val="16"/>
                <w:szCs w:val="16"/>
              </w:rPr>
              <w:t>,</w:t>
            </w:r>
            <w:r w:rsidRPr="00970583">
              <w:rPr>
                <w:b/>
                <w:sz w:val="16"/>
                <w:szCs w:val="16"/>
              </w:rPr>
              <w:t>000</w:t>
            </w:r>
            <w:r>
              <w:rPr>
                <w:b/>
                <w:sz w:val="16"/>
                <w:szCs w:val="16"/>
              </w:rPr>
              <w:t>,</w:t>
            </w:r>
            <w:r w:rsidRPr="00970583">
              <w:rPr>
                <w:b/>
                <w:sz w:val="16"/>
                <w:szCs w:val="16"/>
              </w:rPr>
              <w:t>000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970583" w:rsidRDefault="00C06C6E" w:rsidP="00C06C6E">
            <w:pPr>
              <w:keepNext/>
              <w:keepLines/>
              <w:autoSpaceDE w:val="0"/>
              <w:autoSpaceDN w:val="0"/>
              <w:adjustRightInd w:val="0"/>
              <w:spacing w:before="40" w:after="40" w:line="260" w:lineRule="exact"/>
              <w:jc w:val="center"/>
              <w:rPr>
                <w:b/>
                <w:sz w:val="16"/>
                <w:szCs w:val="16"/>
              </w:rPr>
            </w:pPr>
            <w:r>
              <w:rPr>
                <w:b/>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970583" w:rsidRDefault="00C06C6E" w:rsidP="00C06C6E">
            <w:pPr>
              <w:keepNext/>
              <w:keepLines/>
              <w:autoSpaceDE w:val="0"/>
              <w:autoSpaceDN w:val="0"/>
              <w:adjustRightInd w:val="0"/>
              <w:spacing w:before="40" w:after="40" w:line="260" w:lineRule="exact"/>
              <w:jc w:val="center"/>
              <w:rPr>
                <w:b/>
                <w:sz w:val="16"/>
                <w:szCs w:val="16"/>
              </w:rPr>
            </w:pPr>
            <w:r>
              <w:rPr>
                <w:b/>
                <w:sz w:val="16"/>
                <w:szCs w:val="16"/>
              </w:rPr>
              <w:t>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970583" w:rsidRDefault="00C06C6E" w:rsidP="00C06C6E">
            <w:pPr>
              <w:keepNext/>
              <w:keepLines/>
              <w:autoSpaceDE w:val="0"/>
              <w:autoSpaceDN w:val="0"/>
              <w:adjustRightInd w:val="0"/>
              <w:spacing w:before="40" w:after="40" w:line="260" w:lineRule="exact"/>
              <w:jc w:val="center"/>
              <w:rPr>
                <w:b/>
                <w:sz w:val="16"/>
                <w:szCs w:val="16"/>
              </w:rPr>
            </w:pPr>
          </w:p>
        </w:tc>
      </w:tr>
    </w:tbl>
    <w:p w:rsidR="00C06C6E" w:rsidRDefault="00C06C6E" w:rsidP="00C06C6E">
      <w:pPr>
        <w:keepNext/>
        <w:keepLines/>
        <w:tabs>
          <w:tab w:val="left" w:pos="3261"/>
        </w:tabs>
        <w:autoSpaceDE w:val="0"/>
        <w:autoSpaceDN w:val="0"/>
        <w:adjustRightInd w:val="0"/>
        <w:rPr>
          <w:b/>
          <w:szCs w:val="22"/>
        </w:rPr>
      </w:pPr>
    </w:p>
    <w:p w:rsidR="00C06C6E" w:rsidRDefault="00C06C6E" w:rsidP="00C06C6E">
      <w:pPr>
        <w:keepNext/>
        <w:keepLines/>
        <w:tabs>
          <w:tab w:val="left" w:pos="3261"/>
        </w:tabs>
        <w:autoSpaceDE w:val="0"/>
        <w:autoSpaceDN w:val="0"/>
        <w:adjustRightInd w:val="0"/>
        <w:rPr>
          <w:b/>
          <w:szCs w:val="22"/>
        </w:rPr>
      </w:pPr>
    </w:p>
    <w:p w:rsidR="00994B87" w:rsidRDefault="00994B87">
      <w:pPr>
        <w:rPr>
          <w:b/>
          <w:color w:val="000000"/>
          <w:szCs w:val="22"/>
        </w:rPr>
      </w:pPr>
      <w:r>
        <w:rPr>
          <w:b/>
          <w:color w:val="000000"/>
          <w:szCs w:val="22"/>
        </w:rPr>
        <w:br w:type="page"/>
      </w:r>
    </w:p>
    <w:p w:rsidR="00C06C6E" w:rsidRPr="00970583" w:rsidRDefault="00C06C6E" w:rsidP="00C06C6E">
      <w:pPr>
        <w:keepNext/>
        <w:keepLines/>
        <w:tabs>
          <w:tab w:val="left" w:pos="3261"/>
        </w:tabs>
        <w:autoSpaceDE w:val="0"/>
        <w:autoSpaceDN w:val="0"/>
        <w:adjustRightInd w:val="0"/>
        <w:jc w:val="center"/>
        <w:rPr>
          <w:b/>
          <w:szCs w:val="22"/>
        </w:rPr>
      </w:pPr>
      <w:r w:rsidRPr="00970583">
        <w:rPr>
          <w:b/>
          <w:color w:val="000000"/>
          <w:szCs w:val="22"/>
        </w:rPr>
        <w:lastRenderedPageBreak/>
        <w:t>Project Budget Utilization (by Cost Category)</w:t>
      </w:r>
    </w:p>
    <w:p w:rsidR="00C06C6E" w:rsidRPr="00970583" w:rsidRDefault="00C06C6E" w:rsidP="00C06C6E">
      <w:pPr>
        <w:keepNext/>
        <w:keepLines/>
        <w:tabs>
          <w:tab w:val="left" w:pos="3261"/>
        </w:tabs>
        <w:autoSpaceDE w:val="0"/>
        <w:autoSpaceDN w:val="0"/>
        <w:adjustRightInd w:val="0"/>
        <w:jc w:val="center"/>
        <w:rPr>
          <w:i/>
          <w:iCs/>
          <w:sz w:val="18"/>
          <w:szCs w:val="18"/>
        </w:rPr>
      </w:pPr>
      <w:r w:rsidRPr="00970583">
        <w:rPr>
          <w:i/>
          <w:iCs/>
          <w:sz w:val="18"/>
          <w:szCs w:val="18"/>
        </w:rPr>
        <w:t>(In Swiss francs, as at December 31, 2014)</w:t>
      </w:r>
    </w:p>
    <w:p w:rsidR="00C06C6E" w:rsidRPr="00970583" w:rsidRDefault="00C06C6E" w:rsidP="00C06C6E">
      <w:pPr>
        <w:keepNext/>
        <w:keepLines/>
        <w:autoSpaceDE w:val="0"/>
        <w:autoSpaceDN w:val="0"/>
        <w:adjustRightInd w:val="0"/>
        <w:jc w:val="center"/>
      </w:pP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838"/>
      </w:tblGrid>
      <w:tr w:rsidR="00C06C6E" w:rsidRPr="00970583" w:rsidTr="00C06C6E">
        <w:trPr>
          <w:trHeight w:val="569"/>
        </w:trPr>
        <w:tc>
          <w:tcPr>
            <w:tcW w:w="18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970583" w:rsidRDefault="00C06C6E" w:rsidP="00C06C6E">
            <w:pPr>
              <w:keepNext/>
              <w:keepLines/>
              <w:autoSpaceDE w:val="0"/>
              <w:autoSpaceDN w:val="0"/>
              <w:adjustRightInd w:val="0"/>
              <w:spacing w:before="40" w:after="40" w:line="260" w:lineRule="exact"/>
              <w:ind w:left="-74" w:right="-60"/>
              <w:jc w:val="center"/>
              <w:rPr>
                <w:b/>
                <w:bCs/>
                <w:sz w:val="16"/>
                <w:szCs w:val="16"/>
              </w:rPr>
            </w:pPr>
            <w:r w:rsidRPr="00970583">
              <w:rPr>
                <w:b/>
                <w:bCs/>
                <w:sz w:val="16"/>
                <w:szCs w:val="16"/>
              </w:rPr>
              <w:t>Cost Category</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970583" w:rsidRDefault="00C06C6E" w:rsidP="00C06C6E">
            <w:pPr>
              <w:keepNext/>
              <w:keepLines/>
              <w:autoSpaceDE w:val="0"/>
              <w:autoSpaceDN w:val="0"/>
              <w:adjustRightInd w:val="0"/>
              <w:spacing w:before="40" w:after="40" w:line="260" w:lineRule="exact"/>
              <w:ind w:left="-107" w:right="-108"/>
              <w:jc w:val="center"/>
              <w:rPr>
                <w:b/>
                <w:bCs/>
                <w:sz w:val="16"/>
                <w:szCs w:val="16"/>
              </w:rPr>
            </w:pPr>
            <w:r w:rsidRPr="00970583">
              <w:rPr>
                <w:b/>
                <w:bCs/>
                <w:sz w:val="16"/>
                <w:szCs w:val="16"/>
              </w:rPr>
              <w:t>Project Budget</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970583" w:rsidRDefault="00C06C6E" w:rsidP="00C06C6E">
            <w:pPr>
              <w:keepNext/>
              <w:keepLines/>
              <w:autoSpaceDE w:val="0"/>
              <w:autoSpaceDN w:val="0"/>
              <w:adjustRightInd w:val="0"/>
              <w:spacing w:before="40" w:after="40" w:line="260" w:lineRule="exact"/>
              <w:ind w:left="-108"/>
              <w:jc w:val="center"/>
              <w:rPr>
                <w:b/>
                <w:bCs/>
                <w:sz w:val="16"/>
                <w:szCs w:val="16"/>
              </w:rPr>
            </w:pPr>
            <w:r w:rsidRPr="00970583">
              <w:rPr>
                <w:b/>
                <w:bCs/>
                <w:sz w:val="16"/>
                <w:szCs w:val="16"/>
              </w:rPr>
              <w:t xml:space="preserve">Actual Expenditure to Date </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970583" w:rsidRDefault="00C06C6E" w:rsidP="00C06C6E">
            <w:pPr>
              <w:keepNext/>
              <w:keepLines/>
              <w:autoSpaceDE w:val="0"/>
              <w:autoSpaceDN w:val="0"/>
              <w:adjustRightInd w:val="0"/>
              <w:spacing w:before="40" w:after="40" w:line="260" w:lineRule="exact"/>
              <w:ind w:left="-109"/>
              <w:jc w:val="center"/>
              <w:rPr>
                <w:b/>
                <w:bCs/>
                <w:sz w:val="16"/>
                <w:szCs w:val="16"/>
              </w:rPr>
            </w:pPr>
            <w:r w:rsidRPr="00970583">
              <w:rPr>
                <w:b/>
                <w:bCs/>
                <w:sz w:val="16"/>
                <w:szCs w:val="16"/>
              </w:rPr>
              <w:t>Actual Budget Utilization</w:t>
            </w:r>
          </w:p>
        </w:tc>
      </w:tr>
      <w:tr w:rsidR="00C06C6E" w:rsidRPr="00970583" w:rsidTr="00C06C6E">
        <w:tc>
          <w:tcPr>
            <w:tcW w:w="1854"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autoSpaceDE w:val="0"/>
              <w:autoSpaceDN w:val="0"/>
              <w:adjustRightInd w:val="0"/>
              <w:spacing w:before="40" w:after="40" w:line="260" w:lineRule="exact"/>
              <w:rPr>
                <w:sz w:val="16"/>
                <w:szCs w:val="16"/>
              </w:rPr>
            </w:pPr>
            <w:r w:rsidRPr="00970583">
              <w:rPr>
                <w:color w:val="000000"/>
                <w:sz w:val="16"/>
                <w:szCs w:val="16"/>
              </w:rPr>
              <w:t>Construction</w:t>
            </w:r>
            <w:r>
              <w:rPr>
                <w:color w:val="000000"/>
                <w:sz w:val="16"/>
                <w:szCs w:val="16"/>
              </w:rPr>
              <w:t>-related</w:t>
            </w:r>
            <w:r w:rsidRPr="00970583">
              <w:rPr>
                <w:color w:val="000000"/>
                <w:sz w:val="16"/>
                <w:szCs w:val="16"/>
              </w:rPr>
              <w:t xml:space="preserve"> </w:t>
            </w:r>
            <w:r w:rsidRPr="00970583">
              <w:rPr>
                <w:sz w:val="16"/>
                <w:szCs w:val="16"/>
              </w:rPr>
              <w:t>costs</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800070" w:rsidRDefault="00C06C6E" w:rsidP="00C06C6E">
            <w:pPr>
              <w:autoSpaceDE w:val="0"/>
              <w:autoSpaceDN w:val="0"/>
              <w:adjustRightInd w:val="0"/>
              <w:spacing w:before="40" w:after="40" w:line="260" w:lineRule="exact"/>
              <w:jc w:val="center"/>
              <w:rPr>
                <w:sz w:val="16"/>
                <w:szCs w:val="16"/>
              </w:rPr>
            </w:pPr>
            <w:r w:rsidRPr="00800070">
              <w:rPr>
                <w:sz w:val="16"/>
                <w:szCs w:val="16"/>
              </w:rPr>
              <w:t>3,569,000</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800070" w:rsidRDefault="00C06C6E" w:rsidP="00C06C6E">
            <w:pPr>
              <w:autoSpaceDE w:val="0"/>
              <w:autoSpaceDN w:val="0"/>
              <w:adjustRightInd w:val="0"/>
              <w:spacing w:before="40" w:after="40" w:line="260" w:lineRule="exact"/>
              <w:jc w:val="center"/>
              <w:rPr>
                <w:sz w:val="16"/>
                <w:szCs w:val="16"/>
              </w:rPr>
            </w:pPr>
            <w:r w:rsidRPr="00800070">
              <w:rPr>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C06C6E" w:rsidRPr="00800070" w:rsidRDefault="00C06C6E" w:rsidP="00C06C6E">
            <w:pPr>
              <w:autoSpaceDE w:val="0"/>
              <w:autoSpaceDN w:val="0"/>
              <w:adjustRightInd w:val="0"/>
              <w:spacing w:before="40" w:after="40" w:line="260" w:lineRule="exact"/>
              <w:jc w:val="center"/>
              <w:rPr>
                <w:sz w:val="16"/>
                <w:szCs w:val="16"/>
              </w:rPr>
            </w:pPr>
            <w:r w:rsidRPr="00800070">
              <w:rPr>
                <w:sz w:val="16"/>
                <w:szCs w:val="16"/>
              </w:rPr>
              <w:t>0%</w:t>
            </w:r>
          </w:p>
        </w:tc>
      </w:tr>
      <w:tr w:rsidR="00C06C6E" w:rsidRPr="00970583" w:rsidTr="00C06C6E">
        <w:tc>
          <w:tcPr>
            <w:tcW w:w="1854"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autoSpaceDE w:val="0"/>
              <w:autoSpaceDN w:val="0"/>
              <w:adjustRightInd w:val="0"/>
              <w:spacing w:before="40" w:after="40" w:line="260" w:lineRule="exact"/>
              <w:rPr>
                <w:sz w:val="16"/>
                <w:szCs w:val="16"/>
              </w:rPr>
            </w:pPr>
            <w:r>
              <w:rPr>
                <w:color w:val="000000"/>
                <w:sz w:val="16"/>
                <w:szCs w:val="16"/>
              </w:rPr>
              <w:t>Honoraria</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800070" w:rsidRDefault="00C06C6E" w:rsidP="00C06C6E">
            <w:pPr>
              <w:autoSpaceDE w:val="0"/>
              <w:autoSpaceDN w:val="0"/>
              <w:adjustRightInd w:val="0"/>
              <w:spacing w:before="40" w:after="40" w:line="260" w:lineRule="exact"/>
              <w:jc w:val="center"/>
              <w:rPr>
                <w:sz w:val="16"/>
                <w:szCs w:val="16"/>
              </w:rPr>
            </w:pPr>
            <w:r w:rsidRPr="00800070">
              <w:rPr>
                <w:sz w:val="16"/>
                <w:szCs w:val="16"/>
              </w:rPr>
              <w:t>1,024,000</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800070" w:rsidRDefault="00C06C6E" w:rsidP="00C06C6E">
            <w:pPr>
              <w:jc w:val="center"/>
              <w:rPr>
                <w:sz w:val="16"/>
                <w:szCs w:val="16"/>
              </w:rPr>
            </w:pPr>
            <w:r w:rsidRPr="00800070">
              <w:rPr>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C06C6E" w:rsidRPr="00800070" w:rsidRDefault="00C06C6E" w:rsidP="00C06C6E">
            <w:pPr>
              <w:jc w:val="center"/>
              <w:rPr>
                <w:sz w:val="16"/>
                <w:szCs w:val="16"/>
              </w:rPr>
            </w:pPr>
            <w:r w:rsidRPr="00800070">
              <w:rPr>
                <w:sz w:val="16"/>
                <w:szCs w:val="16"/>
              </w:rPr>
              <w:t>0%</w:t>
            </w:r>
          </w:p>
        </w:tc>
      </w:tr>
      <w:tr w:rsidR="00C06C6E" w:rsidRPr="00970583" w:rsidTr="00C06C6E">
        <w:tc>
          <w:tcPr>
            <w:tcW w:w="1854"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autoSpaceDE w:val="0"/>
              <w:autoSpaceDN w:val="0"/>
              <w:adjustRightInd w:val="0"/>
              <w:spacing w:before="40" w:after="40" w:line="260" w:lineRule="exact"/>
              <w:rPr>
                <w:sz w:val="16"/>
                <w:szCs w:val="16"/>
              </w:rPr>
            </w:pPr>
            <w:r>
              <w:rPr>
                <w:sz w:val="16"/>
                <w:szCs w:val="16"/>
              </w:rPr>
              <w:t>Internal/</w:t>
            </w:r>
            <w:r w:rsidRPr="00970583">
              <w:rPr>
                <w:sz w:val="16"/>
                <w:szCs w:val="16"/>
              </w:rPr>
              <w:t xml:space="preserve">external </w:t>
            </w:r>
            <w:r w:rsidRPr="00970583">
              <w:rPr>
                <w:color w:val="000000"/>
                <w:sz w:val="16"/>
                <w:szCs w:val="16"/>
              </w:rPr>
              <w:t>resources</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800070" w:rsidRDefault="00C06C6E" w:rsidP="00C06C6E">
            <w:pPr>
              <w:autoSpaceDE w:val="0"/>
              <w:autoSpaceDN w:val="0"/>
              <w:adjustRightInd w:val="0"/>
              <w:spacing w:before="40" w:after="40" w:line="260" w:lineRule="exact"/>
              <w:jc w:val="center"/>
              <w:rPr>
                <w:sz w:val="16"/>
                <w:szCs w:val="16"/>
              </w:rPr>
            </w:pPr>
            <w:r w:rsidRPr="00800070">
              <w:rPr>
                <w:sz w:val="16"/>
                <w:szCs w:val="16"/>
              </w:rPr>
              <w:t>867,000</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800070" w:rsidRDefault="00C06C6E" w:rsidP="00C06C6E">
            <w:pPr>
              <w:jc w:val="center"/>
              <w:rPr>
                <w:sz w:val="16"/>
                <w:szCs w:val="16"/>
              </w:rPr>
            </w:pPr>
            <w:r w:rsidRPr="00800070">
              <w:rPr>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C06C6E" w:rsidRPr="00800070" w:rsidRDefault="00C06C6E" w:rsidP="00C06C6E">
            <w:pPr>
              <w:jc w:val="center"/>
              <w:rPr>
                <w:sz w:val="16"/>
                <w:szCs w:val="16"/>
              </w:rPr>
            </w:pPr>
            <w:r w:rsidRPr="00800070">
              <w:rPr>
                <w:sz w:val="16"/>
                <w:szCs w:val="16"/>
              </w:rPr>
              <w:t>0%</w:t>
            </w:r>
          </w:p>
        </w:tc>
      </w:tr>
      <w:tr w:rsidR="00C06C6E" w:rsidRPr="00970583" w:rsidTr="00C06C6E">
        <w:tc>
          <w:tcPr>
            <w:tcW w:w="1854"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autoSpaceDE w:val="0"/>
              <w:autoSpaceDN w:val="0"/>
              <w:adjustRightInd w:val="0"/>
              <w:spacing w:before="40" w:after="40" w:line="260" w:lineRule="exact"/>
              <w:rPr>
                <w:sz w:val="16"/>
                <w:szCs w:val="16"/>
              </w:rPr>
            </w:pPr>
            <w:r>
              <w:rPr>
                <w:color w:val="000000"/>
                <w:sz w:val="16"/>
                <w:szCs w:val="16"/>
              </w:rPr>
              <w:t>Fees</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800070" w:rsidRDefault="00C06C6E" w:rsidP="00C06C6E">
            <w:pPr>
              <w:autoSpaceDE w:val="0"/>
              <w:autoSpaceDN w:val="0"/>
              <w:adjustRightInd w:val="0"/>
              <w:spacing w:before="40" w:after="40" w:line="260" w:lineRule="exact"/>
              <w:jc w:val="center"/>
              <w:rPr>
                <w:sz w:val="16"/>
                <w:szCs w:val="16"/>
              </w:rPr>
            </w:pPr>
            <w:r w:rsidRPr="00800070">
              <w:rPr>
                <w:sz w:val="16"/>
                <w:szCs w:val="16"/>
              </w:rPr>
              <w:t>120,000</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800070" w:rsidRDefault="00C06C6E" w:rsidP="00C06C6E">
            <w:pPr>
              <w:jc w:val="center"/>
              <w:rPr>
                <w:sz w:val="16"/>
                <w:szCs w:val="16"/>
              </w:rPr>
            </w:pPr>
            <w:r w:rsidRPr="00800070">
              <w:rPr>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C06C6E" w:rsidRPr="00800070" w:rsidRDefault="00C06C6E" w:rsidP="00C06C6E">
            <w:pPr>
              <w:jc w:val="center"/>
              <w:rPr>
                <w:sz w:val="16"/>
                <w:szCs w:val="16"/>
              </w:rPr>
            </w:pPr>
            <w:r w:rsidRPr="00800070">
              <w:rPr>
                <w:sz w:val="16"/>
                <w:szCs w:val="16"/>
              </w:rPr>
              <w:t>0%</w:t>
            </w:r>
          </w:p>
        </w:tc>
      </w:tr>
      <w:tr w:rsidR="00C06C6E" w:rsidRPr="00970583" w:rsidTr="00C06C6E">
        <w:tc>
          <w:tcPr>
            <w:tcW w:w="1854" w:type="pct"/>
            <w:tcBorders>
              <w:top w:val="single" w:sz="4" w:space="0" w:color="auto"/>
              <w:left w:val="single" w:sz="4" w:space="0" w:color="auto"/>
              <w:bottom w:val="single" w:sz="4" w:space="0" w:color="auto"/>
              <w:right w:val="single" w:sz="4" w:space="0" w:color="auto"/>
            </w:tcBorders>
            <w:vAlign w:val="center"/>
          </w:tcPr>
          <w:p w:rsidR="00C06C6E" w:rsidRPr="00970583" w:rsidRDefault="00C06C6E" w:rsidP="00C06C6E">
            <w:pPr>
              <w:autoSpaceDE w:val="0"/>
              <w:autoSpaceDN w:val="0"/>
              <w:adjustRightInd w:val="0"/>
              <w:spacing w:before="40" w:after="40" w:line="260" w:lineRule="exact"/>
              <w:rPr>
                <w:sz w:val="16"/>
                <w:szCs w:val="16"/>
              </w:rPr>
            </w:pPr>
            <w:r w:rsidRPr="00970583">
              <w:rPr>
                <w:sz w:val="16"/>
                <w:szCs w:val="16"/>
              </w:rPr>
              <w:t xml:space="preserve">Miscellaneous and </w:t>
            </w:r>
            <w:r>
              <w:rPr>
                <w:sz w:val="16"/>
                <w:szCs w:val="16"/>
              </w:rPr>
              <w:t xml:space="preserve"> unforeseen</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800070" w:rsidRDefault="00C06C6E" w:rsidP="00C06C6E">
            <w:pPr>
              <w:autoSpaceDE w:val="0"/>
              <w:autoSpaceDN w:val="0"/>
              <w:adjustRightInd w:val="0"/>
              <w:spacing w:before="40" w:after="40" w:line="260" w:lineRule="exact"/>
              <w:jc w:val="center"/>
              <w:rPr>
                <w:sz w:val="16"/>
                <w:szCs w:val="16"/>
              </w:rPr>
            </w:pPr>
            <w:r w:rsidRPr="00800070">
              <w:rPr>
                <w:sz w:val="16"/>
                <w:szCs w:val="16"/>
              </w:rPr>
              <w:t>420,000</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800070" w:rsidRDefault="00C06C6E" w:rsidP="00C06C6E">
            <w:pPr>
              <w:jc w:val="center"/>
              <w:rPr>
                <w:sz w:val="16"/>
                <w:szCs w:val="16"/>
              </w:rPr>
            </w:pPr>
            <w:r w:rsidRPr="00800070">
              <w:rPr>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C06C6E" w:rsidRPr="00800070" w:rsidRDefault="00C06C6E" w:rsidP="00C06C6E">
            <w:pPr>
              <w:jc w:val="center"/>
              <w:rPr>
                <w:sz w:val="16"/>
                <w:szCs w:val="16"/>
              </w:rPr>
            </w:pPr>
            <w:r w:rsidRPr="00800070">
              <w:rPr>
                <w:sz w:val="16"/>
                <w:szCs w:val="16"/>
              </w:rPr>
              <w:t>0%</w:t>
            </w:r>
          </w:p>
        </w:tc>
      </w:tr>
      <w:tr w:rsidR="00C06C6E" w:rsidRPr="00970583" w:rsidTr="00C06C6E">
        <w:tc>
          <w:tcPr>
            <w:tcW w:w="18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970583" w:rsidRDefault="00C06C6E" w:rsidP="00C06C6E">
            <w:pPr>
              <w:autoSpaceDE w:val="0"/>
              <w:autoSpaceDN w:val="0"/>
              <w:adjustRightInd w:val="0"/>
              <w:spacing w:before="40" w:after="40" w:line="260" w:lineRule="exact"/>
              <w:rPr>
                <w:b/>
                <w:sz w:val="16"/>
                <w:szCs w:val="16"/>
              </w:rPr>
            </w:pPr>
            <w:r w:rsidRPr="00970583">
              <w:rPr>
                <w:b/>
                <w:sz w:val="16"/>
                <w:szCs w:val="16"/>
              </w:rPr>
              <w:t>Total</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800070" w:rsidRDefault="00C06C6E" w:rsidP="00C06C6E">
            <w:pPr>
              <w:autoSpaceDE w:val="0"/>
              <w:autoSpaceDN w:val="0"/>
              <w:adjustRightInd w:val="0"/>
              <w:spacing w:before="40" w:after="40" w:line="260" w:lineRule="exact"/>
              <w:jc w:val="center"/>
              <w:rPr>
                <w:b/>
                <w:sz w:val="16"/>
                <w:szCs w:val="16"/>
              </w:rPr>
            </w:pPr>
            <w:r w:rsidRPr="00800070">
              <w:rPr>
                <w:b/>
                <w:sz w:val="16"/>
                <w:szCs w:val="16"/>
              </w:rPr>
              <w:t>6,000,000</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800070" w:rsidRDefault="00C06C6E" w:rsidP="00C06C6E">
            <w:pPr>
              <w:autoSpaceDE w:val="0"/>
              <w:autoSpaceDN w:val="0"/>
              <w:adjustRightInd w:val="0"/>
              <w:spacing w:before="40" w:after="40" w:line="260" w:lineRule="exact"/>
              <w:jc w:val="center"/>
              <w:rPr>
                <w:b/>
                <w:sz w:val="16"/>
                <w:szCs w:val="16"/>
              </w:rPr>
            </w:pPr>
            <w:r w:rsidRPr="00800070">
              <w:rPr>
                <w:b/>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800070" w:rsidRDefault="00C06C6E" w:rsidP="00C06C6E">
            <w:pPr>
              <w:autoSpaceDE w:val="0"/>
              <w:autoSpaceDN w:val="0"/>
              <w:adjustRightInd w:val="0"/>
              <w:spacing w:before="40" w:after="40" w:line="260" w:lineRule="exact"/>
              <w:jc w:val="center"/>
              <w:rPr>
                <w:b/>
                <w:sz w:val="16"/>
                <w:szCs w:val="16"/>
              </w:rPr>
            </w:pPr>
            <w:r w:rsidRPr="00800070">
              <w:rPr>
                <w:b/>
                <w:color w:val="000000"/>
                <w:sz w:val="16"/>
                <w:szCs w:val="16"/>
              </w:rPr>
              <w:t>0</w:t>
            </w:r>
            <w:r>
              <w:rPr>
                <w:b/>
                <w:color w:val="000000"/>
                <w:sz w:val="16"/>
                <w:szCs w:val="16"/>
              </w:rPr>
              <w:t>%</w:t>
            </w:r>
          </w:p>
        </w:tc>
      </w:tr>
    </w:tbl>
    <w:p w:rsidR="001E15AA" w:rsidRDefault="001E15AA" w:rsidP="00C06C6E">
      <w:pPr>
        <w:rPr>
          <w:rFonts w:cs="Arial"/>
          <w:color w:val="000000"/>
          <w:sz w:val="22"/>
          <w:szCs w:val="22"/>
        </w:rPr>
      </w:pPr>
    </w:p>
    <w:p w:rsidR="001E15AA" w:rsidRDefault="001E15AA">
      <w:pPr>
        <w:rPr>
          <w:rFonts w:cs="Arial"/>
          <w:color w:val="000000"/>
          <w:sz w:val="22"/>
          <w:szCs w:val="22"/>
        </w:rPr>
      </w:pPr>
    </w:p>
    <w:p w:rsidR="00C06C6E" w:rsidRPr="00970583" w:rsidRDefault="00C06C6E" w:rsidP="00C06C6E">
      <w:pPr>
        <w:rPr>
          <w:rFonts w:cs="Arial"/>
          <w:color w:val="000000"/>
          <w:sz w:val="22"/>
          <w:szCs w:val="22"/>
        </w:rPr>
      </w:pPr>
      <w:r w:rsidRPr="00970583">
        <w:rPr>
          <w:rFonts w:cs="Arial"/>
          <w:color w:val="000000"/>
          <w:sz w:val="22"/>
          <w:szCs w:val="22"/>
        </w:rPr>
        <w:t>RISK AND MITIGATION STRATEGIES</w:t>
      </w:r>
    </w:p>
    <w:p w:rsidR="00C06C6E" w:rsidRPr="00970583" w:rsidRDefault="00C06C6E" w:rsidP="00C06C6E">
      <w:pPr>
        <w:rPr>
          <w:rFonts w:cs="Arial"/>
          <w:color w:val="000000"/>
          <w:sz w:val="22"/>
          <w:szCs w:val="22"/>
        </w:rPr>
      </w:pPr>
    </w:p>
    <w:tbl>
      <w:tblPr>
        <w:tblW w:w="4813" w:type="pct"/>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C06C6E" w:rsidRPr="00970583" w:rsidTr="005158E3">
        <w:trPr>
          <w:trHeight w:val="507"/>
          <w:tblHeader/>
          <w:jc w:val="center"/>
        </w:trPr>
        <w:tc>
          <w:tcPr>
            <w:tcW w:w="1667" w:type="pct"/>
            <w:shd w:val="clear" w:color="auto" w:fill="C6D9F1" w:themeFill="text2" w:themeFillTint="33"/>
            <w:vAlign w:val="center"/>
          </w:tcPr>
          <w:p w:rsidR="00C06C6E" w:rsidRPr="00970583" w:rsidRDefault="00C06C6E" w:rsidP="00C06C6E">
            <w:pPr>
              <w:autoSpaceDE w:val="0"/>
              <w:autoSpaceDN w:val="0"/>
              <w:adjustRightInd w:val="0"/>
              <w:spacing w:before="40" w:after="40" w:line="260" w:lineRule="exact"/>
              <w:ind w:left="-74" w:right="-60"/>
              <w:jc w:val="center"/>
              <w:rPr>
                <w:b/>
                <w:bCs/>
                <w:sz w:val="16"/>
                <w:szCs w:val="16"/>
              </w:rPr>
            </w:pPr>
            <w:r w:rsidRPr="00970583">
              <w:rPr>
                <w:b/>
                <w:bCs/>
                <w:sz w:val="16"/>
                <w:szCs w:val="16"/>
              </w:rPr>
              <w:t>Risk</w:t>
            </w:r>
          </w:p>
        </w:tc>
        <w:tc>
          <w:tcPr>
            <w:tcW w:w="1667" w:type="pct"/>
            <w:shd w:val="clear" w:color="auto" w:fill="C6D9F1" w:themeFill="text2" w:themeFillTint="33"/>
            <w:vAlign w:val="center"/>
          </w:tcPr>
          <w:p w:rsidR="00C06C6E" w:rsidRPr="00970583" w:rsidRDefault="00C06C6E" w:rsidP="00C06C6E">
            <w:pPr>
              <w:autoSpaceDE w:val="0"/>
              <w:autoSpaceDN w:val="0"/>
              <w:adjustRightInd w:val="0"/>
              <w:spacing w:before="40" w:after="40" w:line="260" w:lineRule="exact"/>
              <w:ind w:left="-107" w:right="-108"/>
              <w:jc w:val="center"/>
              <w:rPr>
                <w:b/>
                <w:bCs/>
                <w:sz w:val="16"/>
                <w:szCs w:val="16"/>
              </w:rPr>
            </w:pPr>
            <w:r w:rsidRPr="00970583">
              <w:rPr>
                <w:b/>
                <w:bCs/>
                <w:color w:val="000000"/>
                <w:sz w:val="16"/>
                <w:szCs w:val="16"/>
              </w:rPr>
              <w:t>D</w:t>
            </w:r>
            <w:r w:rsidRPr="00970583">
              <w:rPr>
                <w:b/>
                <w:bCs/>
                <w:sz w:val="16"/>
                <w:szCs w:val="16"/>
              </w:rPr>
              <w:t>escription</w:t>
            </w:r>
          </w:p>
        </w:tc>
        <w:tc>
          <w:tcPr>
            <w:tcW w:w="1666" w:type="pct"/>
            <w:shd w:val="clear" w:color="auto" w:fill="C6D9F1" w:themeFill="text2" w:themeFillTint="33"/>
            <w:vAlign w:val="center"/>
          </w:tcPr>
          <w:p w:rsidR="00C06C6E" w:rsidRPr="00970583" w:rsidRDefault="00C06C6E" w:rsidP="00C06C6E">
            <w:pPr>
              <w:autoSpaceDE w:val="0"/>
              <w:autoSpaceDN w:val="0"/>
              <w:adjustRightInd w:val="0"/>
              <w:spacing w:before="40" w:after="40" w:line="260" w:lineRule="exact"/>
              <w:ind w:left="-109"/>
              <w:jc w:val="center"/>
              <w:rPr>
                <w:b/>
                <w:bCs/>
                <w:sz w:val="16"/>
                <w:szCs w:val="16"/>
              </w:rPr>
            </w:pPr>
            <w:r w:rsidRPr="00970583">
              <w:rPr>
                <w:b/>
                <w:bCs/>
                <w:sz w:val="16"/>
                <w:szCs w:val="16"/>
              </w:rPr>
              <w:t>Risk Mitigation</w:t>
            </w:r>
          </w:p>
        </w:tc>
      </w:tr>
      <w:tr w:rsidR="00C06C6E" w:rsidRPr="00970583" w:rsidTr="00C06C6E">
        <w:trPr>
          <w:trHeight w:val="776"/>
          <w:jc w:val="center"/>
        </w:trPr>
        <w:tc>
          <w:tcPr>
            <w:tcW w:w="1667" w:type="pct"/>
            <w:shd w:val="clear" w:color="auto" w:fill="auto"/>
          </w:tcPr>
          <w:p w:rsidR="00C06C6E" w:rsidRPr="00970583" w:rsidRDefault="00C06C6E" w:rsidP="00C06C6E">
            <w:pPr>
              <w:autoSpaceDE w:val="0"/>
              <w:autoSpaceDN w:val="0"/>
              <w:adjustRightInd w:val="0"/>
              <w:spacing w:before="40" w:after="40"/>
              <w:rPr>
                <w:sz w:val="16"/>
                <w:szCs w:val="16"/>
              </w:rPr>
            </w:pPr>
            <w:r w:rsidRPr="00970583">
              <w:rPr>
                <w:color w:val="000000"/>
                <w:sz w:val="16"/>
                <w:szCs w:val="16"/>
              </w:rPr>
              <w:t>Delay in starting project</w:t>
            </w:r>
          </w:p>
        </w:tc>
        <w:tc>
          <w:tcPr>
            <w:tcW w:w="1667" w:type="pct"/>
            <w:shd w:val="clear" w:color="auto" w:fill="auto"/>
          </w:tcPr>
          <w:p w:rsidR="00C06C6E" w:rsidRPr="00970583" w:rsidRDefault="00C06C6E">
            <w:pPr>
              <w:autoSpaceDE w:val="0"/>
              <w:autoSpaceDN w:val="0"/>
              <w:adjustRightInd w:val="0"/>
              <w:spacing w:before="40" w:after="40"/>
              <w:rPr>
                <w:sz w:val="16"/>
                <w:szCs w:val="16"/>
              </w:rPr>
            </w:pPr>
            <w:r w:rsidRPr="00970583">
              <w:rPr>
                <w:color w:val="000000"/>
                <w:sz w:val="16"/>
                <w:szCs w:val="16"/>
              </w:rPr>
              <w:t xml:space="preserve">Project delayed by one year </w:t>
            </w:r>
            <w:r>
              <w:rPr>
                <w:color w:val="000000"/>
                <w:sz w:val="16"/>
                <w:szCs w:val="16"/>
              </w:rPr>
              <w:t>due to</w:t>
            </w:r>
            <w:r w:rsidRPr="00970583">
              <w:rPr>
                <w:color w:val="000000"/>
                <w:sz w:val="16"/>
                <w:szCs w:val="16"/>
              </w:rPr>
              <w:t xml:space="preserve"> the </w:t>
            </w:r>
            <w:r>
              <w:rPr>
                <w:color w:val="000000"/>
                <w:sz w:val="16"/>
                <w:szCs w:val="16"/>
              </w:rPr>
              <w:t>delay in</w:t>
            </w:r>
            <w:r w:rsidRPr="00970583">
              <w:rPr>
                <w:color w:val="000000"/>
                <w:sz w:val="16"/>
                <w:szCs w:val="16"/>
              </w:rPr>
              <w:t xml:space="preserve"> </w:t>
            </w:r>
            <w:r>
              <w:rPr>
                <w:color w:val="000000"/>
                <w:sz w:val="16"/>
                <w:szCs w:val="16"/>
              </w:rPr>
              <w:t>completion</w:t>
            </w:r>
            <w:r w:rsidRPr="00970583">
              <w:rPr>
                <w:color w:val="000000"/>
                <w:sz w:val="16"/>
                <w:szCs w:val="16"/>
              </w:rPr>
              <w:t xml:space="preserve"> of </w:t>
            </w:r>
            <w:r>
              <w:rPr>
                <w:color w:val="000000"/>
                <w:sz w:val="16"/>
                <w:szCs w:val="16"/>
              </w:rPr>
              <w:t>the n</w:t>
            </w:r>
            <w:r w:rsidRPr="00970583">
              <w:rPr>
                <w:color w:val="000000"/>
                <w:sz w:val="16"/>
                <w:szCs w:val="16"/>
              </w:rPr>
              <w:t xml:space="preserve">ew </w:t>
            </w:r>
            <w:r>
              <w:rPr>
                <w:color w:val="000000"/>
                <w:sz w:val="16"/>
                <w:szCs w:val="16"/>
              </w:rPr>
              <w:t xml:space="preserve">WIPO </w:t>
            </w:r>
            <w:r w:rsidRPr="00970583">
              <w:rPr>
                <w:color w:val="000000"/>
                <w:sz w:val="16"/>
                <w:szCs w:val="16"/>
              </w:rPr>
              <w:t xml:space="preserve">Conference Hall </w:t>
            </w:r>
          </w:p>
        </w:tc>
        <w:tc>
          <w:tcPr>
            <w:tcW w:w="1666" w:type="pct"/>
            <w:shd w:val="clear" w:color="auto" w:fill="auto"/>
          </w:tcPr>
          <w:p w:rsidR="00C06C6E" w:rsidRPr="00970583" w:rsidRDefault="00C06C6E" w:rsidP="00C06C6E">
            <w:pPr>
              <w:autoSpaceDE w:val="0"/>
              <w:autoSpaceDN w:val="0"/>
              <w:adjustRightInd w:val="0"/>
              <w:spacing w:before="40" w:after="40"/>
              <w:rPr>
                <w:sz w:val="16"/>
                <w:szCs w:val="16"/>
              </w:rPr>
            </w:pPr>
            <w:r>
              <w:rPr>
                <w:color w:val="000000"/>
                <w:sz w:val="16"/>
                <w:szCs w:val="16"/>
              </w:rPr>
              <w:t xml:space="preserve"> Shift</w:t>
            </w:r>
            <w:r w:rsidRPr="00970583">
              <w:rPr>
                <w:color w:val="000000"/>
                <w:sz w:val="16"/>
                <w:szCs w:val="16"/>
              </w:rPr>
              <w:t xml:space="preserve"> the project</w:t>
            </w:r>
            <w:r>
              <w:rPr>
                <w:color w:val="000000"/>
                <w:sz w:val="16"/>
                <w:szCs w:val="16"/>
              </w:rPr>
              <w:t>’</w:t>
            </w:r>
            <w:r w:rsidRPr="00970583">
              <w:rPr>
                <w:color w:val="000000"/>
                <w:sz w:val="16"/>
                <w:szCs w:val="16"/>
              </w:rPr>
              <w:t xml:space="preserve">s general </w:t>
            </w:r>
            <w:r>
              <w:rPr>
                <w:color w:val="000000"/>
                <w:sz w:val="16"/>
                <w:szCs w:val="16"/>
              </w:rPr>
              <w:t xml:space="preserve"> schedule</w:t>
            </w:r>
          </w:p>
        </w:tc>
      </w:tr>
      <w:tr w:rsidR="00C06C6E" w:rsidRPr="00970583" w:rsidTr="00C06C6E">
        <w:trPr>
          <w:trHeight w:val="776"/>
          <w:jc w:val="center"/>
        </w:trPr>
        <w:tc>
          <w:tcPr>
            <w:tcW w:w="1667" w:type="pct"/>
            <w:shd w:val="clear" w:color="auto" w:fill="auto"/>
          </w:tcPr>
          <w:p w:rsidR="00C06C6E" w:rsidRPr="00970583" w:rsidRDefault="00C06C6E" w:rsidP="00C06C6E">
            <w:pPr>
              <w:autoSpaceDE w:val="0"/>
              <w:autoSpaceDN w:val="0"/>
              <w:adjustRightInd w:val="0"/>
              <w:spacing w:before="40" w:after="40"/>
              <w:rPr>
                <w:sz w:val="16"/>
                <w:szCs w:val="16"/>
              </w:rPr>
            </w:pPr>
            <w:r w:rsidRPr="00970583">
              <w:rPr>
                <w:color w:val="000000"/>
                <w:sz w:val="16"/>
                <w:szCs w:val="16"/>
              </w:rPr>
              <w:t>Delay in starting works</w:t>
            </w:r>
          </w:p>
        </w:tc>
        <w:tc>
          <w:tcPr>
            <w:tcW w:w="1667" w:type="pct"/>
            <w:shd w:val="clear" w:color="auto" w:fill="auto"/>
          </w:tcPr>
          <w:p w:rsidR="00C06C6E" w:rsidRPr="00970583" w:rsidRDefault="00C06C6E" w:rsidP="00C06C6E">
            <w:pPr>
              <w:autoSpaceDE w:val="0"/>
              <w:autoSpaceDN w:val="0"/>
              <w:adjustRightInd w:val="0"/>
              <w:spacing w:before="40" w:after="40"/>
              <w:rPr>
                <w:sz w:val="16"/>
                <w:szCs w:val="16"/>
              </w:rPr>
            </w:pPr>
            <w:r w:rsidRPr="00970583">
              <w:rPr>
                <w:color w:val="000000"/>
                <w:sz w:val="16"/>
                <w:szCs w:val="16"/>
              </w:rPr>
              <w:t xml:space="preserve">The start of works will depend on the time </w:t>
            </w:r>
            <w:r>
              <w:rPr>
                <w:color w:val="000000"/>
                <w:sz w:val="16"/>
                <w:szCs w:val="16"/>
              </w:rPr>
              <w:t>needed</w:t>
            </w:r>
            <w:r w:rsidRPr="00970583">
              <w:rPr>
                <w:color w:val="000000"/>
                <w:sz w:val="16"/>
                <w:szCs w:val="16"/>
              </w:rPr>
              <w:t xml:space="preserve"> </w:t>
            </w:r>
            <w:r>
              <w:rPr>
                <w:color w:val="000000"/>
                <w:sz w:val="16"/>
                <w:szCs w:val="16"/>
              </w:rPr>
              <w:t xml:space="preserve">to </w:t>
            </w:r>
            <w:r w:rsidRPr="00970583">
              <w:rPr>
                <w:color w:val="000000"/>
                <w:sz w:val="16"/>
                <w:szCs w:val="16"/>
              </w:rPr>
              <w:t xml:space="preserve">choose the technical solution, </w:t>
            </w:r>
            <w:r>
              <w:rPr>
                <w:color w:val="000000"/>
                <w:sz w:val="16"/>
                <w:szCs w:val="16"/>
              </w:rPr>
              <w:t xml:space="preserve">which is </w:t>
            </w:r>
            <w:r w:rsidRPr="00970583">
              <w:rPr>
                <w:color w:val="000000"/>
                <w:sz w:val="16"/>
                <w:szCs w:val="16"/>
              </w:rPr>
              <w:t>no</w:t>
            </w:r>
            <w:r>
              <w:rPr>
                <w:color w:val="000000"/>
                <w:sz w:val="16"/>
                <w:szCs w:val="16"/>
              </w:rPr>
              <w:t>t</w:t>
            </w:r>
            <w:r w:rsidRPr="00970583">
              <w:rPr>
                <w:color w:val="000000"/>
                <w:sz w:val="16"/>
                <w:szCs w:val="16"/>
              </w:rPr>
              <w:t xml:space="preserve"> </w:t>
            </w:r>
            <w:r>
              <w:rPr>
                <w:color w:val="000000"/>
                <w:sz w:val="16"/>
                <w:szCs w:val="16"/>
              </w:rPr>
              <w:t xml:space="preserve">expected before </w:t>
            </w:r>
            <w:r w:rsidRPr="00970583">
              <w:rPr>
                <w:color w:val="000000"/>
                <w:sz w:val="16"/>
                <w:szCs w:val="16"/>
              </w:rPr>
              <w:t>2016</w:t>
            </w:r>
            <w:r>
              <w:rPr>
                <w:color w:val="000000"/>
                <w:sz w:val="16"/>
                <w:szCs w:val="16"/>
              </w:rPr>
              <w:t>.</w:t>
            </w:r>
          </w:p>
        </w:tc>
        <w:tc>
          <w:tcPr>
            <w:tcW w:w="1666" w:type="pct"/>
            <w:shd w:val="clear" w:color="auto" w:fill="auto"/>
          </w:tcPr>
          <w:p w:rsidR="00C06C6E" w:rsidRPr="00970583" w:rsidRDefault="00C06C6E" w:rsidP="00C06C6E">
            <w:pPr>
              <w:autoSpaceDE w:val="0"/>
              <w:autoSpaceDN w:val="0"/>
              <w:adjustRightInd w:val="0"/>
              <w:spacing w:before="40" w:after="40"/>
              <w:rPr>
                <w:sz w:val="16"/>
                <w:szCs w:val="16"/>
              </w:rPr>
            </w:pPr>
            <w:r>
              <w:rPr>
                <w:color w:val="000000"/>
                <w:sz w:val="16"/>
                <w:szCs w:val="16"/>
              </w:rPr>
              <w:t xml:space="preserve"> Shift the</w:t>
            </w:r>
            <w:r w:rsidRPr="00970583">
              <w:rPr>
                <w:color w:val="000000"/>
                <w:sz w:val="16"/>
                <w:szCs w:val="16"/>
              </w:rPr>
              <w:t xml:space="preserve"> works timetable</w:t>
            </w:r>
          </w:p>
        </w:tc>
      </w:tr>
      <w:tr w:rsidR="00C06C6E" w:rsidRPr="00970583" w:rsidTr="00C06C6E">
        <w:trPr>
          <w:trHeight w:val="776"/>
          <w:jc w:val="center"/>
        </w:trPr>
        <w:tc>
          <w:tcPr>
            <w:tcW w:w="1667" w:type="pct"/>
            <w:shd w:val="clear" w:color="auto" w:fill="auto"/>
          </w:tcPr>
          <w:p w:rsidR="00C06C6E" w:rsidRPr="00970583" w:rsidRDefault="00C06C6E" w:rsidP="00C06C6E">
            <w:pPr>
              <w:autoSpaceDE w:val="0"/>
              <w:autoSpaceDN w:val="0"/>
              <w:adjustRightInd w:val="0"/>
              <w:spacing w:before="40" w:after="40"/>
              <w:rPr>
                <w:sz w:val="16"/>
                <w:szCs w:val="16"/>
              </w:rPr>
            </w:pPr>
            <w:r w:rsidRPr="00970583">
              <w:rPr>
                <w:color w:val="000000"/>
                <w:sz w:val="16"/>
                <w:szCs w:val="16"/>
              </w:rPr>
              <w:t xml:space="preserve">Delay in </w:t>
            </w:r>
            <w:r>
              <w:rPr>
                <w:color w:val="000000"/>
                <w:sz w:val="16"/>
                <w:szCs w:val="16"/>
              </w:rPr>
              <w:t>commissioning</w:t>
            </w:r>
            <w:r w:rsidRPr="00970583">
              <w:rPr>
                <w:color w:val="000000"/>
                <w:sz w:val="16"/>
                <w:szCs w:val="16"/>
              </w:rPr>
              <w:t xml:space="preserve"> the renovation</w:t>
            </w:r>
          </w:p>
        </w:tc>
        <w:tc>
          <w:tcPr>
            <w:tcW w:w="1667" w:type="pct"/>
            <w:shd w:val="clear" w:color="auto" w:fill="auto"/>
          </w:tcPr>
          <w:p w:rsidR="00C06C6E" w:rsidRPr="00970583" w:rsidRDefault="00C06C6E" w:rsidP="00C06C6E">
            <w:pPr>
              <w:autoSpaceDE w:val="0"/>
              <w:autoSpaceDN w:val="0"/>
              <w:adjustRightInd w:val="0"/>
              <w:spacing w:before="40" w:after="40"/>
              <w:rPr>
                <w:sz w:val="16"/>
                <w:szCs w:val="16"/>
              </w:rPr>
            </w:pPr>
            <w:r w:rsidRPr="00970583">
              <w:rPr>
                <w:color w:val="000000"/>
                <w:sz w:val="16"/>
                <w:szCs w:val="16"/>
              </w:rPr>
              <w:t xml:space="preserve">Delay in </w:t>
            </w:r>
            <w:r>
              <w:rPr>
                <w:color w:val="000000"/>
                <w:sz w:val="16"/>
                <w:szCs w:val="16"/>
              </w:rPr>
              <w:t xml:space="preserve">the </w:t>
            </w:r>
            <w:r w:rsidRPr="00970583">
              <w:rPr>
                <w:color w:val="000000"/>
                <w:sz w:val="16"/>
                <w:szCs w:val="16"/>
              </w:rPr>
              <w:t xml:space="preserve">works schedule </w:t>
            </w:r>
            <w:r>
              <w:rPr>
                <w:color w:val="000000"/>
                <w:sz w:val="16"/>
                <w:szCs w:val="16"/>
              </w:rPr>
              <w:t>because of</w:t>
            </w:r>
            <w:r w:rsidRPr="00970583">
              <w:rPr>
                <w:color w:val="000000"/>
                <w:sz w:val="16"/>
                <w:szCs w:val="16"/>
              </w:rPr>
              <w:t xml:space="preserve"> the chosen technical solution</w:t>
            </w:r>
          </w:p>
          <w:p w:rsidR="00C06C6E" w:rsidRPr="00970583" w:rsidRDefault="00C06C6E" w:rsidP="00C06C6E">
            <w:pPr>
              <w:autoSpaceDE w:val="0"/>
              <w:autoSpaceDN w:val="0"/>
              <w:adjustRightInd w:val="0"/>
              <w:spacing w:before="40" w:after="40"/>
              <w:rPr>
                <w:sz w:val="16"/>
                <w:szCs w:val="16"/>
              </w:rPr>
            </w:pPr>
          </w:p>
          <w:p w:rsidR="00C06C6E" w:rsidRDefault="00C06C6E" w:rsidP="00C06C6E">
            <w:pPr>
              <w:autoSpaceDE w:val="0"/>
              <w:autoSpaceDN w:val="0"/>
              <w:adjustRightInd w:val="0"/>
              <w:spacing w:before="40" w:after="40"/>
              <w:rPr>
                <w:color w:val="000000"/>
                <w:sz w:val="16"/>
                <w:szCs w:val="16"/>
              </w:rPr>
            </w:pPr>
          </w:p>
          <w:p w:rsidR="00C06C6E" w:rsidRPr="00970583" w:rsidRDefault="00C06C6E" w:rsidP="00C06C6E">
            <w:pPr>
              <w:autoSpaceDE w:val="0"/>
              <w:autoSpaceDN w:val="0"/>
              <w:adjustRightInd w:val="0"/>
              <w:spacing w:before="40" w:after="40"/>
              <w:rPr>
                <w:sz w:val="16"/>
                <w:szCs w:val="16"/>
              </w:rPr>
            </w:pPr>
            <w:r w:rsidRPr="00970583">
              <w:rPr>
                <w:color w:val="000000"/>
                <w:sz w:val="16"/>
                <w:szCs w:val="16"/>
              </w:rPr>
              <w:t xml:space="preserve">Internal logistics for </w:t>
            </w:r>
            <w:r>
              <w:rPr>
                <w:color w:val="000000"/>
                <w:sz w:val="16"/>
                <w:szCs w:val="16"/>
              </w:rPr>
              <w:t>office relocations</w:t>
            </w:r>
          </w:p>
        </w:tc>
        <w:tc>
          <w:tcPr>
            <w:tcW w:w="1666" w:type="pct"/>
            <w:shd w:val="clear" w:color="auto" w:fill="auto"/>
          </w:tcPr>
          <w:p w:rsidR="00C06C6E" w:rsidRPr="00970583" w:rsidRDefault="00C06C6E" w:rsidP="00C06C6E">
            <w:pPr>
              <w:autoSpaceDE w:val="0"/>
              <w:autoSpaceDN w:val="0"/>
              <w:adjustRightInd w:val="0"/>
              <w:spacing w:before="40" w:after="40"/>
              <w:rPr>
                <w:sz w:val="16"/>
                <w:szCs w:val="16"/>
              </w:rPr>
            </w:pPr>
            <w:r w:rsidRPr="00970583">
              <w:rPr>
                <w:color w:val="000000"/>
                <w:sz w:val="16"/>
                <w:szCs w:val="16"/>
              </w:rPr>
              <w:t>Appraisal of the choice of technical solution</w:t>
            </w:r>
          </w:p>
          <w:p w:rsidR="00C06C6E" w:rsidRPr="00970583" w:rsidRDefault="00C06C6E" w:rsidP="00C06C6E">
            <w:pPr>
              <w:autoSpaceDE w:val="0"/>
              <w:autoSpaceDN w:val="0"/>
              <w:adjustRightInd w:val="0"/>
              <w:spacing w:before="40" w:after="40"/>
              <w:rPr>
                <w:sz w:val="16"/>
                <w:szCs w:val="16"/>
              </w:rPr>
            </w:pPr>
            <w:r w:rsidRPr="00970583">
              <w:rPr>
                <w:color w:val="000000"/>
                <w:sz w:val="16"/>
                <w:szCs w:val="16"/>
              </w:rPr>
              <w:t xml:space="preserve">Appraisal </w:t>
            </w:r>
            <w:r>
              <w:rPr>
                <w:color w:val="000000"/>
                <w:sz w:val="16"/>
                <w:szCs w:val="16"/>
              </w:rPr>
              <w:t>with a view to</w:t>
            </w:r>
            <w:r w:rsidRPr="00970583">
              <w:rPr>
                <w:color w:val="000000"/>
                <w:sz w:val="16"/>
                <w:szCs w:val="16"/>
              </w:rPr>
              <w:t xml:space="preserve"> </w:t>
            </w:r>
            <w:r>
              <w:rPr>
                <w:color w:val="000000"/>
                <w:sz w:val="16"/>
                <w:szCs w:val="16"/>
              </w:rPr>
              <w:t>shortening</w:t>
            </w:r>
            <w:r w:rsidRPr="00970583">
              <w:rPr>
                <w:color w:val="000000"/>
                <w:sz w:val="16"/>
                <w:szCs w:val="16"/>
              </w:rPr>
              <w:t xml:space="preserve"> the schedule</w:t>
            </w:r>
          </w:p>
          <w:p w:rsidR="00C06C6E" w:rsidRPr="00970583" w:rsidRDefault="00C06C6E" w:rsidP="00C06C6E">
            <w:pPr>
              <w:autoSpaceDE w:val="0"/>
              <w:autoSpaceDN w:val="0"/>
              <w:adjustRightInd w:val="0"/>
              <w:spacing w:before="40" w:after="40"/>
              <w:rPr>
                <w:sz w:val="16"/>
                <w:szCs w:val="16"/>
              </w:rPr>
            </w:pPr>
            <w:r>
              <w:rPr>
                <w:color w:val="000000"/>
                <w:sz w:val="16"/>
                <w:szCs w:val="16"/>
              </w:rPr>
              <w:t>Planning</w:t>
            </w:r>
            <w:r w:rsidRPr="00970583">
              <w:rPr>
                <w:color w:val="000000"/>
                <w:sz w:val="16"/>
                <w:szCs w:val="16"/>
              </w:rPr>
              <w:t xml:space="preserve"> with PCT, </w:t>
            </w:r>
            <w:r w:rsidRPr="00D36254">
              <w:rPr>
                <w:color w:val="000000"/>
                <w:sz w:val="16"/>
                <w:szCs w:val="16"/>
              </w:rPr>
              <w:t>Information and Com</w:t>
            </w:r>
            <w:r>
              <w:rPr>
                <w:color w:val="000000"/>
                <w:sz w:val="16"/>
                <w:szCs w:val="16"/>
              </w:rPr>
              <w:t>munication Technology (</w:t>
            </w:r>
            <w:r w:rsidRPr="00970583">
              <w:rPr>
                <w:color w:val="000000"/>
                <w:sz w:val="16"/>
                <w:szCs w:val="16"/>
              </w:rPr>
              <w:t>I</w:t>
            </w:r>
            <w:r>
              <w:rPr>
                <w:color w:val="000000"/>
                <w:sz w:val="16"/>
                <w:szCs w:val="16"/>
              </w:rPr>
              <w:t>C</w:t>
            </w:r>
            <w:r w:rsidRPr="00970583">
              <w:rPr>
                <w:color w:val="000000"/>
                <w:sz w:val="16"/>
                <w:szCs w:val="16"/>
              </w:rPr>
              <w:t>T</w:t>
            </w:r>
            <w:r>
              <w:rPr>
                <w:color w:val="000000"/>
                <w:sz w:val="16"/>
                <w:szCs w:val="16"/>
              </w:rPr>
              <w:t>)</w:t>
            </w:r>
            <w:r w:rsidRPr="00970583">
              <w:rPr>
                <w:color w:val="000000"/>
                <w:sz w:val="16"/>
                <w:szCs w:val="16"/>
              </w:rPr>
              <w:t xml:space="preserve">, </w:t>
            </w:r>
            <w:r>
              <w:rPr>
                <w:color w:val="000000"/>
                <w:sz w:val="16"/>
                <w:szCs w:val="16"/>
              </w:rPr>
              <w:t xml:space="preserve">and </w:t>
            </w:r>
            <w:r w:rsidRPr="001D2A8A">
              <w:rPr>
                <w:color w:val="000000"/>
                <w:sz w:val="16"/>
                <w:szCs w:val="16"/>
              </w:rPr>
              <w:t>Safety and Security Coordination Service</w:t>
            </w:r>
            <w:r>
              <w:rPr>
                <w:color w:val="000000"/>
                <w:sz w:val="16"/>
                <w:szCs w:val="16"/>
              </w:rPr>
              <w:t xml:space="preserve"> (</w:t>
            </w:r>
            <w:r w:rsidRPr="00970583">
              <w:rPr>
                <w:color w:val="000000"/>
                <w:sz w:val="16"/>
                <w:szCs w:val="16"/>
              </w:rPr>
              <w:t>SSCS</w:t>
            </w:r>
            <w:r>
              <w:rPr>
                <w:color w:val="000000"/>
                <w:sz w:val="16"/>
                <w:szCs w:val="16"/>
              </w:rPr>
              <w:t>)</w:t>
            </w:r>
          </w:p>
        </w:tc>
      </w:tr>
      <w:tr w:rsidR="00C06C6E" w:rsidRPr="00970583" w:rsidTr="00C06C6E">
        <w:trPr>
          <w:trHeight w:val="776"/>
          <w:jc w:val="center"/>
        </w:trPr>
        <w:tc>
          <w:tcPr>
            <w:tcW w:w="1667" w:type="pct"/>
            <w:shd w:val="clear" w:color="auto" w:fill="auto"/>
          </w:tcPr>
          <w:p w:rsidR="00C06C6E" w:rsidRPr="00970583" w:rsidRDefault="00C06C6E" w:rsidP="00C06C6E">
            <w:pPr>
              <w:autoSpaceDE w:val="0"/>
              <w:autoSpaceDN w:val="0"/>
              <w:adjustRightInd w:val="0"/>
              <w:spacing w:before="40" w:after="40"/>
              <w:rPr>
                <w:sz w:val="16"/>
                <w:szCs w:val="16"/>
              </w:rPr>
            </w:pPr>
            <w:r w:rsidRPr="00970583">
              <w:rPr>
                <w:color w:val="000000"/>
                <w:sz w:val="16"/>
                <w:szCs w:val="16"/>
              </w:rPr>
              <w:t>Financial risk</w:t>
            </w:r>
          </w:p>
        </w:tc>
        <w:tc>
          <w:tcPr>
            <w:tcW w:w="1667" w:type="pct"/>
            <w:shd w:val="clear" w:color="auto" w:fill="auto"/>
          </w:tcPr>
          <w:p w:rsidR="00C06C6E" w:rsidRDefault="00C06C6E" w:rsidP="00C06C6E">
            <w:pPr>
              <w:autoSpaceDE w:val="0"/>
              <w:autoSpaceDN w:val="0"/>
              <w:adjustRightInd w:val="0"/>
              <w:spacing w:before="40" w:after="40"/>
              <w:rPr>
                <w:color w:val="000000"/>
                <w:sz w:val="16"/>
                <w:szCs w:val="16"/>
              </w:rPr>
            </w:pPr>
            <w:r w:rsidRPr="00970583">
              <w:rPr>
                <w:color w:val="000000"/>
                <w:sz w:val="16"/>
                <w:szCs w:val="16"/>
              </w:rPr>
              <w:t xml:space="preserve">Insufficient budget </w:t>
            </w:r>
            <w:r>
              <w:rPr>
                <w:color w:val="000000"/>
                <w:sz w:val="16"/>
                <w:szCs w:val="16"/>
              </w:rPr>
              <w:t>to implement</w:t>
            </w:r>
            <w:r w:rsidRPr="00970583">
              <w:rPr>
                <w:color w:val="000000"/>
                <w:sz w:val="16"/>
                <w:szCs w:val="16"/>
              </w:rPr>
              <w:t xml:space="preserve"> the chosen technical solution</w:t>
            </w:r>
          </w:p>
          <w:p w:rsidR="00C06C6E" w:rsidRPr="00970583" w:rsidRDefault="00C06C6E" w:rsidP="00C06C6E">
            <w:pPr>
              <w:autoSpaceDE w:val="0"/>
              <w:autoSpaceDN w:val="0"/>
              <w:adjustRightInd w:val="0"/>
              <w:spacing w:before="40" w:after="40"/>
              <w:rPr>
                <w:sz w:val="16"/>
                <w:szCs w:val="16"/>
              </w:rPr>
            </w:pPr>
          </w:p>
          <w:p w:rsidR="00C06C6E" w:rsidRPr="00970583" w:rsidRDefault="00C06C6E" w:rsidP="00C06C6E">
            <w:pPr>
              <w:autoSpaceDE w:val="0"/>
              <w:autoSpaceDN w:val="0"/>
              <w:adjustRightInd w:val="0"/>
              <w:spacing w:before="40" w:after="40"/>
              <w:rPr>
                <w:sz w:val="16"/>
                <w:szCs w:val="16"/>
              </w:rPr>
            </w:pPr>
            <w:r w:rsidRPr="00970583">
              <w:rPr>
                <w:color w:val="000000"/>
                <w:sz w:val="16"/>
                <w:szCs w:val="16"/>
              </w:rPr>
              <w:t xml:space="preserve">Estimated costs higher than the approved budget as a result of the construction market </w:t>
            </w:r>
            <w:r>
              <w:rPr>
                <w:color w:val="000000"/>
                <w:sz w:val="16"/>
                <w:szCs w:val="16"/>
              </w:rPr>
              <w:t xml:space="preserve">situation </w:t>
            </w:r>
            <w:r w:rsidRPr="00970583">
              <w:rPr>
                <w:color w:val="000000"/>
                <w:sz w:val="16"/>
                <w:szCs w:val="16"/>
              </w:rPr>
              <w:t xml:space="preserve">during the call for tenders </w:t>
            </w:r>
            <w:r>
              <w:rPr>
                <w:color w:val="000000"/>
                <w:sz w:val="16"/>
                <w:szCs w:val="16"/>
              </w:rPr>
              <w:t>from</w:t>
            </w:r>
            <w:r w:rsidRPr="00970583">
              <w:rPr>
                <w:color w:val="000000"/>
                <w:sz w:val="16"/>
                <w:szCs w:val="16"/>
              </w:rPr>
              <w:t xml:space="preserve"> </w:t>
            </w:r>
            <w:r>
              <w:rPr>
                <w:color w:val="000000"/>
                <w:sz w:val="16"/>
                <w:szCs w:val="16"/>
              </w:rPr>
              <w:t>firms</w:t>
            </w:r>
            <w:r w:rsidRPr="00970583">
              <w:rPr>
                <w:color w:val="000000"/>
                <w:sz w:val="16"/>
                <w:szCs w:val="16"/>
              </w:rPr>
              <w:t xml:space="preserve"> in 2016</w:t>
            </w:r>
          </w:p>
          <w:p w:rsidR="00C06C6E" w:rsidRPr="00970583" w:rsidRDefault="00C06C6E" w:rsidP="00C06C6E">
            <w:pPr>
              <w:autoSpaceDE w:val="0"/>
              <w:autoSpaceDN w:val="0"/>
              <w:adjustRightInd w:val="0"/>
              <w:spacing w:before="40" w:after="40"/>
              <w:rPr>
                <w:sz w:val="16"/>
                <w:szCs w:val="16"/>
              </w:rPr>
            </w:pPr>
          </w:p>
        </w:tc>
        <w:tc>
          <w:tcPr>
            <w:tcW w:w="1666" w:type="pct"/>
            <w:shd w:val="clear" w:color="auto" w:fill="auto"/>
          </w:tcPr>
          <w:p w:rsidR="00C06C6E" w:rsidRPr="00970583" w:rsidRDefault="00C06C6E" w:rsidP="00C06C6E">
            <w:pPr>
              <w:autoSpaceDE w:val="0"/>
              <w:autoSpaceDN w:val="0"/>
              <w:adjustRightInd w:val="0"/>
              <w:spacing w:before="40" w:after="40"/>
              <w:rPr>
                <w:sz w:val="16"/>
                <w:szCs w:val="16"/>
              </w:rPr>
            </w:pPr>
            <w:r w:rsidRPr="00970583">
              <w:rPr>
                <w:color w:val="000000"/>
                <w:sz w:val="16"/>
                <w:szCs w:val="16"/>
              </w:rPr>
              <w:t>R</w:t>
            </w:r>
            <w:r w:rsidRPr="00970583">
              <w:rPr>
                <w:sz w:val="16"/>
                <w:szCs w:val="16"/>
              </w:rPr>
              <w:t>eview</w:t>
            </w:r>
            <w:r w:rsidRPr="00970583">
              <w:rPr>
                <w:color w:val="000000"/>
                <w:sz w:val="16"/>
                <w:szCs w:val="16"/>
              </w:rPr>
              <w:t xml:space="preserve"> of the choice of technical solution</w:t>
            </w:r>
          </w:p>
          <w:p w:rsidR="00C06C6E" w:rsidRDefault="00C06C6E" w:rsidP="00C06C6E">
            <w:pPr>
              <w:autoSpaceDE w:val="0"/>
              <w:autoSpaceDN w:val="0"/>
              <w:adjustRightInd w:val="0"/>
              <w:spacing w:before="40" w:after="40"/>
              <w:rPr>
                <w:color w:val="000000"/>
                <w:sz w:val="16"/>
                <w:szCs w:val="16"/>
              </w:rPr>
            </w:pPr>
          </w:p>
          <w:p w:rsidR="00C06C6E" w:rsidRPr="00970583" w:rsidRDefault="00C06C6E" w:rsidP="00C06C6E">
            <w:pPr>
              <w:autoSpaceDE w:val="0"/>
              <w:autoSpaceDN w:val="0"/>
              <w:adjustRightInd w:val="0"/>
              <w:spacing w:before="40" w:after="40"/>
              <w:rPr>
                <w:sz w:val="16"/>
                <w:szCs w:val="16"/>
              </w:rPr>
            </w:pPr>
            <w:r>
              <w:rPr>
                <w:color w:val="000000"/>
                <w:sz w:val="16"/>
                <w:szCs w:val="16"/>
              </w:rPr>
              <w:t>Request</w:t>
            </w:r>
            <w:r w:rsidRPr="00970583">
              <w:rPr>
                <w:color w:val="000000"/>
                <w:sz w:val="16"/>
                <w:szCs w:val="16"/>
              </w:rPr>
              <w:t xml:space="preserve"> additional funds</w:t>
            </w:r>
          </w:p>
        </w:tc>
      </w:tr>
    </w:tbl>
    <w:p w:rsidR="00C06C6E" w:rsidRPr="00970583" w:rsidRDefault="00C06C6E" w:rsidP="00C06C6E">
      <w:pPr>
        <w:autoSpaceDE w:val="0"/>
        <w:autoSpaceDN w:val="0"/>
        <w:jc w:val="both"/>
      </w:pPr>
    </w:p>
    <w:p w:rsidR="00C06C6E" w:rsidRPr="00970583" w:rsidRDefault="00C06C6E" w:rsidP="00C06C6E">
      <w:pPr>
        <w:rPr>
          <w:rFonts w:cs="Arial"/>
          <w:color w:val="000000"/>
          <w:sz w:val="22"/>
          <w:szCs w:val="22"/>
        </w:rPr>
      </w:pPr>
    </w:p>
    <w:p w:rsidR="00994B87" w:rsidRDefault="00994B87">
      <w:pPr>
        <w:rPr>
          <w:rFonts w:cs="Arial"/>
          <w:color w:val="000000"/>
          <w:sz w:val="22"/>
          <w:szCs w:val="22"/>
        </w:rPr>
      </w:pPr>
      <w:r>
        <w:rPr>
          <w:rFonts w:cs="Arial"/>
          <w:color w:val="000000"/>
          <w:sz w:val="22"/>
          <w:szCs w:val="22"/>
        </w:rPr>
        <w:br w:type="page"/>
      </w:r>
    </w:p>
    <w:p w:rsidR="00C06C6E" w:rsidRPr="00970583" w:rsidRDefault="00C06C6E" w:rsidP="00C06C6E">
      <w:pPr>
        <w:rPr>
          <w:rFonts w:cs="Arial"/>
          <w:color w:val="000000"/>
          <w:sz w:val="22"/>
          <w:szCs w:val="22"/>
        </w:rPr>
      </w:pPr>
      <w:r w:rsidRPr="00970583">
        <w:rPr>
          <w:rFonts w:cs="Arial"/>
          <w:color w:val="000000"/>
          <w:sz w:val="22"/>
          <w:szCs w:val="22"/>
        </w:rPr>
        <w:lastRenderedPageBreak/>
        <w:t>PROJECT TIMELINE BY MILESTONE</w:t>
      </w:r>
    </w:p>
    <w:p w:rsidR="00C06C6E" w:rsidRPr="00970583" w:rsidRDefault="00C06C6E" w:rsidP="00C06C6E">
      <w:pPr>
        <w:autoSpaceDE w:val="0"/>
        <w:autoSpaceDN w:val="0"/>
        <w:jc w:val="both"/>
      </w:pPr>
    </w:p>
    <w:p w:rsidR="00C06C6E" w:rsidRPr="00970583" w:rsidRDefault="00C06C6E" w:rsidP="00C06C6E">
      <w:pPr>
        <w:autoSpaceDE w:val="0"/>
        <w:autoSpaceDN w:val="0"/>
        <w:jc w:val="both"/>
      </w:pPr>
    </w:p>
    <w:tbl>
      <w:tblPr>
        <w:tblW w:w="9666" w:type="dxa"/>
        <w:jc w:val="center"/>
        <w:tblLook w:val="04A0" w:firstRow="1" w:lastRow="0" w:firstColumn="1" w:lastColumn="0" w:noHBand="0" w:noVBand="1"/>
      </w:tblPr>
      <w:tblGrid>
        <w:gridCol w:w="1999"/>
        <w:gridCol w:w="391"/>
        <w:gridCol w:w="384"/>
        <w:gridCol w:w="384"/>
        <w:gridCol w:w="374"/>
        <w:gridCol w:w="10"/>
        <w:gridCol w:w="384"/>
        <w:gridCol w:w="352"/>
        <w:gridCol w:w="384"/>
        <w:gridCol w:w="384"/>
        <w:gridCol w:w="19"/>
        <w:gridCol w:w="366"/>
        <w:gridCol w:w="385"/>
        <w:gridCol w:w="385"/>
        <w:gridCol w:w="385"/>
        <w:gridCol w:w="13"/>
        <w:gridCol w:w="372"/>
        <w:gridCol w:w="385"/>
        <w:gridCol w:w="385"/>
        <w:gridCol w:w="385"/>
        <w:gridCol w:w="6"/>
        <w:gridCol w:w="334"/>
        <w:gridCol w:w="340"/>
        <w:gridCol w:w="430"/>
        <w:gridCol w:w="430"/>
      </w:tblGrid>
      <w:tr w:rsidR="00C06C6E" w:rsidRPr="00970583" w:rsidTr="00C06C6E">
        <w:trPr>
          <w:trHeight w:val="270"/>
          <w:jc w:val="center"/>
        </w:trPr>
        <w:tc>
          <w:tcPr>
            <w:tcW w:w="1999" w:type="dxa"/>
            <w:tcBorders>
              <w:top w:val="nil"/>
              <w:left w:val="nil"/>
              <w:bottom w:val="nil"/>
              <w:right w:val="nil"/>
            </w:tcBorders>
            <w:shd w:val="clear" w:color="auto" w:fill="auto"/>
            <w:noWrap/>
            <w:vAlign w:val="bottom"/>
            <w:hideMark/>
          </w:tcPr>
          <w:p w:rsidR="00C06C6E" w:rsidRPr="00970583" w:rsidRDefault="00C06C6E" w:rsidP="00C06C6E">
            <w:pPr>
              <w:rPr>
                <w:rFonts w:cs="Arial"/>
                <w:color w:val="000000"/>
                <w:sz w:val="16"/>
                <w:szCs w:val="16"/>
              </w:rPr>
            </w:pPr>
          </w:p>
        </w:tc>
        <w:tc>
          <w:tcPr>
            <w:tcW w:w="1533" w:type="dxa"/>
            <w:gridSpan w:val="4"/>
            <w:tcBorders>
              <w:top w:val="single" w:sz="8" w:space="0" w:color="auto"/>
              <w:left w:val="single" w:sz="8" w:space="0" w:color="auto"/>
              <w:bottom w:val="single" w:sz="4" w:space="0" w:color="auto"/>
              <w:right w:val="single" w:sz="4" w:space="0" w:color="auto"/>
            </w:tcBorders>
            <w:shd w:val="clear" w:color="auto" w:fill="C6D9F1" w:themeFill="text2" w:themeFillTint="33"/>
            <w:noWrap/>
            <w:tcMar>
              <w:left w:w="0" w:type="dxa"/>
              <w:right w:w="0" w:type="dxa"/>
            </w:tcMar>
            <w:vAlign w:val="bottom"/>
            <w:hideMark/>
          </w:tcPr>
          <w:p w:rsidR="00C06C6E" w:rsidRPr="00970583" w:rsidRDefault="00C06C6E" w:rsidP="00C06C6E">
            <w:pPr>
              <w:jc w:val="center"/>
              <w:rPr>
                <w:rFonts w:cs="Arial"/>
                <w:b/>
                <w:bCs/>
                <w:color w:val="000000"/>
                <w:sz w:val="16"/>
                <w:szCs w:val="16"/>
              </w:rPr>
            </w:pPr>
            <w:r w:rsidRPr="00970583">
              <w:rPr>
                <w:rFonts w:cs="Arial"/>
                <w:b/>
                <w:bCs/>
                <w:color w:val="000000"/>
                <w:sz w:val="16"/>
                <w:szCs w:val="16"/>
              </w:rPr>
              <w:t>2014</w:t>
            </w:r>
          </w:p>
        </w:tc>
        <w:tc>
          <w:tcPr>
            <w:tcW w:w="1533" w:type="dxa"/>
            <w:gridSpan w:val="6"/>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C06C6E" w:rsidRPr="00970583" w:rsidRDefault="00C06C6E" w:rsidP="00C06C6E">
            <w:pPr>
              <w:jc w:val="center"/>
              <w:rPr>
                <w:rFonts w:cs="Arial"/>
                <w:b/>
                <w:bCs/>
                <w:color w:val="000000"/>
                <w:sz w:val="16"/>
                <w:szCs w:val="16"/>
              </w:rPr>
            </w:pPr>
            <w:r w:rsidRPr="00970583">
              <w:rPr>
                <w:rFonts w:cs="Arial"/>
                <w:b/>
                <w:bCs/>
                <w:color w:val="000000"/>
                <w:sz w:val="16"/>
                <w:szCs w:val="16"/>
              </w:rPr>
              <w:t>2015</w:t>
            </w:r>
          </w:p>
        </w:tc>
        <w:tc>
          <w:tcPr>
            <w:tcW w:w="1534" w:type="dxa"/>
            <w:gridSpan w:val="5"/>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C06C6E" w:rsidRPr="00970583" w:rsidRDefault="00C06C6E" w:rsidP="00C06C6E">
            <w:pPr>
              <w:jc w:val="center"/>
              <w:rPr>
                <w:rFonts w:cs="Arial"/>
                <w:b/>
                <w:bCs/>
                <w:color w:val="000000"/>
                <w:sz w:val="16"/>
                <w:szCs w:val="16"/>
              </w:rPr>
            </w:pPr>
            <w:r w:rsidRPr="00970583">
              <w:rPr>
                <w:rFonts w:cs="Arial"/>
                <w:b/>
                <w:bCs/>
                <w:color w:val="000000"/>
                <w:sz w:val="16"/>
                <w:szCs w:val="16"/>
              </w:rPr>
              <w:t>2016</w:t>
            </w:r>
          </w:p>
        </w:tc>
        <w:tc>
          <w:tcPr>
            <w:tcW w:w="1533" w:type="dxa"/>
            <w:gridSpan w:val="5"/>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C06C6E" w:rsidRPr="00970583" w:rsidRDefault="00C06C6E" w:rsidP="00C06C6E">
            <w:pPr>
              <w:jc w:val="center"/>
              <w:rPr>
                <w:rFonts w:cs="Arial"/>
                <w:b/>
                <w:bCs/>
                <w:color w:val="000000"/>
                <w:sz w:val="16"/>
                <w:szCs w:val="16"/>
              </w:rPr>
            </w:pPr>
            <w:r w:rsidRPr="00970583">
              <w:rPr>
                <w:rFonts w:cs="Arial"/>
                <w:b/>
                <w:bCs/>
                <w:color w:val="000000"/>
                <w:sz w:val="16"/>
                <w:szCs w:val="16"/>
              </w:rPr>
              <w:t>2017</w:t>
            </w:r>
          </w:p>
        </w:tc>
        <w:tc>
          <w:tcPr>
            <w:tcW w:w="1534" w:type="dxa"/>
            <w:gridSpan w:val="4"/>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C06C6E" w:rsidRPr="00970583" w:rsidRDefault="00C06C6E" w:rsidP="00C06C6E">
            <w:pPr>
              <w:jc w:val="center"/>
              <w:rPr>
                <w:rFonts w:cs="Arial"/>
                <w:b/>
                <w:bCs/>
                <w:color w:val="000000"/>
                <w:sz w:val="16"/>
                <w:szCs w:val="16"/>
              </w:rPr>
            </w:pPr>
            <w:r w:rsidRPr="00970583">
              <w:rPr>
                <w:rFonts w:cs="Arial"/>
                <w:b/>
                <w:bCs/>
                <w:color w:val="000000"/>
                <w:sz w:val="16"/>
                <w:szCs w:val="16"/>
              </w:rPr>
              <w:t>2018</w:t>
            </w:r>
          </w:p>
        </w:tc>
      </w:tr>
      <w:tr w:rsidR="00C06C6E" w:rsidRPr="00970583" w:rsidTr="00C06C6E">
        <w:trPr>
          <w:trHeight w:val="375"/>
          <w:jc w:val="center"/>
        </w:trPr>
        <w:tc>
          <w:tcPr>
            <w:tcW w:w="1999" w:type="dxa"/>
            <w:tcBorders>
              <w:top w:val="single" w:sz="8" w:space="0" w:color="auto"/>
              <w:left w:val="single" w:sz="4" w:space="0" w:color="auto"/>
              <w:bottom w:val="single" w:sz="4" w:space="0" w:color="auto"/>
              <w:right w:val="single" w:sz="8" w:space="0" w:color="auto"/>
            </w:tcBorders>
            <w:shd w:val="clear" w:color="auto" w:fill="C6D9F1" w:themeFill="text2" w:themeFillTint="33"/>
            <w:noWrap/>
            <w:vAlign w:val="bottom"/>
            <w:hideMark/>
          </w:tcPr>
          <w:p w:rsidR="00C06C6E" w:rsidRPr="00970583" w:rsidRDefault="00C06C6E" w:rsidP="00C06C6E">
            <w:pPr>
              <w:rPr>
                <w:rFonts w:cs="Arial"/>
                <w:b/>
                <w:bCs/>
                <w:color w:val="000000"/>
                <w:sz w:val="16"/>
                <w:szCs w:val="16"/>
              </w:rPr>
            </w:pPr>
            <w:r w:rsidRPr="00970583">
              <w:rPr>
                <w:rFonts w:cs="Arial"/>
                <w:b/>
                <w:bCs/>
                <w:color w:val="000000"/>
                <w:sz w:val="16"/>
                <w:szCs w:val="16"/>
              </w:rPr>
              <w:t>Key Milestone</w:t>
            </w:r>
          </w:p>
        </w:tc>
        <w:tc>
          <w:tcPr>
            <w:tcW w:w="391"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06C6E" w:rsidRPr="00970583" w:rsidRDefault="00C06C6E" w:rsidP="00C06C6E">
            <w:pPr>
              <w:jc w:val="center"/>
              <w:rPr>
                <w:rFonts w:cs="Arial"/>
                <w:b/>
                <w:bCs/>
                <w:color w:val="000000"/>
                <w:sz w:val="16"/>
                <w:szCs w:val="16"/>
              </w:rPr>
            </w:pPr>
            <w:r w:rsidRPr="00970583">
              <w:rPr>
                <w:rFonts w:cs="Arial"/>
                <w:b/>
                <w:bCs/>
                <w:sz w:val="16"/>
                <w:szCs w:val="16"/>
              </w:rPr>
              <w:t>Q1</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06C6E" w:rsidRPr="00970583" w:rsidRDefault="00C06C6E" w:rsidP="00C06C6E">
            <w:pPr>
              <w:jc w:val="center"/>
              <w:rPr>
                <w:rFonts w:cs="Arial"/>
                <w:b/>
                <w:bCs/>
                <w:color w:val="000000"/>
                <w:sz w:val="16"/>
                <w:szCs w:val="16"/>
              </w:rPr>
            </w:pPr>
            <w:r w:rsidRPr="00970583">
              <w:rPr>
                <w:rFonts w:cs="Arial"/>
                <w:b/>
                <w:bCs/>
                <w:sz w:val="16"/>
                <w:szCs w:val="16"/>
              </w:rPr>
              <w:t>Q2</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06C6E" w:rsidRPr="00970583" w:rsidRDefault="00C06C6E" w:rsidP="00C06C6E">
            <w:pPr>
              <w:jc w:val="center"/>
              <w:rPr>
                <w:rFonts w:cs="Arial"/>
                <w:b/>
                <w:bCs/>
                <w:color w:val="000000"/>
                <w:sz w:val="16"/>
                <w:szCs w:val="16"/>
              </w:rPr>
            </w:pPr>
            <w:r w:rsidRPr="00970583">
              <w:rPr>
                <w:rFonts w:cs="Arial"/>
                <w:b/>
                <w:bCs/>
                <w:sz w:val="16"/>
                <w:szCs w:val="16"/>
              </w:rPr>
              <w:t>Q3</w:t>
            </w:r>
          </w:p>
        </w:tc>
        <w:tc>
          <w:tcPr>
            <w:tcW w:w="384" w:type="dxa"/>
            <w:gridSpan w:val="2"/>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C06C6E" w:rsidRPr="00970583" w:rsidRDefault="00C06C6E" w:rsidP="00C06C6E">
            <w:pPr>
              <w:jc w:val="center"/>
              <w:rPr>
                <w:rFonts w:cs="Arial"/>
                <w:b/>
                <w:bCs/>
                <w:color w:val="000000"/>
                <w:sz w:val="16"/>
                <w:szCs w:val="16"/>
              </w:rPr>
            </w:pPr>
            <w:r w:rsidRPr="00970583">
              <w:rPr>
                <w:rFonts w:cs="Arial"/>
                <w:b/>
                <w:bCs/>
                <w:sz w:val="16"/>
                <w:szCs w:val="16"/>
              </w:rPr>
              <w:t>Q4</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06C6E" w:rsidRPr="00970583" w:rsidRDefault="00C06C6E" w:rsidP="00C06C6E">
            <w:pPr>
              <w:jc w:val="center"/>
              <w:rPr>
                <w:rFonts w:cs="Arial"/>
                <w:b/>
                <w:bCs/>
                <w:color w:val="000000"/>
                <w:sz w:val="16"/>
                <w:szCs w:val="16"/>
              </w:rPr>
            </w:pPr>
            <w:r w:rsidRPr="00970583">
              <w:rPr>
                <w:rFonts w:cs="Arial"/>
                <w:b/>
                <w:bCs/>
                <w:color w:val="000000"/>
                <w:sz w:val="16"/>
                <w:szCs w:val="16"/>
              </w:rPr>
              <w:t>Q1</w:t>
            </w:r>
          </w:p>
        </w:tc>
        <w:tc>
          <w:tcPr>
            <w:tcW w:w="352"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06C6E" w:rsidRPr="00970583" w:rsidRDefault="00C06C6E" w:rsidP="00C06C6E">
            <w:pPr>
              <w:jc w:val="center"/>
              <w:rPr>
                <w:rFonts w:cs="Arial"/>
                <w:b/>
                <w:bCs/>
                <w:color w:val="000000"/>
                <w:sz w:val="16"/>
                <w:szCs w:val="16"/>
              </w:rPr>
            </w:pPr>
            <w:r w:rsidRPr="00970583">
              <w:rPr>
                <w:rFonts w:cs="Arial"/>
                <w:b/>
                <w:bCs/>
                <w:color w:val="000000"/>
                <w:sz w:val="16"/>
                <w:szCs w:val="16"/>
              </w:rPr>
              <w:t>Q2</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06C6E" w:rsidRPr="00970583" w:rsidRDefault="00C06C6E" w:rsidP="00C06C6E">
            <w:pPr>
              <w:jc w:val="center"/>
              <w:rPr>
                <w:rFonts w:cs="Arial"/>
                <w:b/>
                <w:bCs/>
                <w:color w:val="000000"/>
                <w:sz w:val="16"/>
                <w:szCs w:val="16"/>
              </w:rPr>
            </w:pPr>
            <w:r w:rsidRPr="00970583">
              <w:rPr>
                <w:rFonts w:cs="Arial"/>
                <w:b/>
                <w:bCs/>
                <w:color w:val="000000"/>
                <w:sz w:val="16"/>
                <w:szCs w:val="16"/>
              </w:rPr>
              <w:t>Q3</w:t>
            </w:r>
          </w:p>
        </w:tc>
        <w:tc>
          <w:tcPr>
            <w:tcW w:w="384" w:type="dxa"/>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C06C6E" w:rsidRPr="00970583" w:rsidRDefault="00C06C6E" w:rsidP="00C06C6E">
            <w:pPr>
              <w:jc w:val="center"/>
              <w:rPr>
                <w:rFonts w:cs="Arial"/>
                <w:b/>
                <w:bCs/>
                <w:color w:val="000000"/>
                <w:sz w:val="16"/>
                <w:szCs w:val="16"/>
              </w:rPr>
            </w:pPr>
            <w:r w:rsidRPr="00970583">
              <w:rPr>
                <w:rFonts w:cs="Arial"/>
                <w:b/>
                <w:bCs/>
                <w:color w:val="000000"/>
                <w:sz w:val="16"/>
                <w:szCs w:val="16"/>
              </w:rPr>
              <w:t>Q4</w:t>
            </w:r>
          </w:p>
        </w:tc>
        <w:tc>
          <w:tcPr>
            <w:tcW w:w="385" w:type="dxa"/>
            <w:gridSpan w:val="2"/>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06C6E" w:rsidRPr="00970583" w:rsidRDefault="00C06C6E" w:rsidP="00C06C6E">
            <w:pPr>
              <w:jc w:val="center"/>
              <w:rPr>
                <w:rFonts w:cs="Arial"/>
                <w:b/>
                <w:bCs/>
                <w:color w:val="000000"/>
                <w:sz w:val="16"/>
                <w:szCs w:val="16"/>
              </w:rPr>
            </w:pPr>
            <w:r w:rsidRPr="00970583">
              <w:rPr>
                <w:rFonts w:cs="Arial"/>
                <w:b/>
                <w:bCs/>
                <w:color w:val="000000"/>
                <w:sz w:val="16"/>
                <w:szCs w:val="16"/>
              </w:rPr>
              <w:t>Q1</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06C6E" w:rsidRPr="00970583" w:rsidRDefault="00C06C6E" w:rsidP="00C06C6E">
            <w:pPr>
              <w:jc w:val="center"/>
              <w:rPr>
                <w:rFonts w:cs="Arial"/>
                <w:b/>
                <w:bCs/>
                <w:color w:val="000000"/>
                <w:sz w:val="16"/>
                <w:szCs w:val="16"/>
              </w:rPr>
            </w:pPr>
            <w:r w:rsidRPr="00970583">
              <w:rPr>
                <w:rFonts w:cs="Arial"/>
                <w:b/>
                <w:bCs/>
                <w:color w:val="000000"/>
                <w:sz w:val="16"/>
                <w:szCs w:val="16"/>
              </w:rPr>
              <w:t>Q2</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06C6E" w:rsidRPr="00970583" w:rsidRDefault="00C06C6E" w:rsidP="00C06C6E">
            <w:pPr>
              <w:jc w:val="center"/>
              <w:rPr>
                <w:rFonts w:cs="Arial"/>
                <w:b/>
                <w:bCs/>
                <w:color w:val="000000"/>
                <w:sz w:val="16"/>
                <w:szCs w:val="16"/>
              </w:rPr>
            </w:pPr>
            <w:r w:rsidRPr="00970583">
              <w:rPr>
                <w:rFonts w:cs="Arial"/>
                <w:b/>
                <w:bCs/>
                <w:color w:val="000000"/>
                <w:sz w:val="16"/>
                <w:szCs w:val="16"/>
              </w:rPr>
              <w:t>Q3</w:t>
            </w:r>
          </w:p>
        </w:tc>
        <w:tc>
          <w:tcPr>
            <w:tcW w:w="385" w:type="dxa"/>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C06C6E" w:rsidRPr="00970583" w:rsidRDefault="00C06C6E" w:rsidP="00C06C6E">
            <w:pPr>
              <w:jc w:val="center"/>
              <w:rPr>
                <w:rFonts w:cs="Arial"/>
                <w:b/>
                <w:bCs/>
                <w:color w:val="000000"/>
                <w:sz w:val="16"/>
                <w:szCs w:val="16"/>
              </w:rPr>
            </w:pPr>
            <w:r w:rsidRPr="00970583">
              <w:rPr>
                <w:rFonts w:cs="Arial"/>
                <w:b/>
                <w:bCs/>
                <w:color w:val="000000"/>
                <w:sz w:val="16"/>
                <w:szCs w:val="16"/>
              </w:rPr>
              <w:t>Q4</w:t>
            </w:r>
          </w:p>
        </w:tc>
        <w:tc>
          <w:tcPr>
            <w:tcW w:w="385" w:type="dxa"/>
            <w:gridSpan w:val="2"/>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06C6E" w:rsidRPr="00970583" w:rsidRDefault="00C06C6E" w:rsidP="00C06C6E">
            <w:pPr>
              <w:jc w:val="center"/>
              <w:rPr>
                <w:rFonts w:cs="Arial"/>
                <w:b/>
                <w:bCs/>
                <w:color w:val="000000"/>
                <w:sz w:val="16"/>
                <w:szCs w:val="16"/>
              </w:rPr>
            </w:pPr>
            <w:r w:rsidRPr="00970583">
              <w:rPr>
                <w:rFonts w:cs="Arial"/>
                <w:b/>
                <w:bCs/>
                <w:color w:val="000000"/>
                <w:sz w:val="16"/>
                <w:szCs w:val="16"/>
              </w:rPr>
              <w:t>Q1</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06C6E" w:rsidRPr="00970583" w:rsidRDefault="00C06C6E" w:rsidP="00C06C6E">
            <w:pPr>
              <w:jc w:val="center"/>
              <w:rPr>
                <w:rFonts w:cs="Arial"/>
                <w:b/>
                <w:bCs/>
                <w:color w:val="000000"/>
                <w:sz w:val="16"/>
                <w:szCs w:val="16"/>
              </w:rPr>
            </w:pPr>
            <w:r w:rsidRPr="00970583">
              <w:rPr>
                <w:rFonts w:cs="Arial"/>
                <w:b/>
                <w:bCs/>
                <w:color w:val="000000"/>
                <w:sz w:val="16"/>
                <w:szCs w:val="16"/>
              </w:rPr>
              <w:t>Q2</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06C6E" w:rsidRPr="00970583" w:rsidRDefault="00C06C6E" w:rsidP="00C06C6E">
            <w:pPr>
              <w:jc w:val="center"/>
              <w:rPr>
                <w:rFonts w:cs="Arial"/>
                <w:b/>
                <w:bCs/>
                <w:color w:val="000000"/>
                <w:sz w:val="16"/>
                <w:szCs w:val="16"/>
              </w:rPr>
            </w:pPr>
            <w:r w:rsidRPr="00970583">
              <w:rPr>
                <w:rFonts w:cs="Arial"/>
                <w:b/>
                <w:bCs/>
                <w:color w:val="000000"/>
                <w:sz w:val="16"/>
                <w:szCs w:val="16"/>
              </w:rPr>
              <w:t>Q3</w:t>
            </w:r>
          </w:p>
        </w:tc>
        <w:tc>
          <w:tcPr>
            <w:tcW w:w="385" w:type="dxa"/>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C06C6E" w:rsidRPr="00970583" w:rsidRDefault="00C06C6E" w:rsidP="00C06C6E">
            <w:pPr>
              <w:jc w:val="center"/>
              <w:rPr>
                <w:rFonts w:cs="Arial"/>
                <w:b/>
                <w:bCs/>
                <w:color w:val="000000"/>
                <w:sz w:val="16"/>
                <w:szCs w:val="16"/>
              </w:rPr>
            </w:pPr>
            <w:r w:rsidRPr="00970583">
              <w:rPr>
                <w:rFonts w:cs="Arial"/>
                <w:b/>
                <w:bCs/>
                <w:color w:val="000000"/>
                <w:sz w:val="16"/>
                <w:szCs w:val="16"/>
              </w:rPr>
              <w:t>Q4</w:t>
            </w:r>
          </w:p>
        </w:tc>
        <w:tc>
          <w:tcPr>
            <w:tcW w:w="340" w:type="dxa"/>
            <w:gridSpan w:val="2"/>
            <w:tcBorders>
              <w:top w:val="nil"/>
              <w:left w:val="nil"/>
              <w:bottom w:val="single" w:sz="4" w:space="0" w:color="auto"/>
              <w:right w:val="single" w:sz="8" w:space="0" w:color="auto"/>
            </w:tcBorders>
            <w:shd w:val="clear" w:color="auto" w:fill="C6D9F1" w:themeFill="text2" w:themeFillTint="33"/>
            <w:tcMar>
              <w:left w:w="0" w:type="dxa"/>
              <w:right w:w="0" w:type="dxa"/>
            </w:tcMar>
            <w:vAlign w:val="bottom"/>
          </w:tcPr>
          <w:p w:rsidR="00C06C6E" w:rsidRPr="00970583" w:rsidRDefault="00C06C6E" w:rsidP="00C06C6E">
            <w:pPr>
              <w:jc w:val="center"/>
              <w:rPr>
                <w:rFonts w:cs="Arial"/>
                <w:b/>
                <w:bCs/>
                <w:color w:val="000000"/>
                <w:sz w:val="16"/>
                <w:szCs w:val="16"/>
              </w:rPr>
            </w:pPr>
            <w:r w:rsidRPr="00970583">
              <w:rPr>
                <w:rFonts w:cs="Arial"/>
                <w:b/>
                <w:bCs/>
                <w:color w:val="000000"/>
                <w:sz w:val="16"/>
                <w:szCs w:val="16"/>
              </w:rPr>
              <w:t>Q1</w:t>
            </w:r>
          </w:p>
        </w:tc>
        <w:tc>
          <w:tcPr>
            <w:tcW w:w="340" w:type="dxa"/>
            <w:tcBorders>
              <w:top w:val="nil"/>
              <w:left w:val="nil"/>
              <w:bottom w:val="single" w:sz="4" w:space="0" w:color="auto"/>
              <w:right w:val="single" w:sz="8" w:space="0" w:color="auto"/>
            </w:tcBorders>
            <w:shd w:val="clear" w:color="auto" w:fill="C6D9F1" w:themeFill="text2" w:themeFillTint="33"/>
            <w:tcMar>
              <w:left w:w="0" w:type="dxa"/>
              <w:right w:w="0" w:type="dxa"/>
            </w:tcMar>
            <w:vAlign w:val="bottom"/>
          </w:tcPr>
          <w:p w:rsidR="00C06C6E" w:rsidRPr="00970583" w:rsidRDefault="00C06C6E" w:rsidP="00C06C6E">
            <w:pPr>
              <w:jc w:val="center"/>
              <w:rPr>
                <w:rFonts w:cs="Arial"/>
                <w:b/>
                <w:bCs/>
                <w:color w:val="000000"/>
                <w:sz w:val="16"/>
                <w:szCs w:val="16"/>
              </w:rPr>
            </w:pPr>
            <w:r w:rsidRPr="00970583">
              <w:rPr>
                <w:rFonts w:cs="Arial"/>
                <w:b/>
                <w:bCs/>
                <w:color w:val="000000"/>
                <w:sz w:val="16"/>
                <w:szCs w:val="16"/>
              </w:rPr>
              <w:t>Q2</w:t>
            </w:r>
          </w:p>
        </w:tc>
        <w:tc>
          <w:tcPr>
            <w:tcW w:w="430" w:type="dxa"/>
            <w:tcBorders>
              <w:top w:val="nil"/>
              <w:left w:val="nil"/>
              <w:bottom w:val="single" w:sz="4" w:space="0" w:color="auto"/>
              <w:right w:val="single" w:sz="8" w:space="0" w:color="auto"/>
            </w:tcBorders>
            <w:shd w:val="clear" w:color="auto" w:fill="C6D9F1" w:themeFill="text2" w:themeFillTint="33"/>
            <w:vAlign w:val="bottom"/>
          </w:tcPr>
          <w:p w:rsidR="00C06C6E" w:rsidRPr="00970583" w:rsidRDefault="00C06C6E" w:rsidP="00C06C6E">
            <w:pPr>
              <w:jc w:val="center"/>
              <w:rPr>
                <w:rFonts w:cs="Arial"/>
                <w:b/>
                <w:bCs/>
                <w:color w:val="000000"/>
                <w:sz w:val="16"/>
                <w:szCs w:val="16"/>
              </w:rPr>
            </w:pPr>
            <w:r w:rsidRPr="00970583">
              <w:rPr>
                <w:rFonts w:cs="Arial"/>
                <w:b/>
                <w:bCs/>
                <w:color w:val="000000"/>
                <w:sz w:val="16"/>
                <w:szCs w:val="16"/>
              </w:rPr>
              <w:t>Q3</w:t>
            </w:r>
          </w:p>
        </w:tc>
        <w:tc>
          <w:tcPr>
            <w:tcW w:w="430" w:type="dxa"/>
            <w:tcBorders>
              <w:top w:val="nil"/>
              <w:left w:val="nil"/>
              <w:bottom w:val="single" w:sz="4" w:space="0" w:color="auto"/>
              <w:right w:val="single" w:sz="4" w:space="0" w:color="auto"/>
            </w:tcBorders>
            <w:shd w:val="clear" w:color="auto" w:fill="C6D9F1" w:themeFill="text2" w:themeFillTint="33"/>
            <w:vAlign w:val="bottom"/>
          </w:tcPr>
          <w:p w:rsidR="00C06C6E" w:rsidRPr="00970583" w:rsidRDefault="00C06C6E" w:rsidP="00C06C6E">
            <w:pPr>
              <w:jc w:val="center"/>
              <w:rPr>
                <w:rFonts w:cs="Arial"/>
                <w:b/>
                <w:bCs/>
                <w:color w:val="000000"/>
                <w:sz w:val="16"/>
                <w:szCs w:val="16"/>
              </w:rPr>
            </w:pPr>
            <w:r w:rsidRPr="00970583">
              <w:rPr>
                <w:rFonts w:cs="Arial"/>
                <w:b/>
                <w:bCs/>
                <w:color w:val="000000"/>
                <w:sz w:val="16"/>
                <w:szCs w:val="16"/>
              </w:rPr>
              <w:t>Q4</w:t>
            </w:r>
          </w:p>
        </w:tc>
      </w:tr>
      <w:tr w:rsidR="00C06C6E" w:rsidRPr="00970583" w:rsidTr="00C06C6E">
        <w:trPr>
          <w:trHeight w:val="615"/>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C06C6E" w:rsidRPr="00970583" w:rsidRDefault="00C06C6E" w:rsidP="00C06C6E">
            <w:pPr>
              <w:rPr>
                <w:rFonts w:cs="Arial"/>
                <w:color w:val="000000"/>
                <w:sz w:val="16"/>
                <w:szCs w:val="16"/>
              </w:rPr>
            </w:pPr>
            <w:r w:rsidRPr="00970583">
              <w:rPr>
                <w:rFonts w:cs="Arial"/>
                <w:color w:val="000000"/>
                <w:sz w:val="16"/>
                <w:szCs w:val="16"/>
              </w:rPr>
              <w:t xml:space="preserve">Call for expressions of interest </w:t>
            </w:r>
            <w:r>
              <w:rPr>
                <w:rFonts w:cs="Arial"/>
                <w:color w:val="000000"/>
                <w:sz w:val="16"/>
                <w:szCs w:val="16"/>
              </w:rPr>
              <w:t>p</w:t>
            </w:r>
            <w:r w:rsidRPr="00970583">
              <w:rPr>
                <w:rFonts w:cs="Arial"/>
                <w:color w:val="000000"/>
                <w:sz w:val="16"/>
                <w:szCs w:val="16"/>
              </w:rPr>
              <w:t>ilot/</w:t>
            </w:r>
            <w:r>
              <w:rPr>
                <w:rFonts w:cs="Arial"/>
                <w:color w:val="000000"/>
                <w:sz w:val="16"/>
                <w:szCs w:val="16"/>
              </w:rPr>
              <w:t>a</w:t>
            </w:r>
            <w:r w:rsidRPr="00970583">
              <w:rPr>
                <w:rFonts w:cs="Arial"/>
                <w:color w:val="000000"/>
                <w:sz w:val="16"/>
                <w:szCs w:val="16"/>
              </w:rPr>
              <w:t>rchitect</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C06C6E" w:rsidRPr="00970583" w:rsidRDefault="00C06C6E" w:rsidP="00C06C6E">
            <w:pPr>
              <w:rPr>
                <w:rFonts w:cs="Arial"/>
                <w:color w:val="000000"/>
                <w:sz w:val="16"/>
                <w:szCs w:val="16"/>
              </w:rPr>
            </w:pPr>
            <w:r w:rsidRPr="00970583">
              <w:rPr>
                <w:rFonts w:cs="Arial"/>
                <w:color w:val="000000"/>
                <w:sz w:val="16"/>
                <w:szCs w:val="16"/>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C06C6E" w:rsidRPr="00970583" w:rsidRDefault="00C06C6E" w:rsidP="00C06C6E">
            <w:pPr>
              <w:rPr>
                <w:rFonts w:cs="Arial"/>
                <w:color w:val="000000"/>
                <w:sz w:val="16"/>
                <w:szCs w:val="16"/>
              </w:rPr>
            </w:pPr>
            <w:r w:rsidRPr="00970583">
              <w:rPr>
                <w:rFonts w:cs="Arial"/>
                <w:color w:val="000000"/>
                <w:sz w:val="16"/>
                <w:szCs w:val="16"/>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C06C6E" w:rsidRPr="00970583" w:rsidRDefault="00C06C6E" w:rsidP="00C06C6E">
            <w:pPr>
              <w:rPr>
                <w:rFonts w:cs="Arial"/>
                <w:color w:val="000000"/>
                <w:sz w:val="16"/>
                <w:szCs w:val="16"/>
              </w:rPr>
            </w:pPr>
            <w:r w:rsidRPr="00970583">
              <w:rPr>
                <w:rFonts w:cs="Arial"/>
                <w:color w:val="000000"/>
                <w:sz w:val="16"/>
                <w:szCs w:val="16"/>
              </w:rPr>
              <w:t> </w:t>
            </w: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r w:rsidRPr="00970583">
              <w:rPr>
                <w:rFonts w:cs="Arial"/>
                <w:color w:val="000000"/>
                <w:sz w:val="16"/>
                <w:szCs w:val="16"/>
              </w:rPr>
              <w:t>X</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40" w:type="dxa"/>
            <w:gridSpan w:val="2"/>
            <w:tcBorders>
              <w:top w:val="nil"/>
              <w:left w:val="nil"/>
              <w:bottom w:val="single" w:sz="4" w:space="0" w:color="auto"/>
              <w:right w:val="single" w:sz="8" w:space="0" w:color="auto"/>
            </w:tcBorders>
            <w:tcMar>
              <w:left w:w="0" w:type="dxa"/>
              <w:right w:w="0" w:type="dxa"/>
            </w:tcMar>
          </w:tcPr>
          <w:p w:rsidR="00C06C6E" w:rsidRPr="00970583" w:rsidRDefault="00C06C6E" w:rsidP="00C06C6E">
            <w:pPr>
              <w:jc w:val="center"/>
              <w:rPr>
                <w:rFonts w:cs="Arial"/>
                <w:color w:val="000000"/>
                <w:sz w:val="16"/>
                <w:szCs w:val="16"/>
              </w:rPr>
            </w:pPr>
          </w:p>
        </w:tc>
        <w:tc>
          <w:tcPr>
            <w:tcW w:w="340" w:type="dxa"/>
            <w:tcBorders>
              <w:top w:val="nil"/>
              <w:left w:val="nil"/>
              <w:bottom w:val="single" w:sz="4" w:space="0" w:color="auto"/>
              <w:right w:val="single" w:sz="8" w:space="0" w:color="auto"/>
            </w:tcBorders>
            <w:tcMar>
              <w:left w:w="0" w:type="dxa"/>
              <w:right w:w="0" w:type="dxa"/>
            </w:tcMar>
          </w:tcPr>
          <w:p w:rsidR="00C06C6E" w:rsidRPr="00970583" w:rsidRDefault="00C06C6E" w:rsidP="00C06C6E">
            <w:pPr>
              <w:jc w:val="center"/>
              <w:rPr>
                <w:rFonts w:cs="Arial"/>
                <w:color w:val="000000"/>
                <w:sz w:val="16"/>
                <w:szCs w:val="16"/>
              </w:rPr>
            </w:pPr>
          </w:p>
        </w:tc>
        <w:tc>
          <w:tcPr>
            <w:tcW w:w="430" w:type="dxa"/>
            <w:tcBorders>
              <w:top w:val="nil"/>
              <w:left w:val="nil"/>
              <w:bottom w:val="single" w:sz="4" w:space="0" w:color="auto"/>
              <w:right w:val="single" w:sz="8" w:space="0" w:color="auto"/>
            </w:tcBorders>
          </w:tcPr>
          <w:p w:rsidR="00C06C6E" w:rsidRPr="00970583" w:rsidRDefault="00C06C6E" w:rsidP="00C06C6E">
            <w:pPr>
              <w:jc w:val="center"/>
              <w:rPr>
                <w:rFonts w:cs="Arial"/>
                <w:color w:val="000000"/>
                <w:sz w:val="16"/>
                <w:szCs w:val="16"/>
              </w:rPr>
            </w:pPr>
          </w:p>
        </w:tc>
        <w:tc>
          <w:tcPr>
            <w:tcW w:w="430" w:type="dxa"/>
            <w:tcBorders>
              <w:top w:val="nil"/>
              <w:left w:val="nil"/>
              <w:bottom w:val="single" w:sz="4" w:space="0" w:color="auto"/>
              <w:right w:val="single" w:sz="4" w:space="0" w:color="auto"/>
            </w:tcBorders>
          </w:tcPr>
          <w:p w:rsidR="00C06C6E" w:rsidRPr="00970583" w:rsidRDefault="00C06C6E" w:rsidP="00C06C6E">
            <w:pPr>
              <w:jc w:val="center"/>
              <w:rPr>
                <w:rFonts w:cs="Arial"/>
                <w:color w:val="000000"/>
                <w:sz w:val="16"/>
                <w:szCs w:val="16"/>
              </w:rPr>
            </w:pPr>
          </w:p>
        </w:tc>
      </w:tr>
      <w:tr w:rsidR="00C06C6E" w:rsidRPr="00970583" w:rsidTr="00C06C6E">
        <w:trPr>
          <w:trHeight w:val="413"/>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C06C6E" w:rsidRPr="00970583" w:rsidRDefault="00C06C6E" w:rsidP="00C06C6E">
            <w:pPr>
              <w:rPr>
                <w:rFonts w:cs="Arial"/>
                <w:color w:val="000000"/>
                <w:sz w:val="16"/>
                <w:szCs w:val="16"/>
              </w:rPr>
            </w:pPr>
            <w:r w:rsidRPr="00970583">
              <w:rPr>
                <w:rFonts w:cs="Arial"/>
                <w:color w:val="000000"/>
                <w:sz w:val="16"/>
                <w:szCs w:val="16"/>
              </w:rPr>
              <w:t xml:space="preserve">Call for tenders and selection of </w:t>
            </w:r>
            <w:r>
              <w:rPr>
                <w:rFonts w:cs="Arial"/>
                <w:color w:val="000000"/>
                <w:sz w:val="16"/>
                <w:szCs w:val="16"/>
              </w:rPr>
              <w:t>p</w:t>
            </w:r>
            <w:r w:rsidRPr="00970583">
              <w:rPr>
                <w:rFonts w:cs="Arial"/>
                <w:color w:val="000000"/>
                <w:sz w:val="16"/>
                <w:szCs w:val="16"/>
              </w:rPr>
              <w:t>ilot/</w:t>
            </w:r>
            <w:r>
              <w:rPr>
                <w:rFonts w:cs="Arial"/>
                <w:color w:val="000000"/>
                <w:sz w:val="16"/>
                <w:szCs w:val="16"/>
              </w:rPr>
              <w:t>a</w:t>
            </w:r>
            <w:r w:rsidRPr="00970583">
              <w:rPr>
                <w:rFonts w:cs="Arial"/>
                <w:color w:val="000000"/>
                <w:sz w:val="16"/>
                <w:szCs w:val="16"/>
              </w:rPr>
              <w:t>rchitect and engineers</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C06C6E" w:rsidRPr="00970583" w:rsidRDefault="00C06C6E" w:rsidP="00C06C6E">
            <w:pPr>
              <w:rPr>
                <w:rFonts w:cs="Arial"/>
                <w:color w:val="000000"/>
                <w:sz w:val="16"/>
                <w:szCs w:val="16"/>
              </w:rPr>
            </w:pPr>
            <w:r w:rsidRPr="00970583">
              <w:rPr>
                <w:rFonts w:cs="Arial"/>
                <w:color w:val="000000"/>
                <w:sz w:val="16"/>
                <w:szCs w:val="16"/>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C06C6E" w:rsidRPr="00970583" w:rsidRDefault="00C06C6E" w:rsidP="00C06C6E">
            <w:pPr>
              <w:rPr>
                <w:rFonts w:cs="Arial"/>
                <w:color w:val="000000"/>
                <w:sz w:val="16"/>
                <w:szCs w:val="16"/>
              </w:rPr>
            </w:pPr>
            <w:r w:rsidRPr="00970583">
              <w:rPr>
                <w:rFonts w:cs="Arial"/>
                <w:color w:val="000000"/>
                <w:sz w:val="16"/>
                <w:szCs w:val="16"/>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C06C6E" w:rsidRPr="00970583" w:rsidRDefault="00C06C6E" w:rsidP="00C06C6E">
            <w:pPr>
              <w:rPr>
                <w:rFonts w:cs="Arial"/>
                <w:color w:val="000000"/>
                <w:sz w:val="16"/>
                <w:szCs w:val="16"/>
              </w:rPr>
            </w:pPr>
            <w:r w:rsidRPr="00970583">
              <w:rPr>
                <w:rFonts w:cs="Arial"/>
                <w:color w:val="000000"/>
                <w:sz w:val="16"/>
                <w:szCs w:val="16"/>
              </w:rPr>
              <w:t> </w:t>
            </w: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r w:rsidRPr="00970583">
              <w:rPr>
                <w:rFonts w:cs="Arial"/>
                <w:color w:val="000000"/>
                <w:sz w:val="16"/>
                <w:szCs w:val="16"/>
              </w:rPr>
              <w:t>X</w:t>
            </w: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r w:rsidRPr="00970583">
              <w:rPr>
                <w:rFonts w:cs="Arial"/>
                <w:color w:val="000000"/>
                <w:sz w:val="16"/>
                <w:szCs w:val="16"/>
              </w:rPr>
              <w:t>X</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40" w:type="dxa"/>
            <w:gridSpan w:val="2"/>
            <w:tcBorders>
              <w:top w:val="nil"/>
              <w:left w:val="nil"/>
              <w:bottom w:val="single" w:sz="4" w:space="0" w:color="auto"/>
              <w:right w:val="single" w:sz="8" w:space="0" w:color="auto"/>
            </w:tcBorders>
            <w:tcMar>
              <w:left w:w="0" w:type="dxa"/>
              <w:right w:w="0" w:type="dxa"/>
            </w:tcMar>
          </w:tcPr>
          <w:p w:rsidR="00C06C6E" w:rsidRPr="00970583" w:rsidRDefault="00C06C6E" w:rsidP="00C06C6E">
            <w:pPr>
              <w:jc w:val="center"/>
              <w:rPr>
                <w:rFonts w:cs="Arial"/>
                <w:color w:val="000000"/>
                <w:sz w:val="16"/>
                <w:szCs w:val="16"/>
              </w:rPr>
            </w:pPr>
          </w:p>
        </w:tc>
        <w:tc>
          <w:tcPr>
            <w:tcW w:w="340" w:type="dxa"/>
            <w:tcBorders>
              <w:top w:val="nil"/>
              <w:left w:val="nil"/>
              <w:bottom w:val="single" w:sz="4" w:space="0" w:color="auto"/>
              <w:right w:val="single" w:sz="8" w:space="0" w:color="auto"/>
            </w:tcBorders>
            <w:tcMar>
              <w:left w:w="0" w:type="dxa"/>
              <w:right w:w="0" w:type="dxa"/>
            </w:tcMar>
          </w:tcPr>
          <w:p w:rsidR="00C06C6E" w:rsidRPr="00970583" w:rsidRDefault="00C06C6E" w:rsidP="00C06C6E">
            <w:pPr>
              <w:jc w:val="center"/>
              <w:rPr>
                <w:rFonts w:cs="Arial"/>
                <w:color w:val="000000"/>
                <w:sz w:val="16"/>
                <w:szCs w:val="16"/>
              </w:rPr>
            </w:pPr>
          </w:p>
        </w:tc>
        <w:tc>
          <w:tcPr>
            <w:tcW w:w="430" w:type="dxa"/>
            <w:tcBorders>
              <w:top w:val="nil"/>
              <w:left w:val="nil"/>
              <w:bottom w:val="single" w:sz="4" w:space="0" w:color="auto"/>
              <w:right w:val="single" w:sz="8" w:space="0" w:color="auto"/>
            </w:tcBorders>
          </w:tcPr>
          <w:p w:rsidR="00C06C6E" w:rsidRPr="00970583" w:rsidRDefault="00C06C6E" w:rsidP="00C06C6E">
            <w:pPr>
              <w:jc w:val="center"/>
              <w:rPr>
                <w:rFonts w:cs="Arial"/>
                <w:color w:val="000000"/>
                <w:sz w:val="16"/>
                <w:szCs w:val="16"/>
              </w:rPr>
            </w:pPr>
          </w:p>
        </w:tc>
        <w:tc>
          <w:tcPr>
            <w:tcW w:w="430" w:type="dxa"/>
            <w:tcBorders>
              <w:top w:val="nil"/>
              <w:left w:val="nil"/>
              <w:bottom w:val="single" w:sz="4" w:space="0" w:color="auto"/>
              <w:right w:val="single" w:sz="4" w:space="0" w:color="auto"/>
            </w:tcBorders>
          </w:tcPr>
          <w:p w:rsidR="00C06C6E" w:rsidRPr="00970583" w:rsidRDefault="00C06C6E" w:rsidP="00C06C6E">
            <w:pPr>
              <w:jc w:val="center"/>
              <w:rPr>
                <w:rFonts w:cs="Arial"/>
                <w:color w:val="000000"/>
                <w:sz w:val="16"/>
                <w:szCs w:val="16"/>
              </w:rPr>
            </w:pPr>
          </w:p>
        </w:tc>
      </w:tr>
      <w:tr w:rsidR="00C06C6E" w:rsidRPr="00970583" w:rsidTr="00C06C6E">
        <w:trPr>
          <w:trHeight w:val="507"/>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C06C6E" w:rsidRPr="00970583" w:rsidRDefault="00C06C6E" w:rsidP="00C06C6E">
            <w:pPr>
              <w:rPr>
                <w:rFonts w:cs="Arial"/>
                <w:color w:val="000000"/>
                <w:sz w:val="16"/>
                <w:szCs w:val="16"/>
              </w:rPr>
            </w:pPr>
            <w:r w:rsidRPr="00970583">
              <w:rPr>
                <w:rFonts w:cs="Arial"/>
                <w:color w:val="000000"/>
                <w:sz w:val="16"/>
                <w:szCs w:val="16"/>
              </w:rPr>
              <w:t xml:space="preserve">Comprehensive </w:t>
            </w:r>
            <w:r>
              <w:rPr>
                <w:rFonts w:cs="Arial"/>
                <w:color w:val="000000"/>
                <w:sz w:val="16"/>
                <w:szCs w:val="16"/>
              </w:rPr>
              <w:t>study on implementation</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C06C6E" w:rsidRPr="00970583" w:rsidRDefault="00C06C6E" w:rsidP="00C06C6E">
            <w:pPr>
              <w:rPr>
                <w:rFonts w:cs="Arial"/>
                <w:color w:val="000000"/>
                <w:sz w:val="16"/>
                <w:szCs w:val="16"/>
              </w:rPr>
            </w:pPr>
            <w:r w:rsidRPr="00970583">
              <w:rPr>
                <w:rFonts w:cs="Arial"/>
                <w:color w:val="000000"/>
                <w:sz w:val="16"/>
                <w:szCs w:val="16"/>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C06C6E" w:rsidRPr="00970583" w:rsidRDefault="00C06C6E" w:rsidP="00C06C6E">
            <w:pPr>
              <w:rPr>
                <w:rFonts w:cs="Arial"/>
                <w:color w:val="000000"/>
                <w:sz w:val="16"/>
                <w:szCs w:val="16"/>
              </w:rPr>
            </w:pPr>
            <w:r w:rsidRPr="00970583">
              <w:rPr>
                <w:rFonts w:cs="Arial"/>
                <w:color w:val="000000"/>
                <w:sz w:val="16"/>
                <w:szCs w:val="16"/>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C06C6E" w:rsidRPr="00970583" w:rsidRDefault="00C06C6E" w:rsidP="00C06C6E">
            <w:pPr>
              <w:rPr>
                <w:rFonts w:cs="Arial"/>
                <w:color w:val="000000"/>
                <w:sz w:val="16"/>
                <w:szCs w:val="16"/>
              </w:rPr>
            </w:pPr>
            <w:r w:rsidRPr="00970583">
              <w:rPr>
                <w:rFonts w:cs="Arial"/>
                <w:color w:val="000000"/>
                <w:sz w:val="16"/>
                <w:szCs w:val="16"/>
              </w:rPr>
              <w:t> </w:t>
            </w: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r w:rsidRPr="00970583">
              <w:rPr>
                <w:rFonts w:cs="Arial"/>
                <w:color w:val="000000"/>
                <w:sz w:val="16"/>
                <w:szCs w:val="16"/>
              </w:rPr>
              <w:t>X</w:t>
            </w: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r w:rsidRPr="00970583">
              <w:rPr>
                <w:rFonts w:cs="Arial"/>
                <w:color w:val="000000"/>
                <w:sz w:val="16"/>
                <w:szCs w:val="16"/>
              </w:rPr>
              <w:t>X</w:t>
            </w: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40" w:type="dxa"/>
            <w:gridSpan w:val="2"/>
            <w:tcBorders>
              <w:top w:val="nil"/>
              <w:left w:val="nil"/>
              <w:bottom w:val="single" w:sz="4" w:space="0" w:color="auto"/>
              <w:right w:val="single" w:sz="8" w:space="0" w:color="auto"/>
            </w:tcBorders>
            <w:tcMar>
              <w:left w:w="0" w:type="dxa"/>
              <w:right w:w="0" w:type="dxa"/>
            </w:tcMar>
          </w:tcPr>
          <w:p w:rsidR="00C06C6E" w:rsidRPr="00970583" w:rsidRDefault="00C06C6E" w:rsidP="00C06C6E">
            <w:pPr>
              <w:jc w:val="center"/>
              <w:rPr>
                <w:rFonts w:cs="Arial"/>
                <w:color w:val="000000"/>
                <w:sz w:val="16"/>
                <w:szCs w:val="16"/>
              </w:rPr>
            </w:pPr>
          </w:p>
        </w:tc>
        <w:tc>
          <w:tcPr>
            <w:tcW w:w="340" w:type="dxa"/>
            <w:tcBorders>
              <w:top w:val="nil"/>
              <w:left w:val="nil"/>
              <w:bottom w:val="single" w:sz="4" w:space="0" w:color="auto"/>
              <w:right w:val="single" w:sz="8" w:space="0" w:color="auto"/>
            </w:tcBorders>
            <w:tcMar>
              <w:left w:w="0" w:type="dxa"/>
              <w:right w:w="0" w:type="dxa"/>
            </w:tcMar>
          </w:tcPr>
          <w:p w:rsidR="00C06C6E" w:rsidRPr="00970583" w:rsidRDefault="00C06C6E" w:rsidP="00C06C6E">
            <w:pPr>
              <w:jc w:val="center"/>
              <w:rPr>
                <w:rFonts w:cs="Arial"/>
                <w:color w:val="000000"/>
                <w:sz w:val="16"/>
                <w:szCs w:val="16"/>
              </w:rPr>
            </w:pPr>
          </w:p>
        </w:tc>
        <w:tc>
          <w:tcPr>
            <w:tcW w:w="430" w:type="dxa"/>
            <w:tcBorders>
              <w:top w:val="nil"/>
              <w:left w:val="nil"/>
              <w:bottom w:val="single" w:sz="4" w:space="0" w:color="auto"/>
              <w:right w:val="single" w:sz="8" w:space="0" w:color="auto"/>
            </w:tcBorders>
          </w:tcPr>
          <w:p w:rsidR="00C06C6E" w:rsidRPr="00970583" w:rsidRDefault="00C06C6E" w:rsidP="00C06C6E">
            <w:pPr>
              <w:jc w:val="center"/>
              <w:rPr>
                <w:rFonts w:cs="Arial"/>
                <w:color w:val="000000"/>
                <w:sz w:val="16"/>
                <w:szCs w:val="16"/>
              </w:rPr>
            </w:pPr>
          </w:p>
        </w:tc>
        <w:tc>
          <w:tcPr>
            <w:tcW w:w="430" w:type="dxa"/>
            <w:tcBorders>
              <w:top w:val="nil"/>
              <w:left w:val="nil"/>
              <w:bottom w:val="single" w:sz="4" w:space="0" w:color="auto"/>
              <w:right w:val="single" w:sz="4" w:space="0" w:color="auto"/>
            </w:tcBorders>
          </w:tcPr>
          <w:p w:rsidR="00C06C6E" w:rsidRPr="00970583" w:rsidRDefault="00C06C6E" w:rsidP="00C06C6E">
            <w:pPr>
              <w:jc w:val="center"/>
              <w:rPr>
                <w:rFonts w:cs="Arial"/>
                <w:color w:val="000000"/>
                <w:sz w:val="16"/>
                <w:szCs w:val="16"/>
              </w:rPr>
            </w:pPr>
          </w:p>
        </w:tc>
      </w:tr>
      <w:tr w:rsidR="00C06C6E" w:rsidRPr="00970583" w:rsidTr="00C06C6E">
        <w:trPr>
          <w:trHeight w:val="615"/>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C06C6E" w:rsidRPr="00970583" w:rsidRDefault="00C06C6E" w:rsidP="00C06C6E">
            <w:pPr>
              <w:rPr>
                <w:rFonts w:cs="Arial"/>
                <w:color w:val="000000"/>
                <w:sz w:val="16"/>
                <w:szCs w:val="16"/>
              </w:rPr>
            </w:pPr>
            <w:r w:rsidRPr="00970583">
              <w:rPr>
                <w:rFonts w:cs="Arial"/>
                <w:color w:val="000000"/>
                <w:sz w:val="16"/>
                <w:szCs w:val="16"/>
              </w:rPr>
              <w:t>Choice of technical solution</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C06C6E" w:rsidRPr="00970583" w:rsidRDefault="00C06C6E" w:rsidP="00C06C6E">
            <w:pPr>
              <w:rPr>
                <w:rFonts w:cs="Arial"/>
                <w:color w:val="000000"/>
                <w:sz w:val="16"/>
                <w:szCs w:val="16"/>
              </w:rPr>
            </w:pPr>
            <w:r w:rsidRPr="00970583">
              <w:rPr>
                <w:rFonts w:cs="Arial"/>
                <w:color w:val="000000"/>
                <w:sz w:val="16"/>
                <w:szCs w:val="16"/>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C06C6E" w:rsidRPr="00970583" w:rsidRDefault="00C06C6E" w:rsidP="00C06C6E">
            <w:pPr>
              <w:rPr>
                <w:rFonts w:cs="Arial"/>
                <w:color w:val="000000"/>
                <w:sz w:val="16"/>
                <w:szCs w:val="16"/>
              </w:rPr>
            </w:pPr>
            <w:r w:rsidRPr="00970583">
              <w:rPr>
                <w:rFonts w:cs="Arial"/>
                <w:color w:val="000000"/>
                <w:sz w:val="16"/>
                <w:szCs w:val="16"/>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C06C6E" w:rsidRPr="00970583" w:rsidRDefault="00C06C6E" w:rsidP="00C06C6E">
            <w:pPr>
              <w:rPr>
                <w:rFonts w:cs="Arial"/>
                <w:color w:val="000000"/>
                <w:sz w:val="16"/>
                <w:szCs w:val="16"/>
              </w:rPr>
            </w:pPr>
            <w:r w:rsidRPr="00970583">
              <w:rPr>
                <w:rFonts w:cs="Arial"/>
                <w:color w:val="000000"/>
                <w:sz w:val="16"/>
                <w:szCs w:val="16"/>
              </w:rPr>
              <w:t> </w:t>
            </w: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r w:rsidRPr="00970583">
              <w:rPr>
                <w:rFonts w:cs="Arial"/>
                <w:color w:val="000000"/>
                <w:sz w:val="16"/>
                <w:szCs w:val="16"/>
              </w:rPr>
              <w:t>X</w:t>
            </w: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40" w:type="dxa"/>
            <w:gridSpan w:val="2"/>
            <w:tcBorders>
              <w:top w:val="nil"/>
              <w:left w:val="nil"/>
              <w:bottom w:val="single" w:sz="4" w:space="0" w:color="auto"/>
              <w:right w:val="single" w:sz="8" w:space="0" w:color="auto"/>
            </w:tcBorders>
            <w:tcMar>
              <w:left w:w="0" w:type="dxa"/>
              <w:right w:w="0" w:type="dxa"/>
            </w:tcMar>
          </w:tcPr>
          <w:p w:rsidR="00C06C6E" w:rsidRPr="00970583" w:rsidRDefault="00C06C6E" w:rsidP="00C06C6E">
            <w:pPr>
              <w:jc w:val="center"/>
              <w:rPr>
                <w:rFonts w:cs="Arial"/>
                <w:color w:val="000000"/>
                <w:sz w:val="16"/>
                <w:szCs w:val="16"/>
              </w:rPr>
            </w:pPr>
          </w:p>
        </w:tc>
        <w:tc>
          <w:tcPr>
            <w:tcW w:w="340" w:type="dxa"/>
            <w:tcBorders>
              <w:top w:val="nil"/>
              <w:left w:val="nil"/>
              <w:bottom w:val="single" w:sz="4" w:space="0" w:color="auto"/>
              <w:right w:val="single" w:sz="8" w:space="0" w:color="auto"/>
            </w:tcBorders>
            <w:tcMar>
              <w:left w:w="0" w:type="dxa"/>
              <w:right w:w="0" w:type="dxa"/>
            </w:tcMar>
          </w:tcPr>
          <w:p w:rsidR="00C06C6E" w:rsidRPr="00970583" w:rsidRDefault="00C06C6E" w:rsidP="00C06C6E">
            <w:pPr>
              <w:jc w:val="center"/>
              <w:rPr>
                <w:rFonts w:cs="Arial"/>
                <w:color w:val="000000"/>
                <w:sz w:val="16"/>
                <w:szCs w:val="16"/>
              </w:rPr>
            </w:pPr>
          </w:p>
        </w:tc>
        <w:tc>
          <w:tcPr>
            <w:tcW w:w="430" w:type="dxa"/>
            <w:tcBorders>
              <w:top w:val="nil"/>
              <w:left w:val="nil"/>
              <w:bottom w:val="single" w:sz="4" w:space="0" w:color="auto"/>
              <w:right w:val="single" w:sz="8" w:space="0" w:color="auto"/>
            </w:tcBorders>
          </w:tcPr>
          <w:p w:rsidR="00C06C6E" w:rsidRPr="00970583" w:rsidRDefault="00C06C6E" w:rsidP="00C06C6E">
            <w:pPr>
              <w:jc w:val="center"/>
              <w:rPr>
                <w:rFonts w:cs="Arial"/>
                <w:color w:val="000000"/>
                <w:sz w:val="16"/>
                <w:szCs w:val="16"/>
              </w:rPr>
            </w:pPr>
          </w:p>
        </w:tc>
        <w:tc>
          <w:tcPr>
            <w:tcW w:w="430" w:type="dxa"/>
            <w:tcBorders>
              <w:top w:val="nil"/>
              <w:left w:val="nil"/>
              <w:bottom w:val="single" w:sz="4" w:space="0" w:color="auto"/>
              <w:right w:val="single" w:sz="4" w:space="0" w:color="auto"/>
            </w:tcBorders>
          </w:tcPr>
          <w:p w:rsidR="00C06C6E" w:rsidRPr="00970583" w:rsidRDefault="00C06C6E" w:rsidP="00C06C6E">
            <w:pPr>
              <w:jc w:val="center"/>
              <w:rPr>
                <w:rFonts w:cs="Arial"/>
                <w:color w:val="000000"/>
                <w:sz w:val="16"/>
                <w:szCs w:val="16"/>
              </w:rPr>
            </w:pPr>
          </w:p>
        </w:tc>
      </w:tr>
      <w:tr w:rsidR="00C06C6E" w:rsidRPr="00970583" w:rsidTr="00C06C6E">
        <w:trPr>
          <w:trHeight w:val="563"/>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C06C6E" w:rsidRPr="00970583" w:rsidRDefault="00C06C6E" w:rsidP="00C06C6E">
            <w:pPr>
              <w:rPr>
                <w:rFonts w:cs="Arial"/>
                <w:color w:val="000000"/>
                <w:sz w:val="16"/>
                <w:szCs w:val="16"/>
              </w:rPr>
            </w:pPr>
            <w:r w:rsidRPr="00970583">
              <w:rPr>
                <w:rFonts w:cs="Arial"/>
                <w:color w:val="000000"/>
                <w:sz w:val="16"/>
                <w:szCs w:val="16"/>
              </w:rPr>
              <w:t xml:space="preserve">Call for tenders </w:t>
            </w:r>
            <w:r>
              <w:rPr>
                <w:rFonts w:cs="Arial"/>
                <w:color w:val="000000"/>
                <w:sz w:val="16"/>
                <w:szCs w:val="16"/>
              </w:rPr>
              <w:t>from firms</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C06C6E" w:rsidRPr="00970583" w:rsidRDefault="00C06C6E" w:rsidP="00C06C6E">
            <w:pPr>
              <w:rPr>
                <w:rFonts w:cs="Arial"/>
                <w:color w:val="000000"/>
                <w:sz w:val="16"/>
                <w:szCs w:val="16"/>
              </w:rPr>
            </w:pPr>
            <w:r w:rsidRPr="00970583">
              <w:rPr>
                <w:rFonts w:cs="Arial"/>
                <w:color w:val="000000"/>
                <w:sz w:val="16"/>
                <w:szCs w:val="16"/>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C06C6E" w:rsidRPr="00970583" w:rsidRDefault="00C06C6E" w:rsidP="00C06C6E">
            <w:pPr>
              <w:rPr>
                <w:rFonts w:cs="Arial"/>
                <w:color w:val="000000"/>
                <w:sz w:val="16"/>
                <w:szCs w:val="16"/>
              </w:rPr>
            </w:pPr>
            <w:r w:rsidRPr="00970583">
              <w:rPr>
                <w:rFonts w:cs="Arial"/>
                <w:color w:val="000000"/>
                <w:sz w:val="16"/>
                <w:szCs w:val="16"/>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C06C6E" w:rsidRPr="00970583" w:rsidRDefault="00C06C6E" w:rsidP="00C06C6E">
            <w:pPr>
              <w:rPr>
                <w:rFonts w:cs="Arial"/>
                <w:color w:val="000000"/>
                <w:sz w:val="16"/>
                <w:szCs w:val="16"/>
              </w:rPr>
            </w:pPr>
            <w:r w:rsidRPr="00970583">
              <w:rPr>
                <w:rFonts w:cs="Arial"/>
                <w:color w:val="000000"/>
                <w:sz w:val="16"/>
                <w:szCs w:val="16"/>
              </w:rPr>
              <w:t> </w:t>
            </w: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r w:rsidRPr="00970583">
              <w:rPr>
                <w:rFonts w:cs="Arial"/>
                <w:color w:val="000000"/>
                <w:sz w:val="16"/>
                <w:szCs w:val="16"/>
              </w:rPr>
              <w:t>X</w:t>
            </w: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r w:rsidRPr="00970583">
              <w:rPr>
                <w:rFonts w:cs="Arial"/>
                <w:color w:val="000000"/>
                <w:sz w:val="16"/>
                <w:szCs w:val="16"/>
              </w:rPr>
              <w:t>X</w:t>
            </w: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r w:rsidRPr="00970583">
              <w:rPr>
                <w:rFonts w:cs="Arial"/>
                <w:color w:val="000000"/>
                <w:sz w:val="16"/>
                <w:szCs w:val="16"/>
              </w:rPr>
              <w:t>X</w:t>
            </w: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06C6E" w:rsidRPr="00970583" w:rsidRDefault="00C06C6E" w:rsidP="00C06C6E">
            <w:pPr>
              <w:jc w:val="center"/>
              <w:rPr>
                <w:rFonts w:cs="Arial"/>
                <w:color w:val="000000"/>
                <w:sz w:val="16"/>
                <w:szCs w:val="16"/>
              </w:rPr>
            </w:pPr>
          </w:p>
        </w:tc>
        <w:tc>
          <w:tcPr>
            <w:tcW w:w="340" w:type="dxa"/>
            <w:gridSpan w:val="2"/>
            <w:tcBorders>
              <w:top w:val="nil"/>
              <w:left w:val="nil"/>
              <w:bottom w:val="single" w:sz="4" w:space="0" w:color="auto"/>
              <w:right w:val="single" w:sz="8" w:space="0" w:color="auto"/>
            </w:tcBorders>
            <w:tcMar>
              <w:left w:w="0" w:type="dxa"/>
              <w:right w:w="0" w:type="dxa"/>
            </w:tcMar>
          </w:tcPr>
          <w:p w:rsidR="00C06C6E" w:rsidRPr="00970583" w:rsidRDefault="00C06C6E" w:rsidP="00C06C6E">
            <w:pPr>
              <w:jc w:val="center"/>
              <w:rPr>
                <w:rFonts w:cs="Arial"/>
                <w:color w:val="000000"/>
                <w:sz w:val="16"/>
                <w:szCs w:val="16"/>
              </w:rPr>
            </w:pPr>
          </w:p>
        </w:tc>
        <w:tc>
          <w:tcPr>
            <w:tcW w:w="340" w:type="dxa"/>
            <w:tcBorders>
              <w:top w:val="nil"/>
              <w:left w:val="nil"/>
              <w:bottom w:val="single" w:sz="4" w:space="0" w:color="auto"/>
              <w:right w:val="single" w:sz="8" w:space="0" w:color="auto"/>
            </w:tcBorders>
            <w:tcMar>
              <w:left w:w="0" w:type="dxa"/>
              <w:right w:w="0" w:type="dxa"/>
            </w:tcMar>
          </w:tcPr>
          <w:p w:rsidR="00C06C6E" w:rsidRPr="00970583" w:rsidRDefault="00C06C6E" w:rsidP="00C06C6E">
            <w:pPr>
              <w:jc w:val="center"/>
              <w:rPr>
                <w:rFonts w:cs="Arial"/>
                <w:color w:val="000000"/>
                <w:sz w:val="16"/>
                <w:szCs w:val="16"/>
              </w:rPr>
            </w:pPr>
          </w:p>
        </w:tc>
        <w:tc>
          <w:tcPr>
            <w:tcW w:w="430" w:type="dxa"/>
            <w:tcBorders>
              <w:top w:val="nil"/>
              <w:left w:val="nil"/>
              <w:bottom w:val="single" w:sz="4" w:space="0" w:color="auto"/>
              <w:right w:val="single" w:sz="8" w:space="0" w:color="auto"/>
            </w:tcBorders>
          </w:tcPr>
          <w:p w:rsidR="00C06C6E" w:rsidRPr="00970583" w:rsidRDefault="00C06C6E" w:rsidP="00C06C6E">
            <w:pPr>
              <w:jc w:val="center"/>
              <w:rPr>
                <w:rFonts w:cs="Arial"/>
                <w:color w:val="000000"/>
                <w:sz w:val="16"/>
                <w:szCs w:val="16"/>
              </w:rPr>
            </w:pPr>
          </w:p>
        </w:tc>
        <w:tc>
          <w:tcPr>
            <w:tcW w:w="430" w:type="dxa"/>
            <w:tcBorders>
              <w:top w:val="nil"/>
              <w:left w:val="nil"/>
              <w:bottom w:val="single" w:sz="4" w:space="0" w:color="auto"/>
              <w:right w:val="single" w:sz="4" w:space="0" w:color="auto"/>
            </w:tcBorders>
          </w:tcPr>
          <w:p w:rsidR="00C06C6E" w:rsidRPr="00970583" w:rsidRDefault="00C06C6E" w:rsidP="00C06C6E">
            <w:pPr>
              <w:jc w:val="center"/>
              <w:rPr>
                <w:rFonts w:cs="Arial"/>
                <w:color w:val="000000"/>
                <w:sz w:val="16"/>
                <w:szCs w:val="16"/>
              </w:rPr>
            </w:pPr>
          </w:p>
        </w:tc>
      </w:tr>
      <w:tr w:rsidR="00C06C6E" w:rsidRPr="00970583" w:rsidTr="00C06C6E">
        <w:trPr>
          <w:trHeight w:val="415"/>
          <w:jc w:val="center"/>
        </w:trPr>
        <w:tc>
          <w:tcPr>
            <w:tcW w:w="1999" w:type="dxa"/>
            <w:tcBorders>
              <w:top w:val="single" w:sz="4" w:space="0" w:color="auto"/>
              <w:left w:val="single" w:sz="4" w:space="0" w:color="auto"/>
              <w:bottom w:val="single" w:sz="4" w:space="0" w:color="auto"/>
              <w:right w:val="single" w:sz="8" w:space="0" w:color="auto"/>
            </w:tcBorders>
            <w:shd w:val="clear" w:color="auto" w:fill="auto"/>
            <w:noWrap/>
            <w:vAlign w:val="center"/>
          </w:tcPr>
          <w:p w:rsidR="00C06C6E" w:rsidRPr="00970583" w:rsidRDefault="00C06C6E" w:rsidP="00C06C6E">
            <w:pPr>
              <w:rPr>
                <w:rFonts w:cs="Arial"/>
                <w:color w:val="000000"/>
                <w:sz w:val="16"/>
                <w:szCs w:val="16"/>
              </w:rPr>
            </w:pPr>
            <w:r w:rsidRPr="00970583">
              <w:rPr>
                <w:rFonts w:cs="Arial"/>
                <w:color w:val="000000"/>
                <w:sz w:val="16"/>
                <w:szCs w:val="16"/>
              </w:rPr>
              <w:t>Works</w:t>
            </w:r>
          </w:p>
        </w:tc>
        <w:tc>
          <w:tcPr>
            <w:tcW w:w="391"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C06C6E" w:rsidRPr="00970583" w:rsidRDefault="00C06C6E" w:rsidP="00C06C6E">
            <w:pPr>
              <w:rPr>
                <w:rFonts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C06C6E" w:rsidRPr="00970583" w:rsidRDefault="00C06C6E" w:rsidP="00C06C6E">
            <w:pPr>
              <w:rPr>
                <w:rFonts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C06C6E" w:rsidRPr="00970583" w:rsidRDefault="00C06C6E" w:rsidP="00C06C6E">
            <w:pPr>
              <w:rPr>
                <w:rFonts w:cs="Arial"/>
                <w:color w:val="000000"/>
                <w:sz w:val="16"/>
                <w:szCs w:val="16"/>
              </w:rPr>
            </w:pPr>
          </w:p>
        </w:tc>
        <w:tc>
          <w:tcPr>
            <w:tcW w:w="384" w:type="dxa"/>
            <w:gridSpan w:val="2"/>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52"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84"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85" w:type="dxa"/>
            <w:gridSpan w:val="2"/>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85" w:type="dxa"/>
            <w:gridSpan w:val="2"/>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r w:rsidRPr="00970583">
              <w:rPr>
                <w:rFonts w:cs="Arial"/>
                <w:color w:val="000000"/>
                <w:sz w:val="16"/>
                <w:szCs w:val="16"/>
              </w:rPr>
              <w:t>X</w:t>
            </w: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r w:rsidRPr="00970583">
              <w:rPr>
                <w:rFonts w:cs="Arial"/>
                <w:color w:val="000000"/>
                <w:sz w:val="16"/>
                <w:szCs w:val="16"/>
              </w:rPr>
              <w:t>X</w:t>
            </w: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r w:rsidRPr="00970583">
              <w:rPr>
                <w:rFonts w:cs="Arial"/>
                <w:color w:val="000000"/>
                <w:sz w:val="16"/>
                <w:szCs w:val="16"/>
              </w:rPr>
              <w:t>X</w:t>
            </w: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r w:rsidRPr="00970583">
              <w:rPr>
                <w:rFonts w:cs="Arial"/>
                <w:color w:val="000000"/>
                <w:sz w:val="16"/>
                <w:szCs w:val="16"/>
              </w:rPr>
              <w:t>X</w:t>
            </w:r>
          </w:p>
        </w:tc>
        <w:tc>
          <w:tcPr>
            <w:tcW w:w="340" w:type="dxa"/>
            <w:gridSpan w:val="2"/>
            <w:tcBorders>
              <w:top w:val="single" w:sz="4" w:space="0" w:color="auto"/>
              <w:left w:val="nil"/>
              <w:bottom w:val="single" w:sz="4" w:space="0" w:color="auto"/>
              <w:right w:val="single" w:sz="8" w:space="0" w:color="auto"/>
            </w:tcBorders>
            <w:tcMar>
              <w:left w:w="0" w:type="dxa"/>
              <w:right w:w="0" w:type="dxa"/>
            </w:tcMar>
          </w:tcPr>
          <w:p w:rsidR="00C06C6E" w:rsidRPr="00970583" w:rsidRDefault="00C06C6E" w:rsidP="00C06C6E">
            <w:pPr>
              <w:jc w:val="center"/>
              <w:rPr>
                <w:rFonts w:cs="Arial"/>
                <w:color w:val="000000"/>
                <w:sz w:val="16"/>
                <w:szCs w:val="16"/>
              </w:rPr>
            </w:pPr>
          </w:p>
        </w:tc>
        <w:tc>
          <w:tcPr>
            <w:tcW w:w="340" w:type="dxa"/>
            <w:tcBorders>
              <w:top w:val="single" w:sz="4" w:space="0" w:color="auto"/>
              <w:left w:val="nil"/>
              <w:bottom w:val="single" w:sz="4" w:space="0" w:color="auto"/>
              <w:right w:val="single" w:sz="8" w:space="0" w:color="auto"/>
            </w:tcBorders>
            <w:tcMar>
              <w:left w:w="0" w:type="dxa"/>
              <w:right w:w="0" w:type="dxa"/>
            </w:tcMar>
          </w:tcPr>
          <w:p w:rsidR="00C06C6E" w:rsidRPr="00970583" w:rsidRDefault="00C06C6E" w:rsidP="00C06C6E">
            <w:pPr>
              <w:jc w:val="center"/>
              <w:rPr>
                <w:rFonts w:cs="Arial"/>
                <w:color w:val="000000"/>
                <w:sz w:val="16"/>
                <w:szCs w:val="16"/>
              </w:rPr>
            </w:pPr>
          </w:p>
        </w:tc>
        <w:tc>
          <w:tcPr>
            <w:tcW w:w="430" w:type="dxa"/>
            <w:tcBorders>
              <w:top w:val="single" w:sz="4" w:space="0" w:color="auto"/>
              <w:left w:val="nil"/>
              <w:bottom w:val="single" w:sz="4" w:space="0" w:color="auto"/>
              <w:right w:val="single" w:sz="8" w:space="0" w:color="auto"/>
            </w:tcBorders>
          </w:tcPr>
          <w:p w:rsidR="00C06C6E" w:rsidRPr="00970583" w:rsidRDefault="00C06C6E" w:rsidP="00C06C6E">
            <w:pPr>
              <w:jc w:val="center"/>
              <w:rPr>
                <w:rFonts w:cs="Arial"/>
                <w:color w:val="000000"/>
                <w:sz w:val="16"/>
                <w:szCs w:val="16"/>
              </w:rPr>
            </w:pPr>
          </w:p>
        </w:tc>
        <w:tc>
          <w:tcPr>
            <w:tcW w:w="430" w:type="dxa"/>
            <w:tcBorders>
              <w:top w:val="single" w:sz="4" w:space="0" w:color="auto"/>
              <w:left w:val="nil"/>
              <w:bottom w:val="single" w:sz="4" w:space="0" w:color="auto"/>
              <w:right w:val="single" w:sz="4" w:space="0" w:color="auto"/>
            </w:tcBorders>
          </w:tcPr>
          <w:p w:rsidR="00C06C6E" w:rsidRPr="00970583" w:rsidRDefault="00C06C6E" w:rsidP="00C06C6E">
            <w:pPr>
              <w:jc w:val="center"/>
              <w:rPr>
                <w:rFonts w:cs="Arial"/>
                <w:color w:val="000000"/>
                <w:sz w:val="16"/>
                <w:szCs w:val="16"/>
              </w:rPr>
            </w:pPr>
          </w:p>
        </w:tc>
      </w:tr>
      <w:tr w:rsidR="00C06C6E" w:rsidRPr="00970583" w:rsidTr="00C06C6E">
        <w:trPr>
          <w:trHeight w:val="415"/>
          <w:jc w:val="center"/>
        </w:trPr>
        <w:tc>
          <w:tcPr>
            <w:tcW w:w="1999" w:type="dxa"/>
            <w:tcBorders>
              <w:top w:val="single" w:sz="4" w:space="0" w:color="auto"/>
              <w:left w:val="single" w:sz="4" w:space="0" w:color="auto"/>
              <w:bottom w:val="single" w:sz="4" w:space="0" w:color="auto"/>
              <w:right w:val="single" w:sz="8" w:space="0" w:color="auto"/>
            </w:tcBorders>
            <w:shd w:val="clear" w:color="auto" w:fill="auto"/>
            <w:noWrap/>
            <w:vAlign w:val="center"/>
          </w:tcPr>
          <w:p w:rsidR="00C06C6E" w:rsidRPr="00970583" w:rsidRDefault="00C06C6E" w:rsidP="00C06C6E">
            <w:pPr>
              <w:rPr>
                <w:rFonts w:cs="Arial"/>
                <w:color w:val="000000"/>
                <w:sz w:val="16"/>
                <w:szCs w:val="16"/>
              </w:rPr>
            </w:pPr>
            <w:r w:rsidRPr="00970583">
              <w:rPr>
                <w:rFonts w:cs="Arial"/>
                <w:sz w:val="16"/>
                <w:szCs w:val="16"/>
              </w:rPr>
              <w:t>Commissioning</w:t>
            </w:r>
          </w:p>
        </w:tc>
        <w:tc>
          <w:tcPr>
            <w:tcW w:w="391"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C06C6E" w:rsidRPr="00970583" w:rsidRDefault="00C06C6E" w:rsidP="00C06C6E">
            <w:pPr>
              <w:rPr>
                <w:rFonts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C06C6E" w:rsidRPr="00970583" w:rsidRDefault="00C06C6E" w:rsidP="00C06C6E">
            <w:pPr>
              <w:rPr>
                <w:rFonts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C06C6E" w:rsidRPr="00970583" w:rsidRDefault="00C06C6E" w:rsidP="00C06C6E">
            <w:pPr>
              <w:rPr>
                <w:rFonts w:cs="Arial"/>
                <w:color w:val="000000"/>
                <w:sz w:val="16"/>
                <w:szCs w:val="16"/>
              </w:rPr>
            </w:pPr>
          </w:p>
        </w:tc>
        <w:tc>
          <w:tcPr>
            <w:tcW w:w="384" w:type="dxa"/>
            <w:gridSpan w:val="2"/>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52"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84"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85" w:type="dxa"/>
            <w:gridSpan w:val="2"/>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85" w:type="dxa"/>
            <w:gridSpan w:val="2"/>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C06C6E" w:rsidRPr="00970583" w:rsidRDefault="00C06C6E" w:rsidP="00C06C6E">
            <w:pPr>
              <w:jc w:val="center"/>
              <w:rPr>
                <w:rFonts w:cs="Arial"/>
                <w:color w:val="000000"/>
                <w:sz w:val="16"/>
                <w:szCs w:val="16"/>
              </w:rPr>
            </w:pPr>
          </w:p>
        </w:tc>
        <w:tc>
          <w:tcPr>
            <w:tcW w:w="340" w:type="dxa"/>
            <w:gridSpan w:val="2"/>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C06C6E" w:rsidRPr="00970583" w:rsidRDefault="00C06C6E" w:rsidP="00C06C6E">
            <w:pPr>
              <w:jc w:val="center"/>
              <w:rPr>
                <w:rFonts w:cs="Arial"/>
                <w:color w:val="000000"/>
                <w:sz w:val="16"/>
                <w:szCs w:val="16"/>
              </w:rPr>
            </w:pPr>
            <w:r w:rsidRPr="00970583">
              <w:rPr>
                <w:rFonts w:cs="Arial"/>
                <w:color w:val="000000"/>
                <w:sz w:val="16"/>
                <w:szCs w:val="16"/>
              </w:rPr>
              <w:t>X</w:t>
            </w:r>
          </w:p>
        </w:tc>
        <w:tc>
          <w:tcPr>
            <w:tcW w:w="340"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C06C6E" w:rsidRPr="00970583" w:rsidRDefault="00C06C6E" w:rsidP="00C06C6E">
            <w:pPr>
              <w:jc w:val="center"/>
              <w:rPr>
                <w:rFonts w:cs="Arial"/>
                <w:color w:val="000000"/>
                <w:sz w:val="16"/>
                <w:szCs w:val="16"/>
              </w:rPr>
            </w:pPr>
            <w:r w:rsidRPr="00970583">
              <w:rPr>
                <w:rFonts w:cs="Arial"/>
                <w:color w:val="000000"/>
                <w:sz w:val="16"/>
                <w:szCs w:val="16"/>
              </w:rPr>
              <w:t>X</w:t>
            </w:r>
          </w:p>
        </w:tc>
        <w:tc>
          <w:tcPr>
            <w:tcW w:w="430" w:type="dxa"/>
            <w:tcBorders>
              <w:top w:val="single" w:sz="4" w:space="0" w:color="auto"/>
              <w:left w:val="nil"/>
              <w:bottom w:val="single" w:sz="4" w:space="0" w:color="auto"/>
              <w:right w:val="single" w:sz="8" w:space="0" w:color="auto"/>
            </w:tcBorders>
          </w:tcPr>
          <w:p w:rsidR="00C06C6E" w:rsidRPr="00970583" w:rsidRDefault="00C06C6E" w:rsidP="00C06C6E">
            <w:pPr>
              <w:jc w:val="center"/>
              <w:rPr>
                <w:rFonts w:cs="Arial"/>
                <w:color w:val="000000"/>
                <w:sz w:val="16"/>
                <w:szCs w:val="16"/>
              </w:rPr>
            </w:pPr>
          </w:p>
        </w:tc>
        <w:tc>
          <w:tcPr>
            <w:tcW w:w="430" w:type="dxa"/>
            <w:tcBorders>
              <w:top w:val="single" w:sz="4" w:space="0" w:color="auto"/>
              <w:left w:val="nil"/>
              <w:bottom w:val="single" w:sz="4" w:space="0" w:color="auto"/>
              <w:right w:val="single" w:sz="4" w:space="0" w:color="auto"/>
            </w:tcBorders>
          </w:tcPr>
          <w:p w:rsidR="00C06C6E" w:rsidRPr="00970583" w:rsidRDefault="00C06C6E" w:rsidP="00C06C6E">
            <w:pPr>
              <w:jc w:val="center"/>
              <w:rPr>
                <w:rFonts w:cs="Arial"/>
                <w:color w:val="000000"/>
                <w:sz w:val="16"/>
                <w:szCs w:val="16"/>
              </w:rPr>
            </w:pPr>
          </w:p>
        </w:tc>
      </w:tr>
    </w:tbl>
    <w:p w:rsidR="00C06C6E" w:rsidRDefault="00C06C6E" w:rsidP="00C06C6E"/>
    <w:p w:rsidR="00C06C6E" w:rsidRDefault="00C06C6E">
      <w:r>
        <w:br w:type="page"/>
      </w:r>
    </w:p>
    <w:p w:rsidR="00C06C6E" w:rsidRPr="00994B87" w:rsidRDefault="00C06C6E" w:rsidP="0085196E">
      <w:pPr>
        <w:rPr>
          <w:b/>
          <w:sz w:val="22"/>
        </w:rPr>
      </w:pPr>
      <w:r w:rsidRPr="00994B87">
        <w:rPr>
          <w:b/>
          <w:sz w:val="22"/>
        </w:rPr>
        <w:lastRenderedPageBreak/>
        <w:t>BUILDINGS</w:t>
      </w:r>
      <w:r w:rsidRPr="00994B87">
        <w:rPr>
          <w:b/>
          <w:bCs/>
          <w:sz w:val="22"/>
        </w:rPr>
        <w:t>–</w:t>
      </w:r>
      <w:r w:rsidRPr="00994B87">
        <w:rPr>
          <w:b/>
          <w:sz w:val="22"/>
        </w:rPr>
        <w:t>RELATED PROJECTS</w:t>
      </w:r>
    </w:p>
    <w:p w:rsidR="00C06C6E" w:rsidRPr="00456D61" w:rsidRDefault="00C06C6E" w:rsidP="001E4922">
      <w:pPr>
        <w:pStyle w:val="StyleHeading3BoldNounderline"/>
        <w:rPr>
          <w:b/>
          <w:sz w:val="20"/>
        </w:rPr>
      </w:pPr>
      <w:bookmarkStart w:id="108" w:name="_Toc422210526"/>
      <w:r w:rsidRPr="00456D61">
        <w:rPr>
          <w:b/>
          <w:sz w:val="20"/>
        </w:rPr>
        <w:t>PROJECT</w:t>
      </w:r>
      <w:r w:rsidR="001E4922" w:rsidRPr="00456D61">
        <w:rPr>
          <w:b/>
          <w:sz w:val="20"/>
        </w:rPr>
        <w:t xml:space="preserve">:  </w:t>
      </w:r>
      <w:r w:rsidRPr="00456D61">
        <w:rPr>
          <w:b/>
          <w:sz w:val="20"/>
        </w:rPr>
        <w:t>DEPLOYMENT OF GENEVA LAKE WATER (“GLN”) COOLING SYSTEM TO AB AND PCT BUILDINGS</w:t>
      </w:r>
      <w:r w:rsidR="0085196E" w:rsidRPr="00456D61">
        <w:rPr>
          <w:b/>
          <w:sz w:val="20"/>
        </w:rPr>
        <w:t xml:space="preserve"> </w:t>
      </w:r>
      <w:r w:rsidRPr="00456D61">
        <w:rPr>
          <w:b/>
          <w:sz w:val="20"/>
        </w:rPr>
        <w:t>(CMP 4)</w:t>
      </w:r>
      <w:bookmarkEnd w:id="108"/>
    </w:p>
    <w:p w:rsidR="00C06C6E" w:rsidRPr="00800070" w:rsidRDefault="00C06C6E" w:rsidP="00C06C6E">
      <w:pPr>
        <w:rPr>
          <w:szCs w:val="20"/>
        </w:rPr>
      </w:pPr>
    </w:p>
    <w:p w:rsidR="00C06C6E" w:rsidRPr="00800070" w:rsidRDefault="00C06C6E" w:rsidP="00C06C6E">
      <w:pPr>
        <w:rPr>
          <w:b/>
          <w:szCs w:val="20"/>
        </w:rPr>
      </w:pPr>
      <w:r w:rsidRPr="00800070">
        <w:rPr>
          <w:b/>
          <w:color w:val="000000"/>
          <w:szCs w:val="20"/>
        </w:rPr>
        <w:t>Project Manager      Mr.</w:t>
      </w:r>
      <w:r w:rsidRPr="00800070">
        <w:rPr>
          <w:b/>
          <w:szCs w:val="20"/>
        </w:rPr>
        <w:t xml:space="preserve"> A. FAVERO</w:t>
      </w:r>
    </w:p>
    <w:p w:rsidR="00C06C6E" w:rsidRPr="00800070" w:rsidRDefault="00C06C6E" w:rsidP="00C06C6E">
      <w:pPr>
        <w:rPr>
          <w:szCs w:val="20"/>
        </w:rPr>
      </w:pPr>
    </w:p>
    <w:p w:rsidR="00C06C6E" w:rsidRPr="00800070" w:rsidRDefault="00C06C6E" w:rsidP="00C06C6E">
      <w:pPr>
        <w:rPr>
          <w:szCs w:val="20"/>
        </w:rPr>
      </w:pPr>
    </w:p>
    <w:p w:rsidR="00C06C6E" w:rsidRPr="00800070" w:rsidRDefault="00C06C6E" w:rsidP="00C06C6E">
      <w:pPr>
        <w:rPr>
          <w:bCs/>
          <w:szCs w:val="20"/>
        </w:rPr>
      </w:pPr>
      <w:r w:rsidRPr="00800070">
        <w:rPr>
          <w:bCs/>
          <w:szCs w:val="20"/>
        </w:rPr>
        <w:t>EXPECTED RESULT</w:t>
      </w:r>
    </w:p>
    <w:p w:rsidR="00C06C6E" w:rsidRPr="00800070" w:rsidRDefault="00C06C6E" w:rsidP="00C06C6E">
      <w:pPr>
        <w:rPr>
          <w:bCs/>
          <w:szCs w:val="20"/>
        </w:rPr>
      </w:pPr>
    </w:p>
    <w:p w:rsidR="00C06C6E" w:rsidRPr="00800070" w:rsidRDefault="00C06C6E" w:rsidP="00C06C6E">
      <w:pPr>
        <w:rPr>
          <w:i/>
          <w:iCs/>
          <w:szCs w:val="20"/>
        </w:rPr>
      </w:pPr>
      <w:proofErr w:type="gramStart"/>
      <w:r w:rsidRPr="00800070">
        <w:rPr>
          <w:i/>
          <w:iCs/>
          <w:szCs w:val="20"/>
        </w:rPr>
        <w:t>IX.1  Effective</w:t>
      </w:r>
      <w:proofErr w:type="gramEnd"/>
      <w:r w:rsidRPr="00800070">
        <w:rPr>
          <w:i/>
          <w:iCs/>
          <w:szCs w:val="20"/>
        </w:rPr>
        <w:t>, efficient, quality and customer-oriented support services both to internal clients and to external stakeholders</w:t>
      </w:r>
    </w:p>
    <w:p w:rsidR="00C06C6E" w:rsidRPr="00800070" w:rsidRDefault="00C06C6E" w:rsidP="00C06C6E">
      <w:pPr>
        <w:rPr>
          <w:bCs/>
          <w:color w:val="000000"/>
          <w:szCs w:val="20"/>
        </w:rPr>
      </w:pPr>
    </w:p>
    <w:p w:rsidR="00C06C6E" w:rsidRPr="00800070" w:rsidRDefault="00C06C6E" w:rsidP="00C06C6E">
      <w:pPr>
        <w:rPr>
          <w:bCs/>
          <w:color w:val="000000"/>
          <w:szCs w:val="20"/>
        </w:rPr>
      </w:pPr>
    </w:p>
    <w:p w:rsidR="00C06C6E" w:rsidRPr="00800070" w:rsidRDefault="00C06C6E" w:rsidP="00C06C6E">
      <w:pPr>
        <w:rPr>
          <w:bCs/>
          <w:szCs w:val="20"/>
        </w:rPr>
      </w:pPr>
      <w:r w:rsidRPr="00800070">
        <w:rPr>
          <w:bCs/>
          <w:color w:val="000000"/>
          <w:szCs w:val="20"/>
        </w:rPr>
        <w:t>OBJECTIVES, SCOPE AND APPROACH- BACKGROUND</w:t>
      </w:r>
    </w:p>
    <w:p w:rsidR="00C06C6E" w:rsidRPr="00800070" w:rsidRDefault="00C06C6E" w:rsidP="00C06C6E">
      <w:pPr>
        <w:rPr>
          <w:bCs/>
          <w:szCs w:val="20"/>
        </w:rPr>
      </w:pPr>
    </w:p>
    <w:p w:rsidR="00C06C6E" w:rsidRPr="004860F6" w:rsidRDefault="00C06C6E" w:rsidP="004860F6">
      <w:pPr>
        <w:pStyle w:val="ListParagraph"/>
        <w:numPr>
          <w:ilvl w:val="0"/>
          <w:numId w:val="131"/>
        </w:numPr>
        <w:tabs>
          <w:tab w:val="left" w:pos="567"/>
        </w:tabs>
        <w:ind w:left="0" w:firstLine="0"/>
        <w:jc w:val="both"/>
        <w:rPr>
          <w:bCs/>
        </w:rPr>
      </w:pPr>
      <w:r w:rsidRPr="004860F6">
        <w:t>The Geneva Lake Water (“GLN”) cooling system – which is a system created a few years ago, managed by and made operational by the local energy provider (</w:t>
      </w:r>
      <w:r w:rsidRPr="004860F6">
        <w:rPr>
          <w:i/>
          <w:iCs/>
        </w:rPr>
        <w:t xml:space="preserve">Services </w:t>
      </w:r>
      <w:proofErr w:type="spellStart"/>
      <w:r w:rsidRPr="004860F6">
        <w:rPr>
          <w:i/>
          <w:iCs/>
        </w:rPr>
        <w:t>Industriels</w:t>
      </w:r>
      <w:proofErr w:type="spellEnd"/>
      <w:r w:rsidRPr="004860F6">
        <w:rPr>
          <w:i/>
          <w:iCs/>
        </w:rPr>
        <w:t xml:space="preserve"> de Genève</w:t>
      </w:r>
      <w:r w:rsidRPr="004860F6">
        <w:t xml:space="preserve"> (SIG)) through which cool water is drawn from the deep waters of the Lake Geneva and brought to the northern bank of the City of Geneva to be used for producing the cooling capacity for a variety of administrative buildings in the area of Place des Nations.  WIPO has been, since a few years ago, one of the first clients amongst the UN Agencies to enter into an agreement with the SIG to reserve the capacity required for all its buildings (including the then-construction projects).  By the end of 2013, the following buildings of the WIPO Campus were fully connected to the GLN system for cooling:  the New Building (operational since 2011), the GBI and GBII Buildings (operational by mid-2013), the new WIPO Conference Hall (integrated during the construction phase and operational by end-2013).  The only two buildings left to be connected to the GLN system are the AB Building and the PCT Building, which are the subject of this particular feature of the Capital Master Plan Project.  </w:t>
      </w:r>
      <w:r w:rsidRPr="004860F6">
        <w:rPr>
          <w:bCs/>
        </w:rPr>
        <w:t xml:space="preserve">It should also be noted that the passed life time of the remaining various existing cooling production machines for the AB Building and the PCT Building range from about ten years to about 33 years, while their expected life time is 30 years.  </w:t>
      </w:r>
    </w:p>
    <w:p w:rsidR="00C06C6E" w:rsidRPr="00800070" w:rsidRDefault="00C06C6E" w:rsidP="004860F6">
      <w:pPr>
        <w:tabs>
          <w:tab w:val="left" w:pos="567"/>
        </w:tabs>
        <w:jc w:val="both"/>
        <w:rPr>
          <w:bCs/>
          <w:szCs w:val="20"/>
        </w:rPr>
      </w:pPr>
    </w:p>
    <w:p w:rsidR="00C06C6E" w:rsidRPr="004860F6" w:rsidRDefault="00C06C6E" w:rsidP="004860F6">
      <w:pPr>
        <w:pStyle w:val="ListParagraph"/>
        <w:numPr>
          <w:ilvl w:val="0"/>
          <w:numId w:val="131"/>
        </w:numPr>
        <w:tabs>
          <w:tab w:val="left" w:pos="567"/>
        </w:tabs>
        <w:ind w:left="0" w:firstLine="0"/>
        <w:jc w:val="both"/>
      </w:pPr>
      <w:r w:rsidRPr="004860F6">
        <w:t>The project objectives are to (</w:t>
      </w:r>
      <w:proofErr w:type="spellStart"/>
      <w:r w:rsidRPr="004860F6">
        <w:t>i</w:t>
      </w:r>
      <w:proofErr w:type="spellEnd"/>
      <w:r w:rsidRPr="004860F6">
        <w:t>) complete the deployment of an improved technological solution in building maintenance relating to cooling installations already implemented in more than half of the overall buildings volume concerned in the WIPO Campus;  (ii) anticipate the need to replace the classical cooling machines in the two remaining buildings by doing so before the installations break down (which is what happened to the installation in GBII in 2011);  (iii) reduce the maintenance cost of the installations compared to the cost of maintenance of classic cooling installations;  and (iv) upgrade this type of the technical installations and equipment with more environmentally friendly solutions.</w:t>
      </w:r>
    </w:p>
    <w:p w:rsidR="00C06C6E" w:rsidRPr="00800070" w:rsidRDefault="00C06C6E" w:rsidP="00C06C6E">
      <w:pPr>
        <w:rPr>
          <w:bCs/>
          <w:szCs w:val="20"/>
        </w:rPr>
      </w:pPr>
    </w:p>
    <w:p w:rsidR="00C06C6E" w:rsidRPr="00800070" w:rsidRDefault="00C06C6E" w:rsidP="00C06C6E">
      <w:pPr>
        <w:rPr>
          <w:bCs/>
          <w:szCs w:val="20"/>
        </w:rPr>
      </w:pPr>
    </w:p>
    <w:p w:rsidR="00C06C6E" w:rsidRPr="00800070" w:rsidRDefault="00C06C6E" w:rsidP="00C06C6E">
      <w:pPr>
        <w:rPr>
          <w:bCs/>
          <w:szCs w:val="20"/>
        </w:rPr>
      </w:pPr>
      <w:r w:rsidRPr="00800070">
        <w:rPr>
          <w:bCs/>
          <w:color w:val="000000"/>
          <w:szCs w:val="20"/>
        </w:rPr>
        <w:t>OVERVIEW OF PROGRESS IN 2014 (KEY MILESTONES)</w:t>
      </w:r>
    </w:p>
    <w:p w:rsidR="00C06C6E" w:rsidRPr="00800070" w:rsidRDefault="00C06C6E" w:rsidP="00C06C6E">
      <w:pPr>
        <w:rPr>
          <w:bCs/>
          <w:szCs w:val="20"/>
          <w:u w:val="single"/>
        </w:rPr>
      </w:pPr>
    </w:p>
    <w:p w:rsidR="00C06C6E" w:rsidRPr="00800070" w:rsidRDefault="00C06C6E" w:rsidP="004860F6">
      <w:pPr>
        <w:pStyle w:val="ListParagraph"/>
        <w:numPr>
          <w:ilvl w:val="0"/>
          <w:numId w:val="131"/>
        </w:numPr>
        <w:tabs>
          <w:tab w:val="left" w:pos="567"/>
        </w:tabs>
        <w:ind w:left="0" w:firstLine="0"/>
        <w:jc w:val="both"/>
        <w:rPr>
          <w:bCs/>
          <w:u w:val="single"/>
        </w:rPr>
      </w:pPr>
      <w:r w:rsidRPr="00800070">
        <w:rPr>
          <w:bCs/>
          <w:u w:val="single"/>
        </w:rPr>
        <w:t xml:space="preserve">AB </w:t>
      </w:r>
      <w:r>
        <w:rPr>
          <w:bCs/>
          <w:u w:val="single"/>
        </w:rPr>
        <w:t>B</w:t>
      </w:r>
      <w:r w:rsidRPr="00800070">
        <w:rPr>
          <w:bCs/>
          <w:u w:val="single"/>
        </w:rPr>
        <w:t>uilding (Project completed)</w:t>
      </w:r>
    </w:p>
    <w:p w:rsidR="00C06C6E" w:rsidRPr="00800070" w:rsidRDefault="00C06C6E" w:rsidP="00C06C6E">
      <w:pPr>
        <w:rPr>
          <w:bCs/>
          <w:szCs w:val="20"/>
        </w:rPr>
      </w:pPr>
    </w:p>
    <w:p w:rsidR="00C06C6E" w:rsidRPr="00800070" w:rsidRDefault="00C06C6E" w:rsidP="00C06C6E">
      <w:pPr>
        <w:pStyle w:val="ListParagraph"/>
        <w:numPr>
          <w:ilvl w:val="0"/>
          <w:numId w:val="121"/>
        </w:numPr>
        <w:rPr>
          <w:bCs/>
        </w:rPr>
      </w:pPr>
      <w:r w:rsidRPr="00800070">
        <w:rPr>
          <w:bCs/>
          <w:color w:val="000000"/>
        </w:rPr>
        <w:t>Award of contract to the HVAC engineer</w:t>
      </w:r>
    </w:p>
    <w:p w:rsidR="00C06C6E" w:rsidRPr="00800070" w:rsidRDefault="00C06C6E" w:rsidP="00C06C6E">
      <w:pPr>
        <w:pStyle w:val="ListParagraph"/>
        <w:numPr>
          <w:ilvl w:val="0"/>
          <w:numId w:val="121"/>
        </w:numPr>
        <w:rPr>
          <w:bCs/>
        </w:rPr>
      </w:pPr>
      <w:r w:rsidRPr="00800070">
        <w:rPr>
          <w:bCs/>
          <w:color w:val="000000"/>
        </w:rPr>
        <w:t>Requests for offers and  selection of firms</w:t>
      </w:r>
    </w:p>
    <w:p w:rsidR="00C06C6E" w:rsidRPr="00800070" w:rsidRDefault="00C06C6E" w:rsidP="00C06C6E">
      <w:pPr>
        <w:pStyle w:val="ListParagraph"/>
        <w:numPr>
          <w:ilvl w:val="0"/>
          <w:numId w:val="121"/>
        </w:numPr>
        <w:rPr>
          <w:bCs/>
        </w:rPr>
      </w:pPr>
      <w:r w:rsidRPr="00800070">
        <w:rPr>
          <w:bCs/>
          <w:color w:val="000000"/>
        </w:rPr>
        <w:t>Work carried out</w:t>
      </w:r>
    </w:p>
    <w:p w:rsidR="00C06C6E" w:rsidRPr="00800070" w:rsidRDefault="00C06C6E" w:rsidP="00C06C6E">
      <w:pPr>
        <w:rPr>
          <w:bCs/>
          <w:szCs w:val="20"/>
        </w:rPr>
      </w:pPr>
    </w:p>
    <w:p w:rsidR="00C06C6E" w:rsidRPr="00800070" w:rsidRDefault="00C06C6E" w:rsidP="004860F6">
      <w:pPr>
        <w:pStyle w:val="ListParagraph"/>
        <w:numPr>
          <w:ilvl w:val="0"/>
          <w:numId w:val="131"/>
        </w:numPr>
        <w:tabs>
          <w:tab w:val="left" w:pos="567"/>
        </w:tabs>
        <w:ind w:left="0" w:firstLine="0"/>
        <w:jc w:val="both"/>
        <w:rPr>
          <w:bCs/>
          <w:u w:val="single"/>
        </w:rPr>
      </w:pPr>
      <w:r w:rsidRPr="00800070">
        <w:rPr>
          <w:bCs/>
          <w:u w:val="single"/>
        </w:rPr>
        <w:t>PCT Building</w:t>
      </w:r>
    </w:p>
    <w:p w:rsidR="00C06C6E" w:rsidRPr="00800070" w:rsidRDefault="00C06C6E" w:rsidP="00C06C6E">
      <w:pPr>
        <w:rPr>
          <w:bCs/>
          <w:szCs w:val="20"/>
        </w:rPr>
      </w:pPr>
    </w:p>
    <w:p w:rsidR="00C06C6E" w:rsidRPr="00800070" w:rsidRDefault="00C06C6E" w:rsidP="00C06C6E">
      <w:pPr>
        <w:pStyle w:val="ListParagraph"/>
        <w:numPr>
          <w:ilvl w:val="0"/>
          <w:numId w:val="121"/>
        </w:numPr>
        <w:rPr>
          <w:bCs/>
        </w:rPr>
      </w:pPr>
      <w:r w:rsidRPr="00800070">
        <w:rPr>
          <w:bCs/>
          <w:color w:val="000000"/>
        </w:rPr>
        <w:t>Award of contract to the HVAC engineer</w:t>
      </w:r>
    </w:p>
    <w:p w:rsidR="00C06C6E" w:rsidRPr="00800070" w:rsidRDefault="00C06C6E" w:rsidP="00C06C6E">
      <w:pPr>
        <w:pStyle w:val="ListParagraph"/>
        <w:numPr>
          <w:ilvl w:val="0"/>
          <w:numId w:val="121"/>
        </w:numPr>
        <w:rPr>
          <w:bCs/>
        </w:rPr>
      </w:pPr>
      <w:r w:rsidRPr="00800070">
        <w:rPr>
          <w:bCs/>
          <w:color w:val="000000"/>
        </w:rPr>
        <w:t>Validation of the project with HVAC engineer</w:t>
      </w:r>
    </w:p>
    <w:p w:rsidR="00C06C6E" w:rsidRPr="00800070" w:rsidRDefault="00C06C6E" w:rsidP="00C06C6E">
      <w:pPr>
        <w:pStyle w:val="ListParagraph"/>
        <w:numPr>
          <w:ilvl w:val="0"/>
          <w:numId w:val="121"/>
        </w:numPr>
        <w:rPr>
          <w:bCs/>
        </w:rPr>
      </w:pPr>
      <w:r w:rsidRPr="00800070">
        <w:rPr>
          <w:bCs/>
          <w:color w:val="000000"/>
        </w:rPr>
        <w:t>Ducting work within the building, by SIG</w:t>
      </w:r>
    </w:p>
    <w:p w:rsidR="00C06C6E" w:rsidRDefault="00C06C6E" w:rsidP="00C06C6E">
      <w:pPr>
        <w:rPr>
          <w:bCs/>
          <w:sz w:val="22"/>
          <w:szCs w:val="22"/>
        </w:rPr>
      </w:pPr>
    </w:p>
    <w:p w:rsidR="00C06C6E" w:rsidRDefault="00C06C6E" w:rsidP="00C06C6E">
      <w:pPr>
        <w:rPr>
          <w:bCs/>
          <w:sz w:val="22"/>
          <w:szCs w:val="22"/>
        </w:rPr>
      </w:pPr>
    </w:p>
    <w:p w:rsidR="004860F6" w:rsidRDefault="004860F6">
      <w:pPr>
        <w:rPr>
          <w:bCs/>
          <w:sz w:val="22"/>
          <w:szCs w:val="22"/>
        </w:rPr>
      </w:pPr>
      <w:r>
        <w:rPr>
          <w:bCs/>
          <w:sz w:val="22"/>
          <w:szCs w:val="22"/>
        </w:rPr>
        <w:br w:type="page"/>
      </w:r>
    </w:p>
    <w:p w:rsidR="00C06C6E" w:rsidRPr="00E32074" w:rsidRDefault="00C06C6E" w:rsidP="00C06C6E">
      <w:pPr>
        <w:rPr>
          <w:bCs/>
          <w:sz w:val="22"/>
          <w:szCs w:val="22"/>
        </w:rPr>
      </w:pPr>
      <w:r w:rsidRPr="00E32074">
        <w:rPr>
          <w:bCs/>
          <w:sz w:val="22"/>
          <w:szCs w:val="22"/>
        </w:rPr>
        <w:lastRenderedPageBreak/>
        <w:t>BENEFITS REALIZATION</w:t>
      </w:r>
    </w:p>
    <w:p w:rsidR="00C06C6E" w:rsidRPr="00E32074" w:rsidRDefault="00C06C6E" w:rsidP="00C06C6E">
      <w:pPr>
        <w:rPr>
          <w:szCs w:val="20"/>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6"/>
        <w:gridCol w:w="3157"/>
        <w:gridCol w:w="3155"/>
      </w:tblGrid>
      <w:tr w:rsidR="00C06C6E" w:rsidRPr="00E32074" w:rsidTr="00C06C6E">
        <w:trPr>
          <w:trHeight w:val="314"/>
          <w:tblHeader/>
        </w:trPr>
        <w:tc>
          <w:tcPr>
            <w:tcW w:w="1667" w:type="pct"/>
            <w:tcBorders>
              <w:bottom w:val="single" w:sz="4" w:space="0" w:color="auto"/>
            </w:tcBorders>
            <w:shd w:val="clear" w:color="auto" w:fill="C6D9F1" w:themeFill="text2" w:themeFillTint="33"/>
            <w:tcMar>
              <w:top w:w="113" w:type="dxa"/>
              <w:bottom w:w="113" w:type="dxa"/>
            </w:tcMar>
            <w:vAlign w:val="center"/>
          </w:tcPr>
          <w:p w:rsidR="00C06C6E" w:rsidRPr="00E32074" w:rsidRDefault="00C06C6E" w:rsidP="00C06C6E">
            <w:pPr>
              <w:jc w:val="center"/>
              <w:rPr>
                <w:b/>
                <w:bCs/>
                <w:sz w:val="16"/>
                <w:szCs w:val="16"/>
              </w:rPr>
            </w:pPr>
            <w:r w:rsidRPr="00E32074">
              <w:rPr>
                <w:b/>
                <w:bCs/>
                <w:sz w:val="16"/>
                <w:szCs w:val="16"/>
              </w:rPr>
              <w:t>Benefits Delivered 2014</w:t>
            </w:r>
          </w:p>
        </w:tc>
        <w:tc>
          <w:tcPr>
            <w:tcW w:w="1667" w:type="pct"/>
            <w:tcBorders>
              <w:bottom w:val="single" w:sz="4" w:space="0" w:color="auto"/>
            </w:tcBorders>
            <w:shd w:val="clear" w:color="auto" w:fill="C6D9F1" w:themeFill="text2" w:themeFillTint="33"/>
            <w:vAlign w:val="center"/>
          </w:tcPr>
          <w:p w:rsidR="00C06C6E" w:rsidRPr="00E32074" w:rsidRDefault="00C06C6E" w:rsidP="00C06C6E">
            <w:pPr>
              <w:jc w:val="center"/>
              <w:rPr>
                <w:b/>
                <w:bCs/>
                <w:sz w:val="16"/>
                <w:szCs w:val="16"/>
              </w:rPr>
            </w:pPr>
            <w:r w:rsidRPr="00E32074">
              <w:rPr>
                <w:b/>
                <w:bCs/>
                <w:color w:val="000000"/>
                <w:sz w:val="16"/>
                <w:szCs w:val="16"/>
              </w:rPr>
              <w:t>Expected Benefits 2015</w:t>
            </w:r>
          </w:p>
        </w:tc>
        <w:tc>
          <w:tcPr>
            <w:tcW w:w="1667" w:type="pct"/>
            <w:tcBorders>
              <w:bottom w:val="single" w:sz="4" w:space="0" w:color="auto"/>
            </w:tcBorders>
            <w:shd w:val="clear" w:color="auto" w:fill="C6D9F1" w:themeFill="text2" w:themeFillTint="33"/>
            <w:vAlign w:val="center"/>
          </w:tcPr>
          <w:p w:rsidR="00C06C6E" w:rsidRPr="00E32074" w:rsidRDefault="00C06C6E" w:rsidP="00C06C6E">
            <w:pPr>
              <w:jc w:val="center"/>
              <w:rPr>
                <w:b/>
                <w:bCs/>
                <w:sz w:val="16"/>
                <w:szCs w:val="16"/>
              </w:rPr>
            </w:pPr>
            <w:r w:rsidRPr="00E32074">
              <w:rPr>
                <w:b/>
                <w:bCs/>
                <w:color w:val="000000"/>
                <w:sz w:val="16"/>
                <w:szCs w:val="16"/>
              </w:rPr>
              <w:t>Expected Benefits 2016</w:t>
            </w:r>
          </w:p>
        </w:tc>
      </w:tr>
      <w:tr w:rsidR="00C06C6E" w:rsidRPr="00E32074" w:rsidTr="00C06C6E">
        <w:trPr>
          <w:trHeight w:val="564"/>
        </w:trPr>
        <w:tc>
          <w:tcPr>
            <w:tcW w:w="1667" w:type="pct"/>
            <w:tcBorders>
              <w:top w:val="single" w:sz="4" w:space="0" w:color="auto"/>
              <w:bottom w:val="single" w:sz="4" w:space="0" w:color="auto"/>
            </w:tcBorders>
            <w:shd w:val="clear" w:color="auto" w:fill="auto"/>
            <w:tcMar>
              <w:top w:w="113" w:type="dxa"/>
              <w:bottom w:w="113" w:type="dxa"/>
            </w:tcMar>
          </w:tcPr>
          <w:p w:rsidR="00C06C6E" w:rsidRPr="00E32074" w:rsidRDefault="00C06C6E" w:rsidP="00C06C6E">
            <w:pPr>
              <w:rPr>
                <w:bCs/>
                <w:sz w:val="16"/>
                <w:szCs w:val="16"/>
              </w:rPr>
            </w:pPr>
            <w:r w:rsidRPr="00E32074">
              <w:rPr>
                <w:bCs/>
                <w:color w:val="000000"/>
                <w:sz w:val="16"/>
                <w:szCs w:val="16"/>
              </w:rPr>
              <w:t xml:space="preserve">AB Building cooling system commissioned on August 13, 2014, and partial reduction in electrical energy </w:t>
            </w:r>
            <w:r>
              <w:rPr>
                <w:bCs/>
                <w:color w:val="000000"/>
                <w:sz w:val="16"/>
                <w:szCs w:val="16"/>
              </w:rPr>
              <w:t xml:space="preserve"> consumption</w:t>
            </w:r>
          </w:p>
        </w:tc>
        <w:tc>
          <w:tcPr>
            <w:tcW w:w="1667" w:type="pct"/>
            <w:tcBorders>
              <w:top w:val="single" w:sz="4" w:space="0" w:color="auto"/>
              <w:bottom w:val="single" w:sz="4" w:space="0" w:color="auto"/>
            </w:tcBorders>
          </w:tcPr>
          <w:p w:rsidR="00C06C6E" w:rsidRPr="006311B3" w:rsidRDefault="00C06C6E" w:rsidP="00C06C6E">
            <w:pPr>
              <w:rPr>
                <w:bCs/>
                <w:sz w:val="16"/>
                <w:szCs w:val="16"/>
              </w:rPr>
            </w:pPr>
            <w:r>
              <w:rPr>
                <w:bCs/>
                <w:color w:val="000000"/>
                <w:sz w:val="16"/>
                <w:szCs w:val="16"/>
              </w:rPr>
              <w:t>Reduction i</w:t>
            </w:r>
            <w:r w:rsidRPr="006311B3">
              <w:rPr>
                <w:bCs/>
                <w:color w:val="000000"/>
                <w:sz w:val="16"/>
                <w:szCs w:val="16"/>
              </w:rPr>
              <w:t>n electrical energy use and environment</w:t>
            </w:r>
            <w:r>
              <w:rPr>
                <w:bCs/>
                <w:color w:val="000000"/>
                <w:sz w:val="16"/>
                <w:szCs w:val="16"/>
              </w:rPr>
              <w:t>al impact</w:t>
            </w:r>
            <w:r w:rsidRPr="006311B3">
              <w:rPr>
                <w:bCs/>
                <w:color w:val="000000"/>
                <w:sz w:val="16"/>
                <w:szCs w:val="16"/>
              </w:rPr>
              <w:t xml:space="preserve"> </w:t>
            </w:r>
            <w:r>
              <w:rPr>
                <w:bCs/>
                <w:color w:val="000000"/>
                <w:sz w:val="16"/>
                <w:szCs w:val="16"/>
              </w:rPr>
              <w:t>of</w:t>
            </w:r>
            <w:r w:rsidRPr="006311B3">
              <w:rPr>
                <w:bCs/>
                <w:color w:val="000000"/>
                <w:sz w:val="16"/>
                <w:szCs w:val="16"/>
              </w:rPr>
              <w:t xml:space="preserve"> the </w:t>
            </w:r>
            <w:r>
              <w:rPr>
                <w:bCs/>
                <w:color w:val="000000"/>
                <w:sz w:val="16"/>
                <w:szCs w:val="16"/>
              </w:rPr>
              <w:t xml:space="preserve"> consumption </w:t>
            </w:r>
            <w:r w:rsidRPr="006311B3">
              <w:rPr>
                <w:bCs/>
                <w:color w:val="000000"/>
                <w:sz w:val="16"/>
                <w:szCs w:val="16"/>
              </w:rPr>
              <w:t>of electricity to cool the AB Building</w:t>
            </w:r>
          </w:p>
        </w:tc>
        <w:tc>
          <w:tcPr>
            <w:tcW w:w="1667" w:type="pct"/>
            <w:tcBorders>
              <w:bottom w:val="single" w:sz="4" w:space="0" w:color="auto"/>
              <w:tr2bl w:val="nil"/>
            </w:tcBorders>
            <w:shd w:val="clear" w:color="auto" w:fill="auto"/>
          </w:tcPr>
          <w:p w:rsidR="00C06C6E" w:rsidRPr="00E32074" w:rsidRDefault="00C06C6E" w:rsidP="00C06C6E">
            <w:pPr>
              <w:rPr>
                <w:bCs/>
                <w:iCs/>
                <w:sz w:val="16"/>
                <w:szCs w:val="16"/>
              </w:rPr>
            </w:pPr>
          </w:p>
        </w:tc>
      </w:tr>
      <w:tr w:rsidR="00C06C6E" w:rsidRPr="00E32074" w:rsidTr="004860F6">
        <w:trPr>
          <w:trHeight w:val="516"/>
        </w:trPr>
        <w:tc>
          <w:tcPr>
            <w:tcW w:w="1667" w:type="pct"/>
            <w:tcBorders>
              <w:top w:val="single" w:sz="4" w:space="0" w:color="auto"/>
              <w:bottom w:val="single" w:sz="4" w:space="0" w:color="auto"/>
            </w:tcBorders>
            <w:shd w:val="clear" w:color="auto" w:fill="auto"/>
            <w:tcMar>
              <w:top w:w="113" w:type="dxa"/>
              <w:bottom w:w="113" w:type="dxa"/>
            </w:tcMar>
          </w:tcPr>
          <w:p w:rsidR="00C06C6E" w:rsidRPr="00E32074" w:rsidRDefault="00C06C6E" w:rsidP="00C06C6E">
            <w:pPr>
              <w:rPr>
                <w:bCs/>
                <w:sz w:val="16"/>
                <w:szCs w:val="16"/>
              </w:rPr>
            </w:pPr>
          </w:p>
        </w:tc>
        <w:tc>
          <w:tcPr>
            <w:tcW w:w="1667" w:type="pct"/>
            <w:tcBorders>
              <w:top w:val="single" w:sz="4" w:space="0" w:color="auto"/>
              <w:bottom w:val="single" w:sz="4" w:space="0" w:color="auto"/>
            </w:tcBorders>
          </w:tcPr>
          <w:p w:rsidR="00C06C6E" w:rsidRPr="00E32074" w:rsidRDefault="00C06C6E" w:rsidP="00C06C6E">
            <w:pPr>
              <w:rPr>
                <w:bCs/>
                <w:sz w:val="16"/>
                <w:szCs w:val="16"/>
              </w:rPr>
            </w:pPr>
            <w:r w:rsidRPr="00E32074">
              <w:rPr>
                <w:bCs/>
                <w:color w:val="000000"/>
                <w:sz w:val="16"/>
                <w:szCs w:val="16"/>
              </w:rPr>
              <w:t xml:space="preserve">Reduction in the corrective maintenance cost </w:t>
            </w:r>
            <w:r>
              <w:rPr>
                <w:bCs/>
                <w:color w:val="000000"/>
                <w:sz w:val="16"/>
                <w:szCs w:val="16"/>
              </w:rPr>
              <w:t>of</w:t>
            </w:r>
            <w:r w:rsidRPr="00E32074">
              <w:rPr>
                <w:bCs/>
                <w:color w:val="000000"/>
                <w:sz w:val="16"/>
                <w:szCs w:val="16"/>
              </w:rPr>
              <w:t xml:space="preserve"> the AB Building cooling system</w:t>
            </w:r>
          </w:p>
        </w:tc>
        <w:tc>
          <w:tcPr>
            <w:tcW w:w="1667" w:type="pct"/>
            <w:tcBorders>
              <w:tr2bl w:val="nil"/>
            </w:tcBorders>
            <w:shd w:val="clear" w:color="auto" w:fill="auto"/>
          </w:tcPr>
          <w:p w:rsidR="00C06C6E" w:rsidRPr="00E32074" w:rsidRDefault="00C06C6E" w:rsidP="00C06C6E">
            <w:pPr>
              <w:rPr>
                <w:bCs/>
                <w:iCs/>
                <w:sz w:val="16"/>
                <w:szCs w:val="16"/>
              </w:rPr>
            </w:pPr>
          </w:p>
        </w:tc>
      </w:tr>
      <w:tr w:rsidR="00C06C6E" w:rsidRPr="00E32074" w:rsidTr="004860F6">
        <w:trPr>
          <w:trHeight w:val="414"/>
        </w:trPr>
        <w:tc>
          <w:tcPr>
            <w:tcW w:w="1667" w:type="pct"/>
            <w:tcBorders>
              <w:top w:val="single" w:sz="4" w:space="0" w:color="auto"/>
              <w:bottom w:val="single" w:sz="4" w:space="0" w:color="auto"/>
            </w:tcBorders>
            <w:shd w:val="clear" w:color="auto" w:fill="auto"/>
            <w:tcMar>
              <w:top w:w="113" w:type="dxa"/>
              <w:bottom w:w="113" w:type="dxa"/>
            </w:tcMar>
          </w:tcPr>
          <w:p w:rsidR="00C06C6E" w:rsidRPr="00E32074" w:rsidRDefault="00C06C6E" w:rsidP="00C06C6E">
            <w:pPr>
              <w:rPr>
                <w:b/>
                <w:bCs/>
                <w:sz w:val="16"/>
                <w:szCs w:val="16"/>
                <w:u w:val="single"/>
              </w:rPr>
            </w:pPr>
          </w:p>
        </w:tc>
        <w:tc>
          <w:tcPr>
            <w:tcW w:w="1667" w:type="pct"/>
            <w:tcBorders>
              <w:top w:val="single" w:sz="4" w:space="0" w:color="auto"/>
              <w:bottom w:val="single" w:sz="4" w:space="0" w:color="auto"/>
            </w:tcBorders>
          </w:tcPr>
          <w:p w:rsidR="00C06C6E" w:rsidRPr="00E32074" w:rsidRDefault="00C06C6E" w:rsidP="00C06C6E">
            <w:pPr>
              <w:rPr>
                <w:bCs/>
                <w:sz w:val="16"/>
                <w:szCs w:val="16"/>
              </w:rPr>
            </w:pPr>
            <w:r w:rsidRPr="00E32074">
              <w:rPr>
                <w:bCs/>
                <w:color w:val="000000"/>
                <w:sz w:val="16"/>
                <w:szCs w:val="16"/>
              </w:rPr>
              <w:t>Increase in the life-cycle of the AB Building cooling system</w:t>
            </w:r>
          </w:p>
        </w:tc>
        <w:tc>
          <w:tcPr>
            <w:tcW w:w="1667" w:type="pct"/>
            <w:shd w:val="clear" w:color="auto" w:fill="auto"/>
          </w:tcPr>
          <w:p w:rsidR="00C06C6E" w:rsidRPr="00E32074" w:rsidRDefault="00C06C6E" w:rsidP="00C06C6E">
            <w:pPr>
              <w:rPr>
                <w:bCs/>
                <w:iCs/>
                <w:sz w:val="16"/>
                <w:szCs w:val="16"/>
              </w:rPr>
            </w:pPr>
          </w:p>
        </w:tc>
      </w:tr>
      <w:tr w:rsidR="00C06C6E" w:rsidRPr="00E32074" w:rsidTr="00C06C6E">
        <w:trPr>
          <w:trHeight w:val="564"/>
        </w:trPr>
        <w:tc>
          <w:tcPr>
            <w:tcW w:w="1667" w:type="pct"/>
            <w:tcBorders>
              <w:top w:val="single" w:sz="4" w:space="0" w:color="auto"/>
              <w:bottom w:val="single" w:sz="4" w:space="0" w:color="auto"/>
            </w:tcBorders>
            <w:shd w:val="clear" w:color="auto" w:fill="auto"/>
            <w:tcMar>
              <w:top w:w="113" w:type="dxa"/>
              <w:bottom w:w="113" w:type="dxa"/>
            </w:tcMar>
          </w:tcPr>
          <w:p w:rsidR="00C06C6E" w:rsidRPr="00E32074" w:rsidRDefault="00C06C6E" w:rsidP="00C06C6E">
            <w:pPr>
              <w:rPr>
                <w:b/>
                <w:bCs/>
                <w:sz w:val="16"/>
                <w:szCs w:val="16"/>
                <w:u w:val="single"/>
              </w:rPr>
            </w:pPr>
          </w:p>
        </w:tc>
        <w:tc>
          <w:tcPr>
            <w:tcW w:w="1667" w:type="pct"/>
            <w:tcBorders>
              <w:top w:val="single" w:sz="4" w:space="0" w:color="auto"/>
              <w:bottom w:val="single" w:sz="4" w:space="0" w:color="auto"/>
            </w:tcBorders>
          </w:tcPr>
          <w:p w:rsidR="00C06C6E" w:rsidRPr="00E32074" w:rsidRDefault="00C06C6E" w:rsidP="00C06C6E">
            <w:pPr>
              <w:rPr>
                <w:bCs/>
                <w:sz w:val="16"/>
                <w:szCs w:val="16"/>
              </w:rPr>
            </w:pPr>
            <w:r w:rsidRPr="00E32074">
              <w:rPr>
                <w:bCs/>
                <w:color w:val="000000"/>
                <w:sz w:val="16"/>
                <w:szCs w:val="16"/>
              </w:rPr>
              <w:t>Installation and maintenance</w:t>
            </w:r>
            <w:r>
              <w:rPr>
                <w:bCs/>
                <w:color w:val="000000"/>
                <w:sz w:val="16"/>
                <w:szCs w:val="16"/>
              </w:rPr>
              <w:t xml:space="preserve"> of a more environmentally-</w:t>
            </w:r>
            <w:r w:rsidRPr="00E32074">
              <w:rPr>
                <w:bCs/>
                <w:color w:val="000000"/>
                <w:sz w:val="16"/>
                <w:szCs w:val="16"/>
              </w:rPr>
              <w:t>friendly AB Building cooling system</w:t>
            </w:r>
            <w:r w:rsidRPr="00E32074">
              <w:rPr>
                <w:bCs/>
                <w:sz w:val="16"/>
                <w:szCs w:val="16"/>
              </w:rPr>
              <w:t xml:space="preserve"> </w:t>
            </w:r>
          </w:p>
        </w:tc>
        <w:tc>
          <w:tcPr>
            <w:tcW w:w="1667" w:type="pct"/>
            <w:shd w:val="clear" w:color="auto" w:fill="auto"/>
          </w:tcPr>
          <w:p w:rsidR="00C06C6E" w:rsidRPr="00E32074" w:rsidRDefault="00C06C6E" w:rsidP="00C06C6E">
            <w:pPr>
              <w:rPr>
                <w:bCs/>
                <w:iCs/>
                <w:sz w:val="16"/>
                <w:szCs w:val="16"/>
              </w:rPr>
            </w:pPr>
          </w:p>
        </w:tc>
      </w:tr>
      <w:tr w:rsidR="00C06C6E" w:rsidRPr="00E32074" w:rsidTr="00C06C6E">
        <w:trPr>
          <w:trHeight w:val="564"/>
        </w:trPr>
        <w:tc>
          <w:tcPr>
            <w:tcW w:w="1667" w:type="pct"/>
            <w:tcBorders>
              <w:top w:val="single" w:sz="4" w:space="0" w:color="auto"/>
              <w:bottom w:val="single" w:sz="4" w:space="0" w:color="auto"/>
            </w:tcBorders>
            <w:shd w:val="clear" w:color="auto" w:fill="auto"/>
            <w:tcMar>
              <w:top w:w="113" w:type="dxa"/>
              <w:bottom w:w="113" w:type="dxa"/>
            </w:tcMar>
          </w:tcPr>
          <w:p w:rsidR="00C06C6E" w:rsidRPr="00E32074" w:rsidRDefault="00C06C6E" w:rsidP="00C06C6E">
            <w:pPr>
              <w:rPr>
                <w:b/>
                <w:bCs/>
                <w:sz w:val="16"/>
                <w:szCs w:val="16"/>
                <w:u w:val="single"/>
              </w:rPr>
            </w:pPr>
          </w:p>
        </w:tc>
        <w:tc>
          <w:tcPr>
            <w:tcW w:w="1667" w:type="pct"/>
            <w:tcBorders>
              <w:top w:val="single" w:sz="4" w:space="0" w:color="auto"/>
              <w:bottom w:val="single" w:sz="4" w:space="0" w:color="auto"/>
            </w:tcBorders>
          </w:tcPr>
          <w:p w:rsidR="00C06C6E" w:rsidRPr="00E32074" w:rsidRDefault="00C06C6E" w:rsidP="00C06C6E">
            <w:pPr>
              <w:rPr>
                <w:bCs/>
                <w:sz w:val="16"/>
                <w:szCs w:val="16"/>
              </w:rPr>
            </w:pPr>
            <w:r w:rsidRPr="00E32074">
              <w:rPr>
                <w:bCs/>
                <w:color w:val="000000"/>
                <w:sz w:val="16"/>
                <w:szCs w:val="16"/>
              </w:rPr>
              <w:t xml:space="preserve">Commissioning of the PCT Building cooling system </w:t>
            </w:r>
            <w:r>
              <w:rPr>
                <w:bCs/>
                <w:color w:val="000000"/>
                <w:sz w:val="16"/>
                <w:szCs w:val="16"/>
              </w:rPr>
              <w:t>expected in</w:t>
            </w:r>
            <w:r w:rsidRPr="00E32074">
              <w:rPr>
                <w:bCs/>
                <w:color w:val="000000"/>
                <w:sz w:val="16"/>
                <w:szCs w:val="16"/>
              </w:rPr>
              <w:t xml:space="preserve"> July, and partial reduction in electricity </w:t>
            </w:r>
            <w:r>
              <w:rPr>
                <w:bCs/>
                <w:color w:val="000000"/>
                <w:sz w:val="16"/>
                <w:szCs w:val="16"/>
              </w:rPr>
              <w:t xml:space="preserve"> consumption</w:t>
            </w:r>
            <w:r w:rsidRPr="00E32074">
              <w:rPr>
                <w:bCs/>
                <w:sz w:val="16"/>
                <w:szCs w:val="16"/>
              </w:rPr>
              <w:t xml:space="preserve"> </w:t>
            </w:r>
          </w:p>
        </w:tc>
        <w:tc>
          <w:tcPr>
            <w:tcW w:w="1667" w:type="pct"/>
            <w:shd w:val="clear" w:color="auto" w:fill="auto"/>
          </w:tcPr>
          <w:p w:rsidR="00C06C6E" w:rsidRPr="00E32074" w:rsidRDefault="00C06C6E" w:rsidP="00C06C6E">
            <w:pPr>
              <w:rPr>
                <w:bCs/>
                <w:iCs/>
                <w:sz w:val="16"/>
                <w:szCs w:val="16"/>
              </w:rPr>
            </w:pPr>
            <w:r w:rsidRPr="00E32074">
              <w:rPr>
                <w:bCs/>
                <w:iCs/>
                <w:color w:val="000000"/>
                <w:sz w:val="16"/>
                <w:szCs w:val="16"/>
              </w:rPr>
              <w:t xml:space="preserve">Reduction in electricity </w:t>
            </w:r>
            <w:r>
              <w:rPr>
                <w:bCs/>
                <w:color w:val="000000"/>
                <w:sz w:val="16"/>
                <w:szCs w:val="16"/>
              </w:rPr>
              <w:t xml:space="preserve"> consumption</w:t>
            </w:r>
            <w:r w:rsidRPr="00E32074">
              <w:rPr>
                <w:bCs/>
                <w:iCs/>
                <w:color w:val="000000"/>
                <w:sz w:val="16"/>
                <w:szCs w:val="16"/>
              </w:rPr>
              <w:t xml:space="preserve"> and the environment</w:t>
            </w:r>
            <w:r>
              <w:rPr>
                <w:bCs/>
                <w:iCs/>
                <w:color w:val="000000"/>
                <w:sz w:val="16"/>
                <w:szCs w:val="16"/>
              </w:rPr>
              <w:t>al</w:t>
            </w:r>
            <w:r w:rsidRPr="00E32074">
              <w:rPr>
                <w:bCs/>
                <w:iCs/>
                <w:color w:val="000000"/>
                <w:sz w:val="16"/>
                <w:szCs w:val="16"/>
              </w:rPr>
              <w:t xml:space="preserve"> impact </w:t>
            </w:r>
            <w:r>
              <w:rPr>
                <w:bCs/>
                <w:iCs/>
                <w:color w:val="000000"/>
                <w:sz w:val="16"/>
                <w:szCs w:val="16"/>
              </w:rPr>
              <w:t xml:space="preserve">of </w:t>
            </w:r>
            <w:r w:rsidRPr="00E32074">
              <w:rPr>
                <w:bCs/>
                <w:iCs/>
                <w:color w:val="000000"/>
                <w:sz w:val="16"/>
                <w:szCs w:val="16"/>
              </w:rPr>
              <w:t xml:space="preserve">the </w:t>
            </w:r>
            <w:r>
              <w:rPr>
                <w:bCs/>
                <w:color w:val="000000"/>
                <w:sz w:val="16"/>
                <w:szCs w:val="16"/>
              </w:rPr>
              <w:t xml:space="preserve">use </w:t>
            </w:r>
            <w:r w:rsidRPr="00E32074">
              <w:rPr>
                <w:bCs/>
                <w:iCs/>
                <w:color w:val="000000"/>
                <w:sz w:val="16"/>
                <w:szCs w:val="16"/>
              </w:rPr>
              <w:t>of electricity to cool the PCT Building</w:t>
            </w:r>
          </w:p>
        </w:tc>
      </w:tr>
      <w:tr w:rsidR="00C06C6E" w:rsidRPr="00E32074" w:rsidTr="004860F6">
        <w:trPr>
          <w:trHeight w:val="408"/>
        </w:trPr>
        <w:tc>
          <w:tcPr>
            <w:tcW w:w="1667" w:type="pct"/>
            <w:tcBorders>
              <w:top w:val="single" w:sz="4" w:space="0" w:color="auto"/>
            </w:tcBorders>
            <w:shd w:val="clear" w:color="auto" w:fill="auto"/>
            <w:tcMar>
              <w:top w:w="113" w:type="dxa"/>
              <w:bottom w:w="113" w:type="dxa"/>
            </w:tcMar>
          </w:tcPr>
          <w:p w:rsidR="00C06C6E" w:rsidRPr="00E32074" w:rsidRDefault="00C06C6E" w:rsidP="00C06C6E">
            <w:pPr>
              <w:rPr>
                <w:b/>
                <w:bCs/>
                <w:sz w:val="16"/>
                <w:szCs w:val="16"/>
                <w:u w:val="single"/>
              </w:rPr>
            </w:pPr>
          </w:p>
        </w:tc>
        <w:tc>
          <w:tcPr>
            <w:tcW w:w="1667" w:type="pct"/>
            <w:tcBorders>
              <w:top w:val="single" w:sz="4" w:space="0" w:color="auto"/>
            </w:tcBorders>
          </w:tcPr>
          <w:p w:rsidR="00C06C6E" w:rsidRPr="00E32074" w:rsidRDefault="00C06C6E" w:rsidP="00C06C6E">
            <w:pPr>
              <w:rPr>
                <w:bCs/>
                <w:sz w:val="16"/>
                <w:szCs w:val="16"/>
              </w:rPr>
            </w:pPr>
          </w:p>
        </w:tc>
        <w:tc>
          <w:tcPr>
            <w:tcW w:w="1667" w:type="pct"/>
            <w:shd w:val="clear" w:color="auto" w:fill="auto"/>
          </w:tcPr>
          <w:p w:rsidR="00C06C6E" w:rsidRPr="00E32074" w:rsidRDefault="00C06C6E" w:rsidP="00C06C6E">
            <w:pPr>
              <w:rPr>
                <w:bCs/>
                <w:iCs/>
                <w:sz w:val="16"/>
                <w:szCs w:val="16"/>
              </w:rPr>
            </w:pPr>
            <w:r w:rsidRPr="00E32074">
              <w:rPr>
                <w:bCs/>
                <w:iCs/>
                <w:color w:val="000000"/>
                <w:sz w:val="16"/>
                <w:szCs w:val="16"/>
              </w:rPr>
              <w:t xml:space="preserve">Reduction in corrective maintenance cost </w:t>
            </w:r>
            <w:r>
              <w:rPr>
                <w:bCs/>
                <w:iCs/>
                <w:color w:val="000000"/>
                <w:sz w:val="16"/>
                <w:szCs w:val="16"/>
              </w:rPr>
              <w:t>of</w:t>
            </w:r>
            <w:r w:rsidRPr="00E32074">
              <w:rPr>
                <w:bCs/>
                <w:iCs/>
                <w:color w:val="000000"/>
                <w:sz w:val="16"/>
                <w:szCs w:val="16"/>
              </w:rPr>
              <w:t xml:space="preserve"> the PCT Building cooling system</w:t>
            </w:r>
          </w:p>
        </w:tc>
      </w:tr>
      <w:tr w:rsidR="00C06C6E" w:rsidRPr="00E32074" w:rsidTr="00C06C6E">
        <w:trPr>
          <w:trHeight w:val="564"/>
        </w:trPr>
        <w:tc>
          <w:tcPr>
            <w:tcW w:w="1667" w:type="pct"/>
            <w:tcBorders>
              <w:top w:val="single" w:sz="4" w:space="0" w:color="auto"/>
            </w:tcBorders>
            <w:shd w:val="clear" w:color="auto" w:fill="auto"/>
            <w:tcMar>
              <w:top w:w="113" w:type="dxa"/>
              <w:bottom w:w="113" w:type="dxa"/>
            </w:tcMar>
          </w:tcPr>
          <w:p w:rsidR="00C06C6E" w:rsidRPr="00E32074" w:rsidRDefault="00C06C6E" w:rsidP="00C06C6E">
            <w:pPr>
              <w:rPr>
                <w:b/>
                <w:bCs/>
                <w:sz w:val="16"/>
                <w:szCs w:val="16"/>
                <w:u w:val="single"/>
              </w:rPr>
            </w:pPr>
          </w:p>
        </w:tc>
        <w:tc>
          <w:tcPr>
            <w:tcW w:w="1667" w:type="pct"/>
            <w:tcBorders>
              <w:top w:val="single" w:sz="4" w:space="0" w:color="auto"/>
            </w:tcBorders>
          </w:tcPr>
          <w:p w:rsidR="00C06C6E" w:rsidRPr="00E32074" w:rsidRDefault="00C06C6E" w:rsidP="00C06C6E">
            <w:pPr>
              <w:rPr>
                <w:bCs/>
                <w:sz w:val="16"/>
                <w:szCs w:val="16"/>
              </w:rPr>
            </w:pPr>
          </w:p>
        </w:tc>
        <w:tc>
          <w:tcPr>
            <w:tcW w:w="1667" w:type="pct"/>
            <w:shd w:val="clear" w:color="auto" w:fill="auto"/>
          </w:tcPr>
          <w:p w:rsidR="00C06C6E" w:rsidRPr="00E32074" w:rsidRDefault="00C06C6E" w:rsidP="00C06C6E">
            <w:pPr>
              <w:rPr>
                <w:bCs/>
                <w:iCs/>
                <w:sz w:val="16"/>
                <w:szCs w:val="16"/>
              </w:rPr>
            </w:pPr>
            <w:r w:rsidRPr="00E32074">
              <w:rPr>
                <w:bCs/>
                <w:iCs/>
                <w:color w:val="000000"/>
                <w:sz w:val="16"/>
                <w:szCs w:val="16"/>
              </w:rPr>
              <w:t>Increase in the life-cycle of the PCT Building cooling system</w:t>
            </w:r>
          </w:p>
        </w:tc>
      </w:tr>
      <w:tr w:rsidR="00C06C6E" w:rsidRPr="00E32074" w:rsidTr="00C06C6E">
        <w:trPr>
          <w:trHeight w:val="564"/>
        </w:trPr>
        <w:tc>
          <w:tcPr>
            <w:tcW w:w="1667" w:type="pct"/>
            <w:tcBorders>
              <w:top w:val="single" w:sz="4" w:space="0" w:color="auto"/>
            </w:tcBorders>
            <w:shd w:val="clear" w:color="auto" w:fill="auto"/>
            <w:tcMar>
              <w:top w:w="113" w:type="dxa"/>
              <w:bottom w:w="113" w:type="dxa"/>
            </w:tcMar>
          </w:tcPr>
          <w:p w:rsidR="00C06C6E" w:rsidRPr="00E32074" w:rsidRDefault="00C06C6E" w:rsidP="00C06C6E">
            <w:pPr>
              <w:rPr>
                <w:b/>
                <w:bCs/>
                <w:sz w:val="16"/>
                <w:szCs w:val="16"/>
                <w:u w:val="single"/>
              </w:rPr>
            </w:pPr>
          </w:p>
        </w:tc>
        <w:tc>
          <w:tcPr>
            <w:tcW w:w="1667" w:type="pct"/>
            <w:tcBorders>
              <w:top w:val="single" w:sz="4" w:space="0" w:color="auto"/>
            </w:tcBorders>
          </w:tcPr>
          <w:p w:rsidR="00C06C6E" w:rsidRPr="00E32074" w:rsidRDefault="00C06C6E" w:rsidP="00C06C6E">
            <w:pPr>
              <w:rPr>
                <w:bCs/>
                <w:sz w:val="16"/>
                <w:szCs w:val="16"/>
              </w:rPr>
            </w:pPr>
          </w:p>
        </w:tc>
        <w:tc>
          <w:tcPr>
            <w:tcW w:w="1667" w:type="pct"/>
            <w:shd w:val="clear" w:color="auto" w:fill="auto"/>
          </w:tcPr>
          <w:p w:rsidR="00C06C6E" w:rsidRPr="00E32074" w:rsidRDefault="00C06C6E" w:rsidP="00C06C6E">
            <w:pPr>
              <w:rPr>
                <w:bCs/>
                <w:iCs/>
                <w:sz w:val="16"/>
                <w:szCs w:val="16"/>
              </w:rPr>
            </w:pPr>
            <w:r w:rsidRPr="00E32074">
              <w:rPr>
                <w:bCs/>
                <w:iCs/>
                <w:color w:val="000000"/>
                <w:sz w:val="16"/>
                <w:szCs w:val="16"/>
              </w:rPr>
              <w:t>Installation and maintenance</w:t>
            </w:r>
            <w:r>
              <w:rPr>
                <w:bCs/>
                <w:iCs/>
                <w:color w:val="000000"/>
                <w:sz w:val="16"/>
                <w:szCs w:val="16"/>
              </w:rPr>
              <w:t xml:space="preserve"> of a more environmentally-</w:t>
            </w:r>
            <w:r w:rsidRPr="00E32074">
              <w:rPr>
                <w:bCs/>
                <w:iCs/>
                <w:color w:val="000000"/>
                <w:sz w:val="16"/>
                <w:szCs w:val="16"/>
              </w:rPr>
              <w:t xml:space="preserve">friendly PCT Building cooling system </w:t>
            </w:r>
          </w:p>
        </w:tc>
      </w:tr>
    </w:tbl>
    <w:p w:rsidR="00C06C6E" w:rsidRPr="00E32074" w:rsidRDefault="00C06C6E" w:rsidP="00C06C6E">
      <w:pPr>
        <w:jc w:val="both"/>
        <w:rPr>
          <w:rFonts w:cs="Arial"/>
          <w:szCs w:val="20"/>
        </w:rPr>
      </w:pPr>
    </w:p>
    <w:p w:rsidR="00C06C6E" w:rsidRPr="00E32074" w:rsidRDefault="00C06C6E" w:rsidP="00C06C6E">
      <w:pPr>
        <w:rPr>
          <w:szCs w:val="20"/>
        </w:rPr>
      </w:pPr>
    </w:p>
    <w:p w:rsidR="00C06C6E" w:rsidRPr="00E32074" w:rsidRDefault="00C06C6E" w:rsidP="00C06C6E">
      <w:pPr>
        <w:rPr>
          <w:rFonts w:cs="Arial"/>
          <w:color w:val="000000"/>
          <w:sz w:val="22"/>
          <w:szCs w:val="22"/>
        </w:rPr>
      </w:pPr>
      <w:r>
        <w:rPr>
          <w:rFonts w:cs="Arial"/>
          <w:color w:val="000000"/>
          <w:sz w:val="22"/>
          <w:szCs w:val="22"/>
        </w:rPr>
        <w:t>RESOURCE</w:t>
      </w:r>
      <w:r w:rsidRPr="00E32074">
        <w:rPr>
          <w:rFonts w:cs="Arial"/>
          <w:color w:val="000000"/>
          <w:sz w:val="22"/>
          <w:szCs w:val="22"/>
        </w:rPr>
        <w:t xml:space="preserve"> UTILIZATION</w:t>
      </w:r>
      <w:r w:rsidRPr="00E32074">
        <w:rPr>
          <w:rFonts w:cs="Arial"/>
          <w:color w:val="000000"/>
          <w:sz w:val="22"/>
          <w:szCs w:val="22"/>
        </w:rPr>
        <w:tab/>
      </w:r>
    </w:p>
    <w:p w:rsidR="00C06C6E" w:rsidRPr="00E32074" w:rsidRDefault="00C06C6E" w:rsidP="00C06C6E">
      <w:pPr>
        <w:rPr>
          <w:rFonts w:cs="Arial"/>
          <w:color w:val="000000"/>
          <w:sz w:val="22"/>
          <w:szCs w:val="22"/>
        </w:rPr>
      </w:pPr>
    </w:p>
    <w:p w:rsidR="00C06C6E" w:rsidRPr="00E32074" w:rsidRDefault="00C06C6E" w:rsidP="00C06C6E">
      <w:pPr>
        <w:keepNext/>
        <w:keepLines/>
        <w:tabs>
          <w:tab w:val="left" w:pos="3261"/>
        </w:tabs>
        <w:autoSpaceDE w:val="0"/>
        <w:autoSpaceDN w:val="0"/>
        <w:adjustRightInd w:val="0"/>
        <w:jc w:val="center"/>
        <w:rPr>
          <w:b/>
          <w:szCs w:val="22"/>
        </w:rPr>
      </w:pPr>
      <w:r w:rsidRPr="00E32074">
        <w:rPr>
          <w:b/>
          <w:color w:val="000000"/>
          <w:szCs w:val="22"/>
        </w:rPr>
        <w:t>Project Budget Utilization</w:t>
      </w:r>
    </w:p>
    <w:p w:rsidR="00C06C6E" w:rsidRDefault="00C06C6E" w:rsidP="00C06C6E">
      <w:pPr>
        <w:keepNext/>
        <w:keepLines/>
        <w:tabs>
          <w:tab w:val="left" w:pos="3261"/>
        </w:tabs>
        <w:autoSpaceDE w:val="0"/>
        <w:autoSpaceDN w:val="0"/>
        <w:adjustRightInd w:val="0"/>
        <w:jc w:val="center"/>
        <w:rPr>
          <w:i/>
          <w:iCs/>
          <w:sz w:val="18"/>
          <w:szCs w:val="18"/>
        </w:rPr>
      </w:pPr>
      <w:r w:rsidRPr="00E32074">
        <w:rPr>
          <w:i/>
          <w:iCs/>
          <w:sz w:val="18"/>
          <w:szCs w:val="18"/>
        </w:rPr>
        <w:t>(In Swiss francs, as at December 31, 2014)</w:t>
      </w:r>
    </w:p>
    <w:p w:rsidR="004860F6" w:rsidRPr="00E32074" w:rsidRDefault="004860F6" w:rsidP="00C06C6E">
      <w:pPr>
        <w:keepNext/>
        <w:keepLines/>
        <w:tabs>
          <w:tab w:val="left" w:pos="3261"/>
        </w:tabs>
        <w:autoSpaceDE w:val="0"/>
        <w:autoSpaceDN w:val="0"/>
        <w:adjustRightInd w:val="0"/>
        <w:jc w:val="center"/>
        <w:rPr>
          <w:i/>
          <w:iCs/>
          <w:sz w:val="18"/>
          <w:szCs w:val="18"/>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C06C6E" w:rsidRPr="00E32074" w:rsidTr="00C06C6E">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32074" w:rsidRDefault="00C06C6E" w:rsidP="00C06C6E">
            <w:pPr>
              <w:keepNext/>
              <w:keepLines/>
              <w:autoSpaceDE w:val="0"/>
              <w:autoSpaceDN w:val="0"/>
              <w:adjustRightInd w:val="0"/>
              <w:spacing w:before="40" w:after="40"/>
              <w:ind w:left="-74" w:right="-60"/>
              <w:jc w:val="center"/>
              <w:rPr>
                <w:b/>
                <w:bCs/>
                <w:sz w:val="16"/>
                <w:szCs w:val="16"/>
              </w:rPr>
            </w:pPr>
            <w:r w:rsidRPr="00E32074">
              <w:rPr>
                <w:b/>
                <w:bCs/>
                <w:sz w:val="16"/>
                <w:szCs w:val="16"/>
              </w:rPr>
              <w:t>Project Name</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32074" w:rsidRDefault="00C06C6E" w:rsidP="00C06C6E">
            <w:pPr>
              <w:keepNext/>
              <w:keepLines/>
              <w:autoSpaceDE w:val="0"/>
              <w:autoSpaceDN w:val="0"/>
              <w:adjustRightInd w:val="0"/>
              <w:spacing w:before="40" w:after="40"/>
              <w:ind w:left="-107" w:right="-108"/>
              <w:jc w:val="center"/>
              <w:rPr>
                <w:b/>
                <w:bCs/>
                <w:sz w:val="16"/>
                <w:szCs w:val="16"/>
              </w:rPr>
            </w:pPr>
            <w:r w:rsidRPr="00E32074">
              <w:rPr>
                <w:b/>
                <w:bCs/>
                <w:sz w:val="16"/>
                <w:szCs w:val="16"/>
              </w:rPr>
              <w:t>Project Budget</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32074" w:rsidRDefault="00C06C6E" w:rsidP="00C06C6E">
            <w:pPr>
              <w:keepNext/>
              <w:keepLines/>
              <w:autoSpaceDE w:val="0"/>
              <w:autoSpaceDN w:val="0"/>
              <w:adjustRightInd w:val="0"/>
              <w:spacing w:before="40" w:after="40"/>
              <w:ind w:left="-108" w:right="-106"/>
              <w:jc w:val="center"/>
              <w:rPr>
                <w:b/>
                <w:bCs/>
                <w:sz w:val="16"/>
                <w:szCs w:val="16"/>
              </w:rPr>
            </w:pPr>
            <w:r w:rsidRPr="00E32074">
              <w:rPr>
                <w:b/>
                <w:bCs/>
                <w:sz w:val="16"/>
                <w:szCs w:val="16"/>
              </w:rPr>
              <w:t>Actual Expenditure to Date</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32074" w:rsidRDefault="00C06C6E" w:rsidP="00C06C6E">
            <w:pPr>
              <w:keepNext/>
              <w:keepLines/>
              <w:autoSpaceDE w:val="0"/>
              <w:autoSpaceDN w:val="0"/>
              <w:adjustRightInd w:val="0"/>
              <w:spacing w:before="40" w:after="40"/>
              <w:ind w:left="-109" w:right="-108"/>
              <w:jc w:val="center"/>
              <w:rPr>
                <w:b/>
                <w:bCs/>
                <w:sz w:val="16"/>
                <w:szCs w:val="16"/>
              </w:rPr>
            </w:pPr>
            <w:r w:rsidRPr="00E32074">
              <w:rPr>
                <w:b/>
                <w:bCs/>
                <w:sz w:val="16"/>
                <w:szCs w:val="16"/>
              </w:rPr>
              <w:t>Actual Budget Utilization</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32074" w:rsidRDefault="00C06C6E" w:rsidP="00C06C6E">
            <w:pPr>
              <w:keepNext/>
              <w:keepLines/>
              <w:autoSpaceDE w:val="0"/>
              <w:autoSpaceDN w:val="0"/>
              <w:adjustRightInd w:val="0"/>
              <w:spacing w:before="40" w:after="40"/>
              <w:ind w:left="-109" w:right="-73" w:firstLine="1"/>
              <w:jc w:val="center"/>
              <w:rPr>
                <w:b/>
                <w:bCs/>
                <w:sz w:val="16"/>
                <w:szCs w:val="16"/>
              </w:rPr>
            </w:pPr>
            <w:r w:rsidRPr="00E32074">
              <w:rPr>
                <w:b/>
                <w:bCs/>
                <w:sz w:val="16"/>
                <w:szCs w:val="16"/>
              </w:rPr>
              <w:t>Implementation Progress Rate of the Project</w:t>
            </w:r>
          </w:p>
        </w:tc>
      </w:tr>
      <w:tr w:rsidR="00C06C6E" w:rsidRPr="00E32074" w:rsidTr="00C06C6E">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C06C6E" w:rsidRPr="00DE12BB" w:rsidRDefault="00C06C6E" w:rsidP="00C06C6E">
            <w:pPr>
              <w:keepNext/>
              <w:keepLines/>
              <w:autoSpaceDE w:val="0"/>
              <w:autoSpaceDN w:val="0"/>
              <w:adjustRightInd w:val="0"/>
              <w:spacing w:before="40" w:after="40" w:line="260" w:lineRule="exact"/>
              <w:rPr>
                <w:sz w:val="16"/>
                <w:szCs w:val="16"/>
              </w:rPr>
            </w:pPr>
            <w:r w:rsidRPr="00DE12BB">
              <w:rPr>
                <w:sz w:val="16"/>
                <w:szCs w:val="16"/>
              </w:rPr>
              <w:t xml:space="preserve">Deployment of Geneva Lake Water (“GLN”) cooling system </w:t>
            </w:r>
          </w:p>
          <w:p w:rsidR="00C06C6E" w:rsidRPr="00E32074" w:rsidRDefault="00C06C6E" w:rsidP="00C06C6E">
            <w:pPr>
              <w:keepNext/>
              <w:keepLines/>
              <w:autoSpaceDE w:val="0"/>
              <w:autoSpaceDN w:val="0"/>
              <w:adjustRightInd w:val="0"/>
              <w:spacing w:before="40" w:after="40" w:line="260" w:lineRule="exact"/>
              <w:rPr>
                <w:sz w:val="16"/>
                <w:szCs w:val="16"/>
              </w:rPr>
            </w:pPr>
            <w:r w:rsidRPr="00DE12BB">
              <w:rPr>
                <w:sz w:val="16"/>
                <w:szCs w:val="16"/>
              </w:rPr>
              <w:t>to AB and PCT Buildings</w:t>
            </w:r>
          </w:p>
        </w:tc>
        <w:tc>
          <w:tcPr>
            <w:tcW w:w="850"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jc w:val="center"/>
              <w:rPr>
                <w:sz w:val="16"/>
                <w:szCs w:val="16"/>
              </w:rPr>
            </w:pPr>
            <w:r w:rsidRPr="00E32074">
              <w:rPr>
                <w:sz w:val="16"/>
                <w:szCs w:val="16"/>
              </w:rPr>
              <w:t>750</w:t>
            </w:r>
            <w:r>
              <w:rPr>
                <w:sz w:val="16"/>
                <w:szCs w:val="16"/>
              </w:rPr>
              <w:t>,</w:t>
            </w:r>
            <w:r w:rsidRPr="00E32074">
              <w:rPr>
                <w:sz w:val="16"/>
                <w:szCs w:val="16"/>
              </w:rPr>
              <w:t>000</w:t>
            </w:r>
          </w:p>
        </w:tc>
        <w:tc>
          <w:tcPr>
            <w:tcW w:w="851"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jc w:val="center"/>
              <w:rPr>
                <w:sz w:val="16"/>
                <w:szCs w:val="16"/>
              </w:rPr>
            </w:pPr>
            <w:r w:rsidRPr="00E32074">
              <w:rPr>
                <w:sz w:val="16"/>
                <w:szCs w:val="16"/>
              </w:rPr>
              <w:t>88</w:t>
            </w:r>
            <w:r>
              <w:rPr>
                <w:sz w:val="16"/>
                <w:szCs w:val="16"/>
              </w:rPr>
              <w:t>,</w:t>
            </w:r>
            <w:r w:rsidRPr="00E32074">
              <w:rPr>
                <w:sz w:val="16"/>
                <w:szCs w:val="16"/>
              </w:rPr>
              <w:t>791</w:t>
            </w:r>
          </w:p>
        </w:tc>
        <w:tc>
          <w:tcPr>
            <w:tcW w:w="851"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jc w:val="center"/>
              <w:rPr>
                <w:sz w:val="16"/>
                <w:szCs w:val="16"/>
              </w:rPr>
            </w:pPr>
            <w:r>
              <w:rPr>
                <w:sz w:val="16"/>
                <w:szCs w:val="16"/>
              </w:rPr>
              <w:t>12</w:t>
            </w:r>
            <w:r w:rsidRPr="00E32074">
              <w:rPr>
                <w:sz w:val="16"/>
                <w:szCs w:val="16"/>
              </w:rPr>
              <w:t>%</w:t>
            </w:r>
          </w:p>
        </w:tc>
        <w:tc>
          <w:tcPr>
            <w:tcW w:w="850"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jc w:val="center"/>
              <w:rPr>
                <w:sz w:val="16"/>
                <w:szCs w:val="16"/>
              </w:rPr>
            </w:pPr>
            <w:r w:rsidRPr="00E32074">
              <w:rPr>
                <w:sz w:val="16"/>
                <w:szCs w:val="16"/>
              </w:rPr>
              <w:t>AB 100%</w:t>
            </w:r>
          </w:p>
          <w:p w:rsidR="00C06C6E" w:rsidRPr="00E32074" w:rsidRDefault="00C06C6E" w:rsidP="00C06C6E">
            <w:pPr>
              <w:keepNext/>
              <w:keepLines/>
              <w:autoSpaceDE w:val="0"/>
              <w:autoSpaceDN w:val="0"/>
              <w:adjustRightInd w:val="0"/>
              <w:spacing w:before="40" w:after="40" w:line="260" w:lineRule="exact"/>
              <w:jc w:val="center"/>
              <w:rPr>
                <w:sz w:val="16"/>
                <w:szCs w:val="16"/>
              </w:rPr>
            </w:pPr>
            <w:r w:rsidRPr="00E32074">
              <w:rPr>
                <w:sz w:val="16"/>
                <w:szCs w:val="16"/>
              </w:rPr>
              <w:t>PCT 8%</w:t>
            </w:r>
          </w:p>
        </w:tc>
      </w:tr>
    </w:tbl>
    <w:p w:rsidR="00C06C6E" w:rsidRDefault="00C06C6E" w:rsidP="00C06C6E">
      <w:pPr>
        <w:keepNext/>
        <w:autoSpaceDE w:val="0"/>
        <w:autoSpaceDN w:val="0"/>
        <w:rPr>
          <w:sz w:val="16"/>
          <w:szCs w:val="16"/>
        </w:rPr>
        <w:sectPr w:rsidR="00C06C6E" w:rsidSect="00C06C6E">
          <w:headerReference w:type="even" r:id="rId161"/>
          <w:headerReference w:type="default" r:id="rId162"/>
          <w:pgSz w:w="11907" w:h="16840" w:code="9"/>
          <w:pgMar w:top="567" w:right="1134" w:bottom="1418" w:left="1418" w:header="567" w:footer="964" w:gutter="0"/>
          <w:cols w:space="720"/>
          <w:docGrid w:linePitch="272"/>
        </w:sectPr>
      </w:pPr>
    </w:p>
    <w:p w:rsidR="00C06C6E" w:rsidRPr="00E32074" w:rsidRDefault="00C06C6E" w:rsidP="00C06C6E">
      <w:pPr>
        <w:keepNext/>
        <w:keepLines/>
        <w:tabs>
          <w:tab w:val="left" w:pos="3261"/>
        </w:tabs>
        <w:autoSpaceDE w:val="0"/>
        <w:autoSpaceDN w:val="0"/>
        <w:adjustRightInd w:val="0"/>
        <w:jc w:val="center"/>
        <w:rPr>
          <w:b/>
          <w:szCs w:val="22"/>
        </w:rPr>
      </w:pPr>
      <w:r w:rsidRPr="00E32074">
        <w:rPr>
          <w:b/>
          <w:szCs w:val="22"/>
        </w:rPr>
        <w:lastRenderedPageBreak/>
        <w:t>Project Budget Utilization (by Milestone)</w:t>
      </w:r>
    </w:p>
    <w:p w:rsidR="00C06C6E" w:rsidRPr="00E32074" w:rsidRDefault="00C06C6E" w:rsidP="00C06C6E">
      <w:pPr>
        <w:keepNext/>
        <w:keepLines/>
        <w:tabs>
          <w:tab w:val="left" w:pos="3261"/>
        </w:tabs>
        <w:autoSpaceDE w:val="0"/>
        <w:autoSpaceDN w:val="0"/>
        <w:adjustRightInd w:val="0"/>
        <w:jc w:val="center"/>
        <w:rPr>
          <w:i/>
          <w:iCs/>
          <w:sz w:val="18"/>
          <w:szCs w:val="18"/>
        </w:rPr>
      </w:pPr>
      <w:r w:rsidRPr="00E32074">
        <w:rPr>
          <w:i/>
          <w:iCs/>
          <w:sz w:val="18"/>
          <w:szCs w:val="18"/>
        </w:rPr>
        <w:t>(In Swiss francs, as at December 31, 2014)</w:t>
      </w:r>
    </w:p>
    <w:p w:rsidR="00C06C6E" w:rsidRPr="00E32074" w:rsidRDefault="00C06C6E" w:rsidP="00C06C6E">
      <w:pPr>
        <w:keepNext/>
        <w:autoSpaceDE w:val="0"/>
        <w:autoSpaceDN w:val="0"/>
        <w:rPr>
          <w:sz w:val="16"/>
          <w:szCs w:val="16"/>
        </w:rPr>
      </w:pPr>
    </w:p>
    <w:tbl>
      <w:tblPr>
        <w:tblpPr w:leftFromText="180" w:rightFromText="180" w:vertAnchor="text" w:horzAnchor="margin" w:tblpX="182" w:tblpY="17"/>
        <w:tblW w:w="46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1"/>
        <w:gridCol w:w="1517"/>
        <w:gridCol w:w="1517"/>
        <w:gridCol w:w="1517"/>
        <w:gridCol w:w="1517"/>
      </w:tblGrid>
      <w:tr w:rsidR="00C06C6E" w:rsidRPr="00E32074" w:rsidTr="004860F6">
        <w:trPr>
          <w:trHeight w:val="389"/>
        </w:trPr>
        <w:tc>
          <w:tcPr>
            <w:tcW w:w="157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32074" w:rsidRDefault="00C06C6E" w:rsidP="00C06C6E">
            <w:pPr>
              <w:keepNext/>
              <w:keepLines/>
              <w:autoSpaceDE w:val="0"/>
              <w:autoSpaceDN w:val="0"/>
              <w:adjustRightInd w:val="0"/>
              <w:spacing w:before="40" w:after="40"/>
              <w:ind w:left="-74" w:right="-60"/>
              <w:jc w:val="center"/>
              <w:rPr>
                <w:b/>
                <w:bCs/>
                <w:sz w:val="16"/>
                <w:szCs w:val="16"/>
              </w:rPr>
            </w:pPr>
            <w:r w:rsidRPr="00E32074">
              <w:rPr>
                <w:b/>
                <w:bCs/>
                <w:sz w:val="16"/>
                <w:szCs w:val="16"/>
              </w:rPr>
              <w:t>Key Milestone</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32074" w:rsidRDefault="00C06C6E" w:rsidP="00C06C6E">
            <w:pPr>
              <w:keepNext/>
              <w:keepLines/>
              <w:autoSpaceDE w:val="0"/>
              <w:autoSpaceDN w:val="0"/>
              <w:adjustRightInd w:val="0"/>
              <w:spacing w:before="40" w:after="40"/>
              <w:ind w:left="-107" w:right="-108"/>
              <w:jc w:val="center"/>
              <w:rPr>
                <w:b/>
                <w:bCs/>
                <w:sz w:val="16"/>
                <w:szCs w:val="16"/>
              </w:rPr>
            </w:pPr>
            <w:r w:rsidRPr="00E32074">
              <w:rPr>
                <w:b/>
                <w:bCs/>
                <w:sz w:val="16"/>
                <w:szCs w:val="16"/>
              </w:rPr>
              <w:t>Project Budget</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32074" w:rsidRDefault="00C06C6E" w:rsidP="00C06C6E">
            <w:pPr>
              <w:keepNext/>
              <w:keepLines/>
              <w:autoSpaceDE w:val="0"/>
              <w:autoSpaceDN w:val="0"/>
              <w:adjustRightInd w:val="0"/>
              <w:spacing w:before="40" w:after="40"/>
              <w:ind w:left="-108" w:right="-106"/>
              <w:jc w:val="center"/>
              <w:rPr>
                <w:b/>
                <w:bCs/>
                <w:sz w:val="16"/>
                <w:szCs w:val="16"/>
              </w:rPr>
            </w:pPr>
            <w:r w:rsidRPr="00E32074">
              <w:rPr>
                <w:b/>
                <w:bCs/>
                <w:sz w:val="16"/>
                <w:szCs w:val="16"/>
              </w:rPr>
              <w:t>Actual Expenditure to Date</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32074" w:rsidRDefault="00C06C6E" w:rsidP="00C06C6E">
            <w:pPr>
              <w:keepNext/>
              <w:keepLines/>
              <w:autoSpaceDE w:val="0"/>
              <w:autoSpaceDN w:val="0"/>
              <w:adjustRightInd w:val="0"/>
              <w:spacing w:before="40" w:after="40"/>
              <w:ind w:left="-109" w:right="-108"/>
              <w:jc w:val="center"/>
              <w:rPr>
                <w:b/>
                <w:bCs/>
                <w:sz w:val="16"/>
                <w:szCs w:val="16"/>
              </w:rPr>
            </w:pPr>
            <w:r w:rsidRPr="00E32074">
              <w:rPr>
                <w:b/>
                <w:bCs/>
                <w:sz w:val="16"/>
                <w:szCs w:val="16"/>
              </w:rPr>
              <w:t>Actual Budget Utilization</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32074" w:rsidRDefault="00C06C6E" w:rsidP="00C06C6E">
            <w:pPr>
              <w:keepNext/>
              <w:keepLines/>
              <w:autoSpaceDE w:val="0"/>
              <w:autoSpaceDN w:val="0"/>
              <w:adjustRightInd w:val="0"/>
              <w:spacing w:before="40" w:after="40"/>
              <w:ind w:left="-109" w:right="-73" w:firstLine="1"/>
              <w:jc w:val="center"/>
              <w:rPr>
                <w:b/>
                <w:bCs/>
                <w:sz w:val="16"/>
                <w:szCs w:val="16"/>
              </w:rPr>
            </w:pPr>
            <w:r w:rsidRPr="00E32074">
              <w:rPr>
                <w:b/>
                <w:bCs/>
                <w:sz w:val="16"/>
                <w:szCs w:val="16"/>
              </w:rPr>
              <w:t>Implementation Progress Rate by Milestone</w:t>
            </w:r>
          </w:p>
        </w:tc>
      </w:tr>
      <w:tr w:rsidR="00C06C6E" w:rsidRPr="00E32074" w:rsidTr="004860F6">
        <w:trPr>
          <w:trHeight w:val="369"/>
        </w:trPr>
        <w:tc>
          <w:tcPr>
            <w:tcW w:w="1575"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rPr>
                <w:sz w:val="16"/>
                <w:szCs w:val="16"/>
              </w:rPr>
            </w:pPr>
            <w:r>
              <w:rPr>
                <w:color w:val="000000"/>
                <w:sz w:val="16"/>
                <w:szCs w:val="16"/>
              </w:rPr>
              <w:t>Award of contract to the</w:t>
            </w:r>
            <w:r w:rsidRPr="00E32074">
              <w:rPr>
                <w:color w:val="000000"/>
                <w:sz w:val="16"/>
                <w:szCs w:val="16"/>
              </w:rPr>
              <w:t xml:space="preserve"> </w:t>
            </w:r>
            <w:r>
              <w:rPr>
                <w:color w:val="000000"/>
                <w:sz w:val="16"/>
                <w:szCs w:val="16"/>
              </w:rPr>
              <w:t>HVAC</w:t>
            </w:r>
            <w:r w:rsidRPr="00E32074">
              <w:rPr>
                <w:color w:val="000000"/>
                <w:sz w:val="16"/>
                <w:szCs w:val="16"/>
              </w:rPr>
              <w:t xml:space="preserve"> engineer for AB Building</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jc w:val="center"/>
              <w:rPr>
                <w:sz w:val="16"/>
                <w:szCs w:val="16"/>
              </w:rPr>
            </w:pPr>
            <w:r w:rsidRPr="00E32074">
              <w:rPr>
                <w:sz w:val="16"/>
                <w:szCs w:val="16"/>
              </w:rPr>
              <w:t>30</w:t>
            </w:r>
            <w:r>
              <w:rPr>
                <w:sz w:val="16"/>
                <w:szCs w:val="16"/>
              </w:rPr>
              <w:t>,00</w:t>
            </w:r>
            <w:r w:rsidRPr="00E32074">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jc w:val="center"/>
              <w:rPr>
                <w:sz w:val="16"/>
                <w:szCs w:val="16"/>
              </w:rPr>
            </w:pPr>
            <w:r w:rsidRPr="00E32074">
              <w:rPr>
                <w:sz w:val="16"/>
                <w:szCs w:val="16"/>
              </w:rPr>
              <w:t>16</w:t>
            </w:r>
            <w:r>
              <w:rPr>
                <w:sz w:val="16"/>
                <w:szCs w:val="16"/>
              </w:rPr>
              <w:t>,</w:t>
            </w:r>
            <w:r w:rsidRPr="00E32074">
              <w:rPr>
                <w:sz w:val="16"/>
                <w:szCs w:val="16"/>
              </w:rPr>
              <w:t>200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jc w:val="center"/>
              <w:rPr>
                <w:sz w:val="16"/>
                <w:szCs w:val="16"/>
              </w:rPr>
            </w:pPr>
            <w:r w:rsidRPr="00E32074">
              <w:rPr>
                <w:sz w:val="16"/>
                <w:szCs w:val="16"/>
              </w:rPr>
              <w:t>54%</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jc w:val="center"/>
              <w:rPr>
                <w:sz w:val="16"/>
                <w:szCs w:val="16"/>
              </w:rPr>
            </w:pPr>
            <w:r w:rsidRPr="00E32074">
              <w:rPr>
                <w:sz w:val="16"/>
                <w:szCs w:val="16"/>
              </w:rPr>
              <w:t>100%</w:t>
            </w:r>
          </w:p>
        </w:tc>
      </w:tr>
      <w:tr w:rsidR="00C06C6E" w:rsidRPr="00E32074" w:rsidTr="004860F6">
        <w:trPr>
          <w:trHeight w:val="369"/>
        </w:trPr>
        <w:tc>
          <w:tcPr>
            <w:tcW w:w="1575"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rPr>
                <w:sz w:val="16"/>
                <w:szCs w:val="16"/>
              </w:rPr>
            </w:pPr>
            <w:r>
              <w:rPr>
                <w:color w:val="000000"/>
                <w:sz w:val="16"/>
                <w:szCs w:val="16"/>
              </w:rPr>
              <w:t>Award of contract to the</w:t>
            </w:r>
            <w:r w:rsidRPr="00E32074">
              <w:rPr>
                <w:color w:val="000000"/>
                <w:sz w:val="16"/>
                <w:szCs w:val="16"/>
              </w:rPr>
              <w:t xml:space="preserve"> engineer for PCT Building</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jc w:val="center"/>
              <w:rPr>
                <w:sz w:val="16"/>
                <w:szCs w:val="16"/>
              </w:rPr>
            </w:pPr>
            <w:r w:rsidRPr="00E32074">
              <w:rPr>
                <w:sz w:val="16"/>
                <w:szCs w:val="16"/>
              </w:rPr>
              <w:t>83</w:t>
            </w:r>
            <w:r>
              <w:rPr>
                <w:sz w:val="16"/>
                <w:szCs w:val="16"/>
              </w:rPr>
              <w:t>,00</w:t>
            </w:r>
            <w:r w:rsidRPr="00E32074">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jc w:val="center"/>
              <w:rPr>
                <w:sz w:val="16"/>
                <w:szCs w:val="16"/>
              </w:rPr>
            </w:pPr>
            <w:r w:rsidRPr="00E32074">
              <w:rPr>
                <w:sz w:val="16"/>
                <w:szCs w:val="16"/>
              </w:rPr>
              <w:t>10</w:t>
            </w:r>
            <w:r>
              <w:rPr>
                <w:sz w:val="16"/>
                <w:szCs w:val="16"/>
              </w:rPr>
              <w:t>,</w:t>
            </w:r>
            <w:r w:rsidRPr="00E32074">
              <w:rPr>
                <w:sz w:val="16"/>
                <w:szCs w:val="16"/>
              </w:rPr>
              <w:t>800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jc w:val="center"/>
              <w:rPr>
                <w:sz w:val="16"/>
                <w:szCs w:val="16"/>
              </w:rPr>
            </w:pPr>
            <w:r w:rsidRPr="00E32074">
              <w:rPr>
                <w:sz w:val="16"/>
                <w:szCs w:val="16"/>
              </w:rPr>
              <w:t>13%</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jc w:val="center"/>
              <w:rPr>
                <w:sz w:val="16"/>
                <w:szCs w:val="16"/>
              </w:rPr>
            </w:pPr>
            <w:r w:rsidRPr="00E32074">
              <w:rPr>
                <w:sz w:val="16"/>
                <w:szCs w:val="16"/>
              </w:rPr>
              <w:t>50%</w:t>
            </w:r>
          </w:p>
        </w:tc>
      </w:tr>
      <w:tr w:rsidR="00C06C6E" w:rsidRPr="00E32074" w:rsidTr="004860F6">
        <w:trPr>
          <w:trHeight w:val="369"/>
        </w:trPr>
        <w:tc>
          <w:tcPr>
            <w:tcW w:w="1575"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rPr>
                <w:sz w:val="16"/>
                <w:szCs w:val="16"/>
              </w:rPr>
            </w:pPr>
            <w:r w:rsidRPr="00E32074">
              <w:rPr>
                <w:color w:val="000000"/>
                <w:sz w:val="16"/>
                <w:szCs w:val="16"/>
              </w:rPr>
              <w:t xml:space="preserve">Commissioning of GLN </w:t>
            </w:r>
            <w:r>
              <w:rPr>
                <w:color w:val="000000"/>
                <w:sz w:val="16"/>
                <w:szCs w:val="16"/>
              </w:rPr>
              <w:t>facilities</w:t>
            </w:r>
            <w:r w:rsidRPr="00E32074">
              <w:rPr>
                <w:color w:val="000000"/>
                <w:sz w:val="16"/>
                <w:szCs w:val="16"/>
              </w:rPr>
              <w:t xml:space="preserve"> in AB Building</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jc w:val="center"/>
              <w:rPr>
                <w:sz w:val="16"/>
                <w:szCs w:val="16"/>
              </w:rPr>
            </w:pPr>
            <w:r w:rsidRPr="00E32074">
              <w:rPr>
                <w:sz w:val="16"/>
                <w:szCs w:val="16"/>
              </w:rPr>
              <w:t>170</w:t>
            </w:r>
            <w:r>
              <w:rPr>
                <w:sz w:val="16"/>
                <w:szCs w:val="16"/>
              </w:rPr>
              <w:t>,00</w:t>
            </w:r>
            <w:r w:rsidRPr="00E32074">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jc w:val="center"/>
              <w:rPr>
                <w:sz w:val="16"/>
                <w:szCs w:val="16"/>
              </w:rPr>
            </w:pPr>
            <w:r w:rsidRPr="00E32074">
              <w:rPr>
                <w:sz w:val="16"/>
                <w:szCs w:val="16"/>
              </w:rPr>
              <w:t>61</w:t>
            </w:r>
            <w:r>
              <w:rPr>
                <w:sz w:val="16"/>
                <w:szCs w:val="16"/>
              </w:rPr>
              <w:t>,</w:t>
            </w:r>
            <w:r w:rsidRPr="00E32074">
              <w:rPr>
                <w:sz w:val="16"/>
                <w:szCs w:val="16"/>
              </w:rPr>
              <w:t>791</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jc w:val="center"/>
              <w:rPr>
                <w:sz w:val="16"/>
                <w:szCs w:val="16"/>
              </w:rPr>
            </w:pPr>
            <w:r w:rsidRPr="00E32074">
              <w:rPr>
                <w:sz w:val="16"/>
                <w:szCs w:val="16"/>
              </w:rPr>
              <w:t>36%</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jc w:val="center"/>
              <w:rPr>
                <w:sz w:val="16"/>
                <w:szCs w:val="16"/>
              </w:rPr>
            </w:pPr>
            <w:r w:rsidRPr="00E32074">
              <w:rPr>
                <w:sz w:val="16"/>
                <w:szCs w:val="16"/>
              </w:rPr>
              <w:t>100%</w:t>
            </w:r>
          </w:p>
        </w:tc>
      </w:tr>
      <w:tr w:rsidR="00C06C6E" w:rsidRPr="00E32074" w:rsidTr="004860F6">
        <w:trPr>
          <w:trHeight w:val="369"/>
        </w:trPr>
        <w:tc>
          <w:tcPr>
            <w:tcW w:w="1575"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rPr>
                <w:sz w:val="16"/>
                <w:szCs w:val="16"/>
              </w:rPr>
            </w:pPr>
            <w:r w:rsidRPr="00E32074">
              <w:rPr>
                <w:color w:val="000000"/>
                <w:sz w:val="16"/>
                <w:szCs w:val="16"/>
              </w:rPr>
              <w:t xml:space="preserve">Commissioning of GLN </w:t>
            </w:r>
            <w:r>
              <w:rPr>
                <w:color w:val="000000"/>
                <w:sz w:val="16"/>
                <w:szCs w:val="16"/>
              </w:rPr>
              <w:t>facilities</w:t>
            </w:r>
            <w:r w:rsidRPr="00E32074">
              <w:rPr>
                <w:color w:val="000000"/>
                <w:sz w:val="16"/>
                <w:szCs w:val="16"/>
              </w:rPr>
              <w:t xml:space="preserve"> in PCT Building</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jc w:val="center"/>
              <w:rPr>
                <w:sz w:val="16"/>
                <w:szCs w:val="16"/>
              </w:rPr>
            </w:pPr>
            <w:r w:rsidRPr="00E32074">
              <w:rPr>
                <w:sz w:val="16"/>
                <w:szCs w:val="16"/>
              </w:rPr>
              <w:t>46</w:t>
            </w:r>
            <w:r>
              <w:rPr>
                <w:sz w:val="16"/>
                <w:szCs w:val="16"/>
              </w:rPr>
              <w:t>7,00</w:t>
            </w:r>
            <w:r w:rsidRPr="00E32074">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jc w:val="center"/>
              <w:rPr>
                <w:sz w:val="16"/>
                <w:szCs w:val="16"/>
              </w:rPr>
            </w:pPr>
            <w:r w:rsidRPr="00E32074">
              <w:rPr>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jc w:val="center"/>
              <w:rPr>
                <w:sz w:val="16"/>
                <w:szCs w:val="16"/>
              </w:rPr>
            </w:pPr>
            <w:r w:rsidRPr="00E32074">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keepNext/>
              <w:keepLines/>
              <w:autoSpaceDE w:val="0"/>
              <w:autoSpaceDN w:val="0"/>
              <w:adjustRightInd w:val="0"/>
              <w:spacing w:before="40" w:after="40" w:line="260" w:lineRule="exact"/>
              <w:jc w:val="center"/>
              <w:rPr>
                <w:sz w:val="16"/>
                <w:szCs w:val="16"/>
              </w:rPr>
            </w:pPr>
            <w:r>
              <w:rPr>
                <w:sz w:val="16"/>
                <w:szCs w:val="16"/>
              </w:rPr>
              <w:t>-</w:t>
            </w:r>
          </w:p>
        </w:tc>
      </w:tr>
      <w:tr w:rsidR="00C06C6E" w:rsidRPr="00E32074" w:rsidTr="004860F6">
        <w:trPr>
          <w:trHeight w:val="369"/>
        </w:trPr>
        <w:tc>
          <w:tcPr>
            <w:tcW w:w="157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32074" w:rsidRDefault="00C06C6E" w:rsidP="00C06C6E">
            <w:pPr>
              <w:keepNext/>
              <w:keepLines/>
              <w:autoSpaceDE w:val="0"/>
              <w:autoSpaceDN w:val="0"/>
              <w:adjustRightInd w:val="0"/>
              <w:spacing w:before="40" w:after="40" w:line="260" w:lineRule="exact"/>
              <w:rPr>
                <w:b/>
                <w:sz w:val="16"/>
                <w:szCs w:val="16"/>
              </w:rPr>
            </w:pPr>
            <w:r w:rsidRPr="00E32074">
              <w:rPr>
                <w:b/>
                <w:sz w:val="16"/>
                <w:szCs w:val="16"/>
              </w:rPr>
              <w:t>Total</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32074" w:rsidRDefault="00C06C6E" w:rsidP="00C06C6E">
            <w:pPr>
              <w:keepNext/>
              <w:keepLines/>
              <w:autoSpaceDE w:val="0"/>
              <w:autoSpaceDN w:val="0"/>
              <w:adjustRightInd w:val="0"/>
              <w:spacing w:before="40" w:after="40" w:line="260" w:lineRule="exact"/>
              <w:jc w:val="center"/>
              <w:rPr>
                <w:b/>
                <w:sz w:val="16"/>
                <w:szCs w:val="16"/>
              </w:rPr>
            </w:pPr>
            <w:r w:rsidRPr="00E32074">
              <w:rPr>
                <w:b/>
                <w:sz w:val="16"/>
                <w:szCs w:val="16"/>
              </w:rPr>
              <w:t>750</w:t>
            </w:r>
            <w:r>
              <w:rPr>
                <w:b/>
                <w:sz w:val="16"/>
                <w:szCs w:val="16"/>
              </w:rPr>
              <w:t>,</w:t>
            </w:r>
            <w:r w:rsidRPr="00E32074">
              <w:rPr>
                <w:b/>
                <w:sz w:val="16"/>
                <w:szCs w:val="16"/>
              </w:rPr>
              <w:t>000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E32074" w:rsidRDefault="00C06C6E" w:rsidP="00C06C6E">
            <w:pPr>
              <w:keepNext/>
              <w:keepLines/>
              <w:autoSpaceDE w:val="0"/>
              <w:autoSpaceDN w:val="0"/>
              <w:adjustRightInd w:val="0"/>
              <w:spacing w:before="40" w:after="40" w:line="260" w:lineRule="exact"/>
              <w:jc w:val="center"/>
              <w:rPr>
                <w:b/>
                <w:sz w:val="16"/>
                <w:szCs w:val="16"/>
              </w:rPr>
            </w:pPr>
            <w:r w:rsidRPr="00E32074">
              <w:rPr>
                <w:b/>
                <w:sz w:val="16"/>
                <w:szCs w:val="16"/>
              </w:rPr>
              <w:t>88</w:t>
            </w:r>
            <w:r>
              <w:rPr>
                <w:b/>
                <w:sz w:val="16"/>
                <w:szCs w:val="16"/>
              </w:rPr>
              <w:t>,</w:t>
            </w:r>
            <w:r w:rsidRPr="00E32074">
              <w:rPr>
                <w:b/>
                <w:sz w:val="16"/>
                <w:szCs w:val="16"/>
              </w:rPr>
              <w:t>791</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E32074" w:rsidRDefault="00C06C6E" w:rsidP="00C06C6E">
            <w:pPr>
              <w:keepNext/>
              <w:keepLines/>
              <w:autoSpaceDE w:val="0"/>
              <w:autoSpaceDN w:val="0"/>
              <w:adjustRightInd w:val="0"/>
              <w:spacing w:before="40" w:after="40" w:line="260" w:lineRule="exact"/>
              <w:jc w:val="center"/>
              <w:rPr>
                <w:b/>
                <w:sz w:val="16"/>
                <w:szCs w:val="16"/>
              </w:rPr>
            </w:pPr>
            <w:r>
              <w:rPr>
                <w:b/>
                <w:sz w:val="16"/>
                <w:szCs w:val="16"/>
              </w:rPr>
              <w:t>12%</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E32074" w:rsidRDefault="00C06C6E" w:rsidP="00C06C6E">
            <w:pPr>
              <w:keepNext/>
              <w:keepLines/>
              <w:autoSpaceDE w:val="0"/>
              <w:autoSpaceDN w:val="0"/>
              <w:adjustRightInd w:val="0"/>
              <w:spacing w:before="40" w:after="40" w:line="260" w:lineRule="exact"/>
              <w:jc w:val="center"/>
              <w:rPr>
                <w:b/>
                <w:sz w:val="16"/>
                <w:szCs w:val="16"/>
              </w:rPr>
            </w:pPr>
          </w:p>
        </w:tc>
      </w:tr>
    </w:tbl>
    <w:p w:rsidR="00C06C6E" w:rsidRPr="00E32074" w:rsidRDefault="00C06C6E" w:rsidP="004860F6">
      <w:pPr>
        <w:tabs>
          <w:tab w:val="left" w:pos="3261"/>
        </w:tabs>
        <w:autoSpaceDE w:val="0"/>
        <w:autoSpaceDN w:val="0"/>
        <w:adjustRightInd w:val="0"/>
        <w:rPr>
          <w:b/>
          <w:szCs w:val="22"/>
        </w:rPr>
      </w:pPr>
    </w:p>
    <w:p w:rsidR="00C06C6E" w:rsidRPr="00E32074" w:rsidRDefault="00C06C6E" w:rsidP="004860F6">
      <w:pPr>
        <w:tabs>
          <w:tab w:val="left" w:pos="3261"/>
        </w:tabs>
        <w:autoSpaceDE w:val="0"/>
        <w:autoSpaceDN w:val="0"/>
        <w:adjustRightInd w:val="0"/>
        <w:jc w:val="center"/>
        <w:rPr>
          <w:b/>
          <w:szCs w:val="22"/>
        </w:rPr>
      </w:pPr>
    </w:p>
    <w:p w:rsidR="00C06C6E" w:rsidRPr="00E32074" w:rsidRDefault="00C06C6E" w:rsidP="004860F6">
      <w:pPr>
        <w:tabs>
          <w:tab w:val="left" w:pos="3261"/>
        </w:tabs>
        <w:autoSpaceDE w:val="0"/>
        <w:autoSpaceDN w:val="0"/>
        <w:adjustRightInd w:val="0"/>
        <w:jc w:val="center"/>
        <w:rPr>
          <w:b/>
          <w:szCs w:val="22"/>
        </w:rPr>
      </w:pPr>
      <w:r w:rsidRPr="00E32074">
        <w:rPr>
          <w:b/>
          <w:szCs w:val="22"/>
        </w:rPr>
        <w:t>Project Budget Utilization (by Cost Category)</w:t>
      </w:r>
    </w:p>
    <w:p w:rsidR="00C06C6E" w:rsidRPr="00E32074" w:rsidRDefault="00C06C6E" w:rsidP="004860F6">
      <w:pPr>
        <w:tabs>
          <w:tab w:val="left" w:pos="3261"/>
        </w:tabs>
        <w:autoSpaceDE w:val="0"/>
        <w:autoSpaceDN w:val="0"/>
        <w:adjustRightInd w:val="0"/>
        <w:jc w:val="center"/>
        <w:rPr>
          <w:i/>
          <w:iCs/>
          <w:sz w:val="18"/>
          <w:szCs w:val="18"/>
        </w:rPr>
      </w:pPr>
      <w:r w:rsidRPr="00E32074">
        <w:rPr>
          <w:i/>
          <w:iCs/>
          <w:sz w:val="18"/>
          <w:szCs w:val="18"/>
        </w:rPr>
        <w:t>(In Swiss francs, as at December 31, 2014)</w:t>
      </w:r>
    </w:p>
    <w:p w:rsidR="00C06C6E" w:rsidRPr="00E32074" w:rsidRDefault="00C06C6E" w:rsidP="00C06C6E">
      <w:pPr>
        <w:keepNext/>
        <w:keepLines/>
        <w:autoSpaceDE w:val="0"/>
        <w:autoSpaceDN w:val="0"/>
        <w:adjustRightInd w:val="0"/>
        <w:jc w:val="center"/>
      </w:pP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838"/>
      </w:tblGrid>
      <w:tr w:rsidR="00C06C6E" w:rsidRPr="00E32074" w:rsidTr="00C06C6E">
        <w:trPr>
          <w:trHeight w:val="569"/>
        </w:trPr>
        <w:tc>
          <w:tcPr>
            <w:tcW w:w="18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32074" w:rsidRDefault="00C06C6E" w:rsidP="00C06C6E">
            <w:pPr>
              <w:keepNext/>
              <w:keepLines/>
              <w:autoSpaceDE w:val="0"/>
              <w:autoSpaceDN w:val="0"/>
              <w:adjustRightInd w:val="0"/>
              <w:spacing w:before="40" w:after="40" w:line="260" w:lineRule="exact"/>
              <w:ind w:left="-74" w:right="-60"/>
              <w:jc w:val="center"/>
              <w:rPr>
                <w:b/>
                <w:bCs/>
                <w:sz w:val="16"/>
                <w:szCs w:val="16"/>
              </w:rPr>
            </w:pPr>
            <w:r w:rsidRPr="00E32074">
              <w:rPr>
                <w:b/>
                <w:bCs/>
                <w:sz w:val="16"/>
                <w:szCs w:val="16"/>
              </w:rPr>
              <w:t>Cost Category</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32074" w:rsidRDefault="00C06C6E" w:rsidP="00C06C6E">
            <w:pPr>
              <w:keepNext/>
              <w:keepLines/>
              <w:autoSpaceDE w:val="0"/>
              <w:autoSpaceDN w:val="0"/>
              <w:adjustRightInd w:val="0"/>
              <w:spacing w:before="40" w:after="40" w:line="260" w:lineRule="exact"/>
              <w:ind w:left="-107" w:right="-108"/>
              <w:jc w:val="center"/>
              <w:rPr>
                <w:b/>
                <w:bCs/>
                <w:sz w:val="16"/>
                <w:szCs w:val="16"/>
              </w:rPr>
            </w:pPr>
            <w:r w:rsidRPr="00E32074">
              <w:rPr>
                <w:b/>
                <w:bCs/>
                <w:sz w:val="16"/>
                <w:szCs w:val="16"/>
              </w:rPr>
              <w:t>Project Budget</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32074" w:rsidRDefault="00C06C6E" w:rsidP="00C06C6E">
            <w:pPr>
              <w:keepNext/>
              <w:keepLines/>
              <w:autoSpaceDE w:val="0"/>
              <w:autoSpaceDN w:val="0"/>
              <w:adjustRightInd w:val="0"/>
              <w:spacing w:before="40" w:after="40" w:line="260" w:lineRule="exact"/>
              <w:ind w:left="-108"/>
              <w:jc w:val="center"/>
              <w:rPr>
                <w:b/>
                <w:bCs/>
                <w:sz w:val="16"/>
                <w:szCs w:val="16"/>
              </w:rPr>
            </w:pPr>
            <w:r w:rsidRPr="00E32074">
              <w:rPr>
                <w:b/>
                <w:bCs/>
                <w:sz w:val="16"/>
                <w:szCs w:val="16"/>
              </w:rPr>
              <w:t xml:space="preserve">Actual Expenditure to Date </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32074" w:rsidRDefault="00C06C6E" w:rsidP="00C06C6E">
            <w:pPr>
              <w:keepNext/>
              <w:keepLines/>
              <w:autoSpaceDE w:val="0"/>
              <w:autoSpaceDN w:val="0"/>
              <w:adjustRightInd w:val="0"/>
              <w:spacing w:before="40" w:after="40" w:line="260" w:lineRule="exact"/>
              <w:ind w:left="-109"/>
              <w:jc w:val="center"/>
              <w:rPr>
                <w:b/>
                <w:bCs/>
                <w:sz w:val="16"/>
                <w:szCs w:val="16"/>
              </w:rPr>
            </w:pPr>
            <w:r w:rsidRPr="00E32074">
              <w:rPr>
                <w:b/>
                <w:bCs/>
                <w:sz w:val="16"/>
                <w:szCs w:val="16"/>
              </w:rPr>
              <w:t>Actual Budget Utilization</w:t>
            </w:r>
          </w:p>
        </w:tc>
      </w:tr>
      <w:tr w:rsidR="00C06C6E" w:rsidRPr="00E32074" w:rsidTr="00C06C6E">
        <w:tc>
          <w:tcPr>
            <w:tcW w:w="1854"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autoSpaceDE w:val="0"/>
              <w:autoSpaceDN w:val="0"/>
              <w:adjustRightInd w:val="0"/>
              <w:spacing w:before="40" w:after="40" w:line="260" w:lineRule="exact"/>
              <w:rPr>
                <w:sz w:val="16"/>
                <w:szCs w:val="16"/>
              </w:rPr>
            </w:pPr>
            <w:r w:rsidRPr="00E32074">
              <w:rPr>
                <w:color w:val="000000"/>
                <w:sz w:val="16"/>
                <w:szCs w:val="16"/>
              </w:rPr>
              <w:t>Construction</w:t>
            </w:r>
            <w:r>
              <w:rPr>
                <w:color w:val="000000"/>
                <w:sz w:val="16"/>
                <w:szCs w:val="16"/>
              </w:rPr>
              <w:t>-related</w:t>
            </w:r>
            <w:r w:rsidRPr="00E32074">
              <w:rPr>
                <w:color w:val="000000"/>
                <w:sz w:val="16"/>
                <w:szCs w:val="16"/>
              </w:rPr>
              <w:t xml:space="preserve"> </w:t>
            </w:r>
            <w:r w:rsidRPr="00E32074">
              <w:rPr>
                <w:sz w:val="16"/>
                <w:szCs w:val="16"/>
              </w:rPr>
              <w:t xml:space="preserve">costs </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autoSpaceDE w:val="0"/>
              <w:autoSpaceDN w:val="0"/>
              <w:adjustRightInd w:val="0"/>
              <w:spacing w:before="40" w:after="40" w:line="260" w:lineRule="exact"/>
              <w:jc w:val="center"/>
              <w:rPr>
                <w:sz w:val="16"/>
                <w:szCs w:val="16"/>
              </w:rPr>
            </w:pPr>
            <w:r w:rsidRPr="00E32074">
              <w:rPr>
                <w:sz w:val="16"/>
                <w:szCs w:val="16"/>
              </w:rPr>
              <w:t>585</w:t>
            </w:r>
            <w:r>
              <w:rPr>
                <w:sz w:val="16"/>
                <w:szCs w:val="16"/>
              </w:rPr>
              <w:t>,</w:t>
            </w:r>
            <w:r w:rsidRPr="00E32074">
              <w:rPr>
                <w:sz w:val="16"/>
                <w:szCs w:val="16"/>
              </w:rPr>
              <w:t>000</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autoSpaceDE w:val="0"/>
              <w:autoSpaceDN w:val="0"/>
              <w:adjustRightInd w:val="0"/>
              <w:spacing w:before="40" w:after="40" w:line="260" w:lineRule="exact"/>
              <w:jc w:val="center"/>
              <w:rPr>
                <w:sz w:val="16"/>
                <w:szCs w:val="16"/>
              </w:rPr>
            </w:pPr>
            <w:r w:rsidRPr="00E32074">
              <w:rPr>
                <w:sz w:val="16"/>
                <w:szCs w:val="16"/>
              </w:rPr>
              <w:t>61</w:t>
            </w:r>
            <w:r>
              <w:rPr>
                <w:sz w:val="16"/>
                <w:szCs w:val="16"/>
              </w:rPr>
              <w:t>,</w:t>
            </w:r>
            <w:r w:rsidRPr="00E32074">
              <w:rPr>
                <w:sz w:val="16"/>
                <w:szCs w:val="16"/>
              </w:rPr>
              <w:t>791</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autoSpaceDE w:val="0"/>
              <w:autoSpaceDN w:val="0"/>
              <w:adjustRightInd w:val="0"/>
              <w:spacing w:before="40" w:after="40" w:line="260" w:lineRule="exact"/>
              <w:jc w:val="center"/>
              <w:rPr>
                <w:sz w:val="16"/>
                <w:szCs w:val="16"/>
              </w:rPr>
            </w:pPr>
            <w:r>
              <w:rPr>
                <w:sz w:val="16"/>
                <w:szCs w:val="16"/>
              </w:rPr>
              <w:t>11</w:t>
            </w:r>
            <w:r w:rsidRPr="00E32074">
              <w:rPr>
                <w:sz w:val="16"/>
                <w:szCs w:val="16"/>
              </w:rPr>
              <w:t>%</w:t>
            </w:r>
          </w:p>
        </w:tc>
      </w:tr>
      <w:tr w:rsidR="00C06C6E" w:rsidRPr="00E32074" w:rsidTr="00C06C6E">
        <w:tc>
          <w:tcPr>
            <w:tcW w:w="1854"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autoSpaceDE w:val="0"/>
              <w:autoSpaceDN w:val="0"/>
              <w:adjustRightInd w:val="0"/>
              <w:spacing w:before="40" w:after="40" w:line="260" w:lineRule="exact"/>
              <w:rPr>
                <w:sz w:val="16"/>
                <w:szCs w:val="16"/>
              </w:rPr>
            </w:pPr>
            <w:r>
              <w:rPr>
                <w:color w:val="000000"/>
                <w:sz w:val="16"/>
                <w:szCs w:val="16"/>
              </w:rPr>
              <w:t>Honoraria</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autoSpaceDE w:val="0"/>
              <w:autoSpaceDN w:val="0"/>
              <w:adjustRightInd w:val="0"/>
              <w:spacing w:before="40" w:after="40" w:line="260" w:lineRule="exact"/>
              <w:jc w:val="center"/>
              <w:rPr>
                <w:sz w:val="16"/>
                <w:szCs w:val="16"/>
              </w:rPr>
            </w:pPr>
            <w:r w:rsidRPr="00E32074">
              <w:rPr>
                <w:sz w:val="16"/>
                <w:szCs w:val="16"/>
              </w:rPr>
              <w:t>113</w:t>
            </w:r>
            <w:r>
              <w:rPr>
                <w:sz w:val="16"/>
                <w:szCs w:val="16"/>
              </w:rPr>
              <w:t>,</w:t>
            </w:r>
            <w:r w:rsidRPr="00E32074">
              <w:rPr>
                <w:sz w:val="16"/>
                <w:szCs w:val="16"/>
              </w:rPr>
              <w:t>000</w:t>
            </w:r>
          </w:p>
        </w:tc>
        <w:tc>
          <w:tcPr>
            <w:tcW w:w="1049" w:type="pct"/>
            <w:tcBorders>
              <w:top w:val="single" w:sz="4" w:space="0" w:color="auto"/>
              <w:left w:val="single" w:sz="4" w:space="0" w:color="auto"/>
              <w:bottom w:val="single" w:sz="4" w:space="0" w:color="auto"/>
              <w:right w:val="single" w:sz="4" w:space="0" w:color="auto"/>
            </w:tcBorders>
          </w:tcPr>
          <w:p w:rsidR="00C06C6E" w:rsidRPr="00E32074" w:rsidRDefault="00C06C6E" w:rsidP="00C06C6E">
            <w:pPr>
              <w:autoSpaceDE w:val="0"/>
              <w:autoSpaceDN w:val="0"/>
              <w:adjustRightInd w:val="0"/>
              <w:spacing w:before="40" w:after="40" w:line="260" w:lineRule="exact"/>
              <w:jc w:val="center"/>
              <w:rPr>
                <w:sz w:val="16"/>
                <w:szCs w:val="16"/>
              </w:rPr>
            </w:pPr>
            <w:r w:rsidRPr="00E32074">
              <w:rPr>
                <w:sz w:val="16"/>
                <w:szCs w:val="16"/>
              </w:rPr>
              <w:t>27</w:t>
            </w:r>
            <w:r>
              <w:rPr>
                <w:sz w:val="16"/>
                <w:szCs w:val="16"/>
              </w:rPr>
              <w:t>,</w:t>
            </w:r>
            <w:r w:rsidRPr="00E32074">
              <w:rPr>
                <w:sz w:val="16"/>
                <w:szCs w:val="16"/>
              </w:rPr>
              <w:t>000</w:t>
            </w:r>
          </w:p>
        </w:tc>
        <w:tc>
          <w:tcPr>
            <w:tcW w:w="1049" w:type="pct"/>
            <w:tcBorders>
              <w:top w:val="single" w:sz="4" w:space="0" w:color="auto"/>
              <w:left w:val="single" w:sz="4" w:space="0" w:color="auto"/>
              <w:bottom w:val="single" w:sz="4" w:space="0" w:color="auto"/>
              <w:right w:val="single" w:sz="4" w:space="0" w:color="auto"/>
            </w:tcBorders>
          </w:tcPr>
          <w:p w:rsidR="00C06C6E" w:rsidRPr="00E32074" w:rsidRDefault="00C06C6E" w:rsidP="00C06C6E">
            <w:pPr>
              <w:autoSpaceDE w:val="0"/>
              <w:autoSpaceDN w:val="0"/>
              <w:adjustRightInd w:val="0"/>
              <w:spacing w:before="40" w:after="40" w:line="260" w:lineRule="exact"/>
              <w:jc w:val="center"/>
              <w:rPr>
                <w:sz w:val="16"/>
                <w:szCs w:val="16"/>
              </w:rPr>
            </w:pPr>
            <w:r>
              <w:rPr>
                <w:sz w:val="16"/>
                <w:szCs w:val="16"/>
              </w:rPr>
              <w:t>24</w:t>
            </w:r>
            <w:r w:rsidRPr="00E32074">
              <w:rPr>
                <w:sz w:val="16"/>
                <w:szCs w:val="16"/>
              </w:rPr>
              <w:t>%</w:t>
            </w:r>
          </w:p>
        </w:tc>
      </w:tr>
      <w:tr w:rsidR="00C06C6E" w:rsidRPr="00E32074" w:rsidTr="00C06C6E">
        <w:tc>
          <w:tcPr>
            <w:tcW w:w="1854"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autoSpaceDE w:val="0"/>
              <w:autoSpaceDN w:val="0"/>
              <w:adjustRightInd w:val="0"/>
              <w:spacing w:before="40" w:after="40" w:line="260" w:lineRule="exact"/>
              <w:rPr>
                <w:sz w:val="16"/>
                <w:szCs w:val="16"/>
              </w:rPr>
            </w:pPr>
            <w:r w:rsidRPr="00E32074">
              <w:rPr>
                <w:sz w:val="16"/>
                <w:szCs w:val="16"/>
              </w:rPr>
              <w:t xml:space="preserve">Miscellaneous and </w:t>
            </w:r>
            <w:r>
              <w:rPr>
                <w:sz w:val="16"/>
                <w:szCs w:val="16"/>
              </w:rPr>
              <w:t xml:space="preserve"> unforeseen</w:t>
            </w:r>
            <w:r w:rsidRPr="00E32074">
              <w:rPr>
                <w:sz w:val="16"/>
                <w:szCs w:val="16"/>
              </w:rPr>
              <w:t xml:space="preserve"> </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autoSpaceDE w:val="0"/>
              <w:autoSpaceDN w:val="0"/>
              <w:adjustRightInd w:val="0"/>
              <w:spacing w:before="40" w:after="40" w:line="260" w:lineRule="exact"/>
              <w:jc w:val="center"/>
              <w:rPr>
                <w:sz w:val="16"/>
                <w:szCs w:val="16"/>
              </w:rPr>
            </w:pPr>
            <w:r w:rsidRPr="00E32074">
              <w:rPr>
                <w:sz w:val="16"/>
                <w:szCs w:val="16"/>
              </w:rPr>
              <w:t>5</w:t>
            </w:r>
            <w:r>
              <w:rPr>
                <w:sz w:val="16"/>
                <w:szCs w:val="16"/>
              </w:rPr>
              <w:t>2,</w:t>
            </w:r>
            <w:r w:rsidRPr="00E32074">
              <w:rPr>
                <w:sz w:val="16"/>
                <w:szCs w:val="16"/>
              </w:rPr>
              <w:t>000</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autoSpaceDE w:val="0"/>
              <w:autoSpaceDN w:val="0"/>
              <w:adjustRightInd w:val="0"/>
              <w:spacing w:before="40" w:after="40" w:line="260" w:lineRule="exact"/>
              <w:jc w:val="center"/>
              <w:rPr>
                <w:sz w:val="16"/>
                <w:szCs w:val="16"/>
              </w:rPr>
            </w:pPr>
            <w:r w:rsidRPr="00E32074">
              <w:rPr>
                <w:color w:val="000000"/>
                <w:sz w:val="16"/>
                <w:szCs w:val="16"/>
              </w:rPr>
              <w:t>0</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E32074" w:rsidRDefault="00C06C6E" w:rsidP="00C06C6E">
            <w:pPr>
              <w:autoSpaceDE w:val="0"/>
              <w:autoSpaceDN w:val="0"/>
              <w:adjustRightInd w:val="0"/>
              <w:spacing w:before="40" w:after="40" w:line="260" w:lineRule="exact"/>
              <w:jc w:val="center"/>
              <w:rPr>
                <w:sz w:val="16"/>
                <w:szCs w:val="16"/>
              </w:rPr>
            </w:pPr>
            <w:r w:rsidRPr="00E32074">
              <w:rPr>
                <w:sz w:val="16"/>
                <w:szCs w:val="16"/>
              </w:rPr>
              <w:t>0%</w:t>
            </w:r>
          </w:p>
        </w:tc>
      </w:tr>
      <w:tr w:rsidR="00C06C6E" w:rsidRPr="00E32074" w:rsidTr="00C06C6E">
        <w:tc>
          <w:tcPr>
            <w:tcW w:w="18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32074" w:rsidRDefault="00C06C6E" w:rsidP="00C06C6E">
            <w:pPr>
              <w:autoSpaceDE w:val="0"/>
              <w:autoSpaceDN w:val="0"/>
              <w:adjustRightInd w:val="0"/>
              <w:spacing w:before="40" w:after="40" w:line="260" w:lineRule="exact"/>
              <w:rPr>
                <w:b/>
                <w:sz w:val="16"/>
                <w:szCs w:val="16"/>
              </w:rPr>
            </w:pPr>
            <w:r w:rsidRPr="00E32074">
              <w:rPr>
                <w:b/>
                <w:sz w:val="16"/>
                <w:szCs w:val="16"/>
              </w:rPr>
              <w:t>Total</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32074" w:rsidRDefault="00C06C6E" w:rsidP="00C06C6E">
            <w:pPr>
              <w:autoSpaceDE w:val="0"/>
              <w:autoSpaceDN w:val="0"/>
              <w:adjustRightInd w:val="0"/>
              <w:spacing w:before="40" w:after="40" w:line="260" w:lineRule="exact"/>
              <w:jc w:val="center"/>
              <w:rPr>
                <w:b/>
                <w:sz w:val="16"/>
                <w:szCs w:val="16"/>
              </w:rPr>
            </w:pPr>
            <w:r w:rsidRPr="00E32074">
              <w:rPr>
                <w:b/>
                <w:sz w:val="16"/>
                <w:szCs w:val="16"/>
              </w:rPr>
              <w:t>750</w:t>
            </w:r>
            <w:r>
              <w:rPr>
                <w:b/>
                <w:sz w:val="16"/>
                <w:szCs w:val="16"/>
              </w:rPr>
              <w:t>,</w:t>
            </w:r>
            <w:r w:rsidRPr="00E32074">
              <w:rPr>
                <w:b/>
                <w:sz w:val="16"/>
                <w:szCs w:val="16"/>
              </w:rPr>
              <w:t>000</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E32074" w:rsidRDefault="00C06C6E" w:rsidP="00C06C6E">
            <w:pPr>
              <w:autoSpaceDE w:val="0"/>
              <w:autoSpaceDN w:val="0"/>
              <w:adjustRightInd w:val="0"/>
              <w:spacing w:before="40" w:after="40" w:line="260" w:lineRule="exact"/>
              <w:jc w:val="center"/>
              <w:rPr>
                <w:b/>
                <w:sz w:val="16"/>
                <w:szCs w:val="16"/>
              </w:rPr>
            </w:pPr>
            <w:r w:rsidRPr="00E32074">
              <w:rPr>
                <w:b/>
                <w:sz w:val="16"/>
                <w:szCs w:val="16"/>
              </w:rPr>
              <w:t>88</w:t>
            </w:r>
            <w:r>
              <w:rPr>
                <w:b/>
                <w:sz w:val="16"/>
                <w:szCs w:val="16"/>
              </w:rPr>
              <w:t>,</w:t>
            </w:r>
            <w:r w:rsidRPr="00E32074">
              <w:rPr>
                <w:b/>
                <w:sz w:val="16"/>
                <w:szCs w:val="16"/>
              </w:rPr>
              <w:t>791</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E32074" w:rsidRDefault="00C06C6E" w:rsidP="00C06C6E">
            <w:pPr>
              <w:autoSpaceDE w:val="0"/>
              <w:autoSpaceDN w:val="0"/>
              <w:adjustRightInd w:val="0"/>
              <w:spacing w:before="40" w:after="40" w:line="260" w:lineRule="exact"/>
              <w:jc w:val="center"/>
              <w:rPr>
                <w:b/>
                <w:sz w:val="16"/>
                <w:szCs w:val="16"/>
              </w:rPr>
            </w:pPr>
          </w:p>
        </w:tc>
      </w:tr>
    </w:tbl>
    <w:p w:rsidR="00C06C6E" w:rsidRPr="00E32074" w:rsidRDefault="00C06C6E" w:rsidP="00C06C6E">
      <w:pPr>
        <w:rPr>
          <w:rFonts w:cs="Arial"/>
          <w:color w:val="000000"/>
          <w:sz w:val="22"/>
          <w:szCs w:val="22"/>
        </w:rPr>
      </w:pPr>
    </w:p>
    <w:p w:rsidR="00C06C6E" w:rsidRPr="00E32074" w:rsidRDefault="00C06C6E" w:rsidP="00C06C6E">
      <w:pPr>
        <w:rPr>
          <w:rFonts w:cs="Arial"/>
          <w:color w:val="000000"/>
          <w:sz w:val="22"/>
          <w:szCs w:val="22"/>
        </w:rPr>
      </w:pPr>
    </w:p>
    <w:p w:rsidR="00C06C6E" w:rsidRPr="00E32074" w:rsidRDefault="00C06C6E" w:rsidP="00C06C6E">
      <w:pPr>
        <w:rPr>
          <w:rFonts w:cs="Arial"/>
          <w:color w:val="000000"/>
          <w:sz w:val="22"/>
          <w:szCs w:val="22"/>
        </w:rPr>
      </w:pPr>
      <w:r w:rsidRPr="00E32074">
        <w:rPr>
          <w:rFonts w:cs="Arial"/>
          <w:color w:val="000000"/>
          <w:sz w:val="22"/>
          <w:szCs w:val="22"/>
        </w:rPr>
        <w:t>RISK AND MITIGATION STRATEGIES</w:t>
      </w:r>
    </w:p>
    <w:p w:rsidR="00C06C6E" w:rsidRPr="00E32074" w:rsidRDefault="00C06C6E" w:rsidP="00C06C6E">
      <w:pPr>
        <w:rPr>
          <w:rFonts w:cs="Arial"/>
          <w:color w:val="000000"/>
          <w:sz w:val="22"/>
          <w:szCs w:val="22"/>
        </w:rPr>
      </w:pPr>
    </w:p>
    <w:tbl>
      <w:tblPr>
        <w:tblW w:w="4813" w:type="pct"/>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C06C6E" w:rsidRPr="00E32074" w:rsidTr="005158E3">
        <w:trPr>
          <w:trHeight w:val="477"/>
          <w:tblHeader/>
          <w:jc w:val="center"/>
        </w:trPr>
        <w:tc>
          <w:tcPr>
            <w:tcW w:w="1667" w:type="pct"/>
            <w:shd w:val="clear" w:color="auto" w:fill="C6D9F1" w:themeFill="text2" w:themeFillTint="33"/>
            <w:vAlign w:val="center"/>
          </w:tcPr>
          <w:p w:rsidR="00C06C6E" w:rsidRPr="00E32074" w:rsidRDefault="00C06C6E" w:rsidP="00C06C6E">
            <w:pPr>
              <w:autoSpaceDE w:val="0"/>
              <w:autoSpaceDN w:val="0"/>
              <w:adjustRightInd w:val="0"/>
              <w:spacing w:before="40" w:after="40" w:line="260" w:lineRule="exact"/>
              <w:ind w:left="-74" w:right="-60"/>
              <w:jc w:val="center"/>
              <w:rPr>
                <w:b/>
                <w:bCs/>
                <w:sz w:val="16"/>
                <w:szCs w:val="16"/>
              </w:rPr>
            </w:pPr>
            <w:r w:rsidRPr="00E32074">
              <w:rPr>
                <w:b/>
                <w:bCs/>
                <w:sz w:val="16"/>
                <w:szCs w:val="16"/>
              </w:rPr>
              <w:t xml:space="preserve">Risk </w:t>
            </w:r>
          </w:p>
        </w:tc>
        <w:tc>
          <w:tcPr>
            <w:tcW w:w="1667" w:type="pct"/>
            <w:shd w:val="clear" w:color="auto" w:fill="C6D9F1" w:themeFill="text2" w:themeFillTint="33"/>
            <w:vAlign w:val="center"/>
          </w:tcPr>
          <w:p w:rsidR="00C06C6E" w:rsidRPr="00E32074" w:rsidRDefault="00C06C6E" w:rsidP="00C06C6E">
            <w:pPr>
              <w:autoSpaceDE w:val="0"/>
              <w:autoSpaceDN w:val="0"/>
              <w:adjustRightInd w:val="0"/>
              <w:spacing w:before="40" w:after="40" w:line="260" w:lineRule="exact"/>
              <w:ind w:left="-107" w:right="-108"/>
              <w:jc w:val="center"/>
              <w:rPr>
                <w:b/>
                <w:bCs/>
                <w:sz w:val="16"/>
                <w:szCs w:val="16"/>
              </w:rPr>
            </w:pPr>
            <w:r w:rsidRPr="00E32074">
              <w:rPr>
                <w:b/>
                <w:bCs/>
                <w:color w:val="000000"/>
                <w:sz w:val="16"/>
                <w:szCs w:val="16"/>
              </w:rPr>
              <w:t>D</w:t>
            </w:r>
            <w:r w:rsidRPr="00E32074">
              <w:rPr>
                <w:b/>
                <w:bCs/>
                <w:sz w:val="16"/>
                <w:szCs w:val="16"/>
              </w:rPr>
              <w:t>escription</w:t>
            </w:r>
          </w:p>
        </w:tc>
        <w:tc>
          <w:tcPr>
            <w:tcW w:w="1666" w:type="pct"/>
            <w:shd w:val="clear" w:color="auto" w:fill="C6D9F1" w:themeFill="text2" w:themeFillTint="33"/>
            <w:vAlign w:val="center"/>
          </w:tcPr>
          <w:p w:rsidR="00C06C6E" w:rsidRPr="00E32074" w:rsidRDefault="00C06C6E" w:rsidP="00C06C6E">
            <w:pPr>
              <w:autoSpaceDE w:val="0"/>
              <w:autoSpaceDN w:val="0"/>
              <w:adjustRightInd w:val="0"/>
              <w:spacing w:before="40" w:after="40" w:line="260" w:lineRule="exact"/>
              <w:ind w:left="-109"/>
              <w:jc w:val="center"/>
              <w:rPr>
                <w:b/>
                <w:bCs/>
                <w:sz w:val="16"/>
                <w:szCs w:val="16"/>
              </w:rPr>
            </w:pPr>
            <w:r w:rsidRPr="00E32074">
              <w:rPr>
                <w:b/>
                <w:bCs/>
                <w:sz w:val="16"/>
                <w:szCs w:val="16"/>
              </w:rPr>
              <w:t>Risk Mitigation</w:t>
            </w:r>
          </w:p>
        </w:tc>
      </w:tr>
      <w:tr w:rsidR="00C06C6E" w:rsidRPr="00E32074" w:rsidTr="00C06C6E">
        <w:trPr>
          <w:trHeight w:val="776"/>
          <w:jc w:val="center"/>
        </w:trPr>
        <w:tc>
          <w:tcPr>
            <w:tcW w:w="1667" w:type="pct"/>
            <w:shd w:val="clear" w:color="auto" w:fill="auto"/>
          </w:tcPr>
          <w:p w:rsidR="00C06C6E" w:rsidRPr="00E32074" w:rsidRDefault="00C06C6E" w:rsidP="00C06C6E">
            <w:pPr>
              <w:autoSpaceDE w:val="0"/>
              <w:autoSpaceDN w:val="0"/>
              <w:adjustRightInd w:val="0"/>
              <w:spacing w:before="40" w:after="40"/>
              <w:rPr>
                <w:sz w:val="16"/>
                <w:szCs w:val="16"/>
              </w:rPr>
            </w:pPr>
            <w:r w:rsidRPr="00E32074">
              <w:rPr>
                <w:color w:val="000000"/>
                <w:sz w:val="16"/>
                <w:szCs w:val="16"/>
              </w:rPr>
              <w:t xml:space="preserve">Inability to carry out works before </w:t>
            </w:r>
            <w:r>
              <w:rPr>
                <w:color w:val="000000"/>
                <w:sz w:val="16"/>
                <w:szCs w:val="16"/>
              </w:rPr>
              <w:t>s</w:t>
            </w:r>
            <w:r w:rsidRPr="00E32074">
              <w:rPr>
                <w:color w:val="000000"/>
                <w:sz w:val="16"/>
                <w:szCs w:val="16"/>
              </w:rPr>
              <w:t>ummer 2015 in the PCT Building</w:t>
            </w:r>
          </w:p>
        </w:tc>
        <w:tc>
          <w:tcPr>
            <w:tcW w:w="1667" w:type="pct"/>
            <w:shd w:val="clear" w:color="auto" w:fill="auto"/>
          </w:tcPr>
          <w:p w:rsidR="00C06C6E" w:rsidRPr="00E32074" w:rsidRDefault="00C06C6E" w:rsidP="00C06C6E">
            <w:pPr>
              <w:autoSpaceDE w:val="0"/>
              <w:autoSpaceDN w:val="0"/>
              <w:adjustRightInd w:val="0"/>
              <w:spacing w:before="40" w:after="40"/>
              <w:rPr>
                <w:sz w:val="16"/>
                <w:szCs w:val="16"/>
              </w:rPr>
            </w:pPr>
            <w:r w:rsidRPr="00E32074">
              <w:rPr>
                <w:color w:val="000000"/>
                <w:sz w:val="16"/>
                <w:szCs w:val="16"/>
              </w:rPr>
              <w:t xml:space="preserve">Unavailability of </w:t>
            </w:r>
            <w:r>
              <w:rPr>
                <w:color w:val="000000"/>
                <w:sz w:val="16"/>
                <w:szCs w:val="16"/>
              </w:rPr>
              <w:t>firms</w:t>
            </w:r>
            <w:r w:rsidRPr="00E32074">
              <w:rPr>
                <w:color w:val="000000"/>
                <w:sz w:val="16"/>
                <w:szCs w:val="16"/>
              </w:rPr>
              <w:t xml:space="preserve"> within the WIPO schedule</w:t>
            </w:r>
          </w:p>
        </w:tc>
        <w:tc>
          <w:tcPr>
            <w:tcW w:w="1666" w:type="pct"/>
            <w:shd w:val="clear" w:color="auto" w:fill="auto"/>
          </w:tcPr>
          <w:p w:rsidR="00C06C6E" w:rsidRPr="00E32074" w:rsidRDefault="00C06C6E" w:rsidP="00C06C6E">
            <w:pPr>
              <w:autoSpaceDE w:val="0"/>
              <w:autoSpaceDN w:val="0"/>
              <w:adjustRightInd w:val="0"/>
              <w:spacing w:before="40" w:after="40"/>
              <w:rPr>
                <w:sz w:val="16"/>
                <w:szCs w:val="16"/>
              </w:rPr>
            </w:pPr>
            <w:r w:rsidRPr="00E32074">
              <w:rPr>
                <w:color w:val="000000"/>
                <w:sz w:val="16"/>
                <w:szCs w:val="16"/>
              </w:rPr>
              <w:t>Delay works until Oct/No</w:t>
            </w:r>
            <w:r>
              <w:rPr>
                <w:color w:val="000000"/>
                <w:sz w:val="16"/>
                <w:szCs w:val="16"/>
              </w:rPr>
              <w:t>v</w:t>
            </w:r>
            <w:r w:rsidRPr="00E32074">
              <w:rPr>
                <w:color w:val="000000"/>
                <w:sz w:val="16"/>
                <w:szCs w:val="16"/>
              </w:rPr>
              <w:t xml:space="preserve"> 2015</w:t>
            </w:r>
          </w:p>
        </w:tc>
      </w:tr>
      <w:tr w:rsidR="00C06C6E" w:rsidRPr="00E32074" w:rsidTr="00C06C6E">
        <w:trPr>
          <w:trHeight w:val="776"/>
          <w:jc w:val="center"/>
        </w:trPr>
        <w:tc>
          <w:tcPr>
            <w:tcW w:w="1667" w:type="pct"/>
            <w:shd w:val="clear" w:color="auto" w:fill="auto"/>
          </w:tcPr>
          <w:p w:rsidR="00C06C6E" w:rsidRPr="00E32074" w:rsidRDefault="00C06C6E" w:rsidP="00C06C6E">
            <w:pPr>
              <w:autoSpaceDE w:val="0"/>
              <w:autoSpaceDN w:val="0"/>
              <w:adjustRightInd w:val="0"/>
              <w:spacing w:before="40" w:after="40"/>
              <w:rPr>
                <w:sz w:val="16"/>
                <w:szCs w:val="16"/>
              </w:rPr>
            </w:pPr>
            <w:r w:rsidRPr="00E32074">
              <w:rPr>
                <w:color w:val="000000"/>
                <w:sz w:val="16"/>
                <w:szCs w:val="16"/>
              </w:rPr>
              <w:t>Unforeseen circumstances in PCT construction site</w:t>
            </w:r>
          </w:p>
        </w:tc>
        <w:tc>
          <w:tcPr>
            <w:tcW w:w="1667" w:type="pct"/>
            <w:shd w:val="clear" w:color="auto" w:fill="auto"/>
          </w:tcPr>
          <w:p w:rsidR="00C06C6E" w:rsidRPr="00E32074" w:rsidRDefault="00C06C6E" w:rsidP="00C06C6E">
            <w:pPr>
              <w:autoSpaceDE w:val="0"/>
              <w:autoSpaceDN w:val="0"/>
              <w:adjustRightInd w:val="0"/>
              <w:spacing w:before="40" w:after="40"/>
              <w:rPr>
                <w:sz w:val="16"/>
                <w:szCs w:val="16"/>
              </w:rPr>
            </w:pPr>
            <w:r w:rsidRPr="00E32074">
              <w:rPr>
                <w:color w:val="000000"/>
                <w:sz w:val="16"/>
                <w:szCs w:val="16"/>
              </w:rPr>
              <w:t xml:space="preserve">Delay in the PCT Building internal equipment installation works by SIG and/or technical problems arising during or caused by the dismantling of existing </w:t>
            </w:r>
            <w:r>
              <w:rPr>
                <w:color w:val="000000"/>
                <w:sz w:val="16"/>
                <w:szCs w:val="16"/>
              </w:rPr>
              <w:t>ducting</w:t>
            </w:r>
          </w:p>
        </w:tc>
        <w:tc>
          <w:tcPr>
            <w:tcW w:w="1666" w:type="pct"/>
            <w:shd w:val="clear" w:color="auto" w:fill="auto"/>
          </w:tcPr>
          <w:p w:rsidR="00C06C6E" w:rsidRPr="00E32074" w:rsidRDefault="00C06C6E" w:rsidP="00C06C6E">
            <w:pPr>
              <w:autoSpaceDE w:val="0"/>
              <w:autoSpaceDN w:val="0"/>
              <w:adjustRightInd w:val="0"/>
              <w:spacing w:before="40" w:after="40"/>
              <w:rPr>
                <w:sz w:val="16"/>
                <w:szCs w:val="16"/>
              </w:rPr>
            </w:pPr>
            <w:r w:rsidRPr="00E32074">
              <w:rPr>
                <w:color w:val="000000"/>
                <w:sz w:val="16"/>
                <w:szCs w:val="16"/>
              </w:rPr>
              <w:t xml:space="preserve">Carry out </w:t>
            </w:r>
            <w:r>
              <w:rPr>
                <w:color w:val="000000"/>
                <w:sz w:val="16"/>
                <w:szCs w:val="16"/>
              </w:rPr>
              <w:t>any</w:t>
            </w:r>
            <w:r w:rsidRPr="00E32074">
              <w:rPr>
                <w:color w:val="000000"/>
                <w:sz w:val="16"/>
                <w:szCs w:val="16"/>
              </w:rPr>
              <w:t xml:space="preserve"> repairs and updat</w:t>
            </w:r>
            <w:r>
              <w:rPr>
                <w:color w:val="000000"/>
                <w:sz w:val="16"/>
                <w:szCs w:val="16"/>
              </w:rPr>
              <w:t>e</w:t>
            </w:r>
            <w:r w:rsidRPr="00E32074">
              <w:rPr>
                <w:color w:val="000000"/>
                <w:sz w:val="16"/>
                <w:szCs w:val="16"/>
              </w:rPr>
              <w:t xml:space="preserve"> the works </w:t>
            </w:r>
            <w:r>
              <w:rPr>
                <w:color w:val="000000"/>
                <w:sz w:val="16"/>
                <w:szCs w:val="16"/>
              </w:rPr>
              <w:t xml:space="preserve">timetable </w:t>
            </w:r>
            <w:r w:rsidRPr="00E32074">
              <w:rPr>
                <w:color w:val="000000"/>
                <w:sz w:val="16"/>
                <w:szCs w:val="16"/>
              </w:rPr>
              <w:t>where necessary, including for 2016</w:t>
            </w:r>
          </w:p>
        </w:tc>
      </w:tr>
    </w:tbl>
    <w:p w:rsidR="00C06C6E" w:rsidRDefault="00C06C6E" w:rsidP="00C06C6E">
      <w:pPr>
        <w:autoSpaceDE w:val="0"/>
        <w:autoSpaceDN w:val="0"/>
        <w:jc w:val="both"/>
      </w:pPr>
    </w:p>
    <w:p w:rsidR="00C06C6E" w:rsidRDefault="00C06C6E" w:rsidP="00C06C6E"/>
    <w:p w:rsidR="004860F6" w:rsidRDefault="004860F6">
      <w:pPr>
        <w:rPr>
          <w:rFonts w:cs="Arial"/>
          <w:color w:val="000000"/>
          <w:sz w:val="22"/>
          <w:szCs w:val="22"/>
        </w:rPr>
      </w:pPr>
      <w:r>
        <w:rPr>
          <w:rFonts w:cs="Arial"/>
          <w:color w:val="000000"/>
          <w:sz w:val="22"/>
          <w:szCs w:val="22"/>
        </w:rPr>
        <w:br w:type="page"/>
      </w:r>
    </w:p>
    <w:p w:rsidR="00C06C6E" w:rsidRPr="00E32074" w:rsidRDefault="00C06C6E" w:rsidP="00C06C6E">
      <w:pPr>
        <w:rPr>
          <w:rFonts w:cs="Arial"/>
          <w:color w:val="000000"/>
          <w:sz w:val="22"/>
          <w:szCs w:val="22"/>
        </w:rPr>
      </w:pPr>
      <w:r w:rsidRPr="00E32074">
        <w:rPr>
          <w:rFonts w:cs="Arial"/>
          <w:color w:val="000000"/>
          <w:sz w:val="22"/>
          <w:szCs w:val="22"/>
        </w:rPr>
        <w:lastRenderedPageBreak/>
        <w:t>PROJECT TIMELINE BY MILESTONE</w:t>
      </w:r>
    </w:p>
    <w:p w:rsidR="00C06C6E" w:rsidRPr="00E32074" w:rsidRDefault="00C06C6E" w:rsidP="00C06C6E">
      <w:pPr>
        <w:autoSpaceDE w:val="0"/>
        <w:autoSpaceDN w:val="0"/>
        <w:jc w:val="both"/>
      </w:pPr>
    </w:p>
    <w:tbl>
      <w:tblPr>
        <w:tblW w:w="8007" w:type="dxa"/>
        <w:jc w:val="center"/>
        <w:tblInd w:w="-2327" w:type="dxa"/>
        <w:tblLook w:val="04A0" w:firstRow="1" w:lastRow="0" w:firstColumn="1" w:lastColumn="0" w:noHBand="0" w:noVBand="1"/>
      </w:tblPr>
      <w:tblGrid>
        <w:gridCol w:w="4167"/>
        <w:gridCol w:w="480"/>
        <w:gridCol w:w="480"/>
        <w:gridCol w:w="480"/>
        <w:gridCol w:w="480"/>
        <w:gridCol w:w="480"/>
        <w:gridCol w:w="480"/>
        <w:gridCol w:w="480"/>
        <w:gridCol w:w="480"/>
      </w:tblGrid>
      <w:tr w:rsidR="00C06C6E" w:rsidRPr="00E32074" w:rsidTr="00592948">
        <w:trPr>
          <w:trHeight w:val="270"/>
          <w:jc w:val="center"/>
        </w:trPr>
        <w:tc>
          <w:tcPr>
            <w:tcW w:w="4167" w:type="dxa"/>
            <w:tcBorders>
              <w:top w:val="nil"/>
              <w:left w:val="nil"/>
              <w:bottom w:val="nil"/>
              <w:right w:val="nil"/>
            </w:tcBorders>
            <w:shd w:val="clear" w:color="auto" w:fill="auto"/>
            <w:noWrap/>
            <w:vAlign w:val="bottom"/>
            <w:hideMark/>
          </w:tcPr>
          <w:p w:rsidR="00C06C6E" w:rsidRPr="003962D0" w:rsidRDefault="00C06C6E" w:rsidP="00C06C6E">
            <w:pPr>
              <w:rPr>
                <w:rFonts w:cs="Arial"/>
                <w:color w:val="000000"/>
                <w:sz w:val="16"/>
                <w:szCs w:val="16"/>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C06C6E" w:rsidRPr="003962D0" w:rsidRDefault="00C06C6E" w:rsidP="00C06C6E">
            <w:pPr>
              <w:jc w:val="center"/>
              <w:rPr>
                <w:rFonts w:cs="Arial"/>
                <w:b/>
                <w:bCs/>
                <w:color w:val="000000"/>
                <w:sz w:val="16"/>
                <w:szCs w:val="16"/>
              </w:rPr>
            </w:pPr>
            <w:r w:rsidRPr="003962D0">
              <w:rPr>
                <w:rFonts w:cs="Arial"/>
                <w:b/>
                <w:bCs/>
                <w:color w:val="000000"/>
                <w:sz w:val="16"/>
                <w:szCs w:val="16"/>
              </w:rPr>
              <w:t>2014</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06C6E" w:rsidRPr="003962D0" w:rsidRDefault="00C06C6E" w:rsidP="00C06C6E">
            <w:pPr>
              <w:jc w:val="center"/>
              <w:rPr>
                <w:rFonts w:cs="Arial"/>
                <w:b/>
                <w:bCs/>
                <w:color w:val="000000"/>
                <w:sz w:val="16"/>
                <w:szCs w:val="16"/>
              </w:rPr>
            </w:pPr>
            <w:r w:rsidRPr="003962D0">
              <w:rPr>
                <w:rFonts w:cs="Arial"/>
                <w:b/>
                <w:bCs/>
                <w:color w:val="000000"/>
                <w:sz w:val="16"/>
                <w:szCs w:val="16"/>
              </w:rPr>
              <w:t>2015</w:t>
            </w:r>
          </w:p>
        </w:tc>
      </w:tr>
      <w:tr w:rsidR="00C06C6E" w:rsidRPr="00E32074" w:rsidTr="00592948">
        <w:trPr>
          <w:trHeight w:val="375"/>
          <w:jc w:val="center"/>
        </w:trPr>
        <w:tc>
          <w:tcPr>
            <w:tcW w:w="4167"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C06C6E" w:rsidRPr="003962D0" w:rsidRDefault="00C06C6E" w:rsidP="00C06C6E">
            <w:pPr>
              <w:rPr>
                <w:rFonts w:cs="Arial"/>
                <w:b/>
                <w:bCs/>
                <w:color w:val="000000"/>
                <w:sz w:val="16"/>
                <w:szCs w:val="16"/>
              </w:rPr>
            </w:pPr>
            <w:r w:rsidRPr="003962D0">
              <w:rPr>
                <w:rFonts w:cs="Arial"/>
                <w:b/>
                <w:bCs/>
                <w:color w:val="000000"/>
                <w:sz w:val="16"/>
                <w:szCs w:val="16"/>
              </w:rPr>
              <w:t>Key Milestone</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color w:val="000000"/>
                <w:sz w:val="16"/>
                <w:szCs w:val="16"/>
              </w:rPr>
            </w:pPr>
            <w:r w:rsidRPr="003962D0">
              <w:rPr>
                <w:rFonts w:cs="Arial"/>
                <w:b/>
                <w:bCs/>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color w:val="000000"/>
                <w:sz w:val="16"/>
                <w:szCs w:val="16"/>
              </w:rPr>
            </w:pPr>
            <w:r w:rsidRPr="003962D0">
              <w:rPr>
                <w:rFonts w:cs="Arial"/>
                <w:b/>
                <w:bCs/>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color w:val="000000"/>
                <w:sz w:val="16"/>
                <w:szCs w:val="16"/>
              </w:rPr>
            </w:pPr>
            <w:r w:rsidRPr="003962D0">
              <w:rPr>
                <w:rFonts w:cs="Arial"/>
                <w:b/>
                <w:bCs/>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06C6E" w:rsidRPr="003962D0" w:rsidRDefault="00C06C6E" w:rsidP="00C06C6E">
            <w:pPr>
              <w:rPr>
                <w:rFonts w:cs="Arial"/>
                <w:b/>
                <w:bCs/>
                <w:color w:val="000000"/>
                <w:sz w:val="16"/>
                <w:szCs w:val="16"/>
              </w:rPr>
            </w:pPr>
            <w:r w:rsidRPr="003962D0">
              <w:rPr>
                <w:rFonts w:cs="Arial"/>
                <w:b/>
                <w:bCs/>
                <w:sz w:val="16"/>
                <w:szCs w:val="16"/>
              </w:rPr>
              <w:t>Q4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color w:val="000000"/>
                <w:sz w:val="16"/>
                <w:szCs w:val="16"/>
              </w:rPr>
            </w:pPr>
            <w:r w:rsidRPr="003962D0">
              <w:rPr>
                <w:rFonts w:cs="Arial"/>
                <w:b/>
                <w:bCs/>
                <w:color w:val="000000"/>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color w:val="000000"/>
                <w:sz w:val="16"/>
                <w:szCs w:val="16"/>
              </w:rPr>
            </w:pPr>
            <w:r w:rsidRPr="003962D0">
              <w:rPr>
                <w:rFonts w:cs="Arial"/>
                <w:b/>
                <w:bCs/>
                <w:color w:val="000000"/>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color w:val="000000"/>
                <w:sz w:val="16"/>
                <w:szCs w:val="16"/>
              </w:rPr>
            </w:pPr>
            <w:r w:rsidRPr="003962D0">
              <w:rPr>
                <w:rFonts w:cs="Arial"/>
                <w:b/>
                <w:bCs/>
                <w:color w:val="000000"/>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06C6E" w:rsidRPr="003962D0" w:rsidRDefault="00C06C6E" w:rsidP="00C06C6E">
            <w:pPr>
              <w:rPr>
                <w:rFonts w:cs="Arial"/>
                <w:b/>
                <w:bCs/>
                <w:color w:val="000000"/>
                <w:sz w:val="16"/>
                <w:szCs w:val="16"/>
              </w:rPr>
            </w:pPr>
            <w:r w:rsidRPr="003962D0">
              <w:rPr>
                <w:rFonts w:cs="Arial"/>
                <w:b/>
                <w:bCs/>
                <w:color w:val="000000"/>
                <w:sz w:val="16"/>
                <w:szCs w:val="16"/>
              </w:rPr>
              <w:t>Q4</w:t>
            </w:r>
          </w:p>
        </w:tc>
      </w:tr>
      <w:tr w:rsidR="00C06C6E" w:rsidRPr="00E32074" w:rsidTr="00592948">
        <w:trPr>
          <w:trHeight w:val="615"/>
          <w:jc w:val="center"/>
        </w:trPr>
        <w:tc>
          <w:tcPr>
            <w:tcW w:w="4167" w:type="dxa"/>
            <w:tcBorders>
              <w:top w:val="nil"/>
              <w:left w:val="single" w:sz="8" w:space="0" w:color="auto"/>
              <w:bottom w:val="single" w:sz="4" w:space="0" w:color="auto"/>
              <w:right w:val="single" w:sz="8" w:space="0" w:color="auto"/>
            </w:tcBorders>
            <w:shd w:val="clear" w:color="auto" w:fill="auto"/>
            <w:noWrap/>
            <w:vAlign w:val="center"/>
            <w:hideMark/>
          </w:tcPr>
          <w:p w:rsidR="00C06C6E" w:rsidRPr="003962D0" w:rsidRDefault="00C06C6E" w:rsidP="00AE67B0">
            <w:pPr>
              <w:rPr>
                <w:rFonts w:cs="Arial"/>
                <w:color w:val="000000"/>
                <w:sz w:val="16"/>
                <w:szCs w:val="16"/>
              </w:rPr>
            </w:pPr>
            <w:r w:rsidRPr="003962D0">
              <w:rPr>
                <w:rFonts w:cs="Arial"/>
                <w:color w:val="000000"/>
                <w:sz w:val="16"/>
                <w:szCs w:val="16"/>
              </w:rPr>
              <w:t>Award of contract to the HVAC engineer (AB and PCT)</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X</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r>
      <w:tr w:rsidR="00C06C6E" w:rsidRPr="00E32074" w:rsidTr="00592948">
        <w:trPr>
          <w:trHeight w:val="615"/>
          <w:jc w:val="center"/>
        </w:trPr>
        <w:tc>
          <w:tcPr>
            <w:tcW w:w="4167" w:type="dxa"/>
            <w:tcBorders>
              <w:top w:val="nil"/>
              <w:left w:val="single" w:sz="8" w:space="0" w:color="auto"/>
              <w:bottom w:val="single" w:sz="4" w:space="0" w:color="auto"/>
              <w:right w:val="single" w:sz="8" w:space="0" w:color="auto"/>
            </w:tcBorders>
            <w:shd w:val="clear" w:color="auto" w:fill="auto"/>
            <w:noWrap/>
            <w:vAlign w:val="center"/>
            <w:hideMark/>
          </w:tcPr>
          <w:p w:rsidR="00C06C6E" w:rsidRPr="003962D0" w:rsidRDefault="00C06C6E" w:rsidP="00AE67B0">
            <w:pPr>
              <w:rPr>
                <w:rFonts w:cs="Arial"/>
                <w:color w:val="000000"/>
                <w:sz w:val="16"/>
                <w:szCs w:val="16"/>
              </w:rPr>
            </w:pPr>
            <w:r w:rsidRPr="003962D0">
              <w:rPr>
                <w:rFonts w:cs="Arial"/>
                <w:color w:val="000000"/>
                <w:sz w:val="16"/>
                <w:szCs w:val="16"/>
              </w:rPr>
              <w:t>Requests for offers from firms (AB)</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X</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r>
      <w:tr w:rsidR="00C06C6E" w:rsidRPr="00E32074" w:rsidTr="00592948">
        <w:trPr>
          <w:trHeight w:val="615"/>
          <w:jc w:val="center"/>
        </w:trPr>
        <w:tc>
          <w:tcPr>
            <w:tcW w:w="4167" w:type="dxa"/>
            <w:tcBorders>
              <w:top w:val="nil"/>
              <w:left w:val="single" w:sz="8" w:space="0" w:color="auto"/>
              <w:bottom w:val="single" w:sz="4" w:space="0" w:color="auto"/>
              <w:right w:val="single" w:sz="8" w:space="0" w:color="auto"/>
            </w:tcBorders>
            <w:shd w:val="clear" w:color="auto" w:fill="auto"/>
            <w:noWrap/>
            <w:vAlign w:val="center"/>
            <w:hideMark/>
          </w:tcPr>
          <w:p w:rsidR="00C06C6E" w:rsidRPr="003962D0" w:rsidRDefault="00C06C6E" w:rsidP="00AE67B0">
            <w:pPr>
              <w:rPr>
                <w:rFonts w:cs="Arial"/>
                <w:color w:val="000000"/>
                <w:sz w:val="16"/>
                <w:szCs w:val="16"/>
              </w:rPr>
            </w:pPr>
            <w:r w:rsidRPr="003962D0">
              <w:rPr>
                <w:rFonts w:cs="Arial"/>
                <w:color w:val="000000"/>
                <w:sz w:val="16"/>
                <w:szCs w:val="16"/>
              </w:rPr>
              <w:t>Execution and commissioning  of works (AB)</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X</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r>
      <w:tr w:rsidR="00C06C6E" w:rsidRPr="00E32074" w:rsidTr="00592948">
        <w:trPr>
          <w:trHeight w:val="615"/>
          <w:jc w:val="center"/>
        </w:trPr>
        <w:tc>
          <w:tcPr>
            <w:tcW w:w="4167" w:type="dxa"/>
            <w:tcBorders>
              <w:top w:val="nil"/>
              <w:left w:val="single" w:sz="8" w:space="0" w:color="auto"/>
              <w:bottom w:val="single" w:sz="4" w:space="0" w:color="auto"/>
              <w:right w:val="single" w:sz="8" w:space="0" w:color="auto"/>
            </w:tcBorders>
            <w:shd w:val="clear" w:color="auto" w:fill="auto"/>
            <w:noWrap/>
            <w:vAlign w:val="center"/>
            <w:hideMark/>
          </w:tcPr>
          <w:p w:rsidR="00C06C6E" w:rsidRPr="003962D0" w:rsidRDefault="00C06C6E" w:rsidP="00AE67B0">
            <w:pPr>
              <w:rPr>
                <w:rFonts w:cs="Arial"/>
                <w:color w:val="000000"/>
                <w:sz w:val="16"/>
                <w:szCs w:val="16"/>
              </w:rPr>
            </w:pPr>
            <w:r w:rsidRPr="003962D0">
              <w:rPr>
                <w:rFonts w:cs="Arial"/>
                <w:color w:val="000000"/>
                <w:sz w:val="16"/>
                <w:szCs w:val="16"/>
              </w:rPr>
              <w:t>Validation of project with HVAC engineer (PCT)</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X</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r>
      <w:tr w:rsidR="00C06C6E" w:rsidRPr="00E32074" w:rsidTr="00592948">
        <w:trPr>
          <w:trHeight w:val="615"/>
          <w:jc w:val="center"/>
        </w:trPr>
        <w:tc>
          <w:tcPr>
            <w:tcW w:w="4167" w:type="dxa"/>
            <w:tcBorders>
              <w:top w:val="nil"/>
              <w:left w:val="single" w:sz="8" w:space="0" w:color="auto"/>
              <w:bottom w:val="single" w:sz="4" w:space="0" w:color="auto"/>
              <w:right w:val="single" w:sz="8" w:space="0" w:color="auto"/>
            </w:tcBorders>
            <w:shd w:val="clear" w:color="auto" w:fill="auto"/>
            <w:noWrap/>
            <w:vAlign w:val="center"/>
          </w:tcPr>
          <w:p w:rsidR="00C06C6E" w:rsidRPr="003962D0" w:rsidRDefault="00C06C6E" w:rsidP="00AE67B0">
            <w:pPr>
              <w:rPr>
                <w:rFonts w:cs="Arial"/>
                <w:color w:val="000000"/>
                <w:sz w:val="16"/>
                <w:szCs w:val="16"/>
              </w:rPr>
            </w:pPr>
            <w:r w:rsidRPr="003962D0">
              <w:rPr>
                <w:rFonts w:cs="Arial"/>
                <w:color w:val="000000"/>
                <w:sz w:val="16"/>
                <w:szCs w:val="16"/>
              </w:rPr>
              <w:t>Call for tenders from firms (PCT)</w:t>
            </w:r>
          </w:p>
        </w:tc>
        <w:tc>
          <w:tcPr>
            <w:tcW w:w="480" w:type="dxa"/>
            <w:tcBorders>
              <w:top w:val="nil"/>
              <w:left w:val="nil"/>
              <w:bottom w:val="single" w:sz="4" w:space="0" w:color="auto"/>
              <w:right w:val="single" w:sz="4" w:space="0" w:color="auto"/>
            </w:tcBorders>
            <w:shd w:val="clear" w:color="auto" w:fill="auto"/>
            <w:noWrap/>
            <w:vAlign w:val="bottom"/>
          </w:tcPr>
          <w:p w:rsidR="00C06C6E" w:rsidRPr="003962D0" w:rsidRDefault="00C06C6E" w:rsidP="00C06C6E">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3962D0" w:rsidRDefault="00C06C6E" w:rsidP="00C06C6E">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3962D0" w:rsidRDefault="00C06C6E" w:rsidP="00C06C6E">
            <w:pP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tcPr>
          <w:p w:rsidR="00C06C6E" w:rsidRPr="003962D0" w:rsidRDefault="00C06C6E" w:rsidP="00C06C6E">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3962D0" w:rsidRDefault="00C06C6E" w:rsidP="00C06C6E">
            <w:pP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bottom"/>
          </w:tcPr>
          <w:p w:rsidR="00C06C6E" w:rsidRPr="003962D0" w:rsidRDefault="00C06C6E" w:rsidP="00C06C6E">
            <w:pP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bottom"/>
          </w:tcPr>
          <w:p w:rsidR="00C06C6E" w:rsidRPr="003962D0" w:rsidRDefault="00C06C6E" w:rsidP="00C06C6E">
            <w:pP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tcPr>
          <w:p w:rsidR="00C06C6E" w:rsidRPr="003962D0" w:rsidRDefault="00C06C6E" w:rsidP="00C06C6E">
            <w:pPr>
              <w:rPr>
                <w:rFonts w:cs="Arial"/>
                <w:color w:val="000000"/>
                <w:sz w:val="16"/>
                <w:szCs w:val="16"/>
              </w:rPr>
            </w:pPr>
          </w:p>
        </w:tc>
      </w:tr>
      <w:tr w:rsidR="00C06C6E" w:rsidRPr="00E32074" w:rsidTr="00592948">
        <w:trPr>
          <w:trHeight w:val="615"/>
          <w:jc w:val="center"/>
        </w:trPr>
        <w:tc>
          <w:tcPr>
            <w:tcW w:w="4167" w:type="dxa"/>
            <w:tcBorders>
              <w:top w:val="nil"/>
              <w:left w:val="single" w:sz="8" w:space="0" w:color="auto"/>
              <w:bottom w:val="single" w:sz="4" w:space="0" w:color="auto"/>
              <w:right w:val="single" w:sz="8" w:space="0" w:color="auto"/>
            </w:tcBorders>
            <w:shd w:val="clear" w:color="auto" w:fill="auto"/>
            <w:noWrap/>
            <w:vAlign w:val="center"/>
          </w:tcPr>
          <w:p w:rsidR="00C06C6E" w:rsidRPr="003962D0" w:rsidRDefault="00C06C6E" w:rsidP="00AE67B0">
            <w:pPr>
              <w:rPr>
                <w:rFonts w:cs="Arial"/>
                <w:color w:val="000000"/>
                <w:sz w:val="16"/>
                <w:szCs w:val="16"/>
              </w:rPr>
            </w:pPr>
            <w:r w:rsidRPr="003962D0">
              <w:rPr>
                <w:rFonts w:cs="Arial"/>
                <w:color w:val="000000"/>
                <w:sz w:val="16"/>
                <w:szCs w:val="16"/>
              </w:rPr>
              <w:t>Execution and commissioning  of works (PCT)</w:t>
            </w:r>
          </w:p>
        </w:tc>
        <w:tc>
          <w:tcPr>
            <w:tcW w:w="480" w:type="dxa"/>
            <w:tcBorders>
              <w:top w:val="nil"/>
              <w:left w:val="nil"/>
              <w:bottom w:val="single" w:sz="4" w:space="0" w:color="auto"/>
              <w:right w:val="single" w:sz="4" w:space="0" w:color="auto"/>
            </w:tcBorders>
            <w:shd w:val="clear" w:color="auto" w:fill="auto"/>
            <w:noWrap/>
            <w:vAlign w:val="bottom"/>
          </w:tcPr>
          <w:p w:rsidR="00C06C6E" w:rsidRPr="003962D0" w:rsidRDefault="00C06C6E" w:rsidP="00C06C6E">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3962D0" w:rsidRDefault="00C06C6E" w:rsidP="00C06C6E">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3962D0" w:rsidRDefault="00C06C6E" w:rsidP="00C06C6E">
            <w:pP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tcPr>
          <w:p w:rsidR="00C06C6E" w:rsidRPr="003962D0" w:rsidRDefault="00C06C6E" w:rsidP="00C06C6E">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3962D0" w:rsidRDefault="00C06C6E" w:rsidP="00C06C6E">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3962D0" w:rsidRDefault="00C06C6E" w:rsidP="00C06C6E">
            <w:pP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bottom"/>
          </w:tcPr>
          <w:p w:rsidR="00C06C6E" w:rsidRPr="003962D0" w:rsidRDefault="00C06C6E" w:rsidP="00C06C6E">
            <w:pP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bottom"/>
          </w:tcPr>
          <w:p w:rsidR="00C06C6E" w:rsidRPr="003962D0" w:rsidRDefault="00C06C6E" w:rsidP="00C06C6E">
            <w:pPr>
              <w:rPr>
                <w:rFonts w:cs="Arial"/>
                <w:color w:val="000000"/>
                <w:sz w:val="16"/>
                <w:szCs w:val="16"/>
              </w:rPr>
            </w:pPr>
          </w:p>
        </w:tc>
      </w:tr>
    </w:tbl>
    <w:p w:rsidR="00C06C6E" w:rsidRPr="00E32074" w:rsidRDefault="00C06C6E" w:rsidP="00C06C6E">
      <w:pPr>
        <w:autoSpaceDE w:val="0"/>
        <w:autoSpaceDN w:val="0"/>
        <w:jc w:val="both"/>
      </w:pPr>
    </w:p>
    <w:p w:rsidR="00C06C6E" w:rsidRDefault="00C06C6E">
      <w:r>
        <w:br w:type="page"/>
      </w:r>
    </w:p>
    <w:p w:rsidR="00C06C6E" w:rsidRPr="00994B87" w:rsidRDefault="00C06C6E" w:rsidP="004860F6">
      <w:pPr>
        <w:rPr>
          <w:b/>
          <w:noProof/>
          <w:sz w:val="22"/>
        </w:rPr>
      </w:pPr>
      <w:r w:rsidRPr="00994B87">
        <w:rPr>
          <w:b/>
          <w:noProof/>
          <w:sz w:val="22"/>
        </w:rPr>
        <w:lastRenderedPageBreak/>
        <w:t>BUILDINGS</w:t>
      </w:r>
      <w:r w:rsidRPr="00994B87">
        <w:rPr>
          <w:b/>
          <w:sz w:val="22"/>
        </w:rPr>
        <w:t xml:space="preserve"> – </w:t>
      </w:r>
      <w:r w:rsidRPr="00994B87">
        <w:rPr>
          <w:b/>
          <w:noProof/>
          <w:sz w:val="22"/>
        </w:rPr>
        <w:t>RELATED PROJECTS</w:t>
      </w:r>
    </w:p>
    <w:p w:rsidR="00C06C6E" w:rsidRPr="00456D61" w:rsidRDefault="001E4922" w:rsidP="001E4922">
      <w:pPr>
        <w:pStyle w:val="StyleHeading3BoldNounderline"/>
        <w:rPr>
          <w:b/>
          <w:sz w:val="20"/>
        </w:rPr>
      </w:pPr>
      <w:bookmarkStart w:id="109" w:name="_Toc422210527"/>
      <w:r w:rsidRPr="00456D61">
        <w:rPr>
          <w:b/>
          <w:sz w:val="20"/>
        </w:rPr>
        <w:t xml:space="preserve">PROJECT:  </w:t>
      </w:r>
      <w:r w:rsidR="00C06C6E" w:rsidRPr="00456D61">
        <w:rPr>
          <w:b/>
          <w:sz w:val="20"/>
        </w:rPr>
        <w:t>ARPAD BOGSCH BUILDING - PHASE 1 OF BASEMENT RENOVATION (RESIZING OF DATA CENTER AND RENOVATION OF THE PRINTSHOP)</w:t>
      </w:r>
      <w:r w:rsidR="004860F6" w:rsidRPr="00456D61">
        <w:rPr>
          <w:b/>
          <w:sz w:val="20"/>
        </w:rPr>
        <w:t xml:space="preserve"> </w:t>
      </w:r>
      <w:r w:rsidR="00C06C6E" w:rsidRPr="00456D61">
        <w:rPr>
          <w:b/>
          <w:sz w:val="20"/>
        </w:rPr>
        <w:t>(CMP 5)</w:t>
      </w:r>
      <w:bookmarkEnd w:id="109"/>
    </w:p>
    <w:p w:rsidR="00C06C6E" w:rsidRPr="00456D61" w:rsidRDefault="00C06C6E" w:rsidP="004860F6">
      <w:pPr>
        <w:rPr>
          <w:b/>
          <w:noProof/>
          <w:sz w:val="18"/>
        </w:rPr>
      </w:pPr>
    </w:p>
    <w:p w:rsidR="00C06C6E" w:rsidRPr="00F47045" w:rsidRDefault="00C06C6E" w:rsidP="00C06C6E">
      <w:pPr>
        <w:rPr>
          <w:b/>
          <w:noProof/>
          <w:szCs w:val="20"/>
        </w:rPr>
      </w:pPr>
      <w:r w:rsidRPr="00F47045">
        <w:rPr>
          <w:b/>
          <w:noProof/>
          <w:szCs w:val="20"/>
        </w:rPr>
        <w:t>Project Manager:    Mr. A. FAVERO</w:t>
      </w:r>
    </w:p>
    <w:p w:rsidR="00C06C6E" w:rsidRPr="005E07CA" w:rsidRDefault="00C06C6E" w:rsidP="00C06C6E">
      <w:pPr>
        <w:rPr>
          <w:noProof/>
          <w:szCs w:val="20"/>
        </w:rPr>
      </w:pPr>
    </w:p>
    <w:p w:rsidR="00C06C6E" w:rsidRPr="00F47045" w:rsidRDefault="00C06C6E" w:rsidP="00C06C6E">
      <w:pPr>
        <w:rPr>
          <w:bCs/>
          <w:noProof/>
          <w:szCs w:val="20"/>
        </w:rPr>
      </w:pPr>
    </w:p>
    <w:p w:rsidR="00C06C6E" w:rsidRPr="00F47045" w:rsidRDefault="00C06C6E" w:rsidP="00C06C6E">
      <w:pPr>
        <w:rPr>
          <w:bCs/>
          <w:szCs w:val="20"/>
        </w:rPr>
      </w:pPr>
      <w:r w:rsidRPr="00F47045">
        <w:rPr>
          <w:bCs/>
          <w:szCs w:val="20"/>
        </w:rPr>
        <w:t>EXPECTED RESULT</w:t>
      </w:r>
    </w:p>
    <w:p w:rsidR="00C06C6E" w:rsidRPr="00F47045" w:rsidRDefault="00C06C6E" w:rsidP="00C06C6E">
      <w:pPr>
        <w:rPr>
          <w:bCs/>
          <w:szCs w:val="20"/>
        </w:rPr>
      </w:pPr>
    </w:p>
    <w:p w:rsidR="00C06C6E" w:rsidRPr="00F47045" w:rsidRDefault="00C06C6E" w:rsidP="00C06C6E">
      <w:pPr>
        <w:rPr>
          <w:i/>
          <w:iCs/>
          <w:szCs w:val="20"/>
        </w:rPr>
      </w:pPr>
      <w:proofErr w:type="gramStart"/>
      <w:r w:rsidRPr="005E07CA">
        <w:rPr>
          <w:i/>
          <w:iCs/>
          <w:szCs w:val="20"/>
        </w:rPr>
        <w:t>IX.1  Effective</w:t>
      </w:r>
      <w:proofErr w:type="gramEnd"/>
      <w:r w:rsidRPr="005E07CA">
        <w:rPr>
          <w:i/>
          <w:iCs/>
          <w:szCs w:val="20"/>
        </w:rPr>
        <w:t>, efficient, quality and customer-oriented support services both to internal clients and to external stakeholders</w:t>
      </w:r>
    </w:p>
    <w:p w:rsidR="00C06C6E" w:rsidRPr="00F47045" w:rsidRDefault="00C06C6E" w:rsidP="00C06C6E">
      <w:pPr>
        <w:rPr>
          <w:bCs/>
          <w:noProof/>
          <w:szCs w:val="20"/>
        </w:rPr>
      </w:pPr>
    </w:p>
    <w:p w:rsidR="00C06C6E" w:rsidRPr="00F47045" w:rsidRDefault="00C06C6E" w:rsidP="00C06C6E">
      <w:pPr>
        <w:rPr>
          <w:bCs/>
          <w:noProof/>
          <w:szCs w:val="20"/>
        </w:rPr>
      </w:pPr>
    </w:p>
    <w:p w:rsidR="00C06C6E" w:rsidRPr="00F47045" w:rsidRDefault="00C06C6E" w:rsidP="00C06C6E">
      <w:pPr>
        <w:rPr>
          <w:bCs/>
          <w:noProof/>
          <w:szCs w:val="20"/>
        </w:rPr>
      </w:pPr>
      <w:r w:rsidRPr="00F47045">
        <w:rPr>
          <w:bCs/>
          <w:noProof/>
          <w:szCs w:val="20"/>
        </w:rPr>
        <w:t>OBJECTIVES, SCOPE AND APPROACH</w:t>
      </w:r>
      <w:r w:rsidRPr="005E07CA">
        <w:rPr>
          <w:szCs w:val="20"/>
        </w:rPr>
        <w:t xml:space="preserve"> –</w:t>
      </w:r>
      <w:r w:rsidRPr="00F47045">
        <w:rPr>
          <w:szCs w:val="20"/>
        </w:rPr>
        <w:t xml:space="preserve"> </w:t>
      </w:r>
      <w:r w:rsidRPr="00F47045">
        <w:rPr>
          <w:bCs/>
          <w:noProof/>
          <w:szCs w:val="20"/>
        </w:rPr>
        <w:t>BACKGROUND</w:t>
      </w:r>
    </w:p>
    <w:p w:rsidR="00C06C6E" w:rsidRPr="00F47045" w:rsidRDefault="00C06C6E" w:rsidP="00C06C6E">
      <w:pPr>
        <w:rPr>
          <w:bCs/>
          <w:noProof/>
          <w:szCs w:val="20"/>
        </w:rPr>
      </w:pPr>
    </w:p>
    <w:p w:rsidR="00C06C6E" w:rsidRPr="004860F6" w:rsidRDefault="00C06C6E" w:rsidP="004860F6">
      <w:pPr>
        <w:pStyle w:val="ListParagraph"/>
        <w:numPr>
          <w:ilvl w:val="0"/>
          <w:numId w:val="132"/>
        </w:numPr>
        <w:tabs>
          <w:tab w:val="left" w:pos="567"/>
        </w:tabs>
        <w:ind w:left="0" w:firstLine="0"/>
        <w:jc w:val="both"/>
        <w:rPr>
          <w:bCs/>
        </w:rPr>
      </w:pPr>
      <w:r w:rsidRPr="004860F6">
        <w:rPr>
          <w:bCs/>
        </w:rPr>
        <w:t xml:space="preserve">The existing data center located in the basement of the AB Building needs to be resized in order to correspond to its updated and reduced purpose of a computer room for servicing the AB Building only.  The resizing is expected to free a significant floor surface area, which will subsequently become available for enlarging the current </w:t>
      </w:r>
      <w:proofErr w:type="spellStart"/>
      <w:r w:rsidRPr="004860F6">
        <w:rPr>
          <w:bCs/>
        </w:rPr>
        <w:t>printshop</w:t>
      </w:r>
      <w:proofErr w:type="spellEnd"/>
      <w:r w:rsidRPr="004860F6">
        <w:rPr>
          <w:bCs/>
        </w:rPr>
        <w:t xml:space="preserve"> in need of renovation.</w:t>
      </w:r>
    </w:p>
    <w:p w:rsidR="00C06C6E" w:rsidRPr="00F47045" w:rsidRDefault="00C06C6E" w:rsidP="004860F6">
      <w:pPr>
        <w:tabs>
          <w:tab w:val="left" w:pos="567"/>
        </w:tabs>
        <w:jc w:val="both"/>
        <w:rPr>
          <w:bCs/>
          <w:szCs w:val="20"/>
        </w:rPr>
      </w:pPr>
    </w:p>
    <w:p w:rsidR="00C06C6E" w:rsidRPr="004860F6" w:rsidRDefault="00C06C6E" w:rsidP="004860F6">
      <w:pPr>
        <w:pStyle w:val="ListParagraph"/>
        <w:numPr>
          <w:ilvl w:val="0"/>
          <w:numId w:val="132"/>
        </w:numPr>
        <w:tabs>
          <w:tab w:val="left" w:pos="567"/>
        </w:tabs>
        <w:ind w:left="0" w:firstLine="0"/>
        <w:jc w:val="both"/>
        <w:rPr>
          <w:bCs/>
          <w:noProof/>
        </w:rPr>
      </w:pPr>
      <w:r w:rsidRPr="004860F6">
        <w:rPr>
          <w:bCs/>
        </w:rPr>
        <w:t>The objectives of the project are to:  (</w:t>
      </w:r>
      <w:proofErr w:type="spellStart"/>
      <w:r w:rsidRPr="004860F6">
        <w:rPr>
          <w:bCs/>
        </w:rPr>
        <w:t>i</w:t>
      </w:r>
      <w:proofErr w:type="spellEnd"/>
      <w:r w:rsidRPr="004860F6">
        <w:rPr>
          <w:bCs/>
        </w:rPr>
        <w:t xml:space="preserve">) </w:t>
      </w:r>
      <w:r w:rsidRPr="004860F6">
        <w:rPr>
          <w:bCs/>
          <w:noProof/>
          <w:color w:val="000000"/>
        </w:rPr>
        <w:t xml:space="preserve">establish the appropriate surface area needed for the printshop, documents and </w:t>
      </w:r>
      <w:r w:rsidRPr="004860F6">
        <w:rPr>
          <w:bCs/>
          <w:noProof/>
        </w:rPr>
        <w:t>computer room</w:t>
      </w:r>
      <w:r w:rsidRPr="004860F6">
        <w:rPr>
          <w:bCs/>
          <w:noProof/>
          <w:color w:val="000000"/>
        </w:rPr>
        <w:t xml:space="preserve"> by reducing the area of the </w:t>
      </w:r>
      <w:r w:rsidRPr="004860F6">
        <w:rPr>
          <w:bCs/>
          <w:noProof/>
        </w:rPr>
        <w:t>data center</w:t>
      </w:r>
      <w:r w:rsidRPr="004860F6">
        <w:rPr>
          <w:bCs/>
          <w:noProof/>
          <w:color w:val="000000"/>
        </w:rPr>
        <w:t xml:space="preserve"> to free up a relatively large space to allow for the expansion and renovation of the printshop;  (ii) reduce energy  consumption via the removal of specific technical equipment from the </w:t>
      </w:r>
      <w:r w:rsidRPr="004860F6">
        <w:rPr>
          <w:bCs/>
          <w:noProof/>
        </w:rPr>
        <w:t>data center</w:t>
      </w:r>
      <w:r w:rsidRPr="004860F6">
        <w:rPr>
          <w:bCs/>
          <w:noProof/>
          <w:color w:val="000000"/>
        </w:rPr>
        <w:t>;  and (iii) improve the working spaces of the printshop and documents staff.</w:t>
      </w:r>
    </w:p>
    <w:p w:rsidR="00C06C6E" w:rsidRPr="00F47045" w:rsidRDefault="00C06C6E" w:rsidP="00C06C6E">
      <w:pPr>
        <w:rPr>
          <w:bCs/>
          <w:noProof/>
          <w:szCs w:val="20"/>
        </w:rPr>
      </w:pPr>
    </w:p>
    <w:p w:rsidR="00C06C6E" w:rsidRPr="00F47045" w:rsidRDefault="00C06C6E" w:rsidP="00C06C6E">
      <w:pPr>
        <w:rPr>
          <w:bCs/>
          <w:noProof/>
          <w:szCs w:val="20"/>
        </w:rPr>
      </w:pPr>
    </w:p>
    <w:p w:rsidR="00C06C6E" w:rsidRPr="00F47045" w:rsidRDefault="00C06C6E" w:rsidP="00C06C6E">
      <w:pPr>
        <w:rPr>
          <w:bCs/>
          <w:noProof/>
          <w:szCs w:val="20"/>
        </w:rPr>
      </w:pPr>
      <w:r w:rsidRPr="00F47045">
        <w:rPr>
          <w:bCs/>
          <w:noProof/>
          <w:szCs w:val="20"/>
        </w:rPr>
        <w:t>OVERVIEW OF PROGRESS IN 2014 (KEY MILESTONES)</w:t>
      </w:r>
    </w:p>
    <w:p w:rsidR="00C06C6E" w:rsidRPr="00F47045" w:rsidRDefault="00C06C6E" w:rsidP="00C06C6E">
      <w:pPr>
        <w:rPr>
          <w:bCs/>
          <w:noProof/>
          <w:szCs w:val="20"/>
        </w:rPr>
      </w:pPr>
    </w:p>
    <w:p w:rsidR="00C06C6E" w:rsidRPr="00F47045" w:rsidRDefault="00C06C6E" w:rsidP="004860F6">
      <w:pPr>
        <w:pStyle w:val="ListParagraph"/>
        <w:numPr>
          <w:ilvl w:val="0"/>
          <w:numId w:val="132"/>
        </w:numPr>
        <w:tabs>
          <w:tab w:val="left" w:pos="567"/>
        </w:tabs>
        <w:ind w:left="0" w:firstLine="0"/>
        <w:jc w:val="both"/>
        <w:rPr>
          <w:bCs/>
          <w:noProof/>
        </w:rPr>
      </w:pPr>
      <w:r w:rsidRPr="00F47045">
        <w:rPr>
          <w:bCs/>
          <w:noProof/>
        </w:rPr>
        <w:t xml:space="preserve">In 2014, the following progress was made: </w:t>
      </w:r>
    </w:p>
    <w:p w:rsidR="00C06C6E" w:rsidRPr="00F47045" w:rsidRDefault="00C06C6E" w:rsidP="00C06C6E">
      <w:pPr>
        <w:pStyle w:val="ListParagraph"/>
        <w:numPr>
          <w:ilvl w:val="0"/>
          <w:numId w:val="122"/>
        </w:numPr>
        <w:rPr>
          <w:bCs/>
          <w:noProof/>
        </w:rPr>
      </w:pPr>
      <w:r w:rsidRPr="00F47045">
        <w:rPr>
          <w:bCs/>
          <w:noProof/>
          <w:color w:val="000000"/>
        </w:rPr>
        <w:t xml:space="preserve">drafting of the </w:t>
      </w:r>
      <w:r w:rsidRPr="00F47045">
        <w:rPr>
          <w:bCs/>
          <w:noProof/>
        </w:rPr>
        <w:t>terms of reference for the architect;</w:t>
      </w:r>
    </w:p>
    <w:p w:rsidR="00C06C6E" w:rsidRPr="00F47045" w:rsidRDefault="00C06C6E" w:rsidP="00C06C6E">
      <w:pPr>
        <w:pStyle w:val="ListParagraph"/>
        <w:numPr>
          <w:ilvl w:val="0"/>
          <w:numId w:val="122"/>
        </w:numPr>
        <w:rPr>
          <w:bCs/>
          <w:noProof/>
        </w:rPr>
      </w:pPr>
      <w:r w:rsidRPr="00F47045">
        <w:rPr>
          <w:bCs/>
          <w:noProof/>
          <w:color w:val="000000"/>
        </w:rPr>
        <w:t xml:space="preserve">launching a call for tenders for </w:t>
      </w:r>
      <w:r>
        <w:rPr>
          <w:bCs/>
          <w:noProof/>
          <w:color w:val="000000"/>
        </w:rPr>
        <w:t xml:space="preserve">the </w:t>
      </w:r>
      <w:r w:rsidRPr="00F47045">
        <w:rPr>
          <w:bCs/>
          <w:noProof/>
          <w:color w:val="000000"/>
        </w:rPr>
        <w:t xml:space="preserve">architect; and </w:t>
      </w:r>
    </w:p>
    <w:p w:rsidR="00C06C6E" w:rsidRPr="00F47045" w:rsidRDefault="00C06C6E" w:rsidP="00C06C6E">
      <w:pPr>
        <w:pStyle w:val="ListParagraph"/>
        <w:numPr>
          <w:ilvl w:val="0"/>
          <w:numId w:val="122"/>
        </w:numPr>
        <w:rPr>
          <w:bCs/>
          <w:noProof/>
        </w:rPr>
      </w:pPr>
      <w:r w:rsidRPr="00F47045">
        <w:rPr>
          <w:bCs/>
          <w:noProof/>
          <w:color w:val="000000"/>
        </w:rPr>
        <w:t>award of the contracts to the architect and HVAC engineer.</w:t>
      </w:r>
    </w:p>
    <w:p w:rsidR="00C06C6E" w:rsidRPr="00F47045" w:rsidRDefault="00C06C6E" w:rsidP="00C06C6E">
      <w:pPr>
        <w:shd w:val="clear" w:color="auto" w:fill="FFFFFF" w:themeFill="background1"/>
        <w:rPr>
          <w:bCs/>
          <w:noProof/>
          <w:color w:val="000000"/>
          <w:szCs w:val="20"/>
        </w:rPr>
      </w:pPr>
    </w:p>
    <w:p w:rsidR="00C06C6E" w:rsidRPr="00F47045" w:rsidRDefault="00C06C6E" w:rsidP="004860F6">
      <w:pPr>
        <w:pStyle w:val="ListParagraph"/>
        <w:numPr>
          <w:ilvl w:val="0"/>
          <w:numId w:val="132"/>
        </w:numPr>
        <w:tabs>
          <w:tab w:val="left" w:pos="567"/>
        </w:tabs>
        <w:ind w:left="0" w:firstLine="0"/>
        <w:jc w:val="both"/>
        <w:rPr>
          <w:bCs/>
          <w:color w:val="000000"/>
        </w:rPr>
      </w:pPr>
      <w:r w:rsidRPr="00F47045">
        <w:rPr>
          <w:bCs/>
          <w:color w:val="000000"/>
        </w:rPr>
        <w:t xml:space="preserve">Due to the </w:t>
      </w:r>
      <w:r>
        <w:rPr>
          <w:bCs/>
          <w:color w:val="000000"/>
        </w:rPr>
        <w:t xml:space="preserve">delayed completion (from beginning 2014 to September 2014) </w:t>
      </w:r>
      <w:r w:rsidRPr="00F47045">
        <w:rPr>
          <w:bCs/>
          <w:color w:val="000000"/>
        </w:rPr>
        <w:t xml:space="preserve">of the </w:t>
      </w:r>
      <w:r>
        <w:rPr>
          <w:bCs/>
          <w:color w:val="000000"/>
        </w:rPr>
        <w:t xml:space="preserve">new </w:t>
      </w:r>
      <w:r w:rsidRPr="00F47045">
        <w:rPr>
          <w:bCs/>
          <w:color w:val="000000"/>
        </w:rPr>
        <w:t xml:space="preserve">WIPO Conference Hall, the start of the project was delayed by six months relative to the original plan.  </w:t>
      </w:r>
      <w:r>
        <w:rPr>
          <w:bCs/>
          <w:color w:val="000000"/>
        </w:rPr>
        <w:t>As such</w:t>
      </w:r>
      <w:r w:rsidRPr="00F47045">
        <w:rPr>
          <w:bCs/>
          <w:color w:val="000000"/>
        </w:rPr>
        <w:t xml:space="preserve">, the project schedule has been amended.  </w:t>
      </w:r>
    </w:p>
    <w:p w:rsidR="00C06C6E" w:rsidRPr="004E3CEE" w:rsidRDefault="00C06C6E" w:rsidP="00C06C6E">
      <w:pPr>
        <w:rPr>
          <w:bCs/>
          <w:noProof/>
          <w:sz w:val="22"/>
          <w:szCs w:val="22"/>
        </w:rPr>
      </w:pPr>
    </w:p>
    <w:p w:rsidR="00C06C6E" w:rsidRDefault="00C06C6E" w:rsidP="00C06C6E">
      <w:pPr>
        <w:rPr>
          <w:bCs/>
          <w:noProof/>
          <w:sz w:val="22"/>
          <w:szCs w:val="22"/>
        </w:rPr>
      </w:pPr>
    </w:p>
    <w:p w:rsidR="00C06C6E" w:rsidRPr="009E4B37" w:rsidRDefault="00C06C6E" w:rsidP="00C06C6E">
      <w:pPr>
        <w:rPr>
          <w:noProof/>
        </w:rPr>
      </w:pPr>
      <w:r w:rsidRPr="004E3CEE">
        <w:rPr>
          <w:bCs/>
          <w:noProof/>
          <w:sz w:val="22"/>
          <w:szCs w:val="22"/>
        </w:rPr>
        <w:t>BENEFITS REALIZATION</w:t>
      </w:r>
    </w:p>
    <w:p w:rsidR="00C06C6E" w:rsidRPr="004E3CEE" w:rsidRDefault="00C06C6E" w:rsidP="00C06C6E">
      <w:pPr>
        <w:rPr>
          <w:noProof/>
          <w:szCs w:val="20"/>
        </w:rPr>
      </w:pPr>
    </w:p>
    <w:tbl>
      <w:tblPr>
        <w:tblW w:w="35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3"/>
      </w:tblGrid>
      <w:tr w:rsidR="00C06C6E" w:rsidRPr="004E3CEE" w:rsidTr="00592948">
        <w:trPr>
          <w:trHeight w:val="442"/>
          <w:tblHeader/>
          <w:jc w:val="center"/>
        </w:trPr>
        <w:tc>
          <w:tcPr>
            <w:tcW w:w="5000" w:type="pct"/>
            <w:shd w:val="clear" w:color="auto" w:fill="C6D9F1" w:themeFill="text2" w:themeFillTint="33"/>
            <w:vAlign w:val="center"/>
          </w:tcPr>
          <w:p w:rsidR="00C06C6E" w:rsidRPr="004E3CEE" w:rsidRDefault="00C06C6E" w:rsidP="00C06C6E">
            <w:pPr>
              <w:jc w:val="center"/>
              <w:rPr>
                <w:b/>
                <w:bCs/>
                <w:noProof/>
                <w:sz w:val="16"/>
                <w:szCs w:val="16"/>
              </w:rPr>
            </w:pPr>
            <w:r w:rsidRPr="004E3CEE">
              <w:rPr>
                <w:b/>
                <w:bCs/>
                <w:noProof/>
                <w:sz w:val="16"/>
                <w:szCs w:val="16"/>
              </w:rPr>
              <w:t>Expected Benefits 2017</w:t>
            </w:r>
          </w:p>
        </w:tc>
      </w:tr>
      <w:tr w:rsidR="00C06C6E" w:rsidRPr="004E3CEE" w:rsidTr="00592948">
        <w:trPr>
          <w:trHeight w:val="564"/>
          <w:jc w:val="center"/>
        </w:trPr>
        <w:tc>
          <w:tcPr>
            <w:tcW w:w="5000" w:type="pct"/>
            <w:shd w:val="clear" w:color="auto" w:fill="auto"/>
            <w:vAlign w:val="center"/>
          </w:tcPr>
          <w:p w:rsidR="00C06C6E" w:rsidRPr="004E3CEE" w:rsidRDefault="00C06C6E" w:rsidP="004860F6">
            <w:pPr>
              <w:rPr>
                <w:bCs/>
                <w:iCs/>
                <w:noProof/>
                <w:sz w:val="16"/>
                <w:szCs w:val="16"/>
              </w:rPr>
            </w:pPr>
            <w:r w:rsidRPr="004E3CEE">
              <w:rPr>
                <w:bCs/>
                <w:iCs/>
                <w:noProof/>
                <w:color w:val="000000"/>
                <w:sz w:val="16"/>
                <w:szCs w:val="16"/>
              </w:rPr>
              <w:t xml:space="preserve">Better </w:t>
            </w:r>
            <w:r>
              <w:rPr>
                <w:bCs/>
                <w:iCs/>
                <w:noProof/>
                <w:color w:val="000000"/>
                <w:sz w:val="16"/>
                <w:szCs w:val="16"/>
              </w:rPr>
              <w:t>allocation</w:t>
            </w:r>
            <w:r w:rsidRPr="004E3CEE">
              <w:rPr>
                <w:bCs/>
                <w:iCs/>
                <w:noProof/>
                <w:color w:val="000000"/>
                <w:sz w:val="16"/>
                <w:szCs w:val="16"/>
              </w:rPr>
              <w:t xml:space="preserve"> of </w:t>
            </w:r>
            <w:r>
              <w:rPr>
                <w:bCs/>
                <w:iCs/>
                <w:noProof/>
                <w:color w:val="000000"/>
                <w:sz w:val="16"/>
                <w:szCs w:val="16"/>
              </w:rPr>
              <w:t>space</w:t>
            </w:r>
            <w:r w:rsidRPr="004E3CEE">
              <w:rPr>
                <w:bCs/>
                <w:iCs/>
                <w:noProof/>
                <w:color w:val="000000"/>
                <w:sz w:val="16"/>
                <w:szCs w:val="16"/>
              </w:rPr>
              <w:t xml:space="preserve"> according to respective uses</w:t>
            </w:r>
          </w:p>
        </w:tc>
      </w:tr>
      <w:tr w:rsidR="00C06C6E" w:rsidRPr="004E3CEE" w:rsidTr="00592948">
        <w:trPr>
          <w:trHeight w:val="627"/>
          <w:jc w:val="center"/>
        </w:trPr>
        <w:tc>
          <w:tcPr>
            <w:tcW w:w="5000" w:type="pct"/>
            <w:shd w:val="clear" w:color="auto" w:fill="auto"/>
            <w:vAlign w:val="center"/>
          </w:tcPr>
          <w:p w:rsidR="00C06C6E" w:rsidRPr="004E3CEE" w:rsidRDefault="00C06C6E" w:rsidP="004860F6">
            <w:pPr>
              <w:rPr>
                <w:bCs/>
                <w:iCs/>
                <w:noProof/>
                <w:sz w:val="16"/>
                <w:szCs w:val="16"/>
              </w:rPr>
            </w:pPr>
            <w:r w:rsidRPr="004E3CEE">
              <w:rPr>
                <w:bCs/>
                <w:iCs/>
                <w:noProof/>
                <w:color w:val="000000"/>
                <w:sz w:val="16"/>
                <w:szCs w:val="16"/>
              </w:rPr>
              <w:t xml:space="preserve">Partial reduction in energy </w:t>
            </w:r>
            <w:r>
              <w:rPr>
                <w:bCs/>
                <w:iCs/>
                <w:noProof/>
                <w:color w:val="000000"/>
                <w:sz w:val="16"/>
                <w:szCs w:val="16"/>
              </w:rPr>
              <w:t xml:space="preserve"> consumption in</w:t>
            </w:r>
            <w:r w:rsidRPr="004E3CEE">
              <w:rPr>
                <w:bCs/>
                <w:iCs/>
                <w:noProof/>
                <w:color w:val="000000"/>
                <w:sz w:val="16"/>
                <w:szCs w:val="16"/>
              </w:rPr>
              <w:t xml:space="preserve"> the area affected by the works in the AB Building</w:t>
            </w:r>
          </w:p>
        </w:tc>
      </w:tr>
      <w:tr w:rsidR="00C06C6E" w:rsidRPr="004E3CEE" w:rsidTr="00592948">
        <w:trPr>
          <w:trHeight w:val="564"/>
          <w:jc w:val="center"/>
        </w:trPr>
        <w:tc>
          <w:tcPr>
            <w:tcW w:w="5000" w:type="pct"/>
            <w:shd w:val="clear" w:color="auto" w:fill="auto"/>
            <w:vAlign w:val="center"/>
          </w:tcPr>
          <w:p w:rsidR="00C06C6E" w:rsidRPr="004E3CEE" w:rsidRDefault="00C06C6E" w:rsidP="004860F6">
            <w:pPr>
              <w:rPr>
                <w:bCs/>
                <w:iCs/>
                <w:noProof/>
                <w:sz w:val="16"/>
                <w:szCs w:val="16"/>
              </w:rPr>
            </w:pPr>
            <w:r w:rsidRPr="004E3CEE">
              <w:rPr>
                <w:bCs/>
                <w:iCs/>
                <w:noProof/>
                <w:color w:val="000000"/>
                <w:sz w:val="16"/>
                <w:szCs w:val="16"/>
              </w:rPr>
              <w:t xml:space="preserve">Improvement of </w:t>
            </w:r>
            <w:r>
              <w:rPr>
                <w:bCs/>
                <w:iCs/>
                <w:noProof/>
                <w:color w:val="000000"/>
                <w:sz w:val="16"/>
                <w:szCs w:val="16"/>
              </w:rPr>
              <w:t xml:space="preserve">the </w:t>
            </w:r>
            <w:r w:rsidRPr="004E3CEE">
              <w:rPr>
                <w:bCs/>
                <w:iCs/>
                <w:noProof/>
                <w:color w:val="000000"/>
                <w:sz w:val="16"/>
                <w:szCs w:val="16"/>
              </w:rPr>
              <w:t xml:space="preserve">working spaces of </w:t>
            </w:r>
            <w:r>
              <w:rPr>
                <w:bCs/>
                <w:iCs/>
                <w:noProof/>
                <w:color w:val="000000"/>
                <w:sz w:val="16"/>
                <w:szCs w:val="16"/>
              </w:rPr>
              <w:t xml:space="preserve"> printshop</w:t>
            </w:r>
            <w:r w:rsidRPr="004E3CEE">
              <w:rPr>
                <w:bCs/>
                <w:iCs/>
                <w:noProof/>
                <w:color w:val="000000"/>
                <w:sz w:val="16"/>
                <w:szCs w:val="16"/>
              </w:rPr>
              <w:t xml:space="preserve"> and document</w:t>
            </w:r>
            <w:r>
              <w:rPr>
                <w:bCs/>
                <w:iCs/>
                <w:noProof/>
                <w:color w:val="000000"/>
                <w:sz w:val="16"/>
                <w:szCs w:val="16"/>
              </w:rPr>
              <w:t>s</w:t>
            </w:r>
            <w:r w:rsidRPr="004E3CEE">
              <w:rPr>
                <w:bCs/>
                <w:iCs/>
                <w:noProof/>
                <w:color w:val="000000"/>
                <w:sz w:val="16"/>
                <w:szCs w:val="16"/>
              </w:rPr>
              <w:t xml:space="preserve"> staff</w:t>
            </w:r>
          </w:p>
        </w:tc>
      </w:tr>
    </w:tbl>
    <w:p w:rsidR="00C06C6E" w:rsidRDefault="00C06C6E" w:rsidP="00C06C6E">
      <w:pPr>
        <w:rPr>
          <w:rFonts w:cs="Arial"/>
          <w:noProof/>
          <w:color w:val="000000"/>
          <w:sz w:val="22"/>
          <w:szCs w:val="22"/>
        </w:rPr>
      </w:pPr>
    </w:p>
    <w:p w:rsidR="004860F6" w:rsidRDefault="004860F6">
      <w:pPr>
        <w:rPr>
          <w:rFonts w:cs="Arial"/>
          <w:noProof/>
          <w:color w:val="000000"/>
          <w:sz w:val="22"/>
          <w:szCs w:val="22"/>
        </w:rPr>
      </w:pPr>
      <w:r>
        <w:rPr>
          <w:rFonts w:cs="Arial"/>
          <w:noProof/>
          <w:color w:val="000000"/>
          <w:sz w:val="22"/>
          <w:szCs w:val="22"/>
        </w:rPr>
        <w:br w:type="page"/>
      </w:r>
    </w:p>
    <w:p w:rsidR="00C06C6E" w:rsidRPr="004E3CEE" w:rsidRDefault="00C06C6E" w:rsidP="00C06C6E">
      <w:pPr>
        <w:rPr>
          <w:rFonts w:cs="Arial"/>
          <w:noProof/>
          <w:color w:val="000000"/>
          <w:sz w:val="22"/>
          <w:szCs w:val="22"/>
        </w:rPr>
      </w:pPr>
      <w:r>
        <w:rPr>
          <w:rFonts w:cs="Arial"/>
          <w:noProof/>
          <w:color w:val="000000"/>
          <w:sz w:val="22"/>
          <w:szCs w:val="22"/>
        </w:rPr>
        <w:lastRenderedPageBreak/>
        <w:t>RESOURCE</w:t>
      </w:r>
      <w:r w:rsidRPr="004E3CEE">
        <w:rPr>
          <w:rFonts w:cs="Arial"/>
          <w:noProof/>
          <w:color w:val="000000"/>
          <w:sz w:val="22"/>
          <w:szCs w:val="22"/>
        </w:rPr>
        <w:t xml:space="preserve"> UTILIZATION</w:t>
      </w:r>
      <w:r w:rsidRPr="004E3CEE">
        <w:rPr>
          <w:rFonts w:cs="Arial"/>
          <w:noProof/>
          <w:color w:val="000000"/>
          <w:sz w:val="22"/>
          <w:szCs w:val="22"/>
        </w:rPr>
        <w:tab/>
      </w:r>
    </w:p>
    <w:p w:rsidR="00C06C6E" w:rsidRPr="004E3CEE" w:rsidRDefault="00C06C6E" w:rsidP="00C06C6E">
      <w:pPr>
        <w:rPr>
          <w:rFonts w:cs="Arial"/>
          <w:noProof/>
          <w:color w:val="000000"/>
          <w:sz w:val="22"/>
          <w:szCs w:val="22"/>
        </w:rPr>
      </w:pPr>
    </w:p>
    <w:p w:rsidR="00C06C6E" w:rsidRPr="004E3CEE" w:rsidRDefault="00C06C6E" w:rsidP="00C06C6E">
      <w:pPr>
        <w:keepNext/>
        <w:keepLines/>
        <w:tabs>
          <w:tab w:val="left" w:pos="3261"/>
        </w:tabs>
        <w:autoSpaceDE w:val="0"/>
        <w:autoSpaceDN w:val="0"/>
        <w:adjustRightInd w:val="0"/>
        <w:jc w:val="center"/>
        <w:rPr>
          <w:b/>
          <w:noProof/>
          <w:szCs w:val="22"/>
        </w:rPr>
      </w:pPr>
      <w:r w:rsidRPr="004E3CEE">
        <w:rPr>
          <w:b/>
          <w:noProof/>
          <w:szCs w:val="22"/>
        </w:rPr>
        <w:t>Project Budget Utilization</w:t>
      </w:r>
    </w:p>
    <w:p w:rsidR="00C06C6E" w:rsidRPr="004860F6" w:rsidRDefault="00C06C6E" w:rsidP="004860F6">
      <w:pPr>
        <w:keepNext/>
        <w:keepLines/>
        <w:tabs>
          <w:tab w:val="left" w:pos="3261"/>
        </w:tabs>
        <w:autoSpaceDE w:val="0"/>
        <w:autoSpaceDN w:val="0"/>
        <w:adjustRightInd w:val="0"/>
        <w:jc w:val="center"/>
        <w:rPr>
          <w:i/>
          <w:iCs/>
          <w:noProof/>
          <w:sz w:val="18"/>
          <w:szCs w:val="18"/>
        </w:rPr>
      </w:pPr>
      <w:r w:rsidRPr="004E3CEE">
        <w:rPr>
          <w:i/>
          <w:iCs/>
          <w:noProof/>
          <w:sz w:val="18"/>
          <w:szCs w:val="18"/>
        </w:rPr>
        <w:t>(In Swiss francs, as at December 31, 2014)</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C06C6E" w:rsidRPr="004E3CEE" w:rsidTr="00C06C6E">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4E3CEE" w:rsidRDefault="00C06C6E" w:rsidP="00C06C6E">
            <w:pPr>
              <w:keepNext/>
              <w:keepLines/>
              <w:autoSpaceDE w:val="0"/>
              <w:autoSpaceDN w:val="0"/>
              <w:adjustRightInd w:val="0"/>
              <w:spacing w:before="40" w:after="40"/>
              <w:ind w:left="-74" w:right="-60"/>
              <w:jc w:val="center"/>
              <w:rPr>
                <w:b/>
                <w:bCs/>
                <w:noProof/>
                <w:sz w:val="16"/>
                <w:szCs w:val="16"/>
              </w:rPr>
            </w:pPr>
            <w:r w:rsidRPr="004E3CEE">
              <w:rPr>
                <w:b/>
                <w:bCs/>
                <w:noProof/>
                <w:sz w:val="16"/>
                <w:szCs w:val="16"/>
              </w:rPr>
              <w:t>Project Name</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4E3CEE" w:rsidRDefault="00C06C6E" w:rsidP="00C06C6E">
            <w:pPr>
              <w:keepNext/>
              <w:keepLines/>
              <w:autoSpaceDE w:val="0"/>
              <w:autoSpaceDN w:val="0"/>
              <w:adjustRightInd w:val="0"/>
              <w:spacing w:before="40" w:after="40"/>
              <w:ind w:left="-107" w:right="-108"/>
              <w:jc w:val="center"/>
              <w:rPr>
                <w:b/>
                <w:bCs/>
                <w:noProof/>
                <w:sz w:val="16"/>
                <w:szCs w:val="16"/>
              </w:rPr>
            </w:pPr>
            <w:r w:rsidRPr="004E3CEE">
              <w:rPr>
                <w:b/>
                <w:bCs/>
                <w:noProof/>
                <w:sz w:val="16"/>
                <w:szCs w:val="16"/>
              </w:rPr>
              <w:t>Project Budget</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4E3CEE" w:rsidRDefault="00C06C6E" w:rsidP="00C06C6E">
            <w:pPr>
              <w:keepNext/>
              <w:keepLines/>
              <w:autoSpaceDE w:val="0"/>
              <w:autoSpaceDN w:val="0"/>
              <w:adjustRightInd w:val="0"/>
              <w:spacing w:before="40" w:after="40"/>
              <w:ind w:left="-108" w:right="-106"/>
              <w:jc w:val="center"/>
              <w:rPr>
                <w:b/>
                <w:bCs/>
                <w:noProof/>
                <w:sz w:val="16"/>
                <w:szCs w:val="16"/>
              </w:rPr>
            </w:pPr>
            <w:r w:rsidRPr="004E3CEE">
              <w:rPr>
                <w:b/>
                <w:bCs/>
                <w:noProof/>
                <w:sz w:val="16"/>
                <w:szCs w:val="16"/>
              </w:rPr>
              <w:t>Actual Expenditure to Date</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4E3CEE" w:rsidRDefault="00C06C6E" w:rsidP="00C06C6E">
            <w:pPr>
              <w:keepNext/>
              <w:keepLines/>
              <w:autoSpaceDE w:val="0"/>
              <w:autoSpaceDN w:val="0"/>
              <w:adjustRightInd w:val="0"/>
              <w:spacing w:before="40" w:after="40"/>
              <w:ind w:left="-109" w:right="-108"/>
              <w:jc w:val="center"/>
              <w:rPr>
                <w:b/>
                <w:bCs/>
                <w:noProof/>
                <w:sz w:val="16"/>
                <w:szCs w:val="16"/>
              </w:rPr>
            </w:pPr>
            <w:r w:rsidRPr="004E3CEE">
              <w:rPr>
                <w:b/>
                <w:bCs/>
                <w:noProof/>
                <w:sz w:val="16"/>
                <w:szCs w:val="16"/>
              </w:rPr>
              <w:t>Actual Budget Utilization</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4E3CEE" w:rsidRDefault="00C06C6E" w:rsidP="00C06C6E">
            <w:pPr>
              <w:keepNext/>
              <w:keepLines/>
              <w:autoSpaceDE w:val="0"/>
              <w:autoSpaceDN w:val="0"/>
              <w:adjustRightInd w:val="0"/>
              <w:spacing w:before="40" w:after="40"/>
              <w:ind w:left="-109" w:right="-73" w:firstLine="1"/>
              <w:jc w:val="center"/>
              <w:rPr>
                <w:b/>
                <w:bCs/>
                <w:noProof/>
                <w:sz w:val="16"/>
                <w:szCs w:val="16"/>
              </w:rPr>
            </w:pPr>
            <w:r w:rsidRPr="004E3CEE">
              <w:rPr>
                <w:b/>
                <w:bCs/>
                <w:noProof/>
                <w:sz w:val="16"/>
                <w:szCs w:val="16"/>
              </w:rPr>
              <w:t>Implementation Progress Rate of the Project</w:t>
            </w:r>
          </w:p>
        </w:tc>
      </w:tr>
      <w:tr w:rsidR="00C06C6E" w:rsidRPr="004E3CEE" w:rsidTr="00C06C6E">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keepNext/>
              <w:keepLines/>
              <w:autoSpaceDE w:val="0"/>
              <w:autoSpaceDN w:val="0"/>
              <w:adjustRightInd w:val="0"/>
              <w:spacing w:before="40" w:after="40" w:line="260" w:lineRule="exact"/>
              <w:rPr>
                <w:noProof/>
                <w:sz w:val="16"/>
                <w:szCs w:val="16"/>
              </w:rPr>
            </w:pPr>
            <w:r w:rsidRPr="00CD47DE">
              <w:rPr>
                <w:noProof/>
                <w:sz w:val="16"/>
                <w:szCs w:val="16"/>
              </w:rPr>
              <w:t>Arpad Bogsch Building — phase 1 of basement renovation (resizing of data center and renovation of printshop)</w:t>
            </w:r>
          </w:p>
        </w:tc>
        <w:tc>
          <w:tcPr>
            <w:tcW w:w="850"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970B89">
            <w:pPr>
              <w:keepNext/>
              <w:keepLines/>
              <w:autoSpaceDE w:val="0"/>
              <w:autoSpaceDN w:val="0"/>
              <w:adjustRightInd w:val="0"/>
              <w:spacing w:before="40" w:after="40" w:line="260" w:lineRule="exact"/>
              <w:jc w:val="center"/>
              <w:rPr>
                <w:noProof/>
                <w:sz w:val="16"/>
                <w:szCs w:val="16"/>
              </w:rPr>
            </w:pPr>
            <w:r w:rsidRPr="004E3CEE">
              <w:rPr>
                <w:noProof/>
                <w:sz w:val="16"/>
                <w:szCs w:val="16"/>
              </w:rPr>
              <w:t>960</w:t>
            </w:r>
            <w:r>
              <w:rPr>
                <w:noProof/>
                <w:sz w:val="16"/>
                <w:szCs w:val="16"/>
              </w:rPr>
              <w:t>,</w:t>
            </w:r>
            <w:r w:rsidRPr="004E3CEE">
              <w:rPr>
                <w:noProof/>
                <w:sz w:val="16"/>
                <w:szCs w:val="16"/>
              </w:rPr>
              <w:t>000</w:t>
            </w:r>
          </w:p>
        </w:tc>
        <w:tc>
          <w:tcPr>
            <w:tcW w:w="851"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keepNext/>
              <w:keepLines/>
              <w:autoSpaceDE w:val="0"/>
              <w:autoSpaceDN w:val="0"/>
              <w:adjustRightInd w:val="0"/>
              <w:spacing w:before="40" w:after="40" w:line="260" w:lineRule="exact"/>
              <w:jc w:val="center"/>
              <w:rPr>
                <w:noProof/>
                <w:sz w:val="16"/>
                <w:szCs w:val="16"/>
              </w:rPr>
            </w:pPr>
            <w:r w:rsidRPr="004E3CEE">
              <w:rPr>
                <w:noProof/>
                <w:color w:val="000000"/>
                <w:sz w:val="16"/>
                <w:szCs w:val="16"/>
              </w:rPr>
              <w:t>0</w:t>
            </w:r>
          </w:p>
        </w:tc>
        <w:tc>
          <w:tcPr>
            <w:tcW w:w="851"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keepNext/>
              <w:keepLines/>
              <w:autoSpaceDE w:val="0"/>
              <w:autoSpaceDN w:val="0"/>
              <w:adjustRightInd w:val="0"/>
              <w:spacing w:before="40" w:after="40" w:line="260" w:lineRule="exact"/>
              <w:jc w:val="center"/>
              <w:rPr>
                <w:noProof/>
                <w:sz w:val="16"/>
                <w:szCs w:val="16"/>
              </w:rPr>
            </w:pPr>
            <w:r w:rsidRPr="004E3CEE">
              <w:rPr>
                <w:noProof/>
                <w:sz w:val="16"/>
                <w:szCs w:val="16"/>
              </w:rPr>
              <w:t>0%</w:t>
            </w:r>
          </w:p>
        </w:tc>
        <w:tc>
          <w:tcPr>
            <w:tcW w:w="850"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keepNext/>
              <w:keepLines/>
              <w:autoSpaceDE w:val="0"/>
              <w:autoSpaceDN w:val="0"/>
              <w:adjustRightInd w:val="0"/>
              <w:spacing w:before="40" w:after="40" w:line="260" w:lineRule="exact"/>
              <w:jc w:val="center"/>
              <w:rPr>
                <w:noProof/>
                <w:sz w:val="16"/>
                <w:szCs w:val="16"/>
              </w:rPr>
            </w:pPr>
            <w:r>
              <w:rPr>
                <w:noProof/>
                <w:sz w:val="16"/>
                <w:szCs w:val="16"/>
              </w:rPr>
              <w:t>-</w:t>
            </w:r>
          </w:p>
        </w:tc>
      </w:tr>
    </w:tbl>
    <w:p w:rsidR="00C06C6E" w:rsidRPr="004E3CEE" w:rsidRDefault="00C06C6E" w:rsidP="00C06C6E">
      <w:pPr>
        <w:keepNext/>
        <w:autoSpaceDE w:val="0"/>
        <w:autoSpaceDN w:val="0"/>
        <w:rPr>
          <w:noProof/>
          <w:sz w:val="16"/>
          <w:szCs w:val="16"/>
        </w:rPr>
      </w:pPr>
    </w:p>
    <w:p w:rsidR="00C06C6E" w:rsidRPr="004E3CEE" w:rsidRDefault="00C06C6E" w:rsidP="00C06C6E">
      <w:pPr>
        <w:keepNext/>
        <w:keepLines/>
        <w:tabs>
          <w:tab w:val="left" w:pos="3261"/>
        </w:tabs>
        <w:autoSpaceDE w:val="0"/>
        <w:autoSpaceDN w:val="0"/>
        <w:adjustRightInd w:val="0"/>
        <w:jc w:val="center"/>
        <w:rPr>
          <w:b/>
          <w:noProof/>
          <w:szCs w:val="22"/>
        </w:rPr>
      </w:pPr>
    </w:p>
    <w:p w:rsidR="00C06C6E" w:rsidRPr="004E3CEE" w:rsidRDefault="00C06C6E" w:rsidP="00C06C6E">
      <w:pPr>
        <w:keepNext/>
        <w:keepLines/>
        <w:tabs>
          <w:tab w:val="left" w:pos="3261"/>
        </w:tabs>
        <w:autoSpaceDE w:val="0"/>
        <w:autoSpaceDN w:val="0"/>
        <w:adjustRightInd w:val="0"/>
        <w:jc w:val="center"/>
        <w:rPr>
          <w:b/>
          <w:noProof/>
          <w:szCs w:val="22"/>
        </w:rPr>
      </w:pPr>
    </w:p>
    <w:p w:rsidR="00C06C6E" w:rsidRPr="004E3CEE" w:rsidRDefault="00C06C6E" w:rsidP="00C06C6E">
      <w:pPr>
        <w:keepNext/>
        <w:keepLines/>
        <w:tabs>
          <w:tab w:val="left" w:pos="3261"/>
        </w:tabs>
        <w:autoSpaceDE w:val="0"/>
        <w:autoSpaceDN w:val="0"/>
        <w:adjustRightInd w:val="0"/>
        <w:jc w:val="center"/>
        <w:rPr>
          <w:b/>
          <w:noProof/>
          <w:szCs w:val="22"/>
        </w:rPr>
      </w:pPr>
      <w:r w:rsidRPr="004E3CEE">
        <w:rPr>
          <w:b/>
          <w:noProof/>
          <w:szCs w:val="22"/>
        </w:rPr>
        <w:t>Project Budget Utilization (by Milestone)</w:t>
      </w:r>
    </w:p>
    <w:p w:rsidR="00C06C6E" w:rsidRPr="004E3CEE" w:rsidRDefault="00C06C6E" w:rsidP="00C06C6E">
      <w:pPr>
        <w:keepNext/>
        <w:keepLines/>
        <w:tabs>
          <w:tab w:val="left" w:pos="3261"/>
        </w:tabs>
        <w:autoSpaceDE w:val="0"/>
        <w:autoSpaceDN w:val="0"/>
        <w:adjustRightInd w:val="0"/>
        <w:jc w:val="center"/>
        <w:rPr>
          <w:i/>
          <w:iCs/>
          <w:noProof/>
          <w:sz w:val="18"/>
          <w:szCs w:val="18"/>
        </w:rPr>
      </w:pPr>
      <w:r w:rsidRPr="004E3CEE">
        <w:rPr>
          <w:i/>
          <w:iCs/>
          <w:noProof/>
          <w:sz w:val="18"/>
          <w:szCs w:val="18"/>
        </w:rPr>
        <w:t>(In Swiss francs, as at December 31, 2014)</w:t>
      </w:r>
    </w:p>
    <w:p w:rsidR="00C06C6E" w:rsidRPr="004E3CEE" w:rsidRDefault="00C06C6E" w:rsidP="00C06C6E">
      <w:pPr>
        <w:keepNext/>
        <w:autoSpaceDE w:val="0"/>
        <w:autoSpaceDN w:val="0"/>
        <w:rPr>
          <w:noProof/>
          <w:sz w:val="16"/>
          <w:szCs w:val="16"/>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8"/>
        <w:gridCol w:w="1575"/>
        <w:gridCol w:w="1575"/>
        <w:gridCol w:w="1575"/>
        <w:gridCol w:w="1575"/>
      </w:tblGrid>
      <w:tr w:rsidR="00C06C6E" w:rsidRPr="004E3CEE" w:rsidTr="00C06C6E">
        <w:trPr>
          <w:trHeight w:val="410"/>
        </w:trPr>
        <w:tc>
          <w:tcPr>
            <w:tcW w:w="157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4E3CEE" w:rsidRDefault="00C06C6E" w:rsidP="00C06C6E">
            <w:pPr>
              <w:keepNext/>
              <w:keepLines/>
              <w:autoSpaceDE w:val="0"/>
              <w:autoSpaceDN w:val="0"/>
              <w:adjustRightInd w:val="0"/>
              <w:spacing w:before="40" w:after="40"/>
              <w:ind w:left="-74" w:right="-60"/>
              <w:jc w:val="center"/>
              <w:rPr>
                <w:b/>
                <w:bCs/>
                <w:noProof/>
                <w:sz w:val="16"/>
                <w:szCs w:val="16"/>
              </w:rPr>
            </w:pPr>
            <w:r w:rsidRPr="004E3CEE">
              <w:rPr>
                <w:b/>
                <w:bCs/>
                <w:noProof/>
                <w:sz w:val="16"/>
                <w:szCs w:val="16"/>
              </w:rPr>
              <w:t>Key Milestone</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4E3CEE" w:rsidRDefault="00C06C6E" w:rsidP="00C06C6E">
            <w:pPr>
              <w:keepNext/>
              <w:keepLines/>
              <w:autoSpaceDE w:val="0"/>
              <w:autoSpaceDN w:val="0"/>
              <w:adjustRightInd w:val="0"/>
              <w:spacing w:before="40" w:after="40"/>
              <w:ind w:left="-107" w:right="-108"/>
              <w:jc w:val="center"/>
              <w:rPr>
                <w:b/>
                <w:bCs/>
                <w:noProof/>
                <w:sz w:val="16"/>
                <w:szCs w:val="16"/>
              </w:rPr>
            </w:pPr>
            <w:r w:rsidRPr="004E3CEE">
              <w:rPr>
                <w:b/>
                <w:bCs/>
                <w:noProof/>
                <w:sz w:val="16"/>
                <w:szCs w:val="16"/>
              </w:rPr>
              <w:t>Project Budget</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4E3CEE" w:rsidRDefault="00C06C6E" w:rsidP="00C06C6E">
            <w:pPr>
              <w:keepNext/>
              <w:keepLines/>
              <w:autoSpaceDE w:val="0"/>
              <w:autoSpaceDN w:val="0"/>
              <w:adjustRightInd w:val="0"/>
              <w:spacing w:before="40" w:after="40"/>
              <w:ind w:left="-108" w:right="-106"/>
              <w:jc w:val="center"/>
              <w:rPr>
                <w:b/>
                <w:bCs/>
                <w:noProof/>
                <w:sz w:val="16"/>
                <w:szCs w:val="16"/>
              </w:rPr>
            </w:pPr>
            <w:r w:rsidRPr="004E3CEE">
              <w:rPr>
                <w:b/>
                <w:bCs/>
                <w:noProof/>
                <w:sz w:val="16"/>
                <w:szCs w:val="16"/>
              </w:rPr>
              <w:t>Actual Expenditure to Date</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4E3CEE" w:rsidRDefault="00C06C6E" w:rsidP="00C06C6E">
            <w:pPr>
              <w:keepNext/>
              <w:keepLines/>
              <w:autoSpaceDE w:val="0"/>
              <w:autoSpaceDN w:val="0"/>
              <w:adjustRightInd w:val="0"/>
              <w:spacing w:before="40" w:after="40"/>
              <w:ind w:left="-109" w:right="-108"/>
              <w:jc w:val="center"/>
              <w:rPr>
                <w:b/>
                <w:bCs/>
                <w:noProof/>
                <w:sz w:val="16"/>
                <w:szCs w:val="16"/>
              </w:rPr>
            </w:pPr>
            <w:r w:rsidRPr="004E3CEE">
              <w:rPr>
                <w:b/>
                <w:bCs/>
                <w:noProof/>
                <w:sz w:val="16"/>
                <w:szCs w:val="16"/>
              </w:rPr>
              <w:t>Actual Budget Utilization</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4E3CEE" w:rsidRDefault="00C06C6E" w:rsidP="00C06C6E">
            <w:pPr>
              <w:keepNext/>
              <w:keepLines/>
              <w:autoSpaceDE w:val="0"/>
              <w:autoSpaceDN w:val="0"/>
              <w:adjustRightInd w:val="0"/>
              <w:spacing w:before="40" w:after="40"/>
              <w:ind w:left="-109" w:right="-73" w:firstLine="1"/>
              <w:jc w:val="center"/>
              <w:rPr>
                <w:b/>
                <w:bCs/>
                <w:noProof/>
                <w:sz w:val="16"/>
                <w:szCs w:val="16"/>
              </w:rPr>
            </w:pPr>
            <w:r w:rsidRPr="004E3CEE">
              <w:rPr>
                <w:b/>
                <w:bCs/>
                <w:noProof/>
                <w:sz w:val="16"/>
                <w:szCs w:val="16"/>
              </w:rPr>
              <w:t>Implementation Progress Rate by Milestone</w:t>
            </w:r>
          </w:p>
        </w:tc>
      </w:tr>
      <w:tr w:rsidR="00C06C6E" w:rsidRPr="004E3CEE" w:rsidTr="00C06C6E">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keepNext/>
              <w:keepLines/>
              <w:autoSpaceDE w:val="0"/>
              <w:autoSpaceDN w:val="0"/>
              <w:adjustRightInd w:val="0"/>
              <w:spacing w:before="40" w:after="40" w:line="260" w:lineRule="exact"/>
              <w:rPr>
                <w:noProof/>
                <w:sz w:val="16"/>
                <w:szCs w:val="16"/>
              </w:rPr>
            </w:pPr>
            <w:r>
              <w:rPr>
                <w:noProof/>
                <w:color w:val="000000"/>
                <w:sz w:val="16"/>
                <w:szCs w:val="16"/>
              </w:rPr>
              <w:t xml:space="preserve">Award of contracts to the </w:t>
            </w:r>
            <w:r w:rsidRPr="004E3CEE">
              <w:rPr>
                <w:noProof/>
                <w:color w:val="000000"/>
                <w:sz w:val="16"/>
                <w:szCs w:val="16"/>
              </w:rPr>
              <w:t xml:space="preserve"> </w:t>
            </w:r>
            <w:r>
              <w:rPr>
                <w:noProof/>
                <w:color w:val="000000"/>
                <w:sz w:val="16"/>
                <w:szCs w:val="16"/>
              </w:rPr>
              <w:t>a</w:t>
            </w:r>
            <w:r w:rsidRPr="004E3CEE">
              <w:rPr>
                <w:noProof/>
                <w:color w:val="000000"/>
                <w:sz w:val="16"/>
                <w:szCs w:val="16"/>
              </w:rPr>
              <w:t>rchitect and</w:t>
            </w:r>
            <w:r>
              <w:rPr>
                <w:noProof/>
                <w:color w:val="000000"/>
                <w:sz w:val="16"/>
                <w:szCs w:val="16"/>
              </w:rPr>
              <w:t xml:space="preserve"> engineers</w:t>
            </w:r>
            <w:r w:rsidRPr="004E3CEE">
              <w:rPr>
                <w:noProof/>
                <w:color w:val="000000"/>
                <w:sz w:val="16"/>
                <w:szCs w:val="16"/>
              </w:rPr>
              <w:t xml:space="preserve"> </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keepNext/>
              <w:keepLines/>
              <w:autoSpaceDE w:val="0"/>
              <w:autoSpaceDN w:val="0"/>
              <w:adjustRightInd w:val="0"/>
              <w:spacing w:before="40" w:after="40" w:line="260" w:lineRule="exact"/>
              <w:jc w:val="center"/>
              <w:rPr>
                <w:noProof/>
                <w:sz w:val="16"/>
                <w:szCs w:val="16"/>
              </w:rPr>
            </w:pPr>
            <w:r w:rsidRPr="004E3CEE">
              <w:rPr>
                <w:noProof/>
                <w:sz w:val="16"/>
                <w:szCs w:val="16"/>
              </w:rPr>
              <w:t>144</w:t>
            </w:r>
            <w:r>
              <w:rPr>
                <w:noProof/>
                <w:sz w:val="16"/>
                <w:szCs w:val="16"/>
              </w:rPr>
              <w:t>,</w:t>
            </w:r>
            <w:r w:rsidRPr="004E3CEE">
              <w:rPr>
                <w:noProof/>
                <w:sz w:val="16"/>
                <w:szCs w:val="16"/>
              </w:rPr>
              <w:t>000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keepNext/>
              <w:keepLines/>
              <w:autoSpaceDE w:val="0"/>
              <w:autoSpaceDN w:val="0"/>
              <w:adjustRightInd w:val="0"/>
              <w:spacing w:before="40" w:after="40" w:line="260" w:lineRule="exact"/>
              <w:jc w:val="center"/>
              <w:rPr>
                <w:noProof/>
                <w:sz w:val="16"/>
                <w:szCs w:val="16"/>
              </w:rPr>
            </w:pPr>
            <w:r>
              <w:rPr>
                <w:noProof/>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keepNext/>
              <w:keepLines/>
              <w:autoSpaceDE w:val="0"/>
              <w:autoSpaceDN w:val="0"/>
              <w:adjustRightInd w:val="0"/>
              <w:spacing w:before="40" w:after="40" w:line="260" w:lineRule="exact"/>
              <w:jc w:val="center"/>
              <w:rPr>
                <w:noProof/>
                <w:sz w:val="16"/>
                <w:szCs w:val="16"/>
              </w:rPr>
            </w:pPr>
            <w:r w:rsidRPr="004E3CEE">
              <w:rPr>
                <w:noProof/>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keepNext/>
              <w:keepLines/>
              <w:autoSpaceDE w:val="0"/>
              <w:autoSpaceDN w:val="0"/>
              <w:adjustRightInd w:val="0"/>
              <w:spacing w:before="40" w:after="40" w:line="260" w:lineRule="exact"/>
              <w:jc w:val="center"/>
              <w:rPr>
                <w:noProof/>
                <w:sz w:val="16"/>
                <w:szCs w:val="16"/>
              </w:rPr>
            </w:pPr>
            <w:r w:rsidRPr="004E3CEE">
              <w:rPr>
                <w:noProof/>
                <w:sz w:val="16"/>
                <w:szCs w:val="16"/>
              </w:rPr>
              <w:t>80%</w:t>
            </w:r>
          </w:p>
        </w:tc>
      </w:tr>
      <w:tr w:rsidR="00C06C6E" w:rsidRPr="004E3CEE" w:rsidTr="00C06C6E">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keepNext/>
              <w:keepLines/>
              <w:autoSpaceDE w:val="0"/>
              <w:autoSpaceDN w:val="0"/>
              <w:adjustRightInd w:val="0"/>
              <w:spacing w:before="40" w:after="40" w:line="260" w:lineRule="exact"/>
              <w:rPr>
                <w:noProof/>
                <w:sz w:val="16"/>
                <w:szCs w:val="16"/>
              </w:rPr>
            </w:pPr>
            <w:r w:rsidRPr="004E3CEE">
              <w:rPr>
                <w:noProof/>
                <w:color w:val="000000"/>
                <w:sz w:val="16"/>
                <w:szCs w:val="16"/>
              </w:rPr>
              <w:t>Works and commissioning</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keepNext/>
              <w:keepLines/>
              <w:autoSpaceDE w:val="0"/>
              <w:autoSpaceDN w:val="0"/>
              <w:adjustRightInd w:val="0"/>
              <w:spacing w:before="40" w:after="40" w:line="260" w:lineRule="exact"/>
              <w:jc w:val="center"/>
              <w:rPr>
                <w:noProof/>
                <w:sz w:val="16"/>
                <w:szCs w:val="16"/>
              </w:rPr>
            </w:pPr>
            <w:r w:rsidRPr="004E3CEE">
              <w:rPr>
                <w:noProof/>
                <w:sz w:val="16"/>
                <w:szCs w:val="16"/>
              </w:rPr>
              <w:t>816</w:t>
            </w:r>
            <w:r>
              <w:rPr>
                <w:noProof/>
                <w:sz w:val="16"/>
                <w:szCs w:val="16"/>
              </w:rPr>
              <w:t>,</w:t>
            </w:r>
            <w:r w:rsidRPr="004E3CEE">
              <w:rPr>
                <w:noProof/>
                <w:sz w:val="16"/>
                <w:szCs w:val="16"/>
              </w:rPr>
              <w:t>000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keepNext/>
              <w:keepLines/>
              <w:autoSpaceDE w:val="0"/>
              <w:autoSpaceDN w:val="0"/>
              <w:adjustRightInd w:val="0"/>
              <w:spacing w:before="40" w:after="40" w:line="260" w:lineRule="exact"/>
              <w:jc w:val="center"/>
              <w:rPr>
                <w:noProof/>
                <w:sz w:val="16"/>
                <w:szCs w:val="16"/>
              </w:rPr>
            </w:pPr>
            <w:r>
              <w:rPr>
                <w:noProof/>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keepNext/>
              <w:keepLines/>
              <w:autoSpaceDE w:val="0"/>
              <w:autoSpaceDN w:val="0"/>
              <w:adjustRightInd w:val="0"/>
              <w:spacing w:before="40" w:after="40" w:line="260" w:lineRule="exact"/>
              <w:jc w:val="center"/>
              <w:rPr>
                <w:noProof/>
                <w:sz w:val="16"/>
                <w:szCs w:val="16"/>
              </w:rPr>
            </w:pPr>
            <w:r w:rsidRPr="004E3CEE">
              <w:rPr>
                <w:noProof/>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keepNext/>
              <w:keepLines/>
              <w:autoSpaceDE w:val="0"/>
              <w:autoSpaceDN w:val="0"/>
              <w:adjustRightInd w:val="0"/>
              <w:spacing w:before="40" w:after="40" w:line="260" w:lineRule="exact"/>
              <w:jc w:val="center"/>
              <w:rPr>
                <w:noProof/>
                <w:sz w:val="16"/>
                <w:szCs w:val="16"/>
              </w:rPr>
            </w:pPr>
            <w:r>
              <w:rPr>
                <w:noProof/>
                <w:sz w:val="16"/>
                <w:szCs w:val="16"/>
              </w:rPr>
              <w:t>-</w:t>
            </w:r>
          </w:p>
        </w:tc>
      </w:tr>
      <w:tr w:rsidR="00C06C6E" w:rsidRPr="004E3CEE" w:rsidTr="00C06C6E">
        <w:trPr>
          <w:trHeight w:val="389"/>
        </w:trPr>
        <w:tc>
          <w:tcPr>
            <w:tcW w:w="157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4E3CEE" w:rsidRDefault="00C06C6E" w:rsidP="00C06C6E">
            <w:pPr>
              <w:keepNext/>
              <w:keepLines/>
              <w:autoSpaceDE w:val="0"/>
              <w:autoSpaceDN w:val="0"/>
              <w:adjustRightInd w:val="0"/>
              <w:spacing w:before="40" w:after="40" w:line="260" w:lineRule="exact"/>
              <w:rPr>
                <w:b/>
                <w:noProof/>
                <w:sz w:val="16"/>
                <w:szCs w:val="16"/>
              </w:rPr>
            </w:pPr>
            <w:r w:rsidRPr="004E3CEE">
              <w:rPr>
                <w:b/>
                <w:noProof/>
                <w:sz w:val="16"/>
                <w:szCs w:val="16"/>
              </w:rPr>
              <w:t>Total</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4E3CEE" w:rsidRDefault="00C06C6E" w:rsidP="00C06C6E">
            <w:pPr>
              <w:keepNext/>
              <w:keepLines/>
              <w:autoSpaceDE w:val="0"/>
              <w:autoSpaceDN w:val="0"/>
              <w:adjustRightInd w:val="0"/>
              <w:spacing w:before="40" w:after="40" w:line="260" w:lineRule="exact"/>
              <w:jc w:val="center"/>
              <w:rPr>
                <w:b/>
                <w:noProof/>
                <w:sz w:val="16"/>
                <w:szCs w:val="16"/>
              </w:rPr>
            </w:pPr>
            <w:r w:rsidRPr="004E3CEE">
              <w:rPr>
                <w:b/>
                <w:noProof/>
                <w:sz w:val="16"/>
                <w:szCs w:val="16"/>
              </w:rPr>
              <w:t>960</w:t>
            </w:r>
            <w:r>
              <w:rPr>
                <w:b/>
                <w:noProof/>
                <w:sz w:val="16"/>
                <w:szCs w:val="16"/>
              </w:rPr>
              <w:t>,</w:t>
            </w:r>
            <w:r w:rsidRPr="004E3CEE">
              <w:rPr>
                <w:b/>
                <w:noProof/>
                <w:sz w:val="16"/>
                <w:szCs w:val="16"/>
              </w:rPr>
              <w:t>000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4E3CEE" w:rsidRDefault="00C06C6E" w:rsidP="00C06C6E">
            <w:pPr>
              <w:keepNext/>
              <w:keepLines/>
              <w:autoSpaceDE w:val="0"/>
              <w:autoSpaceDN w:val="0"/>
              <w:adjustRightInd w:val="0"/>
              <w:spacing w:before="40" w:after="40" w:line="260" w:lineRule="exact"/>
              <w:jc w:val="center"/>
              <w:rPr>
                <w:b/>
                <w:noProof/>
                <w:sz w:val="16"/>
                <w:szCs w:val="16"/>
              </w:rPr>
            </w:pPr>
            <w:r>
              <w:rPr>
                <w:b/>
                <w:noProof/>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4E3CEE" w:rsidRDefault="00C06C6E" w:rsidP="00C06C6E">
            <w:pPr>
              <w:keepNext/>
              <w:keepLines/>
              <w:autoSpaceDE w:val="0"/>
              <w:autoSpaceDN w:val="0"/>
              <w:adjustRightInd w:val="0"/>
              <w:spacing w:before="40" w:after="40" w:line="260" w:lineRule="exact"/>
              <w:jc w:val="center"/>
              <w:rPr>
                <w:b/>
                <w:noProof/>
                <w:sz w:val="16"/>
                <w:szCs w:val="16"/>
              </w:rPr>
            </w:pPr>
            <w:r>
              <w:rPr>
                <w:b/>
                <w:noProof/>
                <w:sz w:val="16"/>
                <w:szCs w:val="16"/>
              </w:rPr>
              <w:t>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4E3CEE" w:rsidRDefault="00C06C6E" w:rsidP="00C06C6E">
            <w:pPr>
              <w:keepNext/>
              <w:keepLines/>
              <w:autoSpaceDE w:val="0"/>
              <w:autoSpaceDN w:val="0"/>
              <w:adjustRightInd w:val="0"/>
              <w:spacing w:before="40" w:after="40" w:line="260" w:lineRule="exact"/>
              <w:jc w:val="center"/>
              <w:rPr>
                <w:b/>
                <w:noProof/>
                <w:sz w:val="16"/>
                <w:szCs w:val="16"/>
              </w:rPr>
            </w:pPr>
          </w:p>
        </w:tc>
      </w:tr>
    </w:tbl>
    <w:p w:rsidR="00C06C6E" w:rsidRDefault="00C06C6E" w:rsidP="00C06C6E">
      <w:pPr>
        <w:keepNext/>
        <w:keepLines/>
        <w:tabs>
          <w:tab w:val="left" w:pos="3261"/>
        </w:tabs>
        <w:autoSpaceDE w:val="0"/>
        <w:autoSpaceDN w:val="0"/>
        <w:adjustRightInd w:val="0"/>
        <w:rPr>
          <w:b/>
          <w:noProof/>
          <w:szCs w:val="22"/>
        </w:rPr>
      </w:pPr>
    </w:p>
    <w:p w:rsidR="00C06C6E" w:rsidRPr="004E3CEE" w:rsidRDefault="00C06C6E" w:rsidP="00C06C6E">
      <w:pPr>
        <w:keepNext/>
        <w:keepLines/>
        <w:tabs>
          <w:tab w:val="left" w:pos="3261"/>
        </w:tabs>
        <w:autoSpaceDE w:val="0"/>
        <w:autoSpaceDN w:val="0"/>
        <w:adjustRightInd w:val="0"/>
        <w:jc w:val="center"/>
        <w:rPr>
          <w:b/>
          <w:noProof/>
          <w:szCs w:val="22"/>
        </w:rPr>
      </w:pPr>
    </w:p>
    <w:p w:rsidR="00C06C6E" w:rsidRPr="004E3CEE" w:rsidRDefault="00C06C6E" w:rsidP="00C06C6E">
      <w:pPr>
        <w:keepNext/>
        <w:keepLines/>
        <w:tabs>
          <w:tab w:val="left" w:pos="3261"/>
        </w:tabs>
        <w:autoSpaceDE w:val="0"/>
        <w:autoSpaceDN w:val="0"/>
        <w:adjustRightInd w:val="0"/>
        <w:jc w:val="center"/>
        <w:rPr>
          <w:b/>
          <w:noProof/>
          <w:szCs w:val="22"/>
        </w:rPr>
      </w:pPr>
      <w:r w:rsidRPr="004E3CEE">
        <w:rPr>
          <w:b/>
          <w:noProof/>
          <w:szCs w:val="22"/>
        </w:rPr>
        <w:t>Project Budget Utilization (by Cost Category)</w:t>
      </w:r>
    </w:p>
    <w:p w:rsidR="00C06C6E" w:rsidRPr="004E3CEE" w:rsidRDefault="00C06C6E" w:rsidP="00C06C6E">
      <w:pPr>
        <w:keepNext/>
        <w:keepLines/>
        <w:tabs>
          <w:tab w:val="left" w:pos="3261"/>
        </w:tabs>
        <w:autoSpaceDE w:val="0"/>
        <w:autoSpaceDN w:val="0"/>
        <w:adjustRightInd w:val="0"/>
        <w:jc w:val="center"/>
        <w:rPr>
          <w:i/>
          <w:iCs/>
          <w:noProof/>
          <w:sz w:val="18"/>
          <w:szCs w:val="18"/>
        </w:rPr>
      </w:pPr>
      <w:r w:rsidRPr="004E3CEE">
        <w:rPr>
          <w:i/>
          <w:iCs/>
          <w:noProof/>
          <w:sz w:val="18"/>
          <w:szCs w:val="18"/>
        </w:rPr>
        <w:t>(In Swiss francs, as at December 31, 2014)</w:t>
      </w:r>
    </w:p>
    <w:p w:rsidR="00C06C6E" w:rsidRPr="004E3CEE" w:rsidRDefault="00C06C6E" w:rsidP="00C06C6E">
      <w:pPr>
        <w:keepNext/>
        <w:keepLines/>
        <w:autoSpaceDE w:val="0"/>
        <w:autoSpaceDN w:val="0"/>
        <w:adjustRightInd w:val="0"/>
        <w:jc w:val="center"/>
        <w:rPr>
          <w:noProof/>
        </w:rPr>
      </w:pP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838"/>
      </w:tblGrid>
      <w:tr w:rsidR="00C06C6E" w:rsidRPr="004E3CEE" w:rsidTr="00C06C6E">
        <w:trPr>
          <w:trHeight w:val="569"/>
        </w:trPr>
        <w:tc>
          <w:tcPr>
            <w:tcW w:w="18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4E3CEE" w:rsidRDefault="00C06C6E" w:rsidP="00C06C6E">
            <w:pPr>
              <w:keepNext/>
              <w:keepLines/>
              <w:autoSpaceDE w:val="0"/>
              <w:autoSpaceDN w:val="0"/>
              <w:adjustRightInd w:val="0"/>
              <w:spacing w:before="40" w:after="40" w:line="260" w:lineRule="exact"/>
              <w:ind w:left="-74" w:right="-60"/>
              <w:jc w:val="center"/>
              <w:rPr>
                <w:b/>
                <w:bCs/>
                <w:noProof/>
                <w:sz w:val="16"/>
                <w:szCs w:val="16"/>
              </w:rPr>
            </w:pPr>
            <w:r w:rsidRPr="004E3CEE">
              <w:rPr>
                <w:b/>
                <w:bCs/>
                <w:noProof/>
                <w:sz w:val="16"/>
                <w:szCs w:val="16"/>
              </w:rPr>
              <w:t>Cost Category</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4E3CEE" w:rsidRDefault="00C06C6E" w:rsidP="00C06C6E">
            <w:pPr>
              <w:keepNext/>
              <w:keepLines/>
              <w:autoSpaceDE w:val="0"/>
              <w:autoSpaceDN w:val="0"/>
              <w:adjustRightInd w:val="0"/>
              <w:spacing w:before="40" w:after="40" w:line="260" w:lineRule="exact"/>
              <w:ind w:left="-107" w:right="-108"/>
              <w:jc w:val="center"/>
              <w:rPr>
                <w:b/>
                <w:bCs/>
                <w:noProof/>
                <w:sz w:val="16"/>
                <w:szCs w:val="16"/>
              </w:rPr>
            </w:pPr>
            <w:r w:rsidRPr="004E3CEE">
              <w:rPr>
                <w:b/>
                <w:bCs/>
                <w:noProof/>
                <w:sz w:val="16"/>
                <w:szCs w:val="16"/>
              </w:rPr>
              <w:t>Project Budget</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4E3CEE" w:rsidRDefault="00C06C6E" w:rsidP="00C06C6E">
            <w:pPr>
              <w:keepNext/>
              <w:keepLines/>
              <w:autoSpaceDE w:val="0"/>
              <w:autoSpaceDN w:val="0"/>
              <w:adjustRightInd w:val="0"/>
              <w:spacing w:before="40" w:after="40" w:line="260" w:lineRule="exact"/>
              <w:ind w:left="-108"/>
              <w:jc w:val="center"/>
              <w:rPr>
                <w:b/>
                <w:bCs/>
                <w:noProof/>
                <w:sz w:val="16"/>
                <w:szCs w:val="16"/>
              </w:rPr>
            </w:pPr>
            <w:r w:rsidRPr="004E3CEE">
              <w:rPr>
                <w:b/>
                <w:bCs/>
                <w:noProof/>
                <w:sz w:val="16"/>
                <w:szCs w:val="16"/>
              </w:rPr>
              <w:t xml:space="preserve">Actual Expenditure to Date </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4E3CEE" w:rsidRDefault="00C06C6E" w:rsidP="00C06C6E">
            <w:pPr>
              <w:keepNext/>
              <w:keepLines/>
              <w:autoSpaceDE w:val="0"/>
              <w:autoSpaceDN w:val="0"/>
              <w:adjustRightInd w:val="0"/>
              <w:spacing w:before="40" w:after="40" w:line="260" w:lineRule="exact"/>
              <w:ind w:left="-109"/>
              <w:jc w:val="center"/>
              <w:rPr>
                <w:b/>
                <w:bCs/>
                <w:noProof/>
                <w:sz w:val="16"/>
                <w:szCs w:val="16"/>
              </w:rPr>
            </w:pPr>
            <w:r w:rsidRPr="004E3CEE">
              <w:rPr>
                <w:b/>
                <w:bCs/>
                <w:noProof/>
                <w:sz w:val="16"/>
                <w:szCs w:val="16"/>
              </w:rPr>
              <w:t>Actual Budget Utilization</w:t>
            </w:r>
          </w:p>
        </w:tc>
      </w:tr>
      <w:tr w:rsidR="00C06C6E" w:rsidRPr="004E3CEE" w:rsidTr="00C06C6E">
        <w:tc>
          <w:tcPr>
            <w:tcW w:w="1854"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autoSpaceDE w:val="0"/>
              <w:autoSpaceDN w:val="0"/>
              <w:adjustRightInd w:val="0"/>
              <w:spacing w:before="40" w:after="40" w:line="260" w:lineRule="exact"/>
              <w:rPr>
                <w:noProof/>
                <w:sz w:val="16"/>
                <w:szCs w:val="16"/>
              </w:rPr>
            </w:pPr>
            <w:r w:rsidRPr="004E3CEE">
              <w:rPr>
                <w:noProof/>
                <w:color w:val="000000"/>
                <w:sz w:val="16"/>
                <w:szCs w:val="16"/>
              </w:rPr>
              <w:t>Construction</w:t>
            </w:r>
            <w:r>
              <w:rPr>
                <w:noProof/>
                <w:color w:val="000000"/>
                <w:sz w:val="16"/>
                <w:szCs w:val="16"/>
              </w:rPr>
              <w:t>-related</w:t>
            </w:r>
            <w:r w:rsidRPr="004E3CEE">
              <w:rPr>
                <w:noProof/>
                <w:color w:val="000000"/>
                <w:sz w:val="16"/>
                <w:szCs w:val="16"/>
              </w:rPr>
              <w:t xml:space="preserve"> </w:t>
            </w:r>
            <w:r w:rsidRPr="004E3CEE">
              <w:rPr>
                <w:noProof/>
                <w:sz w:val="16"/>
                <w:szCs w:val="16"/>
              </w:rPr>
              <w:t>costs</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autoSpaceDE w:val="0"/>
              <w:autoSpaceDN w:val="0"/>
              <w:adjustRightInd w:val="0"/>
              <w:spacing w:before="40" w:after="40" w:line="260" w:lineRule="exact"/>
              <w:jc w:val="center"/>
              <w:rPr>
                <w:noProof/>
                <w:sz w:val="16"/>
                <w:szCs w:val="16"/>
              </w:rPr>
            </w:pPr>
            <w:r w:rsidRPr="004E3CEE">
              <w:rPr>
                <w:noProof/>
                <w:sz w:val="16"/>
                <w:szCs w:val="16"/>
              </w:rPr>
              <w:t>759</w:t>
            </w:r>
            <w:r>
              <w:rPr>
                <w:noProof/>
                <w:sz w:val="16"/>
                <w:szCs w:val="16"/>
              </w:rPr>
              <w:t>,</w:t>
            </w:r>
            <w:r w:rsidRPr="004E3CEE">
              <w:rPr>
                <w:noProof/>
                <w:sz w:val="16"/>
                <w:szCs w:val="16"/>
              </w:rPr>
              <w:t>000</w:t>
            </w:r>
          </w:p>
        </w:tc>
        <w:tc>
          <w:tcPr>
            <w:tcW w:w="1049" w:type="pct"/>
            <w:tcBorders>
              <w:top w:val="single" w:sz="4" w:space="0" w:color="auto"/>
              <w:left w:val="single" w:sz="4" w:space="0" w:color="auto"/>
              <w:bottom w:val="single" w:sz="4" w:space="0" w:color="auto"/>
              <w:right w:val="single" w:sz="4" w:space="0" w:color="auto"/>
            </w:tcBorders>
          </w:tcPr>
          <w:p w:rsidR="00C06C6E" w:rsidRPr="004E3CEE" w:rsidRDefault="00C06C6E" w:rsidP="00C06C6E">
            <w:pPr>
              <w:autoSpaceDE w:val="0"/>
              <w:autoSpaceDN w:val="0"/>
              <w:adjustRightInd w:val="0"/>
              <w:spacing w:before="40" w:after="40" w:line="260" w:lineRule="exact"/>
              <w:jc w:val="center"/>
              <w:rPr>
                <w:noProof/>
                <w:sz w:val="16"/>
                <w:szCs w:val="16"/>
              </w:rPr>
            </w:pPr>
            <w:r>
              <w:rPr>
                <w:noProof/>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tcPr>
          <w:p w:rsidR="00C06C6E" w:rsidRPr="004E3CEE" w:rsidRDefault="00C06C6E" w:rsidP="00C06C6E">
            <w:pPr>
              <w:autoSpaceDE w:val="0"/>
              <w:autoSpaceDN w:val="0"/>
              <w:adjustRightInd w:val="0"/>
              <w:spacing w:before="40" w:after="40" w:line="260" w:lineRule="exact"/>
              <w:jc w:val="center"/>
              <w:rPr>
                <w:noProof/>
                <w:sz w:val="16"/>
                <w:szCs w:val="16"/>
              </w:rPr>
            </w:pPr>
            <w:r w:rsidRPr="004E3CEE">
              <w:rPr>
                <w:noProof/>
                <w:sz w:val="16"/>
                <w:szCs w:val="16"/>
              </w:rPr>
              <w:t>0%</w:t>
            </w:r>
          </w:p>
        </w:tc>
      </w:tr>
      <w:tr w:rsidR="00C06C6E" w:rsidRPr="004E3CEE" w:rsidTr="00C06C6E">
        <w:tc>
          <w:tcPr>
            <w:tcW w:w="1854"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autoSpaceDE w:val="0"/>
              <w:autoSpaceDN w:val="0"/>
              <w:adjustRightInd w:val="0"/>
              <w:spacing w:before="40" w:after="40" w:line="260" w:lineRule="exact"/>
              <w:rPr>
                <w:noProof/>
                <w:sz w:val="16"/>
                <w:szCs w:val="16"/>
              </w:rPr>
            </w:pPr>
            <w:r>
              <w:rPr>
                <w:noProof/>
                <w:sz w:val="16"/>
                <w:szCs w:val="16"/>
              </w:rPr>
              <w:t>Honoraria</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autoSpaceDE w:val="0"/>
              <w:autoSpaceDN w:val="0"/>
              <w:adjustRightInd w:val="0"/>
              <w:spacing w:before="40" w:after="40" w:line="260" w:lineRule="exact"/>
              <w:jc w:val="center"/>
              <w:rPr>
                <w:noProof/>
                <w:sz w:val="16"/>
                <w:szCs w:val="16"/>
              </w:rPr>
            </w:pPr>
            <w:r w:rsidRPr="004E3CEE">
              <w:rPr>
                <w:noProof/>
                <w:sz w:val="16"/>
                <w:szCs w:val="16"/>
              </w:rPr>
              <w:t>144</w:t>
            </w:r>
            <w:r>
              <w:rPr>
                <w:noProof/>
                <w:sz w:val="16"/>
                <w:szCs w:val="16"/>
              </w:rPr>
              <w:t>,</w:t>
            </w:r>
            <w:r w:rsidRPr="004E3CEE">
              <w:rPr>
                <w:noProof/>
                <w:sz w:val="16"/>
                <w:szCs w:val="16"/>
              </w:rPr>
              <w:t>000</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jc w:val="center"/>
              <w:rPr>
                <w:noProof/>
                <w:sz w:val="16"/>
                <w:szCs w:val="16"/>
              </w:rPr>
            </w:pPr>
            <w:r>
              <w:rPr>
                <w:noProof/>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jc w:val="center"/>
              <w:rPr>
                <w:noProof/>
              </w:rPr>
            </w:pPr>
            <w:r w:rsidRPr="004E3CEE">
              <w:rPr>
                <w:noProof/>
                <w:sz w:val="16"/>
                <w:szCs w:val="16"/>
              </w:rPr>
              <w:t>0%</w:t>
            </w:r>
          </w:p>
        </w:tc>
      </w:tr>
      <w:tr w:rsidR="00C06C6E" w:rsidRPr="004E3CEE" w:rsidTr="00C06C6E">
        <w:tc>
          <w:tcPr>
            <w:tcW w:w="1854"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autoSpaceDE w:val="0"/>
              <w:autoSpaceDN w:val="0"/>
              <w:adjustRightInd w:val="0"/>
              <w:spacing w:before="40" w:after="40" w:line="260" w:lineRule="exact"/>
              <w:rPr>
                <w:noProof/>
                <w:sz w:val="16"/>
                <w:szCs w:val="16"/>
              </w:rPr>
            </w:pPr>
            <w:r w:rsidRPr="004E3CEE">
              <w:rPr>
                <w:noProof/>
                <w:sz w:val="16"/>
                <w:szCs w:val="16"/>
              </w:rPr>
              <w:t xml:space="preserve">Miscellaneous and </w:t>
            </w:r>
            <w:r>
              <w:rPr>
                <w:noProof/>
                <w:sz w:val="16"/>
                <w:szCs w:val="16"/>
              </w:rPr>
              <w:t xml:space="preserve"> unforeseen</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autoSpaceDE w:val="0"/>
              <w:autoSpaceDN w:val="0"/>
              <w:adjustRightInd w:val="0"/>
              <w:spacing w:before="40" w:after="40" w:line="260" w:lineRule="exact"/>
              <w:jc w:val="center"/>
              <w:rPr>
                <w:noProof/>
                <w:sz w:val="16"/>
                <w:szCs w:val="16"/>
              </w:rPr>
            </w:pPr>
            <w:r w:rsidRPr="004E3CEE">
              <w:rPr>
                <w:noProof/>
                <w:sz w:val="16"/>
                <w:szCs w:val="16"/>
              </w:rPr>
              <w:t>67</w:t>
            </w:r>
            <w:r>
              <w:rPr>
                <w:noProof/>
                <w:sz w:val="16"/>
                <w:szCs w:val="16"/>
              </w:rPr>
              <w:t>,</w:t>
            </w:r>
            <w:r w:rsidRPr="004E3CEE">
              <w:rPr>
                <w:noProof/>
                <w:sz w:val="16"/>
                <w:szCs w:val="16"/>
              </w:rPr>
              <w:t>000</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jc w:val="center"/>
              <w:rPr>
                <w:noProof/>
                <w:sz w:val="16"/>
                <w:szCs w:val="16"/>
              </w:rPr>
            </w:pPr>
            <w:r>
              <w:rPr>
                <w:noProof/>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C06C6E" w:rsidRPr="004E3CEE" w:rsidRDefault="00C06C6E" w:rsidP="00C06C6E">
            <w:pPr>
              <w:jc w:val="center"/>
              <w:rPr>
                <w:noProof/>
              </w:rPr>
            </w:pPr>
            <w:r w:rsidRPr="004E3CEE">
              <w:rPr>
                <w:noProof/>
                <w:sz w:val="16"/>
                <w:szCs w:val="16"/>
              </w:rPr>
              <w:t>0%</w:t>
            </w:r>
          </w:p>
        </w:tc>
      </w:tr>
      <w:tr w:rsidR="00C06C6E" w:rsidRPr="004E3CEE" w:rsidTr="00C06C6E">
        <w:tc>
          <w:tcPr>
            <w:tcW w:w="18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4E3CEE" w:rsidRDefault="00C06C6E" w:rsidP="00C06C6E">
            <w:pPr>
              <w:autoSpaceDE w:val="0"/>
              <w:autoSpaceDN w:val="0"/>
              <w:adjustRightInd w:val="0"/>
              <w:spacing w:before="40" w:after="40" w:line="260" w:lineRule="exact"/>
              <w:rPr>
                <w:b/>
                <w:noProof/>
                <w:sz w:val="16"/>
                <w:szCs w:val="16"/>
              </w:rPr>
            </w:pPr>
            <w:r w:rsidRPr="004E3CEE">
              <w:rPr>
                <w:b/>
                <w:noProof/>
                <w:sz w:val="16"/>
                <w:szCs w:val="16"/>
              </w:rPr>
              <w:t>Total</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4E3CEE" w:rsidRDefault="00C06C6E" w:rsidP="00C06C6E">
            <w:pPr>
              <w:autoSpaceDE w:val="0"/>
              <w:autoSpaceDN w:val="0"/>
              <w:adjustRightInd w:val="0"/>
              <w:spacing w:before="40" w:after="40" w:line="260" w:lineRule="exact"/>
              <w:jc w:val="center"/>
              <w:rPr>
                <w:b/>
                <w:noProof/>
                <w:sz w:val="16"/>
                <w:szCs w:val="16"/>
              </w:rPr>
            </w:pPr>
            <w:r w:rsidRPr="004E3CEE">
              <w:rPr>
                <w:b/>
                <w:noProof/>
                <w:sz w:val="16"/>
                <w:szCs w:val="16"/>
              </w:rPr>
              <w:t>960</w:t>
            </w:r>
            <w:r>
              <w:rPr>
                <w:b/>
                <w:noProof/>
                <w:sz w:val="16"/>
                <w:szCs w:val="16"/>
              </w:rPr>
              <w:t>,</w:t>
            </w:r>
            <w:r w:rsidRPr="004E3CEE">
              <w:rPr>
                <w:b/>
                <w:noProof/>
                <w:sz w:val="16"/>
                <w:szCs w:val="16"/>
              </w:rPr>
              <w:t>000</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4E3CEE" w:rsidRDefault="00C06C6E" w:rsidP="00C06C6E">
            <w:pPr>
              <w:autoSpaceDE w:val="0"/>
              <w:autoSpaceDN w:val="0"/>
              <w:adjustRightInd w:val="0"/>
              <w:spacing w:before="40" w:after="40" w:line="260" w:lineRule="exact"/>
              <w:jc w:val="center"/>
              <w:rPr>
                <w:b/>
                <w:noProof/>
                <w:sz w:val="16"/>
                <w:szCs w:val="16"/>
              </w:rPr>
            </w:pPr>
            <w:r w:rsidRPr="004E3CEE">
              <w:rPr>
                <w:b/>
                <w:noProof/>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4E3CEE" w:rsidRDefault="00C06C6E" w:rsidP="00C06C6E">
            <w:pPr>
              <w:autoSpaceDE w:val="0"/>
              <w:autoSpaceDN w:val="0"/>
              <w:adjustRightInd w:val="0"/>
              <w:spacing w:before="40" w:after="40" w:line="260" w:lineRule="exact"/>
              <w:jc w:val="center"/>
              <w:rPr>
                <w:b/>
                <w:noProof/>
                <w:sz w:val="16"/>
                <w:szCs w:val="16"/>
              </w:rPr>
            </w:pPr>
            <w:r>
              <w:rPr>
                <w:b/>
                <w:noProof/>
                <w:sz w:val="16"/>
                <w:szCs w:val="16"/>
              </w:rPr>
              <w:t>0%</w:t>
            </w:r>
          </w:p>
        </w:tc>
      </w:tr>
    </w:tbl>
    <w:p w:rsidR="00C06C6E" w:rsidRPr="004E3CEE" w:rsidRDefault="00C06C6E" w:rsidP="00C06C6E">
      <w:pPr>
        <w:rPr>
          <w:rFonts w:cs="Arial"/>
          <w:noProof/>
          <w:color w:val="000000"/>
          <w:sz w:val="22"/>
          <w:szCs w:val="22"/>
        </w:rPr>
      </w:pPr>
    </w:p>
    <w:p w:rsidR="00C06C6E" w:rsidRPr="004E3CEE" w:rsidRDefault="00C06C6E" w:rsidP="00C06C6E">
      <w:pPr>
        <w:rPr>
          <w:rFonts w:cs="Arial"/>
          <w:noProof/>
          <w:color w:val="000000"/>
          <w:sz w:val="22"/>
          <w:szCs w:val="22"/>
        </w:rPr>
      </w:pPr>
    </w:p>
    <w:p w:rsidR="00C06C6E" w:rsidRPr="004E3CEE" w:rsidRDefault="00C06C6E" w:rsidP="00C06C6E">
      <w:pPr>
        <w:rPr>
          <w:rFonts w:cs="Arial"/>
          <w:noProof/>
          <w:color w:val="000000"/>
          <w:sz w:val="22"/>
          <w:szCs w:val="22"/>
        </w:rPr>
      </w:pPr>
      <w:r w:rsidRPr="004E3CEE">
        <w:rPr>
          <w:rFonts w:cs="Arial"/>
          <w:noProof/>
          <w:color w:val="000000"/>
          <w:sz w:val="22"/>
          <w:szCs w:val="22"/>
        </w:rPr>
        <w:t>RISK AND MITIGATION STRATEGIES</w:t>
      </w:r>
    </w:p>
    <w:p w:rsidR="00C06C6E" w:rsidRPr="004E3CEE" w:rsidRDefault="00C06C6E" w:rsidP="00C06C6E">
      <w:pPr>
        <w:rPr>
          <w:rFonts w:cs="Arial"/>
          <w:noProof/>
          <w:color w:val="000000"/>
          <w:sz w:val="22"/>
          <w:szCs w:val="22"/>
        </w:rPr>
      </w:pP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C06C6E" w:rsidRPr="004E3CEE" w:rsidTr="005158E3">
        <w:trPr>
          <w:trHeight w:val="445"/>
          <w:tblHeader/>
          <w:jc w:val="center"/>
        </w:trPr>
        <w:tc>
          <w:tcPr>
            <w:tcW w:w="1667" w:type="pct"/>
            <w:shd w:val="clear" w:color="auto" w:fill="C6D9F1" w:themeFill="text2" w:themeFillTint="33"/>
            <w:vAlign w:val="center"/>
          </w:tcPr>
          <w:p w:rsidR="00C06C6E" w:rsidRPr="004E3CEE" w:rsidRDefault="00C06C6E" w:rsidP="00C06C6E">
            <w:pPr>
              <w:autoSpaceDE w:val="0"/>
              <w:autoSpaceDN w:val="0"/>
              <w:adjustRightInd w:val="0"/>
              <w:spacing w:before="40" w:after="40" w:line="260" w:lineRule="exact"/>
              <w:ind w:left="-74" w:right="-60"/>
              <w:jc w:val="center"/>
              <w:rPr>
                <w:b/>
                <w:bCs/>
                <w:noProof/>
                <w:sz w:val="16"/>
                <w:szCs w:val="16"/>
              </w:rPr>
            </w:pPr>
            <w:r w:rsidRPr="004E3CEE">
              <w:rPr>
                <w:b/>
                <w:bCs/>
                <w:noProof/>
                <w:sz w:val="16"/>
                <w:szCs w:val="16"/>
              </w:rPr>
              <w:t xml:space="preserve">Risk </w:t>
            </w:r>
          </w:p>
        </w:tc>
        <w:tc>
          <w:tcPr>
            <w:tcW w:w="1667" w:type="pct"/>
            <w:shd w:val="clear" w:color="auto" w:fill="C6D9F1" w:themeFill="text2" w:themeFillTint="33"/>
            <w:vAlign w:val="center"/>
          </w:tcPr>
          <w:p w:rsidR="00C06C6E" w:rsidRPr="004E3CEE" w:rsidRDefault="00C06C6E" w:rsidP="00C06C6E">
            <w:pPr>
              <w:autoSpaceDE w:val="0"/>
              <w:autoSpaceDN w:val="0"/>
              <w:adjustRightInd w:val="0"/>
              <w:spacing w:before="40" w:after="40" w:line="260" w:lineRule="exact"/>
              <w:ind w:left="-107" w:right="-108"/>
              <w:jc w:val="center"/>
              <w:rPr>
                <w:b/>
                <w:bCs/>
                <w:noProof/>
                <w:sz w:val="16"/>
                <w:szCs w:val="16"/>
              </w:rPr>
            </w:pPr>
            <w:r w:rsidRPr="004E3CEE">
              <w:rPr>
                <w:b/>
                <w:bCs/>
                <w:noProof/>
                <w:color w:val="000000"/>
                <w:sz w:val="16"/>
                <w:szCs w:val="16"/>
              </w:rPr>
              <w:t>D</w:t>
            </w:r>
            <w:r w:rsidRPr="004E3CEE">
              <w:rPr>
                <w:b/>
                <w:bCs/>
                <w:noProof/>
                <w:sz w:val="16"/>
                <w:szCs w:val="16"/>
              </w:rPr>
              <w:t>escription</w:t>
            </w:r>
          </w:p>
        </w:tc>
        <w:tc>
          <w:tcPr>
            <w:tcW w:w="1666" w:type="pct"/>
            <w:shd w:val="clear" w:color="auto" w:fill="C6D9F1" w:themeFill="text2" w:themeFillTint="33"/>
            <w:vAlign w:val="center"/>
          </w:tcPr>
          <w:p w:rsidR="00C06C6E" w:rsidRPr="004E3CEE" w:rsidRDefault="00C06C6E" w:rsidP="00C06C6E">
            <w:pPr>
              <w:autoSpaceDE w:val="0"/>
              <w:autoSpaceDN w:val="0"/>
              <w:adjustRightInd w:val="0"/>
              <w:spacing w:before="40" w:after="40" w:line="260" w:lineRule="exact"/>
              <w:ind w:left="-109"/>
              <w:jc w:val="center"/>
              <w:rPr>
                <w:b/>
                <w:bCs/>
                <w:noProof/>
                <w:sz w:val="16"/>
                <w:szCs w:val="16"/>
              </w:rPr>
            </w:pPr>
            <w:r w:rsidRPr="004E3CEE">
              <w:rPr>
                <w:b/>
                <w:bCs/>
                <w:noProof/>
                <w:sz w:val="16"/>
                <w:szCs w:val="16"/>
              </w:rPr>
              <w:t>Risk Mitigation</w:t>
            </w:r>
          </w:p>
        </w:tc>
      </w:tr>
      <w:tr w:rsidR="00C06C6E" w:rsidRPr="004E3CEE" w:rsidTr="00C06C6E">
        <w:trPr>
          <w:trHeight w:val="776"/>
          <w:jc w:val="center"/>
        </w:trPr>
        <w:tc>
          <w:tcPr>
            <w:tcW w:w="1667" w:type="pct"/>
            <w:shd w:val="clear" w:color="auto" w:fill="auto"/>
          </w:tcPr>
          <w:p w:rsidR="00C06C6E" w:rsidRPr="004E3CEE" w:rsidRDefault="00C06C6E" w:rsidP="00C06C6E">
            <w:pPr>
              <w:autoSpaceDE w:val="0"/>
              <w:autoSpaceDN w:val="0"/>
              <w:adjustRightInd w:val="0"/>
              <w:spacing w:before="40" w:after="40"/>
              <w:rPr>
                <w:noProof/>
                <w:sz w:val="16"/>
                <w:szCs w:val="16"/>
              </w:rPr>
            </w:pPr>
            <w:r w:rsidRPr="004E3CEE">
              <w:rPr>
                <w:noProof/>
                <w:color w:val="000000"/>
                <w:sz w:val="16"/>
                <w:szCs w:val="16"/>
              </w:rPr>
              <w:t>Delay in starting the project</w:t>
            </w:r>
          </w:p>
        </w:tc>
        <w:tc>
          <w:tcPr>
            <w:tcW w:w="1667" w:type="pct"/>
            <w:shd w:val="clear" w:color="auto" w:fill="auto"/>
          </w:tcPr>
          <w:p w:rsidR="00C06C6E" w:rsidRPr="004E3CEE" w:rsidRDefault="00C06C6E" w:rsidP="00C06C6E">
            <w:pPr>
              <w:autoSpaceDE w:val="0"/>
              <w:autoSpaceDN w:val="0"/>
              <w:adjustRightInd w:val="0"/>
              <w:spacing w:before="40" w:after="40"/>
              <w:rPr>
                <w:noProof/>
                <w:sz w:val="16"/>
                <w:szCs w:val="16"/>
              </w:rPr>
            </w:pPr>
            <w:r>
              <w:rPr>
                <w:noProof/>
                <w:color w:val="000000"/>
                <w:sz w:val="16"/>
                <w:szCs w:val="16"/>
              </w:rPr>
              <w:t>Start of  project</w:t>
            </w:r>
            <w:r w:rsidRPr="004E3CEE">
              <w:rPr>
                <w:noProof/>
                <w:color w:val="000000"/>
                <w:sz w:val="16"/>
                <w:szCs w:val="16"/>
              </w:rPr>
              <w:t xml:space="preserve"> delayed by </w:t>
            </w:r>
            <w:r>
              <w:rPr>
                <w:noProof/>
                <w:color w:val="000000"/>
                <w:sz w:val="16"/>
                <w:szCs w:val="16"/>
              </w:rPr>
              <w:t>six</w:t>
            </w:r>
            <w:r w:rsidRPr="004E3CEE">
              <w:rPr>
                <w:noProof/>
                <w:color w:val="000000"/>
                <w:sz w:val="16"/>
                <w:szCs w:val="16"/>
              </w:rPr>
              <w:t xml:space="preserve"> months to </w:t>
            </w:r>
            <w:r>
              <w:rPr>
                <w:noProof/>
                <w:color w:val="000000"/>
                <w:sz w:val="16"/>
                <w:szCs w:val="16"/>
              </w:rPr>
              <w:t>one</w:t>
            </w:r>
            <w:r w:rsidRPr="004E3CEE">
              <w:rPr>
                <w:noProof/>
                <w:color w:val="000000"/>
                <w:sz w:val="16"/>
                <w:szCs w:val="16"/>
              </w:rPr>
              <w:t xml:space="preserve"> year as a result of the </w:t>
            </w:r>
            <w:r>
              <w:rPr>
                <w:noProof/>
                <w:color w:val="000000"/>
                <w:sz w:val="16"/>
                <w:szCs w:val="16"/>
              </w:rPr>
              <w:t>delay in completion</w:t>
            </w:r>
            <w:r w:rsidRPr="004E3CEE">
              <w:rPr>
                <w:noProof/>
                <w:color w:val="000000"/>
                <w:sz w:val="16"/>
                <w:szCs w:val="16"/>
              </w:rPr>
              <w:t xml:space="preserve"> of the </w:t>
            </w:r>
            <w:r>
              <w:rPr>
                <w:noProof/>
                <w:color w:val="000000"/>
                <w:sz w:val="16"/>
                <w:szCs w:val="16"/>
              </w:rPr>
              <w:t>new WIPO Conference Hall</w:t>
            </w:r>
          </w:p>
        </w:tc>
        <w:tc>
          <w:tcPr>
            <w:tcW w:w="1666" w:type="pct"/>
            <w:shd w:val="clear" w:color="auto" w:fill="auto"/>
          </w:tcPr>
          <w:p w:rsidR="00C06C6E" w:rsidRPr="004E3CEE" w:rsidRDefault="00C06C6E" w:rsidP="00C06C6E">
            <w:pPr>
              <w:autoSpaceDE w:val="0"/>
              <w:autoSpaceDN w:val="0"/>
              <w:adjustRightInd w:val="0"/>
              <w:spacing w:before="40" w:after="40"/>
              <w:rPr>
                <w:noProof/>
                <w:sz w:val="16"/>
                <w:szCs w:val="16"/>
              </w:rPr>
            </w:pPr>
            <w:r w:rsidRPr="004E3CEE">
              <w:rPr>
                <w:noProof/>
                <w:color w:val="000000"/>
                <w:sz w:val="16"/>
                <w:szCs w:val="16"/>
              </w:rPr>
              <w:t>Shift the project</w:t>
            </w:r>
            <w:r>
              <w:rPr>
                <w:noProof/>
                <w:color w:val="000000"/>
                <w:sz w:val="16"/>
                <w:szCs w:val="16"/>
              </w:rPr>
              <w:t>’</w:t>
            </w:r>
            <w:r w:rsidRPr="004E3CEE">
              <w:rPr>
                <w:noProof/>
                <w:color w:val="000000"/>
                <w:sz w:val="16"/>
                <w:szCs w:val="16"/>
              </w:rPr>
              <w:t>s general schedule</w:t>
            </w:r>
          </w:p>
        </w:tc>
      </w:tr>
      <w:tr w:rsidR="00C06C6E" w:rsidRPr="004E3CEE" w:rsidTr="00C06C6E">
        <w:trPr>
          <w:trHeight w:val="776"/>
          <w:jc w:val="center"/>
        </w:trPr>
        <w:tc>
          <w:tcPr>
            <w:tcW w:w="1667" w:type="pct"/>
            <w:shd w:val="clear" w:color="auto" w:fill="auto"/>
          </w:tcPr>
          <w:p w:rsidR="00C06C6E" w:rsidRPr="004E3CEE" w:rsidRDefault="00C06C6E" w:rsidP="00C06C6E">
            <w:pPr>
              <w:autoSpaceDE w:val="0"/>
              <w:autoSpaceDN w:val="0"/>
              <w:adjustRightInd w:val="0"/>
              <w:spacing w:before="40" w:after="40"/>
              <w:rPr>
                <w:noProof/>
                <w:sz w:val="16"/>
                <w:szCs w:val="16"/>
              </w:rPr>
            </w:pPr>
            <w:r w:rsidRPr="004E3CEE">
              <w:rPr>
                <w:noProof/>
                <w:color w:val="000000"/>
                <w:sz w:val="16"/>
                <w:szCs w:val="16"/>
              </w:rPr>
              <w:t>Delay in start</w:t>
            </w:r>
            <w:r>
              <w:rPr>
                <w:noProof/>
                <w:color w:val="000000"/>
                <w:sz w:val="16"/>
                <w:szCs w:val="16"/>
              </w:rPr>
              <w:t>ing</w:t>
            </w:r>
            <w:r w:rsidRPr="004E3CEE">
              <w:rPr>
                <w:noProof/>
                <w:color w:val="000000"/>
                <w:sz w:val="16"/>
                <w:szCs w:val="16"/>
              </w:rPr>
              <w:t xml:space="preserve"> </w:t>
            </w:r>
            <w:r>
              <w:rPr>
                <w:noProof/>
                <w:color w:val="000000"/>
                <w:sz w:val="16"/>
                <w:szCs w:val="16"/>
              </w:rPr>
              <w:t>the</w:t>
            </w:r>
            <w:r w:rsidRPr="004E3CEE">
              <w:rPr>
                <w:noProof/>
                <w:color w:val="000000"/>
                <w:sz w:val="16"/>
                <w:szCs w:val="16"/>
              </w:rPr>
              <w:t xml:space="preserve"> works</w:t>
            </w:r>
          </w:p>
        </w:tc>
        <w:tc>
          <w:tcPr>
            <w:tcW w:w="1667" w:type="pct"/>
            <w:shd w:val="clear" w:color="auto" w:fill="auto"/>
          </w:tcPr>
          <w:p w:rsidR="00C06C6E" w:rsidRPr="004E3CEE" w:rsidRDefault="00C06C6E" w:rsidP="00C06C6E">
            <w:pPr>
              <w:autoSpaceDE w:val="0"/>
              <w:autoSpaceDN w:val="0"/>
              <w:adjustRightInd w:val="0"/>
              <w:spacing w:before="40" w:after="40"/>
              <w:rPr>
                <w:noProof/>
                <w:sz w:val="16"/>
                <w:szCs w:val="16"/>
              </w:rPr>
            </w:pPr>
            <w:r w:rsidRPr="004E3CEE">
              <w:rPr>
                <w:noProof/>
                <w:color w:val="000000"/>
                <w:sz w:val="16"/>
                <w:szCs w:val="16"/>
              </w:rPr>
              <w:t>Uncertainty in internal dec</w:t>
            </w:r>
            <w:r>
              <w:rPr>
                <w:noProof/>
                <w:color w:val="000000"/>
                <w:sz w:val="16"/>
                <w:szCs w:val="16"/>
              </w:rPr>
              <w:t>isions regarding the options for</w:t>
            </w:r>
            <w:r w:rsidRPr="004E3CEE">
              <w:rPr>
                <w:noProof/>
                <w:color w:val="000000"/>
                <w:sz w:val="16"/>
                <w:szCs w:val="16"/>
              </w:rPr>
              <w:t xml:space="preserve"> installing machines and </w:t>
            </w:r>
            <w:r>
              <w:rPr>
                <w:noProof/>
                <w:color w:val="000000"/>
                <w:sz w:val="16"/>
                <w:szCs w:val="16"/>
              </w:rPr>
              <w:t>staff</w:t>
            </w:r>
            <w:r w:rsidRPr="004E3CEE">
              <w:rPr>
                <w:noProof/>
                <w:color w:val="000000"/>
                <w:sz w:val="16"/>
                <w:szCs w:val="16"/>
              </w:rPr>
              <w:t xml:space="preserve"> in the planned </w:t>
            </w:r>
            <w:r>
              <w:rPr>
                <w:noProof/>
                <w:color w:val="000000"/>
                <w:sz w:val="16"/>
                <w:szCs w:val="16"/>
              </w:rPr>
              <w:t xml:space="preserve"> printshop</w:t>
            </w:r>
            <w:r w:rsidRPr="004E3CEE">
              <w:rPr>
                <w:noProof/>
                <w:color w:val="000000"/>
                <w:sz w:val="16"/>
                <w:szCs w:val="16"/>
              </w:rPr>
              <w:t xml:space="preserve"> for a better use of the space by the units concerned</w:t>
            </w:r>
          </w:p>
        </w:tc>
        <w:tc>
          <w:tcPr>
            <w:tcW w:w="1666" w:type="pct"/>
            <w:shd w:val="clear" w:color="auto" w:fill="auto"/>
          </w:tcPr>
          <w:p w:rsidR="00C06C6E" w:rsidRPr="004E3CEE" w:rsidRDefault="00C06C6E" w:rsidP="00C06C6E">
            <w:pPr>
              <w:autoSpaceDE w:val="0"/>
              <w:autoSpaceDN w:val="0"/>
              <w:adjustRightInd w:val="0"/>
              <w:spacing w:before="40" w:after="40"/>
              <w:rPr>
                <w:noProof/>
                <w:sz w:val="16"/>
                <w:szCs w:val="16"/>
              </w:rPr>
            </w:pPr>
            <w:r w:rsidRPr="004E3CEE">
              <w:rPr>
                <w:noProof/>
                <w:color w:val="000000"/>
                <w:sz w:val="16"/>
                <w:szCs w:val="16"/>
              </w:rPr>
              <w:t>Review the necessary surface area</w:t>
            </w:r>
          </w:p>
        </w:tc>
      </w:tr>
      <w:tr w:rsidR="00C06C6E" w:rsidRPr="004E3CEE" w:rsidTr="00C06C6E">
        <w:trPr>
          <w:trHeight w:val="776"/>
          <w:jc w:val="center"/>
        </w:trPr>
        <w:tc>
          <w:tcPr>
            <w:tcW w:w="1667" w:type="pct"/>
            <w:shd w:val="clear" w:color="auto" w:fill="auto"/>
          </w:tcPr>
          <w:p w:rsidR="00C06C6E" w:rsidRPr="004E3CEE" w:rsidRDefault="00C06C6E" w:rsidP="00C06C6E">
            <w:pPr>
              <w:autoSpaceDE w:val="0"/>
              <w:autoSpaceDN w:val="0"/>
              <w:adjustRightInd w:val="0"/>
              <w:spacing w:before="40" w:after="40"/>
              <w:rPr>
                <w:noProof/>
                <w:sz w:val="16"/>
                <w:szCs w:val="16"/>
              </w:rPr>
            </w:pPr>
            <w:r w:rsidRPr="004E3CEE">
              <w:rPr>
                <w:noProof/>
                <w:color w:val="000000"/>
                <w:sz w:val="16"/>
                <w:szCs w:val="16"/>
              </w:rPr>
              <w:t xml:space="preserve">Delay in </w:t>
            </w:r>
            <w:r>
              <w:rPr>
                <w:noProof/>
                <w:color w:val="000000"/>
                <w:sz w:val="16"/>
                <w:szCs w:val="16"/>
              </w:rPr>
              <w:t>finishing</w:t>
            </w:r>
            <w:r w:rsidRPr="004E3CEE">
              <w:rPr>
                <w:noProof/>
                <w:color w:val="000000"/>
                <w:sz w:val="16"/>
                <w:szCs w:val="16"/>
              </w:rPr>
              <w:t xml:space="preserve"> the works</w:t>
            </w:r>
          </w:p>
        </w:tc>
        <w:tc>
          <w:tcPr>
            <w:tcW w:w="1667" w:type="pct"/>
            <w:shd w:val="clear" w:color="auto" w:fill="auto"/>
          </w:tcPr>
          <w:p w:rsidR="00C06C6E" w:rsidRPr="004E3CEE" w:rsidRDefault="00C06C6E" w:rsidP="00C06C6E">
            <w:pPr>
              <w:autoSpaceDE w:val="0"/>
              <w:autoSpaceDN w:val="0"/>
              <w:adjustRightInd w:val="0"/>
              <w:spacing w:before="40" w:after="40"/>
              <w:rPr>
                <w:noProof/>
                <w:sz w:val="16"/>
                <w:szCs w:val="16"/>
              </w:rPr>
            </w:pPr>
            <w:r w:rsidRPr="004E3CEE">
              <w:rPr>
                <w:noProof/>
                <w:color w:val="000000"/>
                <w:sz w:val="16"/>
                <w:szCs w:val="16"/>
              </w:rPr>
              <w:t>Technical problem discovered during or caused by the dismantling of existing installations</w:t>
            </w:r>
          </w:p>
        </w:tc>
        <w:tc>
          <w:tcPr>
            <w:tcW w:w="1666" w:type="pct"/>
            <w:shd w:val="clear" w:color="auto" w:fill="auto"/>
          </w:tcPr>
          <w:p w:rsidR="00C06C6E" w:rsidRPr="004E3CEE" w:rsidRDefault="00C06C6E" w:rsidP="00C06C6E">
            <w:pPr>
              <w:autoSpaceDE w:val="0"/>
              <w:autoSpaceDN w:val="0"/>
              <w:adjustRightInd w:val="0"/>
              <w:spacing w:before="40" w:after="40"/>
              <w:rPr>
                <w:noProof/>
                <w:sz w:val="16"/>
                <w:szCs w:val="16"/>
              </w:rPr>
            </w:pPr>
            <w:r w:rsidRPr="004E3CEE">
              <w:rPr>
                <w:noProof/>
                <w:color w:val="000000"/>
                <w:sz w:val="16"/>
                <w:szCs w:val="16"/>
              </w:rPr>
              <w:t xml:space="preserve">Carry out </w:t>
            </w:r>
            <w:r>
              <w:rPr>
                <w:noProof/>
                <w:color w:val="000000"/>
                <w:sz w:val="16"/>
                <w:szCs w:val="16"/>
              </w:rPr>
              <w:t>any</w:t>
            </w:r>
            <w:r w:rsidRPr="004E3CEE">
              <w:rPr>
                <w:noProof/>
                <w:color w:val="000000"/>
                <w:sz w:val="16"/>
                <w:szCs w:val="16"/>
              </w:rPr>
              <w:t xml:space="preserve"> repairs and updat</w:t>
            </w:r>
            <w:r>
              <w:rPr>
                <w:noProof/>
                <w:color w:val="000000"/>
                <w:sz w:val="16"/>
                <w:szCs w:val="16"/>
              </w:rPr>
              <w:t xml:space="preserve">e </w:t>
            </w:r>
            <w:r w:rsidRPr="004E3CEE">
              <w:rPr>
                <w:noProof/>
                <w:color w:val="000000"/>
                <w:sz w:val="16"/>
                <w:szCs w:val="16"/>
              </w:rPr>
              <w:t xml:space="preserve">the works </w:t>
            </w:r>
            <w:r>
              <w:rPr>
                <w:noProof/>
                <w:color w:val="000000"/>
                <w:sz w:val="16"/>
                <w:szCs w:val="16"/>
              </w:rPr>
              <w:t xml:space="preserve"> timetable as</w:t>
            </w:r>
            <w:r w:rsidRPr="004E3CEE">
              <w:rPr>
                <w:noProof/>
                <w:color w:val="000000"/>
                <w:sz w:val="16"/>
                <w:szCs w:val="16"/>
              </w:rPr>
              <w:t xml:space="preserve"> necessary</w:t>
            </w:r>
          </w:p>
        </w:tc>
      </w:tr>
      <w:tr w:rsidR="00C06C6E" w:rsidRPr="004E3CEE" w:rsidTr="00C06C6E">
        <w:trPr>
          <w:trHeight w:val="776"/>
          <w:jc w:val="center"/>
        </w:trPr>
        <w:tc>
          <w:tcPr>
            <w:tcW w:w="1667" w:type="pct"/>
            <w:shd w:val="clear" w:color="auto" w:fill="auto"/>
          </w:tcPr>
          <w:p w:rsidR="00C06C6E" w:rsidRPr="004E3CEE" w:rsidRDefault="00C06C6E" w:rsidP="00C06C6E">
            <w:pPr>
              <w:autoSpaceDE w:val="0"/>
              <w:autoSpaceDN w:val="0"/>
              <w:adjustRightInd w:val="0"/>
              <w:spacing w:before="40" w:after="40"/>
              <w:rPr>
                <w:noProof/>
                <w:sz w:val="16"/>
                <w:szCs w:val="16"/>
              </w:rPr>
            </w:pPr>
            <w:r w:rsidRPr="004E3CEE">
              <w:rPr>
                <w:noProof/>
                <w:color w:val="000000"/>
                <w:sz w:val="16"/>
                <w:szCs w:val="16"/>
              </w:rPr>
              <w:t>Financial risk</w:t>
            </w:r>
          </w:p>
        </w:tc>
        <w:tc>
          <w:tcPr>
            <w:tcW w:w="1667" w:type="pct"/>
            <w:shd w:val="clear" w:color="auto" w:fill="auto"/>
          </w:tcPr>
          <w:p w:rsidR="00C06C6E" w:rsidRPr="004E3CEE" w:rsidRDefault="00C06C6E" w:rsidP="00C06C6E">
            <w:pPr>
              <w:autoSpaceDE w:val="0"/>
              <w:autoSpaceDN w:val="0"/>
              <w:adjustRightInd w:val="0"/>
              <w:spacing w:before="40" w:after="40"/>
              <w:rPr>
                <w:noProof/>
                <w:sz w:val="16"/>
                <w:szCs w:val="16"/>
              </w:rPr>
            </w:pPr>
            <w:r w:rsidRPr="004E3CEE">
              <w:rPr>
                <w:noProof/>
                <w:color w:val="000000"/>
                <w:sz w:val="16"/>
                <w:szCs w:val="16"/>
              </w:rPr>
              <w:t xml:space="preserve">Cost of a partial temporary </w:t>
            </w:r>
            <w:r>
              <w:rPr>
                <w:noProof/>
                <w:color w:val="000000"/>
                <w:sz w:val="16"/>
                <w:szCs w:val="16"/>
              </w:rPr>
              <w:t>relocation of</w:t>
            </w:r>
            <w:r w:rsidRPr="004E3CEE">
              <w:rPr>
                <w:noProof/>
                <w:color w:val="000000"/>
                <w:sz w:val="16"/>
                <w:szCs w:val="16"/>
              </w:rPr>
              <w:t xml:space="preserve"> </w:t>
            </w:r>
            <w:r>
              <w:rPr>
                <w:noProof/>
                <w:color w:val="000000"/>
                <w:sz w:val="16"/>
                <w:szCs w:val="16"/>
              </w:rPr>
              <w:t xml:space="preserve"> printshop</w:t>
            </w:r>
            <w:r w:rsidRPr="004E3CEE">
              <w:rPr>
                <w:noProof/>
                <w:color w:val="000000"/>
                <w:sz w:val="16"/>
                <w:szCs w:val="16"/>
              </w:rPr>
              <w:t xml:space="preserve"> and document</w:t>
            </w:r>
            <w:r>
              <w:rPr>
                <w:noProof/>
                <w:color w:val="000000"/>
                <w:sz w:val="16"/>
                <w:szCs w:val="16"/>
              </w:rPr>
              <w:t>s</w:t>
            </w:r>
            <w:r w:rsidRPr="004E3CEE">
              <w:rPr>
                <w:noProof/>
                <w:color w:val="000000"/>
                <w:sz w:val="16"/>
                <w:szCs w:val="16"/>
              </w:rPr>
              <w:t xml:space="preserve"> staff </w:t>
            </w:r>
          </w:p>
        </w:tc>
        <w:tc>
          <w:tcPr>
            <w:tcW w:w="1666" w:type="pct"/>
            <w:shd w:val="clear" w:color="auto" w:fill="auto"/>
          </w:tcPr>
          <w:p w:rsidR="00C06C6E" w:rsidRPr="004E3CEE" w:rsidRDefault="00C06C6E">
            <w:pPr>
              <w:autoSpaceDE w:val="0"/>
              <w:autoSpaceDN w:val="0"/>
              <w:adjustRightInd w:val="0"/>
              <w:spacing w:before="40" w:after="40"/>
              <w:rPr>
                <w:noProof/>
                <w:sz w:val="16"/>
                <w:szCs w:val="16"/>
              </w:rPr>
            </w:pPr>
            <w:r w:rsidRPr="004E3CEE">
              <w:rPr>
                <w:noProof/>
                <w:color w:val="000000"/>
                <w:sz w:val="16"/>
                <w:szCs w:val="16"/>
              </w:rPr>
              <w:t xml:space="preserve">Use the </w:t>
            </w:r>
            <w:r>
              <w:rPr>
                <w:noProof/>
                <w:color w:val="000000"/>
                <w:sz w:val="16"/>
                <w:szCs w:val="16"/>
              </w:rPr>
              <w:t xml:space="preserve">“miscellaneous and unforeseen” provision in the approved budget </w:t>
            </w:r>
          </w:p>
        </w:tc>
      </w:tr>
    </w:tbl>
    <w:p w:rsidR="00C06C6E" w:rsidRPr="004E3CEE" w:rsidRDefault="00C06C6E" w:rsidP="00C06C6E">
      <w:pPr>
        <w:rPr>
          <w:rFonts w:cs="Arial"/>
          <w:noProof/>
          <w:color w:val="000000"/>
          <w:sz w:val="22"/>
          <w:szCs w:val="22"/>
        </w:rPr>
      </w:pPr>
    </w:p>
    <w:p w:rsidR="00C06C6E" w:rsidRPr="004E3CEE" w:rsidRDefault="00C06C6E" w:rsidP="00C06C6E">
      <w:pPr>
        <w:rPr>
          <w:rFonts w:cs="Arial"/>
          <w:noProof/>
          <w:color w:val="000000"/>
          <w:sz w:val="22"/>
          <w:szCs w:val="22"/>
        </w:rPr>
      </w:pPr>
    </w:p>
    <w:p w:rsidR="00C06C6E" w:rsidRPr="004E3CEE" w:rsidRDefault="00C06C6E" w:rsidP="00C06C6E">
      <w:pPr>
        <w:rPr>
          <w:rFonts w:cs="Arial"/>
          <w:noProof/>
          <w:color w:val="000000"/>
          <w:sz w:val="22"/>
          <w:szCs w:val="22"/>
        </w:rPr>
      </w:pPr>
      <w:r w:rsidRPr="004E3CEE">
        <w:rPr>
          <w:rFonts w:cs="Arial"/>
          <w:noProof/>
          <w:color w:val="000000"/>
          <w:sz w:val="22"/>
          <w:szCs w:val="22"/>
        </w:rPr>
        <w:t>PROJECT TIMELINE BY MILESTONE</w:t>
      </w:r>
    </w:p>
    <w:p w:rsidR="00C06C6E" w:rsidRPr="004E3CEE" w:rsidRDefault="00C06C6E" w:rsidP="00C06C6E">
      <w:pPr>
        <w:autoSpaceDE w:val="0"/>
        <w:autoSpaceDN w:val="0"/>
        <w:jc w:val="both"/>
        <w:rPr>
          <w:noProof/>
        </w:rPr>
      </w:pPr>
    </w:p>
    <w:p w:rsidR="00C06C6E" w:rsidRPr="004E3CEE" w:rsidRDefault="00C06C6E" w:rsidP="00C06C6E">
      <w:pPr>
        <w:autoSpaceDE w:val="0"/>
        <w:autoSpaceDN w:val="0"/>
        <w:jc w:val="both"/>
        <w:rPr>
          <w:noProof/>
        </w:rPr>
      </w:pPr>
    </w:p>
    <w:tbl>
      <w:tblPr>
        <w:tblW w:w="9520" w:type="dxa"/>
        <w:jc w:val="center"/>
        <w:tblLook w:val="04A0" w:firstRow="1" w:lastRow="0" w:firstColumn="1" w:lastColumn="0" w:noHBand="0" w:noVBand="1"/>
      </w:tblPr>
      <w:tblGrid>
        <w:gridCol w:w="1840"/>
        <w:gridCol w:w="480"/>
        <w:gridCol w:w="480"/>
        <w:gridCol w:w="480"/>
        <w:gridCol w:w="480"/>
        <w:gridCol w:w="480"/>
        <w:gridCol w:w="480"/>
        <w:gridCol w:w="480"/>
        <w:gridCol w:w="480"/>
        <w:gridCol w:w="480"/>
        <w:gridCol w:w="480"/>
        <w:gridCol w:w="480"/>
        <w:gridCol w:w="480"/>
        <w:gridCol w:w="480"/>
        <w:gridCol w:w="480"/>
        <w:gridCol w:w="480"/>
        <w:gridCol w:w="480"/>
      </w:tblGrid>
      <w:tr w:rsidR="00C06C6E" w:rsidRPr="004E3CEE" w:rsidTr="00C06C6E">
        <w:trPr>
          <w:trHeight w:val="270"/>
          <w:jc w:val="center"/>
        </w:trPr>
        <w:tc>
          <w:tcPr>
            <w:tcW w:w="1840" w:type="dxa"/>
            <w:tcBorders>
              <w:top w:val="nil"/>
              <w:left w:val="nil"/>
              <w:bottom w:val="nil"/>
              <w:right w:val="nil"/>
            </w:tcBorders>
            <w:shd w:val="clear" w:color="auto" w:fill="auto"/>
            <w:noWrap/>
            <w:vAlign w:val="bottom"/>
            <w:hideMark/>
          </w:tcPr>
          <w:p w:rsidR="00C06C6E" w:rsidRPr="003962D0" w:rsidRDefault="00C06C6E" w:rsidP="00C06C6E">
            <w:pPr>
              <w:rPr>
                <w:rFonts w:cs="Arial"/>
                <w:noProof/>
                <w:color w:val="000000"/>
                <w:sz w:val="16"/>
                <w:szCs w:val="16"/>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C06C6E" w:rsidRPr="003962D0" w:rsidRDefault="00C06C6E" w:rsidP="00C06C6E">
            <w:pPr>
              <w:jc w:val="center"/>
              <w:rPr>
                <w:rFonts w:cs="Arial"/>
                <w:b/>
                <w:bCs/>
                <w:noProof/>
                <w:color w:val="000000"/>
                <w:sz w:val="16"/>
                <w:szCs w:val="16"/>
              </w:rPr>
            </w:pPr>
            <w:r w:rsidRPr="003962D0">
              <w:rPr>
                <w:rFonts w:cs="Arial"/>
                <w:b/>
                <w:bCs/>
                <w:noProof/>
                <w:color w:val="000000"/>
                <w:sz w:val="16"/>
                <w:szCs w:val="16"/>
              </w:rPr>
              <w:t>2014</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06C6E" w:rsidRPr="003962D0" w:rsidRDefault="00C06C6E" w:rsidP="00C06C6E">
            <w:pPr>
              <w:jc w:val="center"/>
              <w:rPr>
                <w:rFonts w:cs="Arial"/>
                <w:b/>
                <w:bCs/>
                <w:noProof/>
                <w:color w:val="000000"/>
                <w:sz w:val="16"/>
                <w:szCs w:val="16"/>
              </w:rPr>
            </w:pPr>
            <w:r w:rsidRPr="003962D0">
              <w:rPr>
                <w:rFonts w:cs="Arial"/>
                <w:b/>
                <w:bCs/>
                <w:noProof/>
                <w:color w:val="000000"/>
                <w:sz w:val="16"/>
                <w:szCs w:val="16"/>
              </w:rPr>
              <w:t>2015</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06C6E" w:rsidRPr="003962D0" w:rsidRDefault="00C06C6E" w:rsidP="00C06C6E">
            <w:pPr>
              <w:jc w:val="center"/>
              <w:rPr>
                <w:rFonts w:cs="Arial"/>
                <w:b/>
                <w:bCs/>
                <w:noProof/>
                <w:color w:val="000000"/>
                <w:sz w:val="16"/>
                <w:szCs w:val="16"/>
              </w:rPr>
            </w:pPr>
            <w:r w:rsidRPr="003962D0">
              <w:rPr>
                <w:rFonts w:cs="Arial"/>
                <w:b/>
                <w:bCs/>
                <w:noProof/>
                <w:color w:val="000000"/>
                <w:sz w:val="16"/>
                <w:szCs w:val="16"/>
              </w:rPr>
              <w:t>2016</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06C6E" w:rsidRPr="003962D0" w:rsidRDefault="00C06C6E" w:rsidP="00C06C6E">
            <w:pPr>
              <w:jc w:val="center"/>
              <w:rPr>
                <w:rFonts w:cs="Arial"/>
                <w:b/>
                <w:bCs/>
                <w:noProof/>
                <w:color w:val="000000"/>
                <w:sz w:val="16"/>
                <w:szCs w:val="16"/>
              </w:rPr>
            </w:pPr>
            <w:r w:rsidRPr="003962D0">
              <w:rPr>
                <w:rFonts w:cs="Arial"/>
                <w:b/>
                <w:bCs/>
                <w:noProof/>
                <w:color w:val="000000"/>
                <w:sz w:val="16"/>
                <w:szCs w:val="16"/>
              </w:rPr>
              <w:t>2017</w:t>
            </w:r>
          </w:p>
        </w:tc>
      </w:tr>
      <w:tr w:rsidR="00C06C6E" w:rsidRPr="004E3CEE" w:rsidTr="00C06C6E">
        <w:trPr>
          <w:trHeight w:val="375"/>
          <w:jc w:val="center"/>
        </w:trPr>
        <w:tc>
          <w:tcPr>
            <w:tcW w:w="1840"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C06C6E" w:rsidRPr="003962D0" w:rsidRDefault="00C06C6E" w:rsidP="00C06C6E">
            <w:pPr>
              <w:rPr>
                <w:rFonts w:cs="Arial"/>
                <w:b/>
                <w:bCs/>
                <w:noProof/>
                <w:color w:val="000000"/>
                <w:sz w:val="16"/>
                <w:szCs w:val="16"/>
              </w:rPr>
            </w:pPr>
            <w:r w:rsidRPr="003962D0">
              <w:rPr>
                <w:rFonts w:cs="Arial"/>
                <w:b/>
                <w:bCs/>
                <w:noProof/>
                <w:color w:val="000000"/>
                <w:sz w:val="16"/>
                <w:szCs w:val="16"/>
              </w:rPr>
              <w:t>Key Milestone</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noProof/>
                <w:color w:val="000000"/>
                <w:sz w:val="16"/>
                <w:szCs w:val="16"/>
              </w:rPr>
            </w:pPr>
            <w:r w:rsidRPr="003962D0">
              <w:rPr>
                <w:rFonts w:cs="Arial"/>
                <w:b/>
                <w:bCs/>
                <w:noProof/>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noProof/>
                <w:color w:val="000000"/>
                <w:sz w:val="16"/>
                <w:szCs w:val="16"/>
              </w:rPr>
            </w:pPr>
            <w:r w:rsidRPr="003962D0">
              <w:rPr>
                <w:rFonts w:cs="Arial"/>
                <w:b/>
                <w:bCs/>
                <w:noProof/>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noProof/>
                <w:color w:val="000000"/>
                <w:sz w:val="16"/>
                <w:szCs w:val="16"/>
              </w:rPr>
            </w:pPr>
            <w:r w:rsidRPr="003962D0">
              <w:rPr>
                <w:rFonts w:cs="Arial"/>
                <w:b/>
                <w:bCs/>
                <w:noProof/>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06C6E" w:rsidRPr="003962D0" w:rsidRDefault="00C06C6E" w:rsidP="00C06C6E">
            <w:pPr>
              <w:rPr>
                <w:rFonts w:cs="Arial"/>
                <w:b/>
                <w:bCs/>
                <w:noProof/>
                <w:color w:val="000000"/>
                <w:sz w:val="16"/>
                <w:szCs w:val="16"/>
              </w:rPr>
            </w:pPr>
            <w:r w:rsidRPr="003962D0">
              <w:rPr>
                <w:rFonts w:cs="Arial"/>
                <w:b/>
                <w:bCs/>
                <w:noProof/>
                <w:sz w:val="16"/>
                <w:szCs w:val="16"/>
              </w:rPr>
              <w:t>Q4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noProof/>
                <w:color w:val="000000"/>
                <w:sz w:val="16"/>
                <w:szCs w:val="16"/>
              </w:rPr>
            </w:pPr>
            <w:r w:rsidRPr="003962D0">
              <w:rPr>
                <w:rFonts w:cs="Arial"/>
                <w:b/>
                <w:bCs/>
                <w:noProof/>
                <w:color w:val="000000"/>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noProof/>
                <w:color w:val="000000"/>
                <w:sz w:val="16"/>
                <w:szCs w:val="16"/>
              </w:rPr>
            </w:pPr>
            <w:r w:rsidRPr="003962D0">
              <w:rPr>
                <w:rFonts w:cs="Arial"/>
                <w:b/>
                <w:bCs/>
                <w:noProof/>
                <w:color w:val="000000"/>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noProof/>
                <w:color w:val="000000"/>
                <w:sz w:val="16"/>
                <w:szCs w:val="16"/>
              </w:rPr>
            </w:pPr>
            <w:r w:rsidRPr="003962D0">
              <w:rPr>
                <w:rFonts w:cs="Arial"/>
                <w:b/>
                <w:bCs/>
                <w:noProof/>
                <w:color w:val="000000"/>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06C6E" w:rsidRPr="003962D0" w:rsidRDefault="00C06C6E" w:rsidP="00C06C6E">
            <w:pPr>
              <w:rPr>
                <w:rFonts w:cs="Arial"/>
                <w:b/>
                <w:bCs/>
                <w:noProof/>
                <w:color w:val="000000"/>
                <w:sz w:val="16"/>
                <w:szCs w:val="16"/>
              </w:rPr>
            </w:pPr>
            <w:r w:rsidRPr="003962D0">
              <w:rPr>
                <w:rFonts w:cs="Arial"/>
                <w:b/>
                <w:bCs/>
                <w:noProof/>
                <w:color w:val="000000"/>
                <w:sz w:val="16"/>
                <w:szCs w:val="16"/>
              </w:rPr>
              <w:t>Q4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noProof/>
                <w:color w:val="000000"/>
                <w:sz w:val="16"/>
                <w:szCs w:val="16"/>
              </w:rPr>
            </w:pPr>
            <w:r w:rsidRPr="003962D0">
              <w:rPr>
                <w:rFonts w:cs="Arial"/>
                <w:b/>
                <w:bCs/>
                <w:noProof/>
                <w:color w:val="000000"/>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noProof/>
                <w:color w:val="000000"/>
                <w:sz w:val="16"/>
                <w:szCs w:val="16"/>
              </w:rPr>
            </w:pPr>
            <w:r w:rsidRPr="003962D0">
              <w:rPr>
                <w:rFonts w:cs="Arial"/>
                <w:b/>
                <w:bCs/>
                <w:noProof/>
                <w:color w:val="000000"/>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noProof/>
                <w:color w:val="000000"/>
                <w:sz w:val="16"/>
                <w:szCs w:val="16"/>
              </w:rPr>
            </w:pPr>
            <w:r w:rsidRPr="003962D0">
              <w:rPr>
                <w:rFonts w:cs="Arial"/>
                <w:b/>
                <w:bCs/>
                <w:noProof/>
                <w:color w:val="000000"/>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06C6E" w:rsidRPr="003962D0" w:rsidRDefault="00C06C6E" w:rsidP="00C06C6E">
            <w:pPr>
              <w:rPr>
                <w:rFonts w:cs="Arial"/>
                <w:b/>
                <w:bCs/>
                <w:noProof/>
                <w:color w:val="000000"/>
                <w:sz w:val="16"/>
                <w:szCs w:val="16"/>
              </w:rPr>
            </w:pPr>
            <w:r w:rsidRPr="003962D0">
              <w:rPr>
                <w:rFonts w:cs="Arial"/>
                <w:b/>
                <w:bCs/>
                <w:noProof/>
                <w:color w:val="000000"/>
                <w:sz w:val="16"/>
                <w:szCs w:val="16"/>
              </w:rPr>
              <w:t>Q4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noProof/>
                <w:color w:val="000000"/>
                <w:sz w:val="16"/>
                <w:szCs w:val="16"/>
              </w:rPr>
            </w:pPr>
            <w:r w:rsidRPr="003962D0">
              <w:rPr>
                <w:rFonts w:cs="Arial"/>
                <w:b/>
                <w:bCs/>
                <w:noProof/>
                <w:color w:val="000000"/>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noProof/>
                <w:color w:val="000000"/>
                <w:sz w:val="16"/>
                <w:szCs w:val="16"/>
              </w:rPr>
            </w:pPr>
            <w:r w:rsidRPr="003962D0">
              <w:rPr>
                <w:rFonts w:cs="Arial"/>
                <w:b/>
                <w:bCs/>
                <w:noProof/>
                <w:color w:val="000000"/>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noProof/>
                <w:color w:val="000000"/>
                <w:sz w:val="16"/>
                <w:szCs w:val="16"/>
              </w:rPr>
            </w:pPr>
            <w:r w:rsidRPr="003962D0">
              <w:rPr>
                <w:rFonts w:cs="Arial"/>
                <w:b/>
                <w:bCs/>
                <w:noProof/>
                <w:color w:val="000000"/>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06C6E" w:rsidRPr="003962D0" w:rsidRDefault="00C06C6E" w:rsidP="00C06C6E">
            <w:pPr>
              <w:rPr>
                <w:rFonts w:cs="Arial"/>
                <w:b/>
                <w:bCs/>
                <w:noProof/>
                <w:color w:val="000000"/>
                <w:sz w:val="16"/>
                <w:szCs w:val="16"/>
              </w:rPr>
            </w:pPr>
            <w:r w:rsidRPr="003962D0">
              <w:rPr>
                <w:rFonts w:cs="Arial"/>
                <w:b/>
                <w:bCs/>
                <w:noProof/>
                <w:color w:val="000000"/>
                <w:sz w:val="16"/>
                <w:szCs w:val="16"/>
              </w:rPr>
              <w:t>Q4</w:t>
            </w:r>
          </w:p>
        </w:tc>
      </w:tr>
      <w:tr w:rsidR="00C06C6E" w:rsidRPr="004E3CEE" w:rsidTr="00C06C6E">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In-house definition of project goals</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r>
      <w:tr w:rsidR="00C06C6E" w:rsidRPr="004E3CEE" w:rsidTr="00C06C6E">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tcPr>
          <w:p w:rsidR="00C06C6E" w:rsidRPr="003962D0" w:rsidRDefault="00C06C6E" w:rsidP="00C06C6E">
            <w:pPr>
              <w:rPr>
                <w:rFonts w:cs="Arial"/>
                <w:noProof/>
                <w:color w:val="000000"/>
                <w:sz w:val="16"/>
                <w:szCs w:val="16"/>
              </w:rPr>
            </w:pPr>
            <w:r w:rsidRPr="003962D0">
              <w:rPr>
                <w:rFonts w:cs="Arial"/>
                <w:noProof/>
                <w:color w:val="000000"/>
                <w:sz w:val="16"/>
                <w:szCs w:val="16"/>
              </w:rPr>
              <w:t>Award of contracts to  the architect</w:t>
            </w:r>
          </w:p>
        </w:tc>
        <w:tc>
          <w:tcPr>
            <w:tcW w:w="480" w:type="dxa"/>
            <w:tcBorders>
              <w:top w:val="nil"/>
              <w:left w:val="nil"/>
              <w:bottom w:val="single" w:sz="4" w:space="0" w:color="auto"/>
              <w:right w:val="single" w:sz="4" w:space="0" w:color="auto"/>
            </w:tcBorders>
            <w:shd w:val="clear" w:color="auto" w:fill="auto"/>
            <w:noWrap/>
            <w:vAlign w:val="bottom"/>
          </w:tcPr>
          <w:p w:rsidR="00C06C6E" w:rsidRPr="003962D0" w:rsidRDefault="00C06C6E" w:rsidP="00C06C6E">
            <w:pP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C06C6E" w:rsidRPr="003962D0" w:rsidRDefault="00C06C6E" w:rsidP="00C06C6E">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center"/>
          </w:tcPr>
          <w:p w:rsidR="00C06C6E" w:rsidRPr="003962D0" w:rsidRDefault="00C06C6E" w:rsidP="00C06C6E">
            <w:pP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r>
      <w:tr w:rsidR="00C06C6E" w:rsidRPr="004E3CEE" w:rsidTr="00C06C6E">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Award of contracts to the engineers</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r>
      <w:tr w:rsidR="00C06C6E" w:rsidRPr="004E3CEE" w:rsidTr="00C06C6E">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xml:space="preserve">Comprehensive works execution review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r>
      <w:tr w:rsidR="00C06C6E" w:rsidRPr="004E3CEE" w:rsidTr="00C06C6E">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tcPr>
          <w:p w:rsidR="00C06C6E" w:rsidRPr="003962D0" w:rsidRDefault="00C06C6E" w:rsidP="00C06C6E">
            <w:pPr>
              <w:rPr>
                <w:rFonts w:cs="Arial"/>
                <w:noProof/>
                <w:color w:val="000000"/>
                <w:sz w:val="16"/>
                <w:szCs w:val="16"/>
              </w:rPr>
            </w:pPr>
            <w:r w:rsidRPr="003962D0">
              <w:rPr>
                <w:rFonts w:cs="Arial"/>
                <w:noProof/>
                <w:color w:val="000000"/>
                <w:sz w:val="16"/>
                <w:szCs w:val="16"/>
              </w:rPr>
              <w:t>Call for tenders from firms and selection</w:t>
            </w:r>
          </w:p>
        </w:tc>
        <w:tc>
          <w:tcPr>
            <w:tcW w:w="480" w:type="dxa"/>
            <w:tcBorders>
              <w:top w:val="nil"/>
              <w:left w:val="nil"/>
              <w:bottom w:val="single" w:sz="4" w:space="0" w:color="auto"/>
              <w:right w:val="single" w:sz="4" w:space="0" w:color="auto"/>
            </w:tcBorders>
            <w:shd w:val="clear" w:color="auto" w:fill="auto"/>
            <w:noWrap/>
            <w:vAlign w:val="bottom"/>
          </w:tcPr>
          <w:p w:rsidR="00C06C6E" w:rsidRPr="003962D0" w:rsidRDefault="00C06C6E" w:rsidP="00C06C6E">
            <w:pP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3962D0" w:rsidRDefault="00C06C6E" w:rsidP="00C06C6E">
            <w:pP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3962D0" w:rsidRDefault="00C06C6E" w:rsidP="00C06C6E">
            <w:pP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tcPr>
          <w:p w:rsidR="00C06C6E" w:rsidRPr="003962D0" w:rsidRDefault="00C06C6E" w:rsidP="00C06C6E">
            <w:pP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3962D0" w:rsidRDefault="00C06C6E" w:rsidP="00C06C6E">
            <w:pP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C06C6E" w:rsidRPr="003962D0" w:rsidRDefault="00C06C6E" w:rsidP="00C06C6E">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C06C6E" w:rsidRPr="003962D0" w:rsidRDefault="00C06C6E" w:rsidP="00C06C6E">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C06C6E" w:rsidRPr="003962D0" w:rsidRDefault="00C06C6E" w:rsidP="00C06C6E">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C06C6E" w:rsidRPr="003962D0" w:rsidRDefault="00C06C6E" w:rsidP="00C06C6E">
            <w:pPr>
              <w:jc w:val="center"/>
              <w:rPr>
                <w:rFonts w:cs="Arial"/>
                <w:noProof/>
                <w:color w:val="000000"/>
                <w:sz w:val="16"/>
                <w:szCs w:val="16"/>
              </w:rPr>
            </w:pPr>
          </w:p>
        </w:tc>
      </w:tr>
      <w:tr w:rsidR="00C06C6E" w:rsidRPr="004E3CEE" w:rsidTr="00C06C6E">
        <w:trPr>
          <w:trHeight w:val="425"/>
          <w:jc w:val="center"/>
        </w:trPr>
        <w:tc>
          <w:tcPr>
            <w:tcW w:w="1840" w:type="dxa"/>
            <w:tcBorders>
              <w:top w:val="nil"/>
              <w:left w:val="single" w:sz="8" w:space="0" w:color="auto"/>
              <w:bottom w:val="single" w:sz="4" w:space="0" w:color="auto"/>
              <w:right w:val="single" w:sz="8" w:space="0" w:color="auto"/>
            </w:tcBorders>
            <w:shd w:val="clear" w:color="auto" w:fill="auto"/>
            <w:noWrap/>
            <w:vAlign w:val="bottom"/>
          </w:tcPr>
          <w:p w:rsidR="00C06C6E" w:rsidRPr="003962D0" w:rsidRDefault="00C06C6E" w:rsidP="00C06C6E">
            <w:pPr>
              <w:rPr>
                <w:rFonts w:cs="Arial"/>
                <w:noProof/>
                <w:color w:val="000000"/>
                <w:sz w:val="16"/>
                <w:szCs w:val="16"/>
              </w:rPr>
            </w:pPr>
            <w:r w:rsidRPr="003962D0">
              <w:rPr>
                <w:rFonts w:cs="Arial"/>
                <w:noProof/>
                <w:color w:val="000000"/>
                <w:sz w:val="16"/>
                <w:szCs w:val="16"/>
              </w:rPr>
              <w:t>Works</w:t>
            </w:r>
          </w:p>
          <w:p w:rsidR="00C06C6E" w:rsidRPr="003962D0" w:rsidRDefault="00C06C6E" w:rsidP="00C06C6E">
            <w:pP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3962D0" w:rsidRDefault="00C06C6E" w:rsidP="00C06C6E">
            <w:pP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3962D0" w:rsidRDefault="00C06C6E" w:rsidP="00C06C6E">
            <w:pP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3962D0" w:rsidRDefault="00C06C6E" w:rsidP="00C06C6E">
            <w:pP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tcPr>
          <w:p w:rsidR="00C06C6E" w:rsidRPr="003962D0" w:rsidRDefault="00C06C6E" w:rsidP="00C06C6E">
            <w:pP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C06C6E" w:rsidRPr="003962D0" w:rsidRDefault="00C06C6E" w:rsidP="00C06C6E">
            <w:pP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C06C6E" w:rsidRPr="003962D0" w:rsidRDefault="00C06C6E" w:rsidP="00C06C6E">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center"/>
          </w:tcPr>
          <w:p w:rsidR="00C06C6E" w:rsidRPr="003962D0" w:rsidRDefault="00C06C6E" w:rsidP="00C06C6E">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C06C6E" w:rsidRPr="003962D0" w:rsidRDefault="00C06C6E" w:rsidP="00C06C6E">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C06C6E" w:rsidRPr="003962D0" w:rsidRDefault="00C06C6E" w:rsidP="00C06C6E">
            <w:pPr>
              <w:jc w:val="center"/>
              <w:rPr>
                <w:rFonts w:cs="Arial"/>
                <w:noProof/>
                <w:color w:val="000000"/>
                <w:sz w:val="16"/>
                <w:szCs w:val="16"/>
              </w:rPr>
            </w:pPr>
          </w:p>
        </w:tc>
      </w:tr>
      <w:tr w:rsidR="00C06C6E" w:rsidRPr="004E3CEE" w:rsidTr="00C06C6E">
        <w:trPr>
          <w:trHeight w:val="397"/>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sz w:val="16"/>
                <w:szCs w:val="16"/>
              </w:rPr>
              <w:t>Commissioning</w:t>
            </w:r>
          </w:p>
          <w:p w:rsidR="00C06C6E" w:rsidRPr="003962D0" w:rsidRDefault="00C06C6E" w:rsidP="00C06C6E">
            <w:pPr>
              <w:rPr>
                <w:rFonts w:cs="Arial"/>
                <w:noProof/>
                <w:color w:val="000000"/>
                <w:sz w:val="16"/>
                <w:szCs w:val="16"/>
              </w:rPr>
            </w:pPr>
          </w:p>
          <w:p w:rsidR="00C06C6E" w:rsidRPr="003962D0" w:rsidRDefault="00C06C6E" w:rsidP="00C06C6E">
            <w:pP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C06C6E" w:rsidRPr="003962D0" w:rsidRDefault="00C06C6E" w:rsidP="00C06C6E">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C06C6E" w:rsidRPr="003962D0" w:rsidRDefault="00C06C6E" w:rsidP="00C06C6E">
            <w:pPr>
              <w:jc w:val="center"/>
              <w:rPr>
                <w:rFonts w:cs="Arial"/>
                <w:noProof/>
                <w:color w:val="000000"/>
                <w:sz w:val="16"/>
                <w:szCs w:val="16"/>
              </w:rPr>
            </w:pPr>
          </w:p>
        </w:tc>
      </w:tr>
    </w:tbl>
    <w:p w:rsidR="00C06C6E" w:rsidRDefault="00C06C6E" w:rsidP="00C06C6E"/>
    <w:p w:rsidR="00C06C6E" w:rsidRDefault="00C06C6E">
      <w:r>
        <w:br w:type="page"/>
      </w:r>
    </w:p>
    <w:p w:rsidR="00C06C6E" w:rsidRPr="00994B87" w:rsidRDefault="00C06C6E" w:rsidP="004860F6">
      <w:pPr>
        <w:rPr>
          <w:b/>
          <w:sz w:val="22"/>
        </w:rPr>
      </w:pPr>
      <w:r w:rsidRPr="00994B87">
        <w:rPr>
          <w:b/>
          <w:sz w:val="22"/>
        </w:rPr>
        <w:lastRenderedPageBreak/>
        <w:t>BUILDINGS – RELATED PROJECTS</w:t>
      </w:r>
    </w:p>
    <w:p w:rsidR="00C06C6E" w:rsidRPr="00456D61" w:rsidRDefault="004860F6" w:rsidP="001E4922">
      <w:pPr>
        <w:pStyle w:val="StyleHeading3BoldNounderline"/>
        <w:rPr>
          <w:b/>
          <w:sz w:val="20"/>
        </w:rPr>
      </w:pPr>
      <w:bookmarkStart w:id="110" w:name="_Toc422210528"/>
      <w:r w:rsidRPr="00456D61">
        <w:rPr>
          <w:b/>
          <w:sz w:val="20"/>
        </w:rPr>
        <w:t>PROJECT</w:t>
      </w:r>
      <w:r w:rsidR="001E4922" w:rsidRPr="00456D61">
        <w:rPr>
          <w:b/>
          <w:sz w:val="20"/>
        </w:rPr>
        <w:t xml:space="preserve">:  </w:t>
      </w:r>
      <w:r w:rsidR="00C06C6E" w:rsidRPr="00456D61">
        <w:rPr>
          <w:b/>
          <w:sz w:val="20"/>
        </w:rPr>
        <w:t>ARPAD BOGSCH BUILDING - REPLACEMENT OF CERTAIN WINDOWS (CMP</w:t>
      </w:r>
      <w:r w:rsidR="001E4922" w:rsidRPr="00456D61">
        <w:rPr>
          <w:b/>
          <w:sz w:val="20"/>
        </w:rPr>
        <w:t> </w:t>
      </w:r>
      <w:r w:rsidR="00C06C6E" w:rsidRPr="00456D61">
        <w:rPr>
          <w:b/>
          <w:sz w:val="20"/>
        </w:rPr>
        <w:t>6)</w:t>
      </w:r>
      <w:bookmarkEnd w:id="110"/>
    </w:p>
    <w:p w:rsidR="00C06C6E" w:rsidRPr="00994B87" w:rsidRDefault="00C06C6E" w:rsidP="00C06C6E">
      <w:pPr>
        <w:rPr>
          <w:sz w:val="22"/>
          <w:szCs w:val="20"/>
        </w:rPr>
      </w:pPr>
    </w:p>
    <w:p w:rsidR="00C06C6E" w:rsidRPr="00F47045" w:rsidRDefault="00C06C6E" w:rsidP="00C06C6E">
      <w:pPr>
        <w:rPr>
          <w:b/>
          <w:szCs w:val="20"/>
        </w:rPr>
      </w:pPr>
      <w:r w:rsidRPr="00F47045">
        <w:rPr>
          <w:b/>
          <w:szCs w:val="20"/>
        </w:rPr>
        <w:t>Project Manager:</w:t>
      </w:r>
      <w:r w:rsidRPr="00F47045">
        <w:rPr>
          <w:b/>
          <w:szCs w:val="20"/>
        </w:rPr>
        <w:tab/>
      </w:r>
      <w:r>
        <w:rPr>
          <w:b/>
          <w:szCs w:val="20"/>
        </w:rPr>
        <w:tab/>
      </w:r>
      <w:r w:rsidRPr="00F47045">
        <w:rPr>
          <w:b/>
          <w:szCs w:val="20"/>
        </w:rPr>
        <w:t>Mr. A. FAVERO</w:t>
      </w:r>
    </w:p>
    <w:p w:rsidR="00C06C6E" w:rsidRPr="00CF53EE" w:rsidRDefault="00C06C6E" w:rsidP="00C06C6E">
      <w:pPr>
        <w:rPr>
          <w:szCs w:val="20"/>
        </w:rPr>
      </w:pPr>
    </w:p>
    <w:p w:rsidR="00C06C6E" w:rsidRPr="00F47045" w:rsidRDefault="00C06C6E" w:rsidP="00C06C6E">
      <w:pPr>
        <w:rPr>
          <w:bCs/>
          <w:szCs w:val="20"/>
        </w:rPr>
      </w:pPr>
    </w:p>
    <w:p w:rsidR="00C06C6E" w:rsidRPr="00F47045" w:rsidRDefault="00C06C6E" w:rsidP="00C06C6E">
      <w:pPr>
        <w:rPr>
          <w:bCs/>
          <w:szCs w:val="20"/>
        </w:rPr>
      </w:pPr>
      <w:r w:rsidRPr="00F47045">
        <w:rPr>
          <w:bCs/>
          <w:szCs w:val="20"/>
        </w:rPr>
        <w:t>EXPECTED RESULT</w:t>
      </w:r>
    </w:p>
    <w:p w:rsidR="00C06C6E" w:rsidRPr="00F47045" w:rsidRDefault="00C06C6E" w:rsidP="00C06C6E">
      <w:pPr>
        <w:rPr>
          <w:bCs/>
          <w:szCs w:val="20"/>
        </w:rPr>
      </w:pPr>
    </w:p>
    <w:p w:rsidR="00C06C6E" w:rsidRPr="00F47045" w:rsidRDefault="00C06C6E" w:rsidP="00C06C6E">
      <w:pPr>
        <w:rPr>
          <w:i/>
          <w:iCs/>
          <w:szCs w:val="20"/>
        </w:rPr>
      </w:pPr>
      <w:proofErr w:type="gramStart"/>
      <w:r w:rsidRPr="00CF53EE">
        <w:rPr>
          <w:i/>
          <w:iCs/>
          <w:szCs w:val="20"/>
        </w:rPr>
        <w:t>IX.1  Effective</w:t>
      </w:r>
      <w:proofErr w:type="gramEnd"/>
      <w:r w:rsidRPr="00CF53EE">
        <w:rPr>
          <w:i/>
          <w:iCs/>
          <w:szCs w:val="20"/>
        </w:rPr>
        <w:t>, efficient, quality and customer-oriented support services both to internal clients and to external stakeholders</w:t>
      </w:r>
    </w:p>
    <w:p w:rsidR="00C06C6E" w:rsidRPr="00F47045" w:rsidRDefault="00C06C6E" w:rsidP="00C06C6E">
      <w:pPr>
        <w:rPr>
          <w:bCs/>
          <w:szCs w:val="20"/>
        </w:rPr>
      </w:pPr>
    </w:p>
    <w:p w:rsidR="00C06C6E" w:rsidRPr="00F47045" w:rsidRDefault="00C06C6E" w:rsidP="00C06C6E">
      <w:pPr>
        <w:rPr>
          <w:bCs/>
          <w:szCs w:val="20"/>
        </w:rPr>
      </w:pPr>
      <w:r w:rsidRPr="00F47045">
        <w:rPr>
          <w:bCs/>
          <w:szCs w:val="20"/>
        </w:rPr>
        <w:t>OBJECTIVES, SCOPE AND APPROACH – BACKGROUND</w:t>
      </w:r>
    </w:p>
    <w:p w:rsidR="00C06C6E" w:rsidRPr="00F47045" w:rsidRDefault="00C06C6E" w:rsidP="00C06C6E">
      <w:pPr>
        <w:rPr>
          <w:bCs/>
          <w:szCs w:val="20"/>
        </w:rPr>
      </w:pPr>
    </w:p>
    <w:p w:rsidR="00C06C6E" w:rsidRPr="004860F6" w:rsidRDefault="00C06C6E" w:rsidP="004860F6">
      <w:pPr>
        <w:pStyle w:val="ListParagraph"/>
        <w:numPr>
          <w:ilvl w:val="0"/>
          <w:numId w:val="133"/>
        </w:numPr>
        <w:tabs>
          <w:tab w:val="left" w:pos="567"/>
        </w:tabs>
        <w:ind w:left="0" w:firstLine="0"/>
        <w:jc w:val="both"/>
        <w:rPr>
          <w:bCs/>
        </w:rPr>
      </w:pPr>
      <w:r w:rsidRPr="004860F6">
        <w:rPr>
          <w:bCs/>
        </w:rPr>
        <w:t>The windows on the South-West facade of the AB Building are those which have suffered most over the past three decades from their sunniest and warmest exposure and from the greatest temperature differences each year between winter and summer, with the consequence that their thermic qualities have significantly deteriorated.  In addition, for a number of the same windows as well as for yet other windows elsewhere on the facade, there has been a color degradation of the blue shade (turning to a variety of pink and purple shades) due to the ageing of the gas components filling the space between the layers of glass.</w:t>
      </w:r>
    </w:p>
    <w:p w:rsidR="00C06C6E" w:rsidRPr="00F47045" w:rsidRDefault="00C06C6E" w:rsidP="004860F6">
      <w:pPr>
        <w:tabs>
          <w:tab w:val="left" w:pos="567"/>
        </w:tabs>
        <w:jc w:val="both"/>
        <w:rPr>
          <w:bCs/>
          <w:szCs w:val="20"/>
        </w:rPr>
      </w:pPr>
    </w:p>
    <w:p w:rsidR="00C06C6E" w:rsidRPr="004860F6" w:rsidRDefault="00C06C6E" w:rsidP="004860F6">
      <w:pPr>
        <w:pStyle w:val="ListParagraph"/>
        <w:numPr>
          <w:ilvl w:val="0"/>
          <w:numId w:val="133"/>
        </w:numPr>
        <w:tabs>
          <w:tab w:val="left" w:pos="567"/>
        </w:tabs>
        <w:ind w:left="0" w:firstLine="0"/>
        <w:jc w:val="both"/>
        <w:rPr>
          <w:bCs/>
        </w:rPr>
      </w:pPr>
      <w:r w:rsidRPr="004860F6">
        <w:rPr>
          <w:bCs/>
        </w:rPr>
        <w:t xml:space="preserve">The replacement of these windows will reduce the energy consumption required mainly for cooling the offices concerned in warm weather periods.  It will also allow for a needed aesthetic improvement for the AB Building which is one of Geneva’s landmark buildings. </w:t>
      </w:r>
    </w:p>
    <w:p w:rsidR="00C06C6E" w:rsidRPr="00F47045" w:rsidRDefault="00C06C6E" w:rsidP="004860F6">
      <w:pPr>
        <w:tabs>
          <w:tab w:val="left" w:pos="567"/>
        </w:tabs>
        <w:jc w:val="both"/>
        <w:rPr>
          <w:bCs/>
          <w:szCs w:val="20"/>
        </w:rPr>
      </w:pPr>
    </w:p>
    <w:p w:rsidR="00C06C6E" w:rsidRPr="004860F6" w:rsidRDefault="00C06C6E" w:rsidP="004860F6">
      <w:pPr>
        <w:pStyle w:val="ListParagraph"/>
        <w:numPr>
          <w:ilvl w:val="0"/>
          <w:numId w:val="133"/>
        </w:numPr>
        <w:tabs>
          <w:tab w:val="left" w:pos="567"/>
        </w:tabs>
        <w:ind w:left="0" w:firstLine="0"/>
        <w:jc w:val="both"/>
        <w:rPr>
          <w:bCs/>
        </w:rPr>
      </w:pPr>
      <w:r w:rsidRPr="004860F6">
        <w:rPr>
          <w:bCs/>
        </w:rPr>
        <w:t>The objectives of the project are to:</w:t>
      </w:r>
      <w:r w:rsidRPr="004860F6">
        <w:rPr>
          <w:bCs/>
          <w:color w:val="000000"/>
        </w:rPr>
        <w:t xml:space="preserve"> (</w:t>
      </w:r>
      <w:proofErr w:type="spellStart"/>
      <w:r w:rsidRPr="004860F6">
        <w:rPr>
          <w:bCs/>
          <w:color w:val="000000"/>
        </w:rPr>
        <w:t>i</w:t>
      </w:r>
      <w:proofErr w:type="spellEnd"/>
      <w:r w:rsidRPr="004860F6">
        <w:rPr>
          <w:bCs/>
          <w:color w:val="000000"/>
        </w:rPr>
        <w:t xml:space="preserve">) improve the thermic quality and the energy efficiency of the South-West facade of the AB Building; (ii) </w:t>
      </w:r>
      <w:r w:rsidRPr="004860F6">
        <w:rPr>
          <w:bCs/>
        </w:rPr>
        <w:t xml:space="preserve">reduce </w:t>
      </w:r>
      <w:r w:rsidRPr="004860F6">
        <w:rPr>
          <w:bCs/>
          <w:color w:val="000000"/>
        </w:rPr>
        <w:t xml:space="preserve">energy </w:t>
      </w:r>
      <w:r w:rsidRPr="004860F6">
        <w:rPr>
          <w:bCs/>
        </w:rPr>
        <w:t xml:space="preserve">consumption; (iii) </w:t>
      </w:r>
      <w:r w:rsidRPr="004860F6">
        <w:rPr>
          <w:bCs/>
          <w:color w:val="000000"/>
        </w:rPr>
        <w:t xml:space="preserve">improve </w:t>
      </w:r>
      <w:proofErr w:type="gramStart"/>
      <w:r w:rsidRPr="004860F6">
        <w:rPr>
          <w:bCs/>
          <w:color w:val="000000"/>
        </w:rPr>
        <w:t>the  thermic</w:t>
      </w:r>
      <w:proofErr w:type="gramEnd"/>
      <w:r w:rsidRPr="004860F6">
        <w:rPr>
          <w:bCs/>
          <w:color w:val="000000"/>
        </w:rPr>
        <w:t xml:space="preserve"> comfort of occupants; and (iv) improve the aesthetics of the AB Building.</w:t>
      </w:r>
    </w:p>
    <w:p w:rsidR="00C06C6E" w:rsidRDefault="00C06C6E" w:rsidP="00C06C6E">
      <w:pPr>
        <w:jc w:val="both"/>
        <w:rPr>
          <w:bCs/>
          <w:szCs w:val="20"/>
        </w:rPr>
      </w:pPr>
    </w:p>
    <w:p w:rsidR="00994B87" w:rsidRPr="00F47045" w:rsidRDefault="00994B87" w:rsidP="00C06C6E">
      <w:pPr>
        <w:jc w:val="both"/>
        <w:rPr>
          <w:bCs/>
          <w:szCs w:val="20"/>
        </w:rPr>
      </w:pPr>
    </w:p>
    <w:p w:rsidR="00C06C6E" w:rsidRPr="00F47045" w:rsidRDefault="00C06C6E" w:rsidP="00C06C6E">
      <w:pPr>
        <w:jc w:val="both"/>
        <w:rPr>
          <w:bCs/>
          <w:szCs w:val="20"/>
        </w:rPr>
      </w:pPr>
      <w:r w:rsidRPr="00F47045">
        <w:rPr>
          <w:bCs/>
          <w:szCs w:val="20"/>
        </w:rPr>
        <w:t>OVERVIEW OF PROGRESS IN 2014 (KEY MILESTONES)</w:t>
      </w:r>
    </w:p>
    <w:p w:rsidR="00C06C6E" w:rsidRPr="00F47045" w:rsidRDefault="00C06C6E" w:rsidP="00C06C6E">
      <w:pPr>
        <w:jc w:val="both"/>
        <w:rPr>
          <w:bCs/>
          <w:szCs w:val="20"/>
        </w:rPr>
      </w:pPr>
    </w:p>
    <w:p w:rsidR="00C06C6E" w:rsidRDefault="00C06C6E" w:rsidP="004860F6">
      <w:pPr>
        <w:pStyle w:val="ListParagraph"/>
        <w:numPr>
          <w:ilvl w:val="0"/>
          <w:numId w:val="133"/>
        </w:numPr>
        <w:tabs>
          <w:tab w:val="left" w:pos="567"/>
        </w:tabs>
        <w:ind w:left="0" w:firstLine="0"/>
        <w:jc w:val="both"/>
        <w:rPr>
          <w:bCs/>
        </w:rPr>
      </w:pPr>
      <w:r w:rsidRPr="00F47045">
        <w:rPr>
          <w:bCs/>
          <w:noProof/>
        </w:rPr>
        <w:t>In 2014, the following progress was made:</w:t>
      </w:r>
    </w:p>
    <w:p w:rsidR="004860F6" w:rsidRPr="00F47045" w:rsidRDefault="004860F6" w:rsidP="004860F6">
      <w:pPr>
        <w:pStyle w:val="ListParagraph"/>
        <w:tabs>
          <w:tab w:val="left" w:pos="567"/>
        </w:tabs>
        <w:ind w:left="0"/>
        <w:jc w:val="both"/>
        <w:rPr>
          <w:bCs/>
        </w:rPr>
      </w:pPr>
    </w:p>
    <w:p w:rsidR="00C06C6E" w:rsidRPr="009547C9" w:rsidRDefault="00C06C6E" w:rsidP="004860F6">
      <w:pPr>
        <w:pStyle w:val="ListParagraph"/>
        <w:numPr>
          <w:ilvl w:val="0"/>
          <w:numId w:val="123"/>
        </w:numPr>
        <w:spacing w:after="120"/>
        <w:ind w:left="567" w:firstLine="0"/>
        <w:jc w:val="both"/>
        <w:rPr>
          <w:bCs/>
        </w:rPr>
      </w:pPr>
      <w:r w:rsidRPr="00F47045">
        <w:rPr>
          <w:bCs/>
          <w:color w:val="000000"/>
        </w:rPr>
        <w:t xml:space="preserve">drafting of </w:t>
      </w:r>
      <w:r>
        <w:rPr>
          <w:bCs/>
          <w:color w:val="000000"/>
        </w:rPr>
        <w:t>terms of reference (</w:t>
      </w:r>
      <w:proofErr w:type="spellStart"/>
      <w:r>
        <w:rPr>
          <w:bCs/>
          <w:color w:val="000000"/>
        </w:rPr>
        <w:t>ToRs</w:t>
      </w:r>
      <w:proofErr w:type="spellEnd"/>
      <w:r>
        <w:rPr>
          <w:bCs/>
          <w:color w:val="000000"/>
        </w:rPr>
        <w:t>) for the mandate of facade engineer;</w:t>
      </w:r>
    </w:p>
    <w:p w:rsidR="00C06C6E" w:rsidRPr="009547C9" w:rsidRDefault="00C06C6E" w:rsidP="004860F6">
      <w:pPr>
        <w:pStyle w:val="ListParagraph"/>
        <w:numPr>
          <w:ilvl w:val="0"/>
          <w:numId w:val="123"/>
        </w:numPr>
        <w:spacing w:after="120"/>
        <w:ind w:left="567" w:firstLine="0"/>
        <w:jc w:val="both"/>
        <w:rPr>
          <w:bCs/>
        </w:rPr>
      </w:pPr>
      <w:r w:rsidRPr="00F47045">
        <w:rPr>
          <w:bCs/>
          <w:color w:val="000000"/>
        </w:rPr>
        <w:t xml:space="preserve">launching </w:t>
      </w:r>
      <w:r>
        <w:rPr>
          <w:bCs/>
          <w:color w:val="000000"/>
        </w:rPr>
        <w:t xml:space="preserve">a </w:t>
      </w:r>
      <w:r w:rsidRPr="00F47045">
        <w:rPr>
          <w:bCs/>
          <w:color w:val="000000"/>
        </w:rPr>
        <w:t xml:space="preserve">call for tenders </w:t>
      </w:r>
      <w:r>
        <w:rPr>
          <w:bCs/>
          <w:color w:val="000000"/>
        </w:rPr>
        <w:t>for</w:t>
      </w:r>
      <w:r w:rsidRPr="00F47045">
        <w:rPr>
          <w:bCs/>
          <w:color w:val="000000"/>
        </w:rPr>
        <w:t xml:space="preserve"> a facade engineer; </w:t>
      </w:r>
    </w:p>
    <w:p w:rsidR="00C06C6E" w:rsidRPr="00F47045" w:rsidRDefault="00C06C6E" w:rsidP="004860F6">
      <w:pPr>
        <w:pStyle w:val="ListParagraph"/>
        <w:numPr>
          <w:ilvl w:val="0"/>
          <w:numId w:val="123"/>
        </w:numPr>
        <w:spacing w:after="120"/>
        <w:ind w:left="567" w:firstLine="0"/>
        <w:jc w:val="both"/>
        <w:rPr>
          <w:bCs/>
        </w:rPr>
      </w:pPr>
      <w:r>
        <w:rPr>
          <w:bCs/>
          <w:color w:val="000000"/>
        </w:rPr>
        <w:t xml:space="preserve">award of contract to the facade engineer; </w:t>
      </w:r>
      <w:r w:rsidRPr="00F47045">
        <w:rPr>
          <w:bCs/>
          <w:color w:val="000000"/>
        </w:rPr>
        <w:t>and</w:t>
      </w:r>
    </w:p>
    <w:p w:rsidR="00C06C6E" w:rsidRPr="00F47045" w:rsidRDefault="00C06C6E" w:rsidP="004860F6">
      <w:pPr>
        <w:pStyle w:val="ListParagraph"/>
        <w:numPr>
          <w:ilvl w:val="0"/>
          <w:numId w:val="123"/>
        </w:numPr>
        <w:ind w:left="567" w:firstLine="0"/>
        <w:jc w:val="both"/>
        <w:rPr>
          <w:bCs/>
        </w:rPr>
      </w:pPr>
      <w:proofErr w:type="gramStart"/>
      <w:r w:rsidRPr="00F47045">
        <w:rPr>
          <w:bCs/>
          <w:color w:val="000000"/>
        </w:rPr>
        <w:t>review</w:t>
      </w:r>
      <w:proofErr w:type="gramEnd"/>
      <w:r w:rsidRPr="00F47045">
        <w:rPr>
          <w:bCs/>
          <w:color w:val="000000"/>
        </w:rPr>
        <w:t xml:space="preserve"> and validation of the project with </w:t>
      </w:r>
      <w:r>
        <w:rPr>
          <w:bCs/>
          <w:color w:val="000000"/>
        </w:rPr>
        <w:t xml:space="preserve">the </w:t>
      </w:r>
      <w:r w:rsidRPr="00F47045">
        <w:rPr>
          <w:bCs/>
          <w:color w:val="000000"/>
        </w:rPr>
        <w:t>facade engineer.</w:t>
      </w:r>
    </w:p>
    <w:p w:rsidR="00C06C6E" w:rsidRPr="00F47045" w:rsidRDefault="00C06C6E" w:rsidP="00C06C6E">
      <w:pPr>
        <w:pStyle w:val="ListParagraph"/>
        <w:ind w:left="60"/>
        <w:jc w:val="both"/>
        <w:rPr>
          <w:bCs/>
        </w:rPr>
      </w:pPr>
    </w:p>
    <w:p w:rsidR="00C06C6E" w:rsidRPr="00F47045" w:rsidRDefault="00C06C6E" w:rsidP="004860F6">
      <w:pPr>
        <w:pStyle w:val="ListParagraph"/>
        <w:numPr>
          <w:ilvl w:val="0"/>
          <w:numId w:val="133"/>
        </w:numPr>
        <w:tabs>
          <w:tab w:val="left" w:pos="567"/>
        </w:tabs>
        <w:ind w:left="0" w:firstLine="0"/>
        <w:jc w:val="both"/>
        <w:rPr>
          <w:bCs/>
          <w:color w:val="000000"/>
        </w:rPr>
      </w:pPr>
      <w:r w:rsidRPr="00F47045">
        <w:rPr>
          <w:bCs/>
          <w:color w:val="000000"/>
        </w:rPr>
        <w:t xml:space="preserve">Due to the </w:t>
      </w:r>
      <w:r>
        <w:rPr>
          <w:bCs/>
          <w:color w:val="000000"/>
        </w:rPr>
        <w:t>delayed completion (from beginning 2014 to September 2014)</w:t>
      </w:r>
      <w:r w:rsidRPr="00F47045">
        <w:rPr>
          <w:bCs/>
          <w:color w:val="000000"/>
        </w:rPr>
        <w:t xml:space="preserve"> of the </w:t>
      </w:r>
      <w:r>
        <w:rPr>
          <w:bCs/>
          <w:color w:val="000000"/>
        </w:rPr>
        <w:t xml:space="preserve">new </w:t>
      </w:r>
      <w:r w:rsidRPr="00F47045">
        <w:rPr>
          <w:bCs/>
          <w:color w:val="000000"/>
        </w:rPr>
        <w:t xml:space="preserve">WIPO </w:t>
      </w:r>
      <w:r>
        <w:rPr>
          <w:bCs/>
          <w:color w:val="000000"/>
        </w:rPr>
        <w:t>C</w:t>
      </w:r>
      <w:r w:rsidRPr="00F47045">
        <w:rPr>
          <w:bCs/>
          <w:color w:val="000000"/>
        </w:rPr>
        <w:t xml:space="preserve">onference Hall, the start of the project was delayed by one year relative to the </w:t>
      </w:r>
      <w:r>
        <w:rPr>
          <w:bCs/>
          <w:color w:val="000000"/>
        </w:rPr>
        <w:t>original plan</w:t>
      </w:r>
      <w:r w:rsidRPr="00F47045">
        <w:rPr>
          <w:bCs/>
          <w:color w:val="000000"/>
        </w:rPr>
        <w:t xml:space="preserve">.  </w:t>
      </w:r>
      <w:r>
        <w:rPr>
          <w:bCs/>
          <w:color w:val="000000"/>
        </w:rPr>
        <w:t>As such</w:t>
      </w:r>
      <w:r w:rsidRPr="00F47045">
        <w:rPr>
          <w:bCs/>
          <w:color w:val="000000"/>
        </w:rPr>
        <w:t xml:space="preserve">, the project schedule has been amended.  </w:t>
      </w:r>
    </w:p>
    <w:p w:rsidR="00C06C6E" w:rsidRPr="00F47045" w:rsidRDefault="00C06C6E" w:rsidP="00C06C6E">
      <w:pPr>
        <w:rPr>
          <w:bCs/>
          <w:szCs w:val="20"/>
        </w:rPr>
      </w:pPr>
    </w:p>
    <w:p w:rsidR="00C06C6E" w:rsidRPr="00F47045" w:rsidRDefault="00C06C6E" w:rsidP="00C06C6E">
      <w:pPr>
        <w:rPr>
          <w:bCs/>
          <w:szCs w:val="20"/>
        </w:rPr>
      </w:pPr>
    </w:p>
    <w:p w:rsidR="00C06C6E" w:rsidRPr="00F47045" w:rsidRDefault="00C06C6E" w:rsidP="00C06C6E">
      <w:pPr>
        <w:rPr>
          <w:bCs/>
          <w:szCs w:val="20"/>
        </w:rPr>
      </w:pPr>
      <w:r w:rsidRPr="00F47045">
        <w:rPr>
          <w:bCs/>
          <w:szCs w:val="20"/>
        </w:rPr>
        <w:t>BENEFITS REALIZATION</w:t>
      </w:r>
    </w:p>
    <w:p w:rsidR="00C06C6E" w:rsidRPr="00CF53EE" w:rsidRDefault="00C06C6E" w:rsidP="00C06C6E">
      <w:pPr>
        <w:rPr>
          <w:szCs w:val="20"/>
        </w:rPr>
      </w:pPr>
    </w:p>
    <w:tbl>
      <w:tblPr>
        <w:tblW w:w="4622" w:type="pct"/>
        <w:jc w:val="center"/>
        <w:tblInd w:w="-1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4424"/>
      </w:tblGrid>
      <w:tr w:rsidR="00C06C6E" w:rsidRPr="00E04EBD" w:rsidTr="00970B89">
        <w:trPr>
          <w:trHeight w:val="421"/>
          <w:tblHeader/>
          <w:jc w:val="center"/>
        </w:trPr>
        <w:tc>
          <w:tcPr>
            <w:tcW w:w="2500" w:type="pct"/>
            <w:tcBorders>
              <w:bottom w:val="single" w:sz="4" w:space="0" w:color="auto"/>
            </w:tcBorders>
            <w:shd w:val="clear" w:color="auto" w:fill="C6D9F1" w:themeFill="text2" w:themeFillTint="33"/>
            <w:vAlign w:val="center"/>
          </w:tcPr>
          <w:p w:rsidR="00C06C6E" w:rsidRPr="00E04EBD" w:rsidRDefault="00C06C6E" w:rsidP="00C06C6E">
            <w:pPr>
              <w:jc w:val="center"/>
              <w:rPr>
                <w:b/>
                <w:bCs/>
                <w:sz w:val="16"/>
                <w:szCs w:val="16"/>
              </w:rPr>
            </w:pPr>
            <w:r w:rsidRPr="00E04EBD">
              <w:rPr>
                <w:b/>
                <w:bCs/>
                <w:sz w:val="16"/>
                <w:szCs w:val="16"/>
              </w:rPr>
              <w:t>Expected Benefits 2015</w:t>
            </w:r>
          </w:p>
        </w:tc>
        <w:tc>
          <w:tcPr>
            <w:tcW w:w="2500" w:type="pct"/>
            <w:shd w:val="clear" w:color="auto" w:fill="C6D9F1" w:themeFill="text2" w:themeFillTint="33"/>
            <w:vAlign w:val="center"/>
          </w:tcPr>
          <w:p w:rsidR="00C06C6E" w:rsidRPr="00E04EBD" w:rsidRDefault="00C06C6E" w:rsidP="00C06C6E">
            <w:pPr>
              <w:jc w:val="center"/>
              <w:rPr>
                <w:b/>
                <w:bCs/>
                <w:sz w:val="16"/>
                <w:szCs w:val="16"/>
              </w:rPr>
            </w:pPr>
            <w:r w:rsidRPr="00E04EBD">
              <w:rPr>
                <w:b/>
                <w:bCs/>
                <w:sz w:val="16"/>
                <w:szCs w:val="16"/>
              </w:rPr>
              <w:t>Expected Benefits 2016</w:t>
            </w:r>
          </w:p>
        </w:tc>
      </w:tr>
      <w:tr w:rsidR="00C06C6E" w:rsidRPr="00E04EBD" w:rsidTr="00970B89">
        <w:trPr>
          <w:trHeight w:val="564"/>
          <w:jc w:val="center"/>
        </w:trPr>
        <w:tc>
          <w:tcPr>
            <w:tcW w:w="2500" w:type="pct"/>
            <w:tcBorders>
              <w:top w:val="single" w:sz="4" w:space="0" w:color="auto"/>
              <w:bottom w:val="single" w:sz="4" w:space="0" w:color="auto"/>
            </w:tcBorders>
            <w:vAlign w:val="center"/>
          </w:tcPr>
          <w:p w:rsidR="00C06C6E" w:rsidRPr="00E04EBD" w:rsidRDefault="00C06C6E" w:rsidP="004860F6">
            <w:pPr>
              <w:rPr>
                <w:bCs/>
                <w:sz w:val="16"/>
                <w:szCs w:val="16"/>
              </w:rPr>
            </w:pPr>
            <w:r w:rsidRPr="00E04EBD">
              <w:rPr>
                <w:bCs/>
                <w:color w:val="000000"/>
                <w:sz w:val="16"/>
                <w:szCs w:val="16"/>
              </w:rPr>
              <w:t xml:space="preserve">Partial reduction in energy loss through the South-West </w:t>
            </w:r>
            <w:r>
              <w:rPr>
                <w:bCs/>
                <w:color w:val="000000"/>
                <w:sz w:val="16"/>
                <w:szCs w:val="16"/>
              </w:rPr>
              <w:t>facade</w:t>
            </w:r>
            <w:r w:rsidRPr="00E04EBD">
              <w:rPr>
                <w:bCs/>
                <w:color w:val="000000"/>
                <w:sz w:val="16"/>
                <w:szCs w:val="16"/>
              </w:rPr>
              <w:t xml:space="preserve"> of the AB Building</w:t>
            </w:r>
          </w:p>
        </w:tc>
        <w:tc>
          <w:tcPr>
            <w:tcW w:w="2500" w:type="pct"/>
            <w:shd w:val="clear" w:color="auto" w:fill="auto"/>
            <w:vAlign w:val="center"/>
          </w:tcPr>
          <w:p w:rsidR="00C06C6E" w:rsidRPr="00E04EBD" w:rsidRDefault="00C06C6E" w:rsidP="004860F6">
            <w:pPr>
              <w:rPr>
                <w:bCs/>
                <w:sz w:val="16"/>
                <w:szCs w:val="16"/>
              </w:rPr>
            </w:pPr>
            <w:r w:rsidRPr="00E04EBD">
              <w:rPr>
                <w:bCs/>
                <w:color w:val="000000"/>
                <w:sz w:val="16"/>
                <w:szCs w:val="16"/>
              </w:rPr>
              <w:t xml:space="preserve">Complete reduction in the energy loss from the South-West </w:t>
            </w:r>
            <w:r>
              <w:rPr>
                <w:bCs/>
                <w:color w:val="000000"/>
                <w:sz w:val="16"/>
                <w:szCs w:val="16"/>
              </w:rPr>
              <w:t>facade</w:t>
            </w:r>
            <w:r w:rsidRPr="00E04EBD">
              <w:rPr>
                <w:bCs/>
                <w:color w:val="000000"/>
                <w:sz w:val="16"/>
                <w:szCs w:val="16"/>
              </w:rPr>
              <w:t xml:space="preserve"> of the AB Building</w:t>
            </w:r>
          </w:p>
        </w:tc>
      </w:tr>
      <w:tr w:rsidR="00C06C6E" w:rsidRPr="00E04EBD" w:rsidTr="00970B89">
        <w:trPr>
          <w:trHeight w:val="564"/>
          <w:jc w:val="center"/>
        </w:trPr>
        <w:tc>
          <w:tcPr>
            <w:tcW w:w="2500" w:type="pct"/>
            <w:tcBorders>
              <w:top w:val="single" w:sz="4" w:space="0" w:color="auto"/>
              <w:bottom w:val="single" w:sz="4" w:space="0" w:color="auto"/>
            </w:tcBorders>
            <w:vAlign w:val="center"/>
          </w:tcPr>
          <w:p w:rsidR="00C06C6E" w:rsidRPr="00E04EBD" w:rsidRDefault="00C06C6E" w:rsidP="004860F6">
            <w:pPr>
              <w:rPr>
                <w:bCs/>
                <w:sz w:val="16"/>
                <w:szCs w:val="16"/>
              </w:rPr>
            </w:pPr>
            <w:r w:rsidRPr="00E04EBD">
              <w:rPr>
                <w:bCs/>
                <w:color w:val="000000"/>
                <w:sz w:val="16"/>
                <w:szCs w:val="16"/>
              </w:rPr>
              <w:t xml:space="preserve">Better </w:t>
            </w:r>
            <w:r w:rsidRPr="00033EBA">
              <w:rPr>
                <w:bCs/>
                <w:color w:val="000000"/>
                <w:sz w:val="16"/>
                <w:szCs w:val="16"/>
              </w:rPr>
              <w:t xml:space="preserve"> thermic</w:t>
            </w:r>
            <w:r w:rsidRPr="00E04EBD">
              <w:rPr>
                <w:bCs/>
                <w:color w:val="000000"/>
                <w:sz w:val="16"/>
                <w:szCs w:val="16"/>
              </w:rPr>
              <w:t xml:space="preserve"> comfort during winter</w:t>
            </w:r>
          </w:p>
        </w:tc>
        <w:tc>
          <w:tcPr>
            <w:tcW w:w="2500" w:type="pct"/>
            <w:shd w:val="clear" w:color="auto" w:fill="auto"/>
            <w:vAlign w:val="center"/>
          </w:tcPr>
          <w:p w:rsidR="00C06C6E" w:rsidRPr="0005348A" w:rsidRDefault="00C06C6E" w:rsidP="004860F6">
            <w:pPr>
              <w:rPr>
                <w:bCs/>
                <w:iCs/>
                <w:sz w:val="16"/>
                <w:szCs w:val="16"/>
              </w:rPr>
            </w:pPr>
            <w:r w:rsidRPr="0005348A">
              <w:rPr>
                <w:bCs/>
                <w:iCs/>
                <w:color w:val="000000"/>
                <w:sz w:val="16"/>
                <w:szCs w:val="16"/>
              </w:rPr>
              <w:t xml:space="preserve">Better </w:t>
            </w:r>
            <w:r w:rsidRPr="00033EBA">
              <w:rPr>
                <w:bCs/>
                <w:color w:val="000000"/>
                <w:sz w:val="16"/>
                <w:szCs w:val="16"/>
              </w:rPr>
              <w:t xml:space="preserve"> thermic</w:t>
            </w:r>
            <w:r w:rsidRPr="0005348A">
              <w:rPr>
                <w:bCs/>
                <w:iCs/>
                <w:color w:val="000000"/>
                <w:sz w:val="16"/>
                <w:szCs w:val="16"/>
              </w:rPr>
              <w:t xml:space="preserve"> comfort year-round</w:t>
            </w:r>
          </w:p>
        </w:tc>
      </w:tr>
      <w:tr w:rsidR="00C06C6E" w:rsidRPr="00E04EBD" w:rsidTr="00970B89">
        <w:trPr>
          <w:trHeight w:val="564"/>
          <w:jc w:val="center"/>
        </w:trPr>
        <w:tc>
          <w:tcPr>
            <w:tcW w:w="2500" w:type="pct"/>
            <w:tcBorders>
              <w:top w:val="single" w:sz="4" w:space="0" w:color="auto"/>
              <w:bottom w:val="single" w:sz="4" w:space="0" w:color="auto"/>
            </w:tcBorders>
            <w:vAlign w:val="center"/>
          </w:tcPr>
          <w:p w:rsidR="00C06C6E" w:rsidRPr="00E04EBD" w:rsidRDefault="00C06C6E" w:rsidP="004860F6">
            <w:pPr>
              <w:rPr>
                <w:bCs/>
                <w:sz w:val="16"/>
                <w:szCs w:val="16"/>
              </w:rPr>
            </w:pPr>
            <w:r>
              <w:rPr>
                <w:bCs/>
                <w:color w:val="000000"/>
                <w:sz w:val="16"/>
                <w:szCs w:val="16"/>
              </w:rPr>
              <w:t xml:space="preserve">Recycling </w:t>
            </w:r>
            <w:r w:rsidRPr="00E04EBD">
              <w:rPr>
                <w:bCs/>
                <w:color w:val="000000"/>
                <w:sz w:val="16"/>
                <w:szCs w:val="16"/>
              </w:rPr>
              <w:t xml:space="preserve">of least damaged windows </w:t>
            </w:r>
            <w:r>
              <w:rPr>
                <w:bCs/>
                <w:color w:val="000000"/>
                <w:sz w:val="16"/>
                <w:szCs w:val="16"/>
              </w:rPr>
              <w:t xml:space="preserve">for use </w:t>
            </w:r>
            <w:r w:rsidRPr="00E04EBD">
              <w:rPr>
                <w:bCs/>
                <w:color w:val="000000"/>
                <w:sz w:val="16"/>
                <w:szCs w:val="16"/>
              </w:rPr>
              <w:t>in other facades of the AB Building</w:t>
            </w:r>
          </w:p>
        </w:tc>
        <w:tc>
          <w:tcPr>
            <w:tcW w:w="2500" w:type="pct"/>
            <w:shd w:val="clear" w:color="auto" w:fill="auto"/>
            <w:vAlign w:val="center"/>
          </w:tcPr>
          <w:p w:rsidR="00C06C6E" w:rsidRPr="00E04EBD" w:rsidRDefault="00C06C6E" w:rsidP="004860F6">
            <w:pPr>
              <w:rPr>
                <w:bCs/>
                <w:iCs/>
                <w:sz w:val="16"/>
                <w:szCs w:val="16"/>
              </w:rPr>
            </w:pPr>
            <w:r w:rsidRPr="00E04EBD">
              <w:rPr>
                <w:bCs/>
                <w:iCs/>
                <w:color w:val="000000"/>
                <w:sz w:val="16"/>
                <w:szCs w:val="16"/>
              </w:rPr>
              <w:t>Better energy efficiency</w:t>
            </w:r>
          </w:p>
        </w:tc>
      </w:tr>
      <w:tr w:rsidR="00C06C6E" w:rsidRPr="00E04EBD" w:rsidTr="00970B89">
        <w:trPr>
          <w:trHeight w:val="564"/>
          <w:jc w:val="center"/>
        </w:trPr>
        <w:tc>
          <w:tcPr>
            <w:tcW w:w="2500" w:type="pct"/>
            <w:tcBorders>
              <w:top w:val="single" w:sz="4" w:space="0" w:color="auto"/>
              <w:bottom w:val="single" w:sz="4" w:space="0" w:color="auto"/>
            </w:tcBorders>
            <w:vAlign w:val="center"/>
          </w:tcPr>
          <w:p w:rsidR="00C06C6E" w:rsidRPr="00E04EBD" w:rsidRDefault="00C06C6E" w:rsidP="004860F6">
            <w:pPr>
              <w:rPr>
                <w:bCs/>
                <w:sz w:val="16"/>
                <w:szCs w:val="16"/>
              </w:rPr>
            </w:pPr>
            <w:r w:rsidRPr="00E04EBD">
              <w:rPr>
                <w:bCs/>
                <w:color w:val="000000"/>
                <w:sz w:val="16"/>
                <w:szCs w:val="16"/>
              </w:rPr>
              <w:t>Improved aesthetics of the South-West facade of the AB Building</w:t>
            </w:r>
          </w:p>
        </w:tc>
        <w:tc>
          <w:tcPr>
            <w:tcW w:w="2500" w:type="pct"/>
            <w:shd w:val="clear" w:color="auto" w:fill="auto"/>
            <w:vAlign w:val="center"/>
          </w:tcPr>
          <w:p w:rsidR="00C06C6E" w:rsidRPr="00E04EBD" w:rsidRDefault="00C06C6E" w:rsidP="004860F6">
            <w:pPr>
              <w:rPr>
                <w:bCs/>
                <w:iCs/>
                <w:sz w:val="16"/>
                <w:szCs w:val="16"/>
              </w:rPr>
            </w:pPr>
          </w:p>
        </w:tc>
      </w:tr>
    </w:tbl>
    <w:p w:rsidR="00C06C6E" w:rsidRPr="00E04EBD" w:rsidRDefault="00C06C6E" w:rsidP="00C06C6E">
      <w:pPr>
        <w:rPr>
          <w:b/>
          <w:szCs w:val="20"/>
        </w:rPr>
      </w:pPr>
    </w:p>
    <w:p w:rsidR="00C06C6E" w:rsidRPr="00E04EBD" w:rsidRDefault="00C06C6E" w:rsidP="00C06C6E">
      <w:pPr>
        <w:rPr>
          <w:szCs w:val="20"/>
        </w:rPr>
      </w:pPr>
    </w:p>
    <w:p w:rsidR="00C06C6E" w:rsidRPr="00E04EBD" w:rsidRDefault="00C06C6E" w:rsidP="00C06C6E">
      <w:pPr>
        <w:rPr>
          <w:rFonts w:cs="Arial"/>
          <w:color w:val="000000"/>
          <w:sz w:val="22"/>
          <w:szCs w:val="22"/>
        </w:rPr>
      </w:pPr>
      <w:r>
        <w:rPr>
          <w:rFonts w:cs="Arial"/>
          <w:color w:val="000000"/>
          <w:sz w:val="22"/>
          <w:szCs w:val="22"/>
        </w:rPr>
        <w:t>RESOURCE</w:t>
      </w:r>
      <w:r w:rsidRPr="00E04EBD">
        <w:rPr>
          <w:rFonts w:cs="Arial"/>
          <w:color w:val="000000"/>
          <w:sz w:val="22"/>
          <w:szCs w:val="22"/>
        </w:rPr>
        <w:t xml:space="preserve"> UTILIZATION</w:t>
      </w:r>
      <w:r w:rsidRPr="00E04EBD">
        <w:rPr>
          <w:rFonts w:cs="Arial"/>
          <w:color w:val="000000"/>
          <w:sz w:val="22"/>
          <w:szCs w:val="22"/>
        </w:rPr>
        <w:tab/>
      </w:r>
    </w:p>
    <w:p w:rsidR="00C06C6E" w:rsidRPr="00E04EBD" w:rsidRDefault="00C06C6E" w:rsidP="00C06C6E">
      <w:pPr>
        <w:rPr>
          <w:rFonts w:cs="Arial"/>
          <w:color w:val="000000"/>
          <w:sz w:val="22"/>
          <w:szCs w:val="22"/>
        </w:rPr>
      </w:pPr>
    </w:p>
    <w:p w:rsidR="00C06C6E" w:rsidRPr="00E04EBD" w:rsidRDefault="00C06C6E" w:rsidP="00C06C6E">
      <w:pPr>
        <w:keepNext/>
        <w:keepLines/>
        <w:tabs>
          <w:tab w:val="left" w:pos="3261"/>
        </w:tabs>
        <w:autoSpaceDE w:val="0"/>
        <w:autoSpaceDN w:val="0"/>
        <w:adjustRightInd w:val="0"/>
        <w:jc w:val="center"/>
        <w:rPr>
          <w:b/>
          <w:szCs w:val="22"/>
        </w:rPr>
      </w:pPr>
      <w:r w:rsidRPr="00E04EBD">
        <w:rPr>
          <w:b/>
          <w:szCs w:val="22"/>
        </w:rPr>
        <w:t>Project Budget Utilization</w:t>
      </w:r>
    </w:p>
    <w:p w:rsidR="00C06C6E" w:rsidRPr="00E04EBD" w:rsidRDefault="00C06C6E" w:rsidP="00C06C6E">
      <w:pPr>
        <w:keepNext/>
        <w:keepLines/>
        <w:tabs>
          <w:tab w:val="left" w:pos="3261"/>
        </w:tabs>
        <w:autoSpaceDE w:val="0"/>
        <w:autoSpaceDN w:val="0"/>
        <w:adjustRightInd w:val="0"/>
        <w:jc w:val="center"/>
        <w:rPr>
          <w:i/>
          <w:iCs/>
          <w:sz w:val="18"/>
          <w:szCs w:val="18"/>
        </w:rPr>
      </w:pPr>
      <w:r w:rsidRPr="00E04EBD">
        <w:rPr>
          <w:i/>
          <w:iCs/>
          <w:sz w:val="18"/>
          <w:szCs w:val="18"/>
        </w:rPr>
        <w:t>(In Swiss francs, as at December 31, 2014)</w:t>
      </w:r>
    </w:p>
    <w:p w:rsidR="00C06C6E" w:rsidRPr="00E04EBD" w:rsidRDefault="00C06C6E" w:rsidP="00C06C6E">
      <w:pPr>
        <w:rPr>
          <w:rFonts w:cs="Arial"/>
          <w:color w:val="000000"/>
          <w:sz w:val="22"/>
          <w:szCs w:val="22"/>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C06C6E" w:rsidRPr="00E04EBD" w:rsidTr="00C06C6E">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04EBD" w:rsidRDefault="00C06C6E" w:rsidP="00C06C6E">
            <w:pPr>
              <w:keepNext/>
              <w:keepLines/>
              <w:autoSpaceDE w:val="0"/>
              <w:autoSpaceDN w:val="0"/>
              <w:adjustRightInd w:val="0"/>
              <w:spacing w:before="40" w:after="40"/>
              <w:ind w:left="-74" w:right="-60"/>
              <w:jc w:val="center"/>
              <w:rPr>
                <w:b/>
                <w:bCs/>
                <w:sz w:val="16"/>
                <w:szCs w:val="16"/>
              </w:rPr>
            </w:pPr>
            <w:r w:rsidRPr="00E04EBD">
              <w:rPr>
                <w:b/>
                <w:bCs/>
                <w:sz w:val="16"/>
                <w:szCs w:val="16"/>
              </w:rPr>
              <w:t>Project Name</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04EBD" w:rsidRDefault="00C06C6E" w:rsidP="00C06C6E">
            <w:pPr>
              <w:keepNext/>
              <w:keepLines/>
              <w:autoSpaceDE w:val="0"/>
              <w:autoSpaceDN w:val="0"/>
              <w:adjustRightInd w:val="0"/>
              <w:spacing w:before="40" w:after="40"/>
              <w:ind w:left="-107" w:right="-108"/>
              <w:jc w:val="center"/>
              <w:rPr>
                <w:b/>
                <w:bCs/>
                <w:sz w:val="16"/>
                <w:szCs w:val="16"/>
              </w:rPr>
            </w:pPr>
            <w:r w:rsidRPr="00E04EBD">
              <w:rPr>
                <w:b/>
                <w:bCs/>
                <w:sz w:val="16"/>
                <w:szCs w:val="16"/>
              </w:rPr>
              <w:t>Project Budget</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04EBD" w:rsidRDefault="00C06C6E" w:rsidP="00C06C6E">
            <w:pPr>
              <w:keepNext/>
              <w:keepLines/>
              <w:autoSpaceDE w:val="0"/>
              <w:autoSpaceDN w:val="0"/>
              <w:adjustRightInd w:val="0"/>
              <w:spacing w:before="40" w:after="40"/>
              <w:ind w:left="-108" w:right="-106"/>
              <w:jc w:val="center"/>
              <w:rPr>
                <w:b/>
                <w:bCs/>
                <w:sz w:val="16"/>
                <w:szCs w:val="16"/>
              </w:rPr>
            </w:pPr>
            <w:r w:rsidRPr="00E04EBD">
              <w:rPr>
                <w:b/>
                <w:bCs/>
                <w:sz w:val="16"/>
                <w:szCs w:val="16"/>
              </w:rPr>
              <w:t>Actual Expenditure to Date</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04EBD" w:rsidRDefault="00C06C6E" w:rsidP="00C06C6E">
            <w:pPr>
              <w:keepNext/>
              <w:keepLines/>
              <w:autoSpaceDE w:val="0"/>
              <w:autoSpaceDN w:val="0"/>
              <w:adjustRightInd w:val="0"/>
              <w:spacing w:before="40" w:after="40"/>
              <w:ind w:left="-109" w:right="-108"/>
              <w:jc w:val="center"/>
              <w:rPr>
                <w:b/>
                <w:bCs/>
                <w:sz w:val="16"/>
                <w:szCs w:val="16"/>
              </w:rPr>
            </w:pPr>
            <w:r w:rsidRPr="00E04EBD">
              <w:rPr>
                <w:b/>
                <w:bCs/>
                <w:sz w:val="16"/>
                <w:szCs w:val="16"/>
              </w:rPr>
              <w:t>Actual Budget Utilization</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04EBD" w:rsidRDefault="00C06C6E" w:rsidP="00C06C6E">
            <w:pPr>
              <w:keepNext/>
              <w:keepLines/>
              <w:autoSpaceDE w:val="0"/>
              <w:autoSpaceDN w:val="0"/>
              <w:adjustRightInd w:val="0"/>
              <w:spacing w:before="40" w:after="40"/>
              <w:ind w:left="-109" w:right="-73" w:firstLine="1"/>
              <w:jc w:val="center"/>
              <w:rPr>
                <w:b/>
                <w:bCs/>
                <w:sz w:val="16"/>
                <w:szCs w:val="16"/>
              </w:rPr>
            </w:pPr>
            <w:r w:rsidRPr="00E04EBD">
              <w:rPr>
                <w:b/>
                <w:bCs/>
                <w:sz w:val="16"/>
                <w:szCs w:val="16"/>
              </w:rPr>
              <w:t>Implementation Progress Rate of the Project</w:t>
            </w:r>
          </w:p>
        </w:tc>
      </w:tr>
      <w:tr w:rsidR="00C06C6E" w:rsidRPr="00E04EBD" w:rsidTr="00C06C6E">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C06C6E" w:rsidRPr="00E04EBD" w:rsidRDefault="00C06C6E" w:rsidP="00C06C6E">
            <w:pPr>
              <w:keepNext/>
              <w:keepLines/>
              <w:autoSpaceDE w:val="0"/>
              <w:autoSpaceDN w:val="0"/>
              <w:adjustRightInd w:val="0"/>
              <w:spacing w:before="40" w:after="40" w:line="260" w:lineRule="exact"/>
              <w:rPr>
                <w:sz w:val="16"/>
                <w:szCs w:val="16"/>
              </w:rPr>
            </w:pPr>
            <w:r w:rsidRPr="00C7742C">
              <w:rPr>
                <w:sz w:val="16"/>
                <w:szCs w:val="16"/>
              </w:rPr>
              <w:t xml:space="preserve">Arpad </w:t>
            </w:r>
            <w:proofErr w:type="spellStart"/>
            <w:r w:rsidRPr="00C7742C">
              <w:rPr>
                <w:sz w:val="16"/>
                <w:szCs w:val="16"/>
              </w:rPr>
              <w:t>Bogsch</w:t>
            </w:r>
            <w:proofErr w:type="spellEnd"/>
            <w:r w:rsidRPr="00C7742C">
              <w:rPr>
                <w:sz w:val="16"/>
                <w:szCs w:val="16"/>
              </w:rPr>
              <w:t xml:space="preserve"> Building — replacement of certain windows</w:t>
            </w:r>
          </w:p>
        </w:tc>
        <w:tc>
          <w:tcPr>
            <w:tcW w:w="850" w:type="pct"/>
            <w:tcBorders>
              <w:top w:val="single" w:sz="4" w:space="0" w:color="auto"/>
              <w:left w:val="single" w:sz="4" w:space="0" w:color="auto"/>
              <w:bottom w:val="single" w:sz="4" w:space="0" w:color="auto"/>
              <w:right w:val="single" w:sz="4" w:space="0" w:color="auto"/>
            </w:tcBorders>
            <w:vAlign w:val="center"/>
          </w:tcPr>
          <w:p w:rsidR="00C06C6E" w:rsidRPr="00E04EBD" w:rsidRDefault="00C06C6E" w:rsidP="00C06C6E">
            <w:pPr>
              <w:keepNext/>
              <w:keepLines/>
              <w:autoSpaceDE w:val="0"/>
              <w:autoSpaceDN w:val="0"/>
              <w:adjustRightInd w:val="0"/>
              <w:spacing w:before="40" w:after="40" w:line="260" w:lineRule="exact"/>
              <w:jc w:val="center"/>
              <w:rPr>
                <w:sz w:val="16"/>
                <w:szCs w:val="16"/>
              </w:rPr>
            </w:pPr>
            <w:r w:rsidRPr="00E04EBD">
              <w:rPr>
                <w:sz w:val="16"/>
                <w:szCs w:val="16"/>
              </w:rPr>
              <w:t>300</w:t>
            </w:r>
            <w:r>
              <w:rPr>
                <w:sz w:val="16"/>
                <w:szCs w:val="16"/>
              </w:rPr>
              <w:t>,</w:t>
            </w:r>
            <w:r w:rsidRPr="00E04EBD">
              <w:rPr>
                <w:sz w:val="16"/>
                <w:szCs w:val="16"/>
              </w:rPr>
              <w:t>000</w:t>
            </w:r>
          </w:p>
        </w:tc>
        <w:tc>
          <w:tcPr>
            <w:tcW w:w="851" w:type="pct"/>
            <w:tcBorders>
              <w:top w:val="single" w:sz="4" w:space="0" w:color="auto"/>
              <w:left w:val="single" w:sz="4" w:space="0" w:color="auto"/>
              <w:bottom w:val="single" w:sz="4" w:space="0" w:color="auto"/>
              <w:right w:val="single" w:sz="4" w:space="0" w:color="auto"/>
            </w:tcBorders>
            <w:vAlign w:val="center"/>
          </w:tcPr>
          <w:p w:rsidR="00C06C6E" w:rsidRPr="00E04EBD" w:rsidRDefault="00C06C6E" w:rsidP="00C06C6E">
            <w:pPr>
              <w:keepNext/>
              <w:keepLines/>
              <w:autoSpaceDE w:val="0"/>
              <w:autoSpaceDN w:val="0"/>
              <w:adjustRightInd w:val="0"/>
              <w:spacing w:before="40" w:after="40" w:line="260" w:lineRule="exact"/>
              <w:jc w:val="center"/>
              <w:rPr>
                <w:sz w:val="16"/>
                <w:szCs w:val="16"/>
              </w:rPr>
            </w:pPr>
            <w:r>
              <w:rPr>
                <w:color w:val="000000"/>
                <w:sz w:val="16"/>
                <w:szCs w:val="16"/>
              </w:rPr>
              <w:t>0</w:t>
            </w:r>
          </w:p>
        </w:tc>
        <w:tc>
          <w:tcPr>
            <w:tcW w:w="851" w:type="pct"/>
            <w:tcBorders>
              <w:top w:val="single" w:sz="4" w:space="0" w:color="auto"/>
              <w:left w:val="single" w:sz="4" w:space="0" w:color="auto"/>
              <w:bottom w:val="single" w:sz="4" w:space="0" w:color="auto"/>
              <w:right w:val="single" w:sz="4" w:space="0" w:color="auto"/>
            </w:tcBorders>
            <w:vAlign w:val="center"/>
          </w:tcPr>
          <w:p w:rsidR="00C06C6E" w:rsidRPr="00E04EBD" w:rsidRDefault="00C06C6E" w:rsidP="00C06C6E">
            <w:pPr>
              <w:keepNext/>
              <w:keepLines/>
              <w:autoSpaceDE w:val="0"/>
              <w:autoSpaceDN w:val="0"/>
              <w:adjustRightInd w:val="0"/>
              <w:spacing w:before="40" w:after="40" w:line="260" w:lineRule="exact"/>
              <w:jc w:val="center"/>
              <w:rPr>
                <w:sz w:val="16"/>
                <w:szCs w:val="16"/>
              </w:rPr>
            </w:pPr>
            <w:r w:rsidRPr="00E04EBD">
              <w:rPr>
                <w:sz w:val="16"/>
                <w:szCs w:val="16"/>
              </w:rPr>
              <w:t>0%</w:t>
            </w:r>
          </w:p>
        </w:tc>
        <w:tc>
          <w:tcPr>
            <w:tcW w:w="850" w:type="pct"/>
            <w:tcBorders>
              <w:top w:val="single" w:sz="4" w:space="0" w:color="auto"/>
              <w:left w:val="single" w:sz="4" w:space="0" w:color="auto"/>
              <w:bottom w:val="single" w:sz="4" w:space="0" w:color="auto"/>
              <w:right w:val="single" w:sz="4" w:space="0" w:color="auto"/>
            </w:tcBorders>
            <w:vAlign w:val="center"/>
          </w:tcPr>
          <w:p w:rsidR="00C06C6E" w:rsidRPr="00E04EBD" w:rsidRDefault="00C06C6E" w:rsidP="00C06C6E">
            <w:pPr>
              <w:keepNext/>
              <w:keepLines/>
              <w:autoSpaceDE w:val="0"/>
              <w:autoSpaceDN w:val="0"/>
              <w:adjustRightInd w:val="0"/>
              <w:spacing w:before="40" w:after="40" w:line="260" w:lineRule="exact"/>
              <w:jc w:val="center"/>
              <w:rPr>
                <w:sz w:val="16"/>
                <w:szCs w:val="16"/>
              </w:rPr>
            </w:pPr>
            <w:r>
              <w:rPr>
                <w:sz w:val="16"/>
                <w:szCs w:val="16"/>
              </w:rPr>
              <w:t>-</w:t>
            </w:r>
          </w:p>
        </w:tc>
      </w:tr>
    </w:tbl>
    <w:p w:rsidR="00C06C6E" w:rsidRPr="00E04EBD" w:rsidRDefault="00C06C6E" w:rsidP="00C06C6E">
      <w:pPr>
        <w:keepNext/>
        <w:autoSpaceDE w:val="0"/>
        <w:autoSpaceDN w:val="0"/>
        <w:rPr>
          <w:sz w:val="16"/>
          <w:szCs w:val="16"/>
        </w:rPr>
      </w:pPr>
    </w:p>
    <w:p w:rsidR="00C06C6E" w:rsidRPr="00E04EBD" w:rsidRDefault="00C06C6E" w:rsidP="00C06C6E">
      <w:pPr>
        <w:keepNext/>
        <w:keepLines/>
        <w:tabs>
          <w:tab w:val="left" w:pos="3261"/>
        </w:tabs>
        <w:autoSpaceDE w:val="0"/>
        <w:autoSpaceDN w:val="0"/>
        <w:adjustRightInd w:val="0"/>
        <w:jc w:val="center"/>
        <w:rPr>
          <w:b/>
          <w:szCs w:val="22"/>
        </w:rPr>
      </w:pPr>
    </w:p>
    <w:p w:rsidR="00C06C6E" w:rsidRPr="00E04EBD" w:rsidRDefault="00C06C6E" w:rsidP="00C06C6E">
      <w:pPr>
        <w:keepNext/>
        <w:keepLines/>
        <w:tabs>
          <w:tab w:val="left" w:pos="3261"/>
        </w:tabs>
        <w:autoSpaceDE w:val="0"/>
        <w:autoSpaceDN w:val="0"/>
        <w:adjustRightInd w:val="0"/>
        <w:jc w:val="center"/>
        <w:rPr>
          <w:b/>
          <w:szCs w:val="22"/>
        </w:rPr>
      </w:pPr>
      <w:r w:rsidRPr="00E04EBD">
        <w:rPr>
          <w:b/>
          <w:szCs w:val="22"/>
        </w:rPr>
        <w:t>Project Budget Utilization (by Milestone)</w:t>
      </w:r>
    </w:p>
    <w:p w:rsidR="00C06C6E" w:rsidRPr="00E04EBD" w:rsidRDefault="00C06C6E" w:rsidP="00C06C6E">
      <w:pPr>
        <w:keepNext/>
        <w:keepLines/>
        <w:tabs>
          <w:tab w:val="left" w:pos="3261"/>
        </w:tabs>
        <w:autoSpaceDE w:val="0"/>
        <w:autoSpaceDN w:val="0"/>
        <w:adjustRightInd w:val="0"/>
        <w:jc w:val="center"/>
        <w:rPr>
          <w:i/>
          <w:iCs/>
          <w:sz w:val="18"/>
          <w:szCs w:val="18"/>
        </w:rPr>
      </w:pPr>
      <w:r w:rsidRPr="00E04EBD">
        <w:rPr>
          <w:i/>
          <w:iCs/>
          <w:sz w:val="18"/>
          <w:szCs w:val="18"/>
        </w:rPr>
        <w:t>(In Swiss francs, as at December 31, 2014)</w:t>
      </w:r>
    </w:p>
    <w:p w:rsidR="00C06C6E" w:rsidRPr="00E04EBD" w:rsidRDefault="00C06C6E" w:rsidP="00C06C6E">
      <w:pPr>
        <w:keepNext/>
        <w:autoSpaceDE w:val="0"/>
        <w:autoSpaceDN w:val="0"/>
        <w:rPr>
          <w:sz w:val="16"/>
          <w:szCs w:val="16"/>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8"/>
        <w:gridCol w:w="1575"/>
        <w:gridCol w:w="1575"/>
        <w:gridCol w:w="1575"/>
        <w:gridCol w:w="1575"/>
      </w:tblGrid>
      <w:tr w:rsidR="00C06C6E" w:rsidRPr="00E04EBD" w:rsidTr="00C06C6E">
        <w:trPr>
          <w:trHeight w:val="410"/>
        </w:trPr>
        <w:tc>
          <w:tcPr>
            <w:tcW w:w="157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04EBD" w:rsidRDefault="00C06C6E" w:rsidP="00C06C6E">
            <w:pPr>
              <w:keepNext/>
              <w:keepLines/>
              <w:autoSpaceDE w:val="0"/>
              <w:autoSpaceDN w:val="0"/>
              <w:adjustRightInd w:val="0"/>
              <w:spacing w:before="40" w:after="40"/>
              <w:ind w:left="-74" w:right="-60"/>
              <w:jc w:val="center"/>
              <w:rPr>
                <w:b/>
                <w:bCs/>
                <w:sz w:val="16"/>
                <w:szCs w:val="16"/>
              </w:rPr>
            </w:pPr>
            <w:r w:rsidRPr="00E04EBD">
              <w:rPr>
                <w:b/>
                <w:bCs/>
                <w:sz w:val="16"/>
                <w:szCs w:val="16"/>
              </w:rPr>
              <w:t>Key Milestone</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04EBD" w:rsidRDefault="00C06C6E" w:rsidP="00C06C6E">
            <w:pPr>
              <w:keepNext/>
              <w:keepLines/>
              <w:autoSpaceDE w:val="0"/>
              <w:autoSpaceDN w:val="0"/>
              <w:adjustRightInd w:val="0"/>
              <w:spacing w:before="40" w:after="40"/>
              <w:ind w:left="-107" w:right="-108"/>
              <w:jc w:val="center"/>
              <w:rPr>
                <w:b/>
                <w:bCs/>
                <w:sz w:val="16"/>
                <w:szCs w:val="16"/>
              </w:rPr>
            </w:pPr>
            <w:r w:rsidRPr="00E04EBD">
              <w:rPr>
                <w:b/>
                <w:bCs/>
                <w:sz w:val="16"/>
                <w:szCs w:val="16"/>
              </w:rPr>
              <w:t>Project Budget</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04EBD" w:rsidRDefault="00C06C6E" w:rsidP="00C06C6E">
            <w:pPr>
              <w:keepNext/>
              <w:keepLines/>
              <w:autoSpaceDE w:val="0"/>
              <w:autoSpaceDN w:val="0"/>
              <w:adjustRightInd w:val="0"/>
              <w:spacing w:before="40" w:after="40"/>
              <w:ind w:left="-108" w:right="-106"/>
              <w:jc w:val="center"/>
              <w:rPr>
                <w:b/>
                <w:bCs/>
                <w:sz w:val="16"/>
                <w:szCs w:val="16"/>
              </w:rPr>
            </w:pPr>
            <w:r w:rsidRPr="00E04EBD">
              <w:rPr>
                <w:b/>
                <w:bCs/>
                <w:sz w:val="16"/>
                <w:szCs w:val="16"/>
              </w:rPr>
              <w:t>Actual Expenditure to Date</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04EBD" w:rsidRDefault="00C06C6E" w:rsidP="00C06C6E">
            <w:pPr>
              <w:keepNext/>
              <w:keepLines/>
              <w:autoSpaceDE w:val="0"/>
              <w:autoSpaceDN w:val="0"/>
              <w:adjustRightInd w:val="0"/>
              <w:spacing w:before="40" w:after="40"/>
              <w:ind w:left="-109" w:right="-108"/>
              <w:jc w:val="center"/>
              <w:rPr>
                <w:b/>
                <w:bCs/>
                <w:sz w:val="16"/>
                <w:szCs w:val="16"/>
              </w:rPr>
            </w:pPr>
            <w:r w:rsidRPr="00E04EBD">
              <w:rPr>
                <w:b/>
                <w:bCs/>
                <w:sz w:val="16"/>
                <w:szCs w:val="16"/>
              </w:rPr>
              <w:t>Actual Budget Utilization</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04EBD" w:rsidRDefault="00C06C6E" w:rsidP="00C06C6E">
            <w:pPr>
              <w:keepNext/>
              <w:keepLines/>
              <w:autoSpaceDE w:val="0"/>
              <w:autoSpaceDN w:val="0"/>
              <w:adjustRightInd w:val="0"/>
              <w:spacing w:before="40" w:after="40"/>
              <w:ind w:left="-109" w:right="-73" w:firstLine="1"/>
              <w:jc w:val="center"/>
              <w:rPr>
                <w:b/>
                <w:bCs/>
                <w:sz w:val="16"/>
                <w:szCs w:val="16"/>
              </w:rPr>
            </w:pPr>
            <w:r w:rsidRPr="00E04EBD">
              <w:rPr>
                <w:b/>
                <w:bCs/>
                <w:sz w:val="16"/>
                <w:szCs w:val="16"/>
              </w:rPr>
              <w:t>Implementation Progress Rate by Milestone</w:t>
            </w:r>
          </w:p>
        </w:tc>
      </w:tr>
      <w:tr w:rsidR="00C06C6E" w:rsidRPr="00E04EBD" w:rsidTr="00C06C6E">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C06C6E" w:rsidRPr="00E04EBD" w:rsidRDefault="00C06C6E" w:rsidP="00C06C6E">
            <w:pPr>
              <w:keepNext/>
              <w:keepLines/>
              <w:autoSpaceDE w:val="0"/>
              <w:autoSpaceDN w:val="0"/>
              <w:adjustRightInd w:val="0"/>
              <w:spacing w:before="40" w:after="40" w:line="260" w:lineRule="exact"/>
              <w:rPr>
                <w:sz w:val="16"/>
                <w:szCs w:val="16"/>
              </w:rPr>
            </w:pPr>
            <w:r>
              <w:rPr>
                <w:rFonts w:cs="Arial"/>
                <w:color w:val="000000"/>
                <w:sz w:val="16"/>
                <w:szCs w:val="16"/>
              </w:rPr>
              <w:t>Award of contract to the</w:t>
            </w:r>
            <w:r w:rsidRPr="00E04EBD">
              <w:rPr>
                <w:rFonts w:cs="Arial"/>
                <w:color w:val="000000"/>
                <w:sz w:val="16"/>
                <w:szCs w:val="16"/>
              </w:rPr>
              <w:t xml:space="preserve"> </w:t>
            </w:r>
            <w:r w:rsidRPr="00E04EBD">
              <w:rPr>
                <w:color w:val="000000"/>
                <w:sz w:val="16"/>
                <w:szCs w:val="16"/>
              </w:rPr>
              <w:t>facade engineer</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04EBD" w:rsidRDefault="00C06C6E" w:rsidP="00C06C6E">
            <w:pPr>
              <w:keepNext/>
              <w:keepLines/>
              <w:autoSpaceDE w:val="0"/>
              <w:autoSpaceDN w:val="0"/>
              <w:adjustRightInd w:val="0"/>
              <w:spacing w:before="40" w:after="40" w:line="260" w:lineRule="exact"/>
              <w:jc w:val="center"/>
              <w:rPr>
                <w:sz w:val="16"/>
                <w:szCs w:val="16"/>
              </w:rPr>
            </w:pPr>
            <w:r w:rsidRPr="00E04EBD">
              <w:rPr>
                <w:sz w:val="16"/>
                <w:szCs w:val="16"/>
              </w:rPr>
              <w:t>45</w:t>
            </w:r>
            <w:r>
              <w:rPr>
                <w:sz w:val="16"/>
                <w:szCs w:val="16"/>
              </w:rPr>
              <w:t>,</w:t>
            </w:r>
            <w:r w:rsidRPr="00E04EBD">
              <w:rPr>
                <w:sz w:val="16"/>
                <w:szCs w:val="16"/>
              </w:rPr>
              <w:t>000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04EBD" w:rsidRDefault="00C06C6E" w:rsidP="00C06C6E">
            <w:pPr>
              <w:keepNext/>
              <w:keepLines/>
              <w:autoSpaceDE w:val="0"/>
              <w:autoSpaceDN w:val="0"/>
              <w:adjustRightInd w:val="0"/>
              <w:spacing w:before="40" w:after="40" w:line="260" w:lineRule="exact"/>
              <w:jc w:val="center"/>
              <w:rPr>
                <w:sz w:val="16"/>
                <w:szCs w:val="16"/>
              </w:rPr>
            </w:pPr>
            <w:r w:rsidRPr="00E04EBD">
              <w:rPr>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04EBD" w:rsidRDefault="00C06C6E" w:rsidP="00C06C6E">
            <w:pPr>
              <w:keepNext/>
              <w:keepLines/>
              <w:autoSpaceDE w:val="0"/>
              <w:autoSpaceDN w:val="0"/>
              <w:adjustRightInd w:val="0"/>
              <w:spacing w:before="40" w:after="40" w:line="260" w:lineRule="exact"/>
              <w:jc w:val="center"/>
              <w:rPr>
                <w:sz w:val="16"/>
                <w:szCs w:val="16"/>
              </w:rPr>
            </w:pPr>
            <w:r w:rsidRPr="00E04EBD">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04EBD" w:rsidRDefault="00C06C6E" w:rsidP="00C06C6E">
            <w:pPr>
              <w:keepNext/>
              <w:keepLines/>
              <w:autoSpaceDE w:val="0"/>
              <w:autoSpaceDN w:val="0"/>
              <w:adjustRightInd w:val="0"/>
              <w:spacing w:before="40" w:after="40" w:line="260" w:lineRule="exact"/>
              <w:jc w:val="center"/>
              <w:rPr>
                <w:sz w:val="16"/>
                <w:szCs w:val="16"/>
              </w:rPr>
            </w:pPr>
            <w:r w:rsidRPr="00E04EBD">
              <w:rPr>
                <w:sz w:val="16"/>
                <w:szCs w:val="16"/>
              </w:rPr>
              <w:t>20%</w:t>
            </w:r>
          </w:p>
        </w:tc>
      </w:tr>
      <w:tr w:rsidR="00C06C6E" w:rsidRPr="00E04EBD" w:rsidTr="00C06C6E">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C06C6E" w:rsidRPr="00E04EBD" w:rsidRDefault="00C06C6E" w:rsidP="00C06C6E">
            <w:pPr>
              <w:keepNext/>
              <w:keepLines/>
              <w:autoSpaceDE w:val="0"/>
              <w:autoSpaceDN w:val="0"/>
              <w:adjustRightInd w:val="0"/>
              <w:spacing w:before="40" w:after="40" w:line="260" w:lineRule="exact"/>
              <w:rPr>
                <w:sz w:val="16"/>
                <w:szCs w:val="16"/>
              </w:rPr>
            </w:pPr>
            <w:r w:rsidRPr="00E04EBD">
              <w:rPr>
                <w:color w:val="000000"/>
                <w:sz w:val="16"/>
                <w:szCs w:val="16"/>
              </w:rPr>
              <w:t>Works and commissioning</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04EBD" w:rsidRDefault="00C06C6E" w:rsidP="00C06C6E">
            <w:pPr>
              <w:keepNext/>
              <w:keepLines/>
              <w:autoSpaceDE w:val="0"/>
              <w:autoSpaceDN w:val="0"/>
              <w:adjustRightInd w:val="0"/>
              <w:spacing w:before="40" w:after="40" w:line="260" w:lineRule="exact"/>
              <w:jc w:val="center"/>
              <w:rPr>
                <w:sz w:val="16"/>
                <w:szCs w:val="16"/>
              </w:rPr>
            </w:pPr>
            <w:r w:rsidRPr="00E04EBD">
              <w:rPr>
                <w:sz w:val="16"/>
                <w:szCs w:val="16"/>
              </w:rPr>
              <w:t>255</w:t>
            </w:r>
            <w:r>
              <w:rPr>
                <w:sz w:val="16"/>
                <w:szCs w:val="16"/>
              </w:rPr>
              <w:t>,</w:t>
            </w:r>
            <w:r w:rsidRPr="00E04EBD">
              <w:rPr>
                <w:sz w:val="16"/>
                <w:szCs w:val="16"/>
              </w:rPr>
              <w:t>000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04EBD" w:rsidRDefault="00C06C6E" w:rsidP="00C06C6E">
            <w:pPr>
              <w:keepNext/>
              <w:keepLines/>
              <w:autoSpaceDE w:val="0"/>
              <w:autoSpaceDN w:val="0"/>
              <w:adjustRightInd w:val="0"/>
              <w:spacing w:before="40" w:after="40" w:line="260" w:lineRule="exact"/>
              <w:jc w:val="center"/>
              <w:rPr>
                <w:sz w:val="16"/>
                <w:szCs w:val="16"/>
              </w:rPr>
            </w:pPr>
            <w:r w:rsidRPr="00E04EBD">
              <w:rPr>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04EBD" w:rsidRDefault="00C06C6E" w:rsidP="00C06C6E">
            <w:pPr>
              <w:keepNext/>
              <w:keepLines/>
              <w:autoSpaceDE w:val="0"/>
              <w:autoSpaceDN w:val="0"/>
              <w:adjustRightInd w:val="0"/>
              <w:spacing w:before="40" w:after="40" w:line="260" w:lineRule="exact"/>
              <w:jc w:val="center"/>
              <w:rPr>
                <w:sz w:val="16"/>
                <w:szCs w:val="16"/>
              </w:rPr>
            </w:pPr>
            <w:r w:rsidRPr="00E04EBD">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E04EBD" w:rsidRDefault="00C06C6E" w:rsidP="00C06C6E">
            <w:pPr>
              <w:keepNext/>
              <w:keepLines/>
              <w:autoSpaceDE w:val="0"/>
              <w:autoSpaceDN w:val="0"/>
              <w:adjustRightInd w:val="0"/>
              <w:spacing w:before="40" w:after="40" w:line="260" w:lineRule="exact"/>
              <w:jc w:val="center"/>
              <w:rPr>
                <w:sz w:val="16"/>
                <w:szCs w:val="16"/>
              </w:rPr>
            </w:pPr>
            <w:r>
              <w:rPr>
                <w:sz w:val="16"/>
                <w:szCs w:val="16"/>
              </w:rPr>
              <w:t>-</w:t>
            </w:r>
          </w:p>
        </w:tc>
      </w:tr>
      <w:tr w:rsidR="00C06C6E" w:rsidRPr="00E04EBD" w:rsidTr="00C06C6E">
        <w:trPr>
          <w:trHeight w:val="389"/>
        </w:trPr>
        <w:tc>
          <w:tcPr>
            <w:tcW w:w="157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04EBD" w:rsidRDefault="00C06C6E" w:rsidP="00C06C6E">
            <w:pPr>
              <w:keepNext/>
              <w:keepLines/>
              <w:autoSpaceDE w:val="0"/>
              <w:autoSpaceDN w:val="0"/>
              <w:adjustRightInd w:val="0"/>
              <w:spacing w:before="40" w:after="40" w:line="260" w:lineRule="exact"/>
              <w:rPr>
                <w:b/>
                <w:sz w:val="16"/>
                <w:szCs w:val="16"/>
              </w:rPr>
            </w:pPr>
            <w:r w:rsidRPr="00E04EBD">
              <w:rPr>
                <w:b/>
                <w:sz w:val="16"/>
                <w:szCs w:val="16"/>
              </w:rPr>
              <w:t>Total</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04EBD" w:rsidRDefault="00C06C6E" w:rsidP="00C06C6E">
            <w:pPr>
              <w:keepNext/>
              <w:keepLines/>
              <w:autoSpaceDE w:val="0"/>
              <w:autoSpaceDN w:val="0"/>
              <w:adjustRightInd w:val="0"/>
              <w:spacing w:before="40" w:after="40" w:line="260" w:lineRule="exact"/>
              <w:jc w:val="center"/>
              <w:rPr>
                <w:b/>
                <w:sz w:val="16"/>
                <w:szCs w:val="16"/>
              </w:rPr>
            </w:pPr>
            <w:r w:rsidRPr="00E04EBD">
              <w:rPr>
                <w:b/>
                <w:sz w:val="16"/>
                <w:szCs w:val="16"/>
              </w:rPr>
              <w:t>300</w:t>
            </w:r>
            <w:r>
              <w:rPr>
                <w:b/>
                <w:sz w:val="16"/>
                <w:szCs w:val="16"/>
              </w:rPr>
              <w:t>,</w:t>
            </w:r>
            <w:r w:rsidRPr="00E04EBD">
              <w:rPr>
                <w:b/>
                <w:sz w:val="16"/>
                <w:szCs w:val="16"/>
              </w:rPr>
              <w:t>000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E04EBD" w:rsidRDefault="00C06C6E" w:rsidP="00C06C6E">
            <w:pPr>
              <w:keepNext/>
              <w:keepLines/>
              <w:autoSpaceDE w:val="0"/>
              <w:autoSpaceDN w:val="0"/>
              <w:adjustRightInd w:val="0"/>
              <w:spacing w:before="40" w:after="40" w:line="260" w:lineRule="exact"/>
              <w:jc w:val="center"/>
              <w:rPr>
                <w:b/>
                <w:sz w:val="16"/>
                <w:szCs w:val="16"/>
              </w:rPr>
            </w:pPr>
            <w:r w:rsidRPr="00E04EBD">
              <w:rPr>
                <w:b/>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E04EBD" w:rsidRDefault="00C06C6E" w:rsidP="00C06C6E">
            <w:pPr>
              <w:keepNext/>
              <w:keepLines/>
              <w:autoSpaceDE w:val="0"/>
              <w:autoSpaceDN w:val="0"/>
              <w:adjustRightInd w:val="0"/>
              <w:spacing w:before="40" w:after="40" w:line="260" w:lineRule="exact"/>
              <w:jc w:val="center"/>
              <w:rPr>
                <w:b/>
                <w:sz w:val="16"/>
                <w:szCs w:val="16"/>
              </w:rPr>
            </w:pPr>
            <w:r>
              <w:rPr>
                <w:b/>
                <w:sz w:val="16"/>
                <w:szCs w:val="16"/>
              </w:rPr>
              <w:t>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E04EBD" w:rsidRDefault="00C06C6E" w:rsidP="00C06C6E">
            <w:pPr>
              <w:keepNext/>
              <w:keepLines/>
              <w:autoSpaceDE w:val="0"/>
              <w:autoSpaceDN w:val="0"/>
              <w:adjustRightInd w:val="0"/>
              <w:spacing w:before="40" w:after="40" w:line="260" w:lineRule="exact"/>
              <w:jc w:val="center"/>
              <w:rPr>
                <w:b/>
                <w:sz w:val="16"/>
                <w:szCs w:val="16"/>
              </w:rPr>
            </w:pPr>
          </w:p>
        </w:tc>
      </w:tr>
    </w:tbl>
    <w:p w:rsidR="00C06C6E" w:rsidRPr="00E04EBD" w:rsidRDefault="00C06C6E" w:rsidP="00C06C6E">
      <w:pPr>
        <w:keepNext/>
        <w:keepLines/>
        <w:tabs>
          <w:tab w:val="left" w:pos="3261"/>
        </w:tabs>
        <w:autoSpaceDE w:val="0"/>
        <w:autoSpaceDN w:val="0"/>
        <w:adjustRightInd w:val="0"/>
        <w:rPr>
          <w:b/>
          <w:szCs w:val="22"/>
        </w:rPr>
      </w:pPr>
    </w:p>
    <w:p w:rsidR="00C06C6E" w:rsidRPr="00E04EBD" w:rsidRDefault="00C06C6E" w:rsidP="00C06C6E">
      <w:pPr>
        <w:keepNext/>
        <w:keepLines/>
        <w:tabs>
          <w:tab w:val="left" w:pos="3261"/>
        </w:tabs>
        <w:autoSpaceDE w:val="0"/>
        <w:autoSpaceDN w:val="0"/>
        <w:adjustRightInd w:val="0"/>
        <w:rPr>
          <w:b/>
          <w:szCs w:val="22"/>
        </w:rPr>
      </w:pPr>
    </w:p>
    <w:p w:rsidR="00C06C6E" w:rsidRPr="00E04EBD" w:rsidRDefault="00C06C6E" w:rsidP="00C06C6E">
      <w:pPr>
        <w:keepNext/>
        <w:keepLines/>
        <w:tabs>
          <w:tab w:val="left" w:pos="3261"/>
        </w:tabs>
        <w:autoSpaceDE w:val="0"/>
        <w:autoSpaceDN w:val="0"/>
        <w:adjustRightInd w:val="0"/>
        <w:jc w:val="center"/>
        <w:rPr>
          <w:b/>
          <w:szCs w:val="22"/>
        </w:rPr>
      </w:pPr>
      <w:r w:rsidRPr="00E04EBD">
        <w:rPr>
          <w:b/>
          <w:szCs w:val="22"/>
        </w:rPr>
        <w:t>Project Budget Utilization (by Cost Category)</w:t>
      </w:r>
    </w:p>
    <w:p w:rsidR="00C06C6E" w:rsidRPr="00E04EBD" w:rsidRDefault="00C06C6E" w:rsidP="00C06C6E">
      <w:pPr>
        <w:keepNext/>
        <w:keepLines/>
        <w:tabs>
          <w:tab w:val="left" w:pos="3261"/>
        </w:tabs>
        <w:autoSpaceDE w:val="0"/>
        <w:autoSpaceDN w:val="0"/>
        <w:adjustRightInd w:val="0"/>
        <w:jc w:val="center"/>
        <w:rPr>
          <w:i/>
          <w:iCs/>
          <w:sz w:val="18"/>
          <w:szCs w:val="18"/>
        </w:rPr>
      </w:pPr>
      <w:r w:rsidRPr="00E04EBD">
        <w:rPr>
          <w:i/>
          <w:iCs/>
          <w:sz w:val="18"/>
          <w:szCs w:val="18"/>
        </w:rPr>
        <w:t>(In Swiss francs, as at December 31, 2014)</w:t>
      </w:r>
    </w:p>
    <w:p w:rsidR="00C06C6E" w:rsidRPr="005158E3" w:rsidRDefault="00C06C6E" w:rsidP="00C06C6E">
      <w:pPr>
        <w:keepNext/>
        <w:keepLines/>
        <w:autoSpaceDE w:val="0"/>
        <w:autoSpaceDN w:val="0"/>
        <w:adjustRightInd w:val="0"/>
        <w:jc w:val="center"/>
        <w:rPr>
          <w:sz w:val="16"/>
        </w:rPr>
      </w:pP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838"/>
      </w:tblGrid>
      <w:tr w:rsidR="00C06C6E" w:rsidRPr="00E04EBD" w:rsidTr="00C06C6E">
        <w:trPr>
          <w:trHeight w:val="569"/>
        </w:trPr>
        <w:tc>
          <w:tcPr>
            <w:tcW w:w="18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04EBD" w:rsidRDefault="00C06C6E" w:rsidP="00C06C6E">
            <w:pPr>
              <w:keepNext/>
              <w:keepLines/>
              <w:autoSpaceDE w:val="0"/>
              <w:autoSpaceDN w:val="0"/>
              <w:adjustRightInd w:val="0"/>
              <w:spacing w:before="40" w:after="40" w:line="260" w:lineRule="exact"/>
              <w:ind w:left="-74" w:right="-60"/>
              <w:jc w:val="center"/>
              <w:rPr>
                <w:b/>
                <w:bCs/>
                <w:sz w:val="16"/>
                <w:szCs w:val="16"/>
              </w:rPr>
            </w:pPr>
            <w:r w:rsidRPr="00E04EBD">
              <w:rPr>
                <w:b/>
                <w:bCs/>
                <w:sz w:val="16"/>
                <w:szCs w:val="16"/>
              </w:rPr>
              <w:t>Cost Category</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04EBD" w:rsidRDefault="00C06C6E" w:rsidP="00C06C6E">
            <w:pPr>
              <w:keepNext/>
              <w:keepLines/>
              <w:autoSpaceDE w:val="0"/>
              <w:autoSpaceDN w:val="0"/>
              <w:adjustRightInd w:val="0"/>
              <w:spacing w:before="40" w:after="40" w:line="260" w:lineRule="exact"/>
              <w:ind w:left="-107" w:right="-108"/>
              <w:jc w:val="center"/>
              <w:rPr>
                <w:b/>
                <w:bCs/>
                <w:sz w:val="16"/>
                <w:szCs w:val="16"/>
              </w:rPr>
            </w:pPr>
            <w:r w:rsidRPr="00E04EBD">
              <w:rPr>
                <w:b/>
                <w:bCs/>
                <w:sz w:val="16"/>
                <w:szCs w:val="16"/>
              </w:rPr>
              <w:t>Project Budget</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04EBD" w:rsidRDefault="00C06C6E" w:rsidP="00C06C6E">
            <w:pPr>
              <w:keepNext/>
              <w:keepLines/>
              <w:autoSpaceDE w:val="0"/>
              <w:autoSpaceDN w:val="0"/>
              <w:adjustRightInd w:val="0"/>
              <w:spacing w:before="40" w:after="40" w:line="260" w:lineRule="exact"/>
              <w:ind w:left="-108"/>
              <w:jc w:val="center"/>
              <w:rPr>
                <w:b/>
                <w:bCs/>
                <w:sz w:val="16"/>
                <w:szCs w:val="16"/>
              </w:rPr>
            </w:pPr>
            <w:r w:rsidRPr="00E04EBD">
              <w:rPr>
                <w:b/>
                <w:bCs/>
                <w:sz w:val="16"/>
                <w:szCs w:val="16"/>
              </w:rPr>
              <w:t xml:space="preserve">Actual Expenditure to Date </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04EBD" w:rsidRDefault="00C06C6E" w:rsidP="00C06C6E">
            <w:pPr>
              <w:keepNext/>
              <w:keepLines/>
              <w:autoSpaceDE w:val="0"/>
              <w:autoSpaceDN w:val="0"/>
              <w:adjustRightInd w:val="0"/>
              <w:spacing w:before="40" w:after="40" w:line="260" w:lineRule="exact"/>
              <w:ind w:left="-109"/>
              <w:jc w:val="center"/>
              <w:rPr>
                <w:b/>
                <w:bCs/>
                <w:sz w:val="16"/>
                <w:szCs w:val="16"/>
              </w:rPr>
            </w:pPr>
            <w:r w:rsidRPr="00E04EBD">
              <w:rPr>
                <w:b/>
                <w:bCs/>
                <w:sz w:val="16"/>
                <w:szCs w:val="16"/>
              </w:rPr>
              <w:t>Actual Budget Utilization</w:t>
            </w:r>
          </w:p>
        </w:tc>
      </w:tr>
      <w:tr w:rsidR="00C06C6E" w:rsidRPr="00E04EBD" w:rsidTr="00C06C6E">
        <w:tc>
          <w:tcPr>
            <w:tcW w:w="1854" w:type="pct"/>
            <w:tcBorders>
              <w:top w:val="single" w:sz="4" w:space="0" w:color="auto"/>
              <w:left w:val="single" w:sz="4" w:space="0" w:color="auto"/>
              <w:bottom w:val="single" w:sz="4" w:space="0" w:color="auto"/>
              <w:right w:val="single" w:sz="4" w:space="0" w:color="auto"/>
            </w:tcBorders>
            <w:vAlign w:val="center"/>
          </w:tcPr>
          <w:p w:rsidR="00C06C6E" w:rsidRPr="00E04EBD" w:rsidRDefault="00C06C6E" w:rsidP="00C06C6E">
            <w:pPr>
              <w:autoSpaceDE w:val="0"/>
              <w:autoSpaceDN w:val="0"/>
              <w:adjustRightInd w:val="0"/>
              <w:spacing w:before="40" w:after="40" w:line="260" w:lineRule="exact"/>
              <w:rPr>
                <w:sz w:val="16"/>
                <w:szCs w:val="16"/>
              </w:rPr>
            </w:pPr>
            <w:r w:rsidRPr="00E04EBD">
              <w:rPr>
                <w:color w:val="000000"/>
                <w:sz w:val="16"/>
                <w:szCs w:val="16"/>
              </w:rPr>
              <w:t>Construction</w:t>
            </w:r>
            <w:r>
              <w:rPr>
                <w:color w:val="000000"/>
                <w:sz w:val="16"/>
                <w:szCs w:val="16"/>
              </w:rPr>
              <w:t>-related</w:t>
            </w:r>
            <w:r w:rsidRPr="00E04EBD">
              <w:rPr>
                <w:color w:val="000000"/>
                <w:sz w:val="16"/>
                <w:szCs w:val="16"/>
              </w:rPr>
              <w:t xml:space="preserve"> </w:t>
            </w:r>
            <w:r w:rsidRPr="00E04EBD">
              <w:rPr>
                <w:sz w:val="16"/>
                <w:szCs w:val="16"/>
              </w:rPr>
              <w:t>costs</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E04EBD" w:rsidRDefault="00C06C6E" w:rsidP="00C06C6E">
            <w:pPr>
              <w:autoSpaceDE w:val="0"/>
              <w:autoSpaceDN w:val="0"/>
              <w:adjustRightInd w:val="0"/>
              <w:spacing w:before="40" w:after="40" w:line="260" w:lineRule="exact"/>
              <w:jc w:val="center"/>
              <w:rPr>
                <w:sz w:val="16"/>
                <w:szCs w:val="16"/>
              </w:rPr>
            </w:pPr>
            <w:r w:rsidRPr="00E04EBD">
              <w:rPr>
                <w:sz w:val="16"/>
                <w:szCs w:val="16"/>
              </w:rPr>
              <w:t>234</w:t>
            </w:r>
            <w:r>
              <w:rPr>
                <w:sz w:val="16"/>
                <w:szCs w:val="16"/>
              </w:rPr>
              <w:t>,</w:t>
            </w:r>
            <w:r w:rsidRPr="00E04EBD">
              <w:rPr>
                <w:sz w:val="16"/>
                <w:szCs w:val="16"/>
              </w:rPr>
              <w:t>000</w:t>
            </w:r>
          </w:p>
        </w:tc>
        <w:tc>
          <w:tcPr>
            <w:tcW w:w="1049" w:type="pct"/>
            <w:tcBorders>
              <w:top w:val="single" w:sz="4" w:space="0" w:color="auto"/>
              <w:left w:val="single" w:sz="4" w:space="0" w:color="auto"/>
              <w:bottom w:val="single" w:sz="4" w:space="0" w:color="auto"/>
              <w:right w:val="single" w:sz="4" w:space="0" w:color="auto"/>
            </w:tcBorders>
          </w:tcPr>
          <w:p w:rsidR="00C06C6E" w:rsidRPr="00E04EBD" w:rsidRDefault="00C06C6E" w:rsidP="00C06C6E">
            <w:pPr>
              <w:autoSpaceDE w:val="0"/>
              <w:autoSpaceDN w:val="0"/>
              <w:adjustRightInd w:val="0"/>
              <w:spacing w:before="40" w:after="40" w:line="260" w:lineRule="exact"/>
              <w:jc w:val="center"/>
              <w:rPr>
                <w:sz w:val="16"/>
                <w:szCs w:val="16"/>
              </w:rPr>
            </w:pPr>
            <w:r>
              <w:rPr>
                <w:color w:val="000000"/>
                <w:sz w:val="16"/>
                <w:szCs w:val="16"/>
              </w:rPr>
              <w:t>0</w:t>
            </w:r>
          </w:p>
        </w:tc>
        <w:tc>
          <w:tcPr>
            <w:tcW w:w="1049" w:type="pct"/>
            <w:tcBorders>
              <w:top w:val="single" w:sz="4" w:space="0" w:color="auto"/>
              <w:left w:val="single" w:sz="4" w:space="0" w:color="auto"/>
              <w:bottom w:val="single" w:sz="4" w:space="0" w:color="auto"/>
              <w:right w:val="single" w:sz="4" w:space="0" w:color="auto"/>
            </w:tcBorders>
          </w:tcPr>
          <w:p w:rsidR="00C06C6E" w:rsidRPr="00E04EBD" w:rsidRDefault="00C06C6E" w:rsidP="00C06C6E">
            <w:pPr>
              <w:autoSpaceDE w:val="0"/>
              <w:autoSpaceDN w:val="0"/>
              <w:adjustRightInd w:val="0"/>
              <w:spacing w:before="40" w:after="40" w:line="260" w:lineRule="exact"/>
              <w:jc w:val="center"/>
              <w:rPr>
                <w:sz w:val="16"/>
                <w:szCs w:val="16"/>
              </w:rPr>
            </w:pPr>
            <w:r w:rsidRPr="00E04EBD">
              <w:rPr>
                <w:sz w:val="16"/>
                <w:szCs w:val="16"/>
              </w:rPr>
              <w:t>0%</w:t>
            </w:r>
          </w:p>
        </w:tc>
      </w:tr>
      <w:tr w:rsidR="00C06C6E" w:rsidRPr="00E04EBD" w:rsidTr="00C06C6E">
        <w:tc>
          <w:tcPr>
            <w:tcW w:w="1854" w:type="pct"/>
            <w:tcBorders>
              <w:top w:val="single" w:sz="4" w:space="0" w:color="auto"/>
              <w:left w:val="single" w:sz="4" w:space="0" w:color="auto"/>
              <w:bottom w:val="single" w:sz="4" w:space="0" w:color="auto"/>
              <w:right w:val="single" w:sz="4" w:space="0" w:color="auto"/>
            </w:tcBorders>
            <w:vAlign w:val="center"/>
          </w:tcPr>
          <w:p w:rsidR="00C06C6E" w:rsidRPr="00E04EBD" w:rsidRDefault="00C06C6E" w:rsidP="00C06C6E">
            <w:pPr>
              <w:autoSpaceDE w:val="0"/>
              <w:autoSpaceDN w:val="0"/>
              <w:adjustRightInd w:val="0"/>
              <w:spacing w:before="40" w:after="40" w:line="260" w:lineRule="exact"/>
              <w:rPr>
                <w:sz w:val="16"/>
                <w:szCs w:val="16"/>
              </w:rPr>
            </w:pPr>
            <w:r>
              <w:rPr>
                <w:sz w:val="16"/>
                <w:szCs w:val="16"/>
              </w:rPr>
              <w:t>Honoraria</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E04EBD" w:rsidRDefault="00C06C6E" w:rsidP="00C06C6E">
            <w:pPr>
              <w:autoSpaceDE w:val="0"/>
              <w:autoSpaceDN w:val="0"/>
              <w:adjustRightInd w:val="0"/>
              <w:spacing w:before="40" w:after="40" w:line="260" w:lineRule="exact"/>
              <w:jc w:val="center"/>
              <w:rPr>
                <w:sz w:val="16"/>
                <w:szCs w:val="16"/>
              </w:rPr>
            </w:pPr>
            <w:r w:rsidRPr="00E04EBD">
              <w:rPr>
                <w:sz w:val="16"/>
                <w:szCs w:val="16"/>
              </w:rPr>
              <w:t>45</w:t>
            </w:r>
            <w:r>
              <w:rPr>
                <w:sz w:val="16"/>
                <w:szCs w:val="16"/>
              </w:rPr>
              <w:t>,</w:t>
            </w:r>
            <w:r w:rsidRPr="00E04EBD">
              <w:rPr>
                <w:sz w:val="16"/>
                <w:szCs w:val="16"/>
              </w:rPr>
              <w:t>000</w:t>
            </w:r>
          </w:p>
        </w:tc>
        <w:tc>
          <w:tcPr>
            <w:tcW w:w="1049" w:type="pct"/>
            <w:tcBorders>
              <w:top w:val="single" w:sz="4" w:space="0" w:color="auto"/>
              <w:left w:val="single" w:sz="4" w:space="0" w:color="auto"/>
              <w:bottom w:val="single" w:sz="4" w:space="0" w:color="auto"/>
              <w:right w:val="single" w:sz="4" w:space="0" w:color="auto"/>
            </w:tcBorders>
          </w:tcPr>
          <w:p w:rsidR="00C06C6E" w:rsidRPr="00E04EBD" w:rsidRDefault="00C06C6E" w:rsidP="00C06C6E">
            <w:pPr>
              <w:autoSpaceDE w:val="0"/>
              <w:autoSpaceDN w:val="0"/>
              <w:adjustRightInd w:val="0"/>
              <w:spacing w:before="40" w:after="40" w:line="260" w:lineRule="exact"/>
              <w:jc w:val="center"/>
              <w:rPr>
                <w:sz w:val="16"/>
                <w:szCs w:val="16"/>
              </w:rPr>
            </w:pPr>
            <w:r>
              <w:rPr>
                <w:color w:val="000000"/>
                <w:sz w:val="16"/>
                <w:szCs w:val="16"/>
              </w:rPr>
              <w:t>0</w:t>
            </w:r>
          </w:p>
        </w:tc>
        <w:tc>
          <w:tcPr>
            <w:tcW w:w="1049" w:type="pct"/>
            <w:tcBorders>
              <w:top w:val="single" w:sz="4" w:space="0" w:color="auto"/>
              <w:left w:val="single" w:sz="4" w:space="0" w:color="auto"/>
              <w:bottom w:val="single" w:sz="4" w:space="0" w:color="auto"/>
              <w:right w:val="single" w:sz="4" w:space="0" w:color="auto"/>
            </w:tcBorders>
          </w:tcPr>
          <w:p w:rsidR="00C06C6E" w:rsidRPr="00E04EBD" w:rsidRDefault="00C06C6E" w:rsidP="00C06C6E">
            <w:pPr>
              <w:autoSpaceDE w:val="0"/>
              <w:autoSpaceDN w:val="0"/>
              <w:adjustRightInd w:val="0"/>
              <w:spacing w:before="40" w:after="40" w:line="260" w:lineRule="exact"/>
              <w:jc w:val="center"/>
              <w:rPr>
                <w:sz w:val="16"/>
                <w:szCs w:val="16"/>
              </w:rPr>
            </w:pPr>
            <w:r w:rsidRPr="00E04EBD">
              <w:rPr>
                <w:sz w:val="16"/>
                <w:szCs w:val="16"/>
              </w:rPr>
              <w:t>0%</w:t>
            </w:r>
          </w:p>
        </w:tc>
      </w:tr>
      <w:tr w:rsidR="00C06C6E" w:rsidRPr="00E04EBD" w:rsidTr="005158E3">
        <w:tc>
          <w:tcPr>
            <w:tcW w:w="1854" w:type="pct"/>
            <w:tcBorders>
              <w:top w:val="single" w:sz="4" w:space="0" w:color="auto"/>
              <w:left w:val="single" w:sz="4" w:space="0" w:color="auto"/>
              <w:bottom w:val="single" w:sz="4" w:space="0" w:color="auto"/>
              <w:right w:val="single" w:sz="4" w:space="0" w:color="auto"/>
            </w:tcBorders>
            <w:vAlign w:val="center"/>
          </w:tcPr>
          <w:p w:rsidR="00C06C6E" w:rsidRPr="00E04EBD" w:rsidRDefault="00C06C6E" w:rsidP="00C06C6E">
            <w:pPr>
              <w:autoSpaceDE w:val="0"/>
              <w:autoSpaceDN w:val="0"/>
              <w:adjustRightInd w:val="0"/>
              <w:spacing w:before="40" w:after="40" w:line="260" w:lineRule="exact"/>
              <w:rPr>
                <w:sz w:val="16"/>
                <w:szCs w:val="16"/>
              </w:rPr>
            </w:pPr>
            <w:r w:rsidRPr="00E04EBD">
              <w:rPr>
                <w:sz w:val="16"/>
                <w:szCs w:val="16"/>
              </w:rPr>
              <w:t>Miscellaneous and unforeseen</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E04EBD" w:rsidRDefault="00C06C6E" w:rsidP="00C06C6E">
            <w:pPr>
              <w:autoSpaceDE w:val="0"/>
              <w:autoSpaceDN w:val="0"/>
              <w:adjustRightInd w:val="0"/>
              <w:spacing w:before="40" w:after="40" w:line="260" w:lineRule="exact"/>
              <w:jc w:val="center"/>
              <w:rPr>
                <w:sz w:val="16"/>
                <w:szCs w:val="16"/>
              </w:rPr>
            </w:pPr>
            <w:r w:rsidRPr="00E04EBD">
              <w:rPr>
                <w:sz w:val="16"/>
                <w:szCs w:val="16"/>
              </w:rPr>
              <w:t>21</w:t>
            </w:r>
            <w:r>
              <w:rPr>
                <w:sz w:val="16"/>
                <w:szCs w:val="16"/>
              </w:rPr>
              <w:t>,</w:t>
            </w:r>
            <w:r w:rsidRPr="00E04EBD">
              <w:rPr>
                <w:sz w:val="16"/>
                <w:szCs w:val="16"/>
              </w:rPr>
              <w:t>000</w:t>
            </w:r>
          </w:p>
        </w:tc>
        <w:tc>
          <w:tcPr>
            <w:tcW w:w="1049" w:type="pct"/>
            <w:tcBorders>
              <w:top w:val="single" w:sz="4" w:space="0" w:color="auto"/>
              <w:left w:val="single" w:sz="4" w:space="0" w:color="auto"/>
              <w:bottom w:val="single" w:sz="4" w:space="0" w:color="auto"/>
              <w:right w:val="single" w:sz="4" w:space="0" w:color="auto"/>
            </w:tcBorders>
          </w:tcPr>
          <w:p w:rsidR="00C06C6E" w:rsidRPr="00E04EBD" w:rsidRDefault="00C06C6E" w:rsidP="00C06C6E">
            <w:pPr>
              <w:autoSpaceDE w:val="0"/>
              <w:autoSpaceDN w:val="0"/>
              <w:adjustRightInd w:val="0"/>
              <w:spacing w:before="40" w:after="40" w:line="260" w:lineRule="exact"/>
              <w:jc w:val="center"/>
              <w:rPr>
                <w:sz w:val="16"/>
                <w:szCs w:val="16"/>
              </w:rPr>
            </w:pPr>
            <w:r>
              <w:rPr>
                <w:color w:val="000000"/>
                <w:sz w:val="16"/>
                <w:szCs w:val="16"/>
              </w:rPr>
              <w:t>0</w:t>
            </w:r>
          </w:p>
        </w:tc>
        <w:tc>
          <w:tcPr>
            <w:tcW w:w="1049" w:type="pct"/>
            <w:tcBorders>
              <w:top w:val="single" w:sz="4" w:space="0" w:color="auto"/>
              <w:left w:val="single" w:sz="4" w:space="0" w:color="auto"/>
              <w:bottom w:val="single" w:sz="4" w:space="0" w:color="auto"/>
              <w:right w:val="single" w:sz="4" w:space="0" w:color="auto"/>
            </w:tcBorders>
          </w:tcPr>
          <w:p w:rsidR="00C06C6E" w:rsidRPr="00E04EBD" w:rsidRDefault="00C06C6E" w:rsidP="00C06C6E">
            <w:pPr>
              <w:autoSpaceDE w:val="0"/>
              <w:autoSpaceDN w:val="0"/>
              <w:adjustRightInd w:val="0"/>
              <w:spacing w:before="40" w:after="40" w:line="260" w:lineRule="exact"/>
              <w:jc w:val="center"/>
              <w:rPr>
                <w:sz w:val="16"/>
                <w:szCs w:val="16"/>
              </w:rPr>
            </w:pPr>
            <w:r w:rsidRPr="00E04EBD">
              <w:rPr>
                <w:sz w:val="16"/>
                <w:szCs w:val="16"/>
              </w:rPr>
              <w:t>0%</w:t>
            </w:r>
          </w:p>
        </w:tc>
      </w:tr>
      <w:tr w:rsidR="00C06C6E" w:rsidRPr="00E04EBD" w:rsidTr="005158E3">
        <w:tc>
          <w:tcPr>
            <w:tcW w:w="18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04EBD" w:rsidRDefault="00C06C6E" w:rsidP="00C06C6E">
            <w:pPr>
              <w:autoSpaceDE w:val="0"/>
              <w:autoSpaceDN w:val="0"/>
              <w:adjustRightInd w:val="0"/>
              <w:spacing w:before="40" w:after="40" w:line="260" w:lineRule="exact"/>
              <w:rPr>
                <w:b/>
                <w:sz w:val="16"/>
                <w:szCs w:val="16"/>
              </w:rPr>
            </w:pPr>
            <w:r w:rsidRPr="00E04EBD">
              <w:rPr>
                <w:b/>
                <w:sz w:val="16"/>
                <w:szCs w:val="16"/>
              </w:rPr>
              <w:t>Total</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E04EBD" w:rsidRDefault="00C06C6E" w:rsidP="00C06C6E">
            <w:pPr>
              <w:autoSpaceDE w:val="0"/>
              <w:autoSpaceDN w:val="0"/>
              <w:adjustRightInd w:val="0"/>
              <w:spacing w:before="40" w:after="40" w:line="260" w:lineRule="exact"/>
              <w:jc w:val="center"/>
              <w:rPr>
                <w:b/>
                <w:sz w:val="16"/>
                <w:szCs w:val="16"/>
              </w:rPr>
            </w:pPr>
            <w:r w:rsidRPr="00E04EBD">
              <w:rPr>
                <w:b/>
                <w:sz w:val="16"/>
                <w:szCs w:val="16"/>
              </w:rPr>
              <w:t>300</w:t>
            </w:r>
            <w:r>
              <w:rPr>
                <w:b/>
                <w:sz w:val="16"/>
                <w:szCs w:val="16"/>
              </w:rPr>
              <w:t>,</w:t>
            </w:r>
            <w:r w:rsidRPr="00E04EBD">
              <w:rPr>
                <w:b/>
                <w:sz w:val="16"/>
                <w:szCs w:val="16"/>
              </w:rPr>
              <w:t>000</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E04EBD" w:rsidRDefault="00C06C6E" w:rsidP="00C06C6E">
            <w:pPr>
              <w:autoSpaceDE w:val="0"/>
              <w:autoSpaceDN w:val="0"/>
              <w:adjustRightInd w:val="0"/>
              <w:spacing w:before="40" w:after="40" w:line="260" w:lineRule="exact"/>
              <w:jc w:val="center"/>
              <w:rPr>
                <w:b/>
                <w:sz w:val="16"/>
                <w:szCs w:val="16"/>
              </w:rPr>
            </w:pPr>
            <w:r>
              <w:rPr>
                <w:b/>
                <w:color w:val="000000"/>
                <w:sz w:val="16"/>
                <w:szCs w:val="16"/>
              </w:rPr>
              <w:t>0</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E04EBD" w:rsidRDefault="00C06C6E" w:rsidP="00C06C6E">
            <w:pPr>
              <w:autoSpaceDE w:val="0"/>
              <w:autoSpaceDN w:val="0"/>
              <w:adjustRightInd w:val="0"/>
              <w:spacing w:before="40" w:after="40" w:line="260" w:lineRule="exact"/>
              <w:jc w:val="center"/>
              <w:rPr>
                <w:b/>
                <w:sz w:val="16"/>
                <w:szCs w:val="16"/>
              </w:rPr>
            </w:pPr>
            <w:r>
              <w:rPr>
                <w:b/>
                <w:sz w:val="16"/>
                <w:szCs w:val="16"/>
              </w:rPr>
              <w:t>0%</w:t>
            </w:r>
          </w:p>
        </w:tc>
      </w:tr>
    </w:tbl>
    <w:p w:rsidR="00C06C6E" w:rsidRPr="00E04EBD" w:rsidRDefault="00C06C6E" w:rsidP="00C06C6E">
      <w:pPr>
        <w:rPr>
          <w:rFonts w:cs="Arial"/>
          <w:color w:val="000000"/>
          <w:sz w:val="22"/>
          <w:szCs w:val="22"/>
        </w:rPr>
      </w:pPr>
    </w:p>
    <w:p w:rsidR="00C06C6E" w:rsidRPr="00E04EBD" w:rsidRDefault="00C06C6E" w:rsidP="00C06C6E">
      <w:pPr>
        <w:rPr>
          <w:rFonts w:cs="Arial"/>
          <w:color w:val="000000"/>
          <w:sz w:val="22"/>
          <w:szCs w:val="22"/>
        </w:rPr>
      </w:pPr>
    </w:p>
    <w:p w:rsidR="00C06C6E" w:rsidRPr="00E04EBD" w:rsidRDefault="00C06C6E" w:rsidP="00C06C6E">
      <w:pPr>
        <w:rPr>
          <w:rFonts w:cs="Arial"/>
          <w:color w:val="000000"/>
          <w:sz w:val="22"/>
          <w:szCs w:val="22"/>
        </w:rPr>
      </w:pPr>
      <w:r w:rsidRPr="00E04EBD">
        <w:rPr>
          <w:rFonts w:cs="Arial"/>
          <w:color w:val="000000"/>
          <w:sz w:val="22"/>
          <w:szCs w:val="22"/>
        </w:rPr>
        <w:t>RISK AND MITIGATION STRATEGIES</w:t>
      </w:r>
    </w:p>
    <w:p w:rsidR="00C06C6E" w:rsidRPr="00E04EBD" w:rsidRDefault="00C06C6E" w:rsidP="00C06C6E">
      <w:pPr>
        <w:rPr>
          <w:rFonts w:cs="Arial"/>
          <w:color w:val="000000"/>
          <w:sz w:val="22"/>
          <w:szCs w:val="22"/>
        </w:rPr>
      </w:pPr>
    </w:p>
    <w:tbl>
      <w:tblPr>
        <w:tblW w:w="4813" w:type="pct"/>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3237"/>
        <w:gridCol w:w="3070"/>
      </w:tblGrid>
      <w:tr w:rsidR="00C06C6E" w:rsidRPr="00E04EBD" w:rsidTr="005158E3">
        <w:trPr>
          <w:trHeight w:val="534"/>
          <w:tblHeader/>
          <w:jc w:val="center"/>
        </w:trPr>
        <w:tc>
          <w:tcPr>
            <w:tcW w:w="1577" w:type="pct"/>
            <w:shd w:val="clear" w:color="auto" w:fill="C6D9F1" w:themeFill="text2" w:themeFillTint="33"/>
            <w:vAlign w:val="center"/>
          </w:tcPr>
          <w:p w:rsidR="00C06C6E" w:rsidRPr="00E04EBD" w:rsidRDefault="00C06C6E" w:rsidP="00C06C6E">
            <w:pPr>
              <w:autoSpaceDE w:val="0"/>
              <w:autoSpaceDN w:val="0"/>
              <w:adjustRightInd w:val="0"/>
              <w:spacing w:before="40" w:after="40" w:line="260" w:lineRule="exact"/>
              <w:ind w:left="-74" w:right="-60"/>
              <w:jc w:val="center"/>
              <w:rPr>
                <w:b/>
                <w:bCs/>
                <w:sz w:val="16"/>
                <w:szCs w:val="16"/>
              </w:rPr>
            </w:pPr>
            <w:r w:rsidRPr="00E04EBD">
              <w:rPr>
                <w:b/>
                <w:bCs/>
                <w:sz w:val="16"/>
                <w:szCs w:val="16"/>
              </w:rPr>
              <w:t xml:space="preserve">Risk </w:t>
            </w:r>
          </w:p>
        </w:tc>
        <w:tc>
          <w:tcPr>
            <w:tcW w:w="1757" w:type="pct"/>
            <w:shd w:val="clear" w:color="auto" w:fill="C6D9F1" w:themeFill="text2" w:themeFillTint="33"/>
            <w:vAlign w:val="center"/>
          </w:tcPr>
          <w:p w:rsidR="00C06C6E" w:rsidRPr="00E04EBD" w:rsidRDefault="00C06C6E" w:rsidP="00C06C6E">
            <w:pPr>
              <w:autoSpaceDE w:val="0"/>
              <w:autoSpaceDN w:val="0"/>
              <w:adjustRightInd w:val="0"/>
              <w:spacing w:before="40" w:after="40" w:line="260" w:lineRule="exact"/>
              <w:ind w:left="-107" w:right="-108"/>
              <w:jc w:val="center"/>
              <w:rPr>
                <w:b/>
                <w:bCs/>
                <w:sz w:val="16"/>
                <w:szCs w:val="16"/>
              </w:rPr>
            </w:pPr>
            <w:r w:rsidRPr="00E04EBD">
              <w:rPr>
                <w:b/>
                <w:bCs/>
                <w:sz w:val="16"/>
                <w:szCs w:val="16"/>
              </w:rPr>
              <w:t>Description</w:t>
            </w:r>
          </w:p>
        </w:tc>
        <w:tc>
          <w:tcPr>
            <w:tcW w:w="1666" w:type="pct"/>
            <w:shd w:val="clear" w:color="auto" w:fill="C6D9F1" w:themeFill="text2" w:themeFillTint="33"/>
            <w:vAlign w:val="center"/>
          </w:tcPr>
          <w:p w:rsidR="00C06C6E" w:rsidRPr="00E04EBD" w:rsidRDefault="00C06C6E" w:rsidP="00C06C6E">
            <w:pPr>
              <w:autoSpaceDE w:val="0"/>
              <w:autoSpaceDN w:val="0"/>
              <w:adjustRightInd w:val="0"/>
              <w:spacing w:before="40" w:after="40" w:line="260" w:lineRule="exact"/>
              <w:ind w:left="-109"/>
              <w:jc w:val="center"/>
              <w:rPr>
                <w:b/>
                <w:bCs/>
                <w:sz w:val="16"/>
                <w:szCs w:val="16"/>
              </w:rPr>
            </w:pPr>
            <w:r w:rsidRPr="00E04EBD">
              <w:rPr>
                <w:b/>
                <w:bCs/>
                <w:sz w:val="16"/>
                <w:szCs w:val="16"/>
              </w:rPr>
              <w:t>Risk Mitigation</w:t>
            </w:r>
          </w:p>
        </w:tc>
      </w:tr>
      <w:tr w:rsidR="00C06C6E" w:rsidRPr="00E04EBD" w:rsidTr="005158E3">
        <w:trPr>
          <w:trHeight w:val="776"/>
          <w:jc w:val="center"/>
        </w:trPr>
        <w:tc>
          <w:tcPr>
            <w:tcW w:w="1577" w:type="pct"/>
            <w:shd w:val="clear" w:color="auto" w:fill="auto"/>
          </w:tcPr>
          <w:p w:rsidR="00C06C6E" w:rsidRPr="00E04EBD" w:rsidRDefault="00C06C6E" w:rsidP="00C06C6E">
            <w:pPr>
              <w:autoSpaceDE w:val="0"/>
              <w:autoSpaceDN w:val="0"/>
              <w:adjustRightInd w:val="0"/>
              <w:spacing w:before="40" w:after="40"/>
              <w:rPr>
                <w:sz w:val="16"/>
                <w:szCs w:val="16"/>
              </w:rPr>
            </w:pPr>
            <w:r w:rsidRPr="00E04EBD">
              <w:rPr>
                <w:color w:val="000000"/>
                <w:sz w:val="16"/>
                <w:szCs w:val="16"/>
              </w:rPr>
              <w:t>Delay in starting the project</w:t>
            </w:r>
          </w:p>
        </w:tc>
        <w:tc>
          <w:tcPr>
            <w:tcW w:w="1757" w:type="pct"/>
            <w:shd w:val="clear" w:color="auto" w:fill="auto"/>
          </w:tcPr>
          <w:p w:rsidR="00C06C6E" w:rsidRPr="00E04EBD" w:rsidRDefault="00C06C6E" w:rsidP="00C06C6E">
            <w:pPr>
              <w:autoSpaceDE w:val="0"/>
              <w:autoSpaceDN w:val="0"/>
              <w:adjustRightInd w:val="0"/>
              <w:spacing w:before="40" w:after="40"/>
              <w:rPr>
                <w:sz w:val="16"/>
                <w:szCs w:val="16"/>
              </w:rPr>
            </w:pPr>
            <w:r>
              <w:rPr>
                <w:color w:val="000000"/>
                <w:sz w:val="16"/>
                <w:szCs w:val="16"/>
              </w:rPr>
              <w:t>Start of  p</w:t>
            </w:r>
            <w:r w:rsidRPr="00E04EBD">
              <w:rPr>
                <w:color w:val="000000"/>
                <w:sz w:val="16"/>
                <w:szCs w:val="16"/>
              </w:rPr>
              <w:t>roject</w:t>
            </w:r>
            <w:r>
              <w:rPr>
                <w:color w:val="000000"/>
                <w:sz w:val="16"/>
                <w:szCs w:val="16"/>
              </w:rPr>
              <w:t xml:space="preserve"> </w:t>
            </w:r>
            <w:r w:rsidRPr="00E04EBD">
              <w:rPr>
                <w:color w:val="000000"/>
                <w:sz w:val="16"/>
                <w:szCs w:val="16"/>
              </w:rPr>
              <w:t xml:space="preserve">delayed by one year as a result of </w:t>
            </w:r>
            <w:r>
              <w:rPr>
                <w:color w:val="000000"/>
                <w:sz w:val="16"/>
                <w:szCs w:val="16"/>
              </w:rPr>
              <w:t xml:space="preserve">delay in completion </w:t>
            </w:r>
            <w:r w:rsidRPr="00E04EBD">
              <w:rPr>
                <w:color w:val="000000"/>
                <w:sz w:val="16"/>
                <w:szCs w:val="16"/>
              </w:rPr>
              <w:t xml:space="preserve">of the </w:t>
            </w:r>
            <w:r>
              <w:rPr>
                <w:color w:val="000000"/>
                <w:sz w:val="16"/>
                <w:szCs w:val="16"/>
              </w:rPr>
              <w:t>n</w:t>
            </w:r>
            <w:r w:rsidRPr="00E04EBD">
              <w:rPr>
                <w:color w:val="000000"/>
                <w:sz w:val="16"/>
                <w:szCs w:val="16"/>
              </w:rPr>
              <w:t xml:space="preserve">ew </w:t>
            </w:r>
            <w:r>
              <w:rPr>
                <w:color w:val="000000"/>
                <w:sz w:val="16"/>
                <w:szCs w:val="16"/>
              </w:rPr>
              <w:t xml:space="preserve">WIPO </w:t>
            </w:r>
            <w:r w:rsidRPr="00E04EBD">
              <w:rPr>
                <w:color w:val="000000"/>
                <w:sz w:val="16"/>
                <w:szCs w:val="16"/>
              </w:rPr>
              <w:t>Conference Hall</w:t>
            </w:r>
          </w:p>
          <w:p w:rsidR="00C06C6E" w:rsidRPr="00E04EBD" w:rsidRDefault="00C06C6E" w:rsidP="00C06C6E">
            <w:pPr>
              <w:autoSpaceDE w:val="0"/>
              <w:autoSpaceDN w:val="0"/>
              <w:adjustRightInd w:val="0"/>
              <w:spacing w:before="40" w:after="40"/>
              <w:rPr>
                <w:sz w:val="16"/>
                <w:szCs w:val="16"/>
              </w:rPr>
            </w:pPr>
          </w:p>
          <w:p w:rsidR="00C06C6E" w:rsidRPr="00E04EBD" w:rsidRDefault="00C06C6E" w:rsidP="00C06C6E">
            <w:pPr>
              <w:autoSpaceDE w:val="0"/>
              <w:autoSpaceDN w:val="0"/>
              <w:adjustRightInd w:val="0"/>
              <w:spacing w:before="40" w:after="40"/>
              <w:rPr>
                <w:sz w:val="16"/>
                <w:szCs w:val="16"/>
              </w:rPr>
            </w:pPr>
            <w:r w:rsidRPr="00E04EBD">
              <w:rPr>
                <w:color w:val="000000"/>
                <w:sz w:val="16"/>
                <w:szCs w:val="16"/>
              </w:rPr>
              <w:t>Works to be carried out over the summer</w:t>
            </w:r>
          </w:p>
        </w:tc>
        <w:tc>
          <w:tcPr>
            <w:tcW w:w="1666" w:type="pct"/>
            <w:shd w:val="clear" w:color="auto" w:fill="auto"/>
          </w:tcPr>
          <w:p w:rsidR="00C06C6E" w:rsidRPr="00E04EBD" w:rsidRDefault="00C06C6E" w:rsidP="00C06C6E">
            <w:pPr>
              <w:autoSpaceDE w:val="0"/>
              <w:autoSpaceDN w:val="0"/>
              <w:adjustRightInd w:val="0"/>
              <w:spacing w:before="40" w:after="40"/>
              <w:rPr>
                <w:sz w:val="16"/>
                <w:szCs w:val="16"/>
              </w:rPr>
            </w:pPr>
            <w:r>
              <w:rPr>
                <w:color w:val="000000"/>
                <w:sz w:val="16"/>
                <w:szCs w:val="16"/>
              </w:rPr>
              <w:t>Shift</w:t>
            </w:r>
            <w:r w:rsidRPr="00E04EBD">
              <w:rPr>
                <w:color w:val="000000"/>
                <w:sz w:val="16"/>
                <w:szCs w:val="16"/>
              </w:rPr>
              <w:t xml:space="preserve"> the project</w:t>
            </w:r>
            <w:r>
              <w:rPr>
                <w:color w:val="000000"/>
                <w:sz w:val="16"/>
                <w:szCs w:val="16"/>
              </w:rPr>
              <w:t>’</w:t>
            </w:r>
            <w:r w:rsidRPr="00E04EBD">
              <w:rPr>
                <w:color w:val="000000"/>
                <w:sz w:val="16"/>
                <w:szCs w:val="16"/>
              </w:rPr>
              <w:t>s general schedule</w:t>
            </w:r>
          </w:p>
          <w:p w:rsidR="00C06C6E" w:rsidRPr="00E04EBD" w:rsidRDefault="00C06C6E" w:rsidP="00C06C6E">
            <w:pPr>
              <w:autoSpaceDE w:val="0"/>
              <w:autoSpaceDN w:val="0"/>
              <w:adjustRightInd w:val="0"/>
              <w:spacing w:before="40" w:after="40"/>
              <w:rPr>
                <w:sz w:val="16"/>
                <w:szCs w:val="16"/>
              </w:rPr>
            </w:pPr>
          </w:p>
          <w:p w:rsidR="00C06C6E" w:rsidRPr="00E04EBD" w:rsidRDefault="00C06C6E" w:rsidP="00C06C6E">
            <w:pPr>
              <w:autoSpaceDE w:val="0"/>
              <w:autoSpaceDN w:val="0"/>
              <w:adjustRightInd w:val="0"/>
              <w:spacing w:before="40" w:after="40"/>
              <w:rPr>
                <w:sz w:val="16"/>
                <w:szCs w:val="16"/>
              </w:rPr>
            </w:pPr>
          </w:p>
          <w:p w:rsidR="00C06C6E" w:rsidRPr="00E04EBD" w:rsidRDefault="00C06C6E" w:rsidP="00C06C6E">
            <w:pPr>
              <w:autoSpaceDE w:val="0"/>
              <w:autoSpaceDN w:val="0"/>
              <w:adjustRightInd w:val="0"/>
              <w:spacing w:before="40" w:after="40"/>
              <w:rPr>
                <w:sz w:val="16"/>
                <w:szCs w:val="16"/>
              </w:rPr>
            </w:pPr>
            <w:r w:rsidRPr="00E04EBD">
              <w:rPr>
                <w:color w:val="000000"/>
                <w:sz w:val="16"/>
                <w:szCs w:val="16"/>
              </w:rPr>
              <w:t>Rethink the schedule to start the works at the beginning of Summer 2015</w:t>
            </w:r>
          </w:p>
        </w:tc>
      </w:tr>
      <w:tr w:rsidR="00C06C6E" w:rsidRPr="00E04EBD" w:rsidTr="005158E3">
        <w:trPr>
          <w:trHeight w:val="776"/>
          <w:jc w:val="center"/>
        </w:trPr>
        <w:tc>
          <w:tcPr>
            <w:tcW w:w="1577" w:type="pct"/>
            <w:shd w:val="clear" w:color="auto" w:fill="auto"/>
          </w:tcPr>
          <w:p w:rsidR="00C06C6E" w:rsidRPr="00E04EBD" w:rsidRDefault="00C06C6E" w:rsidP="00C06C6E">
            <w:pPr>
              <w:rPr>
                <w:sz w:val="16"/>
                <w:szCs w:val="16"/>
              </w:rPr>
            </w:pPr>
            <w:r>
              <w:rPr>
                <w:rFonts w:cs="Arial"/>
                <w:color w:val="000000"/>
                <w:sz w:val="16"/>
                <w:szCs w:val="22"/>
              </w:rPr>
              <w:t>Conflicting</w:t>
            </w:r>
            <w:r w:rsidRPr="00D81F27">
              <w:rPr>
                <w:rFonts w:cs="Arial"/>
                <w:color w:val="000000"/>
                <w:sz w:val="16"/>
                <w:szCs w:val="22"/>
              </w:rPr>
              <w:t xml:space="preserve"> priorities between advancing</w:t>
            </w:r>
            <w:r>
              <w:rPr>
                <w:rFonts w:cs="Arial"/>
                <w:color w:val="000000"/>
                <w:sz w:val="16"/>
                <w:szCs w:val="22"/>
              </w:rPr>
              <w:t xml:space="preserve"> works</w:t>
            </w:r>
            <w:r w:rsidRPr="00D81F27">
              <w:rPr>
                <w:rFonts w:cs="Arial"/>
                <w:color w:val="000000"/>
                <w:sz w:val="16"/>
                <w:szCs w:val="22"/>
              </w:rPr>
              <w:t xml:space="preserve"> and </w:t>
            </w:r>
            <w:r>
              <w:rPr>
                <w:rFonts w:cs="Arial"/>
                <w:color w:val="000000"/>
                <w:sz w:val="16"/>
                <w:szCs w:val="22"/>
              </w:rPr>
              <w:t xml:space="preserve">use of  </w:t>
            </w:r>
            <w:r w:rsidRPr="00D81F27">
              <w:rPr>
                <w:rFonts w:cs="Arial"/>
                <w:color w:val="000000"/>
                <w:sz w:val="16"/>
                <w:szCs w:val="22"/>
              </w:rPr>
              <w:t>the offices</w:t>
            </w:r>
            <w:r>
              <w:rPr>
                <w:rFonts w:cs="Arial"/>
                <w:color w:val="000000"/>
                <w:sz w:val="16"/>
                <w:szCs w:val="22"/>
              </w:rPr>
              <w:t xml:space="preserve"> by their occupants</w:t>
            </w:r>
          </w:p>
        </w:tc>
        <w:tc>
          <w:tcPr>
            <w:tcW w:w="1757" w:type="pct"/>
            <w:shd w:val="clear" w:color="auto" w:fill="auto"/>
          </w:tcPr>
          <w:p w:rsidR="00C06C6E" w:rsidRPr="00E04EBD" w:rsidRDefault="00C06C6E" w:rsidP="00C06C6E">
            <w:pPr>
              <w:autoSpaceDE w:val="0"/>
              <w:autoSpaceDN w:val="0"/>
              <w:adjustRightInd w:val="0"/>
              <w:spacing w:before="40" w:after="40"/>
              <w:rPr>
                <w:sz w:val="16"/>
                <w:szCs w:val="16"/>
              </w:rPr>
            </w:pPr>
            <w:r>
              <w:rPr>
                <w:color w:val="000000"/>
                <w:sz w:val="16"/>
                <w:szCs w:val="16"/>
              </w:rPr>
              <w:t>I</w:t>
            </w:r>
            <w:r w:rsidRPr="00E04EBD">
              <w:rPr>
                <w:color w:val="000000"/>
                <w:sz w:val="16"/>
                <w:szCs w:val="16"/>
              </w:rPr>
              <w:t>nab</w:t>
            </w:r>
            <w:r>
              <w:rPr>
                <w:color w:val="000000"/>
                <w:sz w:val="16"/>
                <w:szCs w:val="16"/>
              </w:rPr>
              <w:t>i</w:t>
            </w:r>
            <w:r w:rsidRPr="00E04EBD">
              <w:rPr>
                <w:color w:val="000000"/>
                <w:sz w:val="16"/>
                <w:szCs w:val="16"/>
              </w:rPr>
              <w:t>l</w:t>
            </w:r>
            <w:r>
              <w:rPr>
                <w:color w:val="000000"/>
                <w:sz w:val="16"/>
                <w:szCs w:val="16"/>
              </w:rPr>
              <w:t>ity</w:t>
            </w:r>
            <w:r w:rsidRPr="00E04EBD">
              <w:rPr>
                <w:color w:val="000000"/>
                <w:sz w:val="16"/>
                <w:szCs w:val="16"/>
              </w:rPr>
              <w:t xml:space="preserve"> to free the offices of their occupants to be able to begin works on the floor</w:t>
            </w:r>
            <w:r w:rsidRPr="00E04EBD">
              <w:rPr>
                <w:sz w:val="16"/>
                <w:szCs w:val="16"/>
              </w:rPr>
              <w:t xml:space="preserve"> </w:t>
            </w:r>
            <w:r>
              <w:rPr>
                <w:sz w:val="16"/>
                <w:szCs w:val="16"/>
              </w:rPr>
              <w:t>concerned</w:t>
            </w:r>
          </w:p>
        </w:tc>
        <w:tc>
          <w:tcPr>
            <w:tcW w:w="1666" w:type="pct"/>
            <w:shd w:val="clear" w:color="auto" w:fill="auto"/>
          </w:tcPr>
          <w:p w:rsidR="00C06C6E" w:rsidRPr="00E04EBD" w:rsidRDefault="00C06C6E" w:rsidP="00C06C6E">
            <w:pPr>
              <w:autoSpaceDE w:val="0"/>
              <w:autoSpaceDN w:val="0"/>
              <w:adjustRightInd w:val="0"/>
              <w:spacing w:before="40" w:after="40"/>
              <w:rPr>
                <w:sz w:val="16"/>
                <w:szCs w:val="16"/>
              </w:rPr>
            </w:pPr>
            <w:r>
              <w:rPr>
                <w:color w:val="000000"/>
                <w:sz w:val="16"/>
                <w:szCs w:val="16"/>
              </w:rPr>
              <w:t>Re</w:t>
            </w:r>
            <w:r w:rsidRPr="00E04EBD">
              <w:rPr>
                <w:color w:val="000000"/>
                <w:sz w:val="16"/>
                <w:szCs w:val="16"/>
              </w:rPr>
              <w:t>organiz</w:t>
            </w:r>
            <w:r>
              <w:rPr>
                <w:color w:val="000000"/>
                <w:sz w:val="16"/>
                <w:szCs w:val="16"/>
              </w:rPr>
              <w:t>e</w:t>
            </w:r>
            <w:r w:rsidRPr="00E04EBD">
              <w:rPr>
                <w:color w:val="000000"/>
                <w:sz w:val="16"/>
                <w:szCs w:val="16"/>
              </w:rPr>
              <w:t xml:space="preserve"> the construction works if possible, and review the works </w:t>
            </w:r>
            <w:r>
              <w:rPr>
                <w:color w:val="000000"/>
                <w:sz w:val="16"/>
                <w:szCs w:val="16"/>
              </w:rPr>
              <w:t>timetable</w:t>
            </w:r>
          </w:p>
        </w:tc>
      </w:tr>
      <w:tr w:rsidR="00C06C6E" w:rsidRPr="00E04EBD" w:rsidTr="005158E3">
        <w:trPr>
          <w:trHeight w:val="479"/>
          <w:jc w:val="center"/>
        </w:trPr>
        <w:tc>
          <w:tcPr>
            <w:tcW w:w="1577" w:type="pct"/>
            <w:shd w:val="clear" w:color="auto" w:fill="auto"/>
          </w:tcPr>
          <w:p w:rsidR="00C06C6E" w:rsidRPr="00E04EBD" w:rsidRDefault="00C06C6E" w:rsidP="00C06C6E">
            <w:pPr>
              <w:autoSpaceDE w:val="0"/>
              <w:autoSpaceDN w:val="0"/>
              <w:adjustRightInd w:val="0"/>
              <w:spacing w:before="40" w:after="40"/>
              <w:rPr>
                <w:sz w:val="16"/>
                <w:szCs w:val="16"/>
              </w:rPr>
            </w:pPr>
            <w:r>
              <w:rPr>
                <w:color w:val="000000"/>
                <w:sz w:val="16"/>
                <w:szCs w:val="16"/>
              </w:rPr>
              <w:t>I</w:t>
            </w:r>
            <w:r w:rsidRPr="00E04EBD">
              <w:rPr>
                <w:color w:val="000000"/>
                <w:sz w:val="16"/>
                <w:szCs w:val="16"/>
              </w:rPr>
              <w:t>nab</w:t>
            </w:r>
            <w:r>
              <w:rPr>
                <w:color w:val="000000"/>
                <w:sz w:val="16"/>
                <w:szCs w:val="16"/>
              </w:rPr>
              <w:t>i</w:t>
            </w:r>
            <w:r w:rsidRPr="00E04EBD">
              <w:rPr>
                <w:color w:val="000000"/>
                <w:sz w:val="16"/>
                <w:szCs w:val="16"/>
              </w:rPr>
              <w:t>l</w:t>
            </w:r>
            <w:r>
              <w:rPr>
                <w:color w:val="000000"/>
                <w:sz w:val="16"/>
                <w:szCs w:val="16"/>
              </w:rPr>
              <w:t>ity</w:t>
            </w:r>
            <w:r w:rsidRPr="00E04EBD">
              <w:rPr>
                <w:color w:val="000000"/>
                <w:sz w:val="16"/>
                <w:szCs w:val="16"/>
              </w:rPr>
              <w:t xml:space="preserve"> to carry out the works during Summer 2015</w:t>
            </w:r>
          </w:p>
        </w:tc>
        <w:tc>
          <w:tcPr>
            <w:tcW w:w="1757" w:type="pct"/>
            <w:shd w:val="clear" w:color="auto" w:fill="auto"/>
          </w:tcPr>
          <w:p w:rsidR="00C06C6E" w:rsidRPr="00E04EBD" w:rsidRDefault="00C06C6E" w:rsidP="00C06C6E">
            <w:pPr>
              <w:autoSpaceDE w:val="0"/>
              <w:autoSpaceDN w:val="0"/>
              <w:adjustRightInd w:val="0"/>
              <w:spacing w:before="40" w:after="40"/>
              <w:rPr>
                <w:sz w:val="16"/>
                <w:szCs w:val="16"/>
              </w:rPr>
            </w:pPr>
            <w:r w:rsidRPr="00E04EBD">
              <w:rPr>
                <w:color w:val="000000"/>
                <w:sz w:val="16"/>
                <w:szCs w:val="16"/>
              </w:rPr>
              <w:t xml:space="preserve">Unavailability of </w:t>
            </w:r>
            <w:r>
              <w:rPr>
                <w:color w:val="000000"/>
                <w:sz w:val="16"/>
                <w:szCs w:val="16"/>
              </w:rPr>
              <w:t>firms</w:t>
            </w:r>
            <w:r w:rsidRPr="00E04EBD">
              <w:rPr>
                <w:color w:val="000000"/>
                <w:sz w:val="16"/>
                <w:szCs w:val="16"/>
              </w:rPr>
              <w:t xml:space="preserve"> </w:t>
            </w:r>
            <w:r>
              <w:rPr>
                <w:color w:val="000000"/>
                <w:sz w:val="16"/>
                <w:szCs w:val="16"/>
              </w:rPr>
              <w:t>within</w:t>
            </w:r>
            <w:r w:rsidRPr="00E04EBD">
              <w:rPr>
                <w:color w:val="000000"/>
                <w:sz w:val="16"/>
                <w:szCs w:val="16"/>
              </w:rPr>
              <w:t xml:space="preserve"> WIPO's requested deadline</w:t>
            </w:r>
          </w:p>
        </w:tc>
        <w:tc>
          <w:tcPr>
            <w:tcW w:w="1666" w:type="pct"/>
            <w:shd w:val="clear" w:color="auto" w:fill="auto"/>
          </w:tcPr>
          <w:p w:rsidR="00C06C6E" w:rsidRPr="00E04EBD" w:rsidRDefault="00C06C6E" w:rsidP="00C06C6E">
            <w:pPr>
              <w:autoSpaceDE w:val="0"/>
              <w:autoSpaceDN w:val="0"/>
              <w:adjustRightInd w:val="0"/>
              <w:spacing w:before="40" w:after="40"/>
              <w:rPr>
                <w:sz w:val="16"/>
                <w:szCs w:val="16"/>
              </w:rPr>
            </w:pPr>
            <w:r>
              <w:rPr>
                <w:color w:val="000000"/>
                <w:sz w:val="16"/>
                <w:szCs w:val="16"/>
              </w:rPr>
              <w:t>Postpone works</w:t>
            </w:r>
            <w:r w:rsidRPr="00E04EBD">
              <w:rPr>
                <w:color w:val="000000"/>
                <w:sz w:val="16"/>
                <w:szCs w:val="16"/>
              </w:rPr>
              <w:t xml:space="preserve"> until Summer 2016</w:t>
            </w:r>
          </w:p>
        </w:tc>
      </w:tr>
      <w:tr w:rsidR="00C06C6E" w:rsidRPr="00E04EBD" w:rsidTr="005158E3">
        <w:trPr>
          <w:trHeight w:val="776"/>
          <w:jc w:val="center"/>
        </w:trPr>
        <w:tc>
          <w:tcPr>
            <w:tcW w:w="1577" w:type="pct"/>
            <w:shd w:val="clear" w:color="auto" w:fill="auto"/>
          </w:tcPr>
          <w:p w:rsidR="00C06C6E" w:rsidRPr="00E04EBD" w:rsidRDefault="00C06C6E" w:rsidP="00C06C6E">
            <w:pPr>
              <w:autoSpaceDE w:val="0"/>
              <w:autoSpaceDN w:val="0"/>
              <w:adjustRightInd w:val="0"/>
              <w:spacing w:before="40" w:after="40"/>
              <w:rPr>
                <w:sz w:val="16"/>
                <w:szCs w:val="16"/>
              </w:rPr>
            </w:pPr>
            <w:r>
              <w:rPr>
                <w:sz w:val="16"/>
                <w:szCs w:val="16"/>
              </w:rPr>
              <w:t>Delay or interruption of works</w:t>
            </w:r>
          </w:p>
        </w:tc>
        <w:tc>
          <w:tcPr>
            <w:tcW w:w="1757" w:type="pct"/>
            <w:shd w:val="clear" w:color="auto" w:fill="auto"/>
          </w:tcPr>
          <w:p w:rsidR="00C06C6E" w:rsidRPr="00E04EBD" w:rsidRDefault="00C06C6E" w:rsidP="00C06C6E">
            <w:pPr>
              <w:autoSpaceDE w:val="0"/>
              <w:autoSpaceDN w:val="0"/>
              <w:adjustRightInd w:val="0"/>
              <w:spacing w:before="40" w:after="40"/>
              <w:rPr>
                <w:sz w:val="16"/>
                <w:szCs w:val="16"/>
              </w:rPr>
            </w:pPr>
            <w:r>
              <w:rPr>
                <w:sz w:val="16"/>
                <w:szCs w:val="16"/>
              </w:rPr>
              <w:t>Site accident</w:t>
            </w:r>
          </w:p>
        </w:tc>
        <w:tc>
          <w:tcPr>
            <w:tcW w:w="1666" w:type="pct"/>
            <w:shd w:val="clear" w:color="auto" w:fill="auto"/>
          </w:tcPr>
          <w:p w:rsidR="00C06C6E" w:rsidRDefault="00C06C6E" w:rsidP="00C06C6E">
            <w:pPr>
              <w:autoSpaceDE w:val="0"/>
              <w:autoSpaceDN w:val="0"/>
              <w:adjustRightInd w:val="0"/>
              <w:spacing w:before="40" w:after="40"/>
              <w:rPr>
                <w:color w:val="000000"/>
                <w:sz w:val="16"/>
                <w:szCs w:val="16"/>
              </w:rPr>
            </w:pPr>
            <w:r w:rsidRPr="00E04EBD">
              <w:rPr>
                <w:color w:val="000000"/>
                <w:sz w:val="16"/>
                <w:szCs w:val="16"/>
              </w:rPr>
              <w:t>Revalidation and strengthening of security measures</w:t>
            </w:r>
          </w:p>
          <w:p w:rsidR="00C06C6E" w:rsidRPr="005158E3" w:rsidRDefault="00C06C6E" w:rsidP="00C06C6E">
            <w:pPr>
              <w:autoSpaceDE w:val="0"/>
              <w:autoSpaceDN w:val="0"/>
              <w:adjustRightInd w:val="0"/>
              <w:spacing w:before="40" w:after="40"/>
              <w:rPr>
                <w:sz w:val="14"/>
                <w:szCs w:val="16"/>
              </w:rPr>
            </w:pPr>
          </w:p>
          <w:p w:rsidR="00C06C6E" w:rsidRPr="00E04EBD" w:rsidRDefault="00C06C6E" w:rsidP="00C06C6E">
            <w:pPr>
              <w:autoSpaceDE w:val="0"/>
              <w:autoSpaceDN w:val="0"/>
              <w:adjustRightInd w:val="0"/>
              <w:spacing w:before="40" w:after="40"/>
              <w:rPr>
                <w:sz w:val="16"/>
                <w:szCs w:val="16"/>
              </w:rPr>
            </w:pPr>
            <w:r w:rsidRPr="00E04EBD">
              <w:rPr>
                <w:color w:val="000000"/>
                <w:sz w:val="16"/>
                <w:szCs w:val="16"/>
              </w:rPr>
              <w:t xml:space="preserve">Review of the works </w:t>
            </w:r>
            <w:r>
              <w:rPr>
                <w:color w:val="000000"/>
                <w:sz w:val="16"/>
                <w:szCs w:val="16"/>
              </w:rPr>
              <w:t xml:space="preserve"> timetable</w:t>
            </w:r>
            <w:r w:rsidRPr="00E04EBD">
              <w:rPr>
                <w:color w:val="000000"/>
                <w:sz w:val="16"/>
                <w:szCs w:val="16"/>
              </w:rPr>
              <w:t>, as far ahead as 2016</w:t>
            </w:r>
          </w:p>
        </w:tc>
      </w:tr>
    </w:tbl>
    <w:p w:rsidR="00C06C6E" w:rsidRPr="00E04EBD" w:rsidRDefault="00C06C6E" w:rsidP="00C06C6E">
      <w:pPr>
        <w:autoSpaceDE w:val="0"/>
        <w:autoSpaceDN w:val="0"/>
        <w:jc w:val="both"/>
      </w:pPr>
    </w:p>
    <w:p w:rsidR="00C06C6E" w:rsidRPr="00E04EBD" w:rsidRDefault="00C06C6E" w:rsidP="00C06C6E">
      <w:pPr>
        <w:rPr>
          <w:rFonts w:cs="Arial"/>
          <w:color w:val="000000"/>
          <w:sz w:val="22"/>
          <w:szCs w:val="22"/>
        </w:rPr>
      </w:pPr>
    </w:p>
    <w:p w:rsidR="00C06C6E" w:rsidRPr="00E04EBD" w:rsidRDefault="00C06C6E" w:rsidP="00C06C6E">
      <w:pPr>
        <w:rPr>
          <w:rFonts w:cs="Arial"/>
          <w:color w:val="000000"/>
          <w:sz w:val="22"/>
          <w:szCs w:val="22"/>
        </w:rPr>
      </w:pPr>
      <w:r w:rsidRPr="00E04EBD">
        <w:rPr>
          <w:rFonts w:cs="Arial"/>
          <w:color w:val="000000"/>
          <w:sz w:val="22"/>
          <w:szCs w:val="22"/>
        </w:rPr>
        <w:t>PROJECT TIMELINE BY MILESTONE</w:t>
      </w:r>
    </w:p>
    <w:p w:rsidR="00C06C6E" w:rsidRPr="00E04EBD" w:rsidRDefault="00C06C6E" w:rsidP="00C06C6E">
      <w:pPr>
        <w:autoSpaceDE w:val="0"/>
        <w:autoSpaceDN w:val="0"/>
        <w:jc w:val="both"/>
      </w:pPr>
    </w:p>
    <w:tbl>
      <w:tblPr>
        <w:tblW w:w="8508" w:type="dxa"/>
        <w:jc w:val="center"/>
        <w:tblInd w:w="-2828" w:type="dxa"/>
        <w:tblLook w:val="04A0" w:firstRow="1" w:lastRow="0" w:firstColumn="1" w:lastColumn="0" w:noHBand="0" w:noVBand="1"/>
      </w:tblPr>
      <w:tblGrid>
        <w:gridCol w:w="4668"/>
        <w:gridCol w:w="480"/>
        <w:gridCol w:w="480"/>
        <w:gridCol w:w="480"/>
        <w:gridCol w:w="480"/>
        <w:gridCol w:w="480"/>
        <w:gridCol w:w="480"/>
        <w:gridCol w:w="480"/>
        <w:gridCol w:w="480"/>
      </w:tblGrid>
      <w:tr w:rsidR="00C06C6E" w:rsidRPr="00E04EBD" w:rsidTr="00970B89">
        <w:trPr>
          <w:trHeight w:val="270"/>
          <w:jc w:val="center"/>
        </w:trPr>
        <w:tc>
          <w:tcPr>
            <w:tcW w:w="4668" w:type="dxa"/>
            <w:tcBorders>
              <w:top w:val="nil"/>
              <w:left w:val="nil"/>
              <w:bottom w:val="nil"/>
              <w:right w:val="nil"/>
            </w:tcBorders>
            <w:shd w:val="clear" w:color="auto" w:fill="auto"/>
            <w:noWrap/>
            <w:vAlign w:val="bottom"/>
            <w:hideMark/>
          </w:tcPr>
          <w:p w:rsidR="00C06C6E" w:rsidRPr="003962D0" w:rsidRDefault="00C06C6E" w:rsidP="00C06C6E">
            <w:pPr>
              <w:rPr>
                <w:rFonts w:cs="Arial"/>
                <w:color w:val="000000"/>
                <w:sz w:val="16"/>
                <w:szCs w:val="16"/>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C06C6E" w:rsidRPr="003962D0" w:rsidRDefault="00C06C6E" w:rsidP="00C06C6E">
            <w:pPr>
              <w:jc w:val="center"/>
              <w:rPr>
                <w:rFonts w:cs="Arial"/>
                <w:b/>
                <w:bCs/>
                <w:color w:val="000000"/>
                <w:sz w:val="16"/>
                <w:szCs w:val="16"/>
              </w:rPr>
            </w:pPr>
            <w:r w:rsidRPr="003962D0">
              <w:rPr>
                <w:rFonts w:cs="Arial"/>
                <w:b/>
                <w:bCs/>
                <w:color w:val="000000"/>
                <w:sz w:val="16"/>
                <w:szCs w:val="16"/>
              </w:rPr>
              <w:t>2014</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06C6E" w:rsidRPr="003962D0" w:rsidRDefault="00C06C6E" w:rsidP="00C06C6E">
            <w:pPr>
              <w:jc w:val="center"/>
              <w:rPr>
                <w:rFonts w:cs="Arial"/>
                <w:b/>
                <w:bCs/>
                <w:color w:val="000000"/>
                <w:sz w:val="16"/>
                <w:szCs w:val="16"/>
              </w:rPr>
            </w:pPr>
            <w:r w:rsidRPr="003962D0">
              <w:rPr>
                <w:rFonts w:cs="Arial"/>
                <w:b/>
                <w:bCs/>
                <w:color w:val="000000"/>
                <w:sz w:val="16"/>
                <w:szCs w:val="16"/>
              </w:rPr>
              <w:t>2015</w:t>
            </w:r>
          </w:p>
        </w:tc>
      </w:tr>
      <w:tr w:rsidR="00C06C6E" w:rsidRPr="00E04EBD" w:rsidTr="00970B89">
        <w:trPr>
          <w:trHeight w:val="375"/>
          <w:jc w:val="center"/>
        </w:trPr>
        <w:tc>
          <w:tcPr>
            <w:tcW w:w="4668"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C06C6E" w:rsidRPr="003962D0" w:rsidRDefault="00C06C6E" w:rsidP="00C06C6E">
            <w:pPr>
              <w:rPr>
                <w:rFonts w:cs="Arial"/>
                <w:b/>
                <w:bCs/>
                <w:color w:val="000000"/>
                <w:sz w:val="16"/>
                <w:szCs w:val="16"/>
              </w:rPr>
            </w:pPr>
            <w:r w:rsidRPr="003962D0">
              <w:rPr>
                <w:rFonts w:cs="Arial"/>
                <w:b/>
                <w:bCs/>
                <w:color w:val="000000"/>
                <w:sz w:val="16"/>
                <w:szCs w:val="16"/>
              </w:rPr>
              <w:t>Key Milestone</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color w:val="000000"/>
                <w:sz w:val="16"/>
                <w:szCs w:val="16"/>
              </w:rPr>
            </w:pPr>
            <w:r w:rsidRPr="003962D0">
              <w:rPr>
                <w:rFonts w:cs="Arial"/>
                <w:b/>
                <w:bCs/>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color w:val="000000"/>
                <w:sz w:val="16"/>
                <w:szCs w:val="16"/>
              </w:rPr>
            </w:pPr>
            <w:r w:rsidRPr="003962D0">
              <w:rPr>
                <w:rFonts w:cs="Arial"/>
                <w:b/>
                <w:bCs/>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color w:val="000000"/>
                <w:sz w:val="16"/>
                <w:szCs w:val="16"/>
              </w:rPr>
            </w:pPr>
            <w:r w:rsidRPr="003962D0">
              <w:rPr>
                <w:rFonts w:cs="Arial"/>
                <w:b/>
                <w:bCs/>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06C6E" w:rsidRPr="003962D0" w:rsidRDefault="00C06C6E" w:rsidP="00C06C6E">
            <w:pPr>
              <w:rPr>
                <w:rFonts w:cs="Arial"/>
                <w:b/>
                <w:bCs/>
                <w:color w:val="000000"/>
                <w:sz w:val="16"/>
                <w:szCs w:val="16"/>
              </w:rPr>
            </w:pPr>
            <w:r w:rsidRPr="003962D0">
              <w:rPr>
                <w:rFonts w:cs="Arial"/>
                <w:b/>
                <w:bCs/>
                <w:sz w:val="16"/>
                <w:szCs w:val="16"/>
              </w:rPr>
              <w:t>Q4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color w:val="000000"/>
                <w:sz w:val="16"/>
                <w:szCs w:val="16"/>
              </w:rPr>
            </w:pPr>
            <w:r w:rsidRPr="003962D0">
              <w:rPr>
                <w:rFonts w:cs="Arial"/>
                <w:b/>
                <w:bCs/>
                <w:color w:val="000000"/>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color w:val="000000"/>
                <w:sz w:val="16"/>
                <w:szCs w:val="16"/>
              </w:rPr>
            </w:pPr>
            <w:r w:rsidRPr="003962D0">
              <w:rPr>
                <w:rFonts w:cs="Arial"/>
                <w:b/>
                <w:bCs/>
                <w:color w:val="000000"/>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3962D0" w:rsidRDefault="00C06C6E" w:rsidP="00C06C6E">
            <w:pPr>
              <w:rPr>
                <w:rFonts w:cs="Arial"/>
                <w:b/>
                <w:bCs/>
                <w:color w:val="000000"/>
                <w:sz w:val="16"/>
                <w:szCs w:val="16"/>
              </w:rPr>
            </w:pPr>
            <w:r w:rsidRPr="003962D0">
              <w:rPr>
                <w:rFonts w:cs="Arial"/>
                <w:b/>
                <w:bCs/>
                <w:color w:val="000000"/>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06C6E" w:rsidRPr="003962D0" w:rsidRDefault="00C06C6E" w:rsidP="00C06C6E">
            <w:pPr>
              <w:rPr>
                <w:rFonts w:cs="Arial"/>
                <w:b/>
                <w:bCs/>
                <w:color w:val="000000"/>
                <w:sz w:val="16"/>
                <w:szCs w:val="16"/>
              </w:rPr>
            </w:pPr>
            <w:r w:rsidRPr="003962D0">
              <w:rPr>
                <w:rFonts w:cs="Arial"/>
                <w:b/>
                <w:bCs/>
                <w:color w:val="000000"/>
                <w:sz w:val="16"/>
                <w:szCs w:val="16"/>
              </w:rPr>
              <w:t>Q4</w:t>
            </w:r>
          </w:p>
        </w:tc>
      </w:tr>
      <w:tr w:rsidR="00C06C6E" w:rsidRPr="00E04EBD" w:rsidTr="00970B89">
        <w:trPr>
          <w:trHeight w:val="615"/>
          <w:jc w:val="center"/>
        </w:trPr>
        <w:tc>
          <w:tcPr>
            <w:tcW w:w="4668" w:type="dxa"/>
            <w:tcBorders>
              <w:top w:val="nil"/>
              <w:left w:val="single" w:sz="8" w:space="0" w:color="auto"/>
              <w:bottom w:val="single" w:sz="4" w:space="0" w:color="auto"/>
              <w:right w:val="single" w:sz="8" w:space="0" w:color="auto"/>
            </w:tcBorders>
            <w:shd w:val="clear" w:color="auto" w:fill="auto"/>
            <w:noWrap/>
            <w:vAlign w:val="center"/>
            <w:hideMark/>
          </w:tcPr>
          <w:p w:rsidR="00C06C6E" w:rsidRPr="003962D0" w:rsidRDefault="00C06C6E" w:rsidP="000723D4">
            <w:pPr>
              <w:rPr>
                <w:rFonts w:cs="Arial"/>
                <w:color w:val="000000"/>
                <w:sz w:val="16"/>
                <w:szCs w:val="16"/>
              </w:rPr>
            </w:pPr>
            <w:r w:rsidRPr="003962D0">
              <w:rPr>
                <w:rFonts w:cs="Arial"/>
                <w:color w:val="000000"/>
                <w:sz w:val="16"/>
                <w:szCs w:val="16"/>
              </w:rPr>
              <w:t>Award of contract to the facade engineer</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r>
      <w:tr w:rsidR="00C06C6E" w:rsidRPr="00E04EBD" w:rsidTr="00970B89">
        <w:trPr>
          <w:trHeight w:val="615"/>
          <w:jc w:val="center"/>
        </w:trPr>
        <w:tc>
          <w:tcPr>
            <w:tcW w:w="4668" w:type="dxa"/>
            <w:tcBorders>
              <w:top w:val="nil"/>
              <w:left w:val="single" w:sz="8" w:space="0" w:color="auto"/>
              <w:bottom w:val="single" w:sz="4" w:space="0" w:color="auto"/>
              <w:right w:val="single" w:sz="8" w:space="0" w:color="auto"/>
            </w:tcBorders>
            <w:shd w:val="clear" w:color="auto" w:fill="auto"/>
            <w:noWrap/>
            <w:vAlign w:val="center"/>
            <w:hideMark/>
          </w:tcPr>
          <w:p w:rsidR="00C06C6E" w:rsidRPr="003962D0" w:rsidRDefault="00C06C6E" w:rsidP="000723D4">
            <w:pPr>
              <w:rPr>
                <w:rFonts w:cs="Arial"/>
                <w:color w:val="000000"/>
                <w:sz w:val="16"/>
                <w:szCs w:val="16"/>
              </w:rPr>
            </w:pPr>
            <w:r w:rsidRPr="003962D0">
              <w:rPr>
                <w:rFonts w:cs="Arial"/>
                <w:color w:val="000000"/>
                <w:sz w:val="16"/>
                <w:szCs w:val="16"/>
              </w:rPr>
              <w:t xml:space="preserve">Development and validation of project with facade engineer </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r>
      <w:tr w:rsidR="00C06C6E" w:rsidRPr="00E04EBD" w:rsidTr="00970B89">
        <w:trPr>
          <w:trHeight w:val="615"/>
          <w:jc w:val="center"/>
        </w:trPr>
        <w:tc>
          <w:tcPr>
            <w:tcW w:w="4668" w:type="dxa"/>
            <w:tcBorders>
              <w:top w:val="nil"/>
              <w:left w:val="single" w:sz="8" w:space="0" w:color="auto"/>
              <w:bottom w:val="single" w:sz="4" w:space="0" w:color="auto"/>
              <w:right w:val="single" w:sz="8" w:space="0" w:color="auto"/>
            </w:tcBorders>
            <w:shd w:val="clear" w:color="auto" w:fill="auto"/>
            <w:noWrap/>
            <w:vAlign w:val="center"/>
            <w:hideMark/>
          </w:tcPr>
          <w:p w:rsidR="00C06C6E" w:rsidRPr="003962D0" w:rsidRDefault="00C06C6E" w:rsidP="000723D4">
            <w:pPr>
              <w:rPr>
                <w:rFonts w:cs="Arial"/>
                <w:color w:val="000000"/>
                <w:sz w:val="16"/>
                <w:szCs w:val="16"/>
              </w:rPr>
            </w:pPr>
            <w:r w:rsidRPr="003962D0">
              <w:rPr>
                <w:rFonts w:cs="Arial"/>
                <w:color w:val="000000"/>
                <w:sz w:val="16"/>
                <w:szCs w:val="16"/>
              </w:rPr>
              <w:t>Call for tenders and selection of firms</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r>
      <w:tr w:rsidR="00C06C6E" w:rsidRPr="00E04EBD" w:rsidTr="00970B89">
        <w:trPr>
          <w:trHeight w:val="615"/>
          <w:jc w:val="center"/>
        </w:trPr>
        <w:tc>
          <w:tcPr>
            <w:tcW w:w="4668" w:type="dxa"/>
            <w:tcBorders>
              <w:top w:val="nil"/>
              <w:left w:val="single" w:sz="8" w:space="0" w:color="auto"/>
              <w:bottom w:val="single" w:sz="4" w:space="0" w:color="auto"/>
              <w:right w:val="single" w:sz="8" w:space="0" w:color="auto"/>
            </w:tcBorders>
            <w:shd w:val="clear" w:color="auto" w:fill="auto"/>
            <w:noWrap/>
            <w:vAlign w:val="center"/>
            <w:hideMark/>
          </w:tcPr>
          <w:p w:rsidR="00C06C6E" w:rsidRPr="003962D0" w:rsidRDefault="00C06C6E" w:rsidP="000723D4">
            <w:pPr>
              <w:rPr>
                <w:rFonts w:cs="Arial"/>
                <w:color w:val="000000"/>
                <w:sz w:val="16"/>
                <w:szCs w:val="16"/>
              </w:rPr>
            </w:pPr>
            <w:r w:rsidRPr="003962D0">
              <w:rPr>
                <w:rFonts w:cs="Arial"/>
                <w:color w:val="000000"/>
                <w:sz w:val="16"/>
                <w:szCs w:val="16"/>
              </w:rPr>
              <w:t>Execution and commissioning of works</w:t>
            </w:r>
          </w:p>
        </w:tc>
        <w:tc>
          <w:tcPr>
            <w:tcW w:w="480" w:type="dxa"/>
            <w:tcBorders>
              <w:top w:val="nil"/>
              <w:left w:val="nil"/>
              <w:bottom w:val="single" w:sz="4" w:space="0" w:color="auto"/>
              <w:right w:val="single" w:sz="4"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bottom"/>
            <w:hideMark/>
          </w:tcPr>
          <w:p w:rsidR="00C06C6E" w:rsidRPr="003962D0" w:rsidRDefault="00C06C6E" w:rsidP="00C06C6E">
            <w:pPr>
              <w:rPr>
                <w:rFonts w:cs="Arial"/>
                <w:color w:val="000000"/>
                <w:sz w:val="16"/>
                <w:szCs w:val="16"/>
              </w:rPr>
            </w:pPr>
            <w:r w:rsidRPr="003962D0">
              <w:rPr>
                <w:rFonts w:cs="Arial"/>
                <w:color w:val="000000"/>
                <w:sz w:val="16"/>
                <w:szCs w:val="16"/>
              </w:rPr>
              <w:t> </w:t>
            </w:r>
          </w:p>
        </w:tc>
      </w:tr>
    </w:tbl>
    <w:p w:rsidR="00C06C6E" w:rsidRPr="00E04EBD" w:rsidRDefault="00C06C6E" w:rsidP="00C06C6E">
      <w:pPr>
        <w:autoSpaceDE w:val="0"/>
        <w:autoSpaceDN w:val="0"/>
        <w:jc w:val="both"/>
      </w:pPr>
    </w:p>
    <w:p w:rsidR="00C06C6E" w:rsidRPr="00E04EBD" w:rsidRDefault="00C06C6E" w:rsidP="00C06C6E"/>
    <w:p w:rsidR="00C06C6E" w:rsidRDefault="00C06C6E">
      <w:r>
        <w:br w:type="page"/>
      </w:r>
    </w:p>
    <w:p w:rsidR="00C06C6E" w:rsidRPr="00994B87" w:rsidRDefault="00C06C6E" w:rsidP="006C3236">
      <w:pPr>
        <w:rPr>
          <w:b/>
          <w:sz w:val="22"/>
        </w:rPr>
      </w:pPr>
      <w:r w:rsidRPr="00994B87">
        <w:rPr>
          <w:b/>
          <w:sz w:val="22"/>
        </w:rPr>
        <w:lastRenderedPageBreak/>
        <w:t>SAFETY/SECURITY-RELATED PROJECTS</w:t>
      </w:r>
    </w:p>
    <w:p w:rsidR="00C06C6E" w:rsidRPr="00994B87" w:rsidRDefault="001E4922" w:rsidP="001E4922">
      <w:pPr>
        <w:pStyle w:val="StyleHeading3BoldNounderline"/>
        <w:rPr>
          <w:b/>
        </w:rPr>
      </w:pPr>
      <w:bookmarkStart w:id="111" w:name="_Toc422210529"/>
      <w:r>
        <w:rPr>
          <w:b/>
        </w:rPr>
        <w:t xml:space="preserve">PROJECT:  </w:t>
      </w:r>
      <w:r w:rsidR="00C06C6E" w:rsidRPr="001E4922">
        <w:rPr>
          <w:b/>
        </w:rPr>
        <w:t>SAFETY AND FIREPROTECTION MEASURES</w:t>
      </w:r>
      <w:r w:rsidR="00C06C6E" w:rsidRPr="00994B87">
        <w:rPr>
          <w:b/>
        </w:rPr>
        <w:t xml:space="preserve"> (CMP 7)</w:t>
      </w:r>
      <w:bookmarkEnd w:id="111"/>
    </w:p>
    <w:p w:rsidR="00C06C6E" w:rsidRPr="00994B87" w:rsidRDefault="00C06C6E" w:rsidP="006C3236">
      <w:pPr>
        <w:rPr>
          <w:rFonts w:cs="Arial"/>
          <w:b/>
          <w:sz w:val="22"/>
        </w:rPr>
      </w:pPr>
    </w:p>
    <w:p w:rsidR="00C06C6E" w:rsidRPr="00F47045" w:rsidRDefault="00C06C6E" w:rsidP="00C06C6E">
      <w:pPr>
        <w:rPr>
          <w:rFonts w:cs="Arial"/>
          <w:b/>
          <w:szCs w:val="20"/>
        </w:rPr>
      </w:pPr>
      <w:r w:rsidRPr="00F47045">
        <w:rPr>
          <w:rFonts w:cs="Arial"/>
          <w:b/>
          <w:szCs w:val="20"/>
        </w:rPr>
        <w:t xml:space="preserve">Project Manager      </w:t>
      </w:r>
      <w:r w:rsidRPr="003962D0">
        <w:rPr>
          <w:rFonts w:cs="Arial"/>
          <w:b/>
          <w:szCs w:val="20"/>
        </w:rPr>
        <w:t xml:space="preserve">Mr. J. </w:t>
      </w:r>
      <w:r w:rsidR="009A3C93" w:rsidRPr="003962D0">
        <w:rPr>
          <w:rFonts w:cs="Arial"/>
          <w:b/>
          <w:szCs w:val="20"/>
        </w:rPr>
        <w:t>GAGNON</w:t>
      </w:r>
      <w:r w:rsidRPr="00F47045">
        <w:rPr>
          <w:rFonts w:cs="Arial"/>
          <w:b/>
          <w:szCs w:val="20"/>
        </w:rPr>
        <w:t xml:space="preserve"> </w:t>
      </w:r>
    </w:p>
    <w:p w:rsidR="00C06C6E" w:rsidRPr="00571EF2" w:rsidRDefault="00C06C6E" w:rsidP="00C06C6E">
      <w:pPr>
        <w:rPr>
          <w:rFonts w:cs="Arial"/>
          <w:szCs w:val="20"/>
        </w:rPr>
      </w:pPr>
    </w:p>
    <w:p w:rsidR="00C06C6E" w:rsidRPr="00F47045" w:rsidRDefault="00C06C6E" w:rsidP="00C06C6E">
      <w:pPr>
        <w:rPr>
          <w:rFonts w:cs="Arial"/>
          <w:bCs/>
          <w:szCs w:val="20"/>
        </w:rPr>
      </w:pPr>
    </w:p>
    <w:p w:rsidR="00C06C6E" w:rsidRPr="00F47045" w:rsidRDefault="00C06C6E" w:rsidP="00C06C6E">
      <w:pPr>
        <w:rPr>
          <w:rFonts w:cs="Arial"/>
          <w:bCs/>
          <w:szCs w:val="20"/>
        </w:rPr>
      </w:pPr>
      <w:r w:rsidRPr="00F47045">
        <w:rPr>
          <w:rFonts w:cs="Arial"/>
          <w:bCs/>
          <w:szCs w:val="20"/>
        </w:rPr>
        <w:t>EXPECTED RESULT</w:t>
      </w:r>
    </w:p>
    <w:p w:rsidR="00C06C6E" w:rsidRPr="00F47045" w:rsidRDefault="00C06C6E" w:rsidP="00C06C6E">
      <w:pPr>
        <w:rPr>
          <w:rFonts w:cs="Arial"/>
          <w:bCs/>
          <w:szCs w:val="20"/>
        </w:rPr>
      </w:pPr>
    </w:p>
    <w:p w:rsidR="00C06C6E" w:rsidRPr="00F47045" w:rsidRDefault="00C06C6E" w:rsidP="00C06C6E">
      <w:pPr>
        <w:rPr>
          <w:rFonts w:cs="Arial"/>
          <w:bCs/>
          <w:szCs w:val="20"/>
        </w:rPr>
      </w:pPr>
      <w:r w:rsidRPr="00571EF2">
        <w:rPr>
          <w:rFonts w:cs="Arial"/>
          <w:i/>
          <w:iCs/>
          <w:szCs w:val="20"/>
        </w:rPr>
        <w:t>IX.4  An environmentally and socially responsible Organization in which WIPO staff, delegates, visitors and information and physical assets are safe and secure</w:t>
      </w:r>
    </w:p>
    <w:p w:rsidR="00C06C6E" w:rsidRPr="00F47045" w:rsidRDefault="00C06C6E" w:rsidP="00C06C6E">
      <w:pPr>
        <w:rPr>
          <w:rFonts w:cs="Arial"/>
          <w:bCs/>
          <w:szCs w:val="20"/>
        </w:rPr>
      </w:pPr>
    </w:p>
    <w:p w:rsidR="00C06C6E" w:rsidRPr="00F47045" w:rsidRDefault="00C06C6E" w:rsidP="00C06C6E">
      <w:pPr>
        <w:rPr>
          <w:rFonts w:cs="Arial"/>
          <w:bCs/>
          <w:szCs w:val="20"/>
        </w:rPr>
      </w:pPr>
    </w:p>
    <w:p w:rsidR="00C06C6E" w:rsidRPr="00F47045" w:rsidRDefault="00C06C6E" w:rsidP="00C06C6E">
      <w:pPr>
        <w:rPr>
          <w:rFonts w:cs="Arial"/>
          <w:bCs/>
          <w:szCs w:val="20"/>
        </w:rPr>
      </w:pPr>
      <w:r w:rsidRPr="00F47045">
        <w:rPr>
          <w:rFonts w:cs="Arial"/>
          <w:bCs/>
          <w:szCs w:val="20"/>
        </w:rPr>
        <w:t>OBJECTIVES, SCOPE AND APPROACH</w:t>
      </w:r>
      <w:r w:rsidR="005A58B4">
        <w:rPr>
          <w:rFonts w:cs="Arial"/>
          <w:bCs/>
          <w:szCs w:val="20"/>
        </w:rPr>
        <w:t xml:space="preserve"> </w:t>
      </w:r>
      <w:r w:rsidRPr="00F47045">
        <w:rPr>
          <w:rFonts w:cs="Arial"/>
          <w:bCs/>
          <w:szCs w:val="20"/>
        </w:rPr>
        <w:t>- BACKGROUND</w:t>
      </w:r>
    </w:p>
    <w:p w:rsidR="00C06C6E" w:rsidRPr="00F47045" w:rsidRDefault="00C06C6E" w:rsidP="00C06C6E">
      <w:pPr>
        <w:rPr>
          <w:rFonts w:cs="Arial"/>
          <w:bCs/>
          <w:szCs w:val="20"/>
        </w:rPr>
      </w:pPr>
    </w:p>
    <w:p w:rsidR="00C06C6E" w:rsidRPr="00B72CC6" w:rsidRDefault="00C06C6E" w:rsidP="00B72CC6">
      <w:pPr>
        <w:pStyle w:val="ListParagraph"/>
        <w:numPr>
          <w:ilvl w:val="0"/>
          <w:numId w:val="134"/>
        </w:numPr>
        <w:tabs>
          <w:tab w:val="left" w:pos="567"/>
        </w:tabs>
        <w:ind w:left="0" w:firstLine="0"/>
        <w:jc w:val="both"/>
        <w:rPr>
          <w:rFonts w:cs="Arial"/>
        </w:rPr>
      </w:pPr>
      <w:r w:rsidRPr="00B72CC6">
        <w:rPr>
          <w:rFonts w:cs="Arial"/>
        </w:rPr>
        <w:t xml:space="preserve">On the basis of a safety and security audit carried out by a specialized institute at the request of the Secretariat, a number of recommendations related to safety and fire protection measures need to be implemented in the older WIPO buildings in order to bring the relevant compliance level of those buildings to the updated compliance level (note that the New Building and the new WIPO Conference Hall are excluded from this Project since the technical specifications already reflect the updated compliance level).  The safety and fire protection measures to be implemented in the older WIPO buildings are the compartmentalization between buildings and between particular areas of a given building (building partitioning), in order to better isolate a single building or area from another building or area in case a fire or smoke may have spread after an incident.  The building partitioning will be done by means of building infrastructure elements or doors in addition to, or instead of, the existing doors and, in some </w:t>
      </w:r>
      <w:proofErr w:type="gramStart"/>
      <w:r w:rsidRPr="00B72CC6">
        <w:rPr>
          <w:rFonts w:cs="Arial"/>
        </w:rPr>
        <w:t>cases,</w:t>
      </w:r>
      <w:proofErr w:type="gramEnd"/>
      <w:r w:rsidRPr="00B72CC6">
        <w:rPr>
          <w:rFonts w:cs="Arial"/>
        </w:rPr>
        <w:t xml:space="preserve"> new doors will be installed in existing corridors or pathways.  </w:t>
      </w:r>
    </w:p>
    <w:p w:rsidR="00C06C6E" w:rsidRPr="00571EF2" w:rsidRDefault="00C06C6E" w:rsidP="00B72CC6">
      <w:pPr>
        <w:tabs>
          <w:tab w:val="left" w:pos="567"/>
        </w:tabs>
        <w:rPr>
          <w:rFonts w:cs="Arial"/>
          <w:color w:val="000000" w:themeColor="text1"/>
          <w:szCs w:val="20"/>
        </w:rPr>
      </w:pPr>
    </w:p>
    <w:p w:rsidR="00C06C6E" w:rsidRDefault="00C06C6E" w:rsidP="00B72CC6">
      <w:pPr>
        <w:pStyle w:val="ListParagraph"/>
        <w:numPr>
          <w:ilvl w:val="0"/>
          <w:numId w:val="134"/>
        </w:numPr>
        <w:tabs>
          <w:tab w:val="left" w:pos="567"/>
        </w:tabs>
        <w:ind w:left="0" w:firstLine="0"/>
        <w:rPr>
          <w:rFonts w:cs="Arial"/>
          <w:color w:val="000000" w:themeColor="text1"/>
        </w:rPr>
      </w:pPr>
      <w:r w:rsidRPr="00B72CC6">
        <w:rPr>
          <w:rFonts w:cs="Arial"/>
          <w:color w:val="000000" w:themeColor="text1"/>
        </w:rPr>
        <w:t>Implementation of the project should result in:</w:t>
      </w:r>
    </w:p>
    <w:p w:rsidR="00B72CC6" w:rsidRPr="00B72CC6" w:rsidRDefault="00B72CC6" w:rsidP="00B72CC6">
      <w:pPr>
        <w:pStyle w:val="ListParagraph"/>
        <w:tabs>
          <w:tab w:val="left" w:pos="567"/>
        </w:tabs>
        <w:ind w:left="0"/>
        <w:rPr>
          <w:rFonts w:cs="Arial"/>
          <w:color w:val="000000" w:themeColor="text1"/>
        </w:rPr>
      </w:pPr>
    </w:p>
    <w:p w:rsidR="00C06C6E" w:rsidRPr="00571EF2" w:rsidRDefault="00C06C6E" w:rsidP="00B72CC6">
      <w:pPr>
        <w:pStyle w:val="ListParagraph"/>
        <w:numPr>
          <w:ilvl w:val="0"/>
          <w:numId w:val="124"/>
        </w:numPr>
        <w:spacing w:after="120"/>
        <w:ind w:left="1134" w:hanging="567"/>
        <w:jc w:val="both"/>
        <w:rPr>
          <w:rFonts w:cs="Arial"/>
        </w:rPr>
      </w:pPr>
      <w:r w:rsidRPr="008133E5">
        <w:rPr>
          <w:rFonts w:cs="Arial"/>
          <w:bCs/>
        </w:rPr>
        <w:t>cost reduction i</w:t>
      </w:r>
      <w:r w:rsidRPr="00571EF2">
        <w:rPr>
          <w:rFonts w:cs="Arial"/>
          <w:bCs/>
        </w:rPr>
        <w:t>n: (</w:t>
      </w:r>
      <w:proofErr w:type="spellStart"/>
      <w:r w:rsidRPr="00571EF2">
        <w:rPr>
          <w:rFonts w:cs="Arial"/>
          <w:bCs/>
        </w:rPr>
        <w:t>i</w:t>
      </w:r>
      <w:proofErr w:type="spellEnd"/>
      <w:r w:rsidRPr="00571EF2">
        <w:rPr>
          <w:rFonts w:cs="Arial"/>
          <w:bCs/>
        </w:rPr>
        <w:t xml:space="preserve">) damage caused to premises or internal assets by virtue of potential limitation of potential incidents; and (ii) repairs, replacement and cleaning; </w:t>
      </w:r>
    </w:p>
    <w:p w:rsidR="00C06C6E" w:rsidRPr="00571EF2" w:rsidRDefault="00C06C6E" w:rsidP="00B72CC6">
      <w:pPr>
        <w:pStyle w:val="ListParagraph"/>
        <w:numPr>
          <w:ilvl w:val="0"/>
          <w:numId w:val="124"/>
        </w:numPr>
        <w:spacing w:after="120"/>
        <w:ind w:left="1134" w:hanging="567"/>
        <w:jc w:val="both"/>
        <w:rPr>
          <w:rFonts w:cs="Arial"/>
          <w:bCs/>
        </w:rPr>
      </w:pPr>
      <w:r w:rsidRPr="00571EF2">
        <w:rPr>
          <w:rFonts w:cs="Arial"/>
          <w:bCs/>
        </w:rPr>
        <w:t>enhancement of protection of data relating to filing of applications according to various registration systems;</w:t>
      </w:r>
    </w:p>
    <w:p w:rsidR="00C06C6E" w:rsidRPr="00571EF2" w:rsidRDefault="00C06C6E" w:rsidP="00B72CC6">
      <w:pPr>
        <w:pStyle w:val="ListParagraph"/>
        <w:numPr>
          <w:ilvl w:val="0"/>
          <w:numId w:val="124"/>
        </w:numPr>
        <w:spacing w:after="120"/>
        <w:ind w:left="1134" w:hanging="567"/>
        <w:jc w:val="both"/>
        <w:rPr>
          <w:rFonts w:cs="Arial"/>
          <w:bCs/>
        </w:rPr>
      </w:pPr>
      <w:r w:rsidRPr="00571EF2">
        <w:rPr>
          <w:rFonts w:cs="Arial"/>
          <w:bCs/>
        </w:rPr>
        <w:t>creation of a safer working environment</w:t>
      </w:r>
      <w:r>
        <w:rPr>
          <w:rFonts w:cs="Arial"/>
          <w:bCs/>
        </w:rPr>
        <w:t>, i.e. i</w:t>
      </w:r>
      <w:r w:rsidRPr="00571EF2">
        <w:rPr>
          <w:rFonts w:cs="Arial"/>
          <w:bCs/>
        </w:rPr>
        <w:t>n the event of an incident</w:t>
      </w:r>
      <w:r>
        <w:rPr>
          <w:rFonts w:cs="Arial"/>
          <w:bCs/>
        </w:rPr>
        <w:t>,</w:t>
      </w:r>
      <w:r w:rsidRPr="00571EF2">
        <w:rPr>
          <w:rFonts w:cs="Arial"/>
          <w:bCs/>
        </w:rPr>
        <w:t xml:space="preserve"> strengthening of security and measures for the protection of staff and other people working in the buildings, and improvement of evacuation procedures; and</w:t>
      </w:r>
    </w:p>
    <w:p w:rsidR="00C06C6E" w:rsidRPr="00571EF2" w:rsidRDefault="00C06C6E" w:rsidP="00B72CC6">
      <w:pPr>
        <w:pStyle w:val="ListParagraph"/>
        <w:numPr>
          <w:ilvl w:val="0"/>
          <w:numId w:val="124"/>
        </w:numPr>
        <w:ind w:left="1134" w:hanging="567"/>
        <w:jc w:val="both"/>
        <w:rPr>
          <w:rFonts w:cs="Arial"/>
          <w:bCs/>
        </w:rPr>
      </w:pPr>
      <w:proofErr w:type="gramStart"/>
      <w:r w:rsidRPr="00571EF2">
        <w:rPr>
          <w:rFonts w:cs="Arial"/>
          <w:bCs/>
        </w:rPr>
        <w:t>better</w:t>
      </w:r>
      <w:proofErr w:type="gramEnd"/>
      <w:r w:rsidRPr="00571EF2">
        <w:rPr>
          <w:rFonts w:cs="Arial"/>
          <w:bCs/>
        </w:rPr>
        <w:t xml:space="preserve"> protection and material separation of critical installations in buildings.</w:t>
      </w:r>
    </w:p>
    <w:p w:rsidR="00C06C6E" w:rsidRPr="00F47045" w:rsidRDefault="00C06C6E" w:rsidP="00B72CC6">
      <w:pPr>
        <w:pStyle w:val="ListParagraph"/>
        <w:ind w:left="420"/>
        <w:jc w:val="both"/>
        <w:rPr>
          <w:rFonts w:cs="Arial"/>
          <w:bCs/>
        </w:rPr>
      </w:pPr>
    </w:p>
    <w:p w:rsidR="00C06C6E" w:rsidRPr="00F47045" w:rsidRDefault="00C06C6E" w:rsidP="00C06C6E">
      <w:pPr>
        <w:rPr>
          <w:rFonts w:cs="Arial"/>
          <w:bCs/>
          <w:szCs w:val="20"/>
        </w:rPr>
      </w:pPr>
    </w:p>
    <w:p w:rsidR="00C06C6E" w:rsidRPr="00F47045" w:rsidRDefault="00C06C6E" w:rsidP="00C06C6E">
      <w:pPr>
        <w:rPr>
          <w:rFonts w:cs="Arial"/>
          <w:bCs/>
          <w:szCs w:val="20"/>
        </w:rPr>
      </w:pPr>
      <w:r w:rsidRPr="00F47045">
        <w:rPr>
          <w:rFonts w:cs="Arial"/>
          <w:bCs/>
          <w:szCs w:val="20"/>
        </w:rPr>
        <w:t>OVERVIEW OF PROGRESS IN 2014 (KEY MILESTONES)</w:t>
      </w:r>
    </w:p>
    <w:p w:rsidR="00C06C6E" w:rsidRDefault="00C06C6E" w:rsidP="00C06C6E">
      <w:pPr>
        <w:spacing w:line="276" w:lineRule="auto"/>
        <w:rPr>
          <w:rFonts w:cs="Arial"/>
          <w:bCs/>
          <w:szCs w:val="20"/>
          <w:highlight w:val="yellow"/>
        </w:rPr>
      </w:pPr>
    </w:p>
    <w:p w:rsidR="00C06C6E" w:rsidRDefault="00C06C6E" w:rsidP="00B72CC6">
      <w:pPr>
        <w:pStyle w:val="ListParagraph"/>
        <w:numPr>
          <w:ilvl w:val="0"/>
          <w:numId w:val="134"/>
        </w:numPr>
        <w:tabs>
          <w:tab w:val="left" w:pos="567"/>
        </w:tabs>
        <w:ind w:left="0" w:firstLine="0"/>
        <w:rPr>
          <w:rFonts w:cs="Arial"/>
          <w:bCs/>
          <w:u w:val="single"/>
        </w:rPr>
      </w:pPr>
      <w:r w:rsidRPr="00DA618E">
        <w:rPr>
          <w:rFonts w:cs="Arial"/>
          <w:bCs/>
          <w:u w:val="single"/>
        </w:rPr>
        <w:t>Compartmentalization of PCT Building:</w:t>
      </w:r>
    </w:p>
    <w:p w:rsidR="00B72CC6" w:rsidRPr="00DA618E" w:rsidRDefault="00B72CC6" w:rsidP="00B72CC6">
      <w:pPr>
        <w:pStyle w:val="ListParagraph"/>
        <w:tabs>
          <w:tab w:val="left" w:pos="567"/>
        </w:tabs>
        <w:ind w:left="0"/>
        <w:rPr>
          <w:rFonts w:cs="Arial"/>
          <w:bCs/>
          <w:u w:val="single"/>
        </w:rPr>
      </w:pPr>
    </w:p>
    <w:p w:rsidR="00C06C6E" w:rsidRPr="009266AF" w:rsidRDefault="00C06C6E" w:rsidP="00B72CC6">
      <w:pPr>
        <w:pStyle w:val="ListParagraph"/>
        <w:numPr>
          <w:ilvl w:val="0"/>
          <w:numId w:val="125"/>
        </w:numPr>
        <w:spacing w:after="120"/>
        <w:ind w:left="992" w:hanging="425"/>
        <w:rPr>
          <w:rFonts w:cs="Arial"/>
          <w:bCs/>
        </w:rPr>
      </w:pPr>
      <w:r w:rsidRPr="00DA618E">
        <w:rPr>
          <w:rFonts w:cs="Arial"/>
          <w:bCs/>
        </w:rPr>
        <w:t xml:space="preserve">Completion of the installation and connection of fire doors </w:t>
      </w:r>
    </w:p>
    <w:p w:rsidR="00C06C6E" w:rsidRPr="00A636E5" w:rsidRDefault="00C06C6E" w:rsidP="00B72CC6">
      <w:pPr>
        <w:pStyle w:val="ListParagraph"/>
        <w:numPr>
          <w:ilvl w:val="0"/>
          <w:numId w:val="125"/>
        </w:numPr>
        <w:ind w:left="993" w:hanging="426"/>
        <w:rPr>
          <w:rFonts w:cs="Arial"/>
          <w:b/>
          <w:bCs/>
          <w:u w:val="single"/>
        </w:rPr>
      </w:pPr>
      <w:r w:rsidRPr="00571EF2">
        <w:rPr>
          <w:rFonts w:cs="Arial"/>
          <w:bCs/>
        </w:rPr>
        <w:t>Completion and acceptance of work</w:t>
      </w:r>
    </w:p>
    <w:p w:rsidR="00C06C6E" w:rsidRPr="00A636E5" w:rsidRDefault="00C06C6E" w:rsidP="00B72CC6">
      <w:pPr>
        <w:rPr>
          <w:rFonts w:cs="Arial"/>
          <w:b/>
          <w:bCs/>
          <w:szCs w:val="20"/>
          <w:u w:val="single"/>
        </w:rPr>
      </w:pPr>
    </w:p>
    <w:p w:rsidR="00C06C6E" w:rsidRDefault="00C06C6E" w:rsidP="00B72CC6">
      <w:pPr>
        <w:pStyle w:val="ListParagraph"/>
        <w:numPr>
          <w:ilvl w:val="0"/>
          <w:numId w:val="134"/>
        </w:numPr>
        <w:tabs>
          <w:tab w:val="left" w:pos="567"/>
        </w:tabs>
        <w:ind w:left="0" w:firstLine="0"/>
        <w:rPr>
          <w:rFonts w:cs="Arial"/>
          <w:bCs/>
          <w:u w:val="single"/>
        </w:rPr>
      </w:pPr>
      <w:r w:rsidRPr="00571EF2">
        <w:rPr>
          <w:rFonts w:cs="Arial"/>
          <w:bCs/>
          <w:u w:val="single"/>
        </w:rPr>
        <w:t xml:space="preserve">Improved space planning in delegates’ area AB -2/Creation of an airlock on the landing of </w:t>
      </w:r>
      <w:r>
        <w:rPr>
          <w:rFonts w:cs="Arial"/>
          <w:bCs/>
          <w:u w:val="single"/>
        </w:rPr>
        <w:t xml:space="preserve">the </w:t>
      </w:r>
      <w:r w:rsidRPr="00571EF2">
        <w:rPr>
          <w:rFonts w:cs="Arial"/>
          <w:bCs/>
          <w:u w:val="single"/>
        </w:rPr>
        <w:t>lifts on AB -2 </w:t>
      </w:r>
    </w:p>
    <w:p w:rsidR="00B72CC6" w:rsidRPr="00571EF2" w:rsidRDefault="00B72CC6" w:rsidP="00B72CC6">
      <w:pPr>
        <w:pStyle w:val="ListParagraph"/>
        <w:tabs>
          <w:tab w:val="left" w:pos="567"/>
        </w:tabs>
        <w:ind w:left="0"/>
        <w:rPr>
          <w:rFonts w:cs="Arial"/>
          <w:bCs/>
          <w:u w:val="single"/>
        </w:rPr>
      </w:pPr>
    </w:p>
    <w:p w:rsidR="00C06C6E" w:rsidRPr="00571EF2" w:rsidRDefault="00C06C6E" w:rsidP="00B72CC6">
      <w:pPr>
        <w:pStyle w:val="ListParagraph"/>
        <w:numPr>
          <w:ilvl w:val="0"/>
          <w:numId w:val="126"/>
        </w:numPr>
        <w:spacing w:after="120"/>
        <w:ind w:left="993" w:hanging="426"/>
        <w:jc w:val="both"/>
        <w:rPr>
          <w:rFonts w:cs="Arial"/>
          <w:bCs/>
        </w:rPr>
      </w:pPr>
      <w:r w:rsidRPr="00571EF2">
        <w:rPr>
          <w:rFonts w:cs="Arial"/>
          <w:bCs/>
        </w:rPr>
        <w:t xml:space="preserve">Definition of objectives prior to pre-structural work </w:t>
      </w:r>
    </w:p>
    <w:p w:rsidR="00C06C6E" w:rsidRPr="00571EF2" w:rsidRDefault="00C06C6E" w:rsidP="00B72CC6">
      <w:pPr>
        <w:pStyle w:val="ListParagraph"/>
        <w:numPr>
          <w:ilvl w:val="0"/>
          <w:numId w:val="126"/>
        </w:numPr>
        <w:spacing w:after="120"/>
        <w:ind w:left="993" w:hanging="426"/>
        <w:jc w:val="both"/>
        <w:rPr>
          <w:rFonts w:cs="Arial"/>
          <w:bCs/>
        </w:rPr>
      </w:pPr>
      <w:r w:rsidRPr="00571EF2">
        <w:rPr>
          <w:rFonts w:cs="Arial"/>
          <w:bCs/>
        </w:rPr>
        <w:t xml:space="preserve">Requests for offers, </w:t>
      </w:r>
      <w:r>
        <w:rPr>
          <w:rFonts w:cs="Arial"/>
          <w:bCs/>
        </w:rPr>
        <w:t>award of contracts to various</w:t>
      </w:r>
      <w:r w:rsidRPr="00571EF2">
        <w:rPr>
          <w:rFonts w:cs="Arial"/>
          <w:bCs/>
        </w:rPr>
        <w:t xml:space="preserve"> firms, completion of pre-structural work for airlock.</w:t>
      </w:r>
    </w:p>
    <w:p w:rsidR="00C06C6E" w:rsidRPr="00571EF2" w:rsidRDefault="00C06C6E" w:rsidP="00B72CC6">
      <w:pPr>
        <w:pStyle w:val="ListParagraph"/>
        <w:numPr>
          <w:ilvl w:val="0"/>
          <w:numId w:val="126"/>
        </w:numPr>
        <w:spacing w:after="120"/>
        <w:ind w:left="993" w:hanging="426"/>
        <w:jc w:val="both"/>
        <w:rPr>
          <w:rFonts w:cs="Arial"/>
        </w:rPr>
      </w:pPr>
      <w:r>
        <w:rPr>
          <w:rFonts w:cs="Arial"/>
        </w:rPr>
        <w:t>Phase 1 work- I</w:t>
      </w:r>
      <w:r w:rsidRPr="00571EF2">
        <w:rPr>
          <w:rFonts w:cs="Arial"/>
        </w:rPr>
        <w:t xml:space="preserve">nstallation of partitions: </w:t>
      </w:r>
    </w:p>
    <w:p w:rsidR="00C06C6E" w:rsidRPr="00571EF2" w:rsidRDefault="00C06C6E" w:rsidP="00B72CC6">
      <w:pPr>
        <w:pStyle w:val="ListParagraph"/>
        <w:numPr>
          <w:ilvl w:val="1"/>
          <w:numId w:val="126"/>
        </w:numPr>
        <w:spacing w:after="120"/>
        <w:jc w:val="both"/>
        <w:rPr>
          <w:rFonts w:cs="Arial"/>
        </w:rPr>
      </w:pPr>
      <w:r w:rsidRPr="00571EF2">
        <w:rPr>
          <w:rFonts w:cs="Arial"/>
        </w:rPr>
        <w:t xml:space="preserve">Studies and internal implementation of work project </w:t>
      </w:r>
    </w:p>
    <w:p w:rsidR="00C06C6E" w:rsidRPr="00571EF2" w:rsidRDefault="00C06C6E" w:rsidP="00B72CC6">
      <w:pPr>
        <w:pStyle w:val="ListParagraph"/>
        <w:numPr>
          <w:ilvl w:val="1"/>
          <w:numId w:val="126"/>
        </w:numPr>
        <w:spacing w:after="120"/>
        <w:jc w:val="both"/>
        <w:rPr>
          <w:rFonts w:cs="Arial"/>
          <w:bCs/>
        </w:rPr>
      </w:pPr>
      <w:r w:rsidRPr="00571EF2">
        <w:rPr>
          <w:rFonts w:cs="Arial"/>
          <w:bCs/>
        </w:rPr>
        <w:t xml:space="preserve">Requests for offers and </w:t>
      </w:r>
      <w:r>
        <w:rPr>
          <w:rFonts w:cs="Arial"/>
          <w:bCs/>
        </w:rPr>
        <w:t>awards of contracts</w:t>
      </w:r>
    </w:p>
    <w:p w:rsidR="00C06C6E" w:rsidRPr="00E42803" w:rsidRDefault="00C06C6E" w:rsidP="00B72CC6">
      <w:pPr>
        <w:pStyle w:val="ListParagraph"/>
        <w:numPr>
          <w:ilvl w:val="1"/>
          <w:numId w:val="126"/>
        </w:numPr>
        <w:jc w:val="both"/>
        <w:rPr>
          <w:rFonts w:cs="Arial"/>
          <w:bCs/>
        </w:rPr>
      </w:pPr>
      <w:r w:rsidRPr="00571EF2">
        <w:rPr>
          <w:rFonts w:cs="Arial"/>
          <w:bCs/>
        </w:rPr>
        <w:lastRenderedPageBreak/>
        <w:t xml:space="preserve">Implementation of compartmentalization work, i.e. </w:t>
      </w:r>
      <w:r>
        <w:rPr>
          <w:rFonts w:cs="Arial"/>
          <w:bCs/>
        </w:rPr>
        <w:t xml:space="preserve">installation of </w:t>
      </w:r>
      <w:r w:rsidRPr="00571EF2">
        <w:rPr>
          <w:rFonts w:cs="Arial"/>
          <w:bCs/>
        </w:rPr>
        <w:t>partitions</w:t>
      </w:r>
    </w:p>
    <w:p w:rsidR="00C06C6E" w:rsidRPr="008133E5" w:rsidRDefault="00C06C6E" w:rsidP="00B72CC6">
      <w:pPr>
        <w:rPr>
          <w:rFonts w:cs="Arial"/>
          <w:bCs/>
          <w:szCs w:val="20"/>
        </w:rPr>
      </w:pPr>
    </w:p>
    <w:p w:rsidR="00C06C6E" w:rsidRPr="008133E5" w:rsidRDefault="00C06C6E" w:rsidP="00C06C6E">
      <w:pPr>
        <w:rPr>
          <w:rFonts w:cs="Arial"/>
          <w:bCs/>
          <w:szCs w:val="20"/>
        </w:rPr>
      </w:pPr>
    </w:p>
    <w:p w:rsidR="00C06C6E" w:rsidRPr="00F47045" w:rsidRDefault="00C06C6E" w:rsidP="00C06C6E">
      <w:pPr>
        <w:rPr>
          <w:rFonts w:cs="Arial"/>
          <w:bCs/>
          <w:szCs w:val="20"/>
          <w:lang w:val="fr-CH"/>
        </w:rPr>
      </w:pPr>
      <w:r w:rsidRPr="00F47045">
        <w:rPr>
          <w:rFonts w:cs="Arial"/>
          <w:bCs/>
          <w:szCs w:val="20"/>
          <w:lang w:val="fr-CH"/>
        </w:rPr>
        <w:t>BENEFITS REALIZATION</w:t>
      </w:r>
    </w:p>
    <w:p w:rsidR="00C06C6E" w:rsidRPr="009A7C08" w:rsidRDefault="00C06C6E" w:rsidP="00C06C6E">
      <w:pPr>
        <w:rPr>
          <w:szCs w:val="20"/>
          <w:lang w:val="fr-CH"/>
        </w:rPr>
      </w:pPr>
    </w:p>
    <w:tbl>
      <w:tblPr>
        <w:tblW w:w="4344" w:type="pct"/>
        <w:jc w:val="center"/>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9"/>
        <w:gridCol w:w="2488"/>
        <w:gridCol w:w="2488"/>
      </w:tblGrid>
      <w:tr w:rsidR="00C06C6E" w:rsidRPr="009A7C08" w:rsidTr="00225288">
        <w:trPr>
          <w:trHeight w:val="314"/>
          <w:tblHeader/>
          <w:jc w:val="center"/>
        </w:trPr>
        <w:tc>
          <w:tcPr>
            <w:tcW w:w="2008" w:type="pct"/>
            <w:tcBorders>
              <w:bottom w:val="single" w:sz="4" w:space="0" w:color="auto"/>
            </w:tcBorders>
            <w:shd w:val="clear" w:color="auto" w:fill="C6D9F1" w:themeFill="text2" w:themeFillTint="33"/>
            <w:tcMar>
              <w:top w:w="113" w:type="dxa"/>
              <w:bottom w:w="113" w:type="dxa"/>
            </w:tcMar>
            <w:vAlign w:val="center"/>
          </w:tcPr>
          <w:p w:rsidR="00C06C6E" w:rsidRPr="005158E3" w:rsidRDefault="00C06C6E" w:rsidP="00C06C6E">
            <w:pPr>
              <w:jc w:val="center"/>
              <w:rPr>
                <w:b/>
                <w:bCs/>
                <w:sz w:val="16"/>
                <w:szCs w:val="16"/>
              </w:rPr>
            </w:pPr>
            <w:r w:rsidRPr="005158E3">
              <w:rPr>
                <w:b/>
                <w:bCs/>
                <w:sz w:val="16"/>
                <w:szCs w:val="16"/>
              </w:rPr>
              <w:t>Benefits Delivered 2014</w:t>
            </w:r>
          </w:p>
        </w:tc>
        <w:tc>
          <w:tcPr>
            <w:tcW w:w="1496" w:type="pct"/>
            <w:tcBorders>
              <w:bottom w:val="single" w:sz="4" w:space="0" w:color="auto"/>
            </w:tcBorders>
            <w:shd w:val="clear" w:color="auto" w:fill="C6D9F1" w:themeFill="text2" w:themeFillTint="33"/>
            <w:vAlign w:val="center"/>
          </w:tcPr>
          <w:p w:rsidR="00C06C6E" w:rsidRPr="005158E3" w:rsidRDefault="00C06C6E" w:rsidP="00C06C6E">
            <w:pPr>
              <w:jc w:val="center"/>
              <w:rPr>
                <w:b/>
                <w:bCs/>
                <w:sz w:val="16"/>
                <w:szCs w:val="16"/>
              </w:rPr>
            </w:pPr>
            <w:r w:rsidRPr="005158E3">
              <w:rPr>
                <w:b/>
                <w:bCs/>
                <w:sz w:val="16"/>
                <w:szCs w:val="16"/>
              </w:rPr>
              <w:t>Expected Benefits 2015</w:t>
            </w:r>
          </w:p>
        </w:tc>
        <w:tc>
          <w:tcPr>
            <w:tcW w:w="1496" w:type="pct"/>
            <w:shd w:val="clear" w:color="auto" w:fill="C6D9F1" w:themeFill="text2" w:themeFillTint="33"/>
            <w:vAlign w:val="center"/>
          </w:tcPr>
          <w:p w:rsidR="00C06C6E" w:rsidRPr="005158E3" w:rsidRDefault="00C06C6E" w:rsidP="00C06C6E">
            <w:pPr>
              <w:jc w:val="center"/>
              <w:rPr>
                <w:b/>
                <w:bCs/>
                <w:sz w:val="16"/>
                <w:szCs w:val="16"/>
              </w:rPr>
            </w:pPr>
            <w:r w:rsidRPr="005158E3">
              <w:rPr>
                <w:b/>
                <w:bCs/>
                <w:sz w:val="16"/>
                <w:szCs w:val="16"/>
              </w:rPr>
              <w:t>Expected Benefits 2016</w:t>
            </w:r>
          </w:p>
        </w:tc>
      </w:tr>
      <w:tr w:rsidR="00C06C6E" w:rsidRPr="00165870" w:rsidTr="00225288">
        <w:trPr>
          <w:trHeight w:val="564"/>
          <w:jc w:val="center"/>
        </w:trPr>
        <w:tc>
          <w:tcPr>
            <w:tcW w:w="2008" w:type="pct"/>
            <w:tcBorders>
              <w:top w:val="single" w:sz="4" w:space="0" w:color="auto"/>
              <w:bottom w:val="single" w:sz="4" w:space="0" w:color="auto"/>
            </w:tcBorders>
            <w:shd w:val="clear" w:color="auto" w:fill="auto"/>
            <w:tcMar>
              <w:top w:w="113" w:type="dxa"/>
              <w:bottom w:w="113" w:type="dxa"/>
            </w:tcMar>
          </w:tcPr>
          <w:p w:rsidR="00C06C6E" w:rsidRPr="005158E3" w:rsidRDefault="00C06C6E" w:rsidP="00C06C6E">
            <w:pPr>
              <w:rPr>
                <w:bCs/>
                <w:sz w:val="16"/>
                <w:szCs w:val="16"/>
              </w:rPr>
            </w:pPr>
            <w:r w:rsidRPr="005158E3">
              <w:rPr>
                <w:bCs/>
                <w:sz w:val="16"/>
                <w:szCs w:val="22"/>
              </w:rPr>
              <w:t>Enhancement of security and measures for the protection of staff upon completion of PCT compartmentalization</w:t>
            </w:r>
          </w:p>
        </w:tc>
        <w:tc>
          <w:tcPr>
            <w:tcW w:w="1496" w:type="pct"/>
            <w:tcBorders>
              <w:top w:val="single" w:sz="4" w:space="0" w:color="auto"/>
              <w:bottom w:val="single" w:sz="4" w:space="0" w:color="auto"/>
            </w:tcBorders>
          </w:tcPr>
          <w:p w:rsidR="00C06C6E" w:rsidRPr="005158E3" w:rsidRDefault="00C06C6E" w:rsidP="00C06C6E">
            <w:pPr>
              <w:rPr>
                <w:b/>
                <w:bCs/>
                <w:sz w:val="16"/>
                <w:szCs w:val="16"/>
                <w:u w:val="single"/>
              </w:rPr>
            </w:pPr>
            <w:r w:rsidRPr="005158E3">
              <w:rPr>
                <w:bCs/>
                <w:sz w:val="16"/>
                <w:szCs w:val="22"/>
              </w:rPr>
              <w:t>Maintain level of safety and security in PCT building</w:t>
            </w:r>
          </w:p>
        </w:tc>
        <w:tc>
          <w:tcPr>
            <w:tcW w:w="1496" w:type="pct"/>
            <w:shd w:val="clear" w:color="auto" w:fill="auto"/>
          </w:tcPr>
          <w:p w:rsidR="00C06C6E" w:rsidRPr="005158E3" w:rsidRDefault="00C06C6E" w:rsidP="00C06C6E">
            <w:pPr>
              <w:rPr>
                <w:b/>
                <w:bCs/>
                <w:i/>
                <w:iCs/>
                <w:sz w:val="16"/>
                <w:szCs w:val="16"/>
              </w:rPr>
            </w:pPr>
          </w:p>
        </w:tc>
      </w:tr>
      <w:tr w:rsidR="00C06C6E" w:rsidRPr="002005BF" w:rsidTr="00225288">
        <w:trPr>
          <w:trHeight w:val="919"/>
          <w:jc w:val="center"/>
        </w:trPr>
        <w:tc>
          <w:tcPr>
            <w:tcW w:w="2008" w:type="pct"/>
            <w:tcBorders>
              <w:top w:val="single" w:sz="4" w:space="0" w:color="auto"/>
              <w:bottom w:val="single" w:sz="4" w:space="0" w:color="auto"/>
            </w:tcBorders>
            <w:shd w:val="clear" w:color="auto" w:fill="auto"/>
            <w:tcMar>
              <w:top w:w="113" w:type="dxa"/>
              <w:bottom w:w="113" w:type="dxa"/>
            </w:tcMar>
          </w:tcPr>
          <w:p w:rsidR="00C06C6E" w:rsidRPr="00165870" w:rsidRDefault="00C06C6E" w:rsidP="00C06C6E">
            <w:pPr>
              <w:rPr>
                <w:b/>
                <w:bCs/>
                <w:sz w:val="16"/>
                <w:szCs w:val="16"/>
                <w:u w:val="single"/>
              </w:rPr>
            </w:pPr>
          </w:p>
        </w:tc>
        <w:tc>
          <w:tcPr>
            <w:tcW w:w="1496" w:type="pct"/>
            <w:tcBorders>
              <w:top w:val="single" w:sz="4" w:space="0" w:color="auto"/>
              <w:bottom w:val="single" w:sz="4" w:space="0" w:color="auto"/>
            </w:tcBorders>
          </w:tcPr>
          <w:p w:rsidR="00C06C6E" w:rsidRPr="002005BF" w:rsidRDefault="00C06C6E" w:rsidP="00C06C6E">
            <w:pPr>
              <w:rPr>
                <w:bCs/>
                <w:sz w:val="16"/>
                <w:szCs w:val="22"/>
              </w:rPr>
            </w:pPr>
            <w:r w:rsidRPr="002005BF">
              <w:rPr>
                <w:bCs/>
                <w:sz w:val="16"/>
                <w:szCs w:val="22"/>
              </w:rPr>
              <w:t>Enhancement of security linked to staff and delegates by creating an airlock on landing of lifts AB -2</w:t>
            </w:r>
          </w:p>
        </w:tc>
        <w:tc>
          <w:tcPr>
            <w:tcW w:w="1496" w:type="pct"/>
            <w:shd w:val="clear" w:color="auto" w:fill="auto"/>
          </w:tcPr>
          <w:p w:rsidR="00C06C6E" w:rsidRPr="002005BF" w:rsidRDefault="00C06C6E" w:rsidP="00C06C6E">
            <w:pPr>
              <w:rPr>
                <w:b/>
                <w:bCs/>
                <w:i/>
                <w:iCs/>
                <w:sz w:val="16"/>
                <w:szCs w:val="16"/>
              </w:rPr>
            </w:pPr>
            <w:r w:rsidRPr="002005BF">
              <w:rPr>
                <w:bCs/>
                <w:sz w:val="16"/>
                <w:szCs w:val="22"/>
              </w:rPr>
              <w:t>Maintain level of security and safety of access to landing</w:t>
            </w:r>
            <w:r w:rsidR="00CD55B6">
              <w:rPr>
                <w:bCs/>
                <w:sz w:val="16"/>
                <w:szCs w:val="22"/>
              </w:rPr>
              <w:br/>
            </w:r>
            <w:r w:rsidRPr="002005BF">
              <w:rPr>
                <w:bCs/>
                <w:sz w:val="16"/>
                <w:szCs w:val="22"/>
              </w:rPr>
              <w:t xml:space="preserve"> AB -2</w:t>
            </w:r>
          </w:p>
        </w:tc>
      </w:tr>
      <w:tr w:rsidR="00C06C6E" w:rsidRPr="00722411" w:rsidTr="00225288">
        <w:trPr>
          <w:trHeight w:val="564"/>
          <w:jc w:val="center"/>
        </w:trPr>
        <w:tc>
          <w:tcPr>
            <w:tcW w:w="2008" w:type="pct"/>
            <w:tcBorders>
              <w:top w:val="single" w:sz="4" w:space="0" w:color="auto"/>
              <w:bottom w:val="single" w:sz="4" w:space="0" w:color="auto"/>
            </w:tcBorders>
            <w:shd w:val="clear" w:color="auto" w:fill="auto"/>
            <w:tcMar>
              <w:top w:w="113" w:type="dxa"/>
              <w:bottom w:w="113" w:type="dxa"/>
            </w:tcMar>
          </w:tcPr>
          <w:p w:rsidR="00C06C6E" w:rsidRPr="002005BF" w:rsidRDefault="00C06C6E" w:rsidP="00C06C6E">
            <w:pPr>
              <w:rPr>
                <w:b/>
                <w:bCs/>
                <w:sz w:val="16"/>
                <w:szCs w:val="16"/>
                <w:u w:val="single"/>
              </w:rPr>
            </w:pPr>
          </w:p>
        </w:tc>
        <w:tc>
          <w:tcPr>
            <w:tcW w:w="1496" w:type="pct"/>
            <w:tcBorders>
              <w:top w:val="single" w:sz="4" w:space="0" w:color="auto"/>
              <w:bottom w:val="single" w:sz="4" w:space="0" w:color="auto"/>
            </w:tcBorders>
          </w:tcPr>
          <w:p w:rsidR="00C06C6E" w:rsidRPr="002005BF" w:rsidRDefault="00C06C6E" w:rsidP="00C06C6E">
            <w:pPr>
              <w:rPr>
                <w:b/>
                <w:bCs/>
                <w:sz w:val="16"/>
                <w:szCs w:val="16"/>
                <w:u w:val="single"/>
              </w:rPr>
            </w:pPr>
          </w:p>
        </w:tc>
        <w:tc>
          <w:tcPr>
            <w:tcW w:w="1496" w:type="pct"/>
            <w:shd w:val="clear" w:color="auto" w:fill="auto"/>
          </w:tcPr>
          <w:p w:rsidR="00C06C6E" w:rsidRPr="00722411" w:rsidRDefault="00C06C6E" w:rsidP="00C06C6E">
            <w:pPr>
              <w:rPr>
                <w:b/>
                <w:bCs/>
                <w:i/>
                <w:iCs/>
                <w:sz w:val="16"/>
                <w:szCs w:val="16"/>
              </w:rPr>
            </w:pPr>
            <w:r w:rsidRPr="00722411">
              <w:rPr>
                <w:bCs/>
                <w:sz w:val="16"/>
                <w:szCs w:val="22"/>
              </w:rPr>
              <w:t>Improve level of security and safety between buildings GBI and GBII</w:t>
            </w:r>
          </w:p>
        </w:tc>
      </w:tr>
      <w:tr w:rsidR="00C06C6E" w:rsidRPr="00722411" w:rsidTr="00225288">
        <w:trPr>
          <w:trHeight w:val="564"/>
          <w:jc w:val="center"/>
        </w:trPr>
        <w:tc>
          <w:tcPr>
            <w:tcW w:w="2008" w:type="pct"/>
            <w:tcBorders>
              <w:top w:val="single" w:sz="4" w:space="0" w:color="auto"/>
              <w:bottom w:val="single" w:sz="4" w:space="0" w:color="auto"/>
            </w:tcBorders>
            <w:shd w:val="clear" w:color="auto" w:fill="auto"/>
            <w:tcMar>
              <w:top w:w="113" w:type="dxa"/>
              <w:bottom w:w="113" w:type="dxa"/>
            </w:tcMar>
          </w:tcPr>
          <w:p w:rsidR="00C06C6E" w:rsidRPr="00722411" w:rsidRDefault="00C06C6E" w:rsidP="00C06C6E">
            <w:pPr>
              <w:rPr>
                <w:b/>
                <w:bCs/>
                <w:sz w:val="16"/>
                <w:szCs w:val="16"/>
                <w:u w:val="single"/>
              </w:rPr>
            </w:pPr>
          </w:p>
        </w:tc>
        <w:tc>
          <w:tcPr>
            <w:tcW w:w="1496" w:type="pct"/>
            <w:tcBorders>
              <w:top w:val="single" w:sz="4" w:space="0" w:color="auto"/>
              <w:bottom w:val="single" w:sz="4" w:space="0" w:color="auto"/>
            </w:tcBorders>
          </w:tcPr>
          <w:p w:rsidR="00C06C6E" w:rsidRPr="00722411" w:rsidRDefault="00C06C6E" w:rsidP="00C06C6E">
            <w:pPr>
              <w:rPr>
                <w:b/>
                <w:bCs/>
                <w:sz w:val="16"/>
                <w:szCs w:val="16"/>
                <w:u w:val="single"/>
              </w:rPr>
            </w:pPr>
          </w:p>
        </w:tc>
        <w:tc>
          <w:tcPr>
            <w:tcW w:w="1496" w:type="pct"/>
            <w:shd w:val="clear" w:color="auto" w:fill="auto"/>
          </w:tcPr>
          <w:p w:rsidR="00C06C6E" w:rsidRPr="00722411" w:rsidRDefault="00C06C6E" w:rsidP="00CD55B6">
            <w:pPr>
              <w:rPr>
                <w:b/>
                <w:bCs/>
                <w:i/>
                <w:iCs/>
                <w:sz w:val="16"/>
                <w:szCs w:val="16"/>
              </w:rPr>
            </w:pPr>
            <w:r w:rsidRPr="00722411">
              <w:rPr>
                <w:bCs/>
                <w:sz w:val="16"/>
                <w:szCs w:val="22"/>
              </w:rPr>
              <w:t xml:space="preserve">Improve level of security </w:t>
            </w:r>
            <w:r w:rsidR="00CD55B6">
              <w:rPr>
                <w:bCs/>
                <w:sz w:val="16"/>
                <w:szCs w:val="22"/>
              </w:rPr>
              <w:t>and safety between buildings AB</w:t>
            </w:r>
            <w:r w:rsidRPr="00722411">
              <w:rPr>
                <w:bCs/>
                <w:sz w:val="16"/>
                <w:szCs w:val="22"/>
              </w:rPr>
              <w:t xml:space="preserve"> </w:t>
            </w:r>
            <w:r w:rsidR="00CD55B6">
              <w:rPr>
                <w:bCs/>
                <w:sz w:val="16"/>
                <w:szCs w:val="22"/>
              </w:rPr>
              <w:t xml:space="preserve">and </w:t>
            </w:r>
            <w:r w:rsidRPr="00722411">
              <w:rPr>
                <w:bCs/>
                <w:sz w:val="16"/>
                <w:szCs w:val="22"/>
              </w:rPr>
              <w:t>GBI</w:t>
            </w:r>
          </w:p>
        </w:tc>
      </w:tr>
    </w:tbl>
    <w:p w:rsidR="00C06C6E" w:rsidRDefault="00C06C6E" w:rsidP="00C06C6E">
      <w:pPr>
        <w:rPr>
          <w:szCs w:val="20"/>
        </w:rPr>
      </w:pPr>
    </w:p>
    <w:p w:rsidR="00B72CC6" w:rsidRPr="00722411" w:rsidRDefault="00B72CC6" w:rsidP="00C06C6E">
      <w:pPr>
        <w:rPr>
          <w:szCs w:val="20"/>
        </w:rPr>
      </w:pPr>
    </w:p>
    <w:p w:rsidR="00C06C6E" w:rsidRPr="0079178E" w:rsidRDefault="00C06C6E" w:rsidP="00C06C6E">
      <w:pPr>
        <w:rPr>
          <w:rFonts w:cs="Arial"/>
          <w:color w:val="000000"/>
          <w:sz w:val="22"/>
          <w:szCs w:val="22"/>
        </w:rPr>
      </w:pPr>
      <w:r>
        <w:rPr>
          <w:rFonts w:cs="Arial"/>
          <w:color w:val="000000"/>
          <w:sz w:val="22"/>
          <w:szCs w:val="22"/>
        </w:rPr>
        <w:t>RESOURCE</w:t>
      </w:r>
      <w:r w:rsidRPr="0079178E">
        <w:rPr>
          <w:rFonts w:cs="Arial"/>
          <w:color w:val="000000"/>
          <w:sz w:val="22"/>
          <w:szCs w:val="22"/>
        </w:rPr>
        <w:t xml:space="preserve"> UTILIZATION</w:t>
      </w:r>
      <w:r w:rsidRPr="0079178E">
        <w:rPr>
          <w:rFonts w:cs="Arial"/>
          <w:color w:val="000000"/>
          <w:sz w:val="22"/>
          <w:szCs w:val="22"/>
        </w:rPr>
        <w:tab/>
      </w:r>
    </w:p>
    <w:p w:rsidR="00C06C6E" w:rsidRPr="0079178E" w:rsidRDefault="00C06C6E" w:rsidP="00C06C6E">
      <w:pPr>
        <w:rPr>
          <w:rFonts w:cs="Arial"/>
          <w:color w:val="000000"/>
          <w:sz w:val="22"/>
          <w:szCs w:val="22"/>
        </w:rPr>
      </w:pPr>
    </w:p>
    <w:p w:rsidR="00C06C6E" w:rsidRPr="0079178E" w:rsidRDefault="00C06C6E" w:rsidP="00C06C6E">
      <w:pPr>
        <w:keepNext/>
        <w:keepLines/>
        <w:tabs>
          <w:tab w:val="left" w:pos="3261"/>
        </w:tabs>
        <w:autoSpaceDE w:val="0"/>
        <w:autoSpaceDN w:val="0"/>
        <w:adjustRightInd w:val="0"/>
        <w:jc w:val="center"/>
        <w:rPr>
          <w:b/>
          <w:szCs w:val="22"/>
        </w:rPr>
      </w:pPr>
      <w:r w:rsidRPr="0079178E">
        <w:rPr>
          <w:b/>
          <w:szCs w:val="22"/>
        </w:rPr>
        <w:t xml:space="preserve">Project Budget Utilization </w:t>
      </w:r>
    </w:p>
    <w:p w:rsidR="00C06C6E" w:rsidRDefault="00C06C6E" w:rsidP="00B72CC6">
      <w:pPr>
        <w:keepNext/>
        <w:keepLines/>
        <w:tabs>
          <w:tab w:val="left" w:pos="3261"/>
        </w:tabs>
        <w:autoSpaceDE w:val="0"/>
        <w:autoSpaceDN w:val="0"/>
        <w:adjustRightInd w:val="0"/>
        <w:jc w:val="center"/>
        <w:rPr>
          <w:i/>
          <w:iCs/>
          <w:sz w:val="18"/>
          <w:szCs w:val="18"/>
        </w:rPr>
      </w:pPr>
      <w:r w:rsidRPr="0079178E">
        <w:rPr>
          <w:i/>
          <w:iCs/>
          <w:sz w:val="18"/>
          <w:szCs w:val="18"/>
        </w:rPr>
        <w:t>(In Swiss francs, as at December 31, 2014)</w:t>
      </w:r>
    </w:p>
    <w:p w:rsidR="00B72CC6" w:rsidRPr="00B72CC6" w:rsidRDefault="00B72CC6" w:rsidP="00B72CC6">
      <w:pPr>
        <w:keepNext/>
        <w:keepLines/>
        <w:tabs>
          <w:tab w:val="left" w:pos="3261"/>
        </w:tabs>
        <w:autoSpaceDE w:val="0"/>
        <w:autoSpaceDN w:val="0"/>
        <w:adjustRightInd w:val="0"/>
        <w:jc w:val="center"/>
        <w:rPr>
          <w:i/>
          <w:iCs/>
          <w:sz w:val="18"/>
          <w:szCs w:val="18"/>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9"/>
        <w:gridCol w:w="1759"/>
        <w:gridCol w:w="1711"/>
        <w:gridCol w:w="1225"/>
        <w:gridCol w:w="1564"/>
      </w:tblGrid>
      <w:tr w:rsidR="00C06C6E" w:rsidRPr="009A7C08" w:rsidTr="005158E3">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9A7C08" w:rsidRDefault="00C06C6E" w:rsidP="00C06C6E">
            <w:pPr>
              <w:keepNext/>
              <w:keepLines/>
              <w:autoSpaceDE w:val="0"/>
              <w:autoSpaceDN w:val="0"/>
              <w:adjustRightInd w:val="0"/>
              <w:spacing w:before="40" w:after="40"/>
              <w:ind w:left="-74" w:right="-60"/>
              <w:jc w:val="center"/>
              <w:rPr>
                <w:b/>
                <w:bCs/>
                <w:sz w:val="16"/>
                <w:szCs w:val="16"/>
                <w:lang w:val="fr-CH"/>
              </w:rPr>
            </w:pPr>
            <w:r w:rsidRPr="009A7C08">
              <w:rPr>
                <w:b/>
                <w:bCs/>
                <w:sz w:val="16"/>
                <w:szCs w:val="16"/>
                <w:lang w:val="fr-CH"/>
              </w:rPr>
              <w:t>Project Name</w:t>
            </w:r>
          </w:p>
        </w:tc>
        <w:tc>
          <w:tcPr>
            <w:tcW w:w="9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9A7C08" w:rsidRDefault="00C06C6E" w:rsidP="00C06C6E">
            <w:pPr>
              <w:keepNext/>
              <w:keepLines/>
              <w:autoSpaceDE w:val="0"/>
              <w:autoSpaceDN w:val="0"/>
              <w:adjustRightInd w:val="0"/>
              <w:spacing w:before="40" w:after="40"/>
              <w:ind w:left="-107" w:right="-108"/>
              <w:jc w:val="center"/>
              <w:rPr>
                <w:b/>
                <w:bCs/>
                <w:sz w:val="16"/>
                <w:szCs w:val="16"/>
                <w:lang w:val="fr-CH"/>
              </w:rPr>
            </w:pPr>
            <w:r w:rsidRPr="009A7C08">
              <w:rPr>
                <w:b/>
                <w:bCs/>
                <w:sz w:val="16"/>
                <w:szCs w:val="16"/>
                <w:lang w:val="fr-CH"/>
              </w:rPr>
              <w:t>Project Budget</w:t>
            </w:r>
          </w:p>
        </w:tc>
        <w:tc>
          <w:tcPr>
            <w:tcW w:w="9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9A7C08" w:rsidRDefault="00C06C6E" w:rsidP="00C06C6E">
            <w:pPr>
              <w:keepNext/>
              <w:keepLines/>
              <w:autoSpaceDE w:val="0"/>
              <w:autoSpaceDN w:val="0"/>
              <w:adjustRightInd w:val="0"/>
              <w:spacing w:before="40" w:after="40"/>
              <w:ind w:left="-108" w:right="-106"/>
              <w:jc w:val="center"/>
              <w:rPr>
                <w:b/>
                <w:bCs/>
                <w:sz w:val="16"/>
                <w:szCs w:val="16"/>
                <w:lang w:val="fr-CH"/>
              </w:rPr>
            </w:pPr>
            <w:proofErr w:type="spellStart"/>
            <w:r w:rsidRPr="009A7C08">
              <w:rPr>
                <w:b/>
                <w:bCs/>
                <w:sz w:val="16"/>
                <w:szCs w:val="16"/>
                <w:lang w:val="fr-CH"/>
              </w:rPr>
              <w:t>Actual</w:t>
            </w:r>
            <w:proofErr w:type="spellEnd"/>
            <w:r w:rsidRPr="009A7C08">
              <w:rPr>
                <w:b/>
                <w:bCs/>
                <w:sz w:val="16"/>
                <w:szCs w:val="16"/>
                <w:lang w:val="fr-CH"/>
              </w:rPr>
              <w:t xml:space="preserve"> </w:t>
            </w:r>
            <w:proofErr w:type="spellStart"/>
            <w:r w:rsidRPr="009A7C08">
              <w:rPr>
                <w:b/>
                <w:bCs/>
                <w:sz w:val="16"/>
                <w:szCs w:val="16"/>
                <w:lang w:val="fr-CH"/>
              </w:rPr>
              <w:t>Expenditure</w:t>
            </w:r>
            <w:proofErr w:type="spellEnd"/>
            <w:r w:rsidRPr="009A7C08">
              <w:rPr>
                <w:b/>
                <w:bCs/>
                <w:sz w:val="16"/>
                <w:szCs w:val="16"/>
                <w:lang w:val="fr-CH"/>
              </w:rPr>
              <w:t xml:space="preserve"> to Date</w:t>
            </w:r>
          </w:p>
        </w:tc>
        <w:tc>
          <w:tcPr>
            <w:tcW w:w="66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9A7C08" w:rsidRDefault="00C06C6E" w:rsidP="00C06C6E">
            <w:pPr>
              <w:keepNext/>
              <w:keepLines/>
              <w:autoSpaceDE w:val="0"/>
              <w:autoSpaceDN w:val="0"/>
              <w:adjustRightInd w:val="0"/>
              <w:spacing w:before="40" w:after="40"/>
              <w:ind w:left="-109" w:right="-108"/>
              <w:jc w:val="center"/>
              <w:rPr>
                <w:b/>
                <w:bCs/>
                <w:sz w:val="16"/>
                <w:szCs w:val="16"/>
                <w:lang w:val="fr-CH"/>
              </w:rPr>
            </w:pPr>
            <w:proofErr w:type="spellStart"/>
            <w:r w:rsidRPr="009A7C08">
              <w:rPr>
                <w:b/>
                <w:bCs/>
                <w:sz w:val="16"/>
                <w:szCs w:val="16"/>
                <w:lang w:val="fr-CH"/>
              </w:rPr>
              <w:t>Actual</w:t>
            </w:r>
            <w:proofErr w:type="spellEnd"/>
            <w:r w:rsidRPr="009A7C08">
              <w:rPr>
                <w:b/>
                <w:bCs/>
                <w:sz w:val="16"/>
                <w:szCs w:val="16"/>
                <w:lang w:val="fr-CH"/>
              </w:rPr>
              <w:t xml:space="preserve"> Budget </w:t>
            </w:r>
            <w:proofErr w:type="spellStart"/>
            <w:r w:rsidRPr="009A7C08">
              <w:rPr>
                <w:b/>
                <w:bCs/>
                <w:sz w:val="16"/>
                <w:szCs w:val="16"/>
                <w:lang w:val="fr-CH"/>
              </w:rPr>
              <w:t>Utilization</w:t>
            </w:r>
            <w:proofErr w:type="spellEnd"/>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79178E" w:rsidRDefault="00C06C6E" w:rsidP="00C06C6E">
            <w:pPr>
              <w:keepNext/>
              <w:keepLines/>
              <w:autoSpaceDE w:val="0"/>
              <w:autoSpaceDN w:val="0"/>
              <w:adjustRightInd w:val="0"/>
              <w:spacing w:before="40" w:after="40"/>
              <w:ind w:left="-109" w:right="-73" w:firstLine="1"/>
              <w:jc w:val="center"/>
              <w:rPr>
                <w:b/>
                <w:bCs/>
                <w:sz w:val="16"/>
                <w:szCs w:val="16"/>
              </w:rPr>
            </w:pPr>
            <w:r w:rsidRPr="0079178E">
              <w:rPr>
                <w:b/>
                <w:bCs/>
                <w:sz w:val="16"/>
                <w:szCs w:val="16"/>
              </w:rPr>
              <w:t>Implementation Progress Rate of the Project</w:t>
            </w:r>
          </w:p>
        </w:tc>
      </w:tr>
      <w:tr w:rsidR="00C06C6E" w:rsidRPr="009A7C08" w:rsidTr="00C06C6E">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C06C6E" w:rsidRPr="0004498F" w:rsidRDefault="00C06C6E" w:rsidP="00C06C6E">
            <w:pPr>
              <w:keepNext/>
              <w:keepLines/>
              <w:autoSpaceDE w:val="0"/>
              <w:autoSpaceDN w:val="0"/>
              <w:adjustRightInd w:val="0"/>
              <w:spacing w:before="40" w:after="40" w:line="260" w:lineRule="exact"/>
              <w:jc w:val="center"/>
              <w:rPr>
                <w:sz w:val="16"/>
                <w:szCs w:val="16"/>
              </w:rPr>
            </w:pPr>
            <w:r w:rsidRPr="0004498F">
              <w:rPr>
                <w:sz w:val="16"/>
                <w:szCs w:val="16"/>
              </w:rPr>
              <w:t>Safety and Fire Protection Measures</w:t>
            </w:r>
          </w:p>
        </w:tc>
        <w:tc>
          <w:tcPr>
            <w:tcW w:w="956" w:type="pct"/>
            <w:tcBorders>
              <w:top w:val="single" w:sz="4" w:space="0" w:color="auto"/>
              <w:left w:val="single" w:sz="4" w:space="0" w:color="auto"/>
              <w:bottom w:val="single" w:sz="4" w:space="0" w:color="auto"/>
              <w:right w:val="single" w:sz="4" w:space="0" w:color="auto"/>
            </w:tcBorders>
            <w:vAlign w:val="center"/>
          </w:tcPr>
          <w:p w:rsidR="00C06C6E" w:rsidRPr="0004498F" w:rsidRDefault="00C06C6E" w:rsidP="00C06C6E">
            <w:pPr>
              <w:keepNext/>
              <w:keepLines/>
              <w:autoSpaceDE w:val="0"/>
              <w:autoSpaceDN w:val="0"/>
              <w:adjustRightInd w:val="0"/>
              <w:spacing w:before="40" w:after="40" w:line="260" w:lineRule="exact"/>
              <w:jc w:val="center"/>
              <w:rPr>
                <w:sz w:val="16"/>
                <w:szCs w:val="16"/>
                <w:lang w:val="fr-CH"/>
              </w:rPr>
            </w:pPr>
            <w:r w:rsidRPr="0004498F">
              <w:rPr>
                <w:sz w:val="16"/>
                <w:szCs w:val="16"/>
                <w:lang w:val="fr-CH"/>
              </w:rPr>
              <w:t>400,000</w:t>
            </w:r>
          </w:p>
        </w:tc>
        <w:tc>
          <w:tcPr>
            <w:tcW w:w="930" w:type="pct"/>
            <w:tcBorders>
              <w:top w:val="single" w:sz="4" w:space="0" w:color="auto"/>
              <w:left w:val="single" w:sz="4" w:space="0" w:color="auto"/>
              <w:bottom w:val="single" w:sz="4" w:space="0" w:color="auto"/>
              <w:right w:val="single" w:sz="4" w:space="0" w:color="auto"/>
            </w:tcBorders>
            <w:vAlign w:val="center"/>
          </w:tcPr>
          <w:p w:rsidR="00C06C6E" w:rsidRPr="0004498F" w:rsidRDefault="00C06C6E" w:rsidP="00C06C6E">
            <w:pPr>
              <w:keepNext/>
              <w:keepLines/>
              <w:autoSpaceDE w:val="0"/>
              <w:autoSpaceDN w:val="0"/>
              <w:adjustRightInd w:val="0"/>
              <w:spacing w:before="40" w:after="40" w:line="260" w:lineRule="exact"/>
              <w:jc w:val="center"/>
              <w:rPr>
                <w:sz w:val="16"/>
                <w:szCs w:val="16"/>
                <w:lang w:val="fr-CH"/>
              </w:rPr>
            </w:pPr>
            <w:r w:rsidRPr="0004498F">
              <w:rPr>
                <w:sz w:val="16"/>
                <w:szCs w:val="16"/>
                <w:lang w:val="fr-CH"/>
              </w:rPr>
              <w:t>96,544</w:t>
            </w:r>
          </w:p>
        </w:tc>
        <w:tc>
          <w:tcPr>
            <w:tcW w:w="666" w:type="pct"/>
            <w:tcBorders>
              <w:top w:val="single" w:sz="4" w:space="0" w:color="auto"/>
              <w:left w:val="single" w:sz="4" w:space="0" w:color="auto"/>
              <w:bottom w:val="single" w:sz="4" w:space="0" w:color="auto"/>
              <w:right w:val="single" w:sz="4" w:space="0" w:color="auto"/>
            </w:tcBorders>
            <w:vAlign w:val="center"/>
          </w:tcPr>
          <w:p w:rsidR="00C06C6E" w:rsidRPr="0004498F" w:rsidRDefault="00C06C6E" w:rsidP="00C06C6E">
            <w:pPr>
              <w:keepNext/>
              <w:keepLines/>
              <w:autoSpaceDE w:val="0"/>
              <w:autoSpaceDN w:val="0"/>
              <w:adjustRightInd w:val="0"/>
              <w:spacing w:before="40" w:after="40" w:line="260" w:lineRule="exact"/>
              <w:jc w:val="center"/>
              <w:rPr>
                <w:sz w:val="16"/>
                <w:szCs w:val="16"/>
                <w:lang w:val="fr-CH"/>
              </w:rPr>
            </w:pPr>
            <w:r w:rsidRPr="0004498F">
              <w:rPr>
                <w:sz w:val="16"/>
                <w:szCs w:val="16"/>
                <w:lang w:val="fr-CH"/>
              </w:rPr>
              <w:t>24%</w:t>
            </w:r>
          </w:p>
        </w:tc>
        <w:tc>
          <w:tcPr>
            <w:tcW w:w="850" w:type="pct"/>
            <w:tcBorders>
              <w:top w:val="single" w:sz="4" w:space="0" w:color="auto"/>
              <w:left w:val="single" w:sz="4" w:space="0" w:color="auto"/>
              <w:bottom w:val="single" w:sz="4" w:space="0" w:color="auto"/>
              <w:right w:val="single" w:sz="4" w:space="0" w:color="auto"/>
            </w:tcBorders>
            <w:vAlign w:val="center"/>
          </w:tcPr>
          <w:p w:rsidR="00C06C6E" w:rsidRPr="0004498F" w:rsidRDefault="00C06C6E" w:rsidP="00C06C6E">
            <w:pPr>
              <w:keepNext/>
              <w:keepLines/>
              <w:autoSpaceDE w:val="0"/>
              <w:autoSpaceDN w:val="0"/>
              <w:adjustRightInd w:val="0"/>
              <w:spacing w:before="40" w:after="40" w:line="260" w:lineRule="exact"/>
              <w:jc w:val="center"/>
              <w:rPr>
                <w:sz w:val="16"/>
                <w:szCs w:val="16"/>
                <w:lang w:val="fr-CH"/>
              </w:rPr>
            </w:pPr>
            <w:r>
              <w:rPr>
                <w:sz w:val="16"/>
                <w:szCs w:val="16"/>
                <w:lang w:val="fr-CH"/>
              </w:rPr>
              <w:t>40%</w:t>
            </w:r>
          </w:p>
        </w:tc>
      </w:tr>
    </w:tbl>
    <w:p w:rsidR="00C06C6E" w:rsidRPr="009A7C08" w:rsidRDefault="00C06C6E" w:rsidP="00C06C6E">
      <w:pPr>
        <w:keepNext/>
        <w:autoSpaceDE w:val="0"/>
        <w:autoSpaceDN w:val="0"/>
        <w:rPr>
          <w:sz w:val="16"/>
          <w:szCs w:val="16"/>
          <w:lang w:val="fr-CH"/>
        </w:rPr>
      </w:pPr>
    </w:p>
    <w:p w:rsidR="00C06C6E" w:rsidRDefault="00C06C6E" w:rsidP="00C06C6E">
      <w:pPr>
        <w:keepNext/>
        <w:keepLines/>
        <w:tabs>
          <w:tab w:val="left" w:pos="3261"/>
        </w:tabs>
        <w:autoSpaceDE w:val="0"/>
        <w:autoSpaceDN w:val="0"/>
        <w:adjustRightInd w:val="0"/>
        <w:rPr>
          <w:b/>
          <w:szCs w:val="22"/>
        </w:rPr>
      </w:pPr>
    </w:p>
    <w:p w:rsidR="00C06C6E" w:rsidRPr="0079178E" w:rsidRDefault="00C06C6E" w:rsidP="00C06C6E">
      <w:pPr>
        <w:keepNext/>
        <w:keepLines/>
        <w:tabs>
          <w:tab w:val="left" w:pos="3261"/>
        </w:tabs>
        <w:autoSpaceDE w:val="0"/>
        <w:autoSpaceDN w:val="0"/>
        <w:adjustRightInd w:val="0"/>
        <w:jc w:val="center"/>
        <w:rPr>
          <w:b/>
          <w:szCs w:val="22"/>
        </w:rPr>
      </w:pPr>
      <w:r w:rsidRPr="0079178E">
        <w:rPr>
          <w:b/>
          <w:szCs w:val="22"/>
        </w:rPr>
        <w:t>Project Budget Utilization (by Milestone)</w:t>
      </w:r>
    </w:p>
    <w:p w:rsidR="00C06C6E" w:rsidRDefault="00C06C6E" w:rsidP="00B72CC6">
      <w:pPr>
        <w:keepNext/>
        <w:keepLines/>
        <w:tabs>
          <w:tab w:val="left" w:pos="3261"/>
        </w:tabs>
        <w:autoSpaceDE w:val="0"/>
        <w:autoSpaceDN w:val="0"/>
        <w:adjustRightInd w:val="0"/>
        <w:jc w:val="center"/>
        <w:rPr>
          <w:i/>
          <w:iCs/>
          <w:sz w:val="18"/>
          <w:szCs w:val="18"/>
        </w:rPr>
      </w:pPr>
      <w:r w:rsidRPr="0079178E">
        <w:rPr>
          <w:i/>
          <w:iCs/>
          <w:sz w:val="18"/>
          <w:szCs w:val="18"/>
        </w:rPr>
        <w:t>(In Swiss francs, as at December 31, 2014)</w:t>
      </w:r>
      <w:r>
        <w:rPr>
          <w:i/>
          <w:iCs/>
          <w:sz w:val="18"/>
          <w:szCs w:val="18"/>
        </w:rPr>
        <w:t xml:space="preserve"> </w:t>
      </w:r>
    </w:p>
    <w:p w:rsidR="00B72CC6" w:rsidRPr="00B72CC6" w:rsidRDefault="00B72CC6" w:rsidP="00B72CC6">
      <w:pPr>
        <w:keepNext/>
        <w:keepLines/>
        <w:tabs>
          <w:tab w:val="left" w:pos="3261"/>
        </w:tabs>
        <w:autoSpaceDE w:val="0"/>
        <w:autoSpaceDN w:val="0"/>
        <w:adjustRightInd w:val="0"/>
        <w:jc w:val="center"/>
        <w:rPr>
          <w:i/>
          <w:iCs/>
          <w:sz w:val="18"/>
          <w:szCs w:val="18"/>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387"/>
        <w:gridCol w:w="1589"/>
        <w:gridCol w:w="1562"/>
        <w:gridCol w:w="1575"/>
      </w:tblGrid>
      <w:tr w:rsidR="00C06C6E" w:rsidRPr="009A7C08" w:rsidTr="005158E3">
        <w:trPr>
          <w:trHeight w:val="410"/>
        </w:trPr>
        <w:tc>
          <w:tcPr>
            <w:tcW w:w="16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5158E3" w:rsidRDefault="00C06C6E" w:rsidP="00C06C6E">
            <w:pPr>
              <w:keepNext/>
              <w:keepLines/>
              <w:autoSpaceDE w:val="0"/>
              <w:autoSpaceDN w:val="0"/>
              <w:adjustRightInd w:val="0"/>
              <w:spacing w:before="40" w:after="40"/>
              <w:ind w:left="-74" w:right="-60"/>
              <w:jc w:val="center"/>
              <w:rPr>
                <w:b/>
                <w:bCs/>
                <w:sz w:val="16"/>
                <w:szCs w:val="16"/>
              </w:rPr>
            </w:pPr>
            <w:r w:rsidRPr="005158E3">
              <w:rPr>
                <w:b/>
                <w:bCs/>
                <w:sz w:val="16"/>
                <w:szCs w:val="16"/>
              </w:rPr>
              <w:t>Key Milestone</w:t>
            </w:r>
          </w:p>
        </w:tc>
        <w:tc>
          <w:tcPr>
            <w:tcW w:w="7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5158E3" w:rsidRDefault="00C06C6E" w:rsidP="00C06C6E">
            <w:pPr>
              <w:keepNext/>
              <w:keepLines/>
              <w:autoSpaceDE w:val="0"/>
              <w:autoSpaceDN w:val="0"/>
              <w:adjustRightInd w:val="0"/>
              <w:spacing w:before="40" w:after="40"/>
              <w:ind w:left="-107" w:right="-108"/>
              <w:jc w:val="center"/>
              <w:rPr>
                <w:b/>
                <w:bCs/>
                <w:sz w:val="16"/>
                <w:szCs w:val="16"/>
              </w:rPr>
            </w:pPr>
            <w:r w:rsidRPr="005158E3">
              <w:rPr>
                <w:b/>
                <w:bCs/>
                <w:sz w:val="16"/>
                <w:szCs w:val="16"/>
              </w:rPr>
              <w:t>Project Budget</w:t>
            </w:r>
          </w:p>
        </w:tc>
        <w:tc>
          <w:tcPr>
            <w:tcW w:w="86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5158E3" w:rsidRDefault="00C06C6E" w:rsidP="00C06C6E">
            <w:pPr>
              <w:keepNext/>
              <w:keepLines/>
              <w:autoSpaceDE w:val="0"/>
              <w:autoSpaceDN w:val="0"/>
              <w:adjustRightInd w:val="0"/>
              <w:spacing w:before="40" w:after="40"/>
              <w:ind w:left="-108" w:right="-106"/>
              <w:jc w:val="center"/>
              <w:rPr>
                <w:b/>
                <w:bCs/>
                <w:sz w:val="16"/>
                <w:szCs w:val="16"/>
              </w:rPr>
            </w:pPr>
            <w:r w:rsidRPr="005158E3">
              <w:rPr>
                <w:b/>
                <w:bCs/>
                <w:sz w:val="16"/>
                <w:szCs w:val="16"/>
              </w:rPr>
              <w:t>Actual Expenditure to Date</w:t>
            </w:r>
          </w:p>
        </w:tc>
        <w:tc>
          <w:tcPr>
            <w:tcW w:w="8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5158E3" w:rsidRDefault="00C06C6E" w:rsidP="00C06C6E">
            <w:pPr>
              <w:keepNext/>
              <w:keepLines/>
              <w:autoSpaceDE w:val="0"/>
              <w:autoSpaceDN w:val="0"/>
              <w:adjustRightInd w:val="0"/>
              <w:spacing w:before="40" w:after="40"/>
              <w:ind w:left="-109" w:right="-108"/>
              <w:jc w:val="center"/>
              <w:rPr>
                <w:b/>
                <w:bCs/>
                <w:sz w:val="16"/>
                <w:szCs w:val="16"/>
              </w:rPr>
            </w:pPr>
            <w:r w:rsidRPr="005158E3">
              <w:rPr>
                <w:b/>
                <w:bCs/>
                <w:sz w:val="16"/>
                <w:szCs w:val="16"/>
              </w:rPr>
              <w:t>Actual Budget Utilization</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5158E3" w:rsidRDefault="00C06C6E" w:rsidP="00C06C6E">
            <w:pPr>
              <w:keepNext/>
              <w:keepLines/>
              <w:autoSpaceDE w:val="0"/>
              <w:autoSpaceDN w:val="0"/>
              <w:adjustRightInd w:val="0"/>
              <w:spacing w:before="40" w:after="40"/>
              <w:ind w:left="-109" w:right="-73" w:firstLine="1"/>
              <w:jc w:val="center"/>
              <w:rPr>
                <w:b/>
                <w:bCs/>
                <w:sz w:val="16"/>
                <w:szCs w:val="16"/>
              </w:rPr>
            </w:pPr>
            <w:r w:rsidRPr="005158E3">
              <w:rPr>
                <w:b/>
                <w:bCs/>
                <w:sz w:val="16"/>
                <w:szCs w:val="16"/>
              </w:rPr>
              <w:t>Implementation Progress Rate by Milestone</w:t>
            </w:r>
          </w:p>
        </w:tc>
      </w:tr>
      <w:tr w:rsidR="00C06C6E" w:rsidRPr="009A7C08" w:rsidTr="00B72CC6">
        <w:trPr>
          <w:trHeight w:val="389"/>
        </w:trPr>
        <w:tc>
          <w:tcPr>
            <w:tcW w:w="1677"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rPr>
                <w:sz w:val="16"/>
                <w:szCs w:val="16"/>
              </w:rPr>
            </w:pPr>
            <w:r w:rsidRPr="005158E3">
              <w:rPr>
                <w:sz w:val="16"/>
                <w:szCs w:val="16"/>
              </w:rPr>
              <w:t>Compartmentalization of PCT</w:t>
            </w:r>
          </w:p>
        </w:tc>
        <w:tc>
          <w:tcPr>
            <w:tcW w:w="754"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jc w:val="center"/>
              <w:rPr>
                <w:sz w:val="16"/>
                <w:szCs w:val="16"/>
              </w:rPr>
            </w:pPr>
            <w:r w:rsidRPr="005158E3">
              <w:rPr>
                <w:sz w:val="16"/>
                <w:szCs w:val="16"/>
              </w:rPr>
              <w:t>45,000</w:t>
            </w:r>
          </w:p>
        </w:tc>
        <w:tc>
          <w:tcPr>
            <w:tcW w:w="864"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jc w:val="center"/>
              <w:rPr>
                <w:sz w:val="16"/>
                <w:szCs w:val="16"/>
              </w:rPr>
            </w:pPr>
            <w:r w:rsidRPr="005158E3">
              <w:rPr>
                <w:sz w:val="16"/>
                <w:szCs w:val="16"/>
              </w:rPr>
              <w:t>44,392</w:t>
            </w:r>
          </w:p>
        </w:tc>
        <w:tc>
          <w:tcPr>
            <w:tcW w:w="849"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jc w:val="center"/>
              <w:rPr>
                <w:sz w:val="16"/>
                <w:szCs w:val="16"/>
              </w:rPr>
            </w:pPr>
            <w:r w:rsidRPr="005158E3">
              <w:rPr>
                <w:sz w:val="16"/>
                <w:szCs w:val="16"/>
              </w:rPr>
              <w:t>99%</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jc w:val="center"/>
              <w:rPr>
                <w:sz w:val="16"/>
                <w:szCs w:val="16"/>
              </w:rPr>
            </w:pPr>
            <w:r w:rsidRPr="005158E3">
              <w:rPr>
                <w:sz w:val="16"/>
                <w:szCs w:val="16"/>
              </w:rPr>
              <w:t>100%</w:t>
            </w:r>
          </w:p>
        </w:tc>
      </w:tr>
      <w:tr w:rsidR="00C06C6E" w:rsidRPr="009A7C08" w:rsidTr="00B72CC6">
        <w:trPr>
          <w:trHeight w:val="389"/>
        </w:trPr>
        <w:tc>
          <w:tcPr>
            <w:tcW w:w="1677"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rPr>
                <w:sz w:val="16"/>
                <w:szCs w:val="16"/>
              </w:rPr>
            </w:pPr>
            <w:r w:rsidRPr="005158E3">
              <w:rPr>
                <w:sz w:val="16"/>
                <w:szCs w:val="16"/>
              </w:rPr>
              <w:t>Improved space planning in delegates’ area AB -2/Creation of an airlock on the landing of lifts on AB -2</w:t>
            </w:r>
          </w:p>
        </w:tc>
        <w:tc>
          <w:tcPr>
            <w:tcW w:w="754"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jc w:val="center"/>
              <w:rPr>
                <w:sz w:val="16"/>
                <w:szCs w:val="16"/>
              </w:rPr>
            </w:pPr>
            <w:r w:rsidRPr="005158E3">
              <w:rPr>
                <w:sz w:val="16"/>
                <w:szCs w:val="16"/>
              </w:rPr>
              <w:t>55,000</w:t>
            </w:r>
          </w:p>
        </w:tc>
        <w:tc>
          <w:tcPr>
            <w:tcW w:w="864"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jc w:val="center"/>
              <w:rPr>
                <w:sz w:val="16"/>
                <w:szCs w:val="16"/>
              </w:rPr>
            </w:pPr>
            <w:r w:rsidRPr="005158E3">
              <w:rPr>
                <w:sz w:val="16"/>
                <w:szCs w:val="16"/>
              </w:rPr>
              <w:t>52,152</w:t>
            </w:r>
          </w:p>
        </w:tc>
        <w:tc>
          <w:tcPr>
            <w:tcW w:w="849"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jc w:val="center"/>
              <w:rPr>
                <w:sz w:val="16"/>
                <w:szCs w:val="16"/>
              </w:rPr>
            </w:pPr>
            <w:r w:rsidRPr="005158E3">
              <w:rPr>
                <w:sz w:val="16"/>
                <w:szCs w:val="16"/>
              </w:rPr>
              <w:t>95%</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jc w:val="center"/>
              <w:rPr>
                <w:sz w:val="16"/>
                <w:szCs w:val="16"/>
              </w:rPr>
            </w:pPr>
            <w:r w:rsidRPr="005158E3">
              <w:rPr>
                <w:sz w:val="16"/>
                <w:szCs w:val="16"/>
              </w:rPr>
              <w:t>80%</w:t>
            </w:r>
          </w:p>
        </w:tc>
      </w:tr>
      <w:tr w:rsidR="00C06C6E" w:rsidRPr="009A7C08" w:rsidTr="00B72CC6">
        <w:trPr>
          <w:trHeight w:val="389"/>
        </w:trPr>
        <w:tc>
          <w:tcPr>
            <w:tcW w:w="1677"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rPr>
                <w:sz w:val="16"/>
                <w:szCs w:val="16"/>
              </w:rPr>
            </w:pPr>
            <w:r w:rsidRPr="005158E3">
              <w:rPr>
                <w:sz w:val="16"/>
                <w:szCs w:val="16"/>
              </w:rPr>
              <w:t>Study and project related to compartmentalization between GBI and AB</w:t>
            </w:r>
          </w:p>
        </w:tc>
        <w:tc>
          <w:tcPr>
            <w:tcW w:w="754"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jc w:val="center"/>
              <w:rPr>
                <w:sz w:val="16"/>
                <w:szCs w:val="16"/>
              </w:rPr>
            </w:pPr>
            <w:r w:rsidRPr="005158E3">
              <w:rPr>
                <w:sz w:val="16"/>
                <w:szCs w:val="16"/>
              </w:rPr>
              <w:t>175,000</w:t>
            </w:r>
          </w:p>
        </w:tc>
        <w:tc>
          <w:tcPr>
            <w:tcW w:w="864"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jc w:val="center"/>
              <w:rPr>
                <w:sz w:val="16"/>
                <w:szCs w:val="16"/>
              </w:rPr>
            </w:pPr>
            <w:r w:rsidRPr="005158E3">
              <w:rPr>
                <w:sz w:val="16"/>
                <w:szCs w:val="16"/>
              </w:rPr>
              <w:t>0</w:t>
            </w:r>
          </w:p>
        </w:tc>
        <w:tc>
          <w:tcPr>
            <w:tcW w:w="849"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jc w:val="center"/>
              <w:rPr>
                <w:sz w:val="16"/>
                <w:szCs w:val="16"/>
              </w:rPr>
            </w:pPr>
            <w:r w:rsidRPr="005158E3">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jc w:val="center"/>
              <w:rPr>
                <w:sz w:val="16"/>
                <w:szCs w:val="16"/>
              </w:rPr>
            </w:pPr>
            <w:r w:rsidRPr="005158E3">
              <w:rPr>
                <w:sz w:val="16"/>
                <w:szCs w:val="16"/>
              </w:rPr>
              <w:t>-</w:t>
            </w:r>
          </w:p>
        </w:tc>
      </w:tr>
      <w:tr w:rsidR="00C06C6E" w:rsidRPr="009A7C08" w:rsidTr="00B72CC6">
        <w:trPr>
          <w:trHeight w:val="389"/>
        </w:trPr>
        <w:tc>
          <w:tcPr>
            <w:tcW w:w="1677"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rPr>
                <w:sz w:val="16"/>
                <w:szCs w:val="16"/>
              </w:rPr>
            </w:pPr>
            <w:r w:rsidRPr="005158E3">
              <w:rPr>
                <w:sz w:val="16"/>
                <w:szCs w:val="16"/>
              </w:rPr>
              <w:t>Project related to compartmentalization between GBI and GBII (all levels except -1)</w:t>
            </w:r>
          </w:p>
        </w:tc>
        <w:tc>
          <w:tcPr>
            <w:tcW w:w="754"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jc w:val="center"/>
              <w:rPr>
                <w:sz w:val="16"/>
                <w:szCs w:val="16"/>
              </w:rPr>
            </w:pPr>
            <w:r w:rsidRPr="005158E3">
              <w:rPr>
                <w:sz w:val="16"/>
                <w:szCs w:val="16"/>
              </w:rPr>
              <w:t>65,000</w:t>
            </w:r>
          </w:p>
        </w:tc>
        <w:tc>
          <w:tcPr>
            <w:tcW w:w="864"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jc w:val="center"/>
              <w:rPr>
                <w:sz w:val="16"/>
                <w:szCs w:val="16"/>
              </w:rPr>
            </w:pPr>
            <w:r w:rsidRPr="005158E3">
              <w:rPr>
                <w:sz w:val="16"/>
                <w:szCs w:val="16"/>
              </w:rPr>
              <w:t>0</w:t>
            </w:r>
          </w:p>
        </w:tc>
        <w:tc>
          <w:tcPr>
            <w:tcW w:w="849"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jc w:val="center"/>
              <w:rPr>
                <w:sz w:val="16"/>
                <w:szCs w:val="16"/>
              </w:rPr>
            </w:pPr>
            <w:r w:rsidRPr="005158E3">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jc w:val="center"/>
              <w:rPr>
                <w:sz w:val="16"/>
                <w:szCs w:val="16"/>
              </w:rPr>
            </w:pPr>
            <w:r w:rsidRPr="005158E3">
              <w:rPr>
                <w:sz w:val="16"/>
                <w:szCs w:val="16"/>
              </w:rPr>
              <w:t>-</w:t>
            </w:r>
          </w:p>
        </w:tc>
      </w:tr>
      <w:tr w:rsidR="00C06C6E" w:rsidRPr="009A7C08" w:rsidTr="005158E3">
        <w:trPr>
          <w:trHeight w:val="389"/>
        </w:trPr>
        <w:tc>
          <w:tcPr>
            <w:tcW w:w="1677"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rPr>
                <w:sz w:val="16"/>
                <w:szCs w:val="16"/>
              </w:rPr>
            </w:pPr>
            <w:r w:rsidRPr="005158E3">
              <w:rPr>
                <w:sz w:val="16"/>
                <w:szCs w:val="16"/>
              </w:rPr>
              <w:t>Project relating to compartmentalization in AB (except -2)</w:t>
            </w:r>
          </w:p>
        </w:tc>
        <w:tc>
          <w:tcPr>
            <w:tcW w:w="754"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jc w:val="center"/>
              <w:rPr>
                <w:sz w:val="16"/>
                <w:szCs w:val="16"/>
              </w:rPr>
            </w:pPr>
            <w:r w:rsidRPr="005158E3">
              <w:rPr>
                <w:sz w:val="16"/>
                <w:szCs w:val="16"/>
              </w:rPr>
              <w:t>60,000</w:t>
            </w:r>
          </w:p>
        </w:tc>
        <w:tc>
          <w:tcPr>
            <w:tcW w:w="864"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jc w:val="center"/>
              <w:rPr>
                <w:sz w:val="16"/>
                <w:szCs w:val="16"/>
              </w:rPr>
            </w:pPr>
            <w:r w:rsidRPr="005158E3">
              <w:rPr>
                <w:sz w:val="16"/>
                <w:szCs w:val="16"/>
              </w:rPr>
              <w:t>0</w:t>
            </w:r>
          </w:p>
        </w:tc>
        <w:tc>
          <w:tcPr>
            <w:tcW w:w="849"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jc w:val="center"/>
              <w:rPr>
                <w:sz w:val="16"/>
                <w:szCs w:val="16"/>
              </w:rPr>
            </w:pPr>
            <w:r w:rsidRPr="005158E3">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keepNext/>
              <w:keepLines/>
              <w:autoSpaceDE w:val="0"/>
              <w:autoSpaceDN w:val="0"/>
              <w:adjustRightInd w:val="0"/>
              <w:spacing w:before="40" w:after="40" w:line="260" w:lineRule="exact"/>
              <w:jc w:val="center"/>
              <w:rPr>
                <w:sz w:val="16"/>
                <w:szCs w:val="16"/>
              </w:rPr>
            </w:pPr>
            <w:r w:rsidRPr="005158E3">
              <w:rPr>
                <w:sz w:val="16"/>
                <w:szCs w:val="16"/>
              </w:rPr>
              <w:t>-</w:t>
            </w:r>
          </w:p>
        </w:tc>
      </w:tr>
      <w:tr w:rsidR="00C06C6E" w:rsidRPr="009A7C08" w:rsidTr="005158E3">
        <w:trPr>
          <w:trHeight w:val="389"/>
        </w:trPr>
        <w:tc>
          <w:tcPr>
            <w:tcW w:w="16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5158E3" w:rsidRDefault="00C06C6E" w:rsidP="00C06C6E">
            <w:pPr>
              <w:keepNext/>
              <w:keepLines/>
              <w:autoSpaceDE w:val="0"/>
              <w:autoSpaceDN w:val="0"/>
              <w:adjustRightInd w:val="0"/>
              <w:spacing w:before="40" w:after="40" w:line="260" w:lineRule="exact"/>
              <w:rPr>
                <w:b/>
                <w:sz w:val="16"/>
                <w:szCs w:val="16"/>
              </w:rPr>
            </w:pPr>
            <w:r w:rsidRPr="005158E3">
              <w:rPr>
                <w:b/>
                <w:sz w:val="16"/>
                <w:szCs w:val="16"/>
              </w:rPr>
              <w:t>Total</w:t>
            </w:r>
          </w:p>
        </w:tc>
        <w:tc>
          <w:tcPr>
            <w:tcW w:w="7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5158E3" w:rsidRDefault="00C06C6E" w:rsidP="00C06C6E">
            <w:pPr>
              <w:keepNext/>
              <w:keepLines/>
              <w:autoSpaceDE w:val="0"/>
              <w:autoSpaceDN w:val="0"/>
              <w:adjustRightInd w:val="0"/>
              <w:spacing w:before="40" w:after="40" w:line="260" w:lineRule="exact"/>
              <w:jc w:val="center"/>
              <w:rPr>
                <w:b/>
                <w:sz w:val="16"/>
                <w:szCs w:val="16"/>
              </w:rPr>
            </w:pPr>
            <w:r w:rsidRPr="005158E3">
              <w:rPr>
                <w:b/>
                <w:sz w:val="16"/>
                <w:szCs w:val="16"/>
              </w:rPr>
              <w:t>400,000</w:t>
            </w:r>
          </w:p>
        </w:tc>
        <w:tc>
          <w:tcPr>
            <w:tcW w:w="864"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5158E3" w:rsidRDefault="00C06C6E" w:rsidP="00C06C6E">
            <w:pPr>
              <w:keepNext/>
              <w:keepLines/>
              <w:autoSpaceDE w:val="0"/>
              <w:autoSpaceDN w:val="0"/>
              <w:adjustRightInd w:val="0"/>
              <w:spacing w:before="40" w:after="40" w:line="260" w:lineRule="exact"/>
              <w:jc w:val="center"/>
              <w:rPr>
                <w:b/>
                <w:sz w:val="16"/>
                <w:szCs w:val="16"/>
              </w:rPr>
            </w:pPr>
            <w:r w:rsidRPr="005158E3">
              <w:rPr>
                <w:b/>
                <w:sz w:val="16"/>
                <w:szCs w:val="16"/>
              </w:rPr>
              <w:t>96,544</w:t>
            </w:r>
          </w:p>
        </w:tc>
        <w:tc>
          <w:tcPr>
            <w:tcW w:w="84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5158E3" w:rsidRDefault="00C06C6E" w:rsidP="00C06C6E">
            <w:pPr>
              <w:keepNext/>
              <w:keepLines/>
              <w:autoSpaceDE w:val="0"/>
              <w:autoSpaceDN w:val="0"/>
              <w:adjustRightInd w:val="0"/>
              <w:spacing w:before="40" w:after="40" w:line="260" w:lineRule="exact"/>
              <w:jc w:val="center"/>
              <w:rPr>
                <w:b/>
                <w:sz w:val="16"/>
                <w:szCs w:val="16"/>
              </w:rPr>
            </w:pPr>
            <w:r w:rsidRPr="005158E3">
              <w:rPr>
                <w:b/>
                <w:sz w:val="16"/>
                <w:szCs w:val="16"/>
              </w:rPr>
              <w:t>24%</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5158E3" w:rsidRDefault="00C06C6E" w:rsidP="00C06C6E">
            <w:pPr>
              <w:keepNext/>
              <w:keepLines/>
              <w:autoSpaceDE w:val="0"/>
              <w:autoSpaceDN w:val="0"/>
              <w:adjustRightInd w:val="0"/>
              <w:spacing w:before="40" w:after="40" w:line="260" w:lineRule="exact"/>
              <w:jc w:val="center"/>
              <w:rPr>
                <w:b/>
                <w:sz w:val="16"/>
                <w:szCs w:val="16"/>
              </w:rPr>
            </w:pPr>
          </w:p>
        </w:tc>
      </w:tr>
    </w:tbl>
    <w:p w:rsidR="00C06C6E" w:rsidRPr="0079178E" w:rsidRDefault="00C06C6E" w:rsidP="00C06C6E">
      <w:pPr>
        <w:keepNext/>
        <w:keepLines/>
        <w:tabs>
          <w:tab w:val="left" w:pos="3261"/>
        </w:tabs>
        <w:autoSpaceDE w:val="0"/>
        <w:autoSpaceDN w:val="0"/>
        <w:adjustRightInd w:val="0"/>
        <w:jc w:val="center"/>
        <w:rPr>
          <w:b/>
          <w:szCs w:val="22"/>
        </w:rPr>
      </w:pPr>
      <w:r w:rsidRPr="0079178E">
        <w:rPr>
          <w:b/>
          <w:szCs w:val="22"/>
        </w:rPr>
        <w:lastRenderedPageBreak/>
        <w:t>Project Budget Utilization (by Cost Category)</w:t>
      </w:r>
    </w:p>
    <w:p w:rsidR="00C06C6E" w:rsidRPr="0079178E" w:rsidRDefault="00C06C6E" w:rsidP="00C06C6E">
      <w:pPr>
        <w:keepNext/>
        <w:keepLines/>
        <w:tabs>
          <w:tab w:val="left" w:pos="3261"/>
        </w:tabs>
        <w:autoSpaceDE w:val="0"/>
        <w:autoSpaceDN w:val="0"/>
        <w:adjustRightInd w:val="0"/>
        <w:jc w:val="center"/>
        <w:rPr>
          <w:i/>
          <w:iCs/>
          <w:sz w:val="18"/>
          <w:szCs w:val="18"/>
        </w:rPr>
      </w:pPr>
      <w:r w:rsidRPr="0079178E">
        <w:rPr>
          <w:i/>
          <w:iCs/>
          <w:sz w:val="18"/>
          <w:szCs w:val="18"/>
        </w:rPr>
        <w:t>(In Swiss francs, as at December 31, 2014)</w:t>
      </w:r>
    </w:p>
    <w:p w:rsidR="00C06C6E" w:rsidRPr="0079178E" w:rsidRDefault="00C06C6E" w:rsidP="00C06C6E">
      <w:pPr>
        <w:keepNext/>
        <w:keepLines/>
        <w:autoSpaceDE w:val="0"/>
        <w:autoSpaceDN w:val="0"/>
        <w:adjustRightInd w:val="0"/>
        <w:jc w:val="center"/>
      </w:pP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838"/>
      </w:tblGrid>
      <w:tr w:rsidR="00C06C6E" w:rsidRPr="005158E3" w:rsidTr="005158E3">
        <w:trPr>
          <w:trHeight w:val="569"/>
        </w:trPr>
        <w:tc>
          <w:tcPr>
            <w:tcW w:w="185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5158E3" w:rsidRDefault="00C06C6E" w:rsidP="00C06C6E">
            <w:pPr>
              <w:keepNext/>
              <w:keepLines/>
              <w:autoSpaceDE w:val="0"/>
              <w:autoSpaceDN w:val="0"/>
              <w:adjustRightInd w:val="0"/>
              <w:spacing w:before="40" w:after="40" w:line="260" w:lineRule="exact"/>
              <w:ind w:left="-74" w:right="-60"/>
              <w:jc w:val="center"/>
              <w:rPr>
                <w:b/>
                <w:bCs/>
                <w:sz w:val="16"/>
                <w:szCs w:val="16"/>
              </w:rPr>
            </w:pPr>
            <w:r w:rsidRPr="005158E3">
              <w:rPr>
                <w:b/>
                <w:bCs/>
                <w:sz w:val="16"/>
                <w:szCs w:val="16"/>
              </w:rPr>
              <w:t>Cost Category</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5158E3" w:rsidRDefault="00C06C6E" w:rsidP="00C06C6E">
            <w:pPr>
              <w:keepNext/>
              <w:keepLines/>
              <w:autoSpaceDE w:val="0"/>
              <w:autoSpaceDN w:val="0"/>
              <w:adjustRightInd w:val="0"/>
              <w:spacing w:before="40" w:after="40" w:line="260" w:lineRule="exact"/>
              <w:ind w:left="-107" w:right="-108"/>
              <w:jc w:val="center"/>
              <w:rPr>
                <w:b/>
                <w:bCs/>
                <w:sz w:val="16"/>
                <w:szCs w:val="16"/>
              </w:rPr>
            </w:pPr>
            <w:r w:rsidRPr="005158E3">
              <w:rPr>
                <w:b/>
                <w:bCs/>
                <w:sz w:val="16"/>
                <w:szCs w:val="16"/>
              </w:rPr>
              <w:t xml:space="preserve">Project Budget </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5158E3" w:rsidRDefault="00C06C6E" w:rsidP="00C06C6E">
            <w:pPr>
              <w:keepNext/>
              <w:keepLines/>
              <w:autoSpaceDE w:val="0"/>
              <w:autoSpaceDN w:val="0"/>
              <w:adjustRightInd w:val="0"/>
              <w:spacing w:before="40" w:after="40" w:line="260" w:lineRule="exact"/>
              <w:ind w:left="-108"/>
              <w:jc w:val="center"/>
              <w:rPr>
                <w:b/>
                <w:bCs/>
                <w:sz w:val="16"/>
                <w:szCs w:val="16"/>
              </w:rPr>
            </w:pPr>
            <w:r w:rsidRPr="005158E3">
              <w:rPr>
                <w:b/>
                <w:bCs/>
                <w:sz w:val="16"/>
                <w:szCs w:val="16"/>
              </w:rPr>
              <w:t xml:space="preserve">Actual Expenditure to Date </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5158E3" w:rsidRDefault="00C06C6E" w:rsidP="00C06C6E">
            <w:pPr>
              <w:keepNext/>
              <w:keepLines/>
              <w:autoSpaceDE w:val="0"/>
              <w:autoSpaceDN w:val="0"/>
              <w:adjustRightInd w:val="0"/>
              <w:spacing w:before="40" w:after="40" w:line="260" w:lineRule="exact"/>
              <w:ind w:left="-109"/>
              <w:jc w:val="center"/>
              <w:rPr>
                <w:b/>
                <w:bCs/>
                <w:sz w:val="16"/>
                <w:szCs w:val="16"/>
              </w:rPr>
            </w:pPr>
            <w:r w:rsidRPr="005158E3">
              <w:rPr>
                <w:b/>
                <w:bCs/>
                <w:sz w:val="16"/>
                <w:szCs w:val="16"/>
              </w:rPr>
              <w:t>Actual Budget Utilization</w:t>
            </w:r>
          </w:p>
        </w:tc>
      </w:tr>
      <w:tr w:rsidR="00C06C6E" w:rsidRPr="005158E3" w:rsidTr="00C06C6E">
        <w:tc>
          <w:tcPr>
            <w:tcW w:w="1853"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autoSpaceDE w:val="0"/>
              <w:autoSpaceDN w:val="0"/>
              <w:adjustRightInd w:val="0"/>
              <w:spacing w:before="40" w:after="40" w:line="260" w:lineRule="exact"/>
              <w:rPr>
                <w:sz w:val="16"/>
                <w:szCs w:val="16"/>
              </w:rPr>
            </w:pPr>
            <w:r w:rsidRPr="005158E3">
              <w:rPr>
                <w:sz w:val="16"/>
                <w:szCs w:val="16"/>
              </w:rPr>
              <w:t>Construction-related costs</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autoSpaceDE w:val="0"/>
              <w:autoSpaceDN w:val="0"/>
              <w:adjustRightInd w:val="0"/>
              <w:spacing w:before="40" w:after="40" w:line="260" w:lineRule="exact"/>
              <w:jc w:val="center"/>
              <w:rPr>
                <w:sz w:val="16"/>
                <w:szCs w:val="16"/>
              </w:rPr>
            </w:pPr>
            <w:r w:rsidRPr="005158E3">
              <w:rPr>
                <w:sz w:val="16"/>
                <w:szCs w:val="16"/>
              </w:rPr>
              <w:t>312,000</w:t>
            </w:r>
          </w:p>
        </w:tc>
        <w:tc>
          <w:tcPr>
            <w:tcW w:w="1049" w:type="pct"/>
            <w:tcBorders>
              <w:top w:val="single" w:sz="4" w:space="0" w:color="auto"/>
              <w:left w:val="single" w:sz="4" w:space="0" w:color="auto"/>
              <w:bottom w:val="single" w:sz="4" w:space="0" w:color="auto"/>
              <w:right w:val="single" w:sz="4" w:space="0" w:color="auto"/>
            </w:tcBorders>
          </w:tcPr>
          <w:p w:rsidR="00C06C6E" w:rsidRPr="005158E3" w:rsidRDefault="00C06C6E" w:rsidP="00C06C6E">
            <w:pPr>
              <w:autoSpaceDE w:val="0"/>
              <w:autoSpaceDN w:val="0"/>
              <w:adjustRightInd w:val="0"/>
              <w:spacing w:before="40" w:after="40" w:line="260" w:lineRule="exact"/>
              <w:jc w:val="center"/>
              <w:rPr>
                <w:sz w:val="16"/>
                <w:szCs w:val="16"/>
              </w:rPr>
            </w:pPr>
            <w:r w:rsidRPr="005158E3">
              <w:rPr>
                <w:sz w:val="16"/>
                <w:szCs w:val="16"/>
              </w:rPr>
              <w:t>96,544</w:t>
            </w:r>
          </w:p>
        </w:tc>
        <w:tc>
          <w:tcPr>
            <w:tcW w:w="1048" w:type="pct"/>
            <w:tcBorders>
              <w:top w:val="single" w:sz="4" w:space="0" w:color="auto"/>
              <w:left w:val="single" w:sz="4" w:space="0" w:color="auto"/>
              <w:bottom w:val="single" w:sz="4" w:space="0" w:color="auto"/>
              <w:right w:val="single" w:sz="4" w:space="0" w:color="auto"/>
            </w:tcBorders>
          </w:tcPr>
          <w:p w:rsidR="00C06C6E" w:rsidRPr="005158E3" w:rsidRDefault="00C06C6E" w:rsidP="00C06C6E">
            <w:pPr>
              <w:autoSpaceDE w:val="0"/>
              <w:autoSpaceDN w:val="0"/>
              <w:adjustRightInd w:val="0"/>
              <w:spacing w:before="40" w:after="40" w:line="260" w:lineRule="exact"/>
              <w:jc w:val="center"/>
              <w:rPr>
                <w:sz w:val="16"/>
                <w:szCs w:val="16"/>
              </w:rPr>
            </w:pPr>
            <w:r w:rsidRPr="005158E3">
              <w:rPr>
                <w:sz w:val="16"/>
                <w:szCs w:val="16"/>
              </w:rPr>
              <w:t>31%</w:t>
            </w:r>
          </w:p>
        </w:tc>
      </w:tr>
      <w:tr w:rsidR="00C06C6E" w:rsidRPr="005158E3" w:rsidTr="00C06C6E">
        <w:tc>
          <w:tcPr>
            <w:tcW w:w="1853"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autoSpaceDE w:val="0"/>
              <w:autoSpaceDN w:val="0"/>
              <w:adjustRightInd w:val="0"/>
              <w:spacing w:before="40" w:after="40" w:line="260" w:lineRule="exact"/>
              <w:rPr>
                <w:sz w:val="16"/>
                <w:szCs w:val="16"/>
              </w:rPr>
            </w:pPr>
            <w:r w:rsidRPr="005158E3">
              <w:rPr>
                <w:sz w:val="16"/>
                <w:szCs w:val="16"/>
              </w:rPr>
              <w:t>Honoraria</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autoSpaceDE w:val="0"/>
              <w:autoSpaceDN w:val="0"/>
              <w:adjustRightInd w:val="0"/>
              <w:spacing w:before="40" w:after="40" w:line="260" w:lineRule="exact"/>
              <w:jc w:val="center"/>
              <w:rPr>
                <w:sz w:val="16"/>
                <w:szCs w:val="16"/>
              </w:rPr>
            </w:pPr>
            <w:r w:rsidRPr="005158E3">
              <w:rPr>
                <w:sz w:val="16"/>
                <w:szCs w:val="16"/>
              </w:rPr>
              <w:t>60,000</w:t>
            </w:r>
          </w:p>
        </w:tc>
        <w:tc>
          <w:tcPr>
            <w:tcW w:w="1049" w:type="pct"/>
            <w:tcBorders>
              <w:top w:val="single" w:sz="4" w:space="0" w:color="auto"/>
              <w:left w:val="single" w:sz="4" w:space="0" w:color="auto"/>
              <w:bottom w:val="single" w:sz="4" w:space="0" w:color="auto"/>
              <w:right w:val="single" w:sz="4" w:space="0" w:color="auto"/>
            </w:tcBorders>
          </w:tcPr>
          <w:p w:rsidR="00C06C6E" w:rsidRPr="005158E3" w:rsidRDefault="00C06C6E" w:rsidP="00C06C6E">
            <w:pPr>
              <w:autoSpaceDE w:val="0"/>
              <w:autoSpaceDN w:val="0"/>
              <w:adjustRightInd w:val="0"/>
              <w:spacing w:before="40" w:after="40" w:line="260" w:lineRule="exact"/>
              <w:jc w:val="center"/>
              <w:rPr>
                <w:sz w:val="16"/>
                <w:szCs w:val="16"/>
              </w:rPr>
            </w:pPr>
            <w:r w:rsidRPr="005158E3">
              <w:rPr>
                <w:sz w:val="16"/>
                <w:szCs w:val="16"/>
              </w:rPr>
              <w:t>0</w:t>
            </w:r>
          </w:p>
        </w:tc>
        <w:tc>
          <w:tcPr>
            <w:tcW w:w="1048" w:type="pct"/>
            <w:tcBorders>
              <w:top w:val="single" w:sz="4" w:space="0" w:color="auto"/>
              <w:left w:val="single" w:sz="4" w:space="0" w:color="auto"/>
              <w:bottom w:val="single" w:sz="4" w:space="0" w:color="auto"/>
              <w:right w:val="single" w:sz="4" w:space="0" w:color="auto"/>
            </w:tcBorders>
          </w:tcPr>
          <w:p w:rsidR="00C06C6E" w:rsidRPr="005158E3" w:rsidRDefault="00C06C6E" w:rsidP="00C06C6E">
            <w:pPr>
              <w:autoSpaceDE w:val="0"/>
              <w:autoSpaceDN w:val="0"/>
              <w:adjustRightInd w:val="0"/>
              <w:spacing w:before="40" w:after="40" w:line="260" w:lineRule="exact"/>
              <w:jc w:val="center"/>
              <w:rPr>
                <w:sz w:val="16"/>
                <w:szCs w:val="16"/>
              </w:rPr>
            </w:pPr>
            <w:r w:rsidRPr="005158E3">
              <w:rPr>
                <w:sz w:val="16"/>
                <w:szCs w:val="16"/>
              </w:rPr>
              <w:t>0%</w:t>
            </w:r>
          </w:p>
        </w:tc>
      </w:tr>
      <w:tr w:rsidR="00C06C6E" w:rsidRPr="005158E3" w:rsidTr="005158E3">
        <w:tc>
          <w:tcPr>
            <w:tcW w:w="1853"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A636E5">
            <w:pPr>
              <w:autoSpaceDE w:val="0"/>
              <w:autoSpaceDN w:val="0"/>
              <w:adjustRightInd w:val="0"/>
              <w:spacing w:before="40" w:after="40" w:line="260" w:lineRule="exact"/>
              <w:rPr>
                <w:sz w:val="16"/>
                <w:szCs w:val="16"/>
              </w:rPr>
            </w:pPr>
            <w:r w:rsidRPr="005158E3">
              <w:rPr>
                <w:sz w:val="16"/>
                <w:szCs w:val="16"/>
              </w:rPr>
              <w:t>Miscellaneous and unfor</w:t>
            </w:r>
            <w:r w:rsidR="00A636E5" w:rsidRPr="005158E3">
              <w:rPr>
                <w:sz w:val="16"/>
                <w:szCs w:val="16"/>
              </w:rPr>
              <w:t>e</w:t>
            </w:r>
            <w:r w:rsidRPr="005158E3">
              <w:rPr>
                <w:sz w:val="16"/>
                <w:szCs w:val="16"/>
              </w:rPr>
              <w:t>seen</w:t>
            </w:r>
          </w:p>
        </w:tc>
        <w:tc>
          <w:tcPr>
            <w:tcW w:w="1049" w:type="pct"/>
            <w:tcBorders>
              <w:top w:val="single" w:sz="4" w:space="0" w:color="auto"/>
              <w:left w:val="single" w:sz="4" w:space="0" w:color="auto"/>
              <w:bottom w:val="single" w:sz="4" w:space="0" w:color="auto"/>
              <w:right w:val="single" w:sz="4" w:space="0" w:color="auto"/>
            </w:tcBorders>
            <w:vAlign w:val="center"/>
          </w:tcPr>
          <w:p w:rsidR="00C06C6E" w:rsidRPr="005158E3" w:rsidRDefault="00C06C6E" w:rsidP="00C06C6E">
            <w:pPr>
              <w:autoSpaceDE w:val="0"/>
              <w:autoSpaceDN w:val="0"/>
              <w:adjustRightInd w:val="0"/>
              <w:spacing w:before="40" w:after="40" w:line="260" w:lineRule="exact"/>
              <w:jc w:val="center"/>
              <w:rPr>
                <w:sz w:val="16"/>
                <w:szCs w:val="16"/>
              </w:rPr>
            </w:pPr>
            <w:r w:rsidRPr="005158E3">
              <w:rPr>
                <w:sz w:val="16"/>
                <w:szCs w:val="16"/>
              </w:rPr>
              <w:t>28,000</w:t>
            </w:r>
          </w:p>
        </w:tc>
        <w:tc>
          <w:tcPr>
            <w:tcW w:w="1049" w:type="pct"/>
            <w:tcBorders>
              <w:top w:val="single" w:sz="4" w:space="0" w:color="auto"/>
              <w:left w:val="single" w:sz="4" w:space="0" w:color="auto"/>
              <w:bottom w:val="single" w:sz="4" w:space="0" w:color="auto"/>
              <w:right w:val="single" w:sz="4" w:space="0" w:color="auto"/>
            </w:tcBorders>
          </w:tcPr>
          <w:p w:rsidR="00C06C6E" w:rsidRPr="005158E3" w:rsidRDefault="00C06C6E" w:rsidP="00C06C6E">
            <w:pPr>
              <w:autoSpaceDE w:val="0"/>
              <w:autoSpaceDN w:val="0"/>
              <w:adjustRightInd w:val="0"/>
              <w:spacing w:before="40" w:after="40" w:line="260" w:lineRule="exact"/>
              <w:jc w:val="center"/>
              <w:rPr>
                <w:sz w:val="16"/>
                <w:szCs w:val="16"/>
              </w:rPr>
            </w:pPr>
            <w:r w:rsidRPr="005158E3">
              <w:rPr>
                <w:sz w:val="16"/>
                <w:szCs w:val="16"/>
              </w:rPr>
              <w:t>0</w:t>
            </w:r>
          </w:p>
        </w:tc>
        <w:tc>
          <w:tcPr>
            <w:tcW w:w="1048" w:type="pct"/>
            <w:tcBorders>
              <w:top w:val="single" w:sz="4" w:space="0" w:color="auto"/>
              <w:left w:val="single" w:sz="4" w:space="0" w:color="auto"/>
              <w:bottom w:val="single" w:sz="4" w:space="0" w:color="auto"/>
              <w:right w:val="single" w:sz="4" w:space="0" w:color="auto"/>
            </w:tcBorders>
          </w:tcPr>
          <w:p w:rsidR="00C06C6E" w:rsidRPr="005158E3" w:rsidRDefault="00C06C6E" w:rsidP="00C06C6E">
            <w:pPr>
              <w:autoSpaceDE w:val="0"/>
              <w:autoSpaceDN w:val="0"/>
              <w:adjustRightInd w:val="0"/>
              <w:spacing w:before="40" w:after="40" w:line="260" w:lineRule="exact"/>
              <w:jc w:val="center"/>
              <w:rPr>
                <w:sz w:val="16"/>
                <w:szCs w:val="16"/>
              </w:rPr>
            </w:pPr>
            <w:r w:rsidRPr="005158E3">
              <w:rPr>
                <w:sz w:val="16"/>
                <w:szCs w:val="16"/>
              </w:rPr>
              <w:t>0%</w:t>
            </w:r>
          </w:p>
        </w:tc>
      </w:tr>
      <w:tr w:rsidR="00C06C6E" w:rsidRPr="005158E3" w:rsidTr="005158E3">
        <w:tc>
          <w:tcPr>
            <w:tcW w:w="185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5158E3" w:rsidRDefault="00C06C6E" w:rsidP="00C06C6E">
            <w:pPr>
              <w:autoSpaceDE w:val="0"/>
              <w:autoSpaceDN w:val="0"/>
              <w:adjustRightInd w:val="0"/>
              <w:spacing w:before="40" w:after="40" w:line="260" w:lineRule="exact"/>
              <w:rPr>
                <w:b/>
                <w:sz w:val="16"/>
                <w:szCs w:val="16"/>
              </w:rPr>
            </w:pPr>
            <w:r w:rsidRPr="005158E3">
              <w:rPr>
                <w:b/>
                <w:sz w:val="16"/>
                <w:szCs w:val="16"/>
              </w:rPr>
              <w:t>Total</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6C6E" w:rsidRPr="005158E3" w:rsidRDefault="00C06C6E" w:rsidP="00C06C6E">
            <w:pPr>
              <w:autoSpaceDE w:val="0"/>
              <w:autoSpaceDN w:val="0"/>
              <w:adjustRightInd w:val="0"/>
              <w:spacing w:before="40" w:after="40" w:line="260" w:lineRule="exact"/>
              <w:jc w:val="center"/>
              <w:rPr>
                <w:b/>
                <w:sz w:val="16"/>
                <w:szCs w:val="16"/>
              </w:rPr>
            </w:pPr>
            <w:r w:rsidRPr="005158E3">
              <w:rPr>
                <w:b/>
                <w:sz w:val="16"/>
                <w:szCs w:val="16"/>
              </w:rPr>
              <w:t>400,000</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5158E3" w:rsidRDefault="00C06C6E" w:rsidP="00C06C6E">
            <w:pPr>
              <w:autoSpaceDE w:val="0"/>
              <w:autoSpaceDN w:val="0"/>
              <w:adjustRightInd w:val="0"/>
              <w:spacing w:before="40" w:after="40" w:line="260" w:lineRule="exact"/>
              <w:jc w:val="center"/>
              <w:rPr>
                <w:b/>
                <w:sz w:val="16"/>
                <w:szCs w:val="16"/>
              </w:rPr>
            </w:pPr>
            <w:r w:rsidRPr="005158E3">
              <w:rPr>
                <w:b/>
                <w:sz w:val="16"/>
                <w:szCs w:val="16"/>
              </w:rPr>
              <w:t>96,544</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06C6E" w:rsidRPr="005158E3" w:rsidRDefault="00C06C6E" w:rsidP="00C06C6E">
            <w:pPr>
              <w:autoSpaceDE w:val="0"/>
              <w:autoSpaceDN w:val="0"/>
              <w:adjustRightInd w:val="0"/>
              <w:spacing w:before="40" w:after="40" w:line="260" w:lineRule="exact"/>
              <w:jc w:val="center"/>
              <w:rPr>
                <w:b/>
                <w:sz w:val="16"/>
                <w:szCs w:val="16"/>
              </w:rPr>
            </w:pPr>
            <w:r w:rsidRPr="005158E3">
              <w:rPr>
                <w:b/>
                <w:sz w:val="16"/>
                <w:szCs w:val="16"/>
              </w:rPr>
              <w:t>24%</w:t>
            </w:r>
          </w:p>
        </w:tc>
      </w:tr>
    </w:tbl>
    <w:p w:rsidR="00C06C6E" w:rsidRPr="005158E3" w:rsidRDefault="00C06C6E" w:rsidP="00C06C6E">
      <w:pPr>
        <w:rPr>
          <w:rFonts w:cs="Arial"/>
          <w:color w:val="000000"/>
          <w:sz w:val="22"/>
          <w:szCs w:val="22"/>
        </w:rPr>
      </w:pPr>
    </w:p>
    <w:p w:rsidR="00C06C6E" w:rsidRPr="005158E3" w:rsidRDefault="00C06C6E" w:rsidP="00C06C6E">
      <w:pPr>
        <w:rPr>
          <w:rFonts w:cs="Arial"/>
          <w:color w:val="000000"/>
          <w:sz w:val="22"/>
          <w:szCs w:val="22"/>
        </w:rPr>
      </w:pPr>
    </w:p>
    <w:p w:rsidR="00C06C6E" w:rsidRPr="005158E3" w:rsidRDefault="00C06C6E" w:rsidP="00C06C6E">
      <w:pPr>
        <w:rPr>
          <w:rFonts w:cs="Arial"/>
          <w:color w:val="000000"/>
          <w:sz w:val="22"/>
          <w:szCs w:val="22"/>
        </w:rPr>
      </w:pPr>
      <w:r w:rsidRPr="005158E3">
        <w:rPr>
          <w:rFonts w:cs="Arial"/>
          <w:color w:val="000000"/>
          <w:sz w:val="22"/>
          <w:szCs w:val="22"/>
        </w:rPr>
        <w:t>RISK AND MITIGATION STRATEGIES</w:t>
      </w:r>
    </w:p>
    <w:p w:rsidR="00C06C6E" w:rsidRPr="005158E3" w:rsidRDefault="00C06C6E" w:rsidP="00C06C6E">
      <w:pPr>
        <w:rPr>
          <w:rFonts w:cs="Arial"/>
          <w:color w:val="000000"/>
          <w:sz w:val="22"/>
          <w:szCs w:val="22"/>
        </w:rPr>
      </w:pP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C06C6E" w:rsidRPr="005158E3" w:rsidTr="005158E3">
        <w:trPr>
          <w:trHeight w:val="525"/>
          <w:tblHeader/>
          <w:jc w:val="center"/>
        </w:trPr>
        <w:tc>
          <w:tcPr>
            <w:tcW w:w="1667" w:type="pct"/>
            <w:shd w:val="clear" w:color="auto" w:fill="C6D9F1" w:themeFill="text2" w:themeFillTint="33"/>
            <w:vAlign w:val="center"/>
          </w:tcPr>
          <w:p w:rsidR="00C06C6E" w:rsidRPr="005158E3" w:rsidRDefault="00C06C6E" w:rsidP="00C06C6E">
            <w:pPr>
              <w:autoSpaceDE w:val="0"/>
              <w:autoSpaceDN w:val="0"/>
              <w:adjustRightInd w:val="0"/>
              <w:spacing w:before="40" w:after="40" w:line="260" w:lineRule="exact"/>
              <w:ind w:left="-74" w:right="-60"/>
              <w:jc w:val="center"/>
              <w:rPr>
                <w:b/>
                <w:bCs/>
                <w:sz w:val="16"/>
                <w:szCs w:val="16"/>
              </w:rPr>
            </w:pPr>
            <w:r w:rsidRPr="005158E3">
              <w:rPr>
                <w:b/>
                <w:bCs/>
                <w:sz w:val="16"/>
                <w:szCs w:val="16"/>
              </w:rPr>
              <w:t xml:space="preserve">Risk </w:t>
            </w:r>
          </w:p>
        </w:tc>
        <w:tc>
          <w:tcPr>
            <w:tcW w:w="1667" w:type="pct"/>
            <w:shd w:val="clear" w:color="auto" w:fill="C6D9F1" w:themeFill="text2" w:themeFillTint="33"/>
            <w:vAlign w:val="center"/>
          </w:tcPr>
          <w:p w:rsidR="00C06C6E" w:rsidRPr="005158E3" w:rsidRDefault="00C06C6E" w:rsidP="00C06C6E">
            <w:pPr>
              <w:autoSpaceDE w:val="0"/>
              <w:autoSpaceDN w:val="0"/>
              <w:adjustRightInd w:val="0"/>
              <w:spacing w:before="40" w:after="40" w:line="260" w:lineRule="exact"/>
              <w:ind w:left="-107" w:right="-108"/>
              <w:jc w:val="center"/>
              <w:rPr>
                <w:b/>
                <w:bCs/>
                <w:sz w:val="16"/>
                <w:szCs w:val="16"/>
              </w:rPr>
            </w:pPr>
            <w:r w:rsidRPr="005158E3">
              <w:rPr>
                <w:b/>
                <w:bCs/>
                <w:sz w:val="16"/>
                <w:szCs w:val="16"/>
              </w:rPr>
              <w:t>Description</w:t>
            </w:r>
          </w:p>
        </w:tc>
        <w:tc>
          <w:tcPr>
            <w:tcW w:w="1666" w:type="pct"/>
            <w:shd w:val="clear" w:color="auto" w:fill="C6D9F1" w:themeFill="text2" w:themeFillTint="33"/>
            <w:vAlign w:val="center"/>
          </w:tcPr>
          <w:p w:rsidR="00C06C6E" w:rsidRPr="005158E3" w:rsidRDefault="00C06C6E" w:rsidP="00C06C6E">
            <w:pPr>
              <w:autoSpaceDE w:val="0"/>
              <w:autoSpaceDN w:val="0"/>
              <w:adjustRightInd w:val="0"/>
              <w:spacing w:before="40" w:after="40" w:line="260" w:lineRule="exact"/>
              <w:ind w:left="-109"/>
              <w:jc w:val="center"/>
              <w:rPr>
                <w:b/>
                <w:bCs/>
                <w:sz w:val="16"/>
                <w:szCs w:val="16"/>
              </w:rPr>
            </w:pPr>
            <w:r w:rsidRPr="005158E3">
              <w:rPr>
                <w:b/>
                <w:bCs/>
                <w:sz w:val="16"/>
                <w:szCs w:val="16"/>
              </w:rPr>
              <w:t>Risk Mitigation</w:t>
            </w:r>
          </w:p>
        </w:tc>
      </w:tr>
      <w:tr w:rsidR="00C06C6E" w:rsidRPr="005158E3" w:rsidTr="00C06C6E">
        <w:trPr>
          <w:trHeight w:val="776"/>
          <w:jc w:val="center"/>
        </w:trPr>
        <w:tc>
          <w:tcPr>
            <w:tcW w:w="1667" w:type="pct"/>
            <w:shd w:val="clear" w:color="auto" w:fill="FFFFFF" w:themeFill="background1"/>
          </w:tcPr>
          <w:p w:rsidR="00C06C6E" w:rsidRPr="005158E3" w:rsidRDefault="00C06C6E" w:rsidP="00C06C6E">
            <w:pPr>
              <w:autoSpaceDE w:val="0"/>
              <w:autoSpaceDN w:val="0"/>
              <w:adjustRightInd w:val="0"/>
              <w:spacing w:before="40" w:after="40"/>
              <w:rPr>
                <w:sz w:val="16"/>
                <w:szCs w:val="16"/>
              </w:rPr>
            </w:pPr>
            <w:r w:rsidRPr="005158E3">
              <w:rPr>
                <w:sz w:val="16"/>
                <w:szCs w:val="16"/>
              </w:rPr>
              <w:t>Inability to carry out the works during the planned timeframe</w:t>
            </w:r>
          </w:p>
        </w:tc>
        <w:tc>
          <w:tcPr>
            <w:tcW w:w="1667" w:type="pct"/>
            <w:shd w:val="clear" w:color="auto" w:fill="FFFFFF" w:themeFill="background1"/>
          </w:tcPr>
          <w:p w:rsidR="00C06C6E" w:rsidRPr="005158E3" w:rsidRDefault="00C06C6E" w:rsidP="00C06C6E">
            <w:pPr>
              <w:autoSpaceDE w:val="0"/>
              <w:autoSpaceDN w:val="0"/>
              <w:adjustRightInd w:val="0"/>
              <w:spacing w:before="40" w:after="40"/>
              <w:rPr>
                <w:sz w:val="16"/>
                <w:szCs w:val="16"/>
              </w:rPr>
            </w:pPr>
            <w:r w:rsidRPr="005158E3">
              <w:rPr>
                <w:sz w:val="16"/>
                <w:szCs w:val="16"/>
              </w:rPr>
              <w:t>The unavailability of a vendor within WIPO’s requested timeframe</w:t>
            </w:r>
          </w:p>
        </w:tc>
        <w:tc>
          <w:tcPr>
            <w:tcW w:w="1666" w:type="pct"/>
            <w:shd w:val="clear" w:color="auto" w:fill="FFFFFF" w:themeFill="background1"/>
          </w:tcPr>
          <w:p w:rsidR="00C06C6E" w:rsidRPr="005158E3" w:rsidRDefault="00C06C6E" w:rsidP="00C06C6E">
            <w:pPr>
              <w:autoSpaceDE w:val="0"/>
              <w:autoSpaceDN w:val="0"/>
              <w:adjustRightInd w:val="0"/>
              <w:spacing w:before="40" w:after="40"/>
              <w:rPr>
                <w:sz w:val="16"/>
                <w:szCs w:val="16"/>
              </w:rPr>
            </w:pPr>
            <w:r w:rsidRPr="005158E3">
              <w:rPr>
                <w:sz w:val="16"/>
                <w:szCs w:val="16"/>
              </w:rPr>
              <w:t>Postpone work until vendor is available</w:t>
            </w:r>
          </w:p>
        </w:tc>
      </w:tr>
      <w:tr w:rsidR="00C06C6E" w:rsidRPr="005158E3" w:rsidTr="00C06C6E">
        <w:trPr>
          <w:trHeight w:val="776"/>
          <w:jc w:val="center"/>
        </w:trPr>
        <w:tc>
          <w:tcPr>
            <w:tcW w:w="1667" w:type="pct"/>
            <w:shd w:val="clear" w:color="auto" w:fill="FFFFFF" w:themeFill="background1"/>
          </w:tcPr>
          <w:p w:rsidR="00C06C6E" w:rsidRPr="005158E3" w:rsidRDefault="00C06C6E" w:rsidP="00C06C6E">
            <w:pPr>
              <w:autoSpaceDE w:val="0"/>
              <w:autoSpaceDN w:val="0"/>
              <w:adjustRightInd w:val="0"/>
              <w:spacing w:before="40" w:after="40"/>
              <w:rPr>
                <w:sz w:val="16"/>
                <w:szCs w:val="16"/>
              </w:rPr>
            </w:pPr>
            <w:r w:rsidRPr="005158E3">
              <w:rPr>
                <w:sz w:val="16"/>
                <w:szCs w:val="16"/>
              </w:rPr>
              <w:t>Delay or interruption of works</w:t>
            </w:r>
          </w:p>
        </w:tc>
        <w:tc>
          <w:tcPr>
            <w:tcW w:w="1667" w:type="pct"/>
            <w:shd w:val="clear" w:color="auto" w:fill="FFFFFF" w:themeFill="background1"/>
          </w:tcPr>
          <w:p w:rsidR="00C06C6E" w:rsidRPr="005158E3" w:rsidRDefault="00C06C6E" w:rsidP="00C06C6E">
            <w:pPr>
              <w:autoSpaceDE w:val="0"/>
              <w:autoSpaceDN w:val="0"/>
              <w:adjustRightInd w:val="0"/>
              <w:spacing w:before="40" w:after="40"/>
              <w:rPr>
                <w:sz w:val="16"/>
                <w:szCs w:val="16"/>
              </w:rPr>
            </w:pPr>
            <w:r w:rsidRPr="005158E3">
              <w:rPr>
                <w:sz w:val="16"/>
                <w:szCs w:val="16"/>
              </w:rPr>
              <w:t>Site accident</w:t>
            </w:r>
          </w:p>
        </w:tc>
        <w:tc>
          <w:tcPr>
            <w:tcW w:w="1666" w:type="pct"/>
            <w:shd w:val="clear" w:color="auto" w:fill="FFFFFF" w:themeFill="background1"/>
          </w:tcPr>
          <w:p w:rsidR="00C06C6E" w:rsidRPr="005158E3" w:rsidRDefault="00C06C6E" w:rsidP="00C06C6E">
            <w:pPr>
              <w:autoSpaceDE w:val="0"/>
              <w:autoSpaceDN w:val="0"/>
              <w:adjustRightInd w:val="0"/>
              <w:spacing w:before="40" w:after="40"/>
              <w:rPr>
                <w:sz w:val="16"/>
                <w:szCs w:val="16"/>
              </w:rPr>
            </w:pPr>
            <w:r w:rsidRPr="005158E3">
              <w:rPr>
                <w:sz w:val="16"/>
                <w:szCs w:val="16"/>
              </w:rPr>
              <w:t xml:space="preserve">Revalidation and strengthening of the security measures </w:t>
            </w:r>
          </w:p>
          <w:p w:rsidR="00C06C6E" w:rsidRPr="005158E3" w:rsidRDefault="00C06C6E" w:rsidP="00C06C6E">
            <w:pPr>
              <w:autoSpaceDE w:val="0"/>
              <w:autoSpaceDN w:val="0"/>
              <w:adjustRightInd w:val="0"/>
              <w:spacing w:before="40" w:after="40"/>
              <w:rPr>
                <w:sz w:val="16"/>
                <w:szCs w:val="16"/>
              </w:rPr>
            </w:pPr>
            <w:r w:rsidRPr="005158E3">
              <w:rPr>
                <w:sz w:val="16"/>
                <w:szCs w:val="16"/>
              </w:rPr>
              <w:t>Review of the works timetable</w:t>
            </w:r>
          </w:p>
        </w:tc>
      </w:tr>
    </w:tbl>
    <w:p w:rsidR="00C06C6E" w:rsidRPr="005158E3" w:rsidRDefault="00C06C6E" w:rsidP="00C06C6E">
      <w:pPr>
        <w:autoSpaceDE w:val="0"/>
        <w:autoSpaceDN w:val="0"/>
        <w:jc w:val="both"/>
      </w:pPr>
    </w:p>
    <w:p w:rsidR="00C06C6E" w:rsidRPr="005158E3" w:rsidRDefault="00C06C6E" w:rsidP="00C06C6E">
      <w:pPr>
        <w:rPr>
          <w:rFonts w:cs="Arial"/>
          <w:color w:val="000000"/>
          <w:sz w:val="22"/>
          <w:szCs w:val="22"/>
        </w:rPr>
      </w:pPr>
    </w:p>
    <w:p w:rsidR="00C06C6E" w:rsidRPr="005158E3" w:rsidRDefault="00C06C6E" w:rsidP="00C06C6E">
      <w:r w:rsidRPr="005158E3">
        <w:rPr>
          <w:rFonts w:cs="Arial"/>
          <w:color w:val="000000"/>
          <w:sz w:val="22"/>
          <w:szCs w:val="22"/>
        </w:rPr>
        <w:t>PROJECT TIMELINE BY MILESTONE</w:t>
      </w:r>
    </w:p>
    <w:p w:rsidR="00C06C6E" w:rsidRPr="005158E3" w:rsidRDefault="00C06C6E" w:rsidP="00C06C6E">
      <w:pPr>
        <w:autoSpaceDE w:val="0"/>
        <w:autoSpaceDN w:val="0"/>
        <w:jc w:val="both"/>
        <w:rPr>
          <w:sz w:val="16"/>
          <w:szCs w:val="16"/>
        </w:rPr>
      </w:pPr>
    </w:p>
    <w:tbl>
      <w:tblPr>
        <w:tblW w:w="10004" w:type="dxa"/>
        <w:jc w:val="center"/>
        <w:tblInd w:w="-391" w:type="dxa"/>
        <w:tblLook w:val="04A0" w:firstRow="1" w:lastRow="0" w:firstColumn="1" w:lastColumn="0" w:noHBand="0" w:noVBand="1"/>
      </w:tblPr>
      <w:tblGrid>
        <w:gridCol w:w="2324"/>
        <w:gridCol w:w="480"/>
        <w:gridCol w:w="480"/>
        <w:gridCol w:w="480"/>
        <w:gridCol w:w="480"/>
        <w:gridCol w:w="480"/>
        <w:gridCol w:w="480"/>
        <w:gridCol w:w="480"/>
        <w:gridCol w:w="480"/>
        <w:gridCol w:w="480"/>
        <w:gridCol w:w="480"/>
        <w:gridCol w:w="480"/>
        <w:gridCol w:w="480"/>
        <w:gridCol w:w="480"/>
        <w:gridCol w:w="480"/>
        <w:gridCol w:w="480"/>
        <w:gridCol w:w="480"/>
      </w:tblGrid>
      <w:tr w:rsidR="00C06C6E" w:rsidRPr="005158E3" w:rsidTr="00C06C6E">
        <w:trPr>
          <w:trHeight w:val="270"/>
          <w:jc w:val="center"/>
        </w:trPr>
        <w:tc>
          <w:tcPr>
            <w:tcW w:w="2324" w:type="dxa"/>
            <w:tcBorders>
              <w:top w:val="nil"/>
              <w:left w:val="nil"/>
              <w:bottom w:val="nil"/>
              <w:right w:val="nil"/>
            </w:tcBorders>
            <w:shd w:val="clear" w:color="auto" w:fill="auto"/>
            <w:noWrap/>
            <w:vAlign w:val="bottom"/>
            <w:hideMark/>
          </w:tcPr>
          <w:p w:rsidR="00C06C6E" w:rsidRPr="005158E3" w:rsidRDefault="00C06C6E" w:rsidP="00C06C6E">
            <w:pPr>
              <w:rPr>
                <w:rFonts w:cs="Arial"/>
                <w:color w:val="000000"/>
                <w:sz w:val="16"/>
                <w:szCs w:val="16"/>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C06C6E" w:rsidRPr="005158E3" w:rsidRDefault="00C06C6E" w:rsidP="00C06C6E">
            <w:pPr>
              <w:jc w:val="center"/>
              <w:rPr>
                <w:rFonts w:cs="Arial"/>
                <w:b/>
                <w:bCs/>
                <w:color w:val="000000"/>
                <w:sz w:val="16"/>
                <w:szCs w:val="16"/>
              </w:rPr>
            </w:pPr>
            <w:r w:rsidRPr="005158E3">
              <w:rPr>
                <w:rFonts w:cs="Arial"/>
                <w:b/>
                <w:bCs/>
                <w:color w:val="000000"/>
                <w:sz w:val="16"/>
                <w:szCs w:val="16"/>
              </w:rPr>
              <w:t>2014</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06C6E" w:rsidRPr="005158E3" w:rsidRDefault="00C06C6E" w:rsidP="00C06C6E">
            <w:pPr>
              <w:jc w:val="center"/>
              <w:rPr>
                <w:rFonts w:cs="Arial"/>
                <w:b/>
                <w:bCs/>
                <w:color w:val="000000"/>
                <w:sz w:val="16"/>
                <w:szCs w:val="16"/>
              </w:rPr>
            </w:pPr>
            <w:r w:rsidRPr="005158E3">
              <w:rPr>
                <w:rFonts w:cs="Arial"/>
                <w:b/>
                <w:bCs/>
                <w:color w:val="000000"/>
                <w:sz w:val="16"/>
                <w:szCs w:val="16"/>
              </w:rPr>
              <w:t>2015</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06C6E" w:rsidRPr="005158E3" w:rsidRDefault="00C06C6E" w:rsidP="00C06C6E">
            <w:pPr>
              <w:jc w:val="center"/>
              <w:rPr>
                <w:rFonts w:cs="Arial"/>
                <w:b/>
                <w:bCs/>
                <w:color w:val="000000"/>
                <w:sz w:val="16"/>
                <w:szCs w:val="16"/>
              </w:rPr>
            </w:pPr>
            <w:r w:rsidRPr="005158E3">
              <w:rPr>
                <w:rFonts w:cs="Arial"/>
                <w:b/>
                <w:bCs/>
                <w:color w:val="000000"/>
                <w:sz w:val="16"/>
                <w:szCs w:val="16"/>
              </w:rPr>
              <w:t>2016</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06C6E" w:rsidRPr="005158E3" w:rsidRDefault="00C06C6E" w:rsidP="00C06C6E">
            <w:pPr>
              <w:jc w:val="center"/>
              <w:rPr>
                <w:rFonts w:cs="Arial"/>
                <w:b/>
                <w:bCs/>
                <w:color w:val="000000"/>
                <w:sz w:val="16"/>
                <w:szCs w:val="16"/>
              </w:rPr>
            </w:pPr>
            <w:r w:rsidRPr="005158E3">
              <w:rPr>
                <w:rFonts w:cs="Arial"/>
                <w:b/>
                <w:bCs/>
                <w:color w:val="000000"/>
                <w:sz w:val="16"/>
                <w:szCs w:val="16"/>
              </w:rPr>
              <w:t>2017</w:t>
            </w:r>
          </w:p>
        </w:tc>
      </w:tr>
      <w:tr w:rsidR="00C06C6E" w:rsidRPr="005158E3" w:rsidTr="00C06C6E">
        <w:trPr>
          <w:trHeight w:val="375"/>
          <w:jc w:val="center"/>
        </w:trPr>
        <w:tc>
          <w:tcPr>
            <w:tcW w:w="2324"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C06C6E" w:rsidRPr="005158E3" w:rsidRDefault="00C06C6E" w:rsidP="00C06C6E">
            <w:pPr>
              <w:jc w:val="center"/>
              <w:rPr>
                <w:rFonts w:cs="Arial"/>
                <w:b/>
                <w:bCs/>
                <w:color w:val="000000"/>
                <w:sz w:val="16"/>
                <w:szCs w:val="16"/>
              </w:rPr>
            </w:pPr>
            <w:r w:rsidRPr="005158E3">
              <w:rPr>
                <w:rFonts w:cs="Arial"/>
                <w:b/>
                <w:bCs/>
                <w:color w:val="000000"/>
                <w:sz w:val="16"/>
                <w:szCs w:val="16"/>
              </w:rPr>
              <w:t>Key Milestone</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5158E3" w:rsidRDefault="00C06C6E" w:rsidP="00C06C6E">
            <w:pPr>
              <w:rPr>
                <w:rFonts w:cs="Arial"/>
                <w:b/>
                <w:bCs/>
                <w:color w:val="000000"/>
                <w:sz w:val="16"/>
                <w:szCs w:val="16"/>
              </w:rPr>
            </w:pPr>
            <w:r w:rsidRPr="005158E3">
              <w:rPr>
                <w:rFonts w:cs="Arial"/>
                <w:b/>
                <w:bCs/>
                <w:color w:val="000000"/>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5158E3" w:rsidRDefault="00C06C6E" w:rsidP="00C06C6E">
            <w:pPr>
              <w:rPr>
                <w:rFonts w:cs="Arial"/>
                <w:b/>
                <w:bCs/>
                <w:color w:val="000000"/>
                <w:sz w:val="16"/>
                <w:szCs w:val="16"/>
              </w:rPr>
            </w:pPr>
            <w:r w:rsidRPr="005158E3">
              <w:rPr>
                <w:rFonts w:cs="Arial"/>
                <w:b/>
                <w:bCs/>
                <w:color w:val="000000"/>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5158E3" w:rsidRDefault="00C06C6E" w:rsidP="00C06C6E">
            <w:pPr>
              <w:rPr>
                <w:rFonts w:cs="Arial"/>
                <w:b/>
                <w:bCs/>
                <w:color w:val="000000"/>
                <w:sz w:val="16"/>
                <w:szCs w:val="16"/>
              </w:rPr>
            </w:pPr>
            <w:r w:rsidRPr="005158E3">
              <w:rPr>
                <w:rFonts w:cs="Arial"/>
                <w:b/>
                <w:bCs/>
                <w:color w:val="000000"/>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06C6E" w:rsidRPr="005158E3" w:rsidRDefault="00C06C6E" w:rsidP="00C06C6E">
            <w:pPr>
              <w:rPr>
                <w:rFonts w:cs="Arial"/>
                <w:b/>
                <w:bCs/>
                <w:color w:val="000000"/>
                <w:sz w:val="16"/>
                <w:szCs w:val="16"/>
              </w:rPr>
            </w:pPr>
            <w:r w:rsidRPr="005158E3">
              <w:rPr>
                <w:rFonts w:cs="Arial"/>
                <w:b/>
                <w:bCs/>
                <w:color w:val="000000"/>
                <w:sz w:val="16"/>
                <w:szCs w:val="16"/>
              </w:rPr>
              <w:t>Q4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5158E3" w:rsidRDefault="00C06C6E" w:rsidP="00C06C6E">
            <w:pPr>
              <w:rPr>
                <w:rFonts w:cs="Arial"/>
                <w:b/>
                <w:bCs/>
                <w:color w:val="000000"/>
                <w:sz w:val="16"/>
                <w:szCs w:val="16"/>
              </w:rPr>
            </w:pPr>
            <w:r w:rsidRPr="005158E3">
              <w:rPr>
                <w:rFonts w:cs="Arial"/>
                <w:b/>
                <w:bCs/>
                <w:color w:val="000000"/>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5158E3" w:rsidRDefault="00C06C6E" w:rsidP="00C06C6E">
            <w:pPr>
              <w:rPr>
                <w:rFonts w:cs="Arial"/>
                <w:b/>
                <w:bCs/>
                <w:color w:val="000000"/>
                <w:sz w:val="16"/>
                <w:szCs w:val="16"/>
              </w:rPr>
            </w:pPr>
            <w:r w:rsidRPr="005158E3">
              <w:rPr>
                <w:rFonts w:cs="Arial"/>
                <w:b/>
                <w:bCs/>
                <w:color w:val="000000"/>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5158E3" w:rsidRDefault="00C06C6E" w:rsidP="00C06C6E">
            <w:pPr>
              <w:rPr>
                <w:rFonts w:cs="Arial"/>
                <w:b/>
                <w:bCs/>
                <w:color w:val="000000"/>
                <w:sz w:val="16"/>
                <w:szCs w:val="16"/>
              </w:rPr>
            </w:pPr>
            <w:r w:rsidRPr="005158E3">
              <w:rPr>
                <w:rFonts w:cs="Arial"/>
                <w:b/>
                <w:bCs/>
                <w:color w:val="000000"/>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06C6E" w:rsidRPr="005158E3" w:rsidRDefault="00C06C6E" w:rsidP="00C06C6E">
            <w:pPr>
              <w:rPr>
                <w:rFonts w:cs="Arial"/>
                <w:b/>
                <w:bCs/>
                <w:color w:val="000000"/>
                <w:sz w:val="16"/>
                <w:szCs w:val="16"/>
              </w:rPr>
            </w:pPr>
            <w:r w:rsidRPr="005158E3">
              <w:rPr>
                <w:rFonts w:cs="Arial"/>
                <w:b/>
                <w:bCs/>
                <w:color w:val="000000"/>
                <w:sz w:val="16"/>
                <w:szCs w:val="16"/>
              </w:rPr>
              <w:t>Q4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5158E3" w:rsidRDefault="00C06C6E" w:rsidP="00C06C6E">
            <w:pPr>
              <w:rPr>
                <w:rFonts w:cs="Arial"/>
                <w:b/>
                <w:bCs/>
                <w:color w:val="000000"/>
                <w:sz w:val="16"/>
                <w:szCs w:val="16"/>
              </w:rPr>
            </w:pPr>
            <w:r w:rsidRPr="005158E3">
              <w:rPr>
                <w:rFonts w:cs="Arial"/>
                <w:b/>
                <w:bCs/>
                <w:color w:val="000000"/>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5158E3" w:rsidRDefault="00C06C6E" w:rsidP="00C06C6E">
            <w:pPr>
              <w:rPr>
                <w:rFonts w:cs="Arial"/>
                <w:b/>
                <w:bCs/>
                <w:color w:val="000000"/>
                <w:sz w:val="16"/>
                <w:szCs w:val="16"/>
              </w:rPr>
            </w:pPr>
            <w:r w:rsidRPr="005158E3">
              <w:rPr>
                <w:rFonts w:cs="Arial"/>
                <w:b/>
                <w:bCs/>
                <w:color w:val="000000"/>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5158E3" w:rsidRDefault="00C06C6E" w:rsidP="00C06C6E">
            <w:pPr>
              <w:rPr>
                <w:rFonts w:cs="Arial"/>
                <w:b/>
                <w:bCs/>
                <w:color w:val="000000"/>
                <w:sz w:val="16"/>
                <w:szCs w:val="16"/>
              </w:rPr>
            </w:pPr>
            <w:r w:rsidRPr="005158E3">
              <w:rPr>
                <w:rFonts w:cs="Arial"/>
                <w:b/>
                <w:bCs/>
                <w:color w:val="000000"/>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06C6E" w:rsidRPr="005158E3" w:rsidRDefault="00C06C6E" w:rsidP="00C06C6E">
            <w:pPr>
              <w:rPr>
                <w:rFonts w:cs="Arial"/>
                <w:b/>
                <w:bCs/>
                <w:color w:val="000000"/>
                <w:sz w:val="16"/>
                <w:szCs w:val="16"/>
              </w:rPr>
            </w:pPr>
            <w:r w:rsidRPr="005158E3">
              <w:rPr>
                <w:rFonts w:cs="Arial"/>
                <w:b/>
                <w:bCs/>
                <w:color w:val="000000"/>
                <w:sz w:val="16"/>
                <w:szCs w:val="16"/>
              </w:rPr>
              <w:t>Q4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5158E3" w:rsidRDefault="00C06C6E" w:rsidP="00C06C6E">
            <w:pPr>
              <w:rPr>
                <w:rFonts w:cs="Arial"/>
                <w:b/>
                <w:bCs/>
                <w:color w:val="000000"/>
                <w:sz w:val="16"/>
                <w:szCs w:val="16"/>
              </w:rPr>
            </w:pPr>
            <w:r w:rsidRPr="005158E3">
              <w:rPr>
                <w:rFonts w:cs="Arial"/>
                <w:b/>
                <w:bCs/>
                <w:color w:val="000000"/>
                <w:sz w:val="16"/>
                <w:szCs w:val="16"/>
              </w:rPr>
              <w:t>Q1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5158E3" w:rsidRDefault="00C06C6E" w:rsidP="00C06C6E">
            <w:pPr>
              <w:rPr>
                <w:rFonts w:cs="Arial"/>
                <w:b/>
                <w:bCs/>
                <w:color w:val="000000"/>
                <w:sz w:val="16"/>
                <w:szCs w:val="16"/>
              </w:rPr>
            </w:pPr>
            <w:r w:rsidRPr="005158E3">
              <w:rPr>
                <w:rFonts w:cs="Arial"/>
                <w:b/>
                <w:bCs/>
                <w:color w:val="000000"/>
                <w:sz w:val="16"/>
                <w:szCs w:val="16"/>
              </w:rPr>
              <w:t>Q2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06C6E" w:rsidRPr="005158E3" w:rsidRDefault="00C06C6E" w:rsidP="00C06C6E">
            <w:pPr>
              <w:rPr>
                <w:rFonts w:cs="Arial"/>
                <w:b/>
                <w:bCs/>
                <w:color w:val="000000"/>
                <w:sz w:val="16"/>
                <w:szCs w:val="16"/>
              </w:rPr>
            </w:pPr>
            <w:r w:rsidRPr="005158E3">
              <w:rPr>
                <w:rFonts w:cs="Arial"/>
                <w:b/>
                <w:bCs/>
                <w:color w:val="000000"/>
                <w:sz w:val="16"/>
                <w:szCs w:val="16"/>
              </w:rPr>
              <w:t>Q3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06C6E" w:rsidRPr="005158E3" w:rsidRDefault="00C06C6E" w:rsidP="00C06C6E">
            <w:pPr>
              <w:rPr>
                <w:rFonts w:cs="Arial"/>
                <w:b/>
                <w:bCs/>
                <w:color w:val="000000"/>
                <w:sz w:val="16"/>
                <w:szCs w:val="16"/>
              </w:rPr>
            </w:pPr>
            <w:r w:rsidRPr="005158E3">
              <w:rPr>
                <w:rFonts w:cs="Arial"/>
                <w:b/>
                <w:bCs/>
                <w:color w:val="000000"/>
                <w:sz w:val="16"/>
                <w:szCs w:val="16"/>
              </w:rPr>
              <w:t>Q4</w:t>
            </w:r>
          </w:p>
        </w:tc>
      </w:tr>
      <w:tr w:rsidR="00C06C6E" w:rsidRPr="003962D0" w:rsidTr="00C06C6E">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rPr>
            </w:pPr>
            <w:r w:rsidRPr="003962D0">
              <w:rPr>
                <w:rFonts w:cs="Arial"/>
                <w:color w:val="000000"/>
                <w:sz w:val="16"/>
                <w:szCs w:val="16"/>
              </w:rPr>
              <w:t>PCT compartmentalization</w:t>
            </w:r>
          </w:p>
          <w:p w:rsidR="00C06C6E" w:rsidRPr="003962D0" w:rsidRDefault="00C06C6E" w:rsidP="00C06C6E">
            <w:pPr>
              <w:jc w:val="center"/>
              <w:rPr>
                <w:rFonts w:cs="Arial"/>
                <w:color w:val="000000"/>
                <w:sz w:val="16"/>
                <w:szCs w:val="16"/>
              </w:rPr>
            </w:pPr>
            <w:r w:rsidRPr="003962D0">
              <w:rPr>
                <w:rFonts w:cs="Arial"/>
                <w:color w:val="000000"/>
                <w:sz w:val="16"/>
                <w:szCs w:val="16"/>
              </w:rPr>
              <w:t>Completion of work</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r>
      <w:tr w:rsidR="00C06C6E" w:rsidRPr="003962D0" w:rsidTr="00C06C6E">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rPr>
            </w:pPr>
            <w:r w:rsidRPr="003962D0">
              <w:rPr>
                <w:rFonts w:cs="Arial"/>
                <w:color w:val="000000"/>
                <w:sz w:val="16"/>
                <w:szCs w:val="16"/>
              </w:rPr>
              <w:t>Compartmentalization AB -2 Creation of an airlock</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r>
      <w:tr w:rsidR="00C06C6E" w:rsidRPr="003962D0" w:rsidTr="00C06C6E">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bottom"/>
            <w:hideMark/>
          </w:tcPr>
          <w:p w:rsidR="00C06C6E" w:rsidRPr="003962D0" w:rsidRDefault="00C06C6E" w:rsidP="00C06C6E">
            <w:pPr>
              <w:jc w:val="center"/>
              <w:rPr>
                <w:rFonts w:cs="Arial"/>
                <w:color w:val="000000"/>
                <w:sz w:val="16"/>
                <w:szCs w:val="16"/>
              </w:rPr>
            </w:pPr>
            <w:r w:rsidRPr="003962D0">
              <w:rPr>
                <w:rFonts w:cs="Arial"/>
                <w:color w:val="000000"/>
                <w:sz w:val="16"/>
                <w:szCs w:val="16"/>
              </w:rPr>
              <w:t>Study and project related to compartmentalization between GBI and AB</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r>
      <w:tr w:rsidR="00C06C6E" w:rsidRPr="003962D0" w:rsidTr="00C06C6E">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bottom"/>
            <w:hideMark/>
          </w:tcPr>
          <w:p w:rsidR="00C06C6E" w:rsidRPr="003962D0" w:rsidRDefault="00C06C6E" w:rsidP="00C06C6E">
            <w:pPr>
              <w:jc w:val="center"/>
              <w:rPr>
                <w:rFonts w:cs="Arial"/>
                <w:color w:val="000000"/>
                <w:sz w:val="16"/>
                <w:szCs w:val="16"/>
              </w:rPr>
            </w:pPr>
            <w:r w:rsidRPr="003962D0">
              <w:rPr>
                <w:rFonts w:cs="Arial"/>
                <w:color w:val="000000"/>
                <w:sz w:val="16"/>
                <w:szCs w:val="16"/>
              </w:rPr>
              <w:t>Project related to compartmentalization between GBI and GBII (all levels except -1)</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p>
        </w:tc>
      </w:tr>
      <w:tr w:rsidR="00C06C6E" w:rsidRPr="003962D0" w:rsidTr="00C06C6E">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bottom"/>
            <w:hideMark/>
          </w:tcPr>
          <w:p w:rsidR="00C06C6E" w:rsidRPr="003962D0" w:rsidRDefault="00C06C6E" w:rsidP="00C06C6E">
            <w:pPr>
              <w:jc w:val="center"/>
              <w:rPr>
                <w:rFonts w:cs="Arial"/>
                <w:color w:val="000000"/>
                <w:sz w:val="16"/>
                <w:szCs w:val="16"/>
              </w:rPr>
            </w:pPr>
            <w:r w:rsidRPr="003962D0">
              <w:rPr>
                <w:rFonts w:cs="Arial"/>
                <w:color w:val="000000"/>
                <w:sz w:val="16"/>
                <w:szCs w:val="16"/>
              </w:rPr>
              <w:t>Project relating to compartmentalization in AB (except -2)</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C06C6E" w:rsidRPr="003962D0" w:rsidRDefault="00C06C6E" w:rsidP="00C06C6E">
            <w:pPr>
              <w:jc w:val="center"/>
              <w:rPr>
                <w:rFonts w:cs="Arial"/>
                <w:color w:val="000000"/>
                <w:sz w:val="16"/>
                <w:szCs w:val="16"/>
                <w:lang w:val="fr-CH"/>
              </w:rPr>
            </w:pPr>
            <w:r w:rsidRPr="003962D0">
              <w:rPr>
                <w:rFonts w:cs="Arial"/>
                <w:color w:val="000000"/>
                <w:sz w:val="16"/>
                <w:szCs w:val="16"/>
                <w:lang w:val="fr-CH"/>
              </w:rPr>
              <w:t>X</w:t>
            </w:r>
          </w:p>
        </w:tc>
      </w:tr>
    </w:tbl>
    <w:p w:rsidR="00C06C6E" w:rsidRPr="00FC7785" w:rsidRDefault="00C06C6E" w:rsidP="00C06C6E"/>
    <w:p w:rsidR="008D1891" w:rsidRDefault="008D1891" w:rsidP="008D1891">
      <w:pPr>
        <w:autoSpaceDE w:val="0"/>
        <w:autoSpaceDN w:val="0"/>
        <w:jc w:val="both"/>
        <w:rPr>
          <w:bCs/>
          <w:szCs w:val="20"/>
        </w:rPr>
      </w:pPr>
    </w:p>
    <w:p w:rsidR="008D1891" w:rsidRPr="008D1891" w:rsidRDefault="008D1891" w:rsidP="008D1891">
      <w:pPr>
        <w:autoSpaceDE w:val="0"/>
        <w:autoSpaceDN w:val="0"/>
        <w:jc w:val="both"/>
        <w:rPr>
          <w:bCs/>
          <w:szCs w:val="20"/>
        </w:rPr>
      </w:pPr>
    </w:p>
    <w:p w:rsidR="008D1891" w:rsidRDefault="008D1891" w:rsidP="008D1891">
      <w:pPr>
        <w:autoSpaceDE w:val="0"/>
        <w:autoSpaceDN w:val="0"/>
        <w:jc w:val="both"/>
      </w:pPr>
      <w:r>
        <w:tab/>
      </w:r>
      <w:r>
        <w:tab/>
      </w:r>
      <w:r>
        <w:tab/>
      </w:r>
      <w:r>
        <w:tab/>
      </w:r>
      <w:r>
        <w:tab/>
      </w:r>
      <w:r>
        <w:tab/>
      </w:r>
      <w:r>
        <w:tab/>
      </w:r>
      <w:r>
        <w:tab/>
      </w:r>
      <w:r>
        <w:tab/>
      </w:r>
      <w:r>
        <w:tab/>
        <w:t>[Appendix IV follows]</w:t>
      </w:r>
    </w:p>
    <w:p w:rsidR="008D1891" w:rsidRDefault="008D1891">
      <w:r>
        <w:br w:type="page"/>
      </w:r>
    </w:p>
    <w:p w:rsidR="00815ABB" w:rsidRPr="00A35313" w:rsidRDefault="00FB3CE3" w:rsidP="00815ABB">
      <w:pPr>
        <w:pStyle w:val="Heading2"/>
        <w:ind w:left="0" w:firstLine="0"/>
        <w:rPr>
          <w:b w:val="0"/>
          <w:i/>
        </w:rPr>
      </w:pPr>
      <w:bookmarkStart w:id="112" w:name="_Toc422210530"/>
      <w:r>
        <w:rPr>
          <w:bCs w:val="0"/>
          <w:szCs w:val="22"/>
          <w:lang w:eastAsia="zh-CN"/>
        </w:rPr>
        <w:lastRenderedPageBreak/>
        <w:t xml:space="preserve">APPENDIX </w:t>
      </w:r>
      <w:r w:rsidRPr="0063033D">
        <w:rPr>
          <w:bCs w:val="0"/>
          <w:szCs w:val="22"/>
          <w:lang w:eastAsia="zh-CN"/>
        </w:rPr>
        <w:t>I</w:t>
      </w:r>
      <w:r>
        <w:rPr>
          <w:bCs w:val="0"/>
          <w:szCs w:val="22"/>
          <w:lang w:eastAsia="zh-CN"/>
        </w:rPr>
        <w:t>V</w:t>
      </w:r>
      <w:r w:rsidR="006C404A">
        <w:rPr>
          <w:bCs w:val="0"/>
          <w:szCs w:val="22"/>
          <w:lang w:eastAsia="zh-CN"/>
        </w:rPr>
        <w:t xml:space="preserve">   </w:t>
      </w:r>
      <w:r w:rsidR="00815ABB">
        <w:rPr>
          <w:bCs w:val="0"/>
          <w:szCs w:val="22"/>
          <w:lang w:eastAsia="zh-CN"/>
        </w:rPr>
        <w:br/>
      </w:r>
      <w:bookmarkStart w:id="113" w:name="_Toc293334854"/>
      <w:bookmarkStart w:id="114" w:name="_Toc298920436"/>
      <w:bookmarkStart w:id="115" w:name="_Toc310950817"/>
      <w:bookmarkStart w:id="116" w:name="_Toc356567803"/>
      <w:bookmarkStart w:id="117" w:name="_Toc367350629"/>
      <w:bookmarkStart w:id="118" w:name="_Toc392610068"/>
      <w:r w:rsidR="00815ABB">
        <w:br/>
      </w:r>
      <w:r w:rsidR="00815ABB" w:rsidRPr="00A35313">
        <w:t>ACRONYMS AND ABBREVIATIONS USED IN THE PRESENT DOCUMENT</w:t>
      </w:r>
      <w:bookmarkEnd w:id="113"/>
      <w:bookmarkEnd w:id="114"/>
      <w:bookmarkEnd w:id="115"/>
      <w:bookmarkEnd w:id="116"/>
      <w:bookmarkEnd w:id="117"/>
      <w:bookmarkEnd w:id="118"/>
      <w:bookmarkEnd w:id="112"/>
    </w:p>
    <w:p w:rsidR="00815ABB" w:rsidRPr="00727DFF" w:rsidRDefault="00815ABB" w:rsidP="00B11299">
      <w:pPr>
        <w:tabs>
          <w:tab w:val="left" w:pos="1980"/>
          <w:tab w:val="left" w:pos="3261"/>
        </w:tabs>
        <w:ind w:left="2268" w:hanging="2268"/>
        <w:jc w:val="both"/>
        <w:rPr>
          <w:rFonts w:cs="Arial"/>
          <w:sz w:val="16"/>
          <w:szCs w:val="16"/>
        </w:rPr>
      </w:pPr>
    </w:p>
    <w:p w:rsidR="00815ABB" w:rsidRPr="00727DFF" w:rsidRDefault="00815ABB" w:rsidP="00B11299">
      <w:pPr>
        <w:tabs>
          <w:tab w:val="left" w:pos="1980"/>
          <w:tab w:val="left" w:pos="3261"/>
        </w:tabs>
        <w:ind w:left="2268" w:hanging="2268"/>
        <w:jc w:val="both"/>
        <w:rPr>
          <w:rFonts w:cs="Arial"/>
          <w:sz w:val="16"/>
          <w:szCs w:val="16"/>
        </w:rPr>
      </w:pPr>
    </w:p>
    <w:p w:rsidR="00815ABB" w:rsidRPr="00F10C59" w:rsidRDefault="00815ABB" w:rsidP="00B11299">
      <w:pPr>
        <w:tabs>
          <w:tab w:val="left" w:pos="2127"/>
        </w:tabs>
        <w:spacing w:after="40"/>
        <w:ind w:left="2126" w:right="-476" w:hanging="2126"/>
        <w:rPr>
          <w:rFonts w:cs="Arial"/>
        </w:rPr>
      </w:pPr>
      <w:r w:rsidRPr="00F10AB9">
        <w:rPr>
          <w:rFonts w:cs="Arial"/>
          <w:b/>
          <w:bCs/>
        </w:rPr>
        <w:t>A</w:t>
      </w:r>
      <w:r w:rsidRPr="00F10C59">
        <w:rPr>
          <w:rFonts w:cs="Arial"/>
        </w:rPr>
        <w:t>CE</w:t>
      </w:r>
      <w:r w:rsidRPr="00F10C59">
        <w:rPr>
          <w:rFonts w:cs="Arial"/>
        </w:rPr>
        <w:tab/>
        <w:t xml:space="preserve">Advisory Committee on Enforcement </w:t>
      </w:r>
    </w:p>
    <w:p w:rsidR="00815ABB" w:rsidRPr="00F10C59" w:rsidRDefault="00815ABB" w:rsidP="00B11299">
      <w:pPr>
        <w:tabs>
          <w:tab w:val="left" w:pos="2127"/>
        </w:tabs>
        <w:spacing w:after="40"/>
        <w:ind w:left="2126" w:hanging="2126"/>
        <w:rPr>
          <w:rFonts w:cs="Arial"/>
        </w:rPr>
      </w:pPr>
      <w:r w:rsidRPr="00F10C59">
        <w:rPr>
          <w:rFonts w:cs="Arial"/>
        </w:rPr>
        <w:t>ADR</w:t>
      </w:r>
      <w:r w:rsidRPr="00F10C59">
        <w:rPr>
          <w:rFonts w:cs="Arial"/>
        </w:rPr>
        <w:tab/>
        <w:t>Alternative Dispute Resolution</w:t>
      </w:r>
    </w:p>
    <w:p w:rsidR="00815ABB" w:rsidRPr="00F10C59" w:rsidRDefault="00815ABB" w:rsidP="00B11299">
      <w:pPr>
        <w:tabs>
          <w:tab w:val="left" w:pos="2127"/>
        </w:tabs>
        <w:spacing w:after="40"/>
        <w:ind w:left="2126" w:hanging="2126"/>
        <w:rPr>
          <w:rFonts w:cs="Arial"/>
        </w:rPr>
      </w:pPr>
      <w:r w:rsidRPr="00F10C59">
        <w:rPr>
          <w:rFonts w:cs="Arial"/>
        </w:rPr>
        <w:t>AGICOA</w:t>
      </w:r>
      <w:r w:rsidRPr="00F10C59">
        <w:rPr>
          <w:rFonts w:cs="Arial"/>
        </w:rPr>
        <w:tab/>
        <w:t>Association of International Collective Management of Audiovisual Works</w:t>
      </w:r>
    </w:p>
    <w:p w:rsidR="00815ABB" w:rsidRPr="00F153C1" w:rsidRDefault="00815ABB" w:rsidP="00B11299">
      <w:pPr>
        <w:tabs>
          <w:tab w:val="left" w:pos="2127"/>
        </w:tabs>
        <w:spacing w:after="40"/>
        <w:ind w:left="2126" w:hanging="2126"/>
        <w:rPr>
          <w:rFonts w:cs="Arial"/>
          <w:lang w:val="fr-FR"/>
        </w:rPr>
      </w:pPr>
      <w:r w:rsidRPr="00F153C1">
        <w:rPr>
          <w:rFonts w:cs="Arial"/>
          <w:lang w:val="fr-FR"/>
        </w:rPr>
        <w:t>AIPMS</w:t>
      </w:r>
      <w:r w:rsidRPr="00F153C1">
        <w:rPr>
          <w:rFonts w:cs="Arial"/>
          <w:lang w:val="fr-FR"/>
        </w:rPr>
        <w:tab/>
      </w:r>
      <w:proofErr w:type="spellStart"/>
      <w:r w:rsidRPr="00F153C1">
        <w:rPr>
          <w:rFonts w:cs="Arial"/>
          <w:lang w:val="fr-FR"/>
        </w:rPr>
        <w:t>Arab</w:t>
      </w:r>
      <w:proofErr w:type="spellEnd"/>
      <w:r w:rsidRPr="00F153C1">
        <w:rPr>
          <w:rFonts w:cs="Arial"/>
          <w:lang w:val="fr-FR"/>
        </w:rPr>
        <w:t xml:space="preserve"> IP Management System</w:t>
      </w:r>
    </w:p>
    <w:p w:rsidR="00A32886" w:rsidRPr="00A32886" w:rsidRDefault="00A32886" w:rsidP="00B11299">
      <w:pPr>
        <w:tabs>
          <w:tab w:val="left" w:pos="2127"/>
        </w:tabs>
        <w:spacing w:after="40"/>
        <w:ind w:left="2126" w:hanging="2126"/>
        <w:rPr>
          <w:rFonts w:cs="Arial"/>
          <w:lang w:val="fr-FR"/>
        </w:rPr>
      </w:pPr>
      <w:r w:rsidRPr="00A32886">
        <w:rPr>
          <w:rFonts w:cs="Arial"/>
          <w:lang w:val="fr-FR"/>
        </w:rPr>
        <w:t>AMFI</w:t>
      </w:r>
      <w:r>
        <w:rPr>
          <w:rFonts w:cs="Arial"/>
          <w:lang w:val="fr-FR"/>
        </w:rPr>
        <w:t>E</w:t>
      </w:r>
      <w:r>
        <w:rPr>
          <w:rFonts w:cs="Arial"/>
          <w:i/>
          <w:lang w:val="fr-FR"/>
        </w:rPr>
        <w:tab/>
      </w:r>
      <w:r w:rsidRPr="00A32886">
        <w:rPr>
          <w:rFonts w:cs="Arial"/>
          <w:i/>
          <w:lang w:val="fr-FR"/>
        </w:rPr>
        <w:t>Association Coopérative Financière des Fonctionnaires Internationaux</w:t>
      </w:r>
    </w:p>
    <w:p w:rsidR="00BD0327" w:rsidRDefault="00BD0327" w:rsidP="00B11299">
      <w:pPr>
        <w:tabs>
          <w:tab w:val="left" w:pos="2127"/>
        </w:tabs>
        <w:spacing w:after="40"/>
        <w:ind w:left="2126" w:hanging="2126"/>
        <w:rPr>
          <w:rFonts w:cs="Arial"/>
        </w:rPr>
      </w:pPr>
      <w:r w:rsidRPr="00FB7274">
        <w:rPr>
          <w:szCs w:val="20"/>
        </w:rPr>
        <w:t>ANPEI</w:t>
      </w:r>
      <w:r>
        <w:rPr>
          <w:szCs w:val="20"/>
        </w:rPr>
        <w:tab/>
        <w:t>National Association of Research and Development of Innovative Enterprises</w:t>
      </w:r>
    </w:p>
    <w:p w:rsidR="00F02072" w:rsidRDefault="00F02072" w:rsidP="00B11299">
      <w:pPr>
        <w:tabs>
          <w:tab w:val="left" w:pos="2127"/>
        </w:tabs>
        <w:spacing w:after="40"/>
        <w:ind w:left="2126" w:hanging="2126"/>
        <w:rPr>
          <w:rFonts w:cs="Arial"/>
        </w:rPr>
      </w:pPr>
      <w:r>
        <w:rPr>
          <w:szCs w:val="20"/>
        </w:rPr>
        <w:t>APEC</w:t>
      </w:r>
      <w:r>
        <w:rPr>
          <w:szCs w:val="20"/>
        </w:rPr>
        <w:tab/>
      </w:r>
      <w:r w:rsidRPr="009B1A53">
        <w:rPr>
          <w:szCs w:val="20"/>
        </w:rPr>
        <w:t xml:space="preserve">Asia-Pacific Economic Cooperation </w:t>
      </w:r>
    </w:p>
    <w:p w:rsidR="00815ABB" w:rsidRDefault="00191B3E" w:rsidP="00B11299">
      <w:pPr>
        <w:tabs>
          <w:tab w:val="left" w:pos="2127"/>
        </w:tabs>
        <w:spacing w:after="40"/>
        <w:ind w:left="2126" w:hanging="2126"/>
        <w:rPr>
          <w:rFonts w:cs="Arial"/>
        </w:rPr>
      </w:pPr>
      <w:r>
        <w:rPr>
          <w:rFonts w:cs="Arial"/>
        </w:rPr>
        <w:t>A</w:t>
      </w:r>
      <w:r w:rsidR="00815ABB">
        <w:rPr>
          <w:rFonts w:cs="Arial"/>
        </w:rPr>
        <w:t>RD</w:t>
      </w:r>
      <w:r>
        <w:rPr>
          <w:rFonts w:cs="Arial"/>
        </w:rPr>
        <w:t>I</w:t>
      </w:r>
      <w:r w:rsidR="00815ABB">
        <w:rPr>
          <w:rFonts w:cs="Arial"/>
        </w:rPr>
        <w:tab/>
      </w:r>
      <w:r w:rsidR="00815ABB" w:rsidRPr="00371DB3">
        <w:rPr>
          <w:rFonts w:cs="Arial"/>
          <w:bCs/>
        </w:rPr>
        <w:t>Access to Research for Development and Innovation</w:t>
      </w:r>
    </w:p>
    <w:p w:rsidR="00815ABB" w:rsidRDefault="00815ABB" w:rsidP="00B11299">
      <w:pPr>
        <w:tabs>
          <w:tab w:val="left" w:pos="2127"/>
        </w:tabs>
        <w:spacing w:after="40"/>
        <w:rPr>
          <w:rFonts w:cs="Arial"/>
          <w:bCs/>
        </w:rPr>
      </w:pPr>
      <w:r>
        <w:rPr>
          <w:rFonts w:cs="Arial"/>
          <w:bCs/>
        </w:rPr>
        <w:t>ARIPO</w:t>
      </w:r>
      <w:r>
        <w:rPr>
          <w:rFonts w:cs="Arial"/>
          <w:bCs/>
        </w:rPr>
        <w:tab/>
      </w:r>
      <w:r w:rsidRPr="00812B04">
        <w:t>African Regional Intellectual Property Organization</w:t>
      </w:r>
    </w:p>
    <w:p w:rsidR="00815ABB" w:rsidRDefault="00815ABB" w:rsidP="00B11299">
      <w:pPr>
        <w:tabs>
          <w:tab w:val="left" w:pos="2127"/>
        </w:tabs>
        <w:spacing w:after="40"/>
        <w:rPr>
          <w:rFonts w:cs="Arial"/>
        </w:rPr>
      </w:pPr>
      <w:r w:rsidRPr="002F7977">
        <w:rPr>
          <w:rFonts w:cs="Arial"/>
          <w:bCs/>
        </w:rPr>
        <w:t>A</w:t>
      </w:r>
      <w:r>
        <w:rPr>
          <w:rFonts w:cs="Arial"/>
        </w:rPr>
        <w:t>SEAN</w:t>
      </w:r>
      <w:r>
        <w:rPr>
          <w:rFonts w:cs="Arial"/>
        </w:rPr>
        <w:tab/>
      </w:r>
      <w:r w:rsidRPr="0036669E">
        <w:rPr>
          <w:rFonts w:cs="Arial"/>
          <w:lang w:val="en"/>
        </w:rPr>
        <w:t>Association of South East Asian Nations</w:t>
      </w:r>
    </w:p>
    <w:p w:rsidR="00F02072" w:rsidRDefault="00F02072" w:rsidP="00B11299">
      <w:pPr>
        <w:tabs>
          <w:tab w:val="left" w:pos="2127"/>
        </w:tabs>
        <w:spacing w:after="40"/>
        <w:rPr>
          <w:rFonts w:cs="Arial"/>
        </w:rPr>
      </w:pPr>
      <w:r>
        <w:rPr>
          <w:szCs w:val="20"/>
        </w:rPr>
        <w:t>ASEF</w:t>
      </w:r>
      <w:r>
        <w:rPr>
          <w:szCs w:val="20"/>
        </w:rPr>
        <w:tab/>
      </w:r>
      <w:r w:rsidRPr="009B1A53">
        <w:rPr>
          <w:szCs w:val="20"/>
        </w:rPr>
        <w:t xml:space="preserve">Asia-Europe Foundation </w:t>
      </w:r>
    </w:p>
    <w:p w:rsidR="00815ABB" w:rsidRDefault="00815ABB" w:rsidP="00B11299">
      <w:pPr>
        <w:tabs>
          <w:tab w:val="left" w:pos="2127"/>
        </w:tabs>
        <w:spacing w:after="40"/>
        <w:rPr>
          <w:rFonts w:cs="Arial"/>
        </w:rPr>
      </w:pPr>
      <w:r>
        <w:rPr>
          <w:rFonts w:cs="Arial"/>
        </w:rPr>
        <w:t>ASHI</w:t>
      </w:r>
      <w:r>
        <w:rPr>
          <w:rFonts w:cs="Arial"/>
        </w:rPr>
        <w:tab/>
        <w:t>After-Service Health Insurance</w:t>
      </w:r>
    </w:p>
    <w:p w:rsidR="00815ABB" w:rsidRDefault="00815ABB" w:rsidP="00B11299">
      <w:pPr>
        <w:tabs>
          <w:tab w:val="left" w:pos="2127"/>
        </w:tabs>
        <w:spacing w:after="40"/>
        <w:rPr>
          <w:rFonts w:cs="Arial"/>
        </w:rPr>
      </w:pPr>
      <w:r w:rsidRPr="00F10C59">
        <w:rPr>
          <w:rFonts w:cs="Arial"/>
        </w:rPr>
        <w:t>ASPI</w:t>
      </w:r>
      <w:r w:rsidRPr="00F10C59">
        <w:rPr>
          <w:rFonts w:cs="Arial"/>
        </w:rPr>
        <w:tab/>
        <w:t>A</w:t>
      </w:r>
      <w:r>
        <w:rPr>
          <w:rFonts w:cs="Arial"/>
        </w:rPr>
        <w:t>c</w:t>
      </w:r>
      <w:r w:rsidRPr="00F10C59">
        <w:rPr>
          <w:rFonts w:cs="Arial"/>
        </w:rPr>
        <w:t>cess to Specialized Patent Information</w:t>
      </w:r>
    </w:p>
    <w:p w:rsidR="00135F6B" w:rsidRPr="00F10C59" w:rsidRDefault="00135F6B" w:rsidP="00135F6B">
      <w:pPr>
        <w:spacing w:after="40"/>
        <w:ind w:left="2127" w:hanging="2127"/>
        <w:rPr>
          <w:rFonts w:cs="Arial"/>
        </w:rPr>
      </w:pPr>
      <w:r>
        <w:rPr>
          <w:rFonts w:cs="Arial"/>
        </w:rPr>
        <w:t>ATRIP</w:t>
      </w:r>
      <w:r>
        <w:rPr>
          <w:rFonts w:cs="Arial"/>
        </w:rPr>
        <w:tab/>
        <w:t>Association for the Advancement of Teaching and Research in Intellectual Property</w:t>
      </w:r>
    </w:p>
    <w:p w:rsidR="00815ABB" w:rsidRPr="00F10C59" w:rsidRDefault="00815ABB" w:rsidP="00860D6F">
      <w:pPr>
        <w:tabs>
          <w:tab w:val="left" w:pos="2127"/>
        </w:tabs>
        <w:spacing w:after="120"/>
        <w:ind w:left="2126" w:hanging="2126"/>
        <w:rPr>
          <w:rFonts w:cs="Arial"/>
        </w:rPr>
      </w:pPr>
    </w:p>
    <w:p w:rsidR="00815ABB" w:rsidRPr="00F10C59" w:rsidRDefault="00815ABB" w:rsidP="00B11299">
      <w:pPr>
        <w:tabs>
          <w:tab w:val="left" w:pos="2127"/>
        </w:tabs>
        <w:spacing w:after="40"/>
        <w:ind w:left="2127" w:hanging="2127"/>
        <w:rPr>
          <w:rFonts w:cs="Arial"/>
        </w:rPr>
      </w:pPr>
      <w:r w:rsidRPr="00F10AB9">
        <w:rPr>
          <w:rFonts w:cs="Arial"/>
          <w:b/>
          <w:bCs/>
        </w:rPr>
        <w:t>C</w:t>
      </w:r>
      <w:r w:rsidRPr="00F10C59">
        <w:rPr>
          <w:rFonts w:cs="Arial"/>
        </w:rPr>
        <w:t>ASE</w:t>
      </w:r>
      <w:r w:rsidRPr="00F10C59">
        <w:rPr>
          <w:rFonts w:cs="Arial"/>
        </w:rPr>
        <w:tab/>
        <w:t>Centralized Access to Search and Examination Results</w:t>
      </w:r>
    </w:p>
    <w:p w:rsidR="00815ABB" w:rsidRDefault="00815ABB" w:rsidP="00B11299">
      <w:pPr>
        <w:tabs>
          <w:tab w:val="left" w:pos="2127"/>
        </w:tabs>
        <w:spacing w:after="40"/>
        <w:ind w:left="2127" w:hanging="2127"/>
        <w:rPr>
          <w:rFonts w:cs="Arial"/>
        </w:rPr>
      </w:pPr>
      <w:r>
        <w:rPr>
          <w:rFonts w:cs="Arial"/>
        </w:rPr>
        <w:t>CBD</w:t>
      </w:r>
      <w:r>
        <w:rPr>
          <w:rFonts w:cs="Arial"/>
        </w:rPr>
        <w:tab/>
        <w:t>Convention on Biological Diversity</w:t>
      </w:r>
    </w:p>
    <w:p w:rsidR="00815ABB" w:rsidRPr="00F10C59" w:rsidRDefault="00815ABB" w:rsidP="00B11299">
      <w:pPr>
        <w:tabs>
          <w:tab w:val="left" w:pos="2127"/>
        </w:tabs>
        <w:spacing w:after="40"/>
        <w:ind w:left="2127" w:hanging="2127"/>
        <w:rPr>
          <w:rFonts w:cs="Arial"/>
        </w:rPr>
      </w:pPr>
      <w:proofErr w:type="spellStart"/>
      <w:proofErr w:type="gramStart"/>
      <w:r w:rsidRPr="00F10C59">
        <w:rPr>
          <w:rFonts w:cs="Arial"/>
        </w:rPr>
        <w:t>ccTLDs</w:t>
      </w:r>
      <w:proofErr w:type="spellEnd"/>
      <w:proofErr w:type="gramEnd"/>
      <w:r w:rsidRPr="00F10C59">
        <w:rPr>
          <w:rFonts w:cs="Arial"/>
        </w:rPr>
        <w:tab/>
        <w:t>country code Top-Level Domain</w:t>
      </w:r>
    </w:p>
    <w:p w:rsidR="00815ABB" w:rsidRPr="00F10C59" w:rsidRDefault="00815ABB" w:rsidP="00B11299">
      <w:pPr>
        <w:pStyle w:val="BlockText"/>
        <w:tabs>
          <w:tab w:val="left" w:pos="2127"/>
        </w:tabs>
        <w:ind w:left="0"/>
        <w:rPr>
          <w:rFonts w:cs="Arial"/>
          <w:sz w:val="20"/>
        </w:rPr>
      </w:pPr>
      <w:r w:rsidRPr="00F10C59">
        <w:rPr>
          <w:rFonts w:cs="Arial"/>
          <w:sz w:val="20"/>
        </w:rPr>
        <w:t>CDIP</w:t>
      </w:r>
      <w:r w:rsidRPr="00F10C59">
        <w:rPr>
          <w:rFonts w:cs="Arial"/>
          <w:sz w:val="20"/>
        </w:rPr>
        <w:tab/>
        <w:t>Conference on Development and Intellectual Property</w:t>
      </w:r>
    </w:p>
    <w:p w:rsidR="00F02072" w:rsidRPr="00F02072" w:rsidRDefault="00F02072" w:rsidP="00B11299">
      <w:pPr>
        <w:tabs>
          <w:tab w:val="left" w:pos="2127"/>
        </w:tabs>
        <w:spacing w:after="40"/>
        <w:ind w:left="2127" w:hanging="2127"/>
        <w:rPr>
          <w:rFonts w:cs="Arial"/>
          <w:bCs/>
          <w:lang w:val="fr-FR"/>
        </w:rPr>
      </w:pPr>
      <w:r w:rsidRPr="00F02072">
        <w:rPr>
          <w:rFonts w:eastAsiaTheme="minorHAnsi" w:cs="Arial"/>
          <w:color w:val="000000"/>
          <w:lang w:val="fr-FR"/>
        </w:rPr>
        <w:t>CEIPI</w:t>
      </w:r>
      <w:r>
        <w:rPr>
          <w:rFonts w:eastAsiaTheme="minorHAnsi" w:cs="Arial"/>
          <w:i/>
          <w:color w:val="000000"/>
          <w:lang w:val="fr-FR"/>
        </w:rPr>
        <w:tab/>
      </w:r>
      <w:r w:rsidRPr="00F02072">
        <w:rPr>
          <w:rFonts w:eastAsiaTheme="minorHAnsi" w:cs="Arial"/>
          <w:i/>
          <w:color w:val="000000"/>
          <w:lang w:val="fr-FR"/>
        </w:rPr>
        <w:t>Centre d’Études Internationales de la Propriété Intellectuelle</w:t>
      </w:r>
      <w:r w:rsidRPr="00F02072">
        <w:rPr>
          <w:rFonts w:eastAsiaTheme="minorHAnsi" w:cs="Arial"/>
          <w:color w:val="000000"/>
          <w:lang w:val="fr-FR"/>
        </w:rPr>
        <w:t xml:space="preserve"> </w:t>
      </w:r>
    </w:p>
    <w:p w:rsidR="00815ABB" w:rsidRDefault="00815ABB" w:rsidP="00B11299">
      <w:pPr>
        <w:tabs>
          <w:tab w:val="left" w:pos="2127"/>
        </w:tabs>
        <w:spacing w:after="40"/>
        <w:ind w:left="2127" w:hanging="2127"/>
      </w:pPr>
      <w:r>
        <w:rPr>
          <w:rFonts w:cs="Arial"/>
          <w:bCs/>
        </w:rPr>
        <w:t>CERN</w:t>
      </w:r>
      <w:r>
        <w:rPr>
          <w:rFonts w:cs="Arial"/>
          <w:bCs/>
        </w:rPr>
        <w:tab/>
      </w:r>
      <w:r>
        <w:t xml:space="preserve">European Organization for Nuclear Research </w:t>
      </w:r>
    </w:p>
    <w:p w:rsidR="00F02072" w:rsidRDefault="00F02072" w:rsidP="00B11299">
      <w:pPr>
        <w:tabs>
          <w:tab w:val="left" w:pos="2127"/>
        </w:tabs>
        <w:spacing w:after="40"/>
        <w:ind w:left="2127" w:hanging="2127"/>
        <w:rPr>
          <w:rFonts w:cs="Arial"/>
          <w:bCs/>
        </w:rPr>
      </w:pPr>
      <w:r>
        <w:rPr>
          <w:szCs w:val="20"/>
        </w:rPr>
        <w:t>CISAC</w:t>
      </w:r>
      <w:r>
        <w:rPr>
          <w:szCs w:val="20"/>
        </w:rPr>
        <w:tab/>
      </w:r>
      <w:r w:rsidRPr="009B1A53">
        <w:rPr>
          <w:szCs w:val="20"/>
        </w:rPr>
        <w:t xml:space="preserve">Confederation of International Societies of Authors and Composers </w:t>
      </w:r>
    </w:p>
    <w:p w:rsidR="00815ABB" w:rsidRDefault="00815ABB" w:rsidP="00B11299">
      <w:pPr>
        <w:tabs>
          <w:tab w:val="left" w:pos="2127"/>
        </w:tabs>
        <w:spacing w:after="40"/>
        <w:ind w:left="2127" w:hanging="2127"/>
        <w:rPr>
          <w:rFonts w:cs="Arial"/>
        </w:rPr>
      </w:pPr>
      <w:r>
        <w:rPr>
          <w:rFonts w:cs="Arial"/>
          <w:bCs/>
        </w:rPr>
        <w:t>CLIR</w:t>
      </w:r>
      <w:r>
        <w:rPr>
          <w:rFonts w:cs="Arial"/>
          <w:bCs/>
        </w:rPr>
        <w:tab/>
      </w:r>
      <w:r w:rsidRPr="003A6A2F">
        <w:rPr>
          <w:rFonts w:cs="Arial"/>
          <w:bCs/>
        </w:rPr>
        <w:t>Cross Lingual Information Retrieval</w:t>
      </w:r>
    </w:p>
    <w:p w:rsidR="00815ABB" w:rsidRPr="00F10C59" w:rsidRDefault="00815ABB" w:rsidP="00B11299">
      <w:pPr>
        <w:tabs>
          <w:tab w:val="left" w:pos="2127"/>
        </w:tabs>
        <w:spacing w:after="40"/>
        <w:ind w:left="2127" w:hanging="2127"/>
        <w:rPr>
          <w:rFonts w:cs="Arial"/>
        </w:rPr>
      </w:pPr>
      <w:r w:rsidRPr="00F10C59">
        <w:rPr>
          <w:rFonts w:cs="Arial"/>
        </w:rPr>
        <w:t>CMG</w:t>
      </w:r>
      <w:r w:rsidRPr="00F10C59">
        <w:rPr>
          <w:rFonts w:cs="Arial"/>
        </w:rPr>
        <w:tab/>
        <w:t>Crisis Management Group</w:t>
      </w:r>
    </w:p>
    <w:p w:rsidR="00815ABB" w:rsidRDefault="00815ABB" w:rsidP="00B11299">
      <w:pPr>
        <w:tabs>
          <w:tab w:val="left" w:pos="2127"/>
        </w:tabs>
        <w:spacing w:after="40"/>
        <w:ind w:left="2127" w:hanging="2127"/>
        <w:rPr>
          <w:rFonts w:cs="Arial"/>
        </w:rPr>
      </w:pPr>
      <w:r w:rsidRPr="00F10C59">
        <w:rPr>
          <w:rFonts w:cs="Arial"/>
        </w:rPr>
        <w:t>CMOs</w:t>
      </w:r>
      <w:r w:rsidRPr="00F10C59">
        <w:rPr>
          <w:rFonts w:cs="Arial"/>
        </w:rPr>
        <w:tab/>
        <w:t>collective management organizations</w:t>
      </w:r>
    </w:p>
    <w:p w:rsidR="00F02072" w:rsidRDefault="00F02072" w:rsidP="00B11299">
      <w:pPr>
        <w:tabs>
          <w:tab w:val="left" w:pos="2127"/>
        </w:tabs>
        <w:spacing w:after="40"/>
        <w:ind w:left="2127" w:hanging="2127"/>
        <w:rPr>
          <w:rFonts w:cs="Arial"/>
        </w:rPr>
      </w:pPr>
      <w:r>
        <w:rPr>
          <w:szCs w:val="20"/>
        </w:rPr>
        <w:t>CTCN</w:t>
      </w:r>
      <w:r>
        <w:rPr>
          <w:szCs w:val="20"/>
        </w:rPr>
        <w:tab/>
      </w:r>
      <w:r w:rsidRPr="00B03ABB">
        <w:rPr>
          <w:szCs w:val="20"/>
        </w:rPr>
        <w:t xml:space="preserve">Climate Technology Center and Network </w:t>
      </w:r>
    </w:p>
    <w:p w:rsidR="00815ABB" w:rsidRDefault="00815ABB" w:rsidP="00B11299">
      <w:pPr>
        <w:tabs>
          <w:tab w:val="left" w:pos="2127"/>
        </w:tabs>
        <w:spacing w:after="40"/>
        <w:ind w:left="2127" w:hanging="2127"/>
        <w:rPr>
          <w:rFonts w:cs="Arial"/>
        </w:rPr>
      </w:pPr>
      <w:r>
        <w:rPr>
          <w:rFonts w:cs="Arial"/>
        </w:rPr>
        <w:t>CWS</w:t>
      </w:r>
      <w:r>
        <w:rPr>
          <w:rFonts w:cs="Arial"/>
        </w:rPr>
        <w:tab/>
        <w:t>Committee on WIPO Standards</w:t>
      </w:r>
    </w:p>
    <w:p w:rsidR="00F02072" w:rsidRPr="00F10C59" w:rsidRDefault="00F02072" w:rsidP="00860D6F">
      <w:pPr>
        <w:tabs>
          <w:tab w:val="left" w:pos="2127"/>
        </w:tabs>
        <w:spacing w:after="120"/>
        <w:ind w:left="2126" w:hanging="2126"/>
        <w:rPr>
          <w:rFonts w:cs="Arial"/>
        </w:rPr>
      </w:pPr>
    </w:p>
    <w:p w:rsidR="00815ABB" w:rsidRPr="00F10C59" w:rsidRDefault="00815ABB" w:rsidP="00B11299">
      <w:pPr>
        <w:tabs>
          <w:tab w:val="left" w:pos="2127"/>
        </w:tabs>
        <w:spacing w:after="40"/>
        <w:rPr>
          <w:rFonts w:cs="Arial"/>
        </w:rPr>
      </w:pPr>
      <w:r w:rsidRPr="00F10AB9">
        <w:rPr>
          <w:rFonts w:cs="Arial"/>
          <w:b/>
          <w:bCs/>
        </w:rPr>
        <w:t>D</w:t>
      </w:r>
      <w:r w:rsidRPr="00F10C59">
        <w:rPr>
          <w:rFonts w:cs="Arial"/>
        </w:rPr>
        <w:t>A</w:t>
      </w:r>
      <w:r w:rsidRPr="00F10C59">
        <w:rPr>
          <w:rFonts w:cs="Arial"/>
        </w:rPr>
        <w:tab/>
        <w:t>Development Agenda</w:t>
      </w:r>
    </w:p>
    <w:p w:rsidR="00815ABB" w:rsidRDefault="00815ABB" w:rsidP="00B11299">
      <w:pPr>
        <w:tabs>
          <w:tab w:val="left" w:pos="2127"/>
          <w:tab w:val="left" w:pos="2268"/>
        </w:tabs>
        <w:spacing w:after="40"/>
        <w:rPr>
          <w:rFonts w:cs="Arial"/>
        </w:rPr>
      </w:pPr>
      <w:r>
        <w:rPr>
          <w:rFonts w:cs="Arial"/>
        </w:rPr>
        <w:t>DAG</w:t>
      </w:r>
      <w:r>
        <w:rPr>
          <w:rFonts w:cs="Arial"/>
        </w:rPr>
        <w:tab/>
        <w:t>Development Agenda Group</w:t>
      </w:r>
    </w:p>
    <w:p w:rsidR="00815ABB" w:rsidRPr="00F10C59" w:rsidRDefault="00815ABB" w:rsidP="00B11299">
      <w:pPr>
        <w:tabs>
          <w:tab w:val="left" w:pos="2127"/>
          <w:tab w:val="left" w:pos="2268"/>
        </w:tabs>
        <w:spacing w:after="40"/>
        <w:rPr>
          <w:rFonts w:cs="Arial"/>
        </w:rPr>
      </w:pPr>
      <w:r w:rsidRPr="00F10C59">
        <w:rPr>
          <w:rFonts w:cs="Arial"/>
        </w:rPr>
        <w:t>DAS</w:t>
      </w:r>
      <w:r w:rsidRPr="00F10C59">
        <w:rPr>
          <w:rFonts w:cs="Arial"/>
        </w:rPr>
        <w:tab/>
        <w:t>Digital Access Service for Priority Documents</w:t>
      </w:r>
    </w:p>
    <w:p w:rsidR="00815ABB" w:rsidRPr="00FE3B39" w:rsidRDefault="00815ABB" w:rsidP="00845557">
      <w:pPr>
        <w:tabs>
          <w:tab w:val="left" w:pos="2127"/>
          <w:tab w:val="left" w:pos="2268"/>
        </w:tabs>
        <w:spacing w:after="40"/>
        <w:rPr>
          <w:rFonts w:cs="Arial"/>
        </w:rPr>
      </w:pPr>
      <w:r w:rsidRPr="00992595">
        <w:rPr>
          <w:rFonts w:cs="Arial"/>
        </w:rPr>
        <w:t>DIGEPIH</w:t>
      </w:r>
      <w:r w:rsidRPr="00992595">
        <w:rPr>
          <w:rFonts w:cs="Arial"/>
        </w:rPr>
        <w:tab/>
        <w:t xml:space="preserve">IP Office of Honduras </w:t>
      </w:r>
    </w:p>
    <w:p w:rsidR="00815ABB" w:rsidRDefault="00815ABB" w:rsidP="00845557">
      <w:pPr>
        <w:tabs>
          <w:tab w:val="left" w:pos="2127"/>
        </w:tabs>
        <w:ind w:left="2126" w:hanging="2126"/>
        <w:rPr>
          <w:rFonts w:cs="Arial"/>
        </w:rPr>
      </w:pPr>
      <w:r>
        <w:rPr>
          <w:rFonts w:cs="Arial"/>
        </w:rPr>
        <w:t>DL</w:t>
      </w:r>
      <w:r>
        <w:rPr>
          <w:rFonts w:cs="Arial"/>
        </w:rPr>
        <w:tab/>
        <w:t xml:space="preserve">distance learning </w:t>
      </w:r>
    </w:p>
    <w:p w:rsidR="00815ABB" w:rsidRPr="00F10C59" w:rsidRDefault="00815ABB" w:rsidP="00860D6F">
      <w:pPr>
        <w:tabs>
          <w:tab w:val="left" w:pos="2127"/>
        </w:tabs>
        <w:spacing w:after="120"/>
        <w:ind w:left="2126" w:hanging="2126"/>
        <w:rPr>
          <w:rFonts w:cs="Arial"/>
        </w:rPr>
      </w:pPr>
    </w:p>
    <w:p w:rsidR="00815ABB" w:rsidRDefault="00815ABB" w:rsidP="00B11299">
      <w:pPr>
        <w:tabs>
          <w:tab w:val="left" w:pos="2127"/>
        </w:tabs>
        <w:spacing w:after="40"/>
        <w:ind w:left="2127" w:hanging="2127"/>
        <w:rPr>
          <w:rFonts w:cs="Arial"/>
          <w:b/>
          <w:bCs/>
        </w:rPr>
      </w:pPr>
      <w:r w:rsidRPr="002F7977">
        <w:rPr>
          <w:rFonts w:cs="Arial"/>
          <w:b/>
        </w:rPr>
        <w:t>E</w:t>
      </w:r>
      <w:r>
        <w:rPr>
          <w:rFonts w:cs="Arial"/>
        </w:rPr>
        <w:t>CLA</w:t>
      </w:r>
      <w:r>
        <w:rPr>
          <w:rFonts w:cs="Arial"/>
        </w:rPr>
        <w:tab/>
        <w:t>patent classification assigned by the European Patent office</w:t>
      </w:r>
    </w:p>
    <w:p w:rsidR="00F02072" w:rsidRDefault="00F02072" w:rsidP="00B11299">
      <w:pPr>
        <w:tabs>
          <w:tab w:val="left" w:pos="2127"/>
        </w:tabs>
        <w:spacing w:after="40"/>
        <w:ind w:left="2127" w:hanging="2127"/>
        <w:rPr>
          <w:szCs w:val="20"/>
        </w:rPr>
      </w:pPr>
      <w:r>
        <w:rPr>
          <w:szCs w:val="20"/>
        </w:rPr>
        <w:t>ECOSOC</w:t>
      </w:r>
      <w:r>
        <w:rPr>
          <w:szCs w:val="20"/>
        </w:rPr>
        <w:tab/>
      </w:r>
      <w:r w:rsidRPr="00B03ABB">
        <w:rPr>
          <w:szCs w:val="20"/>
        </w:rPr>
        <w:t xml:space="preserve">Economic and Social Council </w:t>
      </w:r>
    </w:p>
    <w:p w:rsidR="00815ABB" w:rsidRPr="00845557" w:rsidRDefault="00815ABB" w:rsidP="00B11299">
      <w:pPr>
        <w:tabs>
          <w:tab w:val="left" w:pos="2127"/>
        </w:tabs>
        <w:spacing w:after="40"/>
        <w:ind w:left="2127" w:hanging="2127"/>
        <w:rPr>
          <w:rFonts w:cs="Arial"/>
        </w:rPr>
      </w:pPr>
      <w:r w:rsidRPr="00845557">
        <w:rPr>
          <w:rFonts w:cs="Arial"/>
        </w:rPr>
        <w:t>EDMS</w:t>
      </w:r>
      <w:r w:rsidRPr="00845557">
        <w:rPr>
          <w:rFonts w:cs="Arial"/>
        </w:rPr>
        <w:tab/>
        <w:t>Electronic Document Management System</w:t>
      </w:r>
    </w:p>
    <w:p w:rsidR="00815ABB" w:rsidRPr="00D25DDB" w:rsidRDefault="00815ABB" w:rsidP="00B11299">
      <w:pPr>
        <w:tabs>
          <w:tab w:val="left" w:pos="2127"/>
        </w:tabs>
        <w:spacing w:after="40"/>
        <w:ind w:left="2127" w:hanging="2127"/>
        <w:rPr>
          <w:rFonts w:cs="Arial"/>
          <w:lang w:val="es-ES"/>
        </w:rPr>
      </w:pPr>
      <w:r w:rsidRPr="00D25DDB">
        <w:rPr>
          <w:rFonts w:cs="Arial"/>
          <w:lang w:val="es-ES"/>
        </w:rPr>
        <w:t>EGEDA</w:t>
      </w:r>
      <w:r w:rsidRPr="00D25DDB">
        <w:rPr>
          <w:rFonts w:cs="Arial"/>
          <w:lang w:val="es-ES"/>
        </w:rPr>
        <w:tab/>
      </w:r>
      <w:r w:rsidRPr="00D25DDB">
        <w:rPr>
          <w:rFonts w:cs="Arial"/>
          <w:i/>
          <w:iCs/>
          <w:lang w:val="es-ES"/>
        </w:rPr>
        <w:t>Entidad de Gestión de Derechos de los Productores Audiovisuales</w:t>
      </w:r>
    </w:p>
    <w:p w:rsidR="00815ABB" w:rsidRDefault="00815ABB" w:rsidP="00B11299">
      <w:pPr>
        <w:tabs>
          <w:tab w:val="left" w:pos="2127"/>
        </w:tabs>
        <w:spacing w:after="40"/>
        <w:ind w:left="2127" w:hanging="2127"/>
        <w:rPr>
          <w:rFonts w:cs="Arial"/>
        </w:rPr>
      </w:pPr>
      <w:r>
        <w:rPr>
          <w:rFonts w:cs="Arial"/>
        </w:rPr>
        <w:t>EPM</w:t>
      </w:r>
      <w:r>
        <w:rPr>
          <w:rFonts w:cs="Arial"/>
        </w:rPr>
        <w:tab/>
        <w:t>enterprise performance management</w:t>
      </w:r>
    </w:p>
    <w:p w:rsidR="00815ABB" w:rsidRPr="00F10C59" w:rsidRDefault="00815ABB" w:rsidP="00B11299">
      <w:pPr>
        <w:tabs>
          <w:tab w:val="left" w:pos="2127"/>
        </w:tabs>
        <w:spacing w:after="40"/>
        <w:ind w:left="2127" w:hanging="2127"/>
        <w:rPr>
          <w:rFonts w:cs="Arial"/>
        </w:rPr>
      </w:pPr>
      <w:r w:rsidRPr="00F10C59">
        <w:rPr>
          <w:rFonts w:cs="Arial"/>
        </w:rPr>
        <w:t>EPO</w:t>
      </w:r>
      <w:r w:rsidRPr="00F10C59">
        <w:rPr>
          <w:rFonts w:cs="Arial"/>
        </w:rPr>
        <w:tab/>
        <w:t>European Patent Office</w:t>
      </w:r>
    </w:p>
    <w:p w:rsidR="00815ABB" w:rsidRDefault="00815ABB" w:rsidP="00B11299">
      <w:pPr>
        <w:ind w:left="2127" w:hanging="2127"/>
        <w:rPr>
          <w:rFonts w:cs="Arial"/>
        </w:rPr>
      </w:pPr>
      <w:r>
        <w:rPr>
          <w:rFonts w:cs="Arial"/>
        </w:rPr>
        <w:t>ERM</w:t>
      </w:r>
      <w:r>
        <w:rPr>
          <w:rFonts w:cs="Arial"/>
        </w:rPr>
        <w:tab/>
        <w:t>enterprise risk management</w:t>
      </w:r>
    </w:p>
    <w:p w:rsidR="00815ABB" w:rsidRPr="00F10C59" w:rsidRDefault="00815ABB" w:rsidP="00B11299">
      <w:pPr>
        <w:ind w:left="2127" w:hanging="2127"/>
        <w:rPr>
          <w:rFonts w:cs="Arial"/>
        </w:rPr>
      </w:pPr>
      <w:r w:rsidRPr="00F10C59">
        <w:rPr>
          <w:rFonts w:cs="Arial"/>
        </w:rPr>
        <w:t>ERP</w:t>
      </w:r>
      <w:r w:rsidRPr="00F10C59">
        <w:rPr>
          <w:rFonts w:cs="Arial"/>
        </w:rPr>
        <w:tab/>
        <w:t>enterprise resource planning</w:t>
      </w:r>
    </w:p>
    <w:p w:rsidR="00815ABB" w:rsidRPr="00F10C59" w:rsidRDefault="00815ABB" w:rsidP="00B11299">
      <w:pPr>
        <w:tabs>
          <w:tab w:val="left" w:pos="2127"/>
        </w:tabs>
        <w:spacing w:after="40"/>
        <w:ind w:left="2127" w:right="-759" w:hanging="2127"/>
        <w:rPr>
          <w:rFonts w:cs="Arial"/>
        </w:rPr>
      </w:pPr>
      <w:r w:rsidRPr="00F10C59">
        <w:rPr>
          <w:rFonts w:cs="Arial"/>
        </w:rPr>
        <w:t>EU</w:t>
      </w:r>
      <w:r w:rsidRPr="00F10C59">
        <w:rPr>
          <w:rFonts w:cs="Arial"/>
        </w:rPr>
        <w:tab/>
        <w:t>European Union</w:t>
      </w:r>
    </w:p>
    <w:p w:rsidR="00815ABB" w:rsidRPr="00F10C59" w:rsidRDefault="00815ABB" w:rsidP="00860D6F">
      <w:pPr>
        <w:tabs>
          <w:tab w:val="left" w:pos="2127"/>
        </w:tabs>
        <w:spacing w:after="120"/>
        <w:ind w:left="2126" w:hanging="2126"/>
        <w:rPr>
          <w:rFonts w:cs="Arial"/>
        </w:rPr>
      </w:pPr>
    </w:p>
    <w:p w:rsidR="00815ABB" w:rsidRPr="00F10C59" w:rsidRDefault="00815ABB" w:rsidP="00B11299">
      <w:pPr>
        <w:tabs>
          <w:tab w:val="left" w:pos="2127"/>
        </w:tabs>
        <w:spacing w:after="40"/>
        <w:ind w:left="2127" w:right="-759" w:hanging="2127"/>
        <w:rPr>
          <w:rFonts w:cs="Arial"/>
        </w:rPr>
      </w:pPr>
      <w:r w:rsidRPr="00F10AB9">
        <w:rPr>
          <w:rFonts w:cs="Arial"/>
          <w:b/>
          <w:bCs/>
        </w:rPr>
        <w:t>F</w:t>
      </w:r>
      <w:r w:rsidRPr="00F10C59">
        <w:rPr>
          <w:rFonts w:cs="Arial"/>
        </w:rPr>
        <w:t>AO</w:t>
      </w:r>
      <w:r w:rsidRPr="00F10C59">
        <w:rPr>
          <w:rFonts w:cs="Arial"/>
        </w:rPr>
        <w:tab/>
        <w:t xml:space="preserve">Food and Agricultural Organization </w:t>
      </w:r>
    </w:p>
    <w:p w:rsidR="00815ABB" w:rsidRDefault="00815ABB" w:rsidP="00B11299">
      <w:pPr>
        <w:tabs>
          <w:tab w:val="left" w:pos="2127"/>
        </w:tabs>
        <w:spacing w:after="40"/>
        <w:ind w:left="2127" w:hanging="2127"/>
        <w:rPr>
          <w:rFonts w:cs="Arial"/>
        </w:rPr>
      </w:pPr>
      <w:r>
        <w:rPr>
          <w:rFonts w:cs="Arial"/>
        </w:rPr>
        <w:t>FI</w:t>
      </w:r>
      <w:r>
        <w:rPr>
          <w:rFonts w:cs="Arial"/>
        </w:rPr>
        <w:tab/>
        <w:t>patent classification assigned by the Japanese Patent office</w:t>
      </w:r>
    </w:p>
    <w:p w:rsidR="00815ABB" w:rsidRPr="00F10C59" w:rsidRDefault="00815ABB" w:rsidP="00B11299">
      <w:pPr>
        <w:tabs>
          <w:tab w:val="left" w:pos="2127"/>
        </w:tabs>
        <w:spacing w:after="40"/>
        <w:ind w:left="2127" w:hanging="2127"/>
        <w:rPr>
          <w:rFonts w:cs="Arial"/>
        </w:rPr>
      </w:pPr>
      <w:r w:rsidRPr="00F10C59">
        <w:rPr>
          <w:rFonts w:cs="Arial"/>
        </w:rPr>
        <w:t>FIT</w:t>
      </w:r>
      <w:r w:rsidRPr="00F10C59">
        <w:rPr>
          <w:rFonts w:cs="Arial"/>
        </w:rPr>
        <w:tab/>
        <w:t>Fund-in-Trust</w:t>
      </w:r>
    </w:p>
    <w:p w:rsidR="00815ABB" w:rsidRPr="002F7977" w:rsidRDefault="00815ABB" w:rsidP="00B11299">
      <w:pPr>
        <w:tabs>
          <w:tab w:val="left" w:pos="2127"/>
        </w:tabs>
        <w:spacing w:after="40"/>
        <w:ind w:left="2127" w:hanging="2127"/>
        <w:rPr>
          <w:rFonts w:cs="Arial"/>
          <w:bCs/>
        </w:rPr>
      </w:pPr>
      <w:r w:rsidRPr="002F7977">
        <w:rPr>
          <w:rFonts w:cs="Arial"/>
          <w:b/>
          <w:bCs/>
        </w:rPr>
        <w:lastRenderedPageBreak/>
        <w:t>G</w:t>
      </w:r>
      <w:r w:rsidRPr="002F7977">
        <w:rPr>
          <w:rFonts w:cs="Arial"/>
          <w:bCs/>
        </w:rPr>
        <w:t>CC</w:t>
      </w:r>
      <w:r>
        <w:rPr>
          <w:rFonts w:cs="Arial"/>
          <w:bCs/>
        </w:rPr>
        <w:tab/>
      </w:r>
      <w:r w:rsidRPr="0027745B">
        <w:rPr>
          <w:rFonts w:cs="Arial"/>
          <w:bCs/>
          <w:color w:val="000000"/>
          <w:lang w:val="en"/>
        </w:rPr>
        <w:t>Cooperation Council for the Arab States of the Gulf</w:t>
      </w:r>
    </w:p>
    <w:p w:rsidR="00815ABB" w:rsidRDefault="00815ABB" w:rsidP="00B11299">
      <w:pPr>
        <w:tabs>
          <w:tab w:val="left" w:pos="2127"/>
        </w:tabs>
        <w:spacing w:after="40"/>
        <w:ind w:left="2127" w:hanging="2127"/>
        <w:rPr>
          <w:rFonts w:cs="Arial"/>
          <w:bCs/>
        </w:rPr>
      </w:pPr>
      <w:r>
        <w:rPr>
          <w:rFonts w:cs="Arial"/>
          <w:bCs/>
        </w:rPr>
        <w:t>GDA</w:t>
      </w:r>
      <w:r>
        <w:rPr>
          <w:rFonts w:cs="Arial"/>
          <w:bCs/>
        </w:rPr>
        <w:tab/>
      </w:r>
      <w:r w:rsidRPr="00FF1219">
        <w:rPr>
          <w:rFonts w:cs="Arial"/>
          <w:lang w:val="en"/>
        </w:rPr>
        <w:t>software for collective management of copyright and neighboring rights</w:t>
      </w:r>
    </w:p>
    <w:p w:rsidR="00815ABB" w:rsidRPr="002F7977" w:rsidRDefault="00815ABB" w:rsidP="00B11299">
      <w:pPr>
        <w:tabs>
          <w:tab w:val="left" w:pos="2127"/>
        </w:tabs>
        <w:spacing w:after="40"/>
        <w:ind w:left="2127" w:hanging="2127"/>
        <w:rPr>
          <w:rFonts w:eastAsia="SimSun" w:cs="Arial"/>
          <w:bCs/>
          <w:color w:val="000000"/>
          <w:szCs w:val="20"/>
          <w:lang w:eastAsia="zh-CN"/>
        </w:rPr>
      </w:pPr>
      <w:r>
        <w:rPr>
          <w:rFonts w:cs="Arial"/>
          <w:bCs/>
        </w:rPr>
        <w:t>GEW</w:t>
      </w:r>
      <w:r>
        <w:rPr>
          <w:rFonts w:cs="Arial"/>
          <w:bCs/>
        </w:rPr>
        <w:tab/>
      </w:r>
      <w:r w:rsidRPr="002F7977">
        <w:rPr>
          <w:rFonts w:eastAsia="SimSun" w:cs="Arial"/>
          <w:bCs/>
          <w:color w:val="000000"/>
          <w:szCs w:val="20"/>
          <w:lang w:eastAsia="zh-CN"/>
        </w:rPr>
        <w:t xml:space="preserve">Global Entrepreneurship Week </w:t>
      </w:r>
    </w:p>
    <w:p w:rsidR="00815ABB" w:rsidRDefault="00815ABB" w:rsidP="00B11299">
      <w:pPr>
        <w:tabs>
          <w:tab w:val="left" w:pos="2127"/>
        </w:tabs>
        <w:spacing w:after="40"/>
        <w:ind w:left="2127" w:hanging="2127"/>
        <w:rPr>
          <w:rFonts w:cs="Arial"/>
          <w:bCs/>
        </w:rPr>
      </w:pPr>
      <w:r>
        <w:rPr>
          <w:rFonts w:cs="Arial"/>
          <w:bCs/>
        </w:rPr>
        <w:t>GII</w:t>
      </w:r>
      <w:r>
        <w:rPr>
          <w:rFonts w:cs="Arial"/>
          <w:bCs/>
        </w:rPr>
        <w:tab/>
        <w:t>Global Innovation Index</w:t>
      </w:r>
    </w:p>
    <w:p w:rsidR="00815ABB" w:rsidRDefault="00815ABB" w:rsidP="00B11299">
      <w:pPr>
        <w:tabs>
          <w:tab w:val="left" w:pos="2127"/>
        </w:tabs>
        <w:spacing w:after="40"/>
        <w:ind w:left="2127" w:hanging="2127"/>
        <w:rPr>
          <w:rFonts w:cs="Arial"/>
          <w:bCs/>
        </w:rPr>
      </w:pPr>
      <w:r>
        <w:rPr>
          <w:rFonts w:cs="Arial"/>
          <w:bCs/>
        </w:rPr>
        <w:t>GIs</w:t>
      </w:r>
      <w:r>
        <w:rPr>
          <w:rFonts w:cs="Arial"/>
          <w:bCs/>
        </w:rPr>
        <w:tab/>
        <w:t>geographical indications</w:t>
      </w:r>
    </w:p>
    <w:p w:rsidR="00815ABB" w:rsidRDefault="00815ABB" w:rsidP="00B11299">
      <w:pPr>
        <w:tabs>
          <w:tab w:val="left" w:pos="2127"/>
        </w:tabs>
        <w:spacing w:after="40"/>
        <w:ind w:left="2127" w:hanging="2127"/>
        <w:rPr>
          <w:rFonts w:cs="Arial"/>
          <w:b/>
          <w:bCs/>
        </w:rPr>
      </w:pPr>
      <w:r w:rsidRPr="002F7977">
        <w:rPr>
          <w:rFonts w:cs="Arial"/>
          <w:bCs/>
        </w:rPr>
        <w:t>G</w:t>
      </w:r>
      <w:r w:rsidRPr="002F7977">
        <w:rPr>
          <w:rFonts w:cs="Arial"/>
        </w:rPr>
        <w:t>NIPA</w:t>
      </w:r>
      <w:r w:rsidRPr="00C02386">
        <w:rPr>
          <w:rFonts w:cs="Arial"/>
        </w:rPr>
        <w:tab/>
        <w:t>Global Network of IP Academies</w:t>
      </w:r>
    </w:p>
    <w:p w:rsidR="00815ABB" w:rsidRDefault="00815ABB" w:rsidP="00B11299">
      <w:pPr>
        <w:tabs>
          <w:tab w:val="left" w:pos="2127"/>
        </w:tabs>
        <w:spacing w:after="40"/>
        <w:ind w:left="2127" w:hanging="2127"/>
        <w:rPr>
          <w:rFonts w:cs="Arial"/>
        </w:rPr>
      </w:pPr>
      <w:r>
        <w:rPr>
          <w:rFonts w:cs="Arial"/>
        </w:rPr>
        <w:t>GRs</w:t>
      </w:r>
      <w:r>
        <w:rPr>
          <w:rFonts w:cs="Arial"/>
        </w:rPr>
        <w:tab/>
        <w:t>genetic resources</w:t>
      </w:r>
    </w:p>
    <w:p w:rsidR="00815ABB" w:rsidRPr="00F10C59" w:rsidRDefault="00815ABB" w:rsidP="00B11299">
      <w:pPr>
        <w:tabs>
          <w:tab w:val="left" w:pos="2127"/>
        </w:tabs>
        <w:spacing w:after="40"/>
        <w:ind w:left="2127" w:hanging="2127"/>
        <w:rPr>
          <w:rFonts w:cs="Arial"/>
        </w:rPr>
      </w:pPr>
      <w:proofErr w:type="spellStart"/>
      <w:proofErr w:type="gramStart"/>
      <w:r w:rsidRPr="00F10C59">
        <w:rPr>
          <w:rFonts w:cs="Arial"/>
        </w:rPr>
        <w:t>gTLDs</w:t>
      </w:r>
      <w:proofErr w:type="spellEnd"/>
      <w:proofErr w:type="gramEnd"/>
      <w:r w:rsidRPr="00F10C59">
        <w:rPr>
          <w:rFonts w:cs="Arial"/>
        </w:rPr>
        <w:tab/>
        <w:t>generic Top-Level Domains</w:t>
      </w:r>
    </w:p>
    <w:p w:rsidR="00815ABB" w:rsidRPr="00860D6F" w:rsidRDefault="00815ABB" w:rsidP="00860D6F">
      <w:pPr>
        <w:tabs>
          <w:tab w:val="left" w:pos="2127"/>
        </w:tabs>
        <w:spacing w:after="120"/>
        <w:ind w:left="2126" w:hanging="2126"/>
        <w:rPr>
          <w:rFonts w:cs="Arial"/>
        </w:rPr>
      </w:pPr>
    </w:p>
    <w:p w:rsidR="00815ABB" w:rsidRDefault="00815ABB" w:rsidP="00B11299">
      <w:pPr>
        <w:tabs>
          <w:tab w:val="left" w:pos="2127"/>
        </w:tabs>
        <w:spacing w:after="40"/>
        <w:ind w:left="2127" w:hanging="2127"/>
        <w:rPr>
          <w:rFonts w:cs="Arial"/>
        </w:rPr>
      </w:pPr>
      <w:r w:rsidRPr="009D020E">
        <w:rPr>
          <w:rFonts w:cs="Arial"/>
          <w:b/>
        </w:rPr>
        <w:t>H</w:t>
      </w:r>
      <w:r>
        <w:rPr>
          <w:rFonts w:cs="Arial"/>
        </w:rPr>
        <w:t>LCM</w:t>
      </w:r>
      <w:r>
        <w:rPr>
          <w:rFonts w:cs="Arial"/>
        </w:rPr>
        <w:tab/>
        <w:t>High Level Committee on Management</w:t>
      </w:r>
    </w:p>
    <w:p w:rsidR="00815ABB" w:rsidRPr="00F10C59" w:rsidRDefault="00815ABB" w:rsidP="00B11299">
      <w:pPr>
        <w:tabs>
          <w:tab w:val="left" w:pos="2127"/>
        </w:tabs>
        <w:spacing w:after="40"/>
        <w:ind w:left="2127" w:hanging="2127"/>
        <w:rPr>
          <w:rFonts w:cs="Arial"/>
        </w:rPr>
      </w:pPr>
      <w:r w:rsidRPr="00F10C59">
        <w:rPr>
          <w:rFonts w:cs="Arial"/>
        </w:rPr>
        <w:t>HR</w:t>
      </w:r>
      <w:r w:rsidRPr="00F10C59">
        <w:rPr>
          <w:rFonts w:cs="Arial"/>
        </w:rPr>
        <w:tab/>
      </w:r>
      <w:r>
        <w:rPr>
          <w:rFonts w:cs="Arial"/>
        </w:rPr>
        <w:t>h</w:t>
      </w:r>
      <w:r w:rsidRPr="00F10C59">
        <w:rPr>
          <w:rFonts w:cs="Arial"/>
        </w:rPr>
        <w:t xml:space="preserve">uman </w:t>
      </w:r>
      <w:r>
        <w:rPr>
          <w:rFonts w:cs="Arial"/>
        </w:rPr>
        <w:t>r</w:t>
      </w:r>
      <w:r w:rsidRPr="00F10C59">
        <w:rPr>
          <w:rFonts w:cs="Arial"/>
        </w:rPr>
        <w:t>esources</w:t>
      </w:r>
    </w:p>
    <w:p w:rsidR="00815ABB" w:rsidRPr="00F10C59" w:rsidRDefault="00815ABB" w:rsidP="00B11299">
      <w:pPr>
        <w:tabs>
          <w:tab w:val="left" w:pos="2127"/>
        </w:tabs>
        <w:spacing w:after="40"/>
        <w:ind w:left="2127" w:hanging="2127"/>
        <w:rPr>
          <w:rFonts w:cs="Arial"/>
        </w:rPr>
      </w:pPr>
      <w:r w:rsidRPr="00F10C59">
        <w:rPr>
          <w:rFonts w:cs="Arial"/>
        </w:rPr>
        <w:t>HRMD</w:t>
      </w:r>
      <w:r w:rsidRPr="00F10C59">
        <w:rPr>
          <w:rFonts w:cs="Arial"/>
        </w:rPr>
        <w:tab/>
        <w:t>Human Resources Management Department</w:t>
      </w:r>
    </w:p>
    <w:p w:rsidR="00815ABB" w:rsidRDefault="00815ABB" w:rsidP="00860D6F">
      <w:pPr>
        <w:tabs>
          <w:tab w:val="left" w:pos="2127"/>
        </w:tabs>
        <w:spacing w:after="120"/>
        <w:ind w:left="2126" w:hanging="2126"/>
        <w:rPr>
          <w:rFonts w:cs="Arial"/>
          <w:b/>
          <w:bCs/>
        </w:rPr>
      </w:pPr>
    </w:p>
    <w:p w:rsidR="00815ABB" w:rsidRPr="00EF08FB" w:rsidRDefault="00815ABB" w:rsidP="00B11299">
      <w:pPr>
        <w:tabs>
          <w:tab w:val="left" w:pos="2127"/>
        </w:tabs>
        <w:spacing w:after="40"/>
        <w:ind w:left="2127" w:hanging="2127"/>
        <w:rPr>
          <w:rFonts w:cs="Arial"/>
          <w:bCs/>
        </w:rPr>
      </w:pPr>
      <w:r w:rsidRPr="00EF08FB">
        <w:rPr>
          <w:rFonts w:cs="Arial"/>
          <w:b/>
          <w:bCs/>
        </w:rPr>
        <w:t>I</w:t>
      </w:r>
      <w:r w:rsidRPr="00EF08FB">
        <w:rPr>
          <w:rFonts w:cs="Arial"/>
          <w:bCs/>
        </w:rPr>
        <w:t>B</w:t>
      </w:r>
      <w:r>
        <w:rPr>
          <w:rFonts w:cs="Arial"/>
          <w:bCs/>
        </w:rPr>
        <w:tab/>
        <w:t>International Bureau</w:t>
      </w:r>
    </w:p>
    <w:p w:rsidR="00815ABB" w:rsidRPr="00F10C59" w:rsidRDefault="00815ABB" w:rsidP="00B11299">
      <w:pPr>
        <w:tabs>
          <w:tab w:val="left" w:pos="2127"/>
        </w:tabs>
        <w:spacing w:after="40"/>
        <w:ind w:left="2127" w:hanging="2127"/>
        <w:rPr>
          <w:rFonts w:cs="Arial"/>
        </w:rPr>
      </w:pPr>
      <w:r w:rsidRPr="00EF08FB">
        <w:rPr>
          <w:rFonts w:cs="Arial"/>
          <w:bCs/>
        </w:rPr>
        <w:t>I</w:t>
      </w:r>
      <w:r w:rsidRPr="00EF08FB">
        <w:rPr>
          <w:rFonts w:cs="Arial"/>
        </w:rPr>
        <w:t>A</w:t>
      </w:r>
      <w:r w:rsidRPr="00F10C59">
        <w:rPr>
          <w:rFonts w:cs="Arial"/>
        </w:rPr>
        <w:t>OC</w:t>
      </w:r>
      <w:r w:rsidRPr="00F10C59">
        <w:rPr>
          <w:rFonts w:cs="Arial"/>
        </w:rPr>
        <w:tab/>
        <w:t>Independent Advisory and Oversight Committee</w:t>
      </w:r>
    </w:p>
    <w:p w:rsidR="00815ABB" w:rsidRDefault="00815ABB" w:rsidP="00B11299">
      <w:pPr>
        <w:tabs>
          <w:tab w:val="left" w:pos="2127"/>
        </w:tabs>
        <w:spacing w:after="40"/>
        <w:rPr>
          <w:rFonts w:cs="Arial"/>
        </w:rPr>
      </w:pPr>
      <w:r>
        <w:rPr>
          <w:rFonts w:cs="Arial"/>
        </w:rPr>
        <w:t>IOD</w:t>
      </w:r>
      <w:r>
        <w:rPr>
          <w:rFonts w:cs="Arial"/>
        </w:rPr>
        <w:tab/>
        <w:t>Internal Oversight Division</w:t>
      </w:r>
    </w:p>
    <w:p w:rsidR="00815ABB" w:rsidRPr="00F10C59" w:rsidRDefault="00815ABB" w:rsidP="00B11299">
      <w:pPr>
        <w:tabs>
          <w:tab w:val="left" w:pos="2127"/>
        </w:tabs>
        <w:spacing w:after="40"/>
        <w:rPr>
          <w:rFonts w:cs="Arial"/>
        </w:rPr>
      </w:pPr>
      <w:r w:rsidRPr="00F10C59">
        <w:rPr>
          <w:rFonts w:cs="Arial"/>
        </w:rPr>
        <w:t>ICANN</w:t>
      </w:r>
      <w:r w:rsidRPr="00F10C59">
        <w:rPr>
          <w:rFonts w:cs="Arial"/>
        </w:rPr>
        <w:tab/>
        <w:t xml:space="preserve">Internet Corporation for Assigned Names and Numbers </w:t>
      </w:r>
    </w:p>
    <w:p w:rsidR="00815ABB" w:rsidRPr="00F10C59" w:rsidRDefault="00815ABB" w:rsidP="00B11299">
      <w:pPr>
        <w:tabs>
          <w:tab w:val="left" w:pos="2127"/>
        </w:tabs>
        <w:spacing w:after="40"/>
        <w:rPr>
          <w:rFonts w:cs="Arial"/>
        </w:rPr>
      </w:pPr>
      <w:r w:rsidRPr="00F10C59">
        <w:rPr>
          <w:rFonts w:cs="Arial"/>
        </w:rPr>
        <w:t>ICE</w:t>
      </w:r>
      <w:r w:rsidRPr="00F10C59">
        <w:rPr>
          <w:rFonts w:cs="Arial"/>
        </w:rPr>
        <w:tab/>
        <w:t>International Cooperation on Examination</w:t>
      </w:r>
    </w:p>
    <w:p w:rsidR="00815ABB" w:rsidRDefault="00815ABB" w:rsidP="00B11299">
      <w:pPr>
        <w:tabs>
          <w:tab w:val="left" w:pos="2127"/>
        </w:tabs>
        <w:spacing w:after="40"/>
        <w:rPr>
          <w:rFonts w:cs="Arial"/>
        </w:rPr>
      </w:pPr>
      <w:r>
        <w:rPr>
          <w:rFonts w:cs="Arial"/>
        </w:rPr>
        <w:t>ICS</w:t>
      </w:r>
      <w:r>
        <w:rPr>
          <w:rFonts w:cs="Arial"/>
        </w:rPr>
        <w:tab/>
        <w:t xml:space="preserve">Individual Contractual </w:t>
      </w:r>
      <w:proofErr w:type="spellStart"/>
      <w:r>
        <w:rPr>
          <w:rFonts w:cs="Arial"/>
        </w:rPr>
        <w:t>Servies</w:t>
      </w:r>
      <w:proofErr w:type="spellEnd"/>
    </w:p>
    <w:p w:rsidR="00815ABB" w:rsidRPr="00F10C59" w:rsidRDefault="00815ABB" w:rsidP="00B11299">
      <w:pPr>
        <w:tabs>
          <w:tab w:val="left" w:pos="2127"/>
        </w:tabs>
        <w:spacing w:after="40"/>
        <w:rPr>
          <w:rFonts w:cs="Arial"/>
        </w:rPr>
      </w:pPr>
      <w:r w:rsidRPr="00F10C59">
        <w:rPr>
          <w:rFonts w:cs="Arial"/>
        </w:rPr>
        <w:t>ICSEI</w:t>
      </w:r>
      <w:r w:rsidRPr="00F10C59">
        <w:rPr>
          <w:rFonts w:cs="Arial"/>
        </w:rPr>
        <w:tab/>
        <w:t>International Cooperation for the Search and Examination of Inventions</w:t>
      </w:r>
    </w:p>
    <w:p w:rsidR="00815ABB" w:rsidRPr="00F10C59" w:rsidRDefault="00815ABB" w:rsidP="00B11299">
      <w:pPr>
        <w:tabs>
          <w:tab w:val="left" w:pos="2127"/>
        </w:tabs>
        <w:spacing w:after="40"/>
        <w:rPr>
          <w:rFonts w:cs="Arial"/>
        </w:rPr>
      </w:pPr>
      <w:r w:rsidRPr="00F10C59">
        <w:rPr>
          <w:rFonts w:cs="Arial"/>
        </w:rPr>
        <w:t>ICSC</w:t>
      </w:r>
      <w:r w:rsidRPr="00F10C59">
        <w:rPr>
          <w:rFonts w:cs="Arial"/>
        </w:rPr>
        <w:tab/>
        <w:t xml:space="preserve">International Civil Service Commission </w:t>
      </w:r>
    </w:p>
    <w:p w:rsidR="00815ABB" w:rsidRPr="00F10C59" w:rsidRDefault="00815ABB" w:rsidP="00B11299">
      <w:pPr>
        <w:tabs>
          <w:tab w:val="left" w:pos="2127"/>
        </w:tabs>
        <w:spacing w:after="40"/>
        <w:rPr>
          <w:rFonts w:cs="Arial"/>
        </w:rPr>
      </w:pPr>
      <w:r w:rsidRPr="00F10C59">
        <w:rPr>
          <w:rFonts w:cs="Arial"/>
        </w:rPr>
        <w:t>ICT</w:t>
      </w:r>
      <w:r w:rsidRPr="00F10C59">
        <w:rPr>
          <w:rFonts w:cs="Arial"/>
        </w:rPr>
        <w:tab/>
        <w:t xml:space="preserve">Information and Communication Technology </w:t>
      </w:r>
    </w:p>
    <w:p w:rsidR="00815ABB" w:rsidRDefault="00815ABB" w:rsidP="00B11299">
      <w:pPr>
        <w:tabs>
          <w:tab w:val="left" w:pos="2127"/>
        </w:tabs>
        <w:spacing w:after="40"/>
        <w:ind w:left="2127" w:hanging="2127"/>
        <w:rPr>
          <w:rFonts w:cs="Arial"/>
        </w:rPr>
      </w:pPr>
      <w:r w:rsidRPr="00F10C59">
        <w:rPr>
          <w:rFonts w:cs="Arial"/>
        </w:rPr>
        <w:t>IGC</w:t>
      </w:r>
      <w:r w:rsidRPr="00F10C59">
        <w:rPr>
          <w:rFonts w:cs="Arial"/>
        </w:rPr>
        <w:tab/>
        <w:t>Intergovernmental Committee on Intellectual Property and Genetic Resources, Traditional Knowledge and Folklore</w:t>
      </w:r>
    </w:p>
    <w:p w:rsidR="00815ABB" w:rsidRDefault="00815ABB" w:rsidP="00B11299">
      <w:pPr>
        <w:tabs>
          <w:tab w:val="left" w:pos="2127"/>
        </w:tabs>
        <w:spacing w:after="40"/>
        <w:ind w:left="2127" w:hanging="2127"/>
        <w:rPr>
          <w:rFonts w:cs="Arial"/>
        </w:rPr>
      </w:pPr>
      <w:r>
        <w:rPr>
          <w:rFonts w:cs="Arial"/>
        </w:rPr>
        <w:t>IGF</w:t>
      </w:r>
      <w:r>
        <w:rPr>
          <w:rFonts w:cs="Arial"/>
        </w:rPr>
        <w:tab/>
        <w:t>Internet Governance Forum</w:t>
      </w:r>
    </w:p>
    <w:p w:rsidR="00815ABB" w:rsidRPr="00F10C59" w:rsidRDefault="00815ABB" w:rsidP="00B11299">
      <w:pPr>
        <w:tabs>
          <w:tab w:val="left" w:pos="2127"/>
        </w:tabs>
        <w:spacing w:after="40"/>
        <w:ind w:left="2127" w:hanging="2127"/>
        <w:rPr>
          <w:rFonts w:cs="Arial"/>
        </w:rPr>
      </w:pPr>
      <w:r w:rsidRPr="00F10C59">
        <w:rPr>
          <w:rFonts w:cs="Arial"/>
        </w:rPr>
        <w:t>IGOs</w:t>
      </w:r>
      <w:r w:rsidRPr="00F10C59">
        <w:rPr>
          <w:rFonts w:cs="Arial"/>
        </w:rPr>
        <w:tab/>
        <w:t>inter-governmental organizations</w:t>
      </w:r>
    </w:p>
    <w:p w:rsidR="00815ABB" w:rsidRDefault="00815ABB" w:rsidP="00B11299">
      <w:pPr>
        <w:tabs>
          <w:tab w:val="left" w:pos="2127"/>
        </w:tabs>
        <w:spacing w:after="40"/>
        <w:ind w:left="2127" w:hanging="2127"/>
        <w:rPr>
          <w:rFonts w:cs="Arial"/>
        </w:rPr>
      </w:pPr>
      <w:r>
        <w:rPr>
          <w:rFonts w:cs="Arial"/>
        </w:rPr>
        <w:t>IIA</w:t>
      </w:r>
      <w:r>
        <w:rPr>
          <w:rFonts w:cs="Arial"/>
        </w:rPr>
        <w:tab/>
        <w:t>Institute of Internal Auditors</w:t>
      </w:r>
    </w:p>
    <w:p w:rsidR="00815ABB" w:rsidRDefault="00815ABB" w:rsidP="00B11299">
      <w:pPr>
        <w:tabs>
          <w:tab w:val="left" w:pos="2127"/>
        </w:tabs>
        <w:spacing w:after="40"/>
        <w:ind w:left="2127" w:hanging="2127"/>
        <w:rPr>
          <w:rFonts w:cs="Arial"/>
        </w:rPr>
      </w:pPr>
      <w:r>
        <w:rPr>
          <w:rFonts w:cs="Arial"/>
        </w:rPr>
        <w:t>ILO</w:t>
      </w:r>
      <w:r>
        <w:rPr>
          <w:rFonts w:cs="Arial"/>
        </w:rPr>
        <w:tab/>
        <w:t xml:space="preserve">International </w:t>
      </w:r>
      <w:proofErr w:type="spellStart"/>
      <w:r>
        <w:rPr>
          <w:rFonts w:cs="Arial"/>
        </w:rPr>
        <w:t>Labour</w:t>
      </w:r>
      <w:proofErr w:type="spellEnd"/>
      <w:r>
        <w:rPr>
          <w:rFonts w:cs="Arial"/>
        </w:rPr>
        <w:t xml:space="preserve"> </w:t>
      </w:r>
      <w:proofErr w:type="spellStart"/>
      <w:r>
        <w:rPr>
          <w:rFonts w:cs="Arial"/>
        </w:rPr>
        <w:t>Organisation</w:t>
      </w:r>
      <w:proofErr w:type="spellEnd"/>
    </w:p>
    <w:p w:rsidR="00815ABB" w:rsidRPr="00F10C59" w:rsidRDefault="00815ABB" w:rsidP="00B11299">
      <w:pPr>
        <w:tabs>
          <w:tab w:val="left" w:pos="2127"/>
        </w:tabs>
        <w:spacing w:after="40"/>
        <w:ind w:left="2127" w:hanging="2127"/>
        <w:rPr>
          <w:rFonts w:cs="Arial"/>
        </w:rPr>
      </w:pPr>
      <w:r w:rsidRPr="00F10C59">
        <w:rPr>
          <w:rFonts w:cs="Arial"/>
        </w:rPr>
        <w:t>IP</w:t>
      </w:r>
      <w:r w:rsidRPr="00F10C59">
        <w:rPr>
          <w:rFonts w:cs="Arial"/>
        </w:rPr>
        <w:tab/>
        <w:t>Intellectual Property</w:t>
      </w:r>
    </w:p>
    <w:p w:rsidR="00815ABB" w:rsidRPr="00C02386" w:rsidRDefault="00815ABB" w:rsidP="00B11299">
      <w:pPr>
        <w:tabs>
          <w:tab w:val="left" w:pos="2127"/>
        </w:tabs>
        <w:spacing w:after="40"/>
        <w:ind w:left="2126" w:hanging="2126"/>
        <w:rPr>
          <w:rFonts w:cs="Arial"/>
          <w:lang w:val="en"/>
        </w:rPr>
      </w:pPr>
      <w:r w:rsidRPr="00C02386">
        <w:rPr>
          <w:rFonts w:cs="Arial"/>
          <w:lang w:val="en"/>
        </w:rPr>
        <w:t>IPAS</w:t>
      </w:r>
      <w:r w:rsidRPr="00C02386">
        <w:rPr>
          <w:rFonts w:cs="Arial"/>
          <w:lang w:val="en"/>
        </w:rPr>
        <w:tab/>
        <w:t>IP Office Administration System</w:t>
      </w:r>
    </w:p>
    <w:p w:rsidR="00815ABB" w:rsidRPr="00C02386" w:rsidRDefault="00815ABB" w:rsidP="00B11299">
      <w:pPr>
        <w:tabs>
          <w:tab w:val="left" w:pos="2127"/>
        </w:tabs>
        <w:spacing w:after="40"/>
        <w:ind w:left="2127" w:hanging="2127"/>
        <w:rPr>
          <w:rFonts w:cs="Arial"/>
        </w:rPr>
      </w:pPr>
      <w:r w:rsidRPr="00C02386">
        <w:rPr>
          <w:rFonts w:cs="Arial"/>
        </w:rPr>
        <w:t>IPC</w:t>
      </w:r>
      <w:r w:rsidRPr="00C02386">
        <w:rPr>
          <w:rFonts w:cs="Arial"/>
        </w:rPr>
        <w:tab/>
        <w:t>International Patent Classification</w:t>
      </w:r>
    </w:p>
    <w:p w:rsidR="00815ABB" w:rsidRPr="00C02386" w:rsidRDefault="00815ABB" w:rsidP="00B11299">
      <w:pPr>
        <w:tabs>
          <w:tab w:val="left" w:pos="2127"/>
        </w:tabs>
        <w:spacing w:after="40"/>
        <w:ind w:left="2127" w:hanging="2127"/>
        <w:rPr>
          <w:rFonts w:cs="Arial"/>
        </w:rPr>
      </w:pPr>
      <w:r w:rsidRPr="00C02386">
        <w:rPr>
          <w:rFonts w:cs="Arial"/>
        </w:rPr>
        <w:t>IPO</w:t>
      </w:r>
      <w:r w:rsidRPr="00C02386">
        <w:rPr>
          <w:rFonts w:cs="Arial"/>
        </w:rPr>
        <w:tab/>
        <w:t>Intellectual Property Office</w:t>
      </w:r>
    </w:p>
    <w:p w:rsidR="00815ABB" w:rsidRPr="00F10C59" w:rsidRDefault="00815ABB" w:rsidP="00B11299">
      <w:pPr>
        <w:tabs>
          <w:tab w:val="left" w:pos="2127"/>
        </w:tabs>
        <w:spacing w:after="40"/>
        <w:ind w:left="2127" w:hanging="2127"/>
        <w:rPr>
          <w:rFonts w:cs="Arial"/>
        </w:rPr>
      </w:pPr>
      <w:r w:rsidRPr="00F10C59">
        <w:rPr>
          <w:rFonts w:cs="Arial"/>
        </w:rPr>
        <w:t>IPRs</w:t>
      </w:r>
      <w:r w:rsidRPr="00F10C59">
        <w:rPr>
          <w:rFonts w:cs="Arial"/>
        </w:rPr>
        <w:tab/>
        <w:t>Intellectual Property Rights</w:t>
      </w:r>
    </w:p>
    <w:p w:rsidR="00815ABB" w:rsidRPr="00F10C59" w:rsidRDefault="00815ABB" w:rsidP="00B11299">
      <w:pPr>
        <w:tabs>
          <w:tab w:val="left" w:pos="2127"/>
        </w:tabs>
        <w:spacing w:after="40"/>
        <w:ind w:left="2127" w:hanging="2127"/>
        <w:rPr>
          <w:rFonts w:cs="Arial"/>
        </w:rPr>
      </w:pPr>
      <w:r w:rsidRPr="00F10C59">
        <w:rPr>
          <w:rFonts w:cs="Arial"/>
        </w:rPr>
        <w:t>IPSAS</w:t>
      </w:r>
      <w:r w:rsidRPr="00F10C59">
        <w:rPr>
          <w:rFonts w:cs="Arial"/>
        </w:rPr>
        <w:tab/>
        <w:t>International Public Sector Accounting Standards</w:t>
      </w:r>
    </w:p>
    <w:p w:rsidR="00815ABB" w:rsidRPr="00F10C59" w:rsidRDefault="00815ABB" w:rsidP="00B11299">
      <w:pPr>
        <w:tabs>
          <w:tab w:val="left" w:pos="2127"/>
        </w:tabs>
        <w:spacing w:after="40"/>
        <w:ind w:left="2127" w:hanging="2127"/>
        <w:rPr>
          <w:rFonts w:cs="Arial"/>
        </w:rPr>
      </w:pPr>
      <w:proofErr w:type="gramStart"/>
      <w:r w:rsidRPr="00F10C59">
        <w:rPr>
          <w:rFonts w:cs="Arial"/>
        </w:rPr>
        <w:t>IT</w:t>
      </w:r>
      <w:proofErr w:type="gramEnd"/>
      <w:r w:rsidRPr="00F10C59">
        <w:rPr>
          <w:rFonts w:cs="Arial"/>
        </w:rPr>
        <w:tab/>
        <w:t>Information Technology</w:t>
      </w:r>
    </w:p>
    <w:p w:rsidR="00815ABB" w:rsidRPr="00F10C59" w:rsidRDefault="00815ABB" w:rsidP="00B11299">
      <w:pPr>
        <w:tabs>
          <w:tab w:val="left" w:pos="2127"/>
        </w:tabs>
        <w:spacing w:after="40"/>
        <w:ind w:left="2127" w:hanging="2127"/>
        <w:rPr>
          <w:rFonts w:cs="Arial"/>
        </w:rPr>
      </w:pPr>
      <w:r w:rsidRPr="00F10C59">
        <w:rPr>
          <w:rFonts w:cs="Arial"/>
        </w:rPr>
        <w:t>ITIL</w:t>
      </w:r>
      <w:r w:rsidRPr="00F10C59">
        <w:rPr>
          <w:rFonts w:cs="Arial"/>
        </w:rPr>
        <w:tab/>
        <w:t>Information Technology Infrastructure Library</w:t>
      </w:r>
    </w:p>
    <w:p w:rsidR="00815ABB" w:rsidRPr="00F10C59" w:rsidRDefault="00815ABB" w:rsidP="00B11299">
      <w:pPr>
        <w:tabs>
          <w:tab w:val="left" w:pos="2127"/>
        </w:tabs>
        <w:spacing w:after="40"/>
        <w:ind w:left="2127" w:hanging="2127"/>
        <w:rPr>
          <w:rFonts w:cs="Arial"/>
        </w:rPr>
      </w:pPr>
      <w:r w:rsidRPr="00F10C59">
        <w:rPr>
          <w:rFonts w:cs="Arial"/>
        </w:rPr>
        <w:t>ITU</w:t>
      </w:r>
      <w:r w:rsidRPr="00F10C59">
        <w:rPr>
          <w:rFonts w:cs="Arial"/>
        </w:rPr>
        <w:tab/>
      </w:r>
      <w:r w:rsidRPr="00F10C59">
        <w:rPr>
          <w:rFonts w:cs="Arial"/>
          <w:snapToGrid w:val="0"/>
        </w:rPr>
        <w:t>International Telecommunications Union</w:t>
      </w:r>
    </w:p>
    <w:p w:rsidR="00815ABB" w:rsidRPr="00F10C59" w:rsidRDefault="00815ABB" w:rsidP="00860D6F">
      <w:pPr>
        <w:tabs>
          <w:tab w:val="left" w:pos="2127"/>
        </w:tabs>
        <w:spacing w:after="120"/>
        <w:ind w:left="2126" w:hanging="2126"/>
        <w:rPr>
          <w:rFonts w:cs="Arial"/>
        </w:rPr>
      </w:pPr>
    </w:p>
    <w:p w:rsidR="00815ABB" w:rsidRDefault="00815ABB" w:rsidP="00845557">
      <w:pPr>
        <w:tabs>
          <w:tab w:val="left" w:pos="2127"/>
        </w:tabs>
        <w:spacing w:after="180"/>
        <w:ind w:left="2126" w:hanging="2126"/>
        <w:rPr>
          <w:rFonts w:cs="Arial"/>
        </w:rPr>
      </w:pPr>
      <w:r w:rsidRPr="00845557">
        <w:rPr>
          <w:rFonts w:cs="Arial"/>
          <w:b/>
        </w:rPr>
        <w:t>J</w:t>
      </w:r>
      <w:r w:rsidRPr="00992595">
        <w:rPr>
          <w:rFonts w:cs="Arial"/>
        </w:rPr>
        <w:t>AG</w:t>
      </w:r>
      <w:r w:rsidRPr="00992595">
        <w:rPr>
          <w:rFonts w:cs="Arial"/>
        </w:rPr>
        <w:tab/>
        <w:t xml:space="preserve">Joint Advisory Group </w:t>
      </w:r>
    </w:p>
    <w:p w:rsidR="00860D6F" w:rsidRPr="00845557" w:rsidRDefault="00860D6F" w:rsidP="00845557">
      <w:pPr>
        <w:tabs>
          <w:tab w:val="left" w:pos="2127"/>
        </w:tabs>
        <w:spacing w:after="180"/>
        <w:ind w:left="2126" w:hanging="2126"/>
        <w:rPr>
          <w:rFonts w:cs="Arial"/>
        </w:rPr>
      </w:pPr>
    </w:p>
    <w:p w:rsidR="00815ABB" w:rsidRPr="00F10C59" w:rsidRDefault="00815ABB" w:rsidP="00B11299">
      <w:pPr>
        <w:tabs>
          <w:tab w:val="left" w:pos="2127"/>
        </w:tabs>
        <w:spacing w:after="40"/>
        <w:ind w:left="2127" w:hanging="2127"/>
        <w:rPr>
          <w:rFonts w:cs="Arial"/>
        </w:rPr>
      </w:pPr>
      <w:r w:rsidRPr="00F10AB9">
        <w:rPr>
          <w:rFonts w:cs="Arial"/>
          <w:b/>
          <w:bCs/>
        </w:rPr>
        <w:t>L</w:t>
      </w:r>
      <w:r w:rsidRPr="00F10C59">
        <w:rPr>
          <w:rFonts w:cs="Arial"/>
        </w:rPr>
        <w:t>DCs</w:t>
      </w:r>
      <w:r w:rsidRPr="00F10C59">
        <w:rPr>
          <w:rFonts w:cs="Arial"/>
        </w:rPr>
        <w:tab/>
        <w:t>Least Developed Countries</w:t>
      </w:r>
    </w:p>
    <w:p w:rsidR="00815ABB" w:rsidRPr="00F10C59" w:rsidRDefault="00815ABB" w:rsidP="00B11299">
      <w:pPr>
        <w:tabs>
          <w:tab w:val="left" w:pos="2127"/>
        </w:tabs>
        <w:spacing w:after="180"/>
        <w:ind w:left="2126" w:hanging="2126"/>
        <w:rPr>
          <w:rFonts w:cs="Arial"/>
        </w:rPr>
      </w:pPr>
      <w:r>
        <w:rPr>
          <w:rFonts w:cs="Arial"/>
        </w:rPr>
        <w:t>LTSEs</w:t>
      </w:r>
      <w:r>
        <w:rPr>
          <w:rFonts w:cs="Arial"/>
        </w:rPr>
        <w:tab/>
        <w:t>long-serving temporary employees</w:t>
      </w:r>
    </w:p>
    <w:p w:rsidR="00815ABB" w:rsidRPr="00F10C59" w:rsidRDefault="00815ABB" w:rsidP="00B11299">
      <w:pPr>
        <w:tabs>
          <w:tab w:val="left" w:pos="2127"/>
        </w:tabs>
        <w:spacing w:after="40"/>
        <w:ind w:left="2127" w:hanging="2127"/>
        <w:rPr>
          <w:rFonts w:cs="Arial"/>
        </w:rPr>
      </w:pPr>
      <w:r w:rsidRPr="00FF1219">
        <w:rPr>
          <w:rFonts w:cs="Arial"/>
          <w:b/>
          <w:bCs/>
        </w:rPr>
        <w:t>M</w:t>
      </w:r>
      <w:r w:rsidRPr="00F10C59">
        <w:rPr>
          <w:rFonts w:cs="Arial"/>
        </w:rPr>
        <w:t>DGs</w:t>
      </w:r>
      <w:r w:rsidRPr="00F10C59">
        <w:rPr>
          <w:rFonts w:cs="Arial"/>
        </w:rPr>
        <w:tab/>
      </w:r>
      <w:proofErr w:type="spellStart"/>
      <w:r w:rsidRPr="00F10C59">
        <w:rPr>
          <w:rFonts w:cs="Arial"/>
        </w:rPr>
        <w:t>Millenium</w:t>
      </w:r>
      <w:proofErr w:type="spellEnd"/>
      <w:r w:rsidRPr="00F10C59">
        <w:rPr>
          <w:rFonts w:cs="Arial"/>
        </w:rPr>
        <w:t xml:space="preserve"> Development Goals</w:t>
      </w:r>
    </w:p>
    <w:p w:rsidR="00815ABB" w:rsidRDefault="00815ABB" w:rsidP="00B11299">
      <w:pPr>
        <w:tabs>
          <w:tab w:val="left" w:pos="2127"/>
        </w:tabs>
        <w:spacing w:after="40"/>
        <w:ind w:left="2127" w:hanging="2127"/>
        <w:rPr>
          <w:rFonts w:cs="Arial"/>
        </w:rPr>
      </w:pPr>
      <w:r>
        <w:rPr>
          <w:rFonts w:cs="Arial"/>
        </w:rPr>
        <w:t>MGS</w:t>
      </w:r>
      <w:r>
        <w:rPr>
          <w:rFonts w:cs="Arial"/>
        </w:rPr>
        <w:tab/>
      </w:r>
      <w:r w:rsidRPr="00AC0AF8">
        <w:rPr>
          <w:rFonts w:cs="Arial"/>
        </w:rPr>
        <w:t>Madrid Goods and Services Manager</w:t>
      </w:r>
    </w:p>
    <w:p w:rsidR="00815ABB" w:rsidRDefault="00815ABB" w:rsidP="00B11299">
      <w:pPr>
        <w:tabs>
          <w:tab w:val="left" w:pos="2127"/>
        </w:tabs>
        <w:spacing w:after="40"/>
        <w:ind w:left="2127" w:hanging="2127"/>
        <w:rPr>
          <w:rFonts w:cs="Arial"/>
        </w:rPr>
      </w:pPr>
      <w:proofErr w:type="spellStart"/>
      <w:r>
        <w:rPr>
          <w:rFonts w:cs="Arial"/>
        </w:rPr>
        <w:t>MoU</w:t>
      </w:r>
      <w:proofErr w:type="spellEnd"/>
      <w:r>
        <w:rPr>
          <w:rFonts w:cs="Arial"/>
        </w:rPr>
        <w:tab/>
        <w:t>Memorandum of Understanding</w:t>
      </w:r>
    </w:p>
    <w:p w:rsidR="00815ABB" w:rsidRPr="00F10C59" w:rsidRDefault="00815ABB" w:rsidP="00B11299">
      <w:pPr>
        <w:tabs>
          <w:tab w:val="left" w:pos="2127"/>
        </w:tabs>
        <w:spacing w:after="40"/>
        <w:ind w:left="2127" w:hanging="2127"/>
        <w:rPr>
          <w:rFonts w:cs="Arial"/>
        </w:rPr>
      </w:pPr>
      <w:r w:rsidRPr="00F10C59">
        <w:rPr>
          <w:rFonts w:cs="Arial"/>
        </w:rPr>
        <w:t>MTSP</w:t>
      </w:r>
      <w:r w:rsidRPr="00F10C59">
        <w:rPr>
          <w:rFonts w:cs="Arial"/>
        </w:rPr>
        <w:tab/>
        <w:t>Medium Term Strategic Plan</w:t>
      </w:r>
    </w:p>
    <w:p w:rsidR="00815ABB" w:rsidRPr="00F10C59" w:rsidRDefault="00815ABB" w:rsidP="00860D6F">
      <w:pPr>
        <w:tabs>
          <w:tab w:val="left" w:pos="2127"/>
        </w:tabs>
        <w:spacing w:after="120"/>
        <w:ind w:left="2126" w:hanging="2126"/>
        <w:rPr>
          <w:rFonts w:cs="Arial"/>
        </w:rPr>
      </w:pPr>
    </w:p>
    <w:p w:rsidR="00815ABB" w:rsidRPr="00845557" w:rsidRDefault="00815ABB" w:rsidP="00B11299">
      <w:pPr>
        <w:tabs>
          <w:tab w:val="left" w:pos="2127"/>
        </w:tabs>
        <w:spacing w:after="40"/>
        <w:ind w:left="2127" w:hanging="2127"/>
        <w:rPr>
          <w:rFonts w:cs="Arial"/>
        </w:rPr>
      </w:pPr>
      <w:r w:rsidRPr="00845557">
        <w:rPr>
          <w:rFonts w:cs="Arial"/>
          <w:b/>
          <w:bCs/>
        </w:rPr>
        <w:t>N</w:t>
      </w:r>
      <w:r w:rsidRPr="00845557">
        <w:rPr>
          <w:rFonts w:cs="Arial"/>
        </w:rPr>
        <w:t>GOs</w:t>
      </w:r>
      <w:r w:rsidRPr="00845557">
        <w:rPr>
          <w:rFonts w:cs="Arial"/>
        </w:rPr>
        <w:tab/>
        <w:t>non-governmental organizations</w:t>
      </w:r>
    </w:p>
    <w:p w:rsidR="00815ABB" w:rsidRPr="00845557" w:rsidRDefault="00815ABB" w:rsidP="00B11299">
      <w:pPr>
        <w:tabs>
          <w:tab w:val="left" w:pos="2127"/>
        </w:tabs>
        <w:spacing w:after="40"/>
        <w:ind w:left="2127" w:hanging="2127"/>
        <w:rPr>
          <w:rFonts w:cs="Arial"/>
        </w:rPr>
      </w:pPr>
      <w:r w:rsidRPr="0010747F">
        <w:rPr>
          <w:rFonts w:cs="Arial"/>
          <w:szCs w:val="20"/>
        </w:rPr>
        <w:t>NPO</w:t>
      </w:r>
      <w:r w:rsidRPr="0010747F">
        <w:rPr>
          <w:rFonts w:cs="Arial"/>
          <w:szCs w:val="20"/>
        </w:rPr>
        <w:tab/>
        <w:t xml:space="preserve">National Professional Officer </w:t>
      </w:r>
    </w:p>
    <w:p w:rsidR="00815ABB" w:rsidRPr="00F10C59" w:rsidRDefault="00815ABB" w:rsidP="00B11299">
      <w:pPr>
        <w:tabs>
          <w:tab w:val="left" w:pos="2127"/>
        </w:tabs>
        <w:spacing w:after="40"/>
        <w:ind w:left="2127" w:hanging="2127"/>
        <w:rPr>
          <w:rFonts w:cs="Arial"/>
          <w:lang w:val="fr-FR"/>
        </w:rPr>
      </w:pPr>
      <w:r w:rsidRPr="00F10AB9">
        <w:rPr>
          <w:rFonts w:cs="Arial"/>
          <w:b/>
          <w:bCs/>
          <w:lang w:val="fr-FR"/>
        </w:rPr>
        <w:lastRenderedPageBreak/>
        <w:t>O</w:t>
      </w:r>
      <w:r w:rsidRPr="00F10C59">
        <w:rPr>
          <w:rFonts w:cs="Arial"/>
          <w:lang w:val="fr-FR"/>
        </w:rPr>
        <w:t>API</w:t>
      </w:r>
      <w:r w:rsidRPr="00F10C59">
        <w:rPr>
          <w:rFonts w:cs="Arial"/>
          <w:lang w:val="fr-FR"/>
        </w:rPr>
        <w:tab/>
      </w:r>
      <w:r w:rsidRPr="00F10C59">
        <w:rPr>
          <w:rFonts w:cs="Arial"/>
          <w:i/>
          <w:lang w:val="fr-FR"/>
        </w:rPr>
        <w:t>l’Organisation Africaine de la Propriété Intellectuelle</w:t>
      </w:r>
      <w:r w:rsidRPr="00F10C59">
        <w:rPr>
          <w:rFonts w:cs="Arial"/>
          <w:lang w:val="fr-FR"/>
        </w:rPr>
        <w:t xml:space="preserve"> (</w:t>
      </w:r>
      <w:proofErr w:type="spellStart"/>
      <w:r w:rsidRPr="00F10C59">
        <w:rPr>
          <w:rFonts w:cs="Arial"/>
          <w:lang w:val="fr-FR"/>
        </w:rPr>
        <w:t>African</w:t>
      </w:r>
      <w:proofErr w:type="spellEnd"/>
      <w:r w:rsidRPr="00F10C59">
        <w:rPr>
          <w:rFonts w:cs="Arial"/>
          <w:lang w:val="fr-FR"/>
        </w:rPr>
        <w:t xml:space="preserve"> </w:t>
      </w:r>
      <w:proofErr w:type="spellStart"/>
      <w:r w:rsidRPr="00F10C59">
        <w:rPr>
          <w:rFonts w:cs="Arial"/>
          <w:lang w:val="fr-FR"/>
        </w:rPr>
        <w:t>Intellectual</w:t>
      </w:r>
      <w:proofErr w:type="spellEnd"/>
      <w:r w:rsidRPr="00F10C59">
        <w:rPr>
          <w:rFonts w:cs="Arial"/>
          <w:lang w:val="fr-FR"/>
        </w:rPr>
        <w:t xml:space="preserve"> </w:t>
      </w:r>
      <w:proofErr w:type="spellStart"/>
      <w:r w:rsidRPr="00F10C59">
        <w:rPr>
          <w:rFonts w:cs="Arial"/>
          <w:lang w:val="fr-FR"/>
        </w:rPr>
        <w:t>Property</w:t>
      </w:r>
      <w:proofErr w:type="spellEnd"/>
      <w:r w:rsidRPr="00F10C59">
        <w:rPr>
          <w:rFonts w:cs="Arial"/>
          <w:lang w:val="fr-FR"/>
        </w:rPr>
        <w:t xml:space="preserve"> </w:t>
      </w:r>
      <w:proofErr w:type="spellStart"/>
      <w:r w:rsidRPr="00F10C59">
        <w:rPr>
          <w:rFonts w:cs="Arial"/>
          <w:lang w:val="fr-FR"/>
        </w:rPr>
        <w:t>Organization</w:t>
      </w:r>
      <w:proofErr w:type="spellEnd"/>
      <w:r w:rsidRPr="00F10C59">
        <w:rPr>
          <w:rFonts w:cs="Arial"/>
          <w:lang w:val="fr-FR"/>
        </w:rPr>
        <w:t>)</w:t>
      </w:r>
    </w:p>
    <w:p w:rsidR="00815ABB" w:rsidRDefault="00815ABB" w:rsidP="00B11299">
      <w:pPr>
        <w:tabs>
          <w:tab w:val="left" w:pos="2127"/>
        </w:tabs>
        <w:spacing w:after="40"/>
        <w:ind w:left="2127" w:hanging="2127"/>
        <w:rPr>
          <w:rFonts w:cs="Arial"/>
        </w:rPr>
      </w:pPr>
      <w:r w:rsidRPr="0010747F">
        <w:rPr>
          <w:rFonts w:cs="Arial"/>
        </w:rPr>
        <w:t>OECD</w:t>
      </w:r>
      <w:r w:rsidRPr="0010747F">
        <w:rPr>
          <w:rFonts w:cs="Arial"/>
        </w:rPr>
        <w:tab/>
      </w:r>
      <w:r w:rsidRPr="0010747F">
        <w:rPr>
          <w:rFonts w:eastAsia="SimSun" w:cs="Arial"/>
          <w:color w:val="000000"/>
          <w:szCs w:val="20"/>
          <w:shd w:val="clear" w:color="auto" w:fill="FFFFFF"/>
          <w:lang w:eastAsia="zh-CN"/>
        </w:rPr>
        <w:t xml:space="preserve">Organization </w:t>
      </w:r>
      <w:r w:rsidRPr="00EF08FB">
        <w:rPr>
          <w:rFonts w:eastAsia="SimSun" w:cs="Arial"/>
          <w:color w:val="000000"/>
          <w:szCs w:val="20"/>
          <w:shd w:val="clear" w:color="auto" w:fill="FFFFFF"/>
          <w:lang w:eastAsia="zh-CN"/>
        </w:rPr>
        <w:t>for Economic Cooperation and Development</w:t>
      </w:r>
    </w:p>
    <w:p w:rsidR="00815ABB" w:rsidRPr="00F10C59" w:rsidRDefault="00815ABB" w:rsidP="00B11299">
      <w:pPr>
        <w:tabs>
          <w:tab w:val="left" w:pos="2127"/>
        </w:tabs>
        <w:spacing w:after="40"/>
        <w:ind w:left="2127" w:hanging="2127"/>
        <w:rPr>
          <w:rFonts w:cs="Arial"/>
        </w:rPr>
      </w:pPr>
      <w:r w:rsidRPr="00F10C59">
        <w:rPr>
          <w:rFonts w:cs="Arial"/>
        </w:rPr>
        <w:t>OHIM</w:t>
      </w:r>
      <w:r w:rsidRPr="00F10C59">
        <w:rPr>
          <w:rFonts w:cs="Arial"/>
        </w:rPr>
        <w:tab/>
        <w:t>Office for Harmonization in the Internal Market (Community Trademarks)</w:t>
      </w:r>
    </w:p>
    <w:p w:rsidR="00815ABB" w:rsidRPr="00815ABB" w:rsidRDefault="00815ABB" w:rsidP="00B11299">
      <w:pPr>
        <w:tabs>
          <w:tab w:val="left" w:pos="2127"/>
        </w:tabs>
        <w:spacing w:after="40"/>
        <w:ind w:left="2127" w:hanging="2127"/>
        <w:rPr>
          <w:rFonts w:cs="Arial"/>
          <w:lang w:val="fr-FR"/>
        </w:rPr>
      </w:pPr>
      <w:r w:rsidRPr="00815ABB">
        <w:rPr>
          <w:rFonts w:cs="Arial"/>
          <w:lang w:val="fr-FR"/>
        </w:rPr>
        <w:t>OIC</w:t>
      </w:r>
      <w:r w:rsidRPr="00815ABB">
        <w:rPr>
          <w:rFonts w:cs="Arial"/>
          <w:lang w:val="fr-FR"/>
        </w:rPr>
        <w:tab/>
      </w:r>
      <w:r w:rsidRPr="00815ABB">
        <w:rPr>
          <w:rFonts w:cs="Arial"/>
          <w:szCs w:val="20"/>
          <w:lang w:val="fr-FR"/>
        </w:rPr>
        <w:t xml:space="preserve">Organisation of </w:t>
      </w:r>
      <w:proofErr w:type="spellStart"/>
      <w:r w:rsidRPr="00815ABB">
        <w:rPr>
          <w:rFonts w:cs="Arial"/>
          <w:szCs w:val="20"/>
          <w:lang w:val="fr-FR"/>
        </w:rPr>
        <w:t>Islamic</w:t>
      </w:r>
      <w:proofErr w:type="spellEnd"/>
      <w:r w:rsidRPr="00815ABB">
        <w:rPr>
          <w:rFonts w:cs="Arial"/>
          <w:szCs w:val="20"/>
          <w:lang w:val="fr-FR"/>
        </w:rPr>
        <w:t xml:space="preserve"> </w:t>
      </w:r>
      <w:proofErr w:type="spellStart"/>
      <w:r w:rsidRPr="00815ABB">
        <w:rPr>
          <w:rFonts w:cs="Arial"/>
          <w:szCs w:val="20"/>
          <w:lang w:val="fr-FR"/>
        </w:rPr>
        <w:t>Cooperation</w:t>
      </w:r>
      <w:proofErr w:type="spellEnd"/>
    </w:p>
    <w:p w:rsidR="00815ABB" w:rsidRPr="00845557" w:rsidRDefault="00815ABB" w:rsidP="00B11299">
      <w:pPr>
        <w:tabs>
          <w:tab w:val="left" w:pos="2127"/>
        </w:tabs>
        <w:spacing w:after="40"/>
        <w:ind w:left="2127" w:hanging="2127"/>
        <w:rPr>
          <w:rFonts w:cs="Arial"/>
          <w:lang w:val="fr-FR"/>
        </w:rPr>
      </w:pPr>
      <w:r w:rsidRPr="00845557">
        <w:rPr>
          <w:rFonts w:cs="Arial"/>
          <w:lang w:val="fr-FR"/>
        </w:rPr>
        <w:t>OIF</w:t>
      </w:r>
      <w:r w:rsidRPr="00845557">
        <w:rPr>
          <w:rFonts w:cs="Arial"/>
          <w:lang w:val="fr-FR"/>
        </w:rPr>
        <w:tab/>
      </w:r>
      <w:r w:rsidRPr="00845557">
        <w:rPr>
          <w:rFonts w:eastAsia="SimSun"/>
          <w:bCs/>
          <w:lang w:val="fr-FR" w:eastAsia="zh-CN"/>
        </w:rPr>
        <w:t>Organisation Internationale de la Francophonie</w:t>
      </w:r>
    </w:p>
    <w:p w:rsidR="00815ABB" w:rsidRPr="00033D90" w:rsidRDefault="00815ABB" w:rsidP="00B11299">
      <w:pPr>
        <w:tabs>
          <w:tab w:val="left" w:pos="2127"/>
        </w:tabs>
        <w:spacing w:after="40"/>
        <w:ind w:left="2127" w:hanging="2127"/>
        <w:rPr>
          <w:rFonts w:cs="Arial"/>
        </w:rPr>
      </w:pPr>
      <w:r w:rsidRPr="00033D90">
        <w:rPr>
          <w:rFonts w:cs="Arial"/>
        </w:rPr>
        <w:t>OPD</w:t>
      </w:r>
      <w:r w:rsidRPr="00033D90">
        <w:rPr>
          <w:rFonts w:cs="Arial"/>
        </w:rPr>
        <w:tab/>
        <w:t>One Portal Dossier system</w:t>
      </w:r>
    </w:p>
    <w:p w:rsidR="00815ABB" w:rsidRPr="00860D6F" w:rsidRDefault="00815ABB" w:rsidP="00860D6F">
      <w:pPr>
        <w:tabs>
          <w:tab w:val="left" w:pos="2127"/>
        </w:tabs>
        <w:spacing w:after="120"/>
        <w:ind w:left="2126" w:hanging="2126"/>
        <w:rPr>
          <w:rFonts w:cs="Arial"/>
        </w:rPr>
      </w:pPr>
    </w:p>
    <w:p w:rsidR="00815ABB" w:rsidRPr="00F10C59" w:rsidRDefault="00815ABB" w:rsidP="00B11299">
      <w:pPr>
        <w:tabs>
          <w:tab w:val="left" w:pos="2127"/>
        </w:tabs>
        <w:spacing w:after="40"/>
        <w:ind w:left="2127" w:hanging="2127"/>
        <w:rPr>
          <w:rFonts w:cs="Arial"/>
        </w:rPr>
      </w:pPr>
      <w:r w:rsidRPr="009D020E">
        <w:rPr>
          <w:rFonts w:cs="Arial"/>
          <w:b/>
        </w:rPr>
        <w:t>P</w:t>
      </w:r>
      <w:r w:rsidRPr="00F10C59">
        <w:rPr>
          <w:rFonts w:cs="Arial"/>
        </w:rPr>
        <w:t>CT</w:t>
      </w:r>
      <w:r w:rsidRPr="00F10C59">
        <w:rPr>
          <w:rFonts w:cs="Arial"/>
        </w:rPr>
        <w:tab/>
        <w:t>Patent Cooperation Treaty</w:t>
      </w:r>
    </w:p>
    <w:p w:rsidR="00815ABB" w:rsidRDefault="00815ABB" w:rsidP="00B11299">
      <w:pPr>
        <w:tabs>
          <w:tab w:val="left" w:pos="2127"/>
        </w:tabs>
        <w:spacing w:after="40"/>
        <w:ind w:left="2127" w:hanging="2127"/>
        <w:rPr>
          <w:rFonts w:cs="Arial"/>
        </w:rPr>
      </w:pPr>
      <w:r>
        <w:rPr>
          <w:rFonts w:cs="Arial"/>
        </w:rPr>
        <w:t>PLR</w:t>
      </w:r>
      <w:r>
        <w:rPr>
          <w:rFonts w:cs="Arial"/>
        </w:rPr>
        <w:tab/>
        <w:t>Patent Landscape Reports</w:t>
      </w:r>
    </w:p>
    <w:p w:rsidR="00815ABB" w:rsidRPr="00F10C59" w:rsidRDefault="00815ABB" w:rsidP="00B11299">
      <w:pPr>
        <w:tabs>
          <w:tab w:val="left" w:pos="2127"/>
        </w:tabs>
        <w:spacing w:after="40"/>
        <w:ind w:left="2127" w:hanging="2127"/>
        <w:rPr>
          <w:rFonts w:cs="Arial"/>
        </w:rPr>
      </w:pPr>
      <w:r w:rsidRPr="00F10C59">
        <w:rPr>
          <w:rFonts w:cs="Arial"/>
        </w:rPr>
        <w:t>PLT</w:t>
      </w:r>
      <w:r w:rsidRPr="00F10C59">
        <w:rPr>
          <w:rFonts w:cs="Arial"/>
        </w:rPr>
        <w:tab/>
        <w:t>Patent Law Treaty</w:t>
      </w:r>
    </w:p>
    <w:p w:rsidR="00815ABB" w:rsidRPr="00F10C59" w:rsidRDefault="00815ABB" w:rsidP="00B11299">
      <w:pPr>
        <w:tabs>
          <w:tab w:val="left" w:pos="2127"/>
        </w:tabs>
        <w:spacing w:after="40"/>
        <w:ind w:left="2127" w:hanging="2127"/>
        <w:rPr>
          <w:rFonts w:cs="Arial"/>
        </w:rPr>
      </w:pPr>
      <w:r w:rsidRPr="00F10C59">
        <w:rPr>
          <w:rFonts w:cs="Arial"/>
        </w:rPr>
        <w:t>PMSDS</w:t>
      </w:r>
      <w:r w:rsidRPr="00F10C59">
        <w:rPr>
          <w:rFonts w:cs="Arial"/>
        </w:rPr>
        <w:tab/>
      </w:r>
      <w:r w:rsidRPr="00F10C59">
        <w:rPr>
          <w:rFonts w:cs="Arial"/>
          <w:snapToGrid w:val="0"/>
        </w:rPr>
        <w:t>Performance Management and Staff Development System</w:t>
      </w:r>
    </w:p>
    <w:p w:rsidR="00815ABB" w:rsidRPr="00F10C59" w:rsidRDefault="00815ABB" w:rsidP="00B11299">
      <w:pPr>
        <w:tabs>
          <w:tab w:val="left" w:pos="2127"/>
        </w:tabs>
        <w:spacing w:after="180"/>
        <w:ind w:left="2126" w:hanging="2126"/>
        <w:rPr>
          <w:rFonts w:cs="Arial"/>
        </w:rPr>
      </w:pPr>
      <w:r>
        <w:rPr>
          <w:rFonts w:cs="Arial"/>
        </w:rPr>
        <w:t>PPR</w:t>
      </w:r>
      <w:r>
        <w:rPr>
          <w:rFonts w:cs="Arial"/>
        </w:rPr>
        <w:tab/>
        <w:t>Program Performance Report</w:t>
      </w:r>
    </w:p>
    <w:p w:rsidR="00860D6F" w:rsidRDefault="00860D6F" w:rsidP="00B11299">
      <w:pPr>
        <w:tabs>
          <w:tab w:val="left" w:pos="2127"/>
        </w:tabs>
        <w:spacing w:after="40"/>
        <w:ind w:left="2127" w:hanging="2127"/>
        <w:rPr>
          <w:rFonts w:cs="Arial"/>
          <w:b/>
          <w:bCs/>
        </w:rPr>
      </w:pPr>
    </w:p>
    <w:p w:rsidR="00815ABB" w:rsidRPr="00F10C59" w:rsidRDefault="00815ABB" w:rsidP="00B11299">
      <w:pPr>
        <w:tabs>
          <w:tab w:val="left" w:pos="2127"/>
        </w:tabs>
        <w:spacing w:after="40"/>
        <w:ind w:left="2127" w:hanging="2127"/>
        <w:rPr>
          <w:rFonts w:cs="Arial"/>
        </w:rPr>
      </w:pPr>
      <w:r w:rsidRPr="00F10AB9">
        <w:rPr>
          <w:rFonts w:cs="Arial"/>
          <w:b/>
          <w:bCs/>
        </w:rPr>
        <w:t>R</w:t>
      </w:r>
      <w:r w:rsidRPr="00F10C59">
        <w:rPr>
          <w:rFonts w:cs="Arial"/>
        </w:rPr>
        <w:t>BM</w:t>
      </w:r>
      <w:r w:rsidRPr="00F10C59">
        <w:rPr>
          <w:rFonts w:cs="Arial"/>
        </w:rPr>
        <w:tab/>
        <w:t>Results-based Management</w:t>
      </w:r>
    </w:p>
    <w:p w:rsidR="00815ABB" w:rsidRPr="00F10C59" w:rsidRDefault="00815ABB" w:rsidP="00B11299">
      <w:pPr>
        <w:tabs>
          <w:tab w:val="left" w:pos="2127"/>
        </w:tabs>
        <w:spacing w:after="40"/>
        <w:ind w:left="2127" w:hanging="2127"/>
        <w:rPr>
          <w:rFonts w:cs="Arial"/>
        </w:rPr>
      </w:pPr>
      <w:r w:rsidRPr="00F10C59">
        <w:rPr>
          <w:rFonts w:cs="Arial"/>
        </w:rPr>
        <w:t>R&amp;D</w:t>
      </w:r>
      <w:r w:rsidRPr="00F10C59">
        <w:rPr>
          <w:rFonts w:cs="Arial"/>
        </w:rPr>
        <w:tab/>
        <w:t>research and development</w:t>
      </w:r>
    </w:p>
    <w:p w:rsidR="00815ABB" w:rsidRDefault="00815ABB" w:rsidP="00B11299">
      <w:pPr>
        <w:tabs>
          <w:tab w:val="left" w:pos="2127"/>
        </w:tabs>
        <w:spacing w:after="40"/>
        <w:ind w:left="2127" w:hanging="2127"/>
        <w:rPr>
          <w:rFonts w:cs="Arial"/>
        </w:rPr>
      </w:pPr>
      <w:r>
        <w:rPr>
          <w:rFonts w:cs="Arial"/>
        </w:rPr>
        <w:t>RFPs</w:t>
      </w:r>
      <w:r>
        <w:rPr>
          <w:rFonts w:cs="Arial"/>
        </w:rPr>
        <w:tab/>
        <w:t>Requests for Proposals</w:t>
      </w:r>
    </w:p>
    <w:p w:rsidR="00815ABB" w:rsidRPr="00F10C59" w:rsidRDefault="00815ABB" w:rsidP="00B11299">
      <w:pPr>
        <w:tabs>
          <w:tab w:val="left" w:pos="2127"/>
        </w:tabs>
        <w:spacing w:after="40"/>
        <w:ind w:left="2127" w:hanging="2127"/>
        <w:rPr>
          <w:rFonts w:cs="Arial"/>
        </w:rPr>
      </w:pPr>
      <w:r w:rsidRPr="00F10C59">
        <w:rPr>
          <w:rFonts w:cs="Arial"/>
        </w:rPr>
        <w:t>RO</w:t>
      </w:r>
      <w:r w:rsidRPr="00F10C59">
        <w:rPr>
          <w:rFonts w:cs="Arial"/>
        </w:rPr>
        <w:tab/>
        <w:t>Receiving Office</w:t>
      </w:r>
    </w:p>
    <w:p w:rsidR="00815ABB" w:rsidRPr="00F10C59" w:rsidRDefault="00815ABB" w:rsidP="00860D6F">
      <w:pPr>
        <w:tabs>
          <w:tab w:val="left" w:pos="2127"/>
        </w:tabs>
        <w:spacing w:after="120"/>
        <w:ind w:left="2126" w:hanging="2126"/>
        <w:rPr>
          <w:rFonts w:cs="Arial"/>
        </w:rPr>
      </w:pPr>
    </w:p>
    <w:p w:rsidR="00815ABB" w:rsidRPr="00F10C59" w:rsidRDefault="00815ABB" w:rsidP="00B11299">
      <w:pPr>
        <w:tabs>
          <w:tab w:val="left" w:pos="2127"/>
        </w:tabs>
        <w:spacing w:after="40"/>
        <w:ind w:left="2127" w:hanging="2127"/>
        <w:rPr>
          <w:rFonts w:cs="Arial"/>
        </w:rPr>
      </w:pPr>
      <w:r w:rsidRPr="00FF1219">
        <w:rPr>
          <w:rFonts w:cs="Arial"/>
          <w:b/>
          <w:bCs/>
        </w:rPr>
        <w:t>S</w:t>
      </w:r>
      <w:r w:rsidRPr="00F10C59">
        <w:rPr>
          <w:rFonts w:cs="Arial"/>
        </w:rPr>
        <w:t>CCR</w:t>
      </w:r>
      <w:r w:rsidRPr="00F10C59">
        <w:rPr>
          <w:rFonts w:cs="Arial"/>
        </w:rPr>
        <w:tab/>
        <w:t>Standing Committee on Copyright and Related Rights</w:t>
      </w:r>
    </w:p>
    <w:p w:rsidR="00815ABB" w:rsidRPr="00F10C59" w:rsidRDefault="00815ABB" w:rsidP="00B11299">
      <w:pPr>
        <w:tabs>
          <w:tab w:val="left" w:pos="2127"/>
        </w:tabs>
        <w:spacing w:after="40"/>
        <w:ind w:left="2127" w:hanging="2127"/>
        <w:rPr>
          <w:rFonts w:cs="Arial"/>
        </w:rPr>
      </w:pPr>
      <w:r w:rsidRPr="00F10C59">
        <w:rPr>
          <w:rFonts w:cs="Arial"/>
        </w:rPr>
        <w:t>SCP</w:t>
      </w:r>
      <w:r w:rsidRPr="00F10C59">
        <w:rPr>
          <w:rFonts w:cs="Arial"/>
        </w:rPr>
        <w:tab/>
        <w:t>Standing Committee on the Law of Patents</w:t>
      </w:r>
    </w:p>
    <w:p w:rsidR="00815ABB" w:rsidRPr="00F10C59" w:rsidRDefault="00815ABB" w:rsidP="00B11299">
      <w:pPr>
        <w:tabs>
          <w:tab w:val="left" w:pos="2127"/>
        </w:tabs>
        <w:spacing w:after="40"/>
        <w:ind w:left="2127" w:hanging="2127"/>
        <w:rPr>
          <w:rFonts w:cs="Arial"/>
        </w:rPr>
      </w:pPr>
      <w:r w:rsidRPr="00F10C59">
        <w:rPr>
          <w:rFonts w:cs="Arial"/>
        </w:rPr>
        <w:t>SCT</w:t>
      </w:r>
      <w:r w:rsidRPr="00F10C59">
        <w:rPr>
          <w:rFonts w:cs="Arial"/>
        </w:rPr>
        <w:tab/>
        <w:t>Standing Committee on the Law of Trademarks, Industrial Designs and Geographical Indications</w:t>
      </w:r>
    </w:p>
    <w:p w:rsidR="00815ABB" w:rsidRDefault="00815ABB" w:rsidP="00B11299">
      <w:pPr>
        <w:tabs>
          <w:tab w:val="left" w:pos="2127"/>
        </w:tabs>
        <w:spacing w:after="40"/>
        <w:ind w:left="2127" w:hanging="2127"/>
        <w:rPr>
          <w:rFonts w:cs="Arial"/>
        </w:rPr>
      </w:pPr>
      <w:r>
        <w:rPr>
          <w:rFonts w:cs="Arial"/>
        </w:rPr>
        <w:t>SLC</w:t>
      </w:r>
      <w:r>
        <w:rPr>
          <w:rFonts w:cs="Arial"/>
        </w:rPr>
        <w:tab/>
        <w:t>Special Labor Contract</w:t>
      </w:r>
    </w:p>
    <w:p w:rsidR="00815ABB" w:rsidRDefault="00815ABB" w:rsidP="00B11299">
      <w:pPr>
        <w:tabs>
          <w:tab w:val="left" w:pos="2127"/>
        </w:tabs>
        <w:spacing w:after="40"/>
        <w:ind w:left="2127" w:hanging="2127"/>
        <w:rPr>
          <w:rFonts w:cs="Arial"/>
        </w:rPr>
      </w:pPr>
      <w:r>
        <w:rPr>
          <w:rFonts w:cs="Arial"/>
        </w:rPr>
        <w:t>SMEs</w:t>
      </w:r>
      <w:r>
        <w:rPr>
          <w:rFonts w:cs="Arial"/>
        </w:rPr>
        <w:tab/>
        <w:t>small and medium sized enterprises</w:t>
      </w:r>
    </w:p>
    <w:p w:rsidR="00815ABB" w:rsidRDefault="00815ABB" w:rsidP="00B11299">
      <w:pPr>
        <w:tabs>
          <w:tab w:val="left" w:pos="2127"/>
        </w:tabs>
        <w:spacing w:after="40"/>
        <w:ind w:left="2127" w:hanging="2127"/>
        <w:rPr>
          <w:rFonts w:cs="Arial"/>
        </w:rPr>
      </w:pPr>
      <w:r>
        <w:rPr>
          <w:rFonts w:cs="Arial"/>
        </w:rPr>
        <w:t>SSA</w:t>
      </w:r>
      <w:r>
        <w:rPr>
          <w:rFonts w:cs="Arial"/>
        </w:rPr>
        <w:tab/>
        <w:t>Special Service Agreements</w:t>
      </w:r>
    </w:p>
    <w:p w:rsidR="00815ABB" w:rsidRPr="00F10C59" w:rsidRDefault="00815ABB" w:rsidP="00B11299">
      <w:pPr>
        <w:tabs>
          <w:tab w:val="left" w:pos="2127"/>
        </w:tabs>
        <w:spacing w:after="40"/>
        <w:ind w:left="2127" w:hanging="2127"/>
        <w:rPr>
          <w:rFonts w:cs="Arial"/>
        </w:rPr>
      </w:pPr>
      <w:r w:rsidRPr="00F10C59">
        <w:rPr>
          <w:rFonts w:cs="Arial"/>
        </w:rPr>
        <w:t>SRP</w:t>
      </w:r>
      <w:r w:rsidRPr="00F10C59">
        <w:rPr>
          <w:rFonts w:cs="Arial"/>
        </w:rPr>
        <w:tab/>
        <w:t>Strategic Realignment Program</w:t>
      </w:r>
    </w:p>
    <w:p w:rsidR="00815ABB" w:rsidRPr="00F10C59" w:rsidRDefault="00815ABB" w:rsidP="00860D6F">
      <w:pPr>
        <w:tabs>
          <w:tab w:val="left" w:pos="2127"/>
        </w:tabs>
        <w:spacing w:after="120"/>
        <w:ind w:left="2126" w:hanging="2126"/>
        <w:rPr>
          <w:rFonts w:cs="Arial"/>
        </w:rPr>
      </w:pPr>
    </w:p>
    <w:p w:rsidR="00815ABB" w:rsidRPr="002C4083" w:rsidRDefault="00815ABB" w:rsidP="00B11299">
      <w:pPr>
        <w:keepNext/>
        <w:tabs>
          <w:tab w:val="left" w:pos="2127"/>
        </w:tabs>
        <w:spacing w:after="40"/>
        <w:ind w:left="2126" w:hanging="2126"/>
        <w:rPr>
          <w:rFonts w:cs="Arial"/>
          <w:b/>
          <w:bCs/>
        </w:rPr>
      </w:pPr>
      <w:r w:rsidRPr="002C4083">
        <w:rPr>
          <w:rFonts w:cs="Arial"/>
          <w:b/>
          <w:bCs/>
        </w:rPr>
        <w:t>T</w:t>
      </w:r>
      <w:r w:rsidRPr="002C4083">
        <w:rPr>
          <w:rFonts w:cs="Arial"/>
        </w:rPr>
        <w:t>A</w:t>
      </w:r>
      <w:r w:rsidRPr="002C4083">
        <w:rPr>
          <w:rFonts w:cs="Arial"/>
        </w:rPr>
        <w:tab/>
        <w:t>Travel Authorization</w:t>
      </w:r>
    </w:p>
    <w:p w:rsidR="00815ABB" w:rsidRDefault="00815ABB" w:rsidP="00B11299">
      <w:pPr>
        <w:keepNext/>
        <w:tabs>
          <w:tab w:val="left" w:pos="2127"/>
        </w:tabs>
        <w:spacing w:after="40"/>
        <w:ind w:left="2126" w:hanging="2126"/>
        <w:rPr>
          <w:rFonts w:cs="Arial"/>
        </w:rPr>
      </w:pPr>
      <w:r>
        <w:rPr>
          <w:szCs w:val="20"/>
        </w:rPr>
        <w:t>TAPTA</w:t>
      </w:r>
      <w:r>
        <w:rPr>
          <w:szCs w:val="20"/>
        </w:rPr>
        <w:tab/>
      </w:r>
      <w:r w:rsidRPr="00480AE9">
        <w:rPr>
          <w:szCs w:val="20"/>
        </w:rPr>
        <w:t xml:space="preserve">Translation Assistant for Patent Titles and Abstracts </w:t>
      </w:r>
    </w:p>
    <w:p w:rsidR="00815ABB" w:rsidRPr="00845557" w:rsidRDefault="00815ABB" w:rsidP="00B11299">
      <w:pPr>
        <w:keepNext/>
        <w:tabs>
          <w:tab w:val="left" w:pos="2127"/>
        </w:tabs>
        <w:spacing w:after="40"/>
        <w:ind w:left="2126" w:hanging="2126"/>
        <w:rPr>
          <w:rFonts w:cs="Arial"/>
          <w:lang w:val="fr-FR"/>
        </w:rPr>
      </w:pPr>
      <w:r w:rsidRPr="00845557">
        <w:rPr>
          <w:rFonts w:cs="Arial"/>
          <w:lang w:val="fr-FR"/>
        </w:rPr>
        <w:t>TAD</w:t>
      </w:r>
      <w:r w:rsidRPr="00845557">
        <w:rPr>
          <w:rFonts w:cs="Arial"/>
          <w:lang w:val="fr-FR"/>
        </w:rPr>
        <w:tab/>
      </w:r>
      <w:r w:rsidRPr="00845557">
        <w:rPr>
          <w:rFonts w:cs="Tahoma"/>
          <w:lang w:val="fr-FR"/>
        </w:rPr>
        <w:t xml:space="preserve">IP </w:t>
      </w:r>
      <w:proofErr w:type="spellStart"/>
      <w:r w:rsidRPr="00845557">
        <w:rPr>
          <w:rFonts w:cs="Tahoma"/>
          <w:lang w:val="fr-FR"/>
        </w:rPr>
        <w:t>Technical</w:t>
      </w:r>
      <w:proofErr w:type="spellEnd"/>
      <w:r w:rsidRPr="00845557">
        <w:rPr>
          <w:rFonts w:cs="Tahoma"/>
          <w:lang w:val="fr-FR"/>
        </w:rPr>
        <w:t xml:space="preserve"> Assistance </w:t>
      </w:r>
      <w:proofErr w:type="spellStart"/>
      <w:r w:rsidRPr="00845557">
        <w:rPr>
          <w:rFonts w:cs="Tahoma"/>
          <w:lang w:val="fr-FR"/>
        </w:rPr>
        <w:t>Database</w:t>
      </w:r>
      <w:proofErr w:type="spellEnd"/>
      <w:r w:rsidRPr="00845557">
        <w:rPr>
          <w:rFonts w:cs="Arial"/>
          <w:lang w:val="fr-FR"/>
        </w:rPr>
        <w:t xml:space="preserve"> </w:t>
      </w:r>
    </w:p>
    <w:p w:rsidR="00815ABB" w:rsidRPr="00845557" w:rsidRDefault="00815ABB" w:rsidP="00B11299">
      <w:pPr>
        <w:keepNext/>
        <w:tabs>
          <w:tab w:val="left" w:pos="2127"/>
        </w:tabs>
        <w:spacing w:after="40"/>
        <w:ind w:left="2126" w:hanging="2126"/>
        <w:rPr>
          <w:rFonts w:cs="Arial"/>
          <w:lang w:val="fr-FR"/>
        </w:rPr>
      </w:pPr>
      <w:proofErr w:type="spellStart"/>
      <w:r w:rsidRPr="00845557">
        <w:rPr>
          <w:rFonts w:cs="Arial"/>
          <w:lang w:val="fr-FR"/>
        </w:rPr>
        <w:t>TCEs</w:t>
      </w:r>
      <w:proofErr w:type="spellEnd"/>
      <w:r w:rsidRPr="00845557">
        <w:rPr>
          <w:rFonts w:cs="Arial"/>
          <w:lang w:val="fr-FR"/>
        </w:rPr>
        <w:tab/>
      </w:r>
      <w:proofErr w:type="spellStart"/>
      <w:r w:rsidRPr="00845557">
        <w:rPr>
          <w:rFonts w:cs="Arial"/>
          <w:lang w:val="fr-FR"/>
        </w:rPr>
        <w:t>Traditional</w:t>
      </w:r>
      <w:proofErr w:type="spellEnd"/>
      <w:r w:rsidRPr="00845557">
        <w:rPr>
          <w:rFonts w:cs="Arial"/>
          <w:lang w:val="fr-FR"/>
        </w:rPr>
        <w:t xml:space="preserve"> Cultural Expressions/Folklore</w:t>
      </w:r>
    </w:p>
    <w:p w:rsidR="00815ABB" w:rsidRPr="00F10C59" w:rsidRDefault="00815ABB" w:rsidP="00B11299">
      <w:pPr>
        <w:tabs>
          <w:tab w:val="left" w:pos="2127"/>
        </w:tabs>
        <w:spacing w:after="40"/>
        <w:ind w:left="2127" w:hanging="2127"/>
        <w:rPr>
          <w:rFonts w:cs="Arial"/>
        </w:rPr>
      </w:pPr>
      <w:r w:rsidRPr="00F10C59">
        <w:rPr>
          <w:rFonts w:cs="Arial"/>
        </w:rPr>
        <w:t>TIGAR</w:t>
      </w:r>
      <w:r w:rsidRPr="00F10C59">
        <w:rPr>
          <w:rFonts w:cs="Arial"/>
        </w:rPr>
        <w:tab/>
        <w:t xml:space="preserve">Trusted Intermediary Global </w:t>
      </w:r>
      <w:r>
        <w:rPr>
          <w:rFonts w:cs="Arial"/>
        </w:rPr>
        <w:t>Accessible</w:t>
      </w:r>
      <w:r w:rsidRPr="00F10C59">
        <w:rPr>
          <w:rFonts w:cs="Arial"/>
        </w:rPr>
        <w:t xml:space="preserve"> Resources</w:t>
      </w:r>
    </w:p>
    <w:p w:rsidR="00815ABB" w:rsidRPr="00F10C59" w:rsidRDefault="00815ABB" w:rsidP="00B11299">
      <w:pPr>
        <w:tabs>
          <w:tab w:val="left" w:pos="2127"/>
        </w:tabs>
        <w:spacing w:after="40"/>
        <w:ind w:left="2127" w:hanging="2127"/>
        <w:rPr>
          <w:rFonts w:cs="Arial"/>
        </w:rPr>
      </w:pPr>
      <w:r w:rsidRPr="00F10C59">
        <w:rPr>
          <w:rFonts w:cs="Arial"/>
        </w:rPr>
        <w:t>TISCs</w:t>
      </w:r>
      <w:r w:rsidRPr="00F10C59">
        <w:rPr>
          <w:rFonts w:cs="Arial"/>
        </w:rPr>
        <w:tab/>
        <w:t>Technology Innovation Support Centers</w:t>
      </w:r>
    </w:p>
    <w:p w:rsidR="00815ABB" w:rsidRPr="00F10C59" w:rsidRDefault="00815ABB" w:rsidP="00B11299">
      <w:pPr>
        <w:tabs>
          <w:tab w:val="left" w:pos="2127"/>
        </w:tabs>
        <w:spacing w:after="40"/>
        <w:ind w:left="2127" w:hanging="2127"/>
        <w:rPr>
          <w:rFonts w:cs="Arial"/>
        </w:rPr>
      </w:pPr>
      <w:r w:rsidRPr="00F10C59">
        <w:rPr>
          <w:rFonts w:cs="Arial"/>
        </w:rPr>
        <w:t>TK</w:t>
      </w:r>
      <w:r w:rsidRPr="00F10C59">
        <w:rPr>
          <w:rFonts w:cs="Arial"/>
        </w:rPr>
        <w:tab/>
        <w:t>Traditional Knowledge</w:t>
      </w:r>
    </w:p>
    <w:p w:rsidR="00815ABB" w:rsidRPr="00F10C59" w:rsidRDefault="00815ABB" w:rsidP="00B11299">
      <w:pPr>
        <w:tabs>
          <w:tab w:val="left" w:pos="2127"/>
        </w:tabs>
        <w:spacing w:after="40"/>
        <w:ind w:left="2127" w:hanging="2127"/>
        <w:rPr>
          <w:rFonts w:cs="Arial"/>
        </w:rPr>
      </w:pPr>
      <w:r w:rsidRPr="00F10C59">
        <w:rPr>
          <w:rFonts w:cs="Arial"/>
        </w:rPr>
        <w:t>TTO</w:t>
      </w:r>
      <w:r w:rsidRPr="00F10C59">
        <w:rPr>
          <w:rFonts w:cs="Arial"/>
        </w:rPr>
        <w:tab/>
        <w:t>Technology Transfer Office</w:t>
      </w:r>
    </w:p>
    <w:p w:rsidR="00815ABB" w:rsidRPr="00F10C59" w:rsidRDefault="00815ABB" w:rsidP="00860D6F">
      <w:pPr>
        <w:tabs>
          <w:tab w:val="left" w:pos="2127"/>
        </w:tabs>
        <w:spacing w:after="120"/>
        <w:ind w:left="2126" w:hanging="2126"/>
        <w:rPr>
          <w:rFonts w:cs="Arial"/>
        </w:rPr>
      </w:pPr>
    </w:p>
    <w:p w:rsidR="00815ABB" w:rsidRPr="00F10C59" w:rsidRDefault="00815ABB" w:rsidP="00B11299">
      <w:pPr>
        <w:tabs>
          <w:tab w:val="left" w:pos="2127"/>
        </w:tabs>
        <w:spacing w:after="40"/>
        <w:ind w:left="2127" w:hanging="2127"/>
        <w:rPr>
          <w:rFonts w:cs="Arial"/>
        </w:rPr>
      </w:pPr>
      <w:r w:rsidRPr="00F10AB9">
        <w:rPr>
          <w:rFonts w:cs="Arial"/>
          <w:b/>
          <w:bCs/>
        </w:rPr>
        <w:t>U</w:t>
      </w:r>
      <w:r w:rsidRPr="00F10C59">
        <w:rPr>
          <w:rFonts w:cs="Arial"/>
        </w:rPr>
        <w:t>DRP</w:t>
      </w:r>
      <w:r w:rsidRPr="00F10C59">
        <w:rPr>
          <w:rFonts w:cs="Arial"/>
        </w:rPr>
        <w:tab/>
        <w:t>Uniform Domain Name Dispute Resolution Policy</w:t>
      </w:r>
    </w:p>
    <w:p w:rsidR="00815ABB" w:rsidRPr="00F10C59" w:rsidRDefault="00815ABB" w:rsidP="00B11299">
      <w:pPr>
        <w:tabs>
          <w:tab w:val="left" w:pos="2127"/>
        </w:tabs>
        <w:spacing w:after="40"/>
        <w:ind w:left="2127" w:hanging="2127"/>
        <w:rPr>
          <w:rFonts w:cs="Arial"/>
        </w:rPr>
      </w:pPr>
      <w:r w:rsidRPr="00F10C59">
        <w:rPr>
          <w:rFonts w:cs="Arial"/>
        </w:rPr>
        <w:t>UN</w:t>
      </w:r>
      <w:r w:rsidRPr="00F10C59">
        <w:rPr>
          <w:rFonts w:cs="Arial"/>
        </w:rPr>
        <w:tab/>
        <w:t>United Nations</w:t>
      </w:r>
    </w:p>
    <w:p w:rsidR="00815ABB" w:rsidRDefault="00815ABB" w:rsidP="00B11299">
      <w:pPr>
        <w:tabs>
          <w:tab w:val="left" w:pos="2127"/>
        </w:tabs>
        <w:spacing w:after="40"/>
        <w:ind w:left="2127" w:hanging="2127"/>
        <w:rPr>
          <w:rFonts w:cs="Arial"/>
        </w:rPr>
      </w:pPr>
      <w:r>
        <w:rPr>
          <w:rFonts w:cs="Arial"/>
          <w:szCs w:val="20"/>
        </w:rPr>
        <w:t>UNAH</w:t>
      </w:r>
      <w:r>
        <w:rPr>
          <w:rFonts w:cs="Arial"/>
          <w:szCs w:val="20"/>
        </w:rPr>
        <w:tab/>
        <w:t xml:space="preserve">Honduras National Autonomous University </w:t>
      </w:r>
    </w:p>
    <w:p w:rsidR="00815ABB" w:rsidRDefault="00815ABB" w:rsidP="00B11299">
      <w:pPr>
        <w:tabs>
          <w:tab w:val="left" w:pos="2127"/>
        </w:tabs>
        <w:spacing w:after="40"/>
        <w:ind w:left="2127" w:hanging="2127"/>
        <w:rPr>
          <w:rFonts w:cs="Arial"/>
        </w:rPr>
      </w:pPr>
      <w:r>
        <w:rPr>
          <w:rFonts w:eastAsia="SimSun"/>
          <w:bCs/>
          <w:lang w:eastAsia="zh-CN"/>
        </w:rPr>
        <w:t>UNCDF</w:t>
      </w:r>
      <w:r>
        <w:rPr>
          <w:rFonts w:eastAsia="SimSun"/>
          <w:bCs/>
          <w:lang w:eastAsia="zh-CN"/>
        </w:rPr>
        <w:tab/>
      </w:r>
      <w:r w:rsidRPr="0023662D">
        <w:rPr>
          <w:rFonts w:eastAsia="SimSun"/>
          <w:bCs/>
          <w:lang w:eastAsia="zh-CN"/>
        </w:rPr>
        <w:t>United Nations Capital Development Fund</w:t>
      </w:r>
    </w:p>
    <w:p w:rsidR="00815ABB" w:rsidRPr="00F10C59" w:rsidRDefault="00815ABB" w:rsidP="00B11299">
      <w:pPr>
        <w:tabs>
          <w:tab w:val="left" w:pos="2127"/>
        </w:tabs>
        <w:spacing w:after="40"/>
        <w:ind w:left="2127" w:hanging="2127"/>
        <w:rPr>
          <w:rFonts w:cs="Arial"/>
        </w:rPr>
      </w:pPr>
      <w:r w:rsidRPr="00F10C59">
        <w:rPr>
          <w:rFonts w:cs="Arial"/>
        </w:rPr>
        <w:t>UNCTAD</w:t>
      </w:r>
      <w:r w:rsidRPr="00F10C59">
        <w:rPr>
          <w:rFonts w:cs="Arial"/>
        </w:rPr>
        <w:tab/>
        <w:t>United Nations Conference on Trade and Development</w:t>
      </w:r>
    </w:p>
    <w:p w:rsidR="00815ABB" w:rsidRPr="00F10C59" w:rsidRDefault="00815ABB" w:rsidP="00B11299">
      <w:pPr>
        <w:tabs>
          <w:tab w:val="left" w:pos="2127"/>
        </w:tabs>
        <w:spacing w:after="40"/>
        <w:ind w:left="2127" w:hanging="2127"/>
        <w:rPr>
          <w:rFonts w:cs="Arial"/>
        </w:rPr>
      </w:pPr>
      <w:r w:rsidRPr="00F10C59">
        <w:rPr>
          <w:rFonts w:cs="Arial"/>
        </w:rPr>
        <w:t>UN CEB</w:t>
      </w:r>
      <w:r w:rsidRPr="00F10C59">
        <w:rPr>
          <w:rFonts w:cs="Arial"/>
        </w:rPr>
        <w:tab/>
        <w:t>United Nations Chief Executives Board</w:t>
      </w:r>
    </w:p>
    <w:p w:rsidR="00815ABB" w:rsidRPr="00EC6D63" w:rsidRDefault="00815ABB" w:rsidP="00B11299">
      <w:pPr>
        <w:tabs>
          <w:tab w:val="left" w:pos="2127"/>
        </w:tabs>
        <w:spacing w:after="40"/>
        <w:ind w:left="2127" w:hanging="2127"/>
        <w:rPr>
          <w:rFonts w:cs="Arial"/>
        </w:rPr>
      </w:pPr>
      <w:r>
        <w:rPr>
          <w:rFonts w:cs="Arial"/>
          <w:noProof/>
        </w:rPr>
        <mc:AlternateContent>
          <mc:Choice Requires="wps">
            <w:drawing>
              <wp:anchor distT="0" distB="0" distL="114300" distR="114300" simplePos="0" relativeHeight="251659264" behindDoc="0" locked="0" layoutInCell="0" allowOverlap="1" wp14:anchorId="3F4B8C61" wp14:editId="505535C9">
                <wp:simplePos x="0" y="0"/>
                <wp:positionH relativeFrom="column">
                  <wp:posOffset>-2118995</wp:posOffset>
                </wp:positionH>
                <wp:positionV relativeFrom="paragraph">
                  <wp:posOffset>83185</wp:posOffset>
                </wp:positionV>
                <wp:extent cx="731520" cy="1097280"/>
                <wp:effectExtent l="10160" t="10795" r="10795" b="6350"/>
                <wp:wrapNone/>
                <wp:docPr id="844" name="Text Box 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097280"/>
                        </a:xfrm>
                        <a:prstGeom prst="rect">
                          <a:avLst/>
                        </a:prstGeom>
                        <a:solidFill>
                          <a:srgbClr val="FFFFFF"/>
                        </a:solidFill>
                        <a:ln w="9525">
                          <a:solidFill>
                            <a:srgbClr val="000000"/>
                          </a:solidFill>
                          <a:miter lim="800000"/>
                          <a:headEnd/>
                          <a:tailEnd/>
                        </a:ln>
                      </wps:spPr>
                      <wps:txbx>
                        <w:txbxContent>
                          <w:p w:rsidR="00171802" w:rsidRDefault="00171802" w:rsidP="00B11299">
                            <w:pPr>
                              <w:pStyle w:val="BodyText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4" o:spid="_x0000_s1026" type="#_x0000_t202" style="position:absolute;left:0;text-align:left;margin-left:-166.85pt;margin-top:6.55pt;width:57.6pt;height:8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" o:allowincell="f">
                <v:textbox>
                  <w:txbxContent>
                    <w:p w:rsidR="00171802" w:rsidRDefault="00171802" w:rsidP="00B11299">
                      <w:pPr>
                        <w:pStyle w:val="BodyText2"/>
                      </w:pPr>
                    </w:p>
                  </w:txbxContent>
                </v:textbox>
              </v:shape>
            </w:pict>
          </mc:Fallback>
        </mc:AlternateContent>
      </w:r>
      <w:r w:rsidRPr="00EC6D63">
        <w:rPr>
          <w:rFonts w:cs="Arial"/>
        </w:rPr>
        <w:t>UNEP</w:t>
      </w:r>
      <w:r w:rsidRPr="00EC6D63">
        <w:rPr>
          <w:rFonts w:cs="Arial"/>
        </w:rPr>
        <w:tab/>
        <w:t xml:space="preserve">United Nations Environmental </w:t>
      </w:r>
      <w:proofErr w:type="spellStart"/>
      <w:r w:rsidRPr="00EC6D63">
        <w:rPr>
          <w:rFonts w:cs="Arial"/>
        </w:rPr>
        <w:t>Programme</w:t>
      </w:r>
      <w:proofErr w:type="spellEnd"/>
    </w:p>
    <w:p w:rsidR="00815ABB" w:rsidRPr="00F10C59" w:rsidRDefault="00815ABB" w:rsidP="00B11299">
      <w:pPr>
        <w:tabs>
          <w:tab w:val="left" w:pos="2127"/>
        </w:tabs>
        <w:spacing w:after="40"/>
        <w:ind w:left="2127" w:hanging="2127"/>
        <w:rPr>
          <w:rFonts w:cs="Arial"/>
        </w:rPr>
      </w:pPr>
      <w:r w:rsidRPr="00F10C59">
        <w:rPr>
          <w:rFonts w:cs="Arial"/>
        </w:rPr>
        <w:t>UNESCO</w:t>
      </w:r>
      <w:r w:rsidRPr="00F10C59">
        <w:rPr>
          <w:rFonts w:cs="Arial"/>
        </w:rPr>
        <w:tab/>
        <w:t>United Nations Educational, Scientific and Cultural Organization</w:t>
      </w:r>
    </w:p>
    <w:p w:rsidR="00815ABB" w:rsidRPr="0031057E" w:rsidRDefault="00815ABB" w:rsidP="00B11299">
      <w:pPr>
        <w:tabs>
          <w:tab w:val="left" w:pos="2127"/>
        </w:tabs>
        <w:spacing w:after="40"/>
        <w:ind w:left="2127" w:hanging="2127"/>
        <w:rPr>
          <w:rFonts w:cs="Arial"/>
          <w:lang w:val="fr-CH"/>
        </w:rPr>
      </w:pPr>
      <w:r w:rsidRPr="0031057E">
        <w:rPr>
          <w:rFonts w:cs="Arial"/>
          <w:lang w:val="fr-CH"/>
        </w:rPr>
        <w:t>UNFCCC</w:t>
      </w:r>
      <w:r w:rsidRPr="0031057E">
        <w:rPr>
          <w:rFonts w:cs="Arial"/>
          <w:lang w:val="fr-CH"/>
        </w:rPr>
        <w:tab/>
      </w:r>
      <w:r w:rsidR="00F02072" w:rsidRPr="00A06215">
        <w:rPr>
          <w:szCs w:val="20"/>
          <w:lang w:val="fr-FR"/>
        </w:rPr>
        <w:t xml:space="preserve">UN Framework Convention on </w:t>
      </w:r>
      <w:proofErr w:type="spellStart"/>
      <w:r w:rsidR="00F02072" w:rsidRPr="00A06215">
        <w:rPr>
          <w:szCs w:val="20"/>
          <w:lang w:val="fr-FR"/>
        </w:rPr>
        <w:t>Climate</w:t>
      </w:r>
      <w:proofErr w:type="spellEnd"/>
      <w:r w:rsidR="00F02072" w:rsidRPr="00A06215">
        <w:rPr>
          <w:szCs w:val="20"/>
          <w:lang w:val="fr-FR"/>
        </w:rPr>
        <w:t xml:space="preserve"> Change </w:t>
      </w:r>
    </w:p>
    <w:p w:rsidR="00815ABB" w:rsidRPr="000F1CAB" w:rsidRDefault="00815ABB" w:rsidP="00B11299">
      <w:pPr>
        <w:tabs>
          <w:tab w:val="left" w:pos="2127"/>
        </w:tabs>
        <w:spacing w:after="40"/>
        <w:ind w:left="2127" w:right="-476" w:hanging="2127"/>
        <w:rPr>
          <w:rFonts w:cs="Arial"/>
        </w:rPr>
      </w:pPr>
      <w:r w:rsidRPr="000F1CAB">
        <w:rPr>
          <w:rFonts w:cs="Arial"/>
        </w:rPr>
        <w:t>UNICC</w:t>
      </w:r>
      <w:r w:rsidRPr="000F1CAB">
        <w:rPr>
          <w:rFonts w:cs="Arial"/>
        </w:rPr>
        <w:tab/>
        <w:t>UN International Computing Centre</w:t>
      </w:r>
    </w:p>
    <w:p w:rsidR="00815ABB" w:rsidRPr="00F10C59" w:rsidRDefault="00815ABB" w:rsidP="00B11299">
      <w:pPr>
        <w:tabs>
          <w:tab w:val="left" w:pos="2127"/>
        </w:tabs>
        <w:spacing w:after="40"/>
        <w:ind w:left="2127" w:right="-476" w:hanging="2127"/>
        <w:rPr>
          <w:rFonts w:cs="Arial"/>
        </w:rPr>
      </w:pPr>
      <w:r w:rsidRPr="00F10C59">
        <w:rPr>
          <w:rFonts w:cs="Arial"/>
        </w:rPr>
        <w:t>UNIDO</w:t>
      </w:r>
      <w:r w:rsidRPr="00F10C59">
        <w:rPr>
          <w:rFonts w:cs="Arial"/>
        </w:rPr>
        <w:tab/>
        <w:t>United Nations Industrial Development Organization</w:t>
      </w:r>
    </w:p>
    <w:p w:rsidR="00815ABB" w:rsidRDefault="00815ABB" w:rsidP="00B11299">
      <w:pPr>
        <w:tabs>
          <w:tab w:val="left" w:pos="2127"/>
        </w:tabs>
        <w:spacing w:after="40"/>
        <w:ind w:left="2127" w:right="-476" w:hanging="2127"/>
        <w:rPr>
          <w:rFonts w:cs="Arial"/>
        </w:rPr>
      </w:pPr>
      <w:r>
        <w:rPr>
          <w:rFonts w:cs="Arial"/>
        </w:rPr>
        <w:t>UNPFII</w:t>
      </w:r>
      <w:r>
        <w:rPr>
          <w:rFonts w:cs="Arial"/>
        </w:rPr>
        <w:tab/>
        <w:t>United Nations Permanent Forum on Indigenous Issues</w:t>
      </w:r>
    </w:p>
    <w:p w:rsidR="00815ABB" w:rsidRDefault="00815ABB" w:rsidP="00B11299">
      <w:pPr>
        <w:tabs>
          <w:tab w:val="left" w:pos="2127"/>
        </w:tabs>
        <w:spacing w:after="40"/>
        <w:ind w:left="2127" w:right="-476" w:hanging="2127"/>
        <w:rPr>
          <w:rFonts w:cs="Arial"/>
        </w:rPr>
      </w:pPr>
      <w:r w:rsidRPr="00F10C59">
        <w:rPr>
          <w:rFonts w:cs="Arial"/>
        </w:rPr>
        <w:t>USPTO</w:t>
      </w:r>
      <w:r w:rsidRPr="00F10C59">
        <w:rPr>
          <w:rFonts w:cs="Arial"/>
        </w:rPr>
        <w:tab/>
        <w:t>United States Patent and Trademark Office</w:t>
      </w:r>
    </w:p>
    <w:p w:rsidR="00F02072" w:rsidRPr="00F10C59" w:rsidRDefault="00F02072" w:rsidP="00B11299">
      <w:pPr>
        <w:tabs>
          <w:tab w:val="left" w:pos="2127"/>
        </w:tabs>
        <w:spacing w:after="40"/>
        <w:ind w:left="2127" w:right="-476" w:hanging="2127"/>
        <w:rPr>
          <w:rFonts w:cs="Arial"/>
        </w:rPr>
      </w:pPr>
      <w:r>
        <w:rPr>
          <w:szCs w:val="20"/>
        </w:rPr>
        <w:t>UNTT</w:t>
      </w:r>
      <w:r>
        <w:rPr>
          <w:szCs w:val="20"/>
        </w:rPr>
        <w:tab/>
      </w:r>
      <w:r w:rsidRPr="00B03ABB">
        <w:rPr>
          <w:szCs w:val="20"/>
        </w:rPr>
        <w:t xml:space="preserve">UN Task Team (on the </w:t>
      </w:r>
      <w:r>
        <w:rPr>
          <w:szCs w:val="20"/>
        </w:rPr>
        <w:t>Post-</w:t>
      </w:r>
      <w:r w:rsidRPr="00B03ABB">
        <w:rPr>
          <w:szCs w:val="20"/>
        </w:rPr>
        <w:t>2015 Development Agenda</w:t>
      </w:r>
      <w:r>
        <w:rPr>
          <w:szCs w:val="20"/>
        </w:rPr>
        <w:t>)</w:t>
      </w:r>
    </w:p>
    <w:p w:rsidR="00815ABB" w:rsidRPr="00F10C59" w:rsidRDefault="00815ABB" w:rsidP="00860D6F">
      <w:pPr>
        <w:tabs>
          <w:tab w:val="left" w:pos="2127"/>
        </w:tabs>
        <w:spacing w:after="120"/>
        <w:ind w:left="2126" w:hanging="2126"/>
        <w:rPr>
          <w:rFonts w:cs="Arial"/>
        </w:rPr>
      </w:pPr>
    </w:p>
    <w:p w:rsidR="00815ABB" w:rsidRPr="00F10C59" w:rsidRDefault="00815ABB" w:rsidP="00B11299">
      <w:pPr>
        <w:tabs>
          <w:tab w:val="left" w:pos="2127"/>
        </w:tabs>
        <w:spacing w:after="40"/>
        <w:ind w:left="2127" w:hanging="2127"/>
        <w:rPr>
          <w:rFonts w:cs="Arial"/>
        </w:rPr>
      </w:pPr>
      <w:r w:rsidRPr="00F10AB9">
        <w:rPr>
          <w:rFonts w:cs="Arial"/>
          <w:b/>
          <w:bCs/>
        </w:rPr>
        <w:t>V</w:t>
      </w:r>
      <w:r w:rsidRPr="00F10C59">
        <w:rPr>
          <w:rFonts w:cs="Arial"/>
        </w:rPr>
        <w:t>IP</w:t>
      </w:r>
      <w:r w:rsidRPr="00F10C59">
        <w:rPr>
          <w:rFonts w:cs="Arial"/>
        </w:rPr>
        <w:tab/>
        <w:t>Visually Impaired Persons</w:t>
      </w:r>
      <w:r>
        <w:rPr>
          <w:rFonts w:cs="Arial"/>
        </w:rPr>
        <w:t xml:space="preserve"> and other persons with print disabilities</w:t>
      </w:r>
    </w:p>
    <w:p w:rsidR="00815ABB" w:rsidRPr="00F10C59" w:rsidRDefault="00815ABB" w:rsidP="00860D6F">
      <w:pPr>
        <w:tabs>
          <w:tab w:val="left" w:pos="2127"/>
        </w:tabs>
        <w:spacing w:after="120"/>
        <w:ind w:left="2126" w:hanging="2126"/>
        <w:rPr>
          <w:rFonts w:cs="Arial"/>
        </w:rPr>
      </w:pPr>
    </w:p>
    <w:p w:rsidR="00815ABB" w:rsidRDefault="00815ABB" w:rsidP="00B11299">
      <w:pPr>
        <w:tabs>
          <w:tab w:val="left" w:pos="2127"/>
        </w:tabs>
        <w:spacing w:after="40"/>
        <w:ind w:left="2127" w:hanging="2127"/>
        <w:rPr>
          <w:rFonts w:cs="Arial"/>
        </w:rPr>
      </w:pPr>
      <w:r w:rsidRPr="00727DFF">
        <w:rPr>
          <w:rFonts w:cs="Arial"/>
          <w:b/>
        </w:rPr>
        <w:t>W</w:t>
      </w:r>
      <w:r>
        <w:rPr>
          <w:rFonts w:cs="Arial"/>
        </w:rPr>
        <w:t>BO</w:t>
      </w:r>
      <w:r>
        <w:rPr>
          <w:rFonts w:cs="Arial"/>
        </w:rPr>
        <w:tab/>
        <w:t>WIPO Brazil Office</w:t>
      </w:r>
    </w:p>
    <w:p w:rsidR="00815ABB" w:rsidRPr="00F10C59" w:rsidRDefault="00815ABB" w:rsidP="00B11299">
      <w:pPr>
        <w:tabs>
          <w:tab w:val="left" w:pos="2127"/>
        </w:tabs>
        <w:spacing w:after="40"/>
        <w:ind w:left="2127" w:hanging="2127"/>
        <w:rPr>
          <w:rFonts w:cs="Arial"/>
        </w:rPr>
      </w:pPr>
      <w:r w:rsidRPr="00F10C59">
        <w:rPr>
          <w:rFonts w:cs="Arial"/>
        </w:rPr>
        <w:t>WCT</w:t>
      </w:r>
      <w:r w:rsidRPr="00F10C59">
        <w:rPr>
          <w:rFonts w:cs="Arial"/>
        </w:rPr>
        <w:tab/>
        <w:t>WIPO Copyright Treaty</w:t>
      </w:r>
    </w:p>
    <w:p w:rsidR="00815ABB" w:rsidRPr="00F10C59" w:rsidRDefault="00815ABB" w:rsidP="00B11299">
      <w:pPr>
        <w:tabs>
          <w:tab w:val="left" w:pos="2127"/>
        </w:tabs>
        <w:spacing w:after="40"/>
        <w:ind w:left="2127" w:hanging="2127"/>
        <w:rPr>
          <w:rFonts w:cs="Arial"/>
        </w:rPr>
      </w:pPr>
      <w:proofErr w:type="gramStart"/>
      <w:r w:rsidRPr="00F10C59">
        <w:rPr>
          <w:rFonts w:cs="Arial"/>
        </w:rPr>
        <w:t>WHO</w:t>
      </w:r>
      <w:proofErr w:type="gramEnd"/>
      <w:r w:rsidRPr="00F10C59">
        <w:rPr>
          <w:rFonts w:cs="Arial"/>
        </w:rPr>
        <w:tab/>
        <w:t>World Health Organization</w:t>
      </w:r>
    </w:p>
    <w:p w:rsidR="00815ABB" w:rsidRDefault="00815ABB" w:rsidP="00B11299">
      <w:pPr>
        <w:tabs>
          <w:tab w:val="left" w:pos="2127"/>
        </w:tabs>
        <w:spacing w:after="40"/>
        <w:ind w:left="2127" w:hanging="2127"/>
        <w:rPr>
          <w:rFonts w:cs="Arial"/>
        </w:rPr>
      </w:pPr>
      <w:r>
        <w:rPr>
          <w:rFonts w:cs="Arial"/>
        </w:rPr>
        <w:t>WINS</w:t>
      </w:r>
      <w:r>
        <w:rPr>
          <w:rFonts w:cs="Arial"/>
        </w:rPr>
        <w:tab/>
        <w:t>WIPO Inquiry Notification System</w:t>
      </w:r>
    </w:p>
    <w:p w:rsidR="00815ABB" w:rsidRDefault="00815ABB" w:rsidP="00B11299">
      <w:pPr>
        <w:tabs>
          <w:tab w:val="left" w:pos="2127"/>
        </w:tabs>
        <w:spacing w:after="40"/>
        <w:ind w:left="2127" w:hanging="2127"/>
        <w:rPr>
          <w:rFonts w:cs="Arial"/>
        </w:rPr>
      </w:pPr>
      <w:r>
        <w:rPr>
          <w:rFonts w:cs="Arial"/>
        </w:rPr>
        <w:t>WIPOCOS</w:t>
      </w:r>
      <w:r>
        <w:rPr>
          <w:rFonts w:cs="Arial"/>
        </w:rPr>
        <w:tab/>
      </w:r>
      <w:r w:rsidRPr="00FF1219">
        <w:rPr>
          <w:rFonts w:cs="Arial"/>
          <w:lang w:val="en"/>
        </w:rPr>
        <w:t>software for collective management of copyright and neighboring rights</w:t>
      </w:r>
    </w:p>
    <w:p w:rsidR="00815ABB" w:rsidRDefault="00815ABB" w:rsidP="00B11299">
      <w:pPr>
        <w:tabs>
          <w:tab w:val="left" w:pos="2127"/>
        </w:tabs>
        <w:spacing w:after="40"/>
        <w:ind w:left="2127" w:hanging="2127"/>
        <w:rPr>
          <w:rFonts w:cs="Arial"/>
        </w:rPr>
      </w:pPr>
      <w:r>
        <w:rPr>
          <w:rFonts w:cs="Arial"/>
        </w:rPr>
        <w:t>WJO</w:t>
      </w:r>
      <w:r>
        <w:rPr>
          <w:rFonts w:cs="Arial"/>
        </w:rPr>
        <w:tab/>
        <w:t>WIPO Japan Office</w:t>
      </w:r>
    </w:p>
    <w:p w:rsidR="00815ABB" w:rsidRDefault="00815ABB" w:rsidP="00B11299">
      <w:pPr>
        <w:tabs>
          <w:tab w:val="left" w:pos="2127"/>
        </w:tabs>
        <w:spacing w:after="40"/>
        <w:ind w:left="2127" w:hanging="2127"/>
        <w:rPr>
          <w:rFonts w:cs="Arial"/>
        </w:rPr>
      </w:pPr>
      <w:r>
        <w:rPr>
          <w:rFonts w:cs="Arial"/>
          <w:szCs w:val="20"/>
        </w:rPr>
        <w:t>WPIS</w:t>
      </w:r>
      <w:r>
        <w:rPr>
          <w:rFonts w:cs="Arial"/>
          <w:szCs w:val="20"/>
        </w:rPr>
        <w:tab/>
      </w:r>
      <w:r w:rsidRPr="00BD71FF">
        <w:rPr>
          <w:rFonts w:cs="Arial"/>
          <w:szCs w:val="20"/>
        </w:rPr>
        <w:t xml:space="preserve">WIPO Patent Information Services </w:t>
      </w:r>
    </w:p>
    <w:p w:rsidR="00815ABB" w:rsidRPr="00F10C59" w:rsidRDefault="00815ABB" w:rsidP="00B11299">
      <w:pPr>
        <w:tabs>
          <w:tab w:val="left" w:pos="2127"/>
        </w:tabs>
        <w:spacing w:after="40"/>
        <w:ind w:left="2127" w:hanging="2127"/>
        <w:rPr>
          <w:rFonts w:cs="Arial"/>
        </w:rPr>
      </w:pPr>
      <w:r w:rsidRPr="00F10C59">
        <w:rPr>
          <w:rFonts w:cs="Arial"/>
        </w:rPr>
        <w:t>WPPT</w:t>
      </w:r>
      <w:r w:rsidRPr="00F10C59">
        <w:rPr>
          <w:rFonts w:cs="Arial"/>
        </w:rPr>
        <w:tab/>
        <w:t>WIPO Performances and Phonograms Treaty</w:t>
      </w:r>
    </w:p>
    <w:p w:rsidR="00815ABB" w:rsidRPr="00C02386" w:rsidRDefault="00815ABB" w:rsidP="00B11299">
      <w:pPr>
        <w:tabs>
          <w:tab w:val="left" w:pos="2127"/>
        </w:tabs>
        <w:spacing w:after="40"/>
        <w:ind w:left="2127" w:hanging="2127"/>
        <w:rPr>
          <w:rFonts w:cs="Arial"/>
        </w:rPr>
      </w:pPr>
      <w:r w:rsidRPr="00C02386">
        <w:rPr>
          <w:rFonts w:cs="Arial"/>
        </w:rPr>
        <w:t>WSIS</w:t>
      </w:r>
      <w:r w:rsidRPr="00C02386">
        <w:rPr>
          <w:rFonts w:cs="Arial"/>
        </w:rPr>
        <w:tab/>
      </w:r>
      <w:r w:rsidRPr="00C02386">
        <w:rPr>
          <w:rFonts w:cs="Arial"/>
          <w:bCs/>
        </w:rPr>
        <w:t>World Summit on the Information Society</w:t>
      </w:r>
    </w:p>
    <w:p w:rsidR="00815ABB" w:rsidRDefault="00815ABB" w:rsidP="00B11299">
      <w:pPr>
        <w:tabs>
          <w:tab w:val="left" w:pos="2127"/>
        </w:tabs>
        <w:spacing w:after="40"/>
        <w:ind w:left="2127" w:hanging="2127"/>
        <w:rPr>
          <w:rFonts w:cs="Arial"/>
        </w:rPr>
      </w:pPr>
      <w:r w:rsidRPr="00C02386">
        <w:rPr>
          <w:rFonts w:cs="Arial"/>
        </w:rPr>
        <w:t>WSO</w:t>
      </w:r>
      <w:r w:rsidRPr="00C02386">
        <w:rPr>
          <w:rFonts w:cs="Arial"/>
        </w:rPr>
        <w:tab/>
        <w:t>WIPO Singapore Office</w:t>
      </w:r>
    </w:p>
    <w:p w:rsidR="00815ABB" w:rsidRPr="00F10C59" w:rsidRDefault="00815ABB" w:rsidP="00B11299">
      <w:pPr>
        <w:tabs>
          <w:tab w:val="left" w:pos="2127"/>
        </w:tabs>
        <w:spacing w:after="40"/>
        <w:ind w:left="2127" w:hanging="2127"/>
        <w:rPr>
          <w:rFonts w:cs="Arial"/>
        </w:rPr>
      </w:pPr>
      <w:r w:rsidRPr="00F10C59">
        <w:rPr>
          <w:rFonts w:cs="Arial"/>
        </w:rPr>
        <w:t>WTO</w:t>
      </w:r>
      <w:r w:rsidRPr="00F10C59">
        <w:rPr>
          <w:rFonts w:cs="Arial"/>
        </w:rPr>
        <w:tab/>
        <w:t xml:space="preserve">World Trade Organization </w:t>
      </w:r>
    </w:p>
    <w:p w:rsidR="00815ABB" w:rsidRPr="00860D6F" w:rsidRDefault="00815ABB" w:rsidP="00860D6F">
      <w:pPr>
        <w:tabs>
          <w:tab w:val="left" w:pos="2127"/>
        </w:tabs>
        <w:spacing w:after="120"/>
        <w:ind w:left="2126" w:hanging="2126"/>
        <w:rPr>
          <w:rFonts w:cs="Arial"/>
        </w:rPr>
      </w:pPr>
    </w:p>
    <w:p w:rsidR="00815ABB" w:rsidRPr="00F10C59" w:rsidRDefault="00815ABB" w:rsidP="00B11299">
      <w:pPr>
        <w:pStyle w:val="BodyText"/>
      </w:pPr>
    </w:p>
    <w:p w:rsidR="00815ABB" w:rsidRPr="009706FB" w:rsidRDefault="00815ABB" w:rsidP="00B11299">
      <w:pPr>
        <w:ind w:left="4253"/>
        <w:jc w:val="center"/>
      </w:pPr>
      <w:r>
        <w:rPr>
          <w:color w:val="000000"/>
        </w:rPr>
        <w:t xml:space="preserve"> [End of Appendix I</w:t>
      </w:r>
      <w:r w:rsidR="000723D4">
        <w:rPr>
          <w:color w:val="000000"/>
        </w:rPr>
        <w:t>V</w:t>
      </w:r>
      <w:r>
        <w:rPr>
          <w:color w:val="000000"/>
        </w:rPr>
        <w:t xml:space="preserve"> and of document]</w:t>
      </w:r>
    </w:p>
    <w:p w:rsidR="00815ABB" w:rsidRDefault="00815ABB" w:rsidP="00B11299"/>
    <w:p w:rsidR="00FB3CE3" w:rsidRPr="008D1891" w:rsidRDefault="00FB3CE3" w:rsidP="008D1891">
      <w:pPr>
        <w:autoSpaceDE w:val="0"/>
        <w:autoSpaceDN w:val="0"/>
        <w:jc w:val="both"/>
      </w:pPr>
    </w:p>
    <w:sectPr w:rsidR="00FB3CE3" w:rsidRPr="008D1891" w:rsidSect="0063033D">
      <w:headerReference w:type="even" r:id="rId163"/>
      <w:headerReference w:type="default" r:id="rId164"/>
      <w:headerReference w:type="first" r:id="rId165"/>
      <w:pgSz w:w="11907" w:h="16840" w:code="9"/>
      <w:pgMar w:top="567" w:right="1134" w:bottom="1418" w:left="1418" w:header="567" w:footer="96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802" w:rsidRDefault="00171802">
      <w:r>
        <w:separator/>
      </w:r>
    </w:p>
  </w:endnote>
  <w:endnote w:type="continuationSeparator" w:id="0">
    <w:p w:rsidR="00171802" w:rsidRDefault="00171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ヒラギノ角ゴ Pro W3">
    <w:altName w:val="MS Mincho"/>
    <w:charset w:val="80"/>
    <w:family w:val="auto"/>
    <w:pitch w:val="variable"/>
    <w:sig w:usb0="00000001" w:usb1="00000000" w:usb2="01000407"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802" w:rsidRPr="00E31A65" w:rsidRDefault="00171802" w:rsidP="00E31A6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802" w:rsidRDefault="000C419F" w:rsidP="00FF768F">
    <w:pPr>
      <w:pStyle w:val="Footer"/>
      <w:jc w:val="center"/>
    </w:pPr>
    <w:sdt>
      <w:sdtPr>
        <w:id w:val="-555625508"/>
        <w:docPartObj>
          <w:docPartGallery w:val="Page Numbers (Bottom of Page)"/>
          <w:docPartUnique/>
        </w:docPartObj>
      </w:sdtPr>
      <w:sdtEndPr>
        <w:rPr>
          <w:noProof/>
        </w:rPr>
      </w:sdtEndPr>
      <w:sdtContent>
        <w:r w:rsidR="00171802">
          <w:fldChar w:fldCharType="begin"/>
        </w:r>
        <w:r w:rsidR="00171802">
          <w:instrText xml:space="preserve"> PAGE   \* MERGEFORMAT </w:instrText>
        </w:r>
        <w:r w:rsidR="00171802">
          <w:fldChar w:fldCharType="separate"/>
        </w:r>
        <w:r>
          <w:rPr>
            <w:noProof/>
          </w:rPr>
          <w:t>267</w:t>
        </w:r>
        <w:r w:rsidR="00171802">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135970"/>
      <w:docPartObj>
        <w:docPartGallery w:val="Page Numbers (Bottom of Page)"/>
        <w:docPartUnique/>
      </w:docPartObj>
    </w:sdtPr>
    <w:sdtEndPr>
      <w:rPr>
        <w:noProof/>
      </w:rPr>
    </w:sdtEndPr>
    <w:sdtContent>
      <w:p w:rsidR="00171802" w:rsidRDefault="00171802" w:rsidP="00E31A65">
        <w:pPr>
          <w:pStyle w:val="Footer"/>
          <w:jc w:val="center"/>
        </w:pPr>
      </w:p>
      <w:p w:rsidR="00171802" w:rsidRPr="00E31A65" w:rsidRDefault="00171802" w:rsidP="00E31A65">
        <w:pPr>
          <w:pStyle w:val="Footer"/>
          <w:jc w:val="center"/>
        </w:pPr>
        <w:r>
          <w:fldChar w:fldCharType="begin"/>
        </w:r>
        <w:r>
          <w:instrText xml:space="preserve"> PAGE   \* MERGEFORMAT </w:instrText>
        </w:r>
        <w:r>
          <w:fldChar w:fldCharType="separate"/>
        </w:r>
        <w:r w:rsidR="000C419F">
          <w:rPr>
            <w:noProof/>
          </w:rPr>
          <w:t>270</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4160703"/>
      <w:docPartObj>
        <w:docPartGallery w:val="Page Numbers (Bottom of Page)"/>
        <w:docPartUnique/>
      </w:docPartObj>
    </w:sdtPr>
    <w:sdtEndPr>
      <w:rPr>
        <w:noProof/>
      </w:rPr>
    </w:sdtEndPr>
    <w:sdtContent>
      <w:p w:rsidR="00171802" w:rsidRDefault="00171802" w:rsidP="00FF768F">
        <w:pPr>
          <w:pStyle w:val="Footer"/>
          <w:jc w:val="center"/>
        </w:pPr>
      </w:p>
      <w:p w:rsidR="00171802" w:rsidRDefault="00171802" w:rsidP="00FF768F">
        <w:pPr>
          <w:pStyle w:val="Footer"/>
          <w:jc w:val="center"/>
        </w:pPr>
        <w:r>
          <w:fldChar w:fldCharType="begin"/>
        </w:r>
        <w:r>
          <w:instrText xml:space="preserve"> PAGE   \* MERGEFORMAT </w:instrText>
        </w:r>
        <w:r>
          <w:fldChar w:fldCharType="separate"/>
        </w:r>
        <w:r w:rsidR="000C419F">
          <w:rPr>
            <w:noProof/>
          </w:rPr>
          <w:t>269</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802" w:rsidRDefault="000C419F" w:rsidP="004A4516">
    <w:pPr>
      <w:pStyle w:val="Footer"/>
      <w:jc w:val="center"/>
    </w:pPr>
    <w:sdt>
      <w:sdtPr>
        <w:id w:val="-1196691683"/>
        <w:docPartObj>
          <w:docPartGallery w:val="Page Numbers (Bottom of Page)"/>
          <w:docPartUnique/>
        </w:docPartObj>
      </w:sdtPr>
      <w:sdtEndPr>
        <w:rPr>
          <w:noProof/>
        </w:rPr>
      </w:sdtEndPr>
      <w:sdtContent>
        <w:r w:rsidR="00171802">
          <w:fldChar w:fldCharType="begin"/>
        </w:r>
        <w:r w:rsidR="00171802">
          <w:instrText xml:space="preserve"> PAGE   \* MERGEFORMAT </w:instrText>
        </w:r>
        <w:r w:rsidR="00171802">
          <w:fldChar w:fldCharType="separate"/>
        </w:r>
        <w:r>
          <w:rPr>
            <w:noProof/>
          </w:rPr>
          <w:t>1</w:t>
        </w:r>
        <w:r w:rsidR="00171802">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802" w:rsidRDefault="00171802">
      <w:r>
        <w:separator/>
      </w:r>
    </w:p>
  </w:footnote>
  <w:footnote w:type="continuationSeparator" w:id="0">
    <w:p w:rsidR="00171802" w:rsidRDefault="00171802">
      <w:r>
        <w:continuationSeparator/>
      </w:r>
    </w:p>
  </w:footnote>
  <w:footnote w:id="1">
    <w:p w:rsidR="00171802" w:rsidRPr="00BD5BF9" w:rsidRDefault="00171802" w:rsidP="00CE4C9D">
      <w:pPr>
        <w:pStyle w:val="FootnoteText"/>
        <w:rPr>
          <w:sz w:val="16"/>
          <w:szCs w:val="16"/>
        </w:rPr>
      </w:pPr>
      <w:r w:rsidRPr="00BD5BF9">
        <w:rPr>
          <w:rStyle w:val="FootnoteReference"/>
          <w:sz w:val="16"/>
          <w:szCs w:val="16"/>
        </w:rPr>
        <w:footnoteRef/>
      </w:r>
      <w:r w:rsidRPr="00BD5BF9">
        <w:rPr>
          <w:sz w:val="16"/>
          <w:szCs w:val="16"/>
        </w:rPr>
        <w:t xml:space="preserve"> In line with Member States’ requests, Programs were provided an opportunity to define targets that had not been defined in the Program and Budget 2014/15, i.e. “</w:t>
      </w:r>
      <w:proofErr w:type="spellStart"/>
      <w:r w:rsidRPr="00BD5BF9">
        <w:rPr>
          <w:sz w:val="16"/>
          <w:szCs w:val="16"/>
        </w:rPr>
        <w:t>tbd</w:t>
      </w:r>
      <w:proofErr w:type="spellEnd"/>
      <w:r w:rsidRPr="00BD5BF9">
        <w:rPr>
          <w:sz w:val="16"/>
          <w:szCs w:val="16"/>
        </w:rPr>
        <w:t xml:space="preserve">” targets, during the baseline update exercise (launched in July 2014), using the year-end 2013 data as the basis. </w:t>
      </w:r>
      <w:r>
        <w:rPr>
          <w:sz w:val="16"/>
          <w:szCs w:val="16"/>
        </w:rPr>
        <w:t xml:space="preserve"> </w:t>
      </w:r>
      <w:r w:rsidRPr="00BD5BF9">
        <w:rPr>
          <w:sz w:val="16"/>
          <w:szCs w:val="16"/>
        </w:rPr>
        <w:t xml:space="preserve">Targets that were not defined during this process remain undefined, and performance data are consequently rated as “not assessable.”  </w:t>
      </w:r>
    </w:p>
  </w:footnote>
  <w:footnote w:id="2">
    <w:p w:rsidR="00171802" w:rsidRPr="00E6263F" w:rsidRDefault="00171802" w:rsidP="00CE4C9D">
      <w:pPr>
        <w:pStyle w:val="FootnoteText"/>
        <w:rPr>
          <w:sz w:val="16"/>
          <w:szCs w:val="16"/>
        </w:rPr>
      </w:pPr>
      <w:r>
        <w:rPr>
          <w:rStyle w:val="FootnoteReference"/>
        </w:rPr>
        <w:footnoteRef/>
      </w:r>
      <w:r w:rsidRPr="00E6263F">
        <w:rPr>
          <w:sz w:val="16"/>
          <w:szCs w:val="16"/>
        </w:rPr>
        <w:t>Renamed WIPO Translate.</w:t>
      </w:r>
    </w:p>
  </w:footnote>
  <w:footnote w:id="3">
    <w:p w:rsidR="00171802" w:rsidRDefault="00171802" w:rsidP="00CE4C9D">
      <w:pPr>
        <w:pStyle w:val="FootnoteText"/>
      </w:pPr>
      <w:r>
        <w:rPr>
          <w:rStyle w:val="FootnoteReference"/>
        </w:rPr>
        <w:footnoteRef/>
      </w:r>
      <w:r>
        <w:t xml:space="preserve"> </w:t>
      </w:r>
      <w:r w:rsidRPr="00A870A2">
        <w:rPr>
          <w:sz w:val="16"/>
          <w:szCs w:val="16"/>
        </w:rPr>
        <w:t xml:space="preserve">In the PPR 2012/13, it was reported that reference to the </w:t>
      </w:r>
      <w:r w:rsidRPr="00A870A2">
        <w:rPr>
          <w:rFonts w:cs="Arial"/>
          <w:sz w:val="16"/>
          <w:szCs w:val="16"/>
        </w:rPr>
        <w:t xml:space="preserve">annual World IP Day campaign </w:t>
      </w:r>
      <w:r w:rsidRPr="00A870A2">
        <w:rPr>
          <w:sz w:val="16"/>
          <w:szCs w:val="16"/>
        </w:rPr>
        <w:t>was reported in 89 countries.  The actual number of countries reporting was 93.</w:t>
      </w:r>
    </w:p>
  </w:footnote>
  <w:footnote w:id="4">
    <w:p w:rsidR="00171802" w:rsidRDefault="00171802">
      <w:pPr>
        <w:pStyle w:val="FootnoteText"/>
      </w:pPr>
      <w:r>
        <w:rPr>
          <w:rStyle w:val="FootnoteReference"/>
        </w:rPr>
        <w:footnoteRef/>
      </w:r>
      <w:r>
        <w:t xml:space="preserve"> </w:t>
      </w:r>
      <w:r w:rsidRPr="00FE6CAD">
        <w:rPr>
          <w:sz w:val="16"/>
          <w:szCs w:val="16"/>
        </w:rPr>
        <w:t>Corrigendum: The number of requests for communication under Article 6</w:t>
      </w:r>
      <w:r w:rsidRPr="00FE6CAD">
        <w:rPr>
          <w:i/>
          <w:sz w:val="16"/>
          <w:szCs w:val="16"/>
        </w:rPr>
        <w:t>ter</w:t>
      </w:r>
      <w:r w:rsidRPr="00FE6CAD">
        <w:rPr>
          <w:sz w:val="16"/>
          <w:szCs w:val="16"/>
        </w:rPr>
        <w:t xml:space="preserve"> dealt with in 2012 was actually 69, as reported in the PPR 2012/13.</w:t>
      </w:r>
    </w:p>
  </w:footnote>
  <w:footnote w:id="5">
    <w:p w:rsidR="00171802" w:rsidRPr="00FE6CAD" w:rsidRDefault="00171802">
      <w:pPr>
        <w:pStyle w:val="FootnoteText"/>
        <w:rPr>
          <w:sz w:val="16"/>
          <w:szCs w:val="16"/>
        </w:rPr>
      </w:pPr>
      <w:r>
        <w:rPr>
          <w:rStyle w:val="FootnoteReference"/>
        </w:rPr>
        <w:footnoteRef/>
      </w:r>
      <w:r>
        <w:t xml:space="preserve"> </w:t>
      </w:r>
      <w:r w:rsidRPr="00FE6CAD">
        <w:rPr>
          <w:sz w:val="16"/>
          <w:szCs w:val="16"/>
        </w:rPr>
        <w:t xml:space="preserve">Corrigendum: The number of signs published in Article </w:t>
      </w:r>
      <w:r w:rsidRPr="00845557">
        <w:rPr>
          <w:i/>
          <w:sz w:val="16"/>
          <w:szCs w:val="16"/>
        </w:rPr>
        <w:t>6</w:t>
      </w:r>
      <w:r w:rsidRPr="00304D88">
        <w:rPr>
          <w:i/>
          <w:sz w:val="16"/>
          <w:szCs w:val="16"/>
        </w:rPr>
        <w:t>ter</w:t>
      </w:r>
      <w:r w:rsidRPr="00845557">
        <w:rPr>
          <w:i/>
          <w:sz w:val="16"/>
          <w:szCs w:val="16"/>
        </w:rPr>
        <w:t xml:space="preserve"> </w:t>
      </w:r>
      <w:r w:rsidRPr="00FE6CAD">
        <w:rPr>
          <w:sz w:val="16"/>
          <w:szCs w:val="16"/>
        </w:rPr>
        <w:t>database at the end of 2012 was actually 84, as reported in the PPR 2012/13.</w:t>
      </w:r>
    </w:p>
  </w:footnote>
  <w:footnote w:id="6">
    <w:p w:rsidR="00171802" w:rsidRDefault="00171802">
      <w:pPr>
        <w:pStyle w:val="FootnoteText"/>
      </w:pPr>
      <w:r w:rsidRPr="00FE6CAD">
        <w:rPr>
          <w:rStyle w:val="FootnoteReference"/>
          <w:sz w:val="16"/>
          <w:szCs w:val="16"/>
        </w:rPr>
        <w:footnoteRef/>
      </w:r>
      <w:r w:rsidRPr="00FE6CAD">
        <w:rPr>
          <w:sz w:val="16"/>
          <w:szCs w:val="16"/>
        </w:rPr>
        <w:t xml:space="preserve"> The target refers to the number of signs published during the biennium 2014/15.</w:t>
      </w:r>
    </w:p>
  </w:footnote>
  <w:footnote w:id="7">
    <w:p w:rsidR="00171802" w:rsidRDefault="00171802">
      <w:pPr>
        <w:pStyle w:val="FootnoteText"/>
      </w:pPr>
      <w:r>
        <w:rPr>
          <w:rStyle w:val="FootnoteReference"/>
        </w:rPr>
        <w:footnoteRef/>
      </w:r>
      <w:r>
        <w:t xml:space="preserve"> </w:t>
      </w:r>
      <w:r w:rsidRPr="00E13322">
        <w:rPr>
          <w:sz w:val="16"/>
          <w:szCs w:val="16"/>
        </w:rPr>
        <w:t xml:space="preserve">Corrigendum: </w:t>
      </w:r>
      <w:r>
        <w:rPr>
          <w:sz w:val="16"/>
          <w:szCs w:val="16"/>
        </w:rPr>
        <w:t>It</w:t>
      </w:r>
      <w:r w:rsidRPr="00E13322">
        <w:rPr>
          <w:sz w:val="16"/>
          <w:szCs w:val="16"/>
        </w:rPr>
        <w:t xml:space="preserve"> was reported that there were 18 </w:t>
      </w:r>
      <w:r>
        <w:rPr>
          <w:sz w:val="16"/>
          <w:szCs w:val="16"/>
        </w:rPr>
        <w:t>c</w:t>
      </w:r>
      <w:r w:rsidRPr="00E13322">
        <w:rPr>
          <w:sz w:val="16"/>
          <w:szCs w:val="16"/>
        </w:rPr>
        <w:t>opyright offices using GDA at the end of 2013.  The cumulative number was actually 15, which was in line with the target of 15 offices set or the 2012/13 biennium.</w:t>
      </w:r>
    </w:p>
  </w:footnote>
  <w:footnote w:id="8">
    <w:p w:rsidR="00171802" w:rsidRDefault="00171802">
      <w:pPr>
        <w:pStyle w:val="FootnoteText"/>
      </w:pPr>
      <w:r>
        <w:rPr>
          <w:rStyle w:val="FootnoteReference"/>
        </w:rPr>
        <w:footnoteRef/>
      </w:r>
      <w:r>
        <w:t xml:space="preserve"> </w:t>
      </w:r>
      <w:r w:rsidRPr="00BF59A0">
        <w:rPr>
          <w:sz w:val="16"/>
          <w:szCs w:val="16"/>
        </w:rPr>
        <w:t>http://www.wipo.int/edocs/pubdocs/en/wipo_pub_1043.pdf</w:t>
      </w:r>
      <w:r>
        <w:rPr>
          <w:sz w:val="16"/>
          <w:szCs w:val="16"/>
        </w:rPr>
        <w:t xml:space="preserve"> </w:t>
      </w:r>
    </w:p>
  </w:footnote>
  <w:footnote w:id="9">
    <w:p w:rsidR="00171802" w:rsidRPr="006A50BE" w:rsidRDefault="00171802" w:rsidP="008D1891">
      <w:pPr>
        <w:rPr>
          <w:rFonts w:cs="Arial"/>
        </w:rPr>
      </w:pPr>
      <w:r w:rsidRPr="006C26D8">
        <w:rPr>
          <w:rStyle w:val="FootnoteReference"/>
          <w:sz w:val="16"/>
          <w:szCs w:val="16"/>
        </w:rPr>
        <w:footnoteRef/>
      </w:r>
      <w:r w:rsidRPr="006C26D8">
        <w:rPr>
          <w:sz w:val="16"/>
          <w:szCs w:val="16"/>
        </w:rPr>
        <w:t xml:space="preserve"> Exceptionally</w:t>
      </w:r>
      <w:r>
        <w:rPr>
          <w:sz w:val="16"/>
          <w:szCs w:val="16"/>
        </w:rPr>
        <w:t>,</w:t>
      </w:r>
      <w:r w:rsidRPr="006C26D8">
        <w:rPr>
          <w:sz w:val="16"/>
          <w:szCs w:val="16"/>
        </w:rPr>
        <w:t xml:space="preserve"> the </w:t>
      </w:r>
      <w:r w:rsidRPr="006C26D8">
        <w:rPr>
          <w:rFonts w:cs="Arial"/>
          <w:sz w:val="16"/>
          <w:szCs w:val="16"/>
        </w:rPr>
        <w:t>original target “</w:t>
      </w:r>
      <w:r w:rsidRPr="002463A9">
        <w:rPr>
          <w:rFonts w:cs="Arial"/>
          <w:sz w:val="16"/>
          <w:szCs w:val="16"/>
        </w:rPr>
        <w:t xml:space="preserve">Decisions by appropriate PCT bodies up to the end of 2015” has been changed in order to better </w:t>
      </w:r>
      <w:r>
        <w:rPr>
          <w:rFonts w:cs="Arial"/>
          <w:sz w:val="16"/>
          <w:szCs w:val="16"/>
        </w:rPr>
        <w:t xml:space="preserve">enable the measurement of the progress made towards </w:t>
      </w:r>
      <w:r w:rsidRPr="006C26D8">
        <w:rPr>
          <w:rFonts w:cs="Arial"/>
          <w:sz w:val="16"/>
          <w:szCs w:val="16"/>
        </w:rPr>
        <w:t>further develop</w:t>
      </w:r>
      <w:r>
        <w:rPr>
          <w:rFonts w:cs="Arial"/>
          <w:sz w:val="16"/>
          <w:szCs w:val="16"/>
        </w:rPr>
        <w:t>ing</w:t>
      </w:r>
      <w:r w:rsidRPr="006C26D8">
        <w:rPr>
          <w:rFonts w:cs="Arial"/>
          <w:sz w:val="16"/>
          <w:szCs w:val="16"/>
        </w:rPr>
        <w:t xml:space="preserve"> the PCT system in line with the PCT roadmap recommendations</w:t>
      </w:r>
      <w:r>
        <w:rPr>
          <w:rFonts w:cs="Arial"/>
          <w:sz w:val="16"/>
          <w:szCs w:val="16"/>
        </w:rPr>
        <w:t xml:space="preserve">. </w:t>
      </w:r>
    </w:p>
  </w:footnote>
  <w:footnote w:id="10">
    <w:p w:rsidR="00171802" w:rsidRPr="00F907A7" w:rsidRDefault="00171802" w:rsidP="00E023E5">
      <w:pPr>
        <w:tabs>
          <w:tab w:val="left" w:pos="330"/>
        </w:tabs>
        <w:spacing w:after="120"/>
        <w:rPr>
          <w:sz w:val="16"/>
          <w:szCs w:val="16"/>
        </w:rPr>
      </w:pPr>
      <w:r w:rsidRPr="000D2666">
        <w:rPr>
          <w:rStyle w:val="FootnoteReference"/>
        </w:rPr>
        <w:footnoteRef/>
      </w:r>
      <w:r w:rsidRPr="000D2666">
        <w:rPr>
          <w:sz w:val="18"/>
        </w:rPr>
        <w:t xml:space="preserve"> </w:t>
      </w:r>
      <w:r w:rsidRPr="00F907A7">
        <w:rPr>
          <w:sz w:val="16"/>
          <w:szCs w:val="16"/>
        </w:rPr>
        <w:t xml:space="preserve">A record copy is a PCT application transmitted to the International Bureau </w:t>
      </w:r>
      <w:r>
        <w:rPr>
          <w:sz w:val="16"/>
          <w:szCs w:val="16"/>
        </w:rPr>
        <w:t xml:space="preserve">(IB) </w:t>
      </w:r>
      <w:r w:rsidRPr="00F907A7">
        <w:rPr>
          <w:sz w:val="16"/>
          <w:szCs w:val="16"/>
        </w:rPr>
        <w:t xml:space="preserve">by a receiving </w:t>
      </w:r>
      <w:r>
        <w:rPr>
          <w:sz w:val="16"/>
          <w:szCs w:val="16"/>
        </w:rPr>
        <w:t>O</w:t>
      </w:r>
      <w:r w:rsidRPr="00F907A7">
        <w:rPr>
          <w:sz w:val="16"/>
          <w:szCs w:val="16"/>
        </w:rPr>
        <w:t xml:space="preserve">ffice after its filing at, and </w:t>
      </w:r>
      <w:proofErr w:type="gramStart"/>
      <w:r w:rsidRPr="00F907A7">
        <w:rPr>
          <w:sz w:val="16"/>
          <w:szCs w:val="16"/>
        </w:rPr>
        <w:t>its</w:t>
      </w:r>
      <w:proofErr w:type="gramEnd"/>
      <w:r w:rsidRPr="00F907A7">
        <w:rPr>
          <w:sz w:val="16"/>
          <w:szCs w:val="16"/>
        </w:rPr>
        <w:t xml:space="preserve"> processing by, that </w:t>
      </w:r>
      <w:r>
        <w:rPr>
          <w:sz w:val="16"/>
          <w:szCs w:val="16"/>
        </w:rPr>
        <w:t>O</w:t>
      </w:r>
      <w:r w:rsidRPr="00F907A7">
        <w:rPr>
          <w:sz w:val="16"/>
          <w:szCs w:val="16"/>
        </w:rPr>
        <w:t>ffice.  B</w:t>
      </w:r>
      <w:proofErr w:type="spellStart"/>
      <w:r w:rsidRPr="00F907A7">
        <w:rPr>
          <w:sz w:val="16"/>
          <w:szCs w:val="16"/>
          <w:lang w:val="en-GB"/>
        </w:rPr>
        <w:t>ecause</w:t>
      </w:r>
      <w:proofErr w:type="spellEnd"/>
      <w:r w:rsidRPr="00F907A7">
        <w:rPr>
          <w:sz w:val="16"/>
          <w:szCs w:val="16"/>
          <w:lang w:val="en-GB"/>
        </w:rPr>
        <w:t xml:space="preserve"> record copies are only received at the IB after processing at a receiving Office, the figures are strongly influenced by processing times at the</w:t>
      </w:r>
      <w:r>
        <w:rPr>
          <w:sz w:val="16"/>
          <w:szCs w:val="16"/>
          <w:lang w:val="en-GB"/>
        </w:rPr>
        <w:t>se</w:t>
      </w:r>
      <w:r w:rsidRPr="00F907A7">
        <w:rPr>
          <w:sz w:val="16"/>
          <w:szCs w:val="16"/>
          <w:lang w:val="en-GB"/>
        </w:rPr>
        <w:t xml:space="preserve"> Offices. </w:t>
      </w:r>
      <w:r>
        <w:rPr>
          <w:sz w:val="16"/>
          <w:szCs w:val="16"/>
          <w:lang w:val="en-GB"/>
        </w:rPr>
        <w:t xml:space="preserve"> </w:t>
      </w:r>
      <w:r w:rsidRPr="00F907A7">
        <w:rPr>
          <w:sz w:val="16"/>
          <w:szCs w:val="16"/>
          <w:lang w:val="en-GB"/>
        </w:rPr>
        <w:t xml:space="preserve">For this reason, trends in the receipt of record copies, while valid indicators of IB </w:t>
      </w:r>
      <w:proofErr w:type="gramStart"/>
      <w:r w:rsidRPr="00F907A7">
        <w:rPr>
          <w:sz w:val="16"/>
          <w:szCs w:val="16"/>
          <w:lang w:val="en-GB"/>
        </w:rPr>
        <w:t>workloads</w:t>
      </w:r>
      <w:r>
        <w:rPr>
          <w:sz w:val="16"/>
          <w:szCs w:val="16"/>
          <w:lang w:val="en-GB"/>
        </w:rPr>
        <w:t>,</w:t>
      </w:r>
      <w:proofErr w:type="gramEnd"/>
      <w:r w:rsidRPr="00F907A7">
        <w:rPr>
          <w:sz w:val="16"/>
          <w:szCs w:val="16"/>
          <w:lang w:val="en-GB"/>
        </w:rPr>
        <w:t xml:space="preserve"> do </w:t>
      </w:r>
      <w:proofErr w:type="spellStart"/>
      <w:r w:rsidRPr="00F907A7">
        <w:rPr>
          <w:sz w:val="16"/>
          <w:szCs w:val="16"/>
          <w:lang w:val="en-GB"/>
        </w:rPr>
        <w:t>no</w:t>
      </w:r>
      <w:proofErr w:type="spellEnd"/>
      <w:r>
        <w:rPr>
          <w:sz w:val="16"/>
          <w:szCs w:val="16"/>
          <w:lang w:val="en-GB"/>
        </w:rPr>
        <w:t xml:space="preserve"> exactly match trends in the filing</w:t>
      </w:r>
      <w:r w:rsidRPr="00F907A7">
        <w:rPr>
          <w:sz w:val="16"/>
          <w:szCs w:val="16"/>
          <w:lang w:val="en-GB"/>
        </w:rPr>
        <w:t xml:space="preserve"> of PCT applications.</w:t>
      </w:r>
    </w:p>
  </w:footnote>
  <w:footnote w:id="11">
    <w:p w:rsidR="00171802" w:rsidRPr="000D2666" w:rsidRDefault="00171802" w:rsidP="00E023E5">
      <w:r w:rsidRPr="000D2666">
        <w:rPr>
          <w:rStyle w:val="FootnoteReference"/>
          <w:sz w:val="18"/>
          <w:szCs w:val="18"/>
        </w:rPr>
        <w:footnoteRef/>
      </w:r>
      <w:r w:rsidRPr="000D2666">
        <w:rPr>
          <w:sz w:val="18"/>
          <w:szCs w:val="18"/>
        </w:rPr>
        <w:t xml:space="preserve"> </w:t>
      </w:r>
      <w:r w:rsidRPr="000D2666">
        <w:rPr>
          <w:sz w:val="16"/>
          <w:szCs w:val="18"/>
        </w:rPr>
        <w:t xml:space="preserve">Following an independent review of PCTIS performance metrics, its definition slightly changed from the one </w:t>
      </w:r>
      <w:r w:rsidRPr="000D2666">
        <w:rPr>
          <w:sz w:val="16"/>
          <w:szCs w:val="18"/>
          <w:lang w:val="en-GB"/>
        </w:rPr>
        <w:t>described in the Program and Budget 2014/15</w:t>
      </w:r>
    </w:p>
  </w:footnote>
  <w:footnote w:id="12">
    <w:p w:rsidR="00171802" w:rsidRDefault="00171802">
      <w:pPr>
        <w:pStyle w:val="FootnoteText"/>
      </w:pPr>
      <w:r>
        <w:rPr>
          <w:rStyle w:val="FootnoteReference"/>
        </w:rPr>
        <w:footnoteRef/>
      </w:r>
      <w:r>
        <w:t xml:space="preserve"> </w:t>
      </w:r>
      <w:r w:rsidRPr="006F27F9">
        <w:rPr>
          <w:sz w:val="16"/>
          <w:szCs w:val="16"/>
        </w:rPr>
        <w:t>The scale in 2012 used a different set of criteria.  The set of criteria was refined for 2013 to consider more relevant factors.  This change explains the differences in the ratings for 2013 and 2014 (e.g. 38 and 39 respectively) and 2012 (79).</w:t>
      </w:r>
    </w:p>
  </w:footnote>
  <w:footnote w:id="13">
    <w:p w:rsidR="00171802" w:rsidRPr="004469FF" w:rsidRDefault="00171802" w:rsidP="009F72A7">
      <w:pPr>
        <w:pStyle w:val="FootnoteText"/>
      </w:pPr>
      <w:r w:rsidRPr="0043175E">
        <w:rPr>
          <w:rStyle w:val="FootnoteReference"/>
        </w:rPr>
        <w:footnoteRef/>
      </w:r>
      <w:r w:rsidRPr="0043175E">
        <w:t xml:space="preserve">  </w:t>
      </w:r>
      <w:proofErr w:type="gramStart"/>
      <w:r w:rsidRPr="0043175E">
        <w:t>See “Total workload” above</w:t>
      </w:r>
      <w:r>
        <w:t>.</w:t>
      </w:r>
      <w:proofErr w:type="gramEnd"/>
    </w:p>
  </w:footnote>
  <w:footnote w:id="14">
    <w:p w:rsidR="00171802" w:rsidRPr="0043175E" w:rsidRDefault="00171802" w:rsidP="009F72A7">
      <w:pPr>
        <w:pStyle w:val="FootnoteText"/>
        <w:rPr>
          <w:szCs w:val="18"/>
        </w:rPr>
      </w:pPr>
      <w:r w:rsidRPr="0043175E">
        <w:rPr>
          <w:rStyle w:val="FootnoteReference"/>
          <w:szCs w:val="18"/>
        </w:rPr>
        <w:footnoteRef/>
      </w:r>
      <w:r w:rsidRPr="0043175E">
        <w:rPr>
          <w:szCs w:val="18"/>
        </w:rPr>
        <w:t xml:space="preserve"> </w:t>
      </w:r>
      <w:proofErr w:type="gramStart"/>
      <w:r w:rsidRPr="004D0C42">
        <w:rPr>
          <w:sz w:val="16"/>
          <w:szCs w:val="18"/>
        </w:rPr>
        <w:t>See “Total workload” above</w:t>
      </w:r>
      <w:r>
        <w:rPr>
          <w:sz w:val="16"/>
          <w:szCs w:val="18"/>
        </w:rPr>
        <w:t>.</w:t>
      </w:r>
      <w:proofErr w:type="gramEnd"/>
    </w:p>
  </w:footnote>
  <w:footnote w:id="15">
    <w:p w:rsidR="00171802" w:rsidRDefault="00171802">
      <w:pPr>
        <w:pStyle w:val="FootnoteText"/>
      </w:pPr>
      <w:r w:rsidRPr="002F3933">
        <w:rPr>
          <w:rStyle w:val="FootnoteReference"/>
          <w:sz w:val="18"/>
          <w:szCs w:val="18"/>
        </w:rPr>
        <w:footnoteRef/>
      </w:r>
      <w:r>
        <w:t xml:space="preserve"> </w:t>
      </w:r>
      <w:r w:rsidRPr="001B4532">
        <w:rPr>
          <w:sz w:val="16"/>
          <w:szCs w:val="16"/>
        </w:rPr>
        <w:t>Corrigendum: The actual number of designs contained in 2012 was 12,454 and not 12,506 as published in the Program and Budget 2014/15 or 11,971 (the number of international registrations in 2012), as published in the PPR 2012/13.</w:t>
      </w:r>
    </w:p>
  </w:footnote>
  <w:footnote w:id="16">
    <w:p w:rsidR="00171802" w:rsidRDefault="00171802">
      <w:pPr>
        <w:pStyle w:val="FootnoteText"/>
      </w:pPr>
      <w:r w:rsidRPr="000C1926">
        <w:rPr>
          <w:rStyle w:val="FootnoteReference"/>
          <w:sz w:val="18"/>
        </w:rPr>
        <w:footnoteRef/>
      </w:r>
      <w:r>
        <w:t xml:space="preserve"> </w:t>
      </w:r>
      <w:r w:rsidRPr="008E7427">
        <w:rPr>
          <w:sz w:val="16"/>
          <w:szCs w:val="16"/>
        </w:rPr>
        <w:t>Corrigendum: The PPR 2012/13 reported renewals and grant of protection as the two automated processes.</w:t>
      </w:r>
      <w:r>
        <w:rPr>
          <w:sz w:val="16"/>
          <w:szCs w:val="16"/>
        </w:rPr>
        <w:t xml:space="preserve">  The grant of protection process was not automated at the end of 2013. </w:t>
      </w:r>
    </w:p>
  </w:footnote>
  <w:footnote w:id="17">
    <w:p w:rsidR="00171802" w:rsidRPr="00613F8E" w:rsidRDefault="00171802" w:rsidP="00017954">
      <w:pPr>
        <w:pStyle w:val="FootnoteText"/>
      </w:pPr>
      <w:r w:rsidRPr="00DC6A4E">
        <w:rPr>
          <w:rStyle w:val="FootnoteReference"/>
        </w:rPr>
        <w:footnoteRef/>
      </w:r>
      <w:r w:rsidRPr="00DC6A4E">
        <w:t xml:space="preserve"> </w:t>
      </w:r>
      <w:r w:rsidRPr="00613F8E">
        <w:rPr>
          <w:sz w:val="16"/>
        </w:rPr>
        <w:t>The Madrid System provides support to the Hague System, in particular in translation and IT activities. These costs were disregarded in this method</w:t>
      </w:r>
      <w:r w:rsidRPr="00613F8E">
        <w:rPr>
          <w:sz w:val="14"/>
        </w:rPr>
        <w:t>.</w:t>
      </w:r>
    </w:p>
  </w:footnote>
  <w:footnote w:id="18">
    <w:p w:rsidR="00171802" w:rsidRPr="00613F8E" w:rsidRDefault="00171802" w:rsidP="00017954">
      <w:pPr>
        <w:pStyle w:val="FootnoteText"/>
        <w:rPr>
          <w:sz w:val="16"/>
          <w:szCs w:val="16"/>
        </w:rPr>
      </w:pPr>
      <w:r w:rsidRPr="00DC6A4E">
        <w:rPr>
          <w:rStyle w:val="FootnoteReference"/>
        </w:rPr>
        <w:footnoteRef/>
      </w:r>
      <w:r w:rsidRPr="00DC6A4E">
        <w:t xml:space="preserve"> </w:t>
      </w:r>
      <w:r w:rsidRPr="00613F8E">
        <w:rPr>
          <w:sz w:val="16"/>
          <w:szCs w:val="16"/>
        </w:rPr>
        <w:t>See “Total workload” above</w:t>
      </w:r>
    </w:p>
  </w:footnote>
  <w:footnote w:id="19">
    <w:p w:rsidR="00171802" w:rsidRPr="00613F8E" w:rsidRDefault="00171802" w:rsidP="00017954">
      <w:pPr>
        <w:pStyle w:val="FootnoteText"/>
        <w:rPr>
          <w:sz w:val="16"/>
          <w:szCs w:val="16"/>
        </w:rPr>
      </w:pPr>
      <w:r w:rsidRPr="00613F8E">
        <w:rPr>
          <w:rStyle w:val="FootnoteReference"/>
          <w:szCs w:val="16"/>
        </w:rPr>
        <w:footnoteRef/>
      </w:r>
      <w:r w:rsidRPr="00613F8E">
        <w:rPr>
          <w:sz w:val="16"/>
          <w:szCs w:val="16"/>
        </w:rPr>
        <w:t xml:space="preserve"> See the ratios for applications and renewals in “Total workload”, above</w:t>
      </w:r>
      <w:r>
        <w:rPr>
          <w:sz w:val="16"/>
          <w:szCs w:val="16"/>
        </w:rPr>
        <w:t>.</w:t>
      </w:r>
    </w:p>
  </w:footnote>
  <w:footnote w:id="20">
    <w:p w:rsidR="00171802" w:rsidRDefault="00171802">
      <w:pPr>
        <w:pStyle w:val="FootnoteText"/>
      </w:pPr>
      <w:r>
        <w:rPr>
          <w:rStyle w:val="FootnoteReference"/>
        </w:rPr>
        <w:footnoteRef/>
      </w:r>
      <w:r>
        <w:t xml:space="preserve"> </w:t>
      </w:r>
      <w:r w:rsidRPr="00813B88">
        <w:rPr>
          <w:sz w:val="16"/>
          <w:szCs w:val="16"/>
        </w:rPr>
        <w:t>http://www.wipo.int/amc/en/rules/newrules.html</w:t>
      </w:r>
    </w:p>
  </w:footnote>
  <w:footnote w:id="21">
    <w:p w:rsidR="00171802" w:rsidRDefault="00171802" w:rsidP="008D1891">
      <w:pPr>
        <w:pStyle w:val="FootnoteText"/>
        <w:tabs>
          <w:tab w:val="left" w:pos="284"/>
        </w:tabs>
        <w:rPr>
          <w:sz w:val="16"/>
          <w:szCs w:val="16"/>
        </w:rPr>
      </w:pPr>
      <w:r>
        <w:rPr>
          <w:rStyle w:val="FootnoteReference"/>
        </w:rPr>
        <w:footnoteRef/>
      </w:r>
      <w:r>
        <w:t xml:space="preserve"> </w:t>
      </w:r>
      <w:r>
        <w:tab/>
      </w:r>
      <w:hyperlink r:id="rId1" w:tooltip="http://www.wipo.int/meetings/en/doc_details.jsp?doc_id=208882" w:history="1">
        <w:r w:rsidRPr="00B56FE4">
          <w:rPr>
            <w:rStyle w:val="Hyperlink"/>
            <w:sz w:val="16"/>
            <w:szCs w:val="16"/>
          </w:rPr>
          <w:t>http://www.wipo.int/meetings/en/doc_details.jsp?doc_id=208882</w:t>
        </w:r>
      </w:hyperlink>
      <w:r>
        <w:rPr>
          <w:sz w:val="16"/>
          <w:szCs w:val="16"/>
        </w:rPr>
        <w:t xml:space="preserve"> and</w:t>
      </w:r>
    </w:p>
    <w:p w:rsidR="00171802" w:rsidRDefault="00171802" w:rsidP="008D1891">
      <w:pPr>
        <w:pStyle w:val="FootnoteText"/>
        <w:tabs>
          <w:tab w:val="left" w:pos="284"/>
        </w:tabs>
      </w:pPr>
      <w:r>
        <w:rPr>
          <w:sz w:val="16"/>
          <w:szCs w:val="16"/>
        </w:rPr>
        <w:tab/>
      </w:r>
      <w:hyperlink r:id="rId2" w:history="1">
        <w:r w:rsidRPr="00F527AD">
          <w:rPr>
            <w:rStyle w:val="Hyperlink"/>
            <w:sz w:val="16"/>
            <w:szCs w:val="16"/>
          </w:rPr>
          <w:t>http://www.wipo.int/meetings/en/doc_details.jsp?doc_id=239806</w:t>
        </w:r>
      </w:hyperlink>
      <w:r>
        <w:rPr>
          <w:sz w:val="16"/>
          <w:szCs w:val="16"/>
        </w:rPr>
        <w:t xml:space="preserve"> </w:t>
      </w:r>
    </w:p>
  </w:footnote>
  <w:footnote w:id="22">
    <w:p w:rsidR="00171802" w:rsidRDefault="00171802" w:rsidP="00F54CA4">
      <w:pPr>
        <w:pStyle w:val="FootnoteText"/>
      </w:pPr>
      <w:r>
        <w:rPr>
          <w:rStyle w:val="FootnoteReference"/>
        </w:rPr>
        <w:footnoteRef/>
      </w:r>
      <w:r>
        <w:t xml:space="preserve"> </w:t>
      </w:r>
      <w:r w:rsidRPr="00F36021">
        <w:rPr>
          <w:sz w:val="16"/>
          <w:szCs w:val="16"/>
        </w:rPr>
        <w:t>http://www.wipo.int/export/sites/www/cooperation/en/pdf/ta_manual.pdf</w:t>
      </w:r>
      <w:r>
        <w:rPr>
          <w:sz w:val="16"/>
          <w:szCs w:val="16"/>
        </w:rPr>
        <w:t xml:space="preserve"> </w:t>
      </w:r>
    </w:p>
  </w:footnote>
  <w:footnote w:id="23">
    <w:p w:rsidR="00171802" w:rsidRDefault="00171802">
      <w:pPr>
        <w:pStyle w:val="FootnoteText"/>
      </w:pPr>
      <w:r>
        <w:rPr>
          <w:rStyle w:val="FootnoteReference"/>
        </w:rPr>
        <w:footnoteRef/>
      </w:r>
      <w:r>
        <w:t xml:space="preserve"> </w:t>
      </w:r>
      <w:r w:rsidRPr="004A3130">
        <w:rPr>
          <w:sz w:val="16"/>
          <w:szCs w:val="16"/>
        </w:rPr>
        <w:t>http://www.wipo.int/cooperation/en/south_south/</w:t>
      </w:r>
      <w:r>
        <w:rPr>
          <w:sz w:val="16"/>
          <w:szCs w:val="16"/>
        </w:rPr>
        <w:t xml:space="preserve"> </w:t>
      </w:r>
    </w:p>
  </w:footnote>
  <w:footnote w:id="24">
    <w:p w:rsidR="00171802" w:rsidRPr="00907AF3" w:rsidRDefault="00171802">
      <w:pPr>
        <w:pStyle w:val="FootnoteText"/>
        <w:rPr>
          <w:sz w:val="16"/>
          <w:szCs w:val="16"/>
        </w:rPr>
      </w:pPr>
      <w:r w:rsidRPr="00907AF3">
        <w:rPr>
          <w:rStyle w:val="FootnoteReference"/>
          <w:sz w:val="16"/>
          <w:szCs w:val="16"/>
        </w:rPr>
        <w:footnoteRef/>
      </w:r>
      <w:r w:rsidRPr="00907AF3">
        <w:rPr>
          <w:sz w:val="16"/>
          <w:szCs w:val="16"/>
        </w:rPr>
        <w:t xml:space="preserve"> In the PPR 2012/13, it was reported that the NIPS-D database was in use at the end of 2013, following completion of the development phase.  Implementation of the database did not begin until 2014.</w:t>
      </w:r>
    </w:p>
  </w:footnote>
  <w:footnote w:id="25">
    <w:p w:rsidR="00171802" w:rsidRPr="00EE3764" w:rsidRDefault="00171802" w:rsidP="00F54CA4">
      <w:pPr>
        <w:pStyle w:val="FootnoteText"/>
        <w:rPr>
          <w:sz w:val="16"/>
          <w:szCs w:val="16"/>
        </w:rPr>
      </w:pPr>
      <w:r w:rsidRPr="00EE3764">
        <w:rPr>
          <w:rStyle w:val="FootnoteReference"/>
          <w:sz w:val="16"/>
          <w:szCs w:val="16"/>
        </w:rPr>
        <w:footnoteRef/>
      </w:r>
      <w:r w:rsidRPr="00EE3764">
        <w:rPr>
          <w:sz w:val="16"/>
          <w:szCs w:val="16"/>
        </w:rPr>
        <w:t xml:space="preserve"> Corrigendum: In the PPR 2012/13, it was reported that Ethiopia had adopted an IP policy in 2012/13.  The IP Policy was finalized in 2014 for consideration </w:t>
      </w:r>
      <w:r>
        <w:rPr>
          <w:sz w:val="16"/>
          <w:szCs w:val="16"/>
        </w:rPr>
        <w:t>in</w:t>
      </w:r>
      <w:r w:rsidRPr="00EE3764">
        <w:rPr>
          <w:sz w:val="16"/>
          <w:szCs w:val="16"/>
        </w:rPr>
        <w:t xml:space="preserve"> the national </w:t>
      </w:r>
      <w:r>
        <w:rPr>
          <w:sz w:val="16"/>
          <w:szCs w:val="16"/>
        </w:rPr>
        <w:t xml:space="preserve">approval </w:t>
      </w:r>
      <w:r w:rsidRPr="00EE3764">
        <w:rPr>
          <w:sz w:val="16"/>
          <w:szCs w:val="16"/>
        </w:rPr>
        <w:t xml:space="preserve">process.  </w:t>
      </w:r>
    </w:p>
  </w:footnote>
  <w:footnote w:id="26">
    <w:p w:rsidR="00171802" w:rsidRPr="00C96E47" w:rsidRDefault="00171802">
      <w:pPr>
        <w:pStyle w:val="FootnoteText"/>
        <w:rPr>
          <w:sz w:val="16"/>
          <w:szCs w:val="16"/>
        </w:rPr>
      </w:pPr>
      <w:r>
        <w:rPr>
          <w:rStyle w:val="FootnoteReference"/>
        </w:rPr>
        <w:footnoteRef/>
      </w:r>
      <w:r>
        <w:t xml:space="preserve"> </w:t>
      </w:r>
      <w:r w:rsidRPr="00C96E47">
        <w:rPr>
          <w:sz w:val="16"/>
          <w:szCs w:val="16"/>
        </w:rPr>
        <w:t xml:space="preserve">Corrigendum: In the PPR 2012/13, it was reported that a national IP innovation strategy was under development in Tunisia.  </w:t>
      </w:r>
      <w:r>
        <w:rPr>
          <w:sz w:val="16"/>
          <w:szCs w:val="16"/>
        </w:rPr>
        <w:t>In</w:t>
      </w:r>
      <w:r w:rsidRPr="00C96E47">
        <w:rPr>
          <w:sz w:val="16"/>
          <w:szCs w:val="16"/>
        </w:rPr>
        <w:t xml:space="preserve"> 2014</w:t>
      </w:r>
      <w:r>
        <w:rPr>
          <w:sz w:val="16"/>
          <w:szCs w:val="16"/>
        </w:rPr>
        <w:t>,</w:t>
      </w:r>
      <w:r w:rsidRPr="00C96E47">
        <w:rPr>
          <w:sz w:val="16"/>
          <w:szCs w:val="16"/>
        </w:rPr>
        <w:t xml:space="preserve"> Tunisia </w:t>
      </w:r>
      <w:r>
        <w:rPr>
          <w:sz w:val="16"/>
          <w:szCs w:val="16"/>
        </w:rPr>
        <w:t xml:space="preserve">began </w:t>
      </w:r>
      <w:r w:rsidRPr="00C96E47">
        <w:rPr>
          <w:sz w:val="16"/>
          <w:szCs w:val="16"/>
        </w:rPr>
        <w:t xml:space="preserve">discussions on the </w:t>
      </w:r>
      <w:r>
        <w:rPr>
          <w:sz w:val="16"/>
          <w:szCs w:val="16"/>
        </w:rPr>
        <w:t>possibility of developing such a strategy</w:t>
      </w:r>
      <w:r w:rsidRPr="00C96E47">
        <w:rPr>
          <w:sz w:val="16"/>
          <w:szCs w:val="16"/>
        </w:rPr>
        <w:t xml:space="preserve">. </w:t>
      </w:r>
    </w:p>
  </w:footnote>
  <w:footnote w:id="27">
    <w:p w:rsidR="00171802" w:rsidRPr="00C96E47" w:rsidRDefault="00171802">
      <w:pPr>
        <w:pStyle w:val="FootnoteText"/>
        <w:rPr>
          <w:sz w:val="16"/>
          <w:szCs w:val="16"/>
        </w:rPr>
      </w:pPr>
      <w:r>
        <w:rPr>
          <w:rStyle w:val="FootnoteReference"/>
        </w:rPr>
        <w:footnoteRef/>
      </w:r>
      <w:r>
        <w:t xml:space="preserve"> </w:t>
      </w:r>
      <w:r w:rsidRPr="00C96E47">
        <w:rPr>
          <w:sz w:val="16"/>
          <w:szCs w:val="16"/>
        </w:rPr>
        <w:t xml:space="preserve">Corrigendum: In the PPR 2012/13, it was reported that Algeria was in the course of adopting a national IP strategy in 2012/13.  At the end of 2014, Algeria was in the process of reformulating a national IP strategy.   </w:t>
      </w:r>
    </w:p>
  </w:footnote>
  <w:footnote w:id="28">
    <w:p w:rsidR="00171802" w:rsidRPr="00C96E47" w:rsidRDefault="00171802">
      <w:pPr>
        <w:pStyle w:val="FootnoteText"/>
        <w:rPr>
          <w:sz w:val="16"/>
          <w:szCs w:val="16"/>
        </w:rPr>
      </w:pPr>
      <w:r>
        <w:rPr>
          <w:rStyle w:val="FootnoteReference"/>
        </w:rPr>
        <w:footnoteRef/>
      </w:r>
      <w:r>
        <w:t xml:space="preserve"> </w:t>
      </w:r>
      <w:r w:rsidRPr="00C96E47">
        <w:rPr>
          <w:sz w:val="16"/>
          <w:szCs w:val="16"/>
        </w:rPr>
        <w:t xml:space="preserve">The process was delayed because of structural changes in the </w:t>
      </w:r>
      <w:r>
        <w:rPr>
          <w:sz w:val="16"/>
          <w:szCs w:val="16"/>
        </w:rPr>
        <w:t>Government</w:t>
      </w:r>
      <w:r w:rsidRPr="00C96E47">
        <w:rPr>
          <w:sz w:val="16"/>
          <w:szCs w:val="16"/>
        </w:rPr>
        <w:t>.</w:t>
      </w:r>
    </w:p>
  </w:footnote>
  <w:footnote w:id="29">
    <w:p w:rsidR="00171802" w:rsidRPr="00EE3764" w:rsidRDefault="00171802" w:rsidP="00F54CA4">
      <w:pPr>
        <w:pStyle w:val="FootnoteText"/>
        <w:rPr>
          <w:sz w:val="16"/>
          <w:szCs w:val="16"/>
        </w:rPr>
      </w:pPr>
      <w:r w:rsidRPr="00EE3764">
        <w:rPr>
          <w:rStyle w:val="FootnoteReference"/>
          <w:sz w:val="16"/>
          <w:szCs w:val="16"/>
        </w:rPr>
        <w:footnoteRef/>
      </w:r>
      <w:r w:rsidRPr="00EE3764">
        <w:rPr>
          <w:sz w:val="16"/>
          <w:szCs w:val="16"/>
        </w:rPr>
        <w:t xml:space="preserve"> The process had stalled in 2011.  In 2014, a consultative process was re-initiated.</w:t>
      </w:r>
    </w:p>
  </w:footnote>
  <w:footnote w:id="30">
    <w:p w:rsidR="00171802" w:rsidRPr="00EE3764" w:rsidRDefault="00171802" w:rsidP="00F54CA4">
      <w:pPr>
        <w:pStyle w:val="FootnoteText"/>
        <w:rPr>
          <w:sz w:val="16"/>
          <w:szCs w:val="16"/>
        </w:rPr>
      </w:pPr>
      <w:r w:rsidRPr="00EE3764">
        <w:rPr>
          <w:rStyle w:val="FootnoteReference"/>
          <w:sz w:val="16"/>
          <w:szCs w:val="16"/>
        </w:rPr>
        <w:footnoteRef/>
      </w:r>
      <w:r w:rsidRPr="00EE3764">
        <w:rPr>
          <w:sz w:val="16"/>
          <w:szCs w:val="16"/>
        </w:rPr>
        <w:t xml:space="preserve"> The IP strategy was country-led.  In 2014, WIPO assistance was provided on the innovation component of the strategy.</w:t>
      </w:r>
    </w:p>
  </w:footnote>
  <w:footnote w:id="31">
    <w:p w:rsidR="00171802" w:rsidRDefault="00171802" w:rsidP="00F54CA4">
      <w:pPr>
        <w:pStyle w:val="FootnoteText"/>
      </w:pPr>
      <w:r w:rsidRPr="00EE3764">
        <w:rPr>
          <w:rStyle w:val="FootnoteReference"/>
          <w:sz w:val="16"/>
          <w:szCs w:val="16"/>
        </w:rPr>
        <w:footnoteRef/>
      </w:r>
      <w:r w:rsidRPr="00EE3764">
        <w:rPr>
          <w:sz w:val="16"/>
          <w:szCs w:val="16"/>
        </w:rPr>
        <w:t xml:space="preserve"> </w:t>
      </w:r>
      <w:proofErr w:type="gramStart"/>
      <w:r w:rsidRPr="00EE3764">
        <w:rPr>
          <w:sz w:val="16"/>
          <w:szCs w:val="16"/>
        </w:rPr>
        <w:t>Idem.</w:t>
      </w:r>
      <w:proofErr w:type="gramEnd"/>
    </w:p>
  </w:footnote>
  <w:footnote w:id="32">
    <w:p w:rsidR="00171802" w:rsidRDefault="00171802">
      <w:pPr>
        <w:pStyle w:val="FootnoteText"/>
      </w:pPr>
      <w:r>
        <w:rPr>
          <w:rStyle w:val="FootnoteReference"/>
        </w:rPr>
        <w:footnoteRef/>
      </w:r>
      <w:r>
        <w:t xml:space="preserve"> </w:t>
      </w:r>
      <w:r w:rsidRPr="00B775C9">
        <w:rPr>
          <w:sz w:val="16"/>
          <w:szCs w:val="16"/>
        </w:rPr>
        <w:t>The number of applications is based on the country of origin</w:t>
      </w:r>
      <w:r>
        <w:rPr>
          <w:sz w:val="16"/>
          <w:szCs w:val="16"/>
        </w:rPr>
        <w:t>.  Figures for 2014 are estimated. T</w:t>
      </w:r>
      <w:r w:rsidRPr="00B775C9">
        <w:rPr>
          <w:sz w:val="16"/>
          <w:szCs w:val="16"/>
        </w:rPr>
        <w:t xml:space="preserve">he percentage </w:t>
      </w:r>
      <w:r>
        <w:rPr>
          <w:sz w:val="16"/>
          <w:szCs w:val="16"/>
        </w:rPr>
        <w:t xml:space="preserve">of </w:t>
      </w:r>
      <w:r w:rsidRPr="00B775C9">
        <w:rPr>
          <w:sz w:val="16"/>
          <w:szCs w:val="16"/>
        </w:rPr>
        <w:t>increase/decrease is in comparison to 2013.</w:t>
      </w:r>
      <w:r>
        <w:t xml:space="preserve"> </w:t>
      </w:r>
    </w:p>
  </w:footnote>
  <w:footnote w:id="33">
    <w:p w:rsidR="00171802" w:rsidRDefault="00171802">
      <w:pPr>
        <w:pStyle w:val="FootnoteText"/>
      </w:pPr>
      <w:r>
        <w:rPr>
          <w:rStyle w:val="FootnoteReference"/>
        </w:rPr>
        <w:footnoteRef/>
      </w:r>
      <w:r>
        <w:t xml:space="preserve"> </w:t>
      </w:r>
      <w:proofErr w:type="gramStart"/>
      <w:r w:rsidRPr="00B775C9">
        <w:rPr>
          <w:sz w:val="16"/>
          <w:szCs w:val="16"/>
        </w:rPr>
        <w:t>Idem.</w:t>
      </w:r>
      <w:proofErr w:type="gramEnd"/>
    </w:p>
  </w:footnote>
  <w:footnote w:id="34">
    <w:p w:rsidR="00171802" w:rsidRDefault="00171802">
      <w:pPr>
        <w:pStyle w:val="FootnoteText"/>
      </w:pPr>
      <w:r>
        <w:rPr>
          <w:rStyle w:val="FootnoteReference"/>
        </w:rPr>
        <w:footnoteRef/>
      </w:r>
      <w:r>
        <w:t xml:space="preserve"> </w:t>
      </w:r>
      <w:proofErr w:type="gramStart"/>
      <w:r w:rsidRPr="00B775C9">
        <w:rPr>
          <w:sz w:val="16"/>
          <w:szCs w:val="16"/>
        </w:rPr>
        <w:t>Idem.</w:t>
      </w:r>
      <w:proofErr w:type="gramEnd"/>
    </w:p>
  </w:footnote>
  <w:footnote w:id="35">
    <w:p w:rsidR="00171802" w:rsidRDefault="00171802">
      <w:pPr>
        <w:pStyle w:val="FootnoteText"/>
      </w:pPr>
      <w:r>
        <w:rPr>
          <w:rStyle w:val="FootnoteReference"/>
        </w:rPr>
        <w:footnoteRef/>
      </w:r>
      <w:r>
        <w:t xml:space="preserve"> </w:t>
      </w:r>
      <w:r w:rsidRPr="004234DA">
        <w:rPr>
          <w:sz w:val="16"/>
          <w:szCs w:val="16"/>
        </w:rPr>
        <w:t>The higher level of participation from Latin America and the Caribbean is primarily due the customized versions of the General Course on IP (DL101) in Portuguese and Spanish.</w:t>
      </w:r>
    </w:p>
  </w:footnote>
  <w:footnote w:id="36">
    <w:p w:rsidR="00171802" w:rsidRDefault="00171802">
      <w:pPr>
        <w:pStyle w:val="FootnoteText"/>
      </w:pPr>
      <w:r>
        <w:rPr>
          <w:rStyle w:val="FootnoteReference"/>
        </w:rPr>
        <w:footnoteRef/>
      </w:r>
      <w:r>
        <w:t xml:space="preserve"> </w:t>
      </w:r>
      <w:r>
        <w:rPr>
          <w:sz w:val="16"/>
          <w:szCs w:val="16"/>
        </w:rPr>
        <w:t>Available is defined as having been translated into the language and able to be offered to partner IP Offices.  It should be noted that in a given year not all available courses are offered in all language versions, depending on when the new language version might become available in the year and/or the preparedness of the partner IP Offices with whom the courses are run.</w:t>
      </w:r>
    </w:p>
  </w:footnote>
  <w:footnote w:id="37">
    <w:p w:rsidR="00171802" w:rsidRPr="006C688C" w:rsidRDefault="00171802" w:rsidP="00CE4C9D">
      <w:pPr>
        <w:pStyle w:val="FootnoteText"/>
        <w:rPr>
          <w:sz w:val="16"/>
          <w:szCs w:val="16"/>
        </w:rPr>
      </w:pPr>
      <w:r w:rsidRPr="006C688C">
        <w:rPr>
          <w:rStyle w:val="FootnoteReference"/>
          <w:sz w:val="16"/>
          <w:szCs w:val="16"/>
        </w:rPr>
        <w:footnoteRef/>
      </w:r>
      <w:r w:rsidRPr="006C688C">
        <w:rPr>
          <w:sz w:val="16"/>
          <w:szCs w:val="16"/>
        </w:rPr>
        <w:t xml:space="preserve"> Contribution to this publication was done under the FIT US SMEs, which was closed during Q1 2015. </w:t>
      </w:r>
    </w:p>
  </w:footnote>
  <w:footnote w:id="38">
    <w:p w:rsidR="00171802" w:rsidRPr="00951631" w:rsidRDefault="00171802">
      <w:pPr>
        <w:pStyle w:val="FootnoteText"/>
        <w:rPr>
          <w:sz w:val="16"/>
          <w:szCs w:val="16"/>
        </w:rPr>
      </w:pPr>
      <w:r>
        <w:rPr>
          <w:rStyle w:val="FootnoteReference"/>
        </w:rPr>
        <w:footnoteRef/>
      </w:r>
      <w:r>
        <w:t xml:space="preserve"> </w:t>
      </w:r>
      <w:r>
        <w:rPr>
          <w:sz w:val="16"/>
          <w:szCs w:val="16"/>
        </w:rPr>
        <w:t>See</w:t>
      </w:r>
      <w:r w:rsidRPr="00951631">
        <w:rPr>
          <w:sz w:val="16"/>
          <w:szCs w:val="16"/>
        </w:rPr>
        <w:t xml:space="preserve"> Program 10.</w:t>
      </w:r>
    </w:p>
  </w:footnote>
  <w:footnote w:id="39">
    <w:p w:rsidR="00171802" w:rsidRPr="00E6263F" w:rsidRDefault="00171802">
      <w:pPr>
        <w:pStyle w:val="FootnoteText"/>
        <w:rPr>
          <w:sz w:val="16"/>
          <w:szCs w:val="16"/>
        </w:rPr>
      </w:pPr>
      <w:r>
        <w:rPr>
          <w:rStyle w:val="FootnoteReference"/>
        </w:rPr>
        <w:footnoteRef/>
      </w:r>
      <w:r w:rsidRPr="00E6263F">
        <w:rPr>
          <w:sz w:val="16"/>
          <w:szCs w:val="16"/>
        </w:rPr>
        <w:t>Renamed WIPO Translate.</w:t>
      </w:r>
    </w:p>
  </w:footnote>
  <w:footnote w:id="40">
    <w:p w:rsidR="00171802" w:rsidRPr="006F1155" w:rsidRDefault="00171802">
      <w:pPr>
        <w:pStyle w:val="FootnoteText"/>
        <w:rPr>
          <w:sz w:val="16"/>
          <w:szCs w:val="16"/>
        </w:rPr>
      </w:pPr>
      <w:r w:rsidRPr="006F1155">
        <w:rPr>
          <w:rStyle w:val="FootnoteReference"/>
          <w:sz w:val="16"/>
          <w:szCs w:val="16"/>
        </w:rPr>
        <w:footnoteRef/>
      </w:r>
      <w:r w:rsidRPr="006F1155">
        <w:rPr>
          <w:sz w:val="16"/>
          <w:szCs w:val="16"/>
        </w:rPr>
        <w:t xml:space="preserve"> The number of users refers to unique ‘users’ rather than unique ‘visitors</w:t>
      </w:r>
      <w:r w:rsidRPr="007F4900">
        <w:rPr>
          <w:sz w:val="16"/>
          <w:szCs w:val="16"/>
        </w:rPr>
        <w:t xml:space="preserve">’, which </w:t>
      </w:r>
      <w:r w:rsidRPr="006F1155">
        <w:rPr>
          <w:sz w:val="16"/>
          <w:szCs w:val="16"/>
        </w:rPr>
        <w:t xml:space="preserve">avoids the risk of counting the number of unique visitors who only view the page and do not perform searches, and thus provides a more accurate representation of the database usage. </w:t>
      </w:r>
    </w:p>
  </w:footnote>
  <w:footnote w:id="41">
    <w:p w:rsidR="00171802" w:rsidRPr="00E92481" w:rsidRDefault="00171802">
      <w:pPr>
        <w:pStyle w:val="FootnoteText"/>
        <w:rPr>
          <w:lang w:val="fr-FR"/>
        </w:rPr>
      </w:pPr>
      <w:r w:rsidRPr="006F1155">
        <w:rPr>
          <w:rStyle w:val="FootnoteReference"/>
          <w:sz w:val="16"/>
          <w:szCs w:val="16"/>
        </w:rPr>
        <w:footnoteRef/>
      </w:r>
      <w:r w:rsidRPr="00E92481">
        <w:rPr>
          <w:sz w:val="16"/>
          <w:szCs w:val="16"/>
          <w:lang w:val="fr-FR"/>
        </w:rPr>
        <w:t xml:space="preserve"> Idem.</w:t>
      </w:r>
    </w:p>
  </w:footnote>
  <w:footnote w:id="42">
    <w:p w:rsidR="00171802" w:rsidRPr="00E92481" w:rsidRDefault="00171802">
      <w:pPr>
        <w:pStyle w:val="FootnoteText"/>
        <w:rPr>
          <w:sz w:val="16"/>
          <w:szCs w:val="16"/>
          <w:lang w:val="fr-FR"/>
        </w:rPr>
      </w:pPr>
      <w:r w:rsidRPr="005E1FB8">
        <w:rPr>
          <w:rStyle w:val="FootnoteReference"/>
          <w:sz w:val="16"/>
          <w:szCs w:val="16"/>
        </w:rPr>
        <w:footnoteRef/>
      </w:r>
      <w:r w:rsidRPr="00E92481">
        <w:rPr>
          <w:sz w:val="16"/>
          <w:szCs w:val="16"/>
          <w:lang w:val="fr-FR"/>
        </w:rPr>
        <w:t xml:space="preserve"> http://etisc.wipo.org/ </w:t>
      </w:r>
    </w:p>
  </w:footnote>
  <w:footnote w:id="43">
    <w:p w:rsidR="00171802" w:rsidRPr="00E92481" w:rsidRDefault="00171802" w:rsidP="00E70E02">
      <w:pPr>
        <w:pStyle w:val="FootnoteText"/>
        <w:rPr>
          <w:sz w:val="16"/>
          <w:szCs w:val="16"/>
          <w:lang w:val="fr-FR"/>
        </w:rPr>
      </w:pPr>
      <w:r w:rsidRPr="007776CB">
        <w:rPr>
          <w:rStyle w:val="FootnoteReference"/>
          <w:sz w:val="16"/>
          <w:szCs w:val="16"/>
        </w:rPr>
        <w:footnoteRef/>
      </w:r>
      <w:r w:rsidRPr="00E92481">
        <w:rPr>
          <w:sz w:val="16"/>
          <w:szCs w:val="16"/>
          <w:lang w:val="fr-FR"/>
        </w:rPr>
        <w:t xml:space="preserve"> http://www.wipo.int/tisc/en/etutorial.html</w:t>
      </w:r>
    </w:p>
  </w:footnote>
  <w:footnote w:id="44">
    <w:p w:rsidR="00171802" w:rsidRPr="00E92481" w:rsidRDefault="00171802">
      <w:pPr>
        <w:pStyle w:val="FootnoteText"/>
        <w:rPr>
          <w:sz w:val="16"/>
          <w:szCs w:val="16"/>
          <w:lang w:val="fr-FR"/>
        </w:rPr>
      </w:pPr>
      <w:r w:rsidRPr="00BD71FF">
        <w:rPr>
          <w:rStyle w:val="FootnoteReference"/>
          <w:sz w:val="16"/>
          <w:szCs w:val="16"/>
        </w:rPr>
        <w:footnoteRef/>
      </w:r>
      <w:r w:rsidRPr="00E92481">
        <w:rPr>
          <w:sz w:val="16"/>
          <w:szCs w:val="16"/>
          <w:lang w:val="fr-FR"/>
        </w:rPr>
        <w:t xml:space="preserve"> http://www.wipo.int/tisc/fr/etutorial.html</w:t>
      </w:r>
    </w:p>
  </w:footnote>
  <w:footnote w:id="45">
    <w:p w:rsidR="00171802" w:rsidRDefault="00171802">
      <w:pPr>
        <w:pStyle w:val="FootnoteText"/>
      </w:pPr>
      <w:r>
        <w:rPr>
          <w:rStyle w:val="FootnoteReference"/>
        </w:rPr>
        <w:footnoteRef/>
      </w:r>
      <w:r>
        <w:t xml:space="preserve"> </w:t>
      </w:r>
      <w:r w:rsidRPr="00484C8E">
        <w:rPr>
          <w:sz w:val="16"/>
          <w:szCs w:val="16"/>
        </w:rPr>
        <w:t xml:space="preserve">Corrigendum: </w:t>
      </w:r>
      <w:r>
        <w:rPr>
          <w:sz w:val="16"/>
          <w:szCs w:val="16"/>
        </w:rPr>
        <w:t xml:space="preserve">In the PPR 2012/13 </w:t>
      </w:r>
      <w:r w:rsidRPr="00484C8E">
        <w:rPr>
          <w:sz w:val="16"/>
          <w:szCs w:val="16"/>
        </w:rPr>
        <w:t>it was reported that there were seven Offices using WIPO CASE at the end of 2013.  The actual number of Offices using the platform at the end of 2013 was nine.</w:t>
      </w:r>
    </w:p>
  </w:footnote>
  <w:footnote w:id="46">
    <w:p w:rsidR="00171802" w:rsidRDefault="00171802">
      <w:pPr>
        <w:pStyle w:val="FootnoteText"/>
      </w:pPr>
      <w:r>
        <w:rPr>
          <w:rStyle w:val="FootnoteReference"/>
        </w:rPr>
        <w:footnoteRef/>
      </w:r>
      <w:r>
        <w:t xml:space="preserve"> </w:t>
      </w:r>
      <w:r w:rsidRPr="0003661F">
        <w:rPr>
          <w:sz w:val="16"/>
          <w:szCs w:val="16"/>
        </w:rPr>
        <w:t xml:space="preserve">The average monthly figure is </w:t>
      </w:r>
      <w:r>
        <w:rPr>
          <w:sz w:val="16"/>
          <w:szCs w:val="16"/>
        </w:rPr>
        <w:t xml:space="preserve">extrapolated from data from </w:t>
      </w:r>
      <w:r w:rsidRPr="0003661F">
        <w:rPr>
          <w:sz w:val="16"/>
          <w:szCs w:val="16"/>
        </w:rPr>
        <w:t>January to May 2014.  In June 2014, a new version of the IP Statistics Data Center was implemented</w:t>
      </w:r>
      <w:r>
        <w:rPr>
          <w:sz w:val="16"/>
          <w:szCs w:val="16"/>
        </w:rPr>
        <w:t xml:space="preserve">, resulting in the inability to track the </w:t>
      </w:r>
      <w:r w:rsidRPr="0003661F">
        <w:rPr>
          <w:sz w:val="16"/>
          <w:szCs w:val="16"/>
        </w:rPr>
        <w:t>data for the second half of the year.</w:t>
      </w:r>
      <w:r>
        <w:t xml:space="preserve">     </w:t>
      </w:r>
    </w:p>
  </w:footnote>
  <w:footnote w:id="47">
    <w:p w:rsidR="00171802" w:rsidRDefault="00171802">
      <w:pPr>
        <w:pStyle w:val="FootnoteText"/>
      </w:pPr>
      <w:r>
        <w:rPr>
          <w:rStyle w:val="FootnoteReference"/>
        </w:rPr>
        <w:footnoteRef/>
      </w:r>
      <w:r>
        <w:t xml:space="preserve"> </w:t>
      </w:r>
      <w:r w:rsidRPr="00057D8E">
        <w:rPr>
          <w:sz w:val="16"/>
          <w:szCs w:val="16"/>
        </w:rPr>
        <w:t xml:space="preserve">Corrigendum: The actual number of Partners at the end of 2013 was 36 and the actual number of uploads 820, as opposed to the 37 and 800 reported in the PPR 2012/13.  </w:t>
      </w:r>
    </w:p>
  </w:footnote>
  <w:footnote w:id="48">
    <w:p w:rsidR="00171802" w:rsidRDefault="00171802">
      <w:pPr>
        <w:pStyle w:val="FootnoteText"/>
      </w:pPr>
      <w:r>
        <w:rPr>
          <w:rStyle w:val="FootnoteReference"/>
        </w:rPr>
        <w:footnoteRef/>
      </w:r>
      <w:r>
        <w:t xml:space="preserve"> </w:t>
      </w:r>
      <w:r w:rsidRPr="00A870A2">
        <w:rPr>
          <w:sz w:val="16"/>
          <w:szCs w:val="16"/>
        </w:rPr>
        <w:t xml:space="preserve">In the PPR 2012/13, it was reported that reference to the </w:t>
      </w:r>
      <w:r w:rsidRPr="00A870A2">
        <w:rPr>
          <w:rFonts w:cs="Arial"/>
          <w:sz w:val="16"/>
          <w:szCs w:val="16"/>
        </w:rPr>
        <w:t xml:space="preserve">annual World IP Day campaign </w:t>
      </w:r>
      <w:r w:rsidRPr="00A870A2">
        <w:rPr>
          <w:sz w:val="16"/>
          <w:szCs w:val="16"/>
        </w:rPr>
        <w:t>was reported in 89 countries.  The actual number of countries reporting was 93.</w:t>
      </w:r>
    </w:p>
  </w:footnote>
  <w:footnote w:id="49">
    <w:p w:rsidR="00171802" w:rsidRPr="001E6C53" w:rsidRDefault="00171802">
      <w:pPr>
        <w:pStyle w:val="FootnoteText"/>
      </w:pPr>
      <w:r>
        <w:rPr>
          <w:rStyle w:val="FootnoteReference"/>
        </w:rPr>
        <w:footnoteRef/>
      </w:r>
      <w:r>
        <w:t xml:space="preserve"> </w:t>
      </w:r>
      <w:r w:rsidRPr="001E6C53">
        <w:rPr>
          <w:rFonts w:cs="Arial"/>
          <w:sz w:val="16"/>
          <w:szCs w:val="16"/>
        </w:rPr>
        <w:t>Because a</w:t>
      </w:r>
      <w:r w:rsidRPr="001E6C53">
        <w:t xml:space="preserve"> </w:t>
      </w:r>
      <w:r w:rsidRPr="001E6C53">
        <w:rPr>
          <w:rFonts w:cs="Arial"/>
          <w:sz w:val="16"/>
          <w:szCs w:val="16"/>
        </w:rPr>
        <w:t>WIPO Stakeholders Perceptions Survey was not conducted in 2013, t</w:t>
      </w:r>
      <w:r w:rsidRPr="001E6C53">
        <w:rPr>
          <w:sz w:val="16"/>
          <w:szCs w:val="16"/>
        </w:rPr>
        <w:t xml:space="preserve">he data reported in the PPR 2012/13 were extrapolated from the </w:t>
      </w:r>
      <w:r w:rsidRPr="001E6C53">
        <w:rPr>
          <w:rFonts w:cs="Arial"/>
          <w:sz w:val="16"/>
          <w:szCs w:val="16"/>
        </w:rPr>
        <w:t>WIPO Service Orientation Survey, which uses a different methodology and is sent to a different stakeholder group.  As such, the updated baseline for 2013 is not comparable with the data for 2014.</w:t>
      </w:r>
      <w:r w:rsidRPr="001E6C53">
        <w:t xml:space="preserve"> </w:t>
      </w:r>
    </w:p>
  </w:footnote>
  <w:footnote w:id="50">
    <w:p w:rsidR="00171802" w:rsidRPr="001E6C53" w:rsidRDefault="00171802">
      <w:pPr>
        <w:pStyle w:val="FootnoteText"/>
      </w:pPr>
      <w:r w:rsidRPr="001E6C53">
        <w:rPr>
          <w:rStyle w:val="FootnoteReference"/>
        </w:rPr>
        <w:footnoteRef/>
      </w:r>
      <w:r w:rsidRPr="001E6C53">
        <w:t xml:space="preserve"> </w:t>
      </w:r>
      <w:r w:rsidRPr="001E6C53">
        <w:rPr>
          <w:sz w:val="16"/>
          <w:szCs w:val="16"/>
        </w:rPr>
        <w:t xml:space="preserve">The 2014 performance data is comparable with the Original Baseline P&amp;B 2014/15 of 65 per cent, which was based on the </w:t>
      </w:r>
      <w:r w:rsidRPr="001E6C53">
        <w:rPr>
          <w:rFonts w:cs="Arial"/>
          <w:sz w:val="16"/>
          <w:szCs w:val="16"/>
        </w:rPr>
        <w:t>WIPO Stakeholders Perceptions Survey 2012.</w:t>
      </w:r>
      <w:r w:rsidRPr="001E6C53">
        <w:t xml:space="preserve"> </w:t>
      </w:r>
    </w:p>
  </w:footnote>
  <w:footnote w:id="51">
    <w:p w:rsidR="00171802" w:rsidRPr="001E6C53" w:rsidRDefault="00171802">
      <w:pPr>
        <w:pStyle w:val="FootnoteText"/>
      </w:pPr>
      <w:r w:rsidRPr="001E6C53">
        <w:rPr>
          <w:rStyle w:val="FootnoteReference"/>
        </w:rPr>
        <w:footnoteRef/>
      </w:r>
      <w:r w:rsidRPr="001E6C53">
        <w:t xml:space="preserve"> </w:t>
      </w:r>
      <w:r w:rsidRPr="001E6C53">
        <w:rPr>
          <w:sz w:val="16"/>
          <w:szCs w:val="16"/>
        </w:rPr>
        <w:t>In the 2012/13 PPR, it was reported that there were 226 videos.  The actual number of videos at the end of 2013 was 228.  The average number of views has been updated accordingly.</w:t>
      </w:r>
    </w:p>
  </w:footnote>
  <w:footnote w:id="52">
    <w:p w:rsidR="00171802" w:rsidRPr="00845557" w:rsidRDefault="00171802" w:rsidP="00845557">
      <w:pPr>
        <w:rPr>
          <w:sz w:val="16"/>
          <w:szCs w:val="16"/>
        </w:rPr>
      </w:pPr>
      <w:r>
        <w:rPr>
          <w:rStyle w:val="FootnoteReference"/>
        </w:rPr>
        <w:footnoteRef/>
      </w:r>
      <w:r>
        <w:t xml:space="preserve"> </w:t>
      </w:r>
      <w:r w:rsidRPr="005D6392">
        <w:rPr>
          <w:sz w:val="16"/>
          <w:szCs w:val="16"/>
        </w:rPr>
        <w:t>The original baseline</w:t>
      </w:r>
      <w:r>
        <w:rPr>
          <w:sz w:val="16"/>
          <w:szCs w:val="16"/>
        </w:rPr>
        <w:t xml:space="preserve"> in the P</w:t>
      </w:r>
      <w:r w:rsidRPr="005D6392">
        <w:rPr>
          <w:sz w:val="16"/>
          <w:szCs w:val="16"/>
        </w:rPr>
        <w:t xml:space="preserve">rogram and </w:t>
      </w:r>
      <w:r>
        <w:rPr>
          <w:sz w:val="16"/>
          <w:szCs w:val="16"/>
        </w:rPr>
        <w:t>B</w:t>
      </w:r>
      <w:r w:rsidRPr="005D6392">
        <w:rPr>
          <w:sz w:val="16"/>
          <w:szCs w:val="16"/>
        </w:rPr>
        <w:t>udget 2014/</w:t>
      </w:r>
      <w:r>
        <w:rPr>
          <w:sz w:val="16"/>
          <w:szCs w:val="16"/>
        </w:rPr>
        <w:t>15 was calculated using estimated figures as at mid-2013.  These figures have now been updated.</w:t>
      </w:r>
    </w:p>
  </w:footnote>
  <w:footnote w:id="53">
    <w:p w:rsidR="00171802" w:rsidRDefault="00171802">
      <w:pPr>
        <w:pStyle w:val="FootnoteText"/>
      </w:pPr>
      <w:r>
        <w:rPr>
          <w:rStyle w:val="FootnoteReference"/>
        </w:rPr>
        <w:footnoteRef/>
      </w:r>
      <w:r>
        <w:t xml:space="preserve"> </w:t>
      </w:r>
      <w:r w:rsidRPr="004A4D1A">
        <w:rPr>
          <w:sz w:val="16"/>
          <w:szCs w:val="16"/>
        </w:rPr>
        <w:t>Link to 2014 WIPO Assemblies Survey: http://www.wipo.int/export/sites/www/about-wipo/en/assemblies/pdf/survey_2014.pdf</w:t>
      </w:r>
      <w:r>
        <w:t xml:space="preserve"> </w:t>
      </w:r>
    </w:p>
  </w:footnote>
  <w:footnote w:id="54">
    <w:p w:rsidR="00171802" w:rsidRPr="00CD55B6" w:rsidRDefault="00171802" w:rsidP="00271CFB">
      <w:pPr>
        <w:pStyle w:val="FootnoteText"/>
        <w:rPr>
          <w:sz w:val="16"/>
          <w:lang w:val="en-GB"/>
        </w:rPr>
      </w:pPr>
      <w:r>
        <w:rPr>
          <w:rStyle w:val="FootnoteReference"/>
        </w:rPr>
        <w:footnoteRef/>
      </w:r>
      <w:r>
        <w:t xml:space="preserve"> </w:t>
      </w:r>
      <w:r w:rsidRPr="00CD55B6">
        <w:rPr>
          <w:sz w:val="16"/>
        </w:rPr>
        <w:t>See also WO/PBC/22/12 WIPO’s Accountability Framework</w:t>
      </w:r>
    </w:p>
  </w:footnote>
  <w:footnote w:id="55">
    <w:p w:rsidR="00171802" w:rsidRPr="00432B1E" w:rsidRDefault="00171802">
      <w:pPr>
        <w:pStyle w:val="FootnoteText"/>
        <w:rPr>
          <w:sz w:val="16"/>
          <w:szCs w:val="16"/>
        </w:rPr>
      </w:pPr>
      <w:r w:rsidRPr="00740A21">
        <w:rPr>
          <w:rStyle w:val="FootnoteReference"/>
          <w:sz w:val="16"/>
          <w:szCs w:val="16"/>
        </w:rPr>
        <w:footnoteRef/>
      </w:r>
      <w:r w:rsidRPr="00740A21">
        <w:rPr>
          <w:sz w:val="16"/>
          <w:szCs w:val="16"/>
        </w:rPr>
        <w:t xml:space="preserve"> </w:t>
      </w:r>
      <w:r>
        <w:rPr>
          <w:sz w:val="16"/>
          <w:szCs w:val="16"/>
        </w:rPr>
        <w:t xml:space="preserve">Corrigendum: </w:t>
      </w:r>
      <w:r w:rsidRPr="00432B1E">
        <w:rPr>
          <w:sz w:val="16"/>
          <w:szCs w:val="16"/>
        </w:rPr>
        <w:t>In the 2012/13 PPR</w:t>
      </w:r>
      <w:r>
        <w:rPr>
          <w:sz w:val="16"/>
          <w:szCs w:val="16"/>
        </w:rPr>
        <w:t>,</w:t>
      </w:r>
      <w:r w:rsidRPr="00432B1E">
        <w:rPr>
          <w:sz w:val="16"/>
          <w:szCs w:val="16"/>
        </w:rPr>
        <w:t xml:space="preserve"> it was reported that 53</w:t>
      </w:r>
      <w:r>
        <w:rPr>
          <w:sz w:val="16"/>
          <w:szCs w:val="16"/>
        </w:rPr>
        <w:t xml:space="preserve"> per cent</w:t>
      </w:r>
      <w:r w:rsidRPr="00432B1E">
        <w:rPr>
          <w:sz w:val="16"/>
          <w:szCs w:val="16"/>
        </w:rPr>
        <w:t xml:space="preserve"> of Programs were using performance data for managing program performance</w:t>
      </w:r>
      <w:r>
        <w:rPr>
          <w:sz w:val="16"/>
          <w:szCs w:val="16"/>
        </w:rPr>
        <w:t>.</w:t>
      </w:r>
    </w:p>
  </w:footnote>
  <w:footnote w:id="56">
    <w:p w:rsidR="00171802" w:rsidRPr="00432B1E" w:rsidRDefault="00171802">
      <w:pPr>
        <w:pStyle w:val="FootnoteText"/>
        <w:rPr>
          <w:sz w:val="16"/>
          <w:szCs w:val="16"/>
        </w:rPr>
      </w:pPr>
      <w:r w:rsidRPr="00432B1E">
        <w:rPr>
          <w:rStyle w:val="FootnoteReference"/>
          <w:sz w:val="16"/>
          <w:szCs w:val="16"/>
        </w:rPr>
        <w:footnoteRef/>
      </w:r>
      <w:r w:rsidRPr="00432B1E">
        <w:rPr>
          <w:sz w:val="16"/>
          <w:szCs w:val="16"/>
        </w:rPr>
        <w:t xml:space="preserve"> </w:t>
      </w:r>
      <w:proofErr w:type="gramStart"/>
      <w:r w:rsidRPr="00432B1E">
        <w:rPr>
          <w:sz w:val="16"/>
          <w:szCs w:val="16"/>
        </w:rPr>
        <w:t>Data available on a biennial basis only</w:t>
      </w:r>
      <w:r>
        <w:rPr>
          <w:sz w:val="16"/>
          <w:szCs w:val="16"/>
        </w:rPr>
        <w:t>.</w:t>
      </w:r>
      <w:proofErr w:type="gramEnd"/>
    </w:p>
  </w:footnote>
  <w:footnote w:id="57">
    <w:p w:rsidR="00171802" w:rsidRPr="000A3B37" w:rsidRDefault="00171802" w:rsidP="00FD7155">
      <w:pPr>
        <w:pStyle w:val="FootnoteText"/>
      </w:pPr>
      <w:r>
        <w:rPr>
          <w:rStyle w:val="FootnoteReference"/>
        </w:rPr>
        <w:footnoteRef/>
      </w:r>
      <w:r>
        <w:t xml:space="preserve"> </w:t>
      </w:r>
      <w:proofErr w:type="gramStart"/>
      <w:r>
        <w:rPr>
          <w:rFonts w:cs="Arial"/>
          <w:sz w:val="16"/>
          <w:szCs w:val="16"/>
        </w:rPr>
        <w:t xml:space="preserve">Only staff members </w:t>
      </w:r>
      <w:r w:rsidRPr="002B02C3">
        <w:rPr>
          <w:rFonts w:cs="Arial"/>
          <w:sz w:val="16"/>
          <w:szCs w:val="16"/>
        </w:rPr>
        <w:t>in the Professional and higher categories.</w:t>
      </w:r>
      <w:proofErr w:type="gramEnd"/>
    </w:p>
  </w:footnote>
  <w:footnote w:id="58">
    <w:p w:rsidR="00171802" w:rsidRPr="00C714EC" w:rsidRDefault="00171802">
      <w:pPr>
        <w:pStyle w:val="FootnoteText"/>
      </w:pPr>
      <w:r>
        <w:rPr>
          <w:rStyle w:val="FootnoteReference"/>
        </w:rPr>
        <w:footnoteRef/>
      </w:r>
      <w:r>
        <w:t xml:space="preserve"> </w:t>
      </w:r>
      <w:r>
        <w:rPr>
          <w:rFonts w:cs="Arial"/>
          <w:sz w:val="16"/>
          <w:szCs w:val="16"/>
        </w:rPr>
        <w:t xml:space="preserve">The </w:t>
      </w:r>
      <w:r w:rsidRPr="008D1362">
        <w:rPr>
          <w:rFonts w:cs="Arial"/>
          <w:sz w:val="16"/>
          <w:szCs w:val="16"/>
        </w:rPr>
        <w:t xml:space="preserve">Coordination Committee </w:t>
      </w:r>
      <w:r>
        <w:rPr>
          <w:rFonts w:cs="Arial"/>
          <w:sz w:val="16"/>
          <w:szCs w:val="16"/>
        </w:rPr>
        <w:t xml:space="preserve">is yet to reach a conclusion on </w:t>
      </w:r>
      <w:r w:rsidRPr="008D1362">
        <w:rPr>
          <w:rFonts w:cs="Arial"/>
          <w:sz w:val="16"/>
          <w:szCs w:val="16"/>
        </w:rPr>
        <w:t>whether or not a formal system should replace the 1975 accord on geographical distribution.</w:t>
      </w:r>
    </w:p>
  </w:footnote>
  <w:footnote w:id="59">
    <w:p w:rsidR="00171802" w:rsidRPr="00AD47BD" w:rsidRDefault="00171802" w:rsidP="008D1891">
      <w:pPr>
        <w:tabs>
          <w:tab w:val="left" w:pos="709"/>
        </w:tabs>
        <w:jc w:val="both"/>
        <w:rPr>
          <w:rFonts w:cs="Arial"/>
          <w:sz w:val="16"/>
          <w:szCs w:val="16"/>
        </w:rPr>
      </w:pPr>
      <w:r w:rsidRPr="006B5B97">
        <w:rPr>
          <w:rStyle w:val="FootnoteReference"/>
          <w:sz w:val="16"/>
          <w:szCs w:val="16"/>
        </w:rPr>
        <w:footnoteRef/>
      </w:r>
      <w:r w:rsidRPr="006B5B97">
        <w:rPr>
          <w:sz w:val="16"/>
          <w:szCs w:val="16"/>
        </w:rPr>
        <w:t xml:space="preserve"> </w:t>
      </w:r>
      <w:r w:rsidRPr="00845557">
        <w:rPr>
          <w:rFonts w:cs="Arial"/>
          <w:sz w:val="16"/>
          <w:szCs w:val="16"/>
        </w:rPr>
        <w:t>Appendix III</w:t>
      </w:r>
      <w:r>
        <w:rPr>
          <w:rFonts w:cs="Arial"/>
          <w:sz w:val="16"/>
          <w:szCs w:val="16"/>
        </w:rPr>
        <w:t xml:space="preserve"> </w:t>
      </w:r>
      <w:r w:rsidRPr="006B5B97">
        <w:rPr>
          <w:rFonts w:cs="Arial"/>
          <w:sz w:val="16"/>
          <w:szCs w:val="16"/>
        </w:rPr>
        <w:t>contains an overview of progress in 2014 on the four CMP projects falling under premises management.</w:t>
      </w:r>
    </w:p>
  </w:footnote>
  <w:footnote w:id="60">
    <w:p w:rsidR="00171802" w:rsidRDefault="00171802" w:rsidP="008D1891">
      <w:pPr>
        <w:pStyle w:val="FootnoteText"/>
      </w:pPr>
      <w:r>
        <w:rPr>
          <w:rStyle w:val="FootnoteReference"/>
        </w:rPr>
        <w:footnoteRef/>
      </w:r>
      <w:r>
        <w:t xml:space="preserve"> </w:t>
      </w:r>
      <w:r w:rsidRPr="005C1F88">
        <w:rPr>
          <w:sz w:val="16"/>
          <w:szCs w:val="16"/>
        </w:rPr>
        <w:t>Corrigendum: Due to a typographical error, the target date as published in the Program and Budget 2014/15 reflected the December 31, 2013 instead of December 31, 2015.</w:t>
      </w:r>
      <w:r>
        <w:t xml:space="preserve"> </w:t>
      </w:r>
    </w:p>
  </w:footnote>
  <w:footnote w:id="61">
    <w:p w:rsidR="00171802" w:rsidRDefault="00171802">
      <w:pPr>
        <w:pStyle w:val="FootnoteText"/>
      </w:pPr>
      <w:r>
        <w:rPr>
          <w:rStyle w:val="FootnoteReference"/>
        </w:rPr>
        <w:footnoteRef/>
      </w:r>
      <w:r>
        <w:t xml:space="preserve"> </w:t>
      </w:r>
      <w:r w:rsidRPr="006357D5">
        <w:rPr>
          <w:sz w:val="16"/>
          <w:szCs w:val="16"/>
        </w:rPr>
        <w:t>http://www.wipo.int/about-wipo/en/oversight/iaod/</w:t>
      </w:r>
    </w:p>
  </w:footnote>
  <w:footnote w:id="62">
    <w:p w:rsidR="00171802" w:rsidRPr="00BE05A8" w:rsidRDefault="00171802">
      <w:pPr>
        <w:pStyle w:val="FootnoteText"/>
        <w:rPr>
          <w:sz w:val="16"/>
          <w:szCs w:val="16"/>
        </w:rPr>
      </w:pPr>
      <w:r>
        <w:rPr>
          <w:rStyle w:val="FootnoteReference"/>
        </w:rPr>
        <w:footnoteRef/>
      </w:r>
      <w:r>
        <w:t xml:space="preserve"> </w:t>
      </w:r>
      <w:r w:rsidRPr="00BE05A8">
        <w:rPr>
          <w:sz w:val="16"/>
          <w:szCs w:val="16"/>
        </w:rPr>
        <w:t>http://www.wipo.int/about-wipo/en/oversight/iaod/audit/reports.html</w:t>
      </w:r>
    </w:p>
  </w:footnote>
  <w:footnote w:id="63">
    <w:p w:rsidR="00171802" w:rsidRDefault="00171802">
      <w:pPr>
        <w:pStyle w:val="FootnoteText"/>
      </w:pPr>
      <w:r w:rsidRPr="00BE05A8">
        <w:rPr>
          <w:rStyle w:val="FootnoteReference"/>
        </w:rPr>
        <w:footnoteRef/>
      </w:r>
      <w:r w:rsidRPr="00BE05A8">
        <w:rPr>
          <w:sz w:val="16"/>
          <w:szCs w:val="16"/>
        </w:rPr>
        <w:t xml:space="preserve"> http://www.wipo.int/about-wipo/en/oversight/iaod/evaluation/reports.html</w:t>
      </w:r>
    </w:p>
  </w:footnote>
  <w:footnote w:id="64">
    <w:p w:rsidR="00171802" w:rsidRDefault="00171802">
      <w:pPr>
        <w:pStyle w:val="FootnoteText"/>
      </w:pPr>
      <w:r>
        <w:rPr>
          <w:rStyle w:val="FootnoteReference"/>
        </w:rPr>
        <w:footnoteRef/>
      </w:r>
      <w:r>
        <w:t xml:space="preserve"> </w:t>
      </w:r>
      <w:r w:rsidRPr="004139FC">
        <w:rPr>
          <w:sz w:val="16"/>
          <w:szCs w:val="16"/>
          <w:lang w:bidi="th-TH"/>
        </w:rPr>
        <w:t>Review of Budgetary Process Applied to Projects Proposed by the Committee on Development and Intellectual Property (CDIP) for the Implementation of the Development Agenda Recommendations (A/48/5 REV.)</w:t>
      </w:r>
    </w:p>
  </w:footnote>
  <w:footnote w:id="65">
    <w:p w:rsidR="00171802" w:rsidRPr="004C0533" w:rsidRDefault="00171802" w:rsidP="008D1891">
      <w:r w:rsidRPr="000F5B96">
        <w:rPr>
          <w:rStyle w:val="FootnoteReference"/>
          <w:sz w:val="16"/>
          <w:szCs w:val="16"/>
        </w:rPr>
        <w:footnoteRef/>
      </w:r>
      <w:r w:rsidRPr="00C80D56">
        <w:rPr>
          <w:sz w:val="16"/>
          <w:szCs w:val="16"/>
        </w:rPr>
        <w:t xml:space="preserve"> </w:t>
      </w:r>
      <w:r w:rsidRPr="00C80D56">
        <w:rPr>
          <w:rFonts w:cs="Arial"/>
          <w:sz w:val="16"/>
          <w:szCs w:val="16"/>
        </w:rPr>
        <w:t xml:space="preserve">In order to streamline the financial management of </w:t>
      </w:r>
      <w:r>
        <w:rPr>
          <w:rFonts w:cs="Arial"/>
          <w:sz w:val="16"/>
          <w:szCs w:val="16"/>
        </w:rPr>
        <w:t>the multiple funds-in-trust from the Government of Finland, which were received in multiple currencies, in 2014, the funds were consolidated</w:t>
      </w:r>
      <w:r w:rsidRPr="00C80D56">
        <w:rPr>
          <w:rFonts w:cs="Arial"/>
          <w:sz w:val="16"/>
          <w:szCs w:val="16"/>
        </w:rPr>
        <w:t xml:space="preserve"> into </w:t>
      </w:r>
      <w:r>
        <w:rPr>
          <w:rFonts w:cs="Arial"/>
          <w:sz w:val="16"/>
          <w:szCs w:val="16"/>
        </w:rPr>
        <w:t>one fund, FIT Finland (CHF), based in Swiss francs</w:t>
      </w:r>
      <w:r w:rsidRPr="00C80D56">
        <w:rPr>
          <w:rFonts w:cs="Arial"/>
          <w:sz w:val="16"/>
          <w:szCs w:val="16"/>
        </w:rPr>
        <w:t>.  </w:t>
      </w:r>
    </w:p>
  </w:footnote>
  <w:footnote w:id="66">
    <w:p w:rsidR="00171802" w:rsidRDefault="00171802">
      <w:pPr>
        <w:pStyle w:val="FootnoteText"/>
      </w:pPr>
      <w:r>
        <w:rPr>
          <w:rStyle w:val="FootnoteReference"/>
        </w:rPr>
        <w:footnoteRef/>
      </w:r>
      <w:r>
        <w:t xml:space="preserve"> </w:t>
      </w:r>
      <w:r w:rsidRPr="00D370D5">
        <w:rPr>
          <w:rFonts w:cs="Arial"/>
          <w:sz w:val="16"/>
          <w:szCs w:val="16"/>
        </w:rPr>
        <w:t>Finland Copyright I</w:t>
      </w:r>
    </w:p>
  </w:footnote>
  <w:footnote w:id="67">
    <w:p w:rsidR="00171802" w:rsidRDefault="00171802">
      <w:pPr>
        <w:pStyle w:val="FootnoteText"/>
      </w:pPr>
      <w:r>
        <w:rPr>
          <w:rStyle w:val="FootnoteReference"/>
        </w:rPr>
        <w:footnoteRef/>
      </w:r>
      <w:r>
        <w:t xml:space="preserve"> </w:t>
      </w:r>
      <w:r w:rsidRPr="00310202">
        <w:rPr>
          <w:rFonts w:cs="Arial"/>
          <w:sz w:val="16"/>
          <w:szCs w:val="16"/>
        </w:rPr>
        <w:t>Finland Copyright I</w:t>
      </w:r>
      <w:r>
        <w:rPr>
          <w:rFonts w:cs="Arial"/>
          <w:sz w:val="16"/>
          <w:szCs w:val="16"/>
        </w:rPr>
        <w:t>I</w:t>
      </w:r>
    </w:p>
  </w:footnote>
  <w:footnote w:id="68">
    <w:p w:rsidR="00171802" w:rsidRDefault="00171802">
      <w:pPr>
        <w:pStyle w:val="FootnoteText"/>
      </w:pPr>
      <w:r>
        <w:rPr>
          <w:rStyle w:val="FootnoteReference"/>
        </w:rPr>
        <w:footnoteRef/>
      </w:r>
      <w:r>
        <w:t xml:space="preserve"> </w:t>
      </w:r>
      <w:r w:rsidRPr="00310202">
        <w:rPr>
          <w:rFonts w:cs="Arial"/>
          <w:sz w:val="16"/>
          <w:szCs w:val="16"/>
        </w:rPr>
        <w:t>Finland Copyright I</w:t>
      </w:r>
      <w:r>
        <w:rPr>
          <w:rFonts w:cs="Arial"/>
          <w:sz w:val="16"/>
          <w:szCs w:val="16"/>
        </w:rPr>
        <w:t>II</w:t>
      </w:r>
    </w:p>
  </w:footnote>
  <w:footnote w:id="69">
    <w:p w:rsidR="00171802" w:rsidRDefault="00171802" w:rsidP="008D1891">
      <w:pPr>
        <w:pStyle w:val="FootnoteText"/>
      </w:pPr>
      <w:r w:rsidRPr="00152E3E">
        <w:rPr>
          <w:rStyle w:val="FootnoteReference"/>
          <w:rFonts w:cs="Arial"/>
          <w:sz w:val="16"/>
          <w:szCs w:val="16"/>
        </w:rPr>
        <w:footnoteRef/>
      </w:r>
      <w:r w:rsidRPr="00152E3E">
        <w:rPr>
          <w:rFonts w:cs="Arial"/>
          <w:sz w:val="16"/>
          <w:szCs w:val="16"/>
        </w:rPr>
        <w:t xml:space="preserve"> </w:t>
      </w:r>
      <w:r>
        <w:rPr>
          <w:rFonts w:cs="Arial"/>
          <w:sz w:val="16"/>
          <w:szCs w:val="16"/>
        </w:rPr>
        <w:t>I</w:t>
      </w:r>
      <w:r w:rsidRPr="00152E3E">
        <w:rPr>
          <w:rFonts w:cs="Arial"/>
          <w:sz w:val="16"/>
          <w:szCs w:val="16"/>
        </w:rPr>
        <w:t>n October 2012</w:t>
      </w:r>
      <w:r>
        <w:rPr>
          <w:rFonts w:cs="Arial"/>
          <w:sz w:val="16"/>
          <w:szCs w:val="16"/>
        </w:rPr>
        <w:t>,</w:t>
      </w:r>
      <w:r w:rsidRPr="00152E3E">
        <w:rPr>
          <w:rFonts w:cs="Arial"/>
          <w:sz w:val="16"/>
          <w:szCs w:val="16"/>
        </w:rPr>
        <w:t xml:space="preserve"> </w:t>
      </w:r>
      <w:r>
        <w:rPr>
          <w:rFonts w:cs="Arial"/>
          <w:sz w:val="16"/>
          <w:szCs w:val="16"/>
        </w:rPr>
        <w:t>a</w:t>
      </w:r>
      <w:r w:rsidRPr="00152E3E">
        <w:rPr>
          <w:rFonts w:cs="Arial"/>
          <w:sz w:val="16"/>
          <w:szCs w:val="16"/>
        </w:rPr>
        <w:t xml:space="preserve"> Memorandum creating the FIT/IBERO was signed as a financial instrument of the </w:t>
      </w:r>
      <w:proofErr w:type="spellStart"/>
      <w:r w:rsidRPr="00152E3E">
        <w:rPr>
          <w:rFonts w:cs="Arial"/>
          <w:sz w:val="16"/>
          <w:szCs w:val="16"/>
        </w:rPr>
        <w:t>Ibero</w:t>
      </w:r>
      <w:proofErr w:type="spellEnd"/>
      <w:r w:rsidRPr="00152E3E">
        <w:rPr>
          <w:rFonts w:cs="Arial"/>
          <w:sz w:val="16"/>
          <w:szCs w:val="16"/>
        </w:rPr>
        <w:t>-American Program of Industrial Property</w:t>
      </w:r>
    </w:p>
  </w:footnote>
  <w:footnote w:id="70">
    <w:p w:rsidR="00171802" w:rsidRDefault="00171802">
      <w:pPr>
        <w:pStyle w:val="FootnoteText"/>
      </w:pPr>
      <w:r>
        <w:rPr>
          <w:rStyle w:val="FootnoteReference"/>
        </w:rPr>
        <w:footnoteRef/>
      </w:r>
      <w:r>
        <w:t xml:space="preserve"> </w:t>
      </w:r>
      <w:proofErr w:type="gramStart"/>
      <w:r w:rsidRPr="000D1F96">
        <w:rPr>
          <w:rFonts w:cs="Arial"/>
          <w:sz w:val="16"/>
          <w:szCs w:val="16"/>
        </w:rPr>
        <w:t xml:space="preserve">Expected date </w:t>
      </w:r>
      <w:r>
        <w:rPr>
          <w:rFonts w:cs="Arial"/>
          <w:sz w:val="16"/>
          <w:szCs w:val="16"/>
        </w:rPr>
        <w:t>of</w:t>
      </w:r>
      <w:r w:rsidRPr="000D1F96">
        <w:rPr>
          <w:rFonts w:cs="Arial"/>
          <w:sz w:val="16"/>
          <w:szCs w:val="16"/>
        </w:rPr>
        <w:t xml:space="preserve"> completion</w:t>
      </w:r>
      <w:r>
        <w:rPr>
          <w:rFonts w:cs="Arial"/>
          <w:sz w:val="16"/>
          <w:szCs w:val="16"/>
        </w:rPr>
        <w:t xml:space="preserve">: </w:t>
      </w:r>
      <w:r w:rsidRPr="000D1F96">
        <w:rPr>
          <w:rFonts w:cs="Arial"/>
          <w:sz w:val="16"/>
          <w:szCs w:val="16"/>
        </w:rPr>
        <w:t>May 2016.</w:t>
      </w:r>
      <w:proofErr w:type="gramEnd"/>
    </w:p>
  </w:footnote>
  <w:footnote w:id="71">
    <w:p w:rsidR="00171802" w:rsidRPr="00C80D56" w:rsidRDefault="00171802">
      <w:pPr>
        <w:pStyle w:val="FootnoteText"/>
        <w:rPr>
          <w:rFonts w:cs="Arial"/>
        </w:rPr>
      </w:pPr>
      <w:r w:rsidRPr="00C36591">
        <w:rPr>
          <w:rStyle w:val="FootnoteReference"/>
          <w:rFonts w:cs="Arial"/>
          <w:sz w:val="16"/>
        </w:rPr>
        <w:footnoteRef/>
      </w:r>
      <w:r w:rsidRPr="00C36591">
        <w:rPr>
          <w:rFonts w:cs="Arial"/>
          <w:sz w:val="16"/>
        </w:rPr>
        <w:t xml:space="preserve"> </w:t>
      </w:r>
      <w:r>
        <w:rPr>
          <w:rFonts w:cs="Arial"/>
          <w:sz w:val="16"/>
        </w:rPr>
        <w:t xml:space="preserve">Due to fluctuations in the foreign exchange rates, the amount of </w:t>
      </w:r>
      <w:r w:rsidRPr="00C36591">
        <w:rPr>
          <w:rFonts w:cs="Arial"/>
          <w:sz w:val="16"/>
        </w:rPr>
        <w:t xml:space="preserve">20,935 </w:t>
      </w:r>
      <w:r>
        <w:rPr>
          <w:rFonts w:cs="Arial"/>
          <w:sz w:val="16"/>
        </w:rPr>
        <w:t>Swiss francs</w:t>
      </w:r>
      <w:r w:rsidRPr="00C36591">
        <w:rPr>
          <w:rFonts w:cs="Arial"/>
          <w:sz w:val="16"/>
        </w:rPr>
        <w:t xml:space="preserve"> </w:t>
      </w:r>
      <w:r>
        <w:rPr>
          <w:rFonts w:cs="Arial"/>
          <w:sz w:val="16"/>
        </w:rPr>
        <w:t>was</w:t>
      </w:r>
      <w:r w:rsidRPr="00C36591">
        <w:rPr>
          <w:rFonts w:cs="Arial"/>
          <w:sz w:val="16"/>
        </w:rPr>
        <w:t xml:space="preserve"> absorbed by WIPO</w:t>
      </w:r>
      <w:r>
        <w:rPr>
          <w:rFonts w:cs="Arial"/>
          <w:sz w:val="16"/>
        </w:rPr>
        <w:t xml:space="preserve"> in 2014, resulting in a zero balance.  </w:t>
      </w:r>
    </w:p>
  </w:footnote>
  <w:footnote w:id="72">
    <w:p w:rsidR="00171802" w:rsidRPr="00FD10D7" w:rsidRDefault="00171802" w:rsidP="00C06C6E">
      <w:pPr>
        <w:pStyle w:val="FootnoteText"/>
        <w:rPr>
          <w:sz w:val="16"/>
          <w:szCs w:val="16"/>
        </w:rPr>
      </w:pPr>
      <w:r w:rsidRPr="00FD10D7">
        <w:rPr>
          <w:rStyle w:val="FootnoteReference"/>
          <w:sz w:val="16"/>
          <w:szCs w:val="16"/>
        </w:rPr>
        <w:footnoteRef/>
      </w:r>
      <w:r w:rsidRPr="00FD10D7">
        <w:rPr>
          <w:sz w:val="16"/>
          <w:szCs w:val="16"/>
        </w:rPr>
        <w:t xml:space="preserve"> http://www.wipo.int/edocs/mdocs/govbody/en/a_51/a_51_16.pdf</w:t>
      </w:r>
    </w:p>
  </w:footnote>
  <w:footnote w:id="73">
    <w:p w:rsidR="00171802" w:rsidRDefault="00171802">
      <w:pPr>
        <w:pStyle w:val="FootnoteText"/>
      </w:pPr>
      <w:r w:rsidRPr="00FD10D7">
        <w:rPr>
          <w:rStyle w:val="FootnoteReference"/>
          <w:sz w:val="16"/>
          <w:szCs w:val="16"/>
        </w:rPr>
        <w:footnoteRef/>
      </w:r>
      <w:r w:rsidRPr="00FD10D7">
        <w:rPr>
          <w:sz w:val="16"/>
          <w:szCs w:val="16"/>
        </w:rPr>
        <w:t xml:space="preserve"> http://www.wipo.int/edocs/mdocs/govbody/en/wo_pbc_22/wo_pbc_22_21.pdf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802" w:rsidRPr="00E31A65" w:rsidRDefault="00171802">
    <w:pPr>
      <w:pStyle w:val="Header"/>
      <w:jc w:val="right"/>
      <w:rPr>
        <w:sz w:val="22"/>
      </w:rPr>
    </w:pPr>
    <w:r w:rsidRPr="00E31A65">
      <w:rPr>
        <w:sz w:val="22"/>
      </w:rPr>
      <w:t>WO/PBC/23/2</w:t>
    </w:r>
  </w:p>
  <w:p w:rsidR="00171802" w:rsidRPr="00E31A65" w:rsidRDefault="00171802">
    <w:pPr>
      <w:pStyle w:val="Header"/>
      <w:jc w:val="right"/>
      <w:rPr>
        <w:sz w:val="22"/>
      </w:rPr>
    </w:pPr>
    <w:proofErr w:type="gramStart"/>
    <w:r w:rsidRPr="00E31A65">
      <w:rPr>
        <w:sz w:val="22"/>
      </w:rPr>
      <w:t>page</w:t>
    </w:r>
    <w:proofErr w:type="gramEnd"/>
    <w:r w:rsidRPr="00E31A65">
      <w:rPr>
        <w:sz w:val="22"/>
      </w:rPr>
      <w:t xml:space="preserve"> </w:t>
    </w:r>
    <w:sdt>
      <w:sdtPr>
        <w:rPr>
          <w:sz w:val="22"/>
        </w:rPr>
        <w:id w:val="-745348324"/>
        <w:docPartObj>
          <w:docPartGallery w:val="Page Numbers (Top of Page)"/>
          <w:docPartUnique/>
        </w:docPartObj>
      </w:sdtPr>
      <w:sdtEndPr>
        <w:rPr>
          <w:noProof/>
        </w:rPr>
      </w:sdtEndPr>
      <w:sdtContent>
        <w:r w:rsidRPr="00E31A65">
          <w:rPr>
            <w:sz w:val="22"/>
          </w:rPr>
          <w:fldChar w:fldCharType="begin"/>
        </w:r>
        <w:r w:rsidRPr="00E31A65">
          <w:rPr>
            <w:sz w:val="22"/>
          </w:rPr>
          <w:instrText xml:space="preserve"> PAGE   \* MERGEFORMAT </w:instrText>
        </w:r>
        <w:r w:rsidRPr="00E31A65">
          <w:rPr>
            <w:sz w:val="22"/>
          </w:rPr>
          <w:fldChar w:fldCharType="separate"/>
        </w:r>
        <w:r w:rsidR="000C419F">
          <w:rPr>
            <w:noProof/>
            <w:sz w:val="22"/>
          </w:rPr>
          <w:t>2</w:t>
        </w:r>
        <w:r w:rsidRPr="00E31A65">
          <w:rPr>
            <w:noProof/>
            <w:sz w:val="22"/>
          </w:rPr>
          <w:fldChar w:fldCharType="end"/>
        </w:r>
      </w:sdtContent>
    </w:sdt>
  </w:p>
  <w:p w:rsidR="00171802" w:rsidRDefault="00171802" w:rsidP="00E31A65">
    <w:pPr>
      <w:pStyle w:val="Header"/>
    </w:pPr>
  </w:p>
  <w:p w:rsidR="00171802" w:rsidRPr="00E31A65" w:rsidRDefault="00171802" w:rsidP="00E31A6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802" w:rsidRDefault="001718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802" w:rsidRPr="00E31A65" w:rsidRDefault="00171802">
    <w:pPr>
      <w:pStyle w:val="Header"/>
      <w:jc w:val="right"/>
      <w:rPr>
        <w:sz w:val="22"/>
      </w:rPr>
    </w:pPr>
    <w:r w:rsidRPr="00E31A65">
      <w:rPr>
        <w:sz w:val="22"/>
      </w:rPr>
      <w:t>WO/PBC/23/2</w:t>
    </w:r>
  </w:p>
  <w:p w:rsidR="00171802" w:rsidRPr="00E31A65" w:rsidRDefault="00171802">
    <w:pPr>
      <w:pStyle w:val="Header"/>
      <w:jc w:val="right"/>
      <w:rPr>
        <w:sz w:val="22"/>
      </w:rPr>
    </w:pPr>
    <w:proofErr w:type="gramStart"/>
    <w:r w:rsidRPr="00E31A65">
      <w:rPr>
        <w:sz w:val="22"/>
      </w:rPr>
      <w:t>page</w:t>
    </w:r>
    <w:proofErr w:type="gramEnd"/>
    <w:r w:rsidRPr="00E31A65">
      <w:rPr>
        <w:sz w:val="22"/>
      </w:rPr>
      <w:t xml:space="preserve"> </w:t>
    </w:r>
    <w:sdt>
      <w:sdtPr>
        <w:rPr>
          <w:sz w:val="22"/>
        </w:rPr>
        <w:id w:val="442120167"/>
        <w:docPartObj>
          <w:docPartGallery w:val="Page Numbers (Top of Page)"/>
          <w:docPartUnique/>
        </w:docPartObj>
      </w:sdtPr>
      <w:sdtEndPr>
        <w:rPr>
          <w:noProof/>
        </w:rPr>
      </w:sdtEndPr>
      <w:sdtContent>
        <w:r w:rsidRPr="00E31A65">
          <w:rPr>
            <w:sz w:val="22"/>
          </w:rPr>
          <w:fldChar w:fldCharType="begin"/>
        </w:r>
        <w:r w:rsidRPr="00E31A65">
          <w:rPr>
            <w:sz w:val="22"/>
          </w:rPr>
          <w:instrText xml:space="preserve"> PAGE   \* MERGEFORMAT </w:instrText>
        </w:r>
        <w:r w:rsidRPr="00E31A65">
          <w:rPr>
            <w:sz w:val="22"/>
          </w:rPr>
          <w:fldChar w:fldCharType="separate"/>
        </w:r>
        <w:r w:rsidR="000C419F">
          <w:rPr>
            <w:noProof/>
            <w:sz w:val="22"/>
          </w:rPr>
          <w:t>267</w:t>
        </w:r>
        <w:r w:rsidRPr="00E31A65">
          <w:rPr>
            <w:noProof/>
            <w:sz w:val="22"/>
          </w:rPr>
          <w:fldChar w:fldCharType="end"/>
        </w:r>
      </w:sdtContent>
    </w:sdt>
  </w:p>
  <w:p w:rsidR="00171802" w:rsidRPr="00E31A65" w:rsidRDefault="00171802" w:rsidP="009100BA">
    <w:pPr>
      <w:pStyle w:val="Header"/>
      <w:jc w:val="right"/>
      <w:rPr>
        <w:rFonts w:cs="Arial"/>
        <w:szCs w:val="18"/>
      </w:rPr>
    </w:pPr>
  </w:p>
  <w:p w:rsidR="00171802" w:rsidRPr="00E31A65" w:rsidRDefault="00171802" w:rsidP="009100BA">
    <w:pPr>
      <w:pStyle w:val="Header"/>
      <w:jc w:val="right"/>
      <w:rPr>
        <w:rFonts w:cs="Arial"/>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802" w:rsidRPr="00D339EC" w:rsidRDefault="00171802" w:rsidP="00E31A65">
    <w:pPr>
      <w:pStyle w:val="Header"/>
      <w:rPr>
        <w:b/>
        <w:sz w:val="18"/>
      </w:rPr>
    </w:pPr>
    <w:r w:rsidRPr="00D339EC">
      <w:rPr>
        <w:b/>
        <w:sz w:val="18"/>
      </w:rPr>
      <w:t>Program Performance Report 2014</w:t>
    </w:r>
  </w:p>
  <w:p w:rsidR="00171802" w:rsidRDefault="00171802" w:rsidP="00E31A65">
    <w:pPr>
      <w:pStyle w:val="Header"/>
      <w:rPr>
        <w:rFonts w:cs="Arial"/>
        <w:sz w:val="18"/>
        <w:szCs w:val="18"/>
      </w:rPr>
    </w:pPr>
  </w:p>
  <w:p w:rsidR="00171802" w:rsidRPr="00101F3F" w:rsidRDefault="00171802" w:rsidP="00E31A65">
    <w:pPr>
      <w:pStyle w:val="Header"/>
      <w:rPr>
        <w:rFonts w:cs="Arial"/>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802" w:rsidRPr="00D339EC" w:rsidRDefault="00171802">
    <w:pPr>
      <w:pStyle w:val="Header"/>
      <w:jc w:val="right"/>
      <w:rPr>
        <w:b/>
        <w:sz w:val="18"/>
      </w:rPr>
    </w:pPr>
    <w:r w:rsidRPr="00D339EC">
      <w:rPr>
        <w:b/>
        <w:sz w:val="18"/>
      </w:rPr>
      <w:t>Program Performance Report 2014</w:t>
    </w:r>
  </w:p>
  <w:p w:rsidR="00171802" w:rsidRPr="00D339EC" w:rsidRDefault="00171802" w:rsidP="009100BA">
    <w:pPr>
      <w:pStyle w:val="Header"/>
      <w:jc w:val="right"/>
      <w:rPr>
        <w:rFonts w:cs="Arial"/>
        <w:b/>
        <w:sz w:val="16"/>
        <w:szCs w:val="18"/>
      </w:rPr>
    </w:pPr>
  </w:p>
  <w:p w:rsidR="00171802" w:rsidRPr="00101F3F" w:rsidRDefault="00171802" w:rsidP="009100BA">
    <w:pPr>
      <w:pStyle w:val="Header"/>
      <w:jc w:val="right"/>
      <w:rPr>
        <w:rFonts w:cs="Arial"/>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802" w:rsidRDefault="0017180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802" w:rsidRPr="00D339EC" w:rsidRDefault="00171802" w:rsidP="00E31A65">
    <w:pPr>
      <w:pStyle w:val="Header"/>
      <w:rPr>
        <w:b/>
        <w:sz w:val="18"/>
      </w:rPr>
    </w:pPr>
    <w:r w:rsidRPr="00D339EC">
      <w:rPr>
        <w:b/>
        <w:sz w:val="18"/>
      </w:rPr>
      <w:t>Program Performance Report 2014</w:t>
    </w:r>
  </w:p>
  <w:p w:rsidR="00171802" w:rsidRPr="00A13DDD" w:rsidRDefault="00171802" w:rsidP="00E31A65">
    <w:pPr>
      <w:pStyle w:val="Header"/>
      <w:rPr>
        <w:rFonts w:cs="Arial"/>
        <w:b/>
        <w:sz w:val="18"/>
        <w:szCs w:val="18"/>
      </w:rPr>
    </w:pPr>
    <w:r w:rsidRPr="00A13DDD">
      <w:rPr>
        <w:rFonts w:cs="Arial"/>
        <w:b/>
        <w:sz w:val="18"/>
        <w:szCs w:val="18"/>
      </w:rPr>
      <w:t>Appendices</w:t>
    </w:r>
  </w:p>
  <w:p w:rsidR="00171802" w:rsidRPr="00101F3F" w:rsidRDefault="00171802" w:rsidP="00E31A65">
    <w:pPr>
      <w:pStyle w:val="Header"/>
      <w:rPr>
        <w:rFonts w:cs="Arial"/>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802" w:rsidRPr="00312A2D" w:rsidRDefault="00171802" w:rsidP="00C06C6E">
    <w:pPr>
      <w:pStyle w:val="Header"/>
      <w:jc w:val="right"/>
      <w:rPr>
        <w:rFonts w:cs="Arial"/>
        <w:b/>
        <w:sz w:val="18"/>
        <w:szCs w:val="18"/>
      </w:rPr>
    </w:pPr>
    <w:r w:rsidRPr="00A354ED">
      <w:rPr>
        <w:rFonts w:cs="Arial"/>
        <w:b/>
        <w:sz w:val="18"/>
        <w:szCs w:val="18"/>
      </w:rPr>
      <w:t>Program Performance Report 2014</w:t>
    </w:r>
  </w:p>
  <w:p w:rsidR="00171802" w:rsidRPr="00A13DDD" w:rsidRDefault="00171802" w:rsidP="00C06C6E">
    <w:pPr>
      <w:pStyle w:val="Header"/>
      <w:jc w:val="right"/>
      <w:rPr>
        <w:rFonts w:cs="Arial"/>
        <w:b/>
        <w:sz w:val="18"/>
        <w:szCs w:val="18"/>
      </w:rPr>
    </w:pPr>
    <w:r w:rsidRPr="00A13DDD">
      <w:rPr>
        <w:rFonts w:cs="Arial"/>
        <w:b/>
        <w:sz w:val="18"/>
        <w:szCs w:val="18"/>
      </w:rPr>
      <w:t>Appendices</w:t>
    </w:r>
  </w:p>
  <w:p w:rsidR="00171802" w:rsidRPr="00101F3F" w:rsidRDefault="00171802" w:rsidP="00C06C6E">
    <w:pPr>
      <w:pStyle w:val="Header"/>
      <w:jc w:val="right"/>
      <w:rPr>
        <w:rFonts w:cs="Arial"/>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802" w:rsidRPr="00D339EC" w:rsidRDefault="00171802" w:rsidP="00E31A65">
    <w:pPr>
      <w:pStyle w:val="Header"/>
      <w:rPr>
        <w:b/>
        <w:sz w:val="18"/>
      </w:rPr>
    </w:pPr>
    <w:r w:rsidRPr="00D339EC">
      <w:rPr>
        <w:b/>
        <w:sz w:val="18"/>
      </w:rPr>
      <w:t>Program Performance Report 2014</w:t>
    </w:r>
  </w:p>
  <w:p w:rsidR="00171802" w:rsidRPr="0063033D" w:rsidRDefault="00171802" w:rsidP="00E31A65">
    <w:pPr>
      <w:pStyle w:val="Header"/>
      <w:rPr>
        <w:rFonts w:cs="Arial"/>
        <w:b/>
        <w:sz w:val="18"/>
        <w:szCs w:val="18"/>
      </w:rPr>
    </w:pPr>
    <w:r w:rsidRPr="0063033D">
      <w:rPr>
        <w:rFonts w:cs="Arial"/>
        <w:b/>
        <w:sz w:val="18"/>
        <w:szCs w:val="18"/>
      </w:rPr>
      <w:t>Appendices</w:t>
    </w:r>
  </w:p>
  <w:p w:rsidR="00171802" w:rsidRPr="00101F3F" w:rsidRDefault="00171802" w:rsidP="00E31A65">
    <w:pPr>
      <w:pStyle w:val="Header"/>
      <w:rPr>
        <w:rFonts w:cs="Arial"/>
        <w:sz w:val="18"/>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802" w:rsidRPr="00D339EC" w:rsidRDefault="00171802">
    <w:pPr>
      <w:pStyle w:val="Header"/>
      <w:jc w:val="right"/>
      <w:rPr>
        <w:b/>
        <w:sz w:val="18"/>
      </w:rPr>
    </w:pPr>
    <w:r w:rsidRPr="00D339EC">
      <w:rPr>
        <w:b/>
        <w:sz w:val="18"/>
      </w:rPr>
      <w:t>Program Performance Report 2014</w:t>
    </w:r>
  </w:p>
  <w:p w:rsidR="00171802" w:rsidRPr="00D339EC" w:rsidRDefault="00171802" w:rsidP="009100BA">
    <w:pPr>
      <w:pStyle w:val="Header"/>
      <w:jc w:val="right"/>
      <w:rPr>
        <w:rFonts w:cs="Arial"/>
        <w:b/>
        <w:sz w:val="16"/>
        <w:szCs w:val="18"/>
      </w:rPr>
    </w:pPr>
    <w:r>
      <w:rPr>
        <w:rFonts w:cs="Arial"/>
        <w:b/>
        <w:sz w:val="16"/>
        <w:szCs w:val="18"/>
      </w:rPr>
      <w:t>Appendices</w:t>
    </w:r>
  </w:p>
  <w:p w:rsidR="00171802" w:rsidRPr="00101F3F" w:rsidRDefault="00171802" w:rsidP="009100BA">
    <w:pPr>
      <w:pStyle w:val="Header"/>
      <w:jc w:val="right"/>
      <w:rPr>
        <w:rFonts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21A5AC2"/>
    <w:multiLevelType w:val="hybridMultilevel"/>
    <w:tmpl w:val="C05AE734"/>
    <w:lvl w:ilvl="0" w:tplc="E60881F2">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691860"/>
    <w:multiLevelType w:val="hybridMultilevel"/>
    <w:tmpl w:val="C2142F62"/>
    <w:lvl w:ilvl="0" w:tplc="BC2EDDF6">
      <w:start w:val="1"/>
      <w:numFmt w:val="bullet"/>
      <w:lvlText w:val="-"/>
      <w:lvlJc w:val="left"/>
      <w:pPr>
        <w:ind w:left="360" w:hanging="360"/>
      </w:pPr>
      <w:rPr>
        <w:rFonts w:ascii="Arial" w:eastAsia="Times New Roman" w:hAnsi="Aria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6454746"/>
    <w:multiLevelType w:val="hybridMultilevel"/>
    <w:tmpl w:val="307C7642"/>
    <w:lvl w:ilvl="0" w:tplc="1AA0ABC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069D589B"/>
    <w:multiLevelType w:val="hybridMultilevel"/>
    <w:tmpl w:val="1B7819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079B6BCD"/>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F20D78"/>
    <w:multiLevelType w:val="hybridMultilevel"/>
    <w:tmpl w:val="765E784C"/>
    <w:lvl w:ilvl="0" w:tplc="77E047D0">
      <w:start w:val="1"/>
      <w:numFmt w:val="decimal"/>
      <w:lvlText w:val="29.%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0F48ED"/>
    <w:multiLevelType w:val="hybridMultilevel"/>
    <w:tmpl w:val="D71499C0"/>
    <w:lvl w:ilvl="0" w:tplc="1AA0ABC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09BB7A06"/>
    <w:multiLevelType w:val="hybridMultilevel"/>
    <w:tmpl w:val="339EACD6"/>
    <w:lvl w:ilvl="0" w:tplc="04090001">
      <w:start w:val="1"/>
      <w:numFmt w:val="bullet"/>
      <w:lvlText w:val=""/>
      <w:lvlJc w:val="left"/>
      <w:pPr>
        <w:ind w:left="910" w:hanging="360"/>
      </w:pPr>
      <w:rPr>
        <w:rFonts w:ascii="Symbol" w:hAnsi="Symbol"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10">
    <w:nsid w:val="0BD223AE"/>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AE16DF"/>
    <w:multiLevelType w:val="hybridMultilevel"/>
    <w:tmpl w:val="FF78476A"/>
    <w:lvl w:ilvl="0" w:tplc="B5843246">
      <w:start w:val="1"/>
      <w:numFmt w:val="bullet"/>
      <w:lvlText w:val="-"/>
      <w:lvlJc w:val="left"/>
      <w:pPr>
        <w:ind w:left="480" w:hanging="360"/>
      </w:pPr>
      <w:rPr>
        <w:rFonts w:ascii="Arial" w:eastAsia="Times New Roman" w:hAnsi="Arial" w:cs="Aria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2">
    <w:nsid w:val="0CC040EF"/>
    <w:multiLevelType w:val="hybridMultilevel"/>
    <w:tmpl w:val="962A2DD4"/>
    <w:lvl w:ilvl="0" w:tplc="982C6F9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0192F6F"/>
    <w:multiLevelType w:val="hybridMultilevel"/>
    <w:tmpl w:val="8AE05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023368C"/>
    <w:multiLevelType w:val="hybridMultilevel"/>
    <w:tmpl w:val="90E4190C"/>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19234BC"/>
    <w:multiLevelType w:val="multilevel"/>
    <w:tmpl w:val="1A3CEFF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6">
    <w:nsid w:val="122B2A50"/>
    <w:multiLevelType w:val="hybridMultilevel"/>
    <w:tmpl w:val="19C26916"/>
    <w:lvl w:ilvl="0" w:tplc="88408418">
      <w:start w:val="1"/>
      <w:numFmt w:val="decimal"/>
      <w:lvlText w:val="%1."/>
      <w:lvlJc w:val="left"/>
      <w:pPr>
        <w:tabs>
          <w:tab w:val="num" w:pos="567"/>
        </w:tabs>
        <w:ind w:left="0" w:firstLine="0"/>
      </w:pPr>
      <w:rPr>
        <w:rFonts w:hint="default"/>
        <w:b w:val="0"/>
        <w:bCs/>
      </w:rPr>
    </w:lvl>
    <w:lvl w:ilvl="1" w:tplc="58C0532C"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29A5F6B"/>
    <w:multiLevelType w:val="hybridMultilevel"/>
    <w:tmpl w:val="ED5EB35A"/>
    <w:lvl w:ilvl="0" w:tplc="9B6628FE">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nsid w:val="13612524"/>
    <w:multiLevelType w:val="hybridMultilevel"/>
    <w:tmpl w:val="C030AAB4"/>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3636494"/>
    <w:multiLevelType w:val="hybridMultilevel"/>
    <w:tmpl w:val="9F66909A"/>
    <w:lvl w:ilvl="0" w:tplc="DF3ED48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3E272F6"/>
    <w:multiLevelType w:val="hybridMultilevel"/>
    <w:tmpl w:val="59DCCBCC"/>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41F0DE2"/>
    <w:multiLevelType w:val="hybridMultilevel"/>
    <w:tmpl w:val="F094F3CA"/>
    <w:lvl w:ilvl="0" w:tplc="48ECDDD2">
      <w:start w:val="1"/>
      <w:numFmt w:val="decimal"/>
      <w:lvlText w:val="23.%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4AE7A95"/>
    <w:multiLevelType w:val="hybridMultilevel"/>
    <w:tmpl w:val="92320F96"/>
    <w:lvl w:ilvl="0" w:tplc="6F98A7FE">
      <w:start w:val="1"/>
      <w:numFmt w:val="decimal"/>
      <w:lvlText w:val="17.%1"/>
      <w:lvlJc w:val="left"/>
      <w:pPr>
        <w:ind w:left="644" w:hanging="360"/>
      </w:pPr>
      <w:rPr>
        <w:rFonts w:ascii="Arial" w:hAnsi="Arial" w:cs="Arial" w:hint="default"/>
        <w:sz w:val="20"/>
        <w:szCs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153A10EF"/>
    <w:multiLevelType w:val="hybridMultilevel"/>
    <w:tmpl w:val="91783D60"/>
    <w:lvl w:ilvl="0" w:tplc="2D4AE1C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61E2E61"/>
    <w:multiLevelType w:val="hybridMultilevel"/>
    <w:tmpl w:val="F098835C"/>
    <w:lvl w:ilvl="0" w:tplc="8CB4571C">
      <w:start w:val="1"/>
      <w:numFmt w:val="upperRoman"/>
      <w:pStyle w:val="Heading1"/>
      <w:lvlText w:val="%1."/>
      <w:lvlJc w:val="right"/>
      <w:pPr>
        <w:tabs>
          <w:tab w:val="num" w:pos="284"/>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177D5000"/>
    <w:multiLevelType w:val="singleLevel"/>
    <w:tmpl w:val="0409000F"/>
    <w:lvl w:ilvl="0">
      <w:start w:val="1"/>
      <w:numFmt w:val="decimal"/>
      <w:lvlText w:val="%1."/>
      <w:lvlJc w:val="left"/>
      <w:pPr>
        <w:tabs>
          <w:tab w:val="num" w:pos="360"/>
        </w:tabs>
        <w:ind w:left="360" w:hanging="360"/>
      </w:pPr>
    </w:lvl>
  </w:abstractNum>
  <w:abstractNum w:abstractNumId="26">
    <w:nsid w:val="1A3B7367"/>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B605764"/>
    <w:multiLevelType w:val="hybridMultilevel"/>
    <w:tmpl w:val="5C1E54E8"/>
    <w:lvl w:ilvl="0" w:tplc="5B683A3A">
      <w:start w:val="1"/>
      <w:numFmt w:val="upperRoman"/>
      <w:lvlText w:val="%1."/>
      <w:lvlJc w:val="left"/>
      <w:pPr>
        <w:ind w:left="1080" w:hanging="720"/>
      </w:pPr>
      <w:rPr>
        <w:rFonts w:hint="default"/>
      </w:rPr>
    </w:lvl>
    <w:lvl w:ilvl="1" w:tplc="A2369E28">
      <w:start w:val="1"/>
      <w:numFmt w:val="lowerLetter"/>
      <w:lvlText w:val="(%2)"/>
      <w:lvlJc w:val="left"/>
      <w:pPr>
        <w:ind w:left="1440" w:hanging="360"/>
      </w:pPr>
      <w:rPr>
        <w:rFonts w:hint="default"/>
        <w: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C3C58AA"/>
    <w:multiLevelType w:val="hybridMultilevel"/>
    <w:tmpl w:val="8E24605C"/>
    <w:lvl w:ilvl="0" w:tplc="3D985CDC">
      <w:start w:val="1"/>
      <w:numFmt w:val="decimal"/>
      <w:lvlText w:val="22.%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CA7633C"/>
    <w:multiLevelType w:val="hybridMultilevel"/>
    <w:tmpl w:val="732484F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1EA37FE0"/>
    <w:multiLevelType w:val="hybridMultilevel"/>
    <w:tmpl w:val="1B1C566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ED221A1"/>
    <w:multiLevelType w:val="hybridMultilevel"/>
    <w:tmpl w:val="967A47AA"/>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1F153255"/>
    <w:multiLevelType w:val="hybridMultilevel"/>
    <w:tmpl w:val="BD02A80E"/>
    <w:lvl w:ilvl="0" w:tplc="A61043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FD44917"/>
    <w:multiLevelType w:val="hybridMultilevel"/>
    <w:tmpl w:val="7F8CC5BE"/>
    <w:lvl w:ilvl="0" w:tplc="17A42F20">
      <w:start w:val="1"/>
      <w:numFmt w:val="decimal"/>
      <w:lvlRestart w:val="0"/>
      <w:lvlText w:val="21.%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201213CE"/>
    <w:multiLevelType w:val="hybridMultilevel"/>
    <w:tmpl w:val="6D0E47EC"/>
    <w:lvl w:ilvl="0" w:tplc="97763274">
      <w:start w:val="1"/>
      <w:numFmt w:val="decimal"/>
      <w:lvlText w:val="28.%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1207CBF"/>
    <w:multiLevelType w:val="hybridMultilevel"/>
    <w:tmpl w:val="E5D4A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21948C6"/>
    <w:multiLevelType w:val="hybridMultilevel"/>
    <w:tmpl w:val="77C8CEBA"/>
    <w:lvl w:ilvl="0" w:tplc="6D6AF868">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2916058"/>
    <w:multiLevelType w:val="hybridMultilevel"/>
    <w:tmpl w:val="870670C6"/>
    <w:lvl w:ilvl="0" w:tplc="6438198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64A1B91"/>
    <w:multiLevelType w:val="hybridMultilevel"/>
    <w:tmpl w:val="4B4CF0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67F2243"/>
    <w:multiLevelType w:val="hybridMultilevel"/>
    <w:tmpl w:val="3EA232B2"/>
    <w:lvl w:ilvl="0" w:tplc="1AA0ABC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0">
    <w:nsid w:val="26815950"/>
    <w:multiLevelType w:val="hybridMultilevel"/>
    <w:tmpl w:val="807EC6B4"/>
    <w:lvl w:ilvl="0" w:tplc="74043A8E">
      <w:start w:val="1"/>
      <w:numFmt w:val="decimal"/>
      <w:lvlText w:val="18.%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6885FCA"/>
    <w:multiLevelType w:val="hybridMultilevel"/>
    <w:tmpl w:val="EE0CC2BC"/>
    <w:lvl w:ilvl="0" w:tplc="1AB84846">
      <w:start w:val="1"/>
      <w:numFmt w:val="decimal"/>
      <w:lvlText w:val="12.%1."/>
      <w:lvlJc w:val="left"/>
      <w:pPr>
        <w:ind w:left="720" w:hanging="360"/>
      </w:pPr>
      <w:rPr>
        <w:rFonts w:ascii="Arial" w:hAnsi="Arial" w:cs="Aria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76A3D44"/>
    <w:multiLevelType w:val="hybridMultilevel"/>
    <w:tmpl w:val="9E909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9D20EFF"/>
    <w:multiLevelType w:val="hybridMultilevel"/>
    <w:tmpl w:val="21948684"/>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2A467875"/>
    <w:multiLevelType w:val="hybridMultilevel"/>
    <w:tmpl w:val="50B0D0D8"/>
    <w:lvl w:ilvl="0" w:tplc="712AC2B6">
      <w:start w:val="1"/>
      <w:numFmt w:val="decimal"/>
      <w:lvlText w:val="20.%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A6D4D63"/>
    <w:multiLevelType w:val="hybridMultilevel"/>
    <w:tmpl w:val="7C0AEBB4"/>
    <w:lvl w:ilvl="0" w:tplc="D61C95E2">
      <w:start w:val="1"/>
      <w:numFmt w:val="decimal"/>
      <w:lvlText w:val="13.%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B022C2D"/>
    <w:multiLevelType w:val="hybridMultilevel"/>
    <w:tmpl w:val="B5200226"/>
    <w:lvl w:ilvl="0" w:tplc="D92AB576">
      <w:start w:val="1"/>
      <w:numFmt w:val="decimal"/>
      <w:lvlText w:val="16.%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B1A31DD"/>
    <w:multiLevelType w:val="hybridMultilevel"/>
    <w:tmpl w:val="0B202FC2"/>
    <w:lvl w:ilvl="0" w:tplc="1AA0ABC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8">
    <w:nsid w:val="2C64387E"/>
    <w:multiLevelType w:val="hybridMultilevel"/>
    <w:tmpl w:val="8252F564"/>
    <w:lvl w:ilvl="0" w:tplc="01E86E6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D7D5DCC"/>
    <w:multiLevelType w:val="hybridMultilevel"/>
    <w:tmpl w:val="88AEEE08"/>
    <w:lvl w:ilvl="0" w:tplc="1AA0ABC2">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D9C7075"/>
    <w:multiLevelType w:val="hybridMultilevel"/>
    <w:tmpl w:val="0E089A4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1">
    <w:nsid w:val="2F5B64AE"/>
    <w:multiLevelType w:val="hybridMultilevel"/>
    <w:tmpl w:val="41886E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31E25AB5"/>
    <w:multiLevelType w:val="hybridMultilevel"/>
    <w:tmpl w:val="0382E77A"/>
    <w:lvl w:ilvl="0" w:tplc="1AA0ABC2">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2BE5653"/>
    <w:multiLevelType w:val="hybridMultilevel"/>
    <w:tmpl w:val="E3803D42"/>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33BD0D47"/>
    <w:multiLevelType w:val="hybridMultilevel"/>
    <w:tmpl w:val="8DD6C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4043C20"/>
    <w:multiLevelType w:val="hybridMultilevel"/>
    <w:tmpl w:val="D0422B68"/>
    <w:lvl w:ilvl="0" w:tplc="B1F6C150">
      <w:start w:val="1"/>
      <w:numFmt w:val="decimal"/>
      <w:lvlText w:val="24.%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55F43FD"/>
    <w:multiLevelType w:val="hybridMultilevel"/>
    <w:tmpl w:val="2542DE42"/>
    <w:lvl w:ilvl="0" w:tplc="8FA8A862">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7">
    <w:nsid w:val="35D26F74"/>
    <w:multiLevelType w:val="hybridMultilevel"/>
    <w:tmpl w:val="A3404602"/>
    <w:lvl w:ilvl="0" w:tplc="04090001">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37A273F1"/>
    <w:multiLevelType w:val="hybridMultilevel"/>
    <w:tmpl w:val="96DAAC88"/>
    <w:lvl w:ilvl="0" w:tplc="D558328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82B066F"/>
    <w:multiLevelType w:val="hybridMultilevel"/>
    <w:tmpl w:val="CBD66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8F41C59"/>
    <w:multiLevelType w:val="hybridMultilevel"/>
    <w:tmpl w:val="A0C2C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A9C377A"/>
    <w:multiLevelType w:val="hybridMultilevel"/>
    <w:tmpl w:val="24EE0FCE"/>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3B8233E1"/>
    <w:multiLevelType w:val="hybridMultilevel"/>
    <w:tmpl w:val="6ED68DFE"/>
    <w:lvl w:ilvl="0" w:tplc="3552032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B9C7EF3"/>
    <w:multiLevelType w:val="hybridMultilevel"/>
    <w:tmpl w:val="BE263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D4B1956"/>
    <w:multiLevelType w:val="multilevel"/>
    <w:tmpl w:val="ED00A1C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5">
    <w:nsid w:val="3FE03A0F"/>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00958DF"/>
    <w:multiLevelType w:val="hybridMultilevel"/>
    <w:tmpl w:val="A6162532"/>
    <w:lvl w:ilvl="0" w:tplc="58947DBC">
      <w:start w:val="1"/>
      <w:numFmt w:val="decimal"/>
      <w:lvlText w:val="26.%1"/>
      <w:lvlJc w:val="left"/>
      <w:pPr>
        <w:ind w:left="720" w:hanging="360"/>
      </w:pPr>
      <w:rPr>
        <w:rFonts w:ascii="Arial" w:hAnsi="Arial" w:cs="Aria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0E7156C"/>
    <w:multiLevelType w:val="hybridMultilevel"/>
    <w:tmpl w:val="224E844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43B93FDC"/>
    <w:multiLevelType w:val="hybridMultilevel"/>
    <w:tmpl w:val="B43628BA"/>
    <w:lvl w:ilvl="0" w:tplc="EECA573C">
      <w:start w:val="1"/>
      <w:numFmt w:val="decimal"/>
      <w:lvlText w:val="10.%1."/>
      <w:lvlJc w:val="left"/>
      <w:pPr>
        <w:ind w:left="16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0">
    <w:nsid w:val="44954827"/>
    <w:multiLevelType w:val="hybridMultilevel"/>
    <w:tmpl w:val="A3C2D492"/>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44DE445F"/>
    <w:multiLevelType w:val="hybridMultilevel"/>
    <w:tmpl w:val="2E92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50F0827"/>
    <w:multiLevelType w:val="hybridMultilevel"/>
    <w:tmpl w:val="241219E0"/>
    <w:lvl w:ilvl="0" w:tplc="F34EB780">
      <w:start w:val="1"/>
      <w:numFmt w:val="decimal"/>
      <w:lvlText w:val="5.%1."/>
      <w:lvlJc w:val="left"/>
      <w:pPr>
        <w:ind w:left="6598"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5FE5BD4"/>
    <w:multiLevelType w:val="hybridMultilevel"/>
    <w:tmpl w:val="A836D00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4865131C"/>
    <w:multiLevelType w:val="hybridMultilevel"/>
    <w:tmpl w:val="A684861E"/>
    <w:lvl w:ilvl="0" w:tplc="1AA0ABC2">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5">
    <w:nsid w:val="4908699F"/>
    <w:multiLevelType w:val="hybridMultilevel"/>
    <w:tmpl w:val="B4E0A58A"/>
    <w:lvl w:ilvl="0" w:tplc="0DB42CE6">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90C2843"/>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AB66C92"/>
    <w:multiLevelType w:val="hybridMultilevel"/>
    <w:tmpl w:val="BC1C1A5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4ACA7E04"/>
    <w:multiLevelType w:val="hybridMultilevel"/>
    <w:tmpl w:val="74A20B3A"/>
    <w:lvl w:ilvl="0" w:tplc="1AA0AB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4B6479D4"/>
    <w:multiLevelType w:val="hybridMultilevel"/>
    <w:tmpl w:val="B448B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B9548F6"/>
    <w:multiLevelType w:val="hybridMultilevel"/>
    <w:tmpl w:val="6D68BF8E"/>
    <w:lvl w:ilvl="0" w:tplc="29C26D5A">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CED5FCF"/>
    <w:multiLevelType w:val="hybridMultilevel"/>
    <w:tmpl w:val="6ED6956C"/>
    <w:lvl w:ilvl="0" w:tplc="D22C8A48">
      <w:start w:val="1"/>
      <w:numFmt w:val="decimal"/>
      <w:lvlText w:val="11.%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FF35930"/>
    <w:multiLevelType w:val="hybridMultilevel"/>
    <w:tmpl w:val="796A728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5030080B"/>
    <w:multiLevelType w:val="hybridMultilevel"/>
    <w:tmpl w:val="96D289E8"/>
    <w:lvl w:ilvl="0" w:tplc="1AA0AB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18A6B9D"/>
    <w:multiLevelType w:val="hybridMultilevel"/>
    <w:tmpl w:val="6BBCA6FA"/>
    <w:lvl w:ilvl="0" w:tplc="2D4AE1C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524569DD"/>
    <w:multiLevelType w:val="hybridMultilevel"/>
    <w:tmpl w:val="07A20B7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55A02C9F"/>
    <w:multiLevelType w:val="hybridMultilevel"/>
    <w:tmpl w:val="21CCFEF4"/>
    <w:lvl w:ilvl="0" w:tplc="B0BCA630">
      <w:start w:val="19"/>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55E7548C"/>
    <w:multiLevelType w:val="hybridMultilevel"/>
    <w:tmpl w:val="33E2E7AC"/>
    <w:lvl w:ilvl="0" w:tplc="1AA0ABC2">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641547C"/>
    <w:multiLevelType w:val="hybridMultilevel"/>
    <w:tmpl w:val="939C39E4"/>
    <w:lvl w:ilvl="0" w:tplc="E4FC18EC">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6F411C0"/>
    <w:multiLevelType w:val="hybridMultilevel"/>
    <w:tmpl w:val="F0322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6F77FBA"/>
    <w:multiLevelType w:val="hybridMultilevel"/>
    <w:tmpl w:val="1F08F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8370B29"/>
    <w:multiLevelType w:val="hybridMultilevel"/>
    <w:tmpl w:val="208604A8"/>
    <w:lvl w:ilvl="0" w:tplc="9FF03A6E">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8E51CD9"/>
    <w:multiLevelType w:val="hybridMultilevel"/>
    <w:tmpl w:val="D588848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5A232C8B"/>
    <w:multiLevelType w:val="hybridMultilevel"/>
    <w:tmpl w:val="0276A39C"/>
    <w:lvl w:ilvl="0" w:tplc="75FA653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AE41D5E"/>
    <w:multiLevelType w:val="hybridMultilevel"/>
    <w:tmpl w:val="8AE05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nsid w:val="5E274D19"/>
    <w:multiLevelType w:val="hybridMultilevel"/>
    <w:tmpl w:val="42C60096"/>
    <w:lvl w:ilvl="0" w:tplc="2A984D40">
      <w:start w:val="1"/>
      <w:numFmt w:val="decimal"/>
      <w:lvlText w:val="4.%1."/>
      <w:lvlJc w:val="left"/>
      <w:pPr>
        <w:tabs>
          <w:tab w:val="num" w:pos="680"/>
        </w:tabs>
        <w:ind w:left="0" w:firstLine="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7">
    <w:nsid w:val="5EA93457"/>
    <w:multiLevelType w:val="hybridMultilevel"/>
    <w:tmpl w:val="333042DA"/>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5EFA5F3F"/>
    <w:multiLevelType w:val="hybridMultilevel"/>
    <w:tmpl w:val="9B906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nsid w:val="60E16150"/>
    <w:multiLevelType w:val="hybridMultilevel"/>
    <w:tmpl w:val="FEB0664A"/>
    <w:lvl w:ilvl="0" w:tplc="81F2B8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623029D2"/>
    <w:multiLevelType w:val="hybridMultilevel"/>
    <w:tmpl w:val="8F0AE39E"/>
    <w:lvl w:ilvl="0" w:tplc="0409000B">
      <w:start w:val="1"/>
      <w:numFmt w:val="decimal"/>
      <w:lvlRestart w:val="0"/>
      <w:lvlText w:val="03.%1."/>
      <w:lvlJc w:val="left"/>
      <w:pPr>
        <w:tabs>
          <w:tab w:val="num" w:pos="567"/>
        </w:tabs>
        <w:ind w:left="0" w:firstLine="0"/>
      </w:pPr>
      <w:rPr>
        <w:rFonts w:hint="default"/>
        <w:sz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1">
    <w:nsid w:val="64055856"/>
    <w:multiLevelType w:val="hybridMultilevel"/>
    <w:tmpl w:val="DB52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64DC190A"/>
    <w:multiLevelType w:val="hybridMultilevel"/>
    <w:tmpl w:val="DBD071DA"/>
    <w:lvl w:ilvl="0" w:tplc="DE4A5C86">
      <w:start w:val="7"/>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675156A7"/>
    <w:multiLevelType w:val="hybridMultilevel"/>
    <w:tmpl w:val="A50C53F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67B8499F"/>
    <w:multiLevelType w:val="hybridMultilevel"/>
    <w:tmpl w:val="2C787E2A"/>
    <w:lvl w:ilvl="0" w:tplc="31585CA2">
      <w:start w:val="20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68321D13"/>
    <w:multiLevelType w:val="hybridMultilevel"/>
    <w:tmpl w:val="C0CCE232"/>
    <w:lvl w:ilvl="0" w:tplc="A250513C">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07">
    <w:nsid w:val="6A005E3D"/>
    <w:multiLevelType w:val="hybridMultilevel"/>
    <w:tmpl w:val="4822A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nsid w:val="6BAE3F18"/>
    <w:multiLevelType w:val="hybridMultilevel"/>
    <w:tmpl w:val="180A8A3A"/>
    <w:lvl w:ilvl="0" w:tplc="3342BADC">
      <w:start w:val="1"/>
      <w:numFmt w:val="decimal"/>
      <w:lvlText w:val="25.%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BEE66E5"/>
    <w:multiLevelType w:val="hybridMultilevel"/>
    <w:tmpl w:val="19067108"/>
    <w:lvl w:ilvl="0" w:tplc="1AA0ABC2">
      <w:start w:val="1"/>
      <w:numFmt w:val="bullet"/>
      <w:lvlText w:val=""/>
      <w:lvlJc w:val="left"/>
      <w:pPr>
        <w:ind w:left="780" w:hanging="360"/>
      </w:pPr>
      <w:rPr>
        <w:rFonts w:ascii="Symbol" w:hAnsi="Symbol" w:hint="default"/>
      </w:rPr>
    </w:lvl>
    <w:lvl w:ilvl="1" w:tplc="04090001">
      <w:start w:val="1"/>
      <w:numFmt w:val="bullet"/>
      <w:lvlText w:val=""/>
      <w:lvlJc w:val="left"/>
      <w:pPr>
        <w:ind w:left="1500" w:hanging="360"/>
      </w:pPr>
      <w:rPr>
        <w:rFonts w:ascii="Symbol" w:hAnsi="Symbol"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0">
    <w:nsid w:val="6DD97BF7"/>
    <w:multiLevelType w:val="hybridMultilevel"/>
    <w:tmpl w:val="3034C6D6"/>
    <w:lvl w:ilvl="0" w:tplc="A760BC98">
      <w:start w:val="1"/>
      <w:numFmt w:val="decimal"/>
      <w:lvlText w:val="30.%1."/>
      <w:lvlJc w:val="left"/>
      <w:pPr>
        <w:ind w:left="72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1">
    <w:nsid w:val="71146A48"/>
    <w:multiLevelType w:val="hybridMultilevel"/>
    <w:tmpl w:val="32DC7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72376FFB"/>
    <w:multiLevelType w:val="multilevel"/>
    <w:tmpl w:val="12E4239A"/>
    <w:lvl w:ilvl="0">
      <w:start w:val="1"/>
      <w:numFmt w:val="bullet"/>
      <w:pStyle w:val="Tes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3">
    <w:nsid w:val="73222A77"/>
    <w:multiLevelType w:val="hybridMultilevel"/>
    <w:tmpl w:val="BD700530"/>
    <w:lvl w:ilvl="0" w:tplc="1AA0ABC2">
      <w:start w:val="1"/>
      <w:numFmt w:val="bullet"/>
      <w:lvlText w:val=""/>
      <w:lvlJc w:val="left"/>
      <w:pPr>
        <w:tabs>
          <w:tab w:val="num" w:pos="794"/>
        </w:tabs>
        <w:ind w:left="794" w:hanging="397"/>
      </w:pPr>
      <w:rPr>
        <w:rFonts w:ascii="Symbol" w:hAnsi="Symbol" w:hint="default"/>
      </w:rPr>
    </w:lvl>
    <w:lvl w:ilvl="1" w:tplc="EA88E58A">
      <w:start w:val="1"/>
      <w:numFmt w:val="bullet"/>
      <w:lvlText w:val=""/>
      <w:lvlJc w:val="left"/>
      <w:pPr>
        <w:tabs>
          <w:tab w:val="num" w:pos="1990"/>
        </w:tabs>
        <w:ind w:left="1990" w:hanging="360"/>
      </w:pPr>
      <w:rPr>
        <w:rFonts w:ascii="Symbol" w:hAnsi="Symbol" w:hint="default"/>
        <w:color w:val="auto"/>
      </w:rPr>
    </w:lvl>
    <w:lvl w:ilvl="2" w:tplc="0409001B" w:tentative="1">
      <w:start w:val="1"/>
      <w:numFmt w:val="lowerRoman"/>
      <w:lvlText w:val="%3."/>
      <w:lvlJc w:val="right"/>
      <w:pPr>
        <w:tabs>
          <w:tab w:val="num" w:pos="2710"/>
        </w:tabs>
        <w:ind w:left="2710" w:hanging="180"/>
      </w:pPr>
    </w:lvl>
    <w:lvl w:ilvl="3" w:tplc="0409000F">
      <w:start w:val="1"/>
      <w:numFmt w:val="decimal"/>
      <w:lvlText w:val="%4."/>
      <w:lvlJc w:val="left"/>
      <w:pPr>
        <w:tabs>
          <w:tab w:val="num" w:pos="3430"/>
        </w:tabs>
        <w:ind w:left="3430" w:hanging="360"/>
      </w:pPr>
      <w:rPr>
        <w:rFonts w:hint="default"/>
      </w:rPr>
    </w:lvl>
    <w:lvl w:ilvl="4" w:tplc="04090019" w:tentative="1">
      <w:start w:val="1"/>
      <w:numFmt w:val="lowerLetter"/>
      <w:lvlText w:val="%5."/>
      <w:lvlJc w:val="left"/>
      <w:pPr>
        <w:tabs>
          <w:tab w:val="num" w:pos="4150"/>
        </w:tabs>
        <w:ind w:left="4150" w:hanging="360"/>
      </w:pPr>
    </w:lvl>
    <w:lvl w:ilvl="5" w:tplc="0409001B" w:tentative="1">
      <w:start w:val="1"/>
      <w:numFmt w:val="lowerRoman"/>
      <w:lvlText w:val="%6."/>
      <w:lvlJc w:val="right"/>
      <w:pPr>
        <w:tabs>
          <w:tab w:val="num" w:pos="4870"/>
        </w:tabs>
        <w:ind w:left="4870" w:hanging="180"/>
      </w:pPr>
    </w:lvl>
    <w:lvl w:ilvl="6" w:tplc="0409000F" w:tentative="1">
      <w:start w:val="1"/>
      <w:numFmt w:val="decimal"/>
      <w:lvlText w:val="%7."/>
      <w:lvlJc w:val="left"/>
      <w:pPr>
        <w:tabs>
          <w:tab w:val="num" w:pos="5590"/>
        </w:tabs>
        <w:ind w:left="5590" w:hanging="360"/>
      </w:pPr>
    </w:lvl>
    <w:lvl w:ilvl="7" w:tplc="04090019" w:tentative="1">
      <w:start w:val="1"/>
      <w:numFmt w:val="lowerLetter"/>
      <w:lvlText w:val="%8."/>
      <w:lvlJc w:val="left"/>
      <w:pPr>
        <w:tabs>
          <w:tab w:val="num" w:pos="6310"/>
        </w:tabs>
        <w:ind w:left="6310" w:hanging="360"/>
      </w:pPr>
    </w:lvl>
    <w:lvl w:ilvl="8" w:tplc="0409001B" w:tentative="1">
      <w:start w:val="1"/>
      <w:numFmt w:val="lowerRoman"/>
      <w:lvlText w:val="%9."/>
      <w:lvlJc w:val="right"/>
      <w:pPr>
        <w:tabs>
          <w:tab w:val="num" w:pos="7030"/>
        </w:tabs>
        <w:ind w:left="7030" w:hanging="180"/>
      </w:pPr>
    </w:lvl>
  </w:abstractNum>
  <w:abstractNum w:abstractNumId="114">
    <w:nsid w:val="73EF6FCB"/>
    <w:multiLevelType w:val="hybridMultilevel"/>
    <w:tmpl w:val="D94E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74397032"/>
    <w:multiLevelType w:val="hybridMultilevel"/>
    <w:tmpl w:val="CE3EC29C"/>
    <w:lvl w:ilvl="0" w:tplc="92A6757A">
      <w:start w:val="1"/>
      <w:numFmt w:val="decimal"/>
      <w:lvlText w:val="6.%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45A662D"/>
    <w:multiLevelType w:val="hybridMultilevel"/>
    <w:tmpl w:val="63BA6656"/>
    <w:lvl w:ilvl="0" w:tplc="2C784CBE">
      <w:start w:val="1"/>
      <w:numFmt w:val="decimal"/>
      <w:pStyle w:val="Style1"/>
      <w:lvlText w:val="13.%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75D11C28"/>
    <w:multiLevelType w:val="multilevel"/>
    <w:tmpl w:val="E410DFAA"/>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8">
    <w:nsid w:val="769221F0"/>
    <w:multiLevelType w:val="hybridMultilevel"/>
    <w:tmpl w:val="E5EAF760"/>
    <w:lvl w:ilvl="0" w:tplc="9D9ACDE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7054D63"/>
    <w:multiLevelType w:val="hybridMultilevel"/>
    <w:tmpl w:val="0002C35E"/>
    <w:lvl w:ilvl="0" w:tplc="717C3A64">
      <w:start w:val="1"/>
      <w:numFmt w:val="decimal"/>
      <w:lvlText w:val="27.%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77850D78"/>
    <w:multiLevelType w:val="hybridMultilevel"/>
    <w:tmpl w:val="87B0E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785C46CD"/>
    <w:multiLevelType w:val="hybridMultilevel"/>
    <w:tmpl w:val="D91E0B8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7B9F54BC"/>
    <w:multiLevelType w:val="hybridMultilevel"/>
    <w:tmpl w:val="79AA0386"/>
    <w:lvl w:ilvl="0" w:tplc="24621A76">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BEA236F"/>
    <w:multiLevelType w:val="hybridMultilevel"/>
    <w:tmpl w:val="B7DC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7C2F76DB"/>
    <w:multiLevelType w:val="hybridMultilevel"/>
    <w:tmpl w:val="16CE3452"/>
    <w:lvl w:ilvl="0" w:tplc="2D4AE1C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7CB87600"/>
    <w:multiLevelType w:val="hybridMultilevel"/>
    <w:tmpl w:val="B448B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CE10BF9"/>
    <w:multiLevelType w:val="hybridMultilevel"/>
    <w:tmpl w:val="2598B82A"/>
    <w:lvl w:ilvl="0" w:tplc="29F2B5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7">
    <w:nsid w:val="7DA6301D"/>
    <w:multiLevelType w:val="hybridMultilevel"/>
    <w:tmpl w:val="8DBCD8C6"/>
    <w:lvl w:ilvl="0" w:tplc="CCF0CE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7E304086"/>
    <w:multiLevelType w:val="multilevel"/>
    <w:tmpl w:val="8DD6CB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9">
    <w:nsid w:val="7E5A0FB5"/>
    <w:multiLevelType w:val="hybridMultilevel"/>
    <w:tmpl w:val="70948022"/>
    <w:lvl w:ilvl="0" w:tplc="1AA0ABC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0">
    <w:nsid w:val="7FC21B01"/>
    <w:multiLevelType w:val="hybridMultilevel"/>
    <w:tmpl w:val="82E29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46"/>
  </w:num>
  <w:num w:numId="3">
    <w:abstractNumId w:val="66"/>
  </w:num>
  <w:num w:numId="4">
    <w:abstractNumId w:val="19"/>
  </w:num>
  <w:num w:numId="5">
    <w:abstractNumId w:val="57"/>
  </w:num>
  <w:num w:numId="6">
    <w:abstractNumId w:val="98"/>
  </w:num>
  <w:num w:numId="7">
    <w:abstractNumId w:val="16"/>
  </w:num>
  <w:num w:numId="8">
    <w:abstractNumId w:val="107"/>
  </w:num>
  <w:num w:numId="9">
    <w:abstractNumId w:val="9"/>
  </w:num>
  <w:num w:numId="10">
    <w:abstractNumId w:val="27"/>
  </w:num>
  <w:num w:numId="11">
    <w:abstractNumId w:val="51"/>
  </w:num>
  <w:num w:numId="12">
    <w:abstractNumId w:val="111"/>
  </w:num>
  <w:num w:numId="13">
    <w:abstractNumId w:val="60"/>
  </w:num>
  <w:num w:numId="14">
    <w:abstractNumId w:val="59"/>
  </w:num>
  <w:num w:numId="15">
    <w:abstractNumId w:val="114"/>
  </w:num>
  <w:num w:numId="16">
    <w:abstractNumId w:val="130"/>
  </w:num>
  <w:num w:numId="17">
    <w:abstractNumId w:val="93"/>
  </w:num>
  <w:num w:numId="18">
    <w:abstractNumId w:val="36"/>
  </w:num>
  <w:num w:numId="19">
    <w:abstractNumId w:val="123"/>
  </w:num>
  <w:num w:numId="20">
    <w:abstractNumId w:val="42"/>
  </w:num>
  <w:num w:numId="21">
    <w:abstractNumId w:val="63"/>
  </w:num>
  <w:num w:numId="22">
    <w:abstractNumId w:val="101"/>
  </w:num>
  <w:num w:numId="23">
    <w:abstractNumId w:val="89"/>
  </w:num>
  <w:num w:numId="24">
    <w:abstractNumId w:val="120"/>
  </w:num>
  <w:num w:numId="25">
    <w:abstractNumId w:val="71"/>
  </w:num>
  <w:num w:numId="26">
    <w:abstractNumId w:val="35"/>
  </w:num>
  <w:num w:numId="27">
    <w:abstractNumId w:val="6"/>
  </w:num>
  <w:num w:numId="28">
    <w:abstractNumId w:val="41"/>
  </w:num>
  <w:num w:numId="29">
    <w:abstractNumId w:val="116"/>
  </w:num>
  <w:num w:numId="30">
    <w:abstractNumId w:val="45"/>
  </w:num>
  <w:num w:numId="31">
    <w:abstractNumId w:val="106"/>
  </w:num>
  <w:num w:numId="32">
    <w:abstractNumId w:val="95"/>
  </w:num>
  <w:num w:numId="33">
    <w:abstractNumId w:val="102"/>
  </w:num>
  <w:num w:numId="34">
    <w:abstractNumId w:val="61"/>
  </w:num>
  <w:num w:numId="35">
    <w:abstractNumId w:val="14"/>
  </w:num>
  <w:num w:numId="36">
    <w:abstractNumId w:val="1"/>
  </w:num>
  <w:num w:numId="37">
    <w:abstractNumId w:val="91"/>
  </w:num>
  <w:num w:numId="38">
    <w:abstractNumId w:val="48"/>
  </w:num>
  <w:num w:numId="3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2"/>
  </w:num>
  <w:num w:numId="41">
    <w:abstractNumId w:val="20"/>
  </w:num>
  <w:num w:numId="42">
    <w:abstractNumId w:val="28"/>
  </w:num>
  <w:num w:numId="43">
    <w:abstractNumId w:val="2"/>
  </w:num>
  <w:num w:numId="44">
    <w:abstractNumId w:val="108"/>
  </w:num>
  <w:num w:numId="45">
    <w:abstractNumId w:val="22"/>
  </w:num>
  <w:num w:numId="46">
    <w:abstractNumId w:val="86"/>
  </w:num>
  <w:num w:numId="47">
    <w:abstractNumId w:val="92"/>
  </w:num>
  <w:num w:numId="48">
    <w:abstractNumId w:val="82"/>
  </w:num>
  <w:num w:numId="49">
    <w:abstractNumId w:val="40"/>
  </w:num>
  <w:num w:numId="50">
    <w:abstractNumId w:val="119"/>
  </w:num>
  <w:num w:numId="51">
    <w:abstractNumId w:val="103"/>
  </w:num>
  <w:num w:numId="52">
    <w:abstractNumId w:val="80"/>
  </w:num>
  <w:num w:numId="53">
    <w:abstractNumId w:val="55"/>
  </w:num>
  <w:num w:numId="54">
    <w:abstractNumId w:val="11"/>
  </w:num>
  <w:num w:numId="55">
    <w:abstractNumId w:val="124"/>
  </w:num>
  <w:num w:numId="56">
    <w:abstractNumId w:val="72"/>
  </w:num>
  <w:num w:numId="57">
    <w:abstractNumId w:val="38"/>
  </w:num>
  <w:num w:numId="58">
    <w:abstractNumId w:val="29"/>
  </w:num>
  <w:num w:numId="59">
    <w:abstractNumId w:val="31"/>
  </w:num>
  <w:num w:numId="60">
    <w:abstractNumId w:val="115"/>
  </w:num>
  <w:num w:numId="61">
    <w:abstractNumId w:val="83"/>
  </w:num>
  <w:num w:numId="62">
    <w:abstractNumId w:val="34"/>
  </w:num>
  <w:num w:numId="63">
    <w:abstractNumId w:val="7"/>
  </w:num>
  <w:num w:numId="64">
    <w:abstractNumId w:val="105"/>
  </w:num>
  <w:num w:numId="65">
    <w:abstractNumId w:val="24"/>
  </w:num>
  <w:num w:numId="66">
    <w:abstractNumId w:val="64"/>
  </w:num>
  <w:num w:numId="67">
    <w:abstractNumId w:val="15"/>
  </w:num>
  <w:num w:numId="68">
    <w:abstractNumId w:val="100"/>
  </w:num>
  <w:num w:numId="69">
    <w:abstractNumId w:val="104"/>
  </w:num>
  <w:num w:numId="70">
    <w:abstractNumId w:val="121"/>
  </w:num>
  <w:num w:numId="71">
    <w:abstractNumId w:val="47"/>
  </w:num>
  <w:num w:numId="72">
    <w:abstractNumId w:val="118"/>
  </w:num>
  <w:num w:numId="73">
    <w:abstractNumId w:val="30"/>
  </w:num>
  <w:num w:numId="74">
    <w:abstractNumId w:val="68"/>
  </w:num>
  <w:num w:numId="75">
    <w:abstractNumId w:val="99"/>
  </w:num>
  <w:num w:numId="76">
    <w:abstractNumId w:val="122"/>
  </w:num>
  <w:num w:numId="77">
    <w:abstractNumId w:val="33"/>
  </w:num>
  <w:num w:numId="78">
    <w:abstractNumId w:val="84"/>
  </w:num>
  <w:num w:numId="79">
    <w:abstractNumId w:val="21"/>
  </w:num>
  <w:num w:numId="80">
    <w:abstractNumId w:val="88"/>
  </w:num>
  <w:num w:numId="81">
    <w:abstractNumId w:val="3"/>
  </w:num>
  <w:num w:numId="82">
    <w:abstractNumId w:val="54"/>
  </w:num>
  <w:num w:numId="83">
    <w:abstractNumId w:val="50"/>
  </w:num>
  <w:num w:numId="84">
    <w:abstractNumId w:val="128"/>
  </w:num>
  <w:num w:numId="85">
    <w:abstractNumId w:val="73"/>
  </w:num>
  <w:num w:numId="86">
    <w:abstractNumId w:val="43"/>
  </w:num>
  <w:num w:numId="87">
    <w:abstractNumId w:val="67"/>
  </w:num>
  <w:num w:numId="88">
    <w:abstractNumId w:val="85"/>
  </w:num>
  <w:num w:numId="89">
    <w:abstractNumId w:val="39"/>
  </w:num>
  <w:num w:numId="90">
    <w:abstractNumId w:val="129"/>
  </w:num>
  <w:num w:numId="91">
    <w:abstractNumId w:val="8"/>
  </w:num>
  <w:num w:numId="92">
    <w:abstractNumId w:val="44"/>
  </w:num>
  <w:num w:numId="93">
    <w:abstractNumId w:val="110"/>
  </w:num>
  <w:num w:numId="94">
    <w:abstractNumId w:val="70"/>
  </w:num>
  <w:num w:numId="95">
    <w:abstractNumId w:val="18"/>
  </w:num>
  <w:num w:numId="96">
    <w:abstractNumId w:val="97"/>
  </w:num>
  <w:num w:numId="97">
    <w:abstractNumId w:val="78"/>
  </w:num>
  <w:num w:numId="98">
    <w:abstractNumId w:val="77"/>
  </w:num>
  <w:num w:numId="99">
    <w:abstractNumId w:val="81"/>
  </w:num>
  <w:num w:numId="100">
    <w:abstractNumId w:val="23"/>
  </w:num>
  <w:num w:numId="101">
    <w:abstractNumId w:val="53"/>
  </w:num>
  <w:num w:numId="102">
    <w:abstractNumId w:val="12"/>
  </w:num>
  <w:num w:numId="103">
    <w:abstractNumId w:val="112"/>
  </w:num>
  <w:num w:numId="104">
    <w:abstractNumId w:val="113"/>
  </w:num>
  <w:num w:numId="105">
    <w:abstractNumId w:val="75"/>
  </w:num>
  <w:num w:numId="106">
    <w:abstractNumId w:val="25"/>
  </w:num>
  <w:num w:numId="107">
    <w:abstractNumId w:val="69"/>
  </w:num>
  <w:num w:numId="108">
    <w:abstractNumId w:val="117"/>
  </w:num>
  <w:num w:numId="109">
    <w:abstractNumId w:val="0"/>
  </w:num>
  <w:num w:numId="110">
    <w:abstractNumId w:val="5"/>
  </w:num>
  <w:num w:numId="111">
    <w:abstractNumId w:val="4"/>
  </w:num>
  <w:num w:numId="112">
    <w:abstractNumId w:val="126"/>
  </w:num>
  <w:num w:numId="113">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17"/>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17"/>
    <w:lvlOverride w:ilvl="0">
      <w:startOverride w:val="2"/>
    </w:lvlOverride>
    <w:lvlOverride w:ilvl="1">
      <w:startOverride w:val="3"/>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74"/>
  </w:num>
  <w:num w:numId="117">
    <w:abstractNumId w:val="58"/>
  </w:num>
  <w:num w:numId="118">
    <w:abstractNumId w:val="49"/>
  </w:num>
  <w:num w:numId="119">
    <w:abstractNumId w:val="87"/>
  </w:num>
  <w:num w:numId="120">
    <w:abstractNumId w:val="37"/>
  </w:num>
  <w:num w:numId="121">
    <w:abstractNumId w:val="32"/>
  </w:num>
  <w:num w:numId="122">
    <w:abstractNumId w:val="62"/>
  </w:num>
  <w:num w:numId="123">
    <w:abstractNumId w:val="56"/>
  </w:num>
  <w:num w:numId="124">
    <w:abstractNumId w:val="17"/>
  </w:num>
  <w:num w:numId="125">
    <w:abstractNumId w:val="127"/>
  </w:num>
  <w:num w:numId="126">
    <w:abstractNumId w:val="109"/>
  </w:num>
  <w:num w:numId="127">
    <w:abstractNumId w:val="76"/>
  </w:num>
  <w:num w:numId="128">
    <w:abstractNumId w:val="65"/>
  </w:num>
  <w:num w:numId="129">
    <w:abstractNumId w:val="26"/>
  </w:num>
  <w:num w:numId="130">
    <w:abstractNumId w:val="10"/>
  </w:num>
  <w:num w:numId="131">
    <w:abstractNumId w:val="94"/>
  </w:num>
  <w:num w:numId="132">
    <w:abstractNumId w:val="13"/>
  </w:num>
  <w:num w:numId="133">
    <w:abstractNumId w:val="79"/>
  </w:num>
  <w:num w:numId="134">
    <w:abstractNumId w:val="125"/>
  </w:num>
  <w:num w:numId="135">
    <w:abstractNumId w:val="90"/>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8A8"/>
    <w:rsid w:val="00002CD7"/>
    <w:rsid w:val="00004027"/>
    <w:rsid w:val="00005AC2"/>
    <w:rsid w:val="00005E5B"/>
    <w:rsid w:val="00010322"/>
    <w:rsid w:val="00011829"/>
    <w:rsid w:val="0001289E"/>
    <w:rsid w:val="00012A02"/>
    <w:rsid w:val="0001444E"/>
    <w:rsid w:val="00014996"/>
    <w:rsid w:val="00014B6A"/>
    <w:rsid w:val="00017954"/>
    <w:rsid w:val="00020A5F"/>
    <w:rsid w:val="00022EBD"/>
    <w:rsid w:val="00027DD5"/>
    <w:rsid w:val="0003119E"/>
    <w:rsid w:val="00032536"/>
    <w:rsid w:val="000326FA"/>
    <w:rsid w:val="00033607"/>
    <w:rsid w:val="00033790"/>
    <w:rsid w:val="000350AD"/>
    <w:rsid w:val="00035426"/>
    <w:rsid w:val="0003626E"/>
    <w:rsid w:val="000364EA"/>
    <w:rsid w:val="0003661F"/>
    <w:rsid w:val="00037ACC"/>
    <w:rsid w:val="00042826"/>
    <w:rsid w:val="00043413"/>
    <w:rsid w:val="000439F3"/>
    <w:rsid w:val="00043AC3"/>
    <w:rsid w:val="00043E22"/>
    <w:rsid w:val="0004489D"/>
    <w:rsid w:val="00044C93"/>
    <w:rsid w:val="00045005"/>
    <w:rsid w:val="000454B1"/>
    <w:rsid w:val="00045D96"/>
    <w:rsid w:val="00050A46"/>
    <w:rsid w:val="00051E35"/>
    <w:rsid w:val="00052846"/>
    <w:rsid w:val="0005484B"/>
    <w:rsid w:val="000548CA"/>
    <w:rsid w:val="00054A91"/>
    <w:rsid w:val="000553F4"/>
    <w:rsid w:val="00055B26"/>
    <w:rsid w:val="00057099"/>
    <w:rsid w:val="000601E0"/>
    <w:rsid w:val="00060851"/>
    <w:rsid w:val="00061894"/>
    <w:rsid w:val="00062036"/>
    <w:rsid w:val="000630B2"/>
    <w:rsid w:val="000645CD"/>
    <w:rsid w:val="0006519F"/>
    <w:rsid w:val="0007212F"/>
    <w:rsid w:val="000723D4"/>
    <w:rsid w:val="000748DF"/>
    <w:rsid w:val="00076389"/>
    <w:rsid w:val="00076B49"/>
    <w:rsid w:val="0008127B"/>
    <w:rsid w:val="00086E9E"/>
    <w:rsid w:val="0009042A"/>
    <w:rsid w:val="000908D9"/>
    <w:rsid w:val="000917B4"/>
    <w:rsid w:val="00091D14"/>
    <w:rsid w:val="000927B3"/>
    <w:rsid w:val="00092CBA"/>
    <w:rsid w:val="00093C9E"/>
    <w:rsid w:val="000961FB"/>
    <w:rsid w:val="0009724A"/>
    <w:rsid w:val="0009735C"/>
    <w:rsid w:val="000A031B"/>
    <w:rsid w:val="000A134C"/>
    <w:rsid w:val="000A1987"/>
    <w:rsid w:val="000A52A5"/>
    <w:rsid w:val="000B0C3B"/>
    <w:rsid w:val="000B155B"/>
    <w:rsid w:val="000B15EA"/>
    <w:rsid w:val="000B1C74"/>
    <w:rsid w:val="000B2A8C"/>
    <w:rsid w:val="000B6001"/>
    <w:rsid w:val="000B67F5"/>
    <w:rsid w:val="000C1151"/>
    <w:rsid w:val="000C1693"/>
    <w:rsid w:val="000C419F"/>
    <w:rsid w:val="000C4CBD"/>
    <w:rsid w:val="000C60D1"/>
    <w:rsid w:val="000C6175"/>
    <w:rsid w:val="000D18DB"/>
    <w:rsid w:val="000D1A7B"/>
    <w:rsid w:val="000D2F60"/>
    <w:rsid w:val="000D3B97"/>
    <w:rsid w:val="000D6A68"/>
    <w:rsid w:val="000D733B"/>
    <w:rsid w:val="000E148D"/>
    <w:rsid w:val="000E1A74"/>
    <w:rsid w:val="000E1D5A"/>
    <w:rsid w:val="000E3FE2"/>
    <w:rsid w:val="000E4782"/>
    <w:rsid w:val="000F101C"/>
    <w:rsid w:val="000F1CAB"/>
    <w:rsid w:val="000F1DDB"/>
    <w:rsid w:val="000F345E"/>
    <w:rsid w:val="000F48F1"/>
    <w:rsid w:val="000F5600"/>
    <w:rsid w:val="000F5BFF"/>
    <w:rsid w:val="000F7A05"/>
    <w:rsid w:val="000F7C26"/>
    <w:rsid w:val="00100231"/>
    <w:rsid w:val="00102710"/>
    <w:rsid w:val="00103504"/>
    <w:rsid w:val="00104BD7"/>
    <w:rsid w:val="00111956"/>
    <w:rsid w:val="0011197F"/>
    <w:rsid w:val="001129F4"/>
    <w:rsid w:val="0011421D"/>
    <w:rsid w:val="00114238"/>
    <w:rsid w:val="00114690"/>
    <w:rsid w:val="00120315"/>
    <w:rsid w:val="0012038D"/>
    <w:rsid w:val="001209D6"/>
    <w:rsid w:val="001218D9"/>
    <w:rsid w:val="0012429F"/>
    <w:rsid w:val="001243AF"/>
    <w:rsid w:val="00124B39"/>
    <w:rsid w:val="00126520"/>
    <w:rsid w:val="0012783A"/>
    <w:rsid w:val="00127901"/>
    <w:rsid w:val="0013028A"/>
    <w:rsid w:val="001305C0"/>
    <w:rsid w:val="00132D80"/>
    <w:rsid w:val="00133F5E"/>
    <w:rsid w:val="001340F0"/>
    <w:rsid w:val="0013586E"/>
    <w:rsid w:val="001358E4"/>
    <w:rsid w:val="00135F6B"/>
    <w:rsid w:val="001368A5"/>
    <w:rsid w:val="00136AA7"/>
    <w:rsid w:val="001424A8"/>
    <w:rsid w:val="001428FA"/>
    <w:rsid w:val="00143CEF"/>
    <w:rsid w:val="001446DA"/>
    <w:rsid w:val="00144890"/>
    <w:rsid w:val="0014622E"/>
    <w:rsid w:val="0015164C"/>
    <w:rsid w:val="00153A6E"/>
    <w:rsid w:val="00153D46"/>
    <w:rsid w:val="001562E0"/>
    <w:rsid w:val="001619FB"/>
    <w:rsid w:val="00163084"/>
    <w:rsid w:val="001636E8"/>
    <w:rsid w:val="001641A3"/>
    <w:rsid w:val="00164B85"/>
    <w:rsid w:val="0016615F"/>
    <w:rsid w:val="001706EA"/>
    <w:rsid w:val="0017096C"/>
    <w:rsid w:val="00170BA2"/>
    <w:rsid w:val="00171802"/>
    <w:rsid w:val="00171FE2"/>
    <w:rsid w:val="001752C9"/>
    <w:rsid w:val="0017534C"/>
    <w:rsid w:val="0017565C"/>
    <w:rsid w:val="00176773"/>
    <w:rsid w:val="00176AA3"/>
    <w:rsid w:val="00184DCA"/>
    <w:rsid w:val="00186E36"/>
    <w:rsid w:val="0018784A"/>
    <w:rsid w:val="00191B3E"/>
    <w:rsid w:val="00191E10"/>
    <w:rsid w:val="00195BC5"/>
    <w:rsid w:val="001A32EA"/>
    <w:rsid w:val="001A5541"/>
    <w:rsid w:val="001B013D"/>
    <w:rsid w:val="001B043B"/>
    <w:rsid w:val="001B17A5"/>
    <w:rsid w:val="001B1BAF"/>
    <w:rsid w:val="001B2366"/>
    <w:rsid w:val="001B3125"/>
    <w:rsid w:val="001B40EB"/>
    <w:rsid w:val="001B4655"/>
    <w:rsid w:val="001B5F0A"/>
    <w:rsid w:val="001B7BAF"/>
    <w:rsid w:val="001C0B36"/>
    <w:rsid w:val="001C0FA1"/>
    <w:rsid w:val="001C1641"/>
    <w:rsid w:val="001C2781"/>
    <w:rsid w:val="001C6F4D"/>
    <w:rsid w:val="001D088C"/>
    <w:rsid w:val="001D2700"/>
    <w:rsid w:val="001D2A2C"/>
    <w:rsid w:val="001D2ACA"/>
    <w:rsid w:val="001D3E22"/>
    <w:rsid w:val="001D4172"/>
    <w:rsid w:val="001D42EF"/>
    <w:rsid w:val="001D61AA"/>
    <w:rsid w:val="001D6536"/>
    <w:rsid w:val="001E15AA"/>
    <w:rsid w:val="001E1B00"/>
    <w:rsid w:val="001E1D61"/>
    <w:rsid w:val="001E1EEF"/>
    <w:rsid w:val="001E2914"/>
    <w:rsid w:val="001E323F"/>
    <w:rsid w:val="001E40E8"/>
    <w:rsid w:val="001E4922"/>
    <w:rsid w:val="001E6CC3"/>
    <w:rsid w:val="001F0218"/>
    <w:rsid w:val="001F0FAB"/>
    <w:rsid w:val="001F17BB"/>
    <w:rsid w:val="001F2562"/>
    <w:rsid w:val="001F2617"/>
    <w:rsid w:val="001F2CB7"/>
    <w:rsid w:val="001F2DE0"/>
    <w:rsid w:val="001F6AD6"/>
    <w:rsid w:val="002001DE"/>
    <w:rsid w:val="002007BA"/>
    <w:rsid w:val="002013AB"/>
    <w:rsid w:val="00201AE9"/>
    <w:rsid w:val="00202AD2"/>
    <w:rsid w:val="0020511E"/>
    <w:rsid w:val="002069CD"/>
    <w:rsid w:val="002102AD"/>
    <w:rsid w:val="002117DE"/>
    <w:rsid w:val="00212F0A"/>
    <w:rsid w:val="00214ED2"/>
    <w:rsid w:val="00214F9F"/>
    <w:rsid w:val="002206B1"/>
    <w:rsid w:val="00220F68"/>
    <w:rsid w:val="00222A8D"/>
    <w:rsid w:val="00225288"/>
    <w:rsid w:val="00225A0C"/>
    <w:rsid w:val="00226115"/>
    <w:rsid w:val="002262EB"/>
    <w:rsid w:val="00226725"/>
    <w:rsid w:val="00230E2A"/>
    <w:rsid w:val="0023125D"/>
    <w:rsid w:val="00232B14"/>
    <w:rsid w:val="00233C26"/>
    <w:rsid w:val="00234BEF"/>
    <w:rsid w:val="002400BB"/>
    <w:rsid w:val="00240749"/>
    <w:rsid w:val="00241C17"/>
    <w:rsid w:val="00241DA6"/>
    <w:rsid w:val="00242929"/>
    <w:rsid w:val="00243E68"/>
    <w:rsid w:val="0024548C"/>
    <w:rsid w:val="00245797"/>
    <w:rsid w:val="00245FBB"/>
    <w:rsid w:val="002468FB"/>
    <w:rsid w:val="00246C7E"/>
    <w:rsid w:val="00246C95"/>
    <w:rsid w:val="002470A0"/>
    <w:rsid w:val="00251CB5"/>
    <w:rsid w:val="002528A0"/>
    <w:rsid w:val="00254433"/>
    <w:rsid w:val="00257165"/>
    <w:rsid w:val="002603B3"/>
    <w:rsid w:val="0026223C"/>
    <w:rsid w:val="00264F68"/>
    <w:rsid w:val="002707F4"/>
    <w:rsid w:val="00270DEF"/>
    <w:rsid w:val="00271CFB"/>
    <w:rsid w:val="00276E66"/>
    <w:rsid w:val="00280DA3"/>
    <w:rsid w:val="00281D8C"/>
    <w:rsid w:val="00281F9F"/>
    <w:rsid w:val="00284065"/>
    <w:rsid w:val="002843AA"/>
    <w:rsid w:val="002846DC"/>
    <w:rsid w:val="002853DE"/>
    <w:rsid w:val="0028549E"/>
    <w:rsid w:val="0028688B"/>
    <w:rsid w:val="00287B80"/>
    <w:rsid w:val="00291097"/>
    <w:rsid w:val="002912AF"/>
    <w:rsid w:val="002919FF"/>
    <w:rsid w:val="00292D28"/>
    <w:rsid w:val="002938E8"/>
    <w:rsid w:val="002952A6"/>
    <w:rsid w:val="00295D7D"/>
    <w:rsid w:val="002970AE"/>
    <w:rsid w:val="002A1497"/>
    <w:rsid w:val="002A29FA"/>
    <w:rsid w:val="002A4407"/>
    <w:rsid w:val="002A4A43"/>
    <w:rsid w:val="002A635B"/>
    <w:rsid w:val="002A663B"/>
    <w:rsid w:val="002A6D86"/>
    <w:rsid w:val="002A7190"/>
    <w:rsid w:val="002A7742"/>
    <w:rsid w:val="002B02EA"/>
    <w:rsid w:val="002B0582"/>
    <w:rsid w:val="002B0AF4"/>
    <w:rsid w:val="002B0CDF"/>
    <w:rsid w:val="002B1C9C"/>
    <w:rsid w:val="002B5251"/>
    <w:rsid w:val="002B6601"/>
    <w:rsid w:val="002B69A3"/>
    <w:rsid w:val="002B7DE5"/>
    <w:rsid w:val="002C0BD5"/>
    <w:rsid w:val="002C2CA1"/>
    <w:rsid w:val="002C54C3"/>
    <w:rsid w:val="002D0856"/>
    <w:rsid w:val="002D1472"/>
    <w:rsid w:val="002D1C2D"/>
    <w:rsid w:val="002D1F33"/>
    <w:rsid w:val="002D2413"/>
    <w:rsid w:val="002D3FA2"/>
    <w:rsid w:val="002D70DD"/>
    <w:rsid w:val="002E062E"/>
    <w:rsid w:val="002E1DC0"/>
    <w:rsid w:val="002F2855"/>
    <w:rsid w:val="002F5D79"/>
    <w:rsid w:val="00301514"/>
    <w:rsid w:val="003025BC"/>
    <w:rsid w:val="00304270"/>
    <w:rsid w:val="00304D88"/>
    <w:rsid w:val="003053C5"/>
    <w:rsid w:val="003071E6"/>
    <w:rsid w:val="003078E9"/>
    <w:rsid w:val="00307B5F"/>
    <w:rsid w:val="00310A0E"/>
    <w:rsid w:val="00311585"/>
    <w:rsid w:val="003148F6"/>
    <w:rsid w:val="00314E7C"/>
    <w:rsid w:val="0031570A"/>
    <w:rsid w:val="003157DB"/>
    <w:rsid w:val="0031605F"/>
    <w:rsid w:val="00316630"/>
    <w:rsid w:val="0032092F"/>
    <w:rsid w:val="003211D5"/>
    <w:rsid w:val="003214B5"/>
    <w:rsid w:val="00321AB9"/>
    <w:rsid w:val="00323D6E"/>
    <w:rsid w:val="0032659E"/>
    <w:rsid w:val="0033010F"/>
    <w:rsid w:val="00330226"/>
    <w:rsid w:val="00331BD0"/>
    <w:rsid w:val="003337F1"/>
    <w:rsid w:val="00335361"/>
    <w:rsid w:val="00336551"/>
    <w:rsid w:val="00337B17"/>
    <w:rsid w:val="00341202"/>
    <w:rsid w:val="003429BB"/>
    <w:rsid w:val="00343C9C"/>
    <w:rsid w:val="00353560"/>
    <w:rsid w:val="00353999"/>
    <w:rsid w:val="00356403"/>
    <w:rsid w:val="003573DD"/>
    <w:rsid w:val="00357617"/>
    <w:rsid w:val="00361214"/>
    <w:rsid w:val="00361A1E"/>
    <w:rsid w:val="0036297A"/>
    <w:rsid w:val="00364618"/>
    <w:rsid w:val="00365438"/>
    <w:rsid w:val="003714F3"/>
    <w:rsid w:val="003736E4"/>
    <w:rsid w:val="003742AC"/>
    <w:rsid w:val="00377D0B"/>
    <w:rsid w:val="00380229"/>
    <w:rsid w:val="00382132"/>
    <w:rsid w:val="00383D2D"/>
    <w:rsid w:val="00387D26"/>
    <w:rsid w:val="00390217"/>
    <w:rsid w:val="0039165D"/>
    <w:rsid w:val="003943F0"/>
    <w:rsid w:val="003969F3"/>
    <w:rsid w:val="00396BE3"/>
    <w:rsid w:val="00396EB2"/>
    <w:rsid w:val="0039788A"/>
    <w:rsid w:val="003A0ADE"/>
    <w:rsid w:val="003A27B5"/>
    <w:rsid w:val="003A2976"/>
    <w:rsid w:val="003A4953"/>
    <w:rsid w:val="003A5FF7"/>
    <w:rsid w:val="003A63F6"/>
    <w:rsid w:val="003B19F1"/>
    <w:rsid w:val="003B23AE"/>
    <w:rsid w:val="003B48C5"/>
    <w:rsid w:val="003B7BA3"/>
    <w:rsid w:val="003C006F"/>
    <w:rsid w:val="003C0198"/>
    <w:rsid w:val="003C151C"/>
    <w:rsid w:val="003C1F4D"/>
    <w:rsid w:val="003C203C"/>
    <w:rsid w:val="003C3AD4"/>
    <w:rsid w:val="003C4A82"/>
    <w:rsid w:val="003C6933"/>
    <w:rsid w:val="003D19E1"/>
    <w:rsid w:val="003D19E5"/>
    <w:rsid w:val="003D2534"/>
    <w:rsid w:val="003D6551"/>
    <w:rsid w:val="003D676F"/>
    <w:rsid w:val="003D6CAF"/>
    <w:rsid w:val="003E0566"/>
    <w:rsid w:val="003E2D93"/>
    <w:rsid w:val="003E2F16"/>
    <w:rsid w:val="003E43F4"/>
    <w:rsid w:val="003E6D5F"/>
    <w:rsid w:val="003E6F7B"/>
    <w:rsid w:val="003F0457"/>
    <w:rsid w:val="003F0777"/>
    <w:rsid w:val="003F15BD"/>
    <w:rsid w:val="003F3481"/>
    <w:rsid w:val="003F3CDF"/>
    <w:rsid w:val="003F5276"/>
    <w:rsid w:val="003F536E"/>
    <w:rsid w:val="003F5D84"/>
    <w:rsid w:val="003F6594"/>
    <w:rsid w:val="0040000A"/>
    <w:rsid w:val="00400A45"/>
    <w:rsid w:val="00404F7C"/>
    <w:rsid w:val="00407F3C"/>
    <w:rsid w:val="00410F75"/>
    <w:rsid w:val="0041239B"/>
    <w:rsid w:val="004132F4"/>
    <w:rsid w:val="00413EEB"/>
    <w:rsid w:val="004149DA"/>
    <w:rsid w:val="00415453"/>
    <w:rsid w:val="00417859"/>
    <w:rsid w:val="00420F90"/>
    <w:rsid w:val="00422AAD"/>
    <w:rsid w:val="00423B8B"/>
    <w:rsid w:val="0042593C"/>
    <w:rsid w:val="00426D79"/>
    <w:rsid w:val="004273CB"/>
    <w:rsid w:val="0042797C"/>
    <w:rsid w:val="00430ECC"/>
    <w:rsid w:val="004312A2"/>
    <w:rsid w:val="00432FF4"/>
    <w:rsid w:val="00433F7E"/>
    <w:rsid w:val="004370F9"/>
    <w:rsid w:val="00440BE5"/>
    <w:rsid w:val="00442578"/>
    <w:rsid w:val="004433C7"/>
    <w:rsid w:val="00444129"/>
    <w:rsid w:val="00446965"/>
    <w:rsid w:val="00446B5B"/>
    <w:rsid w:val="00446EA4"/>
    <w:rsid w:val="004474A6"/>
    <w:rsid w:val="004510AE"/>
    <w:rsid w:val="00452043"/>
    <w:rsid w:val="0045463F"/>
    <w:rsid w:val="00455B2F"/>
    <w:rsid w:val="00456D61"/>
    <w:rsid w:val="00457398"/>
    <w:rsid w:val="00460CD8"/>
    <w:rsid w:val="004611B9"/>
    <w:rsid w:val="00461304"/>
    <w:rsid w:val="004629EF"/>
    <w:rsid w:val="004634F2"/>
    <w:rsid w:val="00463C93"/>
    <w:rsid w:val="00463EE5"/>
    <w:rsid w:val="004664C6"/>
    <w:rsid w:val="004711D1"/>
    <w:rsid w:val="00471F93"/>
    <w:rsid w:val="0047262A"/>
    <w:rsid w:val="00472AA6"/>
    <w:rsid w:val="00472D34"/>
    <w:rsid w:val="0047445F"/>
    <w:rsid w:val="00474F88"/>
    <w:rsid w:val="00475443"/>
    <w:rsid w:val="00475CB7"/>
    <w:rsid w:val="004760DF"/>
    <w:rsid w:val="00476102"/>
    <w:rsid w:val="00476562"/>
    <w:rsid w:val="00476B04"/>
    <w:rsid w:val="00480113"/>
    <w:rsid w:val="00484F04"/>
    <w:rsid w:val="004860F6"/>
    <w:rsid w:val="00486F3F"/>
    <w:rsid w:val="00487690"/>
    <w:rsid w:val="00491470"/>
    <w:rsid w:val="0049174E"/>
    <w:rsid w:val="00492433"/>
    <w:rsid w:val="004925A7"/>
    <w:rsid w:val="004926BA"/>
    <w:rsid w:val="00497647"/>
    <w:rsid w:val="004A1757"/>
    <w:rsid w:val="004A19C1"/>
    <w:rsid w:val="004A4516"/>
    <w:rsid w:val="004A4F4D"/>
    <w:rsid w:val="004B2A00"/>
    <w:rsid w:val="004B373F"/>
    <w:rsid w:val="004B48A1"/>
    <w:rsid w:val="004B5923"/>
    <w:rsid w:val="004B5BA7"/>
    <w:rsid w:val="004B7566"/>
    <w:rsid w:val="004C34A3"/>
    <w:rsid w:val="004C53FA"/>
    <w:rsid w:val="004D0E96"/>
    <w:rsid w:val="004D288F"/>
    <w:rsid w:val="004D28F4"/>
    <w:rsid w:val="004D2B5C"/>
    <w:rsid w:val="004D4A8F"/>
    <w:rsid w:val="004D4B0C"/>
    <w:rsid w:val="004D51A0"/>
    <w:rsid w:val="004E0F97"/>
    <w:rsid w:val="004E2769"/>
    <w:rsid w:val="004E366B"/>
    <w:rsid w:val="004E3A7F"/>
    <w:rsid w:val="004E5E5D"/>
    <w:rsid w:val="004E6522"/>
    <w:rsid w:val="004E729D"/>
    <w:rsid w:val="004F051E"/>
    <w:rsid w:val="004F08E3"/>
    <w:rsid w:val="004F09F6"/>
    <w:rsid w:val="004F1DE0"/>
    <w:rsid w:val="004F395C"/>
    <w:rsid w:val="004F4CE3"/>
    <w:rsid w:val="004F4E2E"/>
    <w:rsid w:val="004F501F"/>
    <w:rsid w:val="004F7691"/>
    <w:rsid w:val="00500F91"/>
    <w:rsid w:val="00503603"/>
    <w:rsid w:val="00506551"/>
    <w:rsid w:val="0051060D"/>
    <w:rsid w:val="00510DCC"/>
    <w:rsid w:val="005158E3"/>
    <w:rsid w:val="00515CFD"/>
    <w:rsid w:val="005200D9"/>
    <w:rsid w:val="00520CAA"/>
    <w:rsid w:val="00520EB2"/>
    <w:rsid w:val="00522A3F"/>
    <w:rsid w:val="005279AA"/>
    <w:rsid w:val="00531530"/>
    <w:rsid w:val="005321FA"/>
    <w:rsid w:val="005328F3"/>
    <w:rsid w:val="00534052"/>
    <w:rsid w:val="0054026E"/>
    <w:rsid w:val="00543017"/>
    <w:rsid w:val="005431EB"/>
    <w:rsid w:val="005432AF"/>
    <w:rsid w:val="00543EB7"/>
    <w:rsid w:val="00544DA7"/>
    <w:rsid w:val="005473E7"/>
    <w:rsid w:val="00547C0A"/>
    <w:rsid w:val="005516A9"/>
    <w:rsid w:val="00552619"/>
    <w:rsid w:val="00552637"/>
    <w:rsid w:val="005527F6"/>
    <w:rsid w:val="005531E0"/>
    <w:rsid w:val="00555171"/>
    <w:rsid w:val="00557923"/>
    <w:rsid w:val="0056031E"/>
    <w:rsid w:val="0056177B"/>
    <w:rsid w:val="005631F0"/>
    <w:rsid w:val="0056362E"/>
    <w:rsid w:val="005657EF"/>
    <w:rsid w:val="005658CF"/>
    <w:rsid w:val="00565921"/>
    <w:rsid w:val="00565E68"/>
    <w:rsid w:val="005663E7"/>
    <w:rsid w:val="00570611"/>
    <w:rsid w:val="00576D39"/>
    <w:rsid w:val="00577D22"/>
    <w:rsid w:val="0058017F"/>
    <w:rsid w:val="00581DD5"/>
    <w:rsid w:val="00583B18"/>
    <w:rsid w:val="00584894"/>
    <w:rsid w:val="00585A84"/>
    <w:rsid w:val="00587465"/>
    <w:rsid w:val="00592948"/>
    <w:rsid w:val="005932E6"/>
    <w:rsid w:val="00593FEA"/>
    <w:rsid w:val="005A4AAF"/>
    <w:rsid w:val="005A5483"/>
    <w:rsid w:val="005A580A"/>
    <w:rsid w:val="005A58B4"/>
    <w:rsid w:val="005A5933"/>
    <w:rsid w:val="005A5984"/>
    <w:rsid w:val="005A60D1"/>
    <w:rsid w:val="005A7878"/>
    <w:rsid w:val="005A7AB6"/>
    <w:rsid w:val="005B0436"/>
    <w:rsid w:val="005B14F4"/>
    <w:rsid w:val="005B24A6"/>
    <w:rsid w:val="005B2973"/>
    <w:rsid w:val="005B3F5D"/>
    <w:rsid w:val="005B5956"/>
    <w:rsid w:val="005C01F3"/>
    <w:rsid w:val="005C2300"/>
    <w:rsid w:val="005C6058"/>
    <w:rsid w:val="005C6292"/>
    <w:rsid w:val="005C6651"/>
    <w:rsid w:val="005C6C7C"/>
    <w:rsid w:val="005C6F8E"/>
    <w:rsid w:val="005D0A96"/>
    <w:rsid w:val="005D1A00"/>
    <w:rsid w:val="005D1C33"/>
    <w:rsid w:val="005E4C4F"/>
    <w:rsid w:val="005E56AF"/>
    <w:rsid w:val="005E5BA7"/>
    <w:rsid w:val="005E65E3"/>
    <w:rsid w:val="005E6AFC"/>
    <w:rsid w:val="005F236D"/>
    <w:rsid w:val="005F3F50"/>
    <w:rsid w:val="005F56DB"/>
    <w:rsid w:val="005F78B1"/>
    <w:rsid w:val="00601DE4"/>
    <w:rsid w:val="00610082"/>
    <w:rsid w:val="00614818"/>
    <w:rsid w:val="006164BE"/>
    <w:rsid w:val="0061695D"/>
    <w:rsid w:val="00617E0D"/>
    <w:rsid w:val="0062060F"/>
    <w:rsid w:val="006239A4"/>
    <w:rsid w:val="00624688"/>
    <w:rsid w:val="0063033D"/>
    <w:rsid w:val="006317B3"/>
    <w:rsid w:val="006317EA"/>
    <w:rsid w:val="00633D53"/>
    <w:rsid w:val="00634523"/>
    <w:rsid w:val="00637DDF"/>
    <w:rsid w:val="00640664"/>
    <w:rsid w:val="00640A2D"/>
    <w:rsid w:val="00641ECA"/>
    <w:rsid w:val="006431B3"/>
    <w:rsid w:val="00644AD5"/>
    <w:rsid w:val="0064627E"/>
    <w:rsid w:val="006469CE"/>
    <w:rsid w:val="00647642"/>
    <w:rsid w:val="00650CAD"/>
    <w:rsid w:val="00654C60"/>
    <w:rsid w:val="00655F66"/>
    <w:rsid w:val="00656182"/>
    <w:rsid w:val="006568B3"/>
    <w:rsid w:val="00660313"/>
    <w:rsid w:val="00662CDE"/>
    <w:rsid w:val="006633F9"/>
    <w:rsid w:val="00663E2C"/>
    <w:rsid w:val="00665FF7"/>
    <w:rsid w:val="006703C6"/>
    <w:rsid w:val="00670BAE"/>
    <w:rsid w:val="0067142B"/>
    <w:rsid w:val="00671963"/>
    <w:rsid w:val="006720E4"/>
    <w:rsid w:val="00673335"/>
    <w:rsid w:val="00674A39"/>
    <w:rsid w:val="00674B34"/>
    <w:rsid w:val="006765DD"/>
    <w:rsid w:val="00680FBD"/>
    <w:rsid w:val="006819EA"/>
    <w:rsid w:val="00682EC5"/>
    <w:rsid w:val="00683E47"/>
    <w:rsid w:val="006911D1"/>
    <w:rsid w:val="006921C7"/>
    <w:rsid w:val="00692F6F"/>
    <w:rsid w:val="00692F7A"/>
    <w:rsid w:val="00696029"/>
    <w:rsid w:val="00697981"/>
    <w:rsid w:val="006A0B2F"/>
    <w:rsid w:val="006A4370"/>
    <w:rsid w:val="006B0539"/>
    <w:rsid w:val="006B1177"/>
    <w:rsid w:val="006B792D"/>
    <w:rsid w:val="006B7B51"/>
    <w:rsid w:val="006C3236"/>
    <w:rsid w:val="006C404A"/>
    <w:rsid w:val="006C451D"/>
    <w:rsid w:val="006C46D6"/>
    <w:rsid w:val="006C5AA1"/>
    <w:rsid w:val="006C65B1"/>
    <w:rsid w:val="006C6B35"/>
    <w:rsid w:val="006D14B6"/>
    <w:rsid w:val="006D56BB"/>
    <w:rsid w:val="006D5872"/>
    <w:rsid w:val="006D7132"/>
    <w:rsid w:val="006E0690"/>
    <w:rsid w:val="006E0F5A"/>
    <w:rsid w:val="006E41B7"/>
    <w:rsid w:val="006E4738"/>
    <w:rsid w:val="006E5544"/>
    <w:rsid w:val="006E7692"/>
    <w:rsid w:val="006F062B"/>
    <w:rsid w:val="006F0B88"/>
    <w:rsid w:val="006F444D"/>
    <w:rsid w:val="006F4686"/>
    <w:rsid w:val="00702E77"/>
    <w:rsid w:val="007047F4"/>
    <w:rsid w:val="0070488A"/>
    <w:rsid w:val="00714DE0"/>
    <w:rsid w:val="00715A3C"/>
    <w:rsid w:val="00715C23"/>
    <w:rsid w:val="00715DB4"/>
    <w:rsid w:val="00717BCF"/>
    <w:rsid w:val="007217CE"/>
    <w:rsid w:val="00723FF7"/>
    <w:rsid w:val="007245E8"/>
    <w:rsid w:val="00727F84"/>
    <w:rsid w:val="00731D81"/>
    <w:rsid w:val="00732265"/>
    <w:rsid w:val="00732673"/>
    <w:rsid w:val="00732CA0"/>
    <w:rsid w:val="00733344"/>
    <w:rsid w:val="00735AC6"/>
    <w:rsid w:val="007366F3"/>
    <w:rsid w:val="00736751"/>
    <w:rsid w:val="00737D45"/>
    <w:rsid w:val="00745225"/>
    <w:rsid w:val="007469D0"/>
    <w:rsid w:val="007505A5"/>
    <w:rsid w:val="00752418"/>
    <w:rsid w:val="007554B1"/>
    <w:rsid w:val="0075729A"/>
    <w:rsid w:val="00757CE9"/>
    <w:rsid w:val="0076106B"/>
    <w:rsid w:val="007621D9"/>
    <w:rsid w:val="00765747"/>
    <w:rsid w:val="007658A8"/>
    <w:rsid w:val="0076664B"/>
    <w:rsid w:val="007705FF"/>
    <w:rsid w:val="007719D8"/>
    <w:rsid w:val="00773ABA"/>
    <w:rsid w:val="00774BC6"/>
    <w:rsid w:val="00774D44"/>
    <w:rsid w:val="007752C5"/>
    <w:rsid w:val="00775673"/>
    <w:rsid w:val="007768C4"/>
    <w:rsid w:val="00776910"/>
    <w:rsid w:val="007775AE"/>
    <w:rsid w:val="00777E28"/>
    <w:rsid w:val="00780C06"/>
    <w:rsid w:val="00781F31"/>
    <w:rsid w:val="00782713"/>
    <w:rsid w:val="00782C0D"/>
    <w:rsid w:val="0078312F"/>
    <w:rsid w:val="007838AB"/>
    <w:rsid w:val="007852E3"/>
    <w:rsid w:val="007854BF"/>
    <w:rsid w:val="00785BEE"/>
    <w:rsid w:val="007865BB"/>
    <w:rsid w:val="00787009"/>
    <w:rsid w:val="00794D57"/>
    <w:rsid w:val="00794EDE"/>
    <w:rsid w:val="00797485"/>
    <w:rsid w:val="007A168A"/>
    <w:rsid w:val="007A19D3"/>
    <w:rsid w:val="007A29A7"/>
    <w:rsid w:val="007A47BE"/>
    <w:rsid w:val="007A4C80"/>
    <w:rsid w:val="007A5135"/>
    <w:rsid w:val="007B08E5"/>
    <w:rsid w:val="007B0B1B"/>
    <w:rsid w:val="007B1FFD"/>
    <w:rsid w:val="007B2DB1"/>
    <w:rsid w:val="007B71FE"/>
    <w:rsid w:val="007C20B6"/>
    <w:rsid w:val="007C3E81"/>
    <w:rsid w:val="007C62B7"/>
    <w:rsid w:val="007D027C"/>
    <w:rsid w:val="007D2229"/>
    <w:rsid w:val="007D2348"/>
    <w:rsid w:val="007D296F"/>
    <w:rsid w:val="007D306E"/>
    <w:rsid w:val="007D6440"/>
    <w:rsid w:val="007E336A"/>
    <w:rsid w:val="007E389C"/>
    <w:rsid w:val="007E6799"/>
    <w:rsid w:val="007E7815"/>
    <w:rsid w:val="007F11F9"/>
    <w:rsid w:val="007F6F24"/>
    <w:rsid w:val="00806D02"/>
    <w:rsid w:val="00806F90"/>
    <w:rsid w:val="008110B8"/>
    <w:rsid w:val="008123E5"/>
    <w:rsid w:val="008144C5"/>
    <w:rsid w:val="00815ABB"/>
    <w:rsid w:val="0081654E"/>
    <w:rsid w:val="008200B0"/>
    <w:rsid w:val="008218F3"/>
    <w:rsid w:val="008218F6"/>
    <w:rsid w:val="008244DB"/>
    <w:rsid w:val="00825EF0"/>
    <w:rsid w:val="00827EEF"/>
    <w:rsid w:val="008328FF"/>
    <w:rsid w:val="00832AAB"/>
    <w:rsid w:val="00833A7B"/>
    <w:rsid w:val="00833F58"/>
    <w:rsid w:val="00842879"/>
    <w:rsid w:val="00844188"/>
    <w:rsid w:val="00845557"/>
    <w:rsid w:val="0085196E"/>
    <w:rsid w:val="0085395D"/>
    <w:rsid w:val="00856760"/>
    <w:rsid w:val="00856E62"/>
    <w:rsid w:val="00857DD7"/>
    <w:rsid w:val="00860D6F"/>
    <w:rsid w:val="00862E39"/>
    <w:rsid w:val="00864F09"/>
    <w:rsid w:val="00870330"/>
    <w:rsid w:val="008710A8"/>
    <w:rsid w:val="00872A86"/>
    <w:rsid w:val="0087375C"/>
    <w:rsid w:val="00874089"/>
    <w:rsid w:val="00876BD1"/>
    <w:rsid w:val="008813C8"/>
    <w:rsid w:val="008815C2"/>
    <w:rsid w:val="00881793"/>
    <w:rsid w:val="00884492"/>
    <w:rsid w:val="00884573"/>
    <w:rsid w:val="00885DDE"/>
    <w:rsid w:val="008863CA"/>
    <w:rsid w:val="00886F5F"/>
    <w:rsid w:val="00891A0B"/>
    <w:rsid w:val="00891A94"/>
    <w:rsid w:val="00894065"/>
    <w:rsid w:val="00894B44"/>
    <w:rsid w:val="008958CE"/>
    <w:rsid w:val="00896802"/>
    <w:rsid w:val="008A1E4D"/>
    <w:rsid w:val="008A3B3B"/>
    <w:rsid w:val="008A3EB4"/>
    <w:rsid w:val="008A42FE"/>
    <w:rsid w:val="008A79AB"/>
    <w:rsid w:val="008A7EEB"/>
    <w:rsid w:val="008B0DA2"/>
    <w:rsid w:val="008B2847"/>
    <w:rsid w:val="008B4DFF"/>
    <w:rsid w:val="008B5AEF"/>
    <w:rsid w:val="008B6ED6"/>
    <w:rsid w:val="008C4427"/>
    <w:rsid w:val="008C4C7A"/>
    <w:rsid w:val="008D048E"/>
    <w:rsid w:val="008D094E"/>
    <w:rsid w:val="008D1891"/>
    <w:rsid w:val="008D43FD"/>
    <w:rsid w:val="008D620C"/>
    <w:rsid w:val="008E175F"/>
    <w:rsid w:val="008E3290"/>
    <w:rsid w:val="008E3C0B"/>
    <w:rsid w:val="008E4D64"/>
    <w:rsid w:val="008E527A"/>
    <w:rsid w:val="008E5D42"/>
    <w:rsid w:val="008F04B5"/>
    <w:rsid w:val="008F061B"/>
    <w:rsid w:val="008F1E95"/>
    <w:rsid w:val="008F2277"/>
    <w:rsid w:val="008F4A6D"/>
    <w:rsid w:val="008F675F"/>
    <w:rsid w:val="008F7B65"/>
    <w:rsid w:val="00900811"/>
    <w:rsid w:val="009026F9"/>
    <w:rsid w:val="00904223"/>
    <w:rsid w:val="0090466A"/>
    <w:rsid w:val="00904813"/>
    <w:rsid w:val="00906960"/>
    <w:rsid w:val="00907EF5"/>
    <w:rsid w:val="009100BA"/>
    <w:rsid w:val="00913A4D"/>
    <w:rsid w:val="009169FF"/>
    <w:rsid w:val="00917313"/>
    <w:rsid w:val="00917CAC"/>
    <w:rsid w:val="00917D2B"/>
    <w:rsid w:val="00920A65"/>
    <w:rsid w:val="009210CD"/>
    <w:rsid w:val="00921B2A"/>
    <w:rsid w:val="00922488"/>
    <w:rsid w:val="00924101"/>
    <w:rsid w:val="00924A5E"/>
    <w:rsid w:val="009336F3"/>
    <w:rsid w:val="00933C0B"/>
    <w:rsid w:val="00934183"/>
    <w:rsid w:val="00935016"/>
    <w:rsid w:val="009375B7"/>
    <w:rsid w:val="00940CBE"/>
    <w:rsid w:val="009413C0"/>
    <w:rsid w:val="00941805"/>
    <w:rsid w:val="009439BF"/>
    <w:rsid w:val="0094583D"/>
    <w:rsid w:val="00946DF7"/>
    <w:rsid w:val="009544BF"/>
    <w:rsid w:val="009569B3"/>
    <w:rsid w:val="009570B8"/>
    <w:rsid w:val="00957FA1"/>
    <w:rsid w:val="00960467"/>
    <w:rsid w:val="009630B7"/>
    <w:rsid w:val="009632F3"/>
    <w:rsid w:val="00964DE1"/>
    <w:rsid w:val="00965278"/>
    <w:rsid w:val="00970B89"/>
    <w:rsid w:val="00972729"/>
    <w:rsid w:val="0097436A"/>
    <w:rsid w:val="009752E9"/>
    <w:rsid w:val="00976ED9"/>
    <w:rsid w:val="00980175"/>
    <w:rsid w:val="009805D7"/>
    <w:rsid w:val="0098103F"/>
    <w:rsid w:val="00981E14"/>
    <w:rsid w:val="009823BF"/>
    <w:rsid w:val="00984ACD"/>
    <w:rsid w:val="0098531F"/>
    <w:rsid w:val="00986096"/>
    <w:rsid w:val="00986869"/>
    <w:rsid w:val="00986B86"/>
    <w:rsid w:val="00990807"/>
    <w:rsid w:val="00991381"/>
    <w:rsid w:val="00991FAD"/>
    <w:rsid w:val="00992595"/>
    <w:rsid w:val="00994B87"/>
    <w:rsid w:val="00997746"/>
    <w:rsid w:val="00997805"/>
    <w:rsid w:val="0099796E"/>
    <w:rsid w:val="009A04DE"/>
    <w:rsid w:val="009A0548"/>
    <w:rsid w:val="009A0D4E"/>
    <w:rsid w:val="009A10A8"/>
    <w:rsid w:val="009A2A44"/>
    <w:rsid w:val="009A2CA2"/>
    <w:rsid w:val="009A33E5"/>
    <w:rsid w:val="009A3C93"/>
    <w:rsid w:val="009B1A50"/>
    <w:rsid w:val="009B5199"/>
    <w:rsid w:val="009B5BA3"/>
    <w:rsid w:val="009B7890"/>
    <w:rsid w:val="009C160B"/>
    <w:rsid w:val="009C2993"/>
    <w:rsid w:val="009C2D6B"/>
    <w:rsid w:val="009C39AE"/>
    <w:rsid w:val="009D0185"/>
    <w:rsid w:val="009D0487"/>
    <w:rsid w:val="009D2DA5"/>
    <w:rsid w:val="009D350C"/>
    <w:rsid w:val="009D4E7B"/>
    <w:rsid w:val="009D5EF6"/>
    <w:rsid w:val="009E20CD"/>
    <w:rsid w:val="009E4B99"/>
    <w:rsid w:val="009E5BE8"/>
    <w:rsid w:val="009E603B"/>
    <w:rsid w:val="009E789B"/>
    <w:rsid w:val="009F0F43"/>
    <w:rsid w:val="009F11BB"/>
    <w:rsid w:val="009F2410"/>
    <w:rsid w:val="009F3B91"/>
    <w:rsid w:val="009F5C0D"/>
    <w:rsid w:val="009F5D8F"/>
    <w:rsid w:val="009F72A7"/>
    <w:rsid w:val="00A04F9C"/>
    <w:rsid w:val="00A0562C"/>
    <w:rsid w:val="00A05F92"/>
    <w:rsid w:val="00A06215"/>
    <w:rsid w:val="00A0684B"/>
    <w:rsid w:val="00A06D29"/>
    <w:rsid w:val="00A07CC5"/>
    <w:rsid w:val="00A07D91"/>
    <w:rsid w:val="00A10B10"/>
    <w:rsid w:val="00A11681"/>
    <w:rsid w:val="00A1224B"/>
    <w:rsid w:val="00A13DDD"/>
    <w:rsid w:val="00A157E8"/>
    <w:rsid w:val="00A16837"/>
    <w:rsid w:val="00A17537"/>
    <w:rsid w:val="00A2049F"/>
    <w:rsid w:val="00A311F4"/>
    <w:rsid w:val="00A32886"/>
    <w:rsid w:val="00A3390F"/>
    <w:rsid w:val="00A35669"/>
    <w:rsid w:val="00A366F9"/>
    <w:rsid w:val="00A36E4B"/>
    <w:rsid w:val="00A37397"/>
    <w:rsid w:val="00A374C3"/>
    <w:rsid w:val="00A405AD"/>
    <w:rsid w:val="00A40688"/>
    <w:rsid w:val="00A40CC4"/>
    <w:rsid w:val="00A41C49"/>
    <w:rsid w:val="00A41D23"/>
    <w:rsid w:val="00A423C0"/>
    <w:rsid w:val="00A424FF"/>
    <w:rsid w:val="00A44A3E"/>
    <w:rsid w:val="00A475FF"/>
    <w:rsid w:val="00A47701"/>
    <w:rsid w:val="00A5022B"/>
    <w:rsid w:val="00A53AE1"/>
    <w:rsid w:val="00A550CB"/>
    <w:rsid w:val="00A5701A"/>
    <w:rsid w:val="00A6213C"/>
    <w:rsid w:val="00A62D6A"/>
    <w:rsid w:val="00A636E5"/>
    <w:rsid w:val="00A71171"/>
    <w:rsid w:val="00A7222F"/>
    <w:rsid w:val="00A74810"/>
    <w:rsid w:val="00A75F19"/>
    <w:rsid w:val="00A77131"/>
    <w:rsid w:val="00A82DA8"/>
    <w:rsid w:val="00A83ECB"/>
    <w:rsid w:val="00A84540"/>
    <w:rsid w:val="00A8525E"/>
    <w:rsid w:val="00A85CFE"/>
    <w:rsid w:val="00A86C67"/>
    <w:rsid w:val="00A871ED"/>
    <w:rsid w:val="00A872A7"/>
    <w:rsid w:val="00A87689"/>
    <w:rsid w:val="00A91DB4"/>
    <w:rsid w:val="00A926C3"/>
    <w:rsid w:val="00A93B88"/>
    <w:rsid w:val="00A93C09"/>
    <w:rsid w:val="00A93FCA"/>
    <w:rsid w:val="00A952CD"/>
    <w:rsid w:val="00AB00F8"/>
    <w:rsid w:val="00AB1DC9"/>
    <w:rsid w:val="00AB4493"/>
    <w:rsid w:val="00AB46CE"/>
    <w:rsid w:val="00AC2DF1"/>
    <w:rsid w:val="00AC75DE"/>
    <w:rsid w:val="00AC7840"/>
    <w:rsid w:val="00AD1E95"/>
    <w:rsid w:val="00AD567F"/>
    <w:rsid w:val="00AD6B60"/>
    <w:rsid w:val="00AE6073"/>
    <w:rsid w:val="00AE61F9"/>
    <w:rsid w:val="00AE67B0"/>
    <w:rsid w:val="00AE7AFB"/>
    <w:rsid w:val="00AF087E"/>
    <w:rsid w:val="00AF3240"/>
    <w:rsid w:val="00AF356E"/>
    <w:rsid w:val="00AF37E6"/>
    <w:rsid w:val="00AF4D43"/>
    <w:rsid w:val="00AF507E"/>
    <w:rsid w:val="00AF6021"/>
    <w:rsid w:val="00AF7A8B"/>
    <w:rsid w:val="00B01E74"/>
    <w:rsid w:val="00B02AE9"/>
    <w:rsid w:val="00B03622"/>
    <w:rsid w:val="00B03EDF"/>
    <w:rsid w:val="00B046CC"/>
    <w:rsid w:val="00B05B55"/>
    <w:rsid w:val="00B1072F"/>
    <w:rsid w:val="00B11299"/>
    <w:rsid w:val="00B13D49"/>
    <w:rsid w:val="00B14577"/>
    <w:rsid w:val="00B1461E"/>
    <w:rsid w:val="00B14A06"/>
    <w:rsid w:val="00B14F1C"/>
    <w:rsid w:val="00B16A60"/>
    <w:rsid w:val="00B17788"/>
    <w:rsid w:val="00B242A6"/>
    <w:rsid w:val="00B2542C"/>
    <w:rsid w:val="00B25ED3"/>
    <w:rsid w:val="00B27EC6"/>
    <w:rsid w:val="00B3460D"/>
    <w:rsid w:val="00B35050"/>
    <w:rsid w:val="00B36E6D"/>
    <w:rsid w:val="00B37056"/>
    <w:rsid w:val="00B37D53"/>
    <w:rsid w:val="00B40BD2"/>
    <w:rsid w:val="00B40C75"/>
    <w:rsid w:val="00B4393A"/>
    <w:rsid w:val="00B44B17"/>
    <w:rsid w:val="00B45A34"/>
    <w:rsid w:val="00B46B32"/>
    <w:rsid w:val="00B46DC4"/>
    <w:rsid w:val="00B54F43"/>
    <w:rsid w:val="00B55D4C"/>
    <w:rsid w:val="00B56539"/>
    <w:rsid w:val="00B56898"/>
    <w:rsid w:val="00B56B19"/>
    <w:rsid w:val="00B6012F"/>
    <w:rsid w:val="00B6017C"/>
    <w:rsid w:val="00B60B1E"/>
    <w:rsid w:val="00B63AC7"/>
    <w:rsid w:val="00B65730"/>
    <w:rsid w:val="00B66F3B"/>
    <w:rsid w:val="00B6736A"/>
    <w:rsid w:val="00B67C98"/>
    <w:rsid w:val="00B703FF"/>
    <w:rsid w:val="00B70FC4"/>
    <w:rsid w:val="00B714FD"/>
    <w:rsid w:val="00B7296C"/>
    <w:rsid w:val="00B72CC6"/>
    <w:rsid w:val="00B74CDE"/>
    <w:rsid w:val="00B75862"/>
    <w:rsid w:val="00B767D6"/>
    <w:rsid w:val="00B772A4"/>
    <w:rsid w:val="00B774E1"/>
    <w:rsid w:val="00B778F6"/>
    <w:rsid w:val="00B80C22"/>
    <w:rsid w:val="00B831BD"/>
    <w:rsid w:val="00B87583"/>
    <w:rsid w:val="00B903AA"/>
    <w:rsid w:val="00B920F7"/>
    <w:rsid w:val="00B9323D"/>
    <w:rsid w:val="00B93EEF"/>
    <w:rsid w:val="00B954DD"/>
    <w:rsid w:val="00BA10F4"/>
    <w:rsid w:val="00BA1DB6"/>
    <w:rsid w:val="00BA279E"/>
    <w:rsid w:val="00BA5350"/>
    <w:rsid w:val="00BA56AC"/>
    <w:rsid w:val="00BA6444"/>
    <w:rsid w:val="00BA6F4A"/>
    <w:rsid w:val="00BB0D5B"/>
    <w:rsid w:val="00BB232D"/>
    <w:rsid w:val="00BB5C9B"/>
    <w:rsid w:val="00BC1236"/>
    <w:rsid w:val="00BC275E"/>
    <w:rsid w:val="00BC2ECD"/>
    <w:rsid w:val="00BC323A"/>
    <w:rsid w:val="00BC5956"/>
    <w:rsid w:val="00BC5A50"/>
    <w:rsid w:val="00BC5B20"/>
    <w:rsid w:val="00BC66E5"/>
    <w:rsid w:val="00BC735B"/>
    <w:rsid w:val="00BC7BC1"/>
    <w:rsid w:val="00BD0327"/>
    <w:rsid w:val="00BD0F22"/>
    <w:rsid w:val="00BD12C8"/>
    <w:rsid w:val="00BD1431"/>
    <w:rsid w:val="00BD1728"/>
    <w:rsid w:val="00BD2ECB"/>
    <w:rsid w:val="00BE124F"/>
    <w:rsid w:val="00BE192E"/>
    <w:rsid w:val="00BE1EF6"/>
    <w:rsid w:val="00BE24A7"/>
    <w:rsid w:val="00BE35A6"/>
    <w:rsid w:val="00BE3A34"/>
    <w:rsid w:val="00BE599D"/>
    <w:rsid w:val="00BE5B7D"/>
    <w:rsid w:val="00BE7769"/>
    <w:rsid w:val="00BF01B2"/>
    <w:rsid w:val="00BF091C"/>
    <w:rsid w:val="00BF09CB"/>
    <w:rsid w:val="00BF1C4F"/>
    <w:rsid w:val="00BF1EC6"/>
    <w:rsid w:val="00BF236C"/>
    <w:rsid w:val="00BF317C"/>
    <w:rsid w:val="00BF7954"/>
    <w:rsid w:val="00BF7DD8"/>
    <w:rsid w:val="00C026BB"/>
    <w:rsid w:val="00C026C0"/>
    <w:rsid w:val="00C03EE7"/>
    <w:rsid w:val="00C04AE2"/>
    <w:rsid w:val="00C050A2"/>
    <w:rsid w:val="00C055E3"/>
    <w:rsid w:val="00C05A9B"/>
    <w:rsid w:val="00C06C6E"/>
    <w:rsid w:val="00C06E1F"/>
    <w:rsid w:val="00C0736E"/>
    <w:rsid w:val="00C07FBB"/>
    <w:rsid w:val="00C11068"/>
    <w:rsid w:val="00C11BAC"/>
    <w:rsid w:val="00C126AA"/>
    <w:rsid w:val="00C129E2"/>
    <w:rsid w:val="00C14481"/>
    <w:rsid w:val="00C14561"/>
    <w:rsid w:val="00C14963"/>
    <w:rsid w:val="00C150CD"/>
    <w:rsid w:val="00C15A9B"/>
    <w:rsid w:val="00C16459"/>
    <w:rsid w:val="00C1709D"/>
    <w:rsid w:val="00C1753F"/>
    <w:rsid w:val="00C21B24"/>
    <w:rsid w:val="00C234F4"/>
    <w:rsid w:val="00C25EC7"/>
    <w:rsid w:val="00C2604B"/>
    <w:rsid w:val="00C347B5"/>
    <w:rsid w:val="00C3728B"/>
    <w:rsid w:val="00C37959"/>
    <w:rsid w:val="00C432EF"/>
    <w:rsid w:val="00C4441B"/>
    <w:rsid w:val="00C46441"/>
    <w:rsid w:val="00C4701A"/>
    <w:rsid w:val="00C51D94"/>
    <w:rsid w:val="00C52366"/>
    <w:rsid w:val="00C55EC5"/>
    <w:rsid w:val="00C57F1E"/>
    <w:rsid w:val="00C60020"/>
    <w:rsid w:val="00C71B6E"/>
    <w:rsid w:val="00C743CB"/>
    <w:rsid w:val="00C752AC"/>
    <w:rsid w:val="00C76218"/>
    <w:rsid w:val="00C77D42"/>
    <w:rsid w:val="00C803E9"/>
    <w:rsid w:val="00C816AA"/>
    <w:rsid w:val="00C83A38"/>
    <w:rsid w:val="00C83B3F"/>
    <w:rsid w:val="00C85039"/>
    <w:rsid w:val="00C86406"/>
    <w:rsid w:val="00C8734F"/>
    <w:rsid w:val="00C9051A"/>
    <w:rsid w:val="00C90907"/>
    <w:rsid w:val="00C9104E"/>
    <w:rsid w:val="00C92261"/>
    <w:rsid w:val="00C936D0"/>
    <w:rsid w:val="00C94A02"/>
    <w:rsid w:val="00C94B07"/>
    <w:rsid w:val="00C953B2"/>
    <w:rsid w:val="00CA03AE"/>
    <w:rsid w:val="00CA044B"/>
    <w:rsid w:val="00CA04C0"/>
    <w:rsid w:val="00CA4B32"/>
    <w:rsid w:val="00CA614D"/>
    <w:rsid w:val="00CB3798"/>
    <w:rsid w:val="00CB548E"/>
    <w:rsid w:val="00CB573E"/>
    <w:rsid w:val="00CB5864"/>
    <w:rsid w:val="00CB6447"/>
    <w:rsid w:val="00CC138D"/>
    <w:rsid w:val="00CC17C8"/>
    <w:rsid w:val="00CC1F2B"/>
    <w:rsid w:val="00CC22AD"/>
    <w:rsid w:val="00CC5E1F"/>
    <w:rsid w:val="00CC643C"/>
    <w:rsid w:val="00CC700A"/>
    <w:rsid w:val="00CC76C8"/>
    <w:rsid w:val="00CD02E8"/>
    <w:rsid w:val="00CD1E24"/>
    <w:rsid w:val="00CD2F5B"/>
    <w:rsid w:val="00CD5083"/>
    <w:rsid w:val="00CD55B6"/>
    <w:rsid w:val="00CD5784"/>
    <w:rsid w:val="00CD725E"/>
    <w:rsid w:val="00CD7740"/>
    <w:rsid w:val="00CE2348"/>
    <w:rsid w:val="00CE23AE"/>
    <w:rsid w:val="00CE267A"/>
    <w:rsid w:val="00CE3DF0"/>
    <w:rsid w:val="00CE4C9D"/>
    <w:rsid w:val="00CE6F69"/>
    <w:rsid w:val="00CE7389"/>
    <w:rsid w:val="00CF0838"/>
    <w:rsid w:val="00CF378C"/>
    <w:rsid w:val="00CF3D4E"/>
    <w:rsid w:val="00CF4C76"/>
    <w:rsid w:val="00CF5C45"/>
    <w:rsid w:val="00D0087F"/>
    <w:rsid w:val="00D0240D"/>
    <w:rsid w:val="00D044DD"/>
    <w:rsid w:val="00D05716"/>
    <w:rsid w:val="00D07F75"/>
    <w:rsid w:val="00D11A99"/>
    <w:rsid w:val="00D1222F"/>
    <w:rsid w:val="00D12994"/>
    <w:rsid w:val="00D13EE5"/>
    <w:rsid w:val="00D14C3A"/>
    <w:rsid w:val="00D15263"/>
    <w:rsid w:val="00D15368"/>
    <w:rsid w:val="00D218A3"/>
    <w:rsid w:val="00D228C5"/>
    <w:rsid w:val="00D23CD3"/>
    <w:rsid w:val="00D24708"/>
    <w:rsid w:val="00D24FEA"/>
    <w:rsid w:val="00D26459"/>
    <w:rsid w:val="00D339EC"/>
    <w:rsid w:val="00D34E80"/>
    <w:rsid w:val="00D35BF7"/>
    <w:rsid w:val="00D377EB"/>
    <w:rsid w:val="00D408E2"/>
    <w:rsid w:val="00D40CEF"/>
    <w:rsid w:val="00D40FD1"/>
    <w:rsid w:val="00D41796"/>
    <w:rsid w:val="00D42120"/>
    <w:rsid w:val="00D46130"/>
    <w:rsid w:val="00D50CE5"/>
    <w:rsid w:val="00D51425"/>
    <w:rsid w:val="00D5276A"/>
    <w:rsid w:val="00D534BE"/>
    <w:rsid w:val="00D535DA"/>
    <w:rsid w:val="00D54A43"/>
    <w:rsid w:val="00D54B81"/>
    <w:rsid w:val="00D560C9"/>
    <w:rsid w:val="00D56489"/>
    <w:rsid w:val="00D618B9"/>
    <w:rsid w:val="00D64CDE"/>
    <w:rsid w:val="00D6575B"/>
    <w:rsid w:val="00D66E19"/>
    <w:rsid w:val="00D72E68"/>
    <w:rsid w:val="00D731D5"/>
    <w:rsid w:val="00D73383"/>
    <w:rsid w:val="00D735A1"/>
    <w:rsid w:val="00D73CFC"/>
    <w:rsid w:val="00D74FC2"/>
    <w:rsid w:val="00D75867"/>
    <w:rsid w:val="00D75DD0"/>
    <w:rsid w:val="00D771E2"/>
    <w:rsid w:val="00D77B3A"/>
    <w:rsid w:val="00D77FF6"/>
    <w:rsid w:val="00D81C79"/>
    <w:rsid w:val="00D81C9E"/>
    <w:rsid w:val="00D83567"/>
    <w:rsid w:val="00D84431"/>
    <w:rsid w:val="00D92B1D"/>
    <w:rsid w:val="00D94E3C"/>
    <w:rsid w:val="00D97F1C"/>
    <w:rsid w:val="00DA02EE"/>
    <w:rsid w:val="00DA2231"/>
    <w:rsid w:val="00DA2F24"/>
    <w:rsid w:val="00DA4571"/>
    <w:rsid w:val="00DA7475"/>
    <w:rsid w:val="00DA7C06"/>
    <w:rsid w:val="00DB0555"/>
    <w:rsid w:val="00DB082F"/>
    <w:rsid w:val="00DB18AE"/>
    <w:rsid w:val="00DB1D33"/>
    <w:rsid w:val="00DB4162"/>
    <w:rsid w:val="00DB4599"/>
    <w:rsid w:val="00DB6599"/>
    <w:rsid w:val="00DB7FBF"/>
    <w:rsid w:val="00DC1C47"/>
    <w:rsid w:val="00DC1DA9"/>
    <w:rsid w:val="00DC4093"/>
    <w:rsid w:val="00DC461D"/>
    <w:rsid w:val="00DD012F"/>
    <w:rsid w:val="00DD27EE"/>
    <w:rsid w:val="00DD579B"/>
    <w:rsid w:val="00DD7B00"/>
    <w:rsid w:val="00DE1D18"/>
    <w:rsid w:val="00DE6DD5"/>
    <w:rsid w:val="00DF09B5"/>
    <w:rsid w:val="00DF15C3"/>
    <w:rsid w:val="00DF19B4"/>
    <w:rsid w:val="00DF3F5F"/>
    <w:rsid w:val="00DF514E"/>
    <w:rsid w:val="00DF61BD"/>
    <w:rsid w:val="00DF671C"/>
    <w:rsid w:val="00E0029C"/>
    <w:rsid w:val="00E007E2"/>
    <w:rsid w:val="00E021F9"/>
    <w:rsid w:val="00E023E5"/>
    <w:rsid w:val="00E024C0"/>
    <w:rsid w:val="00E04504"/>
    <w:rsid w:val="00E06485"/>
    <w:rsid w:val="00E06D8B"/>
    <w:rsid w:val="00E0727B"/>
    <w:rsid w:val="00E11A65"/>
    <w:rsid w:val="00E148CA"/>
    <w:rsid w:val="00E2310D"/>
    <w:rsid w:val="00E27D40"/>
    <w:rsid w:val="00E30078"/>
    <w:rsid w:val="00E30FF3"/>
    <w:rsid w:val="00E31A65"/>
    <w:rsid w:val="00E31F86"/>
    <w:rsid w:val="00E326CC"/>
    <w:rsid w:val="00E372E5"/>
    <w:rsid w:val="00E37BDA"/>
    <w:rsid w:val="00E37CE6"/>
    <w:rsid w:val="00E40324"/>
    <w:rsid w:val="00E4128A"/>
    <w:rsid w:val="00E41325"/>
    <w:rsid w:val="00E41B0A"/>
    <w:rsid w:val="00E43356"/>
    <w:rsid w:val="00E43AF7"/>
    <w:rsid w:val="00E4458D"/>
    <w:rsid w:val="00E45160"/>
    <w:rsid w:val="00E4736A"/>
    <w:rsid w:val="00E4760D"/>
    <w:rsid w:val="00E5149E"/>
    <w:rsid w:val="00E51E18"/>
    <w:rsid w:val="00E535FF"/>
    <w:rsid w:val="00E54648"/>
    <w:rsid w:val="00E5516F"/>
    <w:rsid w:val="00E56411"/>
    <w:rsid w:val="00E60495"/>
    <w:rsid w:val="00E649BF"/>
    <w:rsid w:val="00E65604"/>
    <w:rsid w:val="00E67048"/>
    <w:rsid w:val="00E70144"/>
    <w:rsid w:val="00E70E02"/>
    <w:rsid w:val="00E732D1"/>
    <w:rsid w:val="00E750D5"/>
    <w:rsid w:val="00E774BF"/>
    <w:rsid w:val="00E7796E"/>
    <w:rsid w:val="00E8076B"/>
    <w:rsid w:val="00E80B41"/>
    <w:rsid w:val="00E8102F"/>
    <w:rsid w:val="00E81418"/>
    <w:rsid w:val="00E859BB"/>
    <w:rsid w:val="00E85CF2"/>
    <w:rsid w:val="00E8703A"/>
    <w:rsid w:val="00E8773E"/>
    <w:rsid w:val="00E87788"/>
    <w:rsid w:val="00E9122D"/>
    <w:rsid w:val="00E9195C"/>
    <w:rsid w:val="00E91F68"/>
    <w:rsid w:val="00E92481"/>
    <w:rsid w:val="00E97BE0"/>
    <w:rsid w:val="00EA098F"/>
    <w:rsid w:val="00EA0990"/>
    <w:rsid w:val="00EA53E0"/>
    <w:rsid w:val="00EA5ADF"/>
    <w:rsid w:val="00EA5F7A"/>
    <w:rsid w:val="00EA74CF"/>
    <w:rsid w:val="00EB5EDD"/>
    <w:rsid w:val="00EB68BF"/>
    <w:rsid w:val="00EB74A3"/>
    <w:rsid w:val="00EC03C9"/>
    <w:rsid w:val="00EC1724"/>
    <w:rsid w:val="00EC3F6F"/>
    <w:rsid w:val="00EC75C7"/>
    <w:rsid w:val="00ED00AA"/>
    <w:rsid w:val="00ED2068"/>
    <w:rsid w:val="00ED3544"/>
    <w:rsid w:val="00EE05F1"/>
    <w:rsid w:val="00EE4AA1"/>
    <w:rsid w:val="00EE4CDE"/>
    <w:rsid w:val="00EE5F3E"/>
    <w:rsid w:val="00EE61F4"/>
    <w:rsid w:val="00EE7ED6"/>
    <w:rsid w:val="00EF0E73"/>
    <w:rsid w:val="00EF2B51"/>
    <w:rsid w:val="00EF3BC1"/>
    <w:rsid w:val="00F02072"/>
    <w:rsid w:val="00F02784"/>
    <w:rsid w:val="00F03711"/>
    <w:rsid w:val="00F07F84"/>
    <w:rsid w:val="00F100EE"/>
    <w:rsid w:val="00F13402"/>
    <w:rsid w:val="00F1518F"/>
    <w:rsid w:val="00F153C1"/>
    <w:rsid w:val="00F153E5"/>
    <w:rsid w:val="00F1562F"/>
    <w:rsid w:val="00F15EE4"/>
    <w:rsid w:val="00F20A8C"/>
    <w:rsid w:val="00F21243"/>
    <w:rsid w:val="00F22358"/>
    <w:rsid w:val="00F25872"/>
    <w:rsid w:val="00F27486"/>
    <w:rsid w:val="00F27753"/>
    <w:rsid w:val="00F27B98"/>
    <w:rsid w:val="00F3029F"/>
    <w:rsid w:val="00F30487"/>
    <w:rsid w:val="00F309AD"/>
    <w:rsid w:val="00F31292"/>
    <w:rsid w:val="00F333E5"/>
    <w:rsid w:val="00F35F08"/>
    <w:rsid w:val="00F422B0"/>
    <w:rsid w:val="00F4234D"/>
    <w:rsid w:val="00F43A1A"/>
    <w:rsid w:val="00F44AAA"/>
    <w:rsid w:val="00F45213"/>
    <w:rsid w:val="00F47571"/>
    <w:rsid w:val="00F51210"/>
    <w:rsid w:val="00F521EA"/>
    <w:rsid w:val="00F52351"/>
    <w:rsid w:val="00F53165"/>
    <w:rsid w:val="00F54902"/>
    <w:rsid w:val="00F54CA4"/>
    <w:rsid w:val="00F56F7F"/>
    <w:rsid w:val="00F60CAF"/>
    <w:rsid w:val="00F60E4C"/>
    <w:rsid w:val="00F60EF4"/>
    <w:rsid w:val="00F6175E"/>
    <w:rsid w:val="00F63261"/>
    <w:rsid w:val="00F646A8"/>
    <w:rsid w:val="00F65C1C"/>
    <w:rsid w:val="00F67428"/>
    <w:rsid w:val="00F71795"/>
    <w:rsid w:val="00F76317"/>
    <w:rsid w:val="00F770AD"/>
    <w:rsid w:val="00F77251"/>
    <w:rsid w:val="00F7760E"/>
    <w:rsid w:val="00F7799B"/>
    <w:rsid w:val="00F80D96"/>
    <w:rsid w:val="00F810A9"/>
    <w:rsid w:val="00F8463D"/>
    <w:rsid w:val="00F84D6B"/>
    <w:rsid w:val="00F87A4B"/>
    <w:rsid w:val="00F93721"/>
    <w:rsid w:val="00F96A1C"/>
    <w:rsid w:val="00F97143"/>
    <w:rsid w:val="00F977A2"/>
    <w:rsid w:val="00FA0C5A"/>
    <w:rsid w:val="00FA12D6"/>
    <w:rsid w:val="00FA1FCD"/>
    <w:rsid w:val="00FA2144"/>
    <w:rsid w:val="00FA329B"/>
    <w:rsid w:val="00FA456B"/>
    <w:rsid w:val="00FA462D"/>
    <w:rsid w:val="00FA48B6"/>
    <w:rsid w:val="00FA73B6"/>
    <w:rsid w:val="00FA7C55"/>
    <w:rsid w:val="00FA7FB9"/>
    <w:rsid w:val="00FB35F2"/>
    <w:rsid w:val="00FB3CE3"/>
    <w:rsid w:val="00FB3DF3"/>
    <w:rsid w:val="00FB55F3"/>
    <w:rsid w:val="00FC1775"/>
    <w:rsid w:val="00FC1F02"/>
    <w:rsid w:val="00FC2CBE"/>
    <w:rsid w:val="00FC38C9"/>
    <w:rsid w:val="00FC3952"/>
    <w:rsid w:val="00FC4FAD"/>
    <w:rsid w:val="00FC5302"/>
    <w:rsid w:val="00FC773E"/>
    <w:rsid w:val="00FD0D57"/>
    <w:rsid w:val="00FD13AE"/>
    <w:rsid w:val="00FD2D65"/>
    <w:rsid w:val="00FD3572"/>
    <w:rsid w:val="00FD576D"/>
    <w:rsid w:val="00FD670D"/>
    <w:rsid w:val="00FD7155"/>
    <w:rsid w:val="00FE0B36"/>
    <w:rsid w:val="00FE293D"/>
    <w:rsid w:val="00FE3B39"/>
    <w:rsid w:val="00FE3F9D"/>
    <w:rsid w:val="00FE48DC"/>
    <w:rsid w:val="00FE573E"/>
    <w:rsid w:val="00FE6205"/>
    <w:rsid w:val="00FE6C2F"/>
    <w:rsid w:val="00FF29FD"/>
    <w:rsid w:val="00FF3639"/>
    <w:rsid w:val="00FF6401"/>
    <w:rsid w:val="00FF7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43AF"/>
    <w:rPr>
      <w:rFonts w:ascii="Arial" w:hAnsi="Arial"/>
      <w:szCs w:val="24"/>
    </w:rPr>
  </w:style>
  <w:style w:type="paragraph" w:styleId="Heading1">
    <w:name w:val="heading 1"/>
    <w:basedOn w:val="Normal"/>
    <w:next w:val="Normal"/>
    <w:qFormat/>
    <w:rsid w:val="000F1DDB"/>
    <w:pPr>
      <w:keepNext/>
      <w:numPr>
        <w:numId w:val="1"/>
      </w:numPr>
      <w:spacing w:before="240" w:after="60"/>
      <w:jc w:val="center"/>
      <w:outlineLvl w:val="0"/>
    </w:pPr>
    <w:rPr>
      <w:rFonts w:cs="Arial"/>
      <w:b/>
      <w:bCs/>
      <w:kern w:val="32"/>
      <w:sz w:val="22"/>
      <w:szCs w:val="32"/>
    </w:rPr>
  </w:style>
  <w:style w:type="paragraph" w:styleId="Heading2">
    <w:name w:val="heading 2"/>
    <w:basedOn w:val="Normal"/>
    <w:next w:val="Normal"/>
    <w:link w:val="Heading2Char"/>
    <w:qFormat/>
    <w:rsid w:val="00A157E8"/>
    <w:pPr>
      <w:keepNext/>
      <w:tabs>
        <w:tab w:val="left" w:pos="567"/>
        <w:tab w:val="right" w:pos="9072"/>
      </w:tabs>
      <w:ind w:left="1701" w:hanging="1701"/>
      <w:outlineLvl w:val="1"/>
    </w:pPr>
    <w:rPr>
      <w:rFonts w:cs="Arial"/>
      <w:b/>
      <w:bCs/>
      <w:iCs/>
      <w:sz w:val="22"/>
      <w:szCs w:val="28"/>
    </w:rPr>
  </w:style>
  <w:style w:type="paragraph" w:styleId="Heading3">
    <w:name w:val="heading 3"/>
    <w:basedOn w:val="Normal"/>
    <w:next w:val="Normal"/>
    <w:link w:val="Heading3Char"/>
    <w:qFormat/>
    <w:rsid w:val="004B5923"/>
    <w:pPr>
      <w:keepNext/>
      <w:spacing w:before="240" w:after="60"/>
      <w:outlineLvl w:val="2"/>
    </w:pPr>
    <w:rPr>
      <w:rFonts w:eastAsia="SimSun" w:cs="Arial"/>
      <w:bCs/>
      <w:sz w:val="22"/>
      <w:szCs w:val="26"/>
      <w:u w:val="single"/>
    </w:rPr>
  </w:style>
  <w:style w:type="paragraph" w:styleId="Heading4">
    <w:name w:val="heading 4"/>
    <w:basedOn w:val="Normal"/>
    <w:next w:val="Normal"/>
    <w:qFormat/>
    <w:rsid w:val="00933C0B"/>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table" w:styleId="TableGrid">
    <w:name w:val="Table Grid"/>
    <w:basedOn w:val="TableNormal"/>
    <w:rsid w:val="00765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7658A8"/>
    <w:pPr>
      <w:spacing w:after="160" w:line="240" w:lineRule="exact"/>
    </w:pPr>
    <w:rPr>
      <w:rFonts w:ascii="Verdana" w:hAnsi="Verdana"/>
      <w:szCs w:val="20"/>
      <w:lang w:val="en-GB"/>
    </w:rPr>
  </w:style>
  <w:style w:type="paragraph" w:styleId="BodyText">
    <w:name w:val="Body Text"/>
    <w:basedOn w:val="Normal"/>
    <w:link w:val="BodyTextChar"/>
    <w:rsid w:val="007658A8"/>
    <w:rPr>
      <w:szCs w:val="20"/>
    </w:rPr>
  </w:style>
  <w:style w:type="character" w:customStyle="1" w:styleId="BodyTextChar">
    <w:name w:val="Body Text Char"/>
    <w:link w:val="BodyText"/>
    <w:rsid w:val="007658A8"/>
    <w:rPr>
      <w:rFonts w:ascii="Arial" w:hAnsi="Arial"/>
      <w:lang w:val="en-US" w:eastAsia="en-US" w:bidi="ar-SA"/>
    </w:rPr>
  </w:style>
  <w:style w:type="paragraph" w:styleId="BodyTextIndent">
    <w:name w:val="Body Text Indent"/>
    <w:basedOn w:val="Normal"/>
    <w:rsid w:val="00101F3F"/>
    <w:pPr>
      <w:ind w:left="567"/>
    </w:pPr>
    <w:rPr>
      <w:szCs w:val="20"/>
    </w:rPr>
  </w:style>
  <w:style w:type="paragraph" w:styleId="Footer">
    <w:name w:val="footer"/>
    <w:basedOn w:val="Normal"/>
    <w:link w:val="FooterChar"/>
    <w:rsid w:val="00101F3F"/>
    <w:pPr>
      <w:tabs>
        <w:tab w:val="center" w:pos="4320"/>
        <w:tab w:val="right" w:pos="8640"/>
      </w:tabs>
    </w:pPr>
  </w:style>
  <w:style w:type="character" w:styleId="PageNumber">
    <w:name w:val="page number"/>
    <w:basedOn w:val="DefaultParagraphFont"/>
    <w:rsid w:val="00101F3F"/>
  </w:style>
  <w:style w:type="character" w:customStyle="1" w:styleId="CharChar">
    <w:name w:val="Char Char"/>
    <w:locked/>
    <w:rsid w:val="00FA18B8"/>
    <w:rPr>
      <w:rFonts w:ascii="Arial" w:hAnsi="Arial" w:cs="Times New Roman"/>
      <w:lang w:val="en-US" w:eastAsia="en-US" w:bidi="ar-SA"/>
    </w:rPr>
  </w:style>
  <w:style w:type="character" w:styleId="Hyperlink">
    <w:name w:val="Hyperlink"/>
    <w:uiPriority w:val="99"/>
    <w:rsid w:val="00BE6194"/>
    <w:rPr>
      <w:color w:val="000099"/>
      <w:u w:val="single"/>
    </w:rPr>
  </w:style>
  <w:style w:type="paragraph" w:styleId="FootnoteText">
    <w:name w:val="footnote text"/>
    <w:basedOn w:val="Normal"/>
    <w:link w:val="FootnoteTextChar"/>
    <w:rsid w:val="007C76C9"/>
    <w:rPr>
      <w:szCs w:val="20"/>
    </w:rPr>
  </w:style>
  <w:style w:type="character" w:styleId="FootnoteReference">
    <w:name w:val="footnote reference"/>
    <w:aliases w:val="Footnote"/>
    <w:rsid w:val="007C76C9"/>
    <w:rPr>
      <w:vertAlign w:val="superscript"/>
    </w:rPr>
  </w:style>
  <w:style w:type="paragraph" w:styleId="BalloonText">
    <w:name w:val="Balloon Text"/>
    <w:basedOn w:val="Normal"/>
    <w:link w:val="BalloonTextChar"/>
    <w:rsid w:val="005C3C2A"/>
    <w:rPr>
      <w:rFonts w:ascii="Tahoma" w:hAnsi="Tahoma" w:cs="Tahoma"/>
      <w:sz w:val="16"/>
      <w:szCs w:val="16"/>
    </w:rPr>
  </w:style>
  <w:style w:type="paragraph" w:customStyle="1" w:styleId="CarCar">
    <w:name w:val="Car Car"/>
    <w:basedOn w:val="Normal"/>
    <w:rsid w:val="00F229CA"/>
    <w:pPr>
      <w:spacing w:after="160" w:line="240" w:lineRule="exact"/>
    </w:pPr>
    <w:rPr>
      <w:rFonts w:ascii="Verdana" w:hAnsi="Verdana"/>
      <w:szCs w:val="20"/>
      <w:lang w:val="en-GB"/>
    </w:rPr>
  </w:style>
  <w:style w:type="character" w:styleId="CommentReference">
    <w:name w:val="annotation reference"/>
    <w:rsid w:val="00BE1EF6"/>
    <w:rPr>
      <w:sz w:val="16"/>
      <w:szCs w:val="16"/>
    </w:rPr>
  </w:style>
  <w:style w:type="paragraph" w:styleId="CommentText">
    <w:name w:val="annotation text"/>
    <w:basedOn w:val="Normal"/>
    <w:link w:val="CommentTextChar"/>
    <w:rsid w:val="00BE1EF6"/>
    <w:rPr>
      <w:szCs w:val="20"/>
    </w:rPr>
  </w:style>
  <w:style w:type="paragraph" w:styleId="CommentSubject">
    <w:name w:val="annotation subject"/>
    <w:basedOn w:val="CommentText"/>
    <w:next w:val="CommentText"/>
    <w:link w:val="CommentSubjectChar"/>
    <w:rsid w:val="00BE1EF6"/>
    <w:rPr>
      <w:b/>
      <w:bCs/>
    </w:rPr>
  </w:style>
  <w:style w:type="paragraph" w:customStyle="1" w:styleId="Default">
    <w:name w:val="Default"/>
    <w:rsid w:val="007E6799"/>
    <w:pPr>
      <w:autoSpaceDE w:val="0"/>
      <w:autoSpaceDN w:val="0"/>
      <w:adjustRightInd w:val="0"/>
    </w:pPr>
    <w:rPr>
      <w:rFonts w:ascii="Arial" w:eastAsia="Batang" w:hAnsi="Arial" w:cs="Arial"/>
      <w:color w:val="000000"/>
      <w:sz w:val="24"/>
      <w:szCs w:val="24"/>
      <w:lang w:eastAsia="ja-JP"/>
    </w:rPr>
  </w:style>
  <w:style w:type="character" w:customStyle="1" w:styleId="CharChar2">
    <w:name w:val="Char Char2"/>
    <w:rsid w:val="007E6799"/>
    <w:rPr>
      <w:rFonts w:ascii="Arial" w:hAnsi="Arial"/>
      <w:lang w:val="en-US" w:eastAsia="en-US" w:bidi="ar-SA"/>
    </w:rPr>
  </w:style>
  <w:style w:type="paragraph" w:styleId="TOC2">
    <w:name w:val="toc 2"/>
    <w:basedOn w:val="Normal"/>
    <w:next w:val="Normal"/>
    <w:autoRedefine/>
    <w:uiPriority w:val="39"/>
    <w:qFormat/>
    <w:rsid w:val="00E04504"/>
    <w:pPr>
      <w:tabs>
        <w:tab w:val="left" w:pos="1600"/>
        <w:tab w:val="right" w:leader="dot" w:pos="9498"/>
      </w:tabs>
      <w:ind w:left="200" w:right="-143"/>
    </w:pPr>
    <w:rPr>
      <w:rFonts w:asciiTheme="minorHAnsi" w:hAnsiTheme="minorHAnsi"/>
      <w:smallCaps/>
      <w:szCs w:val="20"/>
    </w:rPr>
  </w:style>
  <w:style w:type="paragraph" w:styleId="TOC1">
    <w:name w:val="toc 1"/>
    <w:basedOn w:val="Normal"/>
    <w:next w:val="Normal"/>
    <w:autoRedefine/>
    <w:uiPriority w:val="39"/>
    <w:qFormat/>
    <w:rsid w:val="00E04504"/>
    <w:pPr>
      <w:tabs>
        <w:tab w:val="left" w:pos="426"/>
        <w:tab w:val="right" w:leader="dot" w:pos="9498"/>
      </w:tabs>
      <w:spacing w:before="120" w:after="120"/>
      <w:ind w:right="-143"/>
    </w:pPr>
    <w:rPr>
      <w:rFonts w:asciiTheme="minorHAnsi" w:hAnsiTheme="minorHAnsi"/>
      <w:b/>
      <w:bCs/>
      <w:caps/>
      <w:szCs w:val="20"/>
    </w:rPr>
  </w:style>
  <w:style w:type="paragraph" w:customStyle="1" w:styleId="Indicators">
    <w:name w:val="Indicators"/>
    <w:basedOn w:val="Normal"/>
    <w:link w:val="IndicatorsChar"/>
    <w:rsid w:val="00E7796E"/>
    <w:pPr>
      <w:spacing w:before="120"/>
      <w:ind w:left="284" w:right="170"/>
    </w:pPr>
    <w:rPr>
      <w:szCs w:val="20"/>
    </w:rPr>
  </w:style>
  <w:style w:type="character" w:customStyle="1" w:styleId="IndicatorsChar">
    <w:name w:val="Indicators Char"/>
    <w:link w:val="Indicators"/>
    <w:rsid w:val="00E7796E"/>
    <w:rPr>
      <w:rFonts w:ascii="Arial" w:hAnsi="Arial"/>
      <w:lang w:val="en-US" w:eastAsia="en-US" w:bidi="ar-SA"/>
    </w:rPr>
  </w:style>
  <w:style w:type="paragraph" w:customStyle="1" w:styleId="DecisionInvitingPara">
    <w:name w:val="Decision Inviting Para."/>
    <w:basedOn w:val="Normal"/>
    <w:link w:val="DecisionInvitingParaChar"/>
    <w:rsid w:val="00222A8D"/>
    <w:pPr>
      <w:spacing w:after="120" w:line="260" w:lineRule="exact"/>
      <w:ind w:left="5534"/>
    </w:pPr>
    <w:rPr>
      <w:i/>
      <w:szCs w:val="20"/>
    </w:rPr>
  </w:style>
  <w:style w:type="paragraph" w:customStyle="1" w:styleId="preparedby">
    <w:name w:val="prepared by"/>
    <w:basedOn w:val="Normal"/>
    <w:next w:val="Normal"/>
    <w:rsid w:val="00222A8D"/>
    <w:pPr>
      <w:spacing w:after="480" w:line="260" w:lineRule="exact"/>
      <w:ind w:left="1021"/>
    </w:pPr>
    <w:rPr>
      <w:i/>
      <w:szCs w:val="20"/>
    </w:rPr>
  </w:style>
  <w:style w:type="paragraph" w:customStyle="1" w:styleId="Documenttitle">
    <w:name w:val="Document title"/>
    <w:basedOn w:val="Normal"/>
    <w:rsid w:val="00222A8D"/>
    <w:pPr>
      <w:spacing w:before="1200" w:after="120" w:line="260" w:lineRule="exact"/>
      <w:ind w:left="1021"/>
    </w:pPr>
    <w:rPr>
      <w:b/>
      <w:caps/>
      <w:szCs w:val="20"/>
    </w:rPr>
  </w:style>
  <w:style w:type="paragraph" w:customStyle="1" w:styleId="MeetinglanguageDate">
    <w:name w:val="Meeting language &amp; Date"/>
    <w:basedOn w:val="Normal"/>
    <w:next w:val="Meetingtitle"/>
    <w:rsid w:val="00222A8D"/>
    <w:pPr>
      <w:spacing w:after="1680" w:line="160" w:lineRule="exact"/>
      <w:ind w:left="1021"/>
      <w:contextualSpacing/>
      <w:jc w:val="right"/>
    </w:pPr>
    <w:rPr>
      <w:rFonts w:ascii="Arial Black" w:hAnsi="Arial Black"/>
      <w:b/>
      <w:caps/>
      <w:sz w:val="15"/>
      <w:szCs w:val="20"/>
      <w:lang w:val="fr-FR"/>
    </w:rPr>
  </w:style>
  <w:style w:type="paragraph" w:customStyle="1" w:styleId="Language">
    <w:name w:val="Language"/>
    <w:basedOn w:val="Normal"/>
    <w:next w:val="Normal"/>
    <w:autoRedefine/>
    <w:rsid w:val="00222A8D"/>
    <w:pPr>
      <w:spacing w:after="120" w:line="340" w:lineRule="atLeast"/>
      <w:ind w:left="1021"/>
      <w:jc w:val="right"/>
    </w:pPr>
    <w:rPr>
      <w:b/>
      <w:caps/>
      <w:sz w:val="40"/>
      <w:szCs w:val="20"/>
      <w:lang w:val="pt-BR"/>
    </w:rPr>
  </w:style>
  <w:style w:type="paragraph" w:customStyle="1" w:styleId="MeetingCode">
    <w:name w:val="Meeting Code"/>
    <w:basedOn w:val="MeetinglanguageDate"/>
    <w:rsid w:val="00222A8D"/>
    <w:pPr>
      <w:spacing w:before="300" w:after="0"/>
    </w:pPr>
  </w:style>
  <w:style w:type="paragraph" w:customStyle="1" w:styleId="Meetingtitle">
    <w:name w:val="Meeting title"/>
    <w:basedOn w:val="Normal"/>
    <w:next w:val="Sessiontitle"/>
    <w:rsid w:val="00222A8D"/>
    <w:pPr>
      <w:spacing w:after="360" w:line="336" w:lineRule="exact"/>
      <w:ind w:left="1021"/>
    </w:pPr>
    <w:rPr>
      <w:b/>
      <w:sz w:val="28"/>
      <w:szCs w:val="20"/>
      <w:lang w:val="fr-FR"/>
    </w:rPr>
  </w:style>
  <w:style w:type="paragraph" w:customStyle="1" w:styleId="Sessiontitle">
    <w:name w:val="Session title"/>
    <w:basedOn w:val="Meetingtitle"/>
    <w:next w:val="Meetingdateplace"/>
    <w:rsid w:val="00222A8D"/>
    <w:pPr>
      <w:spacing w:after="0"/>
    </w:pPr>
    <w:rPr>
      <w:sz w:val="24"/>
    </w:rPr>
  </w:style>
  <w:style w:type="paragraph" w:customStyle="1" w:styleId="Meetingdateplace">
    <w:name w:val="Meeting date &amp; place"/>
    <w:basedOn w:val="Sessiontitle"/>
    <w:next w:val="Documenttitle"/>
    <w:rsid w:val="00222A8D"/>
    <w:rPr>
      <w:lang w:val="en-US"/>
    </w:rPr>
  </w:style>
  <w:style w:type="character" w:customStyle="1" w:styleId="CharChar3">
    <w:name w:val="Char Char3"/>
    <w:rsid w:val="009100BA"/>
    <w:rPr>
      <w:rFonts w:ascii="Arial" w:hAnsi="Arial"/>
      <w:lang w:val="en-US" w:eastAsia="en-US" w:bidi="ar-SA"/>
    </w:rPr>
  </w:style>
  <w:style w:type="paragraph" w:styleId="BlockText">
    <w:name w:val="Block Text"/>
    <w:basedOn w:val="Normal"/>
    <w:rsid w:val="009100BA"/>
    <w:pPr>
      <w:spacing w:before="60" w:after="60"/>
      <w:ind w:left="266" w:right="142"/>
    </w:pPr>
    <w:rPr>
      <w:sz w:val="22"/>
      <w:szCs w:val="20"/>
    </w:rPr>
  </w:style>
  <w:style w:type="paragraph" w:customStyle="1" w:styleId="BoxText1">
    <w:name w:val="Box Text1"/>
    <w:basedOn w:val="Normal"/>
    <w:rsid w:val="009100BA"/>
    <w:pPr>
      <w:ind w:left="284"/>
    </w:pPr>
    <w:rPr>
      <w:snapToGrid w:val="0"/>
      <w:sz w:val="22"/>
      <w:szCs w:val="20"/>
    </w:rPr>
  </w:style>
  <w:style w:type="paragraph" w:customStyle="1" w:styleId="Normal1">
    <w:name w:val="Normal+1"/>
    <w:basedOn w:val="Normal"/>
    <w:next w:val="Normal"/>
    <w:rsid w:val="00191E10"/>
    <w:pPr>
      <w:autoSpaceDE w:val="0"/>
      <w:autoSpaceDN w:val="0"/>
      <w:adjustRightInd w:val="0"/>
    </w:pPr>
  </w:style>
  <w:style w:type="paragraph" w:styleId="NormalWeb">
    <w:name w:val="Normal (Web)"/>
    <w:basedOn w:val="Normal"/>
    <w:uiPriority w:val="99"/>
    <w:rsid w:val="00EE4CDE"/>
    <w:pPr>
      <w:spacing w:before="100" w:beforeAutospacing="1" w:after="100" w:afterAutospacing="1"/>
    </w:pPr>
    <w:rPr>
      <w:rFonts w:cs="Arial"/>
      <w:sz w:val="18"/>
      <w:szCs w:val="18"/>
    </w:rPr>
  </w:style>
  <w:style w:type="paragraph" w:styleId="BodyText2">
    <w:name w:val="Body Text 2"/>
    <w:basedOn w:val="Normal"/>
    <w:link w:val="BodyText2Char"/>
    <w:rsid w:val="00EE4CDE"/>
    <w:pPr>
      <w:spacing w:after="120" w:line="480" w:lineRule="auto"/>
    </w:pPr>
  </w:style>
  <w:style w:type="character" w:customStyle="1" w:styleId="CharChar4">
    <w:name w:val="Char Char4"/>
    <w:rsid w:val="00027DD5"/>
    <w:rPr>
      <w:rFonts w:ascii="Arial" w:hAnsi="Arial"/>
      <w:lang w:val="en-US" w:eastAsia="en-US" w:bidi="ar-SA"/>
    </w:rPr>
  </w:style>
  <w:style w:type="paragraph" w:styleId="ListParagraph">
    <w:name w:val="List Paragraph"/>
    <w:basedOn w:val="Normal"/>
    <w:uiPriority w:val="34"/>
    <w:qFormat/>
    <w:rsid w:val="003071E6"/>
    <w:pPr>
      <w:ind w:left="720"/>
    </w:pPr>
    <w:rPr>
      <w:szCs w:val="20"/>
    </w:rPr>
  </w:style>
  <w:style w:type="character" w:styleId="FollowedHyperlink">
    <w:name w:val="FollowedHyperlink"/>
    <w:rsid w:val="009E4B99"/>
    <w:rPr>
      <w:color w:val="606420"/>
      <w:u w:val="single"/>
    </w:rPr>
  </w:style>
  <w:style w:type="paragraph" w:customStyle="1" w:styleId="Meetingplacedate">
    <w:name w:val="Meeting place &amp; date"/>
    <w:basedOn w:val="Sessiontitle"/>
    <w:next w:val="Documenttitle"/>
    <w:rsid w:val="00862E39"/>
    <w:rPr>
      <w:lang w:val="en-US"/>
    </w:rPr>
  </w:style>
  <w:style w:type="character" w:customStyle="1" w:styleId="CharChar6">
    <w:name w:val="Char Char6"/>
    <w:rsid w:val="00B767D6"/>
    <w:rPr>
      <w:rFonts w:ascii="Arial" w:hAnsi="Arial"/>
      <w:lang w:val="en-US" w:eastAsia="en-US" w:bidi="ar-SA"/>
    </w:rPr>
  </w:style>
  <w:style w:type="character" w:customStyle="1" w:styleId="Novruzova">
    <w:name w:val="Novruzova"/>
    <w:semiHidden/>
    <w:rsid w:val="00E774BF"/>
    <w:rPr>
      <w:rFonts w:ascii="Arial" w:hAnsi="Arial" w:cs="Arial"/>
      <w:color w:val="000080"/>
      <w:sz w:val="20"/>
      <w:szCs w:val="20"/>
    </w:rPr>
  </w:style>
  <w:style w:type="character" w:customStyle="1" w:styleId="description">
    <w:name w:val="description"/>
    <w:basedOn w:val="DefaultParagraphFont"/>
    <w:rsid w:val="008A7EEB"/>
  </w:style>
  <w:style w:type="paragraph" w:customStyle="1" w:styleId="FreeFormA">
    <w:name w:val="Free Form A"/>
    <w:rsid w:val="003214B5"/>
    <w:rPr>
      <w:rFonts w:ascii="Helvetica" w:eastAsia="ヒラギノ角ゴ Pro W3" w:hAnsi="Helvetica"/>
      <w:color w:val="000000"/>
      <w:sz w:val="24"/>
    </w:rPr>
  </w:style>
  <w:style w:type="paragraph" w:customStyle="1" w:styleId="ONUME">
    <w:name w:val="ONUM E"/>
    <w:basedOn w:val="BodyText"/>
    <w:link w:val="ONUMEChar"/>
    <w:rsid w:val="00042826"/>
    <w:pPr>
      <w:spacing w:after="220"/>
    </w:pPr>
    <w:rPr>
      <w:rFonts w:eastAsia="SimSun" w:cs="Arial"/>
      <w:lang w:eastAsia="zh-CN"/>
    </w:rPr>
  </w:style>
  <w:style w:type="paragraph" w:customStyle="1" w:styleId="Char">
    <w:name w:val="Char 字元 字元"/>
    <w:basedOn w:val="Normal"/>
    <w:rsid w:val="00C129E2"/>
    <w:pPr>
      <w:spacing w:after="160" w:line="240" w:lineRule="exact"/>
    </w:pPr>
    <w:rPr>
      <w:rFonts w:ascii="Verdana" w:eastAsia="PMingLiU" w:hAnsi="Verdana"/>
      <w:szCs w:val="20"/>
    </w:rPr>
  </w:style>
  <w:style w:type="character" w:customStyle="1" w:styleId="underline">
    <w:name w:val="underline"/>
    <w:rsid w:val="00C129E2"/>
    <w:rPr>
      <w:u w:val="single"/>
    </w:rPr>
  </w:style>
  <w:style w:type="paragraph" w:customStyle="1" w:styleId="FreeForm">
    <w:name w:val="Free Form"/>
    <w:rsid w:val="009336F3"/>
    <w:rPr>
      <w:rFonts w:eastAsia="ヒラギノ角ゴ Pro W3"/>
      <w:color w:val="000000"/>
    </w:rPr>
  </w:style>
  <w:style w:type="paragraph" w:customStyle="1" w:styleId="Heading2A">
    <w:name w:val="Heading 2 A"/>
    <w:next w:val="Normal"/>
    <w:rsid w:val="009336F3"/>
    <w:pPr>
      <w:keepNext/>
      <w:tabs>
        <w:tab w:val="left" w:pos="567"/>
        <w:tab w:val="right" w:pos="9072"/>
      </w:tabs>
      <w:ind w:left="1701" w:hanging="1701"/>
      <w:outlineLvl w:val="1"/>
    </w:pPr>
    <w:rPr>
      <w:rFonts w:ascii="Arial Bold" w:eastAsia="ヒラギノ角ゴ Pro W3" w:hAnsi="Arial Bold"/>
      <w:color w:val="000000"/>
      <w:sz w:val="22"/>
    </w:rPr>
  </w:style>
  <w:style w:type="character" w:customStyle="1" w:styleId="FootnoteTextChar">
    <w:name w:val="Footnote Text Char"/>
    <w:link w:val="FootnoteText"/>
    <w:locked/>
    <w:rsid w:val="00415453"/>
    <w:rPr>
      <w:lang w:val="en-US" w:eastAsia="en-US" w:bidi="ar-SA"/>
    </w:rPr>
  </w:style>
  <w:style w:type="paragraph" w:customStyle="1" w:styleId="Normal-Header">
    <w:name w:val="Normal-Header"/>
    <w:rsid w:val="008B6ED6"/>
    <w:rPr>
      <w:rFonts w:ascii="Arial" w:hAnsi="Arial"/>
      <w:sz w:val="16"/>
    </w:rPr>
  </w:style>
  <w:style w:type="character" w:styleId="PlaceholderText">
    <w:name w:val="Placeholder Text"/>
    <w:basedOn w:val="DefaultParagraphFont"/>
    <w:uiPriority w:val="99"/>
    <w:semiHidden/>
    <w:rsid w:val="00400A45"/>
    <w:rPr>
      <w:color w:val="808080"/>
    </w:rPr>
  </w:style>
  <w:style w:type="character" w:customStyle="1" w:styleId="Style5">
    <w:name w:val="Style5"/>
    <w:basedOn w:val="DefaultParagraphFont"/>
    <w:uiPriority w:val="1"/>
    <w:rsid w:val="00400A45"/>
    <w:rPr>
      <w:rFonts w:asciiTheme="minorHAnsi" w:hAnsiTheme="minorHAnsi"/>
      <w:sz w:val="20"/>
    </w:rPr>
  </w:style>
  <w:style w:type="paragraph" w:styleId="Revision">
    <w:name w:val="Revision"/>
    <w:hidden/>
    <w:uiPriority w:val="99"/>
    <w:semiHidden/>
    <w:rsid w:val="00A93FCA"/>
    <w:rPr>
      <w:rFonts w:ascii="Arial" w:hAnsi="Arial"/>
      <w:szCs w:val="24"/>
    </w:rPr>
  </w:style>
  <w:style w:type="character" w:customStyle="1" w:styleId="FooterChar">
    <w:name w:val="Footer Char"/>
    <w:basedOn w:val="DefaultParagraphFont"/>
    <w:link w:val="Footer"/>
    <w:uiPriority w:val="99"/>
    <w:rsid w:val="00FF768F"/>
    <w:rPr>
      <w:rFonts w:ascii="Arial" w:hAnsi="Arial"/>
      <w:szCs w:val="24"/>
    </w:rPr>
  </w:style>
  <w:style w:type="paragraph" w:styleId="TOCHeading">
    <w:name w:val="TOC Heading"/>
    <w:basedOn w:val="Heading1"/>
    <w:next w:val="Normal"/>
    <w:uiPriority w:val="39"/>
    <w:semiHidden/>
    <w:unhideWhenUsed/>
    <w:qFormat/>
    <w:rsid w:val="001562E0"/>
    <w:pPr>
      <w:keepLines/>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eastAsia="ja-JP"/>
    </w:rPr>
  </w:style>
  <w:style w:type="paragraph" w:styleId="TOC3">
    <w:name w:val="toc 3"/>
    <w:basedOn w:val="Normal"/>
    <w:next w:val="Normal"/>
    <w:autoRedefine/>
    <w:uiPriority w:val="39"/>
    <w:unhideWhenUsed/>
    <w:qFormat/>
    <w:rsid w:val="005432AF"/>
    <w:pPr>
      <w:tabs>
        <w:tab w:val="right" w:leader="dot" w:pos="9498"/>
      </w:tabs>
      <w:ind w:left="400" w:right="-143"/>
    </w:pPr>
    <w:rPr>
      <w:rFonts w:asciiTheme="minorHAnsi" w:hAnsiTheme="minorHAnsi"/>
      <w:i/>
      <w:iCs/>
      <w:noProof/>
      <w:szCs w:val="20"/>
      <w:lang w:val="fr-FR"/>
    </w:rPr>
  </w:style>
  <w:style w:type="paragraph" w:styleId="TOC4">
    <w:name w:val="toc 4"/>
    <w:basedOn w:val="Normal"/>
    <w:next w:val="Normal"/>
    <w:autoRedefine/>
    <w:rsid w:val="007F6F24"/>
    <w:pPr>
      <w:ind w:left="600"/>
    </w:pPr>
    <w:rPr>
      <w:rFonts w:asciiTheme="minorHAnsi" w:hAnsiTheme="minorHAnsi"/>
      <w:sz w:val="18"/>
      <w:szCs w:val="18"/>
    </w:rPr>
  </w:style>
  <w:style w:type="paragraph" w:styleId="TOC5">
    <w:name w:val="toc 5"/>
    <w:basedOn w:val="Normal"/>
    <w:next w:val="Normal"/>
    <w:autoRedefine/>
    <w:rsid w:val="007F6F24"/>
    <w:pPr>
      <w:ind w:left="800"/>
    </w:pPr>
    <w:rPr>
      <w:rFonts w:asciiTheme="minorHAnsi" w:hAnsiTheme="minorHAnsi"/>
      <w:sz w:val="18"/>
      <w:szCs w:val="18"/>
    </w:rPr>
  </w:style>
  <w:style w:type="paragraph" w:styleId="TOC6">
    <w:name w:val="toc 6"/>
    <w:basedOn w:val="Normal"/>
    <w:next w:val="Normal"/>
    <w:autoRedefine/>
    <w:rsid w:val="007F6F24"/>
    <w:pPr>
      <w:ind w:left="1000"/>
    </w:pPr>
    <w:rPr>
      <w:rFonts w:asciiTheme="minorHAnsi" w:hAnsiTheme="minorHAnsi"/>
      <w:sz w:val="18"/>
      <w:szCs w:val="18"/>
    </w:rPr>
  </w:style>
  <w:style w:type="paragraph" w:styleId="TOC7">
    <w:name w:val="toc 7"/>
    <w:basedOn w:val="Normal"/>
    <w:next w:val="Normal"/>
    <w:autoRedefine/>
    <w:rsid w:val="007F6F24"/>
    <w:pPr>
      <w:ind w:left="1200"/>
    </w:pPr>
    <w:rPr>
      <w:rFonts w:asciiTheme="minorHAnsi" w:hAnsiTheme="minorHAnsi"/>
      <w:sz w:val="18"/>
      <w:szCs w:val="18"/>
    </w:rPr>
  </w:style>
  <w:style w:type="paragraph" w:styleId="TOC8">
    <w:name w:val="toc 8"/>
    <w:basedOn w:val="Normal"/>
    <w:next w:val="Normal"/>
    <w:autoRedefine/>
    <w:rsid w:val="007F6F24"/>
    <w:pPr>
      <w:ind w:left="1400"/>
    </w:pPr>
    <w:rPr>
      <w:rFonts w:asciiTheme="minorHAnsi" w:hAnsiTheme="minorHAnsi"/>
      <w:sz w:val="18"/>
      <w:szCs w:val="18"/>
    </w:rPr>
  </w:style>
  <w:style w:type="paragraph" w:styleId="TOC9">
    <w:name w:val="toc 9"/>
    <w:basedOn w:val="Normal"/>
    <w:next w:val="Normal"/>
    <w:autoRedefine/>
    <w:rsid w:val="007F6F24"/>
    <w:pPr>
      <w:ind w:left="1600"/>
    </w:pPr>
    <w:rPr>
      <w:rFonts w:asciiTheme="minorHAnsi" w:hAnsiTheme="minorHAnsi"/>
      <w:sz w:val="18"/>
      <w:szCs w:val="18"/>
    </w:rPr>
  </w:style>
  <w:style w:type="character" w:customStyle="1" w:styleId="Heading2Char">
    <w:name w:val="Heading 2 Char"/>
    <w:link w:val="Heading2"/>
    <w:rsid w:val="007F6F24"/>
    <w:rPr>
      <w:rFonts w:ascii="Arial" w:hAnsi="Arial" w:cs="Arial"/>
      <w:b/>
      <w:bCs/>
      <w:iCs/>
      <w:sz w:val="22"/>
      <w:szCs w:val="28"/>
    </w:rPr>
  </w:style>
  <w:style w:type="character" w:customStyle="1" w:styleId="DecisionInvitingParaChar">
    <w:name w:val="Decision Inviting Para. Char"/>
    <w:link w:val="DecisionInvitingPara"/>
    <w:locked/>
    <w:rsid w:val="00FE0B36"/>
    <w:rPr>
      <w:rFonts w:ascii="Arial" w:hAnsi="Arial"/>
      <w:i/>
    </w:rPr>
  </w:style>
  <w:style w:type="character" w:customStyle="1" w:styleId="HeaderChar">
    <w:name w:val="Header Char"/>
    <w:basedOn w:val="DefaultParagraphFont"/>
    <w:link w:val="Header"/>
    <w:rsid w:val="00BF01B2"/>
    <w:rPr>
      <w:rFonts w:ascii="Arial" w:hAnsi="Arial"/>
      <w:szCs w:val="24"/>
    </w:rPr>
  </w:style>
  <w:style w:type="paragraph" w:styleId="PlainText">
    <w:name w:val="Plain Text"/>
    <w:basedOn w:val="Normal"/>
    <w:link w:val="PlainTextChar"/>
    <w:uiPriority w:val="99"/>
    <w:rsid w:val="00E023E5"/>
    <w:rPr>
      <w:rFonts w:ascii="Courier New" w:eastAsia="SimSun" w:hAnsi="Courier New" w:cs="Courier New"/>
      <w:color w:val="0000FF"/>
      <w:szCs w:val="20"/>
      <w:lang w:eastAsia="zh-CN"/>
    </w:rPr>
  </w:style>
  <w:style w:type="character" w:customStyle="1" w:styleId="PlainTextChar">
    <w:name w:val="Plain Text Char"/>
    <w:basedOn w:val="DefaultParagraphFont"/>
    <w:link w:val="PlainText"/>
    <w:uiPriority w:val="99"/>
    <w:rsid w:val="00E023E5"/>
    <w:rPr>
      <w:rFonts w:ascii="Courier New" w:eastAsia="SimSun" w:hAnsi="Courier New" w:cs="Courier New"/>
      <w:color w:val="0000FF"/>
      <w:lang w:eastAsia="zh-CN"/>
    </w:rPr>
  </w:style>
  <w:style w:type="character" w:customStyle="1" w:styleId="Heading3Char">
    <w:name w:val="Heading 3 Char"/>
    <w:basedOn w:val="DefaultParagraphFont"/>
    <w:link w:val="Heading3"/>
    <w:rsid w:val="004B5923"/>
    <w:rPr>
      <w:rFonts w:ascii="Arial" w:eastAsia="SimSun" w:hAnsi="Arial" w:cs="Arial"/>
      <w:bCs/>
      <w:sz w:val="22"/>
      <w:szCs w:val="26"/>
      <w:u w:val="single"/>
    </w:rPr>
  </w:style>
  <w:style w:type="character" w:customStyle="1" w:styleId="ONUMEChar">
    <w:name w:val="ONUM E Char"/>
    <w:link w:val="ONUME"/>
    <w:locked/>
    <w:rsid w:val="009A04DE"/>
    <w:rPr>
      <w:rFonts w:ascii="Arial" w:eastAsia="SimSun" w:hAnsi="Arial" w:cs="Arial"/>
      <w:lang w:eastAsia="zh-CN"/>
    </w:rPr>
  </w:style>
  <w:style w:type="paragraph" w:customStyle="1" w:styleId="StyleHeading3BoldNounderline">
    <w:name w:val="Style Heading 3 + Bold No underline"/>
    <w:basedOn w:val="Heading3"/>
    <w:rsid w:val="00FA0C5A"/>
    <w:rPr>
      <w:i/>
      <w:u w:val="none"/>
    </w:rPr>
  </w:style>
  <w:style w:type="paragraph" w:customStyle="1" w:styleId="Style1">
    <w:name w:val="Style1"/>
    <w:basedOn w:val="Normal"/>
    <w:qFormat/>
    <w:rsid w:val="007852E3"/>
    <w:pPr>
      <w:numPr>
        <w:numId w:val="29"/>
      </w:numPr>
    </w:pPr>
  </w:style>
  <w:style w:type="paragraph" w:styleId="Salutation">
    <w:name w:val="Salutation"/>
    <w:basedOn w:val="Normal"/>
    <w:next w:val="Normal"/>
    <w:link w:val="SalutationChar"/>
    <w:rsid w:val="00F54CA4"/>
    <w:rPr>
      <w:rFonts w:cs="Arial"/>
      <w:sz w:val="22"/>
      <w:szCs w:val="20"/>
    </w:rPr>
  </w:style>
  <w:style w:type="character" w:customStyle="1" w:styleId="SalutationChar">
    <w:name w:val="Salutation Char"/>
    <w:basedOn w:val="DefaultParagraphFont"/>
    <w:link w:val="Salutation"/>
    <w:rsid w:val="00F54CA4"/>
    <w:rPr>
      <w:rFonts w:ascii="Arial" w:hAnsi="Arial" w:cs="Arial"/>
      <w:sz w:val="22"/>
    </w:rPr>
  </w:style>
  <w:style w:type="paragraph" w:styleId="Signature">
    <w:name w:val="Signature"/>
    <w:basedOn w:val="Normal"/>
    <w:link w:val="SignatureChar"/>
    <w:rsid w:val="00F54CA4"/>
    <w:pPr>
      <w:ind w:left="5250"/>
    </w:pPr>
    <w:rPr>
      <w:rFonts w:cs="Arial"/>
      <w:sz w:val="22"/>
      <w:szCs w:val="20"/>
    </w:rPr>
  </w:style>
  <w:style w:type="character" w:customStyle="1" w:styleId="SignatureChar">
    <w:name w:val="Signature Char"/>
    <w:basedOn w:val="DefaultParagraphFont"/>
    <w:link w:val="Signature"/>
    <w:rsid w:val="00F54CA4"/>
    <w:rPr>
      <w:rFonts w:ascii="Arial" w:hAnsi="Arial" w:cs="Arial"/>
      <w:sz w:val="22"/>
    </w:rPr>
  </w:style>
  <w:style w:type="paragraph" w:styleId="EndnoteText">
    <w:name w:val="endnote text"/>
    <w:basedOn w:val="Normal"/>
    <w:link w:val="EndnoteTextChar"/>
    <w:rsid w:val="00F54CA4"/>
    <w:rPr>
      <w:rFonts w:cs="Arial"/>
      <w:sz w:val="18"/>
      <w:szCs w:val="20"/>
    </w:rPr>
  </w:style>
  <w:style w:type="character" w:customStyle="1" w:styleId="EndnoteTextChar">
    <w:name w:val="Endnote Text Char"/>
    <w:basedOn w:val="DefaultParagraphFont"/>
    <w:link w:val="EndnoteText"/>
    <w:rsid w:val="00F54CA4"/>
    <w:rPr>
      <w:rFonts w:ascii="Arial" w:hAnsi="Arial" w:cs="Arial"/>
      <w:sz w:val="18"/>
    </w:rPr>
  </w:style>
  <w:style w:type="paragraph" w:styleId="Caption">
    <w:name w:val="caption"/>
    <w:basedOn w:val="Normal"/>
    <w:next w:val="Normal"/>
    <w:qFormat/>
    <w:rsid w:val="00F54CA4"/>
    <w:rPr>
      <w:rFonts w:cs="Arial"/>
      <w:b/>
      <w:bCs/>
      <w:sz w:val="18"/>
      <w:szCs w:val="20"/>
    </w:rPr>
  </w:style>
  <w:style w:type="paragraph" w:customStyle="1" w:styleId="ONUMFS">
    <w:name w:val="ONUM FS"/>
    <w:basedOn w:val="BodyText"/>
    <w:rsid w:val="00F54CA4"/>
    <w:pPr>
      <w:numPr>
        <w:numId w:val="31"/>
      </w:numPr>
      <w:spacing w:after="220"/>
    </w:pPr>
    <w:rPr>
      <w:rFonts w:cs="Arial"/>
      <w:sz w:val="22"/>
    </w:rPr>
  </w:style>
  <w:style w:type="paragraph" w:styleId="ListNumber">
    <w:name w:val="List Number"/>
    <w:basedOn w:val="Normal"/>
    <w:rsid w:val="00F54CA4"/>
    <w:pPr>
      <w:numPr>
        <w:numId w:val="32"/>
      </w:numPr>
    </w:pPr>
    <w:rPr>
      <w:rFonts w:cs="Arial"/>
      <w:sz w:val="22"/>
      <w:szCs w:val="20"/>
    </w:rPr>
  </w:style>
  <w:style w:type="character" w:customStyle="1" w:styleId="BalloonTextChar">
    <w:name w:val="Balloon Text Char"/>
    <w:basedOn w:val="DefaultParagraphFont"/>
    <w:link w:val="BalloonText"/>
    <w:rsid w:val="00F54CA4"/>
    <w:rPr>
      <w:rFonts w:ascii="Tahoma" w:hAnsi="Tahoma" w:cs="Tahoma"/>
      <w:sz w:val="16"/>
      <w:szCs w:val="16"/>
    </w:rPr>
  </w:style>
  <w:style w:type="character" w:customStyle="1" w:styleId="st">
    <w:name w:val="st"/>
    <w:basedOn w:val="DefaultParagraphFont"/>
    <w:rsid w:val="00F54CA4"/>
  </w:style>
  <w:style w:type="character" w:customStyle="1" w:styleId="CommentTextChar">
    <w:name w:val="Comment Text Char"/>
    <w:basedOn w:val="DefaultParagraphFont"/>
    <w:link w:val="CommentText"/>
    <w:rsid w:val="00F54CA4"/>
    <w:rPr>
      <w:rFonts w:ascii="Arial" w:hAnsi="Arial"/>
    </w:rPr>
  </w:style>
  <w:style w:type="character" w:customStyle="1" w:styleId="CommentSubjectChar">
    <w:name w:val="Comment Subject Char"/>
    <w:basedOn w:val="CommentTextChar"/>
    <w:link w:val="CommentSubject"/>
    <w:rsid w:val="00F54CA4"/>
    <w:rPr>
      <w:rFonts w:ascii="Arial" w:hAnsi="Arial"/>
      <w:b/>
      <w:bCs/>
    </w:rPr>
  </w:style>
  <w:style w:type="paragraph" w:styleId="NoSpacing">
    <w:name w:val="No Spacing"/>
    <w:uiPriority w:val="1"/>
    <w:qFormat/>
    <w:rsid w:val="00E43AF7"/>
    <w:rPr>
      <w:rFonts w:asciiTheme="minorHAnsi" w:eastAsiaTheme="minorHAnsi" w:hAnsiTheme="minorHAnsi" w:cstheme="minorBidi"/>
      <w:sz w:val="22"/>
      <w:szCs w:val="22"/>
    </w:rPr>
  </w:style>
  <w:style w:type="paragraph" w:customStyle="1" w:styleId="CharCharCharChar0">
    <w:name w:val="Char Char Char Char"/>
    <w:basedOn w:val="Normal"/>
    <w:rsid w:val="0063033D"/>
    <w:pPr>
      <w:spacing w:after="160" w:line="240" w:lineRule="exact"/>
    </w:pPr>
    <w:rPr>
      <w:rFonts w:ascii="Verdana" w:hAnsi="Verdana"/>
      <w:szCs w:val="20"/>
      <w:lang w:val="en-GB"/>
    </w:rPr>
  </w:style>
  <w:style w:type="character" w:customStyle="1" w:styleId="CharChar0">
    <w:name w:val="Char Char"/>
    <w:locked/>
    <w:rsid w:val="0063033D"/>
    <w:rPr>
      <w:rFonts w:ascii="Arial" w:hAnsi="Arial" w:cs="Times New Roman"/>
      <w:lang w:val="en-US" w:eastAsia="en-US" w:bidi="ar-SA"/>
    </w:rPr>
  </w:style>
  <w:style w:type="paragraph" w:customStyle="1" w:styleId="CarCar0">
    <w:name w:val="Car Car"/>
    <w:basedOn w:val="Normal"/>
    <w:rsid w:val="0063033D"/>
    <w:pPr>
      <w:spacing w:after="160" w:line="240" w:lineRule="exact"/>
    </w:pPr>
    <w:rPr>
      <w:rFonts w:ascii="Verdana" w:hAnsi="Verdana"/>
      <w:szCs w:val="20"/>
      <w:lang w:val="en-GB"/>
    </w:rPr>
  </w:style>
  <w:style w:type="character" w:customStyle="1" w:styleId="CharChar20">
    <w:name w:val="Char Char2"/>
    <w:rsid w:val="0063033D"/>
    <w:rPr>
      <w:rFonts w:ascii="Arial" w:hAnsi="Arial"/>
      <w:lang w:val="en-US" w:eastAsia="en-US" w:bidi="ar-SA"/>
    </w:rPr>
  </w:style>
  <w:style w:type="character" w:customStyle="1" w:styleId="CharChar30">
    <w:name w:val="Char Char3"/>
    <w:rsid w:val="0063033D"/>
    <w:rPr>
      <w:rFonts w:ascii="Arial" w:hAnsi="Arial"/>
      <w:lang w:val="en-US" w:eastAsia="en-US" w:bidi="ar-SA"/>
    </w:rPr>
  </w:style>
  <w:style w:type="character" w:customStyle="1" w:styleId="CharChar40">
    <w:name w:val="Char Char4"/>
    <w:rsid w:val="0063033D"/>
    <w:rPr>
      <w:rFonts w:ascii="Arial" w:hAnsi="Arial"/>
      <w:lang w:val="en-US" w:eastAsia="en-US" w:bidi="ar-SA"/>
    </w:rPr>
  </w:style>
  <w:style w:type="character" w:customStyle="1" w:styleId="CharChar60">
    <w:name w:val="Char Char6"/>
    <w:rsid w:val="0063033D"/>
    <w:rPr>
      <w:rFonts w:ascii="Arial" w:hAnsi="Arial"/>
      <w:lang w:val="en-US" w:eastAsia="en-US" w:bidi="ar-SA"/>
    </w:rPr>
  </w:style>
  <w:style w:type="paragraph" w:customStyle="1" w:styleId="Char0">
    <w:name w:val="Char 字元 字元"/>
    <w:basedOn w:val="Normal"/>
    <w:rsid w:val="0063033D"/>
    <w:pPr>
      <w:spacing w:after="160" w:line="240" w:lineRule="exact"/>
    </w:pPr>
    <w:rPr>
      <w:rFonts w:ascii="Verdana" w:eastAsia="PMingLiU" w:hAnsi="Verdana"/>
      <w:szCs w:val="20"/>
    </w:rPr>
  </w:style>
  <w:style w:type="character" w:customStyle="1" w:styleId="BodyText2Char">
    <w:name w:val="Body Text 2 Char"/>
    <w:basedOn w:val="DefaultParagraphFont"/>
    <w:link w:val="BodyText2"/>
    <w:rsid w:val="00815ABB"/>
    <w:rPr>
      <w:rFonts w:ascii="Arial" w:hAnsi="Arial"/>
      <w:szCs w:val="24"/>
    </w:rPr>
  </w:style>
  <w:style w:type="paragraph" w:customStyle="1" w:styleId="StyleStyleHeading3ComplexItalicLatin12pt">
    <w:name w:val="Style Style Heading 3 + (Complex) Italic + (Latin) 12 pt"/>
    <w:basedOn w:val="Normal"/>
    <w:link w:val="StyleStyleHeading3ComplexItalicLatin12ptChar"/>
    <w:rsid w:val="00F27486"/>
    <w:pPr>
      <w:keepNext/>
      <w:tabs>
        <w:tab w:val="left" w:pos="1985"/>
      </w:tabs>
      <w:outlineLvl w:val="2"/>
    </w:pPr>
    <w:rPr>
      <w:b/>
      <w:iCs/>
      <w:caps/>
      <w:szCs w:val="22"/>
    </w:rPr>
  </w:style>
  <w:style w:type="character" w:customStyle="1" w:styleId="StyleStyleHeading3ComplexItalicLatin12ptChar">
    <w:name w:val="Style Style Heading 3 + (Complex) Italic + (Latin) 12 pt Char"/>
    <w:basedOn w:val="DefaultParagraphFont"/>
    <w:link w:val="StyleStyleHeading3ComplexItalicLatin12pt"/>
    <w:rsid w:val="00F27486"/>
    <w:rPr>
      <w:rFonts w:ascii="Arial" w:hAnsi="Arial"/>
      <w:b/>
      <w:iCs/>
      <w:caps/>
      <w:szCs w:val="22"/>
    </w:rPr>
  </w:style>
  <w:style w:type="paragraph" w:customStyle="1" w:styleId="Test">
    <w:name w:val="Test"/>
    <w:basedOn w:val="Normal"/>
    <w:qFormat/>
    <w:rsid w:val="00CE4C9D"/>
    <w:pPr>
      <w:numPr>
        <w:numId w:val="103"/>
      </w:numPr>
    </w:pPr>
    <w:rPr>
      <w:rFonts w:eastAsiaTheme="minorHAnsi" w:cs="Arial"/>
      <w:sz w:val="22"/>
      <w:szCs w:val="22"/>
    </w:rPr>
  </w:style>
  <w:style w:type="paragraph" w:customStyle="1" w:styleId="StyleHeading214ptAuto">
    <w:name w:val="Style Heading 2 + 14 pt Auto"/>
    <w:basedOn w:val="Heading2"/>
    <w:rsid w:val="00A87689"/>
    <w:pPr>
      <w:keepNext w:val="0"/>
      <w:widowControl w:val="0"/>
      <w:tabs>
        <w:tab w:val="clear" w:pos="9072"/>
        <w:tab w:val="num" w:pos="567"/>
      </w:tabs>
      <w:spacing w:line="300" w:lineRule="atLeast"/>
      <w:ind w:left="567" w:hanging="567"/>
      <w:jc w:val="center"/>
    </w:pPr>
    <w:rPr>
      <w:rFonts w:ascii="Arial Bold" w:hAnsi="Arial Bold" w:cs="Times New Roman"/>
      <w:caps/>
      <w:sz w:val="24"/>
      <w:lang w:val="en-GB" w:eastAsia="da-DK"/>
    </w:rPr>
  </w:style>
  <w:style w:type="paragraph" w:customStyle="1" w:styleId="Endofdocument-Annex">
    <w:name w:val="[End of document - Annex]"/>
    <w:basedOn w:val="Normal"/>
    <w:rsid w:val="008F7B65"/>
    <w:pPr>
      <w:ind w:left="5534"/>
    </w:pPr>
    <w:rPr>
      <w:rFonts w:eastAsia="SimSun" w:cs="Arial"/>
      <w:sz w:val="22"/>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43AF"/>
    <w:rPr>
      <w:rFonts w:ascii="Arial" w:hAnsi="Arial"/>
      <w:szCs w:val="24"/>
    </w:rPr>
  </w:style>
  <w:style w:type="paragraph" w:styleId="Heading1">
    <w:name w:val="heading 1"/>
    <w:basedOn w:val="Normal"/>
    <w:next w:val="Normal"/>
    <w:qFormat/>
    <w:rsid w:val="000F1DDB"/>
    <w:pPr>
      <w:keepNext/>
      <w:numPr>
        <w:numId w:val="1"/>
      </w:numPr>
      <w:spacing w:before="240" w:after="60"/>
      <w:jc w:val="center"/>
      <w:outlineLvl w:val="0"/>
    </w:pPr>
    <w:rPr>
      <w:rFonts w:cs="Arial"/>
      <w:b/>
      <w:bCs/>
      <w:kern w:val="32"/>
      <w:sz w:val="22"/>
      <w:szCs w:val="32"/>
    </w:rPr>
  </w:style>
  <w:style w:type="paragraph" w:styleId="Heading2">
    <w:name w:val="heading 2"/>
    <w:basedOn w:val="Normal"/>
    <w:next w:val="Normal"/>
    <w:link w:val="Heading2Char"/>
    <w:qFormat/>
    <w:rsid w:val="00A157E8"/>
    <w:pPr>
      <w:keepNext/>
      <w:tabs>
        <w:tab w:val="left" w:pos="567"/>
        <w:tab w:val="right" w:pos="9072"/>
      </w:tabs>
      <w:ind w:left="1701" w:hanging="1701"/>
      <w:outlineLvl w:val="1"/>
    </w:pPr>
    <w:rPr>
      <w:rFonts w:cs="Arial"/>
      <w:b/>
      <w:bCs/>
      <w:iCs/>
      <w:sz w:val="22"/>
      <w:szCs w:val="28"/>
    </w:rPr>
  </w:style>
  <w:style w:type="paragraph" w:styleId="Heading3">
    <w:name w:val="heading 3"/>
    <w:basedOn w:val="Normal"/>
    <w:next w:val="Normal"/>
    <w:link w:val="Heading3Char"/>
    <w:qFormat/>
    <w:rsid w:val="004B5923"/>
    <w:pPr>
      <w:keepNext/>
      <w:spacing w:before="240" w:after="60"/>
      <w:outlineLvl w:val="2"/>
    </w:pPr>
    <w:rPr>
      <w:rFonts w:eastAsia="SimSun" w:cs="Arial"/>
      <w:bCs/>
      <w:sz w:val="22"/>
      <w:szCs w:val="26"/>
      <w:u w:val="single"/>
    </w:rPr>
  </w:style>
  <w:style w:type="paragraph" w:styleId="Heading4">
    <w:name w:val="heading 4"/>
    <w:basedOn w:val="Normal"/>
    <w:next w:val="Normal"/>
    <w:qFormat/>
    <w:rsid w:val="00933C0B"/>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table" w:styleId="TableGrid">
    <w:name w:val="Table Grid"/>
    <w:basedOn w:val="TableNormal"/>
    <w:rsid w:val="00765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7658A8"/>
    <w:pPr>
      <w:spacing w:after="160" w:line="240" w:lineRule="exact"/>
    </w:pPr>
    <w:rPr>
      <w:rFonts w:ascii="Verdana" w:hAnsi="Verdana"/>
      <w:szCs w:val="20"/>
      <w:lang w:val="en-GB"/>
    </w:rPr>
  </w:style>
  <w:style w:type="paragraph" w:styleId="BodyText">
    <w:name w:val="Body Text"/>
    <w:basedOn w:val="Normal"/>
    <w:link w:val="BodyTextChar"/>
    <w:rsid w:val="007658A8"/>
    <w:rPr>
      <w:szCs w:val="20"/>
    </w:rPr>
  </w:style>
  <w:style w:type="character" w:customStyle="1" w:styleId="BodyTextChar">
    <w:name w:val="Body Text Char"/>
    <w:link w:val="BodyText"/>
    <w:rsid w:val="007658A8"/>
    <w:rPr>
      <w:rFonts w:ascii="Arial" w:hAnsi="Arial"/>
      <w:lang w:val="en-US" w:eastAsia="en-US" w:bidi="ar-SA"/>
    </w:rPr>
  </w:style>
  <w:style w:type="paragraph" w:styleId="BodyTextIndent">
    <w:name w:val="Body Text Indent"/>
    <w:basedOn w:val="Normal"/>
    <w:rsid w:val="00101F3F"/>
    <w:pPr>
      <w:ind w:left="567"/>
    </w:pPr>
    <w:rPr>
      <w:szCs w:val="20"/>
    </w:rPr>
  </w:style>
  <w:style w:type="paragraph" w:styleId="Footer">
    <w:name w:val="footer"/>
    <w:basedOn w:val="Normal"/>
    <w:link w:val="FooterChar"/>
    <w:rsid w:val="00101F3F"/>
    <w:pPr>
      <w:tabs>
        <w:tab w:val="center" w:pos="4320"/>
        <w:tab w:val="right" w:pos="8640"/>
      </w:tabs>
    </w:pPr>
  </w:style>
  <w:style w:type="character" w:styleId="PageNumber">
    <w:name w:val="page number"/>
    <w:basedOn w:val="DefaultParagraphFont"/>
    <w:rsid w:val="00101F3F"/>
  </w:style>
  <w:style w:type="character" w:customStyle="1" w:styleId="CharChar">
    <w:name w:val="Char Char"/>
    <w:locked/>
    <w:rsid w:val="00FA18B8"/>
    <w:rPr>
      <w:rFonts w:ascii="Arial" w:hAnsi="Arial" w:cs="Times New Roman"/>
      <w:lang w:val="en-US" w:eastAsia="en-US" w:bidi="ar-SA"/>
    </w:rPr>
  </w:style>
  <w:style w:type="character" w:styleId="Hyperlink">
    <w:name w:val="Hyperlink"/>
    <w:uiPriority w:val="99"/>
    <w:rsid w:val="00BE6194"/>
    <w:rPr>
      <w:color w:val="000099"/>
      <w:u w:val="single"/>
    </w:rPr>
  </w:style>
  <w:style w:type="paragraph" w:styleId="FootnoteText">
    <w:name w:val="footnote text"/>
    <w:basedOn w:val="Normal"/>
    <w:link w:val="FootnoteTextChar"/>
    <w:rsid w:val="007C76C9"/>
    <w:rPr>
      <w:szCs w:val="20"/>
    </w:rPr>
  </w:style>
  <w:style w:type="character" w:styleId="FootnoteReference">
    <w:name w:val="footnote reference"/>
    <w:aliases w:val="Footnote"/>
    <w:rsid w:val="007C76C9"/>
    <w:rPr>
      <w:vertAlign w:val="superscript"/>
    </w:rPr>
  </w:style>
  <w:style w:type="paragraph" w:styleId="BalloonText">
    <w:name w:val="Balloon Text"/>
    <w:basedOn w:val="Normal"/>
    <w:link w:val="BalloonTextChar"/>
    <w:rsid w:val="005C3C2A"/>
    <w:rPr>
      <w:rFonts w:ascii="Tahoma" w:hAnsi="Tahoma" w:cs="Tahoma"/>
      <w:sz w:val="16"/>
      <w:szCs w:val="16"/>
    </w:rPr>
  </w:style>
  <w:style w:type="paragraph" w:customStyle="1" w:styleId="CarCar">
    <w:name w:val="Car Car"/>
    <w:basedOn w:val="Normal"/>
    <w:rsid w:val="00F229CA"/>
    <w:pPr>
      <w:spacing w:after="160" w:line="240" w:lineRule="exact"/>
    </w:pPr>
    <w:rPr>
      <w:rFonts w:ascii="Verdana" w:hAnsi="Verdana"/>
      <w:szCs w:val="20"/>
      <w:lang w:val="en-GB"/>
    </w:rPr>
  </w:style>
  <w:style w:type="character" w:styleId="CommentReference">
    <w:name w:val="annotation reference"/>
    <w:rsid w:val="00BE1EF6"/>
    <w:rPr>
      <w:sz w:val="16"/>
      <w:szCs w:val="16"/>
    </w:rPr>
  </w:style>
  <w:style w:type="paragraph" w:styleId="CommentText">
    <w:name w:val="annotation text"/>
    <w:basedOn w:val="Normal"/>
    <w:link w:val="CommentTextChar"/>
    <w:rsid w:val="00BE1EF6"/>
    <w:rPr>
      <w:szCs w:val="20"/>
    </w:rPr>
  </w:style>
  <w:style w:type="paragraph" w:styleId="CommentSubject">
    <w:name w:val="annotation subject"/>
    <w:basedOn w:val="CommentText"/>
    <w:next w:val="CommentText"/>
    <w:link w:val="CommentSubjectChar"/>
    <w:rsid w:val="00BE1EF6"/>
    <w:rPr>
      <w:b/>
      <w:bCs/>
    </w:rPr>
  </w:style>
  <w:style w:type="paragraph" w:customStyle="1" w:styleId="Default">
    <w:name w:val="Default"/>
    <w:rsid w:val="007E6799"/>
    <w:pPr>
      <w:autoSpaceDE w:val="0"/>
      <w:autoSpaceDN w:val="0"/>
      <w:adjustRightInd w:val="0"/>
    </w:pPr>
    <w:rPr>
      <w:rFonts w:ascii="Arial" w:eastAsia="Batang" w:hAnsi="Arial" w:cs="Arial"/>
      <w:color w:val="000000"/>
      <w:sz w:val="24"/>
      <w:szCs w:val="24"/>
      <w:lang w:eastAsia="ja-JP"/>
    </w:rPr>
  </w:style>
  <w:style w:type="character" w:customStyle="1" w:styleId="CharChar2">
    <w:name w:val="Char Char2"/>
    <w:rsid w:val="007E6799"/>
    <w:rPr>
      <w:rFonts w:ascii="Arial" w:hAnsi="Arial"/>
      <w:lang w:val="en-US" w:eastAsia="en-US" w:bidi="ar-SA"/>
    </w:rPr>
  </w:style>
  <w:style w:type="paragraph" w:styleId="TOC2">
    <w:name w:val="toc 2"/>
    <w:basedOn w:val="Normal"/>
    <w:next w:val="Normal"/>
    <w:autoRedefine/>
    <w:uiPriority w:val="39"/>
    <w:qFormat/>
    <w:rsid w:val="00E04504"/>
    <w:pPr>
      <w:tabs>
        <w:tab w:val="left" w:pos="1600"/>
        <w:tab w:val="right" w:leader="dot" w:pos="9498"/>
      </w:tabs>
      <w:ind w:left="200" w:right="-143"/>
    </w:pPr>
    <w:rPr>
      <w:rFonts w:asciiTheme="minorHAnsi" w:hAnsiTheme="minorHAnsi"/>
      <w:smallCaps/>
      <w:szCs w:val="20"/>
    </w:rPr>
  </w:style>
  <w:style w:type="paragraph" w:styleId="TOC1">
    <w:name w:val="toc 1"/>
    <w:basedOn w:val="Normal"/>
    <w:next w:val="Normal"/>
    <w:autoRedefine/>
    <w:uiPriority w:val="39"/>
    <w:qFormat/>
    <w:rsid w:val="00E04504"/>
    <w:pPr>
      <w:tabs>
        <w:tab w:val="left" w:pos="426"/>
        <w:tab w:val="right" w:leader="dot" w:pos="9498"/>
      </w:tabs>
      <w:spacing w:before="120" w:after="120"/>
      <w:ind w:right="-143"/>
    </w:pPr>
    <w:rPr>
      <w:rFonts w:asciiTheme="minorHAnsi" w:hAnsiTheme="minorHAnsi"/>
      <w:b/>
      <w:bCs/>
      <w:caps/>
      <w:szCs w:val="20"/>
    </w:rPr>
  </w:style>
  <w:style w:type="paragraph" w:customStyle="1" w:styleId="Indicators">
    <w:name w:val="Indicators"/>
    <w:basedOn w:val="Normal"/>
    <w:link w:val="IndicatorsChar"/>
    <w:rsid w:val="00E7796E"/>
    <w:pPr>
      <w:spacing w:before="120"/>
      <w:ind w:left="284" w:right="170"/>
    </w:pPr>
    <w:rPr>
      <w:szCs w:val="20"/>
    </w:rPr>
  </w:style>
  <w:style w:type="character" w:customStyle="1" w:styleId="IndicatorsChar">
    <w:name w:val="Indicators Char"/>
    <w:link w:val="Indicators"/>
    <w:rsid w:val="00E7796E"/>
    <w:rPr>
      <w:rFonts w:ascii="Arial" w:hAnsi="Arial"/>
      <w:lang w:val="en-US" w:eastAsia="en-US" w:bidi="ar-SA"/>
    </w:rPr>
  </w:style>
  <w:style w:type="paragraph" w:customStyle="1" w:styleId="DecisionInvitingPara">
    <w:name w:val="Decision Inviting Para."/>
    <w:basedOn w:val="Normal"/>
    <w:link w:val="DecisionInvitingParaChar"/>
    <w:rsid w:val="00222A8D"/>
    <w:pPr>
      <w:spacing w:after="120" w:line="260" w:lineRule="exact"/>
      <w:ind w:left="5534"/>
    </w:pPr>
    <w:rPr>
      <w:i/>
      <w:szCs w:val="20"/>
    </w:rPr>
  </w:style>
  <w:style w:type="paragraph" w:customStyle="1" w:styleId="preparedby">
    <w:name w:val="prepared by"/>
    <w:basedOn w:val="Normal"/>
    <w:next w:val="Normal"/>
    <w:rsid w:val="00222A8D"/>
    <w:pPr>
      <w:spacing w:after="480" w:line="260" w:lineRule="exact"/>
      <w:ind w:left="1021"/>
    </w:pPr>
    <w:rPr>
      <w:i/>
      <w:szCs w:val="20"/>
    </w:rPr>
  </w:style>
  <w:style w:type="paragraph" w:customStyle="1" w:styleId="Documenttitle">
    <w:name w:val="Document title"/>
    <w:basedOn w:val="Normal"/>
    <w:rsid w:val="00222A8D"/>
    <w:pPr>
      <w:spacing w:before="1200" w:after="120" w:line="260" w:lineRule="exact"/>
      <w:ind w:left="1021"/>
    </w:pPr>
    <w:rPr>
      <w:b/>
      <w:caps/>
      <w:szCs w:val="20"/>
    </w:rPr>
  </w:style>
  <w:style w:type="paragraph" w:customStyle="1" w:styleId="MeetinglanguageDate">
    <w:name w:val="Meeting language &amp; Date"/>
    <w:basedOn w:val="Normal"/>
    <w:next w:val="Meetingtitle"/>
    <w:rsid w:val="00222A8D"/>
    <w:pPr>
      <w:spacing w:after="1680" w:line="160" w:lineRule="exact"/>
      <w:ind w:left="1021"/>
      <w:contextualSpacing/>
      <w:jc w:val="right"/>
    </w:pPr>
    <w:rPr>
      <w:rFonts w:ascii="Arial Black" w:hAnsi="Arial Black"/>
      <w:b/>
      <w:caps/>
      <w:sz w:val="15"/>
      <w:szCs w:val="20"/>
      <w:lang w:val="fr-FR"/>
    </w:rPr>
  </w:style>
  <w:style w:type="paragraph" w:customStyle="1" w:styleId="Language">
    <w:name w:val="Language"/>
    <w:basedOn w:val="Normal"/>
    <w:next w:val="Normal"/>
    <w:autoRedefine/>
    <w:rsid w:val="00222A8D"/>
    <w:pPr>
      <w:spacing w:after="120" w:line="340" w:lineRule="atLeast"/>
      <w:ind w:left="1021"/>
      <w:jc w:val="right"/>
    </w:pPr>
    <w:rPr>
      <w:b/>
      <w:caps/>
      <w:sz w:val="40"/>
      <w:szCs w:val="20"/>
      <w:lang w:val="pt-BR"/>
    </w:rPr>
  </w:style>
  <w:style w:type="paragraph" w:customStyle="1" w:styleId="MeetingCode">
    <w:name w:val="Meeting Code"/>
    <w:basedOn w:val="MeetinglanguageDate"/>
    <w:rsid w:val="00222A8D"/>
    <w:pPr>
      <w:spacing w:before="300" w:after="0"/>
    </w:pPr>
  </w:style>
  <w:style w:type="paragraph" w:customStyle="1" w:styleId="Meetingtitle">
    <w:name w:val="Meeting title"/>
    <w:basedOn w:val="Normal"/>
    <w:next w:val="Sessiontitle"/>
    <w:rsid w:val="00222A8D"/>
    <w:pPr>
      <w:spacing w:after="360" w:line="336" w:lineRule="exact"/>
      <w:ind w:left="1021"/>
    </w:pPr>
    <w:rPr>
      <w:b/>
      <w:sz w:val="28"/>
      <w:szCs w:val="20"/>
      <w:lang w:val="fr-FR"/>
    </w:rPr>
  </w:style>
  <w:style w:type="paragraph" w:customStyle="1" w:styleId="Sessiontitle">
    <w:name w:val="Session title"/>
    <w:basedOn w:val="Meetingtitle"/>
    <w:next w:val="Meetingdateplace"/>
    <w:rsid w:val="00222A8D"/>
    <w:pPr>
      <w:spacing w:after="0"/>
    </w:pPr>
    <w:rPr>
      <w:sz w:val="24"/>
    </w:rPr>
  </w:style>
  <w:style w:type="paragraph" w:customStyle="1" w:styleId="Meetingdateplace">
    <w:name w:val="Meeting date &amp; place"/>
    <w:basedOn w:val="Sessiontitle"/>
    <w:next w:val="Documenttitle"/>
    <w:rsid w:val="00222A8D"/>
    <w:rPr>
      <w:lang w:val="en-US"/>
    </w:rPr>
  </w:style>
  <w:style w:type="character" w:customStyle="1" w:styleId="CharChar3">
    <w:name w:val="Char Char3"/>
    <w:rsid w:val="009100BA"/>
    <w:rPr>
      <w:rFonts w:ascii="Arial" w:hAnsi="Arial"/>
      <w:lang w:val="en-US" w:eastAsia="en-US" w:bidi="ar-SA"/>
    </w:rPr>
  </w:style>
  <w:style w:type="paragraph" w:styleId="BlockText">
    <w:name w:val="Block Text"/>
    <w:basedOn w:val="Normal"/>
    <w:rsid w:val="009100BA"/>
    <w:pPr>
      <w:spacing w:before="60" w:after="60"/>
      <w:ind w:left="266" w:right="142"/>
    </w:pPr>
    <w:rPr>
      <w:sz w:val="22"/>
      <w:szCs w:val="20"/>
    </w:rPr>
  </w:style>
  <w:style w:type="paragraph" w:customStyle="1" w:styleId="BoxText1">
    <w:name w:val="Box Text1"/>
    <w:basedOn w:val="Normal"/>
    <w:rsid w:val="009100BA"/>
    <w:pPr>
      <w:ind w:left="284"/>
    </w:pPr>
    <w:rPr>
      <w:snapToGrid w:val="0"/>
      <w:sz w:val="22"/>
      <w:szCs w:val="20"/>
    </w:rPr>
  </w:style>
  <w:style w:type="paragraph" w:customStyle="1" w:styleId="Normal1">
    <w:name w:val="Normal+1"/>
    <w:basedOn w:val="Normal"/>
    <w:next w:val="Normal"/>
    <w:rsid w:val="00191E10"/>
    <w:pPr>
      <w:autoSpaceDE w:val="0"/>
      <w:autoSpaceDN w:val="0"/>
      <w:adjustRightInd w:val="0"/>
    </w:pPr>
  </w:style>
  <w:style w:type="paragraph" w:styleId="NormalWeb">
    <w:name w:val="Normal (Web)"/>
    <w:basedOn w:val="Normal"/>
    <w:uiPriority w:val="99"/>
    <w:rsid w:val="00EE4CDE"/>
    <w:pPr>
      <w:spacing w:before="100" w:beforeAutospacing="1" w:after="100" w:afterAutospacing="1"/>
    </w:pPr>
    <w:rPr>
      <w:rFonts w:cs="Arial"/>
      <w:sz w:val="18"/>
      <w:szCs w:val="18"/>
    </w:rPr>
  </w:style>
  <w:style w:type="paragraph" w:styleId="BodyText2">
    <w:name w:val="Body Text 2"/>
    <w:basedOn w:val="Normal"/>
    <w:link w:val="BodyText2Char"/>
    <w:rsid w:val="00EE4CDE"/>
    <w:pPr>
      <w:spacing w:after="120" w:line="480" w:lineRule="auto"/>
    </w:pPr>
  </w:style>
  <w:style w:type="character" w:customStyle="1" w:styleId="CharChar4">
    <w:name w:val="Char Char4"/>
    <w:rsid w:val="00027DD5"/>
    <w:rPr>
      <w:rFonts w:ascii="Arial" w:hAnsi="Arial"/>
      <w:lang w:val="en-US" w:eastAsia="en-US" w:bidi="ar-SA"/>
    </w:rPr>
  </w:style>
  <w:style w:type="paragraph" w:styleId="ListParagraph">
    <w:name w:val="List Paragraph"/>
    <w:basedOn w:val="Normal"/>
    <w:uiPriority w:val="34"/>
    <w:qFormat/>
    <w:rsid w:val="003071E6"/>
    <w:pPr>
      <w:ind w:left="720"/>
    </w:pPr>
    <w:rPr>
      <w:szCs w:val="20"/>
    </w:rPr>
  </w:style>
  <w:style w:type="character" w:styleId="FollowedHyperlink">
    <w:name w:val="FollowedHyperlink"/>
    <w:rsid w:val="009E4B99"/>
    <w:rPr>
      <w:color w:val="606420"/>
      <w:u w:val="single"/>
    </w:rPr>
  </w:style>
  <w:style w:type="paragraph" w:customStyle="1" w:styleId="Meetingplacedate">
    <w:name w:val="Meeting place &amp; date"/>
    <w:basedOn w:val="Sessiontitle"/>
    <w:next w:val="Documenttitle"/>
    <w:rsid w:val="00862E39"/>
    <w:rPr>
      <w:lang w:val="en-US"/>
    </w:rPr>
  </w:style>
  <w:style w:type="character" w:customStyle="1" w:styleId="CharChar6">
    <w:name w:val="Char Char6"/>
    <w:rsid w:val="00B767D6"/>
    <w:rPr>
      <w:rFonts w:ascii="Arial" w:hAnsi="Arial"/>
      <w:lang w:val="en-US" w:eastAsia="en-US" w:bidi="ar-SA"/>
    </w:rPr>
  </w:style>
  <w:style w:type="character" w:customStyle="1" w:styleId="Novruzova">
    <w:name w:val="Novruzova"/>
    <w:semiHidden/>
    <w:rsid w:val="00E774BF"/>
    <w:rPr>
      <w:rFonts w:ascii="Arial" w:hAnsi="Arial" w:cs="Arial"/>
      <w:color w:val="000080"/>
      <w:sz w:val="20"/>
      <w:szCs w:val="20"/>
    </w:rPr>
  </w:style>
  <w:style w:type="character" w:customStyle="1" w:styleId="description">
    <w:name w:val="description"/>
    <w:basedOn w:val="DefaultParagraphFont"/>
    <w:rsid w:val="008A7EEB"/>
  </w:style>
  <w:style w:type="paragraph" w:customStyle="1" w:styleId="FreeFormA">
    <w:name w:val="Free Form A"/>
    <w:rsid w:val="003214B5"/>
    <w:rPr>
      <w:rFonts w:ascii="Helvetica" w:eastAsia="ヒラギノ角ゴ Pro W3" w:hAnsi="Helvetica"/>
      <w:color w:val="000000"/>
      <w:sz w:val="24"/>
    </w:rPr>
  </w:style>
  <w:style w:type="paragraph" w:customStyle="1" w:styleId="ONUME">
    <w:name w:val="ONUM E"/>
    <w:basedOn w:val="BodyText"/>
    <w:link w:val="ONUMEChar"/>
    <w:rsid w:val="00042826"/>
    <w:pPr>
      <w:spacing w:after="220"/>
    </w:pPr>
    <w:rPr>
      <w:rFonts w:eastAsia="SimSun" w:cs="Arial"/>
      <w:lang w:eastAsia="zh-CN"/>
    </w:rPr>
  </w:style>
  <w:style w:type="paragraph" w:customStyle="1" w:styleId="Char">
    <w:name w:val="Char 字元 字元"/>
    <w:basedOn w:val="Normal"/>
    <w:rsid w:val="00C129E2"/>
    <w:pPr>
      <w:spacing w:after="160" w:line="240" w:lineRule="exact"/>
    </w:pPr>
    <w:rPr>
      <w:rFonts w:ascii="Verdana" w:eastAsia="PMingLiU" w:hAnsi="Verdana"/>
      <w:szCs w:val="20"/>
    </w:rPr>
  </w:style>
  <w:style w:type="character" w:customStyle="1" w:styleId="underline">
    <w:name w:val="underline"/>
    <w:rsid w:val="00C129E2"/>
    <w:rPr>
      <w:u w:val="single"/>
    </w:rPr>
  </w:style>
  <w:style w:type="paragraph" w:customStyle="1" w:styleId="FreeForm">
    <w:name w:val="Free Form"/>
    <w:rsid w:val="009336F3"/>
    <w:rPr>
      <w:rFonts w:eastAsia="ヒラギノ角ゴ Pro W3"/>
      <w:color w:val="000000"/>
    </w:rPr>
  </w:style>
  <w:style w:type="paragraph" w:customStyle="1" w:styleId="Heading2A">
    <w:name w:val="Heading 2 A"/>
    <w:next w:val="Normal"/>
    <w:rsid w:val="009336F3"/>
    <w:pPr>
      <w:keepNext/>
      <w:tabs>
        <w:tab w:val="left" w:pos="567"/>
        <w:tab w:val="right" w:pos="9072"/>
      </w:tabs>
      <w:ind w:left="1701" w:hanging="1701"/>
      <w:outlineLvl w:val="1"/>
    </w:pPr>
    <w:rPr>
      <w:rFonts w:ascii="Arial Bold" w:eastAsia="ヒラギノ角ゴ Pro W3" w:hAnsi="Arial Bold"/>
      <w:color w:val="000000"/>
      <w:sz w:val="22"/>
    </w:rPr>
  </w:style>
  <w:style w:type="character" w:customStyle="1" w:styleId="FootnoteTextChar">
    <w:name w:val="Footnote Text Char"/>
    <w:link w:val="FootnoteText"/>
    <w:locked/>
    <w:rsid w:val="00415453"/>
    <w:rPr>
      <w:lang w:val="en-US" w:eastAsia="en-US" w:bidi="ar-SA"/>
    </w:rPr>
  </w:style>
  <w:style w:type="paragraph" w:customStyle="1" w:styleId="Normal-Header">
    <w:name w:val="Normal-Header"/>
    <w:rsid w:val="008B6ED6"/>
    <w:rPr>
      <w:rFonts w:ascii="Arial" w:hAnsi="Arial"/>
      <w:sz w:val="16"/>
    </w:rPr>
  </w:style>
  <w:style w:type="character" w:styleId="PlaceholderText">
    <w:name w:val="Placeholder Text"/>
    <w:basedOn w:val="DefaultParagraphFont"/>
    <w:uiPriority w:val="99"/>
    <w:semiHidden/>
    <w:rsid w:val="00400A45"/>
    <w:rPr>
      <w:color w:val="808080"/>
    </w:rPr>
  </w:style>
  <w:style w:type="character" w:customStyle="1" w:styleId="Style5">
    <w:name w:val="Style5"/>
    <w:basedOn w:val="DefaultParagraphFont"/>
    <w:uiPriority w:val="1"/>
    <w:rsid w:val="00400A45"/>
    <w:rPr>
      <w:rFonts w:asciiTheme="minorHAnsi" w:hAnsiTheme="minorHAnsi"/>
      <w:sz w:val="20"/>
    </w:rPr>
  </w:style>
  <w:style w:type="paragraph" w:styleId="Revision">
    <w:name w:val="Revision"/>
    <w:hidden/>
    <w:uiPriority w:val="99"/>
    <w:semiHidden/>
    <w:rsid w:val="00A93FCA"/>
    <w:rPr>
      <w:rFonts w:ascii="Arial" w:hAnsi="Arial"/>
      <w:szCs w:val="24"/>
    </w:rPr>
  </w:style>
  <w:style w:type="character" w:customStyle="1" w:styleId="FooterChar">
    <w:name w:val="Footer Char"/>
    <w:basedOn w:val="DefaultParagraphFont"/>
    <w:link w:val="Footer"/>
    <w:uiPriority w:val="99"/>
    <w:rsid w:val="00FF768F"/>
    <w:rPr>
      <w:rFonts w:ascii="Arial" w:hAnsi="Arial"/>
      <w:szCs w:val="24"/>
    </w:rPr>
  </w:style>
  <w:style w:type="paragraph" w:styleId="TOCHeading">
    <w:name w:val="TOC Heading"/>
    <w:basedOn w:val="Heading1"/>
    <w:next w:val="Normal"/>
    <w:uiPriority w:val="39"/>
    <w:semiHidden/>
    <w:unhideWhenUsed/>
    <w:qFormat/>
    <w:rsid w:val="001562E0"/>
    <w:pPr>
      <w:keepLines/>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eastAsia="ja-JP"/>
    </w:rPr>
  </w:style>
  <w:style w:type="paragraph" w:styleId="TOC3">
    <w:name w:val="toc 3"/>
    <w:basedOn w:val="Normal"/>
    <w:next w:val="Normal"/>
    <w:autoRedefine/>
    <w:uiPriority w:val="39"/>
    <w:unhideWhenUsed/>
    <w:qFormat/>
    <w:rsid w:val="005432AF"/>
    <w:pPr>
      <w:tabs>
        <w:tab w:val="right" w:leader="dot" w:pos="9498"/>
      </w:tabs>
      <w:ind w:left="400" w:right="-143"/>
    </w:pPr>
    <w:rPr>
      <w:rFonts w:asciiTheme="minorHAnsi" w:hAnsiTheme="minorHAnsi"/>
      <w:i/>
      <w:iCs/>
      <w:noProof/>
      <w:szCs w:val="20"/>
      <w:lang w:val="fr-FR"/>
    </w:rPr>
  </w:style>
  <w:style w:type="paragraph" w:styleId="TOC4">
    <w:name w:val="toc 4"/>
    <w:basedOn w:val="Normal"/>
    <w:next w:val="Normal"/>
    <w:autoRedefine/>
    <w:rsid w:val="007F6F24"/>
    <w:pPr>
      <w:ind w:left="600"/>
    </w:pPr>
    <w:rPr>
      <w:rFonts w:asciiTheme="minorHAnsi" w:hAnsiTheme="minorHAnsi"/>
      <w:sz w:val="18"/>
      <w:szCs w:val="18"/>
    </w:rPr>
  </w:style>
  <w:style w:type="paragraph" w:styleId="TOC5">
    <w:name w:val="toc 5"/>
    <w:basedOn w:val="Normal"/>
    <w:next w:val="Normal"/>
    <w:autoRedefine/>
    <w:rsid w:val="007F6F24"/>
    <w:pPr>
      <w:ind w:left="800"/>
    </w:pPr>
    <w:rPr>
      <w:rFonts w:asciiTheme="minorHAnsi" w:hAnsiTheme="minorHAnsi"/>
      <w:sz w:val="18"/>
      <w:szCs w:val="18"/>
    </w:rPr>
  </w:style>
  <w:style w:type="paragraph" w:styleId="TOC6">
    <w:name w:val="toc 6"/>
    <w:basedOn w:val="Normal"/>
    <w:next w:val="Normal"/>
    <w:autoRedefine/>
    <w:rsid w:val="007F6F24"/>
    <w:pPr>
      <w:ind w:left="1000"/>
    </w:pPr>
    <w:rPr>
      <w:rFonts w:asciiTheme="minorHAnsi" w:hAnsiTheme="minorHAnsi"/>
      <w:sz w:val="18"/>
      <w:szCs w:val="18"/>
    </w:rPr>
  </w:style>
  <w:style w:type="paragraph" w:styleId="TOC7">
    <w:name w:val="toc 7"/>
    <w:basedOn w:val="Normal"/>
    <w:next w:val="Normal"/>
    <w:autoRedefine/>
    <w:rsid w:val="007F6F24"/>
    <w:pPr>
      <w:ind w:left="1200"/>
    </w:pPr>
    <w:rPr>
      <w:rFonts w:asciiTheme="minorHAnsi" w:hAnsiTheme="minorHAnsi"/>
      <w:sz w:val="18"/>
      <w:szCs w:val="18"/>
    </w:rPr>
  </w:style>
  <w:style w:type="paragraph" w:styleId="TOC8">
    <w:name w:val="toc 8"/>
    <w:basedOn w:val="Normal"/>
    <w:next w:val="Normal"/>
    <w:autoRedefine/>
    <w:rsid w:val="007F6F24"/>
    <w:pPr>
      <w:ind w:left="1400"/>
    </w:pPr>
    <w:rPr>
      <w:rFonts w:asciiTheme="minorHAnsi" w:hAnsiTheme="minorHAnsi"/>
      <w:sz w:val="18"/>
      <w:szCs w:val="18"/>
    </w:rPr>
  </w:style>
  <w:style w:type="paragraph" w:styleId="TOC9">
    <w:name w:val="toc 9"/>
    <w:basedOn w:val="Normal"/>
    <w:next w:val="Normal"/>
    <w:autoRedefine/>
    <w:rsid w:val="007F6F24"/>
    <w:pPr>
      <w:ind w:left="1600"/>
    </w:pPr>
    <w:rPr>
      <w:rFonts w:asciiTheme="minorHAnsi" w:hAnsiTheme="minorHAnsi"/>
      <w:sz w:val="18"/>
      <w:szCs w:val="18"/>
    </w:rPr>
  </w:style>
  <w:style w:type="character" w:customStyle="1" w:styleId="Heading2Char">
    <w:name w:val="Heading 2 Char"/>
    <w:link w:val="Heading2"/>
    <w:rsid w:val="007F6F24"/>
    <w:rPr>
      <w:rFonts w:ascii="Arial" w:hAnsi="Arial" w:cs="Arial"/>
      <w:b/>
      <w:bCs/>
      <w:iCs/>
      <w:sz w:val="22"/>
      <w:szCs w:val="28"/>
    </w:rPr>
  </w:style>
  <w:style w:type="character" w:customStyle="1" w:styleId="DecisionInvitingParaChar">
    <w:name w:val="Decision Inviting Para. Char"/>
    <w:link w:val="DecisionInvitingPara"/>
    <w:locked/>
    <w:rsid w:val="00FE0B36"/>
    <w:rPr>
      <w:rFonts w:ascii="Arial" w:hAnsi="Arial"/>
      <w:i/>
    </w:rPr>
  </w:style>
  <w:style w:type="character" w:customStyle="1" w:styleId="HeaderChar">
    <w:name w:val="Header Char"/>
    <w:basedOn w:val="DefaultParagraphFont"/>
    <w:link w:val="Header"/>
    <w:rsid w:val="00BF01B2"/>
    <w:rPr>
      <w:rFonts w:ascii="Arial" w:hAnsi="Arial"/>
      <w:szCs w:val="24"/>
    </w:rPr>
  </w:style>
  <w:style w:type="paragraph" w:styleId="PlainText">
    <w:name w:val="Plain Text"/>
    <w:basedOn w:val="Normal"/>
    <w:link w:val="PlainTextChar"/>
    <w:uiPriority w:val="99"/>
    <w:rsid w:val="00E023E5"/>
    <w:rPr>
      <w:rFonts w:ascii="Courier New" w:eastAsia="SimSun" w:hAnsi="Courier New" w:cs="Courier New"/>
      <w:color w:val="0000FF"/>
      <w:szCs w:val="20"/>
      <w:lang w:eastAsia="zh-CN"/>
    </w:rPr>
  </w:style>
  <w:style w:type="character" w:customStyle="1" w:styleId="PlainTextChar">
    <w:name w:val="Plain Text Char"/>
    <w:basedOn w:val="DefaultParagraphFont"/>
    <w:link w:val="PlainText"/>
    <w:uiPriority w:val="99"/>
    <w:rsid w:val="00E023E5"/>
    <w:rPr>
      <w:rFonts w:ascii="Courier New" w:eastAsia="SimSun" w:hAnsi="Courier New" w:cs="Courier New"/>
      <w:color w:val="0000FF"/>
      <w:lang w:eastAsia="zh-CN"/>
    </w:rPr>
  </w:style>
  <w:style w:type="character" w:customStyle="1" w:styleId="Heading3Char">
    <w:name w:val="Heading 3 Char"/>
    <w:basedOn w:val="DefaultParagraphFont"/>
    <w:link w:val="Heading3"/>
    <w:rsid w:val="004B5923"/>
    <w:rPr>
      <w:rFonts w:ascii="Arial" w:eastAsia="SimSun" w:hAnsi="Arial" w:cs="Arial"/>
      <w:bCs/>
      <w:sz w:val="22"/>
      <w:szCs w:val="26"/>
      <w:u w:val="single"/>
    </w:rPr>
  </w:style>
  <w:style w:type="character" w:customStyle="1" w:styleId="ONUMEChar">
    <w:name w:val="ONUM E Char"/>
    <w:link w:val="ONUME"/>
    <w:locked/>
    <w:rsid w:val="009A04DE"/>
    <w:rPr>
      <w:rFonts w:ascii="Arial" w:eastAsia="SimSun" w:hAnsi="Arial" w:cs="Arial"/>
      <w:lang w:eastAsia="zh-CN"/>
    </w:rPr>
  </w:style>
  <w:style w:type="paragraph" w:customStyle="1" w:styleId="StyleHeading3BoldNounderline">
    <w:name w:val="Style Heading 3 + Bold No underline"/>
    <w:basedOn w:val="Heading3"/>
    <w:rsid w:val="00FA0C5A"/>
    <w:rPr>
      <w:i/>
      <w:u w:val="none"/>
    </w:rPr>
  </w:style>
  <w:style w:type="paragraph" w:customStyle="1" w:styleId="Style1">
    <w:name w:val="Style1"/>
    <w:basedOn w:val="Normal"/>
    <w:qFormat/>
    <w:rsid w:val="007852E3"/>
    <w:pPr>
      <w:numPr>
        <w:numId w:val="29"/>
      </w:numPr>
    </w:pPr>
  </w:style>
  <w:style w:type="paragraph" w:styleId="Salutation">
    <w:name w:val="Salutation"/>
    <w:basedOn w:val="Normal"/>
    <w:next w:val="Normal"/>
    <w:link w:val="SalutationChar"/>
    <w:rsid w:val="00F54CA4"/>
    <w:rPr>
      <w:rFonts w:cs="Arial"/>
      <w:sz w:val="22"/>
      <w:szCs w:val="20"/>
    </w:rPr>
  </w:style>
  <w:style w:type="character" w:customStyle="1" w:styleId="SalutationChar">
    <w:name w:val="Salutation Char"/>
    <w:basedOn w:val="DefaultParagraphFont"/>
    <w:link w:val="Salutation"/>
    <w:rsid w:val="00F54CA4"/>
    <w:rPr>
      <w:rFonts w:ascii="Arial" w:hAnsi="Arial" w:cs="Arial"/>
      <w:sz w:val="22"/>
    </w:rPr>
  </w:style>
  <w:style w:type="paragraph" w:styleId="Signature">
    <w:name w:val="Signature"/>
    <w:basedOn w:val="Normal"/>
    <w:link w:val="SignatureChar"/>
    <w:rsid w:val="00F54CA4"/>
    <w:pPr>
      <w:ind w:left="5250"/>
    </w:pPr>
    <w:rPr>
      <w:rFonts w:cs="Arial"/>
      <w:sz w:val="22"/>
      <w:szCs w:val="20"/>
    </w:rPr>
  </w:style>
  <w:style w:type="character" w:customStyle="1" w:styleId="SignatureChar">
    <w:name w:val="Signature Char"/>
    <w:basedOn w:val="DefaultParagraphFont"/>
    <w:link w:val="Signature"/>
    <w:rsid w:val="00F54CA4"/>
    <w:rPr>
      <w:rFonts w:ascii="Arial" w:hAnsi="Arial" w:cs="Arial"/>
      <w:sz w:val="22"/>
    </w:rPr>
  </w:style>
  <w:style w:type="paragraph" w:styleId="EndnoteText">
    <w:name w:val="endnote text"/>
    <w:basedOn w:val="Normal"/>
    <w:link w:val="EndnoteTextChar"/>
    <w:rsid w:val="00F54CA4"/>
    <w:rPr>
      <w:rFonts w:cs="Arial"/>
      <w:sz w:val="18"/>
      <w:szCs w:val="20"/>
    </w:rPr>
  </w:style>
  <w:style w:type="character" w:customStyle="1" w:styleId="EndnoteTextChar">
    <w:name w:val="Endnote Text Char"/>
    <w:basedOn w:val="DefaultParagraphFont"/>
    <w:link w:val="EndnoteText"/>
    <w:rsid w:val="00F54CA4"/>
    <w:rPr>
      <w:rFonts w:ascii="Arial" w:hAnsi="Arial" w:cs="Arial"/>
      <w:sz w:val="18"/>
    </w:rPr>
  </w:style>
  <w:style w:type="paragraph" w:styleId="Caption">
    <w:name w:val="caption"/>
    <w:basedOn w:val="Normal"/>
    <w:next w:val="Normal"/>
    <w:qFormat/>
    <w:rsid w:val="00F54CA4"/>
    <w:rPr>
      <w:rFonts w:cs="Arial"/>
      <w:b/>
      <w:bCs/>
      <w:sz w:val="18"/>
      <w:szCs w:val="20"/>
    </w:rPr>
  </w:style>
  <w:style w:type="paragraph" w:customStyle="1" w:styleId="ONUMFS">
    <w:name w:val="ONUM FS"/>
    <w:basedOn w:val="BodyText"/>
    <w:rsid w:val="00F54CA4"/>
    <w:pPr>
      <w:numPr>
        <w:numId w:val="31"/>
      </w:numPr>
      <w:spacing w:after="220"/>
    </w:pPr>
    <w:rPr>
      <w:rFonts w:cs="Arial"/>
      <w:sz w:val="22"/>
    </w:rPr>
  </w:style>
  <w:style w:type="paragraph" w:styleId="ListNumber">
    <w:name w:val="List Number"/>
    <w:basedOn w:val="Normal"/>
    <w:rsid w:val="00F54CA4"/>
    <w:pPr>
      <w:numPr>
        <w:numId w:val="32"/>
      </w:numPr>
    </w:pPr>
    <w:rPr>
      <w:rFonts w:cs="Arial"/>
      <w:sz w:val="22"/>
      <w:szCs w:val="20"/>
    </w:rPr>
  </w:style>
  <w:style w:type="character" w:customStyle="1" w:styleId="BalloonTextChar">
    <w:name w:val="Balloon Text Char"/>
    <w:basedOn w:val="DefaultParagraphFont"/>
    <w:link w:val="BalloonText"/>
    <w:rsid w:val="00F54CA4"/>
    <w:rPr>
      <w:rFonts w:ascii="Tahoma" w:hAnsi="Tahoma" w:cs="Tahoma"/>
      <w:sz w:val="16"/>
      <w:szCs w:val="16"/>
    </w:rPr>
  </w:style>
  <w:style w:type="character" w:customStyle="1" w:styleId="st">
    <w:name w:val="st"/>
    <w:basedOn w:val="DefaultParagraphFont"/>
    <w:rsid w:val="00F54CA4"/>
  </w:style>
  <w:style w:type="character" w:customStyle="1" w:styleId="CommentTextChar">
    <w:name w:val="Comment Text Char"/>
    <w:basedOn w:val="DefaultParagraphFont"/>
    <w:link w:val="CommentText"/>
    <w:rsid w:val="00F54CA4"/>
    <w:rPr>
      <w:rFonts w:ascii="Arial" w:hAnsi="Arial"/>
    </w:rPr>
  </w:style>
  <w:style w:type="character" w:customStyle="1" w:styleId="CommentSubjectChar">
    <w:name w:val="Comment Subject Char"/>
    <w:basedOn w:val="CommentTextChar"/>
    <w:link w:val="CommentSubject"/>
    <w:rsid w:val="00F54CA4"/>
    <w:rPr>
      <w:rFonts w:ascii="Arial" w:hAnsi="Arial"/>
      <w:b/>
      <w:bCs/>
    </w:rPr>
  </w:style>
  <w:style w:type="paragraph" w:styleId="NoSpacing">
    <w:name w:val="No Spacing"/>
    <w:uiPriority w:val="1"/>
    <w:qFormat/>
    <w:rsid w:val="00E43AF7"/>
    <w:rPr>
      <w:rFonts w:asciiTheme="minorHAnsi" w:eastAsiaTheme="minorHAnsi" w:hAnsiTheme="minorHAnsi" w:cstheme="minorBidi"/>
      <w:sz w:val="22"/>
      <w:szCs w:val="22"/>
    </w:rPr>
  </w:style>
  <w:style w:type="paragraph" w:customStyle="1" w:styleId="CharCharCharChar0">
    <w:name w:val="Char Char Char Char"/>
    <w:basedOn w:val="Normal"/>
    <w:rsid w:val="0063033D"/>
    <w:pPr>
      <w:spacing w:after="160" w:line="240" w:lineRule="exact"/>
    </w:pPr>
    <w:rPr>
      <w:rFonts w:ascii="Verdana" w:hAnsi="Verdana"/>
      <w:szCs w:val="20"/>
      <w:lang w:val="en-GB"/>
    </w:rPr>
  </w:style>
  <w:style w:type="character" w:customStyle="1" w:styleId="CharChar0">
    <w:name w:val="Char Char"/>
    <w:locked/>
    <w:rsid w:val="0063033D"/>
    <w:rPr>
      <w:rFonts w:ascii="Arial" w:hAnsi="Arial" w:cs="Times New Roman"/>
      <w:lang w:val="en-US" w:eastAsia="en-US" w:bidi="ar-SA"/>
    </w:rPr>
  </w:style>
  <w:style w:type="paragraph" w:customStyle="1" w:styleId="CarCar0">
    <w:name w:val="Car Car"/>
    <w:basedOn w:val="Normal"/>
    <w:rsid w:val="0063033D"/>
    <w:pPr>
      <w:spacing w:after="160" w:line="240" w:lineRule="exact"/>
    </w:pPr>
    <w:rPr>
      <w:rFonts w:ascii="Verdana" w:hAnsi="Verdana"/>
      <w:szCs w:val="20"/>
      <w:lang w:val="en-GB"/>
    </w:rPr>
  </w:style>
  <w:style w:type="character" w:customStyle="1" w:styleId="CharChar20">
    <w:name w:val="Char Char2"/>
    <w:rsid w:val="0063033D"/>
    <w:rPr>
      <w:rFonts w:ascii="Arial" w:hAnsi="Arial"/>
      <w:lang w:val="en-US" w:eastAsia="en-US" w:bidi="ar-SA"/>
    </w:rPr>
  </w:style>
  <w:style w:type="character" w:customStyle="1" w:styleId="CharChar30">
    <w:name w:val="Char Char3"/>
    <w:rsid w:val="0063033D"/>
    <w:rPr>
      <w:rFonts w:ascii="Arial" w:hAnsi="Arial"/>
      <w:lang w:val="en-US" w:eastAsia="en-US" w:bidi="ar-SA"/>
    </w:rPr>
  </w:style>
  <w:style w:type="character" w:customStyle="1" w:styleId="CharChar40">
    <w:name w:val="Char Char4"/>
    <w:rsid w:val="0063033D"/>
    <w:rPr>
      <w:rFonts w:ascii="Arial" w:hAnsi="Arial"/>
      <w:lang w:val="en-US" w:eastAsia="en-US" w:bidi="ar-SA"/>
    </w:rPr>
  </w:style>
  <w:style w:type="character" w:customStyle="1" w:styleId="CharChar60">
    <w:name w:val="Char Char6"/>
    <w:rsid w:val="0063033D"/>
    <w:rPr>
      <w:rFonts w:ascii="Arial" w:hAnsi="Arial"/>
      <w:lang w:val="en-US" w:eastAsia="en-US" w:bidi="ar-SA"/>
    </w:rPr>
  </w:style>
  <w:style w:type="paragraph" w:customStyle="1" w:styleId="Char0">
    <w:name w:val="Char 字元 字元"/>
    <w:basedOn w:val="Normal"/>
    <w:rsid w:val="0063033D"/>
    <w:pPr>
      <w:spacing w:after="160" w:line="240" w:lineRule="exact"/>
    </w:pPr>
    <w:rPr>
      <w:rFonts w:ascii="Verdana" w:eastAsia="PMingLiU" w:hAnsi="Verdana"/>
      <w:szCs w:val="20"/>
    </w:rPr>
  </w:style>
  <w:style w:type="character" w:customStyle="1" w:styleId="BodyText2Char">
    <w:name w:val="Body Text 2 Char"/>
    <w:basedOn w:val="DefaultParagraphFont"/>
    <w:link w:val="BodyText2"/>
    <w:rsid w:val="00815ABB"/>
    <w:rPr>
      <w:rFonts w:ascii="Arial" w:hAnsi="Arial"/>
      <w:szCs w:val="24"/>
    </w:rPr>
  </w:style>
  <w:style w:type="paragraph" w:customStyle="1" w:styleId="StyleStyleHeading3ComplexItalicLatin12pt">
    <w:name w:val="Style Style Heading 3 + (Complex) Italic + (Latin) 12 pt"/>
    <w:basedOn w:val="Normal"/>
    <w:link w:val="StyleStyleHeading3ComplexItalicLatin12ptChar"/>
    <w:rsid w:val="00F27486"/>
    <w:pPr>
      <w:keepNext/>
      <w:tabs>
        <w:tab w:val="left" w:pos="1985"/>
      </w:tabs>
      <w:outlineLvl w:val="2"/>
    </w:pPr>
    <w:rPr>
      <w:b/>
      <w:iCs/>
      <w:caps/>
      <w:szCs w:val="22"/>
    </w:rPr>
  </w:style>
  <w:style w:type="character" w:customStyle="1" w:styleId="StyleStyleHeading3ComplexItalicLatin12ptChar">
    <w:name w:val="Style Style Heading 3 + (Complex) Italic + (Latin) 12 pt Char"/>
    <w:basedOn w:val="DefaultParagraphFont"/>
    <w:link w:val="StyleStyleHeading3ComplexItalicLatin12pt"/>
    <w:rsid w:val="00F27486"/>
    <w:rPr>
      <w:rFonts w:ascii="Arial" w:hAnsi="Arial"/>
      <w:b/>
      <w:iCs/>
      <w:caps/>
      <w:szCs w:val="22"/>
    </w:rPr>
  </w:style>
  <w:style w:type="paragraph" w:customStyle="1" w:styleId="Test">
    <w:name w:val="Test"/>
    <w:basedOn w:val="Normal"/>
    <w:qFormat/>
    <w:rsid w:val="00CE4C9D"/>
    <w:pPr>
      <w:numPr>
        <w:numId w:val="103"/>
      </w:numPr>
    </w:pPr>
    <w:rPr>
      <w:rFonts w:eastAsiaTheme="minorHAnsi" w:cs="Arial"/>
      <w:sz w:val="22"/>
      <w:szCs w:val="22"/>
    </w:rPr>
  </w:style>
  <w:style w:type="paragraph" w:customStyle="1" w:styleId="StyleHeading214ptAuto">
    <w:name w:val="Style Heading 2 + 14 pt Auto"/>
    <w:basedOn w:val="Heading2"/>
    <w:rsid w:val="00A87689"/>
    <w:pPr>
      <w:keepNext w:val="0"/>
      <w:widowControl w:val="0"/>
      <w:tabs>
        <w:tab w:val="clear" w:pos="9072"/>
        <w:tab w:val="num" w:pos="567"/>
      </w:tabs>
      <w:spacing w:line="300" w:lineRule="atLeast"/>
      <w:ind w:left="567" w:hanging="567"/>
      <w:jc w:val="center"/>
    </w:pPr>
    <w:rPr>
      <w:rFonts w:ascii="Arial Bold" w:hAnsi="Arial Bold" w:cs="Times New Roman"/>
      <w:caps/>
      <w:sz w:val="24"/>
      <w:lang w:val="en-GB" w:eastAsia="da-DK"/>
    </w:rPr>
  </w:style>
  <w:style w:type="paragraph" w:customStyle="1" w:styleId="Endofdocument-Annex">
    <w:name w:val="[End of document - Annex]"/>
    <w:basedOn w:val="Normal"/>
    <w:rsid w:val="008F7B65"/>
    <w:pPr>
      <w:ind w:left="5534"/>
    </w:pPr>
    <w:rPr>
      <w:rFonts w:eastAsia="SimSun" w:cs="Arial"/>
      <w:sz w:val="22"/>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818745">
      <w:bodyDiv w:val="1"/>
      <w:marLeft w:val="0"/>
      <w:marRight w:val="0"/>
      <w:marTop w:val="0"/>
      <w:marBottom w:val="0"/>
      <w:divBdr>
        <w:top w:val="none" w:sz="0" w:space="0" w:color="auto"/>
        <w:left w:val="none" w:sz="0" w:space="0" w:color="auto"/>
        <w:bottom w:val="none" w:sz="0" w:space="0" w:color="auto"/>
        <w:right w:val="none" w:sz="0" w:space="0" w:color="auto"/>
      </w:divBdr>
    </w:div>
    <w:div w:id="768699644">
      <w:bodyDiv w:val="1"/>
      <w:marLeft w:val="0"/>
      <w:marRight w:val="0"/>
      <w:marTop w:val="0"/>
      <w:marBottom w:val="0"/>
      <w:divBdr>
        <w:top w:val="none" w:sz="0" w:space="0" w:color="auto"/>
        <w:left w:val="none" w:sz="0" w:space="0" w:color="auto"/>
        <w:bottom w:val="none" w:sz="0" w:space="0" w:color="auto"/>
        <w:right w:val="none" w:sz="0" w:space="0" w:color="auto"/>
      </w:divBdr>
    </w:div>
    <w:div w:id="847603127">
      <w:bodyDiv w:val="1"/>
      <w:marLeft w:val="0"/>
      <w:marRight w:val="0"/>
      <w:marTop w:val="0"/>
      <w:marBottom w:val="0"/>
      <w:divBdr>
        <w:top w:val="none" w:sz="0" w:space="0" w:color="auto"/>
        <w:left w:val="none" w:sz="0" w:space="0" w:color="auto"/>
        <w:bottom w:val="none" w:sz="0" w:space="0" w:color="auto"/>
        <w:right w:val="none" w:sz="0" w:space="0" w:color="auto"/>
      </w:divBdr>
    </w:div>
    <w:div w:id="160747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117" Type="http://schemas.openxmlformats.org/officeDocument/2006/relationships/image" Target="media/image101.emf"/><Relationship Id="rId21" Type="http://schemas.openxmlformats.org/officeDocument/2006/relationships/image" Target="media/image9.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emf"/><Relationship Id="rId89" Type="http://schemas.openxmlformats.org/officeDocument/2006/relationships/image" Target="media/image76.png"/><Relationship Id="rId112" Type="http://schemas.openxmlformats.org/officeDocument/2006/relationships/image" Target="media/image96.emf"/><Relationship Id="rId133" Type="http://schemas.openxmlformats.org/officeDocument/2006/relationships/image" Target="media/image116.emf"/><Relationship Id="rId138" Type="http://schemas.openxmlformats.org/officeDocument/2006/relationships/image" Target="media/image121.emf"/><Relationship Id="rId154" Type="http://schemas.openxmlformats.org/officeDocument/2006/relationships/image" Target="media/image137.emf"/><Relationship Id="rId159" Type="http://schemas.openxmlformats.org/officeDocument/2006/relationships/header" Target="header5.xml"/><Relationship Id="rId16" Type="http://schemas.openxmlformats.org/officeDocument/2006/relationships/image" Target="media/image4.png"/><Relationship Id="rId107" Type="http://schemas.openxmlformats.org/officeDocument/2006/relationships/image" Target="media/image93.emf"/><Relationship Id="rId11" Type="http://schemas.openxmlformats.org/officeDocument/2006/relationships/header" Target="header2.xml"/><Relationship Id="rId32" Type="http://schemas.openxmlformats.org/officeDocument/2006/relationships/image" Target="media/image19.emf"/><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image" Target="media/image88.emf"/><Relationship Id="rId123" Type="http://schemas.openxmlformats.org/officeDocument/2006/relationships/image" Target="media/image107.emf"/><Relationship Id="rId128" Type="http://schemas.openxmlformats.org/officeDocument/2006/relationships/image" Target="media/image112.emf"/><Relationship Id="rId144" Type="http://schemas.openxmlformats.org/officeDocument/2006/relationships/image" Target="media/image127.emf"/><Relationship Id="rId149" Type="http://schemas.openxmlformats.org/officeDocument/2006/relationships/image" Target="media/image132.emf"/><Relationship Id="rId5" Type="http://schemas.openxmlformats.org/officeDocument/2006/relationships/settings" Target="settings.xml"/><Relationship Id="rId90" Type="http://schemas.openxmlformats.org/officeDocument/2006/relationships/image" Target="media/image77.png"/><Relationship Id="rId95" Type="http://schemas.openxmlformats.org/officeDocument/2006/relationships/image" Target="media/image82.png"/><Relationship Id="rId160" Type="http://schemas.openxmlformats.org/officeDocument/2006/relationships/footer" Target="footer5.xml"/><Relationship Id="rId165" Type="http://schemas.openxmlformats.org/officeDocument/2006/relationships/header" Target="header10.xml"/><Relationship Id="rId22" Type="http://schemas.openxmlformats.org/officeDocument/2006/relationships/image" Target="media/image10.png"/><Relationship Id="rId27" Type="http://schemas.openxmlformats.org/officeDocument/2006/relationships/image" Target="media/image14.emf"/><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image" Target="media/image97.emf"/><Relationship Id="rId118" Type="http://schemas.openxmlformats.org/officeDocument/2006/relationships/image" Target="media/image102.emf"/><Relationship Id="rId134" Type="http://schemas.openxmlformats.org/officeDocument/2006/relationships/image" Target="media/image117.emf"/><Relationship Id="rId139" Type="http://schemas.openxmlformats.org/officeDocument/2006/relationships/image" Target="media/image122.emf"/><Relationship Id="rId80" Type="http://schemas.openxmlformats.org/officeDocument/2006/relationships/image" Target="media/image67.png"/><Relationship Id="rId85" Type="http://schemas.openxmlformats.org/officeDocument/2006/relationships/image" Target="media/image72.png"/><Relationship Id="rId150" Type="http://schemas.openxmlformats.org/officeDocument/2006/relationships/image" Target="media/image133.emf"/><Relationship Id="rId155" Type="http://schemas.openxmlformats.org/officeDocument/2006/relationships/header" Target="header3.xml"/><Relationship Id="rId12" Type="http://schemas.openxmlformats.org/officeDocument/2006/relationships/footer" Target="footer1.xml"/><Relationship Id="rId17" Type="http://schemas.openxmlformats.org/officeDocument/2006/relationships/image" Target="media/image5.png"/><Relationship Id="rId33" Type="http://schemas.openxmlformats.org/officeDocument/2006/relationships/image" Target="media/image20.emf"/><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89.emf"/><Relationship Id="rId108" Type="http://schemas.openxmlformats.org/officeDocument/2006/relationships/chart" Target="charts/chart1.xml"/><Relationship Id="rId124" Type="http://schemas.openxmlformats.org/officeDocument/2006/relationships/image" Target="media/image108.emf"/><Relationship Id="rId129" Type="http://schemas.openxmlformats.org/officeDocument/2006/relationships/hyperlink" Target="http://www.wipo.int/meetings/en/details.jsp?meeting_id=35262" TargetMode="External"/><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8.png"/><Relationship Id="rId96" Type="http://schemas.openxmlformats.org/officeDocument/2006/relationships/image" Target="media/image83.png"/><Relationship Id="rId140" Type="http://schemas.openxmlformats.org/officeDocument/2006/relationships/image" Target="media/image123.emf"/><Relationship Id="rId145" Type="http://schemas.openxmlformats.org/officeDocument/2006/relationships/image" Target="media/image128.emf"/><Relationship Id="rId161" Type="http://schemas.openxmlformats.org/officeDocument/2006/relationships/header" Target="header6.xm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wipo.int/meetings/en/details.jsp?meeting_id=35262" TargetMode="External"/><Relationship Id="rId28" Type="http://schemas.openxmlformats.org/officeDocument/2006/relationships/image" Target="media/image15.e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6" Type="http://schemas.openxmlformats.org/officeDocument/2006/relationships/image" Target="media/image92.emf"/><Relationship Id="rId114" Type="http://schemas.openxmlformats.org/officeDocument/2006/relationships/image" Target="media/image98.emf"/><Relationship Id="rId119" Type="http://schemas.openxmlformats.org/officeDocument/2006/relationships/image" Target="media/image103.emf"/><Relationship Id="rId127" Type="http://schemas.openxmlformats.org/officeDocument/2006/relationships/image" Target="media/image111.emf"/><Relationship Id="rId10" Type="http://schemas.openxmlformats.org/officeDocument/2006/relationships/header" Target="header1.xml"/><Relationship Id="rId31" Type="http://schemas.openxmlformats.org/officeDocument/2006/relationships/image" Target="media/image18.emf"/><Relationship Id="rId44" Type="http://schemas.openxmlformats.org/officeDocument/2006/relationships/image" Target="media/image31.png"/><Relationship Id="rId52" Type="http://schemas.openxmlformats.org/officeDocument/2006/relationships/image" Target="media/image39.emf"/><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image" Target="media/image81.png"/><Relationship Id="rId99" Type="http://schemas.openxmlformats.org/officeDocument/2006/relationships/hyperlink" Target="http://www.wipo.int/amc/en/domains/tmpddrp/" TargetMode="External"/><Relationship Id="rId101" Type="http://schemas.openxmlformats.org/officeDocument/2006/relationships/image" Target="media/image87.emf"/><Relationship Id="rId122" Type="http://schemas.openxmlformats.org/officeDocument/2006/relationships/image" Target="media/image106.png"/><Relationship Id="rId130" Type="http://schemas.openxmlformats.org/officeDocument/2006/relationships/image" Target="media/image113.emf"/><Relationship Id="rId135" Type="http://schemas.openxmlformats.org/officeDocument/2006/relationships/image" Target="media/image118.emf"/><Relationship Id="rId143" Type="http://schemas.openxmlformats.org/officeDocument/2006/relationships/image" Target="media/image126.emf"/><Relationship Id="rId148" Type="http://schemas.openxmlformats.org/officeDocument/2006/relationships/image" Target="media/image131.emf"/><Relationship Id="rId151" Type="http://schemas.openxmlformats.org/officeDocument/2006/relationships/image" Target="media/image134.emf"/><Relationship Id="rId156" Type="http://schemas.openxmlformats.org/officeDocument/2006/relationships/header" Target="header4.xml"/><Relationship Id="rId164"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6.png"/><Relationship Id="rId39" Type="http://schemas.openxmlformats.org/officeDocument/2006/relationships/image" Target="media/image26.png"/><Relationship Id="rId109" Type="http://schemas.openxmlformats.org/officeDocument/2006/relationships/chart" Target="charts/chart2.xml"/><Relationship Id="rId34" Type="http://schemas.openxmlformats.org/officeDocument/2006/relationships/image" Target="media/image21.emf"/><Relationship Id="rId50" Type="http://schemas.openxmlformats.org/officeDocument/2006/relationships/image" Target="media/image37.emf"/><Relationship Id="rId55" Type="http://schemas.openxmlformats.org/officeDocument/2006/relationships/image" Target="media/image42.emf"/><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0.emf"/><Relationship Id="rId120" Type="http://schemas.openxmlformats.org/officeDocument/2006/relationships/image" Target="media/image104.emf"/><Relationship Id="rId125" Type="http://schemas.openxmlformats.org/officeDocument/2006/relationships/image" Target="media/image109.emf"/><Relationship Id="rId141" Type="http://schemas.openxmlformats.org/officeDocument/2006/relationships/image" Target="media/image124.emf"/><Relationship Id="rId146" Type="http://schemas.openxmlformats.org/officeDocument/2006/relationships/image" Target="media/image129.emf"/><Relationship Id="rId16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8.png"/><Relationship Id="rId92" Type="http://schemas.openxmlformats.org/officeDocument/2006/relationships/image" Target="media/image79.png"/><Relationship Id="rId162" Type="http://schemas.openxmlformats.org/officeDocument/2006/relationships/header" Target="header7.xml"/><Relationship Id="rId2" Type="http://schemas.openxmlformats.org/officeDocument/2006/relationships/numbering" Target="numbering.xml"/><Relationship Id="rId29" Type="http://schemas.openxmlformats.org/officeDocument/2006/relationships/image" Target="media/image16.emf"/><Relationship Id="rId24" Type="http://schemas.openxmlformats.org/officeDocument/2006/relationships/image" Target="media/image11.png"/><Relationship Id="rId40" Type="http://schemas.openxmlformats.org/officeDocument/2006/relationships/image" Target="media/image27.emf"/><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4.emf"/><Relationship Id="rId115" Type="http://schemas.openxmlformats.org/officeDocument/2006/relationships/image" Target="media/image99.emf"/><Relationship Id="rId131" Type="http://schemas.openxmlformats.org/officeDocument/2006/relationships/image" Target="media/image114.emf"/><Relationship Id="rId136" Type="http://schemas.openxmlformats.org/officeDocument/2006/relationships/image" Target="media/image119.emf"/><Relationship Id="rId157" Type="http://schemas.openxmlformats.org/officeDocument/2006/relationships/footer" Target="footer3.xml"/><Relationship Id="rId61" Type="http://schemas.openxmlformats.org/officeDocument/2006/relationships/image" Target="media/image48.png"/><Relationship Id="rId82" Type="http://schemas.openxmlformats.org/officeDocument/2006/relationships/image" Target="media/image69.png"/><Relationship Id="rId152" Type="http://schemas.openxmlformats.org/officeDocument/2006/relationships/image" Target="media/image135.emf"/><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7.emf"/><Relationship Id="rId35" Type="http://schemas.openxmlformats.org/officeDocument/2006/relationships/image" Target="media/image22.emf"/><Relationship Id="rId56" Type="http://schemas.openxmlformats.org/officeDocument/2006/relationships/image" Target="media/image43.emf"/><Relationship Id="rId77" Type="http://schemas.openxmlformats.org/officeDocument/2006/relationships/image" Target="media/image64.png"/><Relationship Id="rId100" Type="http://schemas.openxmlformats.org/officeDocument/2006/relationships/image" Target="media/image86.emf"/><Relationship Id="rId105" Type="http://schemas.openxmlformats.org/officeDocument/2006/relationships/image" Target="media/image91.emf"/><Relationship Id="rId126" Type="http://schemas.openxmlformats.org/officeDocument/2006/relationships/image" Target="media/image110.emf"/><Relationship Id="rId147" Type="http://schemas.openxmlformats.org/officeDocument/2006/relationships/image" Target="media/image130.emf"/><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5.emf"/><Relationship Id="rId142" Type="http://schemas.openxmlformats.org/officeDocument/2006/relationships/image" Target="media/image125.emf"/><Relationship Id="rId163" Type="http://schemas.openxmlformats.org/officeDocument/2006/relationships/header" Target="header8.xm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0.emf"/><Relationship Id="rId137" Type="http://schemas.openxmlformats.org/officeDocument/2006/relationships/image" Target="media/image120.emf"/><Relationship Id="rId158" Type="http://schemas.openxmlformats.org/officeDocument/2006/relationships/footer" Target="footer4.xml"/><Relationship Id="rId20" Type="http://schemas.openxmlformats.org/officeDocument/2006/relationships/image" Target="media/image8.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emf"/><Relationship Id="rId88" Type="http://schemas.openxmlformats.org/officeDocument/2006/relationships/image" Target="media/image75.png"/><Relationship Id="rId111" Type="http://schemas.openxmlformats.org/officeDocument/2006/relationships/image" Target="media/image95.emf"/><Relationship Id="rId132" Type="http://schemas.openxmlformats.org/officeDocument/2006/relationships/image" Target="media/image115.emf"/><Relationship Id="rId153" Type="http://schemas.openxmlformats.org/officeDocument/2006/relationships/image" Target="media/image136.emf"/></Relationships>
</file>

<file path=word/_rels/footnotes.xml.rels><?xml version="1.0" encoding="UTF-8" standalone="yes"?>
<Relationships xmlns="http://schemas.openxmlformats.org/package/2006/relationships"><Relationship Id="rId2" Type="http://schemas.openxmlformats.org/officeDocument/2006/relationships/hyperlink" Target="http://www.wipo.int/meetings/en/doc_details.jsp?doc_id=239806" TargetMode="External"/><Relationship Id="rId1" Type="http://schemas.openxmlformats.org/officeDocument/2006/relationships/hyperlink" Target="http://www.wipo.int/meetings/en/doc_details.jsp?doc_id=20888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adi.wipo.int\wipodata\MARKS\OrgAcad\Shared\SelamT\Annual%20Statistic%20Report%202014\DataForStatistical_Report_201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hart%202%20in%20Microsoft%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15"/>
      <c:rotY val="20"/>
      <c:rAngAx val="1"/>
    </c:view3D>
    <c:floor>
      <c:thickness val="0"/>
    </c:floor>
    <c:sideWall>
      <c:thickness val="0"/>
      <c:spPr>
        <a:solidFill>
          <a:schemeClr val="bg1">
            <a:lumMod val="95000"/>
          </a:schemeClr>
        </a:solidFill>
      </c:spPr>
    </c:sideWall>
    <c:backWall>
      <c:thickness val="0"/>
      <c:spPr>
        <a:solidFill>
          <a:schemeClr val="bg1">
            <a:lumMod val="95000"/>
          </a:schemeClr>
        </a:solidFill>
        <a:scene3d>
          <a:camera prst="orthographicFront"/>
          <a:lightRig rig="threePt" dir="t"/>
        </a:scene3d>
        <a:sp3d/>
      </c:spPr>
    </c:backWall>
    <c:plotArea>
      <c:layout>
        <c:manualLayout>
          <c:layoutTarget val="inner"/>
          <c:xMode val="edge"/>
          <c:yMode val="edge"/>
          <c:x val="5.6948356879025691E-2"/>
          <c:y val="6.9448642152054221E-2"/>
          <c:w val="0.74958762366242682"/>
          <c:h val="0.80798615790385619"/>
        </c:manualLayout>
      </c:layout>
      <c:bar3DChart>
        <c:barDir val="col"/>
        <c:grouping val="clustered"/>
        <c:varyColors val="0"/>
        <c:ser>
          <c:idx val="0"/>
          <c:order val="0"/>
          <c:tx>
            <c:strRef>
              <c:f>'Annual stat. report'!$B$132</c:f>
              <c:strCache>
                <c:ptCount val="1"/>
                <c:pt idx="0">
                  <c:v>Latin-America &amp; Caribbean Countries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dPt>
          <c:dPt>
            <c:idx val="1"/>
            <c:invertIfNegative val="0"/>
            <c:bubble3D val="0"/>
          </c:dPt>
          <c:dPt>
            <c:idx val="2"/>
            <c:invertIfNegative val="0"/>
            <c:bubble3D val="0"/>
          </c:dPt>
          <c:dPt>
            <c:idx val="3"/>
            <c:invertIfNegative val="0"/>
            <c:bubble3D val="0"/>
          </c:dPt>
          <c:dPt>
            <c:idx val="4"/>
            <c:invertIfNegative val="0"/>
            <c:bubble3D val="0"/>
          </c:dPt>
          <c:dPt>
            <c:idx val="5"/>
            <c:invertIfNegative val="0"/>
            <c:bubble3D val="0"/>
          </c:dPt>
          <c:dLbls>
            <c:dLbl>
              <c:idx val="0"/>
              <c:layout>
                <c:manualLayout>
                  <c:x val="4.4643054341808744E-3"/>
                  <c:y val="8.6956521739130432E-2"/>
                </c:manualLayout>
              </c:layout>
              <c:showLegendKey val="0"/>
              <c:showVal val="1"/>
              <c:showCatName val="0"/>
              <c:showSerName val="0"/>
              <c:showPercent val="0"/>
              <c:showBubbleSize val="0"/>
            </c:dLbl>
            <c:dLbl>
              <c:idx val="1"/>
              <c:layout>
                <c:manualLayout>
                  <c:x val="7.2570388212129808E-3"/>
                  <c:y val="7.6086956521739135E-2"/>
                </c:manualLayout>
              </c:layout>
              <c:showLegendKey val="0"/>
              <c:showVal val="1"/>
              <c:showCatName val="0"/>
              <c:showSerName val="0"/>
              <c:showPercent val="0"/>
              <c:showBubbleSize val="0"/>
            </c:dLbl>
            <c:dLbl>
              <c:idx val="2"/>
              <c:layout>
                <c:manualLayout>
                  <c:x val="7.2570388212129808E-3"/>
                  <c:y val="7.2463768115942045E-2"/>
                </c:manualLayout>
              </c:layout>
              <c:showLegendKey val="0"/>
              <c:showVal val="1"/>
              <c:showCatName val="0"/>
              <c:showSerName val="0"/>
              <c:showPercent val="0"/>
              <c:showBubbleSize val="0"/>
            </c:dLbl>
            <c:txPr>
              <a:bodyPr/>
              <a:lstStyle/>
              <a:p>
                <a:pPr>
                  <a:defRPr>
                    <a:solidFill>
                      <a:schemeClr val="bg1"/>
                    </a:solidFill>
                  </a:defRPr>
                </a:pPr>
                <a:endParaRPr lang="en-US"/>
              </a:p>
            </c:txPr>
            <c:showLegendKey val="0"/>
            <c:showVal val="1"/>
            <c:showCatName val="0"/>
            <c:showSerName val="0"/>
            <c:showPercent val="0"/>
            <c:showBubbleSize val="0"/>
            <c:showLeaderLines val="0"/>
          </c:dLbls>
          <c:cat>
            <c:numRef>
              <c:f>'Annual stat. report'!$C$131:$E$131</c:f>
              <c:numCache>
                <c:formatCode>General</c:formatCode>
                <c:ptCount val="3"/>
                <c:pt idx="0">
                  <c:v>2012</c:v>
                </c:pt>
                <c:pt idx="1">
                  <c:v>2013</c:v>
                </c:pt>
                <c:pt idx="2">
                  <c:v>2014</c:v>
                </c:pt>
              </c:numCache>
            </c:numRef>
          </c:cat>
          <c:val>
            <c:numRef>
              <c:f>'Annual stat. report'!$C$132:$E$132</c:f>
              <c:numCache>
                <c:formatCode>General</c:formatCode>
                <c:ptCount val="3"/>
                <c:pt idx="0">
                  <c:v>77</c:v>
                </c:pt>
                <c:pt idx="1">
                  <c:v>75</c:v>
                </c:pt>
                <c:pt idx="2">
                  <c:v>87</c:v>
                </c:pt>
              </c:numCache>
            </c:numRef>
          </c:val>
        </c:ser>
        <c:ser>
          <c:idx val="1"/>
          <c:order val="1"/>
          <c:tx>
            <c:strRef>
              <c:f>'Annual stat. report'!$B$133</c:f>
              <c:strCache>
                <c:ptCount val="1"/>
                <c:pt idx="0">
                  <c:v>Africa</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4.4642862373788714E-3"/>
                  <c:y val="9.0579710144927536E-2"/>
                </c:manualLayout>
              </c:layout>
              <c:showLegendKey val="0"/>
              <c:showVal val="1"/>
              <c:showCatName val="0"/>
              <c:showSerName val="0"/>
              <c:showPercent val="0"/>
              <c:showBubbleSize val="0"/>
            </c:dLbl>
            <c:dLbl>
              <c:idx val="1"/>
              <c:layout>
                <c:manualLayout>
                  <c:x val="5.9523816498384952E-3"/>
                  <c:y val="7.2463768115942032E-2"/>
                </c:manualLayout>
              </c:layout>
              <c:showLegendKey val="0"/>
              <c:showVal val="1"/>
              <c:showCatName val="0"/>
              <c:showSerName val="0"/>
              <c:showPercent val="0"/>
              <c:showBubbleSize val="0"/>
            </c:dLbl>
            <c:dLbl>
              <c:idx val="2"/>
              <c:layout>
                <c:manualLayout>
                  <c:x val="4.4642862373788714E-3"/>
                  <c:y val="9.4202327969873337E-2"/>
                </c:manualLayout>
              </c:layout>
              <c:showLegendKey val="0"/>
              <c:showVal val="1"/>
              <c:showCatName val="0"/>
              <c:showSerName val="0"/>
              <c:showPercent val="0"/>
              <c:showBubbleSize val="0"/>
            </c:dLbl>
            <c:txPr>
              <a:bodyPr/>
              <a:lstStyle/>
              <a:p>
                <a:pPr>
                  <a:defRPr>
                    <a:solidFill>
                      <a:schemeClr val="bg1"/>
                    </a:solidFill>
                  </a:defRPr>
                </a:pPr>
                <a:endParaRPr lang="en-US"/>
              </a:p>
            </c:txPr>
            <c:showLegendKey val="0"/>
            <c:showVal val="1"/>
            <c:showCatName val="0"/>
            <c:showSerName val="0"/>
            <c:showPercent val="0"/>
            <c:showBubbleSize val="0"/>
            <c:showLeaderLines val="0"/>
          </c:dLbls>
          <c:cat>
            <c:numRef>
              <c:f>'Annual stat. report'!$C$131:$E$131</c:f>
              <c:numCache>
                <c:formatCode>General</c:formatCode>
                <c:ptCount val="3"/>
                <c:pt idx="0">
                  <c:v>2012</c:v>
                </c:pt>
                <c:pt idx="1">
                  <c:v>2013</c:v>
                </c:pt>
                <c:pt idx="2">
                  <c:v>2014</c:v>
                </c:pt>
              </c:numCache>
            </c:numRef>
          </c:cat>
          <c:val>
            <c:numRef>
              <c:f>'Annual stat. report'!$C$133:$E$133</c:f>
              <c:numCache>
                <c:formatCode>General</c:formatCode>
                <c:ptCount val="3"/>
                <c:pt idx="0">
                  <c:v>56</c:v>
                </c:pt>
                <c:pt idx="1">
                  <c:v>58</c:v>
                </c:pt>
                <c:pt idx="2">
                  <c:v>44</c:v>
                </c:pt>
              </c:numCache>
            </c:numRef>
          </c:val>
        </c:ser>
        <c:ser>
          <c:idx val="2"/>
          <c:order val="2"/>
          <c:tx>
            <c:strRef>
              <c:f>'Annual stat. report'!$B$134</c:f>
              <c:strCache>
                <c:ptCount val="1"/>
                <c:pt idx="0">
                  <c:v>Asia &amp; Pacific</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5.9523816498384952E-3"/>
                  <c:y val="7.6086956521739135E-2"/>
                </c:manualLayout>
              </c:layout>
              <c:showLegendKey val="0"/>
              <c:showVal val="1"/>
              <c:showCatName val="0"/>
              <c:showSerName val="0"/>
              <c:showPercent val="0"/>
              <c:showBubbleSize val="0"/>
            </c:dLbl>
            <c:dLbl>
              <c:idx val="1"/>
              <c:layout>
                <c:manualLayout>
                  <c:x val="4.4643054341808744E-3"/>
                  <c:y val="8.3333333333333329E-2"/>
                </c:manualLayout>
              </c:layout>
              <c:showLegendKey val="0"/>
              <c:showVal val="1"/>
              <c:showCatName val="0"/>
              <c:showSerName val="0"/>
              <c:showPercent val="0"/>
              <c:showBubbleSize val="0"/>
            </c:dLbl>
            <c:dLbl>
              <c:idx val="2"/>
              <c:layout>
                <c:manualLayout>
                  <c:x val="5.9524072455744998E-3"/>
                  <c:y val="8.3333333333333273E-2"/>
                </c:manualLayout>
              </c:layout>
              <c:showLegendKey val="0"/>
              <c:showVal val="1"/>
              <c:showCatName val="0"/>
              <c:showSerName val="0"/>
              <c:showPercent val="0"/>
              <c:showBubbleSize val="0"/>
            </c:dLbl>
            <c:txPr>
              <a:bodyPr/>
              <a:lstStyle/>
              <a:p>
                <a:pPr>
                  <a:defRPr>
                    <a:solidFill>
                      <a:schemeClr val="bg1"/>
                    </a:solidFill>
                  </a:defRPr>
                </a:pPr>
                <a:endParaRPr lang="en-US"/>
              </a:p>
            </c:txPr>
            <c:showLegendKey val="0"/>
            <c:showVal val="1"/>
            <c:showCatName val="0"/>
            <c:showSerName val="0"/>
            <c:showPercent val="0"/>
            <c:showBubbleSize val="0"/>
            <c:showLeaderLines val="0"/>
          </c:dLbls>
          <c:cat>
            <c:numRef>
              <c:f>'Annual stat. report'!$C$131:$E$131</c:f>
              <c:numCache>
                <c:formatCode>General</c:formatCode>
                <c:ptCount val="3"/>
                <c:pt idx="0">
                  <c:v>2012</c:v>
                </c:pt>
                <c:pt idx="1">
                  <c:v>2013</c:v>
                </c:pt>
                <c:pt idx="2">
                  <c:v>2014</c:v>
                </c:pt>
              </c:numCache>
            </c:numRef>
          </c:cat>
          <c:val>
            <c:numRef>
              <c:f>'Annual stat. report'!$C$134:$E$134</c:f>
              <c:numCache>
                <c:formatCode>General</c:formatCode>
                <c:ptCount val="3"/>
                <c:pt idx="0">
                  <c:v>45</c:v>
                </c:pt>
                <c:pt idx="1">
                  <c:v>53</c:v>
                </c:pt>
                <c:pt idx="2">
                  <c:v>32</c:v>
                </c:pt>
              </c:numCache>
            </c:numRef>
          </c:val>
        </c:ser>
        <c:ser>
          <c:idx val="3"/>
          <c:order val="3"/>
          <c:tx>
            <c:strRef>
              <c:f>'Annual stat. report'!$B$135</c:f>
              <c:strCache>
                <c:ptCount val="1"/>
                <c:pt idx="0">
                  <c:v>Certain Countries in Europe &amp; Asia</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7.0735685854578364E-3"/>
                  <c:y val="8.3333333333333329E-2"/>
                </c:manualLayout>
              </c:layout>
              <c:showLegendKey val="0"/>
              <c:showVal val="1"/>
              <c:showCatName val="0"/>
              <c:showSerName val="0"/>
              <c:showPercent val="0"/>
              <c:showBubbleSize val="0"/>
            </c:dLbl>
            <c:dLbl>
              <c:idx val="1"/>
              <c:layout>
                <c:manualLayout>
                  <c:x val="4.4643054341808744E-3"/>
                  <c:y val="7.9710144927536225E-2"/>
                </c:manualLayout>
              </c:layout>
              <c:showLegendKey val="0"/>
              <c:showVal val="1"/>
              <c:showCatName val="0"/>
              <c:showSerName val="0"/>
              <c:showPercent val="0"/>
              <c:showBubbleSize val="0"/>
            </c:dLbl>
            <c:dLbl>
              <c:idx val="2"/>
              <c:layout>
                <c:manualLayout>
                  <c:x val="4.4643054341808744E-3"/>
                  <c:y val="7.9710144927536225E-2"/>
                </c:manualLayout>
              </c:layout>
              <c:showLegendKey val="0"/>
              <c:showVal val="1"/>
              <c:showCatName val="0"/>
              <c:showSerName val="0"/>
              <c:showPercent val="0"/>
              <c:showBubbleSize val="0"/>
            </c:dLbl>
            <c:txPr>
              <a:bodyPr/>
              <a:lstStyle/>
              <a:p>
                <a:pPr>
                  <a:defRPr>
                    <a:solidFill>
                      <a:schemeClr val="bg1"/>
                    </a:solidFill>
                  </a:defRPr>
                </a:pPr>
                <a:endParaRPr lang="en-US"/>
              </a:p>
            </c:txPr>
            <c:showLegendKey val="0"/>
            <c:showVal val="1"/>
            <c:showCatName val="0"/>
            <c:showSerName val="0"/>
            <c:showPercent val="0"/>
            <c:showBubbleSize val="0"/>
            <c:showLeaderLines val="0"/>
          </c:dLbls>
          <c:cat>
            <c:numRef>
              <c:f>'Annual stat. report'!$C$131:$E$131</c:f>
              <c:numCache>
                <c:formatCode>General</c:formatCode>
                <c:ptCount val="3"/>
                <c:pt idx="0">
                  <c:v>2012</c:v>
                </c:pt>
                <c:pt idx="1">
                  <c:v>2013</c:v>
                </c:pt>
                <c:pt idx="2">
                  <c:v>2014</c:v>
                </c:pt>
              </c:numCache>
            </c:numRef>
          </c:cat>
          <c:val>
            <c:numRef>
              <c:f>'Annual stat. report'!$C$135:$E$135</c:f>
              <c:numCache>
                <c:formatCode>General</c:formatCode>
                <c:ptCount val="3"/>
                <c:pt idx="0">
                  <c:v>25</c:v>
                </c:pt>
                <c:pt idx="1">
                  <c:v>30</c:v>
                </c:pt>
                <c:pt idx="2">
                  <c:v>27</c:v>
                </c:pt>
              </c:numCache>
            </c:numRef>
          </c:val>
        </c:ser>
        <c:ser>
          <c:idx val="4"/>
          <c:order val="4"/>
          <c:tx>
            <c:strRef>
              <c:f>'Annual stat. report'!$B$136</c:f>
              <c:strCache>
                <c:ptCount val="1"/>
                <c:pt idx="0">
                  <c:v>Arab</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5.9524072455744998E-3"/>
                  <c:y val="7.6086956521739135E-2"/>
                </c:manualLayout>
              </c:layout>
              <c:showLegendKey val="0"/>
              <c:showVal val="1"/>
              <c:showCatName val="0"/>
              <c:showSerName val="0"/>
              <c:showPercent val="0"/>
              <c:showBubbleSize val="0"/>
            </c:dLbl>
            <c:dLbl>
              <c:idx val="1"/>
              <c:layout>
                <c:manualLayout>
                  <c:x val="5.9524072455744998E-3"/>
                  <c:y val="7.9709859637110581E-2"/>
                </c:manualLayout>
              </c:layout>
              <c:showLegendKey val="0"/>
              <c:showVal val="1"/>
              <c:showCatName val="0"/>
              <c:showSerName val="0"/>
              <c:showPercent val="0"/>
              <c:showBubbleSize val="0"/>
            </c:dLbl>
            <c:dLbl>
              <c:idx val="2"/>
              <c:layout>
                <c:manualLayout>
                  <c:x val="5.9523816498384952E-3"/>
                  <c:y val="7.6086956521739135E-2"/>
                </c:manualLayout>
              </c:layout>
              <c:showLegendKey val="0"/>
              <c:showVal val="1"/>
              <c:showCatName val="0"/>
              <c:showSerName val="0"/>
              <c:showPercent val="0"/>
              <c:showBubbleSize val="0"/>
            </c:dLbl>
            <c:txPr>
              <a:bodyPr/>
              <a:lstStyle/>
              <a:p>
                <a:pPr>
                  <a:defRPr>
                    <a:solidFill>
                      <a:schemeClr val="bg1"/>
                    </a:solidFill>
                  </a:defRPr>
                </a:pPr>
                <a:endParaRPr lang="en-US"/>
              </a:p>
            </c:txPr>
            <c:showLegendKey val="0"/>
            <c:showVal val="1"/>
            <c:showCatName val="0"/>
            <c:showSerName val="0"/>
            <c:showPercent val="0"/>
            <c:showBubbleSize val="0"/>
            <c:showLeaderLines val="0"/>
          </c:dLbls>
          <c:cat>
            <c:numRef>
              <c:f>'Annual stat. report'!$C$131:$E$131</c:f>
              <c:numCache>
                <c:formatCode>General</c:formatCode>
                <c:ptCount val="3"/>
                <c:pt idx="0">
                  <c:v>2012</c:v>
                </c:pt>
                <c:pt idx="1">
                  <c:v>2013</c:v>
                </c:pt>
                <c:pt idx="2">
                  <c:v>2014</c:v>
                </c:pt>
              </c:numCache>
            </c:numRef>
          </c:cat>
          <c:val>
            <c:numRef>
              <c:f>'Annual stat. report'!$C$136:$E$136</c:f>
              <c:numCache>
                <c:formatCode>General</c:formatCode>
                <c:ptCount val="3"/>
                <c:pt idx="0">
                  <c:v>30</c:v>
                </c:pt>
                <c:pt idx="1">
                  <c:v>35</c:v>
                </c:pt>
                <c:pt idx="2">
                  <c:v>25</c:v>
                </c:pt>
              </c:numCache>
            </c:numRef>
          </c:val>
        </c:ser>
        <c:ser>
          <c:idx val="5"/>
          <c:order val="5"/>
          <c:tx>
            <c:strRef>
              <c:f>'Annual stat. report'!$B$137</c:f>
              <c:strCache>
                <c:ptCount val="1"/>
                <c:pt idx="0">
                  <c:v>Not classified</c:v>
                </c:pt>
              </c:strCache>
            </c:strRef>
          </c:tx>
          <c:invertIfNegative val="0"/>
          <c:dLbls>
            <c:dLbl>
              <c:idx val="0"/>
              <c:layout>
                <c:manualLayout>
                  <c:x val="5.0696547546941638E-3"/>
                  <c:y val="3.9866682843623651E-2"/>
                </c:manualLayout>
              </c:layout>
              <c:spPr/>
              <c:txPr>
                <a:bodyPr/>
                <a:lstStyle/>
                <a:p>
                  <a:pPr>
                    <a:defRPr sz="800" baseline="0">
                      <a:solidFill>
                        <a:schemeClr val="bg1"/>
                      </a:solidFill>
                    </a:defRPr>
                  </a:pPr>
                  <a:endParaRPr lang="en-US"/>
                </a:p>
              </c:txPr>
              <c:showLegendKey val="0"/>
              <c:showVal val="1"/>
              <c:showCatName val="0"/>
              <c:showSerName val="0"/>
              <c:showPercent val="0"/>
              <c:showBubbleSize val="0"/>
            </c:dLbl>
            <c:dLbl>
              <c:idx val="1"/>
              <c:layout>
                <c:manualLayout>
                  <c:x val="5.0696547546941247E-3"/>
                  <c:y val="4.2286089482361171E-2"/>
                </c:manualLayout>
              </c:layout>
              <c:spPr/>
              <c:txPr>
                <a:bodyPr/>
                <a:lstStyle/>
                <a:p>
                  <a:pPr>
                    <a:defRPr sz="800" baseline="0">
                      <a:solidFill>
                        <a:schemeClr val="bg1"/>
                      </a:solidFill>
                    </a:defRPr>
                  </a:pPr>
                  <a:endParaRPr lang="en-US"/>
                </a:p>
              </c:txPr>
              <c:showLegendKey val="0"/>
              <c:showVal val="1"/>
              <c:showCatName val="0"/>
              <c:showSerName val="0"/>
              <c:showPercent val="0"/>
              <c:showBubbleSize val="0"/>
            </c:dLbl>
            <c:dLbl>
              <c:idx val="2"/>
              <c:layout>
                <c:manualLayout>
                  <c:x val="7.6044821320411871E-3"/>
                  <c:y val="4.9532414577341317E-2"/>
                </c:manualLayout>
              </c:layout>
              <c:spPr/>
              <c:txPr>
                <a:bodyPr/>
                <a:lstStyle/>
                <a:p>
                  <a:pPr>
                    <a:defRPr sz="800" baseline="0">
                      <a:solidFill>
                        <a:schemeClr val="bg1"/>
                      </a:solidFill>
                    </a:defRPr>
                  </a:pPr>
                  <a:endParaRPr lang="en-US"/>
                </a:p>
              </c:txPr>
              <c:showLegendKey val="0"/>
              <c:showVal val="1"/>
              <c:showCatName val="0"/>
              <c:showSerName val="0"/>
              <c:showPercent val="0"/>
              <c:showBubbleSize val="0"/>
            </c:dLbl>
            <c:txPr>
              <a:bodyPr/>
              <a:lstStyle/>
              <a:p>
                <a:pPr>
                  <a:defRPr baseline="0">
                    <a:solidFill>
                      <a:schemeClr val="bg1"/>
                    </a:solidFill>
                  </a:defRPr>
                </a:pPr>
                <a:endParaRPr lang="en-US"/>
              </a:p>
            </c:txPr>
            <c:showLegendKey val="0"/>
            <c:showVal val="1"/>
            <c:showCatName val="0"/>
            <c:showSerName val="0"/>
            <c:showPercent val="0"/>
            <c:showBubbleSize val="0"/>
            <c:showLeaderLines val="0"/>
          </c:dLbls>
          <c:cat>
            <c:numRef>
              <c:f>'Annual stat. report'!$C$131:$E$131</c:f>
              <c:numCache>
                <c:formatCode>General</c:formatCode>
                <c:ptCount val="3"/>
                <c:pt idx="0">
                  <c:v>2012</c:v>
                </c:pt>
                <c:pt idx="1">
                  <c:v>2013</c:v>
                </c:pt>
                <c:pt idx="2">
                  <c:v>2014</c:v>
                </c:pt>
              </c:numCache>
            </c:numRef>
          </c:cat>
          <c:val>
            <c:numRef>
              <c:f>'Annual stat. report'!$C$137:$E$137</c:f>
              <c:numCache>
                <c:formatCode>General</c:formatCode>
                <c:ptCount val="3"/>
                <c:pt idx="0">
                  <c:v>0</c:v>
                </c:pt>
                <c:pt idx="1">
                  <c:v>0</c:v>
                </c:pt>
                <c:pt idx="2">
                  <c:v>1</c:v>
                </c:pt>
              </c:numCache>
            </c:numRef>
          </c:val>
        </c:ser>
        <c:dLbls>
          <c:showLegendKey val="0"/>
          <c:showVal val="0"/>
          <c:showCatName val="0"/>
          <c:showSerName val="0"/>
          <c:showPercent val="0"/>
          <c:showBubbleSize val="0"/>
        </c:dLbls>
        <c:gapWidth val="80"/>
        <c:shape val="cylinder"/>
        <c:axId val="98480896"/>
        <c:axId val="106386176"/>
        <c:axId val="0"/>
      </c:bar3DChart>
      <c:catAx>
        <c:axId val="98480896"/>
        <c:scaling>
          <c:orientation val="minMax"/>
        </c:scaling>
        <c:delete val="0"/>
        <c:axPos val="b"/>
        <c:numFmt formatCode="General" sourceLinked="1"/>
        <c:majorTickMark val="out"/>
        <c:minorTickMark val="none"/>
        <c:tickLblPos val="nextTo"/>
        <c:crossAx val="106386176"/>
        <c:crosses val="autoZero"/>
        <c:auto val="1"/>
        <c:lblAlgn val="ctr"/>
        <c:lblOffset val="100"/>
        <c:noMultiLvlLbl val="0"/>
      </c:catAx>
      <c:valAx>
        <c:axId val="106386176"/>
        <c:scaling>
          <c:orientation val="minMax"/>
          <c:max val="80"/>
        </c:scaling>
        <c:delete val="0"/>
        <c:axPos val="l"/>
        <c:majorGridlines/>
        <c:numFmt formatCode="General" sourceLinked="0"/>
        <c:majorTickMark val="out"/>
        <c:minorTickMark val="none"/>
        <c:tickLblPos val="nextTo"/>
        <c:crossAx val="98480896"/>
        <c:crosses val="autoZero"/>
        <c:crossBetween val="between"/>
        <c:majorUnit val="10"/>
      </c:valAx>
    </c:plotArea>
    <c:legend>
      <c:legendPos val="l"/>
      <c:layout>
        <c:manualLayout>
          <c:xMode val="edge"/>
          <c:yMode val="edge"/>
          <c:x val="0.79502035803216908"/>
          <c:y val="0.11259746260323816"/>
          <c:w val="0.20179498941574045"/>
          <c:h val="0.69873033902547022"/>
        </c:manualLayout>
      </c:layout>
      <c:overlay val="0"/>
      <c:txPr>
        <a:bodyPr/>
        <a:lstStyle/>
        <a:p>
          <a:pPr>
            <a:defRPr sz="800" baseline="0"/>
          </a:pPr>
          <a:endParaRPr lang="en-US"/>
        </a:p>
      </c:txPr>
    </c:legend>
    <c:plotVisOnly val="1"/>
    <c:dispBlanksAs val="zero"/>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15"/>
      <c:rotY val="20"/>
      <c:rAngAx val="1"/>
    </c:view3D>
    <c:floor>
      <c:thickness val="0"/>
    </c:floor>
    <c:sideWall>
      <c:thickness val="0"/>
      <c:spPr>
        <a:solidFill>
          <a:schemeClr val="bg1">
            <a:lumMod val="95000"/>
          </a:schemeClr>
        </a:solidFill>
      </c:spPr>
    </c:sideWall>
    <c:backWall>
      <c:thickness val="0"/>
      <c:spPr>
        <a:solidFill>
          <a:schemeClr val="bg1">
            <a:lumMod val="95000"/>
          </a:schemeClr>
        </a:solidFill>
        <a:scene3d>
          <a:camera prst="orthographicFront"/>
          <a:lightRig rig="threePt" dir="t"/>
        </a:scene3d>
        <a:sp3d/>
      </c:spPr>
    </c:backWall>
    <c:plotArea>
      <c:layout>
        <c:manualLayout>
          <c:layoutTarget val="inner"/>
          <c:xMode val="edge"/>
          <c:yMode val="edge"/>
          <c:x val="5.6948356879025691E-2"/>
          <c:y val="5.1332591578226623E-2"/>
          <c:w val="0.74526793394523161"/>
          <c:h val="0.86080223667693712"/>
        </c:manualLayout>
      </c:layout>
      <c:bar3DChart>
        <c:barDir val="col"/>
        <c:grouping val="clustered"/>
        <c:varyColors val="0"/>
        <c:ser>
          <c:idx val="0"/>
          <c:order val="0"/>
          <c:tx>
            <c:strRef>
              <c:f>'[Chart 2 in Microsoft Word]Annual stat. report'!$B$787</c:f>
              <c:strCache>
                <c:ptCount val="1"/>
                <c:pt idx="0">
                  <c:v>Latin-America &amp; Caribbean Countries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dPt>
          <c:dPt>
            <c:idx val="1"/>
            <c:invertIfNegative val="0"/>
            <c:bubble3D val="0"/>
          </c:dPt>
          <c:dPt>
            <c:idx val="2"/>
            <c:invertIfNegative val="0"/>
            <c:bubble3D val="0"/>
          </c:dPt>
          <c:dPt>
            <c:idx val="3"/>
            <c:invertIfNegative val="0"/>
            <c:bubble3D val="0"/>
          </c:dPt>
          <c:dPt>
            <c:idx val="4"/>
            <c:invertIfNegative val="0"/>
            <c:bubble3D val="0"/>
          </c:dPt>
          <c:dPt>
            <c:idx val="5"/>
            <c:invertIfNegative val="0"/>
            <c:bubble3D val="0"/>
          </c:dPt>
          <c:dLbls>
            <c:dLbl>
              <c:idx val="0"/>
              <c:layout>
                <c:manualLayout>
                  <c:x val="5.7688342829236364E-3"/>
                  <c:y val="6.866398493666552E-2"/>
                </c:manualLayout>
              </c:layout>
              <c:showLegendKey val="0"/>
              <c:showVal val="1"/>
              <c:showCatName val="0"/>
              <c:showSerName val="0"/>
              <c:showPercent val="0"/>
              <c:showBubbleSize val="0"/>
              <c:separator>, </c:separator>
            </c:dLbl>
            <c:dLbl>
              <c:idx val="1"/>
              <c:layout>
                <c:manualLayout>
                  <c:x val="7.8818527322049459E-3"/>
                  <c:y val="5.2019621873031989E-2"/>
                </c:manualLayout>
              </c:layout>
              <c:showLegendKey val="0"/>
              <c:showVal val="1"/>
              <c:showCatName val="0"/>
              <c:showSerName val="0"/>
              <c:showPercent val="0"/>
              <c:showBubbleSize val="0"/>
              <c:separator>, </c:separator>
            </c:dLbl>
            <c:dLbl>
              <c:idx val="2"/>
              <c:layout>
                <c:manualLayout>
                  <c:x val="7.2570388212129808E-3"/>
                  <c:y val="7.6086956521739135E-2"/>
                </c:manualLayout>
              </c:layout>
              <c:showLegendKey val="0"/>
              <c:showVal val="1"/>
              <c:showCatName val="0"/>
              <c:showSerName val="0"/>
              <c:showPercent val="0"/>
              <c:showBubbleSize val="0"/>
              <c:separator>, </c:separator>
            </c:dLbl>
            <c:numFmt formatCode="General" sourceLinked="0"/>
            <c:txPr>
              <a:bodyPr/>
              <a:lstStyle/>
              <a:p>
                <a:pPr>
                  <a:defRPr sz="600" baseline="0">
                    <a:solidFill>
                      <a:schemeClr val="bg1"/>
                    </a:solidFill>
                  </a:defRPr>
                </a:pPr>
                <a:endParaRPr lang="en-US"/>
              </a:p>
            </c:txPr>
            <c:showLegendKey val="0"/>
            <c:showVal val="1"/>
            <c:showCatName val="0"/>
            <c:showSerName val="0"/>
            <c:showPercent val="0"/>
            <c:showBubbleSize val="0"/>
            <c:separator>, </c:separator>
            <c:showLeaderLines val="0"/>
          </c:dLbls>
          <c:cat>
            <c:numRef>
              <c:f>'[Chart 2 in Microsoft Word]Annual stat. report'!$C$786:$E$786</c:f>
              <c:numCache>
                <c:formatCode>General</c:formatCode>
                <c:ptCount val="3"/>
                <c:pt idx="0">
                  <c:v>2012</c:v>
                </c:pt>
                <c:pt idx="1">
                  <c:v>2013</c:v>
                </c:pt>
                <c:pt idx="2">
                  <c:v>2014</c:v>
                </c:pt>
              </c:numCache>
            </c:numRef>
          </c:cat>
          <c:val>
            <c:numRef>
              <c:f>'[Chart 2 in Microsoft Word]Annual stat. report'!$C$787:$E$787</c:f>
              <c:numCache>
                <c:formatCode>General</c:formatCode>
                <c:ptCount val="3"/>
                <c:pt idx="0">
                  <c:v>20007</c:v>
                </c:pt>
                <c:pt idx="1">
                  <c:v>19641</c:v>
                </c:pt>
                <c:pt idx="2">
                  <c:v>16552</c:v>
                </c:pt>
              </c:numCache>
            </c:numRef>
          </c:val>
        </c:ser>
        <c:ser>
          <c:idx val="1"/>
          <c:order val="1"/>
          <c:tx>
            <c:strRef>
              <c:f>'[Chart 2 in Microsoft Word]Annual stat. report'!$B$788</c:f>
              <c:strCache>
                <c:ptCount val="1"/>
                <c:pt idx="0">
                  <c:v>Africa</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4.4643054341808744E-3"/>
                  <c:y val="5.0724637681159424E-2"/>
                </c:manualLayout>
              </c:layout>
              <c:showLegendKey val="0"/>
              <c:showVal val="1"/>
              <c:showCatName val="0"/>
              <c:showSerName val="0"/>
              <c:showPercent val="0"/>
              <c:showBubbleSize val="0"/>
            </c:dLbl>
            <c:dLbl>
              <c:idx val="1"/>
              <c:layout>
                <c:manualLayout>
                  <c:x val="5.9523816498384952E-3"/>
                  <c:y val="7.2463768115942032E-2"/>
                </c:manualLayout>
              </c:layout>
              <c:showLegendKey val="0"/>
              <c:showVal val="1"/>
              <c:showCatName val="0"/>
              <c:showSerName val="0"/>
              <c:showPercent val="0"/>
              <c:showBubbleSize val="0"/>
            </c:dLbl>
            <c:dLbl>
              <c:idx val="2"/>
              <c:layout>
                <c:manualLayout>
                  <c:x val="5.7689370098193554E-3"/>
                  <c:y val="6.8840009129293625E-2"/>
                </c:manualLayout>
              </c:layout>
              <c:showLegendKey val="0"/>
              <c:showVal val="1"/>
              <c:showCatName val="0"/>
              <c:showSerName val="0"/>
              <c:showPercent val="0"/>
              <c:showBubbleSize val="0"/>
            </c:dLbl>
            <c:txPr>
              <a:bodyPr/>
              <a:lstStyle/>
              <a:p>
                <a:pPr>
                  <a:defRPr sz="600" baseline="0">
                    <a:solidFill>
                      <a:schemeClr val="bg1"/>
                    </a:solidFill>
                  </a:defRPr>
                </a:pPr>
                <a:endParaRPr lang="en-US"/>
              </a:p>
            </c:txPr>
            <c:showLegendKey val="0"/>
            <c:showVal val="1"/>
            <c:showCatName val="0"/>
            <c:showSerName val="0"/>
            <c:showPercent val="0"/>
            <c:showBubbleSize val="0"/>
            <c:showLeaderLines val="0"/>
          </c:dLbls>
          <c:cat>
            <c:numRef>
              <c:f>'[Chart 2 in Microsoft Word]Annual stat. report'!$C$786:$E$786</c:f>
              <c:numCache>
                <c:formatCode>General</c:formatCode>
                <c:ptCount val="3"/>
                <c:pt idx="0">
                  <c:v>2012</c:v>
                </c:pt>
                <c:pt idx="1">
                  <c:v>2013</c:v>
                </c:pt>
                <c:pt idx="2">
                  <c:v>2014</c:v>
                </c:pt>
              </c:numCache>
            </c:numRef>
          </c:cat>
          <c:val>
            <c:numRef>
              <c:f>'[Chart 2 in Microsoft Word]Annual stat. report'!$C$788:$E$788</c:f>
              <c:numCache>
                <c:formatCode>General</c:formatCode>
                <c:ptCount val="3"/>
                <c:pt idx="0">
                  <c:v>1600</c:v>
                </c:pt>
                <c:pt idx="1">
                  <c:v>2210</c:v>
                </c:pt>
                <c:pt idx="2">
                  <c:v>1917</c:v>
                </c:pt>
              </c:numCache>
            </c:numRef>
          </c:val>
        </c:ser>
        <c:ser>
          <c:idx val="2"/>
          <c:order val="2"/>
          <c:tx>
            <c:strRef>
              <c:f>'[Chart 2 in Microsoft Word]Annual stat. report'!$B$789</c:f>
              <c:strCache>
                <c:ptCount val="1"/>
                <c:pt idx="0">
                  <c:v>Asia &amp; Pacific</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5.9523816498384952E-3"/>
                  <c:y val="7.6086956521739135E-2"/>
                </c:manualLayout>
              </c:layout>
              <c:showLegendKey val="0"/>
              <c:showVal val="1"/>
              <c:showCatName val="0"/>
              <c:showSerName val="0"/>
              <c:showPercent val="0"/>
              <c:showBubbleSize val="0"/>
            </c:dLbl>
            <c:dLbl>
              <c:idx val="1"/>
              <c:layout>
                <c:manualLayout>
                  <c:x val="7.0734658585621174E-3"/>
                  <c:y val="7.2463768115942032E-2"/>
                </c:manualLayout>
              </c:layout>
              <c:showLegendKey val="0"/>
              <c:showVal val="1"/>
              <c:showCatName val="0"/>
              <c:showSerName val="0"/>
              <c:showPercent val="0"/>
              <c:showBubbleSize val="0"/>
            </c:dLbl>
            <c:dLbl>
              <c:idx val="2"/>
              <c:layout>
                <c:manualLayout>
                  <c:x val="7.2570388212129808E-3"/>
                  <c:y val="7.2463482825516373E-2"/>
                </c:manualLayout>
              </c:layout>
              <c:showLegendKey val="0"/>
              <c:showVal val="1"/>
              <c:showCatName val="0"/>
              <c:showSerName val="0"/>
              <c:showPercent val="0"/>
              <c:showBubbleSize val="0"/>
            </c:dLbl>
            <c:txPr>
              <a:bodyPr/>
              <a:lstStyle/>
              <a:p>
                <a:pPr>
                  <a:defRPr sz="600" baseline="0">
                    <a:solidFill>
                      <a:schemeClr val="tx2"/>
                    </a:solidFill>
                  </a:defRPr>
                </a:pPr>
                <a:endParaRPr lang="en-US"/>
              </a:p>
            </c:txPr>
            <c:showLegendKey val="0"/>
            <c:showVal val="1"/>
            <c:showCatName val="0"/>
            <c:showSerName val="0"/>
            <c:showPercent val="0"/>
            <c:showBubbleSize val="0"/>
            <c:showLeaderLines val="0"/>
          </c:dLbls>
          <c:cat>
            <c:numRef>
              <c:f>'[Chart 2 in Microsoft Word]Annual stat. report'!$C$786:$E$786</c:f>
              <c:numCache>
                <c:formatCode>General</c:formatCode>
                <c:ptCount val="3"/>
                <c:pt idx="0">
                  <c:v>2012</c:v>
                </c:pt>
                <c:pt idx="1">
                  <c:v>2013</c:v>
                </c:pt>
                <c:pt idx="2">
                  <c:v>2014</c:v>
                </c:pt>
              </c:numCache>
            </c:numRef>
          </c:cat>
          <c:val>
            <c:numRef>
              <c:f>'[Chart 2 in Microsoft Word]Annual stat. report'!$C$789:$E$789</c:f>
              <c:numCache>
                <c:formatCode>General</c:formatCode>
                <c:ptCount val="3"/>
                <c:pt idx="0">
                  <c:v>13056</c:v>
                </c:pt>
                <c:pt idx="1">
                  <c:v>10687</c:v>
                </c:pt>
                <c:pt idx="2">
                  <c:v>9367</c:v>
                </c:pt>
              </c:numCache>
            </c:numRef>
          </c:val>
        </c:ser>
        <c:ser>
          <c:idx val="3"/>
          <c:order val="3"/>
          <c:tx>
            <c:strRef>
              <c:f>'[Chart 2 in Microsoft Word]Annual stat. report'!$B$790</c:f>
              <c:strCache>
                <c:ptCount val="1"/>
                <c:pt idx="0">
                  <c:v>Certain Countries in Europe &amp; Asia</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7.0734658585620931E-3"/>
                  <c:y val="7.6086956521739149E-2"/>
                </c:manualLayout>
              </c:layout>
              <c:showLegendKey val="0"/>
              <c:showVal val="1"/>
              <c:showCatName val="0"/>
              <c:showSerName val="0"/>
              <c:showPercent val="0"/>
              <c:showBubbleSize val="0"/>
            </c:dLbl>
            <c:dLbl>
              <c:idx val="1"/>
              <c:layout>
                <c:manualLayout>
                  <c:x val="7.0735685854578364E-3"/>
                  <c:y val="6.8840579710144928E-2"/>
                </c:manualLayout>
              </c:layout>
              <c:showLegendKey val="0"/>
              <c:showVal val="1"/>
              <c:showCatName val="0"/>
              <c:showSerName val="0"/>
              <c:showPercent val="0"/>
              <c:showBubbleSize val="0"/>
            </c:dLbl>
            <c:dLbl>
              <c:idx val="2"/>
              <c:layout>
                <c:manualLayout>
                  <c:x val="5.7689370098193554E-3"/>
                  <c:y val="6.5217391304347824E-2"/>
                </c:manualLayout>
              </c:layout>
              <c:showLegendKey val="0"/>
              <c:showVal val="1"/>
              <c:showCatName val="0"/>
              <c:showSerName val="0"/>
              <c:showPercent val="0"/>
              <c:showBubbleSize val="0"/>
            </c:dLbl>
            <c:txPr>
              <a:bodyPr/>
              <a:lstStyle/>
              <a:p>
                <a:pPr>
                  <a:defRPr sz="600" baseline="0">
                    <a:solidFill>
                      <a:schemeClr val="bg1"/>
                    </a:solidFill>
                  </a:defRPr>
                </a:pPr>
                <a:endParaRPr lang="en-US"/>
              </a:p>
            </c:txPr>
            <c:showLegendKey val="0"/>
            <c:showVal val="1"/>
            <c:showCatName val="0"/>
            <c:showSerName val="0"/>
            <c:showPercent val="0"/>
            <c:showBubbleSize val="0"/>
            <c:showLeaderLines val="0"/>
          </c:dLbls>
          <c:cat>
            <c:numRef>
              <c:f>'[Chart 2 in Microsoft Word]Annual stat. report'!$C$786:$E$786</c:f>
              <c:numCache>
                <c:formatCode>General</c:formatCode>
                <c:ptCount val="3"/>
                <c:pt idx="0">
                  <c:v>2012</c:v>
                </c:pt>
                <c:pt idx="1">
                  <c:v>2013</c:v>
                </c:pt>
                <c:pt idx="2">
                  <c:v>2014</c:v>
                </c:pt>
              </c:numCache>
            </c:numRef>
          </c:cat>
          <c:val>
            <c:numRef>
              <c:f>'[Chart 2 in Microsoft Word]Annual stat. report'!$C$790:$E$790</c:f>
              <c:numCache>
                <c:formatCode>General</c:formatCode>
                <c:ptCount val="3"/>
                <c:pt idx="0">
                  <c:v>2937</c:v>
                </c:pt>
                <c:pt idx="1">
                  <c:v>3849</c:v>
                </c:pt>
                <c:pt idx="2">
                  <c:v>3083</c:v>
                </c:pt>
              </c:numCache>
            </c:numRef>
          </c:val>
        </c:ser>
        <c:ser>
          <c:idx val="4"/>
          <c:order val="4"/>
          <c:tx>
            <c:strRef>
              <c:f>'[Chart 2 in Microsoft Word]Annual stat. report'!$B$764</c:f>
              <c:strCache>
                <c:ptCount val="1"/>
                <c:pt idx="0">
                  <c:v>Arab</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3.3431697408733497E-3"/>
                  <c:y val="7.8482526224251323E-2"/>
                </c:manualLayout>
              </c:layout>
              <c:showLegendKey val="0"/>
              <c:showVal val="1"/>
              <c:showCatName val="0"/>
              <c:showSerName val="0"/>
              <c:showPercent val="0"/>
              <c:showBubbleSize val="0"/>
            </c:dLbl>
            <c:dLbl>
              <c:idx val="1"/>
              <c:layout>
                <c:manualLayout>
                  <c:x val="3.9841557434809969E-3"/>
                  <c:y val="8.8137961283240918E-2"/>
                </c:manualLayout>
              </c:layout>
              <c:showLegendKey val="0"/>
              <c:showVal val="1"/>
              <c:showCatName val="0"/>
              <c:showSerName val="0"/>
              <c:showPercent val="0"/>
              <c:showBubbleSize val="0"/>
            </c:dLbl>
            <c:dLbl>
              <c:idx val="2"/>
              <c:layout>
                <c:manualLayout>
                  <c:x val="4.647768427998876E-3"/>
                  <c:y val="9.297518069733951E-2"/>
                </c:manualLayout>
              </c:layout>
              <c:showLegendKey val="0"/>
              <c:showVal val="1"/>
              <c:showCatName val="0"/>
              <c:showSerName val="0"/>
              <c:showPercent val="0"/>
              <c:showBubbleSize val="0"/>
            </c:dLbl>
            <c:txPr>
              <a:bodyPr/>
              <a:lstStyle/>
              <a:p>
                <a:pPr>
                  <a:defRPr sz="600" baseline="0">
                    <a:solidFill>
                      <a:schemeClr val="bg1"/>
                    </a:solidFill>
                  </a:defRPr>
                </a:pPr>
                <a:endParaRPr lang="en-US"/>
              </a:p>
            </c:txPr>
            <c:showLegendKey val="0"/>
            <c:showVal val="1"/>
            <c:showCatName val="0"/>
            <c:showSerName val="0"/>
            <c:showPercent val="0"/>
            <c:showBubbleSize val="0"/>
            <c:showLeaderLines val="0"/>
          </c:dLbls>
          <c:cat>
            <c:numRef>
              <c:f>'[Chart 2 in Microsoft Word]Annual stat. report'!$C$786:$E$786</c:f>
              <c:numCache>
                <c:formatCode>General</c:formatCode>
                <c:ptCount val="3"/>
                <c:pt idx="0">
                  <c:v>2012</c:v>
                </c:pt>
                <c:pt idx="1">
                  <c:v>2013</c:v>
                </c:pt>
                <c:pt idx="2">
                  <c:v>2014</c:v>
                </c:pt>
              </c:numCache>
            </c:numRef>
          </c:cat>
          <c:val>
            <c:numRef>
              <c:f>'[Chart 2 in Microsoft Word]Annual stat. report'!$C$791:$E$791</c:f>
              <c:numCache>
                <c:formatCode>General</c:formatCode>
                <c:ptCount val="3"/>
                <c:pt idx="0">
                  <c:v>1264</c:v>
                </c:pt>
                <c:pt idx="1">
                  <c:v>1677</c:v>
                </c:pt>
                <c:pt idx="2">
                  <c:v>1829</c:v>
                </c:pt>
              </c:numCache>
            </c:numRef>
          </c:val>
        </c:ser>
        <c:ser>
          <c:idx val="5"/>
          <c:order val="5"/>
          <c:tx>
            <c:strRef>
              <c:f>'[Chart 2 in Microsoft Word]Annual stat. report'!$B$792</c:f>
              <c:strCache>
                <c:ptCount val="1"/>
                <c:pt idx="0">
                  <c:v>Other developed countries</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7.827789453830886E-3"/>
                  <c:y val="6.1594202898550728E-2"/>
                </c:manualLayout>
              </c:layout>
              <c:showLegendKey val="0"/>
              <c:showVal val="1"/>
              <c:showCatName val="0"/>
              <c:showSerName val="0"/>
              <c:showPercent val="0"/>
              <c:showBubbleSize val="0"/>
            </c:dLbl>
            <c:dLbl>
              <c:idx val="1"/>
              <c:layout>
                <c:manualLayout>
                  <c:x val="6.523157878192405E-3"/>
                  <c:y val="6.5217391304347824E-2"/>
                </c:manualLayout>
              </c:layout>
              <c:showLegendKey val="0"/>
              <c:showVal val="1"/>
              <c:showCatName val="0"/>
              <c:showSerName val="0"/>
              <c:showPercent val="0"/>
              <c:showBubbleSize val="0"/>
            </c:dLbl>
            <c:dLbl>
              <c:idx val="2"/>
              <c:layout>
                <c:manualLayout>
                  <c:x val="3.8913243567397057E-3"/>
                  <c:y val="6.8840393803707031E-2"/>
                </c:manualLayout>
              </c:layout>
              <c:showLegendKey val="0"/>
              <c:showVal val="1"/>
              <c:showCatName val="0"/>
              <c:showSerName val="0"/>
              <c:showPercent val="0"/>
              <c:showBubbleSize val="0"/>
            </c:dLbl>
            <c:txPr>
              <a:bodyPr/>
              <a:lstStyle/>
              <a:p>
                <a:pPr>
                  <a:defRPr sz="600" baseline="0">
                    <a:solidFill>
                      <a:schemeClr val="bg1"/>
                    </a:solidFill>
                  </a:defRPr>
                </a:pPr>
                <a:endParaRPr lang="en-US"/>
              </a:p>
            </c:txPr>
            <c:showLegendKey val="0"/>
            <c:showVal val="1"/>
            <c:showCatName val="0"/>
            <c:showSerName val="0"/>
            <c:showPercent val="0"/>
            <c:showBubbleSize val="0"/>
            <c:showLeaderLines val="0"/>
          </c:dLbls>
          <c:cat>
            <c:numRef>
              <c:f>'[Chart 2 in Microsoft Word]Annual stat. report'!$C$786:$E$786</c:f>
              <c:numCache>
                <c:formatCode>General</c:formatCode>
                <c:ptCount val="3"/>
                <c:pt idx="0">
                  <c:v>2012</c:v>
                </c:pt>
                <c:pt idx="1">
                  <c:v>2013</c:v>
                </c:pt>
                <c:pt idx="2">
                  <c:v>2014</c:v>
                </c:pt>
              </c:numCache>
            </c:numRef>
          </c:cat>
          <c:val>
            <c:numRef>
              <c:f>'[Chart 2 in Microsoft Word]Annual stat. report'!$C$792:$E$792</c:f>
              <c:numCache>
                <c:formatCode>General</c:formatCode>
                <c:ptCount val="3"/>
                <c:pt idx="0">
                  <c:v>1972</c:v>
                </c:pt>
                <c:pt idx="1">
                  <c:v>2255</c:v>
                </c:pt>
                <c:pt idx="2">
                  <c:v>2108</c:v>
                </c:pt>
              </c:numCache>
            </c:numRef>
          </c:val>
        </c:ser>
        <c:ser>
          <c:idx val="6"/>
          <c:order val="6"/>
          <c:tx>
            <c:strRef>
              <c:f>'[Chart 2 in Microsoft Word]Annual stat. report'!$B$793</c:f>
              <c:strCache>
                <c:ptCount val="1"/>
                <c:pt idx="0">
                  <c:v>Other Areas</c:v>
                </c:pt>
              </c:strCache>
            </c:strRef>
          </c:tx>
          <c:invertIfNegative val="0"/>
          <c:dLbls>
            <c:dLbl>
              <c:idx val="0"/>
              <c:layout>
                <c:manualLayout>
                  <c:x val="9.6038415366146452E-3"/>
                  <c:y val="-7.246376811594203E-3"/>
                </c:manualLayout>
              </c:layout>
              <c:showLegendKey val="0"/>
              <c:showVal val="1"/>
              <c:showCatName val="0"/>
              <c:showSerName val="0"/>
              <c:showPercent val="0"/>
              <c:showBubbleSize val="0"/>
            </c:dLbl>
            <c:dLbl>
              <c:idx val="1"/>
              <c:layout>
                <c:manualLayout>
                  <c:x val="1.1204481792717146E-2"/>
                  <c:y val="0"/>
                </c:manualLayout>
              </c:layout>
              <c:showLegendKey val="0"/>
              <c:showVal val="1"/>
              <c:showCatName val="0"/>
              <c:showSerName val="0"/>
              <c:showPercent val="0"/>
              <c:showBubbleSize val="0"/>
            </c:dLbl>
            <c:dLbl>
              <c:idx val="2"/>
              <c:layout>
                <c:manualLayout>
                  <c:x val="6.4025610244097643E-3"/>
                  <c:y val="-1.0869565217391304E-2"/>
                </c:manualLayout>
              </c:layout>
              <c:showLegendKey val="0"/>
              <c:showVal val="1"/>
              <c:showCatName val="0"/>
              <c:showSerName val="0"/>
              <c:showPercent val="0"/>
              <c:showBubbleSize val="0"/>
            </c:dLbl>
            <c:spPr>
              <a:ln>
                <a:noFill/>
              </a:ln>
            </c:spPr>
            <c:txPr>
              <a:bodyPr/>
              <a:lstStyle/>
              <a:p>
                <a:pPr>
                  <a:defRPr sz="600" baseline="0"/>
                </a:pPr>
                <a:endParaRPr lang="en-US"/>
              </a:p>
            </c:txPr>
            <c:showLegendKey val="0"/>
            <c:showVal val="1"/>
            <c:showCatName val="0"/>
            <c:showSerName val="0"/>
            <c:showPercent val="0"/>
            <c:showBubbleSize val="0"/>
            <c:showLeaderLines val="0"/>
          </c:dLbls>
          <c:cat>
            <c:numRef>
              <c:f>'[Chart 2 in Microsoft Word]Annual stat. report'!$C$786:$E$786</c:f>
              <c:numCache>
                <c:formatCode>General</c:formatCode>
                <c:ptCount val="3"/>
                <c:pt idx="0">
                  <c:v>2012</c:v>
                </c:pt>
                <c:pt idx="1">
                  <c:v>2013</c:v>
                </c:pt>
                <c:pt idx="2">
                  <c:v>2014</c:v>
                </c:pt>
              </c:numCache>
            </c:numRef>
          </c:cat>
          <c:val>
            <c:numRef>
              <c:f>'[Chart 2 in Microsoft Word]Annual stat. report'!$C$793:$E$793</c:f>
              <c:numCache>
                <c:formatCode>General</c:formatCode>
                <c:ptCount val="3"/>
                <c:pt idx="0">
                  <c:v>8</c:v>
                </c:pt>
                <c:pt idx="1">
                  <c:v>321</c:v>
                </c:pt>
                <c:pt idx="2">
                  <c:v>79</c:v>
                </c:pt>
              </c:numCache>
            </c:numRef>
          </c:val>
        </c:ser>
        <c:dLbls>
          <c:showLegendKey val="0"/>
          <c:showVal val="0"/>
          <c:showCatName val="0"/>
          <c:showSerName val="0"/>
          <c:showPercent val="0"/>
          <c:showBubbleSize val="0"/>
        </c:dLbls>
        <c:gapWidth val="80"/>
        <c:shape val="cylinder"/>
        <c:axId val="106465152"/>
        <c:axId val="113430912"/>
        <c:axId val="0"/>
      </c:bar3DChart>
      <c:catAx>
        <c:axId val="106465152"/>
        <c:scaling>
          <c:orientation val="minMax"/>
        </c:scaling>
        <c:delete val="0"/>
        <c:axPos val="b"/>
        <c:numFmt formatCode="General" sourceLinked="1"/>
        <c:majorTickMark val="out"/>
        <c:minorTickMark val="none"/>
        <c:tickLblPos val="nextTo"/>
        <c:crossAx val="113430912"/>
        <c:crosses val="autoZero"/>
        <c:auto val="1"/>
        <c:lblAlgn val="ctr"/>
        <c:lblOffset val="100"/>
        <c:noMultiLvlLbl val="0"/>
      </c:catAx>
      <c:valAx>
        <c:axId val="113430912"/>
        <c:scaling>
          <c:orientation val="minMax"/>
          <c:max val="20010"/>
          <c:min val="0"/>
        </c:scaling>
        <c:delete val="0"/>
        <c:axPos val="l"/>
        <c:majorGridlines/>
        <c:numFmt formatCode="General" sourceLinked="1"/>
        <c:majorTickMark val="out"/>
        <c:minorTickMark val="none"/>
        <c:tickLblPos val="nextTo"/>
        <c:crossAx val="106465152"/>
        <c:crosses val="autoZero"/>
        <c:crossBetween val="between"/>
        <c:majorUnit val="2000"/>
        <c:minorUnit val="1"/>
      </c:valAx>
    </c:plotArea>
    <c:legend>
      <c:legendPos val="l"/>
      <c:layout>
        <c:manualLayout>
          <c:xMode val="edge"/>
          <c:yMode val="edge"/>
          <c:x val="0.80353085671983315"/>
          <c:y val="0.13733301863091527"/>
          <c:w val="0.19311157533879691"/>
          <c:h val="0.76911267804151484"/>
        </c:manualLayout>
      </c:layout>
      <c:overlay val="0"/>
      <c:txPr>
        <a:bodyPr/>
        <a:lstStyle/>
        <a:p>
          <a:pPr>
            <a:defRPr sz="800" baseline="0"/>
          </a:pPr>
          <a:endParaRPr lang="en-US"/>
        </a:p>
      </c:txPr>
    </c:legend>
    <c:plotVisOnly val="1"/>
    <c:dispBlanksAs val="zero"/>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BB751-4B19-4015-8398-393E1B2AE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274</Pages>
  <Words>95427</Words>
  <Characters>549455</Characters>
  <Application>Microsoft Office Word</Application>
  <DocSecurity>2</DocSecurity>
  <Lines>4578</Lines>
  <Paragraphs>1287</Paragraphs>
  <ScaleCrop>false</ScaleCrop>
  <HeadingPairs>
    <vt:vector size="2" baseType="variant">
      <vt:variant>
        <vt:lpstr>Title</vt:lpstr>
      </vt:variant>
      <vt:variant>
        <vt:i4>1</vt:i4>
      </vt:variant>
    </vt:vector>
  </HeadingPairs>
  <TitlesOfParts>
    <vt:vector size="1" baseType="lpstr">
      <vt:lpstr>Program Performance Report 2008-09, program 1</vt:lpstr>
    </vt:vector>
  </TitlesOfParts>
  <Company>WIPO</Company>
  <LinksUpToDate>false</LinksUpToDate>
  <CharactersWithSpaces>643595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Performance Report 2008-09, program 1</dc:title>
  <dc:creator>baechtold</dc:creator>
  <cp:lastModifiedBy>HÄFLIGER Patience</cp:lastModifiedBy>
  <cp:revision>3</cp:revision>
  <cp:lastPrinted>2015-07-30T16:05:00Z</cp:lastPrinted>
  <dcterms:created xsi:type="dcterms:W3CDTF">2015-07-30T16:05:00Z</dcterms:created>
  <dcterms:modified xsi:type="dcterms:W3CDTF">2015-07-30T16:05:00Z</dcterms:modified>
</cp:coreProperties>
</file>